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03B2" w:rsidRPr="00B57B36">
        <w:trPr>
          <w:trHeight w:val="852"/>
          <w:jc w:val="center"/>
        </w:trPr>
        <w:tc>
          <w:tcPr>
            <w:tcW w:w="6946" w:type="dxa"/>
            <w:vMerge w:val="restart"/>
            <w:tcBorders>
              <w:right w:val="single" w:sz="4" w:space="0" w:color="auto"/>
            </w:tcBorders>
          </w:tcPr>
          <w:p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7168055D" wp14:editId="3EA2C1D0">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rsidR="000A03B2" w:rsidRPr="00B57B36" w:rsidRDefault="00A76EFC" w:rsidP="009635B9">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931FA">
              <w:rPr>
                <w:rFonts w:cs="Arial"/>
                <w:b/>
                <w:bCs/>
                <w:i/>
                <w:iCs/>
                <w:color w:val="000066"/>
                <w:sz w:val="22"/>
                <w:szCs w:val="22"/>
                <w:lang w:eastAsia="it-IT"/>
              </w:rPr>
              <w:t>7</w:t>
            </w:r>
            <w:r w:rsidR="009635B9">
              <w:rPr>
                <w:rFonts w:cs="Arial"/>
                <w:b/>
                <w:bCs/>
                <w:i/>
                <w:iCs/>
                <w:color w:val="000066"/>
                <w:sz w:val="22"/>
                <w:szCs w:val="22"/>
                <w:lang w:eastAsia="it-IT"/>
              </w:rPr>
              <w:t>6</w:t>
            </w:r>
            <w:r w:rsidR="00FA5F5F">
              <w:rPr>
                <w:rFonts w:cs="Arial"/>
                <w:b/>
                <w:bCs/>
                <w:i/>
                <w:iCs/>
                <w:color w:val="000066"/>
                <w:sz w:val="22"/>
                <w:szCs w:val="22"/>
                <w:lang w:eastAsia="it-IT"/>
              </w:rPr>
              <w:t>, 201</w:t>
            </w:r>
            <w:r w:rsidR="007931FA">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rsidR="000A03B2" w:rsidRPr="00B57B36" w:rsidRDefault="000A03B2" w:rsidP="00CD5FE2">
            <w:pPr>
              <w:jc w:val="right"/>
            </w:pPr>
            <w:r w:rsidRPr="00B57B36">
              <w:rPr>
                <w:noProof/>
                <w:lang w:val="it-IT" w:eastAsia="it-IT"/>
              </w:rPr>
              <w:drawing>
                <wp:inline distT="0" distB="0" distL="0" distR="0" wp14:anchorId="04F21A2A" wp14:editId="56E26951">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trPr>
          <w:trHeight w:val="567"/>
          <w:jc w:val="center"/>
        </w:trPr>
        <w:tc>
          <w:tcPr>
            <w:tcW w:w="6946" w:type="dxa"/>
            <w:vMerge/>
            <w:tcBorders>
              <w:right w:val="single" w:sz="4" w:space="0" w:color="auto"/>
            </w:tcBorders>
          </w:tcPr>
          <w:p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rsidR="000A03B2" w:rsidRPr="00B57B36" w:rsidRDefault="000A03B2" w:rsidP="00162642">
            <w:pPr>
              <w:spacing w:line="140" w:lineRule="atLeast"/>
              <w:jc w:val="right"/>
              <w:rPr>
                <w:rFonts w:cs="Arial"/>
                <w:sz w:val="14"/>
                <w:szCs w:val="14"/>
              </w:rPr>
            </w:pPr>
            <w:r w:rsidRPr="00B57B36">
              <w:rPr>
                <w:rFonts w:cs="Arial"/>
                <w:sz w:val="14"/>
                <w:szCs w:val="14"/>
              </w:rPr>
              <w:t xml:space="preserve">Online at </w:t>
            </w:r>
            <w:r w:rsidR="00162642">
              <w:rPr>
                <w:rFonts w:cs="Arial"/>
                <w:sz w:val="14"/>
                <w:szCs w:val="14"/>
              </w:rPr>
              <w:t>www.cetjournal.it</w:t>
            </w:r>
          </w:p>
        </w:tc>
      </w:tr>
      <w:tr w:rsidR="000A03B2" w:rsidRPr="00B57B36">
        <w:trPr>
          <w:trHeight w:val="68"/>
          <w:jc w:val="center"/>
        </w:trPr>
        <w:tc>
          <w:tcPr>
            <w:tcW w:w="8789" w:type="dxa"/>
            <w:gridSpan w:val="2"/>
          </w:tcPr>
          <w:p w:rsidR="00300E56" w:rsidRPr="00252C1A" w:rsidRDefault="00300E56" w:rsidP="003365E3">
            <w:pPr>
              <w:ind w:left="-107"/>
              <w:rPr>
                <w:lang w:val="it-IT"/>
              </w:rPr>
            </w:pPr>
            <w:r w:rsidRPr="00252C1A">
              <w:rPr>
                <w:rFonts w:ascii="Tahoma" w:hAnsi="Tahoma" w:cs="Tahoma"/>
                <w:iCs/>
                <w:color w:val="333333"/>
                <w:sz w:val="14"/>
                <w:szCs w:val="14"/>
                <w:lang w:val="it-IT" w:eastAsia="it-IT"/>
              </w:rPr>
              <w:t xml:space="preserve">Guest </w:t>
            </w:r>
            <w:proofErr w:type="spellStart"/>
            <w:r w:rsidRPr="00252C1A">
              <w:rPr>
                <w:rFonts w:ascii="Tahoma" w:hAnsi="Tahoma" w:cs="Tahoma"/>
                <w:iCs/>
                <w:color w:val="333333"/>
                <w:sz w:val="14"/>
                <w:szCs w:val="14"/>
                <w:lang w:val="it-IT" w:eastAsia="it-IT"/>
              </w:rPr>
              <w:t>Editors</w:t>
            </w:r>
            <w:proofErr w:type="spellEnd"/>
            <w:r w:rsidRPr="00252C1A">
              <w:rPr>
                <w:rFonts w:ascii="Tahoma" w:hAnsi="Tahoma" w:cs="Tahoma"/>
                <w:iCs/>
                <w:color w:val="333333"/>
                <w:sz w:val="14"/>
                <w:szCs w:val="14"/>
                <w:lang w:val="it-IT" w:eastAsia="it-IT"/>
              </w:rPr>
              <w:t>:</w:t>
            </w:r>
            <w:r w:rsidR="00904C62" w:rsidRPr="00252C1A">
              <w:rPr>
                <w:rFonts w:ascii="Tahoma" w:hAnsi="Tahoma" w:cs="Tahoma"/>
                <w:iCs/>
                <w:color w:val="333333"/>
                <w:sz w:val="14"/>
                <w:szCs w:val="14"/>
                <w:lang w:val="it-IT" w:eastAsia="it-IT"/>
              </w:rPr>
              <w:t xml:space="preserve"> </w:t>
            </w:r>
            <w:r w:rsidR="009635B9" w:rsidRPr="00252C1A">
              <w:rPr>
                <w:rFonts w:ascii="Tahoma" w:hAnsi="Tahoma" w:cs="Tahoma"/>
                <w:sz w:val="14"/>
                <w:szCs w:val="14"/>
                <w:lang w:val="it-IT"/>
              </w:rPr>
              <w:t>Sauro Pierucci,</w:t>
            </w:r>
            <w:r w:rsidR="003B60F3" w:rsidRPr="00252C1A">
              <w:rPr>
                <w:rFonts w:ascii="Tahoma" w:hAnsi="Tahoma" w:cs="Tahoma"/>
                <w:sz w:val="14"/>
                <w:szCs w:val="14"/>
                <w:lang w:val="it-IT"/>
              </w:rPr>
              <w:t xml:space="preserve"> </w:t>
            </w:r>
            <w:proofErr w:type="spellStart"/>
            <w:r w:rsidR="00047D7F" w:rsidRPr="00252C1A">
              <w:rPr>
                <w:rFonts w:ascii="Tahoma" w:hAnsi="Tahoma" w:cs="Tahoma"/>
                <w:sz w:val="14"/>
                <w:szCs w:val="14"/>
                <w:shd w:val="clear" w:color="auto" w:fill="FFFFFF"/>
                <w:lang w:val="it-IT"/>
              </w:rPr>
              <w:t>Jiří</w:t>
            </w:r>
            <w:proofErr w:type="spellEnd"/>
            <w:r w:rsidR="00047D7F" w:rsidRPr="00252C1A">
              <w:rPr>
                <w:rFonts w:ascii="Tahoma" w:hAnsi="Tahoma" w:cs="Tahoma"/>
                <w:sz w:val="14"/>
                <w:szCs w:val="14"/>
                <w:shd w:val="clear" w:color="auto" w:fill="FFFFFF"/>
                <w:lang w:val="it-IT"/>
              </w:rPr>
              <w:t xml:space="preserve"> </w:t>
            </w:r>
            <w:proofErr w:type="spellStart"/>
            <w:r w:rsidR="00047D7F" w:rsidRPr="00252C1A">
              <w:rPr>
                <w:rFonts w:ascii="Tahoma" w:hAnsi="Tahoma" w:cs="Tahoma"/>
                <w:sz w:val="14"/>
                <w:szCs w:val="14"/>
                <w:shd w:val="clear" w:color="auto" w:fill="FFFFFF"/>
                <w:lang w:val="it-IT"/>
              </w:rPr>
              <w:t>Jaromír</w:t>
            </w:r>
            <w:proofErr w:type="spellEnd"/>
            <w:r w:rsidR="00047D7F" w:rsidRPr="00252C1A">
              <w:rPr>
                <w:rFonts w:ascii="Tahoma" w:hAnsi="Tahoma" w:cs="Tahoma"/>
                <w:sz w:val="14"/>
                <w:szCs w:val="14"/>
                <w:shd w:val="clear" w:color="auto" w:fill="FFFFFF"/>
                <w:lang w:val="it-IT"/>
              </w:rPr>
              <w:t xml:space="preserve"> </w:t>
            </w:r>
            <w:proofErr w:type="spellStart"/>
            <w:r w:rsidR="00047D7F" w:rsidRPr="00252C1A">
              <w:rPr>
                <w:rFonts w:ascii="Tahoma" w:hAnsi="Tahoma" w:cs="Tahoma"/>
                <w:sz w:val="14"/>
                <w:szCs w:val="14"/>
                <w:shd w:val="clear" w:color="auto" w:fill="FFFFFF"/>
                <w:lang w:val="it-IT"/>
              </w:rPr>
              <w:t>Klemeš</w:t>
            </w:r>
            <w:proofErr w:type="spellEnd"/>
            <w:r w:rsidR="00252C1A">
              <w:rPr>
                <w:rFonts w:ascii="Tahoma" w:hAnsi="Tahoma" w:cs="Tahoma"/>
                <w:sz w:val="14"/>
                <w:szCs w:val="14"/>
                <w:shd w:val="clear" w:color="auto" w:fill="FFFFFF"/>
                <w:lang w:val="it-IT"/>
              </w:rPr>
              <w:t>, Lau</w:t>
            </w:r>
            <w:r w:rsidR="00252C1A" w:rsidRPr="00252C1A">
              <w:rPr>
                <w:rFonts w:ascii="Tahoma" w:hAnsi="Tahoma" w:cs="Tahoma"/>
                <w:sz w:val="14"/>
                <w:szCs w:val="14"/>
                <w:shd w:val="clear" w:color="auto" w:fill="FFFFFF"/>
                <w:lang w:val="it-IT"/>
              </w:rPr>
              <w:t>ra Piazza</w:t>
            </w:r>
          </w:p>
          <w:p w:rsidR="000A03B2" w:rsidRPr="00B57B36" w:rsidRDefault="00FA5F5F" w:rsidP="00131FAB">
            <w:pPr>
              <w:tabs>
                <w:tab w:val="left" w:pos="-108"/>
              </w:tabs>
              <w:spacing w:line="140" w:lineRule="atLeast"/>
              <w:ind w:left="-107"/>
              <w:jc w:val="left"/>
            </w:pPr>
            <w:r>
              <w:rPr>
                <w:rFonts w:ascii="Tahoma" w:hAnsi="Tahoma" w:cs="Tahoma"/>
                <w:iCs/>
                <w:color w:val="333333"/>
                <w:sz w:val="14"/>
                <w:szCs w:val="14"/>
                <w:lang w:eastAsia="it-IT"/>
              </w:rPr>
              <w:t>Copyright © 201</w:t>
            </w:r>
            <w:r w:rsidR="007931FA">
              <w:rPr>
                <w:rFonts w:ascii="Tahoma" w:hAnsi="Tahoma" w:cs="Tahoma"/>
                <w:iCs/>
                <w:color w:val="333333"/>
                <w:sz w:val="14"/>
                <w:szCs w:val="14"/>
                <w:lang w:eastAsia="it-IT"/>
              </w:rPr>
              <w:t>9</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sidRPr="00131FAB">
              <w:rPr>
                <w:rFonts w:ascii="Tahoma" w:hAnsi="Tahoma" w:cs="Tahoma"/>
                <w:sz w:val="14"/>
                <w:szCs w:val="14"/>
              </w:rPr>
              <w:t>978-88-95608-</w:t>
            </w:r>
            <w:r w:rsidR="009635B9">
              <w:rPr>
                <w:rFonts w:ascii="Tahoma" w:hAnsi="Tahoma" w:cs="Tahoma"/>
                <w:sz w:val="14"/>
                <w:szCs w:val="14"/>
              </w:rPr>
              <w:t>73</w:t>
            </w:r>
            <w:r w:rsidR="008D32B9" w:rsidRPr="00131FAB">
              <w:rPr>
                <w:rFonts w:ascii="Tahoma" w:hAnsi="Tahoma" w:cs="Tahoma"/>
                <w:sz w:val="14"/>
                <w:szCs w:val="14"/>
              </w:rPr>
              <w:t>-</w:t>
            </w:r>
            <w:r w:rsidR="009635B9">
              <w:rPr>
                <w:rFonts w:ascii="Tahoma" w:hAnsi="Tahoma" w:cs="Tahoma"/>
                <w:sz w:val="14"/>
                <w:szCs w:val="14"/>
              </w:rPr>
              <w:t>0</w:t>
            </w:r>
            <w:r w:rsidR="00300E56" w:rsidRPr="00131FAB">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rsidR="000A03B2" w:rsidRPr="00B57B36" w:rsidRDefault="000A03B2" w:rsidP="000A03B2">
      <w:pPr>
        <w:pStyle w:val="CETAuthors"/>
        <w:sectPr w:rsidR="000A03B2" w:rsidRPr="00B57B36">
          <w:type w:val="continuous"/>
          <w:pgSz w:w="11906" w:h="16838" w:code="9"/>
          <w:pgMar w:top="1701" w:right="1418" w:bottom="1701" w:left="1701" w:header="1701" w:footer="0" w:gutter="0"/>
          <w:cols w:space="708"/>
          <w:titlePg/>
          <w:docGrid w:linePitch="360"/>
        </w:sectPr>
      </w:pPr>
    </w:p>
    <w:p w:rsidR="00E978D0" w:rsidRPr="00B57B36" w:rsidRDefault="00FE2CFE" w:rsidP="00556C0A">
      <w:pPr>
        <w:pStyle w:val="CETTitle"/>
      </w:pPr>
      <w:r>
        <w:rPr>
          <w:lang w:val="en-US"/>
        </w:rPr>
        <w:lastRenderedPageBreak/>
        <w:t>Agglomeration P</w:t>
      </w:r>
      <w:r w:rsidR="00556C0A" w:rsidRPr="00F079EE">
        <w:rPr>
          <w:lang w:val="en-US"/>
        </w:rPr>
        <w:t xml:space="preserve">henomena </w:t>
      </w:r>
      <w:r>
        <w:rPr>
          <w:lang w:val="en-US"/>
        </w:rPr>
        <w:t>D</w:t>
      </w:r>
      <w:r w:rsidR="00556C0A" w:rsidRPr="00F079EE">
        <w:rPr>
          <w:lang w:val="en-US"/>
        </w:rPr>
        <w:t xml:space="preserve">uring </w:t>
      </w:r>
      <w:r>
        <w:rPr>
          <w:lang w:val="en-US"/>
        </w:rPr>
        <w:t>F</w:t>
      </w:r>
      <w:r w:rsidR="00556C0A" w:rsidRPr="00F079EE">
        <w:rPr>
          <w:lang w:val="en-US"/>
        </w:rPr>
        <w:t xml:space="preserve">luidized </w:t>
      </w:r>
      <w:r>
        <w:rPr>
          <w:lang w:val="en-US"/>
        </w:rPr>
        <w:t>B</w:t>
      </w:r>
      <w:r w:rsidR="00556C0A" w:rsidRPr="00F079EE">
        <w:rPr>
          <w:lang w:val="en-US"/>
        </w:rPr>
        <w:t xml:space="preserve">ed </w:t>
      </w:r>
      <w:r>
        <w:rPr>
          <w:lang w:val="en-US"/>
        </w:rPr>
        <w:t>C</w:t>
      </w:r>
      <w:r w:rsidR="00556C0A" w:rsidRPr="00F079EE">
        <w:rPr>
          <w:lang w:val="en-US"/>
        </w:rPr>
        <w:t>ombustion/</w:t>
      </w:r>
      <w:r>
        <w:rPr>
          <w:lang w:val="en-US"/>
        </w:rPr>
        <w:t>G</w:t>
      </w:r>
      <w:r w:rsidR="00556C0A" w:rsidRPr="00F079EE">
        <w:rPr>
          <w:lang w:val="en-US"/>
        </w:rPr>
        <w:t xml:space="preserve">asification of </w:t>
      </w:r>
      <w:r>
        <w:rPr>
          <w:lang w:val="en-US"/>
        </w:rPr>
        <w:t>B</w:t>
      </w:r>
      <w:r w:rsidR="00556C0A" w:rsidRPr="00F079EE">
        <w:rPr>
          <w:lang w:val="en-US"/>
        </w:rPr>
        <w:t xml:space="preserve">iomass </w:t>
      </w:r>
      <w:r>
        <w:rPr>
          <w:lang w:val="en-US"/>
        </w:rPr>
        <w:t>F</w:t>
      </w:r>
      <w:r w:rsidR="00556C0A" w:rsidRPr="00F079EE">
        <w:rPr>
          <w:lang w:val="en-US"/>
        </w:rPr>
        <w:t>uels</w:t>
      </w:r>
    </w:p>
    <w:p w:rsidR="00E978D0" w:rsidRPr="00556C0A" w:rsidRDefault="00556C0A" w:rsidP="00556C0A">
      <w:pPr>
        <w:pStyle w:val="CETAuthors"/>
        <w:rPr>
          <w:lang w:val="it-IT"/>
        </w:rPr>
      </w:pPr>
      <w:r w:rsidRPr="00B86F0C">
        <w:rPr>
          <w:noProof w:val="0"/>
          <w:lang w:val="it-IT"/>
        </w:rPr>
        <w:t xml:space="preserve">Francesco </w:t>
      </w:r>
      <w:proofErr w:type="spellStart"/>
      <w:r w:rsidRPr="00B86F0C">
        <w:rPr>
          <w:noProof w:val="0"/>
          <w:lang w:val="it-IT"/>
        </w:rPr>
        <w:t>Miccio</w:t>
      </w:r>
      <w:r w:rsidRPr="00556C0A">
        <w:rPr>
          <w:noProof w:val="0"/>
          <w:vertAlign w:val="superscript"/>
          <w:lang w:val="it-IT"/>
        </w:rPr>
        <w:t>a</w:t>
      </w:r>
      <w:proofErr w:type="spellEnd"/>
      <w:r w:rsidR="000B2BE1">
        <w:rPr>
          <w:noProof w:val="0"/>
          <w:vertAlign w:val="superscript"/>
          <w:lang w:val="it-IT"/>
        </w:rPr>
        <w:t>,</w:t>
      </w:r>
      <w:r w:rsidR="000B2BE1" w:rsidRPr="000B2BE1">
        <w:rPr>
          <w:noProof w:val="0"/>
          <w:lang w:val="it-IT"/>
        </w:rPr>
        <w:t>*</w:t>
      </w:r>
      <w:r w:rsidRPr="00B86F0C">
        <w:rPr>
          <w:noProof w:val="0"/>
          <w:lang w:val="it-IT"/>
        </w:rPr>
        <w:t xml:space="preserve">, Annalisa Natali </w:t>
      </w:r>
      <w:proofErr w:type="spellStart"/>
      <w:r w:rsidRPr="00B86F0C">
        <w:rPr>
          <w:noProof w:val="0"/>
          <w:lang w:val="it-IT"/>
        </w:rPr>
        <w:t>Murri</w:t>
      </w:r>
      <w:r w:rsidRPr="00556C0A">
        <w:rPr>
          <w:noProof w:val="0"/>
          <w:vertAlign w:val="superscript"/>
          <w:lang w:val="it-IT"/>
        </w:rPr>
        <w:t>a</w:t>
      </w:r>
      <w:proofErr w:type="spellEnd"/>
      <w:r w:rsidRPr="00B86F0C">
        <w:rPr>
          <w:noProof w:val="0"/>
          <w:lang w:val="it-IT"/>
        </w:rPr>
        <w:t xml:space="preserve">, Valentina </w:t>
      </w:r>
      <w:proofErr w:type="spellStart"/>
      <w:r w:rsidRPr="00B86F0C">
        <w:rPr>
          <w:noProof w:val="0"/>
          <w:lang w:val="it-IT"/>
        </w:rPr>
        <w:t>Me</w:t>
      </w:r>
      <w:r>
        <w:rPr>
          <w:noProof w:val="0"/>
          <w:lang w:val="it-IT"/>
        </w:rPr>
        <w:t>d</w:t>
      </w:r>
      <w:r w:rsidRPr="00B86F0C">
        <w:rPr>
          <w:noProof w:val="0"/>
          <w:lang w:val="it-IT"/>
        </w:rPr>
        <w:t>ri</w:t>
      </w:r>
      <w:r w:rsidRPr="00556C0A">
        <w:rPr>
          <w:noProof w:val="0"/>
          <w:vertAlign w:val="superscript"/>
          <w:lang w:val="it-IT"/>
        </w:rPr>
        <w:t>a</w:t>
      </w:r>
      <w:proofErr w:type="spellEnd"/>
      <w:r w:rsidRPr="00B86F0C">
        <w:rPr>
          <w:noProof w:val="0"/>
          <w:lang w:val="it-IT"/>
        </w:rPr>
        <w:t xml:space="preserve">, Elena </w:t>
      </w:r>
      <w:proofErr w:type="spellStart"/>
      <w:r w:rsidRPr="00B86F0C">
        <w:rPr>
          <w:noProof w:val="0"/>
          <w:lang w:val="it-IT"/>
        </w:rPr>
        <w:t>L</w:t>
      </w:r>
      <w:r>
        <w:rPr>
          <w:noProof w:val="0"/>
          <w:lang w:val="it-IT"/>
        </w:rPr>
        <w:t>andi</w:t>
      </w:r>
      <w:r w:rsidRPr="00556C0A">
        <w:rPr>
          <w:noProof w:val="0"/>
          <w:vertAlign w:val="superscript"/>
          <w:lang w:val="it-IT"/>
        </w:rPr>
        <w:t>a</w:t>
      </w:r>
      <w:proofErr w:type="spellEnd"/>
    </w:p>
    <w:p w:rsidR="00556C0A" w:rsidRPr="00B86F0C" w:rsidRDefault="00E978D0" w:rsidP="00556C0A">
      <w:pPr>
        <w:pStyle w:val="CETAddress"/>
        <w:rPr>
          <w:noProof w:val="0"/>
          <w:lang w:val="it-IT"/>
        </w:rPr>
      </w:pPr>
      <w:r w:rsidRPr="00556C0A">
        <w:rPr>
          <w:vertAlign w:val="superscript"/>
          <w:lang w:val="it-IT"/>
        </w:rPr>
        <w:t>a</w:t>
      </w:r>
      <w:r w:rsidR="00556C0A" w:rsidRPr="00B86F0C">
        <w:rPr>
          <w:noProof w:val="0"/>
          <w:lang w:val="it-IT"/>
        </w:rPr>
        <w:t>Istituto di Scienza e Tecnologia dei Materiali Ceramici CNR, via Granarolo 64 Faenza I</w:t>
      </w:r>
    </w:p>
    <w:p w:rsidR="00E978D0" w:rsidRPr="000B2BE1" w:rsidRDefault="00556C0A" w:rsidP="00E978D0">
      <w:pPr>
        <w:pStyle w:val="CETemail"/>
      </w:pPr>
      <w:r w:rsidRPr="000B2BE1">
        <w:t>francesco.miccio</w:t>
      </w:r>
      <w:r w:rsidR="00600535" w:rsidRPr="000B2BE1">
        <w:t>@</w:t>
      </w:r>
      <w:r w:rsidRPr="000B2BE1">
        <w:t>cnr.it</w:t>
      </w:r>
    </w:p>
    <w:p w:rsidR="000B2BE1" w:rsidRDefault="000B2BE1" w:rsidP="000B2BE1">
      <w:pPr>
        <w:pStyle w:val="CETBodytext"/>
      </w:pPr>
      <w:r w:rsidRPr="0000664B">
        <w:t xml:space="preserve">The objective of this research </w:t>
      </w:r>
      <w:r w:rsidR="00C06452" w:rsidRPr="0000664B">
        <w:t>is to investigate the occurrence of agglomeration phenomena during fluidized bed processing of biomass fuels. These are</w:t>
      </w:r>
      <w:r w:rsidR="009B775B">
        <w:t xml:space="preserve"> to be</w:t>
      </w:r>
      <w:r w:rsidR="00C06452" w:rsidRPr="0000664B">
        <w:t xml:space="preserve"> ascribed to the alkali content in </w:t>
      </w:r>
      <w:r w:rsidR="00A227A2">
        <w:t>biomass</w:t>
      </w:r>
      <w:r w:rsidR="00C06452" w:rsidRPr="0000664B">
        <w:t xml:space="preserve"> materials </w:t>
      </w:r>
      <w:r w:rsidR="003B54CF" w:rsidRPr="0000664B">
        <w:t>that gives rise to low melting compound</w:t>
      </w:r>
      <w:r w:rsidR="00A227A2">
        <w:t>s</w:t>
      </w:r>
      <w:r w:rsidR="003B54CF" w:rsidRPr="0000664B">
        <w:t xml:space="preserve"> </w:t>
      </w:r>
      <w:r w:rsidR="009B775B">
        <w:t xml:space="preserve">in combination </w:t>
      </w:r>
      <w:r w:rsidR="003B54CF" w:rsidRPr="0000664B">
        <w:t>with SiO</w:t>
      </w:r>
      <w:r w:rsidR="003B54CF" w:rsidRPr="001E2BE8">
        <w:rPr>
          <w:vertAlign w:val="subscript"/>
        </w:rPr>
        <w:t>2</w:t>
      </w:r>
      <w:r w:rsidR="003B54CF" w:rsidRPr="0000664B">
        <w:t xml:space="preserve">, normally present in bed materials. The results obtained in a lab scale facility under operating conditions of gasification highlight that </w:t>
      </w:r>
      <w:r w:rsidR="0000664B" w:rsidRPr="0000664B">
        <w:t>other</w:t>
      </w:r>
      <w:r w:rsidR="003B54CF" w:rsidRPr="0000664B">
        <w:t xml:space="preserve"> materials may be adopted (e.g. olivine and chromite), despite they have higher density</w:t>
      </w:r>
      <w:r w:rsidR="0000664B" w:rsidRPr="0000664B">
        <w:t xml:space="preserve"> with respect to silica sand, affecting the bed fluid-dynamics</w:t>
      </w:r>
      <w:r w:rsidR="00C06452" w:rsidRPr="0000664B">
        <w:t>.</w:t>
      </w:r>
      <w:r w:rsidR="0000664B" w:rsidRPr="0000664B">
        <w:t xml:space="preserve"> As a</w:t>
      </w:r>
      <w:r w:rsidR="003616B3">
        <w:t xml:space="preserve">lternative the addition of </w:t>
      </w:r>
      <w:proofErr w:type="spellStart"/>
      <w:r w:rsidR="003616B3">
        <w:t>meta</w:t>
      </w:r>
      <w:r w:rsidR="0000664B" w:rsidRPr="0000664B">
        <w:t>kaolin</w:t>
      </w:r>
      <w:proofErr w:type="spellEnd"/>
      <w:r w:rsidR="0000664B" w:rsidRPr="0000664B">
        <w:t xml:space="preserve"> is effective in order to delay the occurrence of bed agglomeration, as demonstrated by experiments carried out in alumina crucible at 900 °C</w:t>
      </w:r>
      <w:r w:rsidR="003616B3">
        <w:t xml:space="preserve"> and complemented by</w:t>
      </w:r>
      <w:r w:rsidR="006778AF">
        <w:t xml:space="preserve"> </w:t>
      </w:r>
      <w:r w:rsidR="00FE2CFE">
        <w:t>electronic scanning microscopy (</w:t>
      </w:r>
      <w:r w:rsidR="006778AF">
        <w:t>SEM</w:t>
      </w:r>
      <w:r w:rsidR="00FE2CFE">
        <w:t>)</w:t>
      </w:r>
      <w:r w:rsidR="006778AF">
        <w:t xml:space="preserve"> and</w:t>
      </w:r>
      <w:r w:rsidR="003616B3">
        <w:t xml:space="preserve"> </w:t>
      </w:r>
      <w:r w:rsidR="00FE2CFE">
        <w:t>x-ray diffraction (</w:t>
      </w:r>
      <w:r w:rsidR="003616B3">
        <w:t>XRD</w:t>
      </w:r>
      <w:r w:rsidR="00FE2CFE">
        <w:t>)</w:t>
      </w:r>
      <w:r w:rsidR="003616B3">
        <w:t xml:space="preserve"> analyses</w:t>
      </w:r>
      <w:r w:rsidR="0000664B" w:rsidRPr="0000664B">
        <w:t xml:space="preserve">. </w:t>
      </w:r>
      <w:r w:rsidRPr="001E2BE8">
        <w:t>The results are reported and discussed in the article, with the sake of providing further insights for contrasting the undesired agglomeration behavior</w:t>
      </w:r>
      <w:r w:rsidR="00A227A2">
        <w:t xml:space="preserve"> in practical applications</w:t>
      </w:r>
      <w:r w:rsidRPr="001E2BE8">
        <w:t>.</w:t>
      </w:r>
    </w:p>
    <w:p w:rsidR="00600535" w:rsidRPr="00B57B36" w:rsidRDefault="00600535" w:rsidP="00600535">
      <w:pPr>
        <w:pStyle w:val="CETHeading1"/>
        <w:rPr>
          <w:lang w:val="en-GB"/>
        </w:rPr>
      </w:pPr>
      <w:r w:rsidRPr="00B57B36">
        <w:rPr>
          <w:lang w:val="en-GB"/>
        </w:rPr>
        <w:t>Introduction</w:t>
      </w:r>
    </w:p>
    <w:p w:rsidR="003D509C" w:rsidRDefault="000B2BE1" w:rsidP="000B2BE1">
      <w:pPr>
        <w:pStyle w:val="CETBodytext"/>
      </w:pPr>
      <w:r>
        <w:t xml:space="preserve">The utilization of fluidized beds </w:t>
      </w:r>
      <w:r w:rsidR="00453D6D">
        <w:t xml:space="preserve">(FB) </w:t>
      </w:r>
      <w:r>
        <w:t xml:space="preserve">is highly advised for accomplishing thermochemical processes, such as </w:t>
      </w:r>
      <w:r w:rsidRPr="009B775B">
        <w:t>combustion and gasification, in presence of difficult fuels. In fact</w:t>
      </w:r>
      <w:r w:rsidR="009B775B" w:rsidRPr="009B775B">
        <w:t>,</w:t>
      </w:r>
      <w:r w:rsidRPr="009B775B">
        <w:t xml:space="preserve"> fluidized beds can easily face problems arising from coarse or irregular particle size </w:t>
      </w:r>
      <w:r w:rsidR="006F481C" w:rsidRPr="001E2BE8">
        <w:t>(</w:t>
      </w:r>
      <w:proofErr w:type="spellStart"/>
      <w:r w:rsidRPr="001E2BE8">
        <w:t>Werther</w:t>
      </w:r>
      <w:proofErr w:type="spellEnd"/>
      <w:r w:rsidR="00D8612A" w:rsidRPr="001E2BE8">
        <w:t xml:space="preserve"> et al., </w:t>
      </w:r>
      <w:r w:rsidRPr="001E2BE8">
        <w:t>2000</w:t>
      </w:r>
      <w:r w:rsidR="006F481C" w:rsidRPr="009B775B">
        <w:t>)</w:t>
      </w:r>
      <w:r w:rsidRPr="009B775B">
        <w:t xml:space="preserve"> or high moisture/ash content in the fuel </w:t>
      </w:r>
      <w:r w:rsidR="006F481C" w:rsidRPr="009B775B">
        <w:t>(</w:t>
      </w:r>
      <w:proofErr w:type="spellStart"/>
      <w:r w:rsidRPr="001E2BE8">
        <w:t>Miccio</w:t>
      </w:r>
      <w:proofErr w:type="spellEnd"/>
      <w:r w:rsidR="00D8612A" w:rsidRPr="001E2BE8">
        <w:t xml:space="preserve"> et al., </w:t>
      </w:r>
      <w:r w:rsidRPr="001E2BE8">
        <w:t>2016</w:t>
      </w:r>
      <w:r w:rsidR="006F481C" w:rsidRPr="009B775B">
        <w:t>)</w:t>
      </w:r>
      <w:r w:rsidRPr="009B775B">
        <w:t>. Nevertheless, agglomeration phenomena in fluidized bed can be experienced, when biomass fuels are processed, even at moderately high temperature</w:t>
      </w:r>
      <w:r w:rsidR="003D509C" w:rsidRPr="009B775B">
        <w:t xml:space="preserve">, owing to the alkali content that can be substantially high for certain classes of biomass </w:t>
      </w:r>
      <w:r w:rsidR="006F481C" w:rsidRPr="009B775B">
        <w:t>(</w:t>
      </w:r>
      <w:proofErr w:type="spellStart"/>
      <w:r w:rsidR="003D509C" w:rsidRPr="001E2BE8">
        <w:t>Werther</w:t>
      </w:r>
      <w:proofErr w:type="spellEnd"/>
      <w:r w:rsidR="003D509C" w:rsidRPr="001E2BE8">
        <w:t xml:space="preserve"> et al., 2000</w:t>
      </w:r>
      <w:r w:rsidR="006F481C" w:rsidRPr="009B775B">
        <w:t>)</w:t>
      </w:r>
      <w:r w:rsidR="003D509C" w:rsidRPr="009B775B">
        <w:t>. For instance, experiences of bed agglomeration are reported for</w:t>
      </w:r>
      <w:r w:rsidR="00C179A7" w:rsidRPr="009B775B">
        <w:t xml:space="preserve"> straw gasification</w:t>
      </w:r>
      <w:r w:rsidRPr="009B775B">
        <w:t xml:space="preserve"> </w:t>
      </w:r>
      <w:r w:rsidR="006F481C" w:rsidRPr="009B775B">
        <w:t>(</w:t>
      </w:r>
      <w:proofErr w:type="spellStart"/>
      <w:r w:rsidRPr="001E2BE8">
        <w:t>Ergundler</w:t>
      </w:r>
      <w:proofErr w:type="spellEnd"/>
      <w:r w:rsidR="00D8612A" w:rsidRPr="001E2BE8">
        <w:t xml:space="preserve"> and </w:t>
      </w:r>
      <w:proofErr w:type="spellStart"/>
      <w:r w:rsidR="00D8612A" w:rsidRPr="001E2BE8">
        <w:t>Ghaly</w:t>
      </w:r>
      <w:proofErr w:type="spellEnd"/>
      <w:r w:rsidR="00D8612A" w:rsidRPr="001E2BE8">
        <w:t>, 1993</w:t>
      </w:r>
      <w:r w:rsidR="006F481C" w:rsidRPr="001E2BE8">
        <w:t>)</w:t>
      </w:r>
      <w:r w:rsidRPr="001E2BE8">
        <w:t xml:space="preserve">, </w:t>
      </w:r>
      <w:r w:rsidR="00C179A7" w:rsidRPr="001E2BE8">
        <w:t xml:space="preserve">pine-seed combustion </w:t>
      </w:r>
      <w:r w:rsidR="006F481C" w:rsidRPr="001E2BE8">
        <w:t>(</w:t>
      </w:r>
      <w:proofErr w:type="spellStart"/>
      <w:r w:rsidRPr="001E2BE8">
        <w:t>Chirone</w:t>
      </w:r>
      <w:proofErr w:type="spellEnd"/>
      <w:r w:rsidR="009B775B" w:rsidRPr="001E2BE8">
        <w:t xml:space="preserve"> et a</w:t>
      </w:r>
      <w:r w:rsidR="00D8612A" w:rsidRPr="001E2BE8">
        <w:t>l.</w:t>
      </w:r>
      <w:r w:rsidR="00E5642F">
        <w:t>,</w:t>
      </w:r>
      <w:r w:rsidR="00D8612A" w:rsidRPr="001E2BE8">
        <w:t xml:space="preserve"> 2006</w:t>
      </w:r>
      <w:r w:rsidR="006F481C" w:rsidRPr="001E2BE8">
        <w:t>)</w:t>
      </w:r>
      <w:r w:rsidRPr="001E2BE8">
        <w:t xml:space="preserve">, </w:t>
      </w:r>
      <w:r w:rsidR="003D509C" w:rsidRPr="009B775B">
        <w:t>gasification of g</w:t>
      </w:r>
      <w:r w:rsidR="00C179A7" w:rsidRPr="009B775B">
        <w:t xml:space="preserve">iant </w:t>
      </w:r>
      <w:r w:rsidR="003D509C" w:rsidRPr="009B775B">
        <w:t>r</w:t>
      </w:r>
      <w:r w:rsidR="00C179A7" w:rsidRPr="009B775B">
        <w:t xml:space="preserve">eed and </w:t>
      </w:r>
      <w:r w:rsidR="003D509C" w:rsidRPr="009B775B">
        <w:t>s</w:t>
      </w:r>
      <w:r w:rsidR="00C179A7" w:rsidRPr="009B775B">
        <w:t xml:space="preserve">weet </w:t>
      </w:r>
      <w:r w:rsidR="003D509C" w:rsidRPr="009B775B">
        <w:t>s</w:t>
      </w:r>
      <w:r w:rsidR="00C179A7" w:rsidRPr="009B775B">
        <w:t xml:space="preserve">orghum </w:t>
      </w:r>
      <w:r w:rsidR="006F481C" w:rsidRPr="001E2BE8">
        <w:t>(</w:t>
      </w:r>
      <w:proofErr w:type="spellStart"/>
      <w:r w:rsidRPr="001E2BE8">
        <w:t>Fryda</w:t>
      </w:r>
      <w:proofErr w:type="spellEnd"/>
      <w:r w:rsidR="00D8612A" w:rsidRPr="009B775B">
        <w:t xml:space="preserve"> et al., 2008</w:t>
      </w:r>
      <w:r w:rsidR="006F481C" w:rsidRPr="009B775B">
        <w:t>).</w:t>
      </w:r>
      <w:r>
        <w:t xml:space="preserve"> </w:t>
      </w:r>
    </w:p>
    <w:p w:rsidR="000B2BE1" w:rsidRDefault="000B2BE1" w:rsidP="000B2BE1">
      <w:pPr>
        <w:pStyle w:val="CETBodytext"/>
      </w:pPr>
      <w:r>
        <w:t xml:space="preserve">The bed agglomeration is very detrimental because leads to plant malfunction with the need of shut-down for maintenance. The agglomeration temperature strongly depends on the fuel characteristics as well as on the chemical composition of the bed material. The combination of straw or giant reed as fuel and quartz sand as </w:t>
      </w:r>
      <w:r w:rsidRPr="00E5642F">
        <w:t xml:space="preserve">bed material gives rise to </w:t>
      </w:r>
      <w:proofErr w:type="spellStart"/>
      <w:r w:rsidRPr="00E5642F">
        <w:t>defluidization</w:t>
      </w:r>
      <w:proofErr w:type="spellEnd"/>
      <w:r w:rsidRPr="00E5642F">
        <w:t xml:space="preserve"> even at temperature of around 800°C </w:t>
      </w:r>
      <w:r w:rsidR="006F481C" w:rsidRPr="00E5642F">
        <w:t>(</w:t>
      </w:r>
      <w:proofErr w:type="spellStart"/>
      <w:r w:rsidRPr="001E2BE8">
        <w:t>Ergundler</w:t>
      </w:r>
      <w:proofErr w:type="spellEnd"/>
      <w:r w:rsidR="006F481C" w:rsidRPr="001E2BE8">
        <w:t xml:space="preserve"> and </w:t>
      </w:r>
      <w:proofErr w:type="spellStart"/>
      <w:r w:rsidR="006F481C" w:rsidRPr="001E2BE8">
        <w:t>Ghaly</w:t>
      </w:r>
      <w:proofErr w:type="spellEnd"/>
      <w:r w:rsidR="006F481C" w:rsidRPr="001E2BE8">
        <w:t xml:space="preserve">, </w:t>
      </w:r>
      <w:r w:rsidRPr="001E2BE8">
        <w:t>1993</w:t>
      </w:r>
      <w:r w:rsidR="006F481C" w:rsidRPr="00E5642F">
        <w:t>)</w:t>
      </w:r>
      <w:r w:rsidRPr="00E5642F">
        <w:t xml:space="preserve">. The utilization of other bed materials, e.g. olivine, alumina </w:t>
      </w:r>
      <w:r w:rsidR="006F481C" w:rsidRPr="00E5642F">
        <w:t>(</w:t>
      </w:r>
      <w:proofErr w:type="spellStart"/>
      <w:r w:rsidRPr="001E2BE8">
        <w:t>Mettanant</w:t>
      </w:r>
      <w:proofErr w:type="spellEnd"/>
      <w:r w:rsidR="006F481C" w:rsidRPr="001E2BE8">
        <w:t xml:space="preserve"> et al.</w:t>
      </w:r>
      <w:r w:rsidR="00E5642F">
        <w:t>,</w:t>
      </w:r>
      <w:r w:rsidR="006F481C" w:rsidRPr="001E2BE8">
        <w:t xml:space="preserve"> </w:t>
      </w:r>
      <w:r w:rsidRPr="001E2BE8">
        <w:t>2009</w:t>
      </w:r>
      <w:r w:rsidR="006F481C" w:rsidRPr="001E2BE8">
        <w:t>)</w:t>
      </w:r>
      <w:r w:rsidRPr="001E2BE8">
        <w:t xml:space="preserve">, </w:t>
      </w:r>
      <w:r w:rsidR="006F481C" w:rsidRPr="00E5642F">
        <w:t>or chromite (</w:t>
      </w:r>
      <w:proofErr w:type="spellStart"/>
      <w:r w:rsidRPr="001E2BE8">
        <w:t>Miccio</w:t>
      </w:r>
      <w:proofErr w:type="spellEnd"/>
      <w:r w:rsidR="006F481C" w:rsidRPr="001E2BE8">
        <w:t xml:space="preserve"> et al.</w:t>
      </w:r>
      <w:r w:rsidR="00E5642F">
        <w:t>,</w:t>
      </w:r>
      <w:r w:rsidR="006F481C" w:rsidRPr="001E2BE8">
        <w:t xml:space="preserve"> </w:t>
      </w:r>
      <w:r w:rsidRPr="001E2BE8">
        <w:t>2014</w:t>
      </w:r>
      <w:r w:rsidR="006F481C" w:rsidRPr="00E5642F">
        <w:t>)</w:t>
      </w:r>
      <w:r w:rsidRPr="00E5642F">
        <w:t>, significantly increases the agglomeration temperature, i.e. in excess of 900 °C.</w:t>
      </w:r>
      <w:r>
        <w:t xml:space="preserve"> </w:t>
      </w:r>
    </w:p>
    <w:p w:rsidR="000B2BE1" w:rsidRDefault="000B2BE1" w:rsidP="000B2BE1">
      <w:pPr>
        <w:pStyle w:val="CETBodytext"/>
      </w:pPr>
      <w:r w:rsidRPr="00E5642F">
        <w:t>It is reported in literature that</w:t>
      </w:r>
      <w:r w:rsidR="008B22E8" w:rsidRPr="00E5642F">
        <w:t xml:space="preserve"> biomass blends (</w:t>
      </w:r>
      <w:proofErr w:type="spellStart"/>
      <w:r w:rsidR="008B22E8" w:rsidRPr="00E5642F">
        <w:t>Surjosatyo</w:t>
      </w:r>
      <w:proofErr w:type="spellEnd"/>
      <w:r w:rsidR="008B22E8" w:rsidRPr="00E5642F">
        <w:t xml:space="preserve"> et al., 2017) or </w:t>
      </w:r>
      <w:r w:rsidRPr="00E5642F">
        <w:t>coal</w:t>
      </w:r>
      <w:r w:rsidR="008B22E8" w:rsidRPr="00E5642F">
        <w:t>-</w:t>
      </w:r>
      <w:r w:rsidRPr="00E5642F">
        <w:t xml:space="preserve">biomass </w:t>
      </w:r>
      <w:r w:rsidR="008B22E8" w:rsidRPr="00E5642F">
        <w:t>mixtures (Svoboda et</w:t>
      </w:r>
      <w:r w:rsidR="008B22E8">
        <w:t xml:space="preserve"> al., 2000) can prevent agglomeration phenomena, because of the </w:t>
      </w:r>
      <w:r>
        <w:t>ash composition</w:t>
      </w:r>
      <w:r w:rsidR="008B22E8">
        <w:t xml:space="preserve"> of the added fuel. </w:t>
      </w:r>
      <w:r>
        <w:t>In fact, kaolinite and derived minerals act as “alkali getters”</w:t>
      </w:r>
      <w:r w:rsidR="00E5642F">
        <w:t>,</w:t>
      </w:r>
      <w:r>
        <w:t xml:space="preserve"> suppressing the agglomeration of fluidized particles </w:t>
      </w:r>
      <w:r w:rsidR="006F481C" w:rsidRPr="00E5642F">
        <w:t>(</w:t>
      </w:r>
      <w:proofErr w:type="spellStart"/>
      <w:r w:rsidRPr="001E2BE8">
        <w:t>Öhman</w:t>
      </w:r>
      <w:proofErr w:type="spellEnd"/>
      <w:r w:rsidRPr="001E2BE8">
        <w:t xml:space="preserve"> M. </w:t>
      </w:r>
      <w:r w:rsidR="006F481C" w:rsidRPr="001E2BE8">
        <w:t>and</w:t>
      </w:r>
      <w:r w:rsidRPr="001E2BE8">
        <w:t xml:space="preserve"> </w:t>
      </w:r>
      <w:proofErr w:type="spellStart"/>
      <w:r w:rsidRPr="001E2BE8">
        <w:t>Nordin</w:t>
      </w:r>
      <w:proofErr w:type="spellEnd"/>
      <w:r w:rsidRPr="001E2BE8">
        <w:t xml:space="preserve"> A., 2000</w:t>
      </w:r>
      <w:r w:rsidR="006F481C" w:rsidRPr="00E5642F">
        <w:t>)</w:t>
      </w:r>
      <w:r w:rsidRPr="00E5642F">
        <w:t xml:space="preserve">, by formation of </w:t>
      </w:r>
      <w:r w:rsidR="00C011BC" w:rsidRPr="00E5642F">
        <w:t>K</w:t>
      </w:r>
      <w:r w:rsidR="00C011BC" w:rsidRPr="00E5642F">
        <w:rPr>
          <w:vertAlign w:val="subscript"/>
        </w:rPr>
        <w:t>2</w:t>
      </w:r>
      <w:r w:rsidR="00C011BC" w:rsidRPr="00E5642F">
        <w:t>O</w:t>
      </w:r>
      <w:r w:rsidRPr="00E5642F">
        <w:t>-SiO</w:t>
      </w:r>
      <w:r w:rsidRPr="00E5642F">
        <w:rPr>
          <w:vertAlign w:val="subscript"/>
        </w:rPr>
        <w:t>2</w:t>
      </w:r>
      <w:r w:rsidRPr="00E5642F">
        <w:t>-Al</w:t>
      </w:r>
      <w:r w:rsidRPr="00E5642F">
        <w:rPr>
          <w:vertAlign w:val="subscript"/>
        </w:rPr>
        <w:t>2</w:t>
      </w:r>
      <w:r w:rsidRPr="00E5642F">
        <w:t>O</w:t>
      </w:r>
      <w:r w:rsidRPr="00E5642F">
        <w:rPr>
          <w:vertAlign w:val="subscript"/>
        </w:rPr>
        <w:t>3</w:t>
      </w:r>
      <w:r w:rsidRPr="00E5642F">
        <w:t xml:space="preserve"> ternary compounds. Concerning the effect</w:t>
      </w:r>
      <w:r>
        <w:t xml:space="preserve"> of </w:t>
      </w:r>
      <w:proofErr w:type="spellStart"/>
      <w:r>
        <w:t>Ca</w:t>
      </w:r>
      <w:proofErr w:type="spellEnd"/>
      <w:r w:rsidR="00E5642F">
        <w:t>,</w:t>
      </w:r>
      <w:r>
        <w:t xml:space="preserve"> also abundant in coal and biomass ashes, the </w:t>
      </w:r>
      <w:proofErr w:type="spellStart"/>
      <w:r>
        <w:t>Ca</w:t>
      </w:r>
      <w:proofErr w:type="spellEnd"/>
      <w:r>
        <w:t>/(</w:t>
      </w:r>
      <w:proofErr w:type="spellStart"/>
      <w:r>
        <w:t>K+Na</w:t>
      </w:r>
      <w:proofErr w:type="spellEnd"/>
      <w:r>
        <w:t xml:space="preserve">) ratio of the fuel was proposed as an useful </w:t>
      </w:r>
      <w:r w:rsidRPr="00E5642F">
        <w:t xml:space="preserve">indicator for predicting the propensity to give rise </w:t>
      </w:r>
      <w:r w:rsidR="00401FB9">
        <w:t xml:space="preserve">to </w:t>
      </w:r>
      <w:r w:rsidRPr="00E5642F">
        <w:t>bed agglomeration</w:t>
      </w:r>
      <w:r w:rsidR="006F481C" w:rsidRPr="00E5642F">
        <w:t xml:space="preserve"> (</w:t>
      </w:r>
      <w:proofErr w:type="spellStart"/>
      <w:r w:rsidR="006F481C" w:rsidRPr="001E2BE8">
        <w:t>Mettanant</w:t>
      </w:r>
      <w:proofErr w:type="spellEnd"/>
      <w:r w:rsidR="006F481C" w:rsidRPr="001E2BE8">
        <w:t xml:space="preserve"> et al.</w:t>
      </w:r>
      <w:r w:rsidR="00E5642F" w:rsidRPr="001E2BE8">
        <w:t>,</w:t>
      </w:r>
      <w:r w:rsidR="006F481C" w:rsidRPr="001E2BE8">
        <w:t xml:space="preserve"> 2009), </w:t>
      </w:r>
      <w:r w:rsidRPr="00E5642F">
        <w:t>a higher value</w:t>
      </w:r>
      <w:r>
        <w:t xml:space="preserve"> reducing the probability of this event. During gasification</w:t>
      </w:r>
      <w:r w:rsidR="00E5642F">
        <w:t>,</w:t>
      </w:r>
      <w:r>
        <w:t xml:space="preserve"> the higher temperature needed for improving the reaction kinetics and the lower equivalence ratio are both critical factors in order to increase the probability of bed agglomeration and </w:t>
      </w:r>
      <w:proofErr w:type="spellStart"/>
      <w:r>
        <w:t>defluidization</w:t>
      </w:r>
      <w:proofErr w:type="spellEnd"/>
      <w:r>
        <w:t xml:space="preserve">. </w:t>
      </w:r>
    </w:p>
    <w:p w:rsidR="000B2BE1" w:rsidRDefault="000B2BE1" w:rsidP="000B2BE1">
      <w:pPr>
        <w:pStyle w:val="CETBodytext"/>
      </w:pPr>
      <w:r>
        <w:t>In this regard, the present article reports insights into detecting</w:t>
      </w:r>
      <w:r w:rsidR="00D204D6">
        <w:t>,</w:t>
      </w:r>
      <w:r>
        <w:t xml:space="preserve"> understanding </w:t>
      </w:r>
      <w:r w:rsidR="00D204D6">
        <w:t xml:space="preserve">and contrasting </w:t>
      </w:r>
      <w:r>
        <w:t xml:space="preserve">agglomeration phenomena during </w:t>
      </w:r>
      <w:r w:rsidRPr="000A06C4">
        <w:t xml:space="preserve">fluidized bed </w:t>
      </w:r>
      <w:r>
        <w:t xml:space="preserve">process </w:t>
      </w:r>
      <w:r w:rsidRPr="000A06C4">
        <w:t>of biomass fuels</w:t>
      </w:r>
      <w:r>
        <w:t xml:space="preserve">, with particular focus on gasification. The results of experiments carried out in a small scale fluidized bed </w:t>
      </w:r>
      <w:proofErr w:type="spellStart"/>
      <w:r>
        <w:t>gasifier</w:t>
      </w:r>
      <w:proofErr w:type="spellEnd"/>
      <w:r>
        <w:t xml:space="preserve"> and complemented with laboratory deepening are presented and discussed in the article.  </w:t>
      </w:r>
    </w:p>
    <w:p w:rsidR="000B2BE1" w:rsidRPr="00492F56" w:rsidRDefault="000B2BE1" w:rsidP="000B2BE1">
      <w:pPr>
        <w:pStyle w:val="CETHeading1"/>
        <w:tabs>
          <w:tab w:val="clear" w:pos="360"/>
          <w:tab w:val="right" w:pos="7100"/>
        </w:tabs>
        <w:jc w:val="both"/>
      </w:pPr>
      <w:r w:rsidRPr="00492F56">
        <w:lastRenderedPageBreak/>
        <w:t>Experimental description</w:t>
      </w:r>
    </w:p>
    <w:p w:rsidR="000D0DD4" w:rsidRPr="00492F56" w:rsidRDefault="000D0DD4" w:rsidP="000D0DD4">
      <w:pPr>
        <w:pStyle w:val="CETheadingx"/>
      </w:pPr>
      <w:r>
        <w:t>Biomass</w:t>
      </w:r>
    </w:p>
    <w:p w:rsidR="000D0DD4" w:rsidRPr="0058594E" w:rsidRDefault="000D0DD4" w:rsidP="000D0DD4">
      <w:pPr>
        <w:pStyle w:val="CETBodytext"/>
      </w:pPr>
      <w:r>
        <w:t>An</w:t>
      </w:r>
      <w:r w:rsidRPr="00B415B2">
        <w:t xml:space="preserve"> agro-industrial residual biomass w</w:t>
      </w:r>
      <w:r>
        <w:t xml:space="preserve">as </w:t>
      </w:r>
      <w:r w:rsidRPr="00B415B2">
        <w:t>considered</w:t>
      </w:r>
      <w:r>
        <w:t xml:space="preserve"> for this study, namely</w:t>
      </w:r>
      <w:r w:rsidRPr="00B415B2">
        <w:t xml:space="preserve"> olive husk (OH)</w:t>
      </w:r>
      <w:r>
        <w:t>,</w:t>
      </w:r>
      <w:r w:rsidRPr="00B415B2">
        <w:t xml:space="preserve"> </w:t>
      </w:r>
      <w:r>
        <w:t xml:space="preserve">produced </w:t>
      </w:r>
      <w:r w:rsidRPr="00B415B2">
        <w:t xml:space="preserve">in </w:t>
      </w:r>
      <w:r w:rsidRPr="00D555CC">
        <w:t xml:space="preserve">the south of Italy during the olive oil extraction. Before use, the biomass was oven dried and grinded in a cutting mill equipped with a 2 mm sieve (Fritsch </w:t>
      </w:r>
      <w:proofErr w:type="spellStart"/>
      <w:r w:rsidRPr="00D555CC">
        <w:t>Pulverisette</w:t>
      </w:r>
      <w:proofErr w:type="spellEnd"/>
      <w:r w:rsidRPr="00D555CC">
        <w:t xml:space="preserve"> 15). The residual moisture content was around 6% wt. The milled samples were alternatively pelletized (6 mm diameter and 20-30 mm length) or sieved in 1.0-2.0 mm size fraction. The main properties </w:t>
      </w:r>
      <w:r>
        <w:t xml:space="preserve">of OH </w:t>
      </w:r>
      <w:r w:rsidRPr="00D555CC">
        <w:t>are reported in Tab</w:t>
      </w:r>
      <w:r w:rsidR="00D97102">
        <w:t>le</w:t>
      </w:r>
      <w:r w:rsidRPr="00D555CC">
        <w:t xml:space="preserve"> 1</w:t>
      </w:r>
      <w:r>
        <w:t xml:space="preserve">, along with those of a German </w:t>
      </w:r>
      <w:r w:rsidRPr="007B71A8">
        <w:t xml:space="preserve">brown coal </w:t>
      </w:r>
      <w:r>
        <w:t>(BC)</w:t>
      </w:r>
      <w:r w:rsidRPr="007B71A8">
        <w:t xml:space="preserve"> that was added for preparation of </w:t>
      </w:r>
      <w:r>
        <w:t xml:space="preserve">some </w:t>
      </w:r>
      <w:r w:rsidRPr="007B71A8">
        <w:t>pellet batch</w:t>
      </w:r>
      <w:r>
        <w:t>es</w:t>
      </w:r>
      <w:r w:rsidRPr="007B71A8">
        <w:t>.</w:t>
      </w:r>
      <w:r>
        <w:t xml:space="preserve"> Three different formulations were adopted: 100%, </w:t>
      </w:r>
      <w:r w:rsidRPr="00A26A6A">
        <w:t>70% and 50% wt. in olive husk.</w:t>
      </w:r>
      <w:r w:rsidR="00D204D6" w:rsidRPr="00A26A6A">
        <w:t xml:space="preserve"> </w:t>
      </w:r>
      <w:r w:rsidRPr="00A26A6A">
        <w:t>The alkali (</w:t>
      </w:r>
      <w:proofErr w:type="spellStart"/>
      <w:r w:rsidRPr="00A26A6A">
        <w:t>K+Na</w:t>
      </w:r>
      <w:proofErr w:type="spellEnd"/>
      <w:r w:rsidRPr="00A26A6A">
        <w:t xml:space="preserve">) content determined by ICP in OH ash </w:t>
      </w:r>
      <w:r w:rsidR="00D97102">
        <w:t>wa</w:t>
      </w:r>
      <w:r w:rsidRPr="00A26A6A">
        <w:t>s around 36% wt.,</w:t>
      </w:r>
      <w:r>
        <w:t xml:space="preserve"> whilst it is less than 10% wt. for BC. The </w:t>
      </w:r>
      <w:proofErr w:type="spellStart"/>
      <w:r>
        <w:t>Ca</w:t>
      </w:r>
      <w:proofErr w:type="spellEnd"/>
      <w:r>
        <w:t>/</w:t>
      </w:r>
      <w:r w:rsidRPr="0058594E">
        <w:t>(</w:t>
      </w:r>
      <w:proofErr w:type="spellStart"/>
      <w:r>
        <w:t>K+Na</w:t>
      </w:r>
      <w:proofErr w:type="spellEnd"/>
      <w:r>
        <w:t>) ratio is equal to 6.95 and 0.35 for OH and BC, respectively.</w:t>
      </w:r>
    </w:p>
    <w:p w:rsidR="000D0DD4" w:rsidRPr="00B415B2" w:rsidRDefault="000D0DD4" w:rsidP="000D0DD4">
      <w:pPr>
        <w:pStyle w:val="CET-table-title"/>
      </w:pPr>
      <w:r w:rsidRPr="007E18B1">
        <w:t xml:space="preserve">Table 1: </w:t>
      </w:r>
      <w:r w:rsidR="00D97102">
        <w:t>P</w:t>
      </w:r>
      <w:r w:rsidRPr="007E18B1">
        <w:t>hysical and chemical properties of the fuel</w:t>
      </w:r>
      <w:r>
        <w:t>s</w:t>
      </w:r>
      <w:r w:rsidRPr="007E18B1">
        <w:t xml:space="preserve"> on dry basis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276"/>
        <w:gridCol w:w="1134"/>
        <w:gridCol w:w="992"/>
        <w:gridCol w:w="284"/>
        <w:gridCol w:w="531"/>
        <w:gridCol w:w="567"/>
        <w:gridCol w:w="567"/>
        <w:gridCol w:w="567"/>
        <w:gridCol w:w="567"/>
        <w:gridCol w:w="567"/>
        <w:gridCol w:w="567"/>
        <w:gridCol w:w="567"/>
      </w:tblGrid>
      <w:tr w:rsidR="000D0DD4" w:rsidRPr="00492F56" w:rsidTr="00B112A3">
        <w:tc>
          <w:tcPr>
            <w:tcW w:w="1276" w:type="dxa"/>
            <w:tcBorders>
              <w:top w:val="single" w:sz="12" w:space="0" w:color="008000"/>
              <w:bottom w:val="single" w:sz="6" w:space="0" w:color="008000"/>
            </w:tcBorders>
            <w:shd w:val="clear" w:color="auto" w:fill="FFFFFF"/>
          </w:tcPr>
          <w:p w:rsidR="000D0DD4" w:rsidRPr="00492F56" w:rsidRDefault="000D0DD4" w:rsidP="00B112A3">
            <w:pPr>
              <w:pStyle w:val="CETBodytext"/>
            </w:pPr>
            <w:r w:rsidRPr="00492F56">
              <w:t xml:space="preserve"> </w:t>
            </w:r>
          </w:p>
        </w:tc>
        <w:tc>
          <w:tcPr>
            <w:tcW w:w="1134" w:type="dxa"/>
            <w:tcBorders>
              <w:top w:val="single" w:sz="12" w:space="0" w:color="008000"/>
              <w:bottom w:val="single" w:sz="6" w:space="0" w:color="008000"/>
            </w:tcBorders>
            <w:shd w:val="clear" w:color="auto" w:fill="FFFFFF"/>
          </w:tcPr>
          <w:p w:rsidR="000D0DD4" w:rsidRPr="00492F56" w:rsidRDefault="000D0DD4" w:rsidP="00B112A3">
            <w:pPr>
              <w:pStyle w:val="CETBodytext"/>
            </w:pPr>
            <w:r w:rsidRPr="00492F56">
              <w:t>Particle size</w:t>
            </w:r>
          </w:p>
          <w:p w:rsidR="000D0DD4" w:rsidRPr="00492F56" w:rsidRDefault="000D0DD4" w:rsidP="00B112A3">
            <w:pPr>
              <w:pStyle w:val="CETBodytext"/>
            </w:pPr>
            <w:r w:rsidRPr="00492F56">
              <w:t xml:space="preserve">mm </w:t>
            </w:r>
          </w:p>
        </w:tc>
        <w:tc>
          <w:tcPr>
            <w:tcW w:w="992" w:type="dxa"/>
            <w:tcBorders>
              <w:top w:val="single" w:sz="12" w:space="0" w:color="008000"/>
              <w:bottom w:val="single" w:sz="6" w:space="0" w:color="008000"/>
            </w:tcBorders>
            <w:shd w:val="clear" w:color="auto" w:fill="FFFFFF"/>
          </w:tcPr>
          <w:p w:rsidR="000D0DD4" w:rsidRPr="00492F56" w:rsidRDefault="000D0DD4" w:rsidP="00B112A3">
            <w:pPr>
              <w:pStyle w:val="CETBodytext"/>
            </w:pPr>
            <w:r w:rsidRPr="00492F56">
              <w:t>density</w:t>
            </w:r>
          </w:p>
          <w:p w:rsidR="000D0DD4" w:rsidRPr="00492F56" w:rsidRDefault="000D0DD4" w:rsidP="00B112A3">
            <w:pPr>
              <w:pStyle w:val="CETBodytext"/>
            </w:pPr>
            <w:r w:rsidRPr="00492F56">
              <w:t>g/mL</w:t>
            </w:r>
          </w:p>
        </w:tc>
        <w:tc>
          <w:tcPr>
            <w:tcW w:w="284" w:type="dxa"/>
            <w:tcBorders>
              <w:top w:val="single" w:sz="12" w:space="0" w:color="008000"/>
              <w:bottom w:val="single" w:sz="6" w:space="0" w:color="008000"/>
            </w:tcBorders>
            <w:shd w:val="clear" w:color="auto" w:fill="FFFFFF"/>
          </w:tcPr>
          <w:p w:rsidR="000D0DD4" w:rsidRPr="00492F56" w:rsidRDefault="000D0DD4" w:rsidP="00B112A3">
            <w:pPr>
              <w:pStyle w:val="CETBodytext"/>
              <w:ind w:right="-1"/>
              <w:rPr>
                <w:rFonts w:cs="Arial"/>
                <w:szCs w:val="18"/>
              </w:rPr>
            </w:pPr>
          </w:p>
        </w:tc>
        <w:tc>
          <w:tcPr>
            <w:tcW w:w="531" w:type="dxa"/>
            <w:tcBorders>
              <w:top w:val="single" w:sz="12" w:space="0" w:color="008000"/>
              <w:bottom w:val="single" w:sz="6" w:space="0" w:color="008000"/>
            </w:tcBorders>
            <w:shd w:val="clear" w:color="auto" w:fill="FFFFFF"/>
          </w:tcPr>
          <w:p w:rsidR="000D0DD4" w:rsidRPr="00492F56" w:rsidRDefault="000D0DD4" w:rsidP="00B112A3">
            <w:pPr>
              <w:pStyle w:val="CETBodytext"/>
              <w:ind w:right="-1"/>
              <w:rPr>
                <w:rFonts w:cs="Arial"/>
                <w:szCs w:val="18"/>
              </w:rPr>
            </w:pPr>
            <w:r w:rsidRPr="00492F56">
              <w:rPr>
                <w:rFonts w:cs="Arial"/>
                <w:szCs w:val="18"/>
              </w:rPr>
              <w:t>C</w:t>
            </w:r>
          </w:p>
          <w:p w:rsidR="000D0DD4" w:rsidRPr="00492F56" w:rsidRDefault="000D0DD4" w:rsidP="00B112A3">
            <w:pPr>
              <w:pStyle w:val="CETBodytext"/>
              <w:ind w:right="-1"/>
              <w:rPr>
                <w:rFonts w:cs="Arial"/>
                <w:szCs w:val="18"/>
              </w:rPr>
            </w:pPr>
            <w:r w:rsidRPr="00492F56">
              <w:rPr>
                <w:rFonts w:cs="Arial"/>
                <w:szCs w:val="18"/>
              </w:rPr>
              <w:t>%</w:t>
            </w:r>
          </w:p>
        </w:tc>
        <w:tc>
          <w:tcPr>
            <w:tcW w:w="567" w:type="dxa"/>
            <w:tcBorders>
              <w:top w:val="single" w:sz="12" w:space="0" w:color="008000"/>
              <w:bottom w:val="single" w:sz="6" w:space="0" w:color="008000"/>
            </w:tcBorders>
            <w:shd w:val="clear" w:color="auto" w:fill="FFFFFF"/>
          </w:tcPr>
          <w:p w:rsidR="000D0DD4" w:rsidRPr="00492F56" w:rsidRDefault="000D0DD4" w:rsidP="00B112A3">
            <w:pPr>
              <w:pStyle w:val="CETBodytext"/>
              <w:ind w:right="-1"/>
              <w:rPr>
                <w:rFonts w:cs="Arial"/>
                <w:szCs w:val="18"/>
              </w:rPr>
            </w:pPr>
            <w:r w:rsidRPr="00492F56">
              <w:rPr>
                <w:rFonts w:cs="Arial"/>
                <w:szCs w:val="18"/>
              </w:rPr>
              <w:t>H</w:t>
            </w:r>
          </w:p>
          <w:p w:rsidR="000D0DD4" w:rsidRPr="00492F56" w:rsidRDefault="000D0DD4" w:rsidP="00B112A3">
            <w:pPr>
              <w:pStyle w:val="CETBodytext"/>
              <w:ind w:right="-1"/>
              <w:rPr>
                <w:rFonts w:cs="Arial"/>
                <w:szCs w:val="18"/>
              </w:rPr>
            </w:pPr>
            <w:r w:rsidRPr="00492F56">
              <w:rPr>
                <w:rFonts w:cs="Arial"/>
                <w:szCs w:val="18"/>
              </w:rPr>
              <w:t>%</w:t>
            </w:r>
          </w:p>
        </w:tc>
        <w:tc>
          <w:tcPr>
            <w:tcW w:w="567" w:type="dxa"/>
            <w:tcBorders>
              <w:top w:val="single" w:sz="12" w:space="0" w:color="008000"/>
              <w:bottom w:val="single" w:sz="6" w:space="0" w:color="008000"/>
            </w:tcBorders>
            <w:shd w:val="clear" w:color="auto" w:fill="FFFFFF"/>
          </w:tcPr>
          <w:p w:rsidR="000D0DD4" w:rsidRPr="00492F56" w:rsidRDefault="000D0DD4" w:rsidP="00B112A3">
            <w:pPr>
              <w:pStyle w:val="CETBodytext"/>
              <w:ind w:right="-1"/>
              <w:rPr>
                <w:rFonts w:cs="Arial"/>
                <w:szCs w:val="18"/>
              </w:rPr>
            </w:pPr>
            <w:r w:rsidRPr="00492F56">
              <w:rPr>
                <w:rFonts w:cs="Arial"/>
                <w:szCs w:val="18"/>
              </w:rPr>
              <w:t>N</w:t>
            </w:r>
          </w:p>
          <w:p w:rsidR="000D0DD4" w:rsidRPr="00492F56" w:rsidRDefault="000D0DD4" w:rsidP="00B112A3">
            <w:pPr>
              <w:pStyle w:val="CETBodytext"/>
              <w:ind w:right="-1"/>
              <w:rPr>
                <w:rFonts w:cs="Arial"/>
                <w:szCs w:val="18"/>
              </w:rPr>
            </w:pPr>
            <w:r w:rsidRPr="00492F56">
              <w:rPr>
                <w:rFonts w:cs="Arial"/>
                <w:szCs w:val="18"/>
              </w:rPr>
              <w:t>%</w:t>
            </w:r>
          </w:p>
        </w:tc>
        <w:tc>
          <w:tcPr>
            <w:tcW w:w="567" w:type="dxa"/>
            <w:tcBorders>
              <w:top w:val="single" w:sz="12" w:space="0" w:color="008000"/>
              <w:bottom w:val="single" w:sz="6" w:space="0" w:color="008000"/>
            </w:tcBorders>
            <w:shd w:val="clear" w:color="auto" w:fill="FFFFFF"/>
          </w:tcPr>
          <w:p w:rsidR="000D0DD4" w:rsidRPr="00492F56" w:rsidRDefault="000D0DD4" w:rsidP="00B112A3">
            <w:pPr>
              <w:pStyle w:val="CETBodytext"/>
              <w:ind w:right="-1"/>
              <w:rPr>
                <w:rFonts w:cs="Arial"/>
                <w:szCs w:val="18"/>
              </w:rPr>
            </w:pPr>
            <w:r w:rsidRPr="00492F56">
              <w:rPr>
                <w:rFonts w:cs="Arial"/>
                <w:szCs w:val="18"/>
              </w:rPr>
              <w:t>O</w:t>
            </w:r>
          </w:p>
          <w:p w:rsidR="000D0DD4" w:rsidRPr="00492F56" w:rsidRDefault="000D0DD4" w:rsidP="00B112A3">
            <w:pPr>
              <w:pStyle w:val="CETBodytext"/>
              <w:ind w:right="-1"/>
              <w:rPr>
                <w:rFonts w:cs="Arial"/>
                <w:szCs w:val="18"/>
              </w:rPr>
            </w:pPr>
            <w:r w:rsidRPr="00492F56">
              <w:rPr>
                <w:rFonts w:cs="Arial"/>
                <w:szCs w:val="18"/>
              </w:rPr>
              <w:t>%</w:t>
            </w:r>
          </w:p>
        </w:tc>
        <w:tc>
          <w:tcPr>
            <w:tcW w:w="567" w:type="dxa"/>
            <w:tcBorders>
              <w:top w:val="single" w:sz="12" w:space="0" w:color="008000"/>
              <w:bottom w:val="single" w:sz="6" w:space="0" w:color="008000"/>
            </w:tcBorders>
            <w:shd w:val="clear" w:color="auto" w:fill="FFFFFF"/>
          </w:tcPr>
          <w:p w:rsidR="000D0DD4" w:rsidRPr="00492F56" w:rsidRDefault="000D0DD4" w:rsidP="00B112A3">
            <w:pPr>
              <w:pStyle w:val="CETBodytext"/>
              <w:ind w:right="-1"/>
              <w:rPr>
                <w:rFonts w:cs="Arial"/>
                <w:szCs w:val="18"/>
              </w:rPr>
            </w:pPr>
            <w:r w:rsidRPr="00492F56">
              <w:rPr>
                <w:rFonts w:cs="Arial"/>
                <w:szCs w:val="18"/>
              </w:rPr>
              <w:t>Char</w:t>
            </w:r>
          </w:p>
          <w:p w:rsidR="000D0DD4" w:rsidRPr="00492F56" w:rsidRDefault="000D0DD4" w:rsidP="00B112A3">
            <w:pPr>
              <w:pStyle w:val="CETBodytext"/>
              <w:ind w:right="-1"/>
              <w:rPr>
                <w:rFonts w:cs="Arial"/>
                <w:szCs w:val="18"/>
              </w:rPr>
            </w:pPr>
            <w:r w:rsidRPr="00492F56">
              <w:rPr>
                <w:rFonts w:cs="Arial"/>
                <w:szCs w:val="18"/>
              </w:rPr>
              <w:t>%</w:t>
            </w:r>
          </w:p>
        </w:tc>
        <w:tc>
          <w:tcPr>
            <w:tcW w:w="567" w:type="dxa"/>
            <w:tcBorders>
              <w:top w:val="single" w:sz="12" w:space="0" w:color="008000"/>
              <w:bottom w:val="single" w:sz="6" w:space="0" w:color="008000"/>
            </w:tcBorders>
            <w:shd w:val="clear" w:color="auto" w:fill="FFFFFF"/>
          </w:tcPr>
          <w:p w:rsidR="000D0DD4" w:rsidRPr="00492F56" w:rsidRDefault="000D0DD4" w:rsidP="00B112A3">
            <w:pPr>
              <w:pStyle w:val="CETBodytext"/>
              <w:ind w:right="-1"/>
              <w:rPr>
                <w:rFonts w:cs="Arial"/>
                <w:szCs w:val="18"/>
              </w:rPr>
            </w:pPr>
            <w:r w:rsidRPr="00492F56">
              <w:rPr>
                <w:rFonts w:cs="Arial"/>
                <w:szCs w:val="18"/>
              </w:rPr>
              <w:t>Vol.</w:t>
            </w:r>
          </w:p>
          <w:p w:rsidR="000D0DD4" w:rsidRPr="00492F56" w:rsidRDefault="000D0DD4" w:rsidP="00B112A3">
            <w:pPr>
              <w:pStyle w:val="CETBodytext"/>
              <w:ind w:right="-1"/>
              <w:rPr>
                <w:rFonts w:cs="Arial"/>
                <w:szCs w:val="18"/>
              </w:rPr>
            </w:pPr>
            <w:r w:rsidRPr="00492F56">
              <w:rPr>
                <w:rFonts w:cs="Arial"/>
                <w:szCs w:val="18"/>
              </w:rPr>
              <w:t>%</w:t>
            </w:r>
          </w:p>
        </w:tc>
        <w:tc>
          <w:tcPr>
            <w:tcW w:w="567" w:type="dxa"/>
            <w:tcBorders>
              <w:top w:val="single" w:sz="12" w:space="0" w:color="008000"/>
              <w:bottom w:val="single" w:sz="6" w:space="0" w:color="008000"/>
            </w:tcBorders>
            <w:shd w:val="clear" w:color="auto" w:fill="FFFFFF"/>
          </w:tcPr>
          <w:p w:rsidR="000D0DD4" w:rsidRPr="00492F56" w:rsidRDefault="000D0DD4" w:rsidP="00B112A3">
            <w:pPr>
              <w:pStyle w:val="CETBodytext"/>
              <w:ind w:right="-1"/>
              <w:rPr>
                <w:rFonts w:cs="Arial"/>
                <w:szCs w:val="18"/>
              </w:rPr>
            </w:pPr>
            <w:r w:rsidRPr="00492F56">
              <w:rPr>
                <w:rFonts w:cs="Arial"/>
                <w:szCs w:val="18"/>
              </w:rPr>
              <w:t>Ash</w:t>
            </w:r>
          </w:p>
          <w:p w:rsidR="000D0DD4" w:rsidRPr="00492F56" w:rsidRDefault="000D0DD4" w:rsidP="00B112A3">
            <w:pPr>
              <w:pStyle w:val="CETBodytext"/>
              <w:ind w:right="-1"/>
              <w:rPr>
                <w:rFonts w:cs="Arial"/>
                <w:szCs w:val="18"/>
              </w:rPr>
            </w:pPr>
            <w:r w:rsidRPr="00492F56">
              <w:rPr>
                <w:rFonts w:cs="Arial"/>
                <w:szCs w:val="18"/>
              </w:rPr>
              <w:t>%</w:t>
            </w:r>
          </w:p>
        </w:tc>
        <w:tc>
          <w:tcPr>
            <w:tcW w:w="567" w:type="dxa"/>
            <w:tcBorders>
              <w:top w:val="single" w:sz="12" w:space="0" w:color="008000"/>
              <w:bottom w:val="single" w:sz="6" w:space="0" w:color="008000"/>
            </w:tcBorders>
            <w:shd w:val="clear" w:color="auto" w:fill="FFFFFF"/>
          </w:tcPr>
          <w:p w:rsidR="000D0DD4" w:rsidRPr="00492F56" w:rsidRDefault="000D0DD4" w:rsidP="00B112A3">
            <w:pPr>
              <w:pStyle w:val="CETBodytext"/>
              <w:ind w:right="-1"/>
              <w:rPr>
                <w:rFonts w:cs="Arial"/>
                <w:szCs w:val="18"/>
              </w:rPr>
            </w:pPr>
            <w:r w:rsidRPr="00492F56">
              <w:rPr>
                <w:rFonts w:cs="Arial"/>
                <w:szCs w:val="18"/>
              </w:rPr>
              <w:t>LHV</w:t>
            </w:r>
          </w:p>
          <w:p w:rsidR="000D0DD4" w:rsidRPr="00492F56" w:rsidRDefault="000D0DD4" w:rsidP="00B112A3">
            <w:pPr>
              <w:pStyle w:val="CETBodytext"/>
              <w:ind w:right="-1"/>
              <w:rPr>
                <w:rFonts w:cs="Arial"/>
                <w:szCs w:val="18"/>
              </w:rPr>
            </w:pPr>
            <w:r w:rsidRPr="00492F56">
              <w:rPr>
                <w:rFonts w:cs="Arial"/>
                <w:szCs w:val="18"/>
              </w:rPr>
              <w:t>MJ/kg</w:t>
            </w:r>
          </w:p>
        </w:tc>
      </w:tr>
      <w:tr w:rsidR="000D0DD4" w:rsidRPr="007E18B1" w:rsidTr="00B112A3">
        <w:tc>
          <w:tcPr>
            <w:tcW w:w="1276" w:type="dxa"/>
            <w:shd w:val="clear" w:color="auto" w:fill="FFFFFF"/>
          </w:tcPr>
          <w:p w:rsidR="000D0DD4" w:rsidRPr="007E18B1" w:rsidRDefault="000D0DD4" w:rsidP="00B112A3">
            <w:pPr>
              <w:pStyle w:val="CETBodytext"/>
            </w:pPr>
            <w:r w:rsidRPr="007E18B1">
              <w:t>Olive Husk</w:t>
            </w:r>
          </w:p>
        </w:tc>
        <w:tc>
          <w:tcPr>
            <w:tcW w:w="1134" w:type="dxa"/>
            <w:shd w:val="clear" w:color="auto" w:fill="FFFFFF"/>
          </w:tcPr>
          <w:p w:rsidR="000D0DD4" w:rsidRPr="007E18B1" w:rsidRDefault="000D0DD4" w:rsidP="00B112A3">
            <w:pPr>
              <w:pStyle w:val="CETBodytext"/>
            </w:pPr>
            <w:r w:rsidRPr="007E18B1">
              <w:t>1.0-2.0</w:t>
            </w:r>
          </w:p>
        </w:tc>
        <w:tc>
          <w:tcPr>
            <w:tcW w:w="992" w:type="dxa"/>
            <w:shd w:val="clear" w:color="auto" w:fill="FFFFFF"/>
          </w:tcPr>
          <w:p w:rsidR="000D0DD4" w:rsidRPr="007E18B1" w:rsidRDefault="000D0DD4" w:rsidP="00B112A3">
            <w:pPr>
              <w:pStyle w:val="CETBodytext"/>
            </w:pPr>
            <w:r w:rsidRPr="007E18B1">
              <w:t>1.35</w:t>
            </w:r>
          </w:p>
        </w:tc>
        <w:tc>
          <w:tcPr>
            <w:tcW w:w="284" w:type="dxa"/>
            <w:shd w:val="clear" w:color="auto" w:fill="FFFFFF"/>
          </w:tcPr>
          <w:p w:rsidR="000D0DD4" w:rsidRPr="007E18B1" w:rsidRDefault="000D0DD4" w:rsidP="00B112A3">
            <w:pPr>
              <w:pStyle w:val="CETBodytext"/>
              <w:ind w:right="-1"/>
              <w:rPr>
                <w:rFonts w:cs="Arial"/>
                <w:szCs w:val="18"/>
              </w:rPr>
            </w:pPr>
          </w:p>
        </w:tc>
        <w:tc>
          <w:tcPr>
            <w:tcW w:w="531" w:type="dxa"/>
            <w:shd w:val="clear" w:color="auto" w:fill="FFFFFF"/>
          </w:tcPr>
          <w:p w:rsidR="000D0DD4" w:rsidRPr="007E18B1" w:rsidRDefault="000D0DD4" w:rsidP="00B112A3">
            <w:pPr>
              <w:pStyle w:val="CETBodytext"/>
              <w:ind w:right="-1"/>
              <w:rPr>
                <w:rFonts w:cs="Arial"/>
                <w:szCs w:val="18"/>
              </w:rPr>
            </w:pPr>
            <w:r w:rsidRPr="007E18B1">
              <w:rPr>
                <w:rFonts w:cs="Arial"/>
                <w:szCs w:val="18"/>
              </w:rPr>
              <w:t>54.4</w:t>
            </w:r>
          </w:p>
        </w:tc>
        <w:tc>
          <w:tcPr>
            <w:tcW w:w="567" w:type="dxa"/>
            <w:shd w:val="clear" w:color="auto" w:fill="FFFFFF"/>
          </w:tcPr>
          <w:p w:rsidR="000D0DD4" w:rsidRPr="007E18B1" w:rsidRDefault="000D0DD4" w:rsidP="00B112A3">
            <w:pPr>
              <w:pStyle w:val="CETBodytext"/>
              <w:ind w:right="-1"/>
              <w:rPr>
                <w:rFonts w:cs="Arial"/>
                <w:szCs w:val="18"/>
              </w:rPr>
            </w:pPr>
            <w:r w:rsidRPr="007E18B1">
              <w:rPr>
                <w:rFonts w:cs="Arial"/>
                <w:szCs w:val="18"/>
              </w:rPr>
              <w:t>6.8</w:t>
            </w:r>
          </w:p>
        </w:tc>
        <w:tc>
          <w:tcPr>
            <w:tcW w:w="567" w:type="dxa"/>
            <w:shd w:val="clear" w:color="auto" w:fill="FFFFFF"/>
          </w:tcPr>
          <w:p w:rsidR="000D0DD4" w:rsidRPr="007E18B1" w:rsidRDefault="000D0DD4" w:rsidP="00B112A3">
            <w:pPr>
              <w:pStyle w:val="CETBodytext"/>
              <w:ind w:right="-1"/>
              <w:rPr>
                <w:rFonts w:cs="Arial"/>
                <w:szCs w:val="18"/>
              </w:rPr>
            </w:pPr>
            <w:r w:rsidRPr="007E18B1">
              <w:rPr>
                <w:rFonts w:cs="Arial"/>
                <w:szCs w:val="18"/>
              </w:rPr>
              <w:t>0.8</w:t>
            </w:r>
          </w:p>
        </w:tc>
        <w:tc>
          <w:tcPr>
            <w:tcW w:w="567" w:type="dxa"/>
            <w:shd w:val="clear" w:color="auto" w:fill="FFFFFF"/>
          </w:tcPr>
          <w:p w:rsidR="000D0DD4" w:rsidRPr="007E18B1" w:rsidRDefault="000D0DD4" w:rsidP="00B112A3">
            <w:pPr>
              <w:pStyle w:val="CETBodytext"/>
              <w:ind w:right="-1"/>
              <w:rPr>
                <w:rFonts w:cs="Arial"/>
                <w:szCs w:val="18"/>
              </w:rPr>
            </w:pPr>
            <w:r w:rsidRPr="007E18B1">
              <w:rPr>
                <w:rFonts w:cs="Arial"/>
                <w:szCs w:val="18"/>
              </w:rPr>
              <w:t>35.3</w:t>
            </w:r>
          </w:p>
        </w:tc>
        <w:tc>
          <w:tcPr>
            <w:tcW w:w="567" w:type="dxa"/>
            <w:shd w:val="clear" w:color="auto" w:fill="FFFFFF"/>
          </w:tcPr>
          <w:p w:rsidR="000D0DD4" w:rsidRPr="007E18B1" w:rsidRDefault="000D0DD4" w:rsidP="00B112A3">
            <w:pPr>
              <w:pStyle w:val="CETBodytext"/>
              <w:ind w:right="-1"/>
              <w:rPr>
                <w:rFonts w:cs="Arial"/>
                <w:szCs w:val="18"/>
              </w:rPr>
            </w:pPr>
            <w:r w:rsidRPr="007E18B1">
              <w:rPr>
                <w:rFonts w:cs="Arial"/>
                <w:szCs w:val="18"/>
              </w:rPr>
              <w:t>18.9</w:t>
            </w:r>
          </w:p>
        </w:tc>
        <w:tc>
          <w:tcPr>
            <w:tcW w:w="567" w:type="dxa"/>
            <w:shd w:val="clear" w:color="auto" w:fill="FFFFFF"/>
          </w:tcPr>
          <w:p w:rsidR="000D0DD4" w:rsidRPr="007E18B1" w:rsidRDefault="000D0DD4" w:rsidP="00B112A3">
            <w:pPr>
              <w:pStyle w:val="CETBodytext"/>
              <w:ind w:right="-1"/>
              <w:rPr>
                <w:rFonts w:cs="Arial"/>
                <w:szCs w:val="18"/>
              </w:rPr>
            </w:pPr>
            <w:r w:rsidRPr="007E18B1">
              <w:rPr>
                <w:rFonts w:cs="Arial"/>
                <w:szCs w:val="18"/>
              </w:rPr>
              <w:t>78.4</w:t>
            </w:r>
          </w:p>
        </w:tc>
        <w:tc>
          <w:tcPr>
            <w:tcW w:w="567" w:type="dxa"/>
            <w:shd w:val="clear" w:color="auto" w:fill="FFFFFF"/>
          </w:tcPr>
          <w:p w:rsidR="000D0DD4" w:rsidRPr="007E18B1" w:rsidRDefault="000D0DD4" w:rsidP="00B112A3">
            <w:pPr>
              <w:pStyle w:val="CETBodytext"/>
              <w:ind w:right="-1"/>
              <w:rPr>
                <w:rFonts w:cs="Arial"/>
                <w:szCs w:val="18"/>
              </w:rPr>
            </w:pPr>
            <w:r w:rsidRPr="007E18B1">
              <w:rPr>
                <w:rFonts w:cs="Arial"/>
                <w:szCs w:val="18"/>
              </w:rPr>
              <w:t>2.7</w:t>
            </w:r>
          </w:p>
        </w:tc>
        <w:tc>
          <w:tcPr>
            <w:tcW w:w="567" w:type="dxa"/>
            <w:shd w:val="clear" w:color="auto" w:fill="FFFFFF"/>
          </w:tcPr>
          <w:p w:rsidR="000D0DD4" w:rsidRPr="007E18B1" w:rsidRDefault="000D0DD4" w:rsidP="00B112A3">
            <w:pPr>
              <w:pStyle w:val="CETBodytext"/>
              <w:ind w:right="-1"/>
              <w:rPr>
                <w:rFonts w:cs="Arial"/>
                <w:szCs w:val="18"/>
              </w:rPr>
            </w:pPr>
            <w:r w:rsidRPr="007E18B1">
              <w:rPr>
                <w:rFonts w:cs="Arial"/>
                <w:szCs w:val="18"/>
              </w:rPr>
              <w:t>22.5</w:t>
            </w:r>
          </w:p>
        </w:tc>
      </w:tr>
      <w:tr w:rsidR="000D0DD4" w:rsidRPr="00492F56" w:rsidTr="00B112A3">
        <w:tc>
          <w:tcPr>
            <w:tcW w:w="1276" w:type="dxa"/>
            <w:shd w:val="clear" w:color="auto" w:fill="FFFFFF"/>
          </w:tcPr>
          <w:p w:rsidR="000D0DD4" w:rsidRPr="007E18B1" w:rsidRDefault="000D0DD4" w:rsidP="00B112A3">
            <w:pPr>
              <w:pStyle w:val="CETBodytext"/>
            </w:pPr>
            <w:r w:rsidRPr="007E18B1">
              <w:t>Brown coal</w:t>
            </w:r>
          </w:p>
        </w:tc>
        <w:tc>
          <w:tcPr>
            <w:tcW w:w="1134" w:type="dxa"/>
            <w:shd w:val="clear" w:color="auto" w:fill="FFFFFF"/>
          </w:tcPr>
          <w:p w:rsidR="000D0DD4" w:rsidRPr="007E18B1" w:rsidRDefault="000D0DD4" w:rsidP="00B112A3">
            <w:pPr>
              <w:pStyle w:val="CETBodytext"/>
            </w:pPr>
            <w:r w:rsidRPr="007E18B1">
              <w:t>0.1-2.0</w:t>
            </w:r>
          </w:p>
        </w:tc>
        <w:tc>
          <w:tcPr>
            <w:tcW w:w="992" w:type="dxa"/>
            <w:shd w:val="clear" w:color="auto" w:fill="FFFFFF"/>
          </w:tcPr>
          <w:p w:rsidR="000D0DD4" w:rsidRPr="007E18B1" w:rsidRDefault="000D0DD4" w:rsidP="00B112A3">
            <w:pPr>
              <w:pStyle w:val="CETBodytext"/>
            </w:pPr>
            <w:r w:rsidRPr="007E18B1">
              <w:t>0.86</w:t>
            </w:r>
          </w:p>
        </w:tc>
        <w:tc>
          <w:tcPr>
            <w:tcW w:w="284" w:type="dxa"/>
            <w:shd w:val="clear" w:color="auto" w:fill="FFFFFF"/>
          </w:tcPr>
          <w:p w:rsidR="000D0DD4" w:rsidRPr="007E18B1" w:rsidRDefault="000D0DD4" w:rsidP="00B112A3">
            <w:pPr>
              <w:pStyle w:val="CETBodytext"/>
              <w:ind w:right="-1"/>
              <w:rPr>
                <w:rFonts w:cs="Arial"/>
                <w:szCs w:val="18"/>
              </w:rPr>
            </w:pPr>
          </w:p>
        </w:tc>
        <w:tc>
          <w:tcPr>
            <w:tcW w:w="531" w:type="dxa"/>
            <w:shd w:val="clear" w:color="auto" w:fill="FFFFFF"/>
          </w:tcPr>
          <w:p w:rsidR="000D0DD4" w:rsidRPr="007E18B1" w:rsidRDefault="000D0DD4" w:rsidP="00B112A3">
            <w:pPr>
              <w:pStyle w:val="CETBodytext"/>
              <w:ind w:right="-1"/>
              <w:rPr>
                <w:rFonts w:cs="Arial"/>
                <w:szCs w:val="18"/>
              </w:rPr>
            </w:pPr>
            <w:r w:rsidRPr="007E18B1">
              <w:rPr>
                <w:rFonts w:cs="Arial"/>
                <w:szCs w:val="18"/>
              </w:rPr>
              <w:t>65.4</w:t>
            </w:r>
          </w:p>
        </w:tc>
        <w:tc>
          <w:tcPr>
            <w:tcW w:w="567" w:type="dxa"/>
            <w:shd w:val="clear" w:color="auto" w:fill="FFFFFF"/>
          </w:tcPr>
          <w:p w:rsidR="000D0DD4" w:rsidRPr="007E18B1" w:rsidRDefault="000D0DD4" w:rsidP="00B112A3">
            <w:pPr>
              <w:pStyle w:val="CETBodytext"/>
              <w:ind w:right="-1"/>
              <w:rPr>
                <w:rFonts w:cs="Arial"/>
                <w:szCs w:val="18"/>
              </w:rPr>
            </w:pPr>
            <w:r w:rsidRPr="007E18B1">
              <w:rPr>
                <w:rFonts w:cs="Arial"/>
                <w:szCs w:val="18"/>
              </w:rPr>
              <w:t>4.9</w:t>
            </w:r>
          </w:p>
        </w:tc>
        <w:tc>
          <w:tcPr>
            <w:tcW w:w="567" w:type="dxa"/>
            <w:shd w:val="clear" w:color="auto" w:fill="FFFFFF"/>
          </w:tcPr>
          <w:p w:rsidR="000D0DD4" w:rsidRPr="007E18B1" w:rsidRDefault="000D0DD4" w:rsidP="00B112A3">
            <w:pPr>
              <w:pStyle w:val="CETBodytext"/>
              <w:ind w:right="-1"/>
              <w:rPr>
                <w:rFonts w:cs="Arial"/>
                <w:szCs w:val="18"/>
              </w:rPr>
            </w:pPr>
            <w:r w:rsidRPr="007E18B1">
              <w:rPr>
                <w:rFonts w:cs="Arial"/>
                <w:szCs w:val="18"/>
              </w:rPr>
              <w:t>0.8</w:t>
            </w:r>
          </w:p>
        </w:tc>
        <w:tc>
          <w:tcPr>
            <w:tcW w:w="567" w:type="dxa"/>
            <w:shd w:val="clear" w:color="auto" w:fill="FFFFFF"/>
          </w:tcPr>
          <w:p w:rsidR="000D0DD4" w:rsidRPr="007E18B1" w:rsidRDefault="000D0DD4" w:rsidP="00B112A3">
            <w:pPr>
              <w:pStyle w:val="CETBodytext"/>
              <w:ind w:right="-1"/>
              <w:rPr>
                <w:rFonts w:cs="Arial"/>
                <w:szCs w:val="18"/>
              </w:rPr>
            </w:pPr>
            <w:r w:rsidRPr="007E18B1">
              <w:rPr>
                <w:rFonts w:cs="Arial"/>
                <w:szCs w:val="18"/>
              </w:rPr>
              <w:t>24.8</w:t>
            </w:r>
          </w:p>
        </w:tc>
        <w:tc>
          <w:tcPr>
            <w:tcW w:w="567" w:type="dxa"/>
            <w:shd w:val="clear" w:color="auto" w:fill="FFFFFF"/>
          </w:tcPr>
          <w:p w:rsidR="000D0DD4" w:rsidRPr="007E18B1" w:rsidRDefault="000D0DD4" w:rsidP="00B112A3">
            <w:pPr>
              <w:pStyle w:val="CETBodytext"/>
              <w:ind w:right="-1"/>
              <w:rPr>
                <w:rFonts w:cs="Arial"/>
                <w:szCs w:val="18"/>
              </w:rPr>
            </w:pPr>
            <w:r w:rsidRPr="007E18B1">
              <w:rPr>
                <w:rFonts w:cs="Arial"/>
                <w:szCs w:val="18"/>
              </w:rPr>
              <w:t>45.0</w:t>
            </w:r>
          </w:p>
        </w:tc>
        <w:tc>
          <w:tcPr>
            <w:tcW w:w="567" w:type="dxa"/>
            <w:shd w:val="clear" w:color="auto" w:fill="FFFFFF"/>
          </w:tcPr>
          <w:p w:rsidR="000D0DD4" w:rsidRPr="007E18B1" w:rsidRDefault="000D0DD4" w:rsidP="00B112A3">
            <w:pPr>
              <w:pStyle w:val="CETBodytext"/>
              <w:ind w:right="-1"/>
              <w:rPr>
                <w:rFonts w:cs="Arial"/>
                <w:szCs w:val="18"/>
              </w:rPr>
            </w:pPr>
            <w:r w:rsidRPr="007E18B1">
              <w:rPr>
                <w:rFonts w:cs="Arial"/>
                <w:szCs w:val="18"/>
              </w:rPr>
              <w:t>51.3</w:t>
            </w:r>
          </w:p>
        </w:tc>
        <w:tc>
          <w:tcPr>
            <w:tcW w:w="567" w:type="dxa"/>
            <w:shd w:val="clear" w:color="auto" w:fill="FFFFFF"/>
          </w:tcPr>
          <w:p w:rsidR="000D0DD4" w:rsidRPr="007E18B1" w:rsidRDefault="000D0DD4" w:rsidP="00B112A3">
            <w:pPr>
              <w:pStyle w:val="CETBodytext"/>
              <w:ind w:right="-1"/>
              <w:rPr>
                <w:rFonts w:cs="Arial"/>
                <w:szCs w:val="18"/>
              </w:rPr>
            </w:pPr>
            <w:r w:rsidRPr="007E18B1">
              <w:rPr>
                <w:rFonts w:cs="Arial"/>
                <w:szCs w:val="18"/>
              </w:rPr>
              <w:t>3.7</w:t>
            </w:r>
          </w:p>
        </w:tc>
        <w:tc>
          <w:tcPr>
            <w:tcW w:w="567" w:type="dxa"/>
            <w:shd w:val="clear" w:color="auto" w:fill="FFFFFF"/>
          </w:tcPr>
          <w:p w:rsidR="000D0DD4" w:rsidRPr="00492F56" w:rsidRDefault="000D0DD4" w:rsidP="00B112A3">
            <w:pPr>
              <w:pStyle w:val="CETBodytext"/>
              <w:ind w:right="-1"/>
              <w:rPr>
                <w:rFonts w:cs="Arial"/>
                <w:szCs w:val="18"/>
              </w:rPr>
            </w:pPr>
            <w:r w:rsidRPr="007E18B1">
              <w:rPr>
                <w:rFonts w:cs="Arial"/>
                <w:szCs w:val="18"/>
              </w:rPr>
              <w:t>24.1</w:t>
            </w:r>
          </w:p>
        </w:tc>
      </w:tr>
    </w:tbl>
    <w:p w:rsidR="000D0DD4" w:rsidRDefault="000D0DD4" w:rsidP="000D0DD4">
      <w:pPr>
        <w:pStyle w:val="CETBodytext"/>
      </w:pPr>
    </w:p>
    <w:p w:rsidR="000D0DD4" w:rsidRPr="00492F56" w:rsidRDefault="000D0DD4" w:rsidP="000D0DD4">
      <w:pPr>
        <w:pStyle w:val="CETheadingx"/>
      </w:pPr>
      <w:r>
        <w:t>Inorganic materials</w:t>
      </w:r>
    </w:p>
    <w:p w:rsidR="000D0DD4" w:rsidRDefault="000D0DD4" w:rsidP="000D0DD4">
      <w:pPr>
        <w:pStyle w:val="CETBodytext"/>
      </w:pPr>
      <w:r w:rsidRPr="009F22FA">
        <w:t xml:space="preserve">Different materials were investigated during agglomeration tests in the experimental facilities (see below): quartz sand (0.2-0.4 mm size, 2.6 g/mL density), olivine sand (0.2-0.6 mm size, 3.2 g/mL density), and chromite sand (0.2-0.3 mm size, </w:t>
      </w:r>
      <w:r>
        <w:t>4.2</w:t>
      </w:r>
      <w:r w:rsidRPr="009F22FA">
        <w:t xml:space="preserve"> g/mL density).</w:t>
      </w:r>
      <w:r>
        <w:t xml:space="preserve"> The Si content is 85%, 40% and 1.0% wt. for quartzite, olivine and chromite, respectively. Accordingly, the major mineral phases of the different bed materials are indicated in Fig</w:t>
      </w:r>
      <w:r w:rsidR="00A26A6A">
        <w:t>ure</w:t>
      </w:r>
      <w:r>
        <w:t xml:space="preserve"> </w:t>
      </w:r>
      <w:r w:rsidR="00D204D6">
        <w:t>1</w:t>
      </w:r>
      <w:r>
        <w:t xml:space="preserve">, which highlights the high content of silica in the quartzite sand, being olivine and chromite mainly constituted by magnesium silicate and </w:t>
      </w:r>
      <w:r w:rsidRPr="00C03EC6">
        <w:t>iron chromium oxide</w:t>
      </w:r>
      <w:r>
        <w:t>, respectively.</w:t>
      </w:r>
    </w:p>
    <w:p w:rsidR="000D0DD4" w:rsidRPr="00B415B2" w:rsidRDefault="000D0DD4" w:rsidP="001E2BE8">
      <w:pPr>
        <w:pStyle w:val="CETBodytext"/>
      </w:pPr>
      <w:r w:rsidRPr="00A26A6A">
        <w:t xml:space="preserve">As additives, commercial kaolin (BS4, AGS </w:t>
      </w:r>
      <w:proofErr w:type="spellStart"/>
      <w:r w:rsidRPr="001E2BE8">
        <w:t>Mineraux</w:t>
      </w:r>
      <w:proofErr w:type="spellEnd"/>
      <w:r w:rsidR="00876648" w:rsidRPr="001E2BE8">
        <w:t xml:space="preserve">: 95% &lt;100 </w:t>
      </w:r>
      <w:r w:rsidR="00876648" w:rsidRPr="00A26A6A">
        <w:rPr>
          <w:rFonts w:ascii="Symbol" w:hAnsi="Symbol"/>
        </w:rPr>
        <w:t></w:t>
      </w:r>
      <w:r w:rsidR="00876648" w:rsidRPr="00A26A6A">
        <w:t xml:space="preserve">m, </w:t>
      </w:r>
      <w:r w:rsidR="00876648" w:rsidRPr="001E2BE8">
        <w:t>SiO</w:t>
      </w:r>
      <w:r w:rsidR="00876648" w:rsidRPr="001E2BE8">
        <w:rPr>
          <w:vertAlign w:val="subscript"/>
        </w:rPr>
        <w:t>2</w:t>
      </w:r>
      <w:r w:rsidR="00876648" w:rsidRPr="001E2BE8">
        <w:t>= 40.9%, Al</w:t>
      </w:r>
      <w:r w:rsidR="00876648" w:rsidRPr="001E2BE8">
        <w:rPr>
          <w:vertAlign w:val="subscript"/>
        </w:rPr>
        <w:t>2</w:t>
      </w:r>
      <w:r w:rsidR="00876648" w:rsidRPr="001E2BE8">
        <w:t>O</w:t>
      </w:r>
      <w:r w:rsidR="00876648" w:rsidRPr="001E2BE8">
        <w:rPr>
          <w:vertAlign w:val="subscript"/>
        </w:rPr>
        <w:t>3</w:t>
      </w:r>
      <w:r w:rsidR="00876648" w:rsidRPr="001E2BE8">
        <w:t>= 41.0%, K</w:t>
      </w:r>
      <w:r w:rsidR="00876648" w:rsidRPr="001E2BE8">
        <w:rPr>
          <w:vertAlign w:val="subscript"/>
        </w:rPr>
        <w:t>2</w:t>
      </w:r>
      <w:r w:rsidR="00876648" w:rsidRPr="001E2BE8">
        <w:t>O+Na</w:t>
      </w:r>
      <w:r w:rsidR="00876648" w:rsidRPr="001E2BE8">
        <w:rPr>
          <w:vertAlign w:val="subscript"/>
        </w:rPr>
        <w:t>2</w:t>
      </w:r>
      <w:r w:rsidR="00876648" w:rsidRPr="001E2BE8">
        <w:t>O= 0.4%)</w:t>
      </w:r>
      <w:r w:rsidRPr="001E2BE8">
        <w:t xml:space="preserve"> and </w:t>
      </w:r>
      <w:proofErr w:type="spellStart"/>
      <w:r w:rsidRPr="001E2BE8">
        <w:t>metakaolin</w:t>
      </w:r>
      <w:proofErr w:type="spellEnd"/>
      <w:r w:rsidRPr="001E2BE8">
        <w:t xml:space="preserve"> (</w:t>
      </w:r>
      <w:proofErr w:type="spellStart"/>
      <w:r w:rsidRPr="001E2BE8">
        <w:t>Argical</w:t>
      </w:r>
      <w:proofErr w:type="spellEnd"/>
      <w:r w:rsidRPr="001E2BE8">
        <w:t xml:space="preserve"> M1000, </w:t>
      </w:r>
      <w:proofErr w:type="spellStart"/>
      <w:r w:rsidRPr="001E2BE8">
        <w:t>Imerys</w:t>
      </w:r>
      <w:proofErr w:type="spellEnd"/>
      <w:r w:rsidR="00876648" w:rsidRPr="001E2BE8">
        <w:t xml:space="preserve">: 95% &lt;80 </w:t>
      </w:r>
      <w:r w:rsidR="00876648" w:rsidRPr="001E2BE8">
        <w:rPr>
          <w:rFonts w:ascii="Symbol" w:hAnsi="Symbol"/>
        </w:rPr>
        <w:t></w:t>
      </w:r>
      <w:r w:rsidR="00876648" w:rsidRPr="001E2BE8">
        <w:t>m, SiO</w:t>
      </w:r>
      <w:r w:rsidR="00876648" w:rsidRPr="001E2BE8">
        <w:rPr>
          <w:vertAlign w:val="subscript"/>
        </w:rPr>
        <w:t>2</w:t>
      </w:r>
      <w:r w:rsidR="00876648" w:rsidRPr="001E2BE8">
        <w:t>= 55.59%, Al</w:t>
      </w:r>
      <w:r w:rsidR="00876648" w:rsidRPr="001E2BE8">
        <w:rPr>
          <w:vertAlign w:val="subscript"/>
        </w:rPr>
        <w:t>2</w:t>
      </w:r>
      <w:r w:rsidR="00876648" w:rsidRPr="001E2BE8">
        <w:t>O</w:t>
      </w:r>
      <w:r w:rsidR="00876648" w:rsidRPr="001E2BE8">
        <w:rPr>
          <w:vertAlign w:val="subscript"/>
        </w:rPr>
        <w:t>3</w:t>
      </w:r>
      <w:r w:rsidR="00876648" w:rsidRPr="001E2BE8">
        <w:t>= 40.0%, K</w:t>
      </w:r>
      <w:r w:rsidR="00876648" w:rsidRPr="001E2BE8">
        <w:rPr>
          <w:vertAlign w:val="subscript"/>
        </w:rPr>
        <w:t>2</w:t>
      </w:r>
      <w:r w:rsidR="00876648" w:rsidRPr="001E2BE8">
        <w:t>O+Na</w:t>
      </w:r>
      <w:r w:rsidR="00876648" w:rsidRPr="001E2BE8">
        <w:rPr>
          <w:vertAlign w:val="subscript"/>
        </w:rPr>
        <w:t>2</w:t>
      </w:r>
      <w:r w:rsidR="00876648" w:rsidRPr="001E2BE8">
        <w:t>O= 0.8%</w:t>
      </w:r>
      <w:r w:rsidRPr="001E2BE8">
        <w:t xml:space="preserve">) powders </w:t>
      </w:r>
      <w:r w:rsidRPr="00A26A6A">
        <w:t xml:space="preserve">have been used in certain experiments. </w:t>
      </w:r>
    </w:p>
    <w:p w:rsidR="000D0DD4" w:rsidRDefault="000D0DD4" w:rsidP="000D0DD4">
      <w:pPr>
        <w:pStyle w:val="CETBodytext"/>
      </w:pPr>
    </w:p>
    <w:p w:rsidR="000B2BE1" w:rsidRDefault="00261AC0" w:rsidP="000B2BE1">
      <w:pPr>
        <w:pStyle w:val="CETBodytext"/>
      </w:pPr>
      <w:r>
        <w:rPr>
          <w:noProof/>
          <w:lang w:val="it-IT" w:eastAsia="it-IT"/>
        </w:rPr>
        <w:drawing>
          <wp:inline distT="0" distB="0" distL="0" distR="0" wp14:anchorId="2A73B3E3" wp14:editId="33C8D844">
            <wp:extent cx="4356340" cy="2181750"/>
            <wp:effectExtent l="0" t="0" r="6350" b="9525"/>
            <wp:docPr id="2" name="Immagine 2" descr="C:\Users\Annalisa\Documents\Annalisa\Dati\_PROGETTI\Fluidized Bed Combustion\XRD\crom-quarz-oliv 900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alisa\Documents\Annalisa\Dati\_PROGETTI\Fluidized Bed Combustion\XRD\crom-quarz-oliv 900 (2).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6804" b="6391"/>
                    <a:stretch/>
                  </pic:blipFill>
                  <pic:spPr bwMode="auto">
                    <a:xfrm>
                      <a:off x="0" y="0"/>
                      <a:ext cx="4356552" cy="2181856"/>
                    </a:xfrm>
                    <a:prstGeom prst="rect">
                      <a:avLst/>
                    </a:prstGeom>
                    <a:noFill/>
                    <a:ln>
                      <a:noFill/>
                    </a:ln>
                    <a:extLst>
                      <a:ext uri="{53640926-AAD7-44D8-BBD7-CCE9431645EC}">
                        <a14:shadowObscured xmlns:a14="http://schemas.microsoft.com/office/drawing/2010/main"/>
                      </a:ext>
                    </a:extLst>
                  </pic:spPr>
                </pic:pic>
              </a:graphicData>
            </a:graphic>
          </wp:inline>
        </w:drawing>
      </w:r>
    </w:p>
    <w:p w:rsidR="000D0DD4" w:rsidRPr="001E2BE8" w:rsidRDefault="000D0DD4" w:rsidP="000D0DD4">
      <w:pPr>
        <w:pStyle w:val="CETCaption"/>
        <w:rPr>
          <w:lang w:val="en-US"/>
        </w:rPr>
      </w:pPr>
      <w:r w:rsidRPr="001E2BE8">
        <w:rPr>
          <w:lang w:val="en-US"/>
        </w:rPr>
        <w:t>Figure 1: Phase distribution of as given bed materials</w:t>
      </w:r>
    </w:p>
    <w:p w:rsidR="000D0DD4" w:rsidRPr="00492F56" w:rsidRDefault="000D0DD4" w:rsidP="000D0DD4">
      <w:pPr>
        <w:pStyle w:val="CETheadingx"/>
      </w:pPr>
      <w:r w:rsidRPr="00492F56">
        <w:t>Experimental setup</w:t>
      </w:r>
    </w:p>
    <w:p w:rsidR="000D0DD4" w:rsidRPr="00E85422" w:rsidRDefault="00D97102" w:rsidP="000D0DD4">
      <w:pPr>
        <w:pStyle w:val="CETBodytext"/>
      </w:pPr>
      <w:r>
        <w:rPr>
          <w:rFonts w:eastAsiaTheme="minorEastAsia" w:cstheme="minorEastAsia"/>
        </w:rPr>
        <w:t xml:space="preserve">Transient </w:t>
      </w:r>
      <w:r w:rsidR="000D0DD4">
        <w:rPr>
          <w:rFonts w:eastAsiaTheme="minorEastAsia" w:cstheme="minorEastAsia"/>
        </w:rPr>
        <w:t>agglomeration</w:t>
      </w:r>
      <w:r w:rsidR="000D0DD4" w:rsidRPr="00B415B2">
        <w:rPr>
          <w:rFonts w:eastAsiaTheme="minorEastAsia" w:cstheme="minorEastAsia"/>
        </w:rPr>
        <w:t xml:space="preserve"> tests were carried out in a lab-scale</w:t>
      </w:r>
      <w:r w:rsidR="000D0DD4">
        <w:rPr>
          <w:rFonts w:eastAsiaTheme="minorEastAsia" w:cstheme="minorEastAsia"/>
        </w:rPr>
        <w:t xml:space="preserve"> fluidized bed</w:t>
      </w:r>
      <w:r w:rsidR="000D0DD4" w:rsidRPr="00B415B2">
        <w:rPr>
          <w:rFonts w:eastAsiaTheme="minorEastAsia" w:cstheme="minorEastAsia"/>
        </w:rPr>
        <w:t xml:space="preserve"> reactor made in AISI 316 </w:t>
      </w:r>
      <w:r w:rsidR="000D0DD4" w:rsidRPr="00BC0EBE">
        <w:rPr>
          <w:rFonts w:eastAsiaTheme="minorEastAsia" w:cstheme="minorEastAsia"/>
        </w:rPr>
        <w:t xml:space="preserve">stainless steel </w:t>
      </w:r>
      <w:r w:rsidR="000D0DD4" w:rsidRPr="004C6794">
        <w:rPr>
          <w:rFonts w:eastAsiaTheme="minorEastAsia" w:cstheme="minorEastAsia"/>
        </w:rPr>
        <w:t>(</w:t>
      </w:r>
      <w:r w:rsidR="000D0DD4">
        <w:rPr>
          <w:rFonts w:eastAsiaTheme="minorEastAsia" w:cstheme="minorEastAsia"/>
        </w:rPr>
        <w:t>78</w:t>
      </w:r>
      <w:r w:rsidR="000D0DD4" w:rsidRPr="004C6794">
        <w:rPr>
          <w:rFonts w:eastAsiaTheme="minorEastAsia" w:cstheme="minorEastAsia"/>
        </w:rPr>
        <w:t xml:space="preserve"> mm inner diameter, 500 mm height</w:t>
      </w:r>
      <w:r w:rsidR="000D0DD4" w:rsidRPr="00BC0EBE">
        <w:rPr>
          <w:rFonts w:eastAsiaTheme="minorEastAsia" w:cstheme="minorEastAsia"/>
        </w:rPr>
        <w:t>)</w:t>
      </w:r>
      <w:r w:rsidR="000D0DD4">
        <w:rPr>
          <w:rFonts w:eastAsiaTheme="minorEastAsia" w:cstheme="minorEastAsia"/>
        </w:rPr>
        <w:t xml:space="preserve"> with opened bottom side</w:t>
      </w:r>
      <w:r w:rsidR="000D0DD4" w:rsidRPr="00BC0EBE">
        <w:rPr>
          <w:rFonts w:eastAsiaTheme="minorEastAsia" w:cstheme="minorEastAsia"/>
        </w:rPr>
        <w:t>, as</w:t>
      </w:r>
      <w:r w:rsidR="000D0DD4" w:rsidRPr="00B415B2">
        <w:rPr>
          <w:rFonts w:eastAsiaTheme="minorEastAsia" w:cstheme="minorEastAsia"/>
        </w:rPr>
        <w:t xml:space="preserve"> show</w:t>
      </w:r>
      <w:r w:rsidR="000D0DD4">
        <w:rPr>
          <w:rFonts w:eastAsiaTheme="minorEastAsia" w:cstheme="minorEastAsia"/>
        </w:rPr>
        <w:t>n</w:t>
      </w:r>
      <w:r w:rsidR="000D0DD4" w:rsidRPr="00B415B2">
        <w:rPr>
          <w:rFonts w:eastAsiaTheme="minorEastAsia" w:cstheme="minorEastAsia"/>
        </w:rPr>
        <w:t xml:space="preserve"> in Figure </w:t>
      </w:r>
      <w:r w:rsidR="000D0DD4">
        <w:rPr>
          <w:rFonts w:eastAsiaTheme="minorEastAsia" w:cstheme="minorEastAsia"/>
        </w:rPr>
        <w:t>2-A</w:t>
      </w:r>
      <w:r w:rsidR="000D0DD4" w:rsidRPr="00B415B2">
        <w:rPr>
          <w:rFonts w:eastAsiaTheme="minorEastAsia" w:cstheme="minorEastAsia"/>
        </w:rPr>
        <w:t>.</w:t>
      </w:r>
      <w:r w:rsidR="000D0DD4">
        <w:rPr>
          <w:rFonts w:eastAsiaTheme="minorEastAsia" w:cstheme="minorEastAsia"/>
        </w:rPr>
        <w:t xml:space="preserve"> A </w:t>
      </w:r>
      <w:proofErr w:type="spellStart"/>
      <w:r w:rsidR="000D0DD4">
        <w:rPr>
          <w:rFonts w:eastAsiaTheme="minorEastAsia" w:cstheme="minorEastAsia"/>
        </w:rPr>
        <w:t>rotameter</w:t>
      </w:r>
      <w:proofErr w:type="spellEnd"/>
      <w:r w:rsidR="000D0DD4">
        <w:rPr>
          <w:rFonts w:eastAsiaTheme="minorEastAsia" w:cstheme="minorEastAsia"/>
        </w:rPr>
        <w:t xml:space="preserve"> was used for measuring the air flow rate supplied to the bottom of the reactor throughout a multi-holes nozzle. A</w:t>
      </w:r>
      <w:r w:rsidR="000D0DD4" w:rsidRPr="00B415B2">
        <w:rPr>
          <w:rFonts w:eastAsiaTheme="minorEastAsia" w:cstheme="minorEastAsia"/>
        </w:rPr>
        <w:t xml:space="preserve"> K-type thermocouple</w:t>
      </w:r>
      <w:r w:rsidR="000D0DD4">
        <w:rPr>
          <w:rFonts w:eastAsiaTheme="minorEastAsia" w:cstheme="minorEastAsia"/>
        </w:rPr>
        <w:t xml:space="preserve"> (T)</w:t>
      </w:r>
      <w:r w:rsidR="000D0DD4" w:rsidRPr="00B415B2">
        <w:rPr>
          <w:rFonts w:eastAsiaTheme="minorEastAsia" w:cstheme="minorEastAsia"/>
        </w:rPr>
        <w:t xml:space="preserve"> </w:t>
      </w:r>
      <w:r w:rsidR="000D0DD4">
        <w:rPr>
          <w:rFonts w:eastAsiaTheme="minorEastAsia" w:cstheme="minorEastAsia"/>
        </w:rPr>
        <w:t xml:space="preserve">was immersed in the bed for </w:t>
      </w:r>
      <w:r w:rsidR="000D0DD4" w:rsidRPr="00B415B2">
        <w:rPr>
          <w:rFonts w:eastAsiaTheme="minorEastAsia" w:cstheme="minorEastAsia"/>
        </w:rPr>
        <w:t xml:space="preserve">temperature </w:t>
      </w:r>
      <w:r w:rsidR="000D0DD4">
        <w:rPr>
          <w:rFonts w:eastAsiaTheme="minorEastAsia" w:cstheme="minorEastAsia"/>
        </w:rPr>
        <w:t>measurement. The fluidization column was externally heated by a couple of electric ceramic furnaces and controlled by a</w:t>
      </w:r>
      <w:r w:rsidR="00453D6D">
        <w:rPr>
          <w:rFonts w:eastAsiaTheme="minorEastAsia" w:cstheme="minorEastAsia"/>
        </w:rPr>
        <w:t>n</w:t>
      </w:r>
      <w:r w:rsidR="000D0DD4">
        <w:rPr>
          <w:rFonts w:eastAsiaTheme="minorEastAsia" w:cstheme="minorEastAsia"/>
        </w:rPr>
        <w:t xml:space="preserve"> electronic device, driven by the bed thermocouple. A screw feeder dosed the granular fuel from the top side of the fluidization column at constant rate. The pressure (P) at the bottom of the fluidization column was monitored by means of an </w:t>
      </w:r>
      <w:r w:rsidR="000D0DD4">
        <w:rPr>
          <w:rFonts w:eastAsiaTheme="minorEastAsia" w:cstheme="minorEastAsia"/>
        </w:rPr>
        <w:lastRenderedPageBreak/>
        <w:t>electronic device (</w:t>
      </w:r>
      <w:proofErr w:type="spellStart"/>
      <w:r w:rsidR="000D0DD4">
        <w:rPr>
          <w:rFonts w:eastAsiaTheme="minorEastAsia" w:cstheme="minorEastAsia"/>
        </w:rPr>
        <w:t>Druck</w:t>
      </w:r>
      <w:proofErr w:type="spellEnd"/>
      <w:r w:rsidR="000D0DD4">
        <w:rPr>
          <w:rFonts w:eastAsiaTheme="minorEastAsia" w:cstheme="minorEastAsia"/>
        </w:rPr>
        <w:t xml:space="preserve"> PTX</w:t>
      </w:r>
      <w:r w:rsidR="000D0DD4" w:rsidRPr="004C6794">
        <w:rPr>
          <w:rFonts w:eastAsiaTheme="minorEastAsia" w:cstheme="minorEastAsia"/>
        </w:rPr>
        <w:t>, 0-100 mbar</w:t>
      </w:r>
      <w:r w:rsidR="000D0DD4">
        <w:rPr>
          <w:rFonts w:eastAsiaTheme="minorEastAsia" w:cstheme="minorEastAsia"/>
        </w:rPr>
        <w:t xml:space="preserve">, 1 kHz). </w:t>
      </w:r>
      <w:r w:rsidR="000D0DD4" w:rsidRPr="00E85422">
        <w:t>The reactor was operated at temperature of 850 and 900</w:t>
      </w:r>
      <w:r>
        <w:t xml:space="preserve"> </w:t>
      </w:r>
      <w:r w:rsidR="000D0DD4" w:rsidRPr="00E85422">
        <w:t xml:space="preserve">°C, fluidization velocity of 0.20-0.25 m/s, and equivalence ratio of 0.4-0.5. </w:t>
      </w:r>
    </w:p>
    <w:p w:rsidR="000D0DD4" w:rsidRDefault="000D0DD4" w:rsidP="000D0DD4">
      <w:pPr>
        <w:pStyle w:val="CETBodytext"/>
        <w:rPr>
          <w:rFonts w:eastAsiaTheme="minorEastAsia" w:cstheme="minorEastAsia"/>
        </w:rPr>
      </w:pPr>
      <w:r w:rsidRPr="00B36D0B">
        <w:rPr>
          <w:rFonts w:eastAsiaTheme="minorEastAsia" w:cstheme="minorEastAsia"/>
        </w:rPr>
        <w:t>Batch tests of agglomeration have been carried out with fixed amount of bed materials</w:t>
      </w:r>
      <w:r>
        <w:rPr>
          <w:rFonts w:eastAsiaTheme="minorEastAsia" w:cstheme="minorEastAsia"/>
        </w:rPr>
        <w:t xml:space="preserve"> (2 g), with addition of olive husk at different mass ratios</w:t>
      </w:r>
      <w:r w:rsidRPr="00B36D0B">
        <w:rPr>
          <w:rFonts w:eastAsiaTheme="minorEastAsia" w:cstheme="minorEastAsia"/>
        </w:rPr>
        <w:t xml:space="preserve">. An alumina crucible holding the sample was inserted in an electric tubular furnace (CARBOLITE 1200) from the bottom end, as shown in </w:t>
      </w:r>
      <w:r>
        <w:rPr>
          <w:rFonts w:eastAsiaTheme="minorEastAsia" w:cstheme="minorEastAsia"/>
        </w:rPr>
        <w:t>Fig</w:t>
      </w:r>
      <w:r w:rsidR="00AE31D8">
        <w:rPr>
          <w:rFonts w:eastAsiaTheme="minorEastAsia" w:cstheme="minorEastAsia"/>
        </w:rPr>
        <w:t>ure</w:t>
      </w:r>
      <w:r>
        <w:rPr>
          <w:rFonts w:eastAsiaTheme="minorEastAsia" w:cstheme="minorEastAsia"/>
        </w:rPr>
        <w:t xml:space="preserve"> 2</w:t>
      </w:r>
      <w:r w:rsidRPr="00B36D0B">
        <w:rPr>
          <w:rFonts w:eastAsiaTheme="minorEastAsia" w:cstheme="minorEastAsia"/>
        </w:rPr>
        <w:t>-B, and kept for 1 hour at the operating temperature.</w:t>
      </w:r>
      <w:r w:rsidRPr="00B415B2">
        <w:rPr>
          <w:rFonts w:eastAsiaTheme="minorEastAsia" w:cstheme="minorEastAsia"/>
        </w:rPr>
        <w:t xml:space="preserve"> </w:t>
      </w:r>
      <w:r>
        <w:rPr>
          <w:rFonts w:eastAsiaTheme="minorEastAsia" w:cstheme="minorEastAsia"/>
        </w:rPr>
        <w:t xml:space="preserve">Afterwards the crucible was extracted from the furnace and visually inspected. </w:t>
      </w:r>
    </w:p>
    <w:p w:rsidR="000D0DD4" w:rsidRPr="00B415B2" w:rsidRDefault="000D0DD4" w:rsidP="000D0DD4">
      <w:pPr>
        <w:pStyle w:val="CETBodytext"/>
        <w:rPr>
          <w:rFonts w:eastAsiaTheme="minorEastAsia" w:cstheme="minorEastAsia"/>
        </w:rPr>
      </w:pPr>
      <w:r w:rsidRPr="00B112A3">
        <w:t xml:space="preserve">Qualitative </w:t>
      </w:r>
      <w:r w:rsidRPr="00C95C47">
        <w:t>crystallographic analysis</w:t>
      </w:r>
      <w:r>
        <w:t xml:space="preserve"> </w:t>
      </w:r>
      <w:r w:rsidR="00AF6685">
        <w:t xml:space="preserve">of the samples </w:t>
      </w:r>
      <w:r>
        <w:t xml:space="preserve">have been carried out </w:t>
      </w:r>
      <w:r w:rsidRPr="00C95C47">
        <w:t>by X-ray diffraction</w:t>
      </w:r>
      <w:r w:rsidR="00453D6D">
        <w:t xml:space="preserve"> (XRD, </w:t>
      </w:r>
      <w:proofErr w:type="spellStart"/>
      <w:r w:rsidRPr="00C95C47">
        <w:t>Bruker</w:t>
      </w:r>
      <w:proofErr w:type="spellEnd"/>
      <w:r w:rsidRPr="00C95C47">
        <w:t xml:space="preserve"> D8 Advance powder </w:t>
      </w:r>
      <w:proofErr w:type="spellStart"/>
      <w:r w:rsidRPr="00C95C47">
        <w:t>diffractometer</w:t>
      </w:r>
      <w:proofErr w:type="spellEnd"/>
      <w:r>
        <w:t xml:space="preserve"> </w:t>
      </w:r>
      <w:r w:rsidRPr="00C95C47">
        <w:t xml:space="preserve">with Cu </w:t>
      </w:r>
      <w:proofErr w:type="spellStart"/>
      <w:r w:rsidR="00453D6D">
        <w:t>Ka</w:t>
      </w:r>
      <w:proofErr w:type="spellEnd"/>
      <w:r w:rsidR="00453D6D">
        <w:t xml:space="preserve"> radiation, Karlsruhe D</w:t>
      </w:r>
      <w:r w:rsidRPr="00C95C47">
        <w:t>)</w:t>
      </w:r>
      <w:r>
        <w:t xml:space="preserve"> to </w:t>
      </w:r>
      <w:r w:rsidRPr="00C95C47">
        <w:t xml:space="preserve">assess the </w:t>
      </w:r>
      <w:r w:rsidR="00AE31D8">
        <w:t>possible</w:t>
      </w:r>
      <w:r w:rsidR="00AE31D8" w:rsidRPr="00C95C47">
        <w:t xml:space="preserve"> </w:t>
      </w:r>
      <w:r w:rsidRPr="00C95C47">
        <w:t xml:space="preserve">formation of new phases </w:t>
      </w:r>
      <w:r w:rsidR="00AE31D8">
        <w:t xml:space="preserve">upon </w:t>
      </w:r>
      <w:r w:rsidRPr="00C95C47">
        <w:t>reaction of</w:t>
      </w:r>
      <w:r>
        <w:t xml:space="preserve"> the fuel with bed material and/or the used additives. The m</w:t>
      </w:r>
      <w:r w:rsidRPr="00E53E6A">
        <w:t xml:space="preserve">orphological </w:t>
      </w:r>
      <w:r>
        <w:t xml:space="preserve">characterization of the samples was done by </w:t>
      </w:r>
      <w:r w:rsidR="00453D6D">
        <w:t>scanning electronic microscopy (</w:t>
      </w:r>
      <w:r>
        <w:t>SEM</w:t>
      </w:r>
      <w:r w:rsidR="00453D6D">
        <w:t>)</w:t>
      </w:r>
      <w:r>
        <w:t xml:space="preserve"> </w:t>
      </w:r>
      <w:r w:rsidRPr="001272F7">
        <w:t>using a field emission gun-scanning electron microscope (FEG-SEM, ΣIGMA Zeiss) equipped with</w:t>
      </w:r>
      <w:r>
        <w:t xml:space="preserve"> </w:t>
      </w:r>
      <w:r w:rsidRPr="001272F7">
        <w:t xml:space="preserve">energy dispersion spectroscopy (EDS-Oxford Instruments), in order to </w:t>
      </w:r>
      <w:r>
        <w:t xml:space="preserve">identify any agglomeration effect among the bed particles. </w:t>
      </w:r>
    </w:p>
    <w:p w:rsidR="000D0DD4" w:rsidRPr="00492F56" w:rsidRDefault="000D0DD4" w:rsidP="000D0DD4">
      <w:pPr>
        <w:pStyle w:val="CETBodytext"/>
        <w:rPr>
          <w:rFonts w:eastAsiaTheme="minorEastAsia" w:cstheme="minorEastAsia"/>
        </w:rPr>
      </w:pPr>
    </w:p>
    <w:p w:rsidR="000D0DD4" w:rsidRPr="00492F56" w:rsidRDefault="000D0DD4" w:rsidP="000D0DD4">
      <w:pPr>
        <w:pStyle w:val="CETBodytext"/>
        <w:jc w:val="center"/>
        <w:rPr>
          <w:rFonts w:eastAsiaTheme="minorEastAsia" w:cstheme="minorEastAsia"/>
        </w:rPr>
      </w:pPr>
      <w:r>
        <w:rPr>
          <w:rFonts w:eastAsiaTheme="minorEastAsia" w:cstheme="minorEastAsia"/>
          <w:noProof/>
          <w:lang w:val="it-IT" w:eastAsia="it-IT"/>
        </w:rPr>
        <w:drawing>
          <wp:inline distT="0" distB="0" distL="0" distR="0" wp14:anchorId="24D73842" wp14:editId="6F96046E">
            <wp:extent cx="1294973" cy="2154803"/>
            <wp:effectExtent l="0" t="0" r="63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9081" cy="2161639"/>
                    </a:xfrm>
                    <a:prstGeom prst="rect">
                      <a:avLst/>
                    </a:prstGeom>
                    <a:noFill/>
                    <a:ln>
                      <a:noFill/>
                    </a:ln>
                  </pic:spPr>
                </pic:pic>
              </a:graphicData>
            </a:graphic>
          </wp:inline>
        </w:drawing>
      </w:r>
      <w:r w:rsidRPr="00492F56">
        <w:rPr>
          <w:rFonts w:eastAsiaTheme="minorEastAsia" w:cstheme="minorEastAsia"/>
        </w:rPr>
        <w:t xml:space="preserve">  </w:t>
      </w:r>
      <w:r>
        <w:rPr>
          <w:rFonts w:eastAsiaTheme="minorEastAsia" w:cstheme="minorEastAsia"/>
        </w:rPr>
        <w:t>A</w:t>
      </w:r>
      <w:r w:rsidRPr="00492F56">
        <w:rPr>
          <w:rFonts w:eastAsiaTheme="minorEastAsia" w:cstheme="minorEastAsia"/>
        </w:rPr>
        <w:t xml:space="preserve">                      </w:t>
      </w:r>
      <w:r>
        <w:rPr>
          <w:rFonts w:eastAsiaTheme="minorEastAsia" w:cstheme="minorEastAsia"/>
          <w:noProof/>
          <w:lang w:val="it-IT" w:eastAsia="it-IT"/>
        </w:rPr>
        <w:drawing>
          <wp:inline distT="0" distB="0" distL="0" distR="0" wp14:anchorId="6934E299" wp14:editId="2CE60457">
            <wp:extent cx="1180570" cy="2146852"/>
            <wp:effectExtent l="0" t="0" r="635" b="635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8983" cy="2143965"/>
                    </a:xfrm>
                    <a:prstGeom prst="rect">
                      <a:avLst/>
                    </a:prstGeom>
                    <a:noFill/>
                    <a:ln>
                      <a:noFill/>
                    </a:ln>
                  </pic:spPr>
                </pic:pic>
              </a:graphicData>
            </a:graphic>
          </wp:inline>
        </w:drawing>
      </w:r>
      <w:r>
        <w:rPr>
          <w:rFonts w:eastAsiaTheme="minorEastAsia" w:cstheme="minorEastAsia"/>
        </w:rPr>
        <w:t xml:space="preserve"> B</w:t>
      </w:r>
    </w:p>
    <w:p w:rsidR="000D0DD4" w:rsidRDefault="000D0DD4" w:rsidP="000D0DD4">
      <w:pPr>
        <w:pStyle w:val="CETCaption"/>
        <w:rPr>
          <w:lang w:val="en-US"/>
        </w:rPr>
      </w:pPr>
      <w:r w:rsidRPr="001E2BE8">
        <w:rPr>
          <w:lang w:val="en-US"/>
        </w:rPr>
        <w:t xml:space="preserve">Figure 2: </w:t>
      </w:r>
      <w:r w:rsidR="00D97102" w:rsidRPr="00AE31D8">
        <w:rPr>
          <w:lang w:val="en-US"/>
        </w:rPr>
        <w:t>S</w:t>
      </w:r>
      <w:r w:rsidRPr="00AE31D8">
        <w:rPr>
          <w:lang w:val="en-US"/>
        </w:rPr>
        <w:t>chematics of the experimental setup for FB agglomeration tests (</w:t>
      </w:r>
      <w:r w:rsidR="00E86471" w:rsidRPr="00AE31D8">
        <w:rPr>
          <w:lang w:val="en-US"/>
        </w:rPr>
        <w:t>A</w:t>
      </w:r>
      <w:r w:rsidRPr="00AE31D8">
        <w:rPr>
          <w:lang w:val="en-US"/>
        </w:rPr>
        <w:t>) and photograph of the batch</w:t>
      </w:r>
      <w:r w:rsidRPr="00822E96">
        <w:rPr>
          <w:lang w:val="en-US"/>
        </w:rPr>
        <w:t xml:space="preserve"> apparatus for characterization of bed materials (</w:t>
      </w:r>
      <w:r w:rsidR="00E86471">
        <w:rPr>
          <w:lang w:val="en-US"/>
        </w:rPr>
        <w:t>B</w:t>
      </w:r>
      <w:r w:rsidRPr="00822E96">
        <w:rPr>
          <w:lang w:val="en-US"/>
        </w:rPr>
        <w:t>)</w:t>
      </w:r>
    </w:p>
    <w:p w:rsidR="000D0DD4" w:rsidRPr="00492F56" w:rsidRDefault="000D0DD4" w:rsidP="000D0DD4">
      <w:pPr>
        <w:pStyle w:val="CETHeading1"/>
        <w:tabs>
          <w:tab w:val="clear" w:pos="360"/>
          <w:tab w:val="right" w:pos="7100"/>
        </w:tabs>
        <w:jc w:val="both"/>
      </w:pPr>
      <w:r w:rsidRPr="00492F56">
        <w:t>Experimental results</w:t>
      </w:r>
    </w:p>
    <w:p w:rsidR="000D0DD4" w:rsidRPr="00492F56" w:rsidRDefault="000D0DD4" w:rsidP="000D0DD4">
      <w:pPr>
        <w:pStyle w:val="CETheadingx"/>
      </w:pPr>
      <w:r>
        <w:t>Fluidized bed experiments</w:t>
      </w:r>
    </w:p>
    <w:p w:rsidR="000D0DD4" w:rsidRDefault="000D0DD4" w:rsidP="000D0DD4">
      <w:pPr>
        <w:pStyle w:val="CETBodytext"/>
      </w:pPr>
      <w:r>
        <w:t xml:space="preserve">The temperature and pressure profiles of a FB test carried out with quartzite sand at 900 °C are shown in Figure </w:t>
      </w:r>
      <w:r w:rsidR="00AF6685">
        <w:t>3</w:t>
      </w:r>
      <w:r>
        <w:t xml:space="preserve">. The occurrence of bed agglomeration is </w:t>
      </w:r>
      <w:r w:rsidR="00401FB9">
        <w:t xml:space="preserve">well </w:t>
      </w:r>
      <w:r>
        <w:t>evident, as marked by the vertical line drawn at t=5230</w:t>
      </w:r>
      <w:r w:rsidR="00401FB9">
        <w:t> </w:t>
      </w:r>
      <w:r>
        <w:t xml:space="preserve">s, thanks to the abrupt change of both T and P signals. In fact, the agglomeration caused bed </w:t>
      </w:r>
      <w:proofErr w:type="spellStart"/>
      <w:r>
        <w:t>defluidization</w:t>
      </w:r>
      <w:proofErr w:type="spellEnd"/>
      <w:r>
        <w:t xml:space="preserve"> with formation of an anomalous reactor behavior, with hot spots and irregular gas flow. </w:t>
      </w:r>
    </w:p>
    <w:p w:rsidR="000D0DD4" w:rsidRDefault="000D0DD4" w:rsidP="000D0DD4">
      <w:pPr>
        <w:pStyle w:val="CETBodytext"/>
        <w:jc w:val="center"/>
        <w:rPr>
          <w:noProof/>
        </w:rPr>
      </w:pPr>
      <w:r>
        <w:rPr>
          <w:noProof/>
          <w:lang w:val="it-IT" w:eastAsia="it-IT"/>
        </w:rPr>
        <w:drawing>
          <wp:inline distT="0" distB="0" distL="0" distR="0" wp14:anchorId="58E19619" wp14:editId="6148229C">
            <wp:extent cx="4787654" cy="2084832"/>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t="-737" b="1686"/>
                    <a:stretch/>
                  </pic:blipFill>
                  <pic:spPr bwMode="auto">
                    <a:xfrm>
                      <a:off x="0" y="0"/>
                      <a:ext cx="4802938" cy="2091488"/>
                    </a:xfrm>
                    <a:prstGeom prst="rect">
                      <a:avLst/>
                    </a:prstGeom>
                    <a:noFill/>
                    <a:ln>
                      <a:noFill/>
                    </a:ln>
                    <a:extLst>
                      <a:ext uri="{53640926-AAD7-44D8-BBD7-CCE9431645EC}">
                        <a14:shadowObscured xmlns:a14="http://schemas.microsoft.com/office/drawing/2010/main"/>
                      </a:ext>
                    </a:extLst>
                  </pic:spPr>
                </pic:pic>
              </a:graphicData>
            </a:graphic>
          </wp:inline>
        </w:drawing>
      </w:r>
    </w:p>
    <w:p w:rsidR="000D0DD4" w:rsidRDefault="000D0DD4" w:rsidP="000D0DD4">
      <w:pPr>
        <w:pStyle w:val="CETCaption"/>
      </w:pPr>
      <w:r w:rsidRPr="001E2BE8">
        <w:rPr>
          <w:lang w:val="en-US"/>
        </w:rPr>
        <w:t xml:space="preserve">Figure </w:t>
      </w:r>
      <w:r w:rsidR="002B26D0" w:rsidRPr="001E2BE8">
        <w:rPr>
          <w:lang w:val="en-US"/>
        </w:rPr>
        <w:t>3</w:t>
      </w:r>
      <w:r w:rsidRPr="001E2BE8">
        <w:rPr>
          <w:lang w:val="en-US"/>
        </w:rPr>
        <w:t xml:space="preserve">: </w:t>
      </w:r>
      <w:r w:rsidR="00401FB9" w:rsidRPr="00401FB9">
        <w:t>T</w:t>
      </w:r>
      <w:r w:rsidRPr="00401FB9">
        <w:t>emperature and pressure profiles during an agglomeration test. The vertical line at t=5230 s marks</w:t>
      </w:r>
      <w:r>
        <w:t xml:space="preserve"> the onset of agglomeration</w:t>
      </w:r>
    </w:p>
    <w:p w:rsidR="00E86471" w:rsidRPr="00401FB9" w:rsidRDefault="00A26A6A" w:rsidP="00E86471">
      <w:pPr>
        <w:pStyle w:val="CETBodytext"/>
      </w:pPr>
      <w:r>
        <w:lastRenderedPageBreak/>
        <w:t xml:space="preserve">The photograph of sand agglomerates (quartzite) extracted from the reactor are displayed in Figure 4. </w:t>
      </w:r>
      <w:r w:rsidR="00E86471">
        <w:t>Besides the presence of small and fragile agglomerates formed by a limited number of sand particles (Fig</w:t>
      </w:r>
      <w:r w:rsidR="00401FB9">
        <w:t>ure</w:t>
      </w:r>
      <w:r w:rsidR="00E86471">
        <w:t xml:space="preserve"> 4-A), big agglomerate</w:t>
      </w:r>
      <w:r w:rsidR="00401FB9">
        <w:t>s</w:t>
      </w:r>
      <w:r w:rsidR="00E86471">
        <w:t xml:space="preserve"> with size comparable to the fluidization column diameter were also found (Fig</w:t>
      </w:r>
      <w:r w:rsidR="00401FB9">
        <w:t>ure</w:t>
      </w:r>
      <w:r w:rsidR="00E86471">
        <w:t xml:space="preserve"> 4-B) under certain conditions, when the experiment was not promptly stopped and the build-up of large and compact </w:t>
      </w:r>
      <w:r w:rsidR="00E86471" w:rsidRPr="00401FB9">
        <w:t xml:space="preserve">agglomerates was favored by the anomalous bed function. Figure 4-C shows the fuel to bed-inventory ratio </w:t>
      </w:r>
      <w:r w:rsidR="00401FB9" w:rsidRPr="00401FB9">
        <w:t xml:space="preserve">, or equivalently test duration, </w:t>
      </w:r>
      <w:r w:rsidR="00E86471" w:rsidRPr="00401FB9">
        <w:t>needed for achieving agglomeration with quartz sand. The effect of the bed temperature and of the olive husk content in fuel pellets (Y) is well evident: the higher T or Y, the lower is the fuel to bed-inventory ratio needed for agglomeration. In particular, comparing the first and third bars</w:t>
      </w:r>
      <w:r w:rsidR="00401FB9" w:rsidRPr="00401FB9">
        <w:t>,</w:t>
      </w:r>
      <w:r w:rsidR="00E86471" w:rsidRPr="00401FB9">
        <w:t xml:space="preserve"> the increase of 50 °C only in T had a dramatic effect, speeding up the agglomeration phenomena </w:t>
      </w:r>
      <w:r w:rsidR="00AF6685" w:rsidRPr="00401FB9">
        <w:t xml:space="preserve">at </w:t>
      </w:r>
      <w:r w:rsidR="00E86471" w:rsidRPr="00401FB9">
        <w:t xml:space="preserve">900 °C that occurred at fuel/bed ratio 0.3 times lower with respect to </w:t>
      </w:r>
      <w:r w:rsidR="007E6443" w:rsidRPr="00401FB9">
        <w:t xml:space="preserve">850 </w:t>
      </w:r>
      <w:r w:rsidR="00E86471" w:rsidRPr="00401FB9">
        <w:t xml:space="preserve">°C. Looking at the effect of the fuel blend, the presence of BC is beneficial in order to delay the occurrence of agglomeration, although no synergistic effects ascribed to the coal ashes can be evidenced and quite linear behavior appears. </w:t>
      </w:r>
    </w:p>
    <w:p w:rsidR="00A26A6A" w:rsidRDefault="00401FB9" w:rsidP="00A26A6A">
      <w:pPr>
        <w:pStyle w:val="CETBodytext"/>
      </w:pPr>
      <w:r w:rsidRPr="00401FB9">
        <w:t>F</w:t>
      </w:r>
      <w:r w:rsidR="00A26A6A" w:rsidRPr="00401FB9">
        <w:t>B tests confirmed that quartz sand is very prone to give rise to agglomeration, the tests carried out at both</w:t>
      </w:r>
      <w:r w:rsidR="00A26A6A">
        <w:t xml:space="preserve"> temperature of 850 and 900 °C always being terminated with </w:t>
      </w:r>
      <w:proofErr w:type="spellStart"/>
      <w:r w:rsidR="00A26A6A">
        <w:t>defluidization</w:t>
      </w:r>
      <w:proofErr w:type="spellEnd"/>
      <w:r w:rsidR="00A26A6A">
        <w:t xml:space="preserve"> in rather short time (around 1 h). In contrast, the olivine sand exhibited a good resistance to agglomeration, no phenomena being noted even at 900°C for a long test with a total duration in the excess of 10 h. This is an obvious consequence of the different silicon content in the bed materials, as reported in experimental description.</w:t>
      </w:r>
    </w:p>
    <w:p w:rsidR="000D0DD4" w:rsidRDefault="000D0DD4" w:rsidP="000D0DD4">
      <w:pPr>
        <w:pStyle w:val="CETBodytext"/>
        <w:rPr>
          <w:highlight w:val="yellow"/>
        </w:rPr>
      </w:pPr>
    </w:p>
    <w:p w:rsidR="000D0DD4" w:rsidRDefault="000D0DD4" w:rsidP="000D0DD4">
      <w:pPr>
        <w:pStyle w:val="CETBodytext"/>
        <w:rPr>
          <w:highlight w:val="yellow"/>
        </w:rPr>
      </w:pPr>
      <w:r>
        <w:rPr>
          <w:noProof/>
          <w:lang w:val="it-IT" w:eastAsia="it-IT"/>
        </w:rPr>
        <w:drawing>
          <wp:inline distT="0" distB="0" distL="0" distR="0" wp14:anchorId="04F1D56B" wp14:editId="4C952E94">
            <wp:extent cx="1264258" cy="1423284"/>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 b="-41089"/>
                    <a:stretch/>
                  </pic:blipFill>
                  <pic:spPr bwMode="auto">
                    <a:xfrm>
                      <a:off x="0" y="0"/>
                      <a:ext cx="1266556" cy="142587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A</w:t>
      </w:r>
      <w:r>
        <w:tab/>
      </w:r>
      <w:r>
        <w:rPr>
          <w:noProof/>
          <w:lang w:val="it-IT" w:eastAsia="it-IT"/>
        </w:rPr>
        <w:drawing>
          <wp:inline distT="0" distB="0" distL="0" distR="0" wp14:anchorId="1228D343" wp14:editId="433D6F9B">
            <wp:extent cx="1103081" cy="1423283"/>
            <wp:effectExtent l="0" t="0" r="190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146" t="-1" r="-1" b="-42063"/>
                    <a:stretch/>
                  </pic:blipFill>
                  <pic:spPr bwMode="auto">
                    <a:xfrm>
                      <a:off x="0" y="0"/>
                      <a:ext cx="1109779" cy="1431925"/>
                    </a:xfrm>
                    <a:prstGeom prst="rect">
                      <a:avLst/>
                    </a:prstGeom>
                    <a:noFill/>
                    <a:ln>
                      <a:noFill/>
                    </a:ln>
                    <a:extLst>
                      <a:ext uri="{53640926-AAD7-44D8-BBD7-CCE9431645EC}">
                        <a14:shadowObscured xmlns:a14="http://schemas.microsoft.com/office/drawing/2010/main"/>
                      </a:ext>
                    </a:extLst>
                  </pic:spPr>
                </pic:pic>
              </a:graphicData>
            </a:graphic>
          </wp:inline>
        </w:drawing>
      </w:r>
      <w:r w:rsidR="0058403B">
        <w:t xml:space="preserve"> </w:t>
      </w:r>
      <w:r>
        <w:t>B</w:t>
      </w:r>
      <w:r w:rsidR="0058403B" w:rsidRPr="00507BF1">
        <w:rPr>
          <w:noProof/>
          <w:lang w:val="it-IT" w:eastAsia="it-IT"/>
        </w:rPr>
        <w:drawing>
          <wp:inline distT="0" distB="0" distL="0" distR="0" wp14:anchorId="26EF64FA" wp14:editId="4901923A">
            <wp:extent cx="2846567" cy="1688408"/>
            <wp:effectExtent l="0" t="0" r="0" b="762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813" r="2406"/>
                    <a:stretch/>
                  </pic:blipFill>
                  <pic:spPr bwMode="auto">
                    <a:xfrm>
                      <a:off x="0" y="0"/>
                      <a:ext cx="2851597" cy="1691391"/>
                    </a:xfrm>
                    <a:prstGeom prst="rect">
                      <a:avLst/>
                    </a:prstGeom>
                    <a:noFill/>
                    <a:ln>
                      <a:noFill/>
                    </a:ln>
                    <a:extLst>
                      <a:ext uri="{53640926-AAD7-44D8-BBD7-CCE9431645EC}">
                        <a14:shadowObscured xmlns:a14="http://schemas.microsoft.com/office/drawing/2010/main"/>
                      </a:ext>
                    </a:extLst>
                  </pic:spPr>
                </pic:pic>
              </a:graphicData>
            </a:graphic>
          </wp:inline>
        </w:drawing>
      </w:r>
      <w:r w:rsidR="0058403B">
        <w:t>C</w:t>
      </w:r>
    </w:p>
    <w:p w:rsidR="000D0DD4" w:rsidRPr="0058594E" w:rsidRDefault="000D0DD4" w:rsidP="000D0DD4">
      <w:pPr>
        <w:pStyle w:val="CETBodytext"/>
        <w:jc w:val="left"/>
        <w:rPr>
          <w:i/>
        </w:rPr>
      </w:pPr>
      <w:r w:rsidRPr="001E2BE8">
        <w:rPr>
          <w:i/>
        </w:rPr>
        <w:t xml:space="preserve">Figure </w:t>
      </w:r>
      <w:r w:rsidR="002B26D0" w:rsidRPr="00401FB9">
        <w:rPr>
          <w:i/>
        </w:rPr>
        <w:t>4</w:t>
      </w:r>
      <w:r w:rsidRPr="00401FB9">
        <w:rPr>
          <w:i/>
        </w:rPr>
        <w:t xml:space="preserve">: </w:t>
      </w:r>
      <w:r w:rsidR="0058403B" w:rsidRPr="00401FB9">
        <w:rPr>
          <w:i/>
        </w:rPr>
        <w:t>P</w:t>
      </w:r>
      <w:r w:rsidRPr="00401FB9">
        <w:rPr>
          <w:i/>
        </w:rPr>
        <w:t>hotographs of small (A) and big (B) agglomerates</w:t>
      </w:r>
      <w:r w:rsidR="00401FB9" w:rsidRPr="00401FB9">
        <w:rPr>
          <w:i/>
        </w:rPr>
        <w:t xml:space="preserve"> retrieved in fluidized bed</w:t>
      </w:r>
      <w:r w:rsidRPr="00401FB9">
        <w:rPr>
          <w:i/>
        </w:rPr>
        <w:t xml:space="preserve">. </w:t>
      </w:r>
      <w:r w:rsidR="0058403B" w:rsidRPr="00401FB9">
        <w:rPr>
          <w:i/>
        </w:rPr>
        <w:t>Fuel to bed-inventory</w:t>
      </w:r>
      <w:r w:rsidR="0058403B" w:rsidRPr="0058403B">
        <w:rPr>
          <w:i/>
        </w:rPr>
        <w:t xml:space="preserve"> ratio at agglomeration as function of olive husk content in the fuel pellets</w:t>
      </w:r>
      <w:r w:rsidR="0058403B">
        <w:rPr>
          <w:i/>
        </w:rPr>
        <w:t xml:space="preserve"> (C)</w:t>
      </w:r>
    </w:p>
    <w:p w:rsidR="000D0DD4" w:rsidRPr="00492F56" w:rsidRDefault="000D0DD4" w:rsidP="000D0DD4">
      <w:pPr>
        <w:pStyle w:val="CETheadingx"/>
      </w:pPr>
      <w:r>
        <w:t>Tests in alumina crucible</w:t>
      </w:r>
    </w:p>
    <w:p w:rsidR="000D0DD4" w:rsidRDefault="000D0DD4" w:rsidP="00BD08B1">
      <w:pPr>
        <w:pStyle w:val="CETBodytext"/>
      </w:pPr>
      <w:r w:rsidRPr="005A2ED3">
        <w:t>The tests carried out in the alumina crucible are summarized in Table</w:t>
      </w:r>
      <w:r w:rsidRPr="001E2BE8">
        <w:t xml:space="preserve"> 2</w:t>
      </w:r>
      <w:r w:rsidRPr="005A2ED3">
        <w:t>. It appears that the quartz sand gave</w:t>
      </w:r>
      <w:r>
        <w:t xml:space="preserve"> rise to agglomeration at 900 °C (test Q-2) for equal amounts of fuel and sample (2.0/2.0), but no agglomeration was observed at T=800 °C (test Q-1) even with higher fuel to sample ratio (4.0/2.0). Chromite and olivine were both resistant to agglomeration (tests CH-1 and OL-1) under same severe conditions of test Q-2. The addition of either kaolin or </w:t>
      </w:r>
      <w:proofErr w:type="spellStart"/>
      <w:r>
        <w:t>metakaolin</w:t>
      </w:r>
      <w:proofErr w:type="spellEnd"/>
      <w:r>
        <w:t xml:space="preserve"> prevented agglomeration (tests Q-3 and Q-4). It is worth noting that at the operating conditions of the tests the kaolin should be </w:t>
      </w:r>
      <w:r w:rsidR="005A2ED3">
        <w:t xml:space="preserve">fully </w:t>
      </w:r>
      <w:r>
        <w:t xml:space="preserve">converted to </w:t>
      </w:r>
      <w:proofErr w:type="spellStart"/>
      <w:r>
        <w:t>metakaolin</w:t>
      </w:r>
      <w:proofErr w:type="spellEnd"/>
      <w:r>
        <w:t xml:space="preserve">, losing the </w:t>
      </w:r>
      <w:r w:rsidRPr="005A2ED3">
        <w:t xml:space="preserve">hydroxide groups </w:t>
      </w:r>
      <w:r w:rsidR="00FC3D93" w:rsidRPr="001E2BE8">
        <w:t>(</w:t>
      </w:r>
      <w:proofErr w:type="spellStart"/>
      <w:r w:rsidR="00D56DE1" w:rsidRPr="001E2BE8">
        <w:t>Sperinck</w:t>
      </w:r>
      <w:proofErr w:type="spellEnd"/>
      <w:r w:rsidR="00D8612A" w:rsidRPr="001E2BE8">
        <w:t xml:space="preserve"> et al., 2000</w:t>
      </w:r>
      <w:r w:rsidR="00FC3D93" w:rsidRPr="001E2BE8">
        <w:t>)</w:t>
      </w:r>
      <w:r w:rsidRPr="005A2ED3">
        <w:t xml:space="preserve">. The tests Q-5 </w:t>
      </w:r>
      <w:r w:rsidR="002B26D0" w:rsidRPr="005A2ED3">
        <w:t xml:space="preserve">to </w:t>
      </w:r>
      <w:r w:rsidRPr="005A2ED3">
        <w:t xml:space="preserve">Q-8 were executed </w:t>
      </w:r>
      <w:r w:rsidR="00B6455E" w:rsidRPr="005A2ED3">
        <w:t xml:space="preserve">at </w:t>
      </w:r>
      <w:r w:rsidRPr="005A2ED3">
        <w:t>decreasing addition of kaolin</w:t>
      </w:r>
      <w:r>
        <w:t xml:space="preserve"> until agglomeration was </w:t>
      </w:r>
      <w:r w:rsidR="002B26D0">
        <w:t>achieved</w:t>
      </w:r>
      <w:r>
        <w:t>. This event occurred when 2</w:t>
      </w:r>
      <w:r w:rsidR="005A2ED3">
        <w:t>2</w:t>
      </w:r>
      <w:r>
        <w:t xml:space="preserve"> mg of additive was used</w:t>
      </w:r>
      <w:r w:rsidR="005A2ED3">
        <w:t xml:space="preserve"> (Q-8)</w:t>
      </w:r>
      <w:r>
        <w:t xml:space="preserve">. </w:t>
      </w:r>
    </w:p>
    <w:p w:rsidR="000D0DD4" w:rsidRPr="00B415B2" w:rsidRDefault="000D0DD4" w:rsidP="000D0DD4">
      <w:pPr>
        <w:pStyle w:val="CET-table-title"/>
      </w:pPr>
      <w:r w:rsidRPr="001E2BE8">
        <w:t xml:space="preserve">Table 2: </w:t>
      </w:r>
      <w:r w:rsidR="005A2ED3" w:rsidRPr="005A2ED3">
        <w:t>T</w:t>
      </w:r>
      <w:r w:rsidRPr="005A2ED3">
        <w:t>ests carried out in alumina crucible with different bed materials and olive husk</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851"/>
        <w:gridCol w:w="1134"/>
        <w:gridCol w:w="971"/>
        <w:gridCol w:w="714"/>
        <w:gridCol w:w="992"/>
        <w:gridCol w:w="567"/>
        <w:gridCol w:w="1098"/>
        <w:gridCol w:w="1140"/>
      </w:tblGrid>
      <w:tr w:rsidR="000D0DD4" w:rsidRPr="00492F56" w:rsidTr="00B112A3">
        <w:tc>
          <w:tcPr>
            <w:tcW w:w="851" w:type="dxa"/>
            <w:tcBorders>
              <w:top w:val="single" w:sz="12" w:space="0" w:color="008000"/>
              <w:bottom w:val="single" w:sz="6" w:space="0" w:color="008000"/>
            </w:tcBorders>
            <w:shd w:val="clear" w:color="auto" w:fill="FFFFFF"/>
          </w:tcPr>
          <w:p w:rsidR="000D0DD4" w:rsidRPr="00492F56" w:rsidRDefault="000D0DD4" w:rsidP="00B112A3">
            <w:pPr>
              <w:pStyle w:val="CETBodytext"/>
              <w:jc w:val="center"/>
            </w:pPr>
          </w:p>
        </w:tc>
        <w:tc>
          <w:tcPr>
            <w:tcW w:w="1134" w:type="dxa"/>
            <w:tcBorders>
              <w:top w:val="single" w:sz="12" w:space="0" w:color="008000"/>
              <w:bottom w:val="single" w:sz="6" w:space="0" w:color="008000"/>
            </w:tcBorders>
            <w:shd w:val="clear" w:color="auto" w:fill="FFFFFF"/>
          </w:tcPr>
          <w:p w:rsidR="000D0DD4" w:rsidRPr="00492F56" w:rsidRDefault="000D0DD4" w:rsidP="00B112A3">
            <w:pPr>
              <w:pStyle w:val="CETBodytext"/>
              <w:jc w:val="center"/>
            </w:pPr>
            <w:r>
              <w:t>bed material</w:t>
            </w:r>
          </w:p>
        </w:tc>
        <w:tc>
          <w:tcPr>
            <w:tcW w:w="971" w:type="dxa"/>
            <w:tcBorders>
              <w:top w:val="single" w:sz="12" w:space="0" w:color="008000"/>
              <w:bottom w:val="single" w:sz="6" w:space="0" w:color="008000"/>
            </w:tcBorders>
            <w:shd w:val="clear" w:color="auto" w:fill="FFFFFF"/>
          </w:tcPr>
          <w:p w:rsidR="000D0DD4" w:rsidRDefault="000D0DD4" w:rsidP="00B112A3">
            <w:pPr>
              <w:pStyle w:val="CETBodytext"/>
              <w:jc w:val="center"/>
            </w:pPr>
            <w:r>
              <w:t>temperature</w:t>
            </w:r>
          </w:p>
          <w:p w:rsidR="000D0DD4" w:rsidRDefault="000D0DD4" w:rsidP="00B112A3">
            <w:pPr>
              <w:pStyle w:val="CETBodytext"/>
              <w:jc w:val="center"/>
            </w:pPr>
            <w:r>
              <w:t>°C</w:t>
            </w:r>
          </w:p>
        </w:tc>
        <w:tc>
          <w:tcPr>
            <w:tcW w:w="714" w:type="dxa"/>
            <w:tcBorders>
              <w:top w:val="single" w:sz="12" w:space="0" w:color="008000"/>
              <w:bottom w:val="single" w:sz="6" w:space="0" w:color="008000"/>
            </w:tcBorders>
            <w:shd w:val="clear" w:color="auto" w:fill="FFFFFF"/>
          </w:tcPr>
          <w:p w:rsidR="000D0DD4" w:rsidRDefault="000D0DD4" w:rsidP="00B112A3">
            <w:pPr>
              <w:pStyle w:val="CETBodytext"/>
              <w:jc w:val="center"/>
            </w:pPr>
            <w:r>
              <w:t>mass</w:t>
            </w:r>
          </w:p>
          <w:p w:rsidR="000D0DD4" w:rsidRDefault="000D0DD4" w:rsidP="00B112A3">
            <w:pPr>
              <w:pStyle w:val="CETBodytext"/>
              <w:jc w:val="center"/>
            </w:pPr>
            <w:r>
              <w:t>g</w:t>
            </w:r>
          </w:p>
        </w:tc>
        <w:tc>
          <w:tcPr>
            <w:tcW w:w="992" w:type="dxa"/>
            <w:tcBorders>
              <w:top w:val="single" w:sz="12" w:space="0" w:color="008000"/>
              <w:bottom w:val="single" w:sz="6" w:space="0" w:color="008000"/>
            </w:tcBorders>
            <w:shd w:val="clear" w:color="auto" w:fill="FFFFFF"/>
          </w:tcPr>
          <w:p w:rsidR="000D0DD4" w:rsidRPr="00492F56" w:rsidRDefault="000D0DD4" w:rsidP="00B112A3">
            <w:pPr>
              <w:pStyle w:val="CETBodytext"/>
              <w:jc w:val="center"/>
            </w:pPr>
            <w:r>
              <w:t>additive</w:t>
            </w:r>
          </w:p>
        </w:tc>
        <w:tc>
          <w:tcPr>
            <w:tcW w:w="567" w:type="dxa"/>
            <w:tcBorders>
              <w:top w:val="single" w:sz="12" w:space="0" w:color="008000"/>
              <w:bottom w:val="single" w:sz="6" w:space="0" w:color="008000"/>
            </w:tcBorders>
            <w:shd w:val="clear" w:color="auto" w:fill="FFFFFF"/>
          </w:tcPr>
          <w:p w:rsidR="000D0DD4" w:rsidRDefault="000D0DD4" w:rsidP="00B112A3">
            <w:pPr>
              <w:pStyle w:val="CETBodytext"/>
              <w:ind w:right="-1"/>
              <w:jc w:val="center"/>
              <w:rPr>
                <w:rFonts w:cs="Arial"/>
                <w:szCs w:val="18"/>
              </w:rPr>
            </w:pPr>
            <w:r>
              <w:rPr>
                <w:rFonts w:cs="Arial"/>
                <w:szCs w:val="18"/>
              </w:rPr>
              <w:t>mass</w:t>
            </w:r>
          </w:p>
          <w:p w:rsidR="000D0DD4" w:rsidRPr="00492F56" w:rsidRDefault="000D0DD4" w:rsidP="00B112A3">
            <w:pPr>
              <w:pStyle w:val="CETBodytext"/>
              <w:ind w:right="-1"/>
              <w:jc w:val="center"/>
              <w:rPr>
                <w:rFonts w:cs="Arial"/>
                <w:szCs w:val="18"/>
              </w:rPr>
            </w:pPr>
            <w:r>
              <w:rPr>
                <w:rFonts w:cs="Arial"/>
                <w:szCs w:val="18"/>
              </w:rPr>
              <w:t>mg</w:t>
            </w:r>
          </w:p>
        </w:tc>
        <w:tc>
          <w:tcPr>
            <w:tcW w:w="1098" w:type="dxa"/>
            <w:tcBorders>
              <w:top w:val="single" w:sz="12" w:space="0" w:color="008000"/>
              <w:bottom w:val="single" w:sz="6" w:space="0" w:color="008000"/>
            </w:tcBorders>
            <w:shd w:val="clear" w:color="auto" w:fill="FFFFFF"/>
          </w:tcPr>
          <w:p w:rsidR="000D0DD4" w:rsidRPr="00492F56" w:rsidRDefault="000D0DD4" w:rsidP="00B112A3">
            <w:pPr>
              <w:pStyle w:val="CETBodytext"/>
              <w:ind w:right="-1"/>
              <w:jc w:val="center"/>
              <w:rPr>
                <w:rFonts w:cs="Arial"/>
                <w:szCs w:val="18"/>
              </w:rPr>
            </w:pPr>
            <w:r>
              <w:rPr>
                <w:rFonts w:cs="Arial"/>
                <w:szCs w:val="18"/>
              </w:rPr>
              <w:t>olive husk</w:t>
            </w:r>
          </w:p>
          <w:p w:rsidR="000D0DD4" w:rsidRPr="00492F56" w:rsidRDefault="000D0DD4" w:rsidP="00B112A3">
            <w:pPr>
              <w:pStyle w:val="CETBodytext"/>
              <w:ind w:right="-1"/>
              <w:jc w:val="center"/>
              <w:rPr>
                <w:rFonts w:cs="Arial"/>
                <w:szCs w:val="18"/>
              </w:rPr>
            </w:pPr>
            <w:r>
              <w:rPr>
                <w:rFonts w:cs="Arial"/>
                <w:szCs w:val="18"/>
              </w:rPr>
              <w:t>g</w:t>
            </w:r>
          </w:p>
        </w:tc>
        <w:tc>
          <w:tcPr>
            <w:tcW w:w="1140" w:type="dxa"/>
            <w:tcBorders>
              <w:top w:val="single" w:sz="12" w:space="0" w:color="008000"/>
              <w:bottom w:val="single" w:sz="6" w:space="0" w:color="008000"/>
            </w:tcBorders>
            <w:shd w:val="clear" w:color="auto" w:fill="FFFFFF"/>
          </w:tcPr>
          <w:p w:rsidR="000D0DD4" w:rsidRPr="00492F56" w:rsidRDefault="000D0DD4" w:rsidP="00B112A3">
            <w:pPr>
              <w:pStyle w:val="CETBodytext"/>
              <w:ind w:right="-1"/>
              <w:jc w:val="center"/>
              <w:rPr>
                <w:rFonts w:cs="Arial"/>
                <w:szCs w:val="18"/>
              </w:rPr>
            </w:pPr>
            <w:r>
              <w:rPr>
                <w:rFonts w:cs="Arial"/>
                <w:szCs w:val="18"/>
              </w:rPr>
              <w:t>agglomeration</w:t>
            </w:r>
          </w:p>
        </w:tc>
      </w:tr>
      <w:tr w:rsidR="000D0DD4" w:rsidRPr="007E18B1" w:rsidTr="00B112A3">
        <w:tc>
          <w:tcPr>
            <w:tcW w:w="851" w:type="dxa"/>
            <w:shd w:val="clear" w:color="auto" w:fill="FFFFFF"/>
          </w:tcPr>
          <w:p w:rsidR="000D0DD4" w:rsidRPr="007E18B1" w:rsidRDefault="000D0DD4" w:rsidP="00B112A3">
            <w:pPr>
              <w:pStyle w:val="CETBodytext"/>
              <w:jc w:val="center"/>
            </w:pPr>
            <w:r>
              <w:t>Q-1</w:t>
            </w:r>
          </w:p>
        </w:tc>
        <w:tc>
          <w:tcPr>
            <w:tcW w:w="1134" w:type="dxa"/>
            <w:shd w:val="clear" w:color="auto" w:fill="FFFFFF"/>
          </w:tcPr>
          <w:p w:rsidR="000D0DD4" w:rsidRPr="007E18B1" w:rsidRDefault="000D0DD4" w:rsidP="00B112A3">
            <w:pPr>
              <w:pStyle w:val="CETBodytext"/>
              <w:jc w:val="center"/>
            </w:pPr>
            <w:r>
              <w:t>quartz sand</w:t>
            </w:r>
          </w:p>
        </w:tc>
        <w:tc>
          <w:tcPr>
            <w:tcW w:w="971" w:type="dxa"/>
            <w:shd w:val="clear" w:color="auto" w:fill="FFFFFF"/>
          </w:tcPr>
          <w:p w:rsidR="000D0DD4" w:rsidRDefault="000D0DD4" w:rsidP="00B112A3">
            <w:pPr>
              <w:pStyle w:val="CETBodytext"/>
              <w:jc w:val="center"/>
            </w:pPr>
            <w:r>
              <w:t>800</w:t>
            </w:r>
          </w:p>
        </w:tc>
        <w:tc>
          <w:tcPr>
            <w:tcW w:w="714" w:type="dxa"/>
            <w:shd w:val="clear" w:color="auto" w:fill="FFFFFF"/>
          </w:tcPr>
          <w:p w:rsidR="000D0DD4" w:rsidRPr="007E18B1" w:rsidRDefault="000D0DD4" w:rsidP="00B112A3">
            <w:pPr>
              <w:pStyle w:val="CETBodytext"/>
              <w:jc w:val="center"/>
            </w:pPr>
            <w:r>
              <w:t>2.0</w:t>
            </w:r>
          </w:p>
        </w:tc>
        <w:tc>
          <w:tcPr>
            <w:tcW w:w="992" w:type="dxa"/>
            <w:shd w:val="clear" w:color="auto" w:fill="FFFFFF"/>
          </w:tcPr>
          <w:p w:rsidR="000D0DD4" w:rsidRPr="007E18B1" w:rsidRDefault="000D0DD4" w:rsidP="00B112A3">
            <w:pPr>
              <w:pStyle w:val="CETBodytext"/>
              <w:jc w:val="center"/>
            </w:pPr>
          </w:p>
        </w:tc>
        <w:tc>
          <w:tcPr>
            <w:tcW w:w="567" w:type="dxa"/>
            <w:shd w:val="clear" w:color="auto" w:fill="FFFFFF"/>
          </w:tcPr>
          <w:p w:rsidR="000D0DD4" w:rsidRPr="007E18B1" w:rsidRDefault="000D0DD4" w:rsidP="00B112A3">
            <w:pPr>
              <w:pStyle w:val="CETBodytext"/>
              <w:ind w:right="-1"/>
              <w:jc w:val="center"/>
              <w:rPr>
                <w:rFonts w:cs="Arial"/>
                <w:szCs w:val="18"/>
              </w:rPr>
            </w:pPr>
          </w:p>
        </w:tc>
        <w:tc>
          <w:tcPr>
            <w:tcW w:w="1098" w:type="dxa"/>
            <w:shd w:val="clear" w:color="auto" w:fill="FFFFFF"/>
          </w:tcPr>
          <w:p w:rsidR="000D0DD4" w:rsidRPr="007E18B1" w:rsidRDefault="000D0DD4" w:rsidP="00B112A3">
            <w:pPr>
              <w:pStyle w:val="CETBodytext"/>
              <w:ind w:right="-1"/>
              <w:jc w:val="center"/>
              <w:rPr>
                <w:rFonts w:cs="Arial"/>
                <w:szCs w:val="18"/>
              </w:rPr>
            </w:pPr>
            <w:r>
              <w:rPr>
                <w:rFonts w:cs="Arial"/>
                <w:szCs w:val="18"/>
              </w:rPr>
              <w:t>4.0</w:t>
            </w:r>
          </w:p>
        </w:tc>
        <w:tc>
          <w:tcPr>
            <w:tcW w:w="1140" w:type="dxa"/>
            <w:shd w:val="clear" w:color="auto" w:fill="FFFFFF"/>
          </w:tcPr>
          <w:p w:rsidR="000D0DD4" w:rsidRPr="007E18B1" w:rsidRDefault="000D0DD4" w:rsidP="00B112A3">
            <w:pPr>
              <w:pStyle w:val="CETBodytext"/>
              <w:ind w:right="-1"/>
              <w:jc w:val="center"/>
              <w:rPr>
                <w:rFonts w:cs="Arial"/>
                <w:szCs w:val="18"/>
              </w:rPr>
            </w:pPr>
            <w:r>
              <w:rPr>
                <w:rFonts w:cs="Arial"/>
                <w:szCs w:val="18"/>
              </w:rPr>
              <w:t>NO</w:t>
            </w:r>
          </w:p>
        </w:tc>
      </w:tr>
      <w:tr w:rsidR="000D0DD4" w:rsidRPr="007E18B1" w:rsidTr="00B112A3">
        <w:tc>
          <w:tcPr>
            <w:tcW w:w="851" w:type="dxa"/>
            <w:shd w:val="clear" w:color="auto" w:fill="FFFFFF"/>
          </w:tcPr>
          <w:p w:rsidR="000D0DD4" w:rsidRPr="007E18B1" w:rsidRDefault="000D0DD4" w:rsidP="00B112A3">
            <w:pPr>
              <w:pStyle w:val="CETBodytext"/>
              <w:jc w:val="center"/>
            </w:pPr>
            <w:r>
              <w:t>Q-2</w:t>
            </w:r>
          </w:p>
        </w:tc>
        <w:tc>
          <w:tcPr>
            <w:tcW w:w="1134" w:type="dxa"/>
            <w:shd w:val="clear" w:color="auto" w:fill="FFFFFF"/>
          </w:tcPr>
          <w:p w:rsidR="000D0DD4" w:rsidRPr="007E18B1" w:rsidRDefault="000D0DD4" w:rsidP="00B112A3">
            <w:pPr>
              <w:pStyle w:val="CETBodytext"/>
              <w:jc w:val="center"/>
            </w:pPr>
            <w:r>
              <w:t>quartz sand</w:t>
            </w:r>
          </w:p>
        </w:tc>
        <w:tc>
          <w:tcPr>
            <w:tcW w:w="971" w:type="dxa"/>
            <w:shd w:val="clear" w:color="auto" w:fill="FFFFFF"/>
          </w:tcPr>
          <w:p w:rsidR="000D0DD4" w:rsidRDefault="000D0DD4" w:rsidP="00B112A3">
            <w:pPr>
              <w:pStyle w:val="CETBodytext"/>
              <w:jc w:val="center"/>
            </w:pPr>
            <w:r>
              <w:t>900</w:t>
            </w:r>
          </w:p>
        </w:tc>
        <w:tc>
          <w:tcPr>
            <w:tcW w:w="714" w:type="dxa"/>
            <w:shd w:val="clear" w:color="auto" w:fill="FFFFFF"/>
          </w:tcPr>
          <w:p w:rsidR="000D0DD4" w:rsidRPr="007E18B1" w:rsidRDefault="000D0DD4" w:rsidP="00B112A3">
            <w:pPr>
              <w:pStyle w:val="CETBodytext"/>
              <w:jc w:val="center"/>
            </w:pPr>
            <w:r>
              <w:t>2.0</w:t>
            </w:r>
          </w:p>
        </w:tc>
        <w:tc>
          <w:tcPr>
            <w:tcW w:w="992" w:type="dxa"/>
            <w:shd w:val="clear" w:color="auto" w:fill="FFFFFF"/>
          </w:tcPr>
          <w:p w:rsidR="000D0DD4" w:rsidRPr="007E18B1" w:rsidRDefault="000D0DD4" w:rsidP="00B112A3">
            <w:pPr>
              <w:pStyle w:val="CETBodytext"/>
              <w:jc w:val="center"/>
            </w:pPr>
          </w:p>
        </w:tc>
        <w:tc>
          <w:tcPr>
            <w:tcW w:w="567" w:type="dxa"/>
            <w:shd w:val="clear" w:color="auto" w:fill="FFFFFF"/>
          </w:tcPr>
          <w:p w:rsidR="000D0DD4" w:rsidRPr="007E18B1" w:rsidRDefault="000D0DD4" w:rsidP="00B112A3">
            <w:pPr>
              <w:pStyle w:val="CETBodytext"/>
              <w:ind w:right="-1"/>
              <w:jc w:val="center"/>
              <w:rPr>
                <w:rFonts w:cs="Arial"/>
                <w:szCs w:val="18"/>
              </w:rPr>
            </w:pPr>
          </w:p>
        </w:tc>
        <w:tc>
          <w:tcPr>
            <w:tcW w:w="1098" w:type="dxa"/>
            <w:shd w:val="clear" w:color="auto" w:fill="FFFFFF"/>
          </w:tcPr>
          <w:p w:rsidR="000D0DD4" w:rsidRPr="007E18B1" w:rsidRDefault="000D0DD4" w:rsidP="00B112A3">
            <w:pPr>
              <w:pStyle w:val="CETBodytext"/>
              <w:ind w:right="-1"/>
              <w:jc w:val="center"/>
              <w:rPr>
                <w:rFonts w:cs="Arial"/>
                <w:szCs w:val="18"/>
              </w:rPr>
            </w:pPr>
            <w:r>
              <w:rPr>
                <w:rFonts w:cs="Arial"/>
                <w:szCs w:val="18"/>
              </w:rPr>
              <w:t>2.0</w:t>
            </w:r>
          </w:p>
        </w:tc>
        <w:tc>
          <w:tcPr>
            <w:tcW w:w="1140" w:type="dxa"/>
            <w:shd w:val="clear" w:color="auto" w:fill="FFFFFF"/>
          </w:tcPr>
          <w:p w:rsidR="000D0DD4" w:rsidRPr="007E18B1" w:rsidRDefault="000D0DD4" w:rsidP="00B112A3">
            <w:pPr>
              <w:pStyle w:val="CETBodytext"/>
              <w:ind w:right="-1"/>
              <w:jc w:val="center"/>
              <w:rPr>
                <w:rFonts w:cs="Arial"/>
                <w:szCs w:val="18"/>
              </w:rPr>
            </w:pPr>
            <w:r>
              <w:rPr>
                <w:rFonts w:cs="Arial"/>
                <w:szCs w:val="18"/>
              </w:rPr>
              <w:t>YES</w:t>
            </w:r>
          </w:p>
        </w:tc>
      </w:tr>
      <w:tr w:rsidR="000D0DD4" w:rsidRPr="007E18B1" w:rsidTr="00B112A3">
        <w:tc>
          <w:tcPr>
            <w:tcW w:w="851" w:type="dxa"/>
            <w:shd w:val="clear" w:color="auto" w:fill="FFFFFF"/>
          </w:tcPr>
          <w:p w:rsidR="000D0DD4" w:rsidRPr="007E18B1" w:rsidRDefault="000D0DD4" w:rsidP="00B112A3">
            <w:pPr>
              <w:pStyle w:val="CETBodytext"/>
              <w:jc w:val="center"/>
            </w:pPr>
            <w:r>
              <w:t>Q-3</w:t>
            </w:r>
          </w:p>
        </w:tc>
        <w:tc>
          <w:tcPr>
            <w:tcW w:w="1134" w:type="dxa"/>
            <w:shd w:val="clear" w:color="auto" w:fill="FFFFFF"/>
          </w:tcPr>
          <w:p w:rsidR="000D0DD4" w:rsidRPr="007E18B1" w:rsidRDefault="000D0DD4" w:rsidP="00B112A3">
            <w:pPr>
              <w:pStyle w:val="CETBodytext"/>
              <w:jc w:val="center"/>
            </w:pPr>
            <w:r>
              <w:t>quartz sand</w:t>
            </w:r>
          </w:p>
        </w:tc>
        <w:tc>
          <w:tcPr>
            <w:tcW w:w="971" w:type="dxa"/>
            <w:shd w:val="clear" w:color="auto" w:fill="FFFFFF"/>
          </w:tcPr>
          <w:p w:rsidR="000D0DD4" w:rsidRDefault="000D0DD4" w:rsidP="00B112A3">
            <w:pPr>
              <w:pStyle w:val="CETBodytext"/>
              <w:jc w:val="center"/>
            </w:pPr>
            <w:r>
              <w:t>900</w:t>
            </w:r>
          </w:p>
        </w:tc>
        <w:tc>
          <w:tcPr>
            <w:tcW w:w="714" w:type="dxa"/>
            <w:shd w:val="clear" w:color="auto" w:fill="FFFFFF"/>
          </w:tcPr>
          <w:p w:rsidR="000D0DD4" w:rsidRPr="007E18B1" w:rsidRDefault="000D0DD4" w:rsidP="00B112A3">
            <w:pPr>
              <w:pStyle w:val="CETBodytext"/>
              <w:jc w:val="center"/>
            </w:pPr>
            <w:r>
              <w:t>2.0</w:t>
            </w:r>
          </w:p>
        </w:tc>
        <w:tc>
          <w:tcPr>
            <w:tcW w:w="992" w:type="dxa"/>
            <w:shd w:val="clear" w:color="auto" w:fill="FFFFFF"/>
          </w:tcPr>
          <w:p w:rsidR="000D0DD4" w:rsidRPr="007E18B1" w:rsidRDefault="000D0DD4" w:rsidP="00B112A3">
            <w:pPr>
              <w:pStyle w:val="CETBodytext"/>
              <w:jc w:val="center"/>
            </w:pPr>
            <w:r>
              <w:t>kaolin</w:t>
            </w:r>
          </w:p>
        </w:tc>
        <w:tc>
          <w:tcPr>
            <w:tcW w:w="567" w:type="dxa"/>
            <w:shd w:val="clear" w:color="auto" w:fill="FFFFFF"/>
          </w:tcPr>
          <w:p w:rsidR="000D0DD4" w:rsidRPr="007E18B1" w:rsidRDefault="000D0DD4" w:rsidP="00B112A3">
            <w:pPr>
              <w:pStyle w:val="CETBodytext"/>
              <w:ind w:right="-1"/>
              <w:jc w:val="center"/>
              <w:rPr>
                <w:rFonts w:cs="Arial"/>
                <w:szCs w:val="18"/>
              </w:rPr>
            </w:pPr>
            <w:r>
              <w:rPr>
                <w:rFonts w:cs="Arial"/>
                <w:szCs w:val="18"/>
              </w:rPr>
              <w:t>200</w:t>
            </w:r>
          </w:p>
        </w:tc>
        <w:tc>
          <w:tcPr>
            <w:tcW w:w="1098" w:type="dxa"/>
            <w:shd w:val="clear" w:color="auto" w:fill="FFFFFF"/>
          </w:tcPr>
          <w:p w:rsidR="000D0DD4" w:rsidRPr="007E18B1" w:rsidRDefault="000D0DD4" w:rsidP="00B112A3">
            <w:pPr>
              <w:pStyle w:val="CETBodytext"/>
              <w:ind w:right="-1"/>
              <w:jc w:val="center"/>
              <w:rPr>
                <w:rFonts w:cs="Arial"/>
                <w:szCs w:val="18"/>
              </w:rPr>
            </w:pPr>
            <w:r>
              <w:rPr>
                <w:rFonts w:cs="Arial"/>
                <w:szCs w:val="18"/>
              </w:rPr>
              <w:t>2.0</w:t>
            </w:r>
          </w:p>
        </w:tc>
        <w:tc>
          <w:tcPr>
            <w:tcW w:w="1140" w:type="dxa"/>
            <w:shd w:val="clear" w:color="auto" w:fill="FFFFFF"/>
          </w:tcPr>
          <w:p w:rsidR="000D0DD4" w:rsidRPr="007E18B1" w:rsidRDefault="000D0DD4" w:rsidP="00B112A3">
            <w:pPr>
              <w:pStyle w:val="CETBodytext"/>
              <w:ind w:right="-1"/>
              <w:jc w:val="center"/>
              <w:rPr>
                <w:rFonts w:cs="Arial"/>
                <w:szCs w:val="18"/>
              </w:rPr>
            </w:pPr>
            <w:r>
              <w:rPr>
                <w:rFonts w:cs="Arial"/>
                <w:szCs w:val="18"/>
              </w:rPr>
              <w:t>NO</w:t>
            </w:r>
          </w:p>
        </w:tc>
      </w:tr>
      <w:tr w:rsidR="000D0DD4" w:rsidRPr="007E18B1" w:rsidTr="00B112A3">
        <w:tc>
          <w:tcPr>
            <w:tcW w:w="851" w:type="dxa"/>
            <w:shd w:val="clear" w:color="auto" w:fill="FFFFFF"/>
          </w:tcPr>
          <w:p w:rsidR="000D0DD4" w:rsidRPr="007E18B1" w:rsidRDefault="000D0DD4" w:rsidP="00B112A3">
            <w:pPr>
              <w:pStyle w:val="CETBodytext"/>
              <w:jc w:val="center"/>
            </w:pPr>
            <w:r>
              <w:t>Q-4</w:t>
            </w:r>
          </w:p>
        </w:tc>
        <w:tc>
          <w:tcPr>
            <w:tcW w:w="1134" w:type="dxa"/>
            <w:shd w:val="clear" w:color="auto" w:fill="FFFFFF"/>
          </w:tcPr>
          <w:p w:rsidR="000D0DD4" w:rsidRPr="007E18B1" w:rsidRDefault="000D0DD4" w:rsidP="00B112A3">
            <w:pPr>
              <w:pStyle w:val="CETBodytext"/>
              <w:jc w:val="center"/>
            </w:pPr>
            <w:r>
              <w:t>quartz sand</w:t>
            </w:r>
          </w:p>
        </w:tc>
        <w:tc>
          <w:tcPr>
            <w:tcW w:w="971" w:type="dxa"/>
            <w:shd w:val="clear" w:color="auto" w:fill="FFFFFF"/>
          </w:tcPr>
          <w:p w:rsidR="000D0DD4" w:rsidRDefault="000D0DD4" w:rsidP="00B112A3">
            <w:pPr>
              <w:pStyle w:val="CETBodytext"/>
              <w:jc w:val="center"/>
            </w:pPr>
            <w:r>
              <w:t>900</w:t>
            </w:r>
          </w:p>
        </w:tc>
        <w:tc>
          <w:tcPr>
            <w:tcW w:w="714" w:type="dxa"/>
            <w:shd w:val="clear" w:color="auto" w:fill="FFFFFF"/>
          </w:tcPr>
          <w:p w:rsidR="000D0DD4" w:rsidRPr="007E18B1" w:rsidRDefault="000D0DD4" w:rsidP="00B112A3">
            <w:pPr>
              <w:pStyle w:val="CETBodytext"/>
              <w:jc w:val="center"/>
            </w:pPr>
            <w:r>
              <w:t>2.0</w:t>
            </w:r>
          </w:p>
        </w:tc>
        <w:tc>
          <w:tcPr>
            <w:tcW w:w="992" w:type="dxa"/>
            <w:shd w:val="clear" w:color="auto" w:fill="FFFFFF"/>
          </w:tcPr>
          <w:p w:rsidR="000D0DD4" w:rsidRPr="007E18B1" w:rsidRDefault="000D0DD4" w:rsidP="00B112A3">
            <w:pPr>
              <w:pStyle w:val="CETBodytext"/>
              <w:jc w:val="center"/>
            </w:pPr>
            <w:proofErr w:type="spellStart"/>
            <w:r>
              <w:t>metakaolin</w:t>
            </w:r>
            <w:proofErr w:type="spellEnd"/>
          </w:p>
        </w:tc>
        <w:tc>
          <w:tcPr>
            <w:tcW w:w="567" w:type="dxa"/>
            <w:shd w:val="clear" w:color="auto" w:fill="FFFFFF"/>
          </w:tcPr>
          <w:p w:rsidR="000D0DD4" w:rsidRPr="007E18B1" w:rsidRDefault="000D0DD4" w:rsidP="00B112A3">
            <w:pPr>
              <w:pStyle w:val="CETBodytext"/>
              <w:ind w:right="-1"/>
              <w:jc w:val="center"/>
              <w:rPr>
                <w:rFonts w:cs="Arial"/>
                <w:szCs w:val="18"/>
              </w:rPr>
            </w:pPr>
            <w:r>
              <w:rPr>
                <w:rFonts w:cs="Arial"/>
                <w:szCs w:val="18"/>
              </w:rPr>
              <w:t>200</w:t>
            </w:r>
          </w:p>
        </w:tc>
        <w:tc>
          <w:tcPr>
            <w:tcW w:w="1098" w:type="dxa"/>
            <w:shd w:val="clear" w:color="auto" w:fill="FFFFFF"/>
          </w:tcPr>
          <w:p w:rsidR="000D0DD4" w:rsidRPr="007E18B1" w:rsidRDefault="000D0DD4" w:rsidP="00B112A3">
            <w:pPr>
              <w:pStyle w:val="CETBodytext"/>
              <w:ind w:right="-1"/>
              <w:jc w:val="center"/>
              <w:rPr>
                <w:rFonts w:cs="Arial"/>
                <w:szCs w:val="18"/>
              </w:rPr>
            </w:pPr>
            <w:r>
              <w:rPr>
                <w:rFonts w:cs="Arial"/>
                <w:szCs w:val="18"/>
              </w:rPr>
              <w:t>2.0</w:t>
            </w:r>
          </w:p>
        </w:tc>
        <w:tc>
          <w:tcPr>
            <w:tcW w:w="1140" w:type="dxa"/>
            <w:shd w:val="clear" w:color="auto" w:fill="FFFFFF"/>
          </w:tcPr>
          <w:p w:rsidR="000D0DD4" w:rsidRPr="007E18B1" w:rsidRDefault="000D0DD4" w:rsidP="00B112A3">
            <w:pPr>
              <w:pStyle w:val="CETBodytext"/>
              <w:ind w:right="-1"/>
              <w:jc w:val="center"/>
              <w:rPr>
                <w:rFonts w:cs="Arial"/>
                <w:szCs w:val="18"/>
              </w:rPr>
            </w:pPr>
            <w:r>
              <w:rPr>
                <w:rFonts w:cs="Arial"/>
                <w:szCs w:val="18"/>
              </w:rPr>
              <w:t>NO</w:t>
            </w:r>
          </w:p>
        </w:tc>
      </w:tr>
      <w:tr w:rsidR="000D0DD4" w:rsidRPr="007E18B1" w:rsidTr="00B112A3">
        <w:tc>
          <w:tcPr>
            <w:tcW w:w="851" w:type="dxa"/>
            <w:shd w:val="clear" w:color="auto" w:fill="FFFFFF"/>
          </w:tcPr>
          <w:p w:rsidR="000D0DD4" w:rsidRPr="007E18B1" w:rsidRDefault="000D0DD4" w:rsidP="00B112A3">
            <w:pPr>
              <w:pStyle w:val="CETBodytext"/>
              <w:jc w:val="center"/>
            </w:pPr>
            <w:r>
              <w:t>Q-5</w:t>
            </w:r>
          </w:p>
        </w:tc>
        <w:tc>
          <w:tcPr>
            <w:tcW w:w="1134" w:type="dxa"/>
            <w:shd w:val="clear" w:color="auto" w:fill="FFFFFF"/>
          </w:tcPr>
          <w:p w:rsidR="000D0DD4" w:rsidRPr="007E18B1" w:rsidRDefault="000D0DD4" w:rsidP="00B112A3">
            <w:pPr>
              <w:pStyle w:val="CETBodytext"/>
              <w:jc w:val="center"/>
            </w:pPr>
            <w:r>
              <w:t>quartz sand</w:t>
            </w:r>
          </w:p>
        </w:tc>
        <w:tc>
          <w:tcPr>
            <w:tcW w:w="971" w:type="dxa"/>
            <w:shd w:val="clear" w:color="auto" w:fill="FFFFFF"/>
          </w:tcPr>
          <w:p w:rsidR="000D0DD4" w:rsidRDefault="000D0DD4" w:rsidP="00B112A3">
            <w:pPr>
              <w:pStyle w:val="CETBodytext"/>
              <w:jc w:val="center"/>
            </w:pPr>
            <w:r>
              <w:t>900</w:t>
            </w:r>
          </w:p>
        </w:tc>
        <w:tc>
          <w:tcPr>
            <w:tcW w:w="714" w:type="dxa"/>
            <w:shd w:val="clear" w:color="auto" w:fill="FFFFFF"/>
          </w:tcPr>
          <w:p w:rsidR="000D0DD4" w:rsidRPr="007E18B1" w:rsidRDefault="000D0DD4" w:rsidP="00B112A3">
            <w:pPr>
              <w:pStyle w:val="CETBodytext"/>
              <w:jc w:val="center"/>
            </w:pPr>
            <w:r>
              <w:t>2.0</w:t>
            </w:r>
          </w:p>
        </w:tc>
        <w:tc>
          <w:tcPr>
            <w:tcW w:w="992" w:type="dxa"/>
            <w:shd w:val="clear" w:color="auto" w:fill="FFFFFF"/>
          </w:tcPr>
          <w:p w:rsidR="000D0DD4" w:rsidRPr="007E18B1" w:rsidRDefault="000D0DD4" w:rsidP="00B112A3">
            <w:pPr>
              <w:pStyle w:val="CETBodytext"/>
              <w:jc w:val="center"/>
            </w:pPr>
            <w:r>
              <w:t>kaolin</w:t>
            </w:r>
          </w:p>
        </w:tc>
        <w:tc>
          <w:tcPr>
            <w:tcW w:w="567" w:type="dxa"/>
            <w:shd w:val="clear" w:color="auto" w:fill="FFFFFF"/>
          </w:tcPr>
          <w:p w:rsidR="000D0DD4" w:rsidRPr="007E18B1" w:rsidRDefault="000D0DD4" w:rsidP="00B112A3">
            <w:pPr>
              <w:pStyle w:val="CETBodytext"/>
              <w:ind w:right="-1"/>
              <w:jc w:val="center"/>
              <w:rPr>
                <w:rFonts w:cs="Arial"/>
                <w:szCs w:val="18"/>
              </w:rPr>
            </w:pPr>
            <w:r>
              <w:rPr>
                <w:rFonts w:cs="Arial"/>
                <w:szCs w:val="18"/>
              </w:rPr>
              <w:t>100</w:t>
            </w:r>
          </w:p>
        </w:tc>
        <w:tc>
          <w:tcPr>
            <w:tcW w:w="1098" w:type="dxa"/>
            <w:shd w:val="clear" w:color="auto" w:fill="FFFFFF"/>
          </w:tcPr>
          <w:p w:rsidR="000D0DD4" w:rsidRPr="007E18B1" w:rsidRDefault="000D0DD4" w:rsidP="00B112A3">
            <w:pPr>
              <w:pStyle w:val="CETBodytext"/>
              <w:ind w:right="-1"/>
              <w:jc w:val="center"/>
              <w:rPr>
                <w:rFonts w:cs="Arial"/>
                <w:szCs w:val="18"/>
              </w:rPr>
            </w:pPr>
            <w:r>
              <w:rPr>
                <w:rFonts w:cs="Arial"/>
                <w:szCs w:val="18"/>
              </w:rPr>
              <w:t>2.0</w:t>
            </w:r>
          </w:p>
        </w:tc>
        <w:tc>
          <w:tcPr>
            <w:tcW w:w="1140" w:type="dxa"/>
            <w:shd w:val="clear" w:color="auto" w:fill="FFFFFF"/>
          </w:tcPr>
          <w:p w:rsidR="000D0DD4" w:rsidRPr="007E18B1" w:rsidRDefault="000D0DD4" w:rsidP="00B112A3">
            <w:pPr>
              <w:pStyle w:val="CETBodytext"/>
              <w:ind w:right="-1"/>
              <w:jc w:val="center"/>
              <w:rPr>
                <w:rFonts w:cs="Arial"/>
                <w:szCs w:val="18"/>
              </w:rPr>
            </w:pPr>
            <w:r>
              <w:rPr>
                <w:rFonts w:cs="Arial"/>
                <w:szCs w:val="18"/>
              </w:rPr>
              <w:t>NO</w:t>
            </w:r>
          </w:p>
        </w:tc>
      </w:tr>
      <w:tr w:rsidR="000D0DD4" w:rsidRPr="007E18B1" w:rsidTr="00B112A3">
        <w:tc>
          <w:tcPr>
            <w:tcW w:w="851" w:type="dxa"/>
            <w:shd w:val="clear" w:color="auto" w:fill="FFFFFF"/>
          </w:tcPr>
          <w:p w:rsidR="000D0DD4" w:rsidRPr="007E18B1" w:rsidRDefault="000D0DD4" w:rsidP="00B112A3">
            <w:pPr>
              <w:pStyle w:val="CETBodytext"/>
              <w:jc w:val="center"/>
            </w:pPr>
            <w:r>
              <w:t>Q-6</w:t>
            </w:r>
          </w:p>
        </w:tc>
        <w:tc>
          <w:tcPr>
            <w:tcW w:w="1134" w:type="dxa"/>
            <w:shd w:val="clear" w:color="auto" w:fill="FFFFFF"/>
          </w:tcPr>
          <w:p w:rsidR="000D0DD4" w:rsidRPr="007E18B1" w:rsidRDefault="000D0DD4" w:rsidP="00B112A3">
            <w:pPr>
              <w:pStyle w:val="CETBodytext"/>
              <w:jc w:val="center"/>
            </w:pPr>
            <w:r>
              <w:t>quartz sand</w:t>
            </w:r>
          </w:p>
        </w:tc>
        <w:tc>
          <w:tcPr>
            <w:tcW w:w="971" w:type="dxa"/>
            <w:shd w:val="clear" w:color="auto" w:fill="FFFFFF"/>
          </w:tcPr>
          <w:p w:rsidR="000D0DD4" w:rsidRDefault="000D0DD4" w:rsidP="00B112A3">
            <w:pPr>
              <w:pStyle w:val="CETBodytext"/>
              <w:jc w:val="center"/>
            </w:pPr>
            <w:r>
              <w:t>900</w:t>
            </w:r>
          </w:p>
        </w:tc>
        <w:tc>
          <w:tcPr>
            <w:tcW w:w="714" w:type="dxa"/>
            <w:shd w:val="clear" w:color="auto" w:fill="FFFFFF"/>
          </w:tcPr>
          <w:p w:rsidR="000D0DD4" w:rsidRPr="007E18B1" w:rsidRDefault="000D0DD4" w:rsidP="00B112A3">
            <w:pPr>
              <w:pStyle w:val="CETBodytext"/>
              <w:jc w:val="center"/>
            </w:pPr>
            <w:r>
              <w:t>2.0</w:t>
            </w:r>
          </w:p>
        </w:tc>
        <w:tc>
          <w:tcPr>
            <w:tcW w:w="992" w:type="dxa"/>
            <w:shd w:val="clear" w:color="auto" w:fill="FFFFFF"/>
          </w:tcPr>
          <w:p w:rsidR="000D0DD4" w:rsidRPr="007E18B1" w:rsidRDefault="000D0DD4" w:rsidP="00B112A3">
            <w:pPr>
              <w:pStyle w:val="CETBodytext"/>
              <w:jc w:val="center"/>
            </w:pPr>
            <w:r>
              <w:t>kaolin</w:t>
            </w:r>
          </w:p>
        </w:tc>
        <w:tc>
          <w:tcPr>
            <w:tcW w:w="567" w:type="dxa"/>
            <w:shd w:val="clear" w:color="auto" w:fill="FFFFFF"/>
          </w:tcPr>
          <w:p w:rsidR="000D0DD4" w:rsidRPr="007E18B1" w:rsidRDefault="000D0DD4" w:rsidP="00B112A3">
            <w:pPr>
              <w:pStyle w:val="CETBodytext"/>
              <w:ind w:right="-1"/>
              <w:jc w:val="center"/>
              <w:rPr>
                <w:rFonts w:cs="Arial"/>
                <w:szCs w:val="18"/>
              </w:rPr>
            </w:pPr>
            <w:r>
              <w:rPr>
                <w:rFonts w:cs="Arial"/>
                <w:szCs w:val="18"/>
              </w:rPr>
              <w:t>50</w:t>
            </w:r>
          </w:p>
        </w:tc>
        <w:tc>
          <w:tcPr>
            <w:tcW w:w="1098" w:type="dxa"/>
            <w:shd w:val="clear" w:color="auto" w:fill="FFFFFF"/>
          </w:tcPr>
          <w:p w:rsidR="000D0DD4" w:rsidRPr="007E18B1" w:rsidRDefault="000D0DD4" w:rsidP="00B112A3">
            <w:pPr>
              <w:pStyle w:val="CETBodytext"/>
              <w:ind w:right="-1"/>
              <w:jc w:val="center"/>
              <w:rPr>
                <w:rFonts w:cs="Arial"/>
                <w:szCs w:val="18"/>
              </w:rPr>
            </w:pPr>
            <w:r>
              <w:rPr>
                <w:rFonts w:cs="Arial"/>
                <w:szCs w:val="18"/>
              </w:rPr>
              <w:t>2.0</w:t>
            </w:r>
          </w:p>
        </w:tc>
        <w:tc>
          <w:tcPr>
            <w:tcW w:w="1140" w:type="dxa"/>
            <w:shd w:val="clear" w:color="auto" w:fill="FFFFFF"/>
          </w:tcPr>
          <w:p w:rsidR="000D0DD4" w:rsidRPr="007E18B1" w:rsidRDefault="000D0DD4" w:rsidP="00B112A3">
            <w:pPr>
              <w:pStyle w:val="CETBodytext"/>
              <w:ind w:right="-1"/>
              <w:jc w:val="center"/>
              <w:rPr>
                <w:rFonts w:cs="Arial"/>
                <w:szCs w:val="18"/>
              </w:rPr>
            </w:pPr>
            <w:r>
              <w:rPr>
                <w:rFonts w:cs="Arial"/>
                <w:szCs w:val="18"/>
              </w:rPr>
              <w:t>NO</w:t>
            </w:r>
          </w:p>
        </w:tc>
      </w:tr>
      <w:tr w:rsidR="000D0DD4" w:rsidRPr="007E18B1" w:rsidTr="00B112A3">
        <w:tc>
          <w:tcPr>
            <w:tcW w:w="851" w:type="dxa"/>
            <w:shd w:val="clear" w:color="auto" w:fill="FFFFFF"/>
          </w:tcPr>
          <w:p w:rsidR="000D0DD4" w:rsidRPr="007E18B1" w:rsidRDefault="000D0DD4" w:rsidP="00B112A3">
            <w:pPr>
              <w:pStyle w:val="CETBodytext"/>
              <w:jc w:val="center"/>
            </w:pPr>
            <w:r>
              <w:t>Q-7</w:t>
            </w:r>
          </w:p>
        </w:tc>
        <w:tc>
          <w:tcPr>
            <w:tcW w:w="1134" w:type="dxa"/>
            <w:shd w:val="clear" w:color="auto" w:fill="FFFFFF"/>
          </w:tcPr>
          <w:p w:rsidR="000D0DD4" w:rsidRPr="007E18B1" w:rsidRDefault="000D0DD4" w:rsidP="00B112A3">
            <w:pPr>
              <w:pStyle w:val="CETBodytext"/>
              <w:jc w:val="center"/>
            </w:pPr>
            <w:r>
              <w:t>quartz sand</w:t>
            </w:r>
          </w:p>
        </w:tc>
        <w:tc>
          <w:tcPr>
            <w:tcW w:w="971" w:type="dxa"/>
            <w:shd w:val="clear" w:color="auto" w:fill="FFFFFF"/>
          </w:tcPr>
          <w:p w:rsidR="000D0DD4" w:rsidRDefault="000D0DD4" w:rsidP="00B112A3">
            <w:pPr>
              <w:pStyle w:val="CETBodytext"/>
              <w:jc w:val="center"/>
            </w:pPr>
            <w:r>
              <w:t>900</w:t>
            </w:r>
          </w:p>
        </w:tc>
        <w:tc>
          <w:tcPr>
            <w:tcW w:w="714" w:type="dxa"/>
            <w:shd w:val="clear" w:color="auto" w:fill="FFFFFF"/>
          </w:tcPr>
          <w:p w:rsidR="000D0DD4" w:rsidRPr="007E18B1" w:rsidRDefault="000D0DD4" w:rsidP="00B112A3">
            <w:pPr>
              <w:pStyle w:val="CETBodytext"/>
              <w:jc w:val="center"/>
            </w:pPr>
            <w:r>
              <w:t>2.0</w:t>
            </w:r>
          </w:p>
        </w:tc>
        <w:tc>
          <w:tcPr>
            <w:tcW w:w="992" w:type="dxa"/>
            <w:shd w:val="clear" w:color="auto" w:fill="FFFFFF"/>
          </w:tcPr>
          <w:p w:rsidR="000D0DD4" w:rsidRPr="007E18B1" w:rsidRDefault="000D0DD4" w:rsidP="00B112A3">
            <w:pPr>
              <w:pStyle w:val="CETBodytext"/>
              <w:jc w:val="center"/>
            </w:pPr>
            <w:r>
              <w:t>kaolin</w:t>
            </w:r>
          </w:p>
        </w:tc>
        <w:tc>
          <w:tcPr>
            <w:tcW w:w="567" w:type="dxa"/>
            <w:shd w:val="clear" w:color="auto" w:fill="FFFFFF"/>
          </w:tcPr>
          <w:p w:rsidR="000D0DD4" w:rsidRPr="007E18B1" w:rsidRDefault="000D0DD4" w:rsidP="00B112A3">
            <w:pPr>
              <w:pStyle w:val="CETBodytext"/>
              <w:ind w:right="-1"/>
              <w:jc w:val="center"/>
              <w:rPr>
                <w:rFonts w:cs="Arial"/>
                <w:szCs w:val="18"/>
              </w:rPr>
            </w:pPr>
            <w:r>
              <w:rPr>
                <w:rFonts w:cs="Arial"/>
                <w:szCs w:val="18"/>
              </w:rPr>
              <w:t>28</w:t>
            </w:r>
          </w:p>
        </w:tc>
        <w:tc>
          <w:tcPr>
            <w:tcW w:w="1098" w:type="dxa"/>
            <w:shd w:val="clear" w:color="auto" w:fill="FFFFFF"/>
          </w:tcPr>
          <w:p w:rsidR="000D0DD4" w:rsidRPr="007E18B1" w:rsidRDefault="000D0DD4" w:rsidP="00B112A3">
            <w:pPr>
              <w:pStyle w:val="CETBodytext"/>
              <w:ind w:right="-1"/>
              <w:jc w:val="center"/>
              <w:rPr>
                <w:rFonts w:cs="Arial"/>
                <w:szCs w:val="18"/>
              </w:rPr>
            </w:pPr>
            <w:r>
              <w:rPr>
                <w:rFonts w:cs="Arial"/>
                <w:szCs w:val="18"/>
              </w:rPr>
              <w:t>2.0</w:t>
            </w:r>
          </w:p>
        </w:tc>
        <w:tc>
          <w:tcPr>
            <w:tcW w:w="1140" w:type="dxa"/>
            <w:shd w:val="clear" w:color="auto" w:fill="FFFFFF"/>
          </w:tcPr>
          <w:p w:rsidR="000D0DD4" w:rsidRPr="007E18B1" w:rsidRDefault="000D0DD4" w:rsidP="00B112A3">
            <w:pPr>
              <w:pStyle w:val="CETBodytext"/>
              <w:ind w:right="-1"/>
              <w:jc w:val="center"/>
              <w:rPr>
                <w:rFonts w:cs="Arial"/>
                <w:szCs w:val="18"/>
              </w:rPr>
            </w:pPr>
            <w:r>
              <w:rPr>
                <w:rFonts w:cs="Arial"/>
                <w:szCs w:val="18"/>
              </w:rPr>
              <w:t>NO</w:t>
            </w:r>
          </w:p>
        </w:tc>
      </w:tr>
      <w:tr w:rsidR="000D0DD4" w:rsidRPr="007E18B1" w:rsidTr="00B112A3">
        <w:tc>
          <w:tcPr>
            <w:tcW w:w="851" w:type="dxa"/>
            <w:shd w:val="clear" w:color="auto" w:fill="FFFFFF"/>
          </w:tcPr>
          <w:p w:rsidR="000D0DD4" w:rsidRPr="007E18B1" w:rsidRDefault="000D0DD4" w:rsidP="00B112A3">
            <w:pPr>
              <w:pStyle w:val="CETBodytext"/>
              <w:jc w:val="center"/>
            </w:pPr>
            <w:r>
              <w:t>Q-8</w:t>
            </w:r>
          </w:p>
        </w:tc>
        <w:tc>
          <w:tcPr>
            <w:tcW w:w="1134" w:type="dxa"/>
            <w:shd w:val="clear" w:color="auto" w:fill="FFFFFF"/>
          </w:tcPr>
          <w:p w:rsidR="000D0DD4" w:rsidRPr="007E18B1" w:rsidRDefault="000D0DD4" w:rsidP="00B112A3">
            <w:pPr>
              <w:pStyle w:val="CETBodytext"/>
              <w:jc w:val="center"/>
            </w:pPr>
            <w:r>
              <w:t>quartz sand</w:t>
            </w:r>
          </w:p>
        </w:tc>
        <w:tc>
          <w:tcPr>
            <w:tcW w:w="971" w:type="dxa"/>
            <w:shd w:val="clear" w:color="auto" w:fill="FFFFFF"/>
          </w:tcPr>
          <w:p w:rsidR="000D0DD4" w:rsidRDefault="000D0DD4" w:rsidP="00B112A3">
            <w:pPr>
              <w:pStyle w:val="CETBodytext"/>
              <w:jc w:val="center"/>
            </w:pPr>
            <w:r>
              <w:t>900</w:t>
            </w:r>
          </w:p>
        </w:tc>
        <w:tc>
          <w:tcPr>
            <w:tcW w:w="714" w:type="dxa"/>
            <w:shd w:val="clear" w:color="auto" w:fill="FFFFFF"/>
          </w:tcPr>
          <w:p w:rsidR="000D0DD4" w:rsidRPr="007E18B1" w:rsidRDefault="000D0DD4" w:rsidP="00B112A3">
            <w:pPr>
              <w:pStyle w:val="CETBodytext"/>
              <w:jc w:val="center"/>
            </w:pPr>
            <w:r>
              <w:t>2.0</w:t>
            </w:r>
          </w:p>
        </w:tc>
        <w:tc>
          <w:tcPr>
            <w:tcW w:w="992" w:type="dxa"/>
            <w:shd w:val="clear" w:color="auto" w:fill="FFFFFF"/>
          </w:tcPr>
          <w:p w:rsidR="000D0DD4" w:rsidRPr="007E18B1" w:rsidRDefault="000D0DD4" w:rsidP="00B112A3">
            <w:pPr>
              <w:pStyle w:val="CETBodytext"/>
              <w:jc w:val="center"/>
            </w:pPr>
            <w:r>
              <w:t>kaolin</w:t>
            </w:r>
          </w:p>
        </w:tc>
        <w:tc>
          <w:tcPr>
            <w:tcW w:w="567" w:type="dxa"/>
            <w:shd w:val="clear" w:color="auto" w:fill="FFFFFF"/>
          </w:tcPr>
          <w:p w:rsidR="000D0DD4" w:rsidRPr="007E18B1" w:rsidRDefault="000D0DD4" w:rsidP="00B112A3">
            <w:pPr>
              <w:pStyle w:val="CETBodytext"/>
              <w:ind w:right="-1"/>
              <w:jc w:val="center"/>
              <w:rPr>
                <w:rFonts w:cs="Arial"/>
                <w:szCs w:val="18"/>
              </w:rPr>
            </w:pPr>
            <w:r>
              <w:rPr>
                <w:rFonts w:cs="Arial"/>
                <w:szCs w:val="18"/>
              </w:rPr>
              <w:t>22</w:t>
            </w:r>
          </w:p>
        </w:tc>
        <w:tc>
          <w:tcPr>
            <w:tcW w:w="1098" w:type="dxa"/>
            <w:shd w:val="clear" w:color="auto" w:fill="FFFFFF"/>
          </w:tcPr>
          <w:p w:rsidR="000D0DD4" w:rsidRPr="007E18B1" w:rsidRDefault="000D0DD4" w:rsidP="00B112A3">
            <w:pPr>
              <w:pStyle w:val="CETBodytext"/>
              <w:ind w:right="-1"/>
              <w:jc w:val="center"/>
              <w:rPr>
                <w:rFonts w:cs="Arial"/>
                <w:szCs w:val="18"/>
              </w:rPr>
            </w:pPr>
            <w:r>
              <w:rPr>
                <w:rFonts w:cs="Arial"/>
                <w:szCs w:val="18"/>
              </w:rPr>
              <w:t>2.0</w:t>
            </w:r>
          </w:p>
        </w:tc>
        <w:tc>
          <w:tcPr>
            <w:tcW w:w="1140" w:type="dxa"/>
            <w:shd w:val="clear" w:color="auto" w:fill="FFFFFF"/>
          </w:tcPr>
          <w:p w:rsidR="000D0DD4" w:rsidRPr="007E18B1" w:rsidRDefault="000D0DD4" w:rsidP="00B112A3">
            <w:pPr>
              <w:pStyle w:val="CETBodytext"/>
              <w:ind w:right="-1"/>
              <w:jc w:val="center"/>
              <w:rPr>
                <w:rFonts w:cs="Arial"/>
                <w:szCs w:val="18"/>
              </w:rPr>
            </w:pPr>
            <w:r>
              <w:rPr>
                <w:rFonts w:cs="Arial"/>
                <w:szCs w:val="18"/>
              </w:rPr>
              <w:t>YES</w:t>
            </w:r>
          </w:p>
        </w:tc>
      </w:tr>
      <w:tr w:rsidR="000D0DD4" w:rsidRPr="007E18B1" w:rsidTr="00B112A3">
        <w:tc>
          <w:tcPr>
            <w:tcW w:w="851" w:type="dxa"/>
            <w:shd w:val="clear" w:color="auto" w:fill="FFFFFF"/>
          </w:tcPr>
          <w:p w:rsidR="000D0DD4" w:rsidRPr="007E18B1" w:rsidRDefault="000D0DD4" w:rsidP="00B112A3">
            <w:pPr>
              <w:pStyle w:val="CETBodytext"/>
              <w:jc w:val="center"/>
            </w:pPr>
            <w:r>
              <w:t>CH-1</w:t>
            </w:r>
          </w:p>
        </w:tc>
        <w:tc>
          <w:tcPr>
            <w:tcW w:w="1134" w:type="dxa"/>
            <w:shd w:val="clear" w:color="auto" w:fill="FFFFFF"/>
          </w:tcPr>
          <w:p w:rsidR="000D0DD4" w:rsidRPr="007E18B1" w:rsidRDefault="000D0DD4" w:rsidP="00B112A3">
            <w:pPr>
              <w:pStyle w:val="CETBodytext"/>
              <w:jc w:val="center"/>
            </w:pPr>
            <w:r>
              <w:t>chromite sand</w:t>
            </w:r>
          </w:p>
        </w:tc>
        <w:tc>
          <w:tcPr>
            <w:tcW w:w="971" w:type="dxa"/>
            <w:shd w:val="clear" w:color="auto" w:fill="FFFFFF"/>
          </w:tcPr>
          <w:p w:rsidR="000D0DD4" w:rsidRDefault="000D0DD4" w:rsidP="00B112A3">
            <w:pPr>
              <w:pStyle w:val="CETBodytext"/>
              <w:jc w:val="center"/>
            </w:pPr>
            <w:r>
              <w:t>900</w:t>
            </w:r>
          </w:p>
        </w:tc>
        <w:tc>
          <w:tcPr>
            <w:tcW w:w="714" w:type="dxa"/>
            <w:shd w:val="clear" w:color="auto" w:fill="FFFFFF"/>
          </w:tcPr>
          <w:p w:rsidR="000D0DD4" w:rsidRPr="007E18B1" w:rsidRDefault="000D0DD4" w:rsidP="00B112A3">
            <w:pPr>
              <w:pStyle w:val="CETBodytext"/>
              <w:jc w:val="center"/>
            </w:pPr>
            <w:r>
              <w:t>2.0</w:t>
            </w:r>
          </w:p>
        </w:tc>
        <w:tc>
          <w:tcPr>
            <w:tcW w:w="992" w:type="dxa"/>
            <w:shd w:val="clear" w:color="auto" w:fill="FFFFFF"/>
          </w:tcPr>
          <w:p w:rsidR="000D0DD4" w:rsidRPr="007E18B1" w:rsidRDefault="000D0DD4" w:rsidP="00B112A3">
            <w:pPr>
              <w:pStyle w:val="CETBodytext"/>
              <w:jc w:val="center"/>
            </w:pPr>
          </w:p>
        </w:tc>
        <w:tc>
          <w:tcPr>
            <w:tcW w:w="567" w:type="dxa"/>
            <w:shd w:val="clear" w:color="auto" w:fill="FFFFFF"/>
          </w:tcPr>
          <w:p w:rsidR="000D0DD4" w:rsidRPr="007E18B1" w:rsidRDefault="000D0DD4" w:rsidP="00B112A3">
            <w:pPr>
              <w:pStyle w:val="CETBodytext"/>
              <w:ind w:right="-1"/>
              <w:jc w:val="center"/>
              <w:rPr>
                <w:rFonts w:cs="Arial"/>
                <w:szCs w:val="18"/>
              </w:rPr>
            </w:pPr>
          </w:p>
        </w:tc>
        <w:tc>
          <w:tcPr>
            <w:tcW w:w="1098" w:type="dxa"/>
            <w:shd w:val="clear" w:color="auto" w:fill="FFFFFF"/>
          </w:tcPr>
          <w:p w:rsidR="000D0DD4" w:rsidRPr="007E18B1" w:rsidRDefault="000D0DD4" w:rsidP="00B112A3">
            <w:pPr>
              <w:pStyle w:val="CETBodytext"/>
              <w:ind w:right="-1"/>
              <w:jc w:val="center"/>
              <w:rPr>
                <w:rFonts w:cs="Arial"/>
                <w:szCs w:val="18"/>
              </w:rPr>
            </w:pPr>
            <w:r>
              <w:rPr>
                <w:rFonts w:cs="Arial"/>
                <w:szCs w:val="18"/>
              </w:rPr>
              <w:t>2.0</w:t>
            </w:r>
          </w:p>
        </w:tc>
        <w:tc>
          <w:tcPr>
            <w:tcW w:w="1140" w:type="dxa"/>
            <w:shd w:val="clear" w:color="auto" w:fill="FFFFFF"/>
          </w:tcPr>
          <w:p w:rsidR="000D0DD4" w:rsidRPr="007E18B1" w:rsidRDefault="000D0DD4" w:rsidP="00B112A3">
            <w:pPr>
              <w:pStyle w:val="CETBodytext"/>
              <w:ind w:right="-1"/>
              <w:jc w:val="center"/>
              <w:rPr>
                <w:rFonts w:cs="Arial"/>
                <w:szCs w:val="18"/>
              </w:rPr>
            </w:pPr>
            <w:r>
              <w:rPr>
                <w:rFonts w:cs="Arial"/>
                <w:szCs w:val="18"/>
              </w:rPr>
              <w:t>NO</w:t>
            </w:r>
          </w:p>
        </w:tc>
      </w:tr>
      <w:tr w:rsidR="000D0DD4" w:rsidRPr="007E18B1" w:rsidTr="00B112A3">
        <w:tc>
          <w:tcPr>
            <w:tcW w:w="851" w:type="dxa"/>
            <w:shd w:val="clear" w:color="auto" w:fill="FFFFFF"/>
          </w:tcPr>
          <w:p w:rsidR="000D0DD4" w:rsidRPr="007E18B1" w:rsidRDefault="000D0DD4" w:rsidP="00B112A3">
            <w:pPr>
              <w:pStyle w:val="CETBodytext"/>
              <w:jc w:val="center"/>
            </w:pPr>
            <w:r>
              <w:t>OL-1</w:t>
            </w:r>
          </w:p>
        </w:tc>
        <w:tc>
          <w:tcPr>
            <w:tcW w:w="1134" w:type="dxa"/>
            <w:shd w:val="clear" w:color="auto" w:fill="FFFFFF"/>
          </w:tcPr>
          <w:p w:rsidR="000D0DD4" w:rsidRPr="007E18B1" w:rsidRDefault="000D0DD4" w:rsidP="00B112A3">
            <w:pPr>
              <w:pStyle w:val="CETBodytext"/>
              <w:jc w:val="center"/>
            </w:pPr>
            <w:r>
              <w:t>olivine sand</w:t>
            </w:r>
          </w:p>
        </w:tc>
        <w:tc>
          <w:tcPr>
            <w:tcW w:w="971" w:type="dxa"/>
            <w:shd w:val="clear" w:color="auto" w:fill="FFFFFF"/>
          </w:tcPr>
          <w:p w:rsidR="000D0DD4" w:rsidRDefault="000D0DD4" w:rsidP="00B112A3">
            <w:pPr>
              <w:pStyle w:val="CETBodytext"/>
              <w:jc w:val="center"/>
            </w:pPr>
            <w:r>
              <w:t>900</w:t>
            </w:r>
          </w:p>
        </w:tc>
        <w:tc>
          <w:tcPr>
            <w:tcW w:w="714" w:type="dxa"/>
            <w:shd w:val="clear" w:color="auto" w:fill="FFFFFF"/>
          </w:tcPr>
          <w:p w:rsidR="000D0DD4" w:rsidRPr="007E18B1" w:rsidRDefault="000D0DD4" w:rsidP="00B112A3">
            <w:pPr>
              <w:pStyle w:val="CETBodytext"/>
              <w:jc w:val="center"/>
            </w:pPr>
            <w:r>
              <w:t>2.0</w:t>
            </w:r>
          </w:p>
        </w:tc>
        <w:tc>
          <w:tcPr>
            <w:tcW w:w="992" w:type="dxa"/>
            <w:shd w:val="clear" w:color="auto" w:fill="FFFFFF"/>
          </w:tcPr>
          <w:p w:rsidR="000D0DD4" w:rsidRPr="007E18B1" w:rsidRDefault="000D0DD4" w:rsidP="00B112A3">
            <w:pPr>
              <w:pStyle w:val="CETBodytext"/>
              <w:jc w:val="center"/>
            </w:pPr>
          </w:p>
        </w:tc>
        <w:tc>
          <w:tcPr>
            <w:tcW w:w="567" w:type="dxa"/>
            <w:shd w:val="clear" w:color="auto" w:fill="FFFFFF"/>
          </w:tcPr>
          <w:p w:rsidR="000D0DD4" w:rsidRPr="007E18B1" w:rsidRDefault="000D0DD4" w:rsidP="00B112A3">
            <w:pPr>
              <w:pStyle w:val="CETBodytext"/>
              <w:ind w:right="-1"/>
              <w:jc w:val="center"/>
              <w:rPr>
                <w:rFonts w:cs="Arial"/>
                <w:szCs w:val="18"/>
              </w:rPr>
            </w:pPr>
          </w:p>
        </w:tc>
        <w:tc>
          <w:tcPr>
            <w:tcW w:w="1098" w:type="dxa"/>
            <w:shd w:val="clear" w:color="auto" w:fill="FFFFFF"/>
          </w:tcPr>
          <w:p w:rsidR="000D0DD4" w:rsidRPr="007E18B1" w:rsidRDefault="000D0DD4" w:rsidP="00B112A3">
            <w:pPr>
              <w:pStyle w:val="CETBodytext"/>
              <w:ind w:right="-1"/>
              <w:jc w:val="center"/>
              <w:rPr>
                <w:rFonts w:cs="Arial"/>
                <w:szCs w:val="18"/>
              </w:rPr>
            </w:pPr>
            <w:r>
              <w:rPr>
                <w:rFonts w:cs="Arial"/>
                <w:szCs w:val="18"/>
              </w:rPr>
              <w:t>2.0</w:t>
            </w:r>
          </w:p>
        </w:tc>
        <w:tc>
          <w:tcPr>
            <w:tcW w:w="1140" w:type="dxa"/>
            <w:shd w:val="clear" w:color="auto" w:fill="FFFFFF"/>
          </w:tcPr>
          <w:p w:rsidR="000D0DD4" w:rsidRPr="007E18B1" w:rsidRDefault="000D0DD4" w:rsidP="00B112A3">
            <w:pPr>
              <w:pStyle w:val="CETBodytext"/>
              <w:ind w:right="-1"/>
              <w:jc w:val="center"/>
              <w:rPr>
                <w:rFonts w:cs="Arial"/>
                <w:szCs w:val="18"/>
              </w:rPr>
            </w:pPr>
            <w:r>
              <w:rPr>
                <w:rFonts w:cs="Arial"/>
                <w:szCs w:val="18"/>
              </w:rPr>
              <w:t>NO</w:t>
            </w:r>
          </w:p>
        </w:tc>
      </w:tr>
    </w:tbl>
    <w:p w:rsidR="00B6455E" w:rsidRDefault="00B6455E" w:rsidP="00B6455E">
      <w:pPr>
        <w:pStyle w:val="Nessunaspaziatura"/>
        <w:rPr>
          <w:lang w:val="en-US"/>
        </w:rPr>
      </w:pPr>
    </w:p>
    <w:p w:rsidR="00B6455E" w:rsidRDefault="00B6455E" w:rsidP="00BD08B1">
      <w:pPr>
        <w:pStyle w:val="CETBodytext"/>
      </w:pPr>
      <w:r>
        <w:lastRenderedPageBreak/>
        <w:t xml:space="preserve">The mechanism of alkali neutralization by </w:t>
      </w:r>
      <w:proofErr w:type="spellStart"/>
      <w:r>
        <w:t>metakaolin</w:t>
      </w:r>
      <w:proofErr w:type="spellEnd"/>
      <w:r>
        <w:t xml:space="preserve"> (Al</w:t>
      </w:r>
      <w:r w:rsidRPr="00410006">
        <w:rPr>
          <w:vertAlign w:val="subscript"/>
        </w:rPr>
        <w:t>2</w:t>
      </w:r>
      <w:r>
        <w:t>O</w:t>
      </w:r>
      <w:r w:rsidRPr="00410006">
        <w:rPr>
          <w:vertAlign w:val="subscript"/>
        </w:rPr>
        <w:t>3</w:t>
      </w:r>
      <w:r>
        <w:t>2SiO</w:t>
      </w:r>
      <w:r w:rsidRPr="00410006">
        <w:rPr>
          <w:vertAlign w:val="subscript"/>
        </w:rPr>
        <w:t>2</w:t>
      </w:r>
      <w:r>
        <w:t xml:space="preserve">) can be ascribed to the formation of </w:t>
      </w:r>
      <w:r w:rsidRPr="005A2ED3">
        <w:t>K</w:t>
      </w:r>
      <w:r w:rsidRPr="005A2ED3">
        <w:rPr>
          <w:vertAlign w:val="subscript"/>
        </w:rPr>
        <w:t>2</w:t>
      </w:r>
      <w:r w:rsidRPr="005A2ED3">
        <w:t>OAl</w:t>
      </w:r>
      <w:r w:rsidRPr="005A2ED3">
        <w:rPr>
          <w:vertAlign w:val="subscript"/>
        </w:rPr>
        <w:t>2</w:t>
      </w:r>
      <w:r w:rsidRPr="005A2ED3">
        <w:t>O</w:t>
      </w:r>
      <w:r w:rsidRPr="005A2ED3">
        <w:rPr>
          <w:vertAlign w:val="subscript"/>
        </w:rPr>
        <w:t>3</w:t>
      </w:r>
      <w:r w:rsidRPr="005A2ED3">
        <w:t>2SiO</w:t>
      </w:r>
      <w:r w:rsidRPr="005A2ED3">
        <w:rPr>
          <w:vertAlign w:val="subscript"/>
        </w:rPr>
        <w:t>2</w:t>
      </w:r>
      <w:r w:rsidRPr="005A2ED3">
        <w:t xml:space="preserve"> compound </w:t>
      </w:r>
      <w:r w:rsidR="00FC3D93" w:rsidRPr="005A2ED3">
        <w:t>(</w:t>
      </w:r>
      <w:r w:rsidRPr="001E2BE8">
        <w:t>Brown</w:t>
      </w:r>
      <w:r w:rsidR="00FC3D93" w:rsidRPr="001E2BE8">
        <w:t>, 1995</w:t>
      </w:r>
      <w:r w:rsidR="00FC3D93" w:rsidRPr="005A2ED3">
        <w:t>)</w:t>
      </w:r>
      <w:r w:rsidRPr="005A2ED3">
        <w:t>. Since the OH sample (2</w:t>
      </w:r>
      <w:r w:rsidR="00FC3D93" w:rsidRPr="005A2ED3">
        <w:t>.0</w:t>
      </w:r>
      <w:r w:rsidRPr="005A2ED3">
        <w:t xml:space="preserve"> g) contains around 19 mg of K, or</w:t>
      </w:r>
      <w:r>
        <w:t xml:space="preserve"> equivalently 0.24 </w:t>
      </w:r>
      <w:proofErr w:type="spellStart"/>
      <w:r>
        <w:t>mmol</w:t>
      </w:r>
      <w:proofErr w:type="spellEnd"/>
      <w:r>
        <w:t xml:space="preserve"> of K</w:t>
      </w:r>
      <w:r w:rsidRPr="00410006">
        <w:rPr>
          <w:vertAlign w:val="subscript"/>
        </w:rPr>
        <w:t>2</w:t>
      </w:r>
      <w:r>
        <w:t xml:space="preserve">O, the stoichiometric amount of </w:t>
      </w:r>
      <w:proofErr w:type="spellStart"/>
      <w:r>
        <w:t>metakaolin</w:t>
      </w:r>
      <w:proofErr w:type="spellEnd"/>
      <w:r>
        <w:t xml:space="preserve"> turns out to be 53 mg, that is double than the threshold value between tests Q-7 and Q-8. However, it is likely that certain amount of potassium escape</w:t>
      </w:r>
      <w:r w:rsidR="005A2ED3">
        <w:t>d</w:t>
      </w:r>
      <w:r>
        <w:t xml:space="preserve"> the reactor during fuel volatiles release,</w:t>
      </w:r>
      <w:r w:rsidR="005A2ED3">
        <w:t xml:space="preserve"> as consequence of the fast heating of the sample,</w:t>
      </w:r>
      <w:r>
        <w:t xml:space="preserve"> lowering the amount to be fixed by </w:t>
      </w:r>
      <w:proofErr w:type="spellStart"/>
      <w:r>
        <w:t>metakaolin</w:t>
      </w:r>
      <w:proofErr w:type="spellEnd"/>
      <w:r>
        <w:t>.</w:t>
      </w:r>
    </w:p>
    <w:p w:rsidR="000D0DD4" w:rsidRPr="00492F56" w:rsidRDefault="000D0DD4" w:rsidP="000D0DD4">
      <w:pPr>
        <w:pStyle w:val="CETheadingx"/>
      </w:pPr>
      <w:r>
        <w:t>Sample characterization by SEM and XRD</w:t>
      </w:r>
    </w:p>
    <w:p w:rsidR="000D0DD4" w:rsidRDefault="000D0DD4" w:rsidP="00BD08B1">
      <w:pPr>
        <w:pStyle w:val="CETBodytext"/>
      </w:pPr>
      <w:r w:rsidRPr="001E2BE8">
        <w:t xml:space="preserve">Figure 5 reports the morphology of samples obtained from Q-2, Q-3, </w:t>
      </w:r>
      <w:r w:rsidR="00A33AD1">
        <w:t xml:space="preserve">and </w:t>
      </w:r>
      <w:r w:rsidRPr="00A33AD1">
        <w:t>Q-4 tests, where the effect of the additive</w:t>
      </w:r>
      <w:r>
        <w:t xml:space="preserve"> in preventing the agglomeration of quartz sand is clearly visible. Such effect could be evidenced for both kaolin and </w:t>
      </w:r>
      <w:proofErr w:type="spellStart"/>
      <w:r>
        <w:t>metakaolin</w:t>
      </w:r>
      <w:proofErr w:type="spellEnd"/>
      <w:r>
        <w:t xml:space="preserve"> powders, the latter being more effective in alkali neutralization through the formation of mixed alkali-</w:t>
      </w:r>
      <w:proofErr w:type="spellStart"/>
      <w:r>
        <w:t>aluminosilicates</w:t>
      </w:r>
      <w:proofErr w:type="spellEnd"/>
      <w:r>
        <w:t>, as could be noticed from the slightly higher increment in K</w:t>
      </w:r>
      <w:r w:rsidRPr="001E2BE8">
        <w:rPr>
          <w:vertAlign w:val="superscript"/>
        </w:rPr>
        <w:t>+</w:t>
      </w:r>
      <w:r>
        <w:t xml:space="preserve"> concentration in the residual powder after the test</w:t>
      </w:r>
      <w:r w:rsidR="00261AC0">
        <w:t xml:space="preserve"> (Fig</w:t>
      </w:r>
      <w:r w:rsidR="00A26A6A">
        <w:t>ure</w:t>
      </w:r>
      <w:r w:rsidR="00261AC0">
        <w:t xml:space="preserve"> 6)</w:t>
      </w:r>
      <w:r>
        <w:t xml:space="preserve">. </w:t>
      </w:r>
    </w:p>
    <w:p w:rsidR="000D0DD4" w:rsidRDefault="000D0DD4" w:rsidP="000D0DD4">
      <w:pPr>
        <w:pStyle w:val="Nessunaspaziatura"/>
        <w:rPr>
          <w:lang w:val="en-US"/>
        </w:rPr>
      </w:pPr>
      <w:r>
        <w:rPr>
          <w:noProof/>
          <w:lang w:val="it-IT" w:eastAsia="it-IT"/>
        </w:rPr>
        <w:drawing>
          <wp:inline distT="0" distB="0" distL="0" distR="0" wp14:anchorId="3586BFB7" wp14:editId="0D759C96">
            <wp:extent cx="5647277" cy="1353312"/>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519"/>
                    <a:stretch/>
                  </pic:blipFill>
                  <pic:spPr bwMode="auto">
                    <a:xfrm>
                      <a:off x="0" y="0"/>
                      <a:ext cx="5656903" cy="1355619"/>
                    </a:xfrm>
                    <a:prstGeom prst="rect">
                      <a:avLst/>
                    </a:prstGeom>
                    <a:noFill/>
                    <a:ln>
                      <a:noFill/>
                    </a:ln>
                    <a:extLst>
                      <a:ext uri="{53640926-AAD7-44D8-BBD7-CCE9431645EC}">
                        <a14:shadowObscured xmlns:a14="http://schemas.microsoft.com/office/drawing/2010/main"/>
                      </a:ext>
                    </a:extLst>
                  </pic:spPr>
                </pic:pic>
              </a:graphicData>
            </a:graphic>
          </wp:inline>
        </w:drawing>
      </w:r>
    </w:p>
    <w:p w:rsidR="000D0DD4" w:rsidRDefault="000D0DD4" w:rsidP="000D0DD4">
      <w:pPr>
        <w:pStyle w:val="Nessunaspaziatura"/>
        <w:rPr>
          <w:i/>
          <w:lang w:val="en-US"/>
        </w:rPr>
      </w:pPr>
      <w:r w:rsidRPr="001E2BE8">
        <w:rPr>
          <w:i/>
          <w:lang w:val="en-US"/>
        </w:rPr>
        <w:t>Figure 5: SEM images of quartzite-based samples Q-2, Q-3, Q-4 (from left to right)</w:t>
      </w:r>
    </w:p>
    <w:p w:rsidR="00E86471" w:rsidRDefault="00E86471" w:rsidP="00E86471">
      <w:pPr>
        <w:pStyle w:val="Nessunaspaziatura"/>
      </w:pPr>
    </w:p>
    <w:p w:rsidR="00A26A6A" w:rsidRDefault="00BD08B1" w:rsidP="00BD08B1">
      <w:pPr>
        <w:pStyle w:val="CETBodytext"/>
      </w:pPr>
      <w:r>
        <w:t xml:space="preserve">The greater effectiveness of </w:t>
      </w:r>
      <w:proofErr w:type="spellStart"/>
      <w:r>
        <w:t>metakaolin</w:t>
      </w:r>
      <w:proofErr w:type="spellEnd"/>
      <w:r>
        <w:t xml:space="preserve"> might be due to its higher reactivity in terms of amorphous content and smaller particle size. As can be noticed, Q-2 sample was characterized by large irregular clusters of bed materials, with quartz grain stuck together through </w:t>
      </w:r>
      <w:r w:rsidRPr="00A33AD1">
        <w:t xml:space="preserve">the formation of K-enriched necks between the particles (Figure 5). The use of </w:t>
      </w:r>
      <w:proofErr w:type="spellStart"/>
      <w:r w:rsidRPr="00A33AD1">
        <w:t>aluminosilicate</w:t>
      </w:r>
      <w:proofErr w:type="spellEnd"/>
      <w:r w:rsidRPr="00A33AD1">
        <w:t xml:space="preserve"> additives resulted in an enrichment of K species in the amorphous kaolinite/</w:t>
      </w:r>
      <w:proofErr w:type="spellStart"/>
      <w:r w:rsidRPr="00A33AD1">
        <w:t>metakaolinite</w:t>
      </w:r>
      <w:proofErr w:type="spellEnd"/>
      <w:r w:rsidRPr="00A33AD1">
        <w:t xml:space="preserve"> powders, leaving the quartz grains clearly loose, without any neck formation among the particles. </w:t>
      </w:r>
      <w:r w:rsidR="00A33AD1" w:rsidRPr="00B511F0">
        <w:t xml:space="preserve">The elemental map distribution for Si, K and Al of the three samples (Figure 6) confirms how the addition of the amorphous </w:t>
      </w:r>
      <w:proofErr w:type="spellStart"/>
      <w:r w:rsidR="00A33AD1" w:rsidRPr="00B511F0">
        <w:t>aluminosilicate</w:t>
      </w:r>
      <w:proofErr w:type="spellEnd"/>
      <w:r w:rsidR="00A33AD1" w:rsidRPr="00B511F0">
        <w:t xml:space="preserve"> powders</w:t>
      </w:r>
      <w:r w:rsidR="00A33AD1">
        <w:t xml:space="preserve"> triggers a preferential reaction between the alkali, originating from the biomass at high temperature, and the kaolin/</w:t>
      </w:r>
      <w:proofErr w:type="spellStart"/>
      <w:r w:rsidR="00A33AD1">
        <w:t>metakaolin</w:t>
      </w:r>
      <w:proofErr w:type="spellEnd"/>
      <w:r w:rsidR="00A33AD1">
        <w:t xml:space="preserve">. </w:t>
      </w:r>
      <w:r w:rsidR="00E86471">
        <w:t>However, the formation of compounds with K</w:t>
      </w:r>
      <w:r w:rsidR="00E86471" w:rsidRPr="00410006">
        <w:rPr>
          <w:vertAlign w:val="subscript"/>
        </w:rPr>
        <w:t>2</w:t>
      </w:r>
      <w:r w:rsidR="00E86471">
        <w:t>O: Al</w:t>
      </w:r>
      <w:r w:rsidR="00E86471" w:rsidRPr="00410006">
        <w:rPr>
          <w:vertAlign w:val="subscript"/>
        </w:rPr>
        <w:t>2</w:t>
      </w:r>
      <w:r w:rsidR="00E86471">
        <w:t>O</w:t>
      </w:r>
      <w:r w:rsidR="00E86471" w:rsidRPr="00410006">
        <w:rPr>
          <w:vertAlign w:val="subscript"/>
        </w:rPr>
        <w:t>3</w:t>
      </w:r>
      <w:r w:rsidR="00E86471">
        <w:rPr>
          <w:vertAlign w:val="subscript"/>
        </w:rPr>
        <w:t xml:space="preserve">: </w:t>
      </w:r>
      <w:r w:rsidR="00E86471">
        <w:t>SiO</w:t>
      </w:r>
      <w:r w:rsidR="00E86471" w:rsidRPr="00410006">
        <w:rPr>
          <w:vertAlign w:val="subscript"/>
        </w:rPr>
        <w:t>2</w:t>
      </w:r>
      <w:r w:rsidR="00E86471">
        <w:rPr>
          <w:vertAlign w:val="subscript"/>
        </w:rPr>
        <w:t xml:space="preserve"> </w:t>
      </w:r>
      <w:r w:rsidR="00E86471" w:rsidRPr="00433618">
        <w:t xml:space="preserve">ratios equal to 1: 1: </w:t>
      </w:r>
      <w:r w:rsidR="00E86471">
        <w:t xml:space="preserve">2 could not be verified; indeed, different reaction products consisting of Si-, Al-, and K-oxides in varying ratios have been identified on the resulting kaolinite and </w:t>
      </w:r>
      <w:proofErr w:type="spellStart"/>
      <w:r w:rsidR="00E86471">
        <w:t>metakaolinite</w:t>
      </w:r>
      <w:proofErr w:type="spellEnd"/>
      <w:r w:rsidR="00E86471">
        <w:t xml:space="preserve"> powders, both clearly showing the </w:t>
      </w:r>
      <w:r w:rsidR="0070738E">
        <w:t xml:space="preserve">inclusion </w:t>
      </w:r>
      <w:r w:rsidR="00E86471">
        <w:t xml:space="preserve">of K-species. </w:t>
      </w:r>
    </w:p>
    <w:p w:rsidR="000D0DD4" w:rsidRPr="00E86471" w:rsidRDefault="000D0DD4" w:rsidP="000D0DD4">
      <w:pPr>
        <w:pStyle w:val="Nessunaspaziatura"/>
      </w:pPr>
    </w:p>
    <w:p w:rsidR="000D0DD4" w:rsidRDefault="000D0DD4" w:rsidP="000D0DD4">
      <w:pPr>
        <w:pStyle w:val="Nessunaspaziatura"/>
        <w:rPr>
          <w:lang w:val="en-US"/>
        </w:rPr>
      </w:pPr>
      <w:r>
        <w:rPr>
          <w:noProof/>
          <w:lang w:val="it-IT" w:eastAsia="it-IT"/>
        </w:rPr>
        <w:drawing>
          <wp:inline distT="0" distB="0" distL="0" distR="0" wp14:anchorId="11D1ADDD" wp14:editId="3407A12C">
            <wp:extent cx="5086350" cy="1514096"/>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88108" cy="1514619"/>
                    </a:xfrm>
                    <a:prstGeom prst="rect">
                      <a:avLst/>
                    </a:prstGeom>
                    <a:noFill/>
                  </pic:spPr>
                </pic:pic>
              </a:graphicData>
            </a:graphic>
          </wp:inline>
        </w:drawing>
      </w:r>
    </w:p>
    <w:p w:rsidR="000D0DD4" w:rsidRDefault="000D0DD4" w:rsidP="000D0DD4">
      <w:pPr>
        <w:pStyle w:val="Nessunaspaziatura"/>
        <w:rPr>
          <w:lang w:val="en-US"/>
        </w:rPr>
      </w:pPr>
      <w:r>
        <w:rPr>
          <w:noProof/>
          <w:lang w:val="it-IT" w:eastAsia="it-IT"/>
        </w:rPr>
        <w:drawing>
          <wp:inline distT="0" distB="0" distL="0" distR="0" wp14:anchorId="23BEDD11" wp14:editId="6C33A4F9">
            <wp:extent cx="3770353" cy="1328468"/>
            <wp:effectExtent l="0" t="0" r="1905" b="508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79822" cy="1331804"/>
                    </a:xfrm>
                    <a:prstGeom prst="rect">
                      <a:avLst/>
                    </a:prstGeom>
                    <a:noFill/>
                  </pic:spPr>
                </pic:pic>
              </a:graphicData>
            </a:graphic>
          </wp:inline>
        </w:drawing>
      </w:r>
    </w:p>
    <w:p w:rsidR="000D0DD4" w:rsidRDefault="000D0DD4" w:rsidP="000D0DD4">
      <w:pPr>
        <w:pStyle w:val="Nessunaspaziatura"/>
        <w:rPr>
          <w:lang w:val="en-US"/>
        </w:rPr>
      </w:pPr>
    </w:p>
    <w:p w:rsidR="000D0DD4" w:rsidRDefault="000D0DD4" w:rsidP="000D0DD4">
      <w:pPr>
        <w:pStyle w:val="Nessunaspaziatura"/>
        <w:rPr>
          <w:i/>
          <w:lang w:val="en-US"/>
        </w:rPr>
      </w:pPr>
      <w:r w:rsidRPr="001E2BE8">
        <w:rPr>
          <w:i/>
          <w:lang w:val="en-US"/>
        </w:rPr>
        <w:t>Figure 6: Si, Al, K elemental distribution in samples Q-2, Q-3, Q-4 (upper panel) and detail of K concentration</w:t>
      </w:r>
      <w:r>
        <w:rPr>
          <w:i/>
          <w:lang w:val="en-US"/>
        </w:rPr>
        <w:t xml:space="preserve"> on agglomerated grains in Q-2 sample</w:t>
      </w:r>
    </w:p>
    <w:p w:rsidR="000D0DD4" w:rsidRDefault="000D0DD4" w:rsidP="000D0DD4">
      <w:pPr>
        <w:pStyle w:val="Nessunaspaziatura"/>
        <w:rPr>
          <w:i/>
          <w:lang w:val="en-US"/>
        </w:rPr>
      </w:pPr>
    </w:p>
    <w:p w:rsidR="00A26A6A" w:rsidRDefault="00A26A6A" w:rsidP="00BD08B1">
      <w:pPr>
        <w:pStyle w:val="CETBodytext"/>
      </w:pPr>
      <w:r>
        <w:t xml:space="preserve">The average relative amounts of Si, K and Al in Q-3 and Q-4 samples </w:t>
      </w:r>
      <w:r w:rsidR="00572B60">
        <w:t xml:space="preserve">likely </w:t>
      </w:r>
      <w:r>
        <w:t xml:space="preserve">suggest the formation of </w:t>
      </w:r>
      <w:proofErr w:type="spellStart"/>
      <w:r>
        <w:t>aluminosilicate</w:t>
      </w:r>
      <w:proofErr w:type="spellEnd"/>
      <w:r>
        <w:t xml:space="preserve"> phases with K</w:t>
      </w:r>
      <w:r w:rsidRPr="00410006">
        <w:rPr>
          <w:vertAlign w:val="subscript"/>
        </w:rPr>
        <w:t>2</w:t>
      </w:r>
      <w:r>
        <w:t>O: Al</w:t>
      </w:r>
      <w:r w:rsidRPr="00410006">
        <w:rPr>
          <w:vertAlign w:val="subscript"/>
        </w:rPr>
        <w:t>2</w:t>
      </w:r>
      <w:r>
        <w:t>O</w:t>
      </w:r>
      <w:r w:rsidRPr="00410006">
        <w:rPr>
          <w:vertAlign w:val="subscript"/>
        </w:rPr>
        <w:t>3</w:t>
      </w:r>
      <w:r>
        <w:rPr>
          <w:vertAlign w:val="subscript"/>
        </w:rPr>
        <w:t xml:space="preserve">: </w:t>
      </w:r>
      <w:r>
        <w:t>SiO</w:t>
      </w:r>
      <w:r w:rsidRPr="00410006">
        <w:rPr>
          <w:vertAlign w:val="subscript"/>
        </w:rPr>
        <w:t>2</w:t>
      </w:r>
      <w:r>
        <w:rPr>
          <w:vertAlign w:val="subscript"/>
        </w:rPr>
        <w:t xml:space="preserve"> </w:t>
      </w:r>
      <w:r w:rsidRPr="00E717D6">
        <w:t>ratios</w:t>
      </w:r>
      <w:r>
        <w:t xml:space="preserve"> between about 0.1: 1: 2 and 0.4: 1: 2 for kaolin and </w:t>
      </w:r>
      <w:proofErr w:type="spellStart"/>
      <w:r>
        <w:t>metakaolin</w:t>
      </w:r>
      <w:proofErr w:type="spellEnd"/>
      <w:r>
        <w:t xml:space="preserve"> powders, respectively. Conversely, as expected, samples CH-1 and OL-1 did not show any agglomeration effect, having olivine and chromite materials a considerably lower amount of silica. </w:t>
      </w:r>
    </w:p>
    <w:p w:rsidR="000D0DD4" w:rsidRDefault="000D0DD4" w:rsidP="00BD08B1">
      <w:pPr>
        <w:pStyle w:val="CETBodytext"/>
      </w:pPr>
      <w:r w:rsidRPr="00572B60">
        <w:t xml:space="preserve">In accordance with </w:t>
      </w:r>
      <w:proofErr w:type="spellStart"/>
      <w:r w:rsidRPr="001E2BE8">
        <w:t>Ohman</w:t>
      </w:r>
      <w:proofErr w:type="spellEnd"/>
      <w:r w:rsidRPr="001E2BE8">
        <w:t xml:space="preserve"> and </w:t>
      </w:r>
      <w:proofErr w:type="spellStart"/>
      <w:r w:rsidRPr="001E2BE8">
        <w:t>Nordin</w:t>
      </w:r>
      <w:proofErr w:type="spellEnd"/>
      <w:r w:rsidRPr="001E2BE8">
        <w:t xml:space="preserve"> </w:t>
      </w:r>
      <w:r w:rsidR="006F481C" w:rsidRPr="001E2BE8">
        <w:t>(2000)</w:t>
      </w:r>
      <w:r w:rsidR="006F481C" w:rsidRPr="00572B60">
        <w:t>,</w:t>
      </w:r>
      <w:r w:rsidRPr="00572B60">
        <w:t xml:space="preserve"> no newly formed </w:t>
      </w:r>
      <w:r w:rsidR="00D56DE1" w:rsidRPr="00572B60">
        <w:t>crystalline</w:t>
      </w:r>
      <w:r w:rsidRPr="00572B60">
        <w:t xml:space="preserve"> phases could be found from XRD</w:t>
      </w:r>
      <w:r>
        <w:t xml:space="preserve"> analysis of </w:t>
      </w:r>
      <w:r w:rsidR="00261AC0">
        <w:t xml:space="preserve">Q-3 and Q-4 </w:t>
      </w:r>
      <w:r>
        <w:t xml:space="preserve">samples, suggesting that the process temperatures were not high enough to promote the crystallization of the alkali </w:t>
      </w:r>
      <w:proofErr w:type="spellStart"/>
      <w:r>
        <w:t>alumino</w:t>
      </w:r>
      <w:proofErr w:type="spellEnd"/>
      <w:r w:rsidR="00D56DE1">
        <w:t>-</w:t>
      </w:r>
      <w:r>
        <w:t>silicate formed species</w:t>
      </w:r>
      <w:r w:rsidR="00261AC0">
        <w:t>.</w:t>
      </w:r>
      <w:r w:rsidR="007E6443">
        <w:t xml:space="preserve"> </w:t>
      </w:r>
      <w:r w:rsidR="00261AC0">
        <w:t xml:space="preserve">Indeed, no other </w:t>
      </w:r>
      <w:r>
        <w:t>phases than silica from the bed material could be spotted out</w:t>
      </w:r>
      <w:r w:rsidR="00261AC0">
        <w:t xml:space="preserve"> (data not shown)</w:t>
      </w:r>
      <w:r>
        <w:t xml:space="preserve">. </w:t>
      </w:r>
    </w:p>
    <w:p w:rsidR="000D0DD4" w:rsidRDefault="000D0DD4" w:rsidP="000D0DD4">
      <w:pPr>
        <w:pStyle w:val="Nessunaspaziatura"/>
        <w:rPr>
          <w:lang w:val="en-US"/>
        </w:rPr>
      </w:pPr>
    </w:p>
    <w:p w:rsidR="000D0DD4" w:rsidRPr="0058594E" w:rsidRDefault="000D0DD4" w:rsidP="000D0DD4">
      <w:pPr>
        <w:pStyle w:val="CETHeading1"/>
      </w:pPr>
      <w:r w:rsidRPr="0058594E">
        <w:t>Conclusions</w:t>
      </w:r>
    </w:p>
    <w:p w:rsidR="000D0DD4" w:rsidRPr="001E2BE8" w:rsidRDefault="000D0DD4" w:rsidP="000D0DD4">
      <w:pPr>
        <w:pStyle w:val="CETBodytext"/>
      </w:pPr>
      <w:r w:rsidRPr="001E2BE8">
        <w:t>The bed agglomeration</w:t>
      </w:r>
      <w:r w:rsidR="008F2485" w:rsidRPr="001E2BE8">
        <w:t xml:space="preserve"> has been systematically experienced with a quartzite bed at temperature in excess of 800 °C, when a alkali rich fuel (olive husk) was </w:t>
      </w:r>
      <w:r w:rsidR="00572B60">
        <w:t>gasified</w:t>
      </w:r>
      <w:r w:rsidR="008F2485" w:rsidRPr="001E2BE8">
        <w:t xml:space="preserve"> in fluidized bed</w:t>
      </w:r>
      <w:r w:rsidRPr="001E2BE8">
        <w:t>.</w:t>
      </w:r>
      <w:r w:rsidR="008F2485" w:rsidRPr="001E2BE8">
        <w:t xml:space="preserve"> Different bed materials, i.e. olivine and chromite, prove to be resistant to agglomeration but </w:t>
      </w:r>
      <w:r w:rsidR="003616B3" w:rsidRPr="001E2BE8">
        <w:t>have l</w:t>
      </w:r>
      <w:r w:rsidR="003D509C">
        <w:t xml:space="preserve">arger density than silica sand </w:t>
      </w:r>
      <w:r w:rsidR="003616B3" w:rsidRPr="001E2BE8">
        <w:t xml:space="preserve">with negative impact on </w:t>
      </w:r>
      <w:r w:rsidR="00B761FE">
        <w:t>bed fluid-</w:t>
      </w:r>
      <w:r w:rsidR="00D12D8D">
        <w:t>dynamics</w:t>
      </w:r>
      <w:r w:rsidR="003616B3" w:rsidRPr="001E2BE8">
        <w:t>.</w:t>
      </w:r>
      <w:r w:rsidR="00B761FE">
        <w:t xml:space="preserve"> Using a </w:t>
      </w:r>
      <w:r w:rsidR="00A227A2">
        <w:t xml:space="preserve">coal/biomass </w:t>
      </w:r>
      <w:r w:rsidR="00B761FE">
        <w:t xml:space="preserve">blend </w:t>
      </w:r>
      <w:r w:rsidR="003D509C">
        <w:t xml:space="preserve">was </w:t>
      </w:r>
      <w:r w:rsidR="00A227A2">
        <w:t xml:space="preserve">also </w:t>
      </w:r>
      <w:r w:rsidR="003D509C">
        <w:t xml:space="preserve">beneficial </w:t>
      </w:r>
      <w:r w:rsidR="00A227A2">
        <w:t xml:space="preserve">to </w:t>
      </w:r>
      <w:r w:rsidR="003D509C">
        <w:t>delay agglomeration.</w:t>
      </w:r>
    </w:p>
    <w:p w:rsidR="003616B3" w:rsidRPr="001E2BE8" w:rsidRDefault="006778AF" w:rsidP="000D0DD4">
      <w:pPr>
        <w:pStyle w:val="CETBodytext"/>
      </w:pPr>
      <w:r w:rsidRPr="004C48B9">
        <w:t xml:space="preserve">In alternative the addition of </w:t>
      </w:r>
      <w:proofErr w:type="spellStart"/>
      <w:r w:rsidRPr="004C48B9">
        <w:t>metakaolin</w:t>
      </w:r>
      <w:proofErr w:type="spellEnd"/>
      <w:r w:rsidRPr="004C48B9">
        <w:t xml:space="preserve"> </w:t>
      </w:r>
      <w:r w:rsidR="003D509C">
        <w:t>can be very</w:t>
      </w:r>
      <w:r w:rsidRPr="004C48B9">
        <w:t xml:space="preserve"> effective in order to </w:t>
      </w:r>
      <w:r w:rsidR="003D509C">
        <w:t>prevent</w:t>
      </w:r>
      <w:r w:rsidRPr="004C48B9">
        <w:t xml:space="preserve"> the occurrence of bed agglomeration. </w:t>
      </w:r>
      <w:r w:rsidR="003616B3" w:rsidRPr="004C48B9">
        <w:t xml:space="preserve">The </w:t>
      </w:r>
      <w:proofErr w:type="spellStart"/>
      <w:r w:rsidR="003616B3" w:rsidRPr="004C48B9">
        <w:t>metak</w:t>
      </w:r>
      <w:r w:rsidRPr="004C48B9">
        <w:t>aolin</w:t>
      </w:r>
      <w:proofErr w:type="spellEnd"/>
      <w:r w:rsidRPr="004C48B9">
        <w:t xml:space="preserve"> </w:t>
      </w:r>
      <w:r w:rsidR="00A227A2">
        <w:t>is</w:t>
      </w:r>
      <w:r w:rsidRPr="004C48B9">
        <w:t xml:space="preserve"> high</w:t>
      </w:r>
      <w:r w:rsidR="00A227A2">
        <w:t>ly</w:t>
      </w:r>
      <w:r w:rsidR="003616B3" w:rsidRPr="004C48B9">
        <w:t xml:space="preserve"> reactiv</w:t>
      </w:r>
      <w:r w:rsidR="00A227A2">
        <w:t>e</w:t>
      </w:r>
      <w:r w:rsidR="003616B3" w:rsidRPr="004C48B9">
        <w:t xml:space="preserve"> </w:t>
      </w:r>
      <w:r w:rsidR="00A227A2">
        <w:t>thanks to the</w:t>
      </w:r>
      <w:r w:rsidR="003616B3" w:rsidRPr="004C48B9">
        <w:t xml:space="preserve"> amorphous content and small particle size. </w:t>
      </w:r>
      <w:r w:rsidRPr="004C48B9">
        <w:t>SEM images show</w:t>
      </w:r>
      <w:r w:rsidR="006F481C">
        <w:t>ed</w:t>
      </w:r>
      <w:r w:rsidRPr="004C48B9">
        <w:t xml:space="preserve"> the presence of </w:t>
      </w:r>
      <w:r w:rsidR="003616B3" w:rsidRPr="004C48B9">
        <w:t>large irregular clusters of bed materials, with quartz grain stuck together through the formation of K-enriched necks between the particles</w:t>
      </w:r>
      <w:r w:rsidRPr="004C48B9">
        <w:t>.</w:t>
      </w:r>
      <w:r w:rsidR="004C48B9" w:rsidRPr="004C48B9">
        <w:t xml:space="preserve"> The use of </w:t>
      </w:r>
      <w:proofErr w:type="spellStart"/>
      <w:r w:rsidR="004C48B9" w:rsidRPr="004C48B9">
        <w:t>aluminosilicate</w:t>
      </w:r>
      <w:proofErr w:type="spellEnd"/>
      <w:r w:rsidR="004C48B9" w:rsidRPr="004C48B9">
        <w:t xml:space="preserve"> additives resulted in an enrichment of K species in the amorphous kaolinite/</w:t>
      </w:r>
      <w:proofErr w:type="spellStart"/>
      <w:r w:rsidR="004C48B9" w:rsidRPr="004C48B9">
        <w:t>metakaolinite</w:t>
      </w:r>
      <w:proofErr w:type="spellEnd"/>
      <w:r w:rsidR="004C48B9" w:rsidRPr="004C48B9">
        <w:t xml:space="preserve"> powders, leaving the quartz grains clearly loose, without any neck formation among the particles</w:t>
      </w:r>
    </w:p>
    <w:p w:rsidR="000D0DD4" w:rsidRDefault="00D12D8D" w:rsidP="000D0DD4">
      <w:pPr>
        <w:pStyle w:val="CETBodytext"/>
      </w:pPr>
      <w:r>
        <w:t>T</w:t>
      </w:r>
      <w:r w:rsidR="00453D6D">
        <w:t xml:space="preserve">he studied measures to prevent bed agglomeration, i.e. adoption of </w:t>
      </w:r>
      <w:r w:rsidR="007D2A52">
        <w:t>low silica</w:t>
      </w:r>
      <w:r w:rsidR="00453D6D">
        <w:t xml:space="preserve"> materials or kaolin addition, </w:t>
      </w:r>
      <w:r w:rsidR="00BD08B1">
        <w:t xml:space="preserve">would </w:t>
      </w:r>
      <w:r>
        <w:t xml:space="preserve">have </w:t>
      </w:r>
      <w:r w:rsidR="00BD08B1">
        <w:t>limited</w:t>
      </w:r>
      <w:r>
        <w:t xml:space="preserve"> economic impact at full-scale, being based on easily available natural materials. </w:t>
      </w:r>
      <w:r w:rsidR="00BD08B1">
        <w:t>To this aim</w:t>
      </w:r>
      <w:r>
        <w:t xml:space="preserve">, the </w:t>
      </w:r>
      <w:r w:rsidR="00BD08B1">
        <w:t>scale-up implementation will be argument of future research</w:t>
      </w:r>
      <w:r w:rsidR="00A227A2">
        <w:t>, also considering the impact on fluid-dynamics</w:t>
      </w:r>
      <w:r w:rsidR="004C48B9" w:rsidRPr="001E2BE8">
        <w:t>.</w:t>
      </w:r>
      <w:bookmarkStart w:id="0" w:name="_GoBack"/>
      <w:bookmarkEnd w:id="0"/>
    </w:p>
    <w:p w:rsidR="000D0DD4" w:rsidRPr="00492F56" w:rsidRDefault="000D0DD4" w:rsidP="000D0DD4">
      <w:pPr>
        <w:pStyle w:val="CETAcknowledgements"/>
        <w:rPr>
          <w:lang w:val="en-US"/>
        </w:rPr>
      </w:pPr>
      <w:r w:rsidRPr="001E2BE8">
        <w:rPr>
          <w:lang w:val="en-US"/>
        </w:rPr>
        <w:t>Acknowledgments</w:t>
      </w:r>
      <w:r w:rsidRPr="00492F56">
        <w:rPr>
          <w:lang w:val="en-US"/>
        </w:rPr>
        <w:t xml:space="preserve"> </w:t>
      </w:r>
    </w:p>
    <w:p w:rsidR="000D0DD4" w:rsidRPr="00492F56" w:rsidRDefault="00A26A6A" w:rsidP="000D0DD4">
      <w:pPr>
        <w:pStyle w:val="CETBodytext"/>
      </w:pPr>
      <w:r>
        <w:t xml:space="preserve">Mr. E. </w:t>
      </w:r>
      <w:proofErr w:type="spellStart"/>
      <w:r>
        <w:t>Marinò</w:t>
      </w:r>
      <w:proofErr w:type="spellEnd"/>
      <w:r>
        <w:t xml:space="preserve"> is gratefully </w:t>
      </w:r>
      <w:r w:rsidR="000E0403">
        <w:t>acknowledged</w:t>
      </w:r>
      <w:r>
        <w:t xml:space="preserve"> for the setup of the </w:t>
      </w:r>
      <w:r w:rsidR="00BD08B1">
        <w:t>FB</w:t>
      </w:r>
      <w:r>
        <w:t xml:space="preserve"> facility and the production of fuel pellets.</w:t>
      </w:r>
    </w:p>
    <w:p w:rsidR="000D0DD4" w:rsidRPr="00492F56" w:rsidRDefault="000D0DD4" w:rsidP="000D0DD4">
      <w:pPr>
        <w:pStyle w:val="CETReference"/>
        <w:rPr>
          <w:lang w:val="en-US"/>
        </w:rPr>
      </w:pPr>
      <w:r w:rsidRPr="00492F56">
        <w:rPr>
          <w:lang w:val="en-US"/>
        </w:rPr>
        <w:t xml:space="preserve">Reference </w:t>
      </w:r>
    </w:p>
    <w:p w:rsidR="000E0403" w:rsidRPr="00492F56" w:rsidRDefault="000E0403" w:rsidP="00D204D6">
      <w:pPr>
        <w:pStyle w:val="CETReference-text"/>
        <w:rPr>
          <w:lang w:val="en-US"/>
        </w:rPr>
      </w:pPr>
      <w:r w:rsidRPr="001E2BE8">
        <w:rPr>
          <w:lang w:val="en-US"/>
        </w:rPr>
        <w:t xml:space="preserve">Brown J.J., The </w:t>
      </w:r>
      <w:r w:rsidR="00E957F3" w:rsidRPr="001E2BE8">
        <w:rPr>
          <w:lang w:val="en-US"/>
        </w:rPr>
        <w:t>use of phase diagrams to predict alkali oxide corrosion of ceramics</w:t>
      </w:r>
      <w:r w:rsidRPr="001E2BE8">
        <w:rPr>
          <w:lang w:val="en-US"/>
        </w:rPr>
        <w:t xml:space="preserve">, in Phase Diagrams in Advanced Ceramics, </w:t>
      </w:r>
      <w:proofErr w:type="spellStart"/>
      <w:r w:rsidRPr="001E2BE8">
        <w:rPr>
          <w:lang w:val="en-US"/>
        </w:rPr>
        <w:t>Alper</w:t>
      </w:r>
      <w:proofErr w:type="spellEnd"/>
      <w:r w:rsidRPr="001E2BE8">
        <w:rPr>
          <w:lang w:val="en-US"/>
        </w:rPr>
        <w:t xml:space="preserve"> A.M. (Ed.), Academic Press, 1995, Pages 43-cp1</w:t>
      </w:r>
      <w:r w:rsidR="00E957F3">
        <w:rPr>
          <w:lang w:val="en-US"/>
        </w:rPr>
        <w:t>.</w:t>
      </w:r>
    </w:p>
    <w:p w:rsidR="000E0403" w:rsidRPr="000E03F2" w:rsidRDefault="000E0403" w:rsidP="000D0DD4">
      <w:pPr>
        <w:pStyle w:val="CETReference-text"/>
        <w:rPr>
          <w:lang w:val="en-US"/>
        </w:rPr>
      </w:pPr>
      <w:proofErr w:type="spellStart"/>
      <w:r w:rsidRPr="000E03F2">
        <w:rPr>
          <w:lang w:val="en-US"/>
        </w:rPr>
        <w:t>Chirone</w:t>
      </w:r>
      <w:proofErr w:type="spellEnd"/>
      <w:r w:rsidRPr="000E03F2">
        <w:rPr>
          <w:lang w:val="en-US"/>
        </w:rPr>
        <w:t xml:space="preserve"> R., </w:t>
      </w:r>
      <w:proofErr w:type="spellStart"/>
      <w:r w:rsidRPr="000E03F2">
        <w:rPr>
          <w:lang w:val="en-US"/>
        </w:rPr>
        <w:t>Miccio</w:t>
      </w:r>
      <w:proofErr w:type="spellEnd"/>
      <w:r w:rsidRPr="000E03F2">
        <w:rPr>
          <w:lang w:val="en-US"/>
        </w:rPr>
        <w:t xml:space="preserve"> F., </w:t>
      </w:r>
      <w:proofErr w:type="spellStart"/>
      <w:r w:rsidRPr="000E03F2">
        <w:rPr>
          <w:lang w:val="en-US"/>
        </w:rPr>
        <w:t>Scala</w:t>
      </w:r>
      <w:proofErr w:type="spellEnd"/>
      <w:r w:rsidRPr="000E03F2">
        <w:rPr>
          <w:lang w:val="en-US"/>
        </w:rPr>
        <w:t xml:space="preserve"> F.</w:t>
      </w:r>
      <w:r>
        <w:rPr>
          <w:lang w:val="en-US"/>
        </w:rPr>
        <w:t>, 2006</w:t>
      </w:r>
      <w:r w:rsidRPr="000E03F2">
        <w:rPr>
          <w:lang w:val="en-US"/>
        </w:rPr>
        <w:t xml:space="preserve">, Mechanism and prediction of bed agglomeration during fluidized bed combustion of a biomass fuel: </w:t>
      </w:r>
      <w:r w:rsidR="00E957F3">
        <w:rPr>
          <w:lang w:val="en-US"/>
        </w:rPr>
        <w:t>e</w:t>
      </w:r>
      <w:r w:rsidRPr="000E03F2">
        <w:rPr>
          <w:lang w:val="en-US"/>
        </w:rPr>
        <w:t>ffect of the reactor scal</w:t>
      </w:r>
      <w:r w:rsidR="00E957F3">
        <w:rPr>
          <w:lang w:val="en-US"/>
        </w:rPr>
        <w:t>e, Chemical Engineering Journal</w:t>
      </w:r>
      <w:r w:rsidRPr="000E03F2">
        <w:rPr>
          <w:lang w:val="en-US"/>
        </w:rPr>
        <w:t xml:space="preserve"> </w:t>
      </w:r>
      <w:r>
        <w:rPr>
          <w:lang w:val="en-US"/>
        </w:rPr>
        <w:t>123, 71-80.</w:t>
      </w:r>
    </w:p>
    <w:p w:rsidR="000E0403" w:rsidRPr="000E03F2" w:rsidRDefault="000E0403" w:rsidP="000D0DD4">
      <w:pPr>
        <w:pStyle w:val="CETReference-text"/>
        <w:rPr>
          <w:lang w:val="en-US"/>
        </w:rPr>
      </w:pPr>
      <w:proofErr w:type="spellStart"/>
      <w:r w:rsidRPr="000E03F2">
        <w:rPr>
          <w:lang w:val="en-US"/>
        </w:rPr>
        <w:t>Ergudenler</w:t>
      </w:r>
      <w:proofErr w:type="spellEnd"/>
      <w:r w:rsidRPr="000E03F2">
        <w:rPr>
          <w:lang w:val="en-US"/>
        </w:rPr>
        <w:t xml:space="preserve"> A., </w:t>
      </w:r>
      <w:proofErr w:type="spellStart"/>
      <w:r w:rsidRPr="000E03F2">
        <w:rPr>
          <w:lang w:val="en-US"/>
        </w:rPr>
        <w:t>Ghaly</w:t>
      </w:r>
      <w:proofErr w:type="spellEnd"/>
      <w:r w:rsidRPr="000E03F2">
        <w:rPr>
          <w:lang w:val="en-US"/>
        </w:rPr>
        <w:t xml:space="preserve"> A.E.</w:t>
      </w:r>
      <w:r>
        <w:rPr>
          <w:lang w:val="en-US"/>
        </w:rPr>
        <w:t>, 1993</w:t>
      </w:r>
      <w:r w:rsidRPr="000E03F2">
        <w:rPr>
          <w:lang w:val="en-US"/>
        </w:rPr>
        <w:t xml:space="preserve">, </w:t>
      </w:r>
      <w:r w:rsidR="00E957F3">
        <w:rPr>
          <w:lang w:val="en-US"/>
        </w:rPr>
        <w:t>A</w:t>
      </w:r>
      <w:r w:rsidR="00E957F3" w:rsidRPr="000E03F2">
        <w:rPr>
          <w:lang w:val="en-US"/>
        </w:rPr>
        <w:t xml:space="preserve">gglomeration of alumina sand in a fluidized bed straw </w:t>
      </w:r>
      <w:proofErr w:type="spellStart"/>
      <w:r w:rsidR="00E957F3" w:rsidRPr="000E03F2">
        <w:rPr>
          <w:lang w:val="en-US"/>
        </w:rPr>
        <w:t>gasifier</w:t>
      </w:r>
      <w:proofErr w:type="spellEnd"/>
      <w:r w:rsidR="00E957F3" w:rsidRPr="000E03F2">
        <w:rPr>
          <w:lang w:val="en-US"/>
        </w:rPr>
        <w:t xml:space="preserve"> at elevated temperatures</w:t>
      </w:r>
      <w:r w:rsidRPr="000E03F2">
        <w:rPr>
          <w:lang w:val="en-US"/>
        </w:rPr>
        <w:t xml:space="preserve">, </w:t>
      </w:r>
      <w:proofErr w:type="spellStart"/>
      <w:r w:rsidRPr="000E03F2">
        <w:rPr>
          <w:lang w:val="en-US"/>
        </w:rPr>
        <w:t>Bioresource</w:t>
      </w:r>
      <w:proofErr w:type="spellEnd"/>
      <w:r w:rsidRPr="000E03F2">
        <w:rPr>
          <w:lang w:val="en-US"/>
        </w:rPr>
        <w:t xml:space="preserve"> Technology 43, 259-268</w:t>
      </w:r>
      <w:r w:rsidR="00E957F3">
        <w:rPr>
          <w:lang w:val="en-US"/>
        </w:rPr>
        <w:t>.</w:t>
      </w:r>
    </w:p>
    <w:p w:rsidR="000E0403" w:rsidRPr="000E03F2" w:rsidRDefault="000E0403" w:rsidP="000D0DD4">
      <w:pPr>
        <w:pStyle w:val="CETReference-text"/>
        <w:rPr>
          <w:lang w:val="en-US"/>
        </w:rPr>
      </w:pPr>
      <w:proofErr w:type="spellStart"/>
      <w:r w:rsidRPr="000E03F2">
        <w:rPr>
          <w:lang w:val="en-US"/>
        </w:rPr>
        <w:t>Fryda</w:t>
      </w:r>
      <w:proofErr w:type="spellEnd"/>
      <w:r w:rsidRPr="000E03F2">
        <w:rPr>
          <w:lang w:val="en-US"/>
        </w:rPr>
        <w:t xml:space="preserve"> L.E., </w:t>
      </w:r>
      <w:proofErr w:type="spellStart"/>
      <w:r w:rsidRPr="000E03F2">
        <w:rPr>
          <w:lang w:val="en-US"/>
        </w:rPr>
        <w:t>Panopoulos</w:t>
      </w:r>
      <w:proofErr w:type="spellEnd"/>
      <w:r w:rsidRPr="000E03F2">
        <w:rPr>
          <w:lang w:val="en-US"/>
        </w:rPr>
        <w:t xml:space="preserve"> K.D., </w:t>
      </w:r>
      <w:proofErr w:type="spellStart"/>
      <w:r w:rsidRPr="000E03F2">
        <w:rPr>
          <w:lang w:val="en-US"/>
        </w:rPr>
        <w:t>Kakaras</w:t>
      </w:r>
      <w:proofErr w:type="spellEnd"/>
      <w:r w:rsidRPr="000E03F2">
        <w:rPr>
          <w:lang w:val="en-US"/>
        </w:rPr>
        <w:t xml:space="preserve"> E</w:t>
      </w:r>
      <w:r w:rsidR="00E957F3">
        <w:rPr>
          <w:lang w:val="en-US"/>
        </w:rPr>
        <w:t>.</w:t>
      </w:r>
      <w:r>
        <w:rPr>
          <w:lang w:val="en-US"/>
        </w:rPr>
        <w:t>, 2008</w:t>
      </w:r>
      <w:r w:rsidRPr="000E03F2">
        <w:rPr>
          <w:lang w:val="en-US"/>
        </w:rPr>
        <w:t xml:space="preserve">, </w:t>
      </w:r>
      <w:r w:rsidR="00E957F3">
        <w:rPr>
          <w:lang w:val="en-US"/>
        </w:rPr>
        <w:t>A</w:t>
      </w:r>
      <w:r w:rsidR="00E957F3" w:rsidRPr="000E03F2">
        <w:rPr>
          <w:lang w:val="en-US"/>
        </w:rPr>
        <w:t xml:space="preserve">gglomeration in </w:t>
      </w:r>
      <w:proofErr w:type="spellStart"/>
      <w:r w:rsidR="00E957F3" w:rsidRPr="000E03F2">
        <w:rPr>
          <w:lang w:val="en-US"/>
        </w:rPr>
        <w:t>fluidised</w:t>
      </w:r>
      <w:proofErr w:type="spellEnd"/>
      <w:r w:rsidR="00E957F3" w:rsidRPr="000E03F2">
        <w:rPr>
          <w:lang w:val="en-US"/>
        </w:rPr>
        <w:t xml:space="preserve"> bed gasification of biomass</w:t>
      </w:r>
      <w:r w:rsidRPr="000E03F2">
        <w:rPr>
          <w:lang w:val="en-US"/>
        </w:rPr>
        <w:t>, Powde</w:t>
      </w:r>
      <w:r>
        <w:rPr>
          <w:lang w:val="en-US"/>
        </w:rPr>
        <w:t>r Technology 181, 307-320.</w:t>
      </w:r>
    </w:p>
    <w:p w:rsidR="000E0403" w:rsidRDefault="000E0403" w:rsidP="000D0DD4">
      <w:pPr>
        <w:pStyle w:val="CETReference-text"/>
        <w:rPr>
          <w:lang w:val="en-US"/>
        </w:rPr>
      </w:pPr>
      <w:proofErr w:type="spellStart"/>
      <w:r w:rsidRPr="00A729B7">
        <w:rPr>
          <w:lang w:val="en-US"/>
        </w:rPr>
        <w:t>Mettanant</w:t>
      </w:r>
      <w:proofErr w:type="spellEnd"/>
      <w:r w:rsidRPr="00A729B7">
        <w:rPr>
          <w:lang w:val="en-US"/>
        </w:rPr>
        <w:t xml:space="preserve"> V., </w:t>
      </w:r>
      <w:proofErr w:type="spellStart"/>
      <w:r w:rsidRPr="00A729B7">
        <w:rPr>
          <w:lang w:val="en-US"/>
        </w:rPr>
        <w:t>Basu</w:t>
      </w:r>
      <w:proofErr w:type="spellEnd"/>
      <w:r w:rsidRPr="00A729B7">
        <w:rPr>
          <w:lang w:val="en-US"/>
        </w:rPr>
        <w:t xml:space="preserve"> P., Butler J.</w:t>
      </w:r>
      <w:r>
        <w:rPr>
          <w:lang w:val="en-US"/>
        </w:rPr>
        <w:t xml:space="preserve">, 2009, </w:t>
      </w:r>
      <w:r w:rsidRPr="00A729B7">
        <w:rPr>
          <w:lang w:val="en-US"/>
        </w:rPr>
        <w:t xml:space="preserve">Agglomeration of biomass fired fluidized bed </w:t>
      </w:r>
      <w:proofErr w:type="spellStart"/>
      <w:r w:rsidRPr="00A729B7">
        <w:rPr>
          <w:lang w:val="en-US"/>
        </w:rPr>
        <w:t>gasifier</w:t>
      </w:r>
      <w:proofErr w:type="spellEnd"/>
      <w:r w:rsidRPr="00A729B7">
        <w:rPr>
          <w:lang w:val="en-US"/>
        </w:rPr>
        <w:t xml:space="preserve"> and combustor</w:t>
      </w:r>
      <w:r>
        <w:rPr>
          <w:lang w:val="en-US"/>
        </w:rPr>
        <w:t>,</w:t>
      </w:r>
      <w:r w:rsidRPr="00A729B7">
        <w:rPr>
          <w:lang w:val="en-US"/>
        </w:rPr>
        <w:t xml:space="preserve"> Canadian Jour</w:t>
      </w:r>
      <w:r w:rsidR="00E957F3">
        <w:rPr>
          <w:lang w:val="en-US"/>
        </w:rPr>
        <w:t>nal of Chemical Engineering</w:t>
      </w:r>
      <w:r>
        <w:rPr>
          <w:lang w:val="en-US"/>
        </w:rPr>
        <w:t xml:space="preserve"> 87</w:t>
      </w:r>
      <w:r w:rsidRPr="00A729B7">
        <w:rPr>
          <w:lang w:val="en-US"/>
        </w:rPr>
        <w:t>, 656-684.</w:t>
      </w:r>
    </w:p>
    <w:p w:rsidR="000E0403" w:rsidRDefault="000E0403" w:rsidP="000D0DD4">
      <w:pPr>
        <w:pStyle w:val="CETReference-text"/>
        <w:rPr>
          <w:lang w:val="en-US"/>
        </w:rPr>
      </w:pPr>
      <w:proofErr w:type="spellStart"/>
      <w:r w:rsidRPr="008A14B8">
        <w:rPr>
          <w:lang w:val="en-US"/>
        </w:rPr>
        <w:t>Miccio</w:t>
      </w:r>
      <w:proofErr w:type="spellEnd"/>
      <w:r>
        <w:rPr>
          <w:lang w:val="en-US"/>
        </w:rPr>
        <w:t xml:space="preserve"> F.,</w:t>
      </w:r>
      <w:r w:rsidRPr="008A14B8">
        <w:rPr>
          <w:lang w:val="en-US"/>
        </w:rPr>
        <w:t xml:space="preserve"> </w:t>
      </w:r>
      <w:proofErr w:type="spellStart"/>
      <w:r w:rsidRPr="008A14B8">
        <w:rPr>
          <w:lang w:val="en-US"/>
        </w:rPr>
        <w:t>Ruoppolo</w:t>
      </w:r>
      <w:proofErr w:type="spellEnd"/>
      <w:r>
        <w:rPr>
          <w:lang w:val="en-US"/>
        </w:rPr>
        <w:t xml:space="preserve"> G.</w:t>
      </w:r>
      <w:r w:rsidRPr="008A14B8">
        <w:rPr>
          <w:lang w:val="en-US"/>
        </w:rPr>
        <w:t>, Russo</w:t>
      </w:r>
      <w:r>
        <w:rPr>
          <w:lang w:val="en-US"/>
        </w:rPr>
        <w:t xml:space="preserve"> S.</w:t>
      </w:r>
      <w:r w:rsidRPr="008A14B8">
        <w:rPr>
          <w:lang w:val="en-US"/>
        </w:rPr>
        <w:t xml:space="preserve">, </w:t>
      </w:r>
      <w:proofErr w:type="spellStart"/>
      <w:r w:rsidRPr="008A14B8">
        <w:rPr>
          <w:lang w:val="en-US"/>
        </w:rPr>
        <w:t>Urciuolo</w:t>
      </w:r>
      <w:proofErr w:type="spellEnd"/>
      <w:r>
        <w:rPr>
          <w:lang w:val="en-US"/>
        </w:rPr>
        <w:t xml:space="preserve"> M.</w:t>
      </w:r>
      <w:r w:rsidRPr="008A14B8">
        <w:rPr>
          <w:lang w:val="en-US"/>
        </w:rPr>
        <w:t xml:space="preserve">, De </w:t>
      </w:r>
      <w:proofErr w:type="spellStart"/>
      <w:r w:rsidRPr="008A14B8">
        <w:rPr>
          <w:lang w:val="en-US"/>
        </w:rPr>
        <w:t>Riccardis</w:t>
      </w:r>
      <w:proofErr w:type="spellEnd"/>
      <w:r>
        <w:rPr>
          <w:lang w:val="en-US"/>
        </w:rPr>
        <w:t xml:space="preserve"> A., 2014, </w:t>
      </w:r>
      <w:r w:rsidR="00E957F3">
        <w:rPr>
          <w:lang w:val="en-US"/>
        </w:rPr>
        <w:t>F</w:t>
      </w:r>
      <w:r w:rsidR="00E957F3" w:rsidRPr="008A14B8">
        <w:rPr>
          <w:lang w:val="en-US"/>
        </w:rPr>
        <w:t>luidized bed combustion of wet</w:t>
      </w:r>
      <w:r w:rsidR="00E957F3">
        <w:rPr>
          <w:lang w:val="en-US"/>
        </w:rPr>
        <w:t xml:space="preserve"> </w:t>
      </w:r>
      <w:r w:rsidR="00E957F3" w:rsidRPr="008A14B8">
        <w:rPr>
          <w:lang w:val="en-US"/>
        </w:rPr>
        <w:t>biomass fuel (olive husks</w:t>
      </w:r>
      <w:r w:rsidRPr="008A14B8">
        <w:rPr>
          <w:lang w:val="en-US"/>
        </w:rPr>
        <w:t>)</w:t>
      </w:r>
      <w:r w:rsidR="00E957F3">
        <w:rPr>
          <w:lang w:val="en-US"/>
        </w:rPr>
        <w:t>, Chem. Eng. Trans.</w:t>
      </w:r>
      <w:r>
        <w:rPr>
          <w:lang w:val="en-US"/>
        </w:rPr>
        <w:t xml:space="preserve"> 37, 1-6.</w:t>
      </w:r>
    </w:p>
    <w:p w:rsidR="000E0403" w:rsidRDefault="000E0403" w:rsidP="000D0DD4">
      <w:pPr>
        <w:pStyle w:val="CETReference-text"/>
        <w:rPr>
          <w:lang w:val="en-US"/>
        </w:rPr>
      </w:pPr>
      <w:proofErr w:type="spellStart"/>
      <w:r w:rsidRPr="00703A74">
        <w:rPr>
          <w:lang w:val="en-US"/>
        </w:rPr>
        <w:t>Miccio</w:t>
      </w:r>
      <w:proofErr w:type="spellEnd"/>
      <w:r w:rsidRPr="00703A74">
        <w:rPr>
          <w:lang w:val="en-US"/>
        </w:rPr>
        <w:t xml:space="preserve"> F., </w:t>
      </w:r>
      <w:proofErr w:type="spellStart"/>
      <w:r w:rsidRPr="00703A74">
        <w:rPr>
          <w:lang w:val="en-US"/>
        </w:rPr>
        <w:t>Solimene</w:t>
      </w:r>
      <w:proofErr w:type="spellEnd"/>
      <w:r w:rsidRPr="00703A74">
        <w:rPr>
          <w:lang w:val="en-US"/>
        </w:rPr>
        <w:t xml:space="preserve"> R., </w:t>
      </w:r>
      <w:proofErr w:type="spellStart"/>
      <w:r w:rsidRPr="00703A74">
        <w:rPr>
          <w:lang w:val="en-US"/>
        </w:rPr>
        <w:t>Urciuolo</w:t>
      </w:r>
      <w:proofErr w:type="spellEnd"/>
      <w:r w:rsidRPr="00703A74">
        <w:rPr>
          <w:lang w:val="en-US"/>
        </w:rPr>
        <w:t xml:space="preserve"> M., </w:t>
      </w:r>
      <w:proofErr w:type="spellStart"/>
      <w:r w:rsidRPr="00703A74">
        <w:rPr>
          <w:lang w:val="en-US"/>
        </w:rPr>
        <w:t>Brachi</w:t>
      </w:r>
      <w:proofErr w:type="spellEnd"/>
      <w:r w:rsidRPr="00703A74">
        <w:rPr>
          <w:lang w:val="en-US"/>
        </w:rPr>
        <w:t xml:space="preserve"> P., </w:t>
      </w:r>
      <w:proofErr w:type="spellStart"/>
      <w:r w:rsidRPr="00703A74">
        <w:rPr>
          <w:lang w:val="en-US"/>
        </w:rPr>
        <w:t>Miccio</w:t>
      </w:r>
      <w:proofErr w:type="spellEnd"/>
      <w:r w:rsidRPr="00703A74">
        <w:rPr>
          <w:lang w:val="en-US"/>
        </w:rPr>
        <w:t xml:space="preserve"> M., 2016, Fluidized </w:t>
      </w:r>
      <w:r w:rsidR="00E37E48" w:rsidRPr="00703A74">
        <w:rPr>
          <w:lang w:val="en-US"/>
        </w:rPr>
        <w:t>bed combustion of a lignin-based slurry</w:t>
      </w:r>
      <w:r w:rsidRPr="00703A74">
        <w:rPr>
          <w:lang w:val="en-US"/>
        </w:rPr>
        <w:t xml:space="preserve">, </w:t>
      </w:r>
      <w:r w:rsidR="00E957F3">
        <w:rPr>
          <w:lang w:val="en-US"/>
        </w:rPr>
        <w:t>Chem. Eng. Trans.</w:t>
      </w:r>
      <w:r>
        <w:rPr>
          <w:lang w:val="en-US"/>
        </w:rPr>
        <w:t xml:space="preserve"> 50, 271-276.</w:t>
      </w:r>
    </w:p>
    <w:p w:rsidR="000E0403" w:rsidRDefault="000E0403" w:rsidP="000D0DD4">
      <w:pPr>
        <w:pStyle w:val="CETReference-text"/>
        <w:rPr>
          <w:lang w:val="en-US"/>
        </w:rPr>
      </w:pPr>
      <w:proofErr w:type="spellStart"/>
      <w:r w:rsidRPr="00E5551D">
        <w:rPr>
          <w:lang w:val="en-US"/>
        </w:rPr>
        <w:t>Öhman</w:t>
      </w:r>
      <w:proofErr w:type="spellEnd"/>
      <w:r>
        <w:rPr>
          <w:lang w:val="en-US"/>
        </w:rPr>
        <w:t xml:space="preserve"> M.,</w:t>
      </w:r>
      <w:r w:rsidRPr="00E5551D">
        <w:rPr>
          <w:lang w:val="en-US"/>
        </w:rPr>
        <w:t xml:space="preserve"> </w:t>
      </w:r>
      <w:proofErr w:type="spellStart"/>
      <w:r w:rsidRPr="00E5551D">
        <w:rPr>
          <w:lang w:val="en-US"/>
        </w:rPr>
        <w:t>Nordin</w:t>
      </w:r>
      <w:proofErr w:type="spellEnd"/>
      <w:r>
        <w:rPr>
          <w:lang w:val="en-US"/>
        </w:rPr>
        <w:t xml:space="preserve"> A., 2000, </w:t>
      </w:r>
      <w:r w:rsidRPr="00E5551D">
        <w:rPr>
          <w:lang w:val="en-US"/>
        </w:rPr>
        <w:t xml:space="preserve">The </w:t>
      </w:r>
      <w:r w:rsidR="00E37E48" w:rsidRPr="00E5551D">
        <w:rPr>
          <w:lang w:val="en-US"/>
        </w:rPr>
        <w:t>role of kaolin in prevention of bed agglomeration during fluidized bed combustion of biomass fuels</w:t>
      </w:r>
      <w:r>
        <w:rPr>
          <w:lang w:val="en-US"/>
        </w:rPr>
        <w:t xml:space="preserve">, </w:t>
      </w:r>
      <w:r w:rsidRPr="00E5551D">
        <w:rPr>
          <w:lang w:val="en-US"/>
        </w:rPr>
        <w:t>Energy &amp; Fuels 14, 618-624</w:t>
      </w:r>
      <w:r>
        <w:rPr>
          <w:lang w:val="en-US"/>
        </w:rPr>
        <w:t>.</w:t>
      </w:r>
    </w:p>
    <w:p w:rsidR="000E0403" w:rsidRDefault="000E0403" w:rsidP="000D0DD4">
      <w:pPr>
        <w:pStyle w:val="CETReference-text"/>
        <w:rPr>
          <w:lang w:val="en-US"/>
        </w:rPr>
      </w:pPr>
      <w:proofErr w:type="spellStart"/>
      <w:r w:rsidRPr="001E2BE8">
        <w:rPr>
          <w:lang w:val="en-US"/>
        </w:rPr>
        <w:t>Sperinck</w:t>
      </w:r>
      <w:proofErr w:type="spellEnd"/>
      <w:r w:rsidRPr="001E2BE8">
        <w:rPr>
          <w:lang w:val="en-US"/>
        </w:rPr>
        <w:t xml:space="preserve"> S.</w:t>
      </w:r>
      <w:r w:rsidR="00E37E48">
        <w:rPr>
          <w:lang w:val="en-US"/>
        </w:rPr>
        <w:t>,</w:t>
      </w:r>
      <w:r w:rsidRPr="001E2BE8">
        <w:rPr>
          <w:lang w:val="en-US"/>
        </w:rPr>
        <w:t xml:space="preserve"> </w:t>
      </w:r>
      <w:proofErr w:type="spellStart"/>
      <w:r w:rsidRPr="001E2BE8">
        <w:rPr>
          <w:lang w:val="en-US"/>
        </w:rPr>
        <w:t>Raiteri</w:t>
      </w:r>
      <w:proofErr w:type="spellEnd"/>
      <w:r w:rsidRPr="001E2BE8">
        <w:rPr>
          <w:lang w:val="en-US"/>
        </w:rPr>
        <w:t xml:space="preserve"> P.</w:t>
      </w:r>
      <w:r w:rsidR="00E37E48">
        <w:rPr>
          <w:lang w:val="en-US"/>
        </w:rPr>
        <w:t>,</w:t>
      </w:r>
      <w:r w:rsidRPr="001E2BE8">
        <w:rPr>
          <w:lang w:val="en-US"/>
        </w:rPr>
        <w:t xml:space="preserve"> Marks N., Wright K.</w:t>
      </w:r>
      <w:r>
        <w:rPr>
          <w:lang w:val="en-US"/>
        </w:rPr>
        <w:t>,</w:t>
      </w:r>
      <w:r w:rsidRPr="001E2BE8">
        <w:rPr>
          <w:lang w:val="en-US"/>
        </w:rPr>
        <w:t xml:space="preserve"> 2011</w:t>
      </w:r>
      <w:r>
        <w:rPr>
          <w:lang w:val="en-US"/>
        </w:rPr>
        <w:t>,</w:t>
      </w:r>
      <w:r w:rsidRPr="001E2BE8">
        <w:rPr>
          <w:lang w:val="en-US"/>
        </w:rPr>
        <w:t xml:space="preserve"> </w:t>
      </w:r>
      <w:proofErr w:type="spellStart"/>
      <w:r w:rsidRPr="001E2BE8">
        <w:rPr>
          <w:lang w:val="en-US"/>
        </w:rPr>
        <w:t>Dehydroxylation</w:t>
      </w:r>
      <w:proofErr w:type="spellEnd"/>
      <w:r w:rsidRPr="001E2BE8">
        <w:rPr>
          <w:lang w:val="en-US"/>
        </w:rPr>
        <w:t xml:space="preserve"> of kaolinite to </w:t>
      </w:r>
      <w:proofErr w:type="spellStart"/>
      <w:r w:rsidRPr="001E2BE8">
        <w:rPr>
          <w:lang w:val="en-US"/>
        </w:rPr>
        <w:t>metakaolin</w:t>
      </w:r>
      <w:proofErr w:type="spellEnd"/>
      <w:r w:rsidRPr="001E2BE8">
        <w:rPr>
          <w:lang w:val="en-US"/>
        </w:rPr>
        <w:t>—a molecular dynamics study</w:t>
      </w:r>
      <w:r>
        <w:rPr>
          <w:lang w:val="en-US"/>
        </w:rPr>
        <w:t>,</w:t>
      </w:r>
      <w:r w:rsidRPr="001E2BE8">
        <w:rPr>
          <w:lang w:val="en-US"/>
        </w:rPr>
        <w:t xml:space="preserve"> Journal of Materials Chemistry 21, 2118-2125.</w:t>
      </w:r>
    </w:p>
    <w:p w:rsidR="00FC3D93" w:rsidRDefault="00FC3D93" w:rsidP="00FC3D93">
      <w:pPr>
        <w:pStyle w:val="CETReference-text"/>
        <w:rPr>
          <w:lang w:val="en-US"/>
        </w:rPr>
      </w:pPr>
      <w:proofErr w:type="spellStart"/>
      <w:r w:rsidRPr="00420B27">
        <w:t>Surjosatyo</w:t>
      </w:r>
      <w:proofErr w:type="spellEnd"/>
      <w:r w:rsidRPr="00420B27">
        <w:t xml:space="preserve"> A.</w:t>
      </w:r>
      <w:r>
        <w:t xml:space="preserve">, </w:t>
      </w:r>
      <w:proofErr w:type="spellStart"/>
      <w:r w:rsidRPr="00420B27">
        <w:t>Muammara</w:t>
      </w:r>
      <w:proofErr w:type="spellEnd"/>
      <w:r w:rsidRPr="00420B27">
        <w:t xml:space="preserve">, </w:t>
      </w:r>
      <w:proofErr w:type="spellStart"/>
      <w:r w:rsidRPr="00420B27">
        <w:t>Dafiqurrohmana</w:t>
      </w:r>
      <w:proofErr w:type="spellEnd"/>
      <w:r w:rsidRPr="00420B27">
        <w:t xml:space="preserve"> H.,</w:t>
      </w:r>
      <w:r>
        <w:t xml:space="preserve"> 2017,</w:t>
      </w:r>
      <w:r w:rsidRPr="00420B27">
        <w:t xml:space="preserve"> </w:t>
      </w:r>
      <w:r>
        <w:t xml:space="preserve">Prevention </w:t>
      </w:r>
      <w:r w:rsidR="00E37E48">
        <w:t>study of sand agglomeration on fluidised bed combustor with co-combustion method</w:t>
      </w:r>
      <w:r>
        <w:t xml:space="preserve">, </w:t>
      </w:r>
      <w:r>
        <w:rPr>
          <w:lang w:val="en-US"/>
        </w:rPr>
        <w:t>Chem. Eng. Trans. 56</w:t>
      </w:r>
      <w:r>
        <w:t>, 1273-1278</w:t>
      </w:r>
      <w:r>
        <w:rPr>
          <w:lang w:val="en-US"/>
        </w:rPr>
        <w:t>.</w:t>
      </w:r>
    </w:p>
    <w:p w:rsidR="000E0403" w:rsidRDefault="000E0403" w:rsidP="000D0DD4">
      <w:pPr>
        <w:pStyle w:val="CETReference-text"/>
        <w:rPr>
          <w:lang w:val="en-US"/>
        </w:rPr>
      </w:pPr>
      <w:r w:rsidRPr="000E03F2">
        <w:rPr>
          <w:lang w:val="en-US"/>
        </w:rPr>
        <w:t xml:space="preserve">Svoboda K., </w:t>
      </w:r>
      <w:proofErr w:type="spellStart"/>
      <w:r w:rsidRPr="000E03F2">
        <w:rPr>
          <w:lang w:val="en-US"/>
        </w:rPr>
        <w:t>Čermák</w:t>
      </w:r>
      <w:proofErr w:type="spellEnd"/>
      <w:r w:rsidRPr="000E03F2">
        <w:rPr>
          <w:lang w:val="en-US"/>
        </w:rPr>
        <w:t xml:space="preserve"> J., Hartman M., </w:t>
      </w:r>
      <w:proofErr w:type="spellStart"/>
      <w:r w:rsidRPr="000E03F2">
        <w:rPr>
          <w:lang w:val="en-US"/>
        </w:rPr>
        <w:t>Pohořelý</w:t>
      </w:r>
      <w:proofErr w:type="spellEnd"/>
      <w:r w:rsidRPr="000E03F2">
        <w:rPr>
          <w:lang w:val="en-US"/>
        </w:rPr>
        <w:t xml:space="preserve"> M.</w:t>
      </w:r>
      <w:r>
        <w:rPr>
          <w:lang w:val="en-US"/>
        </w:rPr>
        <w:t>, 2000</w:t>
      </w:r>
      <w:r w:rsidRPr="000E03F2">
        <w:rPr>
          <w:lang w:val="en-US"/>
        </w:rPr>
        <w:t>, Possible ways of suppression of agglomeration of particles in fluidized bed combustion of selected waste biomass, Energy Forum 2000, Program, p. 115, Septembe</w:t>
      </w:r>
      <w:r>
        <w:rPr>
          <w:lang w:val="en-US"/>
        </w:rPr>
        <w:t>r 17-19, Varna, Bulgaria.</w:t>
      </w:r>
    </w:p>
    <w:p w:rsidR="000B2BE1" w:rsidRDefault="000E0403" w:rsidP="00BD08B1">
      <w:pPr>
        <w:pStyle w:val="CETReference-text"/>
      </w:pPr>
      <w:proofErr w:type="spellStart"/>
      <w:r w:rsidRPr="00703A74">
        <w:rPr>
          <w:lang w:val="en-US"/>
        </w:rPr>
        <w:t>Werther</w:t>
      </w:r>
      <w:proofErr w:type="spellEnd"/>
      <w:r w:rsidRPr="00703A74">
        <w:rPr>
          <w:lang w:val="en-US"/>
        </w:rPr>
        <w:t xml:space="preserve"> J., </w:t>
      </w:r>
      <w:proofErr w:type="spellStart"/>
      <w:r w:rsidRPr="00703A74">
        <w:rPr>
          <w:lang w:val="en-US"/>
        </w:rPr>
        <w:t>Saenger</w:t>
      </w:r>
      <w:proofErr w:type="spellEnd"/>
      <w:r w:rsidRPr="00703A74">
        <w:rPr>
          <w:lang w:val="en-US"/>
        </w:rPr>
        <w:t xml:space="preserve"> M., </w:t>
      </w:r>
      <w:proofErr w:type="spellStart"/>
      <w:r w:rsidRPr="00703A74">
        <w:rPr>
          <w:lang w:val="en-US"/>
        </w:rPr>
        <w:t>Hartge</w:t>
      </w:r>
      <w:proofErr w:type="spellEnd"/>
      <w:r w:rsidRPr="00703A74">
        <w:rPr>
          <w:lang w:val="en-US"/>
        </w:rPr>
        <w:t xml:space="preserve"> E.-U., </w:t>
      </w:r>
      <w:proofErr w:type="spellStart"/>
      <w:r w:rsidRPr="00703A74">
        <w:rPr>
          <w:lang w:val="en-US"/>
        </w:rPr>
        <w:t>Ogada</w:t>
      </w:r>
      <w:proofErr w:type="spellEnd"/>
      <w:r w:rsidRPr="00703A74">
        <w:rPr>
          <w:lang w:val="en-US"/>
        </w:rPr>
        <w:t xml:space="preserve"> T., </w:t>
      </w:r>
      <w:proofErr w:type="spellStart"/>
      <w:r w:rsidRPr="00703A74">
        <w:rPr>
          <w:lang w:val="en-US"/>
        </w:rPr>
        <w:t>Siagi</w:t>
      </w:r>
      <w:proofErr w:type="spellEnd"/>
      <w:r w:rsidRPr="00703A74">
        <w:rPr>
          <w:lang w:val="en-US"/>
        </w:rPr>
        <w:t xml:space="preserve"> Z., 2000, Combustion of agricultural residues, Progress in Energy and Combustion Science 26, 1-27.</w:t>
      </w:r>
    </w:p>
    <w:sectPr w:rsidR="000B2BE1"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530E" w:rsidRDefault="008A530E" w:rsidP="004F5E36">
      <w:r>
        <w:separator/>
      </w:r>
    </w:p>
  </w:endnote>
  <w:endnote w:type="continuationSeparator" w:id="0">
    <w:p w:rsidR="008A530E" w:rsidRDefault="008A530E"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530E" w:rsidRDefault="008A530E" w:rsidP="004F5E36">
      <w:r>
        <w:separator/>
      </w:r>
    </w:p>
  </w:footnote>
  <w:footnote w:type="continuationSeparator" w:id="0">
    <w:p w:rsidR="008A530E" w:rsidRDefault="008A530E"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2"/>
  </w:num>
  <w:num w:numId="14">
    <w:abstractNumId w:val="17"/>
  </w:num>
  <w:num w:numId="15">
    <w:abstractNumId w:val="19"/>
  </w:num>
  <w:num w:numId="16">
    <w:abstractNumId w:val="18"/>
  </w:num>
  <w:num w:numId="17">
    <w:abstractNumId w:val="11"/>
  </w:num>
  <w:num w:numId="18">
    <w:abstractNumId w:val="12"/>
    <w:lvlOverride w:ilvl="0">
      <w:startOverride w:val="1"/>
    </w:lvlOverride>
  </w:num>
  <w:num w:numId="19">
    <w:abstractNumId w:val="15"/>
  </w:num>
  <w:num w:numId="20">
    <w:abstractNumId w:val="14"/>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664B"/>
    <w:rsid w:val="00010F40"/>
    <w:rsid w:val="000117CB"/>
    <w:rsid w:val="0003148D"/>
    <w:rsid w:val="00047D7F"/>
    <w:rsid w:val="00051566"/>
    <w:rsid w:val="00062A9A"/>
    <w:rsid w:val="00065058"/>
    <w:rsid w:val="000714F6"/>
    <w:rsid w:val="00086C39"/>
    <w:rsid w:val="000A03B2"/>
    <w:rsid w:val="000A3B79"/>
    <w:rsid w:val="000B2BE1"/>
    <w:rsid w:val="000D0DD4"/>
    <w:rsid w:val="000D34BE"/>
    <w:rsid w:val="000E0403"/>
    <w:rsid w:val="000E102F"/>
    <w:rsid w:val="000E36F1"/>
    <w:rsid w:val="000E3A73"/>
    <w:rsid w:val="000E414A"/>
    <w:rsid w:val="000F093C"/>
    <w:rsid w:val="000F16BD"/>
    <w:rsid w:val="000F787B"/>
    <w:rsid w:val="0012091F"/>
    <w:rsid w:val="00120F8F"/>
    <w:rsid w:val="00126BC2"/>
    <w:rsid w:val="001308B6"/>
    <w:rsid w:val="0013121F"/>
    <w:rsid w:val="00131FAB"/>
    <w:rsid w:val="00131FE6"/>
    <w:rsid w:val="0013263F"/>
    <w:rsid w:val="00134DE4"/>
    <w:rsid w:val="0014034D"/>
    <w:rsid w:val="00150E59"/>
    <w:rsid w:val="00152DE3"/>
    <w:rsid w:val="00162642"/>
    <w:rsid w:val="00164CF9"/>
    <w:rsid w:val="00184AD6"/>
    <w:rsid w:val="001B0349"/>
    <w:rsid w:val="001B053F"/>
    <w:rsid w:val="001B65C1"/>
    <w:rsid w:val="001C684B"/>
    <w:rsid w:val="001D53FC"/>
    <w:rsid w:val="001E2BE8"/>
    <w:rsid w:val="001F42A5"/>
    <w:rsid w:val="001F7B9D"/>
    <w:rsid w:val="002224B4"/>
    <w:rsid w:val="00243398"/>
    <w:rsid w:val="002447EF"/>
    <w:rsid w:val="00251550"/>
    <w:rsid w:val="00252C1A"/>
    <w:rsid w:val="00261AC0"/>
    <w:rsid w:val="00263B05"/>
    <w:rsid w:val="00271D85"/>
    <w:rsid w:val="0027221A"/>
    <w:rsid w:val="00275B61"/>
    <w:rsid w:val="00282656"/>
    <w:rsid w:val="00296B83"/>
    <w:rsid w:val="002B26D0"/>
    <w:rsid w:val="002B78CE"/>
    <w:rsid w:val="002C2FB6"/>
    <w:rsid w:val="002D5BCD"/>
    <w:rsid w:val="003009B7"/>
    <w:rsid w:val="00300E56"/>
    <w:rsid w:val="0030469C"/>
    <w:rsid w:val="00321CA6"/>
    <w:rsid w:val="00334C09"/>
    <w:rsid w:val="003365E3"/>
    <w:rsid w:val="003616B3"/>
    <w:rsid w:val="003723D4"/>
    <w:rsid w:val="00384CC8"/>
    <w:rsid w:val="003871FD"/>
    <w:rsid w:val="003A1E30"/>
    <w:rsid w:val="003A7D1C"/>
    <w:rsid w:val="003B304B"/>
    <w:rsid w:val="003B3146"/>
    <w:rsid w:val="003B54CF"/>
    <w:rsid w:val="003B60F3"/>
    <w:rsid w:val="003D509C"/>
    <w:rsid w:val="003F015E"/>
    <w:rsid w:val="00400414"/>
    <w:rsid w:val="00401FB9"/>
    <w:rsid w:val="0041446B"/>
    <w:rsid w:val="0044329C"/>
    <w:rsid w:val="00453D6D"/>
    <w:rsid w:val="004577FE"/>
    <w:rsid w:val="00457B9C"/>
    <w:rsid w:val="0046164A"/>
    <w:rsid w:val="004628D2"/>
    <w:rsid w:val="00462DCD"/>
    <w:rsid w:val="004648AD"/>
    <w:rsid w:val="004703A9"/>
    <w:rsid w:val="004760DE"/>
    <w:rsid w:val="004949D6"/>
    <w:rsid w:val="004A004E"/>
    <w:rsid w:val="004A24CF"/>
    <w:rsid w:val="004B6721"/>
    <w:rsid w:val="004C3D1D"/>
    <w:rsid w:val="004C48B9"/>
    <w:rsid w:val="004C7913"/>
    <w:rsid w:val="004E4DD6"/>
    <w:rsid w:val="004F5E36"/>
    <w:rsid w:val="00507B47"/>
    <w:rsid w:val="00507CC9"/>
    <w:rsid w:val="005119A5"/>
    <w:rsid w:val="005234CD"/>
    <w:rsid w:val="005278B7"/>
    <w:rsid w:val="00532016"/>
    <w:rsid w:val="005346C8"/>
    <w:rsid w:val="0053596B"/>
    <w:rsid w:val="00543E7D"/>
    <w:rsid w:val="00546B05"/>
    <w:rsid w:val="00547A68"/>
    <w:rsid w:val="005531C9"/>
    <w:rsid w:val="00556C0A"/>
    <w:rsid w:val="005605D7"/>
    <w:rsid w:val="00572B60"/>
    <w:rsid w:val="0058403B"/>
    <w:rsid w:val="005A2ED3"/>
    <w:rsid w:val="005B2110"/>
    <w:rsid w:val="005B61E6"/>
    <w:rsid w:val="005C77E1"/>
    <w:rsid w:val="005D6A2F"/>
    <w:rsid w:val="005E1A82"/>
    <w:rsid w:val="005E794C"/>
    <w:rsid w:val="005F0A28"/>
    <w:rsid w:val="005F0E5E"/>
    <w:rsid w:val="00600535"/>
    <w:rsid w:val="00610CD6"/>
    <w:rsid w:val="00620D27"/>
    <w:rsid w:val="00620DEE"/>
    <w:rsid w:val="00621F92"/>
    <w:rsid w:val="00625639"/>
    <w:rsid w:val="00631B33"/>
    <w:rsid w:val="0064184D"/>
    <w:rsid w:val="006422CC"/>
    <w:rsid w:val="00660E3E"/>
    <w:rsid w:val="00662E74"/>
    <w:rsid w:val="006778AF"/>
    <w:rsid w:val="00680C23"/>
    <w:rsid w:val="00693766"/>
    <w:rsid w:val="006A3281"/>
    <w:rsid w:val="006B4888"/>
    <w:rsid w:val="006C2E45"/>
    <w:rsid w:val="006C359C"/>
    <w:rsid w:val="006C5579"/>
    <w:rsid w:val="006E737D"/>
    <w:rsid w:val="006F481C"/>
    <w:rsid w:val="0070195D"/>
    <w:rsid w:val="0070738E"/>
    <w:rsid w:val="00720A24"/>
    <w:rsid w:val="00732386"/>
    <w:rsid w:val="007447F3"/>
    <w:rsid w:val="0075499F"/>
    <w:rsid w:val="007661C8"/>
    <w:rsid w:val="0077098D"/>
    <w:rsid w:val="007931FA"/>
    <w:rsid w:val="007A7BBA"/>
    <w:rsid w:val="007B0C50"/>
    <w:rsid w:val="007B1D17"/>
    <w:rsid w:val="007B5956"/>
    <w:rsid w:val="007C1A43"/>
    <w:rsid w:val="007D2A52"/>
    <w:rsid w:val="007E1DC6"/>
    <w:rsid w:val="007E6443"/>
    <w:rsid w:val="00813288"/>
    <w:rsid w:val="008168FC"/>
    <w:rsid w:val="00830996"/>
    <w:rsid w:val="008345F1"/>
    <w:rsid w:val="00865B07"/>
    <w:rsid w:val="008667EA"/>
    <w:rsid w:val="0087637F"/>
    <w:rsid w:val="00876648"/>
    <w:rsid w:val="008904B9"/>
    <w:rsid w:val="00892AD5"/>
    <w:rsid w:val="008A1512"/>
    <w:rsid w:val="008A530E"/>
    <w:rsid w:val="008B22E8"/>
    <w:rsid w:val="008C78C1"/>
    <w:rsid w:val="008D32B9"/>
    <w:rsid w:val="008D433B"/>
    <w:rsid w:val="008E566E"/>
    <w:rsid w:val="008F2485"/>
    <w:rsid w:val="0090161A"/>
    <w:rsid w:val="00901EB6"/>
    <w:rsid w:val="00904C62"/>
    <w:rsid w:val="00924DAC"/>
    <w:rsid w:val="00927058"/>
    <w:rsid w:val="009450CE"/>
    <w:rsid w:val="00947179"/>
    <w:rsid w:val="0095164B"/>
    <w:rsid w:val="00954090"/>
    <w:rsid w:val="009573E7"/>
    <w:rsid w:val="009635B9"/>
    <w:rsid w:val="00963E05"/>
    <w:rsid w:val="00967D54"/>
    <w:rsid w:val="00982C8C"/>
    <w:rsid w:val="00996483"/>
    <w:rsid w:val="00996F5A"/>
    <w:rsid w:val="009A0A3E"/>
    <w:rsid w:val="009B041A"/>
    <w:rsid w:val="009B775B"/>
    <w:rsid w:val="009C7C86"/>
    <w:rsid w:val="009D2FF7"/>
    <w:rsid w:val="009D4ECC"/>
    <w:rsid w:val="009E7884"/>
    <w:rsid w:val="009E788A"/>
    <w:rsid w:val="009F0E08"/>
    <w:rsid w:val="00A03EE4"/>
    <w:rsid w:val="00A1763D"/>
    <w:rsid w:val="00A17CEC"/>
    <w:rsid w:val="00A227A2"/>
    <w:rsid w:val="00A26A6A"/>
    <w:rsid w:val="00A27EF0"/>
    <w:rsid w:val="00A33AD1"/>
    <w:rsid w:val="00A50B20"/>
    <w:rsid w:val="00A51390"/>
    <w:rsid w:val="00A60D13"/>
    <w:rsid w:val="00A72745"/>
    <w:rsid w:val="00A76EFC"/>
    <w:rsid w:val="00A91010"/>
    <w:rsid w:val="00A97F29"/>
    <w:rsid w:val="00AA702E"/>
    <w:rsid w:val="00AB0964"/>
    <w:rsid w:val="00AB5011"/>
    <w:rsid w:val="00AC7368"/>
    <w:rsid w:val="00AD16B9"/>
    <w:rsid w:val="00AE31D8"/>
    <w:rsid w:val="00AE377D"/>
    <w:rsid w:val="00AF6685"/>
    <w:rsid w:val="00B17FBD"/>
    <w:rsid w:val="00B315A6"/>
    <w:rsid w:val="00B31813"/>
    <w:rsid w:val="00B33365"/>
    <w:rsid w:val="00B57B36"/>
    <w:rsid w:val="00B6455E"/>
    <w:rsid w:val="00B761FE"/>
    <w:rsid w:val="00B8686D"/>
    <w:rsid w:val="00BC30C9"/>
    <w:rsid w:val="00BD08B1"/>
    <w:rsid w:val="00BE3E58"/>
    <w:rsid w:val="00C011BC"/>
    <w:rsid w:val="00C01616"/>
    <w:rsid w:val="00C0162B"/>
    <w:rsid w:val="00C06452"/>
    <w:rsid w:val="00C179A7"/>
    <w:rsid w:val="00C345B1"/>
    <w:rsid w:val="00C40142"/>
    <w:rsid w:val="00C57182"/>
    <w:rsid w:val="00C57863"/>
    <w:rsid w:val="00C655FD"/>
    <w:rsid w:val="00C870A8"/>
    <w:rsid w:val="00C94434"/>
    <w:rsid w:val="00CA0D75"/>
    <w:rsid w:val="00CA1C95"/>
    <w:rsid w:val="00CA53A3"/>
    <w:rsid w:val="00CA5A9C"/>
    <w:rsid w:val="00CD3517"/>
    <w:rsid w:val="00CD5A00"/>
    <w:rsid w:val="00CD5FE2"/>
    <w:rsid w:val="00CE7C68"/>
    <w:rsid w:val="00D02B4C"/>
    <w:rsid w:val="00D040C4"/>
    <w:rsid w:val="00D12D8D"/>
    <w:rsid w:val="00D204D6"/>
    <w:rsid w:val="00D56DE1"/>
    <w:rsid w:val="00D57C84"/>
    <w:rsid w:val="00D6057D"/>
    <w:rsid w:val="00D84576"/>
    <w:rsid w:val="00D8612A"/>
    <w:rsid w:val="00D97102"/>
    <w:rsid w:val="00DA1399"/>
    <w:rsid w:val="00DA24C6"/>
    <w:rsid w:val="00DA4D7B"/>
    <w:rsid w:val="00DE264A"/>
    <w:rsid w:val="00DE7802"/>
    <w:rsid w:val="00E02D18"/>
    <w:rsid w:val="00E041E7"/>
    <w:rsid w:val="00E23CA1"/>
    <w:rsid w:val="00E26995"/>
    <w:rsid w:val="00E37E48"/>
    <w:rsid w:val="00E409A8"/>
    <w:rsid w:val="00E50C12"/>
    <w:rsid w:val="00E5642F"/>
    <w:rsid w:val="00E65B91"/>
    <w:rsid w:val="00E7209D"/>
    <w:rsid w:val="00E77223"/>
    <w:rsid w:val="00E8528B"/>
    <w:rsid w:val="00E85B94"/>
    <w:rsid w:val="00E86471"/>
    <w:rsid w:val="00E957F3"/>
    <w:rsid w:val="00E978D0"/>
    <w:rsid w:val="00EA4613"/>
    <w:rsid w:val="00EA7F91"/>
    <w:rsid w:val="00EB1523"/>
    <w:rsid w:val="00EC0E49"/>
    <w:rsid w:val="00EE0131"/>
    <w:rsid w:val="00F1024E"/>
    <w:rsid w:val="00F155B2"/>
    <w:rsid w:val="00F30C64"/>
    <w:rsid w:val="00F32CDB"/>
    <w:rsid w:val="00F63A70"/>
    <w:rsid w:val="00FA21D0"/>
    <w:rsid w:val="00FA5F5F"/>
    <w:rsid w:val="00FB730C"/>
    <w:rsid w:val="00FC2695"/>
    <w:rsid w:val="00FC3D93"/>
    <w:rsid w:val="00FC3E03"/>
    <w:rsid w:val="00FC3FC1"/>
    <w:rsid w:val="00FE2CFE"/>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paragraph" w:customStyle="1" w:styleId="CET-table-title">
    <w:name w:val="CET-table-title"/>
    <w:rsid w:val="000D0DD4"/>
    <w:pPr>
      <w:keepNext/>
      <w:spacing w:before="240" w:after="80" w:line="240" w:lineRule="exact"/>
    </w:pPr>
    <w:rPr>
      <w:rFonts w:ascii="Arial" w:eastAsia="Times New Roman" w:hAnsi="Arial" w:cs="Times New Roman"/>
      <w:i/>
      <w:sz w:val="18"/>
      <w:szCs w:val="20"/>
      <w:lang w:val="en-US"/>
    </w:rPr>
  </w:style>
  <w:style w:type="paragraph" w:customStyle="1" w:styleId="CETReference-text">
    <w:name w:val="CET Reference-text"/>
    <w:rsid w:val="000D0DD4"/>
    <w:pPr>
      <w:spacing w:after="0" w:line="264" w:lineRule="auto"/>
      <w:ind w:left="284" w:hanging="284"/>
      <w:jc w:val="both"/>
    </w:pPr>
    <w:rPr>
      <w:rFonts w:ascii="Arial" w:eastAsia="Times New Roman" w:hAnsi="Arial" w:cs="Times New Roman"/>
      <w:sz w:val="18"/>
      <w:szCs w:val="20"/>
      <w:lang w:val="en-GB"/>
    </w:rPr>
  </w:style>
  <w:style w:type="paragraph" w:customStyle="1" w:styleId="CETAcknowledgements">
    <w:name w:val="CET_Acknowledgements"/>
    <w:next w:val="CETBodytext"/>
    <w:qFormat/>
    <w:rsid w:val="000D0DD4"/>
    <w:pPr>
      <w:spacing w:before="200" w:after="120"/>
    </w:pPr>
    <w:rPr>
      <w:rFonts w:ascii="Arial" w:eastAsia="Times New Roman" w:hAnsi="Arial" w:cs="Times New Roman"/>
      <w:b/>
      <w:sz w:val="18"/>
      <w:szCs w:val="20"/>
      <w:lang w:val="en-GB"/>
    </w:rPr>
  </w:style>
  <w:style w:type="paragraph" w:styleId="Nessunaspaziatura">
    <w:name w:val="No Spacing"/>
    <w:uiPriority w:val="1"/>
    <w:qFormat/>
    <w:rsid w:val="000D0DD4"/>
    <w:pPr>
      <w:tabs>
        <w:tab w:val="right" w:pos="7100"/>
      </w:tabs>
      <w:spacing w:after="0" w:line="240" w:lineRule="auto"/>
      <w:jc w:val="both"/>
    </w:pPr>
    <w:rPr>
      <w:rFonts w:ascii="Arial" w:eastAsia="Times New Roman" w:hAnsi="Arial" w:cs="Times New Roman"/>
      <w:sz w:val="18"/>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paragraph" w:customStyle="1" w:styleId="CET-table-title">
    <w:name w:val="CET-table-title"/>
    <w:rsid w:val="000D0DD4"/>
    <w:pPr>
      <w:keepNext/>
      <w:spacing w:before="240" w:after="80" w:line="240" w:lineRule="exact"/>
    </w:pPr>
    <w:rPr>
      <w:rFonts w:ascii="Arial" w:eastAsia="Times New Roman" w:hAnsi="Arial" w:cs="Times New Roman"/>
      <w:i/>
      <w:sz w:val="18"/>
      <w:szCs w:val="20"/>
      <w:lang w:val="en-US"/>
    </w:rPr>
  </w:style>
  <w:style w:type="paragraph" w:customStyle="1" w:styleId="CETReference-text">
    <w:name w:val="CET Reference-text"/>
    <w:rsid w:val="000D0DD4"/>
    <w:pPr>
      <w:spacing w:after="0" w:line="264" w:lineRule="auto"/>
      <w:ind w:left="284" w:hanging="284"/>
      <w:jc w:val="both"/>
    </w:pPr>
    <w:rPr>
      <w:rFonts w:ascii="Arial" w:eastAsia="Times New Roman" w:hAnsi="Arial" w:cs="Times New Roman"/>
      <w:sz w:val="18"/>
      <w:szCs w:val="20"/>
      <w:lang w:val="en-GB"/>
    </w:rPr>
  </w:style>
  <w:style w:type="paragraph" w:customStyle="1" w:styleId="CETAcknowledgements">
    <w:name w:val="CET_Acknowledgements"/>
    <w:next w:val="CETBodytext"/>
    <w:qFormat/>
    <w:rsid w:val="000D0DD4"/>
    <w:pPr>
      <w:spacing w:before="200" w:after="120"/>
    </w:pPr>
    <w:rPr>
      <w:rFonts w:ascii="Arial" w:eastAsia="Times New Roman" w:hAnsi="Arial" w:cs="Times New Roman"/>
      <w:b/>
      <w:sz w:val="18"/>
      <w:szCs w:val="20"/>
      <w:lang w:val="en-GB"/>
    </w:rPr>
  </w:style>
  <w:style w:type="paragraph" w:styleId="Nessunaspaziatura">
    <w:name w:val="No Spacing"/>
    <w:uiPriority w:val="1"/>
    <w:qFormat/>
    <w:rsid w:val="000D0DD4"/>
    <w:pPr>
      <w:tabs>
        <w:tab w:val="right" w:pos="7100"/>
      </w:tabs>
      <w:spacing w:after="0" w:line="240" w:lineRule="auto"/>
      <w:jc w:val="both"/>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E9CA0-38CE-4446-AFA9-47D3084DF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Pages>
  <Words>2920</Words>
  <Characters>16644</Characters>
  <Application>Microsoft Office Word</Application>
  <DocSecurity>0</DocSecurity>
  <Lines>138</Lines>
  <Paragraphs>39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19525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francesco</cp:lastModifiedBy>
  <cp:revision>7</cp:revision>
  <cp:lastPrinted>2015-05-12T18:31:00Z</cp:lastPrinted>
  <dcterms:created xsi:type="dcterms:W3CDTF">2019-04-08T09:25:00Z</dcterms:created>
  <dcterms:modified xsi:type="dcterms:W3CDTF">2019-04-08T13:17:00Z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