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proofErr w:type="gramStart"/>
            <w:r w:rsidRPr="00252C1A">
              <w:rPr>
                <w:rFonts w:ascii="Tahoma" w:hAnsi="Tahoma" w:cs="Tahoma"/>
                <w:iCs/>
                <w:color w:val="333333"/>
                <w:sz w:val="14"/>
                <w:szCs w:val="14"/>
                <w:lang w:val="it-IT" w:eastAsia="it-IT"/>
              </w:rPr>
              <w:t>Editors:</w:t>
            </w:r>
            <w:r w:rsidR="009635B9" w:rsidRPr="00252C1A">
              <w:rPr>
                <w:rFonts w:ascii="Tahoma" w:hAnsi="Tahoma" w:cs="Tahoma"/>
                <w:sz w:val="14"/>
                <w:szCs w:val="14"/>
                <w:lang w:val="it-IT"/>
              </w:rPr>
              <w:t>Sauro</w:t>
            </w:r>
            <w:proofErr w:type="spellEnd"/>
            <w:proofErr w:type="gramEnd"/>
            <w:r w:rsidR="009635B9" w:rsidRPr="00252C1A">
              <w:rPr>
                <w:rFonts w:ascii="Tahoma" w:hAnsi="Tahoma" w:cs="Tahoma"/>
                <w:sz w:val="14"/>
                <w:szCs w:val="14"/>
                <w:lang w:val="it-IT"/>
              </w:rPr>
              <w:t xml:space="preserve"> </w:t>
            </w:r>
            <w:proofErr w:type="spellStart"/>
            <w:r w:rsidR="009635B9" w:rsidRPr="00252C1A">
              <w:rPr>
                <w:rFonts w:ascii="Tahoma" w:hAnsi="Tahoma" w:cs="Tahoma"/>
                <w:sz w:val="14"/>
                <w:szCs w:val="14"/>
                <w:lang w:val="it-IT"/>
              </w:rPr>
              <w:t>Pierucci,</w:t>
            </w:r>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proofErr w:type="gramStart"/>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proofErr w:type="gramEnd"/>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Default="007923F2" w:rsidP="00E978D0">
      <w:pPr>
        <w:pStyle w:val="CETTitle"/>
        <w:rPr>
          <w:lang w:val="en-US"/>
        </w:rPr>
      </w:pPr>
      <w:r w:rsidRPr="002E6F49">
        <w:rPr>
          <w:lang w:val="en-US"/>
        </w:rPr>
        <w:t>A</w:t>
      </w:r>
      <w:r w:rsidR="002E6F49" w:rsidRPr="002E6F49">
        <w:rPr>
          <w:lang w:val="en-US"/>
        </w:rPr>
        <w:t>cute e</w:t>
      </w:r>
      <w:r w:rsidR="003302BE" w:rsidRPr="002E6F49">
        <w:rPr>
          <w:lang w:val="en-US"/>
        </w:rPr>
        <w:t>cotoxicol</w:t>
      </w:r>
      <w:r w:rsidR="002E6F49" w:rsidRPr="002E6F49">
        <w:rPr>
          <w:lang w:val="en-US"/>
        </w:rPr>
        <w:t>o</w:t>
      </w:r>
      <w:r w:rsidR="003302BE" w:rsidRPr="002E6F49">
        <w:rPr>
          <w:lang w:val="en-US"/>
        </w:rPr>
        <w:t>gica</w:t>
      </w:r>
      <w:r w:rsidR="002E6F49" w:rsidRPr="002E6F49">
        <w:rPr>
          <w:lang w:val="en-US"/>
        </w:rPr>
        <w:t xml:space="preserve">l evaluation at </w:t>
      </w:r>
      <w:proofErr w:type="spellStart"/>
      <w:r w:rsidRPr="002E6F49">
        <w:rPr>
          <w:lang w:val="en-US"/>
        </w:rPr>
        <w:t>I</w:t>
      </w:r>
      <w:r w:rsidR="003302BE" w:rsidRPr="002E6F49">
        <w:rPr>
          <w:lang w:val="en-US"/>
        </w:rPr>
        <w:t>caraí</w:t>
      </w:r>
      <w:proofErr w:type="spellEnd"/>
      <w:r w:rsidR="002E6F49" w:rsidRPr="002E6F49">
        <w:rPr>
          <w:lang w:val="en-US"/>
        </w:rPr>
        <w:t xml:space="preserve"> beach</w:t>
      </w:r>
      <w:r w:rsidRPr="002E6F49">
        <w:rPr>
          <w:lang w:val="en-US"/>
        </w:rPr>
        <w:t xml:space="preserve">, </w:t>
      </w:r>
      <w:proofErr w:type="spellStart"/>
      <w:r w:rsidRPr="002E6F49">
        <w:rPr>
          <w:lang w:val="en-US"/>
        </w:rPr>
        <w:t>N</w:t>
      </w:r>
      <w:r w:rsidR="003302BE" w:rsidRPr="002E6F49">
        <w:rPr>
          <w:lang w:val="en-US"/>
        </w:rPr>
        <w:t>iterói</w:t>
      </w:r>
      <w:proofErr w:type="spellEnd"/>
      <w:r w:rsidRPr="002E6F49">
        <w:rPr>
          <w:lang w:val="en-US"/>
        </w:rPr>
        <w:t xml:space="preserve"> – RJ</w:t>
      </w:r>
      <w:r w:rsidR="002E6F49" w:rsidRPr="002E6F49">
        <w:rPr>
          <w:lang w:val="en-US"/>
        </w:rPr>
        <w:t xml:space="preserve">, Brazil </w:t>
      </w:r>
    </w:p>
    <w:p w:rsidR="008E4623" w:rsidRPr="002E6F49" w:rsidRDefault="008E4623" w:rsidP="008E4623">
      <w:pPr>
        <w:pStyle w:val="CETAuthors"/>
        <w:rPr>
          <w:lang w:val="pt-BR"/>
        </w:rPr>
      </w:pPr>
      <w:r w:rsidRPr="002E6F49">
        <w:rPr>
          <w:lang w:val="pt-BR"/>
        </w:rPr>
        <w:t>Fernando Periard Gurgel do Amaral*, Juliana G. Martins**, Sylvana C. S. Rodrigues**, Raquel L</w:t>
      </w:r>
      <w:r w:rsidR="00262118">
        <w:rPr>
          <w:lang w:val="pt-BR"/>
        </w:rPr>
        <w:t>ima</w:t>
      </w:r>
      <w:r w:rsidRPr="002E6F49">
        <w:rPr>
          <w:lang w:val="pt-BR"/>
        </w:rPr>
        <w:t xml:space="preserve"> Oliveira*.</w:t>
      </w:r>
    </w:p>
    <w:p w:rsidR="008E4623" w:rsidRPr="00925857" w:rsidRDefault="008E4623" w:rsidP="008E4623">
      <w:pPr>
        <w:pStyle w:val="CETAddress"/>
        <w:rPr>
          <w:lang w:val="pt-BR"/>
        </w:rPr>
      </w:pPr>
      <w:r w:rsidRPr="00925857">
        <w:rPr>
          <w:lang w:val="pt-BR"/>
        </w:rPr>
        <w:t xml:space="preserve">* UNESA – Universidade Estácio de Sá, Rua Eduardo Luiz Gomes, 134, Niterói, RJ, Brazil, CEP 24020-324 </w:t>
      </w:r>
    </w:p>
    <w:p w:rsidR="008E4623" w:rsidRPr="00925857" w:rsidRDefault="008E4623" w:rsidP="008E4623">
      <w:pPr>
        <w:pStyle w:val="CETAddress"/>
      </w:pPr>
      <w:r w:rsidRPr="00925857">
        <w:t xml:space="preserve">** Environmental and Sanitary Engineer – julianamartins2800@gmail.com and sylvana.csr@hotmail.com </w:t>
      </w:r>
    </w:p>
    <w:p w:rsidR="008E4623" w:rsidRDefault="008E4623" w:rsidP="0044477B">
      <w:pPr>
        <w:pStyle w:val="CETBodytext"/>
        <w:spacing w:after="240"/>
        <w:rPr>
          <w:szCs w:val="18"/>
        </w:rPr>
      </w:pPr>
    </w:p>
    <w:p w:rsidR="002E6F49" w:rsidRPr="002E6F49" w:rsidRDefault="002E6F49" w:rsidP="0044477B">
      <w:pPr>
        <w:pStyle w:val="CETBodytext"/>
        <w:spacing w:after="240"/>
        <w:rPr>
          <w:szCs w:val="18"/>
        </w:rPr>
      </w:pPr>
      <w:proofErr w:type="spellStart"/>
      <w:r w:rsidRPr="002E6F49">
        <w:rPr>
          <w:szCs w:val="18"/>
        </w:rPr>
        <w:t>Icaraí</w:t>
      </w:r>
      <w:proofErr w:type="spellEnd"/>
      <w:r w:rsidRPr="002E6F49">
        <w:rPr>
          <w:szCs w:val="18"/>
        </w:rPr>
        <w:t xml:space="preserve"> beach, located in the </w:t>
      </w:r>
      <w:r>
        <w:rPr>
          <w:szCs w:val="18"/>
        </w:rPr>
        <w:t>m</w:t>
      </w:r>
      <w:r w:rsidRPr="002E6F49">
        <w:rPr>
          <w:szCs w:val="18"/>
        </w:rPr>
        <w:t xml:space="preserve">unicipality of </w:t>
      </w:r>
      <w:proofErr w:type="spellStart"/>
      <w:r w:rsidRPr="002E6F49">
        <w:rPr>
          <w:szCs w:val="18"/>
        </w:rPr>
        <w:t>Niterói</w:t>
      </w:r>
      <w:proofErr w:type="spellEnd"/>
      <w:r w:rsidRPr="002E6F49">
        <w:rPr>
          <w:szCs w:val="18"/>
        </w:rPr>
        <w:t>, in the metropolitan region of Rio de Janeiro, Bra</w:t>
      </w:r>
      <w:r>
        <w:rPr>
          <w:szCs w:val="18"/>
        </w:rPr>
        <w:t>z</w:t>
      </w:r>
      <w:r w:rsidRPr="002E6F49">
        <w:rPr>
          <w:szCs w:val="18"/>
        </w:rPr>
        <w:t xml:space="preserve">il, plays an important role in the social context, since it is very popular among the local population. However, it has been suffering negative impacts due to anthropic activities, which are enhanced by increasing urbanization. Ecotoxicological tests using the microcrustaceans </w:t>
      </w:r>
      <w:proofErr w:type="spellStart"/>
      <w:r w:rsidRPr="002E6F49">
        <w:rPr>
          <w:i/>
          <w:szCs w:val="18"/>
        </w:rPr>
        <w:t>Artemia</w:t>
      </w:r>
      <w:proofErr w:type="spellEnd"/>
      <w:r w:rsidRPr="002E6F49">
        <w:rPr>
          <w:i/>
          <w:szCs w:val="18"/>
        </w:rPr>
        <w:t xml:space="preserve"> </w:t>
      </w:r>
      <w:proofErr w:type="spellStart"/>
      <w:r w:rsidRPr="002E6F49">
        <w:rPr>
          <w:i/>
          <w:szCs w:val="18"/>
        </w:rPr>
        <w:t>salina</w:t>
      </w:r>
      <w:proofErr w:type="spellEnd"/>
      <w:r w:rsidRPr="002E6F49">
        <w:rPr>
          <w:szCs w:val="18"/>
        </w:rPr>
        <w:t xml:space="preserve"> as test organism are an important alternative in the evaluation of the toxic state of the water due to their sensitivity to chemical and toxic components of the environment. The present work aimed to evaluate the acute toxicity at two sampling sections (P1 and P2) using low cost methodology, technically simpler and with some adaptations. For this purpose, a number of </w:t>
      </w:r>
      <w:proofErr w:type="spellStart"/>
      <w:r w:rsidRPr="002E6F49">
        <w:rPr>
          <w:szCs w:val="18"/>
        </w:rPr>
        <w:t>physico</w:t>
      </w:r>
      <w:proofErr w:type="spellEnd"/>
      <w:r w:rsidRPr="002E6F49">
        <w:rPr>
          <w:szCs w:val="18"/>
        </w:rPr>
        <w:t>-chemical parameters (temperature, pH, dissolved oxygen, salinity, biochemical oxygen demand (BOD), chemical oxygen demand (COD), total</w:t>
      </w:r>
      <w:r>
        <w:rPr>
          <w:szCs w:val="18"/>
        </w:rPr>
        <w:t xml:space="preserve"> </w:t>
      </w:r>
      <w:r w:rsidRPr="002E6F49">
        <w:rPr>
          <w:szCs w:val="18"/>
        </w:rPr>
        <w:t>coliforms and fecal</w:t>
      </w:r>
      <w:r>
        <w:rPr>
          <w:szCs w:val="18"/>
        </w:rPr>
        <w:t xml:space="preserve"> </w:t>
      </w:r>
      <w:r w:rsidRPr="002E6F49">
        <w:rPr>
          <w:szCs w:val="18"/>
        </w:rPr>
        <w:t xml:space="preserve">coliforms) were analyzed, compared to the values established by CONAMA Resolution 357 of 2005, besides the performance of the acute ecotoxicological test with samples of water from the </w:t>
      </w:r>
      <w:proofErr w:type="spellStart"/>
      <w:r w:rsidRPr="002E6F49">
        <w:rPr>
          <w:szCs w:val="18"/>
        </w:rPr>
        <w:t>Icaraí</w:t>
      </w:r>
      <w:proofErr w:type="spellEnd"/>
      <w:r w:rsidRPr="002E6F49">
        <w:rPr>
          <w:szCs w:val="18"/>
        </w:rPr>
        <w:t xml:space="preserve"> beach and with the use of </w:t>
      </w:r>
      <w:proofErr w:type="spellStart"/>
      <w:r w:rsidRPr="002E6F49">
        <w:rPr>
          <w:i/>
          <w:szCs w:val="18"/>
        </w:rPr>
        <w:t>Artemia</w:t>
      </w:r>
      <w:proofErr w:type="spellEnd"/>
      <w:r w:rsidRPr="002E6F49">
        <w:rPr>
          <w:i/>
          <w:szCs w:val="18"/>
        </w:rPr>
        <w:t xml:space="preserve"> </w:t>
      </w:r>
      <w:proofErr w:type="spellStart"/>
      <w:r w:rsidRPr="002E6F49">
        <w:rPr>
          <w:i/>
          <w:szCs w:val="18"/>
        </w:rPr>
        <w:t>salina</w:t>
      </w:r>
      <w:proofErr w:type="spellEnd"/>
      <w:r w:rsidRPr="002E6F49">
        <w:rPr>
          <w:szCs w:val="18"/>
        </w:rPr>
        <w:t xml:space="preserve"> for the evaluation of the lethal dose (LD50). The samples showed a change in toxicity, because in some sample concentrations of the second collection, Section 2 presented a toxic effect. Therefore, the results were satisfactory, since the two ecotoxicological tests presented good answers, associated with their simplicity of execution and economic feasibility.</w:t>
      </w:r>
    </w:p>
    <w:p w:rsidR="00600535" w:rsidRDefault="001A7A3F" w:rsidP="0044477B">
      <w:pPr>
        <w:pStyle w:val="CETHeading1"/>
        <w:spacing w:before="0"/>
        <w:rPr>
          <w:lang w:val="en-GB"/>
        </w:rPr>
      </w:pPr>
      <w:r w:rsidRPr="003A31ED">
        <w:rPr>
          <w:rFonts w:cs="Arial"/>
        </w:rPr>
        <w:t>Introduction</w:t>
      </w:r>
    </w:p>
    <w:p w:rsidR="001A7A3F" w:rsidRPr="001A7A3F" w:rsidRDefault="00773CC0" w:rsidP="001E57AA">
      <w:pPr>
        <w:pStyle w:val="CETBodytext"/>
      </w:pPr>
      <w:r w:rsidRPr="00773CC0">
        <w:t xml:space="preserve">The term ecotoxicology was created by the </w:t>
      </w:r>
      <w:proofErr w:type="spellStart"/>
      <w:r w:rsidR="001A7A3F">
        <w:t>f</w:t>
      </w:r>
      <w:r w:rsidRPr="00773CC0">
        <w:t>rench</w:t>
      </w:r>
      <w:proofErr w:type="spellEnd"/>
      <w:r w:rsidRPr="00773CC0">
        <w:t xml:space="preserve"> researcher René </w:t>
      </w:r>
      <w:proofErr w:type="spellStart"/>
      <w:r w:rsidRPr="00773CC0">
        <w:t>Truhaut</w:t>
      </w:r>
      <w:proofErr w:type="spellEnd"/>
      <w:r w:rsidRPr="00773CC0">
        <w:t xml:space="preserve"> in 1969 to define "the study of the adverse effects of chemical substances in order to protect natural species and populations" (</w:t>
      </w:r>
      <w:proofErr w:type="spellStart"/>
      <w:r w:rsidRPr="00773CC0">
        <w:t>Truhaut</w:t>
      </w:r>
      <w:proofErr w:type="spellEnd"/>
      <w:r w:rsidRPr="00773CC0">
        <w:t xml:space="preserve">, 1977). Its definition comes from two sciences, ecology and toxicology. Ecology </w:t>
      </w:r>
      <w:r w:rsidR="00BC50B2">
        <w:t>accesses</w:t>
      </w:r>
      <w:r w:rsidRPr="00773CC0">
        <w:t xml:space="preserve"> the diversity and representativeness of organisms and their meaning in ecosystems, and toxicology </w:t>
      </w:r>
      <w:r w:rsidR="00BC50B2">
        <w:t>accesses</w:t>
      </w:r>
      <w:r w:rsidRPr="00773CC0">
        <w:t xml:space="preserve"> the adverse effects of pollutants on the organism, being the toxic agent the substance capable of causing damage to the biological system.</w:t>
      </w:r>
    </w:p>
    <w:p w:rsidR="001A7A3F" w:rsidRPr="001A7A3F" w:rsidRDefault="001A7A3F" w:rsidP="001E57AA">
      <w:pPr>
        <w:pStyle w:val="CETBodytext"/>
      </w:pPr>
      <w:r w:rsidRPr="001A7A3F">
        <w:t xml:space="preserve">Biological monitoring is based mainly on applications of biological indexes, evaluation protocols and </w:t>
      </w:r>
      <w:proofErr w:type="spellStart"/>
      <w:r w:rsidRPr="001A7A3F">
        <w:t>multimetric</w:t>
      </w:r>
      <w:proofErr w:type="spellEnd"/>
      <w:r w:rsidRPr="001A7A3F">
        <w:t xml:space="preserve"> indices. It can be subdivided into two groups: the liabilities that make use of </w:t>
      </w:r>
      <w:proofErr w:type="spellStart"/>
      <w:r w:rsidRPr="001A7A3F">
        <w:t>biomonitors</w:t>
      </w:r>
      <w:proofErr w:type="spellEnd"/>
      <w:r w:rsidRPr="001A7A3F">
        <w:t xml:space="preserve"> already existing in the site to be evaluated, and the asset</w:t>
      </w:r>
      <w:r w:rsidR="00BC50B2">
        <w:t>s</w:t>
      </w:r>
      <w:r w:rsidRPr="001A7A3F">
        <w:t xml:space="preserve"> where the </w:t>
      </w:r>
      <w:proofErr w:type="spellStart"/>
      <w:r w:rsidRPr="001A7A3F">
        <w:t>biomonitors</w:t>
      </w:r>
      <w:proofErr w:type="spellEnd"/>
      <w:r w:rsidRPr="001A7A3F">
        <w:t xml:space="preserve"> are inserted under controlled conditions, in laboratory or "in s</w:t>
      </w:r>
      <w:r>
        <w:t>itu", including toxicity tests a</w:t>
      </w:r>
      <w:r w:rsidRPr="001A7A3F">
        <w:t xml:space="preserve">cute and </w:t>
      </w:r>
      <w:r>
        <w:t>c</w:t>
      </w:r>
      <w:r w:rsidRPr="001A7A3F">
        <w:t>hronic (Burton, 1994).</w:t>
      </w:r>
      <w:r w:rsidR="007F1347">
        <w:t xml:space="preserve"> </w:t>
      </w:r>
      <w:r w:rsidR="007F1347" w:rsidRPr="007F1347">
        <w:t>With the population increase in the world, it has increased energy consumption and waste generation (Giuliano et al, 2018). In urban areas, the increase in the generation of domestic wastewater is a reality and biological monitoring can be used as an alternative method for measuring the toxicity generated and its influence on the health of the population (</w:t>
      </w:r>
      <w:proofErr w:type="spellStart"/>
      <w:r w:rsidR="007F1347" w:rsidRPr="007F1347">
        <w:t>Sabeen</w:t>
      </w:r>
      <w:proofErr w:type="spellEnd"/>
      <w:r w:rsidR="007F1347" w:rsidRPr="007F1347">
        <w:t xml:space="preserve"> et al, 2018).</w:t>
      </w:r>
    </w:p>
    <w:p w:rsidR="001A7A3F" w:rsidRPr="00A5668D" w:rsidRDefault="001A7A3F" w:rsidP="001E57AA">
      <w:pPr>
        <w:pStyle w:val="CETBodytext"/>
      </w:pPr>
      <w:r w:rsidRPr="001A7A3F">
        <w:t xml:space="preserve">The toxicity </w:t>
      </w:r>
      <w:r w:rsidR="00A5668D" w:rsidRPr="00D67512">
        <w:t>biotests</w:t>
      </w:r>
      <w:r w:rsidRPr="00D67512">
        <w:t xml:space="preserve"> </w:t>
      </w:r>
      <w:r w:rsidRPr="001A7A3F">
        <w:t>have become an important tool in the monitoring of aquatic ecosystems, because through these it is possible to identify the impact caused by toxic agents (</w:t>
      </w:r>
      <w:proofErr w:type="spellStart"/>
      <w:r w:rsidRPr="001A7A3F">
        <w:t>Magalhães</w:t>
      </w:r>
      <w:proofErr w:type="spellEnd"/>
      <w:r w:rsidRPr="001A7A3F">
        <w:t xml:space="preserve">, 2008). Based on the use of living organisms, which are sensitive to imbalances occurring in aquatic environments, </w:t>
      </w:r>
      <w:r w:rsidR="007F1347">
        <w:t>where they live or are inserted, s</w:t>
      </w:r>
      <w:r w:rsidR="007F1347" w:rsidRPr="007F1347">
        <w:t xml:space="preserve">ince marine environmental pollution refers to human activities that directly or indirectly launch pollutants into </w:t>
      </w:r>
      <w:r w:rsidR="007F1347" w:rsidRPr="007F1347">
        <w:lastRenderedPageBreak/>
        <w:t>the ocean, thus causing damage to marine life, the marine environment, human health and fishing (Tian H, Wang R, 2018).</w:t>
      </w:r>
    </w:p>
    <w:p w:rsidR="00A5668D" w:rsidRPr="00A5668D" w:rsidRDefault="00A5668D" w:rsidP="009A518D">
      <w:pPr>
        <w:pStyle w:val="CETBodytext"/>
      </w:pPr>
      <w:r w:rsidRPr="00A5668D">
        <w:t xml:space="preserve">Lethality </w:t>
      </w:r>
      <w:r w:rsidRPr="00D67512">
        <w:t xml:space="preserve">tests </w:t>
      </w:r>
      <w:r w:rsidRPr="00A5668D">
        <w:t>are widely used in preliminary analyses of general toxicity, which can estimate the mean lethal dose (LD50) (Luna et al., 2005). In toxicology, median lethal dose (LD50) is the required dose of a given substance or type of radiation to kill 50% of a population under test.</w:t>
      </w:r>
    </w:p>
    <w:p w:rsidR="00A5668D" w:rsidRDefault="00A5668D" w:rsidP="009A518D">
      <w:pPr>
        <w:pStyle w:val="CETBodytext"/>
      </w:pPr>
      <w:r w:rsidRPr="00A5668D">
        <w:t xml:space="preserve">For an adequate survey of information that seeks ways of conserving water resources, the ecotoxicological methodology together with chemical analyses, allows a scientific study of the potential and effects caused by pollutants </w:t>
      </w:r>
      <w:r>
        <w:t>e</w:t>
      </w:r>
      <w:r w:rsidRPr="00A5668D">
        <w:t>nvironmental impacts on organisms (Cairns, 1989), providing a detailed assessment of water quality and the magnitude of pollutants, using this information to elaborate proposals for water pollution control.</w:t>
      </w:r>
    </w:p>
    <w:p w:rsidR="007F1347" w:rsidRPr="00A5668D" w:rsidRDefault="007F1347" w:rsidP="009A518D">
      <w:pPr>
        <w:pStyle w:val="CETBodytext"/>
      </w:pPr>
      <w:r w:rsidRPr="007F1347">
        <w:t xml:space="preserve">In </w:t>
      </w:r>
      <w:r>
        <w:t>t</w:t>
      </w:r>
      <w:r w:rsidRPr="007F1347">
        <w:t xml:space="preserve">his </w:t>
      </w:r>
      <w:r>
        <w:t>paper</w:t>
      </w:r>
      <w:r w:rsidRPr="007F1347">
        <w:t xml:space="preserve">, it seeks to evaluate the acute toxicity in </w:t>
      </w:r>
      <w:proofErr w:type="spellStart"/>
      <w:r w:rsidRPr="007F1347">
        <w:t>Icaraí</w:t>
      </w:r>
      <w:proofErr w:type="spellEnd"/>
      <w:r w:rsidRPr="007F1347">
        <w:t xml:space="preserve"> Beach/RJ, using the </w:t>
      </w:r>
      <w:r w:rsidR="00781BB3">
        <w:t>m</w:t>
      </w:r>
      <w:r w:rsidRPr="007F1347">
        <w:t xml:space="preserve">icrocrustacean </w:t>
      </w:r>
      <w:proofErr w:type="spellStart"/>
      <w:r w:rsidRPr="00781BB3">
        <w:rPr>
          <w:i/>
        </w:rPr>
        <w:t>Artemia</w:t>
      </w:r>
      <w:proofErr w:type="spellEnd"/>
      <w:r w:rsidRPr="00781BB3">
        <w:rPr>
          <w:i/>
        </w:rPr>
        <w:t xml:space="preserve"> </w:t>
      </w:r>
      <w:proofErr w:type="spellStart"/>
      <w:r w:rsidRPr="00781BB3">
        <w:rPr>
          <w:i/>
        </w:rPr>
        <w:t>salina</w:t>
      </w:r>
      <w:proofErr w:type="spellEnd"/>
      <w:r w:rsidRPr="007F1347">
        <w:t xml:space="preserve"> as the test organism. Achieving This general objective, it will also be possible to contribute to the monitoring of water quality on this beach, which has great environmental, touristic, landscape and economical importance. Another aspect is to assess the mortality rate of </w:t>
      </w:r>
      <w:proofErr w:type="spellStart"/>
      <w:r w:rsidRPr="00781BB3">
        <w:rPr>
          <w:i/>
        </w:rPr>
        <w:t>Artemia</w:t>
      </w:r>
      <w:proofErr w:type="spellEnd"/>
      <w:r w:rsidRPr="00781BB3">
        <w:rPr>
          <w:i/>
        </w:rPr>
        <w:t xml:space="preserve"> </w:t>
      </w:r>
      <w:proofErr w:type="spellStart"/>
      <w:r w:rsidRPr="00781BB3">
        <w:rPr>
          <w:i/>
        </w:rPr>
        <w:t>salina</w:t>
      </w:r>
      <w:proofErr w:type="spellEnd"/>
      <w:r w:rsidRPr="007F1347">
        <w:t xml:space="preserve"> in the samples under study according to the LD50, comparing the physicochemical parameters collected with the C</w:t>
      </w:r>
      <w:r w:rsidR="00781BB3">
        <w:t>ONAMA</w:t>
      </w:r>
      <w:r w:rsidRPr="007F1347">
        <w:t xml:space="preserve"> Resolution 357/2005 and defining the acceptable concentration in the environment.</w:t>
      </w:r>
    </w:p>
    <w:p w:rsidR="00FF39DC" w:rsidRPr="001E57AA" w:rsidRDefault="00A5668D" w:rsidP="001E57AA">
      <w:pPr>
        <w:pStyle w:val="CETHeading1"/>
        <w:tabs>
          <w:tab w:val="clear" w:pos="360"/>
          <w:tab w:val="right" w:pos="7100"/>
        </w:tabs>
        <w:jc w:val="both"/>
        <w:rPr>
          <w:lang w:val="en-GB"/>
        </w:rPr>
      </w:pPr>
      <w:r w:rsidRPr="00856E40">
        <w:rPr>
          <w:rFonts w:cs="Arial"/>
        </w:rPr>
        <w:t xml:space="preserve">Materials and </w:t>
      </w:r>
      <w:r>
        <w:rPr>
          <w:rFonts w:cs="Arial"/>
          <w:b w:val="0"/>
        </w:rPr>
        <w:t>M</w:t>
      </w:r>
      <w:r w:rsidRPr="00856E40">
        <w:rPr>
          <w:rFonts w:cs="Arial"/>
        </w:rPr>
        <w:t>ethods</w:t>
      </w:r>
      <w:r w:rsidR="00FF39DC" w:rsidRPr="001E57AA">
        <w:rPr>
          <w:lang w:val="pt-BR"/>
        </w:rPr>
        <w:t xml:space="preserve"> </w:t>
      </w:r>
    </w:p>
    <w:p w:rsidR="00C832DD" w:rsidRDefault="00C832DD" w:rsidP="001E57AA">
      <w:pPr>
        <w:pStyle w:val="CETBodytext"/>
      </w:pPr>
      <w:r w:rsidRPr="00C832DD">
        <w:t xml:space="preserve">The collections were </w:t>
      </w:r>
      <w:r w:rsidR="00BC50B2">
        <w:t>made</w:t>
      </w:r>
      <w:r w:rsidRPr="00C832DD">
        <w:t xml:space="preserve"> at </w:t>
      </w:r>
      <w:proofErr w:type="spellStart"/>
      <w:r w:rsidRPr="00C832DD">
        <w:t>Icaraí</w:t>
      </w:r>
      <w:proofErr w:type="spellEnd"/>
      <w:r w:rsidRPr="00C832DD">
        <w:t xml:space="preserve"> Beach – in the southern region of the city of </w:t>
      </w:r>
      <w:proofErr w:type="spellStart"/>
      <w:r w:rsidRPr="00C832DD">
        <w:t>Niterói</w:t>
      </w:r>
      <w:proofErr w:type="spellEnd"/>
      <w:r w:rsidRPr="00C832DD">
        <w:t xml:space="preserve">, RJ – in two points (named P1 and P2), in two dates. The points were selected to check the water quality that can be impacted by the launch of sewage and rainwater receiving. </w:t>
      </w:r>
    </w:p>
    <w:p w:rsidR="00C832DD" w:rsidRPr="00C832DD" w:rsidRDefault="00C832DD" w:rsidP="001E57AA">
      <w:pPr>
        <w:pStyle w:val="CETBodytext"/>
      </w:pPr>
      <w:r w:rsidRPr="00C832DD">
        <w:t xml:space="preserve">Point P1 is located at the beginning of </w:t>
      </w:r>
      <w:proofErr w:type="spellStart"/>
      <w:r w:rsidRPr="00C832DD">
        <w:t>Icaraí</w:t>
      </w:r>
      <w:proofErr w:type="spellEnd"/>
      <w:r w:rsidRPr="00C832DD">
        <w:t xml:space="preserve"> Beach, next to the </w:t>
      </w:r>
      <w:proofErr w:type="spellStart"/>
      <w:r w:rsidRPr="00C832DD">
        <w:t>Pedra</w:t>
      </w:r>
      <w:proofErr w:type="spellEnd"/>
      <w:r w:rsidRPr="00C832DD">
        <w:t xml:space="preserve"> de </w:t>
      </w:r>
      <w:proofErr w:type="spellStart"/>
      <w:r w:rsidRPr="00C832DD">
        <w:t>Itapuca</w:t>
      </w:r>
      <w:proofErr w:type="spellEnd"/>
      <w:r w:rsidRPr="00C832DD">
        <w:t xml:space="preserve">, where a gallery dumps pluvial water. </w:t>
      </w:r>
      <w:r w:rsidR="00BC50B2">
        <w:t>R</w:t>
      </w:r>
      <w:r w:rsidRPr="00C832DD">
        <w:t>esidential buildings are also located in their surroundings. Point P2 is located very close to the middle of the beach, approximately 550 meters from the first collection point.</w:t>
      </w:r>
    </w:p>
    <w:p w:rsidR="00C832DD" w:rsidRPr="00C832DD" w:rsidRDefault="00C832DD" w:rsidP="001E57AA">
      <w:pPr>
        <w:pStyle w:val="CETBodytext"/>
        <w:rPr>
          <w:szCs w:val="24"/>
        </w:rPr>
      </w:pPr>
      <w:r w:rsidRPr="00C832DD">
        <w:rPr>
          <w:szCs w:val="24"/>
        </w:rPr>
        <w:t xml:space="preserve">The acute ecotoxicological assays with the use of </w:t>
      </w:r>
      <w:proofErr w:type="spellStart"/>
      <w:r w:rsidRPr="00C832DD">
        <w:rPr>
          <w:i/>
          <w:szCs w:val="24"/>
        </w:rPr>
        <w:t>Artemias</w:t>
      </w:r>
      <w:proofErr w:type="spellEnd"/>
      <w:r w:rsidRPr="00C832DD">
        <w:rPr>
          <w:szCs w:val="24"/>
        </w:rPr>
        <w:t xml:space="preserve"> were performed based on the methodology of Meyer et al. (1982) adapted. The water used for hatching was prepared in 1</w:t>
      </w:r>
      <w:r>
        <w:rPr>
          <w:szCs w:val="24"/>
        </w:rPr>
        <w:t xml:space="preserve"> liter</w:t>
      </w:r>
      <w:r w:rsidRPr="00C832DD">
        <w:rPr>
          <w:szCs w:val="24"/>
        </w:rPr>
        <w:t xml:space="preserve"> of filtered water, with the addition of two drops of </w:t>
      </w:r>
      <w:proofErr w:type="spellStart"/>
      <w:r w:rsidRPr="00C832DD">
        <w:rPr>
          <w:szCs w:val="24"/>
        </w:rPr>
        <w:t>anti chlorine</w:t>
      </w:r>
      <w:proofErr w:type="spellEnd"/>
      <w:r w:rsidRPr="00C832DD">
        <w:rPr>
          <w:szCs w:val="24"/>
        </w:rPr>
        <w:t xml:space="preserve">, to certify that the hatching will not be harmed by the presence of chlorine. And it was seen that the measured </w:t>
      </w:r>
      <w:r>
        <w:rPr>
          <w:szCs w:val="24"/>
        </w:rPr>
        <w:t>p</w:t>
      </w:r>
      <w:r w:rsidRPr="00C832DD">
        <w:rPr>
          <w:szCs w:val="24"/>
        </w:rPr>
        <w:t>H was outside the recommended range for hatching, between 8.5 and 9.</w:t>
      </w:r>
      <w:r>
        <w:rPr>
          <w:szCs w:val="24"/>
        </w:rPr>
        <w:t>0, that is, well alkaline. For p</w:t>
      </w:r>
      <w:r w:rsidRPr="00C832DD">
        <w:rPr>
          <w:szCs w:val="24"/>
        </w:rPr>
        <w:t>H adjustment, 60g of sodium bicarbonate (NaHCO</w:t>
      </w:r>
      <w:r w:rsidRPr="00C832DD">
        <w:rPr>
          <w:szCs w:val="24"/>
          <w:vertAlign w:val="subscript"/>
        </w:rPr>
        <w:t>3</w:t>
      </w:r>
      <w:r w:rsidRPr="00C832DD">
        <w:rPr>
          <w:szCs w:val="24"/>
        </w:rPr>
        <w:t xml:space="preserve">) was added, and then a new measurement was performed to prove the water alkalinity. Once this was done, 30g of </w:t>
      </w:r>
      <w:proofErr w:type="spellStart"/>
      <w:r w:rsidRPr="00C832DD">
        <w:rPr>
          <w:szCs w:val="24"/>
        </w:rPr>
        <w:t>NaCl</w:t>
      </w:r>
      <w:proofErr w:type="spellEnd"/>
      <w:r w:rsidRPr="00C832DD">
        <w:rPr>
          <w:szCs w:val="24"/>
        </w:rPr>
        <w:t xml:space="preserve"> was added to achieve the necessary salinity.</w:t>
      </w:r>
    </w:p>
    <w:p w:rsidR="00503A8B" w:rsidRPr="00503A8B" w:rsidRDefault="00503A8B" w:rsidP="001E57AA">
      <w:pPr>
        <w:pStyle w:val="CETBodytext"/>
        <w:rPr>
          <w:color w:val="000000" w:themeColor="text1"/>
          <w:szCs w:val="24"/>
          <w:shd w:val="clear" w:color="auto" w:fill="FFFFFF"/>
        </w:rPr>
      </w:pPr>
      <w:r w:rsidRPr="00503A8B">
        <w:rPr>
          <w:color w:val="000000" w:themeColor="text1"/>
          <w:szCs w:val="24"/>
          <w:shd w:val="clear" w:color="auto" w:fill="FFFFFF"/>
        </w:rPr>
        <w:t xml:space="preserve">The prepared water was mixed with the use of an air compressor for 60 </w:t>
      </w:r>
      <w:r>
        <w:rPr>
          <w:color w:val="000000" w:themeColor="text1"/>
          <w:szCs w:val="24"/>
          <w:shd w:val="clear" w:color="auto" w:fill="FFFFFF"/>
        </w:rPr>
        <w:t>m</w:t>
      </w:r>
      <w:r w:rsidRPr="00503A8B">
        <w:rPr>
          <w:color w:val="000000" w:themeColor="text1"/>
          <w:szCs w:val="24"/>
          <w:shd w:val="clear" w:color="auto" w:fill="FFFFFF"/>
        </w:rPr>
        <w:t xml:space="preserve">inutes in the adapted plastic container. After the 60 minutes of the water mixing process, 0,3g of </w:t>
      </w:r>
      <w:proofErr w:type="spellStart"/>
      <w:r w:rsidRPr="00503A8B">
        <w:rPr>
          <w:i/>
          <w:color w:val="000000" w:themeColor="text1"/>
          <w:szCs w:val="24"/>
          <w:shd w:val="clear" w:color="auto" w:fill="FFFFFF"/>
        </w:rPr>
        <w:t>Artemia</w:t>
      </w:r>
      <w:proofErr w:type="spellEnd"/>
      <w:r w:rsidRPr="00503A8B">
        <w:rPr>
          <w:i/>
          <w:color w:val="000000" w:themeColor="text1"/>
          <w:szCs w:val="24"/>
          <w:shd w:val="clear" w:color="auto" w:fill="FFFFFF"/>
        </w:rPr>
        <w:t xml:space="preserve"> </w:t>
      </w:r>
      <w:proofErr w:type="spellStart"/>
      <w:r w:rsidRPr="00503A8B">
        <w:rPr>
          <w:i/>
          <w:color w:val="000000" w:themeColor="text1"/>
          <w:szCs w:val="24"/>
          <w:shd w:val="clear" w:color="auto" w:fill="FFFFFF"/>
        </w:rPr>
        <w:t>salina</w:t>
      </w:r>
      <w:proofErr w:type="spellEnd"/>
      <w:r w:rsidRPr="00503A8B">
        <w:rPr>
          <w:color w:val="000000" w:themeColor="text1"/>
          <w:szCs w:val="24"/>
          <w:shd w:val="clear" w:color="auto" w:fill="FFFFFF"/>
        </w:rPr>
        <w:t xml:space="preserve"> eggs of high hatch</w:t>
      </w:r>
      <w:r w:rsidR="008414BB">
        <w:rPr>
          <w:color w:val="000000" w:themeColor="text1"/>
          <w:szCs w:val="24"/>
          <w:shd w:val="clear" w:color="auto" w:fill="FFFFFF"/>
        </w:rPr>
        <w:t xml:space="preserve"> were added</w:t>
      </w:r>
      <w:r w:rsidRPr="00503A8B">
        <w:rPr>
          <w:color w:val="000000" w:themeColor="text1"/>
          <w:szCs w:val="24"/>
          <w:shd w:val="clear" w:color="auto" w:fill="FFFFFF"/>
        </w:rPr>
        <w:t xml:space="preserve">, together with the presence of artificial light constant of 20w in the first 24 hours, and, after that, during the photoperiod of 12h light/12h </w:t>
      </w:r>
      <w:proofErr w:type="gramStart"/>
      <w:r>
        <w:rPr>
          <w:color w:val="000000" w:themeColor="text1"/>
          <w:szCs w:val="24"/>
          <w:shd w:val="clear" w:color="auto" w:fill="FFFFFF"/>
        </w:rPr>
        <w:t>dark ,</w:t>
      </w:r>
      <w:proofErr w:type="gramEnd"/>
      <w:r>
        <w:rPr>
          <w:color w:val="000000" w:themeColor="text1"/>
          <w:szCs w:val="24"/>
          <w:shd w:val="clear" w:color="auto" w:fill="FFFFFF"/>
        </w:rPr>
        <w:t xml:space="preserve"> at a temperature of 27°C</w:t>
      </w:r>
      <w:r w:rsidRPr="00503A8B">
        <w:rPr>
          <w:color w:val="000000" w:themeColor="text1"/>
          <w:szCs w:val="24"/>
          <w:shd w:val="clear" w:color="auto" w:fill="FFFFFF"/>
        </w:rPr>
        <w:t xml:space="preserve">, ideal period to reach the phase for the execution of the tests. After the period of 48 hours, the hatching of the </w:t>
      </w:r>
      <w:proofErr w:type="spellStart"/>
      <w:r>
        <w:rPr>
          <w:color w:val="000000" w:themeColor="text1"/>
          <w:szCs w:val="24"/>
          <w:shd w:val="clear" w:color="auto" w:fill="FFFFFF"/>
        </w:rPr>
        <w:t>n</w:t>
      </w:r>
      <w:r w:rsidRPr="00503A8B">
        <w:rPr>
          <w:color w:val="000000" w:themeColor="text1"/>
          <w:szCs w:val="24"/>
          <w:shd w:val="clear" w:color="auto" w:fill="FFFFFF"/>
        </w:rPr>
        <w:t>áuplios</w:t>
      </w:r>
      <w:proofErr w:type="spellEnd"/>
      <w:r w:rsidRPr="00503A8B">
        <w:rPr>
          <w:color w:val="000000" w:themeColor="text1"/>
          <w:szCs w:val="24"/>
          <w:shd w:val="clear" w:color="auto" w:fill="FFFFFF"/>
        </w:rPr>
        <w:t xml:space="preserve"> was observed.</w:t>
      </w:r>
    </w:p>
    <w:p w:rsidR="00503A8B" w:rsidRPr="00503A8B" w:rsidRDefault="00503A8B" w:rsidP="001E57AA">
      <w:pPr>
        <w:pStyle w:val="CETBodytext"/>
        <w:rPr>
          <w:color w:val="000000" w:themeColor="text1"/>
          <w:szCs w:val="24"/>
        </w:rPr>
      </w:pPr>
      <w:r w:rsidRPr="00503A8B">
        <w:rPr>
          <w:color w:val="000000" w:themeColor="text1"/>
          <w:szCs w:val="24"/>
        </w:rPr>
        <w:t>For the determination of the field parameters: temperature, PH and dissolved oxygen (</w:t>
      </w:r>
      <w:r>
        <w:rPr>
          <w:color w:val="000000" w:themeColor="text1"/>
          <w:szCs w:val="24"/>
        </w:rPr>
        <w:t>OD</w:t>
      </w:r>
      <w:r w:rsidRPr="00503A8B">
        <w:rPr>
          <w:color w:val="000000" w:themeColor="text1"/>
          <w:szCs w:val="24"/>
        </w:rPr>
        <w:t xml:space="preserve">), the equipment was immersed directly in the water, and the respective parameters were read at the site, in triplicate. These </w:t>
      </w:r>
      <w:proofErr w:type="spellStart"/>
      <w:r w:rsidRPr="00503A8B">
        <w:rPr>
          <w:color w:val="000000" w:themeColor="text1"/>
          <w:szCs w:val="24"/>
        </w:rPr>
        <w:t>equipments</w:t>
      </w:r>
      <w:proofErr w:type="spellEnd"/>
      <w:r w:rsidRPr="00503A8B">
        <w:rPr>
          <w:color w:val="000000" w:themeColor="text1"/>
          <w:szCs w:val="24"/>
        </w:rPr>
        <w:t xml:space="preserve"> were duly calibrated prior to the performance of the analyses. For the salinity analysis it was necessary to perform a dilution with a proportion of 1ml of the water sample collected for 9ml of distilled H</w:t>
      </w:r>
      <w:r w:rsidRPr="00503A8B">
        <w:rPr>
          <w:color w:val="000000" w:themeColor="text1"/>
          <w:szCs w:val="24"/>
          <w:vertAlign w:val="subscript"/>
        </w:rPr>
        <w:t>2</w:t>
      </w:r>
      <w:r w:rsidRPr="00503A8B">
        <w:rPr>
          <w:color w:val="000000" w:themeColor="text1"/>
          <w:szCs w:val="24"/>
        </w:rPr>
        <w:t>O. Thus, the results obtained in triplicate were multiplied by ten to obtain the final value.</w:t>
      </w:r>
    </w:p>
    <w:p w:rsidR="00503A8B" w:rsidRPr="00503A8B" w:rsidRDefault="00503A8B" w:rsidP="001E57AA">
      <w:pPr>
        <w:pStyle w:val="CETBodytext"/>
        <w:rPr>
          <w:color w:val="000000" w:themeColor="text1"/>
          <w:szCs w:val="24"/>
        </w:rPr>
      </w:pPr>
      <w:r w:rsidRPr="00503A8B">
        <w:rPr>
          <w:color w:val="000000" w:themeColor="text1"/>
          <w:szCs w:val="24"/>
        </w:rPr>
        <w:t xml:space="preserve">For the analysis of the LD50, the test tubes were organized in the bookcase divided into different concentrations: 10%, 25%, 50%, 75% and 90%. These concentrations are related to the </w:t>
      </w:r>
      <w:proofErr w:type="gramStart"/>
      <w:r w:rsidRPr="00503A8B">
        <w:rPr>
          <w:color w:val="000000" w:themeColor="text1"/>
          <w:szCs w:val="24"/>
        </w:rPr>
        <w:t>amount</w:t>
      </w:r>
      <w:proofErr w:type="gramEnd"/>
      <w:r w:rsidRPr="00503A8B">
        <w:rPr>
          <w:color w:val="000000" w:themeColor="text1"/>
          <w:szCs w:val="24"/>
        </w:rPr>
        <w:t xml:space="preserve"> of sample</w:t>
      </w:r>
      <w:r w:rsidR="008414BB">
        <w:rPr>
          <w:color w:val="000000" w:themeColor="text1"/>
          <w:szCs w:val="24"/>
        </w:rPr>
        <w:t>s</w:t>
      </w:r>
      <w:r w:rsidRPr="00503A8B">
        <w:rPr>
          <w:color w:val="000000" w:themeColor="text1"/>
          <w:szCs w:val="24"/>
        </w:rPr>
        <w:t xml:space="preserve"> collected both in point 1 and in point 2, for the performance of the </w:t>
      </w:r>
      <w:r w:rsidRPr="008414BB">
        <w:rPr>
          <w:szCs w:val="24"/>
        </w:rPr>
        <w:t>test</w:t>
      </w:r>
      <w:r w:rsidRPr="00503A8B">
        <w:rPr>
          <w:color w:val="000000" w:themeColor="text1"/>
          <w:szCs w:val="24"/>
        </w:rPr>
        <w:t xml:space="preserve">. All of these concentrations were analyzed in duplicate, that is, each duplicate tube repeated the entire process described above. The controls referring to each concentration were filled with 10ml of hatching water in each one, to monitor the survival of </w:t>
      </w:r>
      <w:proofErr w:type="spellStart"/>
      <w:r w:rsidRPr="00503A8B">
        <w:rPr>
          <w:i/>
          <w:color w:val="000000" w:themeColor="text1"/>
          <w:szCs w:val="24"/>
        </w:rPr>
        <w:t>Artemias</w:t>
      </w:r>
      <w:proofErr w:type="spellEnd"/>
      <w:r w:rsidRPr="00503A8B">
        <w:rPr>
          <w:color w:val="000000" w:themeColor="text1"/>
          <w:szCs w:val="24"/>
        </w:rPr>
        <w:t xml:space="preserve">. Next, 10 </w:t>
      </w:r>
      <w:proofErr w:type="spellStart"/>
      <w:r w:rsidR="009C12D4" w:rsidRPr="009C12D4">
        <w:rPr>
          <w:i/>
          <w:color w:val="000000" w:themeColor="text1"/>
          <w:szCs w:val="24"/>
        </w:rPr>
        <w:t>A</w:t>
      </w:r>
      <w:r w:rsidRPr="009C12D4">
        <w:rPr>
          <w:i/>
          <w:color w:val="000000" w:themeColor="text1"/>
          <w:szCs w:val="24"/>
        </w:rPr>
        <w:t>rtemias</w:t>
      </w:r>
      <w:proofErr w:type="spellEnd"/>
      <w:r w:rsidRPr="00503A8B">
        <w:rPr>
          <w:color w:val="000000" w:themeColor="text1"/>
          <w:szCs w:val="24"/>
        </w:rPr>
        <w:t xml:space="preserve"> were inserted in each test tube, with the aid of a Pasteur pipette, for subsequent acute ecotoxicological evaluation, which was performed at a specified period of 24 hours. The assembly of the test tubes on the shelf for the ecotoxicological test of point 1 and </w:t>
      </w:r>
      <w:r w:rsidR="009C12D4">
        <w:rPr>
          <w:color w:val="000000" w:themeColor="text1"/>
          <w:szCs w:val="24"/>
        </w:rPr>
        <w:t>p</w:t>
      </w:r>
      <w:r w:rsidRPr="00503A8B">
        <w:rPr>
          <w:color w:val="000000" w:themeColor="text1"/>
          <w:szCs w:val="24"/>
        </w:rPr>
        <w:t>oint 2 is illustrated in Figure 1.</w:t>
      </w:r>
    </w:p>
    <w:p w:rsidR="003849D1" w:rsidRPr="00503A8B" w:rsidRDefault="003849D1" w:rsidP="001E57AA">
      <w:pPr>
        <w:pStyle w:val="CETBodytext"/>
        <w:rPr>
          <w:color w:val="000000" w:themeColor="text1"/>
          <w:szCs w:val="24"/>
        </w:rPr>
      </w:pPr>
    </w:p>
    <w:p w:rsidR="00E020C4" w:rsidRDefault="00E020C4" w:rsidP="009C12D4">
      <w:pPr>
        <w:pStyle w:val="CETBodytext"/>
        <w:keepNext/>
        <w:jc w:val="left"/>
      </w:pPr>
      <w:r>
        <w:rPr>
          <w:noProof/>
          <w:lang w:val="pt-BR" w:eastAsia="pt-BR"/>
        </w:rPr>
        <w:lastRenderedPageBreak/>
        <mc:AlternateContent>
          <mc:Choice Requires="wps">
            <w:drawing>
              <wp:anchor distT="45720" distB="45720" distL="114300" distR="114300" simplePos="0" relativeHeight="251659264" behindDoc="0" locked="0" layoutInCell="1" allowOverlap="1">
                <wp:simplePos x="0" y="0"/>
                <wp:positionH relativeFrom="column">
                  <wp:posOffset>3263540</wp:posOffset>
                </wp:positionH>
                <wp:positionV relativeFrom="paragraph">
                  <wp:posOffset>503194</wp:posOffset>
                </wp:positionV>
                <wp:extent cx="2360930" cy="1404620"/>
                <wp:effectExtent l="0" t="0" r="22860"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C12D4" w:rsidRPr="009537E2" w:rsidRDefault="009C12D4">
                            <w:pPr>
                              <w:rPr>
                                <w:lang w:val="en-US"/>
                              </w:rPr>
                            </w:pPr>
                            <w:r w:rsidRPr="009537E2">
                              <w:rPr>
                                <w:lang w:val="en-US"/>
                              </w:rPr>
                              <w:t>Caption:</w:t>
                            </w:r>
                          </w:p>
                          <w:p w:rsidR="009C12D4" w:rsidRPr="009537E2" w:rsidRDefault="009C12D4">
                            <w:pPr>
                              <w:rPr>
                                <w:lang w:val="en-US"/>
                              </w:rPr>
                            </w:pPr>
                            <w:r w:rsidRPr="009537E2">
                              <w:rPr>
                                <w:lang w:val="en-US"/>
                              </w:rPr>
                              <w:t>C = Control</w:t>
                            </w:r>
                          </w:p>
                          <w:p w:rsidR="009C12D4" w:rsidRPr="009537E2" w:rsidRDefault="009C12D4">
                            <w:pPr>
                              <w:rPr>
                                <w:lang w:val="en-US"/>
                              </w:rPr>
                            </w:pPr>
                            <w:r w:rsidRPr="009537E2">
                              <w:rPr>
                                <w:lang w:val="en-US"/>
                              </w:rPr>
                              <w:t>D = Duplicat</w:t>
                            </w:r>
                            <w:r w:rsidR="00E020C4" w:rsidRPr="009537E2">
                              <w:rPr>
                                <w:lang w:val="en-US"/>
                              </w:rPr>
                              <w:t>e</w:t>
                            </w:r>
                          </w:p>
                          <w:p w:rsidR="009C12D4" w:rsidRPr="009537E2" w:rsidRDefault="009C12D4">
                            <w:pPr>
                              <w:rPr>
                                <w:lang w:val="en-US"/>
                              </w:rPr>
                            </w:pPr>
                            <w:r w:rsidRPr="009537E2">
                              <w:rPr>
                                <w:lang w:val="en-US"/>
                              </w:rPr>
                              <w:t>T = Tub</w:t>
                            </w:r>
                            <w:r w:rsidR="00E020C4" w:rsidRPr="009537E2">
                              <w:rPr>
                                <w:lang w:val="en-US"/>
                              </w:rPr>
                              <w:t>e</w:t>
                            </w:r>
                          </w:p>
                          <w:p w:rsidR="009C12D4" w:rsidRPr="009C12D4" w:rsidRDefault="009C12D4">
                            <w:pPr>
                              <w:rPr>
                                <w:lang w:val="pt-BR"/>
                              </w:rPr>
                            </w:pPr>
                            <w:r>
                              <w:rPr>
                                <w:lang w:val="pt-BR"/>
                              </w:rPr>
                              <w:t xml:space="preserve">{C}% = </w:t>
                            </w:r>
                            <w:proofErr w:type="spellStart"/>
                            <w:r w:rsidR="00E020C4">
                              <w:rPr>
                                <w:lang w:val="pt-BR"/>
                              </w:rPr>
                              <w:t>Sample</w:t>
                            </w:r>
                            <w:proofErr w:type="spellEnd"/>
                            <w:r w:rsidR="00E020C4">
                              <w:rPr>
                                <w:lang w:val="pt-BR"/>
                              </w:rPr>
                              <w:t xml:space="preserve"> </w:t>
                            </w:r>
                            <w:proofErr w:type="spellStart"/>
                            <w:r w:rsidR="00E020C4">
                              <w:rPr>
                                <w:lang w:val="pt-BR"/>
                              </w:rPr>
                              <w:t>c</w:t>
                            </w:r>
                            <w:r>
                              <w:rPr>
                                <w:lang w:val="pt-BR"/>
                              </w:rPr>
                              <w:t>oncentra</w:t>
                            </w:r>
                            <w:r w:rsidR="00E020C4">
                              <w:rPr>
                                <w:lang w:val="pt-BR"/>
                              </w:rPr>
                              <w:t>tion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56.95pt;margin-top:39.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">
                <v:textbox style="mso-fit-shape-to-text:t">
                  <w:txbxContent>
                    <w:p w:rsidR="009C12D4" w:rsidRPr="009537E2" w:rsidRDefault="009C12D4">
                      <w:pPr>
                        <w:rPr>
                          <w:lang w:val="en-US"/>
                        </w:rPr>
                      </w:pPr>
                      <w:r w:rsidRPr="009537E2">
                        <w:rPr>
                          <w:lang w:val="en-US"/>
                        </w:rPr>
                        <w:t>Caption:</w:t>
                      </w:r>
                    </w:p>
                    <w:p w:rsidR="009C12D4" w:rsidRPr="009537E2" w:rsidRDefault="009C12D4">
                      <w:pPr>
                        <w:rPr>
                          <w:lang w:val="en-US"/>
                        </w:rPr>
                      </w:pPr>
                      <w:r w:rsidRPr="009537E2">
                        <w:rPr>
                          <w:lang w:val="en-US"/>
                        </w:rPr>
                        <w:t>C = Control</w:t>
                      </w:r>
                    </w:p>
                    <w:p w:rsidR="009C12D4" w:rsidRPr="009537E2" w:rsidRDefault="009C12D4">
                      <w:pPr>
                        <w:rPr>
                          <w:lang w:val="en-US"/>
                        </w:rPr>
                      </w:pPr>
                      <w:r w:rsidRPr="009537E2">
                        <w:rPr>
                          <w:lang w:val="en-US"/>
                        </w:rPr>
                        <w:t>D = Duplicat</w:t>
                      </w:r>
                      <w:r w:rsidR="00E020C4" w:rsidRPr="009537E2">
                        <w:rPr>
                          <w:lang w:val="en-US"/>
                        </w:rPr>
                        <w:t>e</w:t>
                      </w:r>
                    </w:p>
                    <w:p w:rsidR="009C12D4" w:rsidRPr="009537E2" w:rsidRDefault="009C12D4">
                      <w:pPr>
                        <w:rPr>
                          <w:lang w:val="en-US"/>
                        </w:rPr>
                      </w:pPr>
                      <w:r w:rsidRPr="009537E2">
                        <w:rPr>
                          <w:lang w:val="en-US"/>
                        </w:rPr>
                        <w:t>T = Tub</w:t>
                      </w:r>
                      <w:r w:rsidR="00E020C4" w:rsidRPr="009537E2">
                        <w:rPr>
                          <w:lang w:val="en-US"/>
                        </w:rPr>
                        <w:t>e</w:t>
                      </w:r>
                    </w:p>
                    <w:p w:rsidR="009C12D4" w:rsidRPr="009C12D4" w:rsidRDefault="009C12D4">
                      <w:pPr>
                        <w:rPr>
                          <w:lang w:val="pt-BR"/>
                        </w:rPr>
                      </w:pPr>
                      <w:r>
                        <w:rPr>
                          <w:lang w:val="pt-BR"/>
                        </w:rPr>
                        <w:t xml:space="preserve">{C}% = </w:t>
                      </w:r>
                      <w:r w:rsidR="00E020C4">
                        <w:rPr>
                          <w:lang w:val="pt-BR"/>
                        </w:rPr>
                        <w:t>Sample c</w:t>
                      </w:r>
                      <w:r>
                        <w:rPr>
                          <w:lang w:val="pt-BR"/>
                        </w:rPr>
                        <w:t>oncentra</w:t>
                      </w:r>
                      <w:r w:rsidR="00E020C4">
                        <w:rPr>
                          <w:lang w:val="pt-BR"/>
                        </w:rPr>
                        <w:t>tion</w:t>
                      </w:r>
                    </w:p>
                  </w:txbxContent>
                </v:textbox>
                <w10:wrap type="square"/>
              </v:shape>
            </w:pict>
          </mc:Fallback>
        </mc:AlternateContent>
      </w:r>
      <w:r w:rsidR="003849D1" w:rsidRPr="00181B15">
        <w:rPr>
          <w:rFonts w:cs="Arial"/>
          <w:noProof/>
          <w:color w:val="000000" w:themeColor="text1"/>
          <w:lang w:val="pt-BR" w:eastAsia="pt-BR"/>
        </w:rPr>
        <w:drawing>
          <wp:inline distT="0" distB="0" distL="0" distR="0" wp14:anchorId="131D97DD" wp14:editId="7157BB12">
            <wp:extent cx="2741930" cy="1779905"/>
            <wp:effectExtent l="0" t="0" r="1270" b="0"/>
            <wp:docPr id="20" name="Imagem 20" descr="C:\Users\aluno\Desktop\TCC Syl e Ju\bolinhas pro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no\Desktop\TCC Syl e Ju\bolinhas pronta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899" t="4131" r="2723" b="32472"/>
                    <a:stretch/>
                  </pic:blipFill>
                  <pic:spPr bwMode="auto">
                    <a:xfrm>
                      <a:off x="0" y="0"/>
                      <a:ext cx="2744201" cy="1781379"/>
                    </a:xfrm>
                    <a:prstGeom prst="rect">
                      <a:avLst/>
                    </a:prstGeom>
                    <a:noFill/>
                    <a:ln>
                      <a:noFill/>
                    </a:ln>
                    <a:extLst>
                      <a:ext uri="{53640926-AAD7-44D8-BBD7-CCE9431645EC}">
                        <a14:shadowObscured xmlns:a14="http://schemas.microsoft.com/office/drawing/2010/main"/>
                      </a:ext>
                    </a:extLst>
                  </pic:spPr>
                </pic:pic>
              </a:graphicData>
            </a:graphic>
          </wp:inline>
        </w:drawing>
      </w:r>
    </w:p>
    <w:p w:rsidR="003849D1" w:rsidRPr="009C12D4" w:rsidRDefault="009C12D4" w:rsidP="003849D1">
      <w:pPr>
        <w:pStyle w:val="CETCaption"/>
        <w:spacing w:before="0" w:after="0"/>
        <w:rPr>
          <w:szCs w:val="24"/>
          <w:lang w:val="en-US"/>
        </w:rPr>
      </w:pPr>
      <w:r w:rsidRPr="009C12D4">
        <w:rPr>
          <w:lang w:val="en-US"/>
        </w:rPr>
        <w:t xml:space="preserve">Figure 1. Illustration of the </w:t>
      </w:r>
      <w:r>
        <w:rPr>
          <w:lang w:val="en-US"/>
        </w:rPr>
        <w:t>a</w:t>
      </w:r>
      <w:r w:rsidRPr="009C12D4">
        <w:rPr>
          <w:lang w:val="en-US"/>
        </w:rPr>
        <w:t>ssembly of the vials on the shelf for the ecotoxicological test of point 1 and point 2.</w:t>
      </w:r>
    </w:p>
    <w:p w:rsidR="009C12D4" w:rsidRDefault="009C12D4" w:rsidP="001E57AA">
      <w:pPr>
        <w:pStyle w:val="CETBodytext"/>
        <w:rPr>
          <w:color w:val="000000" w:themeColor="text1"/>
          <w:szCs w:val="24"/>
        </w:rPr>
      </w:pPr>
    </w:p>
    <w:p w:rsidR="00E65523" w:rsidRDefault="00E65523" w:rsidP="001E57AA">
      <w:pPr>
        <w:pStyle w:val="CETBodytext"/>
        <w:rPr>
          <w:color w:val="000000" w:themeColor="text1"/>
          <w:szCs w:val="24"/>
        </w:rPr>
      </w:pPr>
      <w:r w:rsidRPr="00E65523">
        <w:rPr>
          <w:color w:val="000000" w:themeColor="text1"/>
          <w:szCs w:val="24"/>
        </w:rPr>
        <w:t xml:space="preserve">This procedure was performed in the same way for the samples of the two collections, on 18/10/2017 and 01/11/2017. The acute ecotoxicological </w:t>
      </w:r>
      <w:r w:rsidRPr="00D67512">
        <w:rPr>
          <w:szCs w:val="24"/>
        </w:rPr>
        <w:t xml:space="preserve">tests </w:t>
      </w:r>
      <w:r w:rsidRPr="00E65523">
        <w:rPr>
          <w:color w:val="000000" w:themeColor="text1"/>
          <w:szCs w:val="24"/>
        </w:rPr>
        <w:t xml:space="preserve">were initiated, respectively, on 19/10/2017 and 03/11/2017, and the analyses of the results were performed, respectively, on 20/10/2017 and 04/11/2017. </w:t>
      </w:r>
    </w:p>
    <w:p w:rsidR="00E65523" w:rsidRPr="00E65523" w:rsidRDefault="00E65523" w:rsidP="001E57AA">
      <w:pPr>
        <w:pStyle w:val="CETBodytext"/>
        <w:rPr>
          <w:color w:val="000000" w:themeColor="text1"/>
          <w:szCs w:val="24"/>
        </w:rPr>
      </w:pPr>
      <w:r w:rsidRPr="00E65523">
        <w:rPr>
          <w:color w:val="000000" w:themeColor="text1"/>
          <w:szCs w:val="24"/>
        </w:rPr>
        <w:t>The analyses of</w:t>
      </w:r>
      <w:r w:rsidR="009652E5">
        <w:rPr>
          <w:color w:val="000000" w:themeColor="text1"/>
          <w:szCs w:val="24"/>
        </w:rPr>
        <w:t xml:space="preserve"> </w:t>
      </w:r>
      <w:r w:rsidR="009652E5" w:rsidRPr="009652E5">
        <w:rPr>
          <w:color w:val="000000" w:themeColor="text1"/>
          <w:szCs w:val="24"/>
        </w:rPr>
        <w:t xml:space="preserve">Biochemical Oxygen Demand </w:t>
      </w:r>
      <w:r w:rsidR="009652E5">
        <w:rPr>
          <w:color w:val="000000" w:themeColor="text1"/>
          <w:szCs w:val="24"/>
        </w:rPr>
        <w:t>(BOD), Chemical Oxygen Demand (COD)</w:t>
      </w:r>
      <w:r w:rsidRPr="00E65523">
        <w:rPr>
          <w:color w:val="000000" w:themeColor="text1"/>
          <w:szCs w:val="24"/>
        </w:rPr>
        <w:t xml:space="preserve">, </w:t>
      </w:r>
      <w:r w:rsidR="009652E5">
        <w:rPr>
          <w:color w:val="000000" w:themeColor="text1"/>
          <w:szCs w:val="24"/>
        </w:rPr>
        <w:t>t</w:t>
      </w:r>
      <w:r w:rsidRPr="00E65523">
        <w:rPr>
          <w:color w:val="000000" w:themeColor="text1"/>
          <w:szCs w:val="24"/>
        </w:rPr>
        <w:t xml:space="preserve">otal </w:t>
      </w:r>
      <w:r w:rsidR="009652E5">
        <w:rPr>
          <w:color w:val="000000" w:themeColor="text1"/>
          <w:szCs w:val="24"/>
        </w:rPr>
        <w:t>c</w:t>
      </w:r>
      <w:r w:rsidRPr="00E65523">
        <w:rPr>
          <w:color w:val="000000" w:themeColor="text1"/>
          <w:szCs w:val="24"/>
        </w:rPr>
        <w:t xml:space="preserve">oliforms and </w:t>
      </w:r>
      <w:r w:rsidR="009652E5">
        <w:rPr>
          <w:color w:val="000000" w:themeColor="text1"/>
          <w:szCs w:val="24"/>
        </w:rPr>
        <w:t>f</w:t>
      </w:r>
      <w:r w:rsidRPr="00E65523">
        <w:rPr>
          <w:color w:val="000000" w:themeColor="text1"/>
          <w:szCs w:val="24"/>
        </w:rPr>
        <w:t xml:space="preserve">ecal </w:t>
      </w:r>
      <w:r w:rsidR="009652E5">
        <w:rPr>
          <w:color w:val="000000" w:themeColor="text1"/>
          <w:szCs w:val="24"/>
        </w:rPr>
        <w:t>c</w:t>
      </w:r>
      <w:r w:rsidRPr="00E65523">
        <w:rPr>
          <w:color w:val="000000" w:themeColor="text1"/>
          <w:szCs w:val="24"/>
        </w:rPr>
        <w:t>oliforms were performed in the external laboratory following the recommendations described, respectively, in the methods SM 5210 B, SM 5220 D and MM-01-014 (APHA, 2012).</w:t>
      </w:r>
    </w:p>
    <w:p w:rsidR="00600535" w:rsidRPr="00B57B36" w:rsidRDefault="00FF39DC" w:rsidP="00600535">
      <w:pPr>
        <w:pStyle w:val="CETHeading1"/>
        <w:rPr>
          <w:lang w:val="en-GB"/>
        </w:rPr>
      </w:pPr>
      <w:r>
        <w:rPr>
          <w:lang w:val="en-GB"/>
        </w:rPr>
        <w:t>Result</w:t>
      </w:r>
      <w:r w:rsidR="00E65523">
        <w:rPr>
          <w:lang w:val="en-GB"/>
        </w:rPr>
        <w:t>s</w:t>
      </w:r>
    </w:p>
    <w:p w:rsidR="009652E5" w:rsidRDefault="009652E5" w:rsidP="001E57AA">
      <w:pPr>
        <w:pStyle w:val="CETBodytext"/>
      </w:pPr>
      <w:r w:rsidRPr="009652E5">
        <w:t xml:space="preserve">The water body studied was analyzed in relation to the physicochemical parameters for the best characterization of it. These parameters were: temperature, pH, dissolved oxygen, salinity, total coliforms, fecal coliforms, </w:t>
      </w:r>
      <w:r>
        <w:t>BOD and COD</w:t>
      </w:r>
      <w:r w:rsidRPr="009652E5">
        <w:t>.</w:t>
      </w:r>
    </w:p>
    <w:p w:rsidR="009652E5" w:rsidRPr="009652E5" w:rsidRDefault="009652E5" w:rsidP="001E57AA">
      <w:pPr>
        <w:pStyle w:val="CETBodytext"/>
      </w:pPr>
      <w:r w:rsidRPr="009652E5">
        <w:t>Table 1 below presents the results obtained for the parameters analyzed in the different samples.</w:t>
      </w:r>
    </w:p>
    <w:p w:rsidR="00B26C00" w:rsidRPr="009652E5" w:rsidRDefault="00B26C00" w:rsidP="00245FD9">
      <w:pPr>
        <w:pStyle w:val="CETTabletitle"/>
        <w:spacing w:before="0"/>
        <w:rPr>
          <w:lang w:val="en-US"/>
        </w:rPr>
      </w:pPr>
    </w:p>
    <w:p w:rsidR="009652E5" w:rsidRPr="009652E5" w:rsidRDefault="009652E5" w:rsidP="00245FD9">
      <w:pPr>
        <w:pStyle w:val="CETTabletitle"/>
        <w:spacing w:before="0"/>
        <w:rPr>
          <w:lang w:val="en-US"/>
        </w:rPr>
      </w:pPr>
      <w:r w:rsidRPr="009652E5">
        <w:rPr>
          <w:lang w:val="en-US"/>
        </w:rPr>
        <w:t xml:space="preserve">Table 1. Physical and chemical parameters of the different samples used to perform the </w:t>
      </w:r>
      <w:r w:rsidR="00D66B47" w:rsidRPr="0057368E">
        <w:rPr>
          <w:lang w:val="en-US"/>
        </w:rPr>
        <w:t>biotests</w:t>
      </w:r>
      <w:r w:rsidRPr="009652E5">
        <w:rPr>
          <w:lang w:val="en-US"/>
        </w:rPr>
        <w:t>.</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5"/>
        <w:gridCol w:w="992"/>
        <w:gridCol w:w="993"/>
        <w:gridCol w:w="992"/>
        <w:gridCol w:w="992"/>
      </w:tblGrid>
      <w:tr w:rsidR="00D66B47" w:rsidRPr="00D66B47" w:rsidTr="00804D4E">
        <w:trPr>
          <w:trHeight w:val="283"/>
        </w:trPr>
        <w:tc>
          <w:tcPr>
            <w:tcW w:w="3085" w:type="dxa"/>
            <w:vMerge w:val="restart"/>
            <w:tcBorders>
              <w:top w:val="single" w:sz="4" w:space="0" w:color="auto"/>
              <w:bottom w:val="single" w:sz="4" w:space="0" w:color="auto"/>
            </w:tcBorders>
            <w:vAlign w:val="center"/>
          </w:tcPr>
          <w:p w:rsidR="0050660D" w:rsidRPr="00720DF9" w:rsidRDefault="0050660D" w:rsidP="005D1E4B">
            <w:pPr>
              <w:jc w:val="center"/>
            </w:pPr>
            <w:r w:rsidRPr="00720DF9">
              <w:t>Par</w:t>
            </w:r>
            <w:r w:rsidR="005D1E4B" w:rsidRPr="00720DF9">
              <w:t>a</w:t>
            </w:r>
            <w:r w:rsidRPr="00720DF9">
              <w:t>met</w:t>
            </w:r>
            <w:r w:rsidR="005D1E4B" w:rsidRPr="00720DF9">
              <w:t>e</w:t>
            </w:r>
            <w:r w:rsidRPr="00720DF9">
              <w:t>rs</w:t>
            </w:r>
          </w:p>
        </w:tc>
        <w:tc>
          <w:tcPr>
            <w:tcW w:w="1985" w:type="dxa"/>
            <w:gridSpan w:val="2"/>
            <w:tcBorders>
              <w:top w:val="single" w:sz="4" w:space="0" w:color="auto"/>
              <w:bottom w:val="single" w:sz="4" w:space="0" w:color="auto"/>
            </w:tcBorders>
            <w:shd w:val="clear" w:color="auto" w:fill="D9D9D9" w:themeFill="background1" w:themeFillShade="D9"/>
            <w:vAlign w:val="center"/>
          </w:tcPr>
          <w:p w:rsidR="0050660D" w:rsidRPr="005D1E4B" w:rsidRDefault="005D1E4B" w:rsidP="00A168B1">
            <w:pPr>
              <w:jc w:val="center"/>
            </w:pPr>
            <w:r w:rsidRPr="005D1E4B">
              <w:t>First collection</w:t>
            </w:r>
          </w:p>
        </w:tc>
        <w:tc>
          <w:tcPr>
            <w:tcW w:w="1984" w:type="dxa"/>
            <w:gridSpan w:val="2"/>
            <w:tcBorders>
              <w:top w:val="single" w:sz="4" w:space="0" w:color="auto"/>
              <w:bottom w:val="single" w:sz="4" w:space="0" w:color="auto"/>
            </w:tcBorders>
            <w:shd w:val="clear" w:color="auto" w:fill="D9D9D9" w:themeFill="background1" w:themeFillShade="D9"/>
            <w:vAlign w:val="center"/>
          </w:tcPr>
          <w:p w:rsidR="0050660D" w:rsidRPr="005D1E4B" w:rsidRDefault="0050660D" w:rsidP="005D1E4B">
            <w:pPr>
              <w:jc w:val="center"/>
            </w:pPr>
            <w:r w:rsidRPr="005D1E4B">
              <w:t>Se</w:t>
            </w:r>
            <w:r w:rsidR="005D1E4B" w:rsidRPr="005D1E4B">
              <w:t>cond</w:t>
            </w:r>
            <w:r w:rsidRPr="005D1E4B">
              <w:t xml:space="preserve"> col</w:t>
            </w:r>
            <w:r w:rsidR="005D1E4B" w:rsidRPr="005D1E4B">
              <w:t>l</w:t>
            </w:r>
            <w:r w:rsidRPr="005D1E4B">
              <w:t>e</w:t>
            </w:r>
            <w:r w:rsidR="005D1E4B" w:rsidRPr="005D1E4B">
              <w:t>c</w:t>
            </w:r>
            <w:r w:rsidRPr="005D1E4B">
              <w:t>t</w:t>
            </w:r>
            <w:r w:rsidR="005D1E4B" w:rsidRPr="005D1E4B">
              <w:t>ion</w:t>
            </w:r>
          </w:p>
        </w:tc>
      </w:tr>
      <w:tr w:rsidR="00D66B47" w:rsidRPr="00D66B47" w:rsidTr="00804D4E">
        <w:trPr>
          <w:trHeight w:val="105"/>
        </w:trPr>
        <w:tc>
          <w:tcPr>
            <w:tcW w:w="3085" w:type="dxa"/>
            <w:vMerge/>
            <w:tcBorders>
              <w:top w:val="single" w:sz="4" w:space="0" w:color="auto"/>
            </w:tcBorders>
          </w:tcPr>
          <w:p w:rsidR="0050660D" w:rsidRPr="00720DF9" w:rsidRDefault="0050660D" w:rsidP="00A168B1"/>
        </w:tc>
        <w:tc>
          <w:tcPr>
            <w:tcW w:w="992" w:type="dxa"/>
            <w:tcBorders>
              <w:top w:val="single" w:sz="4" w:space="0" w:color="auto"/>
            </w:tcBorders>
            <w:vAlign w:val="center"/>
          </w:tcPr>
          <w:p w:rsidR="0050660D" w:rsidRPr="005D1E4B" w:rsidRDefault="0050660D" w:rsidP="00A168B1">
            <w:pPr>
              <w:jc w:val="center"/>
            </w:pPr>
            <w:r w:rsidRPr="005D1E4B">
              <w:t>P1</w:t>
            </w:r>
          </w:p>
        </w:tc>
        <w:tc>
          <w:tcPr>
            <w:tcW w:w="993" w:type="dxa"/>
            <w:tcBorders>
              <w:top w:val="single" w:sz="4" w:space="0" w:color="auto"/>
            </w:tcBorders>
            <w:vAlign w:val="center"/>
          </w:tcPr>
          <w:p w:rsidR="0050660D" w:rsidRPr="005D1E4B" w:rsidRDefault="0050660D" w:rsidP="00A168B1">
            <w:pPr>
              <w:jc w:val="center"/>
            </w:pPr>
            <w:r w:rsidRPr="005D1E4B">
              <w:t>P2</w:t>
            </w:r>
          </w:p>
        </w:tc>
        <w:tc>
          <w:tcPr>
            <w:tcW w:w="992" w:type="dxa"/>
            <w:tcBorders>
              <w:top w:val="single" w:sz="4" w:space="0" w:color="auto"/>
            </w:tcBorders>
            <w:vAlign w:val="center"/>
          </w:tcPr>
          <w:p w:rsidR="0050660D" w:rsidRPr="005D1E4B" w:rsidRDefault="0050660D" w:rsidP="00A168B1">
            <w:pPr>
              <w:jc w:val="center"/>
            </w:pPr>
            <w:r w:rsidRPr="005D1E4B">
              <w:t>P1</w:t>
            </w:r>
          </w:p>
        </w:tc>
        <w:tc>
          <w:tcPr>
            <w:tcW w:w="992" w:type="dxa"/>
            <w:tcBorders>
              <w:top w:val="single" w:sz="4" w:space="0" w:color="auto"/>
            </w:tcBorders>
            <w:vAlign w:val="center"/>
          </w:tcPr>
          <w:p w:rsidR="0050660D" w:rsidRPr="005D1E4B" w:rsidRDefault="0050660D" w:rsidP="00A168B1">
            <w:pPr>
              <w:jc w:val="center"/>
            </w:pPr>
            <w:r w:rsidRPr="005D1E4B">
              <w:t>P2</w:t>
            </w:r>
          </w:p>
        </w:tc>
      </w:tr>
      <w:tr w:rsidR="00D66B47" w:rsidRPr="00D66B47" w:rsidTr="00804D4E">
        <w:trPr>
          <w:trHeight w:val="280"/>
        </w:trPr>
        <w:tc>
          <w:tcPr>
            <w:tcW w:w="3085" w:type="dxa"/>
            <w:vAlign w:val="center"/>
          </w:tcPr>
          <w:p w:rsidR="0050660D" w:rsidRPr="00720DF9" w:rsidRDefault="0050660D" w:rsidP="00A168B1">
            <w:pPr>
              <w:jc w:val="center"/>
            </w:pPr>
            <w:r w:rsidRPr="00720DF9">
              <w:t>pH</w:t>
            </w:r>
          </w:p>
        </w:tc>
        <w:tc>
          <w:tcPr>
            <w:tcW w:w="992" w:type="dxa"/>
            <w:vAlign w:val="center"/>
          </w:tcPr>
          <w:p w:rsidR="0050660D" w:rsidRPr="005D1E4B" w:rsidRDefault="0050660D" w:rsidP="00A168B1">
            <w:pPr>
              <w:jc w:val="center"/>
            </w:pPr>
            <w:r w:rsidRPr="005D1E4B">
              <w:t>9,6</w:t>
            </w:r>
          </w:p>
        </w:tc>
        <w:tc>
          <w:tcPr>
            <w:tcW w:w="993" w:type="dxa"/>
            <w:vAlign w:val="center"/>
          </w:tcPr>
          <w:p w:rsidR="0050660D" w:rsidRPr="005D1E4B" w:rsidRDefault="0050660D" w:rsidP="00A168B1">
            <w:pPr>
              <w:jc w:val="center"/>
            </w:pPr>
            <w:r w:rsidRPr="005D1E4B">
              <w:t>9,4</w:t>
            </w:r>
          </w:p>
        </w:tc>
        <w:tc>
          <w:tcPr>
            <w:tcW w:w="992" w:type="dxa"/>
            <w:vAlign w:val="center"/>
          </w:tcPr>
          <w:p w:rsidR="0050660D" w:rsidRPr="005D1E4B" w:rsidRDefault="0050660D" w:rsidP="00A168B1">
            <w:pPr>
              <w:jc w:val="center"/>
            </w:pPr>
            <w:r w:rsidRPr="005D1E4B">
              <w:t>9,5</w:t>
            </w:r>
          </w:p>
        </w:tc>
        <w:tc>
          <w:tcPr>
            <w:tcW w:w="992" w:type="dxa"/>
            <w:vAlign w:val="center"/>
          </w:tcPr>
          <w:p w:rsidR="0050660D" w:rsidRPr="005D1E4B" w:rsidRDefault="0050660D" w:rsidP="00A168B1">
            <w:pPr>
              <w:jc w:val="center"/>
            </w:pPr>
            <w:r w:rsidRPr="005D1E4B">
              <w:t>9,7</w:t>
            </w:r>
          </w:p>
        </w:tc>
      </w:tr>
      <w:tr w:rsidR="00D66B47" w:rsidRPr="00D66B47" w:rsidTr="00804D4E">
        <w:trPr>
          <w:trHeight w:val="271"/>
        </w:trPr>
        <w:tc>
          <w:tcPr>
            <w:tcW w:w="3085" w:type="dxa"/>
            <w:shd w:val="clear" w:color="auto" w:fill="D9D9D9" w:themeFill="background1" w:themeFillShade="D9"/>
            <w:vAlign w:val="center"/>
          </w:tcPr>
          <w:p w:rsidR="0050660D" w:rsidRPr="00720DF9" w:rsidRDefault="00720DF9" w:rsidP="00720DF9">
            <w:pPr>
              <w:jc w:val="center"/>
            </w:pPr>
            <w:r w:rsidRPr="00720DF9">
              <w:t>D</w:t>
            </w:r>
            <w:r w:rsidR="0050660D" w:rsidRPr="00720DF9">
              <w:t>O (mg/L)</w:t>
            </w:r>
          </w:p>
        </w:tc>
        <w:tc>
          <w:tcPr>
            <w:tcW w:w="992" w:type="dxa"/>
            <w:shd w:val="clear" w:color="auto" w:fill="D9D9D9" w:themeFill="background1" w:themeFillShade="D9"/>
            <w:vAlign w:val="center"/>
          </w:tcPr>
          <w:p w:rsidR="0050660D" w:rsidRPr="005D1E4B" w:rsidRDefault="0050660D" w:rsidP="00A168B1">
            <w:pPr>
              <w:jc w:val="center"/>
            </w:pPr>
            <w:r w:rsidRPr="005D1E4B">
              <w:t>5,92</w:t>
            </w:r>
          </w:p>
        </w:tc>
        <w:tc>
          <w:tcPr>
            <w:tcW w:w="993" w:type="dxa"/>
            <w:shd w:val="clear" w:color="auto" w:fill="D9D9D9" w:themeFill="background1" w:themeFillShade="D9"/>
            <w:vAlign w:val="center"/>
          </w:tcPr>
          <w:p w:rsidR="0050660D" w:rsidRPr="005D1E4B" w:rsidRDefault="0050660D" w:rsidP="00A168B1">
            <w:pPr>
              <w:jc w:val="center"/>
            </w:pPr>
            <w:r w:rsidRPr="005D1E4B">
              <w:t>6,11</w:t>
            </w:r>
          </w:p>
        </w:tc>
        <w:tc>
          <w:tcPr>
            <w:tcW w:w="992" w:type="dxa"/>
            <w:shd w:val="clear" w:color="auto" w:fill="D9D9D9" w:themeFill="background1" w:themeFillShade="D9"/>
            <w:vAlign w:val="center"/>
          </w:tcPr>
          <w:p w:rsidR="0050660D" w:rsidRPr="005D1E4B" w:rsidRDefault="0050660D" w:rsidP="00A168B1">
            <w:pPr>
              <w:jc w:val="center"/>
            </w:pPr>
            <w:r w:rsidRPr="005D1E4B">
              <w:t>6,30</w:t>
            </w:r>
          </w:p>
        </w:tc>
        <w:tc>
          <w:tcPr>
            <w:tcW w:w="992" w:type="dxa"/>
            <w:shd w:val="clear" w:color="auto" w:fill="D9D9D9" w:themeFill="background1" w:themeFillShade="D9"/>
            <w:vAlign w:val="center"/>
          </w:tcPr>
          <w:p w:rsidR="0050660D" w:rsidRPr="005D1E4B" w:rsidRDefault="0050660D" w:rsidP="00A168B1">
            <w:pPr>
              <w:jc w:val="center"/>
            </w:pPr>
            <w:r w:rsidRPr="005D1E4B">
              <w:t>6,52</w:t>
            </w:r>
          </w:p>
        </w:tc>
      </w:tr>
      <w:tr w:rsidR="00D66B47" w:rsidRPr="00D66B47" w:rsidTr="00804D4E">
        <w:trPr>
          <w:trHeight w:val="274"/>
        </w:trPr>
        <w:tc>
          <w:tcPr>
            <w:tcW w:w="3085" w:type="dxa"/>
            <w:vAlign w:val="center"/>
          </w:tcPr>
          <w:p w:rsidR="0050660D" w:rsidRPr="00720DF9" w:rsidRDefault="0050660D" w:rsidP="00720DF9">
            <w:pPr>
              <w:jc w:val="center"/>
            </w:pPr>
            <w:r w:rsidRPr="00720DF9">
              <w:t>Salini</w:t>
            </w:r>
            <w:r w:rsidR="00720DF9" w:rsidRPr="00720DF9">
              <w:t>ty</w:t>
            </w:r>
            <w:r w:rsidRPr="00720DF9">
              <w:t xml:space="preserve"> (ppm)</w:t>
            </w:r>
          </w:p>
        </w:tc>
        <w:tc>
          <w:tcPr>
            <w:tcW w:w="992" w:type="dxa"/>
            <w:vAlign w:val="center"/>
          </w:tcPr>
          <w:p w:rsidR="0050660D" w:rsidRPr="005D1E4B" w:rsidRDefault="0050660D" w:rsidP="00A168B1">
            <w:pPr>
              <w:jc w:val="center"/>
            </w:pPr>
            <w:r w:rsidRPr="005D1E4B">
              <w:t>35,3</w:t>
            </w:r>
          </w:p>
        </w:tc>
        <w:tc>
          <w:tcPr>
            <w:tcW w:w="993" w:type="dxa"/>
            <w:vAlign w:val="center"/>
          </w:tcPr>
          <w:p w:rsidR="0050660D" w:rsidRPr="005D1E4B" w:rsidRDefault="0050660D" w:rsidP="00A168B1">
            <w:pPr>
              <w:jc w:val="center"/>
            </w:pPr>
            <w:r w:rsidRPr="005D1E4B">
              <w:t>34,8</w:t>
            </w:r>
          </w:p>
        </w:tc>
        <w:tc>
          <w:tcPr>
            <w:tcW w:w="992" w:type="dxa"/>
            <w:vAlign w:val="center"/>
          </w:tcPr>
          <w:p w:rsidR="0050660D" w:rsidRPr="005D1E4B" w:rsidRDefault="0050660D" w:rsidP="00A168B1">
            <w:pPr>
              <w:jc w:val="center"/>
            </w:pPr>
            <w:r w:rsidRPr="005D1E4B">
              <w:t>31,0</w:t>
            </w:r>
          </w:p>
        </w:tc>
        <w:tc>
          <w:tcPr>
            <w:tcW w:w="992" w:type="dxa"/>
            <w:vAlign w:val="center"/>
          </w:tcPr>
          <w:p w:rsidR="0050660D" w:rsidRPr="005D1E4B" w:rsidRDefault="0050660D" w:rsidP="00A168B1">
            <w:pPr>
              <w:jc w:val="center"/>
            </w:pPr>
            <w:r w:rsidRPr="005D1E4B">
              <w:t>34,5</w:t>
            </w:r>
          </w:p>
        </w:tc>
      </w:tr>
      <w:tr w:rsidR="00D66B47" w:rsidRPr="00D66B47" w:rsidTr="00804D4E">
        <w:trPr>
          <w:trHeight w:val="268"/>
        </w:trPr>
        <w:tc>
          <w:tcPr>
            <w:tcW w:w="3085" w:type="dxa"/>
            <w:vAlign w:val="center"/>
          </w:tcPr>
          <w:p w:rsidR="0050660D" w:rsidRPr="00720DF9" w:rsidRDefault="00720DF9" w:rsidP="00720DF9">
            <w:pPr>
              <w:jc w:val="center"/>
            </w:pPr>
            <w:proofErr w:type="spellStart"/>
            <w:r w:rsidRPr="00720DF9">
              <w:t>Fecal</w:t>
            </w:r>
            <w:proofErr w:type="spellEnd"/>
            <w:r w:rsidRPr="00720DF9">
              <w:t xml:space="preserve"> c</w:t>
            </w:r>
            <w:r w:rsidR="0050660D" w:rsidRPr="00720DF9">
              <w:t>oliforms (UFC/100 mL)</w:t>
            </w:r>
          </w:p>
        </w:tc>
        <w:tc>
          <w:tcPr>
            <w:tcW w:w="992" w:type="dxa"/>
            <w:vAlign w:val="center"/>
          </w:tcPr>
          <w:p w:rsidR="0050660D" w:rsidRPr="005D1E4B" w:rsidRDefault="0050660D" w:rsidP="00A168B1">
            <w:pPr>
              <w:jc w:val="center"/>
            </w:pPr>
            <w:r w:rsidRPr="005D1E4B">
              <w:t>842</w:t>
            </w:r>
          </w:p>
        </w:tc>
        <w:tc>
          <w:tcPr>
            <w:tcW w:w="993" w:type="dxa"/>
            <w:vAlign w:val="center"/>
          </w:tcPr>
          <w:p w:rsidR="0050660D" w:rsidRPr="005D1E4B" w:rsidRDefault="0050660D" w:rsidP="00A168B1">
            <w:pPr>
              <w:jc w:val="center"/>
            </w:pPr>
            <w:r w:rsidRPr="005D1E4B">
              <w:t>83</w:t>
            </w:r>
          </w:p>
        </w:tc>
        <w:tc>
          <w:tcPr>
            <w:tcW w:w="992" w:type="dxa"/>
            <w:vAlign w:val="center"/>
          </w:tcPr>
          <w:p w:rsidR="0050660D" w:rsidRPr="005D1E4B" w:rsidRDefault="0050660D" w:rsidP="00A168B1">
            <w:pPr>
              <w:jc w:val="center"/>
            </w:pPr>
            <w:r w:rsidRPr="005D1E4B">
              <w:t>2575</w:t>
            </w:r>
          </w:p>
        </w:tc>
        <w:tc>
          <w:tcPr>
            <w:tcW w:w="992" w:type="dxa"/>
            <w:vAlign w:val="center"/>
          </w:tcPr>
          <w:p w:rsidR="0050660D" w:rsidRPr="005D1E4B" w:rsidRDefault="0050660D" w:rsidP="00A168B1">
            <w:pPr>
              <w:jc w:val="center"/>
            </w:pPr>
            <w:r w:rsidRPr="005D1E4B">
              <w:t>1040</w:t>
            </w:r>
          </w:p>
        </w:tc>
      </w:tr>
    </w:tbl>
    <w:p w:rsidR="00BC5C87" w:rsidRDefault="00BC5C87" w:rsidP="001E57AA">
      <w:pPr>
        <w:pStyle w:val="CETBodytext"/>
        <w:rPr>
          <w:lang w:val="pt-BR"/>
        </w:rPr>
      </w:pPr>
    </w:p>
    <w:p w:rsidR="004A24CD" w:rsidRDefault="004A24CD" w:rsidP="001E57AA">
      <w:pPr>
        <w:pStyle w:val="CETBodytext"/>
        <w:rPr>
          <w:lang w:val="pt-BR"/>
        </w:rPr>
      </w:pPr>
    </w:p>
    <w:p w:rsidR="00D66B47" w:rsidRDefault="00D66B47" w:rsidP="001E57AA">
      <w:pPr>
        <w:pStyle w:val="CETBodytext"/>
      </w:pPr>
      <w:r w:rsidRPr="00D66B47">
        <w:t>It was not possible to obtain total coliform parameter values for the second collection (</w:t>
      </w:r>
      <w:r w:rsidR="009E7917">
        <w:t>d</w:t>
      </w:r>
      <w:r w:rsidRPr="00D66B47">
        <w:t xml:space="preserve">ay 01/11/17), since it was not possible to analyze it in the contracted external laboratory. </w:t>
      </w:r>
    </w:p>
    <w:p w:rsidR="00D66B47" w:rsidRPr="00D66B47" w:rsidRDefault="00D66B47" w:rsidP="001E57AA">
      <w:pPr>
        <w:pStyle w:val="CETBodytext"/>
      </w:pPr>
      <w:r w:rsidRPr="00D66B47">
        <w:t xml:space="preserve">Some of these parameters were analyzed for posterior comparison with the </w:t>
      </w:r>
      <w:r w:rsidRPr="00BE6A02">
        <w:t xml:space="preserve">CONAMA </w:t>
      </w:r>
      <w:r w:rsidR="00BE6A02" w:rsidRPr="00BE6A02">
        <w:t xml:space="preserve">Resolution </w:t>
      </w:r>
      <w:r w:rsidRPr="00BE6A02">
        <w:t>357/</w:t>
      </w:r>
      <w:r w:rsidR="00BE6A02">
        <w:t>20</w:t>
      </w:r>
      <w:r w:rsidRPr="00BE6A02">
        <w:t>05</w:t>
      </w:r>
      <w:r w:rsidR="008414BB">
        <w:t xml:space="preserve"> requi</w:t>
      </w:r>
      <w:r w:rsidR="00D67512">
        <w:t>rements</w:t>
      </w:r>
      <w:r w:rsidRPr="00D66B47">
        <w:t xml:space="preserve">, due to the water body frame analyzed to correspond to saline waters classified as Class 2, which are appropriate for recreation of </w:t>
      </w:r>
      <w:r>
        <w:t>s</w:t>
      </w:r>
      <w:r w:rsidRPr="00D66B47">
        <w:t xml:space="preserve">econdary contact and amateur fishing (Petrobras, 2012). Thus, it also serves as the basis for the results obtained in the ecotoxicological </w:t>
      </w:r>
      <w:r w:rsidRPr="0057368E">
        <w:t>tests</w:t>
      </w:r>
      <w:r w:rsidRPr="00D66B47">
        <w:t xml:space="preserve">. The results obtained in the analysis of the parameters: temperature, total coliforms, </w:t>
      </w:r>
      <w:r>
        <w:t>BOD</w:t>
      </w:r>
      <w:r w:rsidRPr="00D66B47">
        <w:t xml:space="preserve"> and </w:t>
      </w:r>
      <w:r>
        <w:t>COD</w:t>
      </w:r>
      <w:r w:rsidRPr="00D66B47">
        <w:t xml:space="preserve"> are exemplified in the following graphs:</w:t>
      </w:r>
    </w:p>
    <w:p w:rsidR="00D66B47" w:rsidRPr="00D66B47" w:rsidRDefault="00D66B47" w:rsidP="001E57AA">
      <w:pPr>
        <w:pStyle w:val="CETBodytext"/>
      </w:pPr>
    </w:p>
    <w:p w:rsidR="0026164D" w:rsidRPr="00D66B47" w:rsidRDefault="0026164D" w:rsidP="00CF6F8A">
      <w:pPr>
        <w:pStyle w:val="CETBodytext"/>
        <w:keepNext/>
      </w:pPr>
    </w:p>
    <w:p w:rsidR="001E57AA" w:rsidRPr="00D66B47" w:rsidRDefault="001E57AA" w:rsidP="00CF6F8A">
      <w:pPr>
        <w:pStyle w:val="CETBodytext"/>
        <w:keepNext/>
        <w:sectPr w:rsidR="001E57AA" w:rsidRPr="00D66B47" w:rsidSect="0077098D">
          <w:type w:val="continuous"/>
          <w:pgSz w:w="11906" w:h="16838" w:code="9"/>
          <w:pgMar w:top="1701" w:right="1418" w:bottom="1701" w:left="1701" w:header="1701" w:footer="0" w:gutter="0"/>
          <w:cols w:space="708"/>
          <w:formProt w:val="0"/>
          <w:titlePg/>
          <w:docGrid w:linePitch="360"/>
        </w:sectPr>
      </w:pPr>
    </w:p>
    <w:p w:rsidR="00CF6F8A" w:rsidRPr="009D2256" w:rsidRDefault="007E352B" w:rsidP="00CF6F8A">
      <w:pPr>
        <w:pStyle w:val="CETBodytext"/>
        <w:keepNext/>
      </w:pPr>
      <w:r>
        <w:rPr>
          <w:noProof/>
          <w:lang w:val="pt-BR" w:eastAsia="pt-BR"/>
        </w:rPr>
        <w:lastRenderedPageBreak/>
        <w:drawing>
          <wp:inline distT="0" distB="0" distL="0" distR="0" wp14:anchorId="78BF8E5C" wp14:editId="1B3FBFDF">
            <wp:extent cx="2695575" cy="15906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6F8A" w:rsidRPr="009D2256" w:rsidRDefault="009D2256" w:rsidP="0026164D">
      <w:pPr>
        <w:pStyle w:val="CETCaption"/>
        <w:spacing w:before="0" w:after="0"/>
        <w:rPr>
          <w:lang w:val="en-US"/>
        </w:rPr>
      </w:pPr>
      <w:r w:rsidRPr="009D2256">
        <w:rPr>
          <w:lang w:val="en-US"/>
        </w:rPr>
        <w:t>Figure 2a. Comparison of the temperature values obtained in the collections</w:t>
      </w:r>
    </w:p>
    <w:p w:rsidR="0026164D" w:rsidRPr="0026164D" w:rsidRDefault="007E352B" w:rsidP="0026164D">
      <w:pPr>
        <w:pStyle w:val="CETCaption"/>
        <w:spacing w:before="0" w:after="0"/>
        <w:rPr>
          <w:lang w:val="pt-BR"/>
        </w:rPr>
      </w:pPr>
      <w:r>
        <w:rPr>
          <w:noProof/>
          <w:lang w:val="pt-BR" w:eastAsia="pt-BR"/>
        </w:rPr>
        <w:drawing>
          <wp:inline distT="0" distB="0" distL="0" distR="0" wp14:anchorId="691DAE0A" wp14:editId="598A6A5D">
            <wp:extent cx="2571750" cy="159067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164D" w:rsidRPr="009D2256" w:rsidRDefault="009D2256" w:rsidP="003624E1">
      <w:pPr>
        <w:pStyle w:val="CETCaption"/>
        <w:spacing w:before="0" w:after="0"/>
        <w:jc w:val="left"/>
        <w:rPr>
          <w:lang w:val="en-US"/>
        </w:rPr>
        <w:sectPr w:rsidR="0026164D" w:rsidRPr="009D2256" w:rsidSect="0026164D">
          <w:type w:val="continuous"/>
          <w:pgSz w:w="11906" w:h="16838" w:code="9"/>
          <w:pgMar w:top="1701" w:right="1418" w:bottom="1701" w:left="1701" w:header="1701" w:footer="0" w:gutter="0"/>
          <w:cols w:num="2" w:space="708"/>
          <w:formProt w:val="0"/>
          <w:titlePg/>
          <w:docGrid w:linePitch="360"/>
        </w:sectPr>
      </w:pPr>
      <w:r w:rsidRPr="009D2256">
        <w:rPr>
          <w:lang w:val="en-US"/>
        </w:rPr>
        <w:t>Figure 2b. Comparison of total coliform values obtained in the first collection</w:t>
      </w:r>
      <w:r w:rsidR="006C5AC5" w:rsidRPr="009D2256">
        <w:rPr>
          <w:lang w:val="en-US"/>
        </w:rPr>
        <w:t>.</w:t>
      </w:r>
      <w:r w:rsidR="0026164D" w:rsidRPr="009D2256">
        <w:rPr>
          <w:lang w:val="en-US"/>
        </w:rPr>
        <w:t xml:space="preserve"> </w:t>
      </w:r>
      <w:r w:rsidR="00C9063A" w:rsidRPr="009D2256">
        <w:rPr>
          <w:lang w:val="en-US"/>
        </w:rPr>
        <w:t xml:space="preserve">  </w:t>
      </w:r>
    </w:p>
    <w:p w:rsidR="00C9063A" w:rsidRPr="009D2256" w:rsidRDefault="00C9063A" w:rsidP="0026164D">
      <w:pPr>
        <w:keepNext/>
        <w:rPr>
          <w:rFonts w:ascii="Times New Roman" w:hAnsi="Times New Roman"/>
          <w:b/>
          <w:noProof/>
          <w:color w:val="000000" w:themeColor="text1"/>
          <w:lang w:val="en-US" w:eastAsia="pt-BR"/>
        </w:rPr>
      </w:pPr>
      <w:bookmarkStart w:id="0" w:name="_Toc499297798"/>
      <w:r w:rsidRPr="009D2256">
        <w:rPr>
          <w:rFonts w:ascii="Times New Roman" w:hAnsi="Times New Roman"/>
          <w:b/>
          <w:noProof/>
          <w:color w:val="000000" w:themeColor="text1"/>
          <w:lang w:val="en-US" w:eastAsia="pt-BR"/>
        </w:rPr>
        <w:t xml:space="preserve">    </w:t>
      </w:r>
    </w:p>
    <w:bookmarkEnd w:id="0"/>
    <w:p w:rsidR="0026164D" w:rsidRPr="009D2256" w:rsidRDefault="0026164D" w:rsidP="0026164D">
      <w:pPr>
        <w:pStyle w:val="CETCaption"/>
        <w:spacing w:before="0"/>
        <w:rPr>
          <w:lang w:val="en-US"/>
        </w:rPr>
        <w:sectPr w:rsidR="0026164D" w:rsidRPr="009D2256" w:rsidSect="0026164D">
          <w:type w:val="continuous"/>
          <w:pgSz w:w="11906" w:h="16838" w:code="9"/>
          <w:pgMar w:top="1701" w:right="1418" w:bottom="1701" w:left="1701" w:header="1701" w:footer="0" w:gutter="0"/>
          <w:cols w:num="2" w:space="708"/>
          <w:formProt w:val="0"/>
          <w:titlePg/>
          <w:docGrid w:linePitch="360"/>
        </w:sectPr>
      </w:pPr>
    </w:p>
    <w:p w:rsidR="00C9063A" w:rsidRPr="009D2256" w:rsidRDefault="00CD7A9D" w:rsidP="00C9063A">
      <w:pPr>
        <w:pStyle w:val="CETCaption"/>
        <w:spacing w:before="0"/>
        <w:rPr>
          <w:lang w:val="en-US"/>
        </w:rPr>
      </w:pPr>
      <w:r>
        <w:rPr>
          <w:noProof/>
          <w:lang w:val="pt-BR" w:eastAsia="pt-BR"/>
        </w:rPr>
        <w:drawing>
          <wp:inline distT="0" distB="0" distL="0" distR="0" wp14:anchorId="38974128" wp14:editId="532A8D0F">
            <wp:extent cx="2695575" cy="161925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D2256" w:rsidRPr="009D2256">
        <w:rPr>
          <w:lang w:val="en-US"/>
        </w:rPr>
        <w:t>Figure 2c. Comparison of the BOD values obtained in the collections.</w:t>
      </w:r>
    </w:p>
    <w:p w:rsidR="00C9063A" w:rsidRPr="009D2256" w:rsidRDefault="00CD7A9D" w:rsidP="00C9063A">
      <w:pPr>
        <w:keepNext/>
        <w:rPr>
          <w:noProof/>
          <w:color w:val="000000" w:themeColor="text1"/>
          <w:lang w:val="en-US" w:eastAsia="pt-BR"/>
        </w:rPr>
      </w:pPr>
      <w:r>
        <w:rPr>
          <w:noProof/>
          <w:lang w:val="pt-BR" w:eastAsia="pt-BR"/>
        </w:rPr>
        <w:drawing>
          <wp:inline distT="0" distB="0" distL="0" distR="0" wp14:anchorId="151B61F3" wp14:editId="70B8B545">
            <wp:extent cx="2571750" cy="161925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D2256" w:rsidRPr="009D2256">
        <w:t xml:space="preserve"> </w:t>
      </w:r>
      <w:r w:rsidR="009D2256" w:rsidRPr="009D2256">
        <w:rPr>
          <w:rStyle w:val="CETCaptionCarattere"/>
          <w:lang w:val="en-US"/>
        </w:rPr>
        <w:t xml:space="preserve">Figure 2d. Comparison of </w:t>
      </w:r>
      <w:r w:rsidR="009D2256">
        <w:rPr>
          <w:rStyle w:val="CETCaptionCarattere"/>
          <w:lang w:val="en-US"/>
        </w:rPr>
        <w:t>COD</w:t>
      </w:r>
      <w:r w:rsidR="009D2256" w:rsidRPr="009D2256">
        <w:rPr>
          <w:rStyle w:val="CETCaptionCarattere"/>
          <w:lang w:val="en-US"/>
        </w:rPr>
        <w:t xml:space="preserve"> values obtained in the collections.</w:t>
      </w:r>
    </w:p>
    <w:p w:rsidR="00C9063A" w:rsidRPr="009D2256" w:rsidRDefault="00C9063A" w:rsidP="00004DBE">
      <w:pPr>
        <w:pStyle w:val="CETBodytext"/>
        <w:jc w:val="left"/>
        <w:sectPr w:rsidR="00C9063A" w:rsidRPr="009D2256" w:rsidSect="00C9063A">
          <w:type w:val="continuous"/>
          <w:pgSz w:w="11906" w:h="16838" w:code="9"/>
          <w:pgMar w:top="1701" w:right="1418" w:bottom="1701" w:left="1701" w:header="1701" w:footer="0" w:gutter="0"/>
          <w:cols w:num="2" w:space="708"/>
          <w:formProt w:val="0"/>
          <w:titlePg/>
          <w:docGrid w:linePitch="360"/>
        </w:sectPr>
      </w:pPr>
    </w:p>
    <w:p w:rsidR="001D1908" w:rsidRDefault="001D1908" w:rsidP="00245FD9">
      <w:pPr>
        <w:pStyle w:val="CETBodytext"/>
      </w:pPr>
      <w:r w:rsidRPr="001D1908">
        <w:t xml:space="preserve">The comparison between the mortality rate in point 1 of the first collection and the same point in the second collection can be seen in Figure 3a. It shows that in the analyses of the two collections carried out in point 1, no signs of toxicity were identified for </w:t>
      </w:r>
      <w:proofErr w:type="spellStart"/>
      <w:r w:rsidRPr="001D1908">
        <w:rPr>
          <w:i/>
        </w:rPr>
        <w:t>Artemia</w:t>
      </w:r>
      <w:proofErr w:type="spellEnd"/>
      <w:r w:rsidRPr="001D1908">
        <w:rPr>
          <w:i/>
        </w:rPr>
        <w:t xml:space="preserve"> </w:t>
      </w:r>
      <w:proofErr w:type="spellStart"/>
      <w:r w:rsidRPr="001D1908">
        <w:rPr>
          <w:i/>
        </w:rPr>
        <w:t>salina</w:t>
      </w:r>
      <w:proofErr w:type="spellEnd"/>
      <w:r w:rsidRPr="001D1908">
        <w:t>, since in the analyses of the two collections, the results of the mortality rate were lower than 50% in all concentrations (</w:t>
      </w:r>
      <w:proofErr w:type="spellStart"/>
      <w:r w:rsidRPr="001D1908">
        <w:t>Hisem</w:t>
      </w:r>
      <w:proofErr w:type="spellEnd"/>
      <w:r w:rsidRPr="001D1908">
        <w:t xml:space="preserve"> et al., 2011). </w:t>
      </w:r>
    </w:p>
    <w:p w:rsidR="009537E2" w:rsidRPr="001D1908" w:rsidRDefault="001D1908" w:rsidP="00245FD9">
      <w:pPr>
        <w:pStyle w:val="CETBodytext"/>
      </w:pPr>
      <w:r w:rsidRPr="001D1908">
        <w:t xml:space="preserve">In Figure 3b It can be observed that the mortality rate of </w:t>
      </w:r>
      <w:proofErr w:type="spellStart"/>
      <w:r w:rsidRPr="001D1908">
        <w:rPr>
          <w:i/>
        </w:rPr>
        <w:t>Artemia</w:t>
      </w:r>
      <w:proofErr w:type="spellEnd"/>
      <w:r w:rsidRPr="001D1908">
        <w:rPr>
          <w:i/>
        </w:rPr>
        <w:t xml:space="preserve"> </w:t>
      </w:r>
      <w:proofErr w:type="spellStart"/>
      <w:r w:rsidRPr="001D1908">
        <w:rPr>
          <w:i/>
        </w:rPr>
        <w:t>salina</w:t>
      </w:r>
      <w:proofErr w:type="spellEnd"/>
      <w:r w:rsidRPr="001D1908">
        <w:t xml:space="preserve"> in point 2 showed a difference between the two collections performed. While in the first collection the results were satisfactory, with the mortality rate below 50%, in the second collection the results were satisfactory only in the concentrations of 75% and 90%, in the other concentrations the results were unsatisfactory, with </w:t>
      </w:r>
      <w:r>
        <w:t>m</w:t>
      </w:r>
      <w:r w:rsidRPr="001D1908">
        <w:t>ortality rate above 50%.</w:t>
      </w:r>
    </w:p>
    <w:p w:rsidR="007A2A59" w:rsidRPr="001D1908" w:rsidRDefault="007A2A59" w:rsidP="00245FD9">
      <w:pPr>
        <w:pStyle w:val="CETBodytext"/>
      </w:pPr>
    </w:p>
    <w:p w:rsidR="00B26C00" w:rsidRPr="001D1908" w:rsidRDefault="00B26C00" w:rsidP="00245FD9">
      <w:pPr>
        <w:pStyle w:val="CETBodytext"/>
        <w:sectPr w:rsidR="00B26C00" w:rsidRPr="001D1908" w:rsidSect="0077098D">
          <w:type w:val="continuous"/>
          <w:pgSz w:w="11906" w:h="16838" w:code="9"/>
          <w:pgMar w:top="1701" w:right="1418" w:bottom="1701" w:left="1701" w:header="1701" w:footer="0" w:gutter="0"/>
          <w:cols w:space="708"/>
          <w:formProt w:val="0"/>
          <w:titlePg/>
          <w:docGrid w:linePitch="360"/>
        </w:sectPr>
      </w:pPr>
    </w:p>
    <w:p w:rsidR="003705E3" w:rsidRPr="009D2256" w:rsidRDefault="003705E3" w:rsidP="003705E3">
      <w:pPr>
        <w:pStyle w:val="CETCaption"/>
        <w:spacing w:before="0"/>
        <w:rPr>
          <w:lang w:val="en-US"/>
        </w:rPr>
      </w:pPr>
      <w:r>
        <w:rPr>
          <w:noProof/>
          <w:lang w:val="pt-BR" w:eastAsia="pt-BR"/>
        </w:rPr>
        <w:drawing>
          <wp:inline distT="0" distB="0" distL="0" distR="0" wp14:anchorId="65E84C13" wp14:editId="1BBB5197">
            <wp:extent cx="2667000" cy="16764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D2256">
        <w:rPr>
          <w:lang w:val="en-US"/>
        </w:rPr>
        <w:t xml:space="preserve">Figure 3a. Mortality rate of </w:t>
      </w:r>
      <w:proofErr w:type="spellStart"/>
      <w:r w:rsidRPr="009D2256">
        <w:rPr>
          <w:lang w:val="en-US"/>
        </w:rPr>
        <w:t>Artemia</w:t>
      </w:r>
      <w:proofErr w:type="spellEnd"/>
      <w:r w:rsidRPr="009D2256">
        <w:rPr>
          <w:lang w:val="en-US"/>
        </w:rPr>
        <w:t xml:space="preserve"> </w:t>
      </w:r>
      <w:proofErr w:type="spellStart"/>
      <w:r w:rsidRPr="009D2256">
        <w:rPr>
          <w:lang w:val="en-US"/>
        </w:rPr>
        <w:t>salina</w:t>
      </w:r>
      <w:proofErr w:type="spellEnd"/>
      <w:r w:rsidRPr="009D2256">
        <w:rPr>
          <w:lang w:val="en-US"/>
        </w:rPr>
        <w:t xml:space="preserve"> referring to point 1 in the analysis of the first and second collection.</w:t>
      </w:r>
    </w:p>
    <w:p w:rsidR="003D6C16" w:rsidRDefault="003705E3" w:rsidP="003D6C16">
      <w:pPr>
        <w:pStyle w:val="CETBodytext"/>
        <w:keepNext/>
      </w:pPr>
      <w:r>
        <w:rPr>
          <w:noProof/>
          <w:lang w:val="pt-BR" w:eastAsia="pt-BR"/>
        </w:rPr>
        <w:drawing>
          <wp:inline distT="0" distB="0" distL="0" distR="0" wp14:anchorId="69013FBC" wp14:editId="7037DFEA">
            <wp:extent cx="2552700" cy="16764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6C16" w:rsidRPr="009D2256" w:rsidRDefault="009D2256" w:rsidP="003D6C16">
      <w:pPr>
        <w:pStyle w:val="CETCaption"/>
        <w:spacing w:before="0" w:after="0"/>
        <w:rPr>
          <w:lang w:val="en-US"/>
        </w:rPr>
      </w:pPr>
      <w:r w:rsidRPr="009D2256">
        <w:rPr>
          <w:lang w:val="en-US"/>
        </w:rPr>
        <w:t xml:space="preserve">Figure 3b. Mortality rate of </w:t>
      </w:r>
      <w:proofErr w:type="spellStart"/>
      <w:r w:rsidRPr="009D2256">
        <w:rPr>
          <w:lang w:val="en-US"/>
        </w:rPr>
        <w:t>Artemia</w:t>
      </w:r>
      <w:proofErr w:type="spellEnd"/>
      <w:r w:rsidRPr="009D2256">
        <w:rPr>
          <w:lang w:val="en-US"/>
        </w:rPr>
        <w:t xml:space="preserve"> </w:t>
      </w:r>
      <w:proofErr w:type="spellStart"/>
      <w:r w:rsidRPr="009D2256">
        <w:rPr>
          <w:lang w:val="en-US"/>
        </w:rPr>
        <w:t>salina</w:t>
      </w:r>
      <w:proofErr w:type="spellEnd"/>
      <w:r w:rsidRPr="009D2256">
        <w:rPr>
          <w:lang w:val="en-US"/>
        </w:rPr>
        <w:t xml:space="preserve"> referring to point 2 in the analysis of the first and second collection.</w:t>
      </w:r>
    </w:p>
    <w:p w:rsidR="00A935D7" w:rsidRPr="009D2256" w:rsidRDefault="00A935D7" w:rsidP="0050660D">
      <w:pPr>
        <w:pStyle w:val="CETBodytext"/>
        <w:sectPr w:rsidR="00A935D7" w:rsidRPr="009D2256" w:rsidSect="00A935D7">
          <w:type w:val="continuous"/>
          <w:pgSz w:w="11906" w:h="16838" w:code="9"/>
          <w:pgMar w:top="1701" w:right="1418" w:bottom="1701" w:left="1701" w:header="1701" w:footer="0" w:gutter="0"/>
          <w:cols w:num="2" w:space="708"/>
          <w:formProt w:val="0"/>
          <w:titlePg/>
          <w:docGrid w:linePitch="360"/>
        </w:sectPr>
      </w:pPr>
    </w:p>
    <w:p w:rsidR="001D1908" w:rsidRPr="009D2256" w:rsidRDefault="001D1908" w:rsidP="00A935D7">
      <w:pPr>
        <w:pStyle w:val="CETBodytext"/>
      </w:pPr>
    </w:p>
    <w:p w:rsidR="001D1908" w:rsidRPr="001D1908" w:rsidRDefault="001D1908" w:rsidP="00EA163D">
      <w:pPr>
        <w:pStyle w:val="CETBodytext"/>
        <w:ind w:right="282"/>
      </w:pPr>
      <w:r w:rsidRPr="001D1908">
        <w:t xml:space="preserve">The results obtained in the analysis of the parameters: </w:t>
      </w:r>
      <w:r>
        <w:t>pH, dissolved oxygen (DO</w:t>
      </w:r>
      <w:r w:rsidRPr="001D1908">
        <w:t xml:space="preserve">), salinity and fecal coliforms were compared with the values established by </w:t>
      </w:r>
      <w:r w:rsidRPr="00BE6A02">
        <w:t>CONAMA Resolution 357/2005</w:t>
      </w:r>
      <w:r w:rsidRPr="001D1908">
        <w:t>, and are exemplified in the following graphs</w:t>
      </w:r>
      <w:r w:rsidR="00901D07">
        <w:t xml:space="preserve"> (Figure 4)</w:t>
      </w:r>
      <w:r w:rsidRPr="001D1908">
        <w:t>:</w:t>
      </w:r>
    </w:p>
    <w:p w:rsidR="00A935D7" w:rsidRPr="001D1908" w:rsidRDefault="00A935D7" w:rsidP="00A935D7">
      <w:pPr>
        <w:pStyle w:val="CETBodytext"/>
      </w:pPr>
    </w:p>
    <w:p w:rsidR="00A935D7" w:rsidRPr="001D1908" w:rsidRDefault="00A935D7" w:rsidP="00A935D7">
      <w:pPr>
        <w:pStyle w:val="CETBodytext"/>
        <w:rPr>
          <w:noProof/>
          <w:lang w:eastAsia="pt-BR"/>
        </w:rPr>
        <w:sectPr w:rsidR="00A935D7" w:rsidRPr="001D1908" w:rsidSect="00EC54F8">
          <w:type w:val="continuous"/>
          <w:pgSz w:w="11906" w:h="16838"/>
          <w:pgMar w:top="1701" w:right="1134" w:bottom="1134" w:left="1701" w:header="709" w:footer="709" w:gutter="0"/>
          <w:cols w:space="708"/>
          <w:titlePg/>
          <w:docGrid w:linePitch="360"/>
        </w:sectPr>
      </w:pPr>
    </w:p>
    <w:p w:rsidR="00A935D7" w:rsidRPr="009D2256" w:rsidRDefault="007971B3" w:rsidP="00A935D7">
      <w:pPr>
        <w:pStyle w:val="CETBodytext"/>
        <w:keepNext/>
      </w:pPr>
      <w:r>
        <w:rPr>
          <w:noProof/>
          <w:lang w:val="pt-BR" w:eastAsia="pt-BR"/>
        </w:rPr>
        <w:lastRenderedPageBreak/>
        <w:drawing>
          <wp:inline distT="0" distB="0" distL="0" distR="0" wp14:anchorId="6B60D099" wp14:editId="44DF7ADB">
            <wp:extent cx="2667000" cy="1990725"/>
            <wp:effectExtent l="0" t="0" r="19050" b="9525"/>
            <wp:docPr id="13" name="Gráfico 13">
              <a:extLst xmlns:a="http://schemas.openxmlformats.org/drawingml/2006/main">
                <a:ext uri="{FF2B5EF4-FFF2-40B4-BE49-F238E27FC236}">
                  <a16:creationId xmlns:a16="http://schemas.microsoft.com/office/drawing/2014/main" id="{8CAA11FD-28C2-49FF-829A-A80A566B15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6C16" w:rsidRPr="009D2256" w:rsidRDefault="009D2256" w:rsidP="00A935D7">
      <w:pPr>
        <w:pStyle w:val="CETCaption"/>
        <w:spacing w:before="0" w:after="0"/>
        <w:rPr>
          <w:lang w:val="en-US"/>
        </w:rPr>
      </w:pPr>
      <w:r>
        <w:rPr>
          <w:lang w:val="en-US"/>
        </w:rPr>
        <w:t>Figure 4a. Comparison of the p</w:t>
      </w:r>
      <w:r w:rsidRPr="009D2256">
        <w:rPr>
          <w:lang w:val="en-US"/>
        </w:rPr>
        <w:t>H values obtained in the collections with the limit established by C</w:t>
      </w:r>
      <w:r>
        <w:rPr>
          <w:lang w:val="en-US"/>
        </w:rPr>
        <w:t xml:space="preserve">ONAMA </w:t>
      </w:r>
      <w:r w:rsidRPr="009D2256">
        <w:rPr>
          <w:lang w:val="en-US"/>
        </w:rPr>
        <w:t>357/05.</w:t>
      </w:r>
    </w:p>
    <w:p w:rsidR="00A935D7" w:rsidRDefault="00727A1C" w:rsidP="00A935D7">
      <w:pPr>
        <w:pStyle w:val="CETBodytext"/>
        <w:keepNext/>
      </w:pPr>
      <w:r>
        <w:rPr>
          <w:noProof/>
          <w:lang w:val="pt-BR" w:eastAsia="pt-BR"/>
        </w:rPr>
        <w:drawing>
          <wp:inline distT="0" distB="0" distL="0" distR="0" wp14:anchorId="68B8B65B" wp14:editId="47C2CB60">
            <wp:extent cx="2552700" cy="1990725"/>
            <wp:effectExtent l="0" t="0" r="19050" b="9525"/>
            <wp:docPr id="10" name="Gráfico 10">
              <a:extLst xmlns:a="http://schemas.openxmlformats.org/drawingml/2006/main">
                <a:ext uri="{FF2B5EF4-FFF2-40B4-BE49-F238E27FC236}">
                  <a16:creationId xmlns:a16="http://schemas.microsoft.com/office/drawing/2014/main" id="{C25ED8BD-70BC-403E-8EDA-ABA81F5A1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6C16" w:rsidRPr="009D2256" w:rsidRDefault="009D2256" w:rsidP="00A935D7">
      <w:pPr>
        <w:pStyle w:val="CETCaption"/>
        <w:spacing w:before="0" w:after="0"/>
        <w:rPr>
          <w:lang w:val="en-US"/>
        </w:rPr>
      </w:pPr>
      <w:r w:rsidRPr="009D2256">
        <w:rPr>
          <w:lang w:val="en-US"/>
        </w:rPr>
        <w:t xml:space="preserve">Figure 4b. Comparison of the </w:t>
      </w:r>
      <w:r>
        <w:rPr>
          <w:lang w:val="en-US"/>
        </w:rPr>
        <w:t>D</w:t>
      </w:r>
      <w:r w:rsidRPr="009D2256">
        <w:rPr>
          <w:lang w:val="en-US"/>
        </w:rPr>
        <w:t>O values obtained in the collections with the limit established by C</w:t>
      </w:r>
      <w:r>
        <w:rPr>
          <w:lang w:val="en-US"/>
        </w:rPr>
        <w:t>ONAMA</w:t>
      </w:r>
      <w:r w:rsidRPr="009D2256">
        <w:rPr>
          <w:lang w:val="en-US"/>
        </w:rPr>
        <w:t xml:space="preserve"> 357/05.</w:t>
      </w:r>
    </w:p>
    <w:p w:rsidR="00A935D7" w:rsidRPr="009D2256" w:rsidRDefault="00A935D7" w:rsidP="0050660D">
      <w:pPr>
        <w:pStyle w:val="CETBodytext"/>
        <w:sectPr w:rsidR="00A935D7" w:rsidRPr="009D2256" w:rsidSect="00A935D7">
          <w:type w:val="continuous"/>
          <w:pgSz w:w="11906" w:h="16838" w:code="9"/>
          <w:pgMar w:top="1701" w:right="1418" w:bottom="1701" w:left="1701" w:header="1701" w:footer="0" w:gutter="0"/>
          <w:cols w:num="2" w:space="708"/>
          <w:formProt w:val="0"/>
          <w:titlePg/>
          <w:docGrid w:linePitch="360"/>
        </w:sectPr>
      </w:pPr>
    </w:p>
    <w:p w:rsidR="000C040D" w:rsidRPr="009D2256" w:rsidRDefault="000C040D" w:rsidP="00A935D7">
      <w:pPr>
        <w:pStyle w:val="CETBodytext"/>
        <w:keepNext/>
        <w:sectPr w:rsidR="000C040D" w:rsidRPr="009D2256" w:rsidSect="0077098D">
          <w:type w:val="continuous"/>
          <w:pgSz w:w="11906" w:h="16838" w:code="9"/>
          <w:pgMar w:top="1701" w:right="1418" w:bottom="1701" w:left="1701" w:header="1701" w:footer="0" w:gutter="0"/>
          <w:cols w:space="708"/>
          <w:formProt w:val="0"/>
          <w:titlePg/>
          <w:docGrid w:linePitch="360"/>
        </w:sectPr>
      </w:pPr>
    </w:p>
    <w:p w:rsidR="00A935D7" w:rsidRDefault="007971B3" w:rsidP="00A935D7">
      <w:pPr>
        <w:pStyle w:val="CETBodytext"/>
        <w:keepNext/>
      </w:pPr>
      <w:r>
        <w:rPr>
          <w:noProof/>
          <w:lang w:val="pt-BR" w:eastAsia="pt-BR"/>
        </w:rPr>
        <w:drawing>
          <wp:inline distT="0" distB="0" distL="0" distR="0" wp14:anchorId="03715F5E" wp14:editId="37635636">
            <wp:extent cx="2676525" cy="1914525"/>
            <wp:effectExtent l="0" t="0" r="9525" b="9525"/>
            <wp:docPr id="11" name="Gráfico 11">
              <a:extLst xmlns:a="http://schemas.openxmlformats.org/drawingml/2006/main">
                <a:ext uri="{FF2B5EF4-FFF2-40B4-BE49-F238E27FC236}">
                  <a16:creationId xmlns:a16="http://schemas.microsoft.com/office/drawing/2014/main" id="{901AC94E-BEC7-415E-8F1F-40F2ED7667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6C16" w:rsidRPr="009D2256" w:rsidRDefault="009D2256" w:rsidP="00A935D7">
      <w:pPr>
        <w:pStyle w:val="CETCaption"/>
        <w:spacing w:before="0" w:after="0"/>
        <w:rPr>
          <w:lang w:val="en-US"/>
        </w:rPr>
      </w:pPr>
      <w:r w:rsidRPr="009D2256">
        <w:rPr>
          <w:lang w:val="en-US"/>
        </w:rPr>
        <w:t>Figure 4c. Comparison of salinity values obtained in the collections with the limit established by C</w:t>
      </w:r>
      <w:r>
        <w:rPr>
          <w:lang w:val="en-US"/>
        </w:rPr>
        <w:t>ONAMA</w:t>
      </w:r>
      <w:r w:rsidRPr="009D2256">
        <w:rPr>
          <w:lang w:val="en-US"/>
        </w:rPr>
        <w:t xml:space="preserve"> 357/05.</w:t>
      </w:r>
    </w:p>
    <w:p w:rsidR="000C040D" w:rsidRDefault="00B50144" w:rsidP="000C040D">
      <w:pPr>
        <w:pStyle w:val="CETBodytext"/>
        <w:keepNext/>
      </w:pPr>
      <w:r>
        <w:rPr>
          <w:noProof/>
          <w:lang w:val="pt-BR" w:eastAsia="pt-BR"/>
        </w:rPr>
        <w:drawing>
          <wp:inline distT="0" distB="0" distL="0" distR="0" wp14:anchorId="32BF5BA3" wp14:editId="722B5B86">
            <wp:extent cx="2647950" cy="1914525"/>
            <wp:effectExtent l="0" t="0" r="19050" b="9525"/>
            <wp:docPr id="15" name="Gráfico 15">
              <a:extLst xmlns:a="http://schemas.openxmlformats.org/drawingml/2006/main">
                <a:ext uri="{FF2B5EF4-FFF2-40B4-BE49-F238E27FC236}">
                  <a16:creationId xmlns:a16="http://schemas.microsoft.com/office/drawing/2014/main" id="{CAD707E5-FEB6-4506-93FE-E12AA3B79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6C16" w:rsidRPr="009D2256" w:rsidRDefault="009D2256" w:rsidP="000C040D">
      <w:pPr>
        <w:pStyle w:val="CETCaption"/>
        <w:spacing w:before="0" w:after="0"/>
        <w:rPr>
          <w:lang w:val="en-US"/>
        </w:rPr>
      </w:pPr>
      <w:r w:rsidRPr="009D2256">
        <w:rPr>
          <w:lang w:val="en-US"/>
        </w:rPr>
        <w:t>Figure 4d. Comparison of fecal coliform values obtained in the samples with the limit established b</w:t>
      </w:r>
      <w:r>
        <w:rPr>
          <w:lang w:val="en-US"/>
        </w:rPr>
        <w:t>y CONAMA</w:t>
      </w:r>
      <w:r w:rsidRPr="009D2256">
        <w:rPr>
          <w:lang w:val="en-US"/>
        </w:rPr>
        <w:t xml:space="preserve"> 357/05.</w:t>
      </w:r>
    </w:p>
    <w:p w:rsidR="000C040D" w:rsidRPr="009D2256" w:rsidRDefault="000C040D" w:rsidP="0050660D">
      <w:pPr>
        <w:pStyle w:val="CETBodytext"/>
        <w:sectPr w:rsidR="000C040D" w:rsidRPr="009D2256" w:rsidSect="000C040D">
          <w:type w:val="continuous"/>
          <w:pgSz w:w="11906" w:h="16838" w:code="9"/>
          <w:pgMar w:top="1701" w:right="1418" w:bottom="1701" w:left="1701" w:header="1701" w:footer="0" w:gutter="0"/>
          <w:cols w:num="2" w:space="708"/>
          <w:formProt w:val="0"/>
          <w:titlePg/>
          <w:docGrid w:linePitch="360"/>
        </w:sectPr>
      </w:pPr>
    </w:p>
    <w:p w:rsidR="003D6C16" w:rsidRPr="00245FD9" w:rsidRDefault="009E7917" w:rsidP="0050660D">
      <w:pPr>
        <w:pStyle w:val="CETHeading1"/>
      </w:pPr>
      <w:r w:rsidRPr="00856E40">
        <w:rPr>
          <w:rFonts w:cs="Arial"/>
        </w:rPr>
        <w:t>Conclusions</w:t>
      </w:r>
    </w:p>
    <w:p w:rsidR="009E7917" w:rsidRPr="009E7917" w:rsidRDefault="009E7917" w:rsidP="00245FD9">
      <w:pPr>
        <w:pStyle w:val="CETBodytext"/>
      </w:pPr>
      <w:r w:rsidRPr="009E7917">
        <w:t xml:space="preserve">The methodology adapted for the implementation and validation of the acute ecotoxicological assays showed that both </w:t>
      </w:r>
      <w:r w:rsidRPr="0057368E">
        <w:t xml:space="preserve">tests </w:t>
      </w:r>
      <w:r w:rsidRPr="009E7917">
        <w:t xml:space="preserve">are simple, reproducible and robust. The monitoring performed at the study site using this methodology, had simple procedures when comparing the procedure described in the literature in relation to the tests most used with the same bioindicator. In the tests proposed in this </w:t>
      </w:r>
      <w:r w:rsidR="0057368E">
        <w:t>paper</w:t>
      </w:r>
      <w:r w:rsidRPr="009E7917">
        <w:t xml:space="preserve"> there was a need for cultivation of the organisms used, with no need to feed them, since they </w:t>
      </w:r>
      <w:r w:rsidR="0057368E">
        <w:t xml:space="preserve">were being fed with the generated residue (sludge) </w:t>
      </w:r>
      <w:proofErr w:type="spellStart"/>
      <w:r w:rsidR="0057368E">
        <w:t>it self</w:t>
      </w:r>
      <w:proofErr w:type="spellEnd"/>
      <w:r w:rsidRPr="009E7917">
        <w:t xml:space="preserve">, considerably reducing the time and total cost of </w:t>
      </w:r>
      <w:r w:rsidR="0057368E">
        <w:t xml:space="preserve">the </w:t>
      </w:r>
      <w:r>
        <w:t>t</w:t>
      </w:r>
      <w:r w:rsidRPr="009E7917">
        <w:t>est. Reproducibility could be verified in the duplicates performed.</w:t>
      </w:r>
    </w:p>
    <w:p w:rsidR="009E7917" w:rsidRPr="003B1063" w:rsidRDefault="009E7917" w:rsidP="003B1063">
      <w:pPr>
        <w:pStyle w:val="CETBodytext"/>
      </w:pPr>
      <w:r w:rsidRPr="009E7917">
        <w:t xml:space="preserve">In the conditions </w:t>
      </w:r>
      <w:r w:rsidR="0057368E">
        <w:t>u</w:t>
      </w:r>
      <w:r w:rsidRPr="009E7917">
        <w:t>n</w:t>
      </w:r>
      <w:r w:rsidR="0057368E">
        <w:t>der</w:t>
      </w:r>
      <w:r w:rsidRPr="009E7917">
        <w:t xml:space="preserve"> which the research was carried out and according to the results found, it is possible to conclude that, with regard to robustness, it could be verified when using the same sample collected, at different concentrations evaluated, being the </w:t>
      </w:r>
      <w:r>
        <w:t>l</w:t>
      </w:r>
      <w:r w:rsidR="0057368E">
        <w:t>owest</w:t>
      </w:r>
      <w:r w:rsidRPr="009E7917">
        <w:t xml:space="preserve"> than 10%, and the highest concentration of 90%, so that the toxic effect was more clearly evaluated in relation to the corresponding concentration, as seen in the concentrations of 10%, 25% and 50% referring to point 2 i</w:t>
      </w:r>
      <w:r>
        <w:t>n the second collection, where o</w:t>
      </w:r>
      <w:r w:rsidRPr="009E7917">
        <w:t>bserved the toxic effect based on the mortality rate, according to the LD50.</w:t>
      </w:r>
    </w:p>
    <w:p w:rsidR="002E6F49" w:rsidRDefault="009E7917" w:rsidP="00245FD9">
      <w:pPr>
        <w:pStyle w:val="CETBodytext"/>
      </w:pPr>
      <w:r w:rsidRPr="009E7917">
        <w:t xml:space="preserve">Regarding physicochemical parameters, only </w:t>
      </w:r>
      <w:r w:rsidR="003B1063">
        <w:t>p</w:t>
      </w:r>
      <w:r w:rsidRPr="009E7917">
        <w:t xml:space="preserve">H, dissolved oxygen, salinity and fecal coliforms were correlated with the values delimited </w:t>
      </w:r>
      <w:r w:rsidRPr="00BE6A02">
        <w:t>by C</w:t>
      </w:r>
      <w:r w:rsidR="003B1063" w:rsidRPr="00BE6A02">
        <w:t>ONAMA Resolution 357/</w:t>
      </w:r>
      <w:r w:rsidRPr="00BE6A02">
        <w:t xml:space="preserve">2005, </w:t>
      </w:r>
      <w:r w:rsidRPr="009E7917">
        <w:t>since the oth</w:t>
      </w:r>
      <w:r w:rsidR="003B1063">
        <w:t xml:space="preserve">er parameters analyzed are not </w:t>
      </w:r>
      <w:r w:rsidR="0057368E">
        <w:t>included</w:t>
      </w:r>
      <w:r w:rsidRPr="009E7917">
        <w:t xml:space="preserve"> in this </w:t>
      </w:r>
      <w:r w:rsidR="003B1063">
        <w:t>R</w:t>
      </w:r>
      <w:r w:rsidRPr="009E7917">
        <w:t xml:space="preserve">esolution. </w:t>
      </w:r>
    </w:p>
    <w:p w:rsidR="009E7917" w:rsidRPr="009E7917" w:rsidRDefault="009E7917" w:rsidP="00245FD9">
      <w:pPr>
        <w:pStyle w:val="CETBodytext"/>
      </w:pPr>
      <w:r w:rsidRPr="009E7917">
        <w:t xml:space="preserve">The correlation between the acquired physicochemical parameters and the data obtained in the </w:t>
      </w:r>
      <w:r w:rsidR="003B1063">
        <w:t>e</w:t>
      </w:r>
      <w:r w:rsidRPr="009E7917">
        <w:t xml:space="preserve">cotoxicological </w:t>
      </w:r>
      <w:r w:rsidR="003B1063" w:rsidRPr="0057368E">
        <w:t>tests</w:t>
      </w:r>
      <w:r w:rsidRPr="0057368E">
        <w:t xml:space="preserve"> </w:t>
      </w:r>
      <w:r w:rsidRPr="009E7917">
        <w:t xml:space="preserve">proved to be coherent, </w:t>
      </w:r>
      <w:r w:rsidR="0057368E">
        <w:t xml:space="preserve">since </w:t>
      </w:r>
      <w:r w:rsidRPr="009E7917">
        <w:t>as it could be seen in the analysis of the data presented, in the second collection, high</w:t>
      </w:r>
      <w:r w:rsidR="003B1063">
        <w:t xml:space="preserve"> coliform values were verified, t</w:t>
      </w:r>
      <w:r w:rsidRPr="009E7917">
        <w:t>he main determinant parameter for the analysis of bathing-ability.</w:t>
      </w:r>
    </w:p>
    <w:p w:rsidR="003B1063" w:rsidRPr="003B1063" w:rsidRDefault="003B1063" w:rsidP="00245FD9">
      <w:pPr>
        <w:pStyle w:val="CETBodytext"/>
      </w:pPr>
      <w:r w:rsidRPr="003B1063">
        <w:t>Only in samples of the second collection were verified toxic effects in the evaluation of the LD50, and it was also the one that presented the highest values for certain physical and chemical parameters in this study, being this</w:t>
      </w:r>
      <w:r>
        <w:t xml:space="preserve"> result possibly influenced by o</w:t>
      </w:r>
      <w:r w:rsidRPr="003B1063">
        <w:t xml:space="preserve">ccurrence of rain in the second collection period, since the presence of rain leads </w:t>
      </w:r>
      <w:r w:rsidRPr="003B1063">
        <w:lastRenderedPageBreak/>
        <w:t>to a greater spread of pollutants and bacteria that are transported to the receiving water body through rainwater galleries, streams and drainage canals. Thus, the occurrence of rain is one of the main causes of interference in the water quality of the beaches.</w:t>
      </w:r>
    </w:p>
    <w:p w:rsidR="003B1063" w:rsidRPr="003B1063" w:rsidRDefault="003B1063" w:rsidP="00DD20E7">
      <w:pPr>
        <w:pStyle w:val="CETBodytext"/>
        <w:rPr>
          <w:color w:val="000000" w:themeColor="text1"/>
          <w:szCs w:val="24"/>
        </w:rPr>
      </w:pPr>
      <w:r w:rsidRPr="003B1063">
        <w:rPr>
          <w:color w:val="000000" w:themeColor="text1"/>
          <w:szCs w:val="24"/>
        </w:rPr>
        <w:t xml:space="preserve">The recommendations for future studies are an evaluation of long-term toxicity, using chronic tests, because the chronic effect is reflected by the response to a stimulus that continues for a long time, usually for periods that may encompass part or </w:t>
      </w:r>
      <w:r w:rsidR="00EF0D8F">
        <w:rPr>
          <w:color w:val="000000" w:themeColor="text1"/>
          <w:szCs w:val="24"/>
        </w:rPr>
        <w:t>t</w:t>
      </w:r>
      <w:r w:rsidRPr="003B1063">
        <w:rPr>
          <w:color w:val="000000" w:themeColor="text1"/>
          <w:szCs w:val="24"/>
        </w:rPr>
        <w:t xml:space="preserve">he whole life cycle of organisms, besides the verification of toxicity also in sediments, because the water body is frequently modified by the natural action of the currents, and a longer sampling period, with more collection points, </w:t>
      </w:r>
      <w:r w:rsidR="0057368E">
        <w:rPr>
          <w:color w:val="000000" w:themeColor="text1"/>
          <w:szCs w:val="24"/>
        </w:rPr>
        <w:t>so that</w:t>
      </w:r>
      <w:r w:rsidRPr="003B1063">
        <w:rPr>
          <w:color w:val="000000" w:themeColor="text1"/>
          <w:szCs w:val="24"/>
        </w:rPr>
        <w:t xml:space="preserve"> </w:t>
      </w:r>
      <w:r w:rsidR="00EF0D8F">
        <w:rPr>
          <w:color w:val="000000" w:themeColor="text1"/>
          <w:szCs w:val="24"/>
        </w:rPr>
        <w:t>c</w:t>
      </w:r>
      <w:r w:rsidRPr="003B1063">
        <w:rPr>
          <w:color w:val="000000" w:themeColor="text1"/>
          <w:szCs w:val="24"/>
        </w:rPr>
        <w:t>oefficients of variation of the samples in different dilutions</w:t>
      </w:r>
      <w:r w:rsidR="0057368E">
        <w:rPr>
          <w:color w:val="000000" w:themeColor="text1"/>
          <w:szCs w:val="24"/>
        </w:rPr>
        <w:t xml:space="preserve"> could be obtained</w:t>
      </w:r>
      <w:r w:rsidRPr="003B1063">
        <w:rPr>
          <w:color w:val="000000" w:themeColor="text1"/>
          <w:szCs w:val="24"/>
        </w:rPr>
        <w:t xml:space="preserve">. It is hoped that the results of ecotoxicological tests can be used as subsidies for decision makers in relation to public policies of the environment, thus influencing in contexts related to greater control of the launching of </w:t>
      </w:r>
      <w:r w:rsidR="00EF0D8F">
        <w:rPr>
          <w:color w:val="000000" w:themeColor="text1"/>
          <w:szCs w:val="24"/>
        </w:rPr>
        <w:t>p</w:t>
      </w:r>
      <w:r w:rsidRPr="003B1063">
        <w:rPr>
          <w:color w:val="000000" w:themeColor="text1"/>
          <w:szCs w:val="24"/>
        </w:rPr>
        <w:t>ollutants in water bodies and effective supervision by environmental agencies.</w:t>
      </w:r>
    </w:p>
    <w:p w:rsidR="00B50144" w:rsidRPr="00B50144" w:rsidRDefault="00B50144" w:rsidP="00B50144">
      <w:pPr>
        <w:pStyle w:val="CETBodytext"/>
      </w:pPr>
    </w:p>
    <w:p w:rsidR="00600535" w:rsidRPr="009537E2" w:rsidRDefault="00EF0D8F" w:rsidP="00600535">
      <w:pPr>
        <w:pStyle w:val="CETReference"/>
        <w:rPr>
          <w:lang w:val="en-US"/>
        </w:rPr>
      </w:pPr>
      <w:r w:rsidRPr="00856E40">
        <w:rPr>
          <w:rFonts w:cs="Arial"/>
          <w:lang w:val="en-US"/>
        </w:rPr>
        <w:t>References</w:t>
      </w:r>
    </w:p>
    <w:p w:rsidR="00920F10" w:rsidRPr="00773CC0" w:rsidRDefault="00920F10" w:rsidP="00CD1B13">
      <w:pPr>
        <w:pStyle w:val="CETReferencetext"/>
        <w:rPr>
          <w:lang w:val="pt-BR"/>
        </w:rPr>
      </w:pPr>
      <w:r w:rsidRPr="009537E2">
        <w:rPr>
          <w:lang w:val="en-US"/>
        </w:rPr>
        <w:t>A</w:t>
      </w:r>
      <w:r w:rsidR="00266AAA" w:rsidRPr="009537E2">
        <w:rPr>
          <w:lang w:val="en-US"/>
        </w:rPr>
        <w:t>PHA</w:t>
      </w:r>
      <w:r w:rsidRPr="009537E2">
        <w:rPr>
          <w:lang w:val="en-US"/>
        </w:rPr>
        <w:t xml:space="preserve">. Standard </w:t>
      </w:r>
      <w:r w:rsidR="007E4B07" w:rsidRPr="009537E2">
        <w:rPr>
          <w:lang w:val="en-US"/>
        </w:rPr>
        <w:t>M</w:t>
      </w:r>
      <w:r w:rsidRPr="009537E2">
        <w:rPr>
          <w:lang w:val="en-US"/>
        </w:rPr>
        <w:t xml:space="preserve">ethods </w:t>
      </w:r>
      <w:r w:rsidR="007E4B07" w:rsidRPr="009537E2">
        <w:rPr>
          <w:lang w:val="en-US"/>
        </w:rPr>
        <w:t>f</w:t>
      </w:r>
      <w:r w:rsidRPr="009537E2">
        <w:rPr>
          <w:lang w:val="en-US"/>
        </w:rPr>
        <w:t xml:space="preserve">or the </w:t>
      </w:r>
      <w:r w:rsidR="007E4B07" w:rsidRPr="009537E2">
        <w:rPr>
          <w:lang w:val="en-US"/>
        </w:rPr>
        <w:t>E</w:t>
      </w:r>
      <w:r w:rsidRPr="009537E2">
        <w:rPr>
          <w:lang w:val="en-US"/>
        </w:rPr>
        <w:t xml:space="preserve">xamination of </w:t>
      </w:r>
      <w:r w:rsidR="007E4B07" w:rsidRPr="009537E2">
        <w:rPr>
          <w:lang w:val="en-US"/>
        </w:rPr>
        <w:t>W</w:t>
      </w:r>
      <w:r w:rsidRPr="009537E2">
        <w:rPr>
          <w:lang w:val="en-US"/>
        </w:rPr>
        <w:t xml:space="preserve">ater and </w:t>
      </w:r>
      <w:r w:rsidR="007E4B07" w:rsidRPr="009537E2">
        <w:rPr>
          <w:lang w:val="en-US"/>
        </w:rPr>
        <w:t>W</w:t>
      </w:r>
      <w:r w:rsidRPr="009537E2">
        <w:rPr>
          <w:lang w:val="en-US"/>
        </w:rPr>
        <w:t xml:space="preserve">astewater. </w:t>
      </w:r>
      <w:r w:rsidRPr="00773CC0">
        <w:rPr>
          <w:lang w:val="pt-BR"/>
        </w:rPr>
        <w:t xml:space="preserve">22th </w:t>
      </w:r>
      <w:proofErr w:type="spellStart"/>
      <w:r w:rsidRPr="00773CC0">
        <w:rPr>
          <w:lang w:val="pt-BR"/>
        </w:rPr>
        <w:t>edition</w:t>
      </w:r>
      <w:proofErr w:type="spellEnd"/>
      <w:r w:rsidRPr="00773CC0">
        <w:rPr>
          <w:lang w:val="pt-BR"/>
        </w:rPr>
        <w:t xml:space="preserve"> </w:t>
      </w:r>
      <w:r w:rsidR="007E4B07" w:rsidRPr="00773CC0">
        <w:rPr>
          <w:lang w:val="pt-BR"/>
        </w:rPr>
        <w:t>W</w:t>
      </w:r>
      <w:r w:rsidRPr="00773CC0">
        <w:rPr>
          <w:lang w:val="pt-BR"/>
        </w:rPr>
        <w:t xml:space="preserve">ashington </w:t>
      </w:r>
      <w:r w:rsidR="007E4B07" w:rsidRPr="00773CC0">
        <w:rPr>
          <w:lang w:val="pt-BR"/>
        </w:rPr>
        <w:t>DC</w:t>
      </w:r>
      <w:r w:rsidRPr="00773CC0">
        <w:rPr>
          <w:lang w:val="pt-BR"/>
        </w:rPr>
        <w:t>, 2012.</w:t>
      </w:r>
    </w:p>
    <w:p w:rsidR="00920F10" w:rsidRPr="00773CC0" w:rsidRDefault="00920F10" w:rsidP="00CD1B13">
      <w:pPr>
        <w:pStyle w:val="CETReferencetext"/>
        <w:rPr>
          <w:lang w:val="pt-BR"/>
        </w:rPr>
      </w:pPr>
      <w:bookmarkStart w:id="1" w:name="_GoBack"/>
      <w:bookmarkEnd w:id="1"/>
      <w:r w:rsidRPr="00773CC0">
        <w:rPr>
          <w:lang w:val="pt-BR"/>
        </w:rPr>
        <w:t xml:space="preserve">Brasil, </w:t>
      </w:r>
      <w:r w:rsidR="007E4B07" w:rsidRPr="00773CC0">
        <w:rPr>
          <w:lang w:val="pt-BR"/>
        </w:rPr>
        <w:t>C</w:t>
      </w:r>
      <w:r w:rsidRPr="00773CC0">
        <w:rPr>
          <w:lang w:val="pt-BR"/>
        </w:rPr>
        <w:t xml:space="preserve">onselho </w:t>
      </w:r>
      <w:r w:rsidR="007E4B07" w:rsidRPr="00773CC0">
        <w:rPr>
          <w:lang w:val="pt-BR"/>
        </w:rPr>
        <w:t>N</w:t>
      </w:r>
      <w:r w:rsidRPr="00773CC0">
        <w:rPr>
          <w:lang w:val="pt-BR"/>
        </w:rPr>
        <w:t xml:space="preserve">acional de </w:t>
      </w:r>
      <w:r w:rsidR="007E4B07" w:rsidRPr="00773CC0">
        <w:rPr>
          <w:lang w:val="pt-BR"/>
        </w:rPr>
        <w:t>M</w:t>
      </w:r>
      <w:r w:rsidRPr="00773CC0">
        <w:rPr>
          <w:lang w:val="pt-BR"/>
        </w:rPr>
        <w:t xml:space="preserve">eio </w:t>
      </w:r>
      <w:r w:rsidR="007E4B07" w:rsidRPr="00773CC0">
        <w:rPr>
          <w:lang w:val="pt-BR"/>
        </w:rPr>
        <w:t>A</w:t>
      </w:r>
      <w:r w:rsidRPr="00773CC0">
        <w:rPr>
          <w:lang w:val="pt-BR"/>
        </w:rPr>
        <w:t>mbiente (</w:t>
      </w:r>
      <w:r w:rsidR="007E4B07" w:rsidRPr="00773CC0">
        <w:rPr>
          <w:lang w:val="pt-BR"/>
        </w:rPr>
        <w:t>CONAMA</w:t>
      </w:r>
      <w:r w:rsidRPr="00773CC0">
        <w:rPr>
          <w:lang w:val="pt-BR"/>
        </w:rPr>
        <w:t>). Resolução n. 357, de 17 de março de 2005.</w:t>
      </w:r>
      <w:r w:rsidR="007E4B07" w:rsidRPr="00773CC0">
        <w:rPr>
          <w:lang w:val="pt-BR"/>
        </w:rPr>
        <w:t xml:space="preserve"> </w:t>
      </w:r>
      <w:r w:rsidRPr="00773CC0">
        <w:rPr>
          <w:lang w:val="pt-BR"/>
        </w:rPr>
        <w:t>Brasília, DF.</w:t>
      </w:r>
      <w:r w:rsidR="00CD1B13" w:rsidRPr="00773CC0">
        <w:rPr>
          <w:lang w:val="pt-BR"/>
        </w:rPr>
        <w:t xml:space="preserve"> </w:t>
      </w:r>
      <w:r w:rsidRPr="00773CC0">
        <w:rPr>
          <w:lang w:val="pt-BR"/>
        </w:rPr>
        <w:t>Ministério do Meio Ambiente, 2005.</w:t>
      </w:r>
    </w:p>
    <w:p w:rsidR="00920F10" w:rsidRPr="00773CC0" w:rsidRDefault="00920F10" w:rsidP="00CD1B13">
      <w:pPr>
        <w:pStyle w:val="CETReferencetext"/>
        <w:rPr>
          <w:lang w:val="pt-BR"/>
        </w:rPr>
      </w:pPr>
      <w:r w:rsidRPr="00773CC0">
        <w:rPr>
          <w:lang w:val="pt-BR"/>
        </w:rPr>
        <w:t xml:space="preserve">Brasil, </w:t>
      </w:r>
      <w:r w:rsidR="007E4B07" w:rsidRPr="00773CC0">
        <w:rPr>
          <w:lang w:val="pt-BR"/>
        </w:rPr>
        <w:t>I</w:t>
      </w:r>
      <w:r w:rsidRPr="00773CC0">
        <w:rPr>
          <w:lang w:val="pt-BR"/>
        </w:rPr>
        <w:t xml:space="preserve">nstituto </w:t>
      </w:r>
      <w:r w:rsidR="007E4B07" w:rsidRPr="00773CC0">
        <w:rPr>
          <w:lang w:val="pt-BR"/>
        </w:rPr>
        <w:t>E</w:t>
      </w:r>
      <w:r w:rsidRPr="00773CC0">
        <w:rPr>
          <w:lang w:val="pt-BR"/>
        </w:rPr>
        <w:t xml:space="preserve">stadual do </w:t>
      </w:r>
      <w:r w:rsidR="007E4B07" w:rsidRPr="00773CC0">
        <w:rPr>
          <w:lang w:val="pt-BR"/>
        </w:rPr>
        <w:t>A</w:t>
      </w:r>
      <w:r w:rsidRPr="00773CC0">
        <w:rPr>
          <w:lang w:val="pt-BR"/>
        </w:rPr>
        <w:t>mbiente (</w:t>
      </w:r>
      <w:r w:rsidR="007E4B07" w:rsidRPr="00773CC0">
        <w:rPr>
          <w:lang w:val="pt-BR"/>
        </w:rPr>
        <w:t>INEA</w:t>
      </w:r>
      <w:r w:rsidRPr="00773CC0">
        <w:rPr>
          <w:lang w:val="pt-BR"/>
        </w:rPr>
        <w:t>). Balneabilidade/</w:t>
      </w:r>
      <w:r w:rsidR="007E4B07" w:rsidRPr="00773CC0">
        <w:rPr>
          <w:lang w:val="pt-BR"/>
        </w:rPr>
        <w:t>INEA</w:t>
      </w:r>
      <w:r w:rsidRPr="00773CC0">
        <w:rPr>
          <w:lang w:val="pt-BR"/>
        </w:rPr>
        <w:t>, 2017.</w:t>
      </w:r>
    </w:p>
    <w:p w:rsidR="00920F10" w:rsidRPr="00CD1B13" w:rsidRDefault="00920F10" w:rsidP="00CD1B13">
      <w:pPr>
        <w:pStyle w:val="CETReferencetext"/>
      </w:pPr>
      <w:r w:rsidRPr="00262118">
        <w:rPr>
          <w:lang w:val="pt-BR"/>
        </w:rPr>
        <w:t xml:space="preserve">Burton, </w:t>
      </w:r>
      <w:r w:rsidR="007E4B07" w:rsidRPr="00262118">
        <w:rPr>
          <w:lang w:val="pt-BR"/>
        </w:rPr>
        <w:t>G</w:t>
      </w:r>
      <w:r w:rsidRPr="00262118">
        <w:rPr>
          <w:lang w:val="pt-BR"/>
        </w:rPr>
        <w:t>.</w:t>
      </w:r>
      <w:r w:rsidR="007E4B07" w:rsidRPr="00262118">
        <w:rPr>
          <w:lang w:val="pt-BR"/>
        </w:rPr>
        <w:t>A</w:t>
      </w:r>
      <w:r w:rsidRPr="00262118">
        <w:rPr>
          <w:lang w:val="pt-BR"/>
        </w:rPr>
        <w:t xml:space="preserve">. Jr. </w:t>
      </w:r>
      <w:r w:rsidRPr="00CD1B13">
        <w:t xml:space="preserve">Sediment </w:t>
      </w:r>
      <w:r w:rsidR="007E4B07" w:rsidRPr="00CD1B13">
        <w:t>T</w:t>
      </w:r>
      <w:r w:rsidRPr="00CD1B13">
        <w:t xml:space="preserve">oxicity </w:t>
      </w:r>
      <w:r w:rsidR="007E4B07" w:rsidRPr="00CD1B13">
        <w:t>T</w:t>
      </w:r>
      <w:r w:rsidRPr="00CD1B13">
        <w:t xml:space="preserve">esting </w:t>
      </w:r>
      <w:r w:rsidR="007E4B07" w:rsidRPr="00CD1B13">
        <w:t>I</w:t>
      </w:r>
      <w:r w:rsidRPr="00CD1B13">
        <w:t xml:space="preserve">ssues and </w:t>
      </w:r>
      <w:r w:rsidR="007E4B07" w:rsidRPr="00CD1B13">
        <w:t>M</w:t>
      </w:r>
      <w:r w:rsidRPr="00CD1B13">
        <w:t xml:space="preserve">ethods. Published in </w:t>
      </w:r>
      <w:proofErr w:type="spellStart"/>
      <w:r w:rsidR="007E4B07" w:rsidRPr="00CD1B13">
        <w:t>H</w:t>
      </w:r>
      <w:r w:rsidRPr="00CD1B13">
        <w:t>andbock</w:t>
      </w:r>
      <w:proofErr w:type="spellEnd"/>
      <w:r w:rsidRPr="00CD1B13">
        <w:t xml:space="preserve"> of </w:t>
      </w:r>
      <w:r w:rsidR="007E4B07" w:rsidRPr="00CD1B13">
        <w:t>E</w:t>
      </w:r>
      <w:r w:rsidRPr="00CD1B13">
        <w:t xml:space="preserve">cotoxicology. </w:t>
      </w:r>
      <w:r w:rsidR="007E4B07" w:rsidRPr="00CD1B13">
        <w:t>I</w:t>
      </w:r>
      <w:r w:rsidRPr="00CD1B13">
        <w:t xml:space="preserve">n: </w:t>
      </w:r>
      <w:r w:rsidR="007E4B07" w:rsidRPr="00CD1B13">
        <w:t>H</w:t>
      </w:r>
      <w:r w:rsidRPr="00CD1B13">
        <w:t xml:space="preserve">offman, </w:t>
      </w:r>
      <w:r w:rsidR="007E4B07" w:rsidRPr="00CD1B13">
        <w:t>D</w:t>
      </w:r>
      <w:r w:rsidRPr="00CD1B13">
        <w:t>.</w:t>
      </w:r>
      <w:r w:rsidR="007E4B07" w:rsidRPr="00CD1B13">
        <w:t xml:space="preserve"> J</w:t>
      </w:r>
      <w:r w:rsidRPr="00CD1B13">
        <w:t>,</w:t>
      </w:r>
      <w:r w:rsidR="007E4B07" w:rsidRPr="00CD1B13">
        <w:t xml:space="preserve"> </w:t>
      </w:r>
      <w:r w:rsidRPr="00CD1B13">
        <w:t>1994.</w:t>
      </w:r>
    </w:p>
    <w:p w:rsidR="00920F10" w:rsidRDefault="00004AD7" w:rsidP="00CD1B13">
      <w:pPr>
        <w:pStyle w:val="CETReferencetext"/>
      </w:pPr>
      <w:r w:rsidRPr="00CD1B13">
        <w:t>Cairns</w:t>
      </w:r>
      <w:r>
        <w:t>,</w:t>
      </w:r>
      <w:r w:rsidR="00920F10" w:rsidRPr="00CD1B13">
        <w:t xml:space="preserve"> </w:t>
      </w:r>
      <w:r w:rsidR="007E4B07" w:rsidRPr="00CD1B13">
        <w:t>J</w:t>
      </w:r>
      <w:r w:rsidR="00920F10" w:rsidRPr="00CD1B13">
        <w:t>. Jr. Applied ecotoxicol</w:t>
      </w:r>
      <w:r w:rsidR="00E60138" w:rsidRPr="00CD1B13">
        <w:t xml:space="preserve">ogy. </w:t>
      </w:r>
      <w:proofErr w:type="spellStart"/>
      <w:proofErr w:type="gramStart"/>
      <w:r w:rsidR="00E60138" w:rsidRPr="00CD1B13">
        <w:t>Calow,p</w:t>
      </w:r>
      <w:proofErr w:type="spellEnd"/>
      <w:r w:rsidR="00E60138" w:rsidRPr="00CD1B13">
        <w:t>.</w:t>
      </w:r>
      <w:proofErr w:type="gramEnd"/>
      <w:r w:rsidR="00E60138" w:rsidRPr="00CD1B13">
        <w:t xml:space="preserve"> (ed.). Blackwell S</w:t>
      </w:r>
      <w:r w:rsidR="00920F10" w:rsidRPr="00CD1B13">
        <w:t>cience. 487p, 1989.</w:t>
      </w:r>
    </w:p>
    <w:p w:rsidR="009621B7" w:rsidRPr="009621B7" w:rsidRDefault="009621B7" w:rsidP="00CD1B13">
      <w:pPr>
        <w:pStyle w:val="CETReferencetext"/>
        <w:rPr>
          <w:lang w:val="en-US"/>
        </w:rPr>
      </w:pPr>
      <w:r w:rsidRPr="009621B7">
        <w:rPr>
          <w:lang w:val="en-US"/>
        </w:rPr>
        <w:t xml:space="preserve">Giuliano, A.; </w:t>
      </w:r>
      <w:proofErr w:type="spellStart"/>
      <w:r w:rsidRPr="009621B7">
        <w:rPr>
          <w:lang w:val="en-US"/>
        </w:rPr>
        <w:t>Gioiella</w:t>
      </w:r>
      <w:proofErr w:type="spellEnd"/>
      <w:r w:rsidRPr="009621B7">
        <w:rPr>
          <w:lang w:val="en-US"/>
        </w:rPr>
        <w:t xml:space="preserve">, F.; Sofia, D.; </w:t>
      </w:r>
      <w:proofErr w:type="spellStart"/>
      <w:r w:rsidRPr="009621B7">
        <w:rPr>
          <w:lang w:val="en-US"/>
        </w:rPr>
        <w:t>Lotrecchiano</w:t>
      </w:r>
      <w:proofErr w:type="spellEnd"/>
      <w:r w:rsidRPr="009621B7">
        <w:rPr>
          <w:lang w:val="en-US"/>
        </w:rPr>
        <w:t>, N.</w:t>
      </w:r>
      <w:r>
        <w:rPr>
          <w:lang w:val="en-US"/>
        </w:rPr>
        <w:t>,</w:t>
      </w:r>
      <w:r w:rsidRPr="009621B7">
        <w:rPr>
          <w:lang w:val="en-US"/>
        </w:rPr>
        <w:t xml:space="preserve"> 2018, </w:t>
      </w:r>
      <w:r>
        <w:rPr>
          <w:lang w:val="en-US"/>
        </w:rPr>
        <w:t>A novel m</w:t>
      </w:r>
      <w:r w:rsidRPr="009621B7">
        <w:rPr>
          <w:lang w:val="en-US"/>
        </w:rPr>
        <w:t xml:space="preserve">ethodology and </w:t>
      </w:r>
      <w:r>
        <w:rPr>
          <w:lang w:val="en-US"/>
        </w:rPr>
        <w:t>t</w:t>
      </w:r>
      <w:r w:rsidRPr="009621B7">
        <w:rPr>
          <w:lang w:val="en-US"/>
        </w:rPr>
        <w:t xml:space="preserve">echnology to </w:t>
      </w:r>
      <w:r>
        <w:rPr>
          <w:lang w:val="en-US"/>
        </w:rPr>
        <w:t>p</w:t>
      </w:r>
      <w:r w:rsidRPr="009621B7">
        <w:rPr>
          <w:lang w:val="en-US"/>
        </w:rPr>
        <w:t xml:space="preserve">romote the </w:t>
      </w:r>
      <w:r>
        <w:rPr>
          <w:lang w:val="en-US"/>
        </w:rPr>
        <w:t>s</w:t>
      </w:r>
      <w:r w:rsidRPr="009621B7">
        <w:rPr>
          <w:lang w:val="en-US"/>
        </w:rPr>
        <w:t xml:space="preserve">ocial </w:t>
      </w:r>
      <w:r>
        <w:rPr>
          <w:lang w:val="en-US"/>
        </w:rPr>
        <w:t>a</w:t>
      </w:r>
      <w:r w:rsidRPr="009621B7">
        <w:rPr>
          <w:lang w:val="en-US"/>
        </w:rPr>
        <w:t xml:space="preserve">cceptance of </w:t>
      </w:r>
      <w:r>
        <w:rPr>
          <w:lang w:val="en-US"/>
        </w:rPr>
        <w:t>biomass p</w:t>
      </w:r>
      <w:r w:rsidRPr="009621B7">
        <w:rPr>
          <w:lang w:val="en-US"/>
        </w:rPr>
        <w:t xml:space="preserve">ower </w:t>
      </w:r>
      <w:r>
        <w:rPr>
          <w:lang w:val="en-US"/>
        </w:rPr>
        <w:t>p</w:t>
      </w:r>
      <w:r w:rsidRPr="009621B7">
        <w:rPr>
          <w:lang w:val="en-US"/>
        </w:rPr>
        <w:t xml:space="preserve">lants </w:t>
      </w:r>
      <w:r>
        <w:rPr>
          <w:lang w:val="en-US"/>
        </w:rPr>
        <w:t>a</w:t>
      </w:r>
      <w:r w:rsidRPr="009621B7">
        <w:rPr>
          <w:lang w:val="en-US"/>
        </w:rPr>
        <w:t xml:space="preserve">voiding </w:t>
      </w:r>
      <w:r>
        <w:rPr>
          <w:lang w:val="en-US"/>
        </w:rPr>
        <w:t>n</w:t>
      </w:r>
      <w:r w:rsidRPr="009621B7">
        <w:rPr>
          <w:lang w:val="en-US"/>
        </w:rPr>
        <w:t xml:space="preserve">imby </w:t>
      </w:r>
      <w:r>
        <w:rPr>
          <w:lang w:val="en-US"/>
        </w:rPr>
        <w:t>s</w:t>
      </w:r>
      <w:r w:rsidRPr="009621B7">
        <w:rPr>
          <w:lang w:val="en-US"/>
        </w:rPr>
        <w:t>yndrome</w:t>
      </w:r>
      <w:r>
        <w:rPr>
          <w:lang w:val="en-US"/>
        </w:rPr>
        <w:t xml:space="preserve">, </w:t>
      </w:r>
      <w:r w:rsidRPr="00A4524E">
        <w:rPr>
          <w:rFonts w:cs="Arial"/>
          <w:szCs w:val="18"/>
        </w:rPr>
        <w:t>Chemical Engineering Transactions</w:t>
      </w:r>
      <w:r>
        <w:rPr>
          <w:rFonts w:cs="Arial"/>
          <w:szCs w:val="18"/>
        </w:rPr>
        <w:t>, 67, 307-312.</w:t>
      </w:r>
    </w:p>
    <w:p w:rsidR="00920F10" w:rsidRPr="00CD1B13" w:rsidRDefault="00920F10" w:rsidP="00CD1B13">
      <w:pPr>
        <w:pStyle w:val="CETReferencetext"/>
      </w:pPr>
      <w:proofErr w:type="spellStart"/>
      <w:r w:rsidRPr="00CD1B13">
        <w:t>Hisem</w:t>
      </w:r>
      <w:proofErr w:type="spellEnd"/>
      <w:r w:rsidRPr="00CD1B13">
        <w:t xml:space="preserve">, </w:t>
      </w:r>
      <w:r w:rsidR="007E4B07" w:rsidRPr="00CD1B13">
        <w:t>D</w:t>
      </w:r>
      <w:r w:rsidRPr="00CD1B13">
        <w:t xml:space="preserve">.; </w:t>
      </w:r>
      <w:proofErr w:type="spellStart"/>
      <w:r w:rsidR="007E4B07" w:rsidRPr="00CD1B13">
        <w:t>H</w:t>
      </w:r>
      <w:r w:rsidRPr="00CD1B13">
        <w:t>rouzek</w:t>
      </w:r>
      <w:proofErr w:type="spellEnd"/>
      <w:r w:rsidRPr="00CD1B13">
        <w:t xml:space="preserve">, </w:t>
      </w:r>
      <w:r w:rsidR="007E4B07" w:rsidRPr="00CD1B13">
        <w:t>P.; T</w:t>
      </w:r>
      <w:r w:rsidRPr="00CD1B13">
        <w:t xml:space="preserve">omek, </w:t>
      </w:r>
      <w:r w:rsidR="007E4B07" w:rsidRPr="00CD1B13">
        <w:t xml:space="preserve">P.; </w:t>
      </w:r>
      <w:proofErr w:type="spellStart"/>
      <w:r w:rsidR="007E4B07" w:rsidRPr="00CD1B13">
        <w:t>T</w:t>
      </w:r>
      <w:r w:rsidRPr="00CD1B13">
        <w:t>omsícková</w:t>
      </w:r>
      <w:proofErr w:type="spellEnd"/>
      <w:r w:rsidRPr="00CD1B13">
        <w:t xml:space="preserve">, </w:t>
      </w:r>
      <w:r w:rsidR="007E4B07" w:rsidRPr="00CD1B13">
        <w:t>J</w:t>
      </w:r>
      <w:r w:rsidRPr="00CD1B13">
        <w:t xml:space="preserve">.; </w:t>
      </w:r>
      <w:proofErr w:type="spellStart"/>
      <w:r w:rsidR="007E4B07" w:rsidRPr="00CD1B13">
        <w:t>Zapomelová</w:t>
      </w:r>
      <w:proofErr w:type="spellEnd"/>
      <w:r w:rsidR="007E4B07" w:rsidRPr="00CD1B13">
        <w:t>, E</w:t>
      </w:r>
      <w:r w:rsidRPr="00CD1B13">
        <w:t xml:space="preserve">.; </w:t>
      </w:r>
      <w:proofErr w:type="spellStart"/>
      <w:r w:rsidR="007E4B07" w:rsidRPr="00CD1B13">
        <w:t>S</w:t>
      </w:r>
      <w:r w:rsidRPr="00CD1B13">
        <w:t>kácelová</w:t>
      </w:r>
      <w:proofErr w:type="spellEnd"/>
      <w:r w:rsidRPr="00CD1B13">
        <w:t xml:space="preserve">, </w:t>
      </w:r>
      <w:r w:rsidR="007E4B07" w:rsidRPr="00CD1B13">
        <w:t>K</w:t>
      </w:r>
      <w:r w:rsidRPr="00CD1B13">
        <w:t xml:space="preserve">.; </w:t>
      </w:r>
      <w:proofErr w:type="spellStart"/>
      <w:r w:rsidR="007E4B07" w:rsidRPr="00CD1B13">
        <w:t>L</w:t>
      </w:r>
      <w:r w:rsidRPr="00CD1B13">
        <w:t>ukesová</w:t>
      </w:r>
      <w:proofErr w:type="spellEnd"/>
      <w:r w:rsidRPr="00CD1B13">
        <w:t xml:space="preserve">, </w:t>
      </w:r>
      <w:r w:rsidR="007E4B07" w:rsidRPr="00CD1B13">
        <w:t>A</w:t>
      </w:r>
      <w:r w:rsidRPr="00CD1B13">
        <w:t xml:space="preserve">.; </w:t>
      </w:r>
      <w:proofErr w:type="spellStart"/>
      <w:r w:rsidR="007E4B07" w:rsidRPr="00CD1B13">
        <w:t>K</w:t>
      </w:r>
      <w:r w:rsidRPr="00CD1B13">
        <w:t>opecký</w:t>
      </w:r>
      <w:proofErr w:type="spellEnd"/>
      <w:r w:rsidRPr="00CD1B13">
        <w:t xml:space="preserve">, </w:t>
      </w:r>
      <w:r w:rsidR="007E4B07" w:rsidRPr="00CD1B13">
        <w:t>J</w:t>
      </w:r>
      <w:r w:rsidRPr="00CD1B13">
        <w:t xml:space="preserve">. Cyanobacterial </w:t>
      </w:r>
      <w:r w:rsidR="007E4B07" w:rsidRPr="00CD1B13">
        <w:t>C</w:t>
      </w:r>
      <w:r w:rsidRPr="00CD1B13">
        <w:t xml:space="preserve">ytotoxicity </w:t>
      </w:r>
      <w:r w:rsidR="007E4B07" w:rsidRPr="00CD1B13">
        <w:t>V</w:t>
      </w:r>
      <w:r w:rsidRPr="00CD1B13">
        <w:t xml:space="preserve">ersus </w:t>
      </w:r>
      <w:r w:rsidR="007E4B07" w:rsidRPr="00CD1B13">
        <w:t>T</w:t>
      </w:r>
      <w:r w:rsidRPr="00CD1B13">
        <w:t xml:space="preserve">oxicity to </w:t>
      </w:r>
      <w:r w:rsidR="007E4B07" w:rsidRPr="00CD1B13">
        <w:t>B</w:t>
      </w:r>
      <w:r w:rsidRPr="00CD1B13">
        <w:t xml:space="preserve">rine </w:t>
      </w:r>
      <w:r w:rsidR="007E4B07" w:rsidRPr="00CD1B13">
        <w:t>S</w:t>
      </w:r>
      <w:r w:rsidRPr="00CD1B13">
        <w:t xml:space="preserve">hrimp </w:t>
      </w:r>
      <w:proofErr w:type="spellStart"/>
      <w:r w:rsidR="007E4B07" w:rsidRPr="00CD1B13">
        <w:t>A</w:t>
      </w:r>
      <w:r w:rsidRPr="00CD1B13">
        <w:t>rtemia</w:t>
      </w:r>
      <w:proofErr w:type="spellEnd"/>
      <w:r w:rsidRPr="00CD1B13">
        <w:t xml:space="preserve"> </w:t>
      </w:r>
      <w:r w:rsidR="007E4B07" w:rsidRPr="00CD1B13">
        <w:t>S</w:t>
      </w:r>
      <w:r w:rsidRPr="00CD1B13">
        <w:t xml:space="preserve">alina. </w:t>
      </w:r>
      <w:proofErr w:type="spellStart"/>
      <w:r w:rsidRPr="00CD1B13">
        <w:t>Toxicon</w:t>
      </w:r>
      <w:proofErr w:type="spellEnd"/>
      <w:r w:rsidRPr="00CD1B13">
        <w:t>, v. 57, p. 76-83, 2011.</w:t>
      </w:r>
    </w:p>
    <w:p w:rsidR="00920F10" w:rsidRPr="00A4524E" w:rsidRDefault="00920F10" w:rsidP="00CD1B13">
      <w:pPr>
        <w:pStyle w:val="CETReferencetext"/>
        <w:rPr>
          <w:lang w:val="pt-BR"/>
        </w:rPr>
      </w:pPr>
      <w:r w:rsidRPr="00CD1B13">
        <w:t xml:space="preserve">Luna, J.S. et al. A </w:t>
      </w:r>
      <w:r w:rsidR="007E4B07" w:rsidRPr="00CD1B13">
        <w:t>S</w:t>
      </w:r>
      <w:r w:rsidRPr="00CD1B13">
        <w:t xml:space="preserve">tudy of the </w:t>
      </w:r>
      <w:r w:rsidR="007E4B07" w:rsidRPr="00CD1B13">
        <w:t>L</w:t>
      </w:r>
      <w:r w:rsidRPr="00CD1B13">
        <w:t xml:space="preserve">arvicidal and </w:t>
      </w:r>
      <w:proofErr w:type="spellStart"/>
      <w:r w:rsidR="007E4B07" w:rsidRPr="00CD1B13">
        <w:t>M</w:t>
      </w:r>
      <w:r w:rsidRPr="00CD1B13">
        <w:t>olluscicidal</w:t>
      </w:r>
      <w:proofErr w:type="spellEnd"/>
      <w:r w:rsidRPr="00CD1B13">
        <w:t xml:space="preserve"> </w:t>
      </w:r>
      <w:r w:rsidR="007E4B07" w:rsidRPr="00CD1B13">
        <w:t>A</w:t>
      </w:r>
      <w:r w:rsidRPr="00CD1B13">
        <w:t xml:space="preserve">ctivities of </w:t>
      </w:r>
      <w:r w:rsidR="007E4B07" w:rsidRPr="00CD1B13">
        <w:t>S</w:t>
      </w:r>
      <w:r w:rsidRPr="00CD1B13">
        <w:t xml:space="preserve">ome </w:t>
      </w:r>
      <w:r w:rsidR="007E4B07" w:rsidRPr="00CD1B13">
        <w:t>M</w:t>
      </w:r>
      <w:r w:rsidRPr="00CD1B13">
        <w:t xml:space="preserve">edicinal </w:t>
      </w:r>
      <w:r w:rsidR="007E4B07" w:rsidRPr="00CD1B13">
        <w:t>P</w:t>
      </w:r>
      <w:r w:rsidRPr="00CD1B13">
        <w:t xml:space="preserve">lants </w:t>
      </w:r>
      <w:proofErr w:type="gramStart"/>
      <w:r w:rsidR="007E4B07" w:rsidRPr="00CD1B13">
        <w:t>F</w:t>
      </w:r>
      <w:r w:rsidRPr="00CD1B13">
        <w:t>rom</w:t>
      </w:r>
      <w:proofErr w:type="gramEnd"/>
      <w:r w:rsidRPr="00CD1B13">
        <w:t xml:space="preserve"> </w:t>
      </w:r>
      <w:r w:rsidR="007E4B07" w:rsidRPr="00CD1B13">
        <w:t>N</w:t>
      </w:r>
      <w:r w:rsidRPr="00CD1B13">
        <w:t xml:space="preserve">ortheast Brazil. </w:t>
      </w:r>
      <w:proofErr w:type="spellStart"/>
      <w:r w:rsidRPr="00A4524E">
        <w:rPr>
          <w:lang w:val="pt-BR"/>
        </w:rPr>
        <w:t>Journal</w:t>
      </w:r>
      <w:proofErr w:type="spellEnd"/>
      <w:r w:rsidRPr="00A4524E">
        <w:rPr>
          <w:lang w:val="pt-BR"/>
        </w:rPr>
        <w:t xml:space="preserve"> </w:t>
      </w:r>
      <w:proofErr w:type="spellStart"/>
      <w:r w:rsidRPr="00A4524E">
        <w:rPr>
          <w:lang w:val="pt-BR"/>
        </w:rPr>
        <w:t>of</w:t>
      </w:r>
      <w:proofErr w:type="spellEnd"/>
      <w:r w:rsidRPr="00A4524E">
        <w:rPr>
          <w:lang w:val="pt-BR"/>
        </w:rPr>
        <w:t xml:space="preserve"> </w:t>
      </w:r>
      <w:proofErr w:type="spellStart"/>
      <w:r w:rsidRPr="00A4524E">
        <w:rPr>
          <w:lang w:val="pt-BR"/>
        </w:rPr>
        <w:t>Ethnopharmacology</w:t>
      </w:r>
      <w:proofErr w:type="spellEnd"/>
      <w:r w:rsidRPr="00A4524E">
        <w:rPr>
          <w:lang w:val="pt-BR"/>
        </w:rPr>
        <w:t>. 2005. P. 199 - 206.</w:t>
      </w:r>
    </w:p>
    <w:p w:rsidR="00920F10" w:rsidRPr="00CD1B13" w:rsidRDefault="007E4B07" w:rsidP="00CD1B13">
      <w:pPr>
        <w:pStyle w:val="CETReferencetext"/>
      </w:pPr>
      <w:r w:rsidRPr="00773CC0">
        <w:rPr>
          <w:lang w:val="pt-BR"/>
        </w:rPr>
        <w:t>Magalhães, D</w:t>
      </w:r>
      <w:r w:rsidR="00920F10" w:rsidRPr="00773CC0">
        <w:rPr>
          <w:lang w:val="pt-BR"/>
        </w:rPr>
        <w:t xml:space="preserve">. P.; </w:t>
      </w:r>
      <w:r w:rsidRPr="00773CC0">
        <w:rPr>
          <w:lang w:val="pt-BR"/>
        </w:rPr>
        <w:t>F</w:t>
      </w:r>
      <w:r w:rsidR="00920F10" w:rsidRPr="00773CC0">
        <w:rPr>
          <w:lang w:val="pt-BR"/>
        </w:rPr>
        <w:t xml:space="preserve">errão </w:t>
      </w:r>
      <w:r w:rsidRPr="00773CC0">
        <w:rPr>
          <w:lang w:val="pt-BR"/>
        </w:rPr>
        <w:t>F</w:t>
      </w:r>
      <w:r w:rsidR="00920F10" w:rsidRPr="00773CC0">
        <w:rPr>
          <w:lang w:val="pt-BR"/>
        </w:rPr>
        <w:t xml:space="preserve">ilho, </w:t>
      </w:r>
      <w:r w:rsidRPr="00773CC0">
        <w:rPr>
          <w:lang w:val="pt-BR"/>
        </w:rPr>
        <w:t>A</w:t>
      </w:r>
      <w:r w:rsidR="00920F10" w:rsidRPr="00773CC0">
        <w:rPr>
          <w:lang w:val="pt-BR"/>
        </w:rPr>
        <w:t xml:space="preserve">. S. A </w:t>
      </w:r>
      <w:proofErr w:type="spellStart"/>
      <w:r w:rsidRPr="00773CC0">
        <w:rPr>
          <w:lang w:val="pt-BR"/>
        </w:rPr>
        <w:t>E</w:t>
      </w:r>
      <w:r w:rsidR="00E60138" w:rsidRPr="00773CC0">
        <w:rPr>
          <w:lang w:val="pt-BR"/>
        </w:rPr>
        <w:t>cotoxicologia</w:t>
      </w:r>
      <w:proofErr w:type="spellEnd"/>
      <w:r w:rsidR="00E60138" w:rsidRPr="00773CC0">
        <w:rPr>
          <w:lang w:val="pt-BR"/>
        </w:rPr>
        <w:t xml:space="preserve"> como F</w:t>
      </w:r>
      <w:r w:rsidR="00920F10" w:rsidRPr="00773CC0">
        <w:rPr>
          <w:lang w:val="pt-BR"/>
        </w:rPr>
        <w:t xml:space="preserve">erramenta no </w:t>
      </w:r>
      <w:proofErr w:type="spellStart"/>
      <w:r w:rsidR="00E60138" w:rsidRPr="00773CC0">
        <w:rPr>
          <w:lang w:val="pt-BR"/>
        </w:rPr>
        <w:t>B</w:t>
      </w:r>
      <w:r w:rsidR="00920F10" w:rsidRPr="00773CC0">
        <w:rPr>
          <w:lang w:val="pt-BR"/>
        </w:rPr>
        <w:t>iomonitoramento</w:t>
      </w:r>
      <w:proofErr w:type="spellEnd"/>
      <w:r w:rsidR="00E60138" w:rsidRPr="00773CC0">
        <w:rPr>
          <w:lang w:val="pt-BR"/>
        </w:rPr>
        <w:t xml:space="preserve"> de E</w:t>
      </w:r>
      <w:r w:rsidR="00920F10" w:rsidRPr="00773CC0">
        <w:rPr>
          <w:lang w:val="pt-BR"/>
        </w:rPr>
        <w:t xml:space="preserve">cossistemas </w:t>
      </w:r>
      <w:r w:rsidR="00E60138" w:rsidRPr="00773CC0">
        <w:rPr>
          <w:lang w:val="pt-BR"/>
        </w:rPr>
        <w:t>A</w:t>
      </w:r>
      <w:r w:rsidR="00920F10" w:rsidRPr="00773CC0">
        <w:rPr>
          <w:lang w:val="pt-BR"/>
        </w:rPr>
        <w:t xml:space="preserve">quáticos. </w:t>
      </w:r>
      <w:proofErr w:type="spellStart"/>
      <w:r w:rsidR="00920F10" w:rsidRPr="00CD1B13">
        <w:t>Oecologia</w:t>
      </w:r>
      <w:proofErr w:type="spellEnd"/>
      <w:r w:rsidR="00920F10" w:rsidRPr="00CD1B13">
        <w:t xml:space="preserve"> </w:t>
      </w:r>
      <w:proofErr w:type="spellStart"/>
      <w:r w:rsidR="00E60138" w:rsidRPr="00CD1B13">
        <w:t>B</w:t>
      </w:r>
      <w:r w:rsidR="00920F10" w:rsidRPr="00CD1B13">
        <w:t>rás</w:t>
      </w:r>
      <w:proofErr w:type="spellEnd"/>
      <w:r w:rsidR="00920F10" w:rsidRPr="00CD1B13">
        <w:t>., 355-381, 2008.</w:t>
      </w:r>
    </w:p>
    <w:p w:rsidR="00920F10" w:rsidRPr="00773CC0" w:rsidRDefault="00920F10" w:rsidP="00C720BD">
      <w:pPr>
        <w:pStyle w:val="CETReferencetext"/>
        <w:rPr>
          <w:lang w:val="pt-BR"/>
        </w:rPr>
      </w:pPr>
      <w:r w:rsidRPr="00CD1B13">
        <w:t xml:space="preserve">Meyer, </w:t>
      </w:r>
      <w:r w:rsidR="00E60138" w:rsidRPr="00CD1B13">
        <w:t>B</w:t>
      </w:r>
      <w:r w:rsidRPr="00CD1B13">
        <w:t xml:space="preserve">. N., </w:t>
      </w:r>
      <w:proofErr w:type="spellStart"/>
      <w:r w:rsidR="00E60138" w:rsidRPr="00CD1B13">
        <w:t>F</w:t>
      </w:r>
      <w:r w:rsidRPr="00CD1B13">
        <w:t>errigni</w:t>
      </w:r>
      <w:proofErr w:type="spellEnd"/>
      <w:r w:rsidRPr="00CD1B13">
        <w:t xml:space="preserve">, </w:t>
      </w:r>
      <w:r w:rsidR="00E60138" w:rsidRPr="00CD1B13">
        <w:t>N</w:t>
      </w:r>
      <w:r w:rsidRPr="00CD1B13">
        <w:t xml:space="preserve">. R., </w:t>
      </w:r>
      <w:proofErr w:type="spellStart"/>
      <w:r w:rsidR="00E60138" w:rsidRPr="00CD1B13">
        <w:t>P</w:t>
      </w:r>
      <w:r w:rsidRPr="00CD1B13">
        <w:t>utnan</w:t>
      </w:r>
      <w:proofErr w:type="spellEnd"/>
      <w:r w:rsidRPr="00CD1B13">
        <w:t xml:space="preserve">, </w:t>
      </w:r>
      <w:r w:rsidR="00E60138" w:rsidRPr="00CD1B13">
        <w:t>J</w:t>
      </w:r>
      <w:r w:rsidRPr="00CD1B13">
        <w:t xml:space="preserve">. E., </w:t>
      </w:r>
      <w:r w:rsidR="00E60138" w:rsidRPr="00CD1B13">
        <w:t>J</w:t>
      </w:r>
      <w:r w:rsidRPr="00CD1B13">
        <w:t xml:space="preserve">acobsen, </w:t>
      </w:r>
      <w:r w:rsidR="00E60138" w:rsidRPr="00CD1B13">
        <w:t>L</w:t>
      </w:r>
      <w:r w:rsidRPr="00CD1B13">
        <w:t xml:space="preserve">. B., </w:t>
      </w:r>
      <w:r w:rsidR="00E60138" w:rsidRPr="00CD1B13">
        <w:t>N</w:t>
      </w:r>
      <w:r w:rsidRPr="00CD1B13">
        <w:t xml:space="preserve">ichols, </w:t>
      </w:r>
      <w:r w:rsidR="00E60138" w:rsidRPr="00CD1B13">
        <w:t>D</w:t>
      </w:r>
      <w:r w:rsidRPr="00CD1B13">
        <w:t xml:space="preserve">. E., </w:t>
      </w:r>
      <w:proofErr w:type="spellStart"/>
      <w:r w:rsidR="00E60138" w:rsidRPr="00CD1B13">
        <w:t>M</w:t>
      </w:r>
      <w:r w:rsidRPr="00CD1B13">
        <w:t>cl</w:t>
      </w:r>
      <w:proofErr w:type="spellEnd"/>
      <w:r w:rsidRPr="00CD1B13">
        <w:t xml:space="preserve">. </w:t>
      </w:r>
      <w:proofErr w:type="spellStart"/>
      <w:r w:rsidRPr="00CD1B13">
        <w:t>Aughlin</w:t>
      </w:r>
      <w:proofErr w:type="spellEnd"/>
      <w:r w:rsidRPr="00CD1B13">
        <w:t xml:space="preserve">, j. </w:t>
      </w:r>
      <w:r w:rsidR="00E60138" w:rsidRPr="00CD1B13">
        <w:t>Brine Shrimp: A</w:t>
      </w:r>
      <w:r w:rsidRPr="00CD1B13">
        <w:t xml:space="preserve"> </w:t>
      </w:r>
      <w:r w:rsidR="00E60138" w:rsidRPr="00CD1B13">
        <w:t>C</w:t>
      </w:r>
      <w:r w:rsidRPr="00CD1B13">
        <w:t xml:space="preserve">onvenient </w:t>
      </w:r>
      <w:r w:rsidR="00E60138" w:rsidRPr="00CD1B13">
        <w:t>G</w:t>
      </w:r>
      <w:r w:rsidRPr="00CD1B13">
        <w:t xml:space="preserve">eneral </w:t>
      </w:r>
      <w:r w:rsidR="00E60138" w:rsidRPr="00CD1B13">
        <w:t>B</w:t>
      </w:r>
      <w:r w:rsidRPr="00CD1B13">
        <w:t xml:space="preserve">ioassay for </w:t>
      </w:r>
      <w:r w:rsidR="00E60138" w:rsidRPr="00CD1B13">
        <w:t>A</w:t>
      </w:r>
      <w:r w:rsidRPr="00CD1B13">
        <w:t xml:space="preserve">ctive </w:t>
      </w:r>
      <w:r w:rsidR="00E60138" w:rsidRPr="00CD1B13">
        <w:t>P</w:t>
      </w:r>
      <w:r w:rsidRPr="00CD1B13">
        <w:t xml:space="preserve">lant </w:t>
      </w:r>
      <w:r w:rsidR="00E60138" w:rsidRPr="00CD1B13">
        <w:t>C</w:t>
      </w:r>
      <w:r w:rsidRPr="00CD1B13">
        <w:t xml:space="preserve">onstituents. </w:t>
      </w:r>
      <w:proofErr w:type="spellStart"/>
      <w:r w:rsidRPr="00773CC0">
        <w:rPr>
          <w:lang w:val="pt-BR"/>
        </w:rPr>
        <w:t>Journal</w:t>
      </w:r>
      <w:proofErr w:type="spellEnd"/>
      <w:r w:rsidRPr="00773CC0">
        <w:rPr>
          <w:lang w:val="pt-BR"/>
        </w:rPr>
        <w:t xml:space="preserve"> </w:t>
      </w:r>
      <w:proofErr w:type="spellStart"/>
      <w:r w:rsidRPr="00773CC0">
        <w:rPr>
          <w:lang w:val="pt-BR"/>
        </w:rPr>
        <w:t>of</w:t>
      </w:r>
      <w:proofErr w:type="spellEnd"/>
      <w:r w:rsidRPr="00773CC0">
        <w:rPr>
          <w:lang w:val="pt-BR"/>
        </w:rPr>
        <w:t xml:space="preserve"> </w:t>
      </w:r>
      <w:r w:rsidR="00E60138" w:rsidRPr="00773CC0">
        <w:rPr>
          <w:lang w:val="pt-BR"/>
        </w:rPr>
        <w:t xml:space="preserve">Medical </w:t>
      </w:r>
      <w:proofErr w:type="spellStart"/>
      <w:r w:rsidR="00E60138" w:rsidRPr="00773CC0">
        <w:rPr>
          <w:lang w:val="pt-BR"/>
        </w:rPr>
        <w:t>P</w:t>
      </w:r>
      <w:r w:rsidRPr="00773CC0">
        <w:rPr>
          <w:lang w:val="pt-BR"/>
        </w:rPr>
        <w:t>lant</w:t>
      </w:r>
      <w:proofErr w:type="spellEnd"/>
      <w:r w:rsidRPr="00773CC0">
        <w:rPr>
          <w:lang w:val="pt-BR"/>
        </w:rPr>
        <w:t xml:space="preserve"> </w:t>
      </w:r>
      <w:proofErr w:type="spellStart"/>
      <w:r w:rsidR="00E60138" w:rsidRPr="00773CC0">
        <w:rPr>
          <w:lang w:val="pt-BR"/>
        </w:rPr>
        <w:t>R</w:t>
      </w:r>
      <w:r w:rsidRPr="00773CC0">
        <w:rPr>
          <w:lang w:val="pt-BR"/>
        </w:rPr>
        <w:t>esearch</w:t>
      </w:r>
      <w:proofErr w:type="spellEnd"/>
      <w:r w:rsidRPr="00773CC0">
        <w:rPr>
          <w:lang w:val="pt-BR"/>
        </w:rPr>
        <w:t>, v. 45, n.1, p. 31-34, 1982.</w:t>
      </w:r>
    </w:p>
    <w:p w:rsidR="00920F10" w:rsidRPr="00262118" w:rsidRDefault="00E60138" w:rsidP="00C720BD">
      <w:pPr>
        <w:pStyle w:val="CETReferencetext"/>
        <w:rPr>
          <w:lang w:val="en-US"/>
        </w:rPr>
      </w:pPr>
      <w:r w:rsidRPr="00773CC0">
        <w:rPr>
          <w:lang w:val="pt-BR"/>
        </w:rPr>
        <w:t>Petrobrás. Baía de G</w:t>
      </w:r>
      <w:r w:rsidR="00920F10" w:rsidRPr="00773CC0">
        <w:rPr>
          <w:lang w:val="pt-BR"/>
        </w:rPr>
        <w:t xml:space="preserve">uanabara: </w:t>
      </w:r>
      <w:r w:rsidRPr="00773CC0">
        <w:rPr>
          <w:lang w:val="pt-BR"/>
        </w:rPr>
        <w:t>Síntese do C</w:t>
      </w:r>
      <w:r w:rsidR="00920F10" w:rsidRPr="00773CC0">
        <w:rPr>
          <w:lang w:val="pt-BR"/>
        </w:rPr>
        <w:t xml:space="preserve">onhecimento </w:t>
      </w:r>
      <w:r w:rsidRPr="00773CC0">
        <w:rPr>
          <w:lang w:val="pt-BR"/>
        </w:rPr>
        <w:t>A</w:t>
      </w:r>
      <w:r w:rsidR="00920F10" w:rsidRPr="00773CC0">
        <w:rPr>
          <w:lang w:val="pt-BR"/>
        </w:rPr>
        <w:t xml:space="preserve">mbiental – </w:t>
      </w:r>
      <w:r w:rsidRPr="00773CC0">
        <w:rPr>
          <w:lang w:val="pt-BR"/>
        </w:rPr>
        <w:t>A</w:t>
      </w:r>
      <w:r w:rsidR="00920F10" w:rsidRPr="00773CC0">
        <w:rPr>
          <w:lang w:val="pt-BR"/>
        </w:rPr>
        <w:t xml:space="preserve">mbiente e </w:t>
      </w:r>
      <w:r w:rsidRPr="00773CC0">
        <w:rPr>
          <w:lang w:val="pt-BR"/>
        </w:rPr>
        <w:t>I</w:t>
      </w:r>
      <w:r w:rsidR="00920F10" w:rsidRPr="00773CC0">
        <w:rPr>
          <w:lang w:val="pt-BR"/>
        </w:rPr>
        <w:t xml:space="preserve">nfluência </w:t>
      </w:r>
      <w:r w:rsidRPr="00773CC0">
        <w:rPr>
          <w:lang w:val="pt-BR"/>
        </w:rPr>
        <w:t>A</w:t>
      </w:r>
      <w:r w:rsidR="00920F10" w:rsidRPr="00773CC0">
        <w:rPr>
          <w:lang w:val="pt-BR"/>
        </w:rPr>
        <w:t xml:space="preserve">ntrópica. </w:t>
      </w:r>
      <w:r w:rsidR="00920F10" w:rsidRPr="00262118">
        <w:rPr>
          <w:lang w:val="en-US"/>
        </w:rPr>
        <w:t>Rio de Janeiro, 2012.</w:t>
      </w:r>
    </w:p>
    <w:p w:rsidR="008751AA" w:rsidRPr="008751AA" w:rsidRDefault="008751AA" w:rsidP="00C720BD">
      <w:pPr>
        <w:pStyle w:val="CETReferencetext"/>
        <w:rPr>
          <w:lang w:val="en-US"/>
        </w:rPr>
      </w:pPr>
      <w:proofErr w:type="spellStart"/>
      <w:r w:rsidRPr="008751AA">
        <w:rPr>
          <w:lang w:val="en-US"/>
        </w:rPr>
        <w:t>Sabeen</w:t>
      </w:r>
      <w:proofErr w:type="spellEnd"/>
      <w:r w:rsidRPr="008751AA">
        <w:rPr>
          <w:lang w:val="en-US"/>
        </w:rPr>
        <w:t xml:space="preserve">, A. H.; </w:t>
      </w:r>
      <w:proofErr w:type="spellStart"/>
      <w:r w:rsidRPr="008751AA">
        <w:rPr>
          <w:lang w:val="en-US"/>
        </w:rPr>
        <w:t>Ngadi</w:t>
      </w:r>
      <w:proofErr w:type="spellEnd"/>
      <w:r w:rsidRPr="008751AA">
        <w:rPr>
          <w:lang w:val="en-US"/>
        </w:rPr>
        <w:t xml:space="preserve">, N.; Noor, Z. Z.; Raheem, A. </w:t>
      </w:r>
      <w:r>
        <w:rPr>
          <w:lang w:val="en-US"/>
        </w:rPr>
        <w:t xml:space="preserve">B.; </w:t>
      </w:r>
      <w:proofErr w:type="spellStart"/>
      <w:r>
        <w:rPr>
          <w:lang w:val="en-US"/>
        </w:rPr>
        <w:t>Agouillal</w:t>
      </w:r>
      <w:proofErr w:type="spellEnd"/>
      <w:r>
        <w:rPr>
          <w:lang w:val="en-US"/>
        </w:rPr>
        <w:t xml:space="preserve">, F.; Mohammed, A. A.; </w:t>
      </w:r>
      <w:proofErr w:type="spellStart"/>
      <w:r>
        <w:rPr>
          <w:lang w:val="en-US"/>
        </w:rPr>
        <w:t>Abdulkarim</w:t>
      </w:r>
      <w:proofErr w:type="spellEnd"/>
      <w:r>
        <w:rPr>
          <w:lang w:val="en-US"/>
        </w:rPr>
        <w:t xml:space="preserve">, B. I., 2018, </w:t>
      </w:r>
      <w:r w:rsidRPr="008751AA">
        <w:rPr>
          <w:lang w:val="en-US"/>
        </w:rPr>
        <w:t xml:space="preserve">Characteristics of the </w:t>
      </w:r>
      <w:r w:rsidR="009621B7">
        <w:rPr>
          <w:lang w:val="en-US"/>
        </w:rPr>
        <w:t>e</w:t>
      </w:r>
      <w:r w:rsidRPr="008751AA">
        <w:rPr>
          <w:lang w:val="en-US"/>
        </w:rPr>
        <w:t xml:space="preserve">ffluent </w:t>
      </w:r>
      <w:r w:rsidR="009621B7">
        <w:rPr>
          <w:lang w:val="en-US"/>
        </w:rPr>
        <w:t>w</w:t>
      </w:r>
      <w:r w:rsidRPr="008751AA">
        <w:rPr>
          <w:lang w:val="en-US"/>
        </w:rPr>
        <w:t xml:space="preserve">astewater in </w:t>
      </w:r>
      <w:r w:rsidR="009621B7">
        <w:rPr>
          <w:lang w:val="en-US"/>
        </w:rPr>
        <w:t>s</w:t>
      </w:r>
      <w:r w:rsidRPr="008751AA">
        <w:rPr>
          <w:lang w:val="en-US"/>
        </w:rPr>
        <w:t xml:space="preserve">ewage </w:t>
      </w:r>
      <w:r w:rsidR="009621B7">
        <w:rPr>
          <w:lang w:val="en-US"/>
        </w:rPr>
        <w:t>t</w:t>
      </w:r>
      <w:r w:rsidRPr="008751AA">
        <w:rPr>
          <w:lang w:val="en-US"/>
        </w:rPr>
        <w:t xml:space="preserve">reatment </w:t>
      </w:r>
      <w:r w:rsidR="009621B7">
        <w:rPr>
          <w:lang w:val="en-US"/>
        </w:rPr>
        <w:t>p</w:t>
      </w:r>
      <w:r w:rsidRPr="008751AA">
        <w:rPr>
          <w:lang w:val="en-US"/>
        </w:rPr>
        <w:t xml:space="preserve">lants of </w:t>
      </w:r>
      <w:r w:rsidR="009621B7">
        <w:rPr>
          <w:lang w:val="en-US"/>
        </w:rPr>
        <w:t>M</w:t>
      </w:r>
      <w:r w:rsidRPr="008751AA">
        <w:rPr>
          <w:lang w:val="en-US"/>
        </w:rPr>
        <w:t xml:space="preserve">alaysian </w:t>
      </w:r>
      <w:r w:rsidR="009621B7">
        <w:rPr>
          <w:lang w:val="en-US"/>
        </w:rPr>
        <w:t>u</w:t>
      </w:r>
      <w:r w:rsidRPr="008751AA">
        <w:rPr>
          <w:lang w:val="en-US"/>
        </w:rPr>
        <w:t xml:space="preserve">rban </w:t>
      </w:r>
      <w:r w:rsidR="009621B7">
        <w:rPr>
          <w:lang w:val="en-US"/>
        </w:rPr>
        <w:t>a</w:t>
      </w:r>
      <w:r w:rsidRPr="008751AA">
        <w:rPr>
          <w:lang w:val="en-US"/>
        </w:rPr>
        <w:t>reas</w:t>
      </w:r>
      <w:r>
        <w:rPr>
          <w:lang w:val="en-US"/>
        </w:rPr>
        <w:t xml:space="preserve">, </w:t>
      </w:r>
      <w:r w:rsidRPr="00A4524E">
        <w:rPr>
          <w:rFonts w:cs="Arial"/>
          <w:szCs w:val="18"/>
        </w:rPr>
        <w:t>Chemical Engineering Transactions,</w:t>
      </w:r>
      <w:r>
        <w:rPr>
          <w:rFonts w:cs="Arial"/>
          <w:szCs w:val="18"/>
        </w:rPr>
        <w:t xml:space="preserve"> 63, 691-696.</w:t>
      </w:r>
    </w:p>
    <w:p w:rsidR="008751AA" w:rsidRDefault="00A4524E" w:rsidP="008751AA">
      <w:pPr>
        <w:autoSpaceDE w:val="0"/>
        <w:autoSpaceDN w:val="0"/>
        <w:adjustRightInd w:val="0"/>
        <w:ind w:left="284" w:hanging="284"/>
        <w:rPr>
          <w:rFonts w:cs="Arial"/>
          <w:szCs w:val="18"/>
        </w:rPr>
      </w:pPr>
      <w:r w:rsidRPr="00A4524E">
        <w:rPr>
          <w:rFonts w:cs="Arial"/>
          <w:szCs w:val="18"/>
        </w:rPr>
        <w:t>Tian H., Wang R., 2018, Analysis and countermeasures of chemical pollution damage assessment in scenic areas, Chemical Engineering Transactions, 71, 205-210</w:t>
      </w:r>
      <w:r w:rsidR="008751AA">
        <w:rPr>
          <w:rFonts w:cs="Arial"/>
          <w:szCs w:val="18"/>
        </w:rPr>
        <w:t>.</w:t>
      </w:r>
    </w:p>
    <w:p w:rsidR="004628D2" w:rsidRPr="001D557D" w:rsidRDefault="001D557D" w:rsidP="008751AA">
      <w:pPr>
        <w:autoSpaceDE w:val="0"/>
        <w:autoSpaceDN w:val="0"/>
        <w:adjustRightInd w:val="0"/>
        <w:ind w:left="284" w:hanging="284"/>
      </w:pPr>
      <w:proofErr w:type="spellStart"/>
      <w:r w:rsidRPr="00A4524E">
        <w:rPr>
          <w:color w:val="000000" w:themeColor="text1"/>
          <w:lang w:val="en-US"/>
        </w:rPr>
        <w:t>Truhaut</w:t>
      </w:r>
      <w:proofErr w:type="spellEnd"/>
      <w:r w:rsidRPr="00A4524E">
        <w:rPr>
          <w:color w:val="000000" w:themeColor="text1"/>
          <w:lang w:val="en-US"/>
        </w:rPr>
        <w:t xml:space="preserve">, R. Ecotoxicology: Objectives, Principles and perspectives. </w:t>
      </w:r>
      <w:r w:rsidRPr="00C27356">
        <w:rPr>
          <w:color w:val="000000" w:themeColor="text1"/>
        </w:rPr>
        <w:t>Ecotoxicology and Environmental Safety. New York, V.1, p. 151-173, 1977.</w:t>
      </w:r>
    </w:p>
    <w:sectPr w:rsidR="004628D2" w:rsidRPr="001D557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257" w:rsidRDefault="004B5257" w:rsidP="004F5E36">
      <w:r>
        <w:separator/>
      </w:r>
    </w:p>
  </w:endnote>
  <w:endnote w:type="continuationSeparator" w:id="0">
    <w:p w:rsidR="004B5257" w:rsidRDefault="004B52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257" w:rsidRDefault="004B5257" w:rsidP="004F5E36">
      <w:r>
        <w:separator/>
      </w:r>
    </w:p>
  </w:footnote>
  <w:footnote w:type="continuationSeparator" w:id="0">
    <w:p w:rsidR="004B5257" w:rsidRDefault="004B52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AD7"/>
    <w:rsid w:val="00004DBE"/>
    <w:rsid w:val="000052FB"/>
    <w:rsid w:val="00010F40"/>
    <w:rsid w:val="000117CB"/>
    <w:rsid w:val="00026406"/>
    <w:rsid w:val="0003148D"/>
    <w:rsid w:val="00047D7F"/>
    <w:rsid w:val="00051566"/>
    <w:rsid w:val="00062A9A"/>
    <w:rsid w:val="00065058"/>
    <w:rsid w:val="00074110"/>
    <w:rsid w:val="00084F04"/>
    <w:rsid w:val="00086C39"/>
    <w:rsid w:val="00095418"/>
    <w:rsid w:val="000A03B2"/>
    <w:rsid w:val="000A3B79"/>
    <w:rsid w:val="000C040D"/>
    <w:rsid w:val="000D3340"/>
    <w:rsid w:val="000D34BE"/>
    <w:rsid w:val="000E102F"/>
    <w:rsid w:val="000E36F1"/>
    <w:rsid w:val="000E3A73"/>
    <w:rsid w:val="000E414A"/>
    <w:rsid w:val="000F093C"/>
    <w:rsid w:val="000F16BD"/>
    <w:rsid w:val="000F787B"/>
    <w:rsid w:val="00105CA9"/>
    <w:rsid w:val="0012091F"/>
    <w:rsid w:val="00126BC2"/>
    <w:rsid w:val="001308B6"/>
    <w:rsid w:val="0013121F"/>
    <w:rsid w:val="00131FAB"/>
    <w:rsid w:val="00131FE6"/>
    <w:rsid w:val="0013263F"/>
    <w:rsid w:val="00134DE4"/>
    <w:rsid w:val="0014034D"/>
    <w:rsid w:val="00150E59"/>
    <w:rsid w:val="00152DE3"/>
    <w:rsid w:val="00164CF9"/>
    <w:rsid w:val="0017115F"/>
    <w:rsid w:val="00184AD6"/>
    <w:rsid w:val="001A7A3F"/>
    <w:rsid w:val="001B0349"/>
    <w:rsid w:val="001B65C1"/>
    <w:rsid w:val="001C684B"/>
    <w:rsid w:val="001D1908"/>
    <w:rsid w:val="001D53FC"/>
    <w:rsid w:val="001D557D"/>
    <w:rsid w:val="001E57AA"/>
    <w:rsid w:val="001F42A5"/>
    <w:rsid w:val="001F7B9D"/>
    <w:rsid w:val="002224B4"/>
    <w:rsid w:val="00223C5F"/>
    <w:rsid w:val="002447EF"/>
    <w:rsid w:val="00245FD9"/>
    <w:rsid w:val="00251550"/>
    <w:rsid w:val="00252C1A"/>
    <w:rsid w:val="0026164D"/>
    <w:rsid w:val="00262118"/>
    <w:rsid w:val="00263B05"/>
    <w:rsid w:val="00265711"/>
    <w:rsid w:val="00266AAA"/>
    <w:rsid w:val="0027221A"/>
    <w:rsid w:val="00274611"/>
    <w:rsid w:val="00275B61"/>
    <w:rsid w:val="0028029A"/>
    <w:rsid w:val="00282656"/>
    <w:rsid w:val="00291134"/>
    <w:rsid w:val="00296B83"/>
    <w:rsid w:val="002B3B7E"/>
    <w:rsid w:val="002B78CE"/>
    <w:rsid w:val="002C2FB6"/>
    <w:rsid w:val="002D5BCD"/>
    <w:rsid w:val="002E6F49"/>
    <w:rsid w:val="003009B7"/>
    <w:rsid w:val="00300E56"/>
    <w:rsid w:val="0030469C"/>
    <w:rsid w:val="00321CA6"/>
    <w:rsid w:val="003302BE"/>
    <w:rsid w:val="00334C09"/>
    <w:rsid w:val="003355DB"/>
    <w:rsid w:val="003365E3"/>
    <w:rsid w:val="003440D9"/>
    <w:rsid w:val="003546A5"/>
    <w:rsid w:val="00360853"/>
    <w:rsid w:val="003624E1"/>
    <w:rsid w:val="003705E3"/>
    <w:rsid w:val="003723D4"/>
    <w:rsid w:val="00372833"/>
    <w:rsid w:val="003849D1"/>
    <w:rsid w:val="00384CC8"/>
    <w:rsid w:val="00386412"/>
    <w:rsid w:val="003871FD"/>
    <w:rsid w:val="0039137A"/>
    <w:rsid w:val="003A1E30"/>
    <w:rsid w:val="003A7D1C"/>
    <w:rsid w:val="003B1063"/>
    <w:rsid w:val="003B2105"/>
    <w:rsid w:val="003B304B"/>
    <w:rsid w:val="003B3146"/>
    <w:rsid w:val="003B60F3"/>
    <w:rsid w:val="003D6C16"/>
    <w:rsid w:val="003E463D"/>
    <w:rsid w:val="003F015E"/>
    <w:rsid w:val="00400414"/>
    <w:rsid w:val="0041446B"/>
    <w:rsid w:val="00417781"/>
    <w:rsid w:val="0043643A"/>
    <w:rsid w:val="0044329C"/>
    <w:rsid w:val="0044477B"/>
    <w:rsid w:val="004577FE"/>
    <w:rsid w:val="00457B9C"/>
    <w:rsid w:val="00457F73"/>
    <w:rsid w:val="0046164A"/>
    <w:rsid w:val="004628D2"/>
    <w:rsid w:val="00462DCD"/>
    <w:rsid w:val="004648AD"/>
    <w:rsid w:val="004703A9"/>
    <w:rsid w:val="004760DE"/>
    <w:rsid w:val="00480250"/>
    <w:rsid w:val="004A004E"/>
    <w:rsid w:val="004A24CD"/>
    <w:rsid w:val="004A24CF"/>
    <w:rsid w:val="004B3133"/>
    <w:rsid w:val="004B5257"/>
    <w:rsid w:val="004B6721"/>
    <w:rsid w:val="004C1381"/>
    <w:rsid w:val="004C3D1D"/>
    <w:rsid w:val="004C7913"/>
    <w:rsid w:val="004E4DD6"/>
    <w:rsid w:val="004F25C9"/>
    <w:rsid w:val="004F5E36"/>
    <w:rsid w:val="00503A8B"/>
    <w:rsid w:val="0050660D"/>
    <w:rsid w:val="00507B47"/>
    <w:rsid w:val="00507CC9"/>
    <w:rsid w:val="005119A5"/>
    <w:rsid w:val="005278B7"/>
    <w:rsid w:val="00530B44"/>
    <w:rsid w:val="00532016"/>
    <w:rsid w:val="005346C8"/>
    <w:rsid w:val="00543E7D"/>
    <w:rsid w:val="00546B05"/>
    <w:rsid w:val="00547A68"/>
    <w:rsid w:val="005531C9"/>
    <w:rsid w:val="00564090"/>
    <w:rsid w:val="0057368E"/>
    <w:rsid w:val="00582BC1"/>
    <w:rsid w:val="005B2110"/>
    <w:rsid w:val="005B61E6"/>
    <w:rsid w:val="005C77E1"/>
    <w:rsid w:val="005D1E4B"/>
    <w:rsid w:val="005D6A2F"/>
    <w:rsid w:val="005E1A82"/>
    <w:rsid w:val="005E794C"/>
    <w:rsid w:val="005F0A28"/>
    <w:rsid w:val="005F0E5E"/>
    <w:rsid w:val="00600535"/>
    <w:rsid w:val="006020F2"/>
    <w:rsid w:val="00610CD6"/>
    <w:rsid w:val="00620DEE"/>
    <w:rsid w:val="00621F92"/>
    <w:rsid w:val="00625639"/>
    <w:rsid w:val="00631B33"/>
    <w:rsid w:val="0063678C"/>
    <w:rsid w:val="0064184D"/>
    <w:rsid w:val="006422CC"/>
    <w:rsid w:val="00656229"/>
    <w:rsid w:val="00660E3E"/>
    <w:rsid w:val="00662E74"/>
    <w:rsid w:val="00665FD9"/>
    <w:rsid w:val="00680C23"/>
    <w:rsid w:val="00681DD3"/>
    <w:rsid w:val="00693766"/>
    <w:rsid w:val="006A3281"/>
    <w:rsid w:val="006B4888"/>
    <w:rsid w:val="006C2E45"/>
    <w:rsid w:val="006C359C"/>
    <w:rsid w:val="006C5579"/>
    <w:rsid w:val="006C5AC5"/>
    <w:rsid w:val="006E737D"/>
    <w:rsid w:val="0070195D"/>
    <w:rsid w:val="00720A24"/>
    <w:rsid w:val="00720DF9"/>
    <w:rsid w:val="00727A1C"/>
    <w:rsid w:val="00730666"/>
    <w:rsid w:val="00732386"/>
    <w:rsid w:val="00734C4C"/>
    <w:rsid w:val="007447F3"/>
    <w:rsid w:val="0075499F"/>
    <w:rsid w:val="007661C8"/>
    <w:rsid w:val="0077098D"/>
    <w:rsid w:val="00773CC0"/>
    <w:rsid w:val="00781BB3"/>
    <w:rsid w:val="007923F2"/>
    <w:rsid w:val="007931FA"/>
    <w:rsid w:val="007971B3"/>
    <w:rsid w:val="007A2A59"/>
    <w:rsid w:val="007A7BBA"/>
    <w:rsid w:val="007B0C50"/>
    <w:rsid w:val="007C1A43"/>
    <w:rsid w:val="007E1DC6"/>
    <w:rsid w:val="007E352B"/>
    <w:rsid w:val="007E4B07"/>
    <w:rsid w:val="007E6F47"/>
    <w:rsid w:val="007F1347"/>
    <w:rsid w:val="00804D4E"/>
    <w:rsid w:val="00813288"/>
    <w:rsid w:val="008168FC"/>
    <w:rsid w:val="00826750"/>
    <w:rsid w:val="00830996"/>
    <w:rsid w:val="008345F1"/>
    <w:rsid w:val="008414BB"/>
    <w:rsid w:val="00843D39"/>
    <w:rsid w:val="00862EBA"/>
    <w:rsid w:val="00865B07"/>
    <w:rsid w:val="008667EA"/>
    <w:rsid w:val="008751AA"/>
    <w:rsid w:val="0087637F"/>
    <w:rsid w:val="008904B9"/>
    <w:rsid w:val="00892AD5"/>
    <w:rsid w:val="008A1512"/>
    <w:rsid w:val="008A2BF8"/>
    <w:rsid w:val="008C78C1"/>
    <w:rsid w:val="008D0CCC"/>
    <w:rsid w:val="008D32B9"/>
    <w:rsid w:val="008D433B"/>
    <w:rsid w:val="008E4623"/>
    <w:rsid w:val="008E566E"/>
    <w:rsid w:val="0090161A"/>
    <w:rsid w:val="00901D07"/>
    <w:rsid w:val="00901EB6"/>
    <w:rsid w:val="00904C62"/>
    <w:rsid w:val="00920F10"/>
    <w:rsid w:val="00923B7A"/>
    <w:rsid w:val="00924DAC"/>
    <w:rsid w:val="00925857"/>
    <w:rsid w:val="00927058"/>
    <w:rsid w:val="00936B59"/>
    <w:rsid w:val="009450CE"/>
    <w:rsid w:val="00947179"/>
    <w:rsid w:val="0095164B"/>
    <w:rsid w:val="00951DC9"/>
    <w:rsid w:val="009537E2"/>
    <w:rsid w:val="00954090"/>
    <w:rsid w:val="009573E7"/>
    <w:rsid w:val="00960A41"/>
    <w:rsid w:val="009621B7"/>
    <w:rsid w:val="009635B9"/>
    <w:rsid w:val="00963E05"/>
    <w:rsid w:val="009652E5"/>
    <w:rsid w:val="00967D54"/>
    <w:rsid w:val="00996483"/>
    <w:rsid w:val="00996F5A"/>
    <w:rsid w:val="009A0A3E"/>
    <w:rsid w:val="009A518D"/>
    <w:rsid w:val="009B041A"/>
    <w:rsid w:val="009C12D4"/>
    <w:rsid w:val="009C7951"/>
    <w:rsid w:val="009C7C86"/>
    <w:rsid w:val="009D2256"/>
    <w:rsid w:val="009D2FF7"/>
    <w:rsid w:val="009E7884"/>
    <w:rsid w:val="009E788A"/>
    <w:rsid w:val="009E7917"/>
    <w:rsid w:val="009F0E08"/>
    <w:rsid w:val="00A1763D"/>
    <w:rsid w:val="00A17CEC"/>
    <w:rsid w:val="00A234EF"/>
    <w:rsid w:val="00A27EF0"/>
    <w:rsid w:val="00A4524E"/>
    <w:rsid w:val="00A50B20"/>
    <w:rsid w:val="00A51390"/>
    <w:rsid w:val="00A5668D"/>
    <w:rsid w:val="00A60D13"/>
    <w:rsid w:val="00A616C6"/>
    <w:rsid w:val="00A72745"/>
    <w:rsid w:val="00A76EFC"/>
    <w:rsid w:val="00A91010"/>
    <w:rsid w:val="00A935D7"/>
    <w:rsid w:val="00A97F29"/>
    <w:rsid w:val="00AA4683"/>
    <w:rsid w:val="00AA702E"/>
    <w:rsid w:val="00AB0964"/>
    <w:rsid w:val="00AB5011"/>
    <w:rsid w:val="00AC7368"/>
    <w:rsid w:val="00AD16B9"/>
    <w:rsid w:val="00AE377D"/>
    <w:rsid w:val="00B17FBD"/>
    <w:rsid w:val="00B26C00"/>
    <w:rsid w:val="00B315A6"/>
    <w:rsid w:val="00B31813"/>
    <w:rsid w:val="00B33365"/>
    <w:rsid w:val="00B50144"/>
    <w:rsid w:val="00B57B36"/>
    <w:rsid w:val="00B82FD4"/>
    <w:rsid w:val="00B8686D"/>
    <w:rsid w:val="00BC30C9"/>
    <w:rsid w:val="00BC50B2"/>
    <w:rsid w:val="00BC5C87"/>
    <w:rsid w:val="00BE3E58"/>
    <w:rsid w:val="00BE6A02"/>
    <w:rsid w:val="00C01616"/>
    <w:rsid w:val="00C0162B"/>
    <w:rsid w:val="00C345B1"/>
    <w:rsid w:val="00C37198"/>
    <w:rsid w:val="00C40142"/>
    <w:rsid w:val="00C52463"/>
    <w:rsid w:val="00C570E5"/>
    <w:rsid w:val="00C57182"/>
    <w:rsid w:val="00C57863"/>
    <w:rsid w:val="00C655FD"/>
    <w:rsid w:val="00C720BD"/>
    <w:rsid w:val="00C832DD"/>
    <w:rsid w:val="00C870A8"/>
    <w:rsid w:val="00C9063A"/>
    <w:rsid w:val="00C94434"/>
    <w:rsid w:val="00CA0D75"/>
    <w:rsid w:val="00CA1C95"/>
    <w:rsid w:val="00CA5A9C"/>
    <w:rsid w:val="00CD1B13"/>
    <w:rsid w:val="00CD3517"/>
    <w:rsid w:val="00CD5A00"/>
    <w:rsid w:val="00CD5FE2"/>
    <w:rsid w:val="00CD7A9D"/>
    <w:rsid w:val="00CE7C68"/>
    <w:rsid w:val="00CF6F8A"/>
    <w:rsid w:val="00D02B4C"/>
    <w:rsid w:val="00D040C4"/>
    <w:rsid w:val="00D4100D"/>
    <w:rsid w:val="00D575BD"/>
    <w:rsid w:val="00D57C84"/>
    <w:rsid w:val="00D6057D"/>
    <w:rsid w:val="00D66B47"/>
    <w:rsid w:val="00D67512"/>
    <w:rsid w:val="00D84576"/>
    <w:rsid w:val="00DA1399"/>
    <w:rsid w:val="00DA24C6"/>
    <w:rsid w:val="00DA4D7B"/>
    <w:rsid w:val="00DD20E7"/>
    <w:rsid w:val="00DE264A"/>
    <w:rsid w:val="00E020C4"/>
    <w:rsid w:val="00E02D18"/>
    <w:rsid w:val="00E041E7"/>
    <w:rsid w:val="00E23CA1"/>
    <w:rsid w:val="00E32BA4"/>
    <w:rsid w:val="00E409A8"/>
    <w:rsid w:val="00E50C12"/>
    <w:rsid w:val="00E60138"/>
    <w:rsid w:val="00E65523"/>
    <w:rsid w:val="00E65B91"/>
    <w:rsid w:val="00E7209D"/>
    <w:rsid w:val="00E77223"/>
    <w:rsid w:val="00E77A4F"/>
    <w:rsid w:val="00E8528B"/>
    <w:rsid w:val="00E85B94"/>
    <w:rsid w:val="00E978D0"/>
    <w:rsid w:val="00EA163D"/>
    <w:rsid w:val="00EA4613"/>
    <w:rsid w:val="00EA7F91"/>
    <w:rsid w:val="00EB1523"/>
    <w:rsid w:val="00EC0E49"/>
    <w:rsid w:val="00EE0131"/>
    <w:rsid w:val="00EF0D8F"/>
    <w:rsid w:val="00F155B2"/>
    <w:rsid w:val="00F30C64"/>
    <w:rsid w:val="00F32CDB"/>
    <w:rsid w:val="00F51226"/>
    <w:rsid w:val="00F63A70"/>
    <w:rsid w:val="00FA1815"/>
    <w:rsid w:val="00FA21D0"/>
    <w:rsid w:val="00FA5F5F"/>
    <w:rsid w:val="00FB730C"/>
    <w:rsid w:val="00FC2695"/>
    <w:rsid w:val="00FC3E03"/>
    <w:rsid w:val="00FC3FC1"/>
    <w:rsid w:val="00FE3A30"/>
    <w:rsid w:val="00FF39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8BF9D"/>
  <w15:docId w15:val="{C970F1BA-8B39-41FB-843B-1FE21B8B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tulodoLivro">
    <w:name w:val="Book Title"/>
    <w:basedOn w:val="Fontepargpadro"/>
    <w:uiPriority w:val="33"/>
    <w:qFormat/>
    <w:rsid w:val="003E463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uda%20win\Desktop\Novo(a)%20Planilha%20do%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Plan1!$A$3:$A$6</c:f>
              <c:strCache>
                <c:ptCount val="4"/>
                <c:pt idx="0">
                  <c:v>First collection P1</c:v>
                </c:pt>
                <c:pt idx="1">
                  <c:v>First collection P2</c:v>
                </c:pt>
                <c:pt idx="2">
                  <c:v>Second collection P1</c:v>
                </c:pt>
                <c:pt idx="3">
                  <c:v>Second collection P2</c:v>
                </c:pt>
              </c:strCache>
            </c:strRef>
          </c:cat>
          <c:val>
            <c:numRef>
              <c:f>Plan1!$B$3:$B$6</c:f>
              <c:numCache>
                <c:formatCode>General</c:formatCode>
                <c:ptCount val="4"/>
                <c:pt idx="0">
                  <c:v>25.5</c:v>
                </c:pt>
                <c:pt idx="1">
                  <c:v>26.3</c:v>
                </c:pt>
                <c:pt idx="2">
                  <c:v>24.8</c:v>
                </c:pt>
                <c:pt idx="3">
                  <c:v>26</c:v>
                </c:pt>
              </c:numCache>
            </c:numRef>
          </c:val>
          <c:extLst>
            <c:ext xmlns:c16="http://schemas.microsoft.com/office/drawing/2014/chart" uri="{C3380CC4-5D6E-409C-BE32-E72D297353CC}">
              <c16:uniqueId val="{00000000-13EE-4505-ACC7-8959AA5785CF}"/>
            </c:ext>
          </c:extLst>
        </c:ser>
        <c:dLbls>
          <c:showLegendKey val="0"/>
          <c:showVal val="0"/>
          <c:showCatName val="0"/>
          <c:showSerName val="0"/>
          <c:showPercent val="0"/>
          <c:showBubbleSize val="0"/>
        </c:dLbls>
        <c:gapWidth val="150"/>
        <c:axId val="495596240"/>
        <c:axId val="495597808"/>
      </c:barChart>
      <c:catAx>
        <c:axId val="495596240"/>
        <c:scaling>
          <c:orientation val="minMax"/>
        </c:scaling>
        <c:delete val="0"/>
        <c:axPos val="b"/>
        <c:numFmt formatCode="General" sourceLinked="0"/>
        <c:majorTickMark val="out"/>
        <c:minorTickMark val="none"/>
        <c:tickLblPos val="nextTo"/>
        <c:txPr>
          <a:bodyPr/>
          <a:lstStyle/>
          <a:p>
            <a:pPr>
              <a:defRPr sz="900">
                <a:latin typeface="Arial" pitchFamily="34" charset="0"/>
                <a:cs typeface="Arial" pitchFamily="34" charset="0"/>
              </a:defRPr>
            </a:pPr>
            <a:endParaRPr lang="pt-BR"/>
          </a:p>
        </c:txPr>
        <c:crossAx val="495597808"/>
        <c:crosses val="autoZero"/>
        <c:auto val="1"/>
        <c:lblAlgn val="ctr"/>
        <c:lblOffset val="100"/>
        <c:noMultiLvlLbl val="0"/>
      </c:catAx>
      <c:valAx>
        <c:axId val="495597808"/>
        <c:scaling>
          <c:orientation val="minMax"/>
          <c:max val="30"/>
          <c:min val="20"/>
        </c:scaling>
        <c:delete val="0"/>
        <c:axPos val="l"/>
        <c:majorGridlines>
          <c:spPr>
            <a:ln>
              <a:noFill/>
            </a:ln>
          </c:spPr>
        </c:majorGridlines>
        <c:numFmt formatCode="General" sourceLinked="1"/>
        <c:majorTickMark val="out"/>
        <c:minorTickMark val="none"/>
        <c:tickLblPos val="nextTo"/>
        <c:crossAx val="495596240"/>
        <c:crosses val="autoZero"/>
        <c:crossBetween val="between"/>
      </c:valAx>
    </c:plotArea>
    <c:plotVisOnly val="1"/>
    <c:dispBlanksAs val="gap"/>
    <c:showDLblsOverMax val="0"/>
  </c:chart>
  <c:spPr>
    <a:no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03297542352662"/>
          <c:y val="7.2968490878938641E-2"/>
          <c:w val="0.80027334764972546"/>
          <c:h val="0.48212742063958425"/>
        </c:manualLayout>
      </c:layout>
      <c:barChart>
        <c:barDir val="col"/>
        <c:grouping val="clustered"/>
        <c:varyColors val="0"/>
        <c:ser>
          <c:idx val="0"/>
          <c:order val="0"/>
          <c:tx>
            <c:v>Values obtained</c:v>
          </c:tx>
          <c:spPr>
            <a:solidFill>
              <a:schemeClr val="accent1"/>
            </a:solidFill>
            <a:ln>
              <a:noFill/>
            </a:ln>
            <a:effectLst/>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Plan1!$A$80:$D$80</c:f>
              <c:strCache>
                <c:ptCount val="4"/>
                <c:pt idx="0">
                  <c:v>First collection P1</c:v>
                </c:pt>
                <c:pt idx="1">
                  <c:v>First collection P2</c:v>
                </c:pt>
                <c:pt idx="2">
                  <c:v>Second collection P1</c:v>
                </c:pt>
                <c:pt idx="3">
                  <c:v>Second collection P2</c:v>
                </c:pt>
              </c:strCache>
            </c:strRef>
          </c:cat>
          <c:val>
            <c:numRef>
              <c:f>Planilha1!$B$68:$E$68</c:f>
              <c:numCache>
                <c:formatCode>General</c:formatCode>
                <c:ptCount val="4"/>
                <c:pt idx="0">
                  <c:v>842</c:v>
                </c:pt>
                <c:pt idx="1">
                  <c:v>83</c:v>
                </c:pt>
                <c:pt idx="2">
                  <c:v>2575</c:v>
                </c:pt>
                <c:pt idx="3">
                  <c:v>1040</c:v>
                </c:pt>
              </c:numCache>
            </c:numRef>
          </c:val>
          <c:extLst>
            <c:ext xmlns:c16="http://schemas.microsoft.com/office/drawing/2014/chart" uri="{C3380CC4-5D6E-409C-BE32-E72D297353CC}">
              <c16:uniqueId val="{00000000-FB2E-44FE-824D-419BFE28D5C9}"/>
            </c:ext>
          </c:extLst>
        </c:ser>
        <c:dLbls>
          <c:showLegendKey val="0"/>
          <c:showVal val="0"/>
          <c:showCatName val="0"/>
          <c:showSerName val="0"/>
          <c:showPercent val="0"/>
          <c:showBubbleSize val="0"/>
        </c:dLbls>
        <c:gapWidth val="219"/>
        <c:overlap val="-27"/>
        <c:axId val="620554088"/>
        <c:axId val="620555656"/>
      </c:barChart>
      <c:lineChart>
        <c:grouping val="standard"/>
        <c:varyColors val="0"/>
        <c:ser>
          <c:idx val="1"/>
          <c:order val="1"/>
          <c:tx>
            <c:v>CONAMA 357 maximium limit</c:v>
          </c:tx>
          <c:spPr>
            <a:ln w="15875" cap="rnd">
              <a:solidFill>
                <a:srgbClr val="FF0000"/>
              </a:solidFill>
              <a:round/>
            </a:ln>
            <a:effectLst/>
          </c:spPr>
          <c:marker>
            <c:symbol val="none"/>
          </c:marker>
          <c:dLbls>
            <c:dLbl>
              <c:idx val="3"/>
              <c:layout>
                <c:manualLayout>
                  <c:x val="-3.8569459393115427E-3"/>
                  <c:y val="-6.6334991708126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90-4BF0-920B-B97AB7090FEE}"/>
                </c:ext>
              </c:extLst>
            </c:dLbl>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Planilha1!$A$71:$A$74</c:f>
              <c:strCache>
                <c:ptCount val="4"/>
                <c:pt idx="0">
                  <c:v>Primeira coleta P1</c:v>
                </c:pt>
                <c:pt idx="1">
                  <c:v>Primeira coleta P2</c:v>
                </c:pt>
                <c:pt idx="2">
                  <c:v>Segunda coleta P1</c:v>
                </c:pt>
                <c:pt idx="3">
                  <c:v>Segunda coleta P2</c:v>
                </c:pt>
              </c:strCache>
            </c:strRef>
          </c:cat>
          <c:val>
            <c:numRef>
              <c:f>Planilha1!$C$75:$F$75</c:f>
              <c:numCache>
                <c:formatCode>General</c:formatCode>
                <c:ptCount val="4"/>
                <c:pt idx="0">
                  <c:v>2500</c:v>
                </c:pt>
                <c:pt idx="1">
                  <c:v>2500</c:v>
                </c:pt>
                <c:pt idx="2">
                  <c:v>2500</c:v>
                </c:pt>
                <c:pt idx="3">
                  <c:v>2500</c:v>
                </c:pt>
              </c:numCache>
            </c:numRef>
          </c:val>
          <c:smooth val="0"/>
          <c:extLst>
            <c:ext xmlns:c16="http://schemas.microsoft.com/office/drawing/2014/chart" uri="{C3380CC4-5D6E-409C-BE32-E72D297353CC}">
              <c16:uniqueId val="{00000001-FB2E-44FE-824D-419BFE28D5C9}"/>
            </c:ext>
          </c:extLst>
        </c:ser>
        <c:dLbls>
          <c:showLegendKey val="0"/>
          <c:showVal val="0"/>
          <c:showCatName val="0"/>
          <c:showSerName val="0"/>
          <c:showPercent val="0"/>
          <c:showBubbleSize val="0"/>
        </c:dLbls>
        <c:marker val="1"/>
        <c:smooth val="0"/>
        <c:axId val="620554088"/>
        <c:axId val="620555656"/>
      </c:lineChart>
      <c:catAx>
        <c:axId val="62055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620555656"/>
        <c:crosses val="autoZero"/>
        <c:auto val="1"/>
        <c:lblAlgn val="ctr"/>
        <c:lblOffset val="100"/>
        <c:noMultiLvlLbl val="0"/>
      </c:catAx>
      <c:valAx>
        <c:axId val="620555656"/>
        <c:scaling>
          <c:orientation val="minMax"/>
        </c:scaling>
        <c:delete val="0"/>
        <c:axPos val="l"/>
        <c:numFmt formatCode="General" sourceLinked="1"/>
        <c:majorTickMark val="none"/>
        <c:minorTickMark val="none"/>
        <c:tickLblPos val="nextTo"/>
        <c:spPr>
          <a:effectLst/>
        </c:spPr>
        <c:txPr>
          <a:bodyPr rot="-60000000" vert="horz"/>
          <a:lstStyle/>
          <a:p>
            <a:pPr>
              <a:defRPr/>
            </a:pPr>
            <a:endParaRPr lang="pt-BR"/>
          </a:p>
        </c:txPr>
        <c:crossAx val="620554088"/>
        <c:crosses val="autoZero"/>
        <c:crossBetween val="between"/>
      </c:valAx>
      <c:spPr>
        <a:noFill/>
        <a:ln>
          <a:noFill/>
        </a:ln>
        <a:effectLst/>
      </c:spPr>
    </c:plotArea>
    <c:legend>
      <c:legendPos val="b"/>
      <c:layout>
        <c:manualLayout>
          <c:xMode val="edge"/>
          <c:yMode val="edge"/>
          <c:x val="0.15286850013313552"/>
          <c:y val="0.81824839059296695"/>
          <c:w val="0.70454124085553138"/>
          <c:h val="0.15521761272378265"/>
        </c:manualLayout>
      </c:layout>
      <c:overlay val="0"/>
      <c:spPr>
        <a:noFill/>
        <a:ln>
          <a:noFill/>
        </a:ln>
        <a:effectLst/>
      </c:spPr>
      <c:txPr>
        <a:bodyPr rot="0" vert="horz"/>
        <a:lstStyle/>
        <a:p>
          <a:pPr>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effectLst/>
  </c:spPr>
  <c:txPr>
    <a:bodyPr/>
    <a:lstStyle/>
    <a:p>
      <a:pPr>
        <a:defRPr sz="900">
          <a:latin typeface="Arial" pitchFamily="34" charset="0"/>
          <a:cs typeface="Arial"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Plan1!$A$20:$A$21</c:f>
              <c:strCache>
                <c:ptCount val="2"/>
                <c:pt idx="0">
                  <c:v>First collection P1</c:v>
                </c:pt>
                <c:pt idx="1">
                  <c:v>First collection P2</c:v>
                </c:pt>
              </c:strCache>
            </c:strRef>
          </c:cat>
          <c:val>
            <c:numRef>
              <c:f>Plan1!$B$20:$B$21</c:f>
              <c:numCache>
                <c:formatCode>General</c:formatCode>
                <c:ptCount val="2"/>
                <c:pt idx="0">
                  <c:v>2225</c:v>
                </c:pt>
                <c:pt idx="1">
                  <c:v>83</c:v>
                </c:pt>
              </c:numCache>
            </c:numRef>
          </c:val>
          <c:extLst>
            <c:ext xmlns:c16="http://schemas.microsoft.com/office/drawing/2014/chart" uri="{C3380CC4-5D6E-409C-BE32-E72D297353CC}">
              <c16:uniqueId val="{00000000-5C2A-4BDF-BB55-7760991EA622}"/>
            </c:ext>
          </c:extLst>
        </c:ser>
        <c:dLbls>
          <c:showLegendKey val="0"/>
          <c:showVal val="0"/>
          <c:showCatName val="0"/>
          <c:showSerName val="0"/>
          <c:showPercent val="0"/>
          <c:showBubbleSize val="0"/>
        </c:dLbls>
        <c:gapWidth val="150"/>
        <c:axId val="495595848"/>
        <c:axId val="495596632"/>
      </c:barChart>
      <c:catAx>
        <c:axId val="495595848"/>
        <c:scaling>
          <c:orientation val="minMax"/>
        </c:scaling>
        <c:delete val="0"/>
        <c:axPos val="b"/>
        <c:numFmt formatCode="General" sourceLinked="0"/>
        <c:majorTickMark val="out"/>
        <c:minorTickMark val="none"/>
        <c:tickLblPos val="nextTo"/>
        <c:txPr>
          <a:bodyPr/>
          <a:lstStyle/>
          <a:p>
            <a:pPr>
              <a:defRPr sz="900">
                <a:latin typeface="Arial" pitchFamily="34" charset="0"/>
                <a:cs typeface="Arial" pitchFamily="34" charset="0"/>
              </a:defRPr>
            </a:pPr>
            <a:endParaRPr lang="pt-BR"/>
          </a:p>
        </c:txPr>
        <c:crossAx val="495596632"/>
        <c:crosses val="autoZero"/>
        <c:auto val="1"/>
        <c:lblAlgn val="ctr"/>
        <c:lblOffset val="100"/>
        <c:noMultiLvlLbl val="0"/>
      </c:catAx>
      <c:valAx>
        <c:axId val="495596632"/>
        <c:scaling>
          <c:orientation val="minMax"/>
        </c:scaling>
        <c:delete val="0"/>
        <c:axPos val="l"/>
        <c:majorGridlines>
          <c:spPr>
            <a:ln>
              <a:noFill/>
            </a:ln>
          </c:spPr>
        </c:majorGridlines>
        <c:numFmt formatCode="General" sourceLinked="1"/>
        <c:majorTickMark val="out"/>
        <c:minorTickMark val="none"/>
        <c:tickLblPos val="nextTo"/>
        <c:crossAx val="495595848"/>
        <c:crosses val="autoZero"/>
        <c:crossBetween val="between"/>
      </c:valAx>
      <c:spPr>
        <a:noFill/>
        <a:ln>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Plan1!$A$28:$A$31</c:f>
              <c:strCache>
                <c:ptCount val="4"/>
                <c:pt idx="0">
                  <c:v>First collection P1</c:v>
                </c:pt>
                <c:pt idx="1">
                  <c:v>First collection P2</c:v>
                </c:pt>
                <c:pt idx="2">
                  <c:v>Second collection P1</c:v>
                </c:pt>
                <c:pt idx="3">
                  <c:v>Second collection P2</c:v>
                </c:pt>
              </c:strCache>
            </c:strRef>
          </c:cat>
          <c:val>
            <c:numRef>
              <c:f>Plan1!$B$28:$B$31</c:f>
              <c:numCache>
                <c:formatCode>General</c:formatCode>
                <c:ptCount val="4"/>
                <c:pt idx="0">
                  <c:v>181.6</c:v>
                </c:pt>
                <c:pt idx="1">
                  <c:v>226.5</c:v>
                </c:pt>
                <c:pt idx="2">
                  <c:v>205.21</c:v>
                </c:pt>
                <c:pt idx="3">
                  <c:v>260.11</c:v>
                </c:pt>
              </c:numCache>
            </c:numRef>
          </c:val>
          <c:extLst>
            <c:ext xmlns:c16="http://schemas.microsoft.com/office/drawing/2014/chart" uri="{C3380CC4-5D6E-409C-BE32-E72D297353CC}">
              <c16:uniqueId val="{00000000-3B9D-482C-9F86-96B9ED0E37DF}"/>
            </c:ext>
          </c:extLst>
        </c:ser>
        <c:dLbls>
          <c:showLegendKey val="0"/>
          <c:showVal val="0"/>
          <c:showCatName val="0"/>
          <c:showSerName val="0"/>
          <c:showPercent val="0"/>
          <c:showBubbleSize val="0"/>
        </c:dLbls>
        <c:gapWidth val="150"/>
        <c:axId val="495598592"/>
        <c:axId val="495598984"/>
      </c:barChart>
      <c:catAx>
        <c:axId val="495598592"/>
        <c:scaling>
          <c:orientation val="minMax"/>
        </c:scaling>
        <c:delete val="0"/>
        <c:axPos val="b"/>
        <c:numFmt formatCode="General" sourceLinked="0"/>
        <c:majorTickMark val="out"/>
        <c:minorTickMark val="none"/>
        <c:tickLblPos val="nextTo"/>
        <c:txPr>
          <a:bodyPr/>
          <a:lstStyle/>
          <a:p>
            <a:pPr>
              <a:defRPr sz="900">
                <a:latin typeface="Arial" pitchFamily="34" charset="0"/>
                <a:cs typeface="Arial" pitchFamily="34" charset="0"/>
              </a:defRPr>
            </a:pPr>
            <a:endParaRPr lang="pt-BR"/>
          </a:p>
        </c:txPr>
        <c:crossAx val="495598984"/>
        <c:crosses val="autoZero"/>
        <c:auto val="1"/>
        <c:lblAlgn val="ctr"/>
        <c:lblOffset val="100"/>
        <c:noMultiLvlLbl val="0"/>
      </c:catAx>
      <c:valAx>
        <c:axId val="495598984"/>
        <c:scaling>
          <c:orientation val="minMax"/>
          <c:max val="280"/>
          <c:min val="160"/>
        </c:scaling>
        <c:delete val="0"/>
        <c:axPos val="l"/>
        <c:majorGridlines>
          <c:spPr>
            <a:ln>
              <a:noFill/>
            </a:ln>
          </c:spPr>
        </c:majorGridlines>
        <c:numFmt formatCode="General" sourceLinked="1"/>
        <c:majorTickMark val="out"/>
        <c:minorTickMark val="none"/>
        <c:tickLblPos val="nextTo"/>
        <c:crossAx val="495598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Plan1!$A$41:$A$44</c:f>
              <c:strCache>
                <c:ptCount val="4"/>
                <c:pt idx="0">
                  <c:v>First collection P1</c:v>
                </c:pt>
                <c:pt idx="1">
                  <c:v>First collection P2</c:v>
                </c:pt>
                <c:pt idx="2">
                  <c:v>Second collection P1</c:v>
                </c:pt>
                <c:pt idx="3">
                  <c:v>Second collection P2</c:v>
                </c:pt>
              </c:strCache>
            </c:strRef>
          </c:cat>
          <c:val>
            <c:numRef>
              <c:f>Plan1!$B$41:$B$44</c:f>
              <c:numCache>
                <c:formatCode>General</c:formatCode>
                <c:ptCount val="4"/>
                <c:pt idx="0">
                  <c:v>452</c:v>
                </c:pt>
                <c:pt idx="1">
                  <c:v>574</c:v>
                </c:pt>
                <c:pt idx="2">
                  <c:v>542.29999999999995</c:v>
                </c:pt>
                <c:pt idx="3">
                  <c:v>657.94</c:v>
                </c:pt>
              </c:numCache>
            </c:numRef>
          </c:val>
          <c:extLst>
            <c:ext xmlns:c16="http://schemas.microsoft.com/office/drawing/2014/chart" uri="{C3380CC4-5D6E-409C-BE32-E72D297353CC}">
              <c16:uniqueId val="{00000000-B55C-44F1-828A-529E5F29C644}"/>
            </c:ext>
          </c:extLst>
        </c:ser>
        <c:dLbls>
          <c:showLegendKey val="0"/>
          <c:showVal val="0"/>
          <c:showCatName val="0"/>
          <c:showSerName val="0"/>
          <c:showPercent val="0"/>
          <c:showBubbleSize val="0"/>
        </c:dLbls>
        <c:gapWidth val="150"/>
        <c:axId val="495588400"/>
        <c:axId val="495589968"/>
      </c:barChart>
      <c:catAx>
        <c:axId val="495588400"/>
        <c:scaling>
          <c:orientation val="minMax"/>
        </c:scaling>
        <c:delete val="0"/>
        <c:axPos val="b"/>
        <c:numFmt formatCode="General" sourceLinked="0"/>
        <c:majorTickMark val="out"/>
        <c:minorTickMark val="none"/>
        <c:tickLblPos val="nextTo"/>
        <c:txPr>
          <a:bodyPr/>
          <a:lstStyle/>
          <a:p>
            <a:pPr>
              <a:defRPr sz="900">
                <a:latin typeface="Arial" pitchFamily="34" charset="0"/>
                <a:cs typeface="Arial" pitchFamily="34" charset="0"/>
              </a:defRPr>
            </a:pPr>
            <a:endParaRPr lang="pt-BR"/>
          </a:p>
        </c:txPr>
        <c:crossAx val="495589968"/>
        <c:crosses val="autoZero"/>
        <c:auto val="1"/>
        <c:lblAlgn val="ctr"/>
        <c:lblOffset val="100"/>
        <c:noMultiLvlLbl val="0"/>
      </c:catAx>
      <c:valAx>
        <c:axId val="495589968"/>
        <c:scaling>
          <c:orientation val="minMax"/>
          <c:max val="700"/>
          <c:min val="400"/>
        </c:scaling>
        <c:delete val="0"/>
        <c:axPos val="l"/>
        <c:majorGridlines>
          <c:spPr>
            <a:ln>
              <a:noFill/>
            </a:ln>
          </c:spPr>
        </c:majorGridlines>
        <c:numFmt formatCode="General" sourceLinked="1"/>
        <c:majorTickMark val="out"/>
        <c:minorTickMark val="none"/>
        <c:tickLblPos val="nextTo"/>
        <c:crossAx val="4955884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Plan1!$A$56</c:f>
              <c:strCache>
                <c:ptCount val="1"/>
                <c:pt idx="0">
                  <c:v>First collection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Plan1!$C$56:$C$60</c:f>
              <c:numCache>
                <c:formatCode>General</c:formatCode>
                <c:ptCount val="5"/>
                <c:pt idx="0">
                  <c:v>0.1</c:v>
                </c:pt>
                <c:pt idx="1">
                  <c:v>0.25</c:v>
                </c:pt>
                <c:pt idx="2">
                  <c:v>0.5</c:v>
                </c:pt>
                <c:pt idx="3">
                  <c:v>0.75</c:v>
                </c:pt>
                <c:pt idx="4">
                  <c:v>0.9</c:v>
                </c:pt>
              </c:numCache>
            </c:numRef>
          </c:cat>
          <c:val>
            <c:numRef>
              <c:f>Plan1!$A$57:$A$61</c:f>
              <c:numCache>
                <c:formatCode>General</c:formatCode>
                <c:ptCount val="5"/>
                <c:pt idx="0">
                  <c:v>1.5</c:v>
                </c:pt>
                <c:pt idx="1">
                  <c:v>3</c:v>
                </c:pt>
                <c:pt idx="2">
                  <c:v>3</c:v>
                </c:pt>
                <c:pt idx="3">
                  <c:v>3</c:v>
                </c:pt>
                <c:pt idx="4">
                  <c:v>2</c:v>
                </c:pt>
              </c:numCache>
            </c:numRef>
          </c:val>
          <c:extLst>
            <c:ext xmlns:c16="http://schemas.microsoft.com/office/drawing/2014/chart" uri="{C3380CC4-5D6E-409C-BE32-E72D297353CC}">
              <c16:uniqueId val="{00000000-9EEE-4FAD-B8DE-318AC353F143}"/>
            </c:ext>
          </c:extLst>
        </c:ser>
        <c:ser>
          <c:idx val="1"/>
          <c:order val="1"/>
          <c:tx>
            <c:strRef>
              <c:f>Plan1!$B$56</c:f>
              <c:strCache>
                <c:ptCount val="1"/>
                <c:pt idx="0">
                  <c:v>Second collection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Plan1!$C$56:$C$60</c:f>
              <c:numCache>
                <c:formatCode>General</c:formatCode>
                <c:ptCount val="5"/>
                <c:pt idx="0">
                  <c:v>0.1</c:v>
                </c:pt>
                <c:pt idx="1">
                  <c:v>0.25</c:v>
                </c:pt>
                <c:pt idx="2">
                  <c:v>0.5</c:v>
                </c:pt>
                <c:pt idx="3">
                  <c:v>0.75</c:v>
                </c:pt>
                <c:pt idx="4">
                  <c:v>0.9</c:v>
                </c:pt>
              </c:numCache>
            </c:numRef>
          </c:cat>
          <c:val>
            <c:numRef>
              <c:f>Plan1!$B$57:$B$61</c:f>
              <c:numCache>
                <c:formatCode>General</c:formatCode>
                <c:ptCount val="5"/>
                <c:pt idx="0">
                  <c:v>0.5</c:v>
                </c:pt>
                <c:pt idx="1">
                  <c:v>0.5</c:v>
                </c:pt>
                <c:pt idx="2">
                  <c:v>3</c:v>
                </c:pt>
                <c:pt idx="3">
                  <c:v>4</c:v>
                </c:pt>
                <c:pt idx="4">
                  <c:v>4</c:v>
                </c:pt>
              </c:numCache>
            </c:numRef>
          </c:val>
          <c:extLst>
            <c:ext xmlns:c16="http://schemas.microsoft.com/office/drawing/2014/chart" uri="{C3380CC4-5D6E-409C-BE32-E72D297353CC}">
              <c16:uniqueId val="{00000001-9EEE-4FAD-B8DE-318AC353F143}"/>
            </c:ext>
          </c:extLst>
        </c:ser>
        <c:dLbls>
          <c:showLegendKey val="0"/>
          <c:showVal val="0"/>
          <c:showCatName val="0"/>
          <c:showSerName val="0"/>
          <c:showPercent val="0"/>
          <c:showBubbleSize val="0"/>
        </c:dLbls>
        <c:gapWidth val="150"/>
        <c:overlap val="-25"/>
        <c:axId val="495593104"/>
        <c:axId val="495590360"/>
      </c:barChart>
      <c:catAx>
        <c:axId val="495593104"/>
        <c:scaling>
          <c:orientation val="minMax"/>
        </c:scaling>
        <c:delete val="0"/>
        <c:axPos val="b"/>
        <c:numFmt formatCode="0%" sourceLinked="0"/>
        <c:majorTickMark val="out"/>
        <c:minorTickMark val="none"/>
        <c:tickLblPos val="nextTo"/>
        <c:crossAx val="495590360"/>
        <c:crosses val="autoZero"/>
        <c:auto val="1"/>
        <c:lblAlgn val="ctr"/>
        <c:lblOffset val="100"/>
        <c:noMultiLvlLbl val="0"/>
      </c:catAx>
      <c:valAx>
        <c:axId val="495590360"/>
        <c:scaling>
          <c:orientation val="minMax"/>
          <c:max val="10"/>
          <c:min val="0"/>
        </c:scaling>
        <c:delete val="0"/>
        <c:axPos val="l"/>
        <c:majorGridlines>
          <c:spPr>
            <a:ln>
              <a:noFill/>
            </a:ln>
          </c:spPr>
        </c:majorGridlines>
        <c:numFmt formatCode="General" sourceLinked="1"/>
        <c:majorTickMark val="out"/>
        <c:minorTickMark val="none"/>
        <c:tickLblPos val="nextTo"/>
        <c:crossAx val="495593104"/>
        <c:crosses val="autoZero"/>
        <c:crossBetween val="between"/>
      </c:valAx>
    </c:plotArea>
    <c:legend>
      <c:legendPos val="b"/>
      <c:overlay val="0"/>
      <c:txPr>
        <a:bodyPr/>
        <a:lstStyle/>
        <a:p>
          <a:pPr>
            <a:defRPr sz="90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Plan1!$A$67</c:f>
              <c:strCache>
                <c:ptCount val="1"/>
                <c:pt idx="0">
                  <c:v>First collection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Plan1!$C$67:$C$71</c:f>
              <c:numCache>
                <c:formatCode>General</c:formatCode>
                <c:ptCount val="5"/>
                <c:pt idx="0">
                  <c:v>0.1</c:v>
                </c:pt>
                <c:pt idx="1">
                  <c:v>0.25</c:v>
                </c:pt>
                <c:pt idx="2">
                  <c:v>0.5</c:v>
                </c:pt>
                <c:pt idx="3">
                  <c:v>0.75</c:v>
                </c:pt>
                <c:pt idx="4">
                  <c:v>0.9</c:v>
                </c:pt>
              </c:numCache>
            </c:numRef>
          </c:cat>
          <c:val>
            <c:numRef>
              <c:f>Plan1!$A$68:$A$72</c:f>
              <c:numCache>
                <c:formatCode>General</c:formatCode>
                <c:ptCount val="5"/>
                <c:pt idx="0">
                  <c:v>0</c:v>
                </c:pt>
                <c:pt idx="1">
                  <c:v>1</c:v>
                </c:pt>
                <c:pt idx="2">
                  <c:v>0</c:v>
                </c:pt>
                <c:pt idx="3">
                  <c:v>2</c:v>
                </c:pt>
                <c:pt idx="4">
                  <c:v>2</c:v>
                </c:pt>
              </c:numCache>
            </c:numRef>
          </c:val>
          <c:extLst>
            <c:ext xmlns:c16="http://schemas.microsoft.com/office/drawing/2014/chart" uri="{C3380CC4-5D6E-409C-BE32-E72D297353CC}">
              <c16:uniqueId val="{00000000-0334-4204-BF53-FEC109CB456A}"/>
            </c:ext>
          </c:extLst>
        </c:ser>
        <c:ser>
          <c:idx val="1"/>
          <c:order val="1"/>
          <c:tx>
            <c:strRef>
              <c:f>Plan1!$B$67</c:f>
              <c:strCache>
                <c:ptCount val="1"/>
                <c:pt idx="0">
                  <c:v>Second collection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Plan1!$C$67:$C$71</c:f>
              <c:numCache>
                <c:formatCode>General</c:formatCode>
                <c:ptCount val="5"/>
                <c:pt idx="0">
                  <c:v>0.1</c:v>
                </c:pt>
                <c:pt idx="1">
                  <c:v>0.25</c:v>
                </c:pt>
                <c:pt idx="2">
                  <c:v>0.5</c:v>
                </c:pt>
                <c:pt idx="3">
                  <c:v>0.75</c:v>
                </c:pt>
                <c:pt idx="4">
                  <c:v>0.9</c:v>
                </c:pt>
              </c:numCache>
            </c:numRef>
          </c:cat>
          <c:val>
            <c:numRef>
              <c:f>Plan1!$B$68:$B$72</c:f>
              <c:numCache>
                <c:formatCode>General</c:formatCode>
                <c:ptCount val="5"/>
                <c:pt idx="0">
                  <c:v>6</c:v>
                </c:pt>
                <c:pt idx="1">
                  <c:v>7</c:v>
                </c:pt>
                <c:pt idx="2">
                  <c:v>6.5</c:v>
                </c:pt>
                <c:pt idx="3">
                  <c:v>4</c:v>
                </c:pt>
                <c:pt idx="4">
                  <c:v>4</c:v>
                </c:pt>
              </c:numCache>
            </c:numRef>
          </c:val>
          <c:extLst>
            <c:ext xmlns:c16="http://schemas.microsoft.com/office/drawing/2014/chart" uri="{C3380CC4-5D6E-409C-BE32-E72D297353CC}">
              <c16:uniqueId val="{00000001-0334-4204-BF53-FEC109CB456A}"/>
            </c:ext>
          </c:extLst>
        </c:ser>
        <c:dLbls>
          <c:showLegendKey val="0"/>
          <c:showVal val="0"/>
          <c:showCatName val="0"/>
          <c:showSerName val="0"/>
          <c:showPercent val="0"/>
          <c:showBubbleSize val="0"/>
        </c:dLbls>
        <c:gapWidth val="150"/>
        <c:overlap val="-25"/>
        <c:axId val="495591928"/>
        <c:axId val="495592320"/>
      </c:barChart>
      <c:catAx>
        <c:axId val="495591928"/>
        <c:scaling>
          <c:orientation val="minMax"/>
        </c:scaling>
        <c:delete val="0"/>
        <c:axPos val="b"/>
        <c:numFmt formatCode="0%" sourceLinked="0"/>
        <c:majorTickMark val="out"/>
        <c:minorTickMark val="none"/>
        <c:tickLblPos val="nextTo"/>
        <c:crossAx val="495592320"/>
        <c:crosses val="autoZero"/>
        <c:auto val="1"/>
        <c:lblAlgn val="ctr"/>
        <c:lblOffset val="100"/>
        <c:noMultiLvlLbl val="0"/>
      </c:catAx>
      <c:valAx>
        <c:axId val="495592320"/>
        <c:scaling>
          <c:orientation val="minMax"/>
          <c:max val="10"/>
          <c:min val="0"/>
        </c:scaling>
        <c:delete val="0"/>
        <c:axPos val="l"/>
        <c:majorGridlines>
          <c:spPr>
            <a:ln>
              <a:noFill/>
            </a:ln>
          </c:spPr>
        </c:majorGridlines>
        <c:numFmt formatCode="General" sourceLinked="1"/>
        <c:majorTickMark val="out"/>
        <c:minorTickMark val="none"/>
        <c:tickLblPos val="nextTo"/>
        <c:crossAx val="495591928"/>
        <c:crosses val="autoZero"/>
        <c:crossBetween val="between"/>
      </c:valAx>
    </c:plotArea>
    <c:legend>
      <c:legendPos val="b"/>
      <c:overlay val="0"/>
      <c:txPr>
        <a:bodyPr/>
        <a:lstStyle/>
        <a:p>
          <a:pPr>
            <a:defRPr sz="90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2298462692163"/>
          <c:y val="7.0829471674892314E-2"/>
          <c:w val="0.83849606299212598"/>
          <c:h val="0.41230406007861459"/>
        </c:manualLayout>
      </c:layout>
      <c:barChart>
        <c:barDir val="col"/>
        <c:grouping val="clustered"/>
        <c:varyColors val="0"/>
        <c:ser>
          <c:idx val="0"/>
          <c:order val="0"/>
          <c:tx>
            <c:v>Values obtained</c:v>
          </c:tx>
          <c:spPr>
            <a:solidFill>
              <a:schemeClr val="accent1"/>
            </a:solidFill>
            <a:ln>
              <a:noFill/>
            </a:ln>
            <a:effectLst/>
          </c:spPr>
          <c:invertIfNegative val="0"/>
          <c:dPt>
            <c:idx val="2"/>
            <c:invertIfNegative val="0"/>
            <c:bubble3D val="0"/>
            <c:extLst>
              <c:ext xmlns:c16="http://schemas.microsoft.com/office/drawing/2014/chart" uri="{C3380CC4-5D6E-409C-BE32-E72D297353CC}">
                <c16:uniqueId val="{00000000-5DC6-4E2D-BB5C-3098699155AA}"/>
              </c:ext>
            </c:extLst>
          </c:dPt>
          <c:dPt>
            <c:idx val="3"/>
            <c:invertIfNegative val="0"/>
            <c:bubble3D val="0"/>
            <c:extLst>
              <c:ext xmlns:c16="http://schemas.microsoft.com/office/drawing/2014/chart" uri="{C3380CC4-5D6E-409C-BE32-E72D297353CC}">
                <c16:uniqueId val="{00000001-5DC6-4E2D-BB5C-3098699155AA}"/>
              </c:ext>
            </c:extLst>
          </c:dPt>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Plan1!$A$80:$D$80</c:f>
              <c:strCache>
                <c:ptCount val="4"/>
                <c:pt idx="0">
                  <c:v>First collection P1</c:v>
                </c:pt>
                <c:pt idx="1">
                  <c:v>First collection P2</c:v>
                </c:pt>
                <c:pt idx="2">
                  <c:v>Second collection P1</c:v>
                </c:pt>
                <c:pt idx="3">
                  <c:v>Second collection P2</c:v>
                </c:pt>
              </c:strCache>
            </c:strRef>
          </c:cat>
          <c:val>
            <c:numRef>
              <c:f>Planilha1!$B$65:$E$65</c:f>
              <c:numCache>
                <c:formatCode>General</c:formatCode>
                <c:ptCount val="4"/>
                <c:pt idx="0">
                  <c:v>9.6</c:v>
                </c:pt>
                <c:pt idx="1">
                  <c:v>9.4</c:v>
                </c:pt>
                <c:pt idx="2">
                  <c:v>9.5</c:v>
                </c:pt>
                <c:pt idx="3">
                  <c:v>9.6999999999999993</c:v>
                </c:pt>
              </c:numCache>
            </c:numRef>
          </c:val>
          <c:extLst>
            <c:ext xmlns:c16="http://schemas.microsoft.com/office/drawing/2014/chart" uri="{C3380CC4-5D6E-409C-BE32-E72D297353CC}">
              <c16:uniqueId val="{00000002-5DC6-4E2D-BB5C-3098699155AA}"/>
            </c:ext>
          </c:extLst>
        </c:ser>
        <c:dLbls>
          <c:showLegendKey val="0"/>
          <c:showVal val="0"/>
          <c:showCatName val="0"/>
          <c:showSerName val="0"/>
          <c:showPercent val="0"/>
          <c:showBubbleSize val="0"/>
        </c:dLbls>
        <c:gapWidth val="219"/>
        <c:axId val="495595064"/>
        <c:axId val="620542328"/>
      </c:barChart>
      <c:lineChart>
        <c:grouping val="standard"/>
        <c:varyColors val="0"/>
        <c:ser>
          <c:idx val="1"/>
          <c:order val="1"/>
          <c:tx>
            <c:v>CONAMA 357 minimium limit</c:v>
          </c:tx>
          <c:spPr>
            <a:ln w="15875" cap="rnd">
              <a:solidFill>
                <a:srgbClr val="FF0000"/>
              </a:solidFill>
              <a:round/>
            </a:ln>
            <a:effectLst/>
          </c:spPr>
          <c:marker>
            <c:symbol val="none"/>
          </c:marker>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Planilha1!$C$71:$F$71</c:f>
              <c:numCache>
                <c:formatCode>General</c:formatCode>
                <c:ptCount val="4"/>
                <c:pt idx="0">
                  <c:v>6.5</c:v>
                </c:pt>
                <c:pt idx="1">
                  <c:v>6.5</c:v>
                </c:pt>
                <c:pt idx="2">
                  <c:v>6.5</c:v>
                </c:pt>
                <c:pt idx="3">
                  <c:v>6.5</c:v>
                </c:pt>
              </c:numCache>
            </c:numRef>
          </c:val>
          <c:smooth val="0"/>
          <c:extLst>
            <c:ext xmlns:c16="http://schemas.microsoft.com/office/drawing/2014/chart" uri="{C3380CC4-5D6E-409C-BE32-E72D297353CC}">
              <c16:uniqueId val="{00000003-5DC6-4E2D-BB5C-3098699155AA}"/>
            </c:ext>
          </c:extLst>
        </c:ser>
        <c:ser>
          <c:idx val="2"/>
          <c:order val="2"/>
          <c:tx>
            <c:v>CONAMA 357 maximium limit</c:v>
          </c:tx>
          <c:spPr>
            <a:ln w="15875" cap="rnd">
              <a:solidFill>
                <a:srgbClr val="FF0000"/>
              </a:solidFill>
              <a:round/>
            </a:ln>
            <a:effectLst/>
          </c:spPr>
          <c:marker>
            <c:symbol val="none"/>
          </c:marker>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Planilha1!$C$72:$F$72</c:f>
              <c:numCache>
                <c:formatCode>General</c:formatCode>
                <c:ptCount val="4"/>
                <c:pt idx="0">
                  <c:v>8.5</c:v>
                </c:pt>
                <c:pt idx="1">
                  <c:v>8.5</c:v>
                </c:pt>
                <c:pt idx="2">
                  <c:v>8.5</c:v>
                </c:pt>
                <c:pt idx="3">
                  <c:v>8.5</c:v>
                </c:pt>
              </c:numCache>
            </c:numRef>
          </c:val>
          <c:smooth val="0"/>
          <c:extLst>
            <c:ext xmlns:c16="http://schemas.microsoft.com/office/drawing/2014/chart" uri="{C3380CC4-5D6E-409C-BE32-E72D297353CC}">
              <c16:uniqueId val="{00000004-5DC6-4E2D-BB5C-3098699155AA}"/>
            </c:ext>
          </c:extLst>
        </c:ser>
        <c:dLbls>
          <c:showLegendKey val="0"/>
          <c:showVal val="0"/>
          <c:showCatName val="0"/>
          <c:showSerName val="0"/>
          <c:showPercent val="0"/>
          <c:showBubbleSize val="0"/>
        </c:dLbls>
        <c:marker val="1"/>
        <c:smooth val="0"/>
        <c:axId val="495595064"/>
        <c:axId val="620542328"/>
      </c:lineChart>
      <c:catAx>
        <c:axId val="495595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620542328"/>
        <c:crosses val="autoZero"/>
        <c:auto val="1"/>
        <c:lblAlgn val="ctr"/>
        <c:lblOffset val="100"/>
        <c:noMultiLvlLbl val="0"/>
      </c:catAx>
      <c:valAx>
        <c:axId val="620542328"/>
        <c:scaling>
          <c:orientation val="minMax"/>
          <c:max val="14"/>
          <c:min val="0"/>
        </c:scaling>
        <c:delete val="0"/>
        <c:axPos val="l"/>
        <c:numFmt formatCode="General" sourceLinked="1"/>
        <c:majorTickMark val="none"/>
        <c:minorTickMark val="none"/>
        <c:tickLblPos val="nextTo"/>
        <c:spPr>
          <a:effectLst/>
        </c:spPr>
        <c:txPr>
          <a:bodyPr rot="-60000000" vert="horz"/>
          <a:lstStyle/>
          <a:p>
            <a:pPr algn="ctr">
              <a:defRPr lang="pt-BR" sz="1000" b="0" i="0" u="none" strike="noStrike" kern="1200" baseline="0">
                <a:solidFill>
                  <a:sysClr val="windowText" lastClr="000000"/>
                </a:solidFill>
                <a:latin typeface="+mn-lt"/>
                <a:ea typeface="+mn-ea"/>
                <a:cs typeface="+mn-cs"/>
              </a:defRPr>
            </a:pPr>
            <a:endParaRPr lang="pt-BR"/>
          </a:p>
        </c:txPr>
        <c:crossAx val="495595064"/>
        <c:crosses val="autoZero"/>
        <c:crossBetween val="between"/>
        <c:majorUnit val="2"/>
        <c:minorUnit val="0.2"/>
      </c:valAx>
      <c:spPr>
        <a:effectLst/>
      </c:spPr>
    </c:plotArea>
    <c:legend>
      <c:legendPos val="b"/>
      <c:layout>
        <c:manualLayout>
          <c:xMode val="edge"/>
          <c:yMode val="edge"/>
          <c:x val="0.13568916385451818"/>
          <c:y val="0.74259277398937573"/>
          <c:w val="0.70481177352830893"/>
          <c:h val="0.21912971404890177"/>
        </c:manualLayout>
      </c:layout>
      <c:overlay val="0"/>
      <c:spPr>
        <a:noFill/>
        <a:ln>
          <a:noFill/>
        </a:ln>
        <a:effectLst/>
      </c:spPr>
      <c:txPr>
        <a:bodyPr rot="0" vert="horz"/>
        <a:lstStyle/>
        <a:p>
          <a:pPr>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effectLst/>
  </c:spPr>
  <c:txPr>
    <a:bodyPr/>
    <a:lstStyle/>
    <a:p>
      <a:pPr>
        <a:defRPr sz="900">
          <a:latin typeface="Arial" pitchFamily="34" charset="0"/>
          <a:cs typeface="Arial" pitchFamily="34"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Values obtained</c:v>
          </c:tx>
          <c:spPr>
            <a:solidFill>
              <a:schemeClr val="accent1"/>
            </a:solidFill>
            <a:ln>
              <a:noFill/>
            </a:ln>
            <a:effectLst/>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Plan1!$A$80:$D$80</c:f>
              <c:strCache>
                <c:ptCount val="4"/>
                <c:pt idx="0">
                  <c:v>First collection P1</c:v>
                </c:pt>
                <c:pt idx="1">
                  <c:v>First collection P2</c:v>
                </c:pt>
                <c:pt idx="2">
                  <c:v>Second collection P1</c:v>
                </c:pt>
                <c:pt idx="3">
                  <c:v>Second collection P2</c:v>
                </c:pt>
              </c:strCache>
            </c:strRef>
          </c:cat>
          <c:val>
            <c:numRef>
              <c:f>Planilha1!$B$66:$E$66</c:f>
              <c:numCache>
                <c:formatCode>General</c:formatCode>
                <c:ptCount val="4"/>
                <c:pt idx="0">
                  <c:v>5.92</c:v>
                </c:pt>
                <c:pt idx="1">
                  <c:v>6.11</c:v>
                </c:pt>
                <c:pt idx="2">
                  <c:v>6.3</c:v>
                </c:pt>
                <c:pt idx="3">
                  <c:v>6.52</c:v>
                </c:pt>
              </c:numCache>
            </c:numRef>
          </c:val>
          <c:extLst>
            <c:ext xmlns:c16="http://schemas.microsoft.com/office/drawing/2014/chart" uri="{C3380CC4-5D6E-409C-BE32-E72D297353CC}">
              <c16:uniqueId val="{00000000-4993-41A2-8FFE-0400A4A490D6}"/>
            </c:ext>
          </c:extLst>
        </c:ser>
        <c:dLbls>
          <c:showLegendKey val="0"/>
          <c:showVal val="0"/>
          <c:showCatName val="0"/>
          <c:showSerName val="0"/>
          <c:showPercent val="0"/>
          <c:showBubbleSize val="0"/>
        </c:dLbls>
        <c:gapWidth val="219"/>
        <c:overlap val="-27"/>
        <c:axId val="620547032"/>
        <c:axId val="620545464"/>
      </c:barChart>
      <c:lineChart>
        <c:grouping val="standard"/>
        <c:varyColors val="0"/>
        <c:ser>
          <c:idx val="1"/>
          <c:order val="1"/>
          <c:tx>
            <c:v>CONAMA 357 minimium limit</c:v>
          </c:tx>
          <c:spPr>
            <a:ln w="15875" cap="rnd">
              <a:solidFill>
                <a:srgbClr val="FF0000"/>
              </a:solidFill>
              <a:round/>
            </a:ln>
            <a:effectLst/>
          </c:spPr>
          <c:marker>
            <c:symbol val="none"/>
          </c:marker>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Planilha1!$C$73:$F$73</c:f>
              <c:numCache>
                <c:formatCode>General</c:formatCode>
                <c:ptCount val="4"/>
                <c:pt idx="0">
                  <c:v>5</c:v>
                </c:pt>
                <c:pt idx="1">
                  <c:v>5</c:v>
                </c:pt>
                <c:pt idx="2">
                  <c:v>5</c:v>
                </c:pt>
                <c:pt idx="3">
                  <c:v>5</c:v>
                </c:pt>
              </c:numCache>
            </c:numRef>
          </c:val>
          <c:smooth val="0"/>
          <c:extLst>
            <c:ext xmlns:c16="http://schemas.microsoft.com/office/drawing/2014/chart" uri="{C3380CC4-5D6E-409C-BE32-E72D297353CC}">
              <c16:uniqueId val="{00000001-4993-41A2-8FFE-0400A4A490D6}"/>
            </c:ext>
          </c:extLst>
        </c:ser>
        <c:dLbls>
          <c:showLegendKey val="0"/>
          <c:showVal val="0"/>
          <c:showCatName val="0"/>
          <c:showSerName val="0"/>
          <c:showPercent val="0"/>
          <c:showBubbleSize val="0"/>
        </c:dLbls>
        <c:marker val="1"/>
        <c:smooth val="0"/>
        <c:axId val="620547032"/>
        <c:axId val="620545464"/>
      </c:lineChart>
      <c:catAx>
        <c:axId val="62054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620545464"/>
        <c:crosses val="autoZero"/>
        <c:auto val="1"/>
        <c:lblAlgn val="ctr"/>
        <c:lblOffset val="100"/>
        <c:noMultiLvlLbl val="0"/>
      </c:catAx>
      <c:valAx>
        <c:axId val="620545464"/>
        <c:scaling>
          <c:orientation val="minMax"/>
          <c:max val="10"/>
          <c:min val="0"/>
        </c:scaling>
        <c:delete val="0"/>
        <c:axPos val="l"/>
        <c:numFmt formatCode="General" sourceLinked="1"/>
        <c:majorTickMark val="none"/>
        <c:minorTickMark val="none"/>
        <c:tickLblPos val="nextTo"/>
        <c:spPr>
          <a:effectLst/>
        </c:spPr>
        <c:txPr>
          <a:bodyPr rot="-60000000" vert="horz"/>
          <a:lstStyle/>
          <a:p>
            <a:pPr>
              <a:defRPr/>
            </a:pPr>
            <a:endParaRPr lang="pt-BR"/>
          </a:p>
        </c:txPr>
        <c:crossAx val="620547032"/>
        <c:crosses val="autoZero"/>
        <c:crossBetween val="between"/>
      </c:valAx>
      <c:spPr>
        <a:noFill/>
        <a:ln w="25400">
          <a:noFill/>
        </a:ln>
        <a:effectLst/>
      </c:spPr>
    </c:plotArea>
    <c:legend>
      <c:legendPos val="b"/>
      <c:overlay val="0"/>
      <c:spPr>
        <a:noFill/>
        <a:ln>
          <a:noFill/>
        </a:ln>
        <a:effectLst/>
      </c:spPr>
      <c:txPr>
        <a:bodyPr rot="0" vert="horz"/>
        <a:lstStyle/>
        <a:p>
          <a:pPr>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effectLst/>
  </c:spPr>
  <c:txPr>
    <a:bodyPr/>
    <a:lstStyle/>
    <a:p>
      <a:pPr>
        <a:defRPr sz="900">
          <a:latin typeface="Arial" pitchFamily="34" charset="0"/>
          <a:cs typeface="Arial" pitchFamily="34" charset="0"/>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Values obtained</c:v>
          </c:tx>
          <c:spPr>
            <a:solidFill>
              <a:schemeClr val="accent1"/>
            </a:solidFill>
            <a:ln>
              <a:noFill/>
            </a:ln>
            <a:effectLst/>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Plan1!$A$80:$D$80</c:f>
              <c:strCache>
                <c:ptCount val="4"/>
                <c:pt idx="0">
                  <c:v>First collection P1</c:v>
                </c:pt>
                <c:pt idx="1">
                  <c:v>First collection P2</c:v>
                </c:pt>
                <c:pt idx="2">
                  <c:v>Second collection P1</c:v>
                </c:pt>
                <c:pt idx="3">
                  <c:v>Second collection P2</c:v>
                </c:pt>
              </c:strCache>
            </c:strRef>
          </c:cat>
          <c:val>
            <c:numRef>
              <c:f>Planilha1!$B$67:$E$67</c:f>
              <c:numCache>
                <c:formatCode>General</c:formatCode>
                <c:ptCount val="4"/>
                <c:pt idx="0">
                  <c:v>35.299999999999997</c:v>
                </c:pt>
                <c:pt idx="1">
                  <c:v>34.799999999999997</c:v>
                </c:pt>
                <c:pt idx="2">
                  <c:v>31</c:v>
                </c:pt>
                <c:pt idx="3">
                  <c:v>34.5</c:v>
                </c:pt>
              </c:numCache>
            </c:numRef>
          </c:val>
          <c:extLst>
            <c:ext xmlns:c16="http://schemas.microsoft.com/office/drawing/2014/chart" uri="{C3380CC4-5D6E-409C-BE32-E72D297353CC}">
              <c16:uniqueId val="{00000000-11C8-4053-8161-AA629DFABBAF}"/>
            </c:ext>
          </c:extLst>
        </c:ser>
        <c:dLbls>
          <c:showLegendKey val="0"/>
          <c:showVal val="0"/>
          <c:showCatName val="0"/>
          <c:showSerName val="0"/>
          <c:showPercent val="0"/>
          <c:showBubbleSize val="0"/>
        </c:dLbls>
        <c:gapWidth val="219"/>
        <c:overlap val="-27"/>
        <c:axId val="620543112"/>
        <c:axId val="620544288"/>
      </c:barChart>
      <c:lineChart>
        <c:grouping val="standard"/>
        <c:varyColors val="0"/>
        <c:ser>
          <c:idx val="1"/>
          <c:order val="1"/>
          <c:tx>
            <c:v>CONAMA 357 minimium limit</c:v>
          </c:tx>
          <c:spPr>
            <a:ln w="15875" cap="rnd">
              <a:solidFill>
                <a:srgbClr val="FF0000"/>
              </a:solidFill>
              <a:round/>
            </a:ln>
            <a:effectLst/>
          </c:spPr>
          <c:marker>
            <c:symbol val="none"/>
          </c:marker>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Plan1!$A$80:$D$80</c:f>
              <c:strCache>
                <c:ptCount val="4"/>
                <c:pt idx="0">
                  <c:v>First collection P1</c:v>
                </c:pt>
                <c:pt idx="1">
                  <c:v>First collection P2</c:v>
                </c:pt>
                <c:pt idx="2">
                  <c:v>Second collection P1</c:v>
                </c:pt>
                <c:pt idx="3">
                  <c:v>Second collection P2</c:v>
                </c:pt>
              </c:strCache>
            </c:strRef>
          </c:cat>
          <c:val>
            <c:numRef>
              <c:f>Planilha1!$C$74:$F$74</c:f>
              <c:numCache>
                <c:formatCode>General</c:formatCode>
                <c:ptCount val="4"/>
                <c:pt idx="0">
                  <c:v>30</c:v>
                </c:pt>
                <c:pt idx="1">
                  <c:v>30</c:v>
                </c:pt>
                <c:pt idx="2">
                  <c:v>30</c:v>
                </c:pt>
                <c:pt idx="3">
                  <c:v>30</c:v>
                </c:pt>
              </c:numCache>
            </c:numRef>
          </c:val>
          <c:smooth val="0"/>
          <c:extLst>
            <c:ext xmlns:c16="http://schemas.microsoft.com/office/drawing/2014/chart" uri="{C3380CC4-5D6E-409C-BE32-E72D297353CC}">
              <c16:uniqueId val="{00000001-11C8-4053-8161-AA629DFABBAF}"/>
            </c:ext>
          </c:extLst>
        </c:ser>
        <c:dLbls>
          <c:showLegendKey val="0"/>
          <c:showVal val="0"/>
          <c:showCatName val="0"/>
          <c:showSerName val="0"/>
          <c:showPercent val="0"/>
          <c:showBubbleSize val="0"/>
        </c:dLbls>
        <c:marker val="1"/>
        <c:smooth val="0"/>
        <c:axId val="620543112"/>
        <c:axId val="620544288"/>
      </c:lineChart>
      <c:catAx>
        <c:axId val="620543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620544288"/>
        <c:crosses val="autoZero"/>
        <c:auto val="1"/>
        <c:lblAlgn val="ctr"/>
        <c:lblOffset val="100"/>
        <c:noMultiLvlLbl val="0"/>
      </c:catAx>
      <c:valAx>
        <c:axId val="620544288"/>
        <c:scaling>
          <c:orientation val="minMax"/>
          <c:max val="40"/>
          <c:min val="20"/>
        </c:scaling>
        <c:delete val="0"/>
        <c:axPos val="l"/>
        <c:numFmt formatCode="General" sourceLinked="1"/>
        <c:majorTickMark val="none"/>
        <c:minorTickMark val="none"/>
        <c:tickLblPos val="nextTo"/>
        <c:spPr>
          <a:effectLst/>
        </c:spPr>
        <c:txPr>
          <a:bodyPr rot="-60000000" vert="horz"/>
          <a:lstStyle/>
          <a:p>
            <a:pPr>
              <a:defRPr/>
            </a:pPr>
            <a:endParaRPr lang="pt-BR"/>
          </a:p>
        </c:txPr>
        <c:crossAx val="620543112"/>
        <c:crosses val="autoZero"/>
        <c:crossBetween val="between"/>
      </c:valAx>
      <c:spPr>
        <a:noFill/>
        <a:ln>
          <a:noFill/>
        </a:ln>
        <a:effectLst/>
      </c:spPr>
    </c:plotArea>
    <c:legend>
      <c:legendPos val="b"/>
      <c:overlay val="0"/>
      <c:spPr>
        <a:noFill/>
        <a:ln>
          <a:noFill/>
        </a:ln>
        <a:effectLst/>
      </c:spPr>
      <c:txPr>
        <a:bodyPr rot="0" vert="horz"/>
        <a:lstStyle/>
        <a:p>
          <a:pPr>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effectLst/>
  </c:spPr>
  <c:txPr>
    <a:bodyPr/>
    <a:lstStyle/>
    <a:p>
      <a:pPr>
        <a:defRPr sz="900">
          <a:latin typeface="Arial"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3960-F82F-F144-BE61-B49DCB19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2868</Words>
  <Characters>15493</Characters>
  <Application>Microsoft Office Word</Application>
  <DocSecurity>0</DocSecurity>
  <Lines>129</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Usuário do Microsoft Office</cp:lastModifiedBy>
  <cp:revision>2</cp:revision>
  <cp:lastPrinted>2015-05-12T18:31:00Z</cp:lastPrinted>
  <dcterms:created xsi:type="dcterms:W3CDTF">2019-04-13T20:50:00Z</dcterms:created>
  <dcterms:modified xsi:type="dcterms:W3CDTF">2019-04-13T20:50:00Z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