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28455B" w:rsidRPr="00B57B36" w14:paraId="1715C02E" w14:textId="77777777" w:rsidTr="006B46F6">
        <w:trPr>
          <w:trHeight w:val="852"/>
          <w:jc w:val="center"/>
        </w:trPr>
        <w:tc>
          <w:tcPr>
            <w:tcW w:w="6946" w:type="dxa"/>
            <w:vMerge w:val="restart"/>
            <w:tcBorders>
              <w:right w:val="single" w:sz="4" w:space="0" w:color="auto"/>
            </w:tcBorders>
          </w:tcPr>
          <w:p w14:paraId="69C03E27" w14:textId="77777777" w:rsidR="0028455B" w:rsidRPr="00B57B36" w:rsidRDefault="0028455B" w:rsidP="006B46F6">
            <w:pPr>
              <w:pStyle w:val="CETEquation"/>
              <w:rPr>
                <w:sz w:val="12"/>
                <w:szCs w:val="12"/>
                <w:lang w:eastAsia="it-IT"/>
              </w:rPr>
            </w:pPr>
            <w:r w:rsidRPr="00B57B36">
              <w:rPr>
                <w:rFonts w:ascii="AdvP6960" w:hAnsi="AdvP6960" w:cs="AdvP6960"/>
                <w:noProof/>
                <w:color w:val="241F20"/>
                <w:szCs w:val="18"/>
                <w:lang w:val="pt-BR" w:eastAsia="pt-BR"/>
              </w:rPr>
              <w:drawing>
                <wp:inline distT="0" distB="0" distL="0" distR="0" wp14:anchorId="06C45579" wp14:editId="350FA6C6">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00D847C6" w:rsidRPr="00B57B36">
              <w:rPr>
                <w:rFonts w:cs="Arial"/>
                <w:b/>
                <w:bCs/>
                <w:i/>
                <w:iCs/>
                <w:color w:val="000066"/>
                <w:sz w:val="24"/>
                <w:szCs w:val="24"/>
                <w:lang w:eastAsia="it-IT"/>
              </w:rPr>
              <w:t>CHEMICAL ENGINEERING</w:t>
            </w:r>
            <w:r w:rsidR="00D847C6" w:rsidRPr="00B57B36">
              <w:rPr>
                <w:rFonts w:cs="Arial"/>
                <w:b/>
                <w:bCs/>
                <w:i/>
                <w:iCs/>
                <w:color w:val="0033FF"/>
                <w:sz w:val="24"/>
                <w:szCs w:val="24"/>
                <w:lang w:eastAsia="it-IT"/>
              </w:rPr>
              <w:t xml:space="preserve"> </w:t>
            </w:r>
            <w:r w:rsidR="00D847C6" w:rsidRPr="00B57B36">
              <w:rPr>
                <w:rFonts w:cs="Arial"/>
                <w:b/>
                <w:bCs/>
                <w:i/>
                <w:iCs/>
                <w:color w:val="666666"/>
                <w:sz w:val="24"/>
                <w:szCs w:val="24"/>
                <w:lang w:eastAsia="it-IT"/>
              </w:rPr>
              <w:t>TRANSACTIONS</w:t>
            </w:r>
            <w:r w:rsidRPr="00B57B36">
              <w:rPr>
                <w:sz w:val="27"/>
                <w:szCs w:val="27"/>
                <w:lang w:eastAsia="it-IT"/>
              </w:rPr>
              <w:br/>
            </w:r>
          </w:p>
          <w:p w14:paraId="0F1D5A2D" w14:textId="77777777" w:rsidR="0028455B" w:rsidRPr="00B57B36" w:rsidRDefault="0028455B" w:rsidP="006B46F6">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 xml:space="preserve">VOL. </w:t>
            </w:r>
            <w:r>
              <w:rPr>
                <w:rFonts w:cs="Arial"/>
                <w:b/>
                <w:bCs/>
                <w:i/>
                <w:iCs/>
                <w:color w:val="000066"/>
                <w:sz w:val="22"/>
                <w:szCs w:val="22"/>
                <w:lang w:eastAsia="it-IT"/>
              </w:rPr>
              <w:t>76, 2019</w:t>
            </w:r>
          </w:p>
        </w:tc>
        <w:tc>
          <w:tcPr>
            <w:tcW w:w="1843" w:type="dxa"/>
            <w:tcBorders>
              <w:left w:val="single" w:sz="4" w:space="0" w:color="auto"/>
              <w:bottom w:val="nil"/>
              <w:right w:val="single" w:sz="4" w:space="0" w:color="auto"/>
            </w:tcBorders>
          </w:tcPr>
          <w:p w14:paraId="74193B6C" w14:textId="77777777" w:rsidR="0028455B" w:rsidRPr="00B57B36" w:rsidRDefault="0028455B" w:rsidP="006B46F6">
            <w:pPr>
              <w:spacing w:line="140" w:lineRule="atLeast"/>
              <w:jc w:val="right"/>
              <w:rPr>
                <w:rFonts w:cs="Arial"/>
                <w:sz w:val="14"/>
                <w:szCs w:val="14"/>
              </w:rPr>
            </w:pPr>
            <w:r w:rsidRPr="00B57B36">
              <w:rPr>
                <w:rFonts w:cs="Arial"/>
                <w:sz w:val="14"/>
                <w:szCs w:val="14"/>
              </w:rPr>
              <w:t>A publication of</w:t>
            </w:r>
          </w:p>
          <w:p w14:paraId="07099E97" w14:textId="77777777" w:rsidR="0028455B" w:rsidRPr="00B57B36" w:rsidRDefault="0028455B" w:rsidP="006B46F6">
            <w:pPr>
              <w:jc w:val="right"/>
            </w:pPr>
            <w:r w:rsidRPr="00B57B36">
              <w:rPr>
                <w:noProof/>
                <w:lang w:val="pt-BR" w:eastAsia="pt-BR"/>
              </w:rPr>
              <w:drawing>
                <wp:inline distT="0" distB="0" distL="0" distR="0" wp14:anchorId="347DCD07" wp14:editId="592F49E0">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28455B" w:rsidRPr="00B57B36" w14:paraId="7B3E4465" w14:textId="77777777" w:rsidTr="006B46F6">
        <w:trPr>
          <w:trHeight w:val="567"/>
          <w:jc w:val="center"/>
        </w:trPr>
        <w:tc>
          <w:tcPr>
            <w:tcW w:w="6946" w:type="dxa"/>
            <w:vMerge/>
            <w:tcBorders>
              <w:right w:val="single" w:sz="4" w:space="0" w:color="auto"/>
            </w:tcBorders>
          </w:tcPr>
          <w:p w14:paraId="387A5677" w14:textId="77777777" w:rsidR="0028455B" w:rsidRPr="00B57B36" w:rsidRDefault="0028455B" w:rsidP="006B46F6">
            <w:pPr>
              <w:tabs>
                <w:tab w:val="left" w:pos="-108"/>
              </w:tabs>
            </w:pPr>
          </w:p>
        </w:tc>
        <w:tc>
          <w:tcPr>
            <w:tcW w:w="1843" w:type="dxa"/>
            <w:tcBorders>
              <w:left w:val="single" w:sz="4" w:space="0" w:color="auto"/>
              <w:bottom w:val="nil"/>
              <w:right w:val="single" w:sz="4" w:space="0" w:color="auto"/>
            </w:tcBorders>
          </w:tcPr>
          <w:p w14:paraId="4853DE15" w14:textId="77777777" w:rsidR="0028455B" w:rsidRPr="00B57B36" w:rsidRDefault="0028455B" w:rsidP="006B46F6">
            <w:pPr>
              <w:spacing w:line="140" w:lineRule="atLeast"/>
              <w:jc w:val="right"/>
              <w:rPr>
                <w:rFonts w:cs="Arial"/>
                <w:sz w:val="14"/>
                <w:szCs w:val="14"/>
              </w:rPr>
            </w:pPr>
            <w:r w:rsidRPr="00B57B36">
              <w:rPr>
                <w:rFonts w:cs="Arial"/>
                <w:sz w:val="14"/>
                <w:szCs w:val="14"/>
              </w:rPr>
              <w:t>The Italian Association</w:t>
            </w:r>
          </w:p>
          <w:p w14:paraId="547BB713" w14:textId="77777777" w:rsidR="0028455B" w:rsidRPr="00B57B36" w:rsidRDefault="0028455B" w:rsidP="006B46F6">
            <w:pPr>
              <w:spacing w:line="140" w:lineRule="atLeast"/>
              <w:jc w:val="right"/>
              <w:rPr>
                <w:rFonts w:cs="Arial"/>
                <w:sz w:val="14"/>
                <w:szCs w:val="14"/>
              </w:rPr>
            </w:pPr>
            <w:r w:rsidRPr="00B57B36">
              <w:rPr>
                <w:rFonts w:cs="Arial"/>
                <w:sz w:val="14"/>
                <w:szCs w:val="14"/>
              </w:rPr>
              <w:t>of Chemical Engineering</w:t>
            </w:r>
          </w:p>
          <w:p w14:paraId="292B3FE0" w14:textId="77777777" w:rsidR="0028455B" w:rsidRPr="00B57B36" w:rsidRDefault="0028455B" w:rsidP="006B46F6">
            <w:pPr>
              <w:spacing w:line="140" w:lineRule="atLeast"/>
              <w:jc w:val="right"/>
              <w:rPr>
                <w:rFonts w:cs="Arial"/>
                <w:sz w:val="14"/>
                <w:szCs w:val="14"/>
              </w:rPr>
            </w:pPr>
            <w:r w:rsidRPr="00B57B36">
              <w:rPr>
                <w:rFonts w:cs="Arial"/>
                <w:sz w:val="14"/>
                <w:szCs w:val="14"/>
              </w:rPr>
              <w:t xml:space="preserve">Online at </w:t>
            </w:r>
            <w:r w:rsidRPr="00963E05">
              <w:rPr>
                <w:rFonts w:cs="Arial"/>
                <w:sz w:val="14"/>
                <w:szCs w:val="14"/>
              </w:rPr>
              <w:t>www.aidic.it/cet</w:t>
            </w:r>
          </w:p>
        </w:tc>
      </w:tr>
      <w:tr w:rsidR="0028455B" w:rsidRPr="00B57B36" w14:paraId="46CA8FFC" w14:textId="77777777" w:rsidTr="006B46F6">
        <w:trPr>
          <w:trHeight w:val="68"/>
          <w:jc w:val="center"/>
        </w:trPr>
        <w:tc>
          <w:tcPr>
            <w:tcW w:w="8789" w:type="dxa"/>
            <w:gridSpan w:val="2"/>
          </w:tcPr>
          <w:p w14:paraId="1ED2D699" w14:textId="77777777" w:rsidR="0028455B" w:rsidRPr="00252C1A" w:rsidRDefault="0028455B" w:rsidP="006B46F6">
            <w:pPr>
              <w:ind w:left="-107"/>
              <w:rPr>
                <w:lang w:val="it-IT"/>
              </w:rPr>
            </w:pPr>
            <w:r w:rsidRPr="00252C1A">
              <w:rPr>
                <w:rFonts w:ascii="Tahoma" w:hAnsi="Tahoma" w:cs="Tahoma"/>
                <w:iCs/>
                <w:color w:val="333333"/>
                <w:sz w:val="14"/>
                <w:szCs w:val="14"/>
                <w:lang w:val="it-IT" w:eastAsia="it-IT"/>
              </w:rPr>
              <w:t xml:space="preserve">Guest Editors: </w:t>
            </w:r>
            <w:r w:rsidRPr="00252C1A">
              <w:rPr>
                <w:rFonts w:ascii="Tahoma" w:hAnsi="Tahoma" w:cs="Tahoma"/>
                <w:sz w:val="14"/>
                <w:szCs w:val="14"/>
                <w:lang w:val="it-IT"/>
              </w:rPr>
              <w:t xml:space="preserve">Sauro Pierucci, </w:t>
            </w:r>
            <w:r w:rsidRPr="00252C1A">
              <w:rPr>
                <w:rFonts w:ascii="Tahoma" w:hAnsi="Tahoma" w:cs="Tahoma"/>
                <w:sz w:val="14"/>
                <w:szCs w:val="14"/>
                <w:shd w:val="clear" w:color="auto" w:fill="FFFFFF"/>
                <w:lang w:val="it-IT"/>
              </w:rPr>
              <w:t>Jiří Jaromír Klemeš</w:t>
            </w:r>
            <w:r>
              <w:rPr>
                <w:rFonts w:ascii="Tahoma" w:hAnsi="Tahoma" w:cs="Tahoma"/>
                <w:sz w:val="14"/>
                <w:szCs w:val="14"/>
                <w:shd w:val="clear" w:color="auto" w:fill="FFFFFF"/>
                <w:lang w:val="it-IT"/>
              </w:rPr>
              <w:t>, Lau</w:t>
            </w:r>
            <w:r w:rsidRPr="00252C1A">
              <w:rPr>
                <w:rFonts w:ascii="Tahoma" w:hAnsi="Tahoma" w:cs="Tahoma"/>
                <w:sz w:val="14"/>
                <w:szCs w:val="14"/>
                <w:shd w:val="clear" w:color="auto" w:fill="FFFFFF"/>
                <w:lang w:val="it-IT"/>
              </w:rPr>
              <w:t>ra Piazza</w:t>
            </w:r>
          </w:p>
          <w:p w14:paraId="197F6175" w14:textId="77777777" w:rsidR="0028455B" w:rsidRPr="00B57B36" w:rsidRDefault="0028455B" w:rsidP="006B46F6">
            <w:pPr>
              <w:tabs>
                <w:tab w:val="left" w:pos="-108"/>
              </w:tabs>
              <w:spacing w:line="140" w:lineRule="atLeast"/>
              <w:ind w:left="-107"/>
              <w:jc w:val="left"/>
            </w:pPr>
            <w:r>
              <w:rPr>
                <w:rFonts w:ascii="Tahoma" w:hAnsi="Tahoma" w:cs="Tahoma"/>
                <w:iCs/>
                <w:color w:val="333333"/>
                <w:sz w:val="14"/>
                <w:szCs w:val="14"/>
                <w:lang w:eastAsia="it-IT"/>
              </w:rPr>
              <w:t>Copyright © 2019</w:t>
            </w:r>
            <w:r w:rsidRPr="00B57B36">
              <w:rPr>
                <w:rFonts w:ascii="Tahoma" w:hAnsi="Tahoma" w:cs="Tahoma"/>
                <w:iCs/>
                <w:color w:val="333333"/>
                <w:sz w:val="14"/>
                <w:szCs w:val="14"/>
                <w:lang w:eastAsia="it-IT"/>
              </w:rPr>
              <w:t>, AIDIC Servizi S.r.l.</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Pr="00131FAB">
              <w:rPr>
                <w:rFonts w:ascii="Tahoma" w:hAnsi="Tahoma" w:cs="Tahoma"/>
                <w:sz w:val="14"/>
                <w:szCs w:val="14"/>
              </w:rPr>
              <w:t>978-88-95608-</w:t>
            </w:r>
            <w:r>
              <w:rPr>
                <w:rFonts w:ascii="Tahoma" w:hAnsi="Tahoma" w:cs="Tahoma"/>
                <w:sz w:val="14"/>
                <w:szCs w:val="14"/>
              </w:rPr>
              <w:t>73</w:t>
            </w:r>
            <w:r w:rsidRPr="00131FAB">
              <w:rPr>
                <w:rFonts w:ascii="Tahoma" w:hAnsi="Tahoma" w:cs="Tahoma"/>
                <w:sz w:val="14"/>
                <w:szCs w:val="14"/>
              </w:rPr>
              <w:t>-</w:t>
            </w:r>
            <w:r>
              <w:rPr>
                <w:rFonts w:ascii="Tahoma" w:hAnsi="Tahoma" w:cs="Tahoma"/>
                <w:sz w:val="14"/>
                <w:szCs w:val="14"/>
              </w:rPr>
              <w:t>0</w:t>
            </w:r>
            <w:r w:rsidRPr="00131FAB">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p w14:paraId="64027F27" w14:textId="77777777" w:rsidR="000A03B2" w:rsidRPr="00B57B36" w:rsidRDefault="000A03B2" w:rsidP="000A03B2">
      <w:pPr>
        <w:pStyle w:val="CETAuthors"/>
        <w:sectPr w:rsidR="000A03B2" w:rsidRPr="00B57B36">
          <w:type w:val="continuous"/>
          <w:pgSz w:w="11906" w:h="16838" w:code="9"/>
          <w:pgMar w:top="1701" w:right="1418" w:bottom="1701" w:left="1701" w:header="1701" w:footer="0" w:gutter="0"/>
          <w:cols w:space="708"/>
          <w:titlePg/>
          <w:docGrid w:linePitch="360"/>
        </w:sectPr>
      </w:pPr>
    </w:p>
    <w:p w14:paraId="4ED4D562" w14:textId="0FDD8532" w:rsidR="00E978D0" w:rsidRPr="00F0258D" w:rsidRDefault="0028455B" w:rsidP="00E978D0">
      <w:pPr>
        <w:pStyle w:val="CETTitle"/>
        <w:rPr>
          <w:lang w:val="pt"/>
        </w:rPr>
      </w:pPr>
      <w:r w:rsidRPr="00F0258D">
        <w:rPr>
          <w:lang w:val="en-US"/>
        </w:rPr>
        <w:t>Monitor</w:t>
      </w:r>
      <w:r w:rsidR="00726E34" w:rsidRPr="00F0258D">
        <w:rPr>
          <w:lang w:val="en-US"/>
        </w:rPr>
        <w:t>ing</w:t>
      </w:r>
      <w:r w:rsidRPr="00F0258D">
        <w:rPr>
          <w:lang w:val="en-US"/>
        </w:rPr>
        <w:t xml:space="preserve"> </w:t>
      </w:r>
      <w:r w:rsidR="00726E34" w:rsidRPr="00F0258D">
        <w:rPr>
          <w:lang w:val="en-US"/>
        </w:rPr>
        <w:t>air pollution with living</w:t>
      </w:r>
      <w:r w:rsidRPr="00F0258D">
        <w:rPr>
          <w:lang w:val="en-US"/>
        </w:rPr>
        <w:t xml:space="preserve"> </w:t>
      </w:r>
      <w:r w:rsidR="00726E34" w:rsidRPr="00F0258D">
        <w:rPr>
          <w:lang w:val="en-US"/>
        </w:rPr>
        <w:t>o</w:t>
      </w:r>
      <w:r w:rsidRPr="00F0258D">
        <w:rPr>
          <w:lang w:val="en-US"/>
        </w:rPr>
        <w:t>rganisms</w:t>
      </w:r>
      <w:r w:rsidR="00726E34" w:rsidRPr="00F0258D">
        <w:rPr>
          <w:lang w:val="en-US"/>
        </w:rPr>
        <w:t xml:space="preserve">. </w:t>
      </w:r>
      <w:r w:rsidR="00244FD0">
        <w:rPr>
          <w:lang w:val="pt-BR"/>
        </w:rPr>
        <w:t>Case study use of lichens</w:t>
      </w:r>
      <w:r w:rsidR="00726E34" w:rsidRPr="00F0258D">
        <w:rPr>
          <w:lang w:val="pt-BR"/>
        </w:rPr>
        <w:t xml:space="preserve"> as b</w:t>
      </w:r>
      <w:r w:rsidRPr="00F0258D">
        <w:rPr>
          <w:lang w:val="pt"/>
        </w:rPr>
        <w:t>ioindica</w:t>
      </w:r>
      <w:r w:rsidR="00F0258D" w:rsidRPr="00F0258D">
        <w:rPr>
          <w:lang w:val="pt"/>
        </w:rPr>
        <w:t>t</w:t>
      </w:r>
      <w:r w:rsidRPr="00F0258D">
        <w:rPr>
          <w:lang w:val="pt"/>
        </w:rPr>
        <w:t>ors</w:t>
      </w:r>
      <w:r w:rsidR="00F0258D" w:rsidRPr="00F0258D">
        <w:rPr>
          <w:lang w:val="pt"/>
        </w:rPr>
        <w:t xml:space="preserve"> </w:t>
      </w:r>
      <w:bookmarkStart w:id="0" w:name="_Hlk6042742"/>
      <w:r w:rsidR="00F0258D" w:rsidRPr="00F0258D">
        <w:rPr>
          <w:lang w:val="pt"/>
        </w:rPr>
        <w:t xml:space="preserve">in </w:t>
      </w:r>
      <w:r w:rsidR="004068F5">
        <w:rPr>
          <w:lang w:val="pt"/>
        </w:rPr>
        <w:t>the</w:t>
      </w:r>
      <w:r w:rsidR="00F0258D" w:rsidRPr="00F0258D">
        <w:rPr>
          <w:lang w:val="pt"/>
        </w:rPr>
        <w:t xml:space="preserve"> Miguel Pereira</w:t>
      </w:r>
      <w:r w:rsidR="008C5784">
        <w:rPr>
          <w:lang w:val="pt"/>
        </w:rPr>
        <w:t xml:space="preserve"> city</w:t>
      </w:r>
      <w:bookmarkEnd w:id="0"/>
      <w:r w:rsidR="00F0258D" w:rsidRPr="00F0258D">
        <w:rPr>
          <w:lang w:val="pt"/>
        </w:rPr>
        <w:t>, Rio de Janeiro, Brazil</w:t>
      </w:r>
    </w:p>
    <w:p w14:paraId="560ADEC0" w14:textId="7CA479EA" w:rsidR="00E978D0" w:rsidRPr="008122F2" w:rsidRDefault="0028455B" w:rsidP="00F6097D">
      <w:pPr>
        <w:pStyle w:val="CETAuthors"/>
        <w:rPr>
          <w:lang w:val="pt-BR"/>
        </w:rPr>
      </w:pPr>
      <w:r w:rsidRPr="008122F2">
        <w:rPr>
          <w:lang w:val="pt-BR"/>
        </w:rPr>
        <w:t>Rayane da S. Lopes</w:t>
      </w:r>
      <w:r w:rsidR="008122F2">
        <w:rPr>
          <w:lang w:val="pt-BR"/>
        </w:rPr>
        <w:t>*</w:t>
      </w:r>
      <w:r w:rsidR="00585D04" w:rsidRPr="008122F2">
        <w:rPr>
          <w:lang w:val="pt-BR"/>
        </w:rPr>
        <w:t>*</w:t>
      </w:r>
      <w:r w:rsidR="00600535" w:rsidRPr="008122F2">
        <w:rPr>
          <w:lang w:val="pt-BR"/>
        </w:rPr>
        <w:t xml:space="preserve">, </w:t>
      </w:r>
      <w:r w:rsidRPr="008122F2">
        <w:rPr>
          <w:lang w:val="pt-BR"/>
        </w:rPr>
        <w:t>Marcelo P. Martins</w:t>
      </w:r>
      <w:r w:rsidR="008122F2">
        <w:rPr>
          <w:vertAlign w:val="superscript"/>
          <w:lang w:val="pt-BR"/>
        </w:rPr>
        <w:t>*</w:t>
      </w:r>
      <w:r w:rsidRPr="008122F2">
        <w:rPr>
          <w:lang w:val="pt-BR"/>
        </w:rPr>
        <w:t>, Raquel L</w:t>
      </w:r>
      <w:r w:rsidR="008122F2">
        <w:rPr>
          <w:lang w:val="pt-BR"/>
        </w:rPr>
        <w:t>ima</w:t>
      </w:r>
      <w:r w:rsidRPr="008122F2">
        <w:rPr>
          <w:lang w:val="pt-BR"/>
        </w:rPr>
        <w:t xml:space="preserve"> Oliveir</w:t>
      </w:r>
      <w:r w:rsidR="00932A34" w:rsidRPr="008122F2">
        <w:rPr>
          <w:lang w:val="pt-BR"/>
        </w:rPr>
        <w:t>a</w:t>
      </w:r>
      <w:r w:rsidR="008122F2">
        <w:rPr>
          <w:lang w:val="pt-BR"/>
        </w:rPr>
        <w:t>*</w:t>
      </w:r>
      <w:r w:rsidR="00932A34" w:rsidRPr="008122F2">
        <w:rPr>
          <w:lang w:val="pt-BR"/>
        </w:rPr>
        <w:t xml:space="preserve"> e Fernando </w:t>
      </w:r>
      <w:r w:rsidR="00F0258D" w:rsidRPr="008122F2">
        <w:rPr>
          <w:lang w:val="pt-BR"/>
        </w:rPr>
        <w:t>P</w:t>
      </w:r>
      <w:r w:rsidR="0089766E" w:rsidRPr="008122F2">
        <w:rPr>
          <w:lang w:val="pt-BR"/>
        </w:rPr>
        <w:t>.</w:t>
      </w:r>
      <w:r w:rsidR="00F0258D" w:rsidRPr="008122F2">
        <w:rPr>
          <w:lang w:val="pt-BR"/>
        </w:rPr>
        <w:t xml:space="preserve"> </w:t>
      </w:r>
      <w:r w:rsidR="00932A34" w:rsidRPr="008122F2">
        <w:rPr>
          <w:lang w:val="pt-BR"/>
        </w:rPr>
        <w:t>Gurgel do Amaral</w:t>
      </w:r>
      <w:r w:rsidR="008122F2">
        <w:rPr>
          <w:lang w:val="pt-BR"/>
        </w:rPr>
        <w:t>*</w:t>
      </w:r>
    </w:p>
    <w:p w14:paraId="7A1056E5" w14:textId="2E01A09E" w:rsidR="00E978D0" w:rsidRPr="008122F2" w:rsidRDefault="008122F2" w:rsidP="00BE484C">
      <w:pPr>
        <w:pStyle w:val="CETAddress"/>
        <w:rPr>
          <w:lang w:val="pt-BR"/>
        </w:rPr>
      </w:pPr>
      <w:r>
        <w:rPr>
          <w:lang w:val="pt-BR"/>
        </w:rPr>
        <w:t>* U</w:t>
      </w:r>
      <w:r w:rsidR="001266C8" w:rsidRPr="008122F2">
        <w:rPr>
          <w:lang w:val="pt-BR"/>
        </w:rPr>
        <w:t>NESA - U</w:t>
      </w:r>
      <w:r w:rsidR="0028455B" w:rsidRPr="008122F2">
        <w:rPr>
          <w:lang w:val="pt-BR"/>
        </w:rPr>
        <w:t>niversidade Estácio de Sá</w:t>
      </w:r>
      <w:r w:rsidR="00CE5718" w:rsidRPr="008122F2">
        <w:rPr>
          <w:lang w:val="pt-BR"/>
        </w:rPr>
        <w:t xml:space="preserve">, </w:t>
      </w:r>
      <w:r w:rsidR="0028455B" w:rsidRPr="008122F2">
        <w:rPr>
          <w:lang w:val="pt-BR"/>
        </w:rPr>
        <w:t xml:space="preserve">Rua Eduardo Luiz Gomes, 134  Niteroi, RJ, Brasil CEP 24020-324 </w:t>
      </w:r>
    </w:p>
    <w:p w14:paraId="5FE285A7" w14:textId="5B9B6240" w:rsidR="00E978D0" w:rsidRPr="00F0258D" w:rsidRDefault="008122F2" w:rsidP="00E978D0">
      <w:pPr>
        <w:pStyle w:val="CETAddress"/>
        <w:rPr>
          <w:lang w:val="en-US"/>
        </w:rPr>
      </w:pPr>
      <w:r>
        <w:rPr>
          <w:lang w:val="en-US"/>
        </w:rPr>
        <w:t xml:space="preserve">** </w:t>
      </w:r>
      <w:r w:rsidRPr="00F0258D">
        <w:rPr>
          <w:lang w:val="en-US"/>
        </w:rPr>
        <w:t xml:space="preserve">Environmental and sanitary engineer </w:t>
      </w:r>
      <w:r>
        <w:rPr>
          <w:lang w:val="en-US"/>
        </w:rPr>
        <w:t xml:space="preserve">- </w:t>
      </w:r>
      <w:hyperlink r:id="rId10" w:history="1">
        <w:r w:rsidRPr="00F82B72">
          <w:rPr>
            <w:rStyle w:val="Hyperlink"/>
            <w:lang w:val="en-US"/>
          </w:rPr>
          <w:t>rayaneslopes@yahoo.com.br</w:t>
        </w:r>
      </w:hyperlink>
      <w:r>
        <w:rPr>
          <w:lang w:val="en-US"/>
        </w:rPr>
        <w:t xml:space="preserve"> </w:t>
      </w:r>
    </w:p>
    <w:p w14:paraId="102E3841" w14:textId="77777777" w:rsidR="00E978D0" w:rsidRPr="00F0258D" w:rsidRDefault="00E978D0" w:rsidP="00E978D0">
      <w:pPr>
        <w:pStyle w:val="CETemail"/>
        <w:rPr>
          <w:lang w:val="en-US"/>
        </w:rPr>
      </w:pPr>
    </w:p>
    <w:p w14:paraId="5830CE42" w14:textId="1106B10C" w:rsidR="005E7E25" w:rsidRPr="005E7E25" w:rsidRDefault="005E7E25" w:rsidP="00492F3A">
      <w:pPr>
        <w:pStyle w:val="CETBodytext"/>
      </w:pPr>
      <w:r w:rsidRPr="008118A1">
        <w:t xml:space="preserve">An alternative route to evaluate air pollution and its impact on the environment is </w:t>
      </w:r>
      <w:r w:rsidR="006873CB" w:rsidRPr="008118A1">
        <w:t>using</w:t>
      </w:r>
      <w:r w:rsidRPr="008118A1">
        <w:t xml:space="preserve"> bioindicators, such as lichens, for example. The main purpose of this </w:t>
      </w:r>
      <w:r w:rsidR="00244FD0">
        <w:t>p</w:t>
      </w:r>
      <w:r w:rsidRPr="008118A1">
        <w:t xml:space="preserve">aper is to demonstrate that the use of lichens can be a simple and economically feasible way to detect and monitor air pollution. Qualitative and quantitative analyses, such as the survey of the specific richness, coverage and frequency of the lichen flora have been made. They have been calculated based in the </w:t>
      </w:r>
      <w:r w:rsidR="00CF282A" w:rsidRPr="00CF282A">
        <w:t xml:space="preserve">Index </w:t>
      </w:r>
      <w:r w:rsidR="00CF282A">
        <w:t xml:space="preserve">of </w:t>
      </w:r>
      <w:r w:rsidR="00CF282A" w:rsidRPr="00CF282A">
        <w:t>Atmospheric Purity</w:t>
      </w:r>
      <w:r w:rsidR="00CF282A">
        <w:rPr>
          <w:sz w:val="23"/>
          <w:szCs w:val="23"/>
        </w:rPr>
        <w:t xml:space="preserve"> </w:t>
      </w:r>
      <w:r w:rsidRPr="008118A1">
        <w:t>(</w:t>
      </w:r>
      <w:r w:rsidR="00CF282A">
        <w:t>IAP</w:t>
      </w:r>
      <w:r w:rsidRPr="008118A1">
        <w:t xml:space="preserve">) values obtained through seasonal campaigns carried out from </w:t>
      </w:r>
      <w:r w:rsidR="00A83EE8">
        <w:t>January</w:t>
      </w:r>
      <w:r w:rsidRPr="008118A1">
        <w:t xml:space="preserve"> to </w:t>
      </w:r>
      <w:r w:rsidR="00A83EE8">
        <w:t xml:space="preserve">October </w:t>
      </w:r>
      <w:r w:rsidR="00FD0329">
        <w:t xml:space="preserve">in </w:t>
      </w:r>
      <w:r w:rsidRPr="008118A1">
        <w:t xml:space="preserve">2017 at four locations in the Miguel Pereira District – State of Rio de Janeiro. 21 “taxon of lichens” distributed in 09 families and 13 genera have been detected. Locations 3 and 4 (Javary lake and São Roque street) have shown higher values of specific richness and </w:t>
      </w:r>
      <w:r w:rsidR="00CF282A">
        <w:t>IAP</w:t>
      </w:r>
      <w:r w:rsidRPr="008118A1">
        <w:t xml:space="preserve"> (21.66 and 31.45, </w:t>
      </w:r>
      <w:r w:rsidR="003C44CB" w:rsidRPr="008118A1">
        <w:t>respectively</w:t>
      </w:r>
      <w:r w:rsidRPr="008118A1">
        <w:t xml:space="preserve">) which indicate the air pollution at these locations as being </w:t>
      </w:r>
      <w:r w:rsidR="003C44CB" w:rsidRPr="008118A1">
        <w:t>respectively</w:t>
      </w:r>
      <w:r w:rsidRPr="008118A1">
        <w:t xml:space="preserve"> regular and low. On the other hand, at the other two locations (Aurea street and Bus Terminal), the specific richness and </w:t>
      </w:r>
      <w:r w:rsidR="00CF282A">
        <w:t>IAP</w:t>
      </w:r>
      <w:r w:rsidRPr="008118A1">
        <w:t xml:space="preserve"> values found – 7.91 and 11.23 indicate high and high air pollution, </w:t>
      </w:r>
      <w:r w:rsidR="003C44CB" w:rsidRPr="008118A1">
        <w:t>respectively</w:t>
      </w:r>
      <w:r w:rsidRPr="008118A1">
        <w:t>. These values and associated indicators lead to believe that the more urbanized an area is, the higher is its air pollution.</w:t>
      </w:r>
    </w:p>
    <w:p w14:paraId="6365A01A" w14:textId="77777777" w:rsidR="00600535" w:rsidRPr="007C248C" w:rsidRDefault="00856E40" w:rsidP="007C248C">
      <w:pPr>
        <w:pStyle w:val="CETHeading1"/>
      </w:pPr>
      <w:r w:rsidRPr="007C248C">
        <w:t>Introduction</w:t>
      </w:r>
    </w:p>
    <w:p w14:paraId="4CBBF563" w14:textId="2D6D205F" w:rsidR="00856E40" w:rsidRPr="00856E40" w:rsidRDefault="00856E40" w:rsidP="006E53AB">
      <w:pPr>
        <w:pStyle w:val="CETBodytext"/>
      </w:pPr>
      <w:r w:rsidRPr="00856E40">
        <w:t>In Brazil, the installation of large-scale industries and the excess of pollutants launched by the</w:t>
      </w:r>
      <w:r w:rsidR="004068F5">
        <w:t>m</w:t>
      </w:r>
      <w:r w:rsidRPr="00856E40">
        <w:t>, led to acute episodes of pollution between the decades of 60 and 70</w:t>
      </w:r>
      <w:r w:rsidR="006873CB">
        <w:t xml:space="preserve"> </w:t>
      </w:r>
      <w:r w:rsidR="006873CB" w:rsidRPr="00856E40">
        <w:t xml:space="preserve">in São Paulo </w:t>
      </w:r>
      <w:r w:rsidR="006873CB">
        <w:t>State</w:t>
      </w:r>
      <w:r w:rsidRPr="00856E40">
        <w:t xml:space="preserve">, causing damage to the population's health. In order to control atmospheric pollution, later, in 1972, 14 air quality monitoring stations were installed to measure the concentration of pollutants of </w:t>
      </w:r>
      <w:r w:rsidR="005F0FBF" w:rsidRPr="00856E40">
        <w:t>Sul</w:t>
      </w:r>
      <w:r w:rsidR="005F0FBF">
        <w:t>ph</w:t>
      </w:r>
      <w:r w:rsidR="005F0FBF" w:rsidRPr="00856E40">
        <w:t>ur</w:t>
      </w:r>
      <w:r w:rsidRPr="00856E40">
        <w:t xml:space="preserve"> </w:t>
      </w:r>
      <w:r w:rsidR="005F0FBF">
        <w:t>D</w:t>
      </w:r>
      <w:r w:rsidRPr="00856E40">
        <w:t>ioxide (SO</w:t>
      </w:r>
      <w:r w:rsidRPr="00856E40">
        <w:rPr>
          <w:vertAlign w:val="subscript"/>
        </w:rPr>
        <w:t>2</w:t>
      </w:r>
      <w:r w:rsidRPr="00856E40">
        <w:t>) and black smoke in the state (CETESB, 2001).</w:t>
      </w:r>
    </w:p>
    <w:p w14:paraId="61C1BF0A" w14:textId="7A54D9AE" w:rsidR="00856E40" w:rsidRPr="00856E40" w:rsidRDefault="00A02F16" w:rsidP="006E53AB">
      <w:pPr>
        <w:pStyle w:val="CETBodytext"/>
      </w:pPr>
      <w:r w:rsidRPr="00A02F16">
        <w:t>In addition to damage to health and the quality of human life, air pollution can also harm vegetation, the economy and the properties of the atmosphere, producing acidification and potentiating global warming</w:t>
      </w:r>
      <w:r>
        <w:t xml:space="preserve"> (</w:t>
      </w:r>
      <w:r w:rsidR="001514F1">
        <w:t>WANG</w:t>
      </w:r>
      <w:r w:rsidR="00535AC1">
        <w:t xml:space="preserve"> et al., 2019)</w:t>
      </w:r>
      <w:r w:rsidRPr="00A02F16">
        <w:t>.</w:t>
      </w:r>
      <w:r>
        <w:t xml:space="preserve"> </w:t>
      </w:r>
      <w:r w:rsidR="00856E40" w:rsidRPr="00856E40">
        <w:t>Therefore, monitoring is an instrument of paramount importance, not only to control damage</w:t>
      </w:r>
      <w:r w:rsidR="004068F5">
        <w:t>s</w:t>
      </w:r>
      <w:r w:rsidR="00856E40" w:rsidRPr="00856E40">
        <w:t xml:space="preserve">, but also to prevent them. However, air quality </w:t>
      </w:r>
      <w:r w:rsidR="004068F5">
        <w:t>monitoring occurs in less than 2</w:t>
      </w:r>
      <w:r w:rsidR="00A15C88">
        <w:t xml:space="preserve"> </w:t>
      </w:r>
      <w:r w:rsidR="004068F5">
        <w:t>% of the B</w:t>
      </w:r>
      <w:r w:rsidR="00856E40" w:rsidRPr="00856E40">
        <w:t xml:space="preserve">razilian municipalities. Difficulties such as lack of </w:t>
      </w:r>
      <w:r w:rsidR="004068F5">
        <w:t>controlling</w:t>
      </w:r>
      <w:r w:rsidR="00856E40" w:rsidRPr="00856E40">
        <w:t xml:space="preserve">, shortage of skilled labor and lack of financial resources for the acquisition of equipment and maintenance of networks, can hinder the implementation and maintenance of a monitoring system (IEMA, 2014). </w:t>
      </w:r>
      <w:r w:rsidR="001156C5">
        <w:t>So</w:t>
      </w:r>
      <w:r w:rsidR="00856E40" w:rsidRPr="00856E40">
        <w:t>, the question is: how to indicate the atmospheric pollution in cities that do not have air quality monitoring stations and ad</w:t>
      </w:r>
      <w:r w:rsidR="000A5D09">
        <w:t>vanced technological resources?</w:t>
      </w:r>
    </w:p>
    <w:p w14:paraId="60CAC7EF" w14:textId="7C6A0548" w:rsidR="00856E40" w:rsidRDefault="00856E40" w:rsidP="006E53AB">
      <w:pPr>
        <w:pStyle w:val="CETBodytext"/>
      </w:pPr>
      <w:r w:rsidRPr="00856E40">
        <w:t xml:space="preserve">A simple and inexpensive alternative, to </w:t>
      </w:r>
      <w:r w:rsidR="001156C5">
        <w:t>evaluate</w:t>
      </w:r>
      <w:r w:rsidRPr="00856E40">
        <w:t xml:space="preserve"> the atmospheric pollution and the impacts caused to the environment, is </w:t>
      </w:r>
      <w:r w:rsidR="00973CD0" w:rsidRPr="00856E40">
        <w:t>using</w:t>
      </w:r>
      <w:r w:rsidRPr="00856E40">
        <w:t xml:space="preserve"> living organisms capable of responding measurably to any disturbance in the</w:t>
      </w:r>
      <w:r w:rsidR="000A5D09">
        <w:t xml:space="preserve"> environment in which they are </w:t>
      </w:r>
      <w:r w:rsidR="000713EF">
        <w:t>introduced,</w:t>
      </w:r>
      <w:r w:rsidR="001156C5">
        <w:t xml:space="preserve"> and which are called</w:t>
      </w:r>
      <w:r w:rsidRPr="00856E40">
        <w:t xml:space="preserve"> bioindicators (F</w:t>
      </w:r>
      <w:r w:rsidR="00281F37">
        <w:t>ilho</w:t>
      </w:r>
      <w:r w:rsidRPr="00856E40">
        <w:t xml:space="preserve"> et al., 2006).</w:t>
      </w:r>
    </w:p>
    <w:p w14:paraId="5E650BD7" w14:textId="77777777" w:rsidR="00EE3B50" w:rsidRDefault="00EE3B50" w:rsidP="006E53AB">
      <w:pPr>
        <w:pStyle w:val="CETBodytext"/>
      </w:pPr>
    </w:p>
    <w:p w14:paraId="65842626" w14:textId="77777777" w:rsidR="00EE3B50" w:rsidRDefault="00EE3B50" w:rsidP="006E53AB">
      <w:pPr>
        <w:pStyle w:val="CETBodytext"/>
      </w:pPr>
    </w:p>
    <w:p w14:paraId="19B860FD" w14:textId="77777777" w:rsidR="00EE3B50" w:rsidRDefault="00EE3B50" w:rsidP="006E53AB">
      <w:pPr>
        <w:pStyle w:val="CETBodytext"/>
      </w:pPr>
    </w:p>
    <w:p w14:paraId="516D93F0" w14:textId="77777777" w:rsidR="00EE3B50" w:rsidRPr="00856E40" w:rsidRDefault="00EE3B50" w:rsidP="006E53AB">
      <w:pPr>
        <w:pStyle w:val="CETBodytext"/>
      </w:pPr>
    </w:p>
    <w:p w14:paraId="73D149B5" w14:textId="77777777" w:rsidR="00856E40" w:rsidRDefault="00856E40" w:rsidP="006E53AB">
      <w:pPr>
        <w:pStyle w:val="CETBodytext"/>
      </w:pPr>
      <w:r w:rsidRPr="00856E40">
        <w:t xml:space="preserve">The techniques that use bioindicators as monitoring mechanisms, are called bioindications and biomonitoring and unlike mechanical monitoring, which is generally of high cost and offers results of the current and/or momentary situation of </w:t>
      </w:r>
      <w:r w:rsidR="001156C5">
        <w:t xml:space="preserve">the </w:t>
      </w:r>
      <w:r w:rsidRPr="00856E40">
        <w:t>environment studied, monitoring with biological indicators besides having low cost, offers the history of local pollution, as well as the peaks of pollutant concentration, and can be used as a complement or at the intersection of information arising from Instrumental automatic stations. Among the most used plant forms for this purpose are the lichen, mosses and, to a lesser extent, some vascular.</w:t>
      </w:r>
    </w:p>
    <w:p w14:paraId="3F0597B2" w14:textId="1DB144AD" w:rsidR="00856E40" w:rsidRPr="00856E40" w:rsidRDefault="00856E40" w:rsidP="006E53AB">
      <w:pPr>
        <w:pStyle w:val="CETBodytext"/>
      </w:pPr>
      <w:r w:rsidRPr="00856E40">
        <w:t>Lichens are very sensitive to atmospheric pollution and are among the organisms most used in air biomonitoring studies, since they provide a measurable response to the disturbance or stress of pollutants</w:t>
      </w:r>
      <w:r w:rsidR="000F6A3C">
        <w:t xml:space="preserve">, </w:t>
      </w:r>
      <w:r w:rsidR="000F6A3C" w:rsidRPr="008122F2">
        <w:rPr>
          <w:rFonts w:eastAsiaTheme="minorHAnsi" w:cs="Arial"/>
          <w:szCs w:val="18"/>
        </w:rPr>
        <w:t>especial</w:t>
      </w:r>
      <w:r w:rsidR="00A4362D" w:rsidRPr="008122F2">
        <w:rPr>
          <w:rFonts w:eastAsiaTheme="minorHAnsi" w:cs="Arial"/>
          <w:szCs w:val="18"/>
        </w:rPr>
        <w:t>l</w:t>
      </w:r>
      <w:r w:rsidR="000F6A3C" w:rsidRPr="008122F2">
        <w:rPr>
          <w:rFonts w:eastAsiaTheme="minorHAnsi" w:cs="Arial"/>
          <w:szCs w:val="18"/>
        </w:rPr>
        <w:t>y</w:t>
      </w:r>
      <w:r w:rsidR="000F6A3C" w:rsidRPr="000F6A3C">
        <w:t xml:space="preserve"> SO</w:t>
      </w:r>
      <w:r w:rsidR="000F6A3C" w:rsidRPr="000F6A3C">
        <w:rPr>
          <w:vertAlign w:val="subscript"/>
        </w:rPr>
        <w:t>2</w:t>
      </w:r>
      <w:r w:rsidR="000F6A3C" w:rsidRPr="000F6A3C">
        <w:t xml:space="preserve"> e NO</w:t>
      </w:r>
      <w:r w:rsidR="000F6A3C" w:rsidRPr="000F6A3C">
        <w:rPr>
          <w:vertAlign w:val="subscript"/>
        </w:rPr>
        <w:t>X</w:t>
      </w:r>
      <w:r w:rsidR="000F6A3C">
        <w:t xml:space="preserve"> </w:t>
      </w:r>
      <w:r w:rsidR="000F6A3C" w:rsidRPr="000F6A3C">
        <w:t>(VAIRO et al</w:t>
      </w:r>
      <w:r w:rsidR="008C2B2B">
        <w:t>.</w:t>
      </w:r>
      <w:r w:rsidR="000F6A3C" w:rsidRPr="000F6A3C">
        <w:t>, 2014)</w:t>
      </w:r>
      <w:r w:rsidRPr="00856E40">
        <w:t>, presenting morphophysiological changes and structural in the stalk, respond proportionally to the degree of contamination or degradation, have easy taxonomic identification, allow low cost research and have vast geographic distribution of the species (F</w:t>
      </w:r>
      <w:r w:rsidR="00281F37">
        <w:t>ilho</w:t>
      </w:r>
      <w:r w:rsidRPr="00856E40">
        <w:t xml:space="preserve"> et al., 2006). </w:t>
      </w:r>
    </w:p>
    <w:p w14:paraId="549953B7" w14:textId="7BE9C934" w:rsidR="00856E40" w:rsidRPr="00856E40" w:rsidRDefault="00856E40" w:rsidP="006E53AB">
      <w:pPr>
        <w:pStyle w:val="CETBodytext"/>
      </w:pPr>
      <w:r w:rsidRPr="00856E40">
        <w:t xml:space="preserve">Several methodologies were developed with the use of lichens as bioindicators, among which were used in this </w:t>
      </w:r>
      <w:r w:rsidR="001156C5">
        <w:t>experiment</w:t>
      </w:r>
      <w:r w:rsidRPr="00856E40">
        <w:t xml:space="preserve">: Kovács (1992), Poggiani et al. (1996) and Asta et al. (2002); </w:t>
      </w:r>
      <w:r w:rsidR="001156C5">
        <w:t>t</w:t>
      </w:r>
      <w:r w:rsidRPr="00856E40">
        <w:t xml:space="preserve">hat are based on the survey of the specific richness, absolute frequency and percentage of species coverage from the overlap of a sampling grid in tree trunks. Another method used was the </w:t>
      </w:r>
      <w:r w:rsidR="00CF282A">
        <w:t>Index of Atmospheric Purity</w:t>
      </w:r>
      <w:r w:rsidR="00553A64">
        <w:t xml:space="preserve"> </w:t>
      </w:r>
      <w:r w:rsidR="008533CA" w:rsidRPr="000A5D09">
        <w:t>(</w:t>
      </w:r>
      <w:r w:rsidR="008533CA">
        <w:t>IAP</w:t>
      </w:r>
      <w:r w:rsidR="008533CA" w:rsidRPr="000A5D09">
        <w:t>)</w:t>
      </w:r>
      <w:r w:rsidR="008533CA">
        <w:t xml:space="preserve"> </w:t>
      </w:r>
      <w:r w:rsidRPr="00856E40">
        <w:t>of the studied region</w:t>
      </w:r>
      <w:r w:rsidR="008533CA">
        <w:t xml:space="preserve">, </w:t>
      </w:r>
      <w:r w:rsidRPr="00856E40">
        <w:t xml:space="preserve">developed by De Sloover and Leblanc (1968) and adapted by Rubiano (2002), which allows a quantitative assessment of the level of pollution of a given region. </w:t>
      </w:r>
    </w:p>
    <w:p w14:paraId="00E13C48" w14:textId="5C920C13" w:rsidR="002B2F91" w:rsidRDefault="00856E40" w:rsidP="001B63EF">
      <w:pPr>
        <w:pStyle w:val="CETBodytext"/>
      </w:pPr>
      <w:r w:rsidRPr="00856E40">
        <w:t xml:space="preserve">Thus, this </w:t>
      </w:r>
      <w:r w:rsidR="001156C5">
        <w:t>experiment</w:t>
      </w:r>
      <w:r w:rsidRPr="00856E40">
        <w:t xml:space="preserve"> becomes relevant in the sense of contributing to the dissemination of a simple technique of monitoring the quality of air and at the same time economically accessible, assisting the competent organs of the studied city and society as a whole to know the current situation of the </w:t>
      </w:r>
      <w:r w:rsidR="001156C5">
        <w:t>air</w:t>
      </w:r>
      <w:r w:rsidRPr="00856E40">
        <w:t xml:space="preserve"> quality of the city, since there is no monitoring system in the city, which is popularly known to occupy the 3rd place in the world ranking of cities with the best microclimate and </w:t>
      </w:r>
      <w:r w:rsidR="00EA7C59">
        <w:t xml:space="preserve">which </w:t>
      </w:r>
      <w:r w:rsidRPr="00856E40">
        <w:t>also covers in part of its territory two important Brazilian environmental conservation units: the Tingu</w:t>
      </w:r>
      <w:r w:rsidR="00CE181A">
        <w:t>á</w:t>
      </w:r>
      <w:r w:rsidRPr="00856E40">
        <w:t xml:space="preserve"> Federal Biological Reserve and the Araras State Biological Reserve.</w:t>
      </w:r>
    </w:p>
    <w:p w14:paraId="17CBF99A" w14:textId="1CF4FA42" w:rsidR="008122F2" w:rsidRPr="001B63EF" w:rsidRDefault="008122F2" w:rsidP="001B63EF">
      <w:pPr>
        <w:pStyle w:val="CETBodytext"/>
      </w:pPr>
      <w:r w:rsidRPr="008122F2">
        <w:t>This study received support from the Research and Productivity Program at Universi</w:t>
      </w:r>
      <w:r>
        <w:t>ty</w:t>
      </w:r>
      <w:r w:rsidRPr="008122F2">
        <w:t xml:space="preserve"> Estácio de Sá</w:t>
      </w:r>
      <w:r>
        <w:t xml:space="preserve"> </w:t>
      </w:r>
      <w:r w:rsidRPr="008122F2">
        <w:t>-</w:t>
      </w:r>
      <w:r>
        <w:t xml:space="preserve"> </w:t>
      </w:r>
      <w:r w:rsidRPr="008122F2">
        <w:t>UNESA.</w:t>
      </w:r>
    </w:p>
    <w:p w14:paraId="2CCD041F" w14:textId="5372ECEE" w:rsidR="000A5D09" w:rsidRPr="00B93671" w:rsidRDefault="00856E40" w:rsidP="00856E40">
      <w:pPr>
        <w:pStyle w:val="CETHeading1"/>
      </w:pPr>
      <w:r w:rsidRPr="007C248C">
        <w:t xml:space="preserve">Materials and </w:t>
      </w:r>
      <w:r w:rsidR="0095679C" w:rsidRPr="007C248C">
        <w:t>M</w:t>
      </w:r>
      <w:r w:rsidRPr="007C248C">
        <w:t xml:space="preserve">ethods </w:t>
      </w:r>
    </w:p>
    <w:p w14:paraId="5023EA1C" w14:textId="1BD66362" w:rsidR="00856E40" w:rsidRPr="00856E40" w:rsidRDefault="00856E40" w:rsidP="007C248C">
      <w:pPr>
        <w:pStyle w:val="CETheadingx"/>
      </w:pPr>
      <w:r w:rsidRPr="00856E40">
        <w:t xml:space="preserve"> Place of study</w:t>
      </w:r>
    </w:p>
    <w:p w14:paraId="7DECFB68" w14:textId="3C867892" w:rsidR="000A5D09" w:rsidRPr="001B63EF" w:rsidRDefault="00856E40" w:rsidP="001B63EF">
      <w:pPr>
        <w:pStyle w:val="CETBodytext"/>
      </w:pPr>
      <w:r w:rsidRPr="00856E40">
        <w:t xml:space="preserve">The study was conducted in the municipality of Miguel Pereira, which belongs to the Centro Sul Fluminense region of the state of Rio de Janeiro, Brazil. It is situated at 618 meters of altitude </w:t>
      </w:r>
      <w:r w:rsidR="001156C5">
        <w:t>and is located at 22° 27' 14"</w:t>
      </w:r>
      <w:r w:rsidRPr="00856E40">
        <w:t xml:space="preserve"> so</w:t>
      </w:r>
      <w:r w:rsidR="001156C5">
        <w:t xml:space="preserve">uth latitude and 43° 28' 08" </w:t>
      </w:r>
      <w:r w:rsidR="001156C5" w:rsidRPr="00856E40">
        <w:t xml:space="preserve">west </w:t>
      </w:r>
      <w:r w:rsidRPr="00856E40">
        <w:t>longitude</w:t>
      </w:r>
      <w:r w:rsidR="00162F0D">
        <w:t xml:space="preserve">. </w:t>
      </w:r>
      <w:r w:rsidRPr="00856E40">
        <w:t xml:space="preserve">It has an estimated population of 24.855 </w:t>
      </w:r>
      <w:r w:rsidR="001156C5">
        <w:t>in</w:t>
      </w:r>
      <w:r w:rsidRPr="00856E40">
        <w:t>habitants over an area of approximately 289.000 m</w:t>
      </w:r>
      <w:r w:rsidRPr="00856E40">
        <w:rPr>
          <w:vertAlign w:val="superscript"/>
        </w:rPr>
        <w:t>2</w:t>
      </w:r>
      <w:r w:rsidRPr="00856E40">
        <w:t xml:space="preserve"> (IBGE, 2016). Miguel Pereira integrates the Serra of </w:t>
      </w:r>
      <w:r w:rsidR="001156C5" w:rsidRPr="00856E40">
        <w:t xml:space="preserve">Consolidated </w:t>
      </w:r>
      <w:r w:rsidRPr="00856E40">
        <w:t xml:space="preserve">Tourism, mainly </w:t>
      </w:r>
      <w:r w:rsidR="001156C5">
        <w:t>of</w:t>
      </w:r>
      <w:r w:rsidRPr="00856E40">
        <w:t xml:space="preserve"> ecological character</w:t>
      </w:r>
      <w:r w:rsidR="001156C5">
        <w:t>,</w:t>
      </w:r>
      <w:r w:rsidRPr="00856E40">
        <w:t xml:space="preserve"> and </w:t>
      </w:r>
      <w:r w:rsidR="00FE4971">
        <w:t>includes</w:t>
      </w:r>
      <w:r w:rsidRPr="00856E40">
        <w:t xml:space="preserve"> in part of its territory two important conservation units: The Federal Biological Reserve of Tinguá and the </w:t>
      </w:r>
      <w:r w:rsidR="00FE4971">
        <w:t>Biological S</w:t>
      </w:r>
      <w:r w:rsidRPr="00856E40">
        <w:t>tate of the Araras</w:t>
      </w:r>
      <w:r w:rsidR="00FE4971" w:rsidRPr="00FE4971">
        <w:t xml:space="preserve"> </w:t>
      </w:r>
      <w:r w:rsidR="00FE4971">
        <w:t>R</w:t>
      </w:r>
      <w:r w:rsidR="00FE4971" w:rsidRPr="00856E40">
        <w:t>eserve</w:t>
      </w:r>
      <w:r w:rsidRPr="00856E40">
        <w:t>.</w:t>
      </w:r>
    </w:p>
    <w:p w14:paraId="0775B2C8" w14:textId="58365F96" w:rsidR="00856E40" w:rsidRPr="007C248C" w:rsidRDefault="00856E40" w:rsidP="007C248C">
      <w:pPr>
        <w:pStyle w:val="CETheadingx"/>
      </w:pPr>
      <w:r w:rsidRPr="007C248C">
        <w:t>Sampling points</w:t>
      </w:r>
    </w:p>
    <w:p w14:paraId="252035AD" w14:textId="5FB7E8F7" w:rsidR="00622FC6" w:rsidRDefault="00856E40" w:rsidP="00B4633C">
      <w:pPr>
        <w:pStyle w:val="CETBodytext"/>
      </w:pPr>
      <w:r w:rsidRPr="00B3175A">
        <w:t>The region of the case study was mapped in two areas: one central (more urbanized) and another peripher</w:t>
      </w:r>
      <w:r w:rsidR="00FE4971" w:rsidRPr="00B3175A">
        <w:t>ic</w:t>
      </w:r>
      <w:r w:rsidRPr="00B3175A">
        <w:t xml:space="preserve"> (less urbanized), being the second mo</w:t>
      </w:r>
      <w:r w:rsidR="00FE4971" w:rsidRPr="00B3175A">
        <w:t>re</w:t>
      </w:r>
      <w:r w:rsidRPr="00B3175A">
        <w:t xml:space="preserve"> distant from the center of the city. For each zone, two sampling points</w:t>
      </w:r>
      <w:r w:rsidR="00622FC6">
        <w:t xml:space="preserve"> </w:t>
      </w:r>
      <w:r w:rsidRPr="00B3175A">
        <w:t>were</w:t>
      </w:r>
      <w:r w:rsidR="00622FC6">
        <w:t xml:space="preserve"> </w:t>
      </w:r>
      <w:r w:rsidRPr="00B3175A">
        <w:t>selected.</w:t>
      </w:r>
      <w:r w:rsidR="00622FC6">
        <w:t xml:space="preserve"> </w:t>
      </w:r>
    </w:p>
    <w:p w14:paraId="331C027A" w14:textId="1AB4F0F1" w:rsidR="00622FC6" w:rsidRPr="00B3175A" w:rsidRDefault="00622FC6" w:rsidP="00D27DEA">
      <w:pPr>
        <w:pStyle w:val="CETBodytext"/>
      </w:pPr>
      <w:r w:rsidRPr="00622FC6">
        <w:t>The points in each zone were chosen according to the average flow of motor vehicles per minute, and were checked three times: at 08:00 am, 12:00 pm (rush hours) and 17:00 pm hours. Vehicle sampling was carried out for 7 days: Monday to Friday (days of least movement) and Saturday and Sunday (days of great movement of tourists in the city). In each sampled schedule, the number of vehicles was recorded in 1 minute (60 seconds) and after the average of these values ​​was calculated. Finally, the average of the 7 days was calculated</w:t>
      </w:r>
      <w:r>
        <w:t>.</w:t>
      </w:r>
    </w:p>
    <w:p w14:paraId="5AE7BF4D" w14:textId="65EF2D0A" w:rsidR="00856E40" w:rsidRPr="00622FC6" w:rsidRDefault="00856E40" w:rsidP="00C05E9B">
      <w:pPr>
        <w:pStyle w:val="CETTabletitle"/>
        <w:rPr>
          <w:lang w:val="en-US"/>
        </w:rPr>
      </w:pPr>
      <w:r w:rsidRPr="00622FC6">
        <w:rPr>
          <w:lang w:val="en-US"/>
        </w:rPr>
        <w:t>Table 1: Classification of sampling points.</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134"/>
        <w:gridCol w:w="1134"/>
        <w:gridCol w:w="2552"/>
        <w:gridCol w:w="1432"/>
      </w:tblGrid>
      <w:tr w:rsidR="00856E40" w:rsidRPr="00F67C47" w14:paraId="6881F5C3" w14:textId="77777777" w:rsidTr="006575DA">
        <w:tc>
          <w:tcPr>
            <w:tcW w:w="1134" w:type="dxa"/>
            <w:tcBorders>
              <w:top w:val="single" w:sz="12" w:space="0" w:color="008000"/>
              <w:bottom w:val="single" w:sz="6" w:space="0" w:color="008000"/>
            </w:tcBorders>
            <w:shd w:val="clear" w:color="auto" w:fill="FFFFFF"/>
          </w:tcPr>
          <w:p w14:paraId="07A2D341" w14:textId="77777777" w:rsidR="00856E40" w:rsidRPr="009478E7" w:rsidRDefault="00856E40" w:rsidP="006575DA">
            <w:pPr>
              <w:pStyle w:val="CETBodytext"/>
              <w:spacing w:line="240" w:lineRule="auto"/>
              <w:rPr>
                <w:lang w:val="en-GB"/>
              </w:rPr>
            </w:pPr>
            <w:r w:rsidRPr="009478E7">
              <w:rPr>
                <w:lang w:val="pt"/>
              </w:rPr>
              <w:t>Zon</w:t>
            </w:r>
            <w:r>
              <w:rPr>
                <w:lang w:val="pt"/>
              </w:rPr>
              <w:t>e</w:t>
            </w:r>
          </w:p>
        </w:tc>
        <w:tc>
          <w:tcPr>
            <w:tcW w:w="1134" w:type="dxa"/>
            <w:tcBorders>
              <w:top w:val="single" w:sz="12" w:space="0" w:color="008000"/>
              <w:bottom w:val="single" w:sz="6" w:space="0" w:color="008000"/>
            </w:tcBorders>
            <w:shd w:val="clear" w:color="auto" w:fill="FFFFFF"/>
          </w:tcPr>
          <w:p w14:paraId="0C8F15C5" w14:textId="77777777" w:rsidR="00856E40" w:rsidRPr="009478E7" w:rsidRDefault="00856E40" w:rsidP="006575DA">
            <w:pPr>
              <w:pStyle w:val="CETBodytext"/>
              <w:spacing w:line="240" w:lineRule="auto"/>
              <w:rPr>
                <w:lang w:val="en-GB"/>
              </w:rPr>
            </w:pPr>
            <w:r w:rsidRPr="009478E7">
              <w:rPr>
                <w:lang w:val="pt"/>
              </w:rPr>
              <w:t>Point</w:t>
            </w:r>
          </w:p>
        </w:tc>
        <w:tc>
          <w:tcPr>
            <w:tcW w:w="2552" w:type="dxa"/>
            <w:tcBorders>
              <w:top w:val="single" w:sz="12" w:space="0" w:color="008000"/>
              <w:bottom w:val="single" w:sz="6" w:space="0" w:color="008000"/>
            </w:tcBorders>
            <w:shd w:val="clear" w:color="auto" w:fill="FFFFFF"/>
          </w:tcPr>
          <w:p w14:paraId="6842E009" w14:textId="77777777" w:rsidR="00856E40" w:rsidRPr="009478E7" w:rsidRDefault="00856E40" w:rsidP="006575DA">
            <w:pPr>
              <w:pStyle w:val="CETBodytext"/>
              <w:spacing w:line="240" w:lineRule="auto"/>
              <w:rPr>
                <w:lang w:val="en-GB"/>
              </w:rPr>
            </w:pPr>
            <w:r w:rsidRPr="009478E7">
              <w:rPr>
                <w:lang w:val="pt"/>
              </w:rPr>
              <w:t>Local</w:t>
            </w:r>
          </w:p>
        </w:tc>
        <w:tc>
          <w:tcPr>
            <w:tcW w:w="1432" w:type="dxa"/>
            <w:tcBorders>
              <w:top w:val="single" w:sz="12" w:space="0" w:color="008000"/>
              <w:bottom w:val="single" w:sz="6" w:space="0" w:color="008000"/>
            </w:tcBorders>
            <w:shd w:val="clear" w:color="auto" w:fill="FFFFFF"/>
          </w:tcPr>
          <w:p w14:paraId="68999F52" w14:textId="77777777" w:rsidR="00856E40" w:rsidRPr="00D10F2A" w:rsidRDefault="00856E40" w:rsidP="006575DA">
            <w:pPr>
              <w:pStyle w:val="CETBodytext"/>
              <w:spacing w:line="240" w:lineRule="auto"/>
              <w:ind w:right="-285"/>
              <w:rPr>
                <w:rFonts w:cs="Arial"/>
                <w:szCs w:val="18"/>
                <w:lang w:val="en-GB"/>
              </w:rPr>
            </w:pPr>
            <w:r w:rsidRPr="00D10F2A">
              <w:rPr>
                <w:rFonts w:cs="Arial"/>
                <w:szCs w:val="18"/>
                <w:lang w:val="en-GB"/>
              </w:rPr>
              <w:t xml:space="preserve">Vehicles/second </w:t>
            </w:r>
          </w:p>
        </w:tc>
      </w:tr>
      <w:tr w:rsidR="00856E40" w:rsidRPr="00D10F2A" w14:paraId="69DE6A95" w14:textId="77777777" w:rsidTr="006575DA">
        <w:tc>
          <w:tcPr>
            <w:tcW w:w="1134" w:type="dxa"/>
            <w:shd w:val="clear" w:color="auto" w:fill="FFFFFF"/>
          </w:tcPr>
          <w:p w14:paraId="5CBE2609" w14:textId="77777777" w:rsidR="00856E40" w:rsidRPr="00D10F2A" w:rsidRDefault="00856E40" w:rsidP="006575DA">
            <w:pPr>
              <w:pStyle w:val="CETBodytext"/>
              <w:spacing w:line="240" w:lineRule="auto"/>
              <w:rPr>
                <w:lang w:val="pt"/>
              </w:rPr>
            </w:pPr>
            <w:r w:rsidRPr="00D10F2A">
              <w:rPr>
                <w:lang w:val="pt"/>
              </w:rPr>
              <w:t>Center</w:t>
            </w:r>
          </w:p>
          <w:p w14:paraId="05C60C34" w14:textId="77777777" w:rsidR="00856E40" w:rsidRPr="00D10F2A" w:rsidRDefault="00856E40" w:rsidP="006575DA">
            <w:pPr>
              <w:pStyle w:val="CETBodytext"/>
              <w:spacing w:line="240" w:lineRule="auto"/>
              <w:rPr>
                <w:lang w:val="pt"/>
              </w:rPr>
            </w:pPr>
            <w:r w:rsidRPr="00D10F2A">
              <w:rPr>
                <w:lang w:val="pt"/>
              </w:rPr>
              <w:t>Center</w:t>
            </w:r>
          </w:p>
          <w:p w14:paraId="19CECDB5" w14:textId="77777777" w:rsidR="00856E40" w:rsidRPr="00D10F2A" w:rsidRDefault="00856E40" w:rsidP="006575DA">
            <w:pPr>
              <w:pStyle w:val="CETBodytext"/>
              <w:spacing w:line="240" w:lineRule="auto"/>
              <w:rPr>
                <w:lang w:val="en-GB"/>
              </w:rPr>
            </w:pPr>
            <w:r w:rsidRPr="00D10F2A">
              <w:rPr>
                <w:lang w:val="en-GB"/>
              </w:rPr>
              <w:t>Peripher</w:t>
            </w:r>
            <w:r w:rsidR="00FE4971">
              <w:rPr>
                <w:lang w:val="en-GB"/>
              </w:rPr>
              <w:t>ic</w:t>
            </w:r>
          </w:p>
          <w:p w14:paraId="2DB64FAE" w14:textId="77777777" w:rsidR="00856E40" w:rsidRPr="00D10F2A" w:rsidRDefault="00FE4971" w:rsidP="006575DA">
            <w:pPr>
              <w:pStyle w:val="CETBodytext"/>
              <w:spacing w:line="240" w:lineRule="auto"/>
              <w:rPr>
                <w:lang w:val="en-GB"/>
              </w:rPr>
            </w:pPr>
            <w:r>
              <w:rPr>
                <w:lang w:val="en-GB"/>
              </w:rPr>
              <w:t>Peripheric</w:t>
            </w:r>
          </w:p>
        </w:tc>
        <w:tc>
          <w:tcPr>
            <w:tcW w:w="1134" w:type="dxa"/>
            <w:shd w:val="clear" w:color="auto" w:fill="FFFFFF"/>
          </w:tcPr>
          <w:p w14:paraId="461B7F28" w14:textId="77777777" w:rsidR="00856E40" w:rsidRPr="00D10F2A" w:rsidRDefault="00856E40" w:rsidP="006575DA">
            <w:pPr>
              <w:pStyle w:val="CETBodytext"/>
              <w:spacing w:line="240" w:lineRule="auto"/>
              <w:rPr>
                <w:lang w:val="en-GB"/>
              </w:rPr>
            </w:pPr>
            <w:r w:rsidRPr="00D10F2A">
              <w:rPr>
                <w:lang w:val="en-GB"/>
              </w:rPr>
              <w:t>1</w:t>
            </w:r>
          </w:p>
          <w:p w14:paraId="27E9FD2C" w14:textId="77777777" w:rsidR="00856E40" w:rsidRPr="00D10F2A" w:rsidRDefault="00856E40" w:rsidP="006575DA">
            <w:pPr>
              <w:pStyle w:val="CETBodytext"/>
              <w:spacing w:line="240" w:lineRule="auto"/>
              <w:rPr>
                <w:lang w:val="en-GB"/>
              </w:rPr>
            </w:pPr>
            <w:r w:rsidRPr="00D10F2A">
              <w:rPr>
                <w:lang w:val="en-GB"/>
              </w:rPr>
              <w:t>2</w:t>
            </w:r>
          </w:p>
          <w:p w14:paraId="56A23A14" w14:textId="77777777" w:rsidR="00856E40" w:rsidRPr="00D10F2A" w:rsidRDefault="00856E40" w:rsidP="006575DA">
            <w:pPr>
              <w:pStyle w:val="CETBodytext"/>
              <w:spacing w:line="240" w:lineRule="auto"/>
              <w:rPr>
                <w:lang w:val="en-GB"/>
              </w:rPr>
            </w:pPr>
            <w:r w:rsidRPr="00D10F2A">
              <w:rPr>
                <w:lang w:val="en-GB"/>
              </w:rPr>
              <w:t>3</w:t>
            </w:r>
          </w:p>
          <w:p w14:paraId="289AFAD7" w14:textId="77777777" w:rsidR="00856E40" w:rsidRPr="00D10F2A" w:rsidRDefault="00856E40" w:rsidP="006575DA">
            <w:pPr>
              <w:pStyle w:val="CETBodytext"/>
              <w:spacing w:line="240" w:lineRule="auto"/>
              <w:rPr>
                <w:lang w:val="en-GB"/>
              </w:rPr>
            </w:pPr>
            <w:r w:rsidRPr="00D10F2A">
              <w:rPr>
                <w:lang w:val="en-GB"/>
              </w:rPr>
              <w:t>4</w:t>
            </w:r>
          </w:p>
        </w:tc>
        <w:tc>
          <w:tcPr>
            <w:tcW w:w="2552" w:type="dxa"/>
            <w:shd w:val="clear" w:color="auto" w:fill="FFFFFF"/>
          </w:tcPr>
          <w:p w14:paraId="5C95E152" w14:textId="77777777" w:rsidR="00856E40" w:rsidRPr="007E1B22" w:rsidRDefault="00856E40" w:rsidP="006575DA">
            <w:pPr>
              <w:pStyle w:val="CETBodytext"/>
              <w:spacing w:line="240" w:lineRule="auto"/>
            </w:pPr>
            <w:r w:rsidRPr="007E1B22">
              <w:t>Áurea Pinheiro</w:t>
            </w:r>
            <w:r w:rsidR="007E1B22" w:rsidRPr="007E1B22">
              <w:t xml:space="preserve"> Street</w:t>
            </w:r>
          </w:p>
          <w:p w14:paraId="7CF1F11C" w14:textId="77777777" w:rsidR="00856E40" w:rsidRPr="007E1B22" w:rsidRDefault="00856E40" w:rsidP="006575DA">
            <w:pPr>
              <w:pStyle w:val="CETBodytext"/>
              <w:spacing w:line="240" w:lineRule="auto"/>
            </w:pPr>
            <w:r w:rsidRPr="007E1B22">
              <w:t>Bus Station of Miguel Pereira</w:t>
            </w:r>
          </w:p>
          <w:p w14:paraId="68BBB5B5" w14:textId="77777777" w:rsidR="00856E40" w:rsidRPr="007E1B22" w:rsidRDefault="00856E40" w:rsidP="006575DA">
            <w:pPr>
              <w:pStyle w:val="CETBodytext"/>
              <w:spacing w:line="240" w:lineRule="auto"/>
            </w:pPr>
            <w:r w:rsidRPr="007E1B22">
              <w:t>Javary</w:t>
            </w:r>
            <w:r w:rsidR="007E1B22" w:rsidRPr="007E1B22">
              <w:t xml:space="preserve"> </w:t>
            </w:r>
            <w:r w:rsidR="0087444C">
              <w:t>L</w:t>
            </w:r>
            <w:r w:rsidR="007E1B22" w:rsidRPr="007E1B22">
              <w:t>ake</w:t>
            </w:r>
          </w:p>
          <w:p w14:paraId="0436C862" w14:textId="77777777" w:rsidR="00856E40" w:rsidRPr="007E1B22" w:rsidRDefault="00856E40" w:rsidP="006575DA">
            <w:pPr>
              <w:pStyle w:val="CETBodytext"/>
              <w:spacing w:line="240" w:lineRule="auto"/>
            </w:pPr>
            <w:r w:rsidRPr="007E1B22">
              <w:t>São Roque</w:t>
            </w:r>
            <w:r w:rsidR="007E1B22" w:rsidRPr="007E1B22">
              <w:t xml:space="preserve"> Street</w:t>
            </w:r>
          </w:p>
        </w:tc>
        <w:tc>
          <w:tcPr>
            <w:tcW w:w="1432" w:type="dxa"/>
            <w:shd w:val="clear" w:color="auto" w:fill="FFFFFF"/>
          </w:tcPr>
          <w:p w14:paraId="44B21318" w14:textId="77777777" w:rsidR="00856E40" w:rsidRPr="00D10F2A" w:rsidRDefault="00856E40" w:rsidP="006575DA">
            <w:pPr>
              <w:pStyle w:val="CETBodytext"/>
              <w:spacing w:line="240" w:lineRule="auto"/>
              <w:ind w:right="-1"/>
              <w:rPr>
                <w:rFonts w:cs="Arial"/>
                <w:szCs w:val="18"/>
                <w:lang w:val="en-GB"/>
              </w:rPr>
            </w:pPr>
            <w:r w:rsidRPr="00D10F2A">
              <w:rPr>
                <w:rFonts w:cs="Arial"/>
                <w:szCs w:val="18"/>
                <w:lang w:val="en-GB"/>
              </w:rPr>
              <w:t>25/60 s</w:t>
            </w:r>
          </w:p>
          <w:p w14:paraId="7E936219" w14:textId="77777777" w:rsidR="00856E40" w:rsidRPr="00D10F2A" w:rsidRDefault="00856E40" w:rsidP="006575DA">
            <w:pPr>
              <w:pStyle w:val="CETBodytext"/>
              <w:spacing w:line="240" w:lineRule="auto"/>
              <w:ind w:right="-1"/>
              <w:rPr>
                <w:rFonts w:cs="Arial"/>
                <w:szCs w:val="18"/>
                <w:lang w:val="en-GB"/>
              </w:rPr>
            </w:pPr>
            <w:r w:rsidRPr="00D10F2A">
              <w:rPr>
                <w:rFonts w:cs="Arial"/>
                <w:szCs w:val="18"/>
                <w:lang w:val="en-GB"/>
              </w:rPr>
              <w:t>25/60 s</w:t>
            </w:r>
          </w:p>
          <w:p w14:paraId="772745E0" w14:textId="77777777" w:rsidR="00856E40" w:rsidRPr="00D10F2A" w:rsidRDefault="00856E40" w:rsidP="006575DA">
            <w:pPr>
              <w:pStyle w:val="CETBodytext"/>
              <w:spacing w:line="240" w:lineRule="auto"/>
              <w:ind w:right="-1"/>
              <w:rPr>
                <w:rFonts w:cs="Arial"/>
                <w:szCs w:val="18"/>
                <w:lang w:val="en-GB"/>
              </w:rPr>
            </w:pPr>
            <w:r w:rsidRPr="00D10F2A">
              <w:rPr>
                <w:rFonts w:cs="Arial"/>
                <w:szCs w:val="18"/>
                <w:lang w:val="en-GB"/>
              </w:rPr>
              <w:t>2/60 s</w:t>
            </w:r>
          </w:p>
          <w:p w14:paraId="38B098B0" w14:textId="77777777" w:rsidR="00856E40" w:rsidRPr="00D10F2A" w:rsidRDefault="00856E40" w:rsidP="006575DA">
            <w:pPr>
              <w:pStyle w:val="CETBodytext"/>
              <w:spacing w:line="240" w:lineRule="auto"/>
              <w:ind w:right="-1"/>
              <w:rPr>
                <w:rFonts w:cs="Arial"/>
                <w:szCs w:val="18"/>
                <w:lang w:val="en-GB"/>
              </w:rPr>
            </w:pPr>
            <w:r w:rsidRPr="00D10F2A">
              <w:rPr>
                <w:rFonts w:cs="Arial"/>
                <w:szCs w:val="18"/>
                <w:lang w:val="en-GB"/>
              </w:rPr>
              <w:t>1/60 s</w:t>
            </w:r>
          </w:p>
        </w:tc>
      </w:tr>
    </w:tbl>
    <w:p w14:paraId="14ABBD62" w14:textId="77777777" w:rsidR="00856E40" w:rsidRPr="00856E40" w:rsidRDefault="00856E40" w:rsidP="00856E40">
      <w:pPr>
        <w:spacing w:line="240" w:lineRule="auto"/>
        <w:rPr>
          <w:rFonts w:cs="Arial"/>
          <w:lang w:val="en-US"/>
        </w:rPr>
      </w:pPr>
    </w:p>
    <w:p w14:paraId="75502316" w14:textId="0F202C66" w:rsidR="002161A4" w:rsidRPr="002161A4" w:rsidRDefault="002161A4" w:rsidP="00B4633C">
      <w:pPr>
        <w:pStyle w:val="CETBodytext"/>
      </w:pPr>
      <w:r w:rsidRPr="002161A4">
        <w:t xml:space="preserve">At each sampling point, five trees were selected. The criteria for selection of the trees were: maximum distance of 10 meters between them, healthy, without damage and without paint on the base or trunk, with thickness ≥ 0.2 m², with barks with similar characteristics and with the existence of lichen to their surface to ensure the homogeneity of the samples. </w:t>
      </w:r>
    </w:p>
    <w:p w14:paraId="0ECFD906" w14:textId="62B62C53" w:rsidR="00856E40" w:rsidRPr="00856E40" w:rsidRDefault="00856E40" w:rsidP="00B4633C">
      <w:pPr>
        <w:pStyle w:val="CETBodytext"/>
      </w:pPr>
      <w:r w:rsidRPr="00856E40">
        <w:lastRenderedPageBreak/>
        <w:t xml:space="preserve">The collections for the quantitative-qualitative analyses were </w:t>
      </w:r>
      <w:r w:rsidR="00FE4971">
        <w:t>made</w:t>
      </w:r>
      <w:r w:rsidRPr="00856E40">
        <w:t xml:space="preserve"> through seasonal campaigns during the </w:t>
      </w:r>
      <w:bookmarkStart w:id="1" w:name="_GoBack"/>
      <w:bookmarkEnd w:id="1"/>
      <w:r w:rsidRPr="00856E40">
        <w:t>period January to October / 2017, using a sampling grid, according to the methods of Kovács (1992), Poggiani et al. (1996) and Asta et al. (2002) adapted to this study. The sample size of the author's own production measures 0.2 m x 0.2 m and is subdivided into 100 squares of 4 x 10-4 m² (</w:t>
      </w:r>
      <w:r w:rsidR="00281F37">
        <w:t>F</w:t>
      </w:r>
      <w:r w:rsidRPr="00856E40">
        <w:t>igure 1).</w:t>
      </w:r>
      <w:r w:rsidR="009D4B58">
        <w:t xml:space="preserve"> </w:t>
      </w:r>
      <w:r w:rsidR="009D4B58" w:rsidRPr="002161A4">
        <w:t>Following the orientation of a magnetic compass, the sampling grid was superimposed on the east face of each chosen tree, 1.2 m from the ground.</w:t>
      </w:r>
    </w:p>
    <w:p w14:paraId="56C57FBD" w14:textId="01CF60D2" w:rsidR="00856E40" w:rsidRDefault="00856E40" w:rsidP="00856E40">
      <w:pPr>
        <w:rPr>
          <w:rFonts w:cs="Arial"/>
          <w:lang w:val="en-US"/>
        </w:rPr>
      </w:pPr>
    </w:p>
    <w:p w14:paraId="0BC204A6" w14:textId="7C16E9CE" w:rsidR="00CE19BF" w:rsidRPr="00856E40" w:rsidRDefault="00CE19BF" w:rsidP="00856E40">
      <w:pPr>
        <w:rPr>
          <w:rFonts w:cs="Arial"/>
          <w:lang w:val="en-US"/>
        </w:rPr>
      </w:pPr>
      <w:r>
        <w:rPr>
          <w:noProof/>
          <w:lang w:val="pt-BR" w:eastAsia="pt-BR"/>
        </w:rPr>
        <w:drawing>
          <wp:inline distT="0" distB="0" distL="0" distR="0" wp14:anchorId="16147A1D" wp14:editId="7F4559D4">
            <wp:extent cx="4023360" cy="2779776"/>
            <wp:effectExtent l="0" t="0" r="0" b="1905"/>
            <wp:docPr id="3" name="Imagem 3"/>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23360" cy="2779776"/>
                    </a:xfrm>
                    <a:prstGeom prst="rect">
                      <a:avLst/>
                    </a:prstGeom>
                    <a:noFill/>
                  </pic:spPr>
                </pic:pic>
              </a:graphicData>
            </a:graphic>
          </wp:inline>
        </w:drawing>
      </w:r>
    </w:p>
    <w:p w14:paraId="4798C5DA" w14:textId="5E154B2E" w:rsidR="00EE3B50" w:rsidRPr="006F116F" w:rsidRDefault="00856E40" w:rsidP="006F116F">
      <w:pPr>
        <w:pStyle w:val="CETCaption"/>
      </w:pPr>
      <w:r w:rsidRPr="00856E40">
        <w:t>Figure 1: Sampling grid.</w:t>
      </w:r>
    </w:p>
    <w:p w14:paraId="76F0C718" w14:textId="44324964" w:rsidR="00856E40" w:rsidRPr="007C248C" w:rsidRDefault="00856E40" w:rsidP="007C248C">
      <w:pPr>
        <w:pStyle w:val="CETheadingx"/>
      </w:pPr>
      <w:r w:rsidRPr="007C248C">
        <w:t>Quantitative and qualitative analysis</w:t>
      </w:r>
    </w:p>
    <w:p w14:paraId="0E12CA13" w14:textId="05BFA120" w:rsidR="00856E40" w:rsidRPr="00856E40" w:rsidRDefault="0049342B" w:rsidP="00B4633C">
      <w:pPr>
        <w:pStyle w:val="CETBodytext"/>
      </w:pPr>
      <w:r>
        <w:t>T</w:t>
      </w:r>
      <w:r w:rsidR="00856E40" w:rsidRPr="00856E40">
        <w:t>he identification of the species</w:t>
      </w:r>
      <w:r>
        <w:t xml:space="preserve"> within the</w:t>
      </w:r>
      <w:r w:rsidR="004D5129">
        <w:t xml:space="preserve"> sampling</w:t>
      </w:r>
      <w:r>
        <w:t xml:space="preserve"> grid,</w:t>
      </w:r>
      <w:r w:rsidR="00856E40" w:rsidRPr="00856E40">
        <w:t xml:space="preserve"> as well as of the morphofunctional groups was made through observation (with the aid of a hand magnifying glass) in the</w:t>
      </w:r>
      <w:r w:rsidR="000A5D09">
        <w:t xml:space="preserve"> li</w:t>
      </w:r>
      <w:r w:rsidR="00557C6F">
        <w:t>chen</w:t>
      </w:r>
      <w:r w:rsidR="000A5D09">
        <w:t xml:space="preserve"> stalk</w:t>
      </w:r>
      <w:r w:rsidR="00856E40" w:rsidRPr="00856E40">
        <w:t>, using identification keys, taking into account characteristics as habit (adherence to substrate), format, coloration and size according to the C</w:t>
      </w:r>
      <w:r w:rsidR="00FB14E8">
        <w:t>NA</w:t>
      </w:r>
      <w:r w:rsidR="00553EC4">
        <w:t>LH</w:t>
      </w:r>
      <w:r w:rsidR="00FB14E8">
        <w:t xml:space="preserve"> </w:t>
      </w:r>
      <w:r w:rsidR="00856E40" w:rsidRPr="00856E40">
        <w:t>-</w:t>
      </w:r>
      <w:r w:rsidR="00FB14E8">
        <w:t xml:space="preserve"> </w:t>
      </w:r>
      <w:r w:rsidR="00553EC4" w:rsidRPr="00856E40">
        <w:t>Consortium</w:t>
      </w:r>
      <w:r w:rsidR="00856E40" w:rsidRPr="00856E40">
        <w:t xml:space="preserve"> of North American Lichen Herbaria. </w:t>
      </w:r>
    </w:p>
    <w:p w14:paraId="01DEF32D" w14:textId="77777777" w:rsidR="00856E40" w:rsidRPr="00856E40" w:rsidRDefault="00856E40" w:rsidP="00B4633C">
      <w:pPr>
        <w:pStyle w:val="CETBodytext"/>
      </w:pPr>
      <w:r w:rsidRPr="00856E40">
        <w:t>For the analysis of the qualitative data, an inventory of the species of lichens was elaborated, and a survey of the</w:t>
      </w:r>
      <w:r w:rsidR="00B07444">
        <w:t>ir</w:t>
      </w:r>
      <w:r w:rsidRPr="00856E40">
        <w:t xml:space="preserve"> specific richness</w:t>
      </w:r>
      <w:r w:rsidR="00B07444">
        <w:t xml:space="preserve"> was made, referring </w:t>
      </w:r>
      <w:r w:rsidRPr="00856E40">
        <w:t xml:space="preserve">to the total number of species present in the squares distributed in the trees, per campaign. </w:t>
      </w:r>
    </w:p>
    <w:p w14:paraId="6123C8A2" w14:textId="5A7FB6E7" w:rsidR="00856E40" w:rsidRPr="00856E40" w:rsidRDefault="00856E40" w:rsidP="00B4633C">
      <w:pPr>
        <w:pStyle w:val="CETBodytext"/>
      </w:pPr>
      <w:r w:rsidRPr="00856E40">
        <w:t xml:space="preserve">The quantitative temporal variation of the species was analyzed using seasonal sampling, between January and October 2017, </w:t>
      </w:r>
      <w:r w:rsidR="00B07444">
        <w:t xml:space="preserve">using </w:t>
      </w:r>
      <w:r w:rsidRPr="00856E40">
        <w:t>the grid of 0.04 m² (</w:t>
      </w:r>
      <w:r w:rsidR="00E27417">
        <w:t>subdivisions = 100</w:t>
      </w:r>
      <w:r w:rsidR="004D7C51">
        <w:t xml:space="preserve"> </w:t>
      </w:r>
      <w:r w:rsidR="004D7C51" w:rsidRPr="00856E40">
        <w:t>reticles</w:t>
      </w:r>
      <w:r w:rsidRPr="00856E40">
        <w:t xml:space="preserve">), along the sampling points. The </w:t>
      </w:r>
      <w:r w:rsidR="000A5D09">
        <w:t>p</w:t>
      </w:r>
      <w:r w:rsidRPr="00856E40">
        <w:t xml:space="preserve">hytosociological method was related to quantitative data such as absolute frequency and coverage of the lichen species arranged within the grid area. </w:t>
      </w:r>
    </w:p>
    <w:p w14:paraId="34D4CD0A" w14:textId="77777777" w:rsidR="00856E40" w:rsidRPr="00856E40" w:rsidRDefault="00856E40" w:rsidP="00B4633C">
      <w:pPr>
        <w:pStyle w:val="CETBodytext"/>
      </w:pPr>
      <w:r w:rsidRPr="00856E40">
        <w:t xml:space="preserve">The survey of the relative coverage of the species in the sampling grid was performed according to the method of Poggiani et al. (1996), which is based on the use of a reticulated square, subdivided into 100 reticles, where the number of occupied </w:t>
      </w:r>
      <w:r w:rsidR="000A5D09">
        <w:t>r</w:t>
      </w:r>
      <w:r w:rsidRPr="00856E40">
        <w:t xml:space="preserve">eticles is counted. </w:t>
      </w:r>
    </w:p>
    <w:p w14:paraId="62CACF79" w14:textId="77777777" w:rsidR="00856E40" w:rsidRDefault="00856E40" w:rsidP="00B4633C">
      <w:pPr>
        <w:pStyle w:val="CETBodytext"/>
      </w:pPr>
      <w:r w:rsidRPr="00856E40">
        <w:t xml:space="preserve">The data collected were applied to </w:t>
      </w:r>
      <w:r w:rsidR="00281F37">
        <w:t>E</w:t>
      </w:r>
      <w:r w:rsidRPr="00856E40">
        <w:t>quations 1, 2 and 3 and tabulated in the Microsoft Excel ® program.</w:t>
      </w:r>
    </w:p>
    <w:p w14:paraId="198642CE" w14:textId="77777777" w:rsidR="000A5D09" w:rsidRPr="00856E40" w:rsidRDefault="000A5D09" w:rsidP="00856E40">
      <w:pPr>
        <w:spacing w:line="240" w:lineRule="auto"/>
        <w:rPr>
          <w:rFonts w:cs="Arial"/>
          <w:lang w:val="en-US"/>
        </w:rPr>
      </w:pPr>
    </w:p>
    <w:p w14:paraId="4EBD9740" w14:textId="727A875A" w:rsidR="00856E40" w:rsidRPr="00856E40" w:rsidRDefault="007D1107" w:rsidP="00303BC5">
      <w:pPr>
        <w:pStyle w:val="CETEquation"/>
        <w:rPr>
          <w:lang w:val="en-US"/>
        </w:rPr>
      </w:pPr>
      <m:oMath>
        <m:r>
          <w:rPr>
            <w:rFonts w:ascii="Cambria Math" w:hAnsi="Cambria Math"/>
          </w:rPr>
          <m:t>IAP</m:t>
        </m:r>
        <m:r>
          <m:rPr>
            <m:sty m:val="p"/>
          </m:rPr>
          <w:rPr>
            <w:rFonts w:ascii="Cambria Math" w:hAnsi="Cambria Math"/>
            <w:lang w:val="en-US"/>
          </w:rPr>
          <m:t>=</m:t>
        </m:r>
        <m:nary>
          <m:naryPr>
            <m:chr m:val="∑"/>
            <m:limLoc m:val="undOvr"/>
            <m:ctrlPr>
              <w:rPr>
                <w:rFonts w:ascii="Cambria Math" w:hAnsi="Cambria Math"/>
              </w:rPr>
            </m:ctrlPr>
          </m:naryPr>
          <m:sub>
            <m:r>
              <m:rPr>
                <m:sty m:val="p"/>
              </m:rPr>
              <w:rPr>
                <w:rFonts w:ascii="Cambria Math" w:hAnsi="Cambria Math"/>
                <w:lang w:val="en-US"/>
              </w:rPr>
              <m:t xml:space="preserve"> </m:t>
            </m:r>
          </m:sub>
          <m:sup>
            <m:r>
              <m:rPr>
                <m:sty m:val="p"/>
              </m:rPr>
              <w:rPr>
                <w:rFonts w:ascii="Cambria Math" w:hAnsi="Cambria Math"/>
                <w:lang w:val="en-US"/>
              </w:rPr>
              <m:t xml:space="preserve"> </m:t>
            </m:r>
          </m:sup>
          <m:e>
            <m:r>
              <m:rPr>
                <m:sty m:val="p"/>
              </m:rPr>
              <w:rPr>
                <w:rFonts w:ascii="Cambria Math" w:hAnsi="Cambria Math"/>
                <w:lang w:val="en-US"/>
              </w:rPr>
              <m:t>(</m:t>
            </m:r>
            <m:f>
              <m:fPr>
                <m:ctrlPr>
                  <w:rPr>
                    <w:rFonts w:ascii="Cambria Math" w:hAnsi="Cambria Math"/>
                  </w:rPr>
                </m:ctrlPr>
              </m:fPr>
              <m:num>
                <m:r>
                  <w:rPr>
                    <w:rFonts w:ascii="Cambria Math" w:hAnsi="Cambria Math"/>
                  </w:rPr>
                  <m:t>Qi</m:t>
                </m:r>
                <m:r>
                  <m:rPr>
                    <m:sty m:val="p"/>
                  </m:rPr>
                  <w:rPr>
                    <w:rFonts w:ascii="Cambria Math" w:hAnsi="Cambria Math"/>
                    <w:lang w:val="en-US"/>
                  </w:rPr>
                  <m:t xml:space="preserve"> × </m:t>
                </m:r>
                <m:r>
                  <w:rPr>
                    <w:rFonts w:ascii="Cambria Math" w:hAnsi="Cambria Math"/>
                  </w:rPr>
                  <m:t>fi</m:t>
                </m:r>
              </m:num>
              <m:den>
                <m:r>
                  <w:rPr>
                    <w:rFonts w:ascii="Cambria Math" w:hAnsi="Cambria Math"/>
                  </w:rPr>
                  <m:t>n</m:t>
                </m:r>
              </m:den>
            </m:f>
            <m:r>
              <m:rPr>
                <m:sty m:val="p"/>
              </m:rPr>
              <w:rPr>
                <w:rFonts w:ascii="Cambria Math" w:hAnsi="Cambria Math"/>
                <w:lang w:val="en-US"/>
              </w:rPr>
              <m:t>×</m:t>
            </m:r>
            <m:sSub>
              <m:sSubPr>
                <m:ctrlPr>
                  <w:rPr>
                    <w:rFonts w:ascii="Cambria Math" w:hAnsi="Cambria Math"/>
                  </w:rPr>
                </m:ctrlPr>
              </m:sSubPr>
              <m:e>
                <m:r>
                  <w:rPr>
                    <w:rFonts w:ascii="Cambria Math" w:hAnsi="Cambria Math"/>
                  </w:rPr>
                  <m:t>c</m:t>
                </m:r>
              </m:e>
              <m:sub>
                <m:r>
                  <w:rPr>
                    <w:rFonts w:ascii="Cambria Math" w:hAnsi="Cambria Math"/>
                  </w:rPr>
                  <m:t>i</m:t>
                </m:r>
              </m:sub>
            </m:sSub>
          </m:e>
        </m:nary>
        <m:r>
          <m:rPr>
            <m:sty m:val="p"/>
          </m:rPr>
          <w:rPr>
            <w:rFonts w:ascii="Cambria Math" w:hAnsi="Cambria Math"/>
            <w:lang w:val="en-US"/>
          </w:rPr>
          <m:t>)</m:t>
        </m:r>
      </m:oMath>
      <w:r w:rsidR="00856E40" w:rsidRPr="00856E40">
        <w:rPr>
          <w:lang w:val="en-US"/>
        </w:rPr>
        <w:t xml:space="preserve"> </w:t>
      </w:r>
      <w:r w:rsidR="00171D2D">
        <w:rPr>
          <w:lang w:val="en-US"/>
        </w:rPr>
        <w:t xml:space="preserve">                                                                                                                                          </w:t>
      </w:r>
      <w:r w:rsidR="00856E40" w:rsidRPr="00856E40">
        <w:rPr>
          <w:lang w:val="en-US"/>
        </w:rPr>
        <w:t>(1)</w:t>
      </w:r>
    </w:p>
    <w:p w14:paraId="5A6057DA" w14:textId="77777777" w:rsidR="000A5D09" w:rsidRDefault="000A5D09" w:rsidP="00856E40">
      <w:pPr>
        <w:spacing w:line="240" w:lineRule="auto"/>
        <w:rPr>
          <w:rFonts w:cs="Arial"/>
          <w:lang w:val="en-US"/>
        </w:rPr>
      </w:pPr>
    </w:p>
    <w:p w14:paraId="3D172BB9" w14:textId="3D597F0B" w:rsidR="00856E40" w:rsidRDefault="00856E40" w:rsidP="00B4633C">
      <w:pPr>
        <w:pStyle w:val="CETBodytext"/>
      </w:pPr>
      <w:r w:rsidRPr="00856E40">
        <w:t>In this formula, (</w:t>
      </w:r>
      <w:r w:rsidR="00CF282A">
        <w:t>IAP</w:t>
      </w:r>
      <w:r w:rsidRPr="00856E40">
        <w:t xml:space="preserve">) is the </w:t>
      </w:r>
      <w:r w:rsidR="00A96DD3">
        <w:t>i</w:t>
      </w:r>
      <w:r w:rsidR="00A96DD3" w:rsidRPr="00CF282A">
        <w:t xml:space="preserve">ndex </w:t>
      </w:r>
      <w:r w:rsidR="00A96DD3">
        <w:t>of a</w:t>
      </w:r>
      <w:r w:rsidR="00A96DD3" w:rsidRPr="00CF282A">
        <w:t xml:space="preserve">tmospheric </w:t>
      </w:r>
      <w:r w:rsidR="00A96DD3">
        <w:t>p</w:t>
      </w:r>
      <w:r w:rsidR="00A96DD3" w:rsidRPr="00CF282A">
        <w:t>urity</w:t>
      </w:r>
      <w:r w:rsidR="00A96DD3">
        <w:rPr>
          <w:sz w:val="23"/>
          <w:szCs w:val="23"/>
        </w:rPr>
        <w:t xml:space="preserve"> </w:t>
      </w:r>
      <w:r w:rsidRPr="00856E40">
        <w:t xml:space="preserve">of the season; (n) is the number of </w:t>
      </w:r>
      <w:r w:rsidRPr="007D1107">
        <w:t xml:space="preserve">forophytes </w:t>
      </w:r>
      <w:r w:rsidRPr="00856E40">
        <w:t>sampled at the station; (Qi) is a specific ecological index of species I; (fi) is the absolute frequency of the species I at the station; (Ci) is the relative coverage of the species I in the season; (A) is absol</w:t>
      </w:r>
      <w:r w:rsidR="00281F37">
        <w:t>ute frequency; is expressed by E</w:t>
      </w:r>
      <w:r w:rsidRPr="00856E40">
        <w:t>quation 2:</w:t>
      </w:r>
    </w:p>
    <w:p w14:paraId="3CF536C4" w14:textId="77777777" w:rsidR="000A5D09" w:rsidRPr="00856E40" w:rsidRDefault="000A5D09" w:rsidP="00856E40">
      <w:pPr>
        <w:spacing w:line="240" w:lineRule="auto"/>
        <w:rPr>
          <w:rFonts w:cs="Arial"/>
          <w:lang w:val="en-US"/>
        </w:rPr>
      </w:pPr>
    </w:p>
    <w:p w14:paraId="2642DFE3" w14:textId="709A4CF1" w:rsidR="00856E40" w:rsidRPr="00856E40" w:rsidRDefault="00856E40" w:rsidP="00171D2D">
      <w:pPr>
        <w:pStyle w:val="CETEquation"/>
        <w:rPr>
          <w:lang w:val="en-US"/>
        </w:rPr>
      </w:pPr>
      <m:oMath>
        <m:r>
          <w:rPr>
            <w:rFonts w:ascii="Cambria Math" w:hAnsi="Cambria Math"/>
          </w:rPr>
          <m:t>FAi</m:t>
        </m:r>
        <m:r>
          <m:rPr>
            <m:sty m:val="p"/>
          </m:rPr>
          <w:rPr>
            <w:rFonts w:ascii="Cambria Math" w:hAnsi="Cambria Math"/>
            <w:lang w:val="en-US"/>
          </w:rPr>
          <m:t>=</m:t>
        </m:r>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u</m:t>
                    </m:r>
                  </m:e>
                  <m:sub>
                    <m:r>
                      <w:rPr>
                        <w:rFonts w:ascii="Cambria Math" w:hAnsi="Cambria Math"/>
                      </w:rPr>
                      <m:t>i</m:t>
                    </m:r>
                  </m:sub>
                </m:sSub>
              </m:num>
              <m:den>
                <m:sSub>
                  <m:sSubPr>
                    <m:ctrlPr>
                      <w:rPr>
                        <w:rFonts w:ascii="Cambria Math" w:hAnsi="Cambria Math"/>
                      </w:rPr>
                    </m:ctrlPr>
                  </m:sSubPr>
                  <m:e>
                    <m:r>
                      <w:rPr>
                        <w:rFonts w:ascii="Cambria Math" w:hAnsi="Cambria Math"/>
                      </w:rPr>
                      <m:t>u</m:t>
                    </m:r>
                  </m:e>
                  <m:sub>
                    <m:r>
                      <w:rPr>
                        <w:rFonts w:ascii="Cambria Math" w:hAnsi="Cambria Math"/>
                      </w:rPr>
                      <m:t>t</m:t>
                    </m:r>
                  </m:sub>
                </m:sSub>
                <m:r>
                  <m:rPr>
                    <m:sty m:val="p"/>
                  </m:rPr>
                  <w:rPr>
                    <w:rFonts w:ascii="Cambria Math" w:hAnsi="Cambria Math"/>
                    <w:lang w:val="en-US"/>
                  </w:rPr>
                  <m:t xml:space="preserve"> </m:t>
                </m:r>
              </m:den>
            </m:f>
          </m:e>
        </m:d>
      </m:oMath>
      <w:r w:rsidRPr="00856E40">
        <w:rPr>
          <w:lang w:val="en-US"/>
        </w:rPr>
        <w:t xml:space="preserve">                                                                                                                     </w:t>
      </w:r>
      <w:r w:rsidR="00171D2D">
        <w:rPr>
          <w:lang w:val="en-US"/>
        </w:rPr>
        <w:t xml:space="preserve">           </w:t>
      </w:r>
      <w:r w:rsidRPr="00856E40">
        <w:rPr>
          <w:lang w:val="en-US"/>
        </w:rPr>
        <w:t xml:space="preserve">                          (2)</w:t>
      </w:r>
    </w:p>
    <w:p w14:paraId="6E93C368" w14:textId="77777777" w:rsidR="000A5D09" w:rsidRDefault="000A5D09" w:rsidP="00856E40">
      <w:pPr>
        <w:spacing w:line="240" w:lineRule="auto"/>
        <w:rPr>
          <w:rFonts w:cs="Arial"/>
          <w:lang w:val="en-US"/>
        </w:rPr>
      </w:pPr>
    </w:p>
    <w:p w14:paraId="35BC529C" w14:textId="77777777" w:rsidR="00856E40" w:rsidRPr="00856E40" w:rsidRDefault="00856E40" w:rsidP="00B4633C">
      <w:pPr>
        <w:pStyle w:val="CETBodytext"/>
      </w:pPr>
      <w:r w:rsidRPr="00856E40">
        <w:lastRenderedPageBreak/>
        <w:t>In this formula, (FAi) corresponds to the absolute frequency of the species I; (ui) is the number of sample units (</w:t>
      </w:r>
      <w:r w:rsidRPr="007D1107">
        <w:t>forophytes)</w:t>
      </w:r>
      <w:r w:rsidRPr="00856E40">
        <w:t xml:space="preserve"> at the station in which species I occurs; (ut) is the total number of sampling units (</w:t>
      </w:r>
      <w:r w:rsidRPr="007D1107">
        <w:t>forophytes)</w:t>
      </w:r>
      <w:r w:rsidRPr="00856E40">
        <w:t xml:space="preserve"> of the station. </w:t>
      </w:r>
    </w:p>
    <w:p w14:paraId="14B9FED2" w14:textId="77777777" w:rsidR="00856E40" w:rsidRDefault="00856E40" w:rsidP="00B4633C">
      <w:pPr>
        <w:pStyle w:val="CETBodytext"/>
      </w:pPr>
      <w:r w:rsidRPr="00856E40">
        <w:t>The specific ecological index (Qi) is related to the resistivity/sensitivity of a particular species, corresponding to the average number of species that coexist with this species in the indicat</w:t>
      </w:r>
      <w:r w:rsidR="00281F37">
        <w:t>ed station and is expressed by E</w:t>
      </w:r>
      <w:r w:rsidRPr="00856E40">
        <w:t>quation 3.</w:t>
      </w:r>
    </w:p>
    <w:p w14:paraId="3E717117" w14:textId="77777777" w:rsidR="000A5D09" w:rsidRPr="00856E40" w:rsidRDefault="000A5D09" w:rsidP="00856E40">
      <w:pPr>
        <w:spacing w:line="240" w:lineRule="auto"/>
        <w:rPr>
          <w:rFonts w:cs="Arial"/>
          <w:lang w:val="en-US"/>
        </w:rPr>
      </w:pPr>
    </w:p>
    <w:p w14:paraId="210C5F0B" w14:textId="4C0724A7" w:rsidR="00856E40" w:rsidRPr="00856E40" w:rsidRDefault="00856E40" w:rsidP="00171D2D">
      <w:pPr>
        <w:pStyle w:val="CETEquation"/>
        <w:rPr>
          <w:lang w:val="en-US"/>
        </w:rPr>
      </w:pPr>
      <m:oMath>
        <m:r>
          <w:rPr>
            <w:rFonts w:ascii="Cambria Math" w:hAnsi="Cambria Math"/>
          </w:rPr>
          <m:t>Qi=</m:t>
        </m:r>
        <m:nary>
          <m:naryPr>
            <m:chr m:val="∑"/>
            <m:limLoc m:val="undOvr"/>
            <m:ctrlPr>
              <w:rPr>
                <w:rFonts w:ascii="Cambria Math" w:hAnsi="Cambria Math"/>
                <w:i/>
                <w:iCs/>
              </w:rPr>
            </m:ctrlPr>
          </m:naryPr>
          <m:sub>
            <m:r>
              <w:rPr>
                <w:rFonts w:ascii="Cambria Math" w:hAnsi="Cambria Math"/>
              </w:rPr>
              <m:t xml:space="preserve"> </m:t>
            </m:r>
          </m:sub>
          <m:sup>
            <m:r>
              <w:rPr>
                <w:rFonts w:ascii="Cambria Math" w:hAnsi="Cambria Math"/>
              </w:rPr>
              <m:t xml:space="preserve"> </m:t>
            </m:r>
          </m:sup>
          <m:e>
            <m:r>
              <w:rPr>
                <w:rFonts w:ascii="Cambria Math" w:hAnsi="Cambria Math"/>
              </w:rPr>
              <m:t>(</m:t>
            </m:r>
            <m:f>
              <m:fPr>
                <m:ctrlPr>
                  <w:rPr>
                    <w:rFonts w:ascii="Cambria Math" w:hAnsi="Cambria Math"/>
                    <w:i/>
                    <w:iCs/>
                  </w:rPr>
                </m:ctrlPr>
              </m:fPr>
              <m:num>
                <m:r>
                  <w:rPr>
                    <w:rFonts w:ascii="Cambria Math" w:hAnsi="Cambria Math"/>
                  </w:rPr>
                  <m:t>Aj-1</m:t>
                </m:r>
              </m:num>
              <m:den>
                <m:r>
                  <w:rPr>
                    <w:rFonts w:ascii="Cambria Math" w:hAnsi="Cambria Math"/>
                  </w:rPr>
                  <m:t>Nj</m:t>
                </m:r>
              </m:den>
            </m:f>
            <m:r>
              <w:rPr>
                <w:rFonts w:ascii="Cambria Math" w:hAnsi="Cambria Math"/>
              </w:rPr>
              <m:t>)</m:t>
            </m:r>
          </m:e>
        </m:nary>
      </m:oMath>
      <w:r w:rsidRPr="00856E40">
        <w:rPr>
          <w:lang w:val="en-US"/>
        </w:rPr>
        <w:t xml:space="preserve">                                                                                                                                                      (3)</w:t>
      </w:r>
    </w:p>
    <w:p w14:paraId="72A6DABF" w14:textId="77777777" w:rsidR="000A5D09" w:rsidRDefault="000A5D09" w:rsidP="00856E40">
      <w:pPr>
        <w:spacing w:line="240" w:lineRule="auto"/>
        <w:rPr>
          <w:rFonts w:cs="Arial"/>
          <w:lang w:val="en-US"/>
        </w:rPr>
      </w:pPr>
    </w:p>
    <w:p w14:paraId="0622C29B" w14:textId="77777777" w:rsidR="00856E40" w:rsidRPr="00856E40" w:rsidRDefault="00856E40" w:rsidP="00B4633C">
      <w:pPr>
        <w:pStyle w:val="CETBodytext"/>
      </w:pPr>
      <w:r w:rsidRPr="00856E40">
        <w:t xml:space="preserve">Where (Aj) corresponds to the number of species present in each season where the species I is located; (Nj) corresponds to the number of sample units in which the species I is located. </w:t>
      </w:r>
    </w:p>
    <w:p w14:paraId="7E907977" w14:textId="3DEC6124" w:rsidR="00856E40" w:rsidRPr="00856E40" w:rsidRDefault="00856E40" w:rsidP="00B4633C">
      <w:pPr>
        <w:pStyle w:val="CETBodytext"/>
      </w:pPr>
      <w:r w:rsidRPr="00856E40">
        <w:t xml:space="preserve">The final </w:t>
      </w:r>
      <w:r w:rsidR="00075232" w:rsidRPr="00856E40">
        <w:t>Index</w:t>
      </w:r>
      <w:r w:rsidR="00075232">
        <w:t xml:space="preserve"> of</w:t>
      </w:r>
      <w:r w:rsidR="00075232" w:rsidRPr="00856E40">
        <w:t xml:space="preserve"> Atmospheric Purity </w:t>
      </w:r>
      <w:r w:rsidRPr="00856E40">
        <w:t>(</w:t>
      </w:r>
      <w:r w:rsidR="00CF282A">
        <w:t>IAP</w:t>
      </w:r>
      <w:r w:rsidRPr="00856E40">
        <w:t xml:space="preserve">) of each collection point was obtained by the average of the </w:t>
      </w:r>
      <w:r w:rsidR="00CF282A">
        <w:t>IAP</w:t>
      </w:r>
      <w:r w:rsidRPr="00856E40">
        <w:t xml:space="preserve">s per campaign (seasonal period). After calculating the average </w:t>
      </w:r>
      <w:r w:rsidR="00CF282A">
        <w:t>IAP</w:t>
      </w:r>
      <w:r w:rsidRPr="00856E40">
        <w:t xml:space="preserve"> of each sampling point, the air received a qualification, according to </w:t>
      </w:r>
      <w:r w:rsidR="00281F37">
        <w:t>T</w:t>
      </w:r>
      <w:r w:rsidRPr="00856E40">
        <w:t>able 2, adapted from Conti (2008).</w:t>
      </w:r>
    </w:p>
    <w:p w14:paraId="0790BD2D" w14:textId="2BA11F92" w:rsidR="00856E40" w:rsidRPr="009D0BFF" w:rsidRDefault="00856E40" w:rsidP="009D0BFF">
      <w:pPr>
        <w:pStyle w:val="CETTabletitle"/>
      </w:pPr>
      <w:r w:rsidRPr="009D0BFF">
        <w:t xml:space="preserve">Table 2: Quality levels of the </w:t>
      </w:r>
      <w:r w:rsidR="00075232" w:rsidRPr="009D0BFF">
        <w:t xml:space="preserve">Index of Atmospheric Purity </w:t>
      </w:r>
      <w:r w:rsidRPr="009D0BFF">
        <w:t>(</w:t>
      </w:r>
      <w:r w:rsidR="00CF282A" w:rsidRPr="009D0BFF">
        <w:t>IAP</w:t>
      </w:r>
      <w:r w:rsidRPr="009D0BFF">
        <w:t>)</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993"/>
        <w:gridCol w:w="1701"/>
        <w:gridCol w:w="1843"/>
        <w:gridCol w:w="1417"/>
      </w:tblGrid>
      <w:tr w:rsidR="007D1107" w:rsidRPr="007D1107" w14:paraId="78104E10" w14:textId="77777777" w:rsidTr="006575DA">
        <w:tc>
          <w:tcPr>
            <w:tcW w:w="993" w:type="dxa"/>
            <w:tcBorders>
              <w:top w:val="single" w:sz="12" w:space="0" w:color="008000"/>
              <w:left w:val="nil"/>
              <w:bottom w:val="single" w:sz="6" w:space="0" w:color="008000"/>
              <w:right w:val="nil"/>
            </w:tcBorders>
            <w:shd w:val="clear" w:color="auto" w:fill="FFFFFF"/>
            <w:hideMark/>
          </w:tcPr>
          <w:p w14:paraId="56B60D09" w14:textId="77777777" w:rsidR="00856E40" w:rsidRPr="00EF4EB3" w:rsidRDefault="007D1107" w:rsidP="00EF4EB3">
            <w:pPr>
              <w:pStyle w:val="CETBodytext"/>
            </w:pPr>
            <w:r w:rsidRPr="00EF4EB3">
              <w:t>Level</w:t>
            </w:r>
          </w:p>
        </w:tc>
        <w:tc>
          <w:tcPr>
            <w:tcW w:w="1701" w:type="dxa"/>
            <w:tcBorders>
              <w:top w:val="single" w:sz="12" w:space="0" w:color="008000"/>
              <w:left w:val="nil"/>
              <w:bottom w:val="single" w:sz="6" w:space="0" w:color="008000"/>
              <w:right w:val="nil"/>
            </w:tcBorders>
            <w:shd w:val="clear" w:color="auto" w:fill="FFFFFF"/>
            <w:hideMark/>
          </w:tcPr>
          <w:p w14:paraId="211EFA1F" w14:textId="77777777" w:rsidR="00856E40" w:rsidRPr="00EF4EB3" w:rsidRDefault="00CF282A" w:rsidP="00EF4EB3">
            <w:pPr>
              <w:pStyle w:val="CETBodytext"/>
            </w:pPr>
            <w:r w:rsidRPr="00EF4EB3">
              <w:t>IAP</w:t>
            </w:r>
          </w:p>
        </w:tc>
        <w:tc>
          <w:tcPr>
            <w:tcW w:w="1843" w:type="dxa"/>
            <w:tcBorders>
              <w:top w:val="single" w:sz="12" w:space="0" w:color="008000"/>
              <w:left w:val="nil"/>
              <w:bottom w:val="single" w:sz="6" w:space="0" w:color="008000"/>
              <w:right w:val="nil"/>
            </w:tcBorders>
            <w:shd w:val="clear" w:color="auto" w:fill="FFFFFF"/>
            <w:hideMark/>
          </w:tcPr>
          <w:p w14:paraId="3C6E47A9" w14:textId="77777777" w:rsidR="00856E40" w:rsidRPr="00EF4EB3" w:rsidRDefault="007D1107" w:rsidP="00EF4EB3">
            <w:pPr>
              <w:pStyle w:val="CETBodytext"/>
            </w:pPr>
            <w:r w:rsidRPr="00EF4EB3">
              <w:t>Air quality</w:t>
            </w:r>
          </w:p>
        </w:tc>
        <w:tc>
          <w:tcPr>
            <w:tcW w:w="1417" w:type="dxa"/>
            <w:tcBorders>
              <w:top w:val="single" w:sz="12" w:space="0" w:color="008000"/>
              <w:left w:val="nil"/>
              <w:bottom w:val="single" w:sz="6" w:space="0" w:color="008000"/>
              <w:right w:val="nil"/>
            </w:tcBorders>
            <w:shd w:val="clear" w:color="auto" w:fill="FFFFFF"/>
          </w:tcPr>
          <w:p w14:paraId="6DBFF469" w14:textId="77777777" w:rsidR="00856E40" w:rsidRPr="00EF4EB3" w:rsidRDefault="007D1107" w:rsidP="00EF4EB3">
            <w:pPr>
              <w:pStyle w:val="CETBodytext"/>
            </w:pPr>
            <w:r w:rsidRPr="00EF4EB3">
              <w:t>P</w:t>
            </w:r>
            <w:r w:rsidR="00856E40" w:rsidRPr="00EF4EB3">
              <w:t>ol</w:t>
            </w:r>
            <w:r w:rsidRPr="00EF4EB3">
              <w:t>lution level</w:t>
            </w:r>
          </w:p>
        </w:tc>
      </w:tr>
      <w:tr w:rsidR="007D1107" w:rsidRPr="007D1107" w14:paraId="2939E5CD" w14:textId="77777777" w:rsidTr="006575DA">
        <w:tc>
          <w:tcPr>
            <w:tcW w:w="993" w:type="dxa"/>
            <w:tcBorders>
              <w:top w:val="nil"/>
              <w:left w:val="nil"/>
              <w:bottom w:val="nil"/>
              <w:right w:val="nil"/>
            </w:tcBorders>
            <w:shd w:val="clear" w:color="auto" w:fill="FFFFFF"/>
            <w:hideMark/>
          </w:tcPr>
          <w:p w14:paraId="248FA7A3" w14:textId="77777777" w:rsidR="00856E40" w:rsidRPr="00EF4EB3" w:rsidRDefault="00856E40" w:rsidP="00EF4EB3">
            <w:pPr>
              <w:pStyle w:val="CETBodytext"/>
            </w:pPr>
            <w:r w:rsidRPr="00EF4EB3">
              <w:t>A</w:t>
            </w:r>
          </w:p>
        </w:tc>
        <w:tc>
          <w:tcPr>
            <w:tcW w:w="1701" w:type="dxa"/>
            <w:tcBorders>
              <w:top w:val="nil"/>
              <w:left w:val="nil"/>
              <w:bottom w:val="nil"/>
              <w:right w:val="nil"/>
            </w:tcBorders>
            <w:shd w:val="clear" w:color="auto" w:fill="FFFFFF"/>
          </w:tcPr>
          <w:p w14:paraId="361EDA61" w14:textId="65046761" w:rsidR="00856E40" w:rsidRPr="00EF4EB3" w:rsidRDefault="00856E40" w:rsidP="00EF4EB3">
            <w:pPr>
              <w:pStyle w:val="CETBodytext"/>
            </w:pPr>
            <w:r w:rsidRPr="00EF4EB3">
              <w:t xml:space="preserve">0 ≤ </w:t>
            </w:r>
            <w:r w:rsidR="0015228D">
              <w:t>IAP</w:t>
            </w:r>
            <w:r w:rsidRPr="00EF4EB3">
              <w:t xml:space="preserve">  ≤ 10</w:t>
            </w:r>
          </w:p>
        </w:tc>
        <w:tc>
          <w:tcPr>
            <w:tcW w:w="1843" w:type="dxa"/>
            <w:tcBorders>
              <w:top w:val="nil"/>
              <w:left w:val="nil"/>
              <w:bottom w:val="nil"/>
              <w:right w:val="nil"/>
            </w:tcBorders>
            <w:shd w:val="clear" w:color="auto" w:fill="FFFFFF"/>
          </w:tcPr>
          <w:p w14:paraId="58AC7DA0" w14:textId="77777777" w:rsidR="00856E40" w:rsidRPr="00EF4EB3" w:rsidRDefault="007D1107" w:rsidP="00EF4EB3">
            <w:pPr>
              <w:pStyle w:val="CETBodytext"/>
            </w:pPr>
            <w:r w:rsidRPr="00EF4EB3">
              <w:t>Bad</w:t>
            </w:r>
          </w:p>
        </w:tc>
        <w:tc>
          <w:tcPr>
            <w:tcW w:w="1417" w:type="dxa"/>
            <w:tcBorders>
              <w:top w:val="nil"/>
              <w:left w:val="nil"/>
              <w:bottom w:val="nil"/>
              <w:right w:val="nil"/>
            </w:tcBorders>
            <w:shd w:val="clear" w:color="auto" w:fill="FFFFFF"/>
          </w:tcPr>
          <w:p w14:paraId="6C5C3A6A" w14:textId="77777777" w:rsidR="00856E40" w:rsidRPr="00EF4EB3" w:rsidRDefault="007D1107" w:rsidP="00EF4EB3">
            <w:pPr>
              <w:pStyle w:val="CETBodytext"/>
            </w:pPr>
            <w:r w:rsidRPr="00EF4EB3">
              <w:t>High</w:t>
            </w:r>
          </w:p>
        </w:tc>
      </w:tr>
      <w:tr w:rsidR="007D1107" w:rsidRPr="007D1107" w14:paraId="59EF271D" w14:textId="77777777" w:rsidTr="006575DA">
        <w:tc>
          <w:tcPr>
            <w:tcW w:w="993" w:type="dxa"/>
            <w:tcBorders>
              <w:top w:val="nil"/>
              <w:left w:val="nil"/>
              <w:bottom w:val="nil"/>
              <w:right w:val="nil"/>
            </w:tcBorders>
            <w:shd w:val="clear" w:color="auto" w:fill="FFFFFF"/>
          </w:tcPr>
          <w:p w14:paraId="2D31B587" w14:textId="77777777" w:rsidR="00856E40" w:rsidRPr="00EF4EB3" w:rsidRDefault="00856E40" w:rsidP="00EF4EB3">
            <w:pPr>
              <w:pStyle w:val="CETBodytext"/>
            </w:pPr>
            <w:r w:rsidRPr="00EF4EB3">
              <w:t>B</w:t>
            </w:r>
          </w:p>
        </w:tc>
        <w:tc>
          <w:tcPr>
            <w:tcW w:w="1701" w:type="dxa"/>
            <w:tcBorders>
              <w:top w:val="nil"/>
              <w:left w:val="nil"/>
              <w:bottom w:val="nil"/>
              <w:right w:val="nil"/>
            </w:tcBorders>
            <w:shd w:val="clear" w:color="auto" w:fill="FFFFFF"/>
          </w:tcPr>
          <w:p w14:paraId="670DBD87" w14:textId="39D4E706" w:rsidR="00856E40" w:rsidRPr="00EF4EB3" w:rsidRDefault="00856E40" w:rsidP="00EF4EB3">
            <w:pPr>
              <w:pStyle w:val="CETBodytext"/>
            </w:pPr>
            <w:r w:rsidRPr="00EF4EB3">
              <w:t xml:space="preserve">10 &lt; </w:t>
            </w:r>
            <w:r w:rsidR="0015228D">
              <w:t>IAP</w:t>
            </w:r>
            <w:r w:rsidRPr="00EF4EB3">
              <w:t xml:space="preserve">  ≤ 20</w:t>
            </w:r>
          </w:p>
        </w:tc>
        <w:tc>
          <w:tcPr>
            <w:tcW w:w="1843" w:type="dxa"/>
            <w:tcBorders>
              <w:top w:val="nil"/>
              <w:left w:val="nil"/>
              <w:bottom w:val="nil"/>
              <w:right w:val="nil"/>
            </w:tcBorders>
            <w:shd w:val="clear" w:color="auto" w:fill="FFFFFF"/>
          </w:tcPr>
          <w:p w14:paraId="152CDACF" w14:textId="77777777" w:rsidR="00856E40" w:rsidRPr="00EF4EB3" w:rsidRDefault="00856E40" w:rsidP="00EF4EB3">
            <w:pPr>
              <w:pStyle w:val="CETBodytext"/>
            </w:pPr>
            <w:r w:rsidRPr="00EF4EB3">
              <w:t>Regular</w:t>
            </w:r>
          </w:p>
        </w:tc>
        <w:tc>
          <w:tcPr>
            <w:tcW w:w="1417" w:type="dxa"/>
            <w:tcBorders>
              <w:top w:val="nil"/>
              <w:left w:val="nil"/>
              <w:bottom w:val="nil"/>
              <w:right w:val="nil"/>
            </w:tcBorders>
            <w:shd w:val="clear" w:color="auto" w:fill="FFFFFF"/>
          </w:tcPr>
          <w:p w14:paraId="74D2E6DA" w14:textId="77777777" w:rsidR="00856E40" w:rsidRPr="00EF4EB3" w:rsidRDefault="00856E40" w:rsidP="00EF4EB3">
            <w:pPr>
              <w:pStyle w:val="CETBodytext"/>
            </w:pPr>
            <w:r w:rsidRPr="00EF4EB3">
              <w:t>Modera</w:t>
            </w:r>
            <w:r w:rsidR="007D1107" w:rsidRPr="00EF4EB3">
              <w:t>te</w:t>
            </w:r>
            <w:r w:rsidRPr="00EF4EB3">
              <w:t xml:space="preserve"> </w:t>
            </w:r>
          </w:p>
        </w:tc>
      </w:tr>
      <w:tr w:rsidR="007D1107" w:rsidRPr="007D1107" w14:paraId="3C7812A2" w14:textId="77777777" w:rsidTr="006575DA">
        <w:tc>
          <w:tcPr>
            <w:tcW w:w="993" w:type="dxa"/>
            <w:tcBorders>
              <w:top w:val="nil"/>
              <w:left w:val="nil"/>
              <w:bottom w:val="nil"/>
              <w:right w:val="nil"/>
            </w:tcBorders>
            <w:shd w:val="clear" w:color="auto" w:fill="FFFFFF"/>
          </w:tcPr>
          <w:p w14:paraId="46BC6F5B" w14:textId="77777777" w:rsidR="00856E40" w:rsidRPr="00EF4EB3" w:rsidRDefault="00856E40" w:rsidP="00EF4EB3">
            <w:pPr>
              <w:pStyle w:val="CETBodytext"/>
            </w:pPr>
            <w:r w:rsidRPr="00EF4EB3">
              <w:t>C</w:t>
            </w:r>
          </w:p>
        </w:tc>
        <w:tc>
          <w:tcPr>
            <w:tcW w:w="1701" w:type="dxa"/>
            <w:tcBorders>
              <w:top w:val="nil"/>
              <w:left w:val="nil"/>
              <w:bottom w:val="nil"/>
              <w:right w:val="nil"/>
            </w:tcBorders>
            <w:shd w:val="clear" w:color="auto" w:fill="FFFFFF"/>
          </w:tcPr>
          <w:p w14:paraId="4608DE82" w14:textId="70170525" w:rsidR="00856E40" w:rsidRPr="00EF4EB3" w:rsidRDefault="00856E40" w:rsidP="00EF4EB3">
            <w:pPr>
              <w:pStyle w:val="CETBodytext"/>
            </w:pPr>
            <w:r w:rsidRPr="00EF4EB3">
              <w:t>20 &lt; I</w:t>
            </w:r>
            <w:r w:rsidR="0015228D">
              <w:t>AP</w:t>
            </w:r>
            <w:r w:rsidRPr="00EF4EB3">
              <w:t xml:space="preserve">  ≤ 30</w:t>
            </w:r>
          </w:p>
        </w:tc>
        <w:tc>
          <w:tcPr>
            <w:tcW w:w="1843" w:type="dxa"/>
            <w:tcBorders>
              <w:top w:val="nil"/>
              <w:left w:val="nil"/>
              <w:bottom w:val="nil"/>
              <w:right w:val="nil"/>
            </w:tcBorders>
            <w:shd w:val="clear" w:color="auto" w:fill="FFFFFF"/>
          </w:tcPr>
          <w:p w14:paraId="5D4D0302" w14:textId="77777777" w:rsidR="00856E40" w:rsidRPr="00EF4EB3" w:rsidRDefault="007D1107" w:rsidP="00EF4EB3">
            <w:pPr>
              <w:pStyle w:val="CETBodytext"/>
            </w:pPr>
            <w:r w:rsidRPr="00EF4EB3">
              <w:t>Good</w:t>
            </w:r>
          </w:p>
        </w:tc>
        <w:tc>
          <w:tcPr>
            <w:tcW w:w="1417" w:type="dxa"/>
            <w:tcBorders>
              <w:top w:val="nil"/>
              <w:left w:val="nil"/>
              <w:bottom w:val="nil"/>
              <w:right w:val="nil"/>
            </w:tcBorders>
            <w:shd w:val="clear" w:color="auto" w:fill="FFFFFF"/>
          </w:tcPr>
          <w:p w14:paraId="6E793F23" w14:textId="77777777" w:rsidR="00856E40" w:rsidRPr="00EF4EB3" w:rsidRDefault="007D1107" w:rsidP="00EF4EB3">
            <w:pPr>
              <w:pStyle w:val="CETBodytext"/>
            </w:pPr>
            <w:r w:rsidRPr="00EF4EB3">
              <w:t>Low</w:t>
            </w:r>
          </w:p>
        </w:tc>
      </w:tr>
      <w:tr w:rsidR="007D1107" w:rsidRPr="007D1107" w14:paraId="1F597605" w14:textId="77777777" w:rsidTr="006575DA">
        <w:tc>
          <w:tcPr>
            <w:tcW w:w="993" w:type="dxa"/>
            <w:tcBorders>
              <w:top w:val="nil"/>
              <w:left w:val="nil"/>
              <w:bottom w:val="single" w:sz="12" w:space="0" w:color="008000"/>
              <w:right w:val="nil"/>
            </w:tcBorders>
            <w:shd w:val="clear" w:color="auto" w:fill="FFFFFF"/>
          </w:tcPr>
          <w:p w14:paraId="656FA080" w14:textId="77777777" w:rsidR="00856E40" w:rsidRPr="00EF4EB3" w:rsidRDefault="00856E40" w:rsidP="00EF4EB3">
            <w:pPr>
              <w:pStyle w:val="CETBodytext"/>
            </w:pPr>
            <w:r w:rsidRPr="00EF4EB3">
              <w:t>D</w:t>
            </w:r>
          </w:p>
        </w:tc>
        <w:tc>
          <w:tcPr>
            <w:tcW w:w="1701" w:type="dxa"/>
            <w:tcBorders>
              <w:top w:val="nil"/>
              <w:left w:val="nil"/>
              <w:bottom w:val="single" w:sz="12" w:space="0" w:color="008000"/>
              <w:right w:val="nil"/>
            </w:tcBorders>
            <w:shd w:val="clear" w:color="auto" w:fill="FFFFFF"/>
          </w:tcPr>
          <w:p w14:paraId="066D2B91" w14:textId="707F83F0" w:rsidR="00856E40" w:rsidRPr="00EF4EB3" w:rsidRDefault="00856E40" w:rsidP="00EF4EB3">
            <w:pPr>
              <w:pStyle w:val="CETBodytext"/>
            </w:pPr>
            <w:r w:rsidRPr="00EF4EB3">
              <w:t>IA</w:t>
            </w:r>
            <w:r w:rsidR="00075232">
              <w:t>P</w:t>
            </w:r>
            <w:r w:rsidRPr="00EF4EB3">
              <w:t xml:space="preserve"> &gt; 30</w:t>
            </w:r>
          </w:p>
        </w:tc>
        <w:tc>
          <w:tcPr>
            <w:tcW w:w="1843" w:type="dxa"/>
            <w:tcBorders>
              <w:top w:val="nil"/>
              <w:left w:val="nil"/>
              <w:bottom w:val="single" w:sz="12" w:space="0" w:color="008000"/>
              <w:right w:val="nil"/>
            </w:tcBorders>
            <w:shd w:val="clear" w:color="auto" w:fill="FFFFFF"/>
          </w:tcPr>
          <w:p w14:paraId="252CFDB8" w14:textId="77777777" w:rsidR="00856E40" w:rsidRPr="00EF4EB3" w:rsidRDefault="007D1107" w:rsidP="00EF4EB3">
            <w:pPr>
              <w:pStyle w:val="CETBodytext"/>
            </w:pPr>
            <w:r w:rsidRPr="00EF4EB3">
              <w:t>Great</w:t>
            </w:r>
          </w:p>
        </w:tc>
        <w:tc>
          <w:tcPr>
            <w:tcW w:w="1417" w:type="dxa"/>
            <w:tcBorders>
              <w:top w:val="nil"/>
              <w:left w:val="nil"/>
              <w:bottom w:val="single" w:sz="12" w:space="0" w:color="008000"/>
              <w:right w:val="nil"/>
            </w:tcBorders>
            <w:shd w:val="clear" w:color="auto" w:fill="FFFFFF"/>
          </w:tcPr>
          <w:p w14:paraId="4A0E3D7B" w14:textId="77777777" w:rsidR="00856E40" w:rsidRPr="00EF4EB3" w:rsidRDefault="007D1107" w:rsidP="00EF4EB3">
            <w:pPr>
              <w:pStyle w:val="CETBodytext"/>
            </w:pPr>
            <w:r w:rsidRPr="00EF4EB3">
              <w:t>Very low</w:t>
            </w:r>
            <w:r w:rsidR="00856E40" w:rsidRPr="00EF4EB3">
              <w:t xml:space="preserve"> </w:t>
            </w:r>
          </w:p>
        </w:tc>
      </w:tr>
    </w:tbl>
    <w:p w14:paraId="25596E87" w14:textId="77777777" w:rsidR="00EE3B50" w:rsidRPr="00856E40" w:rsidRDefault="00EE3B50" w:rsidP="00856E40">
      <w:pPr>
        <w:spacing w:line="240" w:lineRule="auto"/>
        <w:rPr>
          <w:rFonts w:cs="Arial"/>
          <w:lang w:val="en-US"/>
        </w:rPr>
      </w:pPr>
    </w:p>
    <w:p w14:paraId="4679613C" w14:textId="561E6A60" w:rsidR="0095679C" w:rsidRPr="00EF4EB3" w:rsidRDefault="0095679C" w:rsidP="00856E40">
      <w:pPr>
        <w:pStyle w:val="CETHeading1"/>
      </w:pPr>
      <w:r>
        <w:t>Results</w:t>
      </w:r>
    </w:p>
    <w:p w14:paraId="39942485" w14:textId="77777777" w:rsidR="00856E40" w:rsidRPr="00EF4EB3" w:rsidRDefault="00856E40" w:rsidP="00EF4EB3">
      <w:pPr>
        <w:pStyle w:val="CETBodytext"/>
      </w:pPr>
      <w:r w:rsidRPr="00EF4EB3">
        <w:t>21 taxa of lichens were recorded, distributed in 09 families and 13 genera, according to the morphofunctional groups, in the sampled sites (</w:t>
      </w:r>
      <w:r w:rsidR="00281F37" w:rsidRPr="00EF4EB3">
        <w:t>T</w:t>
      </w:r>
      <w:r w:rsidRPr="00EF4EB3">
        <w:t xml:space="preserve">able 3). </w:t>
      </w:r>
    </w:p>
    <w:p w14:paraId="0349E779" w14:textId="77777777" w:rsidR="00856E40" w:rsidRPr="00EF4EB3" w:rsidRDefault="00856E40" w:rsidP="00EF4EB3">
      <w:pPr>
        <w:pStyle w:val="CETBodytext"/>
      </w:pPr>
      <w:r w:rsidRPr="00EF4EB3">
        <w:t xml:space="preserve">In points 1 and 2, located in the central area of the city, it was observed that the specific richness was represented by the total of 10 and 11 species, respectively; while in points 3 and 4, the specific richness corresponded to the total 15 and 14 species in each point, respectively. The species </w:t>
      </w:r>
      <w:r w:rsidRPr="0097478B">
        <w:rPr>
          <w:i/>
        </w:rPr>
        <w:t>Ramalina celastri</w:t>
      </w:r>
      <w:r w:rsidRPr="00EF4EB3">
        <w:t>, of the family Ramalinaceae, as well as Leptogium sp., belonging to the Collemataceae family, was registered only in P3 (</w:t>
      </w:r>
      <w:r w:rsidR="00281F37" w:rsidRPr="00EF4EB3">
        <w:t>T</w:t>
      </w:r>
      <w:r w:rsidRPr="00EF4EB3">
        <w:t>able 3). These species were identified as sensitive to atmospheric pollution, in the study conducted by Estrabou et al. (2011) in Argentina, which corroborates the idea that the less urbanized sites, because they are less passive to air pollution, shelter more sensitive</w:t>
      </w:r>
      <w:r w:rsidR="00B07444" w:rsidRPr="00EF4EB3">
        <w:t xml:space="preserve"> species</w:t>
      </w:r>
      <w:r w:rsidRPr="00EF4EB3">
        <w:t>.</w:t>
      </w:r>
    </w:p>
    <w:p w14:paraId="4541C8AD" w14:textId="77777777" w:rsidR="00856E40" w:rsidRPr="00EF4EB3" w:rsidRDefault="00856E40" w:rsidP="00EF4EB3">
      <w:pPr>
        <w:pStyle w:val="CETBodytext"/>
      </w:pPr>
      <w:r w:rsidRPr="00EF4EB3">
        <w:t xml:space="preserve">On the other hand, the species </w:t>
      </w:r>
      <w:r w:rsidRPr="00520E84">
        <w:rPr>
          <w:i/>
        </w:rPr>
        <w:t>Physcia</w:t>
      </w:r>
      <w:r w:rsidRPr="00EF4EB3">
        <w:t xml:space="preserve"> sp., of the Caliciaceae family, was only identified in forophytes located in the city's bus station-point 2 (</w:t>
      </w:r>
      <w:r w:rsidR="00281F37" w:rsidRPr="00EF4EB3">
        <w:t>T</w:t>
      </w:r>
      <w:r w:rsidRPr="00EF4EB3">
        <w:t xml:space="preserve">able 3). Estrabou et al. (2011) also studied this species of lyquenized fungus, and identified it as being resistant to pollution in the city of Córdoba, Argentina. </w:t>
      </w:r>
    </w:p>
    <w:p w14:paraId="07BC65C7" w14:textId="5CB6186C" w:rsidR="00856E40" w:rsidRPr="00EF4EB3" w:rsidRDefault="00856E40" w:rsidP="00EF4EB3">
      <w:pPr>
        <w:pStyle w:val="CETBodytext"/>
      </w:pPr>
      <w:r w:rsidRPr="00EF4EB3">
        <w:t xml:space="preserve">Only in São Roque </w:t>
      </w:r>
      <w:r w:rsidR="007E1B22" w:rsidRPr="00EF4EB3">
        <w:t xml:space="preserve">street </w:t>
      </w:r>
      <w:r w:rsidRPr="00EF4EB3">
        <w:t xml:space="preserve">(point 4) the presence of the species </w:t>
      </w:r>
      <w:r w:rsidRPr="00520E84">
        <w:rPr>
          <w:i/>
        </w:rPr>
        <w:t>Cryptothecia rubrocincta</w:t>
      </w:r>
      <w:r w:rsidR="007D1107" w:rsidRPr="00EF4EB3">
        <w:t xml:space="preserve"> – </w:t>
      </w:r>
      <w:r w:rsidR="00281F37" w:rsidRPr="00EF4EB3">
        <w:t>T</w:t>
      </w:r>
      <w:r w:rsidRPr="00EF4EB3">
        <w:t>able 3</w:t>
      </w:r>
      <w:r w:rsidR="00B07444" w:rsidRPr="00EF4EB3">
        <w:t xml:space="preserve"> was noted</w:t>
      </w:r>
      <w:r w:rsidRPr="00EF4EB3">
        <w:t>. Although lichens with a</w:t>
      </w:r>
      <w:r w:rsidR="00224F6E" w:rsidRPr="00EF4EB3">
        <w:t xml:space="preserve"> </w:t>
      </w:r>
      <w:r w:rsidR="00F56AAC">
        <w:t>crustose</w:t>
      </w:r>
      <w:r w:rsidRPr="00EF4EB3">
        <w:t xml:space="preserve"> habit are cited in the literature as the most resistant to atmospheric pollution, it is valid not to generalize this condition. In a study conducted by Martins et al. (2008), where lichens were used as bioindicators to verify air quality in a thermoelectric area in Rio Grande do Sul (Brazil), the species </w:t>
      </w:r>
      <w:r w:rsidRPr="002F13F5">
        <w:rPr>
          <w:i/>
        </w:rPr>
        <w:t>Cryptothecia rubrocincta</w:t>
      </w:r>
      <w:r w:rsidR="007D1107" w:rsidRPr="00EF4EB3">
        <w:t>, of a c</w:t>
      </w:r>
      <w:r w:rsidRPr="00EF4EB3">
        <w:t>r</w:t>
      </w:r>
      <w:r w:rsidR="002F13F5">
        <w:t>ustose</w:t>
      </w:r>
      <w:r w:rsidRPr="00EF4EB3">
        <w:t xml:space="preserve"> habit, was registered, only in </w:t>
      </w:r>
      <w:r w:rsidR="00B07444" w:rsidRPr="00EF4EB3">
        <w:t xml:space="preserve">the </w:t>
      </w:r>
      <w:r w:rsidRPr="00EF4EB3">
        <w:t>sampling area that showed higher values of richness and diversity. Th</w:t>
      </w:r>
      <w:r w:rsidR="00B07444" w:rsidRPr="00EF4EB3">
        <w:t>is species also occurs</w:t>
      </w:r>
      <w:r w:rsidRPr="00EF4EB3">
        <w:t xml:space="preserve"> in environmental preservation areas in the state of Pernambuco (Brazil) as </w:t>
      </w:r>
      <w:r w:rsidR="00EA7C59" w:rsidRPr="00EF4EB3">
        <w:t xml:space="preserve">well as </w:t>
      </w:r>
      <w:r w:rsidRPr="00EF4EB3">
        <w:t xml:space="preserve">in the Ecological </w:t>
      </w:r>
      <w:r w:rsidR="007D1107" w:rsidRPr="00EF4EB3">
        <w:t>R</w:t>
      </w:r>
      <w:r w:rsidRPr="00EF4EB3">
        <w:t xml:space="preserve">eserve of Gurjaú and in RPPN Frei Caneca, suggesting that this species develops better in environments where anthropic interference is </w:t>
      </w:r>
      <w:r w:rsidR="00B07444" w:rsidRPr="00EF4EB3">
        <w:t xml:space="preserve">in a </w:t>
      </w:r>
      <w:r w:rsidRPr="00EF4EB3">
        <w:t>less scale (P</w:t>
      </w:r>
      <w:r w:rsidR="00281F37" w:rsidRPr="00EF4EB3">
        <w:t>ereira</w:t>
      </w:r>
      <w:r w:rsidRPr="00EF4EB3">
        <w:t xml:space="preserve"> et al., 2006).</w:t>
      </w:r>
    </w:p>
    <w:p w14:paraId="61992E00" w14:textId="77777777" w:rsidR="00856E40" w:rsidRPr="00EF4EB3" w:rsidRDefault="00856E40" w:rsidP="00EF4EB3">
      <w:pPr>
        <w:pStyle w:val="CETBodytext"/>
      </w:pPr>
      <w:r w:rsidRPr="00EF4EB3">
        <w:t xml:space="preserve">It is notorious the resistivity described by Estrabou et al. (2011) of the species Candelaria concolor, </w:t>
      </w:r>
      <w:r w:rsidR="00B07444" w:rsidRPr="00EF4EB3">
        <w:t xml:space="preserve">it is present </w:t>
      </w:r>
      <w:r w:rsidRPr="00EF4EB3">
        <w:t>in all sampling stations, including those where there is greater traffic of motor vehicles (</w:t>
      </w:r>
      <w:r w:rsidR="00281F37" w:rsidRPr="00EF4EB3">
        <w:t>T</w:t>
      </w:r>
      <w:r w:rsidRPr="00EF4EB3">
        <w:t xml:space="preserve">able 3). </w:t>
      </w:r>
    </w:p>
    <w:p w14:paraId="4C86A45E" w14:textId="77777777" w:rsidR="00856E40" w:rsidRDefault="00856E40" w:rsidP="00EF4EB3">
      <w:pPr>
        <w:pStyle w:val="CETBodytext"/>
      </w:pPr>
      <w:r w:rsidRPr="00EF4EB3">
        <w:t xml:space="preserve">The genera Pyxine and Canopermelia were recorded in points 1, 2, 3 and 4. According to Käffer (2011), species of these genera occur with high frequency in several regions of Brazil. Like the genus Carnopermelia, species of the genus Parmotrema are abundant in Brazil and therefore are among the most used as bioindicators of air quality in national studies, especially </w:t>
      </w:r>
      <w:r w:rsidRPr="00C20C73">
        <w:rPr>
          <w:i/>
        </w:rPr>
        <w:t>Parmotrema tinctorum</w:t>
      </w:r>
      <w:r w:rsidRPr="00EF4EB3">
        <w:t xml:space="preserve"> due to th</w:t>
      </w:r>
      <w:r w:rsidR="00281F37" w:rsidRPr="00EF4EB3">
        <w:t>e ease of its Identification (Vaz</w:t>
      </w:r>
      <w:r w:rsidRPr="00EF4EB3">
        <w:t xml:space="preserve">, 2012), this species was recorded in the four sampling stations as shown in </w:t>
      </w:r>
      <w:r w:rsidR="00281F37" w:rsidRPr="00EF4EB3">
        <w:t>T</w:t>
      </w:r>
      <w:r w:rsidRPr="00EF4EB3">
        <w:t>able 3.</w:t>
      </w:r>
    </w:p>
    <w:p w14:paraId="2875FDEB" w14:textId="77777777" w:rsidR="003A12CC" w:rsidRDefault="003A12CC" w:rsidP="00EF4EB3">
      <w:pPr>
        <w:pStyle w:val="CETBodytext"/>
      </w:pPr>
    </w:p>
    <w:p w14:paraId="519AF51D" w14:textId="77777777" w:rsidR="003A12CC" w:rsidRPr="00EF4EB3" w:rsidRDefault="003A12CC" w:rsidP="00EF4EB3">
      <w:pPr>
        <w:pStyle w:val="CETBodytext"/>
      </w:pPr>
    </w:p>
    <w:p w14:paraId="645C9957" w14:textId="4966B4AC" w:rsidR="00856E40" w:rsidRPr="00C05E9B" w:rsidRDefault="00856E40" w:rsidP="00C05E9B">
      <w:pPr>
        <w:pStyle w:val="CETTabletitle"/>
      </w:pPr>
      <w:r w:rsidRPr="00C05E9B">
        <w:lastRenderedPageBreak/>
        <w:t>Table 3: Inventory of species identified in the samples</w:t>
      </w:r>
    </w:p>
    <w:tbl>
      <w:tblPr>
        <w:tblW w:w="8789" w:type="dxa"/>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993"/>
        <w:gridCol w:w="223"/>
        <w:gridCol w:w="1478"/>
        <w:gridCol w:w="306"/>
        <w:gridCol w:w="1537"/>
        <w:gridCol w:w="992"/>
        <w:gridCol w:w="425"/>
        <w:gridCol w:w="390"/>
        <w:gridCol w:w="815"/>
        <w:gridCol w:w="815"/>
        <w:gridCol w:w="815"/>
      </w:tblGrid>
      <w:tr w:rsidR="00856E40" w:rsidRPr="00A34BFD" w14:paraId="40F812EB" w14:textId="77777777" w:rsidTr="006575DA">
        <w:tc>
          <w:tcPr>
            <w:tcW w:w="1216" w:type="dxa"/>
            <w:gridSpan w:val="2"/>
            <w:tcBorders>
              <w:top w:val="single" w:sz="12" w:space="0" w:color="008000"/>
              <w:left w:val="nil"/>
              <w:bottom w:val="single" w:sz="6" w:space="0" w:color="008000"/>
              <w:right w:val="nil"/>
            </w:tcBorders>
            <w:shd w:val="clear" w:color="auto" w:fill="FFFFFF"/>
          </w:tcPr>
          <w:p w14:paraId="4F738DB9" w14:textId="77777777" w:rsidR="00856E40" w:rsidRPr="0097478B" w:rsidRDefault="00856E40" w:rsidP="0097478B">
            <w:pPr>
              <w:pStyle w:val="CETBodytext"/>
            </w:pPr>
            <w:r w:rsidRPr="0097478B">
              <w:t>Habit</w:t>
            </w:r>
          </w:p>
        </w:tc>
        <w:tc>
          <w:tcPr>
            <w:tcW w:w="1784" w:type="dxa"/>
            <w:gridSpan w:val="2"/>
            <w:tcBorders>
              <w:top w:val="single" w:sz="12" w:space="0" w:color="008000"/>
              <w:left w:val="nil"/>
              <w:bottom w:val="single" w:sz="6" w:space="0" w:color="008000"/>
              <w:right w:val="nil"/>
            </w:tcBorders>
            <w:shd w:val="clear" w:color="auto" w:fill="FFFFFF"/>
          </w:tcPr>
          <w:p w14:paraId="1F10DA5C" w14:textId="77777777" w:rsidR="00856E40" w:rsidRPr="0097478B" w:rsidRDefault="00856E40" w:rsidP="0097478B">
            <w:pPr>
              <w:pStyle w:val="CETBodytext"/>
            </w:pPr>
            <w:r w:rsidRPr="0097478B">
              <w:t>Family</w:t>
            </w:r>
          </w:p>
        </w:tc>
        <w:tc>
          <w:tcPr>
            <w:tcW w:w="2529" w:type="dxa"/>
            <w:gridSpan w:val="2"/>
            <w:tcBorders>
              <w:top w:val="single" w:sz="12" w:space="0" w:color="008000"/>
              <w:left w:val="nil"/>
              <w:bottom w:val="single" w:sz="6" w:space="0" w:color="008000"/>
              <w:right w:val="nil"/>
            </w:tcBorders>
            <w:shd w:val="clear" w:color="auto" w:fill="FFFFFF"/>
          </w:tcPr>
          <w:p w14:paraId="6495C154" w14:textId="77777777" w:rsidR="00856E40" w:rsidRPr="0097478B" w:rsidRDefault="00856E40" w:rsidP="0097478B">
            <w:pPr>
              <w:pStyle w:val="CETBodytext"/>
            </w:pPr>
            <w:r w:rsidRPr="0097478B">
              <w:t>Species</w:t>
            </w:r>
          </w:p>
        </w:tc>
        <w:tc>
          <w:tcPr>
            <w:tcW w:w="815" w:type="dxa"/>
            <w:gridSpan w:val="2"/>
            <w:tcBorders>
              <w:top w:val="single" w:sz="12" w:space="0" w:color="008000"/>
              <w:left w:val="nil"/>
              <w:bottom w:val="single" w:sz="6" w:space="0" w:color="008000"/>
              <w:right w:val="nil"/>
            </w:tcBorders>
            <w:shd w:val="clear" w:color="auto" w:fill="FFFFFF"/>
          </w:tcPr>
          <w:p w14:paraId="60269F69" w14:textId="77777777" w:rsidR="00856E40" w:rsidRPr="0097478B" w:rsidRDefault="00856E40" w:rsidP="0097478B">
            <w:pPr>
              <w:pStyle w:val="CETBodytext"/>
            </w:pPr>
            <w:r w:rsidRPr="0097478B">
              <w:t>Point</w:t>
            </w:r>
            <w:r w:rsidR="0099687E" w:rsidRPr="0097478B">
              <w:t xml:space="preserve"> </w:t>
            </w:r>
            <w:r w:rsidRPr="0097478B">
              <w:t>1</w:t>
            </w:r>
          </w:p>
        </w:tc>
        <w:tc>
          <w:tcPr>
            <w:tcW w:w="815" w:type="dxa"/>
            <w:tcBorders>
              <w:top w:val="single" w:sz="12" w:space="0" w:color="008000"/>
              <w:left w:val="nil"/>
              <w:bottom w:val="single" w:sz="6" w:space="0" w:color="008000"/>
              <w:right w:val="nil"/>
            </w:tcBorders>
            <w:shd w:val="clear" w:color="auto" w:fill="FFFFFF"/>
          </w:tcPr>
          <w:p w14:paraId="44BE6E90" w14:textId="77777777" w:rsidR="00856E40" w:rsidRPr="0097478B" w:rsidRDefault="00856E40" w:rsidP="0097478B">
            <w:pPr>
              <w:pStyle w:val="CETBodytext"/>
            </w:pPr>
            <w:r w:rsidRPr="0097478B">
              <w:t>Point 2</w:t>
            </w:r>
          </w:p>
        </w:tc>
        <w:tc>
          <w:tcPr>
            <w:tcW w:w="815" w:type="dxa"/>
            <w:tcBorders>
              <w:top w:val="single" w:sz="12" w:space="0" w:color="008000"/>
              <w:left w:val="nil"/>
              <w:bottom w:val="single" w:sz="6" w:space="0" w:color="008000"/>
              <w:right w:val="nil"/>
            </w:tcBorders>
            <w:shd w:val="clear" w:color="auto" w:fill="FFFFFF"/>
          </w:tcPr>
          <w:p w14:paraId="58A467F9" w14:textId="77777777" w:rsidR="00856E40" w:rsidRPr="0097478B" w:rsidRDefault="00856E40" w:rsidP="0097478B">
            <w:pPr>
              <w:pStyle w:val="CETBodytext"/>
            </w:pPr>
            <w:r w:rsidRPr="0097478B">
              <w:t>Point 3</w:t>
            </w:r>
          </w:p>
        </w:tc>
        <w:tc>
          <w:tcPr>
            <w:tcW w:w="815" w:type="dxa"/>
            <w:tcBorders>
              <w:top w:val="single" w:sz="12" w:space="0" w:color="008000"/>
              <w:left w:val="nil"/>
              <w:bottom w:val="single" w:sz="6" w:space="0" w:color="008000"/>
              <w:right w:val="nil"/>
            </w:tcBorders>
            <w:shd w:val="clear" w:color="auto" w:fill="FFFFFF"/>
          </w:tcPr>
          <w:p w14:paraId="3635973F" w14:textId="77777777" w:rsidR="00856E40" w:rsidRPr="0097478B" w:rsidRDefault="00856E40" w:rsidP="0097478B">
            <w:pPr>
              <w:pStyle w:val="CETBodytext"/>
            </w:pPr>
            <w:r w:rsidRPr="0097478B">
              <w:t>Point 4</w:t>
            </w:r>
          </w:p>
        </w:tc>
      </w:tr>
      <w:tr w:rsidR="00856E40" w:rsidRPr="00A34BFD" w14:paraId="6A841F25" w14:textId="77777777" w:rsidTr="006575DA">
        <w:tc>
          <w:tcPr>
            <w:tcW w:w="1216" w:type="dxa"/>
            <w:gridSpan w:val="2"/>
            <w:vMerge w:val="restart"/>
            <w:tcBorders>
              <w:top w:val="single" w:sz="6" w:space="0" w:color="008000"/>
              <w:left w:val="nil"/>
              <w:bottom w:val="nil"/>
              <w:right w:val="nil"/>
            </w:tcBorders>
            <w:shd w:val="clear" w:color="auto" w:fill="FFFFFF"/>
          </w:tcPr>
          <w:p w14:paraId="07FAA2B5" w14:textId="41F0A56F" w:rsidR="00856E40" w:rsidRPr="0097478B" w:rsidRDefault="008F115E" w:rsidP="0097478B">
            <w:pPr>
              <w:pStyle w:val="CETBodytext"/>
            </w:pPr>
            <w:r w:rsidRPr="0097478B">
              <w:t>Crusto</w:t>
            </w:r>
            <w:r w:rsidR="00382D14" w:rsidRPr="0097478B">
              <w:t>se</w:t>
            </w:r>
          </w:p>
        </w:tc>
        <w:tc>
          <w:tcPr>
            <w:tcW w:w="1784" w:type="dxa"/>
            <w:gridSpan w:val="2"/>
            <w:tcBorders>
              <w:top w:val="single" w:sz="6" w:space="0" w:color="008000"/>
              <w:left w:val="nil"/>
              <w:bottom w:val="nil"/>
              <w:right w:val="nil"/>
            </w:tcBorders>
            <w:shd w:val="clear" w:color="auto" w:fill="FFFFFF"/>
          </w:tcPr>
          <w:p w14:paraId="3540AB5B" w14:textId="77777777" w:rsidR="00856E40" w:rsidRPr="0097478B" w:rsidRDefault="00856E40" w:rsidP="0097478B">
            <w:pPr>
              <w:pStyle w:val="CETBodytext"/>
            </w:pPr>
            <w:r w:rsidRPr="0097478B">
              <w:t>Teloschistaceae</w:t>
            </w:r>
          </w:p>
        </w:tc>
        <w:tc>
          <w:tcPr>
            <w:tcW w:w="2529" w:type="dxa"/>
            <w:gridSpan w:val="2"/>
            <w:tcBorders>
              <w:top w:val="single" w:sz="6" w:space="0" w:color="008000"/>
              <w:left w:val="nil"/>
              <w:bottom w:val="nil"/>
              <w:right w:val="nil"/>
            </w:tcBorders>
            <w:shd w:val="clear" w:color="auto" w:fill="FFFFFF"/>
          </w:tcPr>
          <w:p w14:paraId="0CFAA558" w14:textId="77777777" w:rsidR="00856E40" w:rsidRPr="0097478B" w:rsidRDefault="00856E40" w:rsidP="0097478B">
            <w:pPr>
              <w:pStyle w:val="CETBodytext"/>
            </w:pPr>
            <w:r w:rsidRPr="0097478B">
              <w:t>Caloplaca crocea</w:t>
            </w:r>
          </w:p>
        </w:tc>
        <w:tc>
          <w:tcPr>
            <w:tcW w:w="815" w:type="dxa"/>
            <w:gridSpan w:val="2"/>
            <w:tcBorders>
              <w:top w:val="single" w:sz="6" w:space="0" w:color="008000"/>
              <w:left w:val="nil"/>
              <w:bottom w:val="nil"/>
              <w:right w:val="nil"/>
            </w:tcBorders>
            <w:shd w:val="clear" w:color="auto" w:fill="FFFFFF"/>
          </w:tcPr>
          <w:p w14:paraId="06A5C7EF" w14:textId="77777777" w:rsidR="00856E40" w:rsidRPr="0097478B" w:rsidRDefault="00856E40" w:rsidP="0097478B">
            <w:pPr>
              <w:pStyle w:val="CETBodytext"/>
            </w:pPr>
          </w:p>
        </w:tc>
        <w:tc>
          <w:tcPr>
            <w:tcW w:w="815" w:type="dxa"/>
            <w:tcBorders>
              <w:top w:val="single" w:sz="6" w:space="0" w:color="008000"/>
              <w:left w:val="nil"/>
              <w:bottom w:val="nil"/>
              <w:right w:val="nil"/>
            </w:tcBorders>
            <w:shd w:val="clear" w:color="auto" w:fill="FFFFFF"/>
          </w:tcPr>
          <w:p w14:paraId="20F3E0AF" w14:textId="77777777" w:rsidR="00856E40" w:rsidRPr="0097478B" w:rsidRDefault="00856E40" w:rsidP="0097478B">
            <w:pPr>
              <w:pStyle w:val="CETBodytext"/>
            </w:pPr>
          </w:p>
        </w:tc>
        <w:tc>
          <w:tcPr>
            <w:tcW w:w="815" w:type="dxa"/>
            <w:tcBorders>
              <w:top w:val="single" w:sz="6" w:space="0" w:color="008000"/>
              <w:left w:val="nil"/>
              <w:bottom w:val="nil"/>
              <w:right w:val="nil"/>
            </w:tcBorders>
            <w:shd w:val="clear" w:color="auto" w:fill="FFFFFF"/>
          </w:tcPr>
          <w:p w14:paraId="46FF70A4" w14:textId="77777777" w:rsidR="00856E40" w:rsidRPr="0097478B" w:rsidRDefault="00856E40" w:rsidP="0097478B">
            <w:pPr>
              <w:pStyle w:val="CETBodytext"/>
            </w:pPr>
          </w:p>
        </w:tc>
        <w:tc>
          <w:tcPr>
            <w:tcW w:w="815" w:type="dxa"/>
            <w:tcBorders>
              <w:top w:val="single" w:sz="6" w:space="0" w:color="008000"/>
              <w:left w:val="nil"/>
              <w:bottom w:val="nil"/>
              <w:right w:val="nil"/>
            </w:tcBorders>
            <w:shd w:val="clear" w:color="auto" w:fill="FFFFFF"/>
          </w:tcPr>
          <w:p w14:paraId="50911FF7" w14:textId="77777777" w:rsidR="00856E40" w:rsidRPr="0097478B" w:rsidRDefault="00856E40" w:rsidP="0097478B">
            <w:pPr>
              <w:pStyle w:val="CETBodytext"/>
            </w:pPr>
            <w:r w:rsidRPr="0097478B">
              <w:t>x</w:t>
            </w:r>
          </w:p>
        </w:tc>
      </w:tr>
      <w:tr w:rsidR="00856E40" w:rsidRPr="00A34BFD" w14:paraId="1F1C399B" w14:textId="77777777" w:rsidTr="006575DA">
        <w:tc>
          <w:tcPr>
            <w:tcW w:w="1216" w:type="dxa"/>
            <w:gridSpan w:val="2"/>
            <w:vMerge/>
            <w:tcBorders>
              <w:top w:val="nil"/>
              <w:left w:val="nil"/>
              <w:bottom w:val="nil"/>
              <w:right w:val="nil"/>
            </w:tcBorders>
            <w:shd w:val="clear" w:color="auto" w:fill="FFFFFF"/>
          </w:tcPr>
          <w:p w14:paraId="69ABB52A" w14:textId="77777777" w:rsidR="00856E40" w:rsidRPr="0097478B" w:rsidRDefault="00856E40" w:rsidP="0097478B">
            <w:pPr>
              <w:pStyle w:val="CETBodytext"/>
            </w:pPr>
          </w:p>
        </w:tc>
        <w:tc>
          <w:tcPr>
            <w:tcW w:w="1784" w:type="dxa"/>
            <w:gridSpan w:val="2"/>
            <w:tcBorders>
              <w:top w:val="nil"/>
              <w:left w:val="nil"/>
              <w:bottom w:val="nil"/>
              <w:right w:val="nil"/>
            </w:tcBorders>
            <w:shd w:val="clear" w:color="auto" w:fill="FFFFFF"/>
          </w:tcPr>
          <w:p w14:paraId="7B520D95" w14:textId="77777777" w:rsidR="00856E40" w:rsidRPr="0097478B" w:rsidRDefault="00856E40" w:rsidP="0097478B">
            <w:pPr>
              <w:pStyle w:val="CETBodytext"/>
            </w:pPr>
            <w:r w:rsidRPr="0097478B">
              <w:t>Collemataceae</w:t>
            </w:r>
          </w:p>
        </w:tc>
        <w:tc>
          <w:tcPr>
            <w:tcW w:w="2529" w:type="dxa"/>
            <w:gridSpan w:val="2"/>
            <w:tcBorders>
              <w:top w:val="nil"/>
              <w:left w:val="nil"/>
              <w:bottom w:val="nil"/>
              <w:right w:val="nil"/>
            </w:tcBorders>
            <w:shd w:val="clear" w:color="auto" w:fill="FFFFFF"/>
          </w:tcPr>
          <w:p w14:paraId="15DFFA9A" w14:textId="77777777" w:rsidR="00856E40" w:rsidRPr="0097478B" w:rsidRDefault="00856E40" w:rsidP="0097478B">
            <w:pPr>
              <w:pStyle w:val="CETBodytext"/>
            </w:pPr>
            <w:r w:rsidRPr="0097478B">
              <w:t>Collema sp.</w:t>
            </w:r>
          </w:p>
        </w:tc>
        <w:tc>
          <w:tcPr>
            <w:tcW w:w="815" w:type="dxa"/>
            <w:gridSpan w:val="2"/>
            <w:tcBorders>
              <w:top w:val="nil"/>
              <w:left w:val="nil"/>
              <w:bottom w:val="nil"/>
              <w:right w:val="nil"/>
            </w:tcBorders>
            <w:shd w:val="clear" w:color="auto" w:fill="FFFFFF"/>
          </w:tcPr>
          <w:p w14:paraId="4C9DA7F5" w14:textId="77777777" w:rsidR="00856E40" w:rsidRPr="0097478B" w:rsidRDefault="00856E40" w:rsidP="0097478B">
            <w:pPr>
              <w:pStyle w:val="CETBodytext"/>
            </w:pPr>
          </w:p>
        </w:tc>
        <w:tc>
          <w:tcPr>
            <w:tcW w:w="815" w:type="dxa"/>
            <w:tcBorders>
              <w:top w:val="nil"/>
              <w:left w:val="nil"/>
              <w:bottom w:val="nil"/>
              <w:right w:val="nil"/>
            </w:tcBorders>
            <w:shd w:val="clear" w:color="auto" w:fill="FFFFFF"/>
          </w:tcPr>
          <w:p w14:paraId="57413CD1" w14:textId="77777777" w:rsidR="00856E40" w:rsidRPr="0097478B" w:rsidRDefault="00856E40" w:rsidP="0097478B">
            <w:pPr>
              <w:pStyle w:val="CETBodytext"/>
            </w:pPr>
          </w:p>
        </w:tc>
        <w:tc>
          <w:tcPr>
            <w:tcW w:w="815" w:type="dxa"/>
            <w:tcBorders>
              <w:top w:val="nil"/>
              <w:left w:val="nil"/>
              <w:bottom w:val="nil"/>
              <w:right w:val="nil"/>
            </w:tcBorders>
            <w:shd w:val="clear" w:color="auto" w:fill="FFFFFF"/>
          </w:tcPr>
          <w:p w14:paraId="7CC6FD75" w14:textId="77777777" w:rsidR="00856E40" w:rsidRPr="0097478B" w:rsidRDefault="00856E40" w:rsidP="0097478B">
            <w:pPr>
              <w:pStyle w:val="CETBodytext"/>
            </w:pPr>
            <w:r w:rsidRPr="0097478B">
              <w:t>x</w:t>
            </w:r>
          </w:p>
        </w:tc>
        <w:tc>
          <w:tcPr>
            <w:tcW w:w="815" w:type="dxa"/>
            <w:tcBorders>
              <w:top w:val="nil"/>
              <w:left w:val="nil"/>
              <w:bottom w:val="nil"/>
              <w:right w:val="nil"/>
            </w:tcBorders>
            <w:shd w:val="clear" w:color="auto" w:fill="FFFFFF"/>
          </w:tcPr>
          <w:p w14:paraId="78F6620B" w14:textId="77777777" w:rsidR="00856E40" w:rsidRPr="0097478B" w:rsidRDefault="00856E40" w:rsidP="0097478B">
            <w:pPr>
              <w:pStyle w:val="CETBodytext"/>
            </w:pPr>
          </w:p>
        </w:tc>
      </w:tr>
      <w:tr w:rsidR="00856E40" w:rsidRPr="00A34BFD" w14:paraId="3ED5DB37" w14:textId="77777777" w:rsidTr="006575DA">
        <w:tc>
          <w:tcPr>
            <w:tcW w:w="1216" w:type="dxa"/>
            <w:gridSpan w:val="2"/>
            <w:vMerge/>
            <w:tcBorders>
              <w:top w:val="nil"/>
              <w:left w:val="nil"/>
              <w:bottom w:val="nil"/>
              <w:right w:val="nil"/>
            </w:tcBorders>
            <w:shd w:val="clear" w:color="auto" w:fill="FFFFFF"/>
          </w:tcPr>
          <w:p w14:paraId="18DAC1A8" w14:textId="77777777" w:rsidR="00856E40" w:rsidRPr="0097478B" w:rsidRDefault="00856E40" w:rsidP="0097478B">
            <w:pPr>
              <w:pStyle w:val="CETBodytext"/>
            </w:pPr>
          </w:p>
        </w:tc>
        <w:tc>
          <w:tcPr>
            <w:tcW w:w="1784" w:type="dxa"/>
            <w:gridSpan w:val="2"/>
            <w:tcBorders>
              <w:top w:val="nil"/>
              <w:left w:val="nil"/>
              <w:bottom w:val="nil"/>
              <w:right w:val="nil"/>
            </w:tcBorders>
            <w:shd w:val="clear" w:color="auto" w:fill="FFFFFF"/>
          </w:tcPr>
          <w:p w14:paraId="1B441569" w14:textId="77777777" w:rsidR="00856E40" w:rsidRPr="0097478B" w:rsidRDefault="00856E40" w:rsidP="0097478B">
            <w:pPr>
              <w:pStyle w:val="CETBodytext"/>
            </w:pPr>
            <w:r w:rsidRPr="0097478B">
              <w:t>Arthoniaceae</w:t>
            </w:r>
          </w:p>
        </w:tc>
        <w:tc>
          <w:tcPr>
            <w:tcW w:w="2529" w:type="dxa"/>
            <w:gridSpan w:val="2"/>
            <w:tcBorders>
              <w:top w:val="nil"/>
              <w:left w:val="nil"/>
              <w:bottom w:val="nil"/>
              <w:right w:val="nil"/>
            </w:tcBorders>
            <w:shd w:val="clear" w:color="auto" w:fill="FFFFFF"/>
          </w:tcPr>
          <w:p w14:paraId="1DF62CA5" w14:textId="77777777" w:rsidR="00856E40" w:rsidRPr="0097478B" w:rsidRDefault="00856E40" w:rsidP="0097478B">
            <w:pPr>
              <w:pStyle w:val="CETBodytext"/>
            </w:pPr>
            <w:r w:rsidRPr="0097478B">
              <w:t>Cryptothecia rubrocincta</w:t>
            </w:r>
          </w:p>
        </w:tc>
        <w:tc>
          <w:tcPr>
            <w:tcW w:w="815" w:type="dxa"/>
            <w:gridSpan w:val="2"/>
            <w:tcBorders>
              <w:top w:val="nil"/>
              <w:left w:val="nil"/>
              <w:bottom w:val="nil"/>
              <w:right w:val="nil"/>
            </w:tcBorders>
            <w:shd w:val="clear" w:color="auto" w:fill="FFFFFF"/>
          </w:tcPr>
          <w:p w14:paraId="081B8512" w14:textId="77777777" w:rsidR="00856E40" w:rsidRPr="0097478B" w:rsidRDefault="00856E40" w:rsidP="0097478B">
            <w:pPr>
              <w:pStyle w:val="CETBodytext"/>
            </w:pPr>
          </w:p>
        </w:tc>
        <w:tc>
          <w:tcPr>
            <w:tcW w:w="815" w:type="dxa"/>
            <w:tcBorders>
              <w:top w:val="nil"/>
              <w:left w:val="nil"/>
              <w:bottom w:val="nil"/>
              <w:right w:val="nil"/>
            </w:tcBorders>
            <w:shd w:val="clear" w:color="auto" w:fill="FFFFFF"/>
          </w:tcPr>
          <w:p w14:paraId="22CCAFD3" w14:textId="77777777" w:rsidR="00856E40" w:rsidRPr="0097478B" w:rsidRDefault="00856E40" w:rsidP="0097478B">
            <w:pPr>
              <w:pStyle w:val="CETBodytext"/>
            </w:pPr>
          </w:p>
        </w:tc>
        <w:tc>
          <w:tcPr>
            <w:tcW w:w="815" w:type="dxa"/>
            <w:tcBorders>
              <w:top w:val="nil"/>
              <w:left w:val="nil"/>
              <w:bottom w:val="nil"/>
              <w:right w:val="nil"/>
            </w:tcBorders>
            <w:shd w:val="clear" w:color="auto" w:fill="FFFFFF"/>
          </w:tcPr>
          <w:p w14:paraId="2181F28B" w14:textId="77777777" w:rsidR="00856E40" w:rsidRPr="0097478B" w:rsidRDefault="00856E40" w:rsidP="0097478B">
            <w:pPr>
              <w:pStyle w:val="CETBodytext"/>
            </w:pPr>
          </w:p>
        </w:tc>
        <w:tc>
          <w:tcPr>
            <w:tcW w:w="815" w:type="dxa"/>
            <w:tcBorders>
              <w:top w:val="nil"/>
              <w:left w:val="nil"/>
              <w:bottom w:val="nil"/>
              <w:right w:val="nil"/>
            </w:tcBorders>
            <w:shd w:val="clear" w:color="auto" w:fill="FFFFFF"/>
          </w:tcPr>
          <w:p w14:paraId="11427D84" w14:textId="77777777" w:rsidR="00856E40" w:rsidRPr="0097478B" w:rsidRDefault="00856E40" w:rsidP="0097478B">
            <w:pPr>
              <w:pStyle w:val="CETBodytext"/>
            </w:pPr>
            <w:r w:rsidRPr="0097478B">
              <w:t>x</w:t>
            </w:r>
          </w:p>
        </w:tc>
      </w:tr>
      <w:tr w:rsidR="00856E40" w:rsidRPr="00A34BFD" w14:paraId="72E7D478" w14:textId="77777777" w:rsidTr="006575DA">
        <w:tc>
          <w:tcPr>
            <w:tcW w:w="1216" w:type="dxa"/>
            <w:gridSpan w:val="2"/>
            <w:vMerge/>
            <w:tcBorders>
              <w:top w:val="nil"/>
              <w:left w:val="nil"/>
              <w:bottom w:val="nil"/>
              <w:right w:val="nil"/>
            </w:tcBorders>
            <w:shd w:val="clear" w:color="auto" w:fill="FFFFFF"/>
          </w:tcPr>
          <w:p w14:paraId="2D47918B" w14:textId="77777777" w:rsidR="00856E40" w:rsidRPr="0097478B" w:rsidRDefault="00856E40" w:rsidP="0097478B">
            <w:pPr>
              <w:pStyle w:val="CETBodytext"/>
            </w:pPr>
          </w:p>
        </w:tc>
        <w:tc>
          <w:tcPr>
            <w:tcW w:w="1784" w:type="dxa"/>
            <w:gridSpan w:val="2"/>
            <w:tcBorders>
              <w:top w:val="nil"/>
              <w:left w:val="nil"/>
              <w:bottom w:val="nil"/>
              <w:right w:val="nil"/>
            </w:tcBorders>
            <w:shd w:val="clear" w:color="auto" w:fill="FFFFFF"/>
          </w:tcPr>
          <w:p w14:paraId="2DA73CB1" w14:textId="77777777" w:rsidR="00856E40" w:rsidRPr="0097478B" w:rsidRDefault="00856E40" w:rsidP="0097478B">
            <w:pPr>
              <w:pStyle w:val="CETBodytext"/>
            </w:pPr>
            <w:r w:rsidRPr="0097478B">
              <w:t>Arthoniaceae</w:t>
            </w:r>
          </w:p>
        </w:tc>
        <w:tc>
          <w:tcPr>
            <w:tcW w:w="2529" w:type="dxa"/>
            <w:gridSpan w:val="2"/>
            <w:tcBorders>
              <w:top w:val="nil"/>
              <w:left w:val="nil"/>
              <w:bottom w:val="nil"/>
              <w:right w:val="nil"/>
            </w:tcBorders>
            <w:shd w:val="clear" w:color="auto" w:fill="FFFFFF"/>
          </w:tcPr>
          <w:p w14:paraId="03D018D0" w14:textId="77777777" w:rsidR="00856E40" w:rsidRPr="0097478B" w:rsidRDefault="00856E40" w:rsidP="0097478B">
            <w:pPr>
              <w:pStyle w:val="CETBodytext"/>
            </w:pPr>
            <w:r w:rsidRPr="0097478B">
              <w:t>Cryptothecia sp1</w:t>
            </w:r>
          </w:p>
        </w:tc>
        <w:tc>
          <w:tcPr>
            <w:tcW w:w="815" w:type="dxa"/>
            <w:gridSpan w:val="2"/>
            <w:tcBorders>
              <w:top w:val="nil"/>
              <w:left w:val="nil"/>
              <w:bottom w:val="nil"/>
              <w:right w:val="nil"/>
            </w:tcBorders>
            <w:shd w:val="clear" w:color="auto" w:fill="FFFFFF"/>
          </w:tcPr>
          <w:p w14:paraId="6154941D" w14:textId="77777777" w:rsidR="00856E40" w:rsidRPr="0097478B" w:rsidRDefault="00856E40" w:rsidP="0097478B">
            <w:pPr>
              <w:pStyle w:val="CETBodytext"/>
            </w:pPr>
            <w:r w:rsidRPr="0097478B">
              <w:t>x</w:t>
            </w:r>
          </w:p>
        </w:tc>
        <w:tc>
          <w:tcPr>
            <w:tcW w:w="815" w:type="dxa"/>
            <w:tcBorders>
              <w:top w:val="nil"/>
              <w:left w:val="nil"/>
              <w:bottom w:val="nil"/>
              <w:right w:val="nil"/>
            </w:tcBorders>
            <w:shd w:val="clear" w:color="auto" w:fill="FFFFFF"/>
          </w:tcPr>
          <w:p w14:paraId="04C3115A" w14:textId="77777777" w:rsidR="00856E40" w:rsidRPr="0097478B" w:rsidRDefault="00856E40" w:rsidP="0097478B">
            <w:pPr>
              <w:pStyle w:val="CETBodytext"/>
            </w:pPr>
            <w:r w:rsidRPr="0097478B">
              <w:t>x</w:t>
            </w:r>
          </w:p>
        </w:tc>
        <w:tc>
          <w:tcPr>
            <w:tcW w:w="815" w:type="dxa"/>
            <w:tcBorders>
              <w:top w:val="nil"/>
              <w:left w:val="nil"/>
              <w:bottom w:val="nil"/>
              <w:right w:val="nil"/>
            </w:tcBorders>
            <w:shd w:val="clear" w:color="auto" w:fill="FFFFFF"/>
          </w:tcPr>
          <w:p w14:paraId="4A7D63FD" w14:textId="77777777" w:rsidR="00856E40" w:rsidRPr="0097478B" w:rsidRDefault="00856E40" w:rsidP="0097478B">
            <w:pPr>
              <w:pStyle w:val="CETBodytext"/>
            </w:pPr>
            <w:r w:rsidRPr="0097478B">
              <w:t>x</w:t>
            </w:r>
          </w:p>
        </w:tc>
        <w:tc>
          <w:tcPr>
            <w:tcW w:w="815" w:type="dxa"/>
            <w:tcBorders>
              <w:top w:val="nil"/>
              <w:left w:val="nil"/>
              <w:bottom w:val="nil"/>
              <w:right w:val="nil"/>
            </w:tcBorders>
            <w:shd w:val="clear" w:color="auto" w:fill="FFFFFF"/>
          </w:tcPr>
          <w:p w14:paraId="4771C6E3" w14:textId="77777777" w:rsidR="00856E40" w:rsidRPr="0097478B" w:rsidRDefault="00856E40" w:rsidP="0097478B">
            <w:pPr>
              <w:pStyle w:val="CETBodytext"/>
            </w:pPr>
            <w:r w:rsidRPr="0097478B">
              <w:t>x</w:t>
            </w:r>
          </w:p>
        </w:tc>
      </w:tr>
      <w:tr w:rsidR="00856E40" w:rsidRPr="00A34BFD" w14:paraId="19F7898C" w14:textId="77777777" w:rsidTr="006575DA">
        <w:tc>
          <w:tcPr>
            <w:tcW w:w="1216" w:type="dxa"/>
            <w:gridSpan w:val="2"/>
            <w:vMerge/>
            <w:tcBorders>
              <w:top w:val="nil"/>
              <w:left w:val="nil"/>
              <w:bottom w:val="nil"/>
              <w:right w:val="nil"/>
            </w:tcBorders>
            <w:shd w:val="clear" w:color="auto" w:fill="FFFFFF"/>
          </w:tcPr>
          <w:p w14:paraId="42CEEFE9" w14:textId="77777777" w:rsidR="00856E40" w:rsidRPr="0097478B" w:rsidRDefault="00856E40" w:rsidP="0097478B">
            <w:pPr>
              <w:pStyle w:val="CETBodytext"/>
            </w:pPr>
          </w:p>
        </w:tc>
        <w:tc>
          <w:tcPr>
            <w:tcW w:w="1784" w:type="dxa"/>
            <w:gridSpan w:val="2"/>
            <w:tcBorders>
              <w:top w:val="nil"/>
              <w:left w:val="nil"/>
              <w:bottom w:val="nil"/>
              <w:right w:val="nil"/>
            </w:tcBorders>
            <w:shd w:val="clear" w:color="auto" w:fill="FFFFFF"/>
          </w:tcPr>
          <w:p w14:paraId="17D6A247" w14:textId="77777777" w:rsidR="00856E40" w:rsidRPr="0097478B" w:rsidRDefault="00856E40" w:rsidP="0097478B">
            <w:pPr>
              <w:pStyle w:val="CETBodytext"/>
            </w:pPr>
            <w:r w:rsidRPr="0097478B">
              <w:t>Arthoniaceae</w:t>
            </w:r>
          </w:p>
        </w:tc>
        <w:tc>
          <w:tcPr>
            <w:tcW w:w="2529" w:type="dxa"/>
            <w:gridSpan w:val="2"/>
            <w:tcBorders>
              <w:top w:val="nil"/>
              <w:left w:val="nil"/>
              <w:bottom w:val="nil"/>
              <w:right w:val="nil"/>
            </w:tcBorders>
            <w:shd w:val="clear" w:color="auto" w:fill="FFFFFF"/>
          </w:tcPr>
          <w:p w14:paraId="201C2F19" w14:textId="77777777" w:rsidR="00856E40" w:rsidRPr="0097478B" w:rsidRDefault="00856E40" w:rsidP="0097478B">
            <w:pPr>
              <w:pStyle w:val="CETBodytext"/>
            </w:pPr>
            <w:r w:rsidRPr="0097478B">
              <w:t>Cryptothecia sp2</w:t>
            </w:r>
          </w:p>
        </w:tc>
        <w:tc>
          <w:tcPr>
            <w:tcW w:w="815" w:type="dxa"/>
            <w:gridSpan w:val="2"/>
            <w:tcBorders>
              <w:top w:val="nil"/>
              <w:left w:val="nil"/>
              <w:bottom w:val="nil"/>
              <w:right w:val="nil"/>
            </w:tcBorders>
            <w:shd w:val="clear" w:color="auto" w:fill="FFFFFF"/>
          </w:tcPr>
          <w:p w14:paraId="7447997C" w14:textId="77777777" w:rsidR="00856E40" w:rsidRPr="0097478B" w:rsidRDefault="00856E40" w:rsidP="0097478B">
            <w:pPr>
              <w:pStyle w:val="CETBodytext"/>
            </w:pPr>
            <w:r w:rsidRPr="0097478B">
              <w:t>x</w:t>
            </w:r>
          </w:p>
        </w:tc>
        <w:tc>
          <w:tcPr>
            <w:tcW w:w="815" w:type="dxa"/>
            <w:tcBorders>
              <w:top w:val="nil"/>
              <w:left w:val="nil"/>
              <w:bottom w:val="nil"/>
              <w:right w:val="nil"/>
            </w:tcBorders>
            <w:shd w:val="clear" w:color="auto" w:fill="FFFFFF"/>
          </w:tcPr>
          <w:p w14:paraId="79D82E38" w14:textId="77777777" w:rsidR="00856E40" w:rsidRPr="0097478B" w:rsidRDefault="00856E40" w:rsidP="0097478B">
            <w:pPr>
              <w:pStyle w:val="CETBodytext"/>
            </w:pPr>
            <w:r w:rsidRPr="0097478B">
              <w:t>x</w:t>
            </w:r>
          </w:p>
        </w:tc>
        <w:tc>
          <w:tcPr>
            <w:tcW w:w="815" w:type="dxa"/>
            <w:tcBorders>
              <w:top w:val="nil"/>
              <w:left w:val="nil"/>
              <w:bottom w:val="nil"/>
              <w:right w:val="nil"/>
            </w:tcBorders>
            <w:shd w:val="clear" w:color="auto" w:fill="FFFFFF"/>
          </w:tcPr>
          <w:p w14:paraId="75720411" w14:textId="77777777" w:rsidR="00856E40" w:rsidRPr="0097478B" w:rsidRDefault="00856E40" w:rsidP="0097478B">
            <w:pPr>
              <w:pStyle w:val="CETBodytext"/>
            </w:pPr>
            <w:r w:rsidRPr="0097478B">
              <w:t>x</w:t>
            </w:r>
          </w:p>
        </w:tc>
        <w:tc>
          <w:tcPr>
            <w:tcW w:w="815" w:type="dxa"/>
            <w:tcBorders>
              <w:top w:val="nil"/>
              <w:left w:val="nil"/>
              <w:bottom w:val="nil"/>
              <w:right w:val="nil"/>
            </w:tcBorders>
            <w:shd w:val="clear" w:color="auto" w:fill="FFFFFF"/>
          </w:tcPr>
          <w:p w14:paraId="3212E568" w14:textId="77777777" w:rsidR="00856E40" w:rsidRPr="0097478B" w:rsidRDefault="00856E40" w:rsidP="0097478B">
            <w:pPr>
              <w:pStyle w:val="CETBodytext"/>
            </w:pPr>
            <w:r w:rsidRPr="0097478B">
              <w:t>x</w:t>
            </w:r>
          </w:p>
        </w:tc>
      </w:tr>
      <w:tr w:rsidR="00856E40" w:rsidRPr="00A34BFD" w14:paraId="7ACF76B0" w14:textId="77777777" w:rsidTr="006575DA">
        <w:tc>
          <w:tcPr>
            <w:tcW w:w="1216" w:type="dxa"/>
            <w:gridSpan w:val="2"/>
            <w:vMerge/>
            <w:tcBorders>
              <w:top w:val="nil"/>
              <w:left w:val="nil"/>
              <w:bottom w:val="single" w:sz="6" w:space="0" w:color="008000"/>
              <w:right w:val="nil"/>
            </w:tcBorders>
            <w:shd w:val="clear" w:color="auto" w:fill="FFFFFF"/>
          </w:tcPr>
          <w:p w14:paraId="48646D44" w14:textId="77777777" w:rsidR="00856E40" w:rsidRPr="0097478B" w:rsidRDefault="00856E40" w:rsidP="0097478B">
            <w:pPr>
              <w:pStyle w:val="CETBodytext"/>
            </w:pPr>
          </w:p>
        </w:tc>
        <w:tc>
          <w:tcPr>
            <w:tcW w:w="1784" w:type="dxa"/>
            <w:gridSpan w:val="2"/>
            <w:tcBorders>
              <w:top w:val="nil"/>
              <w:left w:val="nil"/>
              <w:bottom w:val="single" w:sz="6" w:space="0" w:color="008000"/>
              <w:right w:val="nil"/>
            </w:tcBorders>
            <w:shd w:val="clear" w:color="auto" w:fill="FFFFFF"/>
          </w:tcPr>
          <w:p w14:paraId="4FC0A664" w14:textId="77777777" w:rsidR="00856E40" w:rsidRPr="0097478B" w:rsidRDefault="00856E40" w:rsidP="0097478B">
            <w:pPr>
              <w:pStyle w:val="CETBodytext"/>
            </w:pPr>
            <w:r w:rsidRPr="0097478B">
              <w:t>Graphidaceae</w:t>
            </w:r>
          </w:p>
        </w:tc>
        <w:tc>
          <w:tcPr>
            <w:tcW w:w="2529" w:type="dxa"/>
            <w:gridSpan w:val="2"/>
            <w:tcBorders>
              <w:top w:val="nil"/>
              <w:left w:val="nil"/>
              <w:bottom w:val="single" w:sz="6" w:space="0" w:color="008000"/>
              <w:right w:val="nil"/>
            </w:tcBorders>
            <w:shd w:val="clear" w:color="auto" w:fill="FFFFFF"/>
          </w:tcPr>
          <w:p w14:paraId="2CBC1841" w14:textId="77777777" w:rsidR="00856E40" w:rsidRPr="0097478B" w:rsidRDefault="00856E40" w:rsidP="0097478B">
            <w:pPr>
              <w:pStyle w:val="CETBodytext"/>
            </w:pPr>
            <w:r w:rsidRPr="0097478B">
              <w:t>Graphis sp.</w:t>
            </w:r>
          </w:p>
        </w:tc>
        <w:tc>
          <w:tcPr>
            <w:tcW w:w="815" w:type="dxa"/>
            <w:gridSpan w:val="2"/>
            <w:tcBorders>
              <w:top w:val="nil"/>
              <w:left w:val="nil"/>
              <w:bottom w:val="single" w:sz="6" w:space="0" w:color="008000"/>
              <w:right w:val="nil"/>
            </w:tcBorders>
            <w:shd w:val="clear" w:color="auto" w:fill="FFFFFF"/>
          </w:tcPr>
          <w:p w14:paraId="46FB4BDB" w14:textId="77777777" w:rsidR="00856E40" w:rsidRPr="0097478B" w:rsidRDefault="00856E40" w:rsidP="0097478B">
            <w:pPr>
              <w:pStyle w:val="CETBodytext"/>
            </w:pPr>
          </w:p>
        </w:tc>
        <w:tc>
          <w:tcPr>
            <w:tcW w:w="815" w:type="dxa"/>
            <w:tcBorders>
              <w:top w:val="nil"/>
              <w:left w:val="nil"/>
              <w:bottom w:val="single" w:sz="6" w:space="0" w:color="008000"/>
              <w:right w:val="nil"/>
            </w:tcBorders>
            <w:shd w:val="clear" w:color="auto" w:fill="FFFFFF"/>
          </w:tcPr>
          <w:p w14:paraId="3199ED05" w14:textId="77777777" w:rsidR="00856E40" w:rsidRPr="0097478B" w:rsidRDefault="00856E40" w:rsidP="0097478B">
            <w:pPr>
              <w:pStyle w:val="CETBodytext"/>
            </w:pPr>
          </w:p>
        </w:tc>
        <w:tc>
          <w:tcPr>
            <w:tcW w:w="815" w:type="dxa"/>
            <w:tcBorders>
              <w:top w:val="nil"/>
              <w:left w:val="nil"/>
              <w:bottom w:val="single" w:sz="6" w:space="0" w:color="008000"/>
              <w:right w:val="nil"/>
            </w:tcBorders>
            <w:shd w:val="clear" w:color="auto" w:fill="FFFFFF"/>
          </w:tcPr>
          <w:p w14:paraId="7926B832" w14:textId="77777777" w:rsidR="00856E40" w:rsidRPr="0097478B" w:rsidRDefault="00856E40" w:rsidP="0097478B">
            <w:pPr>
              <w:pStyle w:val="CETBodytext"/>
            </w:pPr>
            <w:r w:rsidRPr="0097478B">
              <w:t>x</w:t>
            </w:r>
          </w:p>
        </w:tc>
        <w:tc>
          <w:tcPr>
            <w:tcW w:w="815" w:type="dxa"/>
            <w:tcBorders>
              <w:top w:val="nil"/>
              <w:left w:val="nil"/>
              <w:bottom w:val="single" w:sz="6" w:space="0" w:color="008000"/>
              <w:right w:val="nil"/>
            </w:tcBorders>
            <w:shd w:val="clear" w:color="auto" w:fill="FFFFFF"/>
          </w:tcPr>
          <w:p w14:paraId="5D755F22" w14:textId="77777777" w:rsidR="00856E40" w:rsidRPr="0097478B" w:rsidRDefault="00856E40" w:rsidP="0097478B">
            <w:pPr>
              <w:pStyle w:val="CETBodytext"/>
            </w:pPr>
            <w:r w:rsidRPr="0097478B">
              <w:t>x</w:t>
            </w:r>
          </w:p>
        </w:tc>
      </w:tr>
      <w:tr w:rsidR="00856E40" w:rsidRPr="00A34BFD" w14:paraId="50674372" w14:textId="77777777" w:rsidTr="006575DA">
        <w:tc>
          <w:tcPr>
            <w:tcW w:w="1216" w:type="dxa"/>
            <w:gridSpan w:val="2"/>
            <w:vMerge w:val="restart"/>
            <w:tcBorders>
              <w:top w:val="single" w:sz="6" w:space="0" w:color="008000"/>
              <w:left w:val="nil"/>
              <w:bottom w:val="nil"/>
              <w:right w:val="nil"/>
            </w:tcBorders>
            <w:shd w:val="clear" w:color="auto" w:fill="FFFFFF"/>
          </w:tcPr>
          <w:p w14:paraId="040927E4" w14:textId="527EA474" w:rsidR="00856E40" w:rsidRPr="0097478B" w:rsidRDefault="00856E40" w:rsidP="0097478B">
            <w:pPr>
              <w:pStyle w:val="CETBodytext"/>
            </w:pPr>
            <w:r w:rsidRPr="0097478B">
              <w:t>Fol</w:t>
            </w:r>
            <w:r w:rsidR="00990330" w:rsidRPr="0097478B">
              <w:t>iose</w:t>
            </w:r>
          </w:p>
        </w:tc>
        <w:tc>
          <w:tcPr>
            <w:tcW w:w="1784" w:type="dxa"/>
            <w:gridSpan w:val="2"/>
            <w:tcBorders>
              <w:top w:val="single" w:sz="6" w:space="0" w:color="008000"/>
              <w:left w:val="nil"/>
              <w:bottom w:val="nil"/>
              <w:right w:val="nil"/>
            </w:tcBorders>
            <w:shd w:val="clear" w:color="auto" w:fill="FFFFFF"/>
          </w:tcPr>
          <w:p w14:paraId="6E4C034F" w14:textId="77777777" w:rsidR="00856E40" w:rsidRPr="0097478B" w:rsidRDefault="00856E40" w:rsidP="0097478B">
            <w:pPr>
              <w:pStyle w:val="CETBodytext"/>
            </w:pPr>
            <w:r w:rsidRPr="0097478B">
              <w:t>Candelariaceae</w:t>
            </w:r>
          </w:p>
        </w:tc>
        <w:tc>
          <w:tcPr>
            <w:tcW w:w="2529" w:type="dxa"/>
            <w:gridSpan w:val="2"/>
            <w:tcBorders>
              <w:top w:val="single" w:sz="6" w:space="0" w:color="008000"/>
              <w:left w:val="nil"/>
              <w:bottom w:val="nil"/>
              <w:right w:val="nil"/>
            </w:tcBorders>
            <w:shd w:val="clear" w:color="auto" w:fill="FFFFFF"/>
          </w:tcPr>
          <w:p w14:paraId="7527D15A" w14:textId="77777777" w:rsidR="00856E40" w:rsidRPr="0097478B" w:rsidRDefault="00856E40" w:rsidP="0097478B">
            <w:pPr>
              <w:pStyle w:val="CETBodytext"/>
            </w:pPr>
            <w:r w:rsidRPr="0097478B">
              <w:t>Candelaria concolor</w:t>
            </w:r>
          </w:p>
        </w:tc>
        <w:tc>
          <w:tcPr>
            <w:tcW w:w="815" w:type="dxa"/>
            <w:gridSpan w:val="2"/>
            <w:tcBorders>
              <w:top w:val="single" w:sz="6" w:space="0" w:color="008000"/>
              <w:left w:val="nil"/>
              <w:bottom w:val="nil"/>
              <w:right w:val="nil"/>
            </w:tcBorders>
            <w:shd w:val="clear" w:color="auto" w:fill="FFFFFF"/>
          </w:tcPr>
          <w:p w14:paraId="13975A04" w14:textId="77777777" w:rsidR="00856E40" w:rsidRPr="0097478B" w:rsidRDefault="00856E40" w:rsidP="0097478B">
            <w:pPr>
              <w:pStyle w:val="CETBodytext"/>
            </w:pPr>
            <w:r w:rsidRPr="0097478B">
              <w:t>x</w:t>
            </w:r>
          </w:p>
        </w:tc>
        <w:tc>
          <w:tcPr>
            <w:tcW w:w="815" w:type="dxa"/>
            <w:tcBorders>
              <w:top w:val="single" w:sz="6" w:space="0" w:color="008000"/>
              <w:left w:val="nil"/>
              <w:bottom w:val="nil"/>
              <w:right w:val="nil"/>
            </w:tcBorders>
            <w:shd w:val="clear" w:color="auto" w:fill="FFFFFF"/>
          </w:tcPr>
          <w:p w14:paraId="306509B8" w14:textId="77777777" w:rsidR="00856E40" w:rsidRPr="0097478B" w:rsidRDefault="00856E40" w:rsidP="0097478B">
            <w:pPr>
              <w:pStyle w:val="CETBodytext"/>
            </w:pPr>
            <w:r w:rsidRPr="0097478B">
              <w:t>x</w:t>
            </w:r>
          </w:p>
        </w:tc>
        <w:tc>
          <w:tcPr>
            <w:tcW w:w="815" w:type="dxa"/>
            <w:tcBorders>
              <w:top w:val="single" w:sz="6" w:space="0" w:color="008000"/>
              <w:left w:val="nil"/>
              <w:bottom w:val="nil"/>
              <w:right w:val="nil"/>
            </w:tcBorders>
            <w:shd w:val="clear" w:color="auto" w:fill="FFFFFF"/>
          </w:tcPr>
          <w:p w14:paraId="2F32AF83" w14:textId="77777777" w:rsidR="00856E40" w:rsidRPr="0097478B" w:rsidRDefault="00856E40" w:rsidP="0097478B">
            <w:pPr>
              <w:pStyle w:val="CETBodytext"/>
            </w:pPr>
            <w:r w:rsidRPr="0097478B">
              <w:t>x</w:t>
            </w:r>
          </w:p>
        </w:tc>
        <w:tc>
          <w:tcPr>
            <w:tcW w:w="815" w:type="dxa"/>
            <w:tcBorders>
              <w:top w:val="single" w:sz="6" w:space="0" w:color="008000"/>
              <w:left w:val="nil"/>
              <w:bottom w:val="nil"/>
              <w:right w:val="nil"/>
            </w:tcBorders>
            <w:shd w:val="clear" w:color="auto" w:fill="FFFFFF"/>
          </w:tcPr>
          <w:p w14:paraId="4683FBFF" w14:textId="77777777" w:rsidR="00856E40" w:rsidRPr="0097478B" w:rsidRDefault="00856E40" w:rsidP="0097478B">
            <w:pPr>
              <w:pStyle w:val="CETBodytext"/>
            </w:pPr>
            <w:r w:rsidRPr="0097478B">
              <w:t>x</w:t>
            </w:r>
          </w:p>
        </w:tc>
      </w:tr>
      <w:tr w:rsidR="00856E40" w:rsidRPr="00A34BFD" w14:paraId="7F2E336F" w14:textId="77777777" w:rsidTr="006575DA">
        <w:tc>
          <w:tcPr>
            <w:tcW w:w="1216" w:type="dxa"/>
            <w:gridSpan w:val="2"/>
            <w:vMerge/>
            <w:tcBorders>
              <w:top w:val="nil"/>
              <w:left w:val="nil"/>
              <w:right w:val="nil"/>
            </w:tcBorders>
            <w:shd w:val="clear" w:color="auto" w:fill="FFFFFF"/>
          </w:tcPr>
          <w:p w14:paraId="24935624" w14:textId="77777777" w:rsidR="00856E40" w:rsidRPr="0097478B" w:rsidRDefault="00856E40" w:rsidP="0097478B">
            <w:pPr>
              <w:pStyle w:val="CETBodytext"/>
            </w:pPr>
          </w:p>
        </w:tc>
        <w:tc>
          <w:tcPr>
            <w:tcW w:w="1784" w:type="dxa"/>
            <w:gridSpan w:val="2"/>
            <w:tcBorders>
              <w:top w:val="nil"/>
              <w:left w:val="nil"/>
              <w:bottom w:val="nil"/>
              <w:right w:val="nil"/>
            </w:tcBorders>
            <w:shd w:val="clear" w:color="auto" w:fill="FFFFFF"/>
          </w:tcPr>
          <w:p w14:paraId="435C61DE" w14:textId="77777777" w:rsidR="00856E40" w:rsidRPr="0097478B" w:rsidRDefault="00856E40" w:rsidP="0097478B">
            <w:pPr>
              <w:pStyle w:val="CETBodytext"/>
            </w:pPr>
            <w:r w:rsidRPr="0097478B">
              <w:t>Ramalinaceae</w:t>
            </w:r>
          </w:p>
        </w:tc>
        <w:tc>
          <w:tcPr>
            <w:tcW w:w="2529" w:type="dxa"/>
            <w:gridSpan w:val="2"/>
            <w:tcBorders>
              <w:top w:val="nil"/>
              <w:left w:val="nil"/>
              <w:bottom w:val="nil"/>
              <w:right w:val="nil"/>
            </w:tcBorders>
            <w:shd w:val="clear" w:color="auto" w:fill="FFFFFF"/>
          </w:tcPr>
          <w:p w14:paraId="4A2363BB" w14:textId="77777777" w:rsidR="00856E40" w:rsidRPr="0097478B" w:rsidRDefault="00856E40" w:rsidP="0097478B">
            <w:pPr>
              <w:pStyle w:val="CETBodytext"/>
            </w:pPr>
            <w:r w:rsidRPr="0097478B">
              <w:t>Crocynia pyxinoides</w:t>
            </w:r>
          </w:p>
        </w:tc>
        <w:tc>
          <w:tcPr>
            <w:tcW w:w="815" w:type="dxa"/>
            <w:gridSpan w:val="2"/>
            <w:tcBorders>
              <w:top w:val="nil"/>
              <w:left w:val="nil"/>
              <w:bottom w:val="nil"/>
              <w:right w:val="nil"/>
            </w:tcBorders>
            <w:shd w:val="clear" w:color="auto" w:fill="FFFFFF"/>
          </w:tcPr>
          <w:p w14:paraId="4AB5CDDB" w14:textId="77777777" w:rsidR="00856E40" w:rsidRPr="0097478B" w:rsidRDefault="00856E40" w:rsidP="0097478B">
            <w:pPr>
              <w:pStyle w:val="CETBodytext"/>
            </w:pPr>
            <w:r w:rsidRPr="0097478B">
              <w:t>x</w:t>
            </w:r>
          </w:p>
        </w:tc>
        <w:tc>
          <w:tcPr>
            <w:tcW w:w="815" w:type="dxa"/>
            <w:tcBorders>
              <w:top w:val="nil"/>
              <w:left w:val="nil"/>
              <w:bottom w:val="nil"/>
              <w:right w:val="nil"/>
            </w:tcBorders>
            <w:shd w:val="clear" w:color="auto" w:fill="FFFFFF"/>
          </w:tcPr>
          <w:p w14:paraId="3BA72AFE" w14:textId="77777777" w:rsidR="00856E40" w:rsidRPr="0097478B" w:rsidRDefault="00856E40" w:rsidP="0097478B">
            <w:pPr>
              <w:pStyle w:val="CETBodytext"/>
            </w:pPr>
          </w:p>
        </w:tc>
        <w:tc>
          <w:tcPr>
            <w:tcW w:w="815" w:type="dxa"/>
            <w:tcBorders>
              <w:top w:val="nil"/>
              <w:left w:val="nil"/>
              <w:bottom w:val="nil"/>
              <w:right w:val="nil"/>
            </w:tcBorders>
            <w:shd w:val="clear" w:color="auto" w:fill="FFFFFF"/>
          </w:tcPr>
          <w:p w14:paraId="17292359" w14:textId="77777777" w:rsidR="00856E40" w:rsidRPr="0097478B" w:rsidRDefault="00856E40" w:rsidP="0097478B">
            <w:pPr>
              <w:pStyle w:val="CETBodytext"/>
            </w:pPr>
          </w:p>
        </w:tc>
        <w:tc>
          <w:tcPr>
            <w:tcW w:w="815" w:type="dxa"/>
            <w:tcBorders>
              <w:top w:val="nil"/>
              <w:left w:val="nil"/>
              <w:bottom w:val="nil"/>
              <w:right w:val="nil"/>
            </w:tcBorders>
            <w:shd w:val="clear" w:color="auto" w:fill="FFFFFF"/>
          </w:tcPr>
          <w:p w14:paraId="203DD557" w14:textId="77777777" w:rsidR="00856E40" w:rsidRPr="0097478B" w:rsidRDefault="00856E40" w:rsidP="0097478B">
            <w:pPr>
              <w:pStyle w:val="CETBodytext"/>
            </w:pPr>
          </w:p>
        </w:tc>
      </w:tr>
      <w:tr w:rsidR="00856E40" w:rsidRPr="00A34BFD" w14:paraId="6E3AFC50" w14:textId="77777777" w:rsidTr="006575DA">
        <w:tc>
          <w:tcPr>
            <w:tcW w:w="1216" w:type="dxa"/>
            <w:gridSpan w:val="2"/>
            <w:vMerge/>
            <w:tcBorders>
              <w:left w:val="nil"/>
              <w:right w:val="nil"/>
            </w:tcBorders>
            <w:shd w:val="clear" w:color="auto" w:fill="FFFFFF"/>
          </w:tcPr>
          <w:p w14:paraId="2A781872" w14:textId="77777777" w:rsidR="00856E40" w:rsidRPr="0097478B" w:rsidRDefault="00856E40" w:rsidP="0097478B">
            <w:pPr>
              <w:pStyle w:val="CETBodytext"/>
            </w:pPr>
          </w:p>
        </w:tc>
        <w:tc>
          <w:tcPr>
            <w:tcW w:w="1784" w:type="dxa"/>
            <w:gridSpan w:val="2"/>
            <w:tcBorders>
              <w:top w:val="nil"/>
              <w:left w:val="nil"/>
              <w:bottom w:val="nil"/>
              <w:right w:val="nil"/>
            </w:tcBorders>
            <w:shd w:val="clear" w:color="auto" w:fill="FFFFFF"/>
          </w:tcPr>
          <w:p w14:paraId="5C4E8F46" w14:textId="77777777" w:rsidR="00856E40" w:rsidRPr="0097478B" w:rsidRDefault="00856E40" w:rsidP="0097478B">
            <w:pPr>
              <w:pStyle w:val="CETBodytext"/>
            </w:pPr>
            <w:r w:rsidRPr="0097478B">
              <w:t>Collemataceae</w:t>
            </w:r>
          </w:p>
        </w:tc>
        <w:tc>
          <w:tcPr>
            <w:tcW w:w="2529" w:type="dxa"/>
            <w:gridSpan w:val="2"/>
            <w:tcBorders>
              <w:top w:val="nil"/>
              <w:left w:val="nil"/>
              <w:bottom w:val="nil"/>
              <w:right w:val="nil"/>
            </w:tcBorders>
            <w:shd w:val="clear" w:color="auto" w:fill="FFFFFF"/>
          </w:tcPr>
          <w:p w14:paraId="4CDB63AB" w14:textId="77777777" w:rsidR="00856E40" w:rsidRPr="0097478B" w:rsidRDefault="00856E40" w:rsidP="0097478B">
            <w:pPr>
              <w:pStyle w:val="CETBodytext"/>
            </w:pPr>
            <w:r w:rsidRPr="0097478B">
              <w:t>Leptogium sp.</w:t>
            </w:r>
          </w:p>
        </w:tc>
        <w:tc>
          <w:tcPr>
            <w:tcW w:w="815" w:type="dxa"/>
            <w:gridSpan w:val="2"/>
            <w:tcBorders>
              <w:top w:val="nil"/>
              <w:left w:val="nil"/>
              <w:bottom w:val="nil"/>
              <w:right w:val="nil"/>
            </w:tcBorders>
            <w:shd w:val="clear" w:color="auto" w:fill="FFFFFF"/>
          </w:tcPr>
          <w:p w14:paraId="178B7EE6" w14:textId="77777777" w:rsidR="00856E40" w:rsidRPr="0097478B" w:rsidRDefault="00856E40" w:rsidP="0097478B">
            <w:pPr>
              <w:pStyle w:val="CETBodytext"/>
            </w:pPr>
          </w:p>
        </w:tc>
        <w:tc>
          <w:tcPr>
            <w:tcW w:w="815" w:type="dxa"/>
            <w:tcBorders>
              <w:top w:val="nil"/>
              <w:left w:val="nil"/>
              <w:bottom w:val="nil"/>
              <w:right w:val="nil"/>
            </w:tcBorders>
            <w:shd w:val="clear" w:color="auto" w:fill="FFFFFF"/>
          </w:tcPr>
          <w:p w14:paraId="5D9006FC" w14:textId="77777777" w:rsidR="00856E40" w:rsidRPr="0097478B" w:rsidRDefault="00856E40" w:rsidP="0097478B">
            <w:pPr>
              <w:pStyle w:val="CETBodytext"/>
            </w:pPr>
          </w:p>
        </w:tc>
        <w:tc>
          <w:tcPr>
            <w:tcW w:w="815" w:type="dxa"/>
            <w:tcBorders>
              <w:top w:val="nil"/>
              <w:left w:val="nil"/>
              <w:bottom w:val="nil"/>
              <w:right w:val="nil"/>
            </w:tcBorders>
            <w:shd w:val="clear" w:color="auto" w:fill="FFFFFF"/>
          </w:tcPr>
          <w:p w14:paraId="7968CBAF" w14:textId="77777777" w:rsidR="00856E40" w:rsidRPr="0097478B" w:rsidRDefault="00856E40" w:rsidP="0097478B">
            <w:pPr>
              <w:pStyle w:val="CETBodytext"/>
            </w:pPr>
            <w:r w:rsidRPr="0097478B">
              <w:t>x</w:t>
            </w:r>
          </w:p>
        </w:tc>
        <w:tc>
          <w:tcPr>
            <w:tcW w:w="815" w:type="dxa"/>
            <w:tcBorders>
              <w:top w:val="nil"/>
              <w:left w:val="nil"/>
              <w:bottom w:val="nil"/>
              <w:right w:val="nil"/>
            </w:tcBorders>
            <w:shd w:val="clear" w:color="auto" w:fill="FFFFFF"/>
          </w:tcPr>
          <w:p w14:paraId="445AE61F" w14:textId="77777777" w:rsidR="00856E40" w:rsidRPr="0097478B" w:rsidRDefault="00856E40" w:rsidP="0097478B">
            <w:pPr>
              <w:pStyle w:val="CETBodytext"/>
            </w:pPr>
            <w:r w:rsidRPr="0097478B">
              <w:t>x</w:t>
            </w:r>
          </w:p>
        </w:tc>
      </w:tr>
      <w:tr w:rsidR="00856E40" w:rsidRPr="00A34BFD" w14:paraId="6D293F3D" w14:textId="77777777" w:rsidTr="006575DA">
        <w:tc>
          <w:tcPr>
            <w:tcW w:w="1216" w:type="dxa"/>
            <w:gridSpan w:val="2"/>
            <w:vMerge/>
            <w:tcBorders>
              <w:left w:val="nil"/>
              <w:right w:val="nil"/>
            </w:tcBorders>
            <w:shd w:val="clear" w:color="auto" w:fill="FFFFFF"/>
          </w:tcPr>
          <w:p w14:paraId="67EE8D16" w14:textId="77777777" w:rsidR="00856E40" w:rsidRPr="0097478B" w:rsidRDefault="00856E40" w:rsidP="0097478B">
            <w:pPr>
              <w:pStyle w:val="CETBodytext"/>
            </w:pPr>
          </w:p>
        </w:tc>
        <w:tc>
          <w:tcPr>
            <w:tcW w:w="1784" w:type="dxa"/>
            <w:gridSpan w:val="2"/>
            <w:tcBorders>
              <w:top w:val="nil"/>
              <w:left w:val="nil"/>
              <w:bottom w:val="nil"/>
              <w:right w:val="nil"/>
            </w:tcBorders>
            <w:shd w:val="clear" w:color="auto" w:fill="FFFFFF"/>
          </w:tcPr>
          <w:p w14:paraId="45A760EE" w14:textId="77777777" w:rsidR="00856E40" w:rsidRPr="0097478B" w:rsidRDefault="00856E40" w:rsidP="0097478B">
            <w:pPr>
              <w:pStyle w:val="CETBodytext"/>
            </w:pPr>
            <w:r w:rsidRPr="0097478B">
              <w:t>Parmeliaceae</w:t>
            </w:r>
          </w:p>
        </w:tc>
        <w:tc>
          <w:tcPr>
            <w:tcW w:w="2529" w:type="dxa"/>
            <w:gridSpan w:val="2"/>
            <w:tcBorders>
              <w:top w:val="nil"/>
              <w:left w:val="nil"/>
              <w:bottom w:val="nil"/>
              <w:right w:val="nil"/>
            </w:tcBorders>
            <w:shd w:val="clear" w:color="auto" w:fill="FFFFFF"/>
          </w:tcPr>
          <w:p w14:paraId="413E5F6E" w14:textId="77777777" w:rsidR="00856E40" w:rsidRPr="0097478B" w:rsidRDefault="00856E40" w:rsidP="0097478B">
            <w:pPr>
              <w:pStyle w:val="CETBodytext"/>
            </w:pPr>
            <w:r w:rsidRPr="0097478B">
              <w:t>Canopermelia texana</w:t>
            </w:r>
          </w:p>
        </w:tc>
        <w:tc>
          <w:tcPr>
            <w:tcW w:w="815" w:type="dxa"/>
            <w:gridSpan w:val="2"/>
            <w:tcBorders>
              <w:top w:val="nil"/>
              <w:left w:val="nil"/>
              <w:bottom w:val="nil"/>
              <w:right w:val="nil"/>
            </w:tcBorders>
            <w:shd w:val="clear" w:color="auto" w:fill="FFFFFF"/>
          </w:tcPr>
          <w:p w14:paraId="10DFD80E" w14:textId="77777777" w:rsidR="00856E40" w:rsidRPr="0097478B" w:rsidRDefault="00856E40" w:rsidP="0097478B">
            <w:pPr>
              <w:pStyle w:val="CETBodytext"/>
            </w:pPr>
            <w:r w:rsidRPr="0097478B">
              <w:t>x</w:t>
            </w:r>
          </w:p>
        </w:tc>
        <w:tc>
          <w:tcPr>
            <w:tcW w:w="815" w:type="dxa"/>
            <w:tcBorders>
              <w:top w:val="nil"/>
              <w:left w:val="nil"/>
              <w:bottom w:val="nil"/>
              <w:right w:val="nil"/>
            </w:tcBorders>
            <w:shd w:val="clear" w:color="auto" w:fill="FFFFFF"/>
          </w:tcPr>
          <w:p w14:paraId="7670436F" w14:textId="77777777" w:rsidR="00856E40" w:rsidRPr="0097478B" w:rsidRDefault="00856E40" w:rsidP="0097478B">
            <w:pPr>
              <w:pStyle w:val="CETBodytext"/>
            </w:pPr>
            <w:r w:rsidRPr="0097478B">
              <w:t>x</w:t>
            </w:r>
          </w:p>
        </w:tc>
        <w:tc>
          <w:tcPr>
            <w:tcW w:w="815" w:type="dxa"/>
            <w:tcBorders>
              <w:top w:val="nil"/>
              <w:left w:val="nil"/>
              <w:bottom w:val="nil"/>
              <w:right w:val="nil"/>
            </w:tcBorders>
            <w:shd w:val="clear" w:color="auto" w:fill="FFFFFF"/>
          </w:tcPr>
          <w:p w14:paraId="4BD7FBED" w14:textId="77777777" w:rsidR="00856E40" w:rsidRPr="0097478B" w:rsidRDefault="00856E40" w:rsidP="0097478B">
            <w:pPr>
              <w:pStyle w:val="CETBodytext"/>
            </w:pPr>
            <w:r w:rsidRPr="0097478B">
              <w:t>x</w:t>
            </w:r>
          </w:p>
        </w:tc>
        <w:tc>
          <w:tcPr>
            <w:tcW w:w="815" w:type="dxa"/>
            <w:tcBorders>
              <w:top w:val="nil"/>
              <w:left w:val="nil"/>
              <w:bottom w:val="nil"/>
              <w:right w:val="nil"/>
            </w:tcBorders>
            <w:shd w:val="clear" w:color="auto" w:fill="FFFFFF"/>
          </w:tcPr>
          <w:p w14:paraId="37E87DA7" w14:textId="77777777" w:rsidR="00856E40" w:rsidRPr="0097478B" w:rsidRDefault="00856E40" w:rsidP="0097478B">
            <w:pPr>
              <w:pStyle w:val="CETBodytext"/>
            </w:pPr>
            <w:r w:rsidRPr="0097478B">
              <w:t>x</w:t>
            </w:r>
          </w:p>
        </w:tc>
      </w:tr>
      <w:tr w:rsidR="00856E40" w:rsidRPr="00A34BFD" w14:paraId="289A54E8" w14:textId="77777777" w:rsidTr="006575DA">
        <w:tc>
          <w:tcPr>
            <w:tcW w:w="1216" w:type="dxa"/>
            <w:gridSpan w:val="2"/>
            <w:vMerge/>
            <w:tcBorders>
              <w:left w:val="nil"/>
              <w:right w:val="nil"/>
            </w:tcBorders>
            <w:shd w:val="clear" w:color="auto" w:fill="FFFFFF"/>
          </w:tcPr>
          <w:p w14:paraId="626C039D" w14:textId="77777777" w:rsidR="00856E40" w:rsidRPr="0097478B" w:rsidRDefault="00856E40" w:rsidP="0097478B">
            <w:pPr>
              <w:pStyle w:val="CETBodytext"/>
            </w:pPr>
          </w:p>
        </w:tc>
        <w:tc>
          <w:tcPr>
            <w:tcW w:w="1784" w:type="dxa"/>
            <w:gridSpan w:val="2"/>
            <w:tcBorders>
              <w:top w:val="nil"/>
              <w:left w:val="nil"/>
              <w:bottom w:val="nil"/>
              <w:right w:val="nil"/>
            </w:tcBorders>
            <w:shd w:val="clear" w:color="auto" w:fill="FFFFFF"/>
          </w:tcPr>
          <w:p w14:paraId="64D392FF" w14:textId="77777777" w:rsidR="00856E40" w:rsidRPr="0097478B" w:rsidRDefault="00856E40" w:rsidP="0097478B">
            <w:pPr>
              <w:pStyle w:val="CETBodytext"/>
            </w:pPr>
            <w:r w:rsidRPr="0097478B">
              <w:t>Parmeliaceae</w:t>
            </w:r>
          </w:p>
        </w:tc>
        <w:tc>
          <w:tcPr>
            <w:tcW w:w="2529" w:type="dxa"/>
            <w:gridSpan w:val="2"/>
            <w:tcBorders>
              <w:top w:val="nil"/>
              <w:left w:val="nil"/>
              <w:bottom w:val="nil"/>
              <w:right w:val="nil"/>
            </w:tcBorders>
            <w:shd w:val="clear" w:color="auto" w:fill="FFFFFF"/>
          </w:tcPr>
          <w:p w14:paraId="23BB2F3C" w14:textId="77777777" w:rsidR="00856E40" w:rsidRPr="0097478B" w:rsidRDefault="00856E40" w:rsidP="0097478B">
            <w:pPr>
              <w:pStyle w:val="CETBodytext"/>
            </w:pPr>
            <w:r w:rsidRPr="0097478B">
              <w:t>Parmotrema sp.</w:t>
            </w:r>
          </w:p>
        </w:tc>
        <w:tc>
          <w:tcPr>
            <w:tcW w:w="815" w:type="dxa"/>
            <w:gridSpan w:val="2"/>
            <w:tcBorders>
              <w:top w:val="nil"/>
              <w:left w:val="nil"/>
              <w:bottom w:val="nil"/>
              <w:right w:val="nil"/>
            </w:tcBorders>
            <w:shd w:val="clear" w:color="auto" w:fill="FFFFFF"/>
          </w:tcPr>
          <w:p w14:paraId="5F0FC82B" w14:textId="77777777" w:rsidR="00856E40" w:rsidRPr="0097478B" w:rsidRDefault="00856E40" w:rsidP="0097478B">
            <w:pPr>
              <w:pStyle w:val="CETBodytext"/>
            </w:pPr>
            <w:r w:rsidRPr="0097478B">
              <w:t>x</w:t>
            </w:r>
          </w:p>
        </w:tc>
        <w:tc>
          <w:tcPr>
            <w:tcW w:w="815" w:type="dxa"/>
            <w:tcBorders>
              <w:top w:val="nil"/>
              <w:left w:val="nil"/>
              <w:bottom w:val="nil"/>
              <w:right w:val="nil"/>
            </w:tcBorders>
            <w:shd w:val="clear" w:color="auto" w:fill="FFFFFF"/>
          </w:tcPr>
          <w:p w14:paraId="7B7EFC60" w14:textId="77777777" w:rsidR="00856E40" w:rsidRPr="0097478B" w:rsidRDefault="00856E40" w:rsidP="0097478B">
            <w:pPr>
              <w:pStyle w:val="CETBodytext"/>
            </w:pPr>
            <w:r w:rsidRPr="0097478B">
              <w:t>x</w:t>
            </w:r>
          </w:p>
        </w:tc>
        <w:tc>
          <w:tcPr>
            <w:tcW w:w="815" w:type="dxa"/>
            <w:tcBorders>
              <w:top w:val="nil"/>
              <w:left w:val="nil"/>
              <w:bottom w:val="nil"/>
              <w:right w:val="nil"/>
            </w:tcBorders>
            <w:shd w:val="clear" w:color="auto" w:fill="FFFFFF"/>
          </w:tcPr>
          <w:p w14:paraId="51A4D826" w14:textId="77777777" w:rsidR="00856E40" w:rsidRPr="0097478B" w:rsidRDefault="00856E40" w:rsidP="0097478B">
            <w:pPr>
              <w:pStyle w:val="CETBodytext"/>
            </w:pPr>
            <w:r w:rsidRPr="0097478B">
              <w:t>x</w:t>
            </w:r>
          </w:p>
        </w:tc>
        <w:tc>
          <w:tcPr>
            <w:tcW w:w="815" w:type="dxa"/>
            <w:tcBorders>
              <w:top w:val="nil"/>
              <w:left w:val="nil"/>
              <w:bottom w:val="nil"/>
              <w:right w:val="nil"/>
            </w:tcBorders>
            <w:shd w:val="clear" w:color="auto" w:fill="FFFFFF"/>
          </w:tcPr>
          <w:p w14:paraId="3C050B96" w14:textId="77777777" w:rsidR="00856E40" w:rsidRPr="0097478B" w:rsidRDefault="00856E40" w:rsidP="0097478B">
            <w:pPr>
              <w:pStyle w:val="CETBodytext"/>
            </w:pPr>
            <w:r w:rsidRPr="0097478B">
              <w:t>x</w:t>
            </w:r>
          </w:p>
        </w:tc>
      </w:tr>
      <w:tr w:rsidR="00856E40" w:rsidRPr="00A34BFD" w14:paraId="5EDE0865" w14:textId="77777777" w:rsidTr="006575DA">
        <w:tc>
          <w:tcPr>
            <w:tcW w:w="1216" w:type="dxa"/>
            <w:gridSpan w:val="2"/>
            <w:vMerge/>
            <w:tcBorders>
              <w:left w:val="nil"/>
              <w:right w:val="nil"/>
            </w:tcBorders>
            <w:shd w:val="clear" w:color="auto" w:fill="FFFFFF"/>
          </w:tcPr>
          <w:p w14:paraId="43B812D6" w14:textId="77777777" w:rsidR="00856E40" w:rsidRPr="0097478B" w:rsidRDefault="00856E40" w:rsidP="0097478B">
            <w:pPr>
              <w:pStyle w:val="CETBodytext"/>
            </w:pPr>
          </w:p>
        </w:tc>
        <w:tc>
          <w:tcPr>
            <w:tcW w:w="1784" w:type="dxa"/>
            <w:gridSpan w:val="2"/>
            <w:tcBorders>
              <w:top w:val="nil"/>
              <w:left w:val="nil"/>
              <w:bottom w:val="nil"/>
              <w:right w:val="nil"/>
            </w:tcBorders>
            <w:shd w:val="clear" w:color="auto" w:fill="FFFFFF"/>
          </w:tcPr>
          <w:p w14:paraId="07B76B52" w14:textId="77777777" w:rsidR="00856E40" w:rsidRPr="0097478B" w:rsidRDefault="00856E40" w:rsidP="0097478B">
            <w:pPr>
              <w:pStyle w:val="CETBodytext"/>
            </w:pPr>
            <w:r w:rsidRPr="0097478B">
              <w:t>Parmeliaceae</w:t>
            </w:r>
          </w:p>
        </w:tc>
        <w:tc>
          <w:tcPr>
            <w:tcW w:w="2529" w:type="dxa"/>
            <w:gridSpan w:val="2"/>
            <w:tcBorders>
              <w:top w:val="nil"/>
              <w:left w:val="nil"/>
              <w:bottom w:val="nil"/>
              <w:right w:val="nil"/>
            </w:tcBorders>
            <w:shd w:val="clear" w:color="auto" w:fill="FFFFFF"/>
          </w:tcPr>
          <w:p w14:paraId="229CD885" w14:textId="77777777" w:rsidR="00856E40" w:rsidRPr="0097478B" w:rsidRDefault="00856E40" w:rsidP="0097478B">
            <w:pPr>
              <w:pStyle w:val="CETBodytext"/>
            </w:pPr>
            <w:r w:rsidRPr="0097478B">
              <w:t>Parmotrema superaguiense</w:t>
            </w:r>
          </w:p>
        </w:tc>
        <w:tc>
          <w:tcPr>
            <w:tcW w:w="815" w:type="dxa"/>
            <w:gridSpan w:val="2"/>
            <w:tcBorders>
              <w:top w:val="nil"/>
              <w:left w:val="nil"/>
              <w:bottom w:val="nil"/>
              <w:right w:val="nil"/>
            </w:tcBorders>
            <w:shd w:val="clear" w:color="auto" w:fill="FFFFFF"/>
          </w:tcPr>
          <w:p w14:paraId="762B34D7" w14:textId="77777777" w:rsidR="00856E40" w:rsidRPr="0097478B" w:rsidRDefault="00856E40" w:rsidP="0097478B">
            <w:pPr>
              <w:pStyle w:val="CETBodytext"/>
            </w:pPr>
          </w:p>
        </w:tc>
        <w:tc>
          <w:tcPr>
            <w:tcW w:w="815" w:type="dxa"/>
            <w:tcBorders>
              <w:top w:val="nil"/>
              <w:left w:val="nil"/>
              <w:bottom w:val="nil"/>
              <w:right w:val="nil"/>
            </w:tcBorders>
            <w:shd w:val="clear" w:color="auto" w:fill="FFFFFF"/>
          </w:tcPr>
          <w:p w14:paraId="729703BB" w14:textId="77777777" w:rsidR="00856E40" w:rsidRPr="0097478B" w:rsidRDefault="00856E40" w:rsidP="0097478B">
            <w:pPr>
              <w:pStyle w:val="CETBodytext"/>
            </w:pPr>
          </w:p>
        </w:tc>
        <w:tc>
          <w:tcPr>
            <w:tcW w:w="815" w:type="dxa"/>
            <w:tcBorders>
              <w:top w:val="nil"/>
              <w:left w:val="nil"/>
              <w:bottom w:val="nil"/>
              <w:right w:val="nil"/>
            </w:tcBorders>
            <w:shd w:val="clear" w:color="auto" w:fill="FFFFFF"/>
          </w:tcPr>
          <w:p w14:paraId="2676FEDE" w14:textId="77777777" w:rsidR="00856E40" w:rsidRPr="0097478B" w:rsidRDefault="00856E40" w:rsidP="0097478B">
            <w:pPr>
              <w:pStyle w:val="CETBodytext"/>
            </w:pPr>
            <w:r w:rsidRPr="0097478B">
              <w:t>x</w:t>
            </w:r>
          </w:p>
        </w:tc>
        <w:tc>
          <w:tcPr>
            <w:tcW w:w="815" w:type="dxa"/>
            <w:tcBorders>
              <w:top w:val="nil"/>
              <w:left w:val="nil"/>
              <w:bottom w:val="nil"/>
              <w:right w:val="nil"/>
            </w:tcBorders>
            <w:shd w:val="clear" w:color="auto" w:fill="FFFFFF"/>
          </w:tcPr>
          <w:p w14:paraId="3E1C4DB6" w14:textId="77777777" w:rsidR="00856E40" w:rsidRPr="0097478B" w:rsidRDefault="00856E40" w:rsidP="0097478B">
            <w:pPr>
              <w:pStyle w:val="CETBodytext"/>
            </w:pPr>
          </w:p>
        </w:tc>
      </w:tr>
      <w:tr w:rsidR="00856E40" w:rsidRPr="00A34BFD" w14:paraId="5365846D" w14:textId="77777777" w:rsidTr="006575DA">
        <w:tc>
          <w:tcPr>
            <w:tcW w:w="1216" w:type="dxa"/>
            <w:gridSpan w:val="2"/>
            <w:vMerge/>
            <w:tcBorders>
              <w:left w:val="nil"/>
              <w:right w:val="nil"/>
            </w:tcBorders>
            <w:shd w:val="clear" w:color="auto" w:fill="FFFFFF"/>
          </w:tcPr>
          <w:p w14:paraId="06F4FD43" w14:textId="77777777" w:rsidR="00856E40" w:rsidRPr="0097478B" w:rsidRDefault="00856E40" w:rsidP="0097478B">
            <w:pPr>
              <w:pStyle w:val="CETBodytext"/>
            </w:pPr>
          </w:p>
        </w:tc>
        <w:tc>
          <w:tcPr>
            <w:tcW w:w="1784" w:type="dxa"/>
            <w:gridSpan w:val="2"/>
            <w:tcBorders>
              <w:top w:val="nil"/>
              <w:left w:val="nil"/>
              <w:bottom w:val="nil"/>
              <w:right w:val="nil"/>
            </w:tcBorders>
            <w:shd w:val="clear" w:color="auto" w:fill="FFFFFF"/>
          </w:tcPr>
          <w:p w14:paraId="7FA49C66" w14:textId="77777777" w:rsidR="00856E40" w:rsidRPr="0097478B" w:rsidRDefault="00856E40" w:rsidP="0097478B">
            <w:pPr>
              <w:pStyle w:val="CETBodytext"/>
            </w:pPr>
            <w:r w:rsidRPr="0097478B">
              <w:t>Parmeliaceae</w:t>
            </w:r>
          </w:p>
        </w:tc>
        <w:tc>
          <w:tcPr>
            <w:tcW w:w="2529" w:type="dxa"/>
            <w:gridSpan w:val="2"/>
            <w:tcBorders>
              <w:top w:val="nil"/>
              <w:left w:val="nil"/>
              <w:bottom w:val="nil"/>
              <w:right w:val="nil"/>
            </w:tcBorders>
            <w:shd w:val="clear" w:color="auto" w:fill="FFFFFF"/>
          </w:tcPr>
          <w:p w14:paraId="6910E392" w14:textId="77777777" w:rsidR="00856E40" w:rsidRPr="0097478B" w:rsidRDefault="00856E40" w:rsidP="0097478B">
            <w:pPr>
              <w:pStyle w:val="CETBodytext"/>
            </w:pPr>
            <w:r w:rsidRPr="0097478B">
              <w:t>Parmotrema tinctorum</w:t>
            </w:r>
          </w:p>
        </w:tc>
        <w:tc>
          <w:tcPr>
            <w:tcW w:w="815" w:type="dxa"/>
            <w:gridSpan w:val="2"/>
            <w:tcBorders>
              <w:top w:val="nil"/>
              <w:left w:val="nil"/>
              <w:bottom w:val="nil"/>
              <w:right w:val="nil"/>
            </w:tcBorders>
            <w:shd w:val="clear" w:color="auto" w:fill="FFFFFF"/>
          </w:tcPr>
          <w:p w14:paraId="47F7553E" w14:textId="77777777" w:rsidR="00856E40" w:rsidRPr="0097478B" w:rsidRDefault="00856E40" w:rsidP="0097478B">
            <w:pPr>
              <w:pStyle w:val="CETBodytext"/>
            </w:pPr>
            <w:r w:rsidRPr="0097478B">
              <w:t>x</w:t>
            </w:r>
          </w:p>
        </w:tc>
        <w:tc>
          <w:tcPr>
            <w:tcW w:w="815" w:type="dxa"/>
            <w:tcBorders>
              <w:top w:val="nil"/>
              <w:left w:val="nil"/>
              <w:bottom w:val="nil"/>
              <w:right w:val="nil"/>
            </w:tcBorders>
            <w:shd w:val="clear" w:color="auto" w:fill="FFFFFF"/>
          </w:tcPr>
          <w:p w14:paraId="768E195E" w14:textId="77777777" w:rsidR="00856E40" w:rsidRPr="0097478B" w:rsidRDefault="00856E40" w:rsidP="0097478B">
            <w:pPr>
              <w:pStyle w:val="CETBodytext"/>
            </w:pPr>
            <w:r w:rsidRPr="0097478B">
              <w:t>x</w:t>
            </w:r>
          </w:p>
        </w:tc>
        <w:tc>
          <w:tcPr>
            <w:tcW w:w="815" w:type="dxa"/>
            <w:tcBorders>
              <w:top w:val="nil"/>
              <w:left w:val="nil"/>
              <w:bottom w:val="nil"/>
              <w:right w:val="nil"/>
            </w:tcBorders>
            <w:shd w:val="clear" w:color="auto" w:fill="FFFFFF"/>
          </w:tcPr>
          <w:p w14:paraId="44700FED" w14:textId="77777777" w:rsidR="00856E40" w:rsidRPr="0097478B" w:rsidRDefault="00856E40" w:rsidP="0097478B">
            <w:pPr>
              <w:pStyle w:val="CETBodytext"/>
            </w:pPr>
            <w:r w:rsidRPr="0097478B">
              <w:t>x</w:t>
            </w:r>
          </w:p>
        </w:tc>
        <w:tc>
          <w:tcPr>
            <w:tcW w:w="815" w:type="dxa"/>
            <w:tcBorders>
              <w:top w:val="nil"/>
              <w:left w:val="nil"/>
              <w:bottom w:val="nil"/>
              <w:right w:val="nil"/>
            </w:tcBorders>
            <w:shd w:val="clear" w:color="auto" w:fill="FFFFFF"/>
          </w:tcPr>
          <w:p w14:paraId="1A1FDCC7" w14:textId="77777777" w:rsidR="00856E40" w:rsidRPr="0097478B" w:rsidRDefault="00856E40" w:rsidP="0097478B">
            <w:pPr>
              <w:pStyle w:val="CETBodytext"/>
            </w:pPr>
            <w:r w:rsidRPr="0097478B">
              <w:t>x</w:t>
            </w:r>
          </w:p>
        </w:tc>
      </w:tr>
      <w:tr w:rsidR="00856E40" w:rsidRPr="00A34BFD" w14:paraId="2B133333" w14:textId="77777777" w:rsidTr="006575DA">
        <w:tc>
          <w:tcPr>
            <w:tcW w:w="1216" w:type="dxa"/>
            <w:gridSpan w:val="2"/>
            <w:vMerge/>
            <w:tcBorders>
              <w:left w:val="nil"/>
              <w:right w:val="nil"/>
            </w:tcBorders>
            <w:shd w:val="clear" w:color="auto" w:fill="FFFFFF"/>
          </w:tcPr>
          <w:p w14:paraId="78962408" w14:textId="77777777" w:rsidR="00856E40" w:rsidRPr="0097478B" w:rsidRDefault="00856E40" w:rsidP="0097478B">
            <w:pPr>
              <w:pStyle w:val="CETBodytext"/>
            </w:pPr>
          </w:p>
        </w:tc>
        <w:tc>
          <w:tcPr>
            <w:tcW w:w="1784" w:type="dxa"/>
            <w:gridSpan w:val="2"/>
            <w:tcBorders>
              <w:top w:val="nil"/>
              <w:left w:val="nil"/>
              <w:bottom w:val="nil"/>
              <w:right w:val="nil"/>
            </w:tcBorders>
            <w:shd w:val="clear" w:color="auto" w:fill="FFFFFF"/>
          </w:tcPr>
          <w:p w14:paraId="32F15053" w14:textId="77777777" w:rsidR="00856E40" w:rsidRPr="0097478B" w:rsidRDefault="00856E40" w:rsidP="0097478B">
            <w:pPr>
              <w:pStyle w:val="CETBodytext"/>
            </w:pPr>
            <w:r w:rsidRPr="0097478B">
              <w:t>Caliciaceae</w:t>
            </w:r>
          </w:p>
        </w:tc>
        <w:tc>
          <w:tcPr>
            <w:tcW w:w="2529" w:type="dxa"/>
            <w:gridSpan w:val="2"/>
            <w:tcBorders>
              <w:top w:val="nil"/>
              <w:left w:val="nil"/>
              <w:bottom w:val="nil"/>
              <w:right w:val="nil"/>
            </w:tcBorders>
            <w:shd w:val="clear" w:color="auto" w:fill="FFFFFF"/>
          </w:tcPr>
          <w:p w14:paraId="6EA35F15" w14:textId="77777777" w:rsidR="00856E40" w:rsidRPr="0097478B" w:rsidRDefault="00856E40" w:rsidP="0097478B">
            <w:pPr>
              <w:pStyle w:val="CETBodytext"/>
            </w:pPr>
            <w:r w:rsidRPr="0097478B">
              <w:t>Physcia sp.</w:t>
            </w:r>
          </w:p>
        </w:tc>
        <w:tc>
          <w:tcPr>
            <w:tcW w:w="815" w:type="dxa"/>
            <w:gridSpan w:val="2"/>
            <w:tcBorders>
              <w:top w:val="nil"/>
              <w:left w:val="nil"/>
              <w:bottom w:val="nil"/>
              <w:right w:val="nil"/>
            </w:tcBorders>
            <w:shd w:val="clear" w:color="auto" w:fill="FFFFFF"/>
          </w:tcPr>
          <w:p w14:paraId="0C83AE28" w14:textId="77777777" w:rsidR="00856E40" w:rsidRPr="0097478B" w:rsidRDefault="00856E40" w:rsidP="0097478B">
            <w:pPr>
              <w:pStyle w:val="CETBodytext"/>
            </w:pPr>
          </w:p>
        </w:tc>
        <w:tc>
          <w:tcPr>
            <w:tcW w:w="815" w:type="dxa"/>
            <w:tcBorders>
              <w:top w:val="nil"/>
              <w:left w:val="nil"/>
              <w:bottom w:val="nil"/>
              <w:right w:val="nil"/>
            </w:tcBorders>
            <w:shd w:val="clear" w:color="auto" w:fill="FFFFFF"/>
          </w:tcPr>
          <w:p w14:paraId="32BCDC05" w14:textId="77777777" w:rsidR="00856E40" w:rsidRPr="0097478B" w:rsidRDefault="00856E40" w:rsidP="0097478B">
            <w:pPr>
              <w:pStyle w:val="CETBodytext"/>
            </w:pPr>
            <w:r w:rsidRPr="0097478B">
              <w:t>x</w:t>
            </w:r>
          </w:p>
        </w:tc>
        <w:tc>
          <w:tcPr>
            <w:tcW w:w="815" w:type="dxa"/>
            <w:tcBorders>
              <w:top w:val="nil"/>
              <w:left w:val="nil"/>
              <w:bottom w:val="nil"/>
              <w:right w:val="nil"/>
            </w:tcBorders>
            <w:shd w:val="clear" w:color="auto" w:fill="FFFFFF"/>
          </w:tcPr>
          <w:p w14:paraId="12517B18" w14:textId="77777777" w:rsidR="00856E40" w:rsidRPr="0097478B" w:rsidRDefault="00856E40" w:rsidP="0097478B">
            <w:pPr>
              <w:pStyle w:val="CETBodytext"/>
            </w:pPr>
          </w:p>
        </w:tc>
        <w:tc>
          <w:tcPr>
            <w:tcW w:w="815" w:type="dxa"/>
            <w:tcBorders>
              <w:top w:val="nil"/>
              <w:left w:val="nil"/>
              <w:bottom w:val="nil"/>
              <w:right w:val="nil"/>
            </w:tcBorders>
            <w:shd w:val="clear" w:color="auto" w:fill="FFFFFF"/>
          </w:tcPr>
          <w:p w14:paraId="5AEC01F0" w14:textId="77777777" w:rsidR="00856E40" w:rsidRPr="0097478B" w:rsidRDefault="00856E40" w:rsidP="0097478B">
            <w:pPr>
              <w:pStyle w:val="CETBodytext"/>
            </w:pPr>
          </w:p>
        </w:tc>
      </w:tr>
      <w:tr w:rsidR="00856E40" w:rsidRPr="00A34BFD" w14:paraId="1E698EE1" w14:textId="77777777" w:rsidTr="006575DA">
        <w:tc>
          <w:tcPr>
            <w:tcW w:w="1216" w:type="dxa"/>
            <w:gridSpan w:val="2"/>
            <w:vMerge/>
            <w:tcBorders>
              <w:left w:val="nil"/>
              <w:right w:val="nil"/>
            </w:tcBorders>
            <w:shd w:val="clear" w:color="auto" w:fill="FFFFFF"/>
          </w:tcPr>
          <w:p w14:paraId="1A9FEB4B" w14:textId="77777777" w:rsidR="00856E40" w:rsidRPr="0097478B" w:rsidRDefault="00856E40" w:rsidP="0097478B">
            <w:pPr>
              <w:pStyle w:val="CETBodytext"/>
            </w:pPr>
          </w:p>
        </w:tc>
        <w:tc>
          <w:tcPr>
            <w:tcW w:w="1784" w:type="dxa"/>
            <w:gridSpan w:val="2"/>
            <w:tcBorders>
              <w:top w:val="nil"/>
              <w:left w:val="nil"/>
              <w:bottom w:val="nil"/>
              <w:right w:val="nil"/>
            </w:tcBorders>
            <w:shd w:val="clear" w:color="auto" w:fill="FFFFFF"/>
          </w:tcPr>
          <w:p w14:paraId="041265D4" w14:textId="77777777" w:rsidR="00856E40" w:rsidRPr="0097478B" w:rsidRDefault="00856E40" w:rsidP="0097478B">
            <w:pPr>
              <w:pStyle w:val="CETBodytext"/>
            </w:pPr>
            <w:r w:rsidRPr="0097478B">
              <w:t>Caliciaceae</w:t>
            </w:r>
          </w:p>
        </w:tc>
        <w:tc>
          <w:tcPr>
            <w:tcW w:w="2529" w:type="dxa"/>
            <w:gridSpan w:val="2"/>
            <w:tcBorders>
              <w:top w:val="nil"/>
              <w:left w:val="nil"/>
              <w:bottom w:val="nil"/>
              <w:right w:val="nil"/>
            </w:tcBorders>
            <w:shd w:val="clear" w:color="auto" w:fill="FFFFFF"/>
          </w:tcPr>
          <w:p w14:paraId="50D937BA" w14:textId="77777777" w:rsidR="00856E40" w:rsidRPr="0097478B" w:rsidRDefault="00856E40" w:rsidP="0097478B">
            <w:pPr>
              <w:pStyle w:val="CETBodytext"/>
            </w:pPr>
            <w:r w:rsidRPr="0097478B">
              <w:t>Pyxine sp1</w:t>
            </w:r>
          </w:p>
        </w:tc>
        <w:tc>
          <w:tcPr>
            <w:tcW w:w="815" w:type="dxa"/>
            <w:gridSpan w:val="2"/>
            <w:tcBorders>
              <w:top w:val="nil"/>
              <w:left w:val="nil"/>
              <w:bottom w:val="nil"/>
              <w:right w:val="nil"/>
            </w:tcBorders>
            <w:shd w:val="clear" w:color="auto" w:fill="FFFFFF"/>
          </w:tcPr>
          <w:p w14:paraId="383BBFE0" w14:textId="77777777" w:rsidR="00856E40" w:rsidRPr="0097478B" w:rsidRDefault="00856E40" w:rsidP="0097478B">
            <w:pPr>
              <w:pStyle w:val="CETBodytext"/>
            </w:pPr>
            <w:r w:rsidRPr="0097478B">
              <w:t>x</w:t>
            </w:r>
          </w:p>
        </w:tc>
        <w:tc>
          <w:tcPr>
            <w:tcW w:w="815" w:type="dxa"/>
            <w:tcBorders>
              <w:top w:val="nil"/>
              <w:left w:val="nil"/>
              <w:bottom w:val="nil"/>
              <w:right w:val="nil"/>
            </w:tcBorders>
            <w:shd w:val="clear" w:color="auto" w:fill="FFFFFF"/>
          </w:tcPr>
          <w:p w14:paraId="673CBE07" w14:textId="77777777" w:rsidR="00856E40" w:rsidRPr="0097478B" w:rsidRDefault="00856E40" w:rsidP="0097478B">
            <w:pPr>
              <w:pStyle w:val="CETBodytext"/>
            </w:pPr>
            <w:r w:rsidRPr="0097478B">
              <w:t>x</w:t>
            </w:r>
          </w:p>
        </w:tc>
        <w:tc>
          <w:tcPr>
            <w:tcW w:w="815" w:type="dxa"/>
            <w:tcBorders>
              <w:top w:val="nil"/>
              <w:left w:val="nil"/>
              <w:bottom w:val="nil"/>
              <w:right w:val="nil"/>
            </w:tcBorders>
            <w:shd w:val="clear" w:color="auto" w:fill="FFFFFF"/>
          </w:tcPr>
          <w:p w14:paraId="20530197" w14:textId="77777777" w:rsidR="00856E40" w:rsidRPr="0097478B" w:rsidRDefault="00856E40" w:rsidP="0097478B">
            <w:pPr>
              <w:pStyle w:val="CETBodytext"/>
            </w:pPr>
            <w:r w:rsidRPr="0097478B">
              <w:t>x</w:t>
            </w:r>
          </w:p>
        </w:tc>
        <w:tc>
          <w:tcPr>
            <w:tcW w:w="815" w:type="dxa"/>
            <w:tcBorders>
              <w:top w:val="nil"/>
              <w:left w:val="nil"/>
              <w:bottom w:val="nil"/>
              <w:right w:val="nil"/>
            </w:tcBorders>
            <w:shd w:val="clear" w:color="auto" w:fill="FFFFFF"/>
          </w:tcPr>
          <w:p w14:paraId="2B70B8AD" w14:textId="77777777" w:rsidR="00856E40" w:rsidRPr="0097478B" w:rsidRDefault="00856E40" w:rsidP="0097478B">
            <w:pPr>
              <w:pStyle w:val="CETBodytext"/>
            </w:pPr>
            <w:r w:rsidRPr="0097478B">
              <w:t>x</w:t>
            </w:r>
          </w:p>
        </w:tc>
      </w:tr>
      <w:tr w:rsidR="00856E40" w:rsidRPr="00A34BFD" w14:paraId="13006984" w14:textId="77777777" w:rsidTr="006575DA">
        <w:tc>
          <w:tcPr>
            <w:tcW w:w="1216" w:type="dxa"/>
            <w:gridSpan w:val="2"/>
            <w:vMerge/>
            <w:tcBorders>
              <w:left w:val="nil"/>
              <w:right w:val="nil"/>
            </w:tcBorders>
            <w:shd w:val="clear" w:color="auto" w:fill="FFFFFF"/>
          </w:tcPr>
          <w:p w14:paraId="529B12E5" w14:textId="77777777" w:rsidR="00856E40" w:rsidRPr="0097478B" w:rsidRDefault="00856E40" w:rsidP="0097478B">
            <w:pPr>
              <w:pStyle w:val="CETBodytext"/>
            </w:pPr>
          </w:p>
        </w:tc>
        <w:tc>
          <w:tcPr>
            <w:tcW w:w="1784" w:type="dxa"/>
            <w:gridSpan w:val="2"/>
            <w:tcBorders>
              <w:top w:val="nil"/>
              <w:left w:val="nil"/>
              <w:bottom w:val="nil"/>
              <w:right w:val="nil"/>
            </w:tcBorders>
            <w:shd w:val="clear" w:color="auto" w:fill="FFFFFF"/>
          </w:tcPr>
          <w:p w14:paraId="2230CE22" w14:textId="77777777" w:rsidR="00856E40" w:rsidRPr="0097478B" w:rsidRDefault="00856E40" w:rsidP="0097478B">
            <w:pPr>
              <w:pStyle w:val="CETBodytext"/>
            </w:pPr>
            <w:r w:rsidRPr="0097478B">
              <w:t>Caliciaceae</w:t>
            </w:r>
          </w:p>
        </w:tc>
        <w:tc>
          <w:tcPr>
            <w:tcW w:w="2529" w:type="dxa"/>
            <w:gridSpan w:val="2"/>
            <w:tcBorders>
              <w:top w:val="nil"/>
              <w:left w:val="nil"/>
              <w:bottom w:val="nil"/>
              <w:right w:val="nil"/>
            </w:tcBorders>
            <w:shd w:val="clear" w:color="auto" w:fill="FFFFFF"/>
          </w:tcPr>
          <w:p w14:paraId="4560BA41" w14:textId="77777777" w:rsidR="00856E40" w:rsidRPr="0097478B" w:rsidRDefault="00856E40" w:rsidP="0097478B">
            <w:pPr>
              <w:pStyle w:val="CETBodytext"/>
            </w:pPr>
            <w:r w:rsidRPr="0097478B">
              <w:t>Pyxine sp2</w:t>
            </w:r>
          </w:p>
        </w:tc>
        <w:tc>
          <w:tcPr>
            <w:tcW w:w="815" w:type="dxa"/>
            <w:gridSpan w:val="2"/>
            <w:tcBorders>
              <w:top w:val="nil"/>
              <w:left w:val="nil"/>
              <w:bottom w:val="nil"/>
              <w:right w:val="nil"/>
            </w:tcBorders>
            <w:shd w:val="clear" w:color="auto" w:fill="FFFFFF"/>
          </w:tcPr>
          <w:p w14:paraId="2AD62987" w14:textId="77777777" w:rsidR="00856E40" w:rsidRPr="0097478B" w:rsidRDefault="00856E40" w:rsidP="0097478B">
            <w:pPr>
              <w:pStyle w:val="CETBodytext"/>
            </w:pPr>
            <w:r w:rsidRPr="0097478B">
              <w:t>x</w:t>
            </w:r>
          </w:p>
        </w:tc>
        <w:tc>
          <w:tcPr>
            <w:tcW w:w="815" w:type="dxa"/>
            <w:tcBorders>
              <w:top w:val="nil"/>
              <w:left w:val="nil"/>
              <w:bottom w:val="nil"/>
              <w:right w:val="nil"/>
            </w:tcBorders>
            <w:shd w:val="clear" w:color="auto" w:fill="FFFFFF"/>
          </w:tcPr>
          <w:p w14:paraId="7503F8AE" w14:textId="77777777" w:rsidR="00856E40" w:rsidRPr="0097478B" w:rsidRDefault="00856E40" w:rsidP="0097478B">
            <w:pPr>
              <w:pStyle w:val="CETBodytext"/>
            </w:pPr>
            <w:r w:rsidRPr="0097478B">
              <w:t>x</w:t>
            </w:r>
          </w:p>
        </w:tc>
        <w:tc>
          <w:tcPr>
            <w:tcW w:w="815" w:type="dxa"/>
            <w:tcBorders>
              <w:top w:val="nil"/>
              <w:left w:val="nil"/>
              <w:bottom w:val="nil"/>
              <w:right w:val="nil"/>
            </w:tcBorders>
            <w:shd w:val="clear" w:color="auto" w:fill="FFFFFF"/>
          </w:tcPr>
          <w:p w14:paraId="346826D8" w14:textId="77777777" w:rsidR="00856E40" w:rsidRPr="0097478B" w:rsidRDefault="00856E40" w:rsidP="0097478B">
            <w:pPr>
              <w:pStyle w:val="CETBodytext"/>
            </w:pPr>
            <w:r w:rsidRPr="0097478B">
              <w:t>x</w:t>
            </w:r>
          </w:p>
        </w:tc>
        <w:tc>
          <w:tcPr>
            <w:tcW w:w="815" w:type="dxa"/>
            <w:tcBorders>
              <w:top w:val="nil"/>
              <w:left w:val="nil"/>
              <w:bottom w:val="nil"/>
              <w:right w:val="nil"/>
            </w:tcBorders>
            <w:shd w:val="clear" w:color="auto" w:fill="FFFFFF"/>
          </w:tcPr>
          <w:p w14:paraId="1AA6FB39" w14:textId="77777777" w:rsidR="00856E40" w:rsidRPr="0097478B" w:rsidRDefault="00856E40" w:rsidP="0097478B">
            <w:pPr>
              <w:pStyle w:val="CETBodytext"/>
            </w:pPr>
            <w:r w:rsidRPr="0097478B">
              <w:t>x</w:t>
            </w:r>
          </w:p>
        </w:tc>
      </w:tr>
      <w:tr w:rsidR="00856E40" w:rsidRPr="00A34BFD" w14:paraId="39FE1AF7" w14:textId="77777777" w:rsidTr="006575DA">
        <w:tc>
          <w:tcPr>
            <w:tcW w:w="1216" w:type="dxa"/>
            <w:gridSpan w:val="2"/>
            <w:vMerge/>
            <w:tcBorders>
              <w:left w:val="nil"/>
              <w:right w:val="nil"/>
            </w:tcBorders>
            <w:shd w:val="clear" w:color="auto" w:fill="FFFFFF"/>
          </w:tcPr>
          <w:p w14:paraId="11DC9C16" w14:textId="77777777" w:rsidR="00856E40" w:rsidRPr="0097478B" w:rsidRDefault="00856E40" w:rsidP="0097478B">
            <w:pPr>
              <w:pStyle w:val="CETBodytext"/>
            </w:pPr>
          </w:p>
        </w:tc>
        <w:tc>
          <w:tcPr>
            <w:tcW w:w="1784" w:type="dxa"/>
            <w:gridSpan w:val="2"/>
            <w:tcBorders>
              <w:top w:val="nil"/>
              <w:left w:val="nil"/>
              <w:bottom w:val="nil"/>
              <w:right w:val="nil"/>
            </w:tcBorders>
            <w:shd w:val="clear" w:color="auto" w:fill="FFFFFF"/>
          </w:tcPr>
          <w:p w14:paraId="575CB522" w14:textId="77777777" w:rsidR="00856E40" w:rsidRPr="0097478B" w:rsidRDefault="00856E40" w:rsidP="0097478B">
            <w:pPr>
              <w:pStyle w:val="CETBodytext"/>
            </w:pPr>
            <w:r w:rsidRPr="0097478B">
              <w:t>Caliciaceae</w:t>
            </w:r>
          </w:p>
        </w:tc>
        <w:tc>
          <w:tcPr>
            <w:tcW w:w="2529" w:type="dxa"/>
            <w:gridSpan w:val="2"/>
            <w:tcBorders>
              <w:top w:val="nil"/>
              <w:left w:val="nil"/>
              <w:bottom w:val="nil"/>
              <w:right w:val="nil"/>
            </w:tcBorders>
            <w:shd w:val="clear" w:color="auto" w:fill="FFFFFF"/>
          </w:tcPr>
          <w:p w14:paraId="1A9DBB96" w14:textId="6FC904D7" w:rsidR="00856E40" w:rsidRPr="0097478B" w:rsidRDefault="00856E40" w:rsidP="0097478B">
            <w:pPr>
              <w:pStyle w:val="CETBodytext"/>
            </w:pPr>
            <w:r w:rsidRPr="0097478B">
              <w:t>Pyxine sp3</w:t>
            </w:r>
          </w:p>
        </w:tc>
        <w:tc>
          <w:tcPr>
            <w:tcW w:w="815" w:type="dxa"/>
            <w:gridSpan w:val="2"/>
            <w:tcBorders>
              <w:top w:val="nil"/>
              <w:left w:val="nil"/>
              <w:bottom w:val="nil"/>
              <w:right w:val="nil"/>
            </w:tcBorders>
            <w:shd w:val="clear" w:color="auto" w:fill="FFFFFF"/>
          </w:tcPr>
          <w:p w14:paraId="303221FD" w14:textId="77777777" w:rsidR="00856E40" w:rsidRPr="0097478B" w:rsidRDefault="00856E40" w:rsidP="0097478B">
            <w:pPr>
              <w:pStyle w:val="CETBodytext"/>
            </w:pPr>
          </w:p>
        </w:tc>
        <w:tc>
          <w:tcPr>
            <w:tcW w:w="815" w:type="dxa"/>
            <w:tcBorders>
              <w:top w:val="nil"/>
              <w:left w:val="nil"/>
              <w:bottom w:val="nil"/>
              <w:right w:val="nil"/>
            </w:tcBorders>
            <w:shd w:val="clear" w:color="auto" w:fill="FFFFFF"/>
          </w:tcPr>
          <w:p w14:paraId="0E4EBF1B" w14:textId="77777777" w:rsidR="00856E40" w:rsidRPr="0097478B" w:rsidRDefault="00856E40" w:rsidP="0097478B">
            <w:pPr>
              <w:pStyle w:val="CETBodytext"/>
            </w:pPr>
            <w:r w:rsidRPr="0097478B">
              <w:t>x</w:t>
            </w:r>
          </w:p>
        </w:tc>
        <w:tc>
          <w:tcPr>
            <w:tcW w:w="815" w:type="dxa"/>
            <w:tcBorders>
              <w:top w:val="nil"/>
              <w:left w:val="nil"/>
              <w:bottom w:val="nil"/>
              <w:right w:val="nil"/>
            </w:tcBorders>
            <w:shd w:val="clear" w:color="auto" w:fill="FFFFFF"/>
          </w:tcPr>
          <w:p w14:paraId="7E061A43" w14:textId="77777777" w:rsidR="00856E40" w:rsidRPr="0097478B" w:rsidRDefault="00856E40" w:rsidP="0097478B">
            <w:pPr>
              <w:pStyle w:val="CETBodytext"/>
            </w:pPr>
            <w:r w:rsidRPr="0097478B">
              <w:t>x</w:t>
            </w:r>
          </w:p>
        </w:tc>
        <w:tc>
          <w:tcPr>
            <w:tcW w:w="815" w:type="dxa"/>
            <w:tcBorders>
              <w:top w:val="nil"/>
              <w:left w:val="nil"/>
              <w:bottom w:val="nil"/>
              <w:right w:val="nil"/>
            </w:tcBorders>
            <w:shd w:val="clear" w:color="auto" w:fill="FFFFFF"/>
          </w:tcPr>
          <w:p w14:paraId="4B2A8A07" w14:textId="77777777" w:rsidR="00856E40" w:rsidRPr="0097478B" w:rsidRDefault="00856E40" w:rsidP="0097478B">
            <w:pPr>
              <w:pStyle w:val="CETBodytext"/>
            </w:pPr>
          </w:p>
        </w:tc>
      </w:tr>
      <w:tr w:rsidR="00856E40" w:rsidRPr="00A34BFD" w14:paraId="1FF157EC" w14:textId="77777777" w:rsidTr="006575DA">
        <w:tc>
          <w:tcPr>
            <w:tcW w:w="1216" w:type="dxa"/>
            <w:gridSpan w:val="2"/>
            <w:vMerge/>
            <w:tcBorders>
              <w:left w:val="nil"/>
              <w:bottom w:val="single" w:sz="4" w:space="0" w:color="008000"/>
              <w:right w:val="nil"/>
            </w:tcBorders>
            <w:shd w:val="clear" w:color="auto" w:fill="FFFFFF"/>
          </w:tcPr>
          <w:p w14:paraId="645D4933" w14:textId="77777777" w:rsidR="00856E40" w:rsidRPr="0097478B" w:rsidRDefault="00856E40" w:rsidP="0097478B">
            <w:pPr>
              <w:pStyle w:val="CETBodytext"/>
            </w:pPr>
          </w:p>
        </w:tc>
        <w:tc>
          <w:tcPr>
            <w:tcW w:w="1784" w:type="dxa"/>
            <w:gridSpan w:val="2"/>
            <w:tcBorders>
              <w:top w:val="nil"/>
              <w:left w:val="nil"/>
              <w:bottom w:val="single" w:sz="4" w:space="0" w:color="008000"/>
              <w:right w:val="nil"/>
            </w:tcBorders>
            <w:shd w:val="clear" w:color="auto" w:fill="FFFFFF"/>
          </w:tcPr>
          <w:p w14:paraId="69CE10B4" w14:textId="77777777" w:rsidR="00856E40" w:rsidRPr="0097478B" w:rsidRDefault="00856E40" w:rsidP="0097478B">
            <w:pPr>
              <w:pStyle w:val="CETBodytext"/>
            </w:pPr>
            <w:r w:rsidRPr="0097478B">
              <w:t>Caliciaceae</w:t>
            </w:r>
          </w:p>
        </w:tc>
        <w:tc>
          <w:tcPr>
            <w:tcW w:w="2529" w:type="dxa"/>
            <w:gridSpan w:val="2"/>
            <w:tcBorders>
              <w:top w:val="nil"/>
              <w:left w:val="nil"/>
              <w:bottom w:val="single" w:sz="4" w:space="0" w:color="008000"/>
              <w:right w:val="nil"/>
            </w:tcBorders>
            <w:shd w:val="clear" w:color="auto" w:fill="FFFFFF"/>
          </w:tcPr>
          <w:p w14:paraId="2163A7CD" w14:textId="6E85877E" w:rsidR="00856E40" w:rsidRPr="0097478B" w:rsidRDefault="00856E40" w:rsidP="0097478B">
            <w:pPr>
              <w:pStyle w:val="CETBodytext"/>
            </w:pPr>
            <w:r w:rsidRPr="0097478B">
              <w:t>Pyxine berteriana</w:t>
            </w:r>
          </w:p>
        </w:tc>
        <w:tc>
          <w:tcPr>
            <w:tcW w:w="815" w:type="dxa"/>
            <w:gridSpan w:val="2"/>
            <w:tcBorders>
              <w:top w:val="nil"/>
              <w:left w:val="nil"/>
              <w:bottom w:val="single" w:sz="4" w:space="0" w:color="008000"/>
              <w:right w:val="nil"/>
            </w:tcBorders>
            <w:shd w:val="clear" w:color="auto" w:fill="FFFFFF"/>
          </w:tcPr>
          <w:p w14:paraId="07293838" w14:textId="77777777" w:rsidR="00856E40" w:rsidRPr="0097478B" w:rsidRDefault="00856E40" w:rsidP="0097478B">
            <w:pPr>
              <w:pStyle w:val="CETBodytext"/>
            </w:pPr>
            <w:r w:rsidRPr="0097478B">
              <w:t>x</w:t>
            </w:r>
          </w:p>
        </w:tc>
        <w:tc>
          <w:tcPr>
            <w:tcW w:w="815" w:type="dxa"/>
            <w:tcBorders>
              <w:top w:val="nil"/>
              <w:left w:val="nil"/>
              <w:bottom w:val="single" w:sz="4" w:space="0" w:color="008000"/>
              <w:right w:val="nil"/>
            </w:tcBorders>
            <w:shd w:val="clear" w:color="auto" w:fill="FFFFFF"/>
          </w:tcPr>
          <w:p w14:paraId="535E8087" w14:textId="77777777" w:rsidR="00856E40" w:rsidRPr="0097478B" w:rsidRDefault="00856E40" w:rsidP="0097478B">
            <w:pPr>
              <w:pStyle w:val="CETBodytext"/>
            </w:pPr>
          </w:p>
        </w:tc>
        <w:tc>
          <w:tcPr>
            <w:tcW w:w="815" w:type="dxa"/>
            <w:tcBorders>
              <w:top w:val="nil"/>
              <w:left w:val="nil"/>
              <w:bottom w:val="single" w:sz="4" w:space="0" w:color="008000"/>
              <w:right w:val="nil"/>
            </w:tcBorders>
            <w:shd w:val="clear" w:color="auto" w:fill="FFFFFF"/>
          </w:tcPr>
          <w:p w14:paraId="6B75A01E" w14:textId="77777777" w:rsidR="00856E40" w:rsidRPr="0097478B" w:rsidRDefault="00856E40" w:rsidP="0097478B">
            <w:pPr>
              <w:pStyle w:val="CETBodytext"/>
            </w:pPr>
          </w:p>
        </w:tc>
        <w:tc>
          <w:tcPr>
            <w:tcW w:w="815" w:type="dxa"/>
            <w:tcBorders>
              <w:top w:val="nil"/>
              <w:left w:val="nil"/>
              <w:bottom w:val="single" w:sz="4" w:space="0" w:color="008000"/>
              <w:right w:val="nil"/>
            </w:tcBorders>
            <w:shd w:val="clear" w:color="auto" w:fill="FFFFFF"/>
          </w:tcPr>
          <w:p w14:paraId="1A8CA061" w14:textId="77777777" w:rsidR="00856E40" w:rsidRPr="0097478B" w:rsidRDefault="00856E40" w:rsidP="0097478B">
            <w:pPr>
              <w:pStyle w:val="CETBodytext"/>
            </w:pPr>
            <w:r w:rsidRPr="0097478B">
              <w:t>x</w:t>
            </w:r>
          </w:p>
        </w:tc>
      </w:tr>
      <w:tr w:rsidR="00856E40" w:rsidRPr="00A34BFD" w14:paraId="78760873" w14:textId="77777777" w:rsidTr="006575DA">
        <w:tc>
          <w:tcPr>
            <w:tcW w:w="1216" w:type="dxa"/>
            <w:gridSpan w:val="2"/>
            <w:vMerge w:val="restart"/>
            <w:tcBorders>
              <w:top w:val="single" w:sz="4" w:space="0" w:color="008000"/>
              <w:left w:val="nil"/>
              <w:bottom w:val="nil"/>
              <w:right w:val="nil"/>
            </w:tcBorders>
            <w:shd w:val="clear" w:color="auto" w:fill="FFFFFF"/>
          </w:tcPr>
          <w:p w14:paraId="08C6B26F" w14:textId="4E3D4AC8" w:rsidR="00856E40" w:rsidRPr="0097478B" w:rsidRDefault="00856E40" w:rsidP="0097478B">
            <w:pPr>
              <w:pStyle w:val="CETBodytext"/>
            </w:pPr>
            <w:r w:rsidRPr="0097478B">
              <w:t>Frutic</w:t>
            </w:r>
            <w:r w:rsidR="00990330" w:rsidRPr="0097478B">
              <w:t>ose</w:t>
            </w:r>
          </w:p>
        </w:tc>
        <w:tc>
          <w:tcPr>
            <w:tcW w:w="1784" w:type="dxa"/>
            <w:gridSpan w:val="2"/>
            <w:tcBorders>
              <w:top w:val="single" w:sz="4" w:space="0" w:color="008000"/>
              <w:left w:val="nil"/>
              <w:bottom w:val="nil"/>
              <w:right w:val="nil"/>
            </w:tcBorders>
            <w:shd w:val="clear" w:color="auto" w:fill="FFFFFF"/>
          </w:tcPr>
          <w:p w14:paraId="49B7FA8E" w14:textId="77777777" w:rsidR="00856E40" w:rsidRPr="0097478B" w:rsidRDefault="00856E40" w:rsidP="0097478B">
            <w:pPr>
              <w:pStyle w:val="CETBodytext"/>
            </w:pPr>
            <w:r w:rsidRPr="0097478B">
              <w:t>Ramalinaceae</w:t>
            </w:r>
          </w:p>
        </w:tc>
        <w:tc>
          <w:tcPr>
            <w:tcW w:w="2529" w:type="dxa"/>
            <w:gridSpan w:val="2"/>
            <w:tcBorders>
              <w:top w:val="single" w:sz="4" w:space="0" w:color="008000"/>
              <w:left w:val="nil"/>
              <w:bottom w:val="nil"/>
              <w:right w:val="nil"/>
            </w:tcBorders>
            <w:shd w:val="clear" w:color="auto" w:fill="FFFFFF"/>
          </w:tcPr>
          <w:p w14:paraId="3213F633" w14:textId="73BB206D" w:rsidR="00856E40" w:rsidRPr="0097478B" w:rsidRDefault="00856E40" w:rsidP="0097478B">
            <w:pPr>
              <w:pStyle w:val="CETBodytext"/>
            </w:pPr>
            <w:r w:rsidRPr="0097478B">
              <w:t>Ramalina celastri</w:t>
            </w:r>
          </w:p>
        </w:tc>
        <w:tc>
          <w:tcPr>
            <w:tcW w:w="815" w:type="dxa"/>
            <w:gridSpan w:val="2"/>
            <w:tcBorders>
              <w:top w:val="single" w:sz="4" w:space="0" w:color="008000"/>
              <w:left w:val="nil"/>
              <w:bottom w:val="nil"/>
              <w:right w:val="nil"/>
            </w:tcBorders>
            <w:shd w:val="clear" w:color="auto" w:fill="FFFFFF"/>
          </w:tcPr>
          <w:p w14:paraId="42D8C97C" w14:textId="77777777" w:rsidR="00856E40" w:rsidRPr="0097478B" w:rsidRDefault="00856E40" w:rsidP="0097478B">
            <w:pPr>
              <w:pStyle w:val="CETBodytext"/>
            </w:pPr>
          </w:p>
        </w:tc>
        <w:tc>
          <w:tcPr>
            <w:tcW w:w="815" w:type="dxa"/>
            <w:tcBorders>
              <w:top w:val="single" w:sz="4" w:space="0" w:color="008000"/>
              <w:left w:val="nil"/>
              <w:bottom w:val="nil"/>
              <w:right w:val="nil"/>
            </w:tcBorders>
            <w:shd w:val="clear" w:color="auto" w:fill="FFFFFF"/>
          </w:tcPr>
          <w:p w14:paraId="11B6746A" w14:textId="77777777" w:rsidR="00856E40" w:rsidRPr="0097478B" w:rsidRDefault="00856E40" w:rsidP="0097478B">
            <w:pPr>
              <w:pStyle w:val="CETBodytext"/>
            </w:pPr>
          </w:p>
        </w:tc>
        <w:tc>
          <w:tcPr>
            <w:tcW w:w="815" w:type="dxa"/>
            <w:tcBorders>
              <w:top w:val="single" w:sz="4" w:space="0" w:color="008000"/>
              <w:left w:val="nil"/>
              <w:bottom w:val="nil"/>
              <w:right w:val="nil"/>
            </w:tcBorders>
            <w:shd w:val="clear" w:color="auto" w:fill="FFFFFF"/>
          </w:tcPr>
          <w:p w14:paraId="1F9CBC3C" w14:textId="77777777" w:rsidR="00856E40" w:rsidRPr="0097478B" w:rsidRDefault="00856E40" w:rsidP="0097478B">
            <w:pPr>
              <w:pStyle w:val="CETBodytext"/>
            </w:pPr>
            <w:r w:rsidRPr="0097478B">
              <w:t>x</w:t>
            </w:r>
          </w:p>
        </w:tc>
        <w:tc>
          <w:tcPr>
            <w:tcW w:w="815" w:type="dxa"/>
            <w:tcBorders>
              <w:top w:val="single" w:sz="4" w:space="0" w:color="008000"/>
              <w:left w:val="nil"/>
              <w:bottom w:val="nil"/>
              <w:right w:val="nil"/>
            </w:tcBorders>
            <w:shd w:val="clear" w:color="auto" w:fill="FFFFFF"/>
          </w:tcPr>
          <w:p w14:paraId="5AEE0656" w14:textId="77777777" w:rsidR="00856E40" w:rsidRPr="0097478B" w:rsidRDefault="00856E40" w:rsidP="0097478B">
            <w:pPr>
              <w:pStyle w:val="CETBodytext"/>
            </w:pPr>
          </w:p>
        </w:tc>
      </w:tr>
      <w:tr w:rsidR="00856E40" w:rsidRPr="00A34BFD" w14:paraId="3846958F" w14:textId="77777777" w:rsidTr="006575DA">
        <w:trPr>
          <w:trHeight w:val="66"/>
        </w:trPr>
        <w:tc>
          <w:tcPr>
            <w:tcW w:w="1216" w:type="dxa"/>
            <w:gridSpan w:val="2"/>
            <w:vMerge/>
            <w:tcBorders>
              <w:top w:val="nil"/>
              <w:left w:val="nil"/>
              <w:right w:val="nil"/>
            </w:tcBorders>
            <w:shd w:val="clear" w:color="auto" w:fill="FFFFFF"/>
          </w:tcPr>
          <w:p w14:paraId="632F239A" w14:textId="77777777" w:rsidR="00856E40" w:rsidRPr="0097478B" w:rsidRDefault="00856E40" w:rsidP="0097478B">
            <w:pPr>
              <w:pStyle w:val="CETBodytext"/>
            </w:pPr>
          </w:p>
        </w:tc>
        <w:tc>
          <w:tcPr>
            <w:tcW w:w="1784" w:type="dxa"/>
            <w:gridSpan w:val="2"/>
            <w:tcBorders>
              <w:top w:val="nil"/>
              <w:left w:val="nil"/>
              <w:bottom w:val="nil"/>
              <w:right w:val="nil"/>
            </w:tcBorders>
            <w:shd w:val="clear" w:color="auto" w:fill="FFFFFF"/>
          </w:tcPr>
          <w:p w14:paraId="2275C6A7" w14:textId="77777777" w:rsidR="00856E40" w:rsidRPr="0097478B" w:rsidRDefault="00856E40" w:rsidP="0097478B">
            <w:pPr>
              <w:pStyle w:val="CETBodytext"/>
            </w:pPr>
            <w:r w:rsidRPr="0097478B">
              <w:t>Ramalinaceae</w:t>
            </w:r>
          </w:p>
        </w:tc>
        <w:tc>
          <w:tcPr>
            <w:tcW w:w="2529" w:type="dxa"/>
            <w:gridSpan w:val="2"/>
            <w:tcBorders>
              <w:top w:val="nil"/>
              <w:left w:val="nil"/>
              <w:bottom w:val="nil"/>
              <w:right w:val="nil"/>
            </w:tcBorders>
            <w:shd w:val="clear" w:color="auto" w:fill="FFFFFF"/>
          </w:tcPr>
          <w:p w14:paraId="1B52CA3D" w14:textId="1F9BD0D9" w:rsidR="00856E40" w:rsidRPr="0097478B" w:rsidRDefault="00856E40" w:rsidP="0097478B">
            <w:pPr>
              <w:pStyle w:val="CETBodytext"/>
            </w:pPr>
            <w:r w:rsidRPr="0097478B">
              <w:t>Ramalina peruviana</w:t>
            </w:r>
          </w:p>
        </w:tc>
        <w:tc>
          <w:tcPr>
            <w:tcW w:w="815" w:type="dxa"/>
            <w:gridSpan w:val="2"/>
            <w:tcBorders>
              <w:top w:val="nil"/>
              <w:left w:val="nil"/>
              <w:bottom w:val="nil"/>
              <w:right w:val="nil"/>
            </w:tcBorders>
            <w:shd w:val="clear" w:color="auto" w:fill="FFFFFF"/>
          </w:tcPr>
          <w:p w14:paraId="52254A45" w14:textId="77777777" w:rsidR="00856E40" w:rsidRPr="0097478B" w:rsidRDefault="00856E40" w:rsidP="0097478B">
            <w:pPr>
              <w:pStyle w:val="CETBodytext"/>
            </w:pPr>
          </w:p>
        </w:tc>
        <w:tc>
          <w:tcPr>
            <w:tcW w:w="815" w:type="dxa"/>
            <w:tcBorders>
              <w:top w:val="nil"/>
              <w:left w:val="nil"/>
              <w:bottom w:val="nil"/>
              <w:right w:val="nil"/>
            </w:tcBorders>
            <w:shd w:val="clear" w:color="auto" w:fill="FFFFFF"/>
          </w:tcPr>
          <w:p w14:paraId="7B9F172C" w14:textId="77777777" w:rsidR="00856E40" w:rsidRPr="0097478B" w:rsidRDefault="00856E40" w:rsidP="0097478B">
            <w:pPr>
              <w:pStyle w:val="CETBodytext"/>
            </w:pPr>
          </w:p>
        </w:tc>
        <w:tc>
          <w:tcPr>
            <w:tcW w:w="815" w:type="dxa"/>
            <w:tcBorders>
              <w:top w:val="nil"/>
              <w:left w:val="nil"/>
              <w:bottom w:val="nil"/>
              <w:right w:val="nil"/>
            </w:tcBorders>
            <w:shd w:val="clear" w:color="auto" w:fill="FFFFFF"/>
          </w:tcPr>
          <w:p w14:paraId="2148F895" w14:textId="77777777" w:rsidR="00856E40" w:rsidRPr="0097478B" w:rsidRDefault="00856E40" w:rsidP="0097478B">
            <w:pPr>
              <w:pStyle w:val="CETBodytext"/>
            </w:pPr>
          </w:p>
        </w:tc>
        <w:tc>
          <w:tcPr>
            <w:tcW w:w="815" w:type="dxa"/>
            <w:tcBorders>
              <w:top w:val="nil"/>
              <w:left w:val="nil"/>
              <w:bottom w:val="nil"/>
              <w:right w:val="nil"/>
            </w:tcBorders>
            <w:shd w:val="clear" w:color="auto" w:fill="FFFFFF"/>
          </w:tcPr>
          <w:p w14:paraId="077540E0" w14:textId="77777777" w:rsidR="00856E40" w:rsidRPr="0097478B" w:rsidRDefault="00856E40" w:rsidP="0097478B">
            <w:pPr>
              <w:pStyle w:val="CETBodytext"/>
            </w:pPr>
            <w:r w:rsidRPr="0097478B">
              <w:t>x</w:t>
            </w:r>
          </w:p>
        </w:tc>
      </w:tr>
      <w:tr w:rsidR="00856E40" w:rsidRPr="00A34BFD" w14:paraId="21326E85" w14:textId="77777777" w:rsidTr="006575DA">
        <w:tc>
          <w:tcPr>
            <w:tcW w:w="1216" w:type="dxa"/>
            <w:gridSpan w:val="2"/>
            <w:vMerge/>
            <w:tcBorders>
              <w:left w:val="nil"/>
              <w:bottom w:val="single" w:sz="12" w:space="0" w:color="008000"/>
              <w:right w:val="nil"/>
            </w:tcBorders>
            <w:shd w:val="clear" w:color="auto" w:fill="FFFFFF"/>
          </w:tcPr>
          <w:p w14:paraId="06E47408" w14:textId="77777777" w:rsidR="00856E40" w:rsidRPr="0097478B" w:rsidRDefault="00856E40" w:rsidP="0097478B">
            <w:pPr>
              <w:pStyle w:val="CETBodytext"/>
            </w:pPr>
          </w:p>
        </w:tc>
        <w:tc>
          <w:tcPr>
            <w:tcW w:w="1784" w:type="dxa"/>
            <w:gridSpan w:val="2"/>
            <w:tcBorders>
              <w:top w:val="nil"/>
              <w:left w:val="nil"/>
              <w:bottom w:val="single" w:sz="12" w:space="0" w:color="008000"/>
              <w:right w:val="nil"/>
            </w:tcBorders>
            <w:shd w:val="clear" w:color="auto" w:fill="FFFFFF"/>
          </w:tcPr>
          <w:p w14:paraId="05440BA9" w14:textId="77777777" w:rsidR="00856E40" w:rsidRPr="0097478B" w:rsidRDefault="00856E40" w:rsidP="0097478B">
            <w:pPr>
              <w:pStyle w:val="CETBodytext"/>
            </w:pPr>
            <w:r w:rsidRPr="0097478B">
              <w:t>Teloschistaceae</w:t>
            </w:r>
          </w:p>
        </w:tc>
        <w:tc>
          <w:tcPr>
            <w:tcW w:w="2529" w:type="dxa"/>
            <w:gridSpan w:val="2"/>
            <w:tcBorders>
              <w:top w:val="nil"/>
              <w:left w:val="nil"/>
              <w:bottom w:val="single" w:sz="12" w:space="0" w:color="008000"/>
              <w:right w:val="nil"/>
            </w:tcBorders>
            <w:shd w:val="clear" w:color="auto" w:fill="FFFFFF"/>
          </w:tcPr>
          <w:p w14:paraId="1E800114" w14:textId="530C72AF" w:rsidR="00856E40" w:rsidRPr="0097478B" w:rsidRDefault="00856E40" w:rsidP="0097478B">
            <w:pPr>
              <w:pStyle w:val="CETBodytext"/>
            </w:pPr>
            <w:r w:rsidRPr="0097478B">
              <w:t>Teloschistes sp.</w:t>
            </w:r>
          </w:p>
        </w:tc>
        <w:tc>
          <w:tcPr>
            <w:tcW w:w="815" w:type="dxa"/>
            <w:gridSpan w:val="2"/>
            <w:tcBorders>
              <w:top w:val="nil"/>
              <w:left w:val="nil"/>
              <w:bottom w:val="single" w:sz="12" w:space="0" w:color="008000"/>
              <w:right w:val="nil"/>
            </w:tcBorders>
            <w:shd w:val="clear" w:color="auto" w:fill="FFFFFF"/>
          </w:tcPr>
          <w:p w14:paraId="2FB615F6" w14:textId="77777777" w:rsidR="00856E40" w:rsidRPr="0097478B" w:rsidRDefault="00856E40" w:rsidP="0097478B">
            <w:pPr>
              <w:pStyle w:val="CETBodytext"/>
            </w:pPr>
          </w:p>
        </w:tc>
        <w:tc>
          <w:tcPr>
            <w:tcW w:w="815" w:type="dxa"/>
            <w:tcBorders>
              <w:top w:val="nil"/>
              <w:left w:val="nil"/>
              <w:bottom w:val="single" w:sz="12" w:space="0" w:color="008000"/>
              <w:right w:val="nil"/>
            </w:tcBorders>
            <w:shd w:val="clear" w:color="auto" w:fill="FFFFFF"/>
          </w:tcPr>
          <w:p w14:paraId="777552F5" w14:textId="77777777" w:rsidR="00856E40" w:rsidRPr="0097478B" w:rsidRDefault="00856E40" w:rsidP="0097478B">
            <w:pPr>
              <w:pStyle w:val="CETBodytext"/>
            </w:pPr>
            <w:r w:rsidRPr="0097478B">
              <w:t>x</w:t>
            </w:r>
          </w:p>
        </w:tc>
        <w:tc>
          <w:tcPr>
            <w:tcW w:w="815" w:type="dxa"/>
            <w:tcBorders>
              <w:top w:val="nil"/>
              <w:left w:val="nil"/>
              <w:bottom w:val="single" w:sz="12" w:space="0" w:color="008000"/>
              <w:right w:val="nil"/>
            </w:tcBorders>
            <w:shd w:val="clear" w:color="auto" w:fill="FFFFFF"/>
          </w:tcPr>
          <w:p w14:paraId="6AFC83FA" w14:textId="77777777" w:rsidR="00856E40" w:rsidRPr="0097478B" w:rsidRDefault="00856E40" w:rsidP="0097478B">
            <w:pPr>
              <w:pStyle w:val="CETBodytext"/>
            </w:pPr>
            <w:r w:rsidRPr="0097478B">
              <w:t>x</w:t>
            </w:r>
          </w:p>
        </w:tc>
        <w:tc>
          <w:tcPr>
            <w:tcW w:w="815" w:type="dxa"/>
            <w:tcBorders>
              <w:top w:val="nil"/>
              <w:left w:val="nil"/>
              <w:bottom w:val="single" w:sz="12" w:space="0" w:color="008000"/>
              <w:right w:val="nil"/>
            </w:tcBorders>
            <w:shd w:val="clear" w:color="auto" w:fill="FFFFFF"/>
          </w:tcPr>
          <w:p w14:paraId="745FFB23" w14:textId="77777777" w:rsidR="00856E40" w:rsidRPr="0097478B" w:rsidRDefault="00856E40" w:rsidP="0097478B">
            <w:pPr>
              <w:pStyle w:val="CETBodytext"/>
            </w:pPr>
          </w:p>
        </w:tc>
      </w:tr>
      <w:tr w:rsidR="00856E40" w:rsidRPr="00A34BFD" w14:paraId="4C513A2F" w14:textId="77777777" w:rsidTr="006575DA">
        <w:trPr>
          <w:gridAfter w:val="4"/>
          <w:wAfter w:w="2835" w:type="dxa"/>
        </w:trPr>
        <w:tc>
          <w:tcPr>
            <w:tcW w:w="993" w:type="dxa"/>
            <w:tcBorders>
              <w:top w:val="nil"/>
              <w:left w:val="nil"/>
              <w:bottom w:val="nil"/>
              <w:right w:val="nil"/>
            </w:tcBorders>
            <w:shd w:val="clear" w:color="auto" w:fill="FFFFFF"/>
          </w:tcPr>
          <w:p w14:paraId="26C6A116" w14:textId="77777777" w:rsidR="00614F54" w:rsidRPr="00A34BFD" w:rsidRDefault="00614F54" w:rsidP="006575DA">
            <w:pPr>
              <w:pStyle w:val="CETBodytext"/>
              <w:spacing w:line="240" w:lineRule="auto"/>
              <w:rPr>
                <w:lang w:val="en-GB"/>
              </w:rPr>
            </w:pPr>
          </w:p>
        </w:tc>
        <w:tc>
          <w:tcPr>
            <w:tcW w:w="1701" w:type="dxa"/>
            <w:gridSpan w:val="2"/>
            <w:tcBorders>
              <w:top w:val="nil"/>
              <w:left w:val="nil"/>
              <w:bottom w:val="nil"/>
              <w:right w:val="nil"/>
            </w:tcBorders>
            <w:shd w:val="clear" w:color="auto" w:fill="FFFFFF"/>
          </w:tcPr>
          <w:p w14:paraId="2D1E8862" w14:textId="77777777" w:rsidR="00856E40" w:rsidRPr="00A34BFD" w:rsidRDefault="00856E40" w:rsidP="006575DA">
            <w:pPr>
              <w:pStyle w:val="CETBodytext"/>
              <w:spacing w:line="240" w:lineRule="auto"/>
              <w:rPr>
                <w:lang w:val="en-GB"/>
              </w:rPr>
            </w:pPr>
          </w:p>
        </w:tc>
        <w:tc>
          <w:tcPr>
            <w:tcW w:w="1843" w:type="dxa"/>
            <w:gridSpan w:val="2"/>
            <w:tcBorders>
              <w:top w:val="nil"/>
              <w:left w:val="nil"/>
              <w:bottom w:val="nil"/>
              <w:right w:val="nil"/>
            </w:tcBorders>
            <w:shd w:val="clear" w:color="auto" w:fill="FFFFFF"/>
          </w:tcPr>
          <w:p w14:paraId="0762E4B5" w14:textId="13202192" w:rsidR="00856E40" w:rsidRPr="00A34BFD" w:rsidRDefault="00856E40" w:rsidP="006575DA">
            <w:pPr>
              <w:pStyle w:val="CETBodytext"/>
              <w:spacing w:line="240" w:lineRule="auto"/>
              <w:ind w:right="-1"/>
              <w:rPr>
                <w:rFonts w:cs="Arial"/>
                <w:szCs w:val="18"/>
                <w:lang w:val="en-GB"/>
              </w:rPr>
            </w:pPr>
          </w:p>
        </w:tc>
        <w:tc>
          <w:tcPr>
            <w:tcW w:w="1417" w:type="dxa"/>
            <w:gridSpan w:val="2"/>
            <w:tcBorders>
              <w:top w:val="nil"/>
              <w:left w:val="nil"/>
              <w:bottom w:val="nil"/>
              <w:right w:val="nil"/>
            </w:tcBorders>
            <w:shd w:val="clear" w:color="auto" w:fill="FFFFFF"/>
          </w:tcPr>
          <w:p w14:paraId="77ECA3B4" w14:textId="77777777" w:rsidR="00856E40" w:rsidRPr="00A34BFD" w:rsidRDefault="00856E40" w:rsidP="006575DA">
            <w:pPr>
              <w:pStyle w:val="CETBodytext"/>
              <w:spacing w:line="240" w:lineRule="auto"/>
              <w:rPr>
                <w:lang w:val="en-GB"/>
              </w:rPr>
            </w:pPr>
          </w:p>
        </w:tc>
      </w:tr>
    </w:tbl>
    <w:p w14:paraId="6331F869" w14:textId="4B0D98B0" w:rsidR="00856E40" w:rsidRPr="00856E40" w:rsidRDefault="00856E40" w:rsidP="00B4633C">
      <w:pPr>
        <w:pStyle w:val="CETBodytext"/>
      </w:pPr>
      <w:r w:rsidRPr="00856E40">
        <w:t xml:space="preserve">The </w:t>
      </w:r>
      <w:r w:rsidR="00895FD0">
        <w:t>IAP</w:t>
      </w:r>
      <w:r w:rsidRPr="00856E40">
        <w:t xml:space="preserve"> values found for each sampled point are shown in </w:t>
      </w:r>
      <w:r w:rsidR="00281F37">
        <w:t>F</w:t>
      </w:r>
      <w:r w:rsidRPr="00856E40">
        <w:t>igure 2, being point 4 –</w:t>
      </w:r>
      <w:r w:rsidR="007E1B22">
        <w:t xml:space="preserve"> </w:t>
      </w:r>
      <w:r w:rsidRPr="00856E40">
        <w:t>São Roque</w:t>
      </w:r>
      <w:r w:rsidR="007E1B22" w:rsidRPr="007E1B22">
        <w:t xml:space="preserve"> </w:t>
      </w:r>
      <w:r w:rsidR="007E1B22">
        <w:t>street</w:t>
      </w:r>
      <w:r w:rsidRPr="00856E40">
        <w:t xml:space="preserve">, the point with the highest value of </w:t>
      </w:r>
      <w:r w:rsidR="00CF282A">
        <w:t>IAP</w:t>
      </w:r>
      <w:r w:rsidRPr="00856E40">
        <w:t xml:space="preserve"> (31.45) and point 1 –</w:t>
      </w:r>
      <w:r w:rsidR="007E1B22">
        <w:t xml:space="preserve"> </w:t>
      </w:r>
      <w:r w:rsidRPr="00856E40">
        <w:t>Áurea Pinheiro</w:t>
      </w:r>
      <w:r w:rsidR="007E1B22" w:rsidRPr="007E1B22">
        <w:t xml:space="preserve"> </w:t>
      </w:r>
      <w:r w:rsidR="007E1B22">
        <w:t>street</w:t>
      </w:r>
      <w:r w:rsidRPr="00856E40">
        <w:t xml:space="preserve">, the lowest value of </w:t>
      </w:r>
      <w:r w:rsidR="00CF282A">
        <w:t>IAP</w:t>
      </w:r>
      <w:r w:rsidRPr="00856E40">
        <w:t xml:space="preserve"> (7.91).</w:t>
      </w:r>
    </w:p>
    <w:p w14:paraId="0F13BE19" w14:textId="0FC34260" w:rsidR="00783569" w:rsidRDefault="009D0BFF" w:rsidP="00783569">
      <w:pPr>
        <w:spacing w:line="240" w:lineRule="auto"/>
        <w:rPr>
          <w:rFonts w:cs="Arial"/>
          <w:lang w:val="en-US"/>
        </w:rPr>
      </w:pPr>
      <w:r w:rsidRPr="007A66DB">
        <w:rPr>
          <w:rFonts w:cs="Arial"/>
          <w:noProof/>
          <w:lang w:val="pt-BR" w:eastAsia="pt-BR"/>
        </w:rPr>
        <mc:AlternateContent>
          <mc:Choice Requires="wps">
            <w:drawing>
              <wp:anchor distT="45720" distB="45720" distL="114300" distR="114300" simplePos="0" relativeHeight="251662336" behindDoc="0" locked="0" layoutInCell="1" allowOverlap="1" wp14:anchorId="19D6BE53" wp14:editId="54EDDB70">
                <wp:simplePos x="0" y="0"/>
                <wp:positionH relativeFrom="column">
                  <wp:posOffset>126365</wp:posOffset>
                </wp:positionH>
                <wp:positionV relativeFrom="paragraph">
                  <wp:posOffset>1989455</wp:posOffset>
                </wp:positionV>
                <wp:extent cx="586740" cy="209550"/>
                <wp:effectExtent l="0" t="0" r="381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209550"/>
                        </a:xfrm>
                        <a:prstGeom prst="rect">
                          <a:avLst/>
                        </a:prstGeom>
                        <a:solidFill>
                          <a:srgbClr val="FFFFFF"/>
                        </a:solidFill>
                        <a:ln w="9525">
                          <a:noFill/>
                          <a:miter lim="800000"/>
                          <a:headEnd/>
                          <a:tailEnd/>
                        </a:ln>
                      </wps:spPr>
                      <wps:txbx>
                        <w:txbxContent>
                          <w:p w14:paraId="0ABFA12F" w14:textId="77777777" w:rsidR="007A66DB" w:rsidRPr="00783569" w:rsidRDefault="007A66DB">
                            <w:pPr>
                              <w:rPr>
                                <w:sz w:val="16"/>
                                <w:szCs w:val="16"/>
                                <w:lang w:val="pt-BR"/>
                              </w:rPr>
                            </w:pPr>
                            <w:r w:rsidRPr="00783569">
                              <w:rPr>
                                <w:sz w:val="16"/>
                                <w:szCs w:val="16"/>
                              </w:rPr>
                              <w:t>Point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D6BE53" id="_x0000_t202" coordsize="21600,21600" o:spt="202" path="m,l,21600r21600,l21600,xe">
                <v:stroke joinstyle="miter"/>
                <v:path gradientshapeok="t" o:connecttype="rect"/>
              </v:shapetype>
              <v:shape id="Caixa de Texto 2" o:spid="_x0000_s1026" type="#_x0000_t202" style="position:absolute;left:0;text-align:left;margin-left:9.95pt;margin-top:156.65pt;width:46.2pt;height:16.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" stroked="f">
                <v:textbox>
                  <w:txbxContent>
                    <w:p w14:paraId="0ABFA12F" w14:textId="77777777" w:rsidR="007A66DB" w:rsidRPr="00783569" w:rsidRDefault="007A66DB">
                      <w:pPr>
                        <w:rPr>
                          <w:sz w:val="16"/>
                          <w:szCs w:val="16"/>
                          <w:lang w:val="pt-BR"/>
                        </w:rPr>
                      </w:pPr>
                      <w:r w:rsidRPr="00783569">
                        <w:rPr>
                          <w:sz w:val="16"/>
                          <w:szCs w:val="16"/>
                        </w:rPr>
                        <w:t>Point 1</w:t>
                      </w:r>
                    </w:p>
                  </w:txbxContent>
                </v:textbox>
                <w10:wrap type="square"/>
              </v:shape>
            </w:pict>
          </mc:Fallback>
        </mc:AlternateContent>
      </w:r>
      <w:r w:rsidRPr="007A66DB">
        <w:rPr>
          <w:rFonts w:cs="Arial"/>
          <w:noProof/>
          <w:lang w:val="pt-BR" w:eastAsia="pt-BR"/>
        </w:rPr>
        <mc:AlternateContent>
          <mc:Choice Requires="wps">
            <w:drawing>
              <wp:anchor distT="45720" distB="45720" distL="114300" distR="114300" simplePos="0" relativeHeight="251664384" behindDoc="0" locked="0" layoutInCell="1" allowOverlap="1" wp14:anchorId="05AF6185" wp14:editId="4EC7A946">
                <wp:simplePos x="0" y="0"/>
                <wp:positionH relativeFrom="column">
                  <wp:posOffset>793750</wp:posOffset>
                </wp:positionH>
                <wp:positionV relativeFrom="paragraph">
                  <wp:posOffset>1995805</wp:posOffset>
                </wp:positionV>
                <wp:extent cx="586740" cy="203835"/>
                <wp:effectExtent l="0" t="0" r="3810" b="5715"/>
                <wp:wrapSquare wrapText="bothSides"/>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203835"/>
                        </a:xfrm>
                        <a:prstGeom prst="rect">
                          <a:avLst/>
                        </a:prstGeom>
                        <a:solidFill>
                          <a:srgbClr val="FFFFFF"/>
                        </a:solidFill>
                        <a:ln w="9525">
                          <a:noFill/>
                          <a:miter lim="800000"/>
                          <a:headEnd/>
                          <a:tailEnd/>
                        </a:ln>
                      </wps:spPr>
                      <wps:txbx>
                        <w:txbxContent>
                          <w:p w14:paraId="058A36E8" w14:textId="77777777" w:rsidR="007A66DB" w:rsidRPr="00783569" w:rsidRDefault="007A66DB" w:rsidP="007A66DB">
                            <w:pPr>
                              <w:rPr>
                                <w:sz w:val="16"/>
                                <w:szCs w:val="16"/>
                                <w:lang w:val="pt-BR"/>
                              </w:rPr>
                            </w:pPr>
                            <w:r w:rsidRPr="00783569">
                              <w:rPr>
                                <w:sz w:val="16"/>
                                <w:szCs w:val="16"/>
                              </w:rPr>
                              <w:t>Point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AF6185" id="_x0000_s1027" type="#_x0000_t202" style="position:absolute;left:0;text-align:left;margin-left:62.5pt;margin-top:157.15pt;width:46.2pt;height:16.0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" stroked="f">
                <v:textbox>
                  <w:txbxContent>
                    <w:p w14:paraId="058A36E8" w14:textId="77777777" w:rsidR="007A66DB" w:rsidRPr="00783569" w:rsidRDefault="007A66DB" w:rsidP="007A66DB">
                      <w:pPr>
                        <w:rPr>
                          <w:sz w:val="16"/>
                          <w:szCs w:val="16"/>
                          <w:lang w:val="pt-BR"/>
                        </w:rPr>
                      </w:pPr>
                      <w:r w:rsidRPr="00783569">
                        <w:rPr>
                          <w:sz w:val="16"/>
                          <w:szCs w:val="16"/>
                        </w:rPr>
                        <w:t>Point 2</w:t>
                      </w:r>
                    </w:p>
                  </w:txbxContent>
                </v:textbox>
                <w10:wrap type="square"/>
              </v:shape>
            </w:pict>
          </mc:Fallback>
        </mc:AlternateContent>
      </w:r>
      <w:r w:rsidRPr="007A66DB">
        <w:rPr>
          <w:rFonts w:cs="Arial"/>
          <w:noProof/>
          <w:lang w:val="pt-BR" w:eastAsia="pt-BR"/>
        </w:rPr>
        <mc:AlternateContent>
          <mc:Choice Requires="wps">
            <w:drawing>
              <wp:anchor distT="45720" distB="45720" distL="114300" distR="114300" simplePos="0" relativeHeight="251667456" behindDoc="0" locked="0" layoutInCell="1" allowOverlap="1" wp14:anchorId="443A3895" wp14:editId="1AF1BFB7">
                <wp:simplePos x="0" y="0"/>
                <wp:positionH relativeFrom="column">
                  <wp:posOffset>2196465</wp:posOffset>
                </wp:positionH>
                <wp:positionV relativeFrom="paragraph">
                  <wp:posOffset>1994535</wp:posOffset>
                </wp:positionV>
                <wp:extent cx="586740" cy="227965"/>
                <wp:effectExtent l="0" t="0" r="3810" b="635"/>
                <wp:wrapSquare wrapText="bothSides"/>
                <wp:docPr id="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227965"/>
                        </a:xfrm>
                        <a:prstGeom prst="rect">
                          <a:avLst/>
                        </a:prstGeom>
                        <a:solidFill>
                          <a:srgbClr val="FFFFFF"/>
                        </a:solidFill>
                        <a:ln w="9525">
                          <a:noFill/>
                          <a:miter lim="800000"/>
                          <a:headEnd/>
                          <a:tailEnd/>
                        </a:ln>
                      </wps:spPr>
                      <wps:txbx>
                        <w:txbxContent>
                          <w:p w14:paraId="66B51A56" w14:textId="77777777" w:rsidR="007A66DB" w:rsidRPr="00783569" w:rsidRDefault="007A66DB" w:rsidP="007A66DB">
                            <w:pPr>
                              <w:rPr>
                                <w:sz w:val="16"/>
                                <w:szCs w:val="16"/>
                                <w:lang w:val="pt-BR"/>
                              </w:rPr>
                            </w:pPr>
                            <w:r w:rsidRPr="00783569">
                              <w:rPr>
                                <w:sz w:val="16"/>
                                <w:szCs w:val="16"/>
                              </w:rPr>
                              <w:t xml:space="preserve">Point </w:t>
                            </w:r>
                            <w:r w:rsidR="00783569" w:rsidRPr="00783569">
                              <w:rPr>
                                <w:sz w:val="16"/>
                                <w:szCs w:val="16"/>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3A3895" id="_x0000_s1028" type="#_x0000_t202" style="position:absolute;left:0;text-align:left;margin-left:172.95pt;margin-top:157.05pt;width:46.2pt;height:17.9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" stroked="f">
                <v:textbox>
                  <w:txbxContent>
                    <w:p w14:paraId="66B51A56" w14:textId="77777777" w:rsidR="007A66DB" w:rsidRPr="00783569" w:rsidRDefault="007A66DB" w:rsidP="007A66DB">
                      <w:pPr>
                        <w:rPr>
                          <w:sz w:val="16"/>
                          <w:szCs w:val="16"/>
                          <w:lang w:val="pt-BR"/>
                        </w:rPr>
                      </w:pPr>
                      <w:r w:rsidRPr="00783569">
                        <w:rPr>
                          <w:sz w:val="16"/>
                          <w:szCs w:val="16"/>
                        </w:rPr>
                        <w:t xml:space="preserve">Point </w:t>
                      </w:r>
                      <w:r w:rsidR="00783569" w:rsidRPr="00783569">
                        <w:rPr>
                          <w:sz w:val="16"/>
                          <w:szCs w:val="16"/>
                        </w:rPr>
                        <w:t>4</w:t>
                      </w:r>
                    </w:p>
                  </w:txbxContent>
                </v:textbox>
                <w10:wrap type="square"/>
              </v:shape>
            </w:pict>
          </mc:Fallback>
        </mc:AlternateContent>
      </w:r>
      <w:r w:rsidRPr="007A66DB">
        <w:rPr>
          <w:rFonts w:cs="Arial"/>
          <w:noProof/>
          <w:lang w:val="pt-BR" w:eastAsia="pt-BR"/>
        </w:rPr>
        <mc:AlternateContent>
          <mc:Choice Requires="wps">
            <w:drawing>
              <wp:anchor distT="45720" distB="45720" distL="114300" distR="114300" simplePos="0" relativeHeight="251666432" behindDoc="0" locked="0" layoutInCell="1" allowOverlap="1" wp14:anchorId="1C2DDB16" wp14:editId="47549F47">
                <wp:simplePos x="0" y="0"/>
                <wp:positionH relativeFrom="column">
                  <wp:posOffset>1466215</wp:posOffset>
                </wp:positionH>
                <wp:positionV relativeFrom="paragraph">
                  <wp:posOffset>1989455</wp:posOffset>
                </wp:positionV>
                <wp:extent cx="586740" cy="227965"/>
                <wp:effectExtent l="0" t="0" r="3810" b="635"/>
                <wp:wrapSquare wrapText="bothSides"/>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227965"/>
                        </a:xfrm>
                        <a:prstGeom prst="rect">
                          <a:avLst/>
                        </a:prstGeom>
                        <a:solidFill>
                          <a:srgbClr val="FFFFFF"/>
                        </a:solidFill>
                        <a:ln w="9525">
                          <a:noFill/>
                          <a:miter lim="800000"/>
                          <a:headEnd/>
                          <a:tailEnd/>
                        </a:ln>
                      </wps:spPr>
                      <wps:txbx>
                        <w:txbxContent>
                          <w:p w14:paraId="33BC8D6D" w14:textId="77777777" w:rsidR="007A66DB" w:rsidRPr="00783569" w:rsidRDefault="00783569" w:rsidP="007A66DB">
                            <w:pPr>
                              <w:rPr>
                                <w:sz w:val="16"/>
                                <w:szCs w:val="16"/>
                                <w:lang w:val="pt-BR"/>
                              </w:rPr>
                            </w:pPr>
                            <w:r w:rsidRPr="00783569">
                              <w:rPr>
                                <w:sz w:val="16"/>
                                <w:szCs w:val="16"/>
                              </w:rPr>
                              <w:t>Point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2DDB16" id="_x0000_s1029" type="#_x0000_t202" style="position:absolute;left:0;text-align:left;margin-left:115.45pt;margin-top:156.65pt;width:46.2pt;height:17.9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" stroked="f">
                <v:textbox>
                  <w:txbxContent>
                    <w:p w14:paraId="33BC8D6D" w14:textId="77777777" w:rsidR="007A66DB" w:rsidRPr="00783569" w:rsidRDefault="00783569" w:rsidP="007A66DB">
                      <w:pPr>
                        <w:rPr>
                          <w:sz w:val="16"/>
                          <w:szCs w:val="16"/>
                          <w:lang w:val="pt-BR"/>
                        </w:rPr>
                      </w:pPr>
                      <w:r w:rsidRPr="00783569">
                        <w:rPr>
                          <w:sz w:val="16"/>
                          <w:szCs w:val="16"/>
                        </w:rPr>
                        <w:t>Point 3</w:t>
                      </w:r>
                    </w:p>
                  </w:txbxContent>
                </v:textbox>
                <w10:wrap type="square"/>
              </v:shape>
            </w:pict>
          </mc:Fallback>
        </mc:AlternateContent>
      </w:r>
      <w:r>
        <w:rPr>
          <w:noProof/>
          <w:lang w:val="pt-BR" w:eastAsia="pt-BR"/>
        </w:rPr>
        <w:drawing>
          <wp:anchor distT="0" distB="0" distL="114300" distR="114300" simplePos="0" relativeHeight="251660288" behindDoc="0" locked="0" layoutInCell="1" allowOverlap="1" wp14:anchorId="332FD876" wp14:editId="776B92BF">
            <wp:simplePos x="0" y="0"/>
            <wp:positionH relativeFrom="margin">
              <wp:align>left</wp:align>
            </wp:positionH>
            <wp:positionV relativeFrom="paragraph">
              <wp:posOffset>245110</wp:posOffset>
            </wp:positionV>
            <wp:extent cx="2990850" cy="2047875"/>
            <wp:effectExtent l="0" t="0" r="0" b="9525"/>
            <wp:wrapTopAndBottom/>
            <wp:docPr id="8" name="Gráfico 8" descr="Point 1&#10;&#10;&#1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82D362B5-ADFB-4C0D-AA47-2F1D6F4DC1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14:paraId="7D47DD1D" w14:textId="665A541D" w:rsidR="00783569" w:rsidRPr="009D0BFF" w:rsidRDefault="00783569" w:rsidP="009D0BFF">
      <w:pPr>
        <w:pStyle w:val="CETCaption"/>
      </w:pPr>
      <w:r w:rsidRPr="009D0BFF">
        <w:t xml:space="preserve">Figure 2: </w:t>
      </w:r>
      <w:r w:rsidR="00CF282A" w:rsidRPr="009D0BFF">
        <w:t>IAP</w:t>
      </w:r>
      <w:r w:rsidR="00856E40" w:rsidRPr="009D0BFF">
        <w:t xml:space="preserve"> per sampling point.</w:t>
      </w:r>
    </w:p>
    <w:p w14:paraId="48FA9DC4" w14:textId="434454E1" w:rsidR="00856E40" w:rsidRPr="00856E40" w:rsidRDefault="00856E40" w:rsidP="009D0BFF">
      <w:pPr>
        <w:pStyle w:val="CETBodytext"/>
      </w:pPr>
      <w:r w:rsidRPr="00856E40">
        <w:t xml:space="preserve">According to the air quality of each sampling station, reproduced in </w:t>
      </w:r>
      <w:r w:rsidR="00281F37">
        <w:t>T</w:t>
      </w:r>
      <w:r w:rsidRPr="00856E40">
        <w:t>able 4, it is noted that in the points where there is greater urbanization (point 1 –</w:t>
      </w:r>
      <w:r w:rsidR="007E1B22">
        <w:t xml:space="preserve"> </w:t>
      </w:r>
      <w:r w:rsidRPr="00856E40">
        <w:t xml:space="preserve">Área Pinheiro </w:t>
      </w:r>
      <w:r w:rsidR="007E1B22">
        <w:t>street</w:t>
      </w:r>
      <w:r w:rsidR="007E1B22" w:rsidRPr="00856E40">
        <w:t xml:space="preserve"> </w:t>
      </w:r>
      <w:r w:rsidRPr="00856E40">
        <w:t xml:space="preserve">and point 2 – </w:t>
      </w:r>
      <w:r w:rsidR="00281F37">
        <w:t>B</w:t>
      </w:r>
      <w:r w:rsidRPr="00856E40">
        <w:t xml:space="preserve">us </w:t>
      </w:r>
      <w:r w:rsidR="00281F37">
        <w:t>S</w:t>
      </w:r>
      <w:r w:rsidRPr="00856E40">
        <w:t>tation of M</w:t>
      </w:r>
      <w:r w:rsidR="007A66DB">
        <w:t xml:space="preserve">iguel </w:t>
      </w:r>
      <w:r w:rsidRPr="00856E40">
        <w:t>P</w:t>
      </w:r>
      <w:r w:rsidR="007A66DB">
        <w:t>ereira</w:t>
      </w:r>
      <w:r w:rsidRPr="00856E40">
        <w:t>) the a</w:t>
      </w:r>
      <w:r w:rsidR="00B07444">
        <w:t>ir</w:t>
      </w:r>
      <w:r w:rsidRPr="00856E40">
        <w:t xml:space="preserve"> quality, according to </w:t>
      </w:r>
      <w:r w:rsidR="00CF282A">
        <w:t>IAP</w:t>
      </w:r>
      <w:r w:rsidRPr="00856E40">
        <w:t xml:space="preserve">, was framed as bad and regular, respectively. In the places with residential </w:t>
      </w:r>
      <w:r w:rsidR="0087444C">
        <w:t>areas</w:t>
      </w:r>
      <w:r w:rsidRPr="00856E40">
        <w:t xml:space="preserve">, where there </w:t>
      </w:r>
      <w:r w:rsidR="00F010A3" w:rsidRPr="00856E40">
        <w:t>is</w:t>
      </w:r>
      <w:r w:rsidRPr="00856E40">
        <w:t xml:space="preserve"> lower flow of automotive vehicles, the air quality was better, being framed as go</w:t>
      </w:r>
      <w:r w:rsidR="007A66DB">
        <w:t>od (point 3 –</w:t>
      </w:r>
      <w:r w:rsidR="00922965">
        <w:t xml:space="preserve"> </w:t>
      </w:r>
      <w:r w:rsidR="007A66DB">
        <w:t>Javary</w:t>
      </w:r>
      <w:r w:rsidR="00922965" w:rsidRPr="00922965">
        <w:t xml:space="preserve"> </w:t>
      </w:r>
      <w:r w:rsidR="00922965">
        <w:t>lake</w:t>
      </w:r>
      <w:r w:rsidR="007A66DB">
        <w:t>) and o</w:t>
      </w:r>
      <w:r w:rsidRPr="00856E40">
        <w:t>ptimum (point 4 –</w:t>
      </w:r>
      <w:r w:rsidR="007E1B22">
        <w:t xml:space="preserve"> </w:t>
      </w:r>
      <w:r w:rsidRPr="00856E40">
        <w:t>São Roque</w:t>
      </w:r>
      <w:r w:rsidR="007E1B22" w:rsidRPr="007E1B22">
        <w:t xml:space="preserve"> </w:t>
      </w:r>
      <w:r w:rsidR="007E1B22">
        <w:t>street</w:t>
      </w:r>
      <w:r w:rsidRPr="00856E40">
        <w:t>).</w:t>
      </w:r>
    </w:p>
    <w:p w14:paraId="51834856" w14:textId="77777777" w:rsidR="00856E40" w:rsidRPr="00C05E9B" w:rsidRDefault="00856E40" w:rsidP="00C05E9B">
      <w:pPr>
        <w:pStyle w:val="CETTabletitle"/>
      </w:pPr>
      <w:r w:rsidRPr="00C05E9B">
        <w:t xml:space="preserve">Table 4: Air quality according to </w:t>
      </w:r>
      <w:r w:rsidR="00CF282A" w:rsidRPr="00C05E9B">
        <w:t>IAP</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993"/>
        <w:gridCol w:w="1701"/>
        <w:gridCol w:w="1417"/>
        <w:gridCol w:w="1417"/>
      </w:tblGrid>
      <w:tr w:rsidR="00950D66" w:rsidRPr="00A11A16" w14:paraId="28682155" w14:textId="77777777" w:rsidTr="001C1C63">
        <w:tc>
          <w:tcPr>
            <w:tcW w:w="993" w:type="dxa"/>
            <w:tcBorders>
              <w:top w:val="single" w:sz="12" w:space="0" w:color="008000"/>
              <w:left w:val="nil"/>
              <w:bottom w:val="single" w:sz="6" w:space="0" w:color="008000"/>
              <w:right w:val="nil"/>
            </w:tcBorders>
            <w:shd w:val="clear" w:color="auto" w:fill="FFFFFF"/>
            <w:hideMark/>
          </w:tcPr>
          <w:p w14:paraId="347AE6CE" w14:textId="77777777" w:rsidR="00950D66" w:rsidRPr="00783569" w:rsidRDefault="00950D66" w:rsidP="00950D66">
            <w:pPr>
              <w:pStyle w:val="CETBodytext"/>
              <w:rPr>
                <w:lang w:val="en-GB"/>
              </w:rPr>
            </w:pPr>
            <w:r w:rsidRPr="00783569">
              <w:rPr>
                <w:lang w:val="en-GB"/>
              </w:rPr>
              <w:t>Point</w:t>
            </w:r>
          </w:p>
        </w:tc>
        <w:tc>
          <w:tcPr>
            <w:tcW w:w="1701" w:type="dxa"/>
            <w:tcBorders>
              <w:top w:val="single" w:sz="12" w:space="0" w:color="008000"/>
              <w:left w:val="nil"/>
              <w:bottom w:val="single" w:sz="6" w:space="0" w:color="008000"/>
              <w:right w:val="nil"/>
            </w:tcBorders>
            <w:shd w:val="clear" w:color="auto" w:fill="FFFFFF"/>
            <w:hideMark/>
          </w:tcPr>
          <w:p w14:paraId="69F54553" w14:textId="77777777" w:rsidR="00950D66" w:rsidRPr="00783569" w:rsidRDefault="00CF282A" w:rsidP="00950D66">
            <w:pPr>
              <w:pStyle w:val="CETBodytext"/>
              <w:rPr>
                <w:lang w:val="en-GB"/>
              </w:rPr>
            </w:pPr>
            <w:r>
              <w:rPr>
                <w:lang w:val="en-GB"/>
              </w:rPr>
              <w:t>IAP</w:t>
            </w:r>
          </w:p>
        </w:tc>
        <w:tc>
          <w:tcPr>
            <w:tcW w:w="1417" w:type="dxa"/>
            <w:tcBorders>
              <w:top w:val="single" w:sz="12" w:space="0" w:color="008000"/>
              <w:left w:val="nil"/>
              <w:bottom w:val="single" w:sz="6" w:space="0" w:color="008000"/>
              <w:right w:val="nil"/>
            </w:tcBorders>
            <w:shd w:val="clear" w:color="auto" w:fill="FFFFFF"/>
          </w:tcPr>
          <w:p w14:paraId="01716EDA" w14:textId="77777777" w:rsidR="00950D66" w:rsidRPr="007D1107" w:rsidRDefault="00950D66" w:rsidP="00950D66">
            <w:pPr>
              <w:pStyle w:val="CETBodytext"/>
              <w:spacing w:line="240" w:lineRule="auto"/>
              <w:rPr>
                <w:lang w:val="en-GB"/>
              </w:rPr>
            </w:pPr>
            <w:r w:rsidRPr="007D1107">
              <w:rPr>
                <w:lang w:val="en-GB"/>
              </w:rPr>
              <w:t>Air quality</w:t>
            </w:r>
          </w:p>
        </w:tc>
        <w:tc>
          <w:tcPr>
            <w:tcW w:w="1417" w:type="dxa"/>
            <w:tcBorders>
              <w:top w:val="single" w:sz="12" w:space="0" w:color="008000"/>
              <w:left w:val="nil"/>
              <w:bottom w:val="single" w:sz="6" w:space="0" w:color="008000"/>
              <w:right w:val="nil"/>
            </w:tcBorders>
            <w:shd w:val="clear" w:color="auto" w:fill="FFFFFF"/>
          </w:tcPr>
          <w:p w14:paraId="77B651AC" w14:textId="77777777" w:rsidR="00950D66" w:rsidRPr="007D1107" w:rsidRDefault="00950D66" w:rsidP="00950D66">
            <w:pPr>
              <w:pStyle w:val="CETBodytext"/>
              <w:spacing w:line="240" w:lineRule="auto"/>
              <w:ind w:right="-1"/>
              <w:rPr>
                <w:rFonts w:cs="Arial"/>
                <w:szCs w:val="18"/>
                <w:lang w:val="en-GB"/>
              </w:rPr>
            </w:pPr>
            <w:r w:rsidRPr="007D1107">
              <w:rPr>
                <w:rFonts w:cs="Arial"/>
                <w:szCs w:val="18"/>
                <w:lang w:val="en-GB"/>
              </w:rPr>
              <w:t>Pollution level</w:t>
            </w:r>
          </w:p>
        </w:tc>
      </w:tr>
      <w:tr w:rsidR="00950D66" w:rsidRPr="00A11A16" w14:paraId="504F758F" w14:textId="77777777" w:rsidTr="001C1C63">
        <w:tc>
          <w:tcPr>
            <w:tcW w:w="993" w:type="dxa"/>
            <w:tcBorders>
              <w:top w:val="nil"/>
              <w:left w:val="nil"/>
              <w:bottom w:val="nil"/>
              <w:right w:val="nil"/>
            </w:tcBorders>
            <w:shd w:val="clear" w:color="auto" w:fill="FFFFFF"/>
            <w:hideMark/>
          </w:tcPr>
          <w:p w14:paraId="3DD383D5" w14:textId="77777777" w:rsidR="00950D66" w:rsidRPr="00783569" w:rsidRDefault="00950D66" w:rsidP="00950D66">
            <w:pPr>
              <w:pStyle w:val="CETBodytext"/>
              <w:rPr>
                <w:lang w:val="en-GB"/>
              </w:rPr>
            </w:pPr>
            <w:r w:rsidRPr="00783569">
              <w:rPr>
                <w:lang w:val="en-GB"/>
              </w:rPr>
              <w:t>1</w:t>
            </w:r>
          </w:p>
        </w:tc>
        <w:tc>
          <w:tcPr>
            <w:tcW w:w="1701" w:type="dxa"/>
            <w:tcBorders>
              <w:top w:val="nil"/>
              <w:left w:val="nil"/>
              <w:bottom w:val="nil"/>
              <w:right w:val="nil"/>
            </w:tcBorders>
            <w:shd w:val="clear" w:color="auto" w:fill="FFFFFF"/>
          </w:tcPr>
          <w:p w14:paraId="767566EE" w14:textId="77777777" w:rsidR="00950D66" w:rsidRPr="00783569" w:rsidRDefault="00950D66" w:rsidP="00950D66">
            <w:pPr>
              <w:pStyle w:val="CETBodytext"/>
              <w:rPr>
                <w:lang w:val="en-GB"/>
              </w:rPr>
            </w:pPr>
            <w:r w:rsidRPr="00783569">
              <w:rPr>
                <w:lang w:val="en-GB"/>
              </w:rPr>
              <w:t>7</w:t>
            </w:r>
            <w:r w:rsidR="0099687E">
              <w:rPr>
                <w:lang w:val="en-GB"/>
              </w:rPr>
              <w:t>.</w:t>
            </w:r>
            <w:r w:rsidRPr="00783569">
              <w:rPr>
                <w:lang w:val="en-GB"/>
              </w:rPr>
              <w:t>91</w:t>
            </w:r>
          </w:p>
        </w:tc>
        <w:tc>
          <w:tcPr>
            <w:tcW w:w="1417" w:type="dxa"/>
            <w:tcBorders>
              <w:top w:val="nil"/>
              <w:left w:val="nil"/>
              <w:bottom w:val="nil"/>
              <w:right w:val="nil"/>
            </w:tcBorders>
            <w:shd w:val="clear" w:color="auto" w:fill="FFFFFF"/>
          </w:tcPr>
          <w:p w14:paraId="10FAAF86" w14:textId="77777777" w:rsidR="00950D66" w:rsidRPr="007D1107" w:rsidRDefault="00950D66" w:rsidP="00950D66">
            <w:pPr>
              <w:pStyle w:val="CETBodytext"/>
              <w:spacing w:line="240" w:lineRule="auto"/>
              <w:rPr>
                <w:lang w:val="en-GB"/>
              </w:rPr>
            </w:pPr>
            <w:r w:rsidRPr="007D1107">
              <w:rPr>
                <w:lang w:val="en-GB"/>
              </w:rPr>
              <w:t>Bad</w:t>
            </w:r>
          </w:p>
        </w:tc>
        <w:tc>
          <w:tcPr>
            <w:tcW w:w="1417" w:type="dxa"/>
            <w:tcBorders>
              <w:top w:val="nil"/>
              <w:left w:val="nil"/>
              <w:bottom w:val="nil"/>
              <w:right w:val="nil"/>
            </w:tcBorders>
            <w:shd w:val="clear" w:color="auto" w:fill="FFFFFF"/>
          </w:tcPr>
          <w:p w14:paraId="7C2C7347" w14:textId="77777777" w:rsidR="00950D66" w:rsidRPr="007D1107" w:rsidRDefault="00950D66" w:rsidP="00950D66">
            <w:pPr>
              <w:pStyle w:val="CETBodytext"/>
              <w:spacing w:line="240" w:lineRule="auto"/>
              <w:rPr>
                <w:lang w:val="en-GB"/>
              </w:rPr>
            </w:pPr>
            <w:r w:rsidRPr="007D1107">
              <w:rPr>
                <w:lang w:val="en-GB"/>
              </w:rPr>
              <w:t>High</w:t>
            </w:r>
          </w:p>
        </w:tc>
      </w:tr>
      <w:tr w:rsidR="00950D66" w:rsidRPr="00A11A16" w14:paraId="621A20E3" w14:textId="77777777" w:rsidTr="001C1C63">
        <w:tc>
          <w:tcPr>
            <w:tcW w:w="993" w:type="dxa"/>
            <w:tcBorders>
              <w:top w:val="nil"/>
              <w:left w:val="nil"/>
              <w:bottom w:val="nil"/>
              <w:right w:val="nil"/>
            </w:tcBorders>
            <w:shd w:val="clear" w:color="auto" w:fill="FFFFFF"/>
          </w:tcPr>
          <w:p w14:paraId="135DD814" w14:textId="77777777" w:rsidR="00950D66" w:rsidRPr="00783569" w:rsidRDefault="00950D66" w:rsidP="00950D66">
            <w:pPr>
              <w:pStyle w:val="CETBodytext"/>
              <w:rPr>
                <w:lang w:val="en-GB"/>
              </w:rPr>
            </w:pPr>
            <w:r w:rsidRPr="00783569">
              <w:rPr>
                <w:lang w:val="en-GB"/>
              </w:rPr>
              <w:t>2</w:t>
            </w:r>
          </w:p>
        </w:tc>
        <w:tc>
          <w:tcPr>
            <w:tcW w:w="1701" w:type="dxa"/>
            <w:tcBorders>
              <w:top w:val="nil"/>
              <w:left w:val="nil"/>
              <w:bottom w:val="nil"/>
              <w:right w:val="nil"/>
            </w:tcBorders>
            <w:shd w:val="clear" w:color="auto" w:fill="FFFFFF"/>
          </w:tcPr>
          <w:p w14:paraId="123724AD" w14:textId="77777777" w:rsidR="00950D66" w:rsidRPr="00783569" w:rsidRDefault="00950D66" w:rsidP="00950D66">
            <w:pPr>
              <w:pStyle w:val="CETBodytext"/>
              <w:rPr>
                <w:lang w:val="en-GB"/>
              </w:rPr>
            </w:pPr>
            <w:r w:rsidRPr="00783569">
              <w:rPr>
                <w:lang w:val="en-GB"/>
              </w:rPr>
              <w:t>11</w:t>
            </w:r>
            <w:r w:rsidR="0099687E">
              <w:rPr>
                <w:lang w:val="en-GB"/>
              </w:rPr>
              <w:t>.</w:t>
            </w:r>
            <w:r w:rsidRPr="00783569">
              <w:rPr>
                <w:lang w:val="en-GB"/>
              </w:rPr>
              <w:t>23</w:t>
            </w:r>
          </w:p>
        </w:tc>
        <w:tc>
          <w:tcPr>
            <w:tcW w:w="1417" w:type="dxa"/>
            <w:tcBorders>
              <w:top w:val="nil"/>
              <w:left w:val="nil"/>
              <w:bottom w:val="nil"/>
              <w:right w:val="nil"/>
            </w:tcBorders>
            <w:shd w:val="clear" w:color="auto" w:fill="FFFFFF"/>
          </w:tcPr>
          <w:p w14:paraId="6886B72B" w14:textId="77777777" w:rsidR="00950D66" w:rsidRPr="007D1107" w:rsidRDefault="00950D66" w:rsidP="00950D66">
            <w:pPr>
              <w:pStyle w:val="CETBodytext"/>
              <w:spacing w:line="240" w:lineRule="auto"/>
              <w:rPr>
                <w:lang w:val="en-GB"/>
              </w:rPr>
            </w:pPr>
            <w:r w:rsidRPr="007D1107">
              <w:rPr>
                <w:lang w:val="en-GB"/>
              </w:rPr>
              <w:t>Regular</w:t>
            </w:r>
          </w:p>
        </w:tc>
        <w:tc>
          <w:tcPr>
            <w:tcW w:w="1417" w:type="dxa"/>
            <w:tcBorders>
              <w:top w:val="nil"/>
              <w:left w:val="nil"/>
              <w:bottom w:val="nil"/>
              <w:right w:val="nil"/>
            </w:tcBorders>
            <w:shd w:val="clear" w:color="auto" w:fill="FFFFFF"/>
          </w:tcPr>
          <w:p w14:paraId="132DE0EA" w14:textId="77777777" w:rsidR="00950D66" w:rsidRPr="007D1107" w:rsidRDefault="00950D66" w:rsidP="00950D66">
            <w:pPr>
              <w:pStyle w:val="CETBodytext"/>
              <w:spacing w:line="240" w:lineRule="auto"/>
              <w:rPr>
                <w:lang w:val="en-GB"/>
              </w:rPr>
            </w:pPr>
            <w:r w:rsidRPr="007D1107">
              <w:rPr>
                <w:lang w:val="en-GB"/>
              </w:rPr>
              <w:t xml:space="preserve">Moderate </w:t>
            </w:r>
          </w:p>
        </w:tc>
      </w:tr>
      <w:tr w:rsidR="00950D66" w:rsidRPr="00A11A16" w14:paraId="1776405F" w14:textId="77777777" w:rsidTr="001C1C63">
        <w:tc>
          <w:tcPr>
            <w:tcW w:w="993" w:type="dxa"/>
            <w:tcBorders>
              <w:top w:val="nil"/>
              <w:left w:val="nil"/>
              <w:bottom w:val="nil"/>
              <w:right w:val="nil"/>
            </w:tcBorders>
            <w:shd w:val="clear" w:color="auto" w:fill="FFFFFF"/>
          </w:tcPr>
          <w:p w14:paraId="1F6C80EE" w14:textId="77777777" w:rsidR="00950D66" w:rsidRPr="00783569" w:rsidRDefault="00950D66" w:rsidP="00950D66">
            <w:pPr>
              <w:pStyle w:val="CETBodytext"/>
              <w:rPr>
                <w:lang w:val="en-GB"/>
              </w:rPr>
            </w:pPr>
            <w:r w:rsidRPr="00783569">
              <w:rPr>
                <w:lang w:val="en-GB"/>
              </w:rPr>
              <w:t>3</w:t>
            </w:r>
          </w:p>
        </w:tc>
        <w:tc>
          <w:tcPr>
            <w:tcW w:w="1701" w:type="dxa"/>
            <w:tcBorders>
              <w:top w:val="nil"/>
              <w:left w:val="nil"/>
              <w:bottom w:val="nil"/>
              <w:right w:val="nil"/>
            </w:tcBorders>
            <w:shd w:val="clear" w:color="auto" w:fill="FFFFFF"/>
          </w:tcPr>
          <w:p w14:paraId="209AE37C" w14:textId="77777777" w:rsidR="00950D66" w:rsidRPr="00783569" w:rsidRDefault="00950D66" w:rsidP="00950D66">
            <w:pPr>
              <w:pStyle w:val="CETBodytext"/>
              <w:rPr>
                <w:lang w:val="en-GB"/>
              </w:rPr>
            </w:pPr>
            <w:r w:rsidRPr="00783569">
              <w:rPr>
                <w:lang w:val="en-GB"/>
              </w:rPr>
              <w:t>20</w:t>
            </w:r>
            <w:r w:rsidR="0099687E">
              <w:rPr>
                <w:lang w:val="en-GB"/>
              </w:rPr>
              <w:t>.</w:t>
            </w:r>
            <w:r w:rsidRPr="00783569">
              <w:rPr>
                <w:lang w:val="en-GB"/>
              </w:rPr>
              <w:t>66</w:t>
            </w:r>
          </w:p>
        </w:tc>
        <w:tc>
          <w:tcPr>
            <w:tcW w:w="1417" w:type="dxa"/>
            <w:tcBorders>
              <w:top w:val="nil"/>
              <w:left w:val="nil"/>
              <w:bottom w:val="nil"/>
              <w:right w:val="nil"/>
            </w:tcBorders>
            <w:shd w:val="clear" w:color="auto" w:fill="FFFFFF"/>
          </w:tcPr>
          <w:p w14:paraId="7115C849" w14:textId="77777777" w:rsidR="00950D66" w:rsidRPr="007D1107" w:rsidRDefault="00950D66" w:rsidP="00950D66">
            <w:pPr>
              <w:pStyle w:val="CETBodytext"/>
              <w:spacing w:line="240" w:lineRule="auto"/>
              <w:rPr>
                <w:lang w:val="en-GB"/>
              </w:rPr>
            </w:pPr>
            <w:r w:rsidRPr="007D1107">
              <w:rPr>
                <w:lang w:val="en-GB"/>
              </w:rPr>
              <w:t>Good</w:t>
            </w:r>
          </w:p>
        </w:tc>
        <w:tc>
          <w:tcPr>
            <w:tcW w:w="1417" w:type="dxa"/>
            <w:tcBorders>
              <w:top w:val="nil"/>
              <w:left w:val="nil"/>
              <w:bottom w:val="nil"/>
              <w:right w:val="nil"/>
            </w:tcBorders>
            <w:shd w:val="clear" w:color="auto" w:fill="FFFFFF"/>
          </w:tcPr>
          <w:p w14:paraId="6BB19A38" w14:textId="77777777" w:rsidR="00950D66" w:rsidRPr="007D1107" w:rsidRDefault="00950D66" w:rsidP="00950D66">
            <w:pPr>
              <w:pStyle w:val="CETBodytext"/>
              <w:spacing w:line="240" w:lineRule="auto"/>
              <w:rPr>
                <w:lang w:val="en-GB"/>
              </w:rPr>
            </w:pPr>
            <w:r w:rsidRPr="007D1107">
              <w:rPr>
                <w:lang w:val="en-GB"/>
              </w:rPr>
              <w:t>Low</w:t>
            </w:r>
          </w:p>
        </w:tc>
      </w:tr>
      <w:tr w:rsidR="00950D66" w:rsidRPr="00A11A16" w14:paraId="2D073F8C" w14:textId="77777777" w:rsidTr="001C1C63">
        <w:tc>
          <w:tcPr>
            <w:tcW w:w="993" w:type="dxa"/>
            <w:tcBorders>
              <w:top w:val="nil"/>
              <w:left w:val="nil"/>
              <w:bottom w:val="single" w:sz="12" w:space="0" w:color="008000"/>
              <w:right w:val="nil"/>
            </w:tcBorders>
            <w:shd w:val="clear" w:color="auto" w:fill="FFFFFF"/>
          </w:tcPr>
          <w:p w14:paraId="2E9030E3" w14:textId="77777777" w:rsidR="00950D66" w:rsidRPr="00783569" w:rsidRDefault="00950D66" w:rsidP="00950D66">
            <w:pPr>
              <w:pStyle w:val="CETBodytext"/>
              <w:rPr>
                <w:lang w:val="en-GB"/>
              </w:rPr>
            </w:pPr>
            <w:r w:rsidRPr="00783569">
              <w:rPr>
                <w:lang w:val="en-GB"/>
              </w:rPr>
              <w:t>4</w:t>
            </w:r>
          </w:p>
        </w:tc>
        <w:tc>
          <w:tcPr>
            <w:tcW w:w="1701" w:type="dxa"/>
            <w:tcBorders>
              <w:top w:val="nil"/>
              <w:left w:val="nil"/>
              <w:bottom w:val="single" w:sz="12" w:space="0" w:color="008000"/>
              <w:right w:val="nil"/>
            </w:tcBorders>
            <w:shd w:val="clear" w:color="auto" w:fill="FFFFFF"/>
          </w:tcPr>
          <w:p w14:paraId="6CB04D07" w14:textId="77777777" w:rsidR="00950D66" w:rsidRPr="00783569" w:rsidRDefault="00950D66" w:rsidP="00950D66">
            <w:pPr>
              <w:pStyle w:val="CETBodytext"/>
              <w:rPr>
                <w:lang w:val="en-GB"/>
              </w:rPr>
            </w:pPr>
            <w:r w:rsidRPr="00783569">
              <w:rPr>
                <w:lang w:val="en-GB"/>
              </w:rPr>
              <w:t>31</w:t>
            </w:r>
            <w:r w:rsidR="0099687E">
              <w:rPr>
                <w:lang w:val="en-GB"/>
              </w:rPr>
              <w:t>.</w:t>
            </w:r>
            <w:r w:rsidRPr="00783569">
              <w:rPr>
                <w:lang w:val="en-GB"/>
              </w:rPr>
              <w:t>45</w:t>
            </w:r>
          </w:p>
        </w:tc>
        <w:tc>
          <w:tcPr>
            <w:tcW w:w="1417" w:type="dxa"/>
            <w:tcBorders>
              <w:top w:val="nil"/>
              <w:left w:val="nil"/>
              <w:bottom w:val="single" w:sz="12" w:space="0" w:color="008000"/>
              <w:right w:val="nil"/>
            </w:tcBorders>
            <w:shd w:val="clear" w:color="auto" w:fill="FFFFFF"/>
          </w:tcPr>
          <w:p w14:paraId="4287FA35" w14:textId="77777777" w:rsidR="00950D66" w:rsidRPr="007D1107" w:rsidRDefault="00950D66" w:rsidP="00950D66">
            <w:pPr>
              <w:pStyle w:val="CETBodytext"/>
              <w:spacing w:line="240" w:lineRule="auto"/>
              <w:ind w:right="-1"/>
              <w:rPr>
                <w:rFonts w:cs="Arial"/>
                <w:szCs w:val="18"/>
                <w:lang w:val="en-GB"/>
              </w:rPr>
            </w:pPr>
            <w:r w:rsidRPr="007D1107">
              <w:rPr>
                <w:rFonts w:cs="Arial"/>
                <w:szCs w:val="18"/>
                <w:lang w:val="en-GB"/>
              </w:rPr>
              <w:t>Great</w:t>
            </w:r>
          </w:p>
        </w:tc>
        <w:tc>
          <w:tcPr>
            <w:tcW w:w="1417" w:type="dxa"/>
            <w:tcBorders>
              <w:top w:val="nil"/>
              <w:left w:val="nil"/>
              <w:bottom w:val="single" w:sz="12" w:space="0" w:color="008000"/>
              <w:right w:val="nil"/>
            </w:tcBorders>
            <w:shd w:val="clear" w:color="auto" w:fill="FFFFFF"/>
          </w:tcPr>
          <w:p w14:paraId="7596960C" w14:textId="77777777" w:rsidR="00950D66" w:rsidRPr="007D1107" w:rsidRDefault="00950D66" w:rsidP="00950D66">
            <w:pPr>
              <w:pStyle w:val="CETBodytext"/>
              <w:spacing w:line="240" w:lineRule="auto"/>
              <w:rPr>
                <w:lang w:val="en-GB"/>
              </w:rPr>
            </w:pPr>
            <w:r w:rsidRPr="007D1107">
              <w:rPr>
                <w:lang w:val="en-GB"/>
              </w:rPr>
              <w:t xml:space="preserve">Very low </w:t>
            </w:r>
          </w:p>
        </w:tc>
      </w:tr>
    </w:tbl>
    <w:p w14:paraId="19F263FE" w14:textId="77777777" w:rsidR="00B93671" w:rsidRPr="00B93671" w:rsidRDefault="00856E40" w:rsidP="00B93671">
      <w:pPr>
        <w:pStyle w:val="CETHeading1"/>
        <w:rPr>
          <w:sz w:val="18"/>
        </w:rPr>
      </w:pPr>
      <w:r w:rsidRPr="00B93671">
        <w:lastRenderedPageBreak/>
        <w:t>Conclusions</w:t>
      </w:r>
    </w:p>
    <w:p w14:paraId="13055113" w14:textId="156C91CF" w:rsidR="00856E40" w:rsidRPr="00B93671" w:rsidRDefault="0083405E" w:rsidP="00B93671">
      <w:pPr>
        <w:pStyle w:val="CETBodytext"/>
        <w:rPr>
          <w:rStyle w:val="CETBodytextCarattere"/>
        </w:rPr>
      </w:pPr>
      <w:r w:rsidRPr="00B93671">
        <w:rPr>
          <w:rStyle w:val="CETBodytextCarattere"/>
        </w:rPr>
        <w:t xml:space="preserve">In this study it can be concluded that the point presence of bioindicator species </w:t>
      </w:r>
      <w:r w:rsidR="00856E40" w:rsidRPr="00EB4728">
        <w:rPr>
          <w:rStyle w:val="CETBodytextCarattere"/>
          <w:i/>
        </w:rPr>
        <w:t>Ramalina Celastri</w:t>
      </w:r>
      <w:r w:rsidR="00856E40" w:rsidRPr="00B93671">
        <w:rPr>
          <w:rStyle w:val="CETBodytextCarattere"/>
        </w:rPr>
        <w:t xml:space="preserve"> and </w:t>
      </w:r>
      <w:r w:rsidR="00856E40" w:rsidRPr="00EB4728">
        <w:rPr>
          <w:rStyle w:val="CETBodytextCarattere"/>
          <w:i/>
        </w:rPr>
        <w:t>Leptogium</w:t>
      </w:r>
      <w:r w:rsidR="00856E40" w:rsidRPr="00B93671">
        <w:rPr>
          <w:rStyle w:val="CETBodytextCarattere"/>
        </w:rPr>
        <w:t xml:space="preserve"> sp, described in the literature due to its high sensitivity to air pollutants, corroborates with the idea that in points located in the </w:t>
      </w:r>
      <w:r w:rsidR="0087444C" w:rsidRPr="00B93671">
        <w:rPr>
          <w:rStyle w:val="CETBodytextCarattere"/>
        </w:rPr>
        <w:t>peripheric a</w:t>
      </w:r>
      <w:r w:rsidR="00856E40" w:rsidRPr="00B93671">
        <w:rPr>
          <w:rStyle w:val="CETBodytextCarattere"/>
        </w:rPr>
        <w:t>rea (points 3 and 4), that is, more distant from the center, have a lower incidence of a</w:t>
      </w:r>
      <w:r w:rsidR="0087444C" w:rsidRPr="00B93671">
        <w:rPr>
          <w:rStyle w:val="CETBodytextCarattere"/>
        </w:rPr>
        <w:t>ir</w:t>
      </w:r>
      <w:r w:rsidR="00856E40" w:rsidRPr="00B93671">
        <w:rPr>
          <w:rStyle w:val="CETBodytextCarattere"/>
        </w:rPr>
        <w:t xml:space="preserve"> pollution. On the other hand, in places where vehicle traffic is intense, as in the </w:t>
      </w:r>
      <w:r w:rsidR="00922965" w:rsidRPr="00B93671">
        <w:rPr>
          <w:rStyle w:val="CETBodytextCarattere"/>
        </w:rPr>
        <w:t>B</w:t>
      </w:r>
      <w:r w:rsidR="00856E40" w:rsidRPr="00B93671">
        <w:rPr>
          <w:rStyle w:val="CETBodytextCarattere"/>
        </w:rPr>
        <w:t xml:space="preserve">us </w:t>
      </w:r>
      <w:r w:rsidR="00922965" w:rsidRPr="00B93671">
        <w:rPr>
          <w:rStyle w:val="CETBodytextCarattere"/>
        </w:rPr>
        <w:t>S</w:t>
      </w:r>
      <w:r w:rsidR="00856E40" w:rsidRPr="00B93671">
        <w:rPr>
          <w:rStyle w:val="CETBodytextCarattere"/>
        </w:rPr>
        <w:t>tation, the incidence of a</w:t>
      </w:r>
      <w:r w:rsidR="0087444C" w:rsidRPr="00B93671">
        <w:rPr>
          <w:rStyle w:val="CETBodytextCarattere"/>
        </w:rPr>
        <w:t>ir</w:t>
      </w:r>
      <w:r w:rsidR="00856E40" w:rsidRPr="00B93671">
        <w:rPr>
          <w:rStyle w:val="CETBodytextCarattere"/>
        </w:rPr>
        <w:t xml:space="preserve"> pollution is higher, since the bioindicator species </w:t>
      </w:r>
      <w:r w:rsidR="00856E40" w:rsidRPr="00EB4728">
        <w:rPr>
          <w:rStyle w:val="CETBodytextCarattere"/>
          <w:i/>
        </w:rPr>
        <w:t>Physcia</w:t>
      </w:r>
      <w:r w:rsidR="00856E40" w:rsidRPr="00B93671">
        <w:rPr>
          <w:rStyle w:val="CETBodytextCarattere"/>
        </w:rPr>
        <w:t xml:space="preserve"> sp., identified by other authors as resistant, was only recorded at this point. </w:t>
      </w:r>
    </w:p>
    <w:p w14:paraId="4E03F99A" w14:textId="7E5E9225" w:rsidR="00856E40" w:rsidRPr="00856E40" w:rsidRDefault="00856E40" w:rsidP="00B93671">
      <w:pPr>
        <w:pStyle w:val="CETBodytext"/>
      </w:pPr>
      <w:r w:rsidRPr="00856E40">
        <w:t xml:space="preserve">The survey of </w:t>
      </w:r>
      <w:r w:rsidR="00CF282A">
        <w:t>IAP</w:t>
      </w:r>
      <w:r w:rsidRPr="00856E40">
        <w:t xml:space="preserve"> –</w:t>
      </w:r>
      <w:r w:rsidR="0015228D">
        <w:t xml:space="preserve"> </w:t>
      </w:r>
      <w:r w:rsidR="0015228D" w:rsidRPr="00856E40">
        <w:t>Index</w:t>
      </w:r>
      <w:r w:rsidR="0015228D">
        <w:t xml:space="preserve"> of</w:t>
      </w:r>
      <w:r w:rsidRPr="00856E40">
        <w:t xml:space="preserve"> Atmospheric Purity, besides being simple and economically viable, proved to be an efficient methodology in detecting and monitoring air pollution, by fulfilling its objective of revealing the diagnosis of atmospheric quality of sampled points. Moreover, we observed the alignment and coherence of the results obtained from </w:t>
      </w:r>
      <w:r w:rsidR="00CF282A">
        <w:t>IAP</w:t>
      </w:r>
      <w:r w:rsidRPr="00856E40">
        <w:t xml:space="preserve"> with inferences from the survey of the species, such as São Roque </w:t>
      </w:r>
      <w:r w:rsidR="007E1B22">
        <w:t>street</w:t>
      </w:r>
      <w:r w:rsidR="007E1B22" w:rsidRPr="00856E40">
        <w:t xml:space="preserve"> </w:t>
      </w:r>
      <w:r w:rsidRPr="00856E40">
        <w:t>(point 4) that presented the second highest value of specific richness and, in parallel, optimal air qualification (higher average value of IA</w:t>
      </w:r>
      <w:r w:rsidR="0015228D">
        <w:t>P</w:t>
      </w:r>
      <w:r w:rsidR="0099687E">
        <w:t xml:space="preserve"> </w:t>
      </w:r>
      <w:r w:rsidRPr="00856E40">
        <w:t>-</w:t>
      </w:r>
      <w:r w:rsidR="0099687E">
        <w:t xml:space="preserve"> </w:t>
      </w:r>
      <w:r w:rsidRPr="00856E40">
        <w:t>31.45) ratifying the relationship that the less urbanized, the higher the quality of the atmospheric at the site.</w:t>
      </w:r>
    </w:p>
    <w:p w14:paraId="736B73FE" w14:textId="58770359" w:rsidR="0095679C" w:rsidRDefault="00856E40" w:rsidP="00E3069C">
      <w:pPr>
        <w:pStyle w:val="CETReference"/>
        <w:rPr>
          <w:lang w:val="en-US"/>
        </w:rPr>
      </w:pPr>
      <w:r w:rsidRPr="00856E40">
        <w:rPr>
          <w:lang w:val="en-US"/>
        </w:rPr>
        <w:t>References</w:t>
      </w:r>
    </w:p>
    <w:p w14:paraId="7C4DD885" w14:textId="77777777" w:rsidR="00856E40" w:rsidRPr="008122F2" w:rsidRDefault="00856E40" w:rsidP="00B1364E">
      <w:pPr>
        <w:pStyle w:val="CETReferencetext"/>
        <w:rPr>
          <w:lang w:val="pt-BR"/>
        </w:rPr>
      </w:pPr>
      <w:r w:rsidRPr="00B1364E">
        <w:t xml:space="preserve">Asta, J., Erhardt, W., Ferretti, M., Fornasier, F., Kirschbaum, U., Nimis, P.L., Purvis, O.W., Pirintsos, S., Scheidegger, C., van Haluwyn, C. &amp; Wirth, V., 2002, Mapping lichen diversity as an indicator of environmental quality. - In: Nimis, P.L. et al. (eds.): Monitoring with Lichens – Monitoring Lichens. </w:t>
      </w:r>
      <w:r w:rsidRPr="008122F2">
        <w:rPr>
          <w:lang w:val="pt-BR"/>
        </w:rPr>
        <w:t>NATO Science Series, IV, vol. 7. Kluwer, Dordrecht, pp. 273 -279.</w:t>
      </w:r>
    </w:p>
    <w:p w14:paraId="14EA7815" w14:textId="77777777" w:rsidR="00856E40" w:rsidRPr="008122F2" w:rsidRDefault="00856E40" w:rsidP="00B1364E">
      <w:pPr>
        <w:pStyle w:val="CETReferencetext"/>
        <w:rPr>
          <w:lang w:val="pt-BR"/>
        </w:rPr>
      </w:pPr>
      <w:r w:rsidRPr="008122F2">
        <w:rPr>
          <w:lang w:val="pt-BR"/>
        </w:rPr>
        <w:t>CETESB, 2001, Companhia Ambiental do Estado de São Paulo &lt;http://sistemasinter.cetesb.sp.gov.br/Ar/ ar_historico.asp&gt;. accessed 14.04.2017.</w:t>
      </w:r>
    </w:p>
    <w:p w14:paraId="020D6D96" w14:textId="77777777" w:rsidR="00856E40" w:rsidRPr="00B1364E" w:rsidRDefault="00856E40" w:rsidP="00B1364E">
      <w:pPr>
        <w:pStyle w:val="CETReferencetext"/>
      </w:pPr>
      <w:r w:rsidRPr="00B1364E">
        <w:t>Conti, M.E., 2008, Lichens as bioindicators of air pollution. In: Biological Monitoring: Theory &amp; Applications. WIT Transactions on State of the Art in Science and Engineering, Vol 30.</w:t>
      </w:r>
    </w:p>
    <w:p w14:paraId="5831D08F" w14:textId="77777777" w:rsidR="00856E40" w:rsidRPr="00B1364E" w:rsidRDefault="00856E40" w:rsidP="00B1364E">
      <w:pPr>
        <w:pStyle w:val="CETReferencetext"/>
      </w:pPr>
      <w:r w:rsidRPr="00B1364E">
        <w:t xml:space="preserve">De Sloover, J.; Leblanc, F., 1968, Mapping of atmosferic pollution on the basis of lichen sensitivity. apud Leblanc, F; Rao, D.N. Effects of pollutants on lichens and bryophytes. In: Mudd, J.B.; Kozlowski, T.T. Response of plants to air pollution. London. 11:237-272. </w:t>
      </w:r>
    </w:p>
    <w:p w14:paraId="0A1AD938" w14:textId="77777777" w:rsidR="00856E40" w:rsidRPr="008122F2" w:rsidRDefault="00950D66" w:rsidP="00B1364E">
      <w:pPr>
        <w:pStyle w:val="CETReferencetext"/>
        <w:rPr>
          <w:lang w:val="pt-BR"/>
        </w:rPr>
      </w:pPr>
      <w:r w:rsidRPr="00B1364E">
        <w:t xml:space="preserve">Estrabou C., </w:t>
      </w:r>
      <w:r w:rsidR="00856E40" w:rsidRPr="00B1364E">
        <w:t>Filippini E.,</w:t>
      </w:r>
      <w:r w:rsidRPr="00B1364E">
        <w:t xml:space="preserve"> </w:t>
      </w:r>
      <w:r w:rsidR="00856E40" w:rsidRPr="00B1364E">
        <w:t>Soria J.P.,·Schelotto G.,</w:t>
      </w:r>
      <w:r w:rsidRPr="00B1364E">
        <w:t xml:space="preserve"> </w:t>
      </w:r>
      <w:r w:rsidR="00856E40" w:rsidRPr="00B1364E">
        <w:t>Rodriguez J.M., 2011, Air quality monitoring system using</w:t>
      </w:r>
      <w:r w:rsidR="00371699" w:rsidRPr="00B1364E">
        <w:t xml:space="preserve"> lichens</w:t>
      </w:r>
      <w:r w:rsidR="00856E40" w:rsidRPr="00B1364E">
        <w:t xml:space="preserve"> as bioindicators in Central Argentina</w:t>
      </w:r>
      <w:r w:rsidRPr="00B1364E">
        <w:t xml:space="preserve"> </w:t>
      </w:r>
      <w:r w:rsidR="00856E40" w:rsidRPr="00B1364E">
        <w:t xml:space="preserve">— Environ. </w:t>
      </w:r>
      <w:r w:rsidRPr="008122F2">
        <w:rPr>
          <w:lang w:val="pt-BR"/>
        </w:rPr>
        <w:t xml:space="preserve">Monit. Assess. 182: </w:t>
      </w:r>
      <w:r w:rsidR="00856E40" w:rsidRPr="008122F2">
        <w:rPr>
          <w:lang w:val="pt-BR"/>
        </w:rPr>
        <w:t>375–383.</w:t>
      </w:r>
    </w:p>
    <w:p w14:paraId="430BE69A" w14:textId="77777777" w:rsidR="00856E40" w:rsidRPr="008122F2" w:rsidRDefault="00856E40" w:rsidP="00B1364E">
      <w:pPr>
        <w:pStyle w:val="CETReferencetext"/>
        <w:rPr>
          <w:lang w:val="pt-BR"/>
        </w:rPr>
      </w:pPr>
      <w:r w:rsidRPr="008122F2">
        <w:rPr>
          <w:lang w:val="pt-BR"/>
        </w:rPr>
        <w:t xml:space="preserve">Filho, L.; Legaz, M.; Cordoba, C.; Pereira, E., 2006, Biologia de Líquens. 4.ed. Âmbito Cultural, Rio de Janeiro, </w:t>
      </w:r>
      <w:r w:rsidR="00371699" w:rsidRPr="008122F2">
        <w:rPr>
          <w:lang w:val="pt-BR"/>
        </w:rPr>
        <w:t xml:space="preserve">BR, </w:t>
      </w:r>
      <w:r w:rsidRPr="008122F2">
        <w:rPr>
          <w:lang w:val="pt-BR"/>
        </w:rPr>
        <w:t xml:space="preserve">624 p. </w:t>
      </w:r>
    </w:p>
    <w:p w14:paraId="3A9A70B2" w14:textId="77777777" w:rsidR="00856E40" w:rsidRPr="008122F2" w:rsidRDefault="00856E40" w:rsidP="00B1364E">
      <w:pPr>
        <w:pStyle w:val="CETReferencetext"/>
        <w:rPr>
          <w:lang w:val="pt-BR"/>
        </w:rPr>
      </w:pPr>
      <w:r w:rsidRPr="008122F2">
        <w:rPr>
          <w:lang w:val="pt-BR"/>
        </w:rPr>
        <w:t xml:space="preserve">IBGE, 2016, Instituto Brasileiro de Geografia e Estatística, Estimativa da população 2016 &lt; </w:t>
      </w:r>
      <w:r w:rsidR="00371699" w:rsidRPr="008122F2">
        <w:rPr>
          <w:lang w:val="pt-BR"/>
        </w:rPr>
        <w:t>cidades</w:t>
      </w:r>
      <w:r w:rsidRPr="008122F2">
        <w:rPr>
          <w:lang w:val="pt-BR"/>
        </w:rPr>
        <w:t>.ibge.gov.br/xtras/temas.php?lang=&amp;codmun=330290&amp;idtema=130&amp;search=rio-de-janeiro|miguel-pereira|estimativa-da-populacao-2016-&gt; accessed 28.04.2017.</w:t>
      </w:r>
    </w:p>
    <w:p w14:paraId="51E232D5" w14:textId="77777777" w:rsidR="00856E40" w:rsidRPr="008122F2" w:rsidRDefault="00856E40" w:rsidP="00B1364E">
      <w:pPr>
        <w:pStyle w:val="CETReferencetext"/>
        <w:rPr>
          <w:lang w:val="pt-BR"/>
        </w:rPr>
      </w:pPr>
      <w:r w:rsidRPr="008122F2">
        <w:rPr>
          <w:lang w:val="pt-BR"/>
        </w:rPr>
        <w:t xml:space="preserve">IEMA, 2014, Instituto de Energia e Meio Ambiente, 1º Diagnóstico da rede de monitoramento da qualidade do </w:t>
      </w:r>
      <w:r w:rsidR="00371699" w:rsidRPr="008122F2">
        <w:rPr>
          <w:lang w:val="pt-BR"/>
        </w:rPr>
        <w:t xml:space="preserve">ar </w:t>
      </w:r>
      <w:r w:rsidRPr="008122F2">
        <w:rPr>
          <w:lang w:val="pt-BR"/>
        </w:rPr>
        <w:t>no Brasil &lt;</w:t>
      </w:r>
      <w:hyperlink r:id="rId13" w:history="1">
        <w:r w:rsidRPr="008122F2">
          <w:rPr>
            <w:lang w:val="pt-BR"/>
          </w:rPr>
          <w:t>forumclima.pr.gov.br/arquivos/File/Rosana/Diagnostico_Qualidade_do_Ar_Versao_Final_Std. pdf</w:t>
        </w:r>
      </w:hyperlink>
      <w:r w:rsidRPr="008122F2">
        <w:rPr>
          <w:lang w:val="pt-BR"/>
        </w:rPr>
        <w:t>&gt; accessed 21.04. 2017.</w:t>
      </w:r>
    </w:p>
    <w:p w14:paraId="6DC4EADF" w14:textId="77777777" w:rsidR="00856E40" w:rsidRPr="008122F2" w:rsidRDefault="00856E40" w:rsidP="00B1364E">
      <w:pPr>
        <w:pStyle w:val="CETReferencetext"/>
        <w:rPr>
          <w:lang w:val="pt-BR"/>
        </w:rPr>
      </w:pPr>
      <w:r w:rsidRPr="008122F2">
        <w:rPr>
          <w:lang w:val="pt-BR"/>
        </w:rPr>
        <w:t xml:space="preserve">Käffer, M. I., 2011, Biomonitoramento da Qualidade do Ar com uso de Líquens na cidade de Porto Alegre, RS. </w:t>
      </w:r>
      <w:r w:rsidR="00371699" w:rsidRPr="008122F2">
        <w:rPr>
          <w:lang w:val="pt-BR"/>
        </w:rPr>
        <w:t>220</w:t>
      </w:r>
      <w:r w:rsidRPr="008122F2">
        <w:rPr>
          <w:lang w:val="pt-BR"/>
        </w:rPr>
        <w:t xml:space="preserve"> p. Tese (Doutorado) – Instituto de Biociências, Universidade do Rio Grande do Sul, Porto Alegre, BR.</w:t>
      </w:r>
    </w:p>
    <w:p w14:paraId="36735084" w14:textId="77777777" w:rsidR="00856E40" w:rsidRPr="008122F2" w:rsidRDefault="00856E40" w:rsidP="00B1364E">
      <w:pPr>
        <w:pStyle w:val="CETReferencetext"/>
        <w:rPr>
          <w:lang w:val="pt-BR"/>
        </w:rPr>
      </w:pPr>
      <w:r w:rsidRPr="00B1364E">
        <w:t xml:space="preserve">Kovács, M.,1992, Biological indicators in environmental protection. </w:t>
      </w:r>
      <w:r w:rsidRPr="008122F2">
        <w:rPr>
          <w:lang w:val="pt-BR"/>
        </w:rPr>
        <w:t xml:space="preserve">Ellis Horwood, New York, USA. </w:t>
      </w:r>
    </w:p>
    <w:p w14:paraId="00E4BA30" w14:textId="77777777" w:rsidR="00856E40" w:rsidRPr="008122F2" w:rsidRDefault="00856E40" w:rsidP="00B1364E">
      <w:pPr>
        <w:pStyle w:val="CETReferencetext"/>
        <w:rPr>
          <w:lang w:val="pt-BR"/>
        </w:rPr>
      </w:pPr>
      <w:r w:rsidRPr="008122F2">
        <w:rPr>
          <w:lang w:val="pt-BR"/>
        </w:rPr>
        <w:t xml:space="preserve">Martins, S. M. A.; Käffer, M. I.; Lemos, A. 2008; Líquens como bioindicadores da qualidade do ar numa área de </w:t>
      </w:r>
      <w:r w:rsidR="00371699" w:rsidRPr="008122F2">
        <w:rPr>
          <w:lang w:val="pt-BR"/>
        </w:rPr>
        <w:t>term</w:t>
      </w:r>
      <w:r w:rsidRPr="008122F2">
        <w:rPr>
          <w:lang w:val="pt-BR"/>
        </w:rPr>
        <w:t>oelétrica, Rio Grande do Sul, Brasil. Hoehnea 35 (3): 425-433.</w:t>
      </w:r>
    </w:p>
    <w:p w14:paraId="61C77BEF" w14:textId="77777777" w:rsidR="00856E40" w:rsidRPr="008122F2" w:rsidRDefault="00856E40" w:rsidP="00B1364E">
      <w:pPr>
        <w:pStyle w:val="CETReferencetext"/>
        <w:rPr>
          <w:lang w:val="pt-BR"/>
        </w:rPr>
      </w:pPr>
      <w:r w:rsidRPr="008122F2">
        <w:rPr>
          <w:lang w:val="pt-BR"/>
        </w:rPr>
        <w:t xml:space="preserve">Pereira, E.C.; Marcelli, M.P.; Silva, N. H.; Silva, A.M., 2006, Líquens. In: Diversidade biológica e conservação </w:t>
      </w:r>
      <w:r w:rsidR="00371699" w:rsidRPr="008122F2">
        <w:rPr>
          <w:lang w:val="pt-BR"/>
        </w:rPr>
        <w:t>da</w:t>
      </w:r>
      <w:r w:rsidRPr="008122F2">
        <w:rPr>
          <w:lang w:val="pt-BR"/>
        </w:rPr>
        <w:t xml:space="preserve"> Floresta Atlântica ao norte do Rio São Francisco. (K.C. Pôrto, J.S. Almeida-Cortez &amp; M. Tabarelli, eds) MMA, Brasília, DF. p. 109-119.</w:t>
      </w:r>
    </w:p>
    <w:p w14:paraId="3CEA5804" w14:textId="77777777" w:rsidR="00856E40" w:rsidRPr="008122F2" w:rsidRDefault="00856E40" w:rsidP="00B1364E">
      <w:pPr>
        <w:pStyle w:val="CETReferencetext"/>
        <w:rPr>
          <w:lang w:val="pt-BR"/>
        </w:rPr>
      </w:pPr>
      <w:r w:rsidRPr="008122F2">
        <w:rPr>
          <w:lang w:val="pt-BR"/>
        </w:rPr>
        <w:t>Poggiani, F.; Oliveira, R.E. &amp; Cunha, G.C., 1996, Práticas de ecologia florestal. Piracicaba, BR, p.1-44.</w:t>
      </w:r>
    </w:p>
    <w:p w14:paraId="053F6EBE" w14:textId="77777777" w:rsidR="00856E40" w:rsidRPr="008122F2" w:rsidRDefault="00856E40" w:rsidP="00B1364E">
      <w:pPr>
        <w:pStyle w:val="CETReferencetext"/>
        <w:rPr>
          <w:lang w:val="pt-BR"/>
        </w:rPr>
      </w:pPr>
      <w:r w:rsidRPr="008122F2">
        <w:rPr>
          <w:lang w:val="pt-BR"/>
        </w:rPr>
        <w:t>Rubiano L, 2002, Monitoreo de áreas de isocontaminación en la región de influencia de la Central Termoelétrica Martín del Corral utilizando líquenes como bioindicadores. Pérez Arbelaiza. 13: 91-105.Poggiani, F.; Oliveira, R.E. &amp; Cunha, G.C., 1996, Práticas de ecologia florestal, Piracicaba, BR, p.1-44.</w:t>
      </w:r>
    </w:p>
    <w:p w14:paraId="48AB3B5D" w14:textId="77777777" w:rsidR="000F6C5C" w:rsidRPr="00B1364E" w:rsidRDefault="000F6C5C" w:rsidP="00B1364E">
      <w:pPr>
        <w:pStyle w:val="CETReferencetext"/>
      </w:pPr>
      <w:r w:rsidRPr="00B1364E">
        <w:t>Vairo T., Curro' F., Scarselli S., Fabiano B., 2014, Atmospheric emissions from a fossil fuel power station:</w:t>
      </w:r>
    </w:p>
    <w:p w14:paraId="69966685" w14:textId="7D472118" w:rsidR="000F6C5C" w:rsidRPr="00535AC1" w:rsidRDefault="000F6C5C" w:rsidP="00535AC1">
      <w:pPr>
        <w:pStyle w:val="CETReferencetext"/>
      </w:pPr>
      <w:r w:rsidRPr="00B1364E">
        <w:t xml:space="preserve">dispersion modelling and experimental comparison, Chemical Engineering Transactions, 36, 295-300 DOI: </w:t>
      </w:r>
      <w:r w:rsidRPr="00535AC1">
        <w:t>10.3303/CET1436050</w:t>
      </w:r>
      <w:r w:rsidR="00B1364E" w:rsidRPr="00535AC1">
        <w:t>.</w:t>
      </w:r>
    </w:p>
    <w:p w14:paraId="4E583B56" w14:textId="77777777" w:rsidR="00F934FF" w:rsidRPr="008122F2" w:rsidRDefault="00856E40" w:rsidP="00535AC1">
      <w:pPr>
        <w:pStyle w:val="CETReferencetext"/>
        <w:rPr>
          <w:lang w:val="pt-BR"/>
        </w:rPr>
      </w:pPr>
      <w:r w:rsidRPr="008122F2">
        <w:rPr>
          <w:lang w:val="pt-BR"/>
        </w:rPr>
        <w:t>Vaz, R.P., 2012, Levantamento preliminar de líquens epifíticos comumente utilizados como bioindicadores da qualidade do ar na estação ecológica da UFMG, Brasil: gêneros Parmotrema e Canoparmelia. Belo Horizonte, 60 p. Monografia (Especialização em Microbiologia) – ICB, Universidade Federal de Minas Gerais, BR.</w:t>
      </w:r>
    </w:p>
    <w:p w14:paraId="5BCE01D3" w14:textId="1B740E60" w:rsidR="00535AC1" w:rsidRPr="00535AC1" w:rsidRDefault="00535AC1" w:rsidP="00535AC1">
      <w:pPr>
        <w:pStyle w:val="CETReferencetext"/>
      </w:pPr>
      <w:r w:rsidRPr="00535AC1">
        <w:t>Wang X., Klemeš J.J., Fan W., Dong X., 2019, An overview of air-pollution terrain nexus, Chemical Engineering Transactions, 72, 31-36 DOI:10.3303/CET1972006.</w:t>
      </w:r>
    </w:p>
    <w:sectPr w:rsidR="00535AC1" w:rsidRPr="00535AC1" w:rsidSect="007E0552">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94325B" w14:textId="77777777" w:rsidR="00A340FA" w:rsidRDefault="00A340FA" w:rsidP="004F5E36">
      <w:r>
        <w:rPr>
          <w:lang w:val="pt"/>
        </w:rPr>
        <w:separator/>
      </w:r>
    </w:p>
  </w:endnote>
  <w:endnote w:type="continuationSeparator" w:id="0">
    <w:p w14:paraId="2CEC6039" w14:textId="77777777" w:rsidR="00A340FA" w:rsidRDefault="00A340FA" w:rsidP="004F5E36">
      <w:r>
        <w:rPr>
          <w:lang w:val="p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CDEF49" w14:textId="77777777" w:rsidR="00A340FA" w:rsidRDefault="00A340FA" w:rsidP="004F5E36">
      <w:r>
        <w:rPr>
          <w:lang w:val="pt"/>
        </w:rPr>
        <w:separator/>
      </w:r>
    </w:p>
  </w:footnote>
  <w:footnote w:type="continuationSeparator" w:id="0">
    <w:p w14:paraId="10A11651" w14:textId="77777777" w:rsidR="00A340FA" w:rsidRDefault="00A340FA" w:rsidP="004F5E36">
      <w:r>
        <w:rPr>
          <w:lang w:val="pt"/>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58AF15E"/>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asimples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28EC1D0A"/>
    <w:multiLevelType w:val="multilevel"/>
    <w:tmpl w:val="63D2F014"/>
    <w:lvl w:ilvl="0">
      <w:start w:val="1"/>
      <w:numFmt w:val="decimal"/>
      <w:lvlText w:val="%1"/>
      <w:lvlJc w:val="left"/>
      <w:pPr>
        <w:ind w:left="126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9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8"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7"/>
  </w:num>
  <w:num w:numId="13">
    <w:abstractNumId w:val="13"/>
  </w:num>
  <w:num w:numId="14">
    <w:abstractNumId w:val="18"/>
  </w:num>
  <w:num w:numId="15">
    <w:abstractNumId w:val="20"/>
  </w:num>
  <w:num w:numId="16">
    <w:abstractNumId w:val="19"/>
  </w:num>
  <w:num w:numId="17">
    <w:abstractNumId w:val="12"/>
  </w:num>
  <w:num w:numId="18">
    <w:abstractNumId w:val="13"/>
    <w:lvlOverride w:ilvl="0">
      <w:startOverride w:val="1"/>
    </w:lvlOverride>
  </w:num>
  <w:num w:numId="19">
    <w:abstractNumId w:val="16"/>
  </w:num>
  <w:num w:numId="20">
    <w:abstractNumId w:val="15"/>
  </w:num>
  <w:num w:numId="21">
    <w:abstractNumId w:val="14"/>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0"/>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LockTheme/>
  <w:styleLockQFSet/>
  <w:defaultTabStop w:val="708"/>
  <w:hyphenationZone w:val="283"/>
  <w:clickAndTypeStyle w:val="CETBodytext"/>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4D5D"/>
    <w:rsid w:val="000052FB"/>
    <w:rsid w:val="00010F40"/>
    <w:rsid w:val="000117CB"/>
    <w:rsid w:val="00017600"/>
    <w:rsid w:val="00020970"/>
    <w:rsid w:val="00021C1C"/>
    <w:rsid w:val="0003148D"/>
    <w:rsid w:val="0004038E"/>
    <w:rsid w:val="000462A4"/>
    <w:rsid w:val="00047D7F"/>
    <w:rsid w:val="00051566"/>
    <w:rsid w:val="00052598"/>
    <w:rsid w:val="00053B2C"/>
    <w:rsid w:val="00055C7F"/>
    <w:rsid w:val="0006099A"/>
    <w:rsid w:val="00062A9A"/>
    <w:rsid w:val="00065058"/>
    <w:rsid w:val="00071399"/>
    <w:rsid w:val="000713EF"/>
    <w:rsid w:val="00072952"/>
    <w:rsid w:val="00075232"/>
    <w:rsid w:val="00086C39"/>
    <w:rsid w:val="000A03B2"/>
    <w:rsid w:val="000A2D59"/>
    <w:rsid w:val="000A3B79"/>
    <w:rsid w:val="000A5D09"/>
    <w:rsid w:val="000B5A71"/>
    <w:rsid w:val="000C023C"/>
    <w:rsid w:val="000D34BE"/>
    <w:rsid w:val="000E102F"/>
    <w:rsid w:val="000E36F1"/>
    <w:rsid w:val="000E3A73"/>
    <w:rsid w:val="000E414A"/>
    <w:rsid w:val="000F093C"/>
    <w:rsid w:val="000F16BD"/>
    <w:rsid w:val="000F6A3C"/>
    <w:rsid w:val="000F6C5C"/>
    <w:rsid w:val="000F787B"/>
    <w:rsid w:val="001156C5"/>
    <w:rsid w:val="0012091F"/>
    <w:rsid w:val="001266C8"/>
    <w:rsid w:val="00126BC2"/>
    <w:rsid w:val="001308B6"/>
    <w:rsid w:val="0013121F"/>
    <w:rsid w:val="00131FAB"/>
    <w:rsid w:val="00131FE6"/>
    <w:rsid w:val="0013263F"/>
    <w:rsid w:val="00134DE4"/>
    <w:rsid w:val="0014034D"/>
    <w:rsid w:val="00150E59"/>
    <w:rsid w:val="001514F1"/>
    <w:rsid w:val="0015228D"/>
    <w:rsid w:val="00152DE3"/>
    <w:rsid w:val="00153AAD"/>
    <w:rsid w:val="00153B37"/>
    <w:rsid w:val="001565E3"/>
    <w:rsid w:val="00157F54"/>
    <w:rsid w:val="00162F0D"/>
    <w:rsid w:val="00164CF9"/>
    <w:rsid w:val="00171D2D"/>
    <w:rsid w:val="00184AD6"/>
    <w:rsid w:val="001A79E4"/>
    <w:rsid w:val="001B0349"/>
    <w:rsid w:val="001B63EF"/>
    <w:rsid w:val="001B65C1"/>
    <w:rsid w:val="001B77BA"/>
    <w:rsid w:val="001C684B"/>
    <w:rsid w:val="001D53FC"/>
    <w:rsid w:val="001E7893"/>
    <w:rsid w:val="001F2D4A"/>
    <w:rsid w:val="001F42A5"/>
    <w:rsid w:val="001F7B9D"/>
    <w:rsid w:val="0020019F"/>
    <w:rsid w:val="002161A4"/>
    <w:rsid w:val="002224B4"/>
    <w:rsid w:val="00224F6E"/>
    <w:rsid w:val="00226612"/>
    <w:rsid w:val="002447EF"/>
    <w:rsid w:val="00244FD0"/>
    <w:rsid w:val="002502E0"/>
    <w:rsid w:val="00251550"/>
    <w:rsid w:val="00252C1A"/>
    <w:rsid w:val="002548AA"/>
    <w:rsid w:val="00257A87"/>
    <w:rsid w:val="00261C72"/>
    <w:rsid w:val="00263B05"/>
    <w:rsid w:val="0027221A"/>
    <w:rsid w:val="00275B61"/>
    <w:rsid w:val="0028029A"/>
    <w:rsid w:val="00281808"/>
    <w:rsid w:val="00281F37"/>
    <w:rsid w:val="00282656"/>
    <w:rsid w:val="0028455B"/>
    <w:rsid w:val="00293F06"/>
    <w:rsid w:val="00296B83"/>
    <w:rsid w:val="002A24CE"/>
    <w:rsid w:val="002A7121"/>
    <w:rsid w:val="002B0E57"/>
    <w:rsid w:val="002B2F91"/>
    <w:rsid w:val="002B78CE"/>
    <w:rsid w:val="002C2FB6"/>
    <w:rsid w:val="002C3C89"/>
    <w:rsid w:val="002D1158"/>
    <w:rsid w:val="002D4F37"/>
    <w:rsid w:val="002D56F6"/>
    <w:rsid w:val="002D5BCD"/>
    <w:rsid w:val="002F13F5"/>
    <w:rsid w:val="003009B7"/>
    <w:rsid w:val="00300E56"/>
    <w:rsid w:val="00303BC5"/>
    <w:rsid w:val="0030469C"/>
    <w:rsid w:val="00313160"/>
    <w:rsid w:val="00321CA6"/>
    <w:rsid w:val="00331634"/>
    <w:rsid w:val="00334C09"/>
    <w:rsid w:val="003365E3"/>
    <w:rsid w:val="003470EB"/>
    <w:rsid w:val="00350681"/>
    <w:rsid w:val="00350D38"/>
    <w:rsid w:val="003539BE"/>
    <w:rsid w:val="00361F44"/>
    <w:rsid w:val="00371699"/>
    <w:rsid w:val="003723D4"/>
    <w:rsid w:val="00382D14"/>
    <w:rsid w:val="00384863"/>
    <w:rsid w:val="00384CC8"/>
    <w:rsid w:val="003871FD"/>
    <w:rsid w:val="003971EC"/>
    <w:rsid w:val="003A12CC"/>
    <w:rsid w:val="003A1E30"/>
    <w:rsid w:val="003A2556"/>
    <w:rsid w:val="003A582B"/>
    <w:rsid w:val="003A7D1C"/>
    <w:rsid w:val="003B304B"/>
    <w:rsid w:val="003B3146"/>
    <w:rsid w:val="003B60F3"/>
    <w:rsid w:val="003B6F38"/>
    <w:rsid w:val="003C1CC1"/>
    <w:rsid w:val="003C44CB"/>
    <w:rsid w:val="003D3A16"/>
    <w:rsid w:val="003E1E28"/>
    <w:rsid w:val="003E371A"/>
    <w:rsid w:val="003F015E"/>
    <w:rsid w:val="003F3497"/>
    <w:rsid w:val="00400414"/>
    <w:rsid w:val="004057EE"/>
    <w:rsid w:val="004068F5"/>
    <w:rsid w:val="004121BE"/>
    <w:rsid w:val="0041446B"/>
    <w:rsid w:val="004377B6"/>
    <w:rsid w:val="00441413"/>
    <w:rsid w:val="0044329C"/>
    <w:rsid w:val="004524A8"/>
    <w:rsid w:val="004577FE"/>
    <w:rsid w:val="00457B9C"/>
    <w:rsid w:val="0046164A"/>
    <w:rsid w:val="00461FCA"/>
    <w:rsid w:val="004628D2"/>
    <w:rsid w:val="00462DCD"/>
    <w:rsid w:val="004648AD"/>
    <w:rsid w:val="00465647"/>
    <w:rsid w:val="00467CD6"/>
    <w:rsid w:val="004703A9"/>
    <w:rsid w:val="00475705"/>
    <w:rsid w:val="004760DE"/>
    <w:rsid w:val="00492F3A"/>
    <w:rsid w:val="0049342B"/>
    <w:rsid w:val="004A004E"/>
    <w:rsid w:val="004A03D4"/>
    <w:rsid w:val="004A140C"/>
    <w:rsid w:val="004A24CF"/>
    <w:rsid w:val="004B6721"/>
    <w:rsid w:val="004C3D1D"/>
    <w:rsid w:val="004C7913"/>
    <w:rsid w:val="004D29C9"/>
    <w:rsid w:val="004D5129"/>
    <w:rsid w:val="004D7C51"/>
    <w:rsid w:val="004E1BFC"/>
    <w:rsid w:val="004E4782"/>
    <w:rsid w:val="004E4DD6"/>
    <w:rsid w:val="004F5E36"/>
    <w:rsid w:val="00507B47"/>
    <w:rsid w:val="00507CC9"/>
    <w:rsid w:val="005119A5"/>
    <w:rsid w:val="00520E84"/>
    <w:rsid w:val="005278B7"/>
    <w:rsid w:val="00530226"/>
    <w:rsid w:val="00531265"/>
    <w:rsid w:val="00532016"/>
    <w:rsid w:val="005346C8"/>
    <w:rsid w:val="00535AC1"/>
    <w:rsid w:val="00543E7D"/>
    <w:rsid w:val="005451C0"/>
    <w:rsid w:val="00546B05"/>
    <w:rsid w:val="00547A68"/>
    <w:rsid w:val="005531C9"/>
    <w:rsid w:val="00553A64"/>
    <w:rsid w:val="00553EC4"/>
    <w:rsid w:val="00557C6F"/>
    <w:rsid w:val="005616B3"/>
    <w:rsid w:val="00563FC4"/>
    <w:rsid w:val="00565FD8"/>
    <w:rsid w:val="005826C3"/>
    <w:rsid w:val="00585D04"/>
    <w:rsid w:val="00590956"/>
    <w:rsid w:val="005947F6"/>
    <w:rsid w:val="005A0401"/>
    <w:rsid w:val="005A2C8B"/>
    <w:rsid w:val="005B2110"/>
    <w:rsid w:val="005B61E6"/>
    <w:rsid w:val="005C05DC"/>
    <w:rsid w:val="005C3038"/>
    <w:rsid w:val="005C77E1"/>
    <w:rsid w:val="005D6A2F"/>
    <w:rsid w:val="005E1A82"/>
    <w:rsid w:val="005E794C"/>
    <w:rsid w:val="005E7E25"/>
    <w:rsid w:val="005F0A28"/>
    <w:rsid w:val="005F0E5E"/>
    <w:rsid w:val="005F0FBF"/>
    <w:rsid w:val="005F1656"/>
    <w:rsid w:val="005F191D"/>
    <w:rsid w:val="00600535"/>
    <w:rsid w:val="006020F9"/>
    <w:rsid w:val="00610CD6"/>
    <w:rsid w:val="00614F54"/>
    <w:rsid w:val="00616DE0"/>
    <w:rsid w:val="00620DEE"/>
    <w:rsid w:val="00621F92"/>
    <w:rsid w:val="00622680"/>
    <w:rsid w:val="00622FC6"/>
    <w:rsid w:val="00625639"/>
    <w:rsid w:val="00627847"/>
    <w:rsid w:val="00631B33"/>
    <w:rsid w:val="0064184D"/>
    <w:rsid w:val="006422CC"/>
    <w:rsid w:val="00645C4A"/>
    <w:rsid w:val="00660E3E"/>
    <w:rsid w:val="00662E74"/>
    <w:rsid w:val="006658E7"/>
    <w:rsid w:val="00680C23"/>
    <w:rsid w:val="006873CB"/>
    <w:rsid w:val="0069227D"/>
    <w:rsid w:val="00693766"/>
    <w:rsid w:val="006A183A"/>
    <w:rsid w:val="006A3281"/>
    <w:rsid w:val="006A5A9F"/>
    <w:rsid w:val="006B2CC5"/>
    <w:rsid w:val="006B4888"/>
    <w:rsid w:val="006C2E45"/>
    <w:rsid w:val="006C359C"/>
    <w:rsid w:val="006C5579"/>
    <w:rsid w:val="006E1E4B"/>
    <w:rsid w:val="006E4BFE"/>
    <w:rsid w:val="006E53AB"/>
    <w:rsid w:val="006E737D"/>
    <w:rsid w:val="006F116F"/>
    <w:rsid w:val="006F7D9F"/>
    <w:rsid w:val="0070195D"/>
    <w:rsid w:val="00720A24"/>
    <w:rsid w:val="00726E34"/>
    <w:rsid w:val="00732386"/>
    <w:rsid w:val="007447F3"/>
    <w:rsid w:val="0075499F"/>
    <w:rsid w:val="007614DC"/>
    <w:rsid w:val="007661C8"/>
    <w:rsid w:val="007671BD"/>
    <w:rsid w:val="0077098D"/>
    <w:rsid w:val="00780A3C"/>
    <w:rsid w:val="00783569"/>
    <w:rsid w:val="007931FA"/>
    <w:rsid w:val="007A66DB"/>
    <w:rsid w:val="007A7BBA"/>
    <w:rsid w:val="007B0C50"/>
    <w:rsid w:val="007B31BF"/>
    <w:rsid w:val="007C055C"/>
    <w:rsid w:val="007C1A43"/>
    <w:rsid w:val="007C248C"/>
    <w:rsid w:val="007C3633"/>
    <w:rsid w:val="007D1107"/>
    <w:rsid w:val="007E0552"/>
    <w:rsid w:val="007E1B22"/>
    <w:rsid w:val="007E1DC6"/>
    <w:rsid w:val="007E6F47"/>
    <w:rsid w:val="007F14B6"/>
    <w:rsid w:val="007F19F3"/>
    <w:rsid w:val="00800A85"/>
    <w:rsid w:val="008122F2"/>
    <w:rsid w:val="00812D78"/>
    <w:rsid w:val="00813288"/>
    <w:rsid w:val="008168FC"/>
    <w:rsid w:val="00822852"/>
    <w:rsid w:val="00827B1F"/>
    <w:rsid w:val="00830996"/>
    <w:rsid w:val="00831453"/>
    <w:rsid w:val="00833747"/>
    <w:rsid w:val="0083405E"/>
    <w:rsid w:val="008345F1"/>
    <w:rsid w:val="00840348"/>
    <w:rsid w:val="0084216A"/>
    <w:rsid w:val="00846C91"/>
    <w:rsid w:val="008533CA"/>
    <w:rsid w:val="00856E40"/>
    <w:rsid w:val="008640F3"/>
    <w:rsid w:val="00865B07"/>
    <w:rsid w:val="008667EA"/>
    <w:rsid w:val="0087444C"/>
    <w:rsid w:val="0087637F"/>
    <w:rsid w:val="00877413"/>
    <w:rsid w:val="00886F47"/>
    <w:rsid w:val="008904B9"/>
    <w:rsid w:val="00892AD5"/>
    <w:rsid w:val="00895FD0"/>
    <w:rsid w:val="00896E62"/>
    <w:rsid w:val="0089766E"/>
    <w:rsid w:val="008A1512"/>
    <w:rsid w:val="008C2B2B"/>
    <w:rsid w:val="008C5784"/>
    <w:rsid w:val="008C78C1"/>
    <w:rsid w:val="008D32B9"/>
    <w:rsid w:val="008D433B"/>
    <w:rsid w:val="008E566E"/>
    <w:rsid w:val="008F115E"/>
    <w:rsid w:val="0090161A"/>
    <w:rsid w:val="00901EB6"/>
    <w:rsid w:val="00904C62"/>
    <w:rsid w:val="00917D11"/>
    <w:rsid w:val="00922965"/>
    <w:rsid w:val="00924DAC"/>
    <w:rsid w:val="00927058"/>
    <w:rsid w:val="00932A34"/>
    <w:rsid w:val="009450CE"/>
    <w:rsid w:val="00947179"/>
    <w:rsid w:val="00950D66"/>
    <w:rsid w:val="0095164B"/>
    <w:rsid w:val="00954090"/>
    <w:rsid w:val="0095679C"/>
    <w:rsid w:val="00956854"/>
    <w:rsid w:val="009573E7"/>
    <w:rsid w:val="009635B9"/>
    <w:rsid w:val="00963E05"/>
    <w:rsid w:val="0096792F"/>
    <w:rsid w:val="00967D54"/>
    <w:rsid w:val="00973CD0"/>
    <w:rsid w:val="009744EB"/>
    <w:rsid w:val="009745B7"/>
    <w:rsid w:val="0097478B"/>
    <w:rsid w:val="0097751D"/>
    <w:rsid w:val="00990330"/>
    <w:rsid w:val="00996483"/>
    <w:rsid w:val="00996690"/>
    <w:rsid w:val="0099687E"/>
    <w:rsid w:val="00996F5A"/>
    <w:rsid w:val="009A0A3E"/>
    <w:rsid w:val="009B041A"/>
    <w:rsid w:val="009B0D1E"/>
    <w:rsid w:val="009B424D"/>
    <w:rsid w:val="009C7C86"/>
    <w:rsid w:val="009D0BFF"/>
    <w:rsid w:val="009D2FF7"/>
    <w:rsid w:val="009D4B58"/>
    <w:rsid w:val="009E7884"/>
    <w:rsid w:val="009E788A"/>
    <w:rsid w:val="009F0E08"/>
    <w:rsid w:val="009F6C2A"/>
    <w:rsid w:val="009F7DBB"/>
    <w:rsid w:val="00A02F16"/>
    <w:rsid w:val="00A11C12"/>
    <w:rsid w:val="00A15C88"/>
    <w:rsid w:val="00A1763D"/>
    <w:rsid w:val="00A17CEC"/>
    <w:rsid w:val="00A20F8C"/>
    <w:rsid w:val="00A27EF0"/>
    <w:rsid w:val="00A340FA"/>
    <w:rsid w:val="00A4362D"/>
    <w:rsid w:val="00A46185"/>
    <w:rsid w:val="00A50B20"/>
    <w:rsid w:val="00A51390"/>
    <w:rsid w:val="00A5464B"/>
    <w:rsid w:val="00A60D13"/>
    <w:rsid w:val="00A72745"/>
    <w:rsid w:val="00A76EFC"/>
    <w:rsid w:val="00A83EE8"/>
    <w:rsid w:val="00A842FA"/>
    <w:rsid w:val="00A870BA"/>
    <w:rsid w:val="00A91010"/>
    <w:rsid w:val="00A96DD3"/>
    <w:rsid w:val="00A97F29"/>
    <w:rsid w:val="00AA3B46"/>
    <w:rsid w:val="00AA660D"/>
    <w:rsid w:val="00AA702E"/>
    <w:rsid w:val="00AB0964"/>
    <w:rsid w:val="00AB2442"/>
    <w:rsid w:val="00AB2B27"/>
    <w:rsid w:val="00AB5011"/>
    <w:rsid w:val="00AC45A7"/>
    <w:rsid w:val="00AC7368"/>
    <w:rsid w:val="00AD16B9"/>
    <w:rsid w:val="00AE32CC"/>
    <w:rsid w:val="00AE377D"/>
    <w:rsid w:val="00AE7207"/>
    <w:rsid w:val="00AF5B27"/>
    <w:rsid w:val="00B042F7"/>
    <w:rsid w:val="00B07444"/>
    <w:rsid w:val="00B1364E"/>
    <w:rsid w:val="00B17FBD"/>
    <w:rsid w:val="00B315A6"/>
    <w:rsid w:val="00B3175A"/>
    <w:rsid w:val="00B31813"/>
    <w:rsid w:val="00B31E43"/>
    <w:rsid w:val="00B328FD"/>
    <w:rsid w:val="00B33365"/>
    <w:rsid w:val="00B40553"/>
    <w:rsid w:val="00B42126"/>
    <w:rsid w:val="00B4633C"/>
    <w:rsid w:val="00B54FAD"/>
    <w:rsid w:val="00B57B36"/>
    <w:rsid w:val="00B72FCE"/>
    <w:rsid w:val="00B755D0"/>
    <w:rsid w:val="00B83DD1"/>
    <w:rsid w:val="00B8686D"/>
    <w:rsid w:val="00B93671"/>
    <w:rsid w:val="00B94F25"/>
    <w:rsid w:val="00BA5F59"/>
    <w:rsid w:val="00BB5785"/>
    <w:rsid w:val="00BC30C9"/>
    <w:rsid w:val="00BD49D7"/>
    <w:rsid w:val="00BE3E58"/>
    <w:rsid w:val="00BE484C"/>
    <w:rsid w:val="00BF6EA1"/>
    <w:rsid w:val="00C00A4D"/>
    <w:rsid w:val="00C01616"/>
    <w:rsid w:val="00C0162B"/>
    <w:rsid w:val="00C03F40"/>
    <w:rsid w:val="00C05E9B"/>
    <w:rsid w:val="00C20C73"/>
    <w:rsid w:val="00C30044"/>
    <w:rsid w:val="00C32A61"/>
    <w:rsid w:val="00C33956"/>
    <w:rsid w:val="00C345B1"/>
    <w:rsid w:val="00C40142"/>
    <w:rsid w:val="00C41DE9"/>
    <w:rsid w:val="00C43323"/>
    <w:rsid w:val="00C47291"/>
    <w:rsid w:val="00C5328C"/>
    <w:rsid w:val="00C54D41"/>
    <w:rsid w:val="00C57182"/>
    <w:rsid w:val="00C57863"/>
    <w:rsid w:val="00C6013B"/>
    <w:rsid w:val="00C62699"/>
    <w:rsid w:val="00C655FD"/>
    <w:rsid w:val="00C67F42"/>
    <w:rsid w:val="00C85EAA"/>
    <w:rsid w:val="00C865B0"/>
    <w:rsid w:val="00C870A8"/>
    <w:rsid w:val="00C94434"/>
    <w:rsid w:val="00C97048"/>
    <w:rsid w:val="00CA0D75"/>
    <w:rsid w:val="00CA19C9"/>
    <w:rsid w:val="00CA1C95"/>
    <w:rsid w:val="00CA5A9C"/>
    <w:rsid w:val="00CD068B"/>
    <w:rsid w:val="00CD3517"/>
    <w:rsid w:val="00CD5A00"/>
    <w:rsid w:val="00CD5FE2"/>
    <w:rsid w:val="00CE181A"/>
    <w:rsid w:val="00CE19BF"/>
    <w:rsid w:val="00CE5718"/>
    <w:rsid w:val="00CE7369"/>
    <w:rsid w:val="00CE7750"/>
    <w:rsid w:val="00CE793F"/>
    <w:rsid w:val="00CE7C68"/>
    <w:rsid w:val="00CF282A"/>
    <w:rsid w:val="00D02B4C"/>
    <w:rsid w:val="00D040C4"/>
    <w:rsid w:val="00D0472E"/>
    <w:rsid w:val="00D0494B"/>
    <w:rsid w:val="00D07985"/>
    <w:rsid w:val="00D27DEA"/>
    <w:rsid w:val="00D33889"/>
    <w:rsid w:val="00D33909"/>
    <w:rsid w:val="00D348AB"/>
    <w:rsid w:val="00D3549E"/>
    <w:rsid w:val="00D36DD9"/>
    <w:rsid w:val="00D51210"/>
    <w:rsid w:val="00D51826"/>
    <w:rsid w:val="00D57C84"/>
    <w:rsid w:val="00D6057D"/>
    <w:rsid w:val="00D72324"/>
    <w:rsid w:val="00D72581"/>
    <w:rsid w:val="00D73B81"/>
    <w:rsid w:val="00D76706"/>
    <w:rsid w:val="00D84576"/>
    <w:rsid w:val="00D847C6"/>
    <w:rsid w:val="00D86383"/>
    <w:rsid w:val="00D91F35"/>
    <w:rsid w:val="00DA1399"/>
    <w:rsid w:val="00DA24C6"/>
    <w:rsid w:val="00DA4D7B"/>
    <w:rsid w:val="00DA71D1"/>
    <w:rsid w:val="00DC0C2A"/>
    <w:rsid w:val="00DE264A"/>
    <w:rsid w:val="00DE6476"/>
    <w:rsid w:val="00DE6DAE"/>
    <w:rsid w:val="00E0090C"/>
    <w:rsid w:val="00E02D18"/>
    <w:rsid w:val="00E041E7"/>
    <w:rsid w:val="00E21195"/>
    <w:rsid w:val="00E23CA1"/>
    <w:rsid w:val="00E27417"/>
    <w:rsid w:val="00E3069C"/>
    <w:rsid w:val="00E358FA"/>
    <w:rsid w:val="00E409A8"/>
    <w:rsid w:val="00E40A5F"/>
    <w:rsid w:val="00E50C12"/>
    <w:rsid w:val="00E57FCC"/>
    <w:rsid w:val="00E65B91"/>
    <w:rsid w:val="00E7209D"/>
    <w:rsid w:val="00E77223"/>
    <w:rsid w:val="00E8528B"/>
    <w:rsid w:val="00E85B94"/>
    <w:rsid w:val="00E9218B"/>
    <w:rsid w:val="00E94A47"/>
    <w:rsid w:val="00E96FA6"/>
    <w:rsid w:val="00E978D0"/>
    <w:rsid w:val="00EA291A"/>
    <w:rsid w:val="00EA4613"/>
    <w:rsid w:val="00EA7C59"/>
    <w:rsid w:val="00EA7F91"/>
    <w:rsid w:val="00EB1359"/>
    <w:rsid w:val="00EB1523"/>
    <w:rsid w:val="00EB4728"/>
    <w:rsid w:val="00EB7353"/>
    <w:rsid w:val="00EC0E49"/>
    <w:rsid w:val="00EC2E3B"/>
    <w:rsid w:val="00ED7903"/>
    <w:rsid w:val="00EE0131"/>
    <w:rsid w:val="00EE3B50"/>
    <w:rsid w:val="00EF27B7"/>
    <w:rsid w:val="00EF4EB3"/>
    <w:rsid w:val="00F010A3"/>
    <w:rsid w:val="00F0258D"/>
    <w:rsid w:val="00F155B2"/>
    <w:rsid w:val="00F2699E"/>
    <w:rsid w:val="00F30C64"/>
    <w:rsid w:val="00F32CDB"/>
    <w:rsid w:val="00F44042"/>
    <w:rsid w:val="00F53788"/>
    <w:rsid w:val="00F56AAC"/>
    <w:rsid w:val="00F6097D"/>
    <w:rsid w:val="00F63A70"/>
    <w:rsid w:val="00F70D60"/>
    <w:rsid w:val="00F835B4"/>
    <w:rsid w:val="00F85EB7"/>
    <w:rsid w:val="00F92907"/>
    <w:rsid w:val="00F934FF"/>
    <w:rsid w:val="00FA21D0"/>
    <w:rsid w:val="00FA5A3D"/>
    <w:rsid w:val="00FA5F5F"/>
    <w:rsid w:val="00FB14E8"/>
    <w:rsid w:val="00FB36CA"/>
    <w:rsid w:val="00FB4F53"/>
    <w:rsid w:val="00FB730C"/>
    <w:rsid w:val="00FC2695"/>
    <w:rsid w:val="00FC3E03"/>
    <w:rsid w:val="00FC3FC1"/>
    <w:rsid w:val="00FC5BEA"/>
    <w:rsid w:val="00FD0329"/>
    <w:rsid w:val="00FD4051"/>
    <w:rsid w:val="00FE4971"/>
  </w:rsids>
  <m:mathPr>
    <m:mathFont m:val="Cambria Math"/>
    <m:brkBin m:val="before"/>
    <m:brkBinSub m:val="--"/>
    <m:smallFrac/>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FF7F54"/>
  <w15:docId w15:val="{D8833855-4738-4A7F-A6F2-7DBDE782F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tulo1">
    <w:name w:val="heading 1"/>
    <w:basedOn w:val="CETHeading1"/>
    <w:next w:val="Normal"/>
    <w:link w:val="Ttulo1Char"/>
    <w:uiPriority w:val="9"/>
    <w:rsid w:val="004F5E36"/>
    <w:pPr>
      <w:tabs>
        <w:tab w:val="clear" w:pos="360"/>
        <w:tab w:val="right" w:pos="7100"/>
      </w:tabs>
      <w:jc w:val="both"/>
      <w:outlineLvl w:val="0"/>
    </w:pPr>
    <w:rPr>
      <w:lang w:val="en-GB"/>
    </w:rPr>
  </w:style>
  <w:style w:type="paragraph" w:styleId="Ttulo2">
    <w:name w:val="heading 2"/>
    <w:basedOn w:val="Normal"/>
    <w:next w:val="Normal"/>
    <w:link w:val="Ttulo2Ch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h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asimples1">
    <w:name w:val="Table Simple 1"/>
    <w:basedOn w:val="Tabela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9E788A"/>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9E788A"/>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efdecomentrio">
    <w:name w:val="annotation reference"/>
    <w:basedOn w:val="Fontepargpadro"/>
    <w:uiPriority w:val="99"/>
    <w:semiHidden/>
    <w:unhideWhenUsed/>
    <w:rsid w:val="004577FE"/>
    <w:rPr>
      <w:sz w:val="16"/>
      <w:szCs w:val="16"/>
    </w:rPr>
  </w:style>
  <w:style w:type="paragraph" w:styleId="Textodebalo">
    <w:name w:val="Balloon Text"/>
    <w:basedOn w:val="Normal"/>
    <w:link w:val="TextodebaloChar"/>
    <w:uiPriority w:val="99"/>
    <w:semiHidden/>
    <w:unhideWhenUsed/>
    <w:rsid w:val="000D34BE"/>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texto2">
    <w:name w:val="Body Text 2"/>
    <w:basedOn w:val="Normal"/>
    <w:link w:val="Corpodetexto2Char"/>
    <w:uiPriority w:val="99"/>
    <w:semiHidden/>
    <w:unhideWhenUsed/>
    <w:rsid w:val="0003148D"/>
    <w:pPr>
      <w:spacing w:after="120" w:line="480" w:lineRule="auto"/>
    </w:pPr>
  </w:style>
  <w:style w:type="character" w:customStyle="1" w:styleId="Corpodetexto2Char">
    <w:name w:val="Corpo de texto 2 Char"/>
    <w:basedOn w:val="Fontepargpadro"/>
    <w:link w:val="Corpodetexto2"/>
    <w:uiPriority w:val="99"/>
    <w:semiHidden/>
    <w:rsid w:val="0003148D"/>
  </w:style>
  <w:style w:type="paragraph" w:styleId="Corpodetexto3">
    <w:name w:val="Body Text 3"/>
    <w:basedOn w:val="Normal"/>
    <w:link w:val="Corpodetexto3Char"/>
    <w:uiPriority w:val="99"/>
    <w:semiHidden/>
    <w:unhideWhenUsed/>
    <w:rsid w:val="0003148D"/>
    <w:pPr>
      <w:spacing w:after="120"/>
    </w:pPr>
    <w:rPr>
      <w:sz w:val="16"/>
      <w:szCs w:val="16"/>
    </w:rPr>
  </w:style>
  <w:style w:type="character" w:customStyle="1" w:styleId="Corpodetexto3Char">
    <w:name w:val="Corpo de texto 3 Char"/>
    <w:basedOn w:val="Fontepargpadro"/>
    <w:link w:val="Corpodetexto3"/>
    <w:uiPriority w:val="99"/>
    <w:semiHidden/>
    <w:rsid w:val="0003148D"/>
    <w:rPr>
      <w:sz w:val="16"/>
      <w:szCs w:val="16"/>
    </w:rPr>
  </w:style>
  <w:style w:type="paragraph" w:styleId="Corpodetexto">
    <w:name w:val="Body Text"/>
    <w:basedOn w:val="Normal"/>
    <w:link w:val="CorpodetextoChar"/>
    <w:uiPriority w:val="99"/>
    <w:semiHidden/>
    <w:unhideWhenUsed/>
    <w:rsid w:val="0003148D"/>
    <w:pPr>
      <w:spacing w:after="120"/>
    </w:pPr>
  </w:style>
  <w:style w:type="character" w:customStyle="1" w:styleId="CorpodetextoChar">
    <w:name w:val="Corpo de texto Char"/>
    <w:basedOn w:val="Fontepargpadro"/>
    <w:link w:val="Corpodetexto"/>
    <w:uiPriority w:val="99"/>
    <w:semiHidden/>
    <w:rsid w:val="0003148D"/>
  </w:style>
  <w:style w:type="paragraph" w:styleId="Data">
    <w:name w:val="Date"/>
    <w:basedOn w:val="Normal"/>
    <w:next w:val="Normal"/>
    <w:link w:val="DataChar"/>
    <w:uiPriority w:val="99"/>
    <w:semiHidden/>
    <w:unhideWhenUsed/>
    <w:rsid w:val="0003148D"/>
  </w:style>
  <w:style w:type="character" w:customStyle="1" w:styleId="DataChar">
    <w:name w:val="Data Char"/>
    <w:basedOn w:val="Fontepargpadro"/>
    <w:link w:val="Data"/>
    <w:uiPriority w:val="99"/>
    <w:semiHidden/>
    <w:rsid w:val="0003148D"/>
  </w:style>
  <w:style w:type="paragraph" w:styleId="Legenda">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a">
    <w:name w:val="List"/>
    <w:basedOn w:val="Normal"/>
    <w:uiPriority w:val="99"/>
    <w:semiHidden/>
    <w:unhideWhenUsed/>
    <w:rsid w:val="0003148D"/>
    <w:pPr>
      <w:ind w:left="283" w:hanging="283"/>
      <w:contextualSpacing/>
    </w:pPr>
  </w:style>
  <w:style w:type="paragraph" w:styleId="Lista2">
    <w:name w:val="List 2"/>
    <w:basedOn w:val="Normal"/>
    <w:uiPriority w:val="99"/>
    <w:semiHidden/>
    <w:unhideWhenUsed/>
    <w:rsid w:val="0003148D"/>
    <w:pPr>
      <w:ind w:left="566" w:hanging="283"/>
      <w:contextualSpacing/>
    </w:pPr>
  </w:style>
  <w:style w:type="paragraph" w:styleId="Lista3">
    <w:name w:val="List 3"/>
    <w:basedOn w:val="Normal"/>
    <w:uiPriority w:val="99"/>
    <w:semiHidden/>
    <w:unhideWhenUsed/>
    <w:rsid w:val="0003148D"/>
    <w:pPr>
      <w:ind w:left="849" w:hanging="283"/>
      <w:contextualSpacing/>
    </w:pPr>
  </w:style>
  <w:style w:type="paragraph" w:styleId="Lista4">
    <w:name w:val="List 4"/>
    <w:basedOn w:val="Normal"/>
    <w:uiPriority w:val="99"/>
    <w:semiHidden/>
    <w:unhideWhenUsed/>
    <w:rsid w:val="0003148D"/>
    <w:pPr>
      <w:ind w:left="1132" w:hanging="283"/>
      <w:contextualSpacing/>
    </w:pPr>
  </w:style>
  <w:style w:type="paragraph" w:styleId="Lista5">
    <w:name w:val="List 5"/>
    <w:basedOn w:val="Normal"/>
    <w:uiPriority w:val="99"/>
    <w:semiHidden/>
    <w:unhideWhenUsed/>
    <w:rsid w:val="0003148D"/>
    <w:pPr>
      <w:ind w:left="1415" w:hanging="283"/>
      <w:contextualSpacing/>
    </w:pPr>
  </w:style>
  <w:style w:type="paragraph" w:styleId="Listadecontinuao">
    <w:name w:val="List Continue"/>
    <w:basedOn w:val="Normal"/>
    <w:uiPriority w:val="99"/>
    <w:semiHidden/>
    <w:unhideWhenUsed/>
    <w:rsid w:val="0003148D"/>
    <w:pPr>
      <w:spacing w:after="120"/>
      <w:ind w:left="283"/>
      <w:contextualSpacing/>
    </w:pPr>
  </w:style>
  <w:style w:type="paragraph" w:styleId="Listadecontinuao2">
    <w:name w:val="List Continue 2"/>
    <w:basedOn w:val="Normal"/>
    <w:uiPriority w:val="99"/>
    <w:semiHidden/>
    <w:unhideWhenUsed/>
    <w:rsid w:val="0003148D"/>
    <w:pPr>
      <w:spacing w:after="120"/>
      <w:ind w:left="566"/>
      <w:contextualSpacing/>
    </w:pPr>
  </w:style>
  <w:style w:type="paragraph" w:styleId="Listadecontinuao3">
    <w:name w:val="List Continue 3"/>
    <w:basedOn w:val="Normal"/>
    <w:uiPriority w:val="99"/>
    <w:semiHidden/>
    <w:unhideWhenUsed/>
    <w:rsid w:val="0003148D"/>
    <w:pPr>
      <w:spacing w:after="120"/>
      <w:ind w:left="849"/>
      <w:contextualSpacing/>
    </w:pPr>
  </w:style>
  <w:style w:type="paragraph" w:styleId="Listadecontinuao4">
    <w:name w:val="List Continue 4"/>
    <w:basedOn w:val="Normal"/>
    <w:uiPriority w:val="99"/>
    <w:semiHidden/>
    <w:unhideWhenUsed/>
    <w:rsid w:val="0003148D"/>
    <w:pPr>
      <w:spacing w:after="120"/>
      <w:ind w:left="1132"/>
      <w:contextualSpacing/>
    </w:pPr>
  </w:style>
  <w:style w:type="paragraph" w:styleId="Listadecontinuao5">
    <w:name w:val="List Continue 5"/>
    <w:basedOn w:val="Normal"/>
    <w:uiPriority w:val="99"/>
    <w:semiHidden/>
    <w:unhideWhenUsed/>
    <w:rsid w:val="0003148D"/>
    <w:pPr>
      <w:spacing w:after="120"/>
      <w:ind w:left="1415"/>
      <w:contextualSpacing/>
    </w:pPr>
  </w:style>
  <w:style w:type="paragraph" w:styleId="Assinatura">
    <w:name w:val="Signature"/>
    <w:basedOn w:val="Normal"/>
    <w:link w:val="AssinaturaChar"/>
    <w:uiPriority w:val="99"/>
    <w:semiHidden/>
    <w:unhideWhenUsed/>
    <w:rsid w:val="0003148D"/>
    <w:pPr>
      <w:spacing w:line="240" w:lineRule="auto"/>
      <w:ind w:left="4252"/>
    </w:pPr>
  </w:style>
  <w:style w:type="character" w:customStyle="1" w:styleId="AssinaturaChar">
    <w:name w:val="Assinatura Char"/>
    <w:basedOn w:val="Fontepargpadro"/>
    <w:link w:val="Assinatura"/>
    <w:uiPriority w:val="99"/>
    <w:semiHidden/>
    <w:rsid w:val="0003148D"/>
  </w:style>
  <w:style w:type="paragraph" w:styleId="AssinaturadeEmail">
    <w:name w:val="E-mail Signature"/>
    <w:basedOn w:val="Normal"/>
    <w:link w:val="AssinaturadeEmailChar"/>
    <w:uiPriority w:val="99"/>
    <w:semiHidden/>
    <w:unhideWhenUsed/>
    <w:rsid w:val="0003148D"/>
    <w:pPr>
      <w:spacing w:line="240" w:lineRule="auto"/>
    </w:pPr>
  </w:style>
  <w:style w:type="character" w:customStyle="1" w:styleId="AssinaturadeEmailChar">
    <w:name w:val="Assinatura de Email Char"/>
    <w:basedOn w:val="Fontepargpadro"/>
    <w:link w:val="AssinaturadeEmail"/>
    <w:uiPriority w:val="99"/>
    <w:semiHidden/>
    <w:rsid w:val="0003148D"/>
  </w:style>
  <w:style w:type="paragraph" w:styleId="Saudao">
    <w:name w:val="Salutation"/>
    <w:basedOn w:val="Normal"/>
    <w:next w:val="Normal"/>
    <w:link w:val="SaudaoChar"/>
    <w:uiPriority w:val="99"/>
    <w:semiHidden/>
    <w:unhideWhenUsed/>
    <w:rsid w:val="0003148D"/>
  </w:style>
  <w:style w:type="character" w:customStyle="1" w:styleId="SaudaoChar">
    <w:name w:val="Saudação Char"/>
    <w:basedOn w:val="Fontepargpadro"/>
    <w:link w:val="Saudao"/>
    <w:uiPriority w:val="99"/>
    <w:semiHidden/>
    <w:rsid w:val="0003148D"/>
  </w:style>
  <w:style w:type="paragraph" w:styleId="Encerramento">
    <w:name w:val="Closing"/>
    <w:basedOn w:val="Normal"/>
    <w:link w:val="EncerramentoChar"/>
    <w:uiPriority w:val="99"/>
    <w:semiHidden/>
    <w:unhideWhenUsed/>
    <w:rsid w:val="0003148D"/>
    <w:pPr>
      <w:spacing w:line="240" w:lineRule="auto"/>
      <w:ind w:left="4252"/>
    </w:pPr>
  </w:style>
  <w:style w:type="character" w:customStyle="1" w:styleId="EncerramentoChar">
    <w:name w:val="Encerramento Char"/>
    <w:basedOn w:val="Fontepargpadro"/>
    <w:link w:val="Encerramento"/>
    <w:uiPriority w:val="99"/>
    <w:semiHidden/>
    <w:rsid w:val="0003148D"/>
  </w:style>
  <w:style w:type="paragraph" w:styleId="Remissivo1">
    <w:name w:val="index 1"/>
    <w:basedOn w:val="Normal"/>
    <w:next w:val="Normal"/>
    <w:autoRedefine/>
    <w:uiPriority w:val="99"/>
    <w:semiHidden/>
    <w:unhideWhenUsed/>
    <w:rsid w:val="0003148D"/>
    <w:pPr>
      <w:spacing w:line="240" w:lineRule="auto"/>
      <w:ind w:left="220" w:hanging="220"/>
    </w:pPr>
  </w:style>
  <w:style w:type="paragraph" w:styleId="Remissivo2">
    <w:name w:val="index 2"/>
    <w:basedOn w:val="Normal"/>
    <w:next w:val="Normal"/>
    <w:autoRedefine/>
    <w:uiPriority w:val="99"/>
    <w:semiHidden/>
    <w:unhideWhenUsed/>
    <w:rsid w:val="0003148D"/>
    <w:pPr>
      <w:spacing w:line="240" w:lineRule="auto"/>
      <w:ind w:left="440" w:hanging="220"/>
    </w:pPr>
  </w:style>
  <w:style w:type="paragraph" w:styleId="Remissivo3">
    <w:name w:val="index 3"/>
    <w:basedOn w:val="Normal"/>
    <w:next w:val="Normal"/>
    <w:autoRedefine/>
    <w:uiPriority w:val="99"/>
    <w:semiHidden/>
    <w:unhideWhenUsed/>
    <w:rsid w:val="0003148D"/>
    <w:pPr>
      <w:spacing w:line="240" w:lineRule="auto"/>
      <w:ind w:left="660" w:hanging="220"/>
    </w:pPr>
  </w:style>
  <w:style w:type="paragraph" w:styleId="Remissivo4">
    <w:name w:val="index 4"/>
    <w:basedOn w:val="Normal"/>
    <w:next w:val="Normal"/>
    <w:autoRedefine/>
    <w:uiPriority w:val="99"/>
    <w:semiHidden/>
    <w:unhideWhenUsed/>
    <w:rsid w:val="0003148D"/>
    <w:pPr>
      <w:spacing w:line="240" w:lineRule="auto"/>
      <w:ind w:left="880" w:hanging="220"/>
    </w:pPr>
  </w:style>
  <w:style w:type="paragraph" w:styleId="Remissivo5">
    <w:name w:val="index 5"/>
    <w:basedOn w:val="Normal"/>
    <w:next w:val="Normal"/>
    <w:autoRedefine/>
    <w:uiPriority w:val="99"/>
    <w:semiHidden/>
    <w:unhideWhenUsed/>
    <w:rsid w:val="0003148D"/>
    <w:pPr>
      <w:spacing w:line="240" w:lineRule="auto"/>
      <w:ind w:left="1100" w:hanging="220"/>
    </w:pPr>
  </w:style>
  <w:style w:type="paragraph" w:styleId="Remissivo6">
    <w:name w:val="index 6"/>
    <w:basedOn w:val="Normal"/>
    <w:next w:val="Normal"/>
    <w:autoRedefine/>
    <w:uiPriority w:val="99"/>
    <w:semiHidden/>
    <w:unhideWhenUsed/>
    <w:rsid w:val="0003148D"/>
    <w:pPr>
      <w:spacing w:line="240" w:lineRule="auto"/>
      <w:ind w:left="1320" w:hanging="220"/>
    </w:pPr>
  </w:style>
  <w:style w:type="paragraph" w:styleId="Remissivo7">
    <w:name w:val="index 7"/>
    <w:basedOn w:val="Normal"/>
    <w:next w:val="Normal"/>
    <w:autoRedefine/>
    <w:uiPriority w:val="99"/>
    <w:semiHidden/>
    <w:unhideWhenUsed/>
    <w:rsid w:val="0003148D"/>
    <w:pPr>
      <w:spacing w:line="240" w:lineRule="auto"/>
      <w:ind w:left="1540" w:hanging="220"/>
    </w:pPr>
  </w:style>
  <w:style w:type="paragraph" w:styleId="Remissivo8">
    <w:name w:val="index 8"/>
    <w:basedOn w:val="Normal"/>
    <w:next w:val="Normal"/>
    <w:autoRedefine/>
    <w:uiPriority w:val="99"/>
    <w:semiHidden/>
    <w:unhideWhenUsed/>
    <w:rsid w:val="0003148D"/>
    <w:pPr>
      <w:spacing w:line="240" w:lineRule="auto"/>
      <w:ind w:left="1760" w:hanging="220"/>
    </w:pPr>
  </w:style>
  <w:style w:type="paragraph" w:styleId="Remissivo9">
    <w:name w:val="index 9"/>
    <w:basedOn w:val="Normal"/>
    <w:next w:val="Normal"/>
    <w:autoRedefine/>
    <w:uiPriority w:val="99"/>
    <w:semiHidden/>
    <w:unhideWhenUsed/>
    <w:rsid w:val="0003148D"/>
    <w:pPr>
      <w:spacing w:line="240" w:lineRule="auto"/>
      <w:ind w:left="1980" w:hanging="220"/>
    </w:pPr>
  </w:style>
  <w:style w:type="paragraph" w:styleId="ndicedeilustraes">
    <w:name w:val="table of figures"/>
    <w:basedOn w:val="Normal"/>
    <w:next w:val="Normal"/>
    <w:uiPriority w:val="99"/>
    <w:semiHidden/>
    <w:unhideWhenUsed/>
    <w:rsid w:val="0003148D"/>
  </w:style>
  <w:style w:type="paragraph" w:styleId="ndicedeautoridades">
    <w:name w:val="table of authorities"/>
    <w:basedOn w:val="Normal"/>
    <w:next w:val="Normal"/>
    <w:uiPriority w:val="99"/>
    <w:semiHidden/>
    <w:unhideWhenUsed/>
    <w:rsid w:val="0003148D"/>
    <w:pPr>
      <w:ind w:left="220" w:hanging="220"/>
    </w:pPr>
  </w:style>
  <w:style w:type="paragraph" w:styleId="Destinatrio">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dereoHTML">
    <w:name w:val="HTML Address"/>
    <w:basedOn w:val="Normal"/>
    <w:link w:val="EndereoHTMLChar"/>
    <w:uiPriority w:val="99"/>
    <w:semiHidden/>
    <w:unhideWhenUsed/>
    <w:rsid w:val="0003148D"/>
    <w:pPr>
      <w:spacing w:line="240" w:lineRule="auto"/>
    </w:pPr>
    <w:rPr>
      <w:i/>
      <w:iCs/>
    </w:rPr>
  </w:style>
  <w:style w:type="character" w:customStyle="1" w:styleId="EndereoHTMLChar">
    <w:name w:val="Endereço HTML Char"/>
    <w:basedOn w:val="Fontepargpadro"/>
    <w:link w:val="EndereoHTML"/>
    <w:uiPriority w:val="99"/>
    <w:semiHidden/>
    <w:rsid w:val="0003148D"/>
    <w:rPr>
      <w:i/>
      <w:iCs/>
    </w:rPr>
  </w:style>
  <w:style w:type="paragraph" w:styleId="Remetente">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Cabealhodamensagem">
    <w:name w:val="Message Header"/>
    <w:basedOn w:val="Normal"/>
    <w:link w:val="CabealhodamensagemCh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CabealhodamensagemChar">
    <w:name w:val="Cabeçalho da mensagem Char"/>
    <w:basedOn w:val="Fontepargpadro"/>
    <w:link w:val="Cabealhodamensagem"/>
    <w:uiPriority w:val="99"/>
    <w:semiHidden/>
    <w:rsid w:val="0003148D"/>
    <w:rPr>
      <w:rFonts w:asciiTheme="majorHAnsi" w:eastAsiaTheme="majorEastAsia" w:hAnsiTheme="majorHAnsi" w:cstheme="majorBidi"/>
      <w:sz w:val="24"/>
      <w:szCs w:val="24"/>
      <w:shd w:val="pct20" w:color="auto" w:fill="auto"/>
    </w:rPr>
  </w:style>
  <w:style w:type="paragraph" w:styleId="Ttulodanota">
    <w:name w:val="Note Heading"/>
    <w:basedOn w:val="Normal"/>
    <w:next w:val="Normal"/>
    <w:link w:val="TtulodanotaChar"/>
    <w:uiPriority w:val="99"/>
    <w:semiHidden/>
    <w:unhideWhenUsed/>
    <w:rsid w:val="0003148D"/>
    <w:pPr>
      <w:spacing w:line="240" w:lineRule="auto"/>
    </w:pPr>
  </w:style>
  <w:style w:type="character" w:customStyle="1" w:styleId="TtulodanotaChar">
    <w:name w:val="Título da nota Char"/>
    <w:basedOn w:val="Fontepargpadro"/>
    <w:link w:val="Ttulodanota"/>
    <w:uiPriority w:val="99"/>
    <w:semiHidden/>
    <w:rsid w:val="0003148D"/>
  </w:style>
  <w:style w:type="paragraph" w:styleId="MapadoDocumento">
    <w:name w:val="Document Map"/>
    <w:basedOn w:val="Normal"/>
    <w:link w:val="MapadoDocumentoChar"/>
    <w:uiPriority w:val="99"/>
    <w:semiHidden/>
    <w:unhideWhenUsed/>
    <w:rsid w:val="0003148D"/>
    <w:pPr>
      <w:spacing w:line="240" w:lineRule="auto"/>
    </w:pPr>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03148D"/>
    <w:rPr>
      <w:rFonts w:ascii="Tahoma" w:hAnsi="Tahoma" w:cs="Tahoma"/>
      <w:sz w:val="16"/>
      <w:szCs w:val="16"/>
    </w:rPr>
  </w:style>
  <w:style w:type="paragraph" w:styleId="NormalWeb">
    <w:name w:val="Normal (Web)"/>
    <w:basedOn w:val="Normal"/>
    <w:uiPriority w:val="99"/>
    <w:unhideWhenUsed/>
    <w:rsid w:val="0003148D"/>
    <w:rPr>
      <w:sz w:val="24"/>
      <w:szCs w:val="24"/>
    </w:rPr>
  </w:style>
  <w:style w:type="paragraph" w:styleId="Numerada">
    <w:name w:val="List Number"/>
    <w:basedOn w:val="Normal"/>
    <w:uiPriority w:val="99"/>
    <w:semiHidden/>
    <w:unhideWhenUsed/>
    <w:rsid w:val="0003148D"/>
    <w:pPr>
      <w:numPr>
        <w:numId w:val="2"/>
      </w:numPr>
      <w:contextualSpacing/>
    </w:pPr>
  </w:style>
  <w:style w:type="paragraph" w:styleId="Numerada2">
    <w:name w:val="List Number 2"/>
    <w:basedOn w:val="Normal"/>
    <w:uiPriority w:val="99"/>
    <w:semiHidden/>
    <w:unhideWhenUsed/>
    <w:rsid w:val="0003148D"/>
    <w:pPr>
      <w:numPr>
        <w:numId w:val="3"/>
      </w:numPr>
      <w:contextualSpacing/>
    </w:pPr>
  </w:style>
  <w:style w:type="paragraph" w:styleId="Numerada3">
    <w:name w:val="List Number 3"/>
    <w:basedOn w:val="Normal"/>
    <w:uiPriority w:val="99"/>
    <w:semiHidden/>
    <w:unhideWhenUsed/>
    <w:rsid w:val="0003148D"/>
    <w:pPr>
      <w:numPr>
        <w:numId w:val="4"/>
      </w:numPr>
      <w:contextualSpacing/>
    </w:pPr>
  </w:style>
  <w:style w:type="paragraph" w:styleId="Numerada4">
    <w:name w:val="List Number 4"/>
    <w:basedOn w:val="Normal"/>
    <w:uiPriority w:val="99"/>
    <w:semiHidden/>
    <w:unhideWhenUsed/>
    <w:rsid w:val="0003148D"/>
    <w:pPr>
      <w:numPr>
        <w:numId w:val="5"/>
      </w:numPr>
      <w:contextualSpacing/>
    </w:pPr>
  </w:style>
  <w:style w:type="paragraph" w:styleId="Numerada5">
    <w:name w:val="List Number 5"/>
    <w:basedOn w:val="Normal"/>
    <w:uiPriority w:val="99"/>
    <w:semiHidden/>
    <w:unhideWhenUsed/>
    <w:rsid w:val="0003148D"/>
    <w:pPr>
      <w:numPr>
        <w:numId w:val="6"/>
      </w:numPr>
      <w:contextualSpacing/>
    </w:pPr>
  </w:style>
  <w:style w:type="paragraph" w:styleId="Pr-formataoHTML">
    <w:name w:val="HTML Preformatted"/>
    <w:basedOn w:val="Normal"/>
    <w:link w:val="Pr-formataoHTMLChar"/>
    <w:uiPriority w:val="99"/>
    <w:semiHidden/>
    <w:unhideWhenUsed/>
    <w:rsid w:val="0003148D"/>
    <w:pPr>
      <w:spacing w:line="240" w:lineRule="auto"/>
    </w:pPr>
    <w:rPr>
      <w:rFonts w:ascii="Consolas" w:hAnsi="Consolas" w:cs="Consolas"/>
    </w:rPr>
  </w:style>
  <w:style w:type="character" w:customStyle="1" w:styleId="Pr-formataoHTMLChar">
    <w:name w:val="Pré-formatação HTML Char"/>
    <w:basedOn w:val="Fontepargpadro"/>
    <w:link w:val="Pr-formataoHTML"/>
    <w:uiPriority w:val="99"/>
    <w:semiHidden/>
    <w:rsid w:val="0003148D"/>
    <w:rPr>
      <w:rFonts w:ascii="Consolas" w:hAnsi="Consolas" w:cs="Consolas"/>
      <w:sz w:val="20"/>
      <w:szCs w:val="20"/>
    </w:rPr>
  </w:style>
  <w:style w:type="paragraph" w:styleId="Primeirorecuodecorpodetexto">
    <w:name w:val="Body Text First Indent"/>
    <w:basedOn w:val="Corpodetexto"/>
    <w:link w:val="PrimeirorecuodecorpodetextoChar"/>
    <w:uiPriority w:val="99"/>
    <w:semiHidden/>
    <w:unhideWhenUsed/>
    <w:rsid w:val="0003148D"/>
    <w:pPr>
      <w:spacing w:after="200"/>
      <w:ind w:firstLine="360"/>
    </w:pPr>
  </w:style>
  <w:style w:type="character" w:customStyle="1" w:styleId="PrimeirorecuodecorpodetextoChar">
    <w:name w:val="Primeiro recuo de corpo de texto Char"/>
    <w:basedOn w:val="CorpodetextoChar"/>
    <w:link w:val="Primeirorecuodecorpodetexto"/>
    <w:uiPriority w:val="99"/>
    <w:semiHidden/>
    <w:rsid w:val="0003148D"/>
  </w:style>
  <w:style w:type="paragraph" w:styleId="Recuodecorpodetexto">
    <w:name w:val="Body Text Indent"/>
    <w:basedOn w:val="Normal"/>
    <w:link w:val="RecuodecorpodetextoChar"/>
    <w:uiPriority w:val="99"/>
    <w:semiHidden/>
    <w:unhideWhenUsed/>
    <w:rsid w:val="0003148D"/>
    <w:pPr>
      <w:spacing w:after="120"/>
      <w:ind w:left="283"/>
    </w:pPr>
  </w:style>
  <w:style w:type="character" w:customStyle="1" w:styleId="RecuodecorpodetextoChar">
    <w:name w:val="Recuo de corpo de texto Char"/>
    <w:basedOn w:val="Fontepargpadro"/>
    <w:link w:val="Recuodecorpodetexto"/>
    <w:uiPriority w:val="99"/>
    <w:semiHidden/>
    <w:rsid w:val="0003148D"/>
  </w:style>
  <w:style w:type="paragraph" w:styleId="Primeirorecuodecorpodetexto2">
    <w:name w:val="Body Text First Indent 2"/>
    <w:basedOn w:val="Recuodecorpodetexto"/>
    <w:link w:val="Primeirorecuodecorpodetexto2Char"/>
    <w:uiPriority w:val="99"/>
    <w:semiHidden/>
    <w:unhideWhenUsed/>
    <w:rsid w:val="0003148D"/>
    <w:pPr>
      <w:spacing w:after="200"/>
      <w:ind w:left="360" w:firstLine="360"/>
    </w:pPr>
  </w:style>
  <w:style w:type="character" w:customStyle="1" w:styleId="Primeirorecuodecorpodetexto2Char">
    <w:name w:val="Primeiro recuo de corpo de texto 2 Char"/>
    <w:basedOn w:val="RecuodecorpodetextoChar"/>
    <w:link w:val="Primeirorecuodecorpodetexto2"/>
    <w:uiPriority w:val="99"/>
    <w:semiHidden/>
    <w:rsid w:val="0003148D"/>
  </w:style>
  <w:style w:type="paragraph" w:styleId="Commarcadores">
    <w:name w:val="List Bullet"/>
    <w:basedOn w:val="Normal"/>
    <w:uiPriority w:val="99"/>
    <w:semiHidden/>
    <w:unhideWhenUsed/>
    <w:rsid w:val="0003148D"/>
    <w:pPr>
      <w:numPr>
        <w:numId w:val="7"/>
      </w:numPr>
      <w:contextualSpacing/>
    </w:pPr>
  </w:style>
  <w:style w:type="paragraph" w:styleId="Commarcadores2">
    <w:name w:val="List Bullet 2"/>
    <w:basedOn w:val="Normal"/>
    <w:uiPriority w:val="99"/>
    <w:semiHidden/>
    <w:unhideWhenUsed/>
    <w:rsid w:val="0003148D"/>
    <w:pPr>
      <w:numPr>
        <w:numId w:val="8"/>
      </w:numPr>
      <w:contextualSpacing/>
    </w:pPr>
  </w:style>
  <w:style w:type="paragraph" w:styleId="Commarcadores3">
    <w:name w:val="List Bullet 3"/>
    <w:basedOn w:val="Normal"/>
    <w:uiPriority w:val="99"/>
    <w:semiHidden/>
    <w:unhideWhenUsed/>
    <w:rsid w:val="0003148D"/>
    <w:pPr>
      <w:numPr>
        <w:numId w:val="9"/>
      </w:numPr>
      <w:contextualSpacing/>
    </w:pPr>
  </w:style>
  <w:style w:type="paragraph" w:styleId="Commarcadores4">
    <w:name w:val="List Bullet 4"/>
    <w:basedOn w:val="Normal"/>
    <w:uiPriority w:val="99"/>
    <w:semiHidden/>
    <w:unhideWhenUsed/>
    <w:rsid w:val="0003148D"/>
    <w:pPr>
      <w:numPr>
        <w:numId w:val="10"/>
      </w:numPr>
      <w:contextualSpacing/>
    </w:pPr>
  </w:style>
  <w:style w:type="paragraph" w:styleId="Commarcadores5">
    <w:name w:val="List Bullet 5"/>
    <w:basedOn w:val="Normal"/>
    <w:uiPriority w:val="99"/>
    <w:semiHidden/>
    <w:unhideWhenUsed/>
    <w:rsid w:val="0003148D"/>
    <w:pPr>
      <w:numPr>
        <w:numId w:val="11"/>
      </w:numPr>
      <w:contextualSpacing/>
    </w:pPr>
  </w:style>
  <w:style w:type="paragraph" w:styleId="Recuodecorpodetexto2">
    <w:name w:val="Body Text Indent 2"/>
    <w:basedOn w:val="Normal"/>
    <w:link w:val="Recuodecorpodetexto2Char"/>
    <w:uiPriority w:val="99"/>
    <w:semiHidden/>
    <w:unhideWhenUsed/>
    <w:rsid w:val="0003148D"/>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03148D"/>
  </w:style>
  <w:style w:type="paragraph" w:styleId="Recuodecorpodetexto3">
    <w:name w:val="Body Text Indent 3"/>
    <w:basedOn w:val="Normal"/>
    <w:link w:val="Recuodecorpodetexto3Char"/>
    <w:uiPriority w:val="99"/>
    <w:semiHidden/>
    <w:unhideWhenUsed/>
    <w:rsid w:val="0003148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03148D"/>
    <w:rPr>
      <w:sz w:val="16"/>
      <w:szCs w:val="16"/>
    </w:rPr>
  </w:style>
  <w:style w:type="paragraph" w:styleId="Recuonormal">
    <w:name w:val="Normal Indent"/>
    <w:basedOn w:val="Normal"/>
    <w:uiPriority w:val="99"/>
    <w:semiHidden/>
    <w:unhideWhenUsed/>
    <w:rsid w:val="0003148D"/>
    <w:pPr>
      <w:ind w:left="720"/>
    </w:pPr>
  </w:style>
  <w:style w:type="paragraph" w:styleId="Textodecomentrio">
    <w:name w:val="annotation text"/>
    <w:basedOn w:val="Normal"/>
    <w:link w:val="TextodecomentrioChar"/>
    <w:uiPriority w:val="99"/>
    <w:unhideWhenUsed/>
    <w:rsid w:val="0003148D"/>
    <w:pPr>
      <w:spacing w:line="240" w:lineRule="auto"/>
    </w:pPr>
  </w:style>
  <w:style w:type="character" w:customStyle="1" w:styleId="TextodecomentrioChar">
    <w:name w:val="Texto de comentário Char"/>
    <w:basedOn w:val="Fontepargpadro"/>
    <w:link w:val="Textodecomentrio"/>
    <w:uiPriority w:val="99"/>
    <w:rsid w:val="0003148D"/>
    <w:rPr>
      <w:sz w:val="20"/>
      <w:szCs w:val="20"/>
    </w:rPr>
  </w:style>
  <w:style w:type="paragraph" w:styleId="Assuntodocomentrio">
    <w:name w:val="annotation subject"/>
    <w:basedOn w:val="Textodecomentrio"/>
    <w:next w:val="Textodecomentrio"/>
    <w:link w:val="AssuntodocomentrioChar"/>
    <w:uiPriority w:val="99"/>
    <w:semiHidden/>
    <w:unhideWhenUsed/>
    <w:rsid w:val="0003148D"/>
    <w:rPr>
      <w:b/>
      <w:bCs/>
    </w:rPr>
  </w:style>
  <w:style w:type="character" w:customStyle="1" w:styleId="AssuntodocomentrioChar">
    <w:name w:val="Assunto do comentário Char"/>
    <w:basedOn w:val="TextodecomentrioChar"/>
    <w:link w:val="Assuntodocomentrio"/>
    <w:uiPriority w:val="99"/>
    <w:semiHidden/>
    <w:rsid w:val="0003148D"/>
    <w:rPr>
      <w:b/>
      <w:bCs/>
      <w:sz w:val="20"/>
      <w:szCs w:val="20"/>
    </w:rPr>
  </w:style>
  <w:style w:type="paragraph" w:styleId="Sumrio1">
    <w:name w:val="toc 1"/>
    <w:basedOn w:val="Normal"/>
    <w:next w:val="Normal"/>
    <w:autoRedefine/>
    <w:uiPriority w:val="39"/>
    <w:semiHidden/>
    <w:unhideWhenUsed/>
    <w:rsid w:val="0003148D"/>
    <w:pPr>
      <w:spacing w:after="100"/>
    </w:pPr>
  </w:style>
  <w:style w:type="paragraph" w:styleId="Sumrio2">
    <w:name w:val="toc 2"/>
    <w:basedOn w:val="Normal"/>
    <w:next w:val="Normal"/>
    <w:autoRedefine/>
    <w:uiPriority w:val="39"/>
    <w:semiHidden/>
    <w:unhideWhenUsed/>
    <w:rsid w:val="0003148D"/>
    <w:pPr>
      <w:spacing w:after="100"/>
      <w:ind w:left="220"/>
    </w:pPr>
  </w:style>
  <w:style w:type="paragraph" w:styleId="Sumrio3">
    <w:name w:val="toc 3"/>
    <w:basedOn w:val="Normal"/>
    <w:next w:val="Normal"/>
    <w:autoRedefine/>
    <w:uiPriority w:val="39"/>
    <w:semiHidden/>
    <w:unhideWhenUsed/>
    <w:rsid w:val="0003148D"/>
    <w:pPr>
      <w:spacing w:after="100"/>
      <w:ind w:left="440"/>
    </w:pPr>
  </w:style>
  <w:style w:type="paragraph" w:styleId="Sumrio4">
    <w:name w:val="toc 4"/>
    <w:basedOn w:val="Normal"/>
    <w:next w:val="Normal"/>
    <w:autoRedefine/>
    <w:uiPriority w:val="39"/>
    <w:semiHidden/>
    <w:unhideWhenUsed/>
    <w:rsid w:val="0003148D"/>
    <w:pPr>
      <w:spacing w:after="100"/>
      <w:ind w:left="660"/>
    </w:pPr>
  </w:style>
  <w:style w:type="paragraph" w:styleId="Sumrio5">
    <w:name w:val="toc 5"/>
    <w:basedOn w:val="Normal"/>
    <w:next w:val="Normal"/>
    <w:autoRedefine/>
    <w:uiPriority w:val="39"/>
    <w:semiHidden/>
    <w:unhideWhenUsed/>
    <w:rsid w:val="0003148D"/>
    <w:pPr>
      <w:spacing w:after="100"/>
      <w:ind w:left="880"/>
    </w:pPr>
  </w:style>
  <w:style w:type="paragraph" w:styleId="Sumrio6">
    <w:name w:val="toc 6"/>
    <w:basedOn w:val="Normal"/>
    <w:next w:val="Normal"/>
    <w:autoRedefine/>
    <w:uiPriority w:val="39"/>
    <w:semiHidden/>
    <w:unhideWhenUsed/>
    <w:rsid w:val="0003148D"/>
    <w:pPr>
      <w:spacing w:after="100"/>
      <w:ind w:left="1100"/>
    </w:pPr>
  </w:style>
  <w:style w:type="paragraph" w:styleId="Sumrio7">
    <w:name w:val="toc 7"/>
    <w:basedOn w:val="Normal"/>
    <w:next w:val="Normal"/>
    <w:autoRedefine/>
    <w:uiPriority w:val="39"/>
    <w:semiHidden/>
    <w:unhideWhenUsed/>
    <w:rsid w:val="0003148D"/>
    <w:pPr>
      <w:spacing w:after="100"/>
      <w:ind w:left="1320"/>
    </w:pPr>
  </w:style>
  <w:style w:type="paragraph" w:styleId="Sumrio8">
    <w:name w:val="toc 8"/>
    <w:basedOn w:val="Normal"/>
    <w:next w:val="Normal"/>
    <w:autoRedefine/>
    <w:uiPriority w:val="39"/>
    <w:semiHidden/>
    <w:unhideWhenUsed/>
    <w:rsid w:val="0003148D"/>
    <w:pPr>
      <w:spacing w:after="100"/>
      <w:ind w:left="1540"/>
    </w:pPr>
  </w:style>
  <w:style w:type="paragraph" w:styleId="Sumrio9">
    <w:name w:val="toc 9"/>
    <w:basedOn w:val="Normal"/>
    <w:next w:val="Normal"/>
    <w:autoRedefine/>
    <w:uiPriority w:val="39"/>
    <w:semiHidden/>
    <w:unhideWhenUsed/>
    <w:rsid w:val="0003148D"/>
    <w:pPr>
      <w:spacing w:after="100"/>
      <w:ind w:left="1760"/>
    </w:pPr>
  </w:style>
  <w:style w:type="paragraph" w:styleId="Textoembloco">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xtodemacro">
    <w:name w:val="macro"/>
    <w:link w:val="TextodemacroCh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xtodemacroChar">
    <w:name w:val="Texto de macro Char"/>
    <w:basedOn w:val="Fontepargpadro"/>
    <w:link w:val="Textodemacro"/>
    <w:uiPriority w:val="99"/>
    <w:semiHidden/>
    <w:rsid w:val="0003148D"/>
    <w:rPr>
      <w:rFonts w:ascii="Consolas" w:hAnsi="Consolas" w:cs="Consolas"/>
      <w:sz w:val="20"/>
      <w:szCs w:val="20"/>
    </w:rPr>
  </w:style>
  <w:style w:type="paragraph" w:styleId="TextosemFormatao">
    <w:name w:val="Plain Text"/>
    <w:basedOn w:val="Normal"/>
    <w:link w:val="TextosemFormataoChar"/>
    <w:uiPriority w:val="99"/>
    <w:semiHidden/>
    <w:unhideWhenUsed/>
    <w:rsid w:val="0003148D"/>
    <w:pPr>
      <w:spacing w:line="240" w:lineRule="auto"/>
    </w:pPr>
    <w:rPr>
      <w:rFonts w:ascii="Consolas" w:hAnsi="Consolas" w:cs="Consolas"/>
      <w:sz w:val="21"/>
      <w:szCs w:val="21"/>
    </w:rPr>
  </w:style>
  <w:style w:type="character" w:customStyle="1" w:styleId="TextosemFormataoChar">
    <w:name w:val="Texto sem Formatação Char"/>
    <w:basedOn w:val="Fontepargpadro"/>
    <w:link w:val="TextosemFormatao"/>
    <w:uiPriority w:val="99"/>
    <w:semiHidden/>
    <w:rsid w:val="0003148D"/>
    <w:rPr>
      <w:rFonts w:ascii="Consolas" w:hAnsi="Consolas" w:cs="Consolas"/>
      <w:sz w:val="21"/>
      <w:szCs w:val="21"/>
    </w:rPr>
  </w:style>
  <w:style w:type="paragraph" w:styleId="Textodenotaderodap">
    <w:name w:val="footnote text"/>
    <w:basedOn w:val="Normal"/>
    <w:link w:val="TextodenotaderodapChar"/>
    <w:uiPriority w:val="99"/>
    <w:semiHidden/>
    <w:unhideWhenUsed/>
    <w:rsid w:val="0003148D"/>
    <w:pPr>
      <w:spacing w:line="240" w:lineRule="auto"/>
    </w:pPr>
  </w:style>
  <w:style w:type="character" w:customStyle="1" w:styleId="TextodenotaderodapChar">
    <w:name w:val="Texto de nota de rodapé Char"/>
    <w:basedOn w:val="Fontepargpadro"/>
    <w:link w:val="Textodenotaderodap"/>
    <w:uiPriority w:val="99"/>
    <w:semiHidden/>
    <w:rsid w:val="0003148D"/>
    <w:rPr>
      <w:sz w:val="20"/>
      <w:szCs w:val="20"/>
    </w:rPr>
  </w:style>
  <w:style w:type="paragraph" w:styleId="Textodenotadefim">
    <w:name w:val="endnote text"/>
    <w:basedOn w:val="Normal"/>
    <w:link w:val="TextodenotadefimChar"/>
    <w:uiPriority w:val="99"/>
    <w:semiHidden/>
    <w:unhideWhenUsed/>
    <w:rsid w:val="0003148D"/>
    <w:pPr>
      <w:spacing w:line="240" w:lineRule="auto"/>
    </w:pPr>
  </w:style>
  <w:style w:type="character" w:customStyle="1" w:styleId="TextodenotadefimChar">
    <w:name w:val="Texto de nota de fim Char"/>
    <w:basedOn w:val="Fontepargpadro"/>
    <w:link w:val="Textodenotadefim"/>
    <w:uiPriority w:val="99"/>
    <w:semiHidden/>
    <w:rsid w:val="0003148D"/>
    <w:rPr>
      <w:sz w:val="20"/>
      <w:szCs w:val="20"/>
    </w:rPr>
  </w:style>
  <w:style w:type="character" w:customStyle="1" w:styleId="Ttulo1Char">
    <w:name w:val="Título 1 Char"/>
    <w:basedOn w:val="Fontepargpadro"/>
    <w:link w:val="Ttulo1"/>
    <w:uiPriority w:val="9"/>
    <w:rsid w:val="004F5E36"/>
    <w:rPr>
      <w:rFonts w:ascii="Arial" w:eastAsia="Times New Roman" w:hAnsi="Arial" w:cs="Times New Roman"/>
      <w:b/>
      <w:sz w:val="20"/>
      <w:szCs w:val="20"/>
      <w:lang w:val="en-GB"/>
    </w:rPr>
  </w:style>
  <w:style w:type="character" w:customStyle="1" w:styleId="Ttulo2Char">
    <w:name w:val="Título 2 Char"/>
    <w:basedOn w:val="Fontepargpadro"/>
    <w:link w:val="Ttu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03148D"/>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semiHidden/>
    <w:rsid w:val="0003148D"/>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03148D"/>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03148D"/>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03148D"/>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03148D"/>
    <w:rPr>
      <w:rFonts w:asciiTheme="majorHAnsi" w:eastAsiaTheme="majorEastAsia" w:hAnsiTheme="majorHAnsi" w:cstheme="majorBidi"/>
      <w:i/>
      <w:iCs/>
      <w:color w:val="404040" w:themeColor="text1" w:themeTint="BF"/>
      <w:sz w:val="20"/>
      <w:szCs w:val="20"/>
    </w:rPr>
  </w:style>
  <w:style w:type="paragraph" w:styleId="Ttulodendiceremissivo">
    <w:name w:val="index heading"/>
    <w:basedOn w:val="Normal"/>
    <w:next w:val="Remissivo1"/>
    <w:uiPriority w:val="99"/>
    <w:semiHidden/>
    <w:unhideWhenUsed/>
    <w:rsid w:val="0003148D"/>
    <w:rPr>
      <w:rFonts w:asciiTheme="majorHAnsi" w:eastAsiaTheme="majorEastAsia" w:hAnsiTheme="majorHAnsi" w:cstheme="majorBidi"/>
      <w:b/>
      <w:bCs/>
    </w:rPr>
  </w:style>
  <w:style w:type="paragraph" w:styleId="Ttulodendicedeautoridades">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CabealhodoSumrio">
    <w:name w:val="TOC Heading"/>
    <w:basedOn w:val="Ttulo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Fontepargpadr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Cabealho">
    <w:name w:val="header"/>
    <w:basedOn w:val="Normal"/>
    <w:link w:val="CabealhoChar"/>
    <w:uiPriority w:val="99"/>
    <w:unhideWhenUsed/>
    <w:rsid w:val="005278B7"/>
    <w:pPr>
      <w:tabs>
        <w:tab w:val="clear" w:pos="7100"/>
        <w:tab w:val="center" w:pos="4819"/>
        <w:tab w:val="right" w:pos="9638"/>
      </w:tabs>
      <w:spacing w:line="240" w:lineRule="auto"/>
    </w:pPr>
  </w:style>
  <w:style w:type="character" w:customStyle="1" w:styleId="CabealhoChar">
    <w:name w:val="Cabeçalho Char"/>
    <w:basedOn w:val="Fontepargpadro"/>
    <w:link w:val="Cabealho"/>
    <w:uiPriority w:val="99"/>
    <w:rsid w:val="005278B7"/>
    <w:rPr>
      <w:rFonts w:ascii="Arial" w:eastAsia="Times New Roman" w:hAnsi="Arial" w:cs="Times New Roman"/>
      <w:sz w:val="18"/>
      <w:szCs w:val="20"/>
      <w:lang w:val="en-GB"/>
    </w:rPr>
  </w:style>
  <w:style w:type="paragraph" w:styleId="Rodap">
    <w:name w:val="footer"/>
    <w:basedOn w:val="Normal"/>
    <w:link w:val="RodapChar"/>
    <w:uiPriority w:val="99"/>
    <w:unhideWhenUsed/>
    <w:rsid w:val="005278B7"/>
    <w:pPr>
      <w:tabs>
        <w:tab w:val="clear" w:pos="7100"/>
        <w:tab w:val="center" w:pos="4819"/>
        <w:tab w:val="right" w:pos="9638"/>
      </w:tabs>
      <w:spacing w:line="240" w:lineRule="auto"/>
    </w:pPr>
  </w:style>
  <w:style w:type="character" w:customStyle="1" w:styleId="RodapChar">
    <w:name w:val="Rodapé Char"/>
    <w:basedOn w:val="Fontepargpadro"/>
    <w:link w:val="Rodap"/>
    <w:uiPriority w:val="99"/>
    <w:rsid w:val="005278B7"/>
    <w:rPr>
      <w:rFonts w:ascii="Arial" w:eastAsia="Times New Roman" w:hAnsi="Arial" w:cs="Times New Roman"/>
      <w:sz w:val="18"/>
      <w:szCs w:val="20"/>
      <w:lang w:val="en-GB"/>
    </w:rPr>
  </w:style>
  <w:style w:type="table" w:styleId="Tabelacomgrade">
    <w:name w:val="Table Grid"/>
    <w:basedOn w:val="Tabela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904C62"/>
    <w:rPr>
      <w:color w:val="0000FF" w:themeColor="hyperlink"/>
      <w:u w:val="single"/>
    </w:rPr>
  </w:style>
  <w:style w:type="character" w:customStyle="1" w:styleId="eudoraheader">
    <w:name w:val="eudoraheader"/>
    <w:basedOn w:val="Fontepargpadr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252C1A"/>
    <w:pPr>
      <w:numPr>
        <w:ilvl w:val="0"/>
        <w:numId w:val="0"/>
      </w:numPr>
      <w:spacing w:after="0"/>
    </w:pPr>
  </w:style>
  <w:style w:type="character" w:customStyle="1" w:styleId="CETHeadingxxChar">
    <w:name w:val="CET Headingxx Char"/>
    <w:basedOn w:val="CETheadingxCarattere"/>
    <w:link w:val="CETHeadingxx"/>
    <w:rsid w:val="00252C1A"/>
    <w:rPr>
      <w:rFonts w:ascii="Arial" w:eastAsia="Times New Roman" w:hAnsi="Arial" w:cs="Times New Roman"/>
      <w:b/>
      <w:sz w:val="18"/>
      <w:szCs w:val="20"/>
      <w:lang w:val="en-US"/>
    </w:rPr>
  </w:style>
  <w:style w:type="character" w:styleId="TextodoEspaoReservado">
    <w:name w:val="Placeholder Text"/>
    <w:basedOn w:val="Fontepargpadro"/>
    <w:uiPriority w:val="99"/>
    <w:semiHidden/>
    <w:rsid w:val="0028455B"/>
    <w:rPr>
      <w:color w:val="808080"/>
    </w:rPr>
  </w:style>
  <w:style w:type="paragraph" w:styleId="PargrafodaLista">
    <w:name w:val="List Paragraph"/>
    <w:basedOn w:val="Normal"/>
    <w:uiPriority w:val="34"/>
    <w:rsid w:val="00CE5718"/>
    <w:pPr>
      <w:ind w:left="720"/>
      <w:contextualSpacing/>
    </w:pPr>
  </w:style>
  <w:style w:type="character" w:customStyle="1" w:styleId="lsa">
    <w:name w:val="lsa"/>
    <w:basedOn w:val="Fontepargpadro"/>
    <w:rsid w:val="00822852"/>
  </w:style>
  <w:style w:type="character" w:customStyle="1" w:styleId="lse">
    <w:name w:val="lse"/>
    <w:basedOn w:val="Fontepargpadro"/>
    <w:rsid w:val="00822852"/>
  </w:style>
  <w:style w:type="character" w:customStyle="1" w:styleId="ls16">
    <w:name w:val="ls16"/>
    <w:basedOn w:val="Fontepargpadro"/>
    <w:rsid w:val="00822852"/>
  </w:style>
  <w:style w:type="character" w:customStyle="1" w:styleId="ws7">
    <w:name w:val="ws7"/>
    <w:basedOn w:val="Fontepargpadro"/>
    <w:rsid w:val="00822852"/>
  </w:style>
  <w:style w:type="paragraph" w:customStyle="1" w:styleId="default">
    <w:name w:val="default"/>
    <w:basedOn w:val="Normal"/>
    <w:rsid w:val="006B2CC5"/>
    <w:pPr>
      <w:tabs>
        <w:tab w:val="clear" w:pos="7100"/>
      </w:tabs>
      <w:spacing w:before="100" w:beforeAutospacing="1" w:after="100" w:afterAutospacing="1" w:line="240" w:lineRule="auto"/>
      <w:jc w:val="left"/>
    </w:pPr>
    <w:rPr>
      <w:rFonts w:ascii="Times New Roman" w:hAnsi="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74408">
      <w:bodyDiv w:val="1"/>
      <w:marLeft w:val="0"/>
      <w:marRight w:val="0"/>
      <w:marTop w:val="0"/>
      <w:marBottom w:val="0"/>
      <w:divBdr>
        <w:top w:val="none" w:sz="0" w:space="0" w:color="auto"/>
        <w:left w:val="none" w:sz="0" w:space="0" w:color="auto"/>
        <w:bottom w:val="none" w:sz="0" w:space="0" w:color="auto"/>
        <w:right w:val="none" w:sz="0" w:space="0" w:color="auto"/>
      </w:divBdr>
    </w:div>
    <w:div w:id="122846099">
      <w:bodyDiv w:val="1"/>
      <w:marLeft w:val="0"/>
      <w:marRight w:val="0"/>
      <w:marTop w:val="0"/>
      <w:marBottom w:val="0"/>
      <w:divBdr>
        <w:top w:val="none" w:sz="0" w:space="0" w:color="auto"/>
        <w:left w:val="none" w:sz="0" w:space="0" w:color="auto"/>
        <w:bottom w:val="none" w:sz="0" w:space="0" w:color="auto"/>
        <w:right w:val="none" w:sz="0" w:space="0" w:color="auto"/>
      </w:divBdr>
    </w:div>
    <w:div w:id="130487529">
      <w:bodyDiv w:val="1"/>
      <w:marLeft w:val="0"/>
      <w:marRight w:val="0"/>
      <w:marTop w:val="0"/>
      <w:marBottom w:val="0"/>
      <w:divBdr>
        <w:top w:val="none" w:sz="0" w:space="0" w:color="auto"/>
        <w:left w:val="none" w:sz="0" w:space="0" w:color="auto"/>
        <w:bottom w:val="none" w:sz="0" w:space="0" w:color="auto"/>
        <w:right w:val="none" w:sz="0" w:space="0" w:color="auto"/>
      </w:divBdr>
    </w:div>
    <w:div w:id="231277312">
      <w:bodyDiv w:val="1"/>
      <w:marLeft w:val="0"/>
      <w:marRight w:val="0"/>
      <w:marTop w:val="0"/>
      <w:marBottom w:val="0"/>
      <w:divBdr>
        <w:top w:val="none" w:sz="0" w:space="0" w:color="auto"/>
        <w:left w:val="none" w:sz="0" w:space="0" w:color="auto"/>
        <w:bottom w:val="none" w:sz="0" w:space="0" w:color="auto"/>
        <w:right w:val="none" w:sz="0" w:space="0" w:color="auto"/>
      </w:divBdr>
    </w:div>
    <w:div w:id="376704996">
      <w:bodyDiv w:val="1"/>
      <w:marLeft w:val="0"/>
      <w:marRight w:val="0"/>
      <w:marTop w:val="0"/>
      <w:marBottom w:val="0"/>
      <w:divBdr>
        <w:top w:val="none" w:sz="0" w:space="0" w:color="auto"/>
        <w:left w:val="none" w:sz="0" w:space="0" w:color="auto"/>
        <w:bottom w:val="none" w:sz="0" w:space="0" w:color="auto"/>
        <w:right w:val="none" w:sz="0" w:space="0" w:color="auto"/>
      </w:divBdr>
    </w:div>
    <w:div w:id="511115459">
      <w:bodyDiv w:val="1"/>
      <w:marLeft w:val="0"/>
      <w:marRight w:val="0"/>
      <w:marTop w:val="0"/>
      <w:marBottom w:val="0"/>
      <w:divBdr>
        <w:top w:val="none" w:sz="0" w:space="0" w:color="auto"/>
        <w:left w:val="none" w:sz="0" w:space="0" w:color="auto"/>
        <w:bottom w:val="none" w:sz="0" w:space="0" w:color="auto"/>
        <w:right w:val="none" w:sz="0" w:space="0" w:color="auto"/>
      </w:divBdr>
    </w:div>
    <w:div w:id="586622617">
      <w:bodyDiv w:val="1"/>
      <w:marLeft w:val="0"/>
      <w:marRight w:val="0"/>
      <w:marTop w:val="0"/>
      <w:marBottom w:val="0"/>
      <w:divBdr>
        <w:top w:val="none" w:sz="0" w:space="0" w:color="auto"/>
        <w:left w:val="none" w:sz="0" w:space="0" w:color="auto"/>
        <w:bottom w:val="none" w:sz="0" w:space="0" w:color="auto"/>
        <w:right w:val="none" w:sz="0" w:space="0" w:color="auto"/>
      </w:divBdr>
    </w:div>
    <w:div w:id="671877868">
      <w:bodyDiv w:val="1"/>
      <w:marLeft w:val="0"/>
      <w:marRight w:val="0"/>
      <w:marTop w:val="0"/>
      <w:marBottom w:val="0"/>
      <w:divBdr>
        <w:top w:val="none" w:sz="0" w:space="0" w:color="auto"/>
        <w:left w:val="none" w:sz="0" w:space="0" w:color="auto"/>
        <w:bottom w:val="none" w:sz="0" w:space="0" w:color="auto"/>
        <w:right w:val="none" w:sz="0" w:space="0" w:color="auto"/>
      </w:divBdr>
    </w:div>
    <w:div w:id="754130215">
      <w:bodyDiv w:val="1"/>
      <w:marLeft w:val="0"/>
      <w:marRight w:val="0"/>
      <w:marTop w:val="0"/>
      <w:marBottom w:val="0"/>
      <w:divBdr>
        <w:top w:val="none" w:sz="0" w:space="0" w:color="auto"/>
        <w:left w:val="none" w:sz="0" w:space="0" w:color="auto"/>
        <w:bottom w:val="none" w:sz="0" w:space="0" w:color="auto"/>
        <w:right w:val="none" w:sz="0" w:space="0" w:color="auto"/>
      </w:divBdr>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2785465">
      <w:bodyDiv w:val="1"/>
      <w:marLeft w:val="0"/>
      <w:marRight w:val="0"/>
      <w:marTop w:val="0"/>
      <w:marBottom w:val="0"/>
      <w:divBdr>
        <w:top w:val="none" w:sz="0" w:space="0" w:color="auto"/>
        <w:left w:val="none" w:sz="0" w:space="0" w:color="auto"/>
        <w:bottom w:val="none" w:sz="0" w:space="0" w:color="auto"/>
        <w:right w:val="none" w:sz="0" w:space="0" w:color="auto"/>
      </w:divBdr>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236203">
      <w:bodyDiv w:val="1"/>
      <w:marLeft w:val="0"/>
      <w:marRight w:val="0"/>
      <w:marTop w:val="0"/>
      <w:marBottom w:val="0"/>
      <w:divBdr>
        <w:top w:val="none" w:sz="0" w:space="0" w:color="auto"/>
        <w:left w:val="none" w:sz="0" w:space="0" w:color="auto"/>
        <w:bottom w:val="none" w:sz="0" w:space="0" w:color="auto"/>
        <w:right w:val="none" w:sz="0" w:space="0" w:color="auto"/>
      </w:divBdr>
    </w:div>
    <w:div w:id="1128011117">
      <w:bodyDiv w:val="1"/>
      <w:marLeft w:val="0"/>
      <w:marRight w:val="0"/>
      <w:marTop w:val="0"/>
      <w:marBottom w:val="0"/>
      <w:divBdr>
        <w:top w:val="none" w:sz="0" w:space="0" w:color="auto"/>
        <w:left w:val="none" w:sz="0" w:space="0" w:color="auto"/>
        <w:bottom w:val="none" w:sz="0" w:space="0" w:color="auto"/>
        <w:right w:val="none" w:sz="0" w:space="0" w:color="auto"/>
      </w:divBdr>
    </w:div>
    <w:div w:id="1140539591">
      <w:bodyDiv w:val="1"/>
      <w:marLeft w:val="0"/>
      <w:marRight w:val="0"/>
      <w:marTop w:val="0"/>
      <w:marBottom w:val="0"/>
      <w:divBdr>
        <w:top w:val="none" w:sz="0" w:space="0" w:color="auto"/>
        <w:left w:val="none" w:sz="0" w:space="0" w:color="auto"/>
        <w:bottom w:val="none" w:sz="0" w:space="0" w:color="auto"/>
        <w:right w:val="none" w:sz="0" w:space="0" w:color="auto"/>
      </w:divBdr>
    </w:div>
    <w:div w:id="1143891272">
      <w:bodyDiv w:val="1"/>
      <w:marLeft w:val="0"/>
      <w:marRight w:val="0"/>
      <w:marTop w:val="0"/>
      <w:marBottom w:val="0"/>
      <w:divBdr>
        <w:top w:val="none" w:sz="0" w:space="0" w:color="auto"/>
        <w:left w:val="none" w:sz="0" w:space="0" w:color="auto"/>
        <w:bottom w:val="none" w:sz="0" w:space="0" w:color="auto"/>
        <w:right w:val="none" w:sz="0" w:space="0" w:color="auto"/>
      </w:divBdr>
    </w:div>
    <w:div w:id="1177116498">
      <w:bodyDiv w:val="1"/>
      <w:marLeft w:val="0"/>
      <w:marRight w:val="0"/>
      <w:marTop w:val="0"/>
      <w:marBottom w:val="0"/>
      <w:divBdr>
        <w:top w:val="none" w:sz="0" w:space="0" w:color="auto"/>
        <w:left w:val="none" w:sz="0" w:space="0" w:color="auto"/>
        <w:bottom w:val="none" w:sz="0" w:space="0" w:color="auto"/>
        <w:right w:val="none" w:sz="0" w:space="0" w:color="auto"/>
      </w:divBdr>
    </w:div>
    <w:div w:id="1328678188">
      <w:bodyDiv w:val="1"/>
      <w:marLeft w:val="0"/>
      <w:marRight w:val="0"/>
      <w:marTop w:val="0"/>
      <w:marBottom w:val="0"/>
      <w:divBdr>
        <w:top w:val="none" w:sz="0" w:space="0" w:color="auto"/>
        <w:left w:val="none" w:sz="0" w:space="0" w:color="auto"/>
        <w:bottom w:val="none" w:sz="0" w:space="0" w:color="auto"/>
        <w:right w:val="none" w:sz="0" w:space="0" w:color="auto"/>
      </w:divBdr>
    </w:div>
    <w:div w:id="1420755056">
      <w:bodyDiv w:val="1"/>
      <w:marLeft w:val="0"/>
      <w:marRight w:val="0"/>
      <w:marTop w:val="0"/>
      <w:marBottom w:val="0"/>
      <w:divBdr>
        <w:top w:val="none" w:sz="0" w:space="0" w:color="auto"/>
        <w:left w:val="none" w:sz="0" w:space="0" w:color="auto"/>
        <w:bottom w:val="none" w:sz="0" w:space="0" w:color="auto"/>
        <w:right w:val="none" w:sz="0" w:space="0" w:color="auto"/>
      </w:divBdr>
    </w:div>
    <w:div w:id="1525753994">
      <w:bodyDiv w:val="1"/>
      <w:marLeft w:val="0"/>
      <w:marRight w:val="0"/>
      <w:marTop w:val="0"/>
      <w:marBottom w:val="0"/>
      <w:divBdr>
        <w:top w:val="none" w:sz="0" w:space="0" w:color="auto"/>
        <w:left w:val="none" w:sz="0" w:space="0" w:color="auto"/>
        <w:bottom w:val="none" w:sz="0" w:space="0" w:color="auto"/>
        <w:right w:val="none" w:sz="0" w:space="0" w:color="auto"/>
      </w:divBdr>
    </w:div>
    <w:div w:id="1590893195">
      <w:bodyDiv w:val="1"/>
      <w:marLeft w:val="0"/>
      <w:marRight w:val="0"/>
      <w:marTop w:val="0"/>
      <w:marBottom w:val="0"/>
      <w:divBdr>
        <w:top w:val="none" w:sz="0" w:space="0" w:color="auto"/>
        <w:left w:val="none" w:sz="0" w:space="0" w:color="auto"/>
        <w:bottom w:val="none" w:sz="0" w:space="0" w:color="auto"/>
        <w:right w:val="none" w:sz="0" w:space="0" w:color="auto"/>
      </w:divBdr>
    </w:div>
    <w:div w:id="1616862449">
      <w:bodyDiv w:val="1"/>
      <w:marLeft w:val="0"/>
      <w:marRight w:val="0"/>
      <w:marTop w:val="0"/>
      <w:marBottom w:val="0"/>
      <w:divBdr>
        <w:top w:val="none" w:sz="0" w:space="0" w:color="auto"/>
        <w:left w:val="none" w:sz="0" w:space="0" w:color="auto"/>
        <w:bottom w:val="none" w:sz="0" w:space="0" w:color="auto"/>
        <w:right w:val="none" w:sz="0" w:space="0" w:color="auto"/>
      </w:divBdr>
    </w:div>
    <w:div w:id="1658925095">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075579">
      <w:bodyDiv w:val="1"/>
      <w:marLeft w:val="0"/>
      <w:marRight w:val="0"/>
      <w:marTop w:val="0"/>
      <w:marBottom w:val="0"/>
      <w:divBdr>
        <w:top w:val="none" w:sz="0" w:space="0" w:color="auto"/>
        <w:left w:val="none" w:sz="0" w:space="0" w:color="auto"/>
        <w:bottom w:val="none" w:sz="0" w:space="0" w:color="auto"/>
        <w:right w:val="none" w:sz="0" w:space="0" w:color="auto"/>
      </w:divBdr>
    </w:div>
    <w:div w:id="1785270424">
      <w:bodyDiv w:val="1"/>
      <w:marLeft w:val="0"/>
      <w:marRight w:val="0"/>
      <w:marTop w:val="0"/>
      <w:marBottom w:val="0"/>
      <w:divBdr>
        <w:top w:val="none" w:sz="0" w:space="0" w:color="auto"/>
        <w:left w:val="none" w:sz="0" w:space="0" w:color="auto"/>
        <w:bottom w:val="none" w:sz="0" w:space="0" w:color="auto"/>
        <w:right w:val="none" w:sz="0" w:space="0" w:color="auto"/>
      </w:divBdr>
    </w:div>
    <w:div w:id="1867595778">
      <w:bodyDiv w:val="1"/>
      <w:marLeft w:val="0"/>
      <w:marRight w:val="0"/>
      <w:marTop w:val="0"/>
      <w:marBottom w:val="0"/>
      <w:divBdr>
        <w:top w:val="none" w:sz="0" w:space="0" w:color="auto"/>
        <w:left w:val="none" w:sz="0" w:space="0" w:color="auto"/>
        <w:bottom w:val="none" w:sz="0" w:space="0" w:color="auto"/>
        <w:right w:val="none" w:sz="0" w:space="0" w:color="auto"/>
      </w:divBdr>
    </w:div>
    <w:div w:id="1886060662">
      <w:bodyDiv w:val="1"/>
      <w:marLeft w:val="0"/>
      <w:marRight w:val="0"/>
      <w:marTop w:val="0"/>
      <w:marBottom w:val="0"/>
      <w:divBdr>
        <w:top w:val="none" w:sz="0" w:space="0" w:color="auto"/>
        <w:left w:val="none" w:sz="0" w:space="0" w:color="auto"/>
        <w:bottom w:val="none" w:sz="0" w:space="0" w:color="auto"/>
        <w:right w:val="none" w:sz="0" w:space="0" w:color="auto"/>
      </w:divBdr>
    </w:div>
    <w:div w:id="1910996348">
      <w:bodyDiv w:val="1"/>
      <w:marLeft w:val="0"/>
      <w:marRight w:val="0"/>
      <w:marTop w:val="0"/>
      <w:marBottom w:val="0"/>
      <w:divBdr>
        <w:top w:val="none" w:sz="0" w:space="0" w:color="auto"/>
        <w:left w:val="none" w:sz="0" w:space="0" w:color="auto"/>
        <w:bottom w:val="none" w:sz="0" w:space="0" w:color="auto"/>
        <w:right w:val="none" w:sz="0" w:space="0" w:color="auto"/>
      </w:divBdr>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orumclima.pr.gov.br/arquivos/File/Rosana/Diagnostico_Qualidade_do_Ar_Versao_Final_Std.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ayaneslopes@yahoo.com.b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Rayane%20Lopes\Pictures\Fotos%20Tcc\IFC%20-%20Copi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6.2972925750777134E-2"/>
          <c:y val="0.15794703256697634"/>
          <c:w val="0.90812707982601348"/>
          <c:h val="0.68084894221493197"/>
        </c:manualLayout>
      </c:layout>
      <c:barChart>
        <c:barDir val="col"/>
        <c:grouping val="clustered"/>
        <c:varyColors val="0"/>
        <c:ser>
          <c:idx val="0"/>
          <c:order val="0"/>
          <c:spPr>
            <a:pattFill prst="narHorz">
              <a:fgClr>
                <a:schemeClr val="accent3">
                  <a:shade val="76000"/>
                </a:schemeClr>
              </a:fgClr>
              <a:bgClr>
                <a:schemeClr val="accent3">
                  <a:shade val="76000"/>
                  <a:lumMod val="20000"/>
                  <a:lumOff val="80000"/>
                </a:schemeClr>
              </a:bgClr>
            </a:pattFill>
            <a:ln>
              <a:noFill/>
            </a:ln>
            <a:effectLst>
              <a:innerShdw blurRad="114300">
                <a:schemeClr val="accent3">
                  <a:shade val="76000"/>
                </a:schemeClr>
              </a:innerShdw>
            </a:effectLst>
          </c:spPr>
          <c:invertIfNegative val="0"/>
          <c:dLbls>
            <c:dLbl>
              <c:idx val="0"/>
              <c:tx>
                <c:rich>
                  <a:bodyPr/>
                  <a:lstStyle/>
                  <a:p>
                    <a:r>
                      <a:rPr lang="en-US"/>
                      <a:t>7.91</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0790-4681-8F4E-7082F1995968}"/>
                </c:ext>
                <c:ext xmlns:c15="http://schemas.microsoft.com/office/drawing/2012/chart" uri="{CE6537A1-D6FC-4f65-9D91-7224C49458BB}"/>
              </c:extLst>
            </c:dLbl>
            <c:dLbl>
              <c:idx val="1"/>
              <c:tx>
                <c:rich>
                  <a:bodyPr/>
                  <a:lstStyle/>
                  <a:p>
                    <a:r>
                      <a:rPr lang="en-US"/>
                      <a:t>11.23</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0790-4681-8F4E-7082F1995968}"/>
                </c:ext>
                <c:ext xmlns:c15="http://schemas.microsoft.com/office/drawing/2012/chart" uri="{CE6537A1-D6FC-4f65-9D91-7224C49458BB}"/>
              </c:extLst>
            </c:dLbl>
            <c:dLbl>
              <c:idx val="2"/>
              <c:tx>
                <c:rich>
                  <a:bodyPr/>
                  <a:lstStyle/>
                  <a:p>
                    <a:r>
                      <a:rPr lang="en-US"/>
                      <a:t>20.66</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0790-4681-8F4E-7082F1995968}"/>
                </c:ext>
                <c:ext xmlns:c15="http://schemas.microsoft.com/office/drawing/2012/chart" uri="{CE6537A1-D6FC-4f65-9D91-7224C49458BB}"/>
              </c:extLst>
            </c:dLbl>
            <c:dLbl>
              <c:idx val="3"/>
              <c:tx>
                <c:rich>
                  <a:bodyPr/>
                  <a:lstStyle/>
                  <a:p>
                    <a:r>
                      <a:rPr lang="en-US"/>
                      <a:t>31.45</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0790-4681-8F4E-7082F1995968}"/>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'IPA GERAL'!$A$8:$A$11</c:f>
              <c:strCache>
                <c:ptCount val="4"/>
                <c:pt idx="0">
                  <c:v>Ponto 1</c:v>
                </c:pt>
                <c:pt idx="1">
                  <c:v>Ponto 2</c:v>
                </c:pt>
                <c:pt idx="2">
                  <c:v>Ponto 3</c:v>
                </c:pt>
                <c:pt idx="3">
                  <c:v>Ponto 4</c:v>
                </c:pt>
              </c:strCache>
            </c:strRef>
          </c:cat>
          <c:val>
            <c:numRef>
              <c:f>'IPA GERAL'!$B$8:$B$11</c:f>
              <c:numCache>
                <c:formatCode>0.00</c:formatCode>
                <c:ptCount val="4"/>
                <c:pt idx="0">
                  <c:v>7.9072000000000005</c:v>
                </c:pt>
                <c:pt idx="1">
                  <c:v>11.23</c:v>
                </c:pt>
                <c:pt idx="2">
                  <c:v>20.660000000000004</c:v>
                </c:pt>
                <c:pt idx="3">
                  <c:v>31.453999999999997</c:v>
                </c:pt>
              </c:numCache>
            </c:numRef>
          </c:val>
          <c:extLst xmlns:c16r2="http://schemas.microsoft.com/office/drawing/2015/06/chart">
            <c:ext xmlns:c16="http://schemas.microsoft.com/office/drawing/2014/chart" uri="{C3380CC4-5D6E-409C-BE32-E72D297353CC}">
              <c16:uniqueId val="{00000000-94E3-4CCD-AD91-1AB8CC4A2B07}"/>
            </c:ext>
          </c:extLst>
        </c:ser>
        <c:ser>
          <c:idx val="1"/>
          <c:order val="1"/>
          <c:spPr>
            <a:pattFill prst="narHorz">
              <a:fgClr>
                <a:schemeClr val="accent3">
                  <a:tint val="77000"/>
                </a:schemeClr>
              </a:fgClr>
              <a:bgClr>
                <a:schemeClr val="accent3">
                  <a:tint val="77000"/>
                  <a:lumMod val="20000"/>
                  <a:lumOff val="80000"/>
                </a:schemeClr>
              </a:bgClr>
            </a:pattFill>
            <a:ln>
              <a:noFill/>
            </a:ln>
            <a:effectLst>
              <a:innerShdw blurRad="114300">
                <a:schemeClr val="accent3">
                  <a:tint val="77000"/>
                </a:schemeClr>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FF0000"/>
                    </a:solidFill>
                    <a:latin typeface="Arial" panose="020B0604020202020204" pitchFamily="34" charset="0"/>
                    <a:ea typeface="+mn-ea"/>
                    <a:cs typeface="Arial" panose="020B0604020202020204" pitchFamily="34" charset="0"/>
                  </a:defRPr>
                </a:pPr>
                <a:endParaRPr lang="pt-B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'IPA GERAL'!$A$8:$A$11</c:f>
              <c:strCache>
                <c:ptCount val="4"/>
                <c:pt idx="0">
                  <c:v>Ponto 1</c:v>
                </c:pt>
                <c:pt idx="1">
                  <c:v>Ponto 2</c:v>
                </c:pt>
                <c:pt idx="2">
                  <c:v>Ponto 3</c:v>
                </c:pt>
                <c:pt idx="3">
                  <c:v>Ponto 4</c:v>
                </c:pt>
              </c:strCache>
            </c:strRef>
          </c:cat>
          <c:val>
            <c:numRef>
              <c:f>'IPA GERAL'!$C$26:$C$29</c:f>
              <c:numCache>
                <c:formatCode>General</c:formatCode>
                <c:ptCount val="4"/>
              </c:numCache>
            </c:numRef>
          </c:val>
          <c:extLst xmlns:c16r2="http://schemas.microsoft.com/office/drawing/2015/06/chart">
            <c:ext xmlns:c16="http://schemas.microsoft.com/office/drawing/2014/chart" uri="{C3380CC4-5D6E-409C-BE32-E72D297353CC}">
              <c16:uniqueId val="{00000001-94E3-4CCD-AD91-1AB8CC4A2B07}"/>
            </c:ext>
          </c:extLst>
        </c:ser>
        <c:dLbls>
          <c:dLblPos val="outEnd"/>
          <c:showLegendKey val="0"/>
          <c:showVal val="1"/>
          <c:showCatName val="0"/>
          <c:showSerName val="0"/>
          <c:showPercent val="0"/>
          <c:showBubbleSize val="0"/>
        </c:dLbls>
        <c:gapWidth val="164"/>
        <c:overlap val="-22"/>
        <c:axId val="464143048"/>
        <c:axId val="464147360"/>
      </c:barChart>
      <c:catAx>
        <c:axId val="464143048"/>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noFill/>
                <a:latin typeface="Arial" panose="020B0604020202020204" pitchFamily="34" charset="0"/>
                <a:ea typeface="+mn-ea"/>
                <a:cs typeface="Arial" panose="020B0604020202020204" pitchFamily="34" charset="0"/>
              </a:defRPr>
            </a:pPr>
            <a:endParaRPr lang="pt-BR"/>
          </a:p>
        </c:txPr>
        <c:crossAx val="464147360"/>
        <c:crosses val="autoZero"/>
        <c:auto val="1"/>
        <c:lblAlgn val="ctr"/>
        <c:lblOffset val="100"/>
        <c:noMultiLvlLbl val="0"/>
      </c:catAx>
      <c:valAx>
        <c:axId val="464147360"/>
        <c:scaling>
          <c:orientation val="minMax"/>
        </c:scaling>
        <c:delete val="1"/>
        <c:axPos val="l"/>
        <c:numFmt formatCode="0.00" sourceLinked="1"/>
        <c:majorTickMark val="none"/>
        <c:minorTickMark val="none"/>
        <c:tickLblPos val="nextTo"/>
        <c:crossAx val="46414304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rgbClr val="FF0000"/>
          </a:solidFill>
          <a:latin typeface="Arial" panose="020B0604020202020204" pitchFamily="34" charset="0"/>
          <a:cs typeface="Arial" panose="020B0604020202020204" pitchFamily="34" charset="0"/>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9C223-DBA6-4A26-97E9-2CCED761B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3452</Words>
  <Characters>18642</Characters>
  <Application>Microsoft Office Word</Application>
  <DocSecurity>0</DocSecurity>
  <Lines>155</Lines>
  <Paragraphs>44</Paragraphs>
  <ScaleCrop>false</ScaleCrop>
  <HeadingPairs>
    <vt:vector size="6" baseType="variant">
      <vt:variant>
        <vt:lpstr>Título</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Dipartimento CMIC - Politecnico di Milano</Company>
  <LinksUpToDate>false</LinksUpToDate>
  <CharactersWithSpaces>22050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raffaella</dc:creator>
  <dc:description/>
  <cp:lastModifiedBy>Fernando Periard Gurgel do Amaral</cp:lastModifiedBy>
  <cp:revision>4</cp:revision>
  <cp:lastPrinted>2019-04-13T18:56:00Z</cp:lastPrinted>
  <dcterms:created xsi:type="dcterms:W3CDTF">2019-04-13T19:09:00Z</dcterms:created>
  <dcterms:modified xsi:type="dcterms:W3CDTF">2019-04-13T21:49:00Z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