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117471" w:rsidP="00E978D0">
      <w:pPr>
        <w:pStyle w:val="CETTitle"/>
      </w:pPr>
      <w:r w:rsidRPr="00381487">
        <w:rPr>
          <w:lang w:val="en-US"/>
        </w:rPr>
        <w:t xml:space="preserve">Thermodynamic and kinetic characterization of yellow tuff for </w:t>
      </w:r>
      <w:r w:rsidR="008869A5" w:rsidRPr="00D7150B">
        <w:rPr>
          <w:rFonts w:cs="Arial"/>
          <w:szCs w:val="18"/>
        </w:rPr>
        <w:t>CO</w:t>
      </w:r>
      <w:r w:rsidR="008869A5" w:rsidRPr="00D7150B">
        <w:rPr>
          <w:rFonts w:cs="Arial"/>
          <w:szCs w:val="18"/>
          <w:vertAlign w:val="subscript"/>
        </w:rPr>
        <w:t>2</w:t>
      </w:r>
      <w:r w:rsidRPr="00381487">
        <w:rPr>
          <w:lang w:val="en-US"/>
        </w:rPr>
        <w:t xml:space="preserve"> adsorption</w:t>
      </w:r>
    </w:p>
    <w:p w:rsidR="00E978D0" w:rsidRPr="00B57B36" w:rsidRDefault="00117471" w:rsidP="00AB5011">
      <w:pPr>
        <w:pStyle w:val="CETAuthors"/>
      </w:pPr>
      <w:r w:rsidRPr="00381487">
        <w:rPr>
          <w:lang w:val="en-US"/>
        </w:rPr>
        <w:t>Paola Ammendola*</w:t>
      </w:r>
      <w:r w:rsidRPr="00381487">
        <w:rPr>
          <w:vertAlign w:val="superscript"/>
          <w:lang w:val="en-US"/>
        </w:rPr>
        <w:t>a</w:t>
      </w:r>
      <w:r w:rsidRPr="00381487">
        <w:rPr>
          <w:lang w:val="en-US"/>
        </w:rPr>
        <w:t xml:space="preserve"> Federica Raganati</w:t>
      </w:r>
      <w:r w:rsidRPr="00381487">
        <w:rPr>
          <w:vertAlign w:val="superscript"/>
          <w:lang w:val="en-US"/>
        </w:rPr>
        <w:t>a</w:t>
      </w:r>
      <w:r w:rsidRPr="00381487">
        <w:rPr>
          <w:lang w:val="en-US"/>
        </w:rPr>
        <w:t>, Riccardo Chirone</w:t>
      </w:r>
      <w:r w:rsidRPr="00381487">
        <w:rPr>
          <w:vertAlign w:val="superscript"/>
          <w:lang w:val="en-US"/>
        </w:rPr>
        <w:t>a</w:t>
      </w:r>
      <w:r w:rsidRPr="00381487">
        <w:rPr>
          <w:lang w:val="en-US"/>
        </w:rPr>
        <w:t>, Francesco Miccio</w:t>
      </w:r>
      <w:r w:rsidRPr="00381487">
        <w:rPr>
          <w:vertAlign w:val="superscript"/>
          <w:lang w:val="en-US"/>
        </w:rPr>
        <w:t>b</w:t>
      </w:r>
    </w:p>
    <w:p w:rsidR="00117471" w:rsidRPr="00381487" w:rsidRDefault="00117471" w:rsidP="00117471">
      <w:pPr>
        <w:pStyle w:val="CETAddress"/>
        <w:rPr>
          <w:lang w:val="en-US"/>
        </w:rPr>
      </w:pPr>
      <w:r w:rsidRPr="00381487">
        <w:rPr>
          <w:vertAlign w:val="superscript"/>
          <w:lang w:val="en-US"/>
        </w:rPr>
        <w:t>a</w:t>
      </w:r>
      <w:r w:rsidRPr="00381487">
        <w:rPr>
          <w:lang w:val="en-US"/>
        </w:rPr>
        <w:t>Istituto di Ricerche sulla Combustione - CNR, P.le V. Tecchio 80-80125 Naples, Italy</w:t>
      </w:r>
    </w:p>
    <w:p w:rsidR="00117471" w:rsidRPr="00381487" w:rsidRDefault="00117471" w:rsidP="00117471">
      <w:pPr>
        <w:pStyle w:val="CETAddress"/>
        <w:rPr>
          <w:lang w:val="en-US"/>
        </w:rPr>
      </w:pPr>
      <w:r w:rsidRPr="00381487">
        <w:rPr>
          <w:vertAlign w:val="superscript"/>
          <w:lang w:val="en-US"/>
        </w:rPr>
        <w:t>b</w:t>
      </w:r>
      <w:r w:rsidRPr="00381487">
        <w:rPr>
          <w:lang w:val="en-US"/>
        </w:rPr>
        <w:t>Istituto di Scienza e Tecnologia dei Materiali Ceramici (ISTEC) - CNR, via Granarolo, 64 - 48018 Faenza, Italy</w:t>
      </w:r>
    </w:p>
    <w:p w:rsidR="00E978D0" w:rsidRPr="00B57B36" w:rsidRDefault="00117471" w:rsidP="00117471">
      <w:pPr>
        <w:pStyle w:val="CETemail"/>
      </w:pPr>
      <w:r w:rsidRPr="00381487">
        <w:rPr>
          <w:lang w:val="en-US"/>
        </w:rPr>
        <w:t>paola.ammendola@irc.cnr.it</w:t>
      </w:r>
    </w:p>
    <w:p w:rsidR="00600535" w:rsidRDefault="008869A5" w:rsidP="00600535">
      <w:pPr>
        <w:pStyle w:val="CETBodytext"/>
        <w:rPr>
          <w:lang w:val="en-GB"/>
        </w:rPr>
      </w:pPr>
      <w:r w:rsidRPr="00D7150B">
        <w:rPr>
          <w:rFonts w:cs="Arial"/>
          <w:szCs w:val="18"/>
        </w:rPr>
        <w:t>CO</w:t>
      </w:r>
      <w:r w:rsidRPr="00D7150B">
        <w:rPr>
          <w:rFonts w:cs="Arial"/>
          <w:szCs w:val="18"/>
          <w:vertAlign w:val="subscript"/>
        </w:rPr>
        <w:t>2</w:t>
      </w:r>
      <w:r w:rsidR="00117471" w:rsidRPr="00381487">
        <w:t xml:space="preserve"> adsorption on a yellow tuff has been studied, by performing dynamic breakthrough experiments in fixed bed, focusing on the thermodynamics and kinetics of the process. The effect of both temperature (25 – 150 °C) and </w:t>
      </w:r>
      <w:r w:rsidRPr="00D7150B">
        <w:rPr>
          <w:rFonts w:cs="Arial"/>
          <w:szCs w:val="18"/>
        </w:rPr>
        <w:t>CO</w:t>
      </w:r>
      <w:r w:rsidRPr="00D7150B">
        <w:rPr>
          <w:rFonts w:cs="Arial"/>
          <w:szCs w:val="18"/>
          <w:vertAlign w:val="subscript"/>
        </w:rPr>
        <w:t>2</w:t>
      </w:r>
      <w:r w:rsidR="00117471" w:rsidRPr="00381487">
        <w:t xml:space="preserve"> partial pressure (0.01 – 0.20 atm) has been assessed. The </w:t>
      </w:r>
      <w:r w:rsidRPr="00D7150B">
        <w:rPr>
          <w:rFonts w:cs="Arial"/>
          <w:szCs w:val="18"/>
        </w:rPr>
        <w:t>CO</w:t>
      </w:r>
      <w:r w:rsidRPr="00D7150B">
        <w:rPr>
          <w:rFonts w:cs="Arial"/>
          <w:szCs w:val="18"/>
          <w:vertAlign w:val="subscript"/>
        </w:rPr>
        <w:t>2</w:t>
      </w:r>
      <w:r w:rsidR="00117471" w:rsidRPr="00381487">
        <w:t xml:space="preserve"> adsorption isotherms in the low pressure region typical of combustion flue gases are more accurately described by the Freundlich equation than by the Langmuir one, thus indicating a multilayer and heterogeneous surface binding. The obtained values of the main thermodynamic parameters suggested that the adsorption process is spontaneous, exothermic and physical in nature. The pseudo-first order kinetic model better fitted the experimental data at all the investigated adsorption temperatures than the pseudo-second order does.</w:t>
      </w:r>
    </w:p>
    <w:p w:rsidR="00600535" w:rsidRPr="00B57B36" w:rsidRDefault="00600535" w:rsidP="00600535">
      <w:pPr>
        <w:pStyle w:val="CETHeading1"/>
        <w:rPr>
          <w:lang w:val="en-GB"/>
        </w:rPr>
      </w:pPr>
      <w:r w:rsidRPr="00B57B36">
        <w:rPr>
          <w:lang w:val="en-GB"/>
        </w:rPr>
        <w:t>Introduction</w:t>
      </w:r>
    </w:p>
    <w:p w:rsidR="00117471" w:rsidRDefault="00117471" w:rsidP="00321847">
      <w:pPr>
        <w:pStyle w:val="CETBodytext"/>
        <w:rPr>
          <w:lang w:val="en-GB"/>
        </w:rPr>
      </w:pPr>
      <w:r w:rsidRPr="00381487">
        <w:t xml:space="preserve">Among all the available post-combustion capture technologies, adsorption using solid sorbents is characterized by low regeneration energy consumption, selectivity, easiness in handling, no liquid waste streams and applicability over a relatively wide range of operating temperatures </w:t>
      </w:r>
      <w:r w:rsidRPr="00381487">
        <w:fldChar w:fldCharType="begin" w:fldLock="1"/>
      </w:r>
      <w:r w:rsidR="00BC4428">
        <w:instrText>ADDIN CSL_CITATION {"citationItems":[{"id":"ITEM-1","itemData":{"DOI":"10.1016/j.seppur.2016.05.001","ISSN":"13835866","abstract":"Carbon capture from point source emissions has been recognized as one of several strategies necessary for mitigating release of greenhouse gases (GHGs) into the atmosphere. Though several CO2 capture technologies have been proposed, temperature swing adsorption (TSA), consisting in adsorbing the CO2 and, then, recovering it by a temperature increase and gas purge, is currently believed to be one of the most promising for post-combustion applications. With reference to the sorbent, great attention is focused on fine powders. Indeed, sorbent in the form of fine powders can be the substrate to realize new highly specific materials whose properties can be tuned at a molecular level and, besides that, most of the commercial adsorbent materials are generally available in the form of fine powders. Previous works successfully verified the feasibility of carrying out TSA adsorption/desorption cycles in a sound assisted fluidized bed, thus enhancing the performances of the entire cyclic process. The focus of the present work is to overcome the main drawback of a conventional TSA, namely the dilution of CO2 in the purging gas, by changing the traditional heating method. To this aim, a separate heating and purge regeneration strategy, consisting in desorbing part of the CO2 by the sole thermal effect, has been tested on a commercial activated carbon, thus eliminating the unavoidable dilution effect caused by purge, and the remainder reducing the CO2 partial pressure. Heating is very efficient for desorbing CO2. Indeed, 80% of the captured CO2 can be recovered at a moderate temperature of 130°C.","author":[{"dropping-particle":"","family":"Raganati","given":"Federica","non-dropping-particle":"","parse-names":false,"suffix":""},{"dropping-particle":"","family":"Ammendola","given":"Paola","non-dropping-particle":"","parse-names":false,"suffix":""},{"dropping-particle":"","family":"Chirone","given":"Riccardo","non-dropping-particle":"","parse-names":false,"suffix":""}],"container-title":"Separation and Purification Technology","id":"ITEM-1","issued":{"date-parts":[["2016"]]},"page":"24-31","publisher":"Elsevier B.V.","title":"On improving the CO2 recovery efficiency of a conventional TSA process in a sound assisted fluidized bed by separating heating and purging","type":"article-journal","volume":"167"},"uris":["http://www.mendeley.com/documents/?uuid=6e792fea-4f4d-4a93-b948-8ecd61f8c08a"]}],"mendeley":{"formattedCitation":"(Raganati et al., 2016)","plainTextFormattedCitation":"(Raganati et al., 2016)","previouslyFormattedCitation":"(Raganati et al., 2016)"},"properties":{"noteIndex":0},"schema":"https://github.com/citation-style-language/schema/raw/master/csl-citation.json"}</w:instrText>
      </w:r>
      <w:r w:rsidRPr="00381487">
        <w:fldChar w:fldCharType="separate"/>
      </w:r>
      <w:r w:rsidR="00BC4428" w:rsidRPr="00BC4428">
        <w:rPr>
          <w:noProof/>
        </w:rPr>
        <w:t>(Raganati et al., 2016)</w:t>
      </w:r>
      <w:r w:rsidRPr="00381487">
        <w:fldChar w:fldCharType="end"/>
      </w:r>
      <w:r w:rsidRPr="00381487">
        <w:t xml:space="preserve">. However, the choice of the adsorbent material represents a critical point for the success of this approach </w:t>
      </w:r>
      <w:r w:rsidRPr="00381487">
        <w:fldChar w:fldCharType="begin" w:fldLock="1"/>
      </w:r>
      <w:r w:rsidR="00760B31">
        <w:instrText>ADDIN CSL_CITATION {"citationItems":[{"id":"ITEM-1","itemData":{"DOI":"10.1016/j.apsusc.2015.11.026","ISSN":"01694332","abstract":"The use of solid sorbents is a convenient option in post-combustion CO2 capture strategies. Sorbents selection is a key point because the materials are required to be both low-cost and versatile in typi- cal post-combustion conditions in order to guarantee an economically advantageous overall process. This work compares strategies to tailor the chemico-physical features of carbon black (CB) by surface- modification and/or coating with a CO2-sorbent phase. The influence of the CB microporosity, enhanced by chemical/thermal treatments, is also taken into account. Three CB surface modifications are performed and compared: (i) oxidation and functionalization with amino-groups, (ii) coating with iron oxides and (iii) impregnation with an ionic liquid (IL). The CO2 capture performance is evaluated on the basis of the breakthrough curves measured at atmospheric pressure and room temperature in a lab-scale fixed bed micro-reactor. Most of tested solids adsorb a CO2 amount significantly higher than a 13X zeolite and DARCO FGD (Norit) activated carbon (up to 4 times more in the best case). The sorbents bearing basic functionalities (amino-groups and IL) exhibit the highest CO2 sorption capacity. The use of a microporous carbonaceous support limits the accessibility of CO2 toward the adsorbing phase (IL or FM) lowering the number of accessible binding sites for CO2. ©","author":[{"dropping-particle":"","family":"Gargiulo","given":"Valentina","non-dropping-particle":"","parse-names":false,"suffix":""},{"dropping-particle":"","family":"Alfè","given":"Michela","non-dropping-particle":"","parse-names":false,"suffix":""},{"dropping-particle":"","family":"Ammendola","given":"Paola","non-dropping-particle":"","parse-names":false,"suffix":""},{"dropping-particle":"","family":"Raganati","given":"Federica","non-dropping-particle":"","parse-names":false,"suffix":""},{"dropping-particle":"","family":"Chirone","given":"Riccardo","non-dropping-particle":"","parse-names":false,"suffix":""}],"container-title":"Applied Surface Science","id":"ITEM-1","issued":{"date-parts":[["2016","1"]]},"page":"329-337","publisher":"Elsevier B.V.","title":"CO2 sorption on surface-modified carbonaceous support: Probing the influence of the carbon black microporosity and surface polarity","type":"article-journal","volume":"360"},"uris":["http://www.mendeley.com/documents/?uuid=6b6da56a-fbdf-44b3-bce7-ace96c48ef60"]}],"mendeley":{"formattedCitation":"(Gargiulo et al., 2016)","plainTextFormattedCitation":"(Gargiulo et al., 2016)","previouslyFormattedCitation":"(Gargiulo et al., 2016)"},"properties":{"noteIndex":0},"schema":"https://github.com/citation-style-language/schema/raw/master/csl-citation.json"}</w:instrText>
      </w:r>
      <w:r w:rsidRPr="00381487">
        <w:fldChar w:fldCharType="separate"/>
      </w:r>
      <w:r w:rsidR="00546610" w:rsidRPr="00546610">
        <w:rPr>
          <w:noProof/>
        </w:rPr>
        <w:t>(Gargiulo et al., 2016)</w:t>
      </w:r>
      <w:r w:rsidRPr="00381487">
        <w:fldChar w:fldCharType="end"/>
      </w:r>
      <w:r w:rsidRPr="00381487">
        <w:t xml:space="preserve">. Indeed, the sorbent should combine low cost with versatility and good performances at low </w:t>
      </w:r>
      <w:r w:rsidR="008869A5" w:rsidRPr="00D7150B">
        <w:rPr>
          <w:rFonts w:cs="Arial"/>
          <w:szCs w:val="18"/>
        </w:rPr>
        <w:t>CO</w:t>
      </w:r>
      <w:r w:rsidR="008869A5" w:rsidRPr="00D7150B">
        <w:rPr>
          <w:rFonts w:cs="Arial"/>
          <w:szCs w:val="18"/>
          <w:vertAlign w:val="subscript"/>
        </w:rPr>
        <w:t>2</w:t>
      </w:r>
      <w:r w:rsidRPr="00381487">
        <w:t xml:space="preserve"> pressure </w:t>
      </w:r>
      <w:r w:rsidR="00760B31" w:rsidRPr="00381487">
        <w:fldChar w:fldCharType="begin" w:fldLock="1"/>
      </w:r>
      <w:r w:rsidR="00760B31">
        <w:instrText>ADDIN CSL_CITATION {"citationItems":[{"id":"ITEM-1","itemData":{"DOI":"10.3303/CET1439046","ISBN":"9788895608303","abstract":"Adsorption process is an alternative process for CO2 removal which could offer solutions to the existing problems associated with absorption process. A suitable adsorbent which has high adsorption capacity and selectivity for CO2 is required in adsorption process. Highly ordered siliceous mesoporous molecular sieve, Si-MCM-41 which has high surface area and large pore volume is an attractive candidate for use as adsorbent in the adsorption separation. Si-MCM-41 material was synthesized by hydrothermal process at 100 oC for 8 days then dried at 120 oC for 24 hours and finally calcined at 550 oC for 6 hours. Calcined Si- MCM-41 was characterized by XRD, FTIR, HRTEM and N2 physisorption. All the characterization results confirm that the synthesized material is Si-MCM-41. Adsorption behaviour of Si-MCM-41 for CO2 was investigated at temperatures between 25 - 100 oC and pressures from 0 - 20 bar using Rubotherm gravimetric-densimetric apparatus. Si-MCM-41 showed low adsorption capacity of 27.43 mg-CO2/g- adsorbent at 1 bar and 25 oC. This low adsorption of CO2 on Si-MCM-41 could be attributed to the weak interaction between the siliceous material and CO2. Results show that adsorption of CO2 increases with increasing pressure and at it reaches to 296.48 mg CO2/g-adsorbent at 20 bar which can be explained as the CO2 molecules are forced into the deep inside the pores of Si-MCM-41 at high pressure. The Si-MCM- 41 material also shows an increased in CO2 adsorption with increased temperature with 335.77 mg-CO2/g- adsorbent adsorbed at 50 oC. However, further increase in temperature to 75 oC and 100 oC decreases the adsorption of CO2 to 295.07 mg-CO2/g-adsorbent and 269.86 mg-CO2/g-adsorbent, respectively. This decrease in adsorption is suggested due to weakening of the Van der Waals forces between Si-MCM-41 and CO2. Overall results show that Si-MCM-41 has high potential to be used as adsorbent for CO2 removal at pressures up to 20 bar and temperatures up to 75 oC.","author":[{"dropping-particle":"","family":"Ramli","given":"Anita","non-dropping-particle":"","parse-names":false,"suffix":""},{"dropping-particle":"","family":"Ahmed","given":"Sohail","non-dropping-particle":"","parse-names":false,"suffix":""},{"dropping-particle":"","family":"Yusup","given":"Suzana","non-dropping-particle":"","parse-names":false,"suffix":""}],"container-title":"Chemical Engineering Transactions","id":"ITEM-1","issued":{"date-parts":[["2014"]]},"page":"271-276","title":"Adsorption Behaviour of Si-MCM-41 for CO: Effect of Pressure and Temperature on Adsorption","type":"article-journal","volume":"39"},"uris":["http://www.mendeley.com/documents/?uuid=86c53e77-ad72-4bb7-b72c-e341e08c385c"]}],"mendeley":{"formattedCitation":"(Ramli et al., 2014)","plainTextFormattedCitation":"(Ramli et al., 2014)","previouslyFormattedCitation":"(Ramli et al., 2014)"},"properties":{"noteIndex":0},"schema":"https://github.com/citation-style-language/schema/raw/master/csl-citation.json"}</w:instrText>
      </w:r>
      <w:r w:rsidR="00760B31" w:rsidRPr="00381487">
        <w:fldChar w:fldCharType="separate"/>
      </w:r>
      <w:r w:rsidR="00760B31" w:rsidRPr="008A5C81">
        <w:rPr>
          <w:noProof/>
        </w:rPr>
        <w:t>(Ramli et al., 2014)</w:t>
      </w:r>
      <w:r w:rsidR="00760B31" w:rsidRPr="00381487">
        <w:fldChar w:fldCharType="end"/>
      </w:r>
      <w:r w:rsidR="00760B31">
        <w:t xml:space="preserve">, </w:t>
      </w:r>
      <w:r w:rsidRPr="00381487">
        <w:t>up to 0.2 atm in typical post-combustion conditions</w:t>
      </w:r>
      <w:r w:rsidR="00760B31">
        <w:t xml:space="preserve"> </w:t>
      </w:r>
      <w:r w:rsidR="00760B31">
        <w:fldChar w:fldCharType="begin" w:fldLock="1"/>
      </w:r>
      <w:r w:rsidR="00DB00E1">
        <w:instrText>ADDIN CSL_CITATION {"citationItems":[{"id":"ITEM-1","itemData":{"DOI":"10.14356/kona.2015006","ISSN":"0288-4534","abstract":"The present work is a review presenting the main results obtained by our research group in the field of sound- assisted fluidization of fine particles. Our aim is to highlight the role of acoustic fields in enhancing the gas-solid contact efficiency, with specific attention to the phenomenological mechanism upon which this technique is based. In particular, the first section presents the characterization of the fluidization behaviour of four different nanopowders in terms of pressure drops, bed expansion, and minimum fluidization velocity as affected by acoustic fields of different intensity and frequency. The fluidization of binary mixtures comprising two powders is also investigated under the application of different acoustic fields and varying the amounts of the two powders. The second section focuses on the study of the mixing process between two different nanopowders both from a “global/macroscopic” and “local/microscopic” point of view and highlighting the effect of mixture composition, primary particles density and sound intensity. The last section presents a promising application of sound-assisted fluidization, i.e. CO2 capture by adsorption on a fine activated carbon, pointing out the effect of CO2 partial pressure, superficial gas velocity, sound intensity and frequency on the adsorption efficiency.","author":[{"dropping-particle":"","family":"Raganati","given":"Federica","non-dropping-particle":"","parse-names":false,"suffix":""},{"dropping-particle":"","family":"Ammendola","given":"Paola","non-dropping-particle":"","parse-names":false,"suffix":""},{"dropping-particle":"","family":"Chirone","given":"Riccardo","non-dropping-particle":"","parse-names":false,"suffix":""}],"container-title":"KONA Powder and Particle Journal","id":"ITEM-1","issue":"32","issued":{"date-parts":[["2015"]]},"page":"23-40","title":"Role of Acoustic Fields in Promoting the Gas-Solid Contact in a Fluidized Bed of Fine Particles","type":"article-journal","volume":"32"},"uris":["http://www.mendeley.com/documents/?uuid=5227cb3f-7e69-4d14-9db3-252cd8c73919"]}],"mendeley":{"formattedCitation":"(Raganati et al., 2015)","plainTextFormattedCitation":"(Raganati et al., 2015)","previouslyFormattedCitation":"(Raganati et al., 2015a)"},"properties":{"noteIndex":0},"schema":"https://github.com/citation-style-language/schema/raw/master/csl-citation.json"}</w:instrText>
      </w:r>
      <w:r w:rsidR="00760B31">
        <w:fldChar w:fldCharType="separate"/>
      </w:r>
      <w:r w:rsidR="00DB00E1" w:rsidRPr="00DB00E1">
        <w:rPr>
          <w:noProof/>
        </w:rPr>
        <w:t>(Raganati et al., 2015)</w:t>
      </w:r>
      <w:r w:rsidR="00760B31">
        <w:fldChar w:fldCharType="end"/>
      </w:r>
      <w:r w:rsidRPr="00381487">
        <w:t xml:space="preserve">. In this context, great attention has been focused on zeolites. Synthetic zeolites are highly ordered microporous crystalline materials, synthetized with a very specific and suitable molecular cell size, giving them the intrinsic capability to adsorb polar species </w:t>
      </w:r>
      <w:r w:rsidRPr="00381487">
        <w:fldChar w:fldCharType="begin" w:fldLock="1"/>
      </w:r>
      <w:r w:rsidR="008869A5">
        <w:instrText>ADDIN CSL_CITATION {"citationItems":[{"id":"ITEM-1","itemData":{"DOI":"10.1021/ef000241s","ISSN":"0887-0624","abstract":"Pressure swing adsorption (PSA) and temperature swing adsorption (TSA) are some of the potential techniques that could be applicable for removal of CO2 from high-pressure fuel gas streams. Molecular sieves and activated carbons are some of the sorbents that could be utilized in the PSA process. Volumetric adsorption studies of CO2,N2,orH2 on molecular sieve 13X, molecular sieve 4A, and activated carbon were conducted at 25 °C up to a pressure of 300 psi (</w:instrText>
      </w:r>
      <w:r w:rsidR="008869A5">
        <w:rPr>
          <w:rFonts w:ascii="Cambria Math" w:hAnsi="Cambria Math" w:cs="Cambria Math"/>
        </w:rPr>
        <w:instrText>∼</w:instrText>
      </w:r>
      <w:r w:rsidR="008869A5">
        <w:instrText>2</w:instrText>
      </w:r>
      <w:r w:rsidR="008869A5">
        <w:rPr>
          <w:rFonts w:cs="Arial"/>
        </w:rPr>
        <w:instrText>×</w:instrText>
      </w:r>
      <w:r w:rsidR="008869A5">
        <w:instrText>106 Pa). Preferential adsorption of CO2 was observed with all three sorbents. The adsorption capacity of CO2 for molecular sieve 13X was higher than that for molecular sieve 4A at all pressures up to 300 psi. At low pressures (&lt;25 psi) the adsorption capacity for CO2 of activated carbon was lower than that of molecular sieve 13X, but at higher pressures (&gt;25 psi) activated carbon exhibited significantly higher CO2 capacities than were found for molecular sieves. Competitive adsorption of CO2 from gas mixtures also indicated that both molecular sieve 13X and activated carbon can be utilized for separation of CO2 from gas mixtures.","author":[{"dropping-particle":"V.","family":"Siriwardane","given":"Ranjani","non-dropping-particle":"","parse-names":false,"suffix":""},{"dropping-particle":"","family":"Shen","given":"Ming-Shing","non-dropping-particle":"","parse-names":false,"suffix":""},{"dropping-particle":"","family":"Fisher","given":"Edward P.","non-dropping-particle":"","parse-names":false,"suffix":""},{"dropping-particle":"","family":"Poston","given":"James A.","non-dropping-particle":"","parse-names":false,"suffix":""}],"container-title":"Energy &amp; Fuels","id":"ITEM-1","issue":"2","issued":{"date-parts":[["2001","3"]]},"page":"279-284","title":"Adsorption of CO2 on Molecular Sieves and Activated Carbon","type":"article-journal","volume":"15"},"uris":["http://www.mendeley.com/documents/?uuid=16cde089-018c-4641-ac51-18ad0865ae2b"]}],"mendeley":{"formattedCitation":"(Siriwardane et al., 2001)","plainTextFormattedCitation":"(Siriwardane et al., 2001)","previouslyFormattedCitation":"(Siriwardane et al., 2001)"},"properties":{"noteIndex":0},"schema":"https://github.com/citation-style-language/schema/raw/master/csl-citation.json"}</w:instrText>
      </w:r>
      <w:r w:rsidRPr="00381487">
        <w:fldChar w:fldCharType="separate"/>
      </w:r>
      <w:r w:rsidR="008A5C81" w:rsidRPr="008A5C81">
        <w:rPr>
          <w:noProof/>
        </w:rPr>
        <w:t>(Siriwardane et al., 2001)</w:t>
      </w:r>
      <w:r w:rsidRPr="00381487">
        <w:fldChar w:fldCharType="end"/>
      </w:r>
      <w:r w:rsidRPr="00381487">
        <w:t xml:space="preserve">. However, their high synthesis cost and the environmental footprint represent a negative contribute to their sustainability </w:t>
      </w:r>
      <w:r w:rsidRPr="00381487">
        <w:fldChar w:fldCharType="begin" w:fldLock="1"/>
      </w:r>
      <w:r w:rsidR="008869A5">
        <w:instrText>ADDIN CSL_CITATION {"citationItems":[{"id":"ITEM-1","itemData":{"DOI":"10.1021/ef000241s","ISSN":"0887-0624","abstract":"Pressure swing adsorption (PSA) and temperature swing adsorption (TSA) are some of the potential techniques that could be applicable for removal of CO2 from high-pressure fuel gas streams. Molecular sieves and activated carbons are some of the sorbents that could be utilized in the PSA process. Volumetric adsorption studies of CO2,N2,orH2 on molecular sieve 13X, molecular sieve 4A, and activated carbon were conducted at 25 °C up to a pressure of 300 psi (</w:instrText>
      </w:r>
      <w:r w:rsidR="008869A5">
        <w:rPr>
          <w:rFonts w:ascii="Cambria Math" w:hAnsi="Cambria Math" w:cs="Cambria Math"/>
        </w:rPr>
        <w:instrText>∼</w:instrText>
      </w:r>
      <w:r w:rsidR="008869A5">
        <w:instrText>2</w:instrText>
      </w:r>
      <w:r w:rsidR="008869A5">
        <w:rPr>
          <w:rFonts w:cs="Arial"/>
        </w:rPr>
        <w:instrText>×</w:instrText>
      </w:r>
      <w:r w:rsidR="008869A5">
        <w:instrText>106 Pa). Preferential adsorption of CO2 was observed with all three sorbents. The adsorption capacity of CO2 for molecular sieve 13X was higher than that for molecular sieve 4A at all pressures up to 300 psi. At low pressures (&lt;25 psi) the adsorption capacity for CO2 of activated carbon was lower than that of molecular sieve 13X, but at higher pressures (&gt;25 psi) activated carbon exhibited significantly higher CO2 capacities than were found for molecular sieves. Competitive adsorption of CO2 from gas mixtures also indicated that both molecular sieve 13X and activated carbon can be utilized for separation of CO2 from gas mixtures.","author":[{"dropping-particle":"V.","family":"Siriwardane","given":"Ranjani","non-dropping-particle":"","parse-names":false,"suffix":""},{"dropping-particle":"","family":"Shen","given":"Ming-Shing","non-dropping-particle":"","parse-names":false,"suffix":""},{"dropping-particle":"","family":"Fisher","given":"Edward P.","non-dropping-particle":"","parse-names":false,"suffix":""},{"dropping-particle":"","family":"Poston","given":"James A.","non-dropping-particle":"","parse-names":false,"suffix":""}],"container-title":"Energy &amp; Fuels","id":"ITEM-1","issue":"2","issued":{"date-parts":[["2001","3"]]},"page":"279-284","title":"Adsorption of CO2 on Molecular Sieves and Activated Carbon","type":"article-journal","volume":"15"},"uris":["http://www.mendeley.com/documents/?uuid=16cde089-018c-4641-ac51-18ad0865ae2b"]}],"mendeley":{"formattedCitation":"(Siriwardane et al., 2001)","plainTextFormattedCitation":"(Siriwardane et al., 2001)","previouslyFormattedCitation":"(Siriwardane et al., 2001)"},"properties":{"noteIndex":0},"schema":"https://github.com/citation-style-language/schema/raw/master/csl-citation.json"}</w:instrText>
      </w:r>
      <w:r w:rsidRPr="00381487">
        <w:fldChar w:fldCharType="separate"/>
      </w:r>
      <w:r w:rsidR="008A5C81" w:rsidRPr="008A5C81">
        <w:rPr>
          <w:noProof/>
        </w:rPr>
        <w:t>(Siriwardane et al., 2001)</w:t>
      </w:r>
      <w:r w:rsidRPr="00381487">
        <w:fldChar w:fldCharType="end"/>
      </w:r>
      <w:r w:rsidRPr="00381487">
        <w:t xml:space="preserve">. A possible alternative is provided by natural occurring zeolites, as they are available in large quantities in the natural composition of different types of rocks </w:t>
      </w:r>
      <w:r w:rsidRPr="00381487">
        <w:fldChar w:fldCharType="begin" w:fldLock="1"/>
      </w:r>
      <w:r w:rsidR="008869A5">
        <w:instrText>ADDIN CSL_CITATION {"citationItems":[{"id":"ITEM-1","itemData":{"DOI":"10.1016/S1387-1811(03)00353-6","ISSN":"13871811","abstract":"There are many natural zeolites of which a small number including clinoptilolite, chabazite, mordenite, erionite, ferrierite and phillipsite offer the greatest promise for gas separation. Patents and other literature have been surveyed to identify the bulk separation and purification processes for which these zeolites have potential. The abundance and low raw material cost of natural zeolites have rarely offset such disadvantages as variable composition, low purity and often poorer separation performance compared to the more-favored synthetic zeolites. The results of the present study in-dicate that these natural zeolites are particularly well suited for trace-gas removal. In contrast, they are less likely to provide competitive performance in bulk separations. Clinoptilolite and chabazite are judged the most versatile, while also offering unique adsorption characteristics. Effective and efficient methods for screening all types of adsorbents are presented for various gas separations. Natural zeolites must demonstrate unique or superior performance to be serious contenders in commercial separations. Use of these methods should enhance such opportunities. The importance of including relevant process considerations in the analyses is demonstrated through application to processes for a bulk separation (O 2 production from air) and purification (removal of trace levels of N 2 O from air). The results are not encouraging for the use of natural zeolites in air separation. Conversely, clinoptilolite and chabazite outperform commercially available synthetics in N 2 O removal from air.","author":[{"dropping-particle":"","family":"Ackley","given":"M","non-dropping-particle":"","parse-names":false,"suffix":""},{"dropping-particle":"","family":"Rege","given":"R","non-dropping-particle":"","parse-names":false,"suffix":""},{"dropping-particle":"","family":"Saxena","given":"H","non-dropping-particle":"","parse-names":false,"suffix":""}],"container-title":"Microporous and Mesoporous Materials","id":"ITEM-1","issue":"1-3","issued":{"date-parts":[["2003","7","18"]]},"page":"25-42","title":"Application of natural zeolites in the purification and separation of gases","type":"article-journal","volume":"61"},"uris":["http://www.mendeley.com/documents/?uuid=142b72f1-e951-3c66-ab94-74f6dbc982ae"]}],"mendeley":{"formattedCitation":"(Ackley et al., 2003)","plainTextFormattedCitation":"(Ackley et al., 2003)","previouslyFormattedCitation":"(Ackley et al., 2003)"},"properties":{"noteIndex":0},"schema":"https://github.com/citation-style-language/schema/raw/master/csl-citation.json"}</w:instrText>
      </w:r>
      <w:r w:rsidRPr="00381487">
        <w:fldChar w:fldCharType="separate"/>
      </w:r>
      <w:r w:rsidR="008A5C81" w:rsidRPr="008A5C81">
        <w:rPr>
          <w:noProof/>
        </w:rPr>
        <w:t>(Ackley et al., 2003)</w:t>
      </w:r>
      <w:r w:rsidRPr="00381487">
        <w:fldChar w:fldCharType="end"/>
      </w:r>
      <w:r w:rsidRPr="00381487">
        <w:t xml:space="preserve">. Therefore, they are low-cost sorbents, not needing “ad hoc” synthesis, and environmental-friendly, not introducing additional </w:t>
      </w:r>
      <w:r w:rsidR="008869A5" w:rsidRPr="00D7150B">
        <w:rPr>
          <w:rFonts w:cs="Arial"/>
          <w:szCs w:val="18"/>
        </w:rPr>
        <w:t>CO</w:t>
      </w:r>
      <w:r w:rsidR="008869A5" w:rsidRPr="00D7150B">
        <w:rPr>
          <w:rFonts w:cs="Arial"/>
          <w:szCs w:val="18"/>
          <w:vertAlign w:val="subscript"/>
        </w:rPr>
        <w:t>2</w:t>
      </w:r>
      <w:r w:rsidRPr="00381487">
        <w:t xml:space="preserve"> in the environment </w:t>
      </w:r>
      <w:r w:rsidRPr="00381487">
        <w:fldChar w:fldCharType="begin" w:fldLock="1"/>
      </w:r>
      <w:r w:rsidR="008869A5">
        <w:instrText>ADDIN CSL_CITATION {"citationItems":[{"id":"ITEM-1","itemData":{"DOI":"10.1016/S1387-1811(03)00353-6","ISSN":"13871811","abstract":"There are many natural zeolites of which a small number including clinoptilolite, chabazite, mordenite, erionite, ferrierite and phillipsite offer the greatest promise for gas separation. Patents and other literature have been surveyed to identify the bulk separation and purification processes for which these zeolites have potential. The abundance and low raw material cost of natural zeolites have rarely offset such disadvantages as variable composition, low purity and often poorer separation performance compared to the more-favored synthetic zeolites. The results of the present study in-dicate that these natural zeolites are particularly well suited for trace-gas removal. In contrast, they are less likely to provide competitive performance in bulk separations. Clinoptilolite and chabazite are judged the most versatile, while also offering unique adsorption characteristics. Effective and efficient methods for screening all types of adsorbents are presented for various gas separations. Natural zeolites must demonstrate unique or superior performance to be serious contenders in commercial separations. Use of these methods should enhance such opportunities. The importance of including relevant process considerations in the analyses is demonstrated through application to processes for a bulk separation (O 2 production from air) and purification (removal of trace levels of N 2 O from air). The results are not encouraging for the use of natural zeolites in air separation. Conversely, clinoptilolite and chabazite outperform commercially available synthetics in N 2 O removal from air.","author":[{"dropping-particle":"","family":"Ackley","given":"M","non-dropping-particle":"","parse-names":false,"suffix":""},{"dropping-particle":"","family":"Rege","given":"R","non-dropping-particle":"","parse-names":false,"suffix":""},{"dropping-particle":"","family":"Saxena","given":"H","non-dropping-particle":"","parse-names":false,"suffix":""}],"container-title":"Microporous and Mesoporous Materials","id":"ITEM-1","issue":"1-3","issued":{"date-parts":[["2003","7","18"]]},"page":"25-42","title":"Application of natural zeolites in the purification and separation of gases","type":"article-journal","volume":"61"},"uris":["http://www.mendeley.com/documents/?uuid=142b72f1-e951-3c66-ab94-74f6dbc982ae"]}],"mendeley":{"formattedCitation":"(Ackley et al., 2003)","plainTextFormattedCitation":"(Ackley et al., 2003)","previouslyFormattedCitation":"(Ackley et al., 2003)"},"properties":{"noteIndex":0},"schema":"https://github.com/citation-style-language/schema/raw/master/csl-citation.json"}</w:instrText>
      </w:r>
      <w:r w:rsidRPr="00381487">
        <w:fldChar w:fldCharType="separate"/>
      </w:r>
      <w:r w:rsidR="008A5C81" w:rsidRPr="008A5C81">
        <w:rPr>
          <w:noProof/>
        </w:rPr>
        <w:t>(Ackley et al., 2003)</w:t>
      </w:r>
      <w:r w:rsidRPr="00381487">
        <w:fldChar w:fldCharType="end"/>
      </w:r>
      <w:r w:rsidRPr="00381487">
        <w:t xml:space="preserve">. Their abundance and low or null price, somehow, offset some unavoidable drawbacks such as variable composition that may change even in a single deposit, low purity and likely poorer separation performance compared to the more-performant synthetic zeolites </w:t>
      </w:r>
      <w:r w:rsidRPr="00381487">
        <w:fldChar w:fldCharType="begin" w:fldLock="1"/>
      </w:r>
      <w:r w:rsidR="008869A5">
        <w:instrText>ADDIN CSL_CITATION {"citationItems":[{"id":"ITEM-1","itemData":{"DOI":"10.1016/S1387-1811(03)00353-6","ISSN":"13871811","abstract":"There are many natural zeolites of which a small number including clinoptilolite, chabazite, mordenite, erionite, ferrierite and phillipsite offer the greatest promise for gas separation. Patents and other literature have been surveyed to identify the bulk separation and purification processes for which these zeolites have potential. The abundance and low raw material cost of natural zeolites have rarely offset such disadvantages as variable composition, low purity and often poorer separation performance compared to the more-favored synthetic zeolites. The results of the present study in-dicate that these natural zeolites are particularly well suited for trace-gas removal. In contrast, they are less likely to provide competitive performance in bulk separations. Clinoptilolite and chabazite are judged the most versatile, while also offering unique adsorption characteristics. Effective and efficient methods for screening all types of adsorbents are presented for various gas separations. Natural zeolites must demonstrate unique or superior performance to be serious contenders in commercial separations. Use of these methods should enhance such opportunities. The importance of including relevant process considerations in the analyses is demonstrated through application to processes for a bulk separation (O 2 production from air) and purification (removal of trace levels of N 2 O from air). The results are not encouraging for the use of natural zeolites in air separation. Conversely, clinoptilolite and chabazite outperform commercially available synthetics in N 2 O removal from air.","author":[{"dropping-particle":"","family":"Ackley","given":"M","non-dropping-particle":"","parse-names":false,"suffix":""},{"dropping-particle":"","family":"Rege","given":"R","non-dropping-particle":"","parse-names":false,"suffix":""},{"dropping-particle":"","family":"Saxena","given":"H","non-dropping-particle":"","parse-names":false,"suffix":""}],"container-title":"Microporous and Mesoporous Materials","id":"ITEM-1","issue":"1-3","issued":{"date-parts":[["2003","7","18"]]},"page":"25-42","title":"Application of natural zeolites in the purification and separation of gases","type":"article-journal","volume":"61"},"uris":["http://www.mendeley.com/documents/?uuid=142b72f1-e951-3c66-ab94-74f6dbc982ae"]}],"mendeley":{"formattedCitation":"(Ackley et al., 2003)","plainTextFormattedCitation":"(Ackley et al., 2003)","previouslyFormattedCitation":"(Ackley et al., 2003)"},"properties":{"noteIndex":0},"schema":"https://github.com/citation-style-language/schema/raw/master/csl-citation.json"}</w:instrText>
      </w:r>
      <w:r w:rsidRPr="00381487">
        <w:fldChar w:fldCharType="separate"/>
      </w:r>
      <w:r w:rsidR="008A5C81" w:rsidRPr="008A5C81">
        <w:rPr>
          <w:noProof/>
        </w:rPr>
        <w:t>(Ackley et al., 2003)</w:t>
      </w:r>
      <w:r w:rsidRPr="00381487">
        <w:fldChar w:fldCharType="end"/>
      </w:r>
      <w:r w:rsidRPr="00381487">
        <w:t xml:space="preserve">. In this framework, the volcanic tuffs are the most valuable deposits of natural zeolites and they are characterized by the presence of different minerals, such as: clinoptilite, mordenite, chabazite, quartz, cristobalite, feldspar, etc. </w:t>
      </w:r>
      <w:r w:rsidRPr="00381487">
        <w:fldChar w:fldCharType="begin" w:fldLock="1"/>
      </w:r>
      <w:r w:rsidR="008869A5">
        <w:instrText>ADDIN CSL_CITATION {"citationItems":[{"id":"ITEM-1","itemData":{"DOI":"10.1002/9783527618286.ch18i","ISBN":"9783527618286","abstract":"Summary: The prelims comprise: Introduction and Historical Remarks; The Sedimentary Zeolites Applications of Sedimentary Zeolites in Adsorption Processes and Catalysis; Applications of Sedimentary Zeolites Based on Ion Exchange; Applications of Sedimentary Zeolites as Building Materials; Applications of Sedimentary Zeolites in Life Sciences; Miscellaneous Uses of Sedimentary Zeolites;","author":[{"dropping-particle":"","family":"Colella","given":"Carmine","non-dropping-particle":"","parse-names":false,"suffix":""}],"container-title":"Handbook of Porous Solids","id":"ITEM-1","issued":{"date-parts":[["2008"]]},"page":"1156-1189","publisher":"Wiley-VCH Verlag GmbH","publisher-place":"Weinheim, Germany","title":"Applications of Natural Zeolites","type":"chapter"},"uris":["http://www.mendeley.com/documents/?uuid=eea92c72-cf0b-482c-bae2-df4b78d3985a"]}],"mendeley":{"formattedCitation":"(Colella, 2008)","plainTextFormattedCitation":"(Colella, 2008)","previouslyFormattedCitation":"(Colella, 2008)"},"properties":{"noteIndex":0},"schema":"https://github.com/citation-style-language/schema/raw/master/csl-citation.json"}</w:instrText>
      </w:r>
      <w:r w:rsidRPr="00381487">
        <w:fldChar w:fldCharType="separate"/>
      </w:r>
      <w:r w:rsidR="008A5C81" w:rsidRPr="008A5C81">
        <w:rPr>
          <w:noProof/>
        </w:rPr>
        <w:t>(Colella, 2008)</w:t>
      </w:r>
      <w:r w:rsidRPr="00381487">
        <w:fldChar w:fldCharType="end"/>
      </w:r>
      <w:r w:rsidRPr="00381487">
        <w:t xml:space="preserve">. Nonetheless, the literature about the use of natural tuff as </w:t>
      </w:r>
      <w:r w:rsidR="008869A5" w:rsidRPr="00D7150B">
        <w:rPr>
          <w:rFonts w:cs="Arial"/>
          <w:szCs w:val="18"/>
        </w:rPr>
        <w:t>CO</w:t>
      </w:r>
      <w:r w:rsidR="008869A5" w:rsidRPr="00D7150B">
        <w:rPr>
          <w:rFonts w:cs="Arial"/>
          <w:szCs w:val="18"/>
          <w:vertAlign w:val="subscript"/>
        </w:rPr>
        <w:t>2</w:t>
      </w:r>
      <w:r w:rsidRPr="00381487">
        <w:t xml:space="preserve"> adsorbent at low pressure is still lacking. After the selection of the adsorbent material, a combined study of the equilibrium and kinetics is necessary for the design of the specific adsorption system (such as pressure swing and temperature swing). Indeed, the accurate mathematical representation of both the adsorption equilibrium and kinetics is crucial for the identification of the adsorption performances, by providing useful insight into the adsorbate-adsorbent interactions </w:t>
      </w:r>
      <w:r w:rsidRPr="00381487">
        <w:fldChar w:fldCharType="begin" w:fldLock="1"/>
      </w:r>
      <w:r w:rsidR="008869A5">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Pr="00381487">
        <w:fldChar w:fldCharType="separate"/>
      </w:r>
      <w:r w:rsidR="008A5C81" w:rsidRPr="008A5C81">
        <w:rPr>
          <w:noProof/>
        </w:rPr>
        <w:t>(Raganati et al., 2018)</w:t>
      </w:r>
      <w:r w:rsidRPr="00381487">
        <w:fldChar w:fldCharType="end"/>
      </w:r>
      <w:r w:rsidRPr="00381487">
        <w:t>. In particular, a good adsorbent should provide the right compromise between high equilibrium adsorption capacity and fast kinetics  that are requisites for process implementation</w:t>
      </w:r>
      <w:r w:rsidR="00DB00E1">
        <w:t xml:space="preserve"> </w:t>
      </w:r>
      <w:r w:rsidR="00DB00E1" w:rsidRPr="00381487">
        <w:fldChar w:fldCharType="begin" w:fldLock="1"/>
      </w:r>
      <w:r w:rsidR="00DB00E1">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00DB00E1" w:rsidRPr="00381487">
        <w:fldChar w:fldCharType="separate"/>
      </w:r>
      <w:r w:rsidR="00DB00E1" w:rsidRPr="008A5C81">
        <w:rPr>
          <w:noProof/>
        </w:rPr>
        <w:t>(Raganati et al., 2018)</w:t>
      </w:r>
      <w:r w:rsidR="00DB00E1" w:rsidRPr="00381487">
        <w:fldChar w:fldCharType="end"/>
      </w:r>
      <w:r w:rsidR="00DB00E1">
        <w:t>.</w:t>
      </w:r>
      <w:r w:rsidR="00BD3EF1">
        <w:t xml:space="preserve"> </w:t>
      </w:r>
      <w:r w:rsidRPr="00381487">
        <w:t xml:space="preserve">This work is aimed at investigating the low-pressure </w:t>
      </w:r>
      <w:r w:rsidR="008869A5" w:rsidRPr="00D7150B">
        <w:rPr>
          <w:rFonts w:cs="Arial"/>
          <w:szCs w:val="18"/>
        </w:rPr>
        <w:t>CO</w:t>
      </w:r>
      <w:r w:rsidR="008869A5" w:rsidRPr="00D7150B">
        <w:rPr>
          <w:rFonts w:cs="Arial"/>
          <w:szCs w:val="18"/>
          <w:vertAlign w:val="subscript"/>
        </w:rPr>
        <w:t>2</w:t>
      </w:r>
      <w:r w:rsidRPr="00381487">
        <w:t xml:space="preserve"> adsorption on a natural zeolite tuff, with particular attention to its mechanism, in terms of </w:t>
      </w:r>
      <w:r w:rsidRPr="00381487">
        <w:lastRenderedPageBreak/>
        <w:t xml:space="preserve">thermodynamics and kinetics. Dynamic breakthrough tests have been carried out in a in a lab-scale fixed bed reactor. In particular, the tuff was tested at different adsorption temperatures (25-150 °C) and </w:t>
      </w:r>
      <w:r w:rsidR="008869A5" w:rsidRPr="00D7150B">
        <w:rPr>
          <w:rFonts w:cs="Arial"/>
          <w:szCs w:val="18"/>
        </w:rPr>
        <w:t>CO</w:t>
      </w:r>
      <w:r w:rsidR="008869A5" w:rsidRPr="00D7150B">
        <w:rPr>
          <w:rFonts w:cs="Arial"/>
          <w:szCs w:val="18"/>
          <w:vertAlign w:val="subscript"/>
        </w:rPr>
        <w:t>2</w:t>
      </w:r>
      <w:r w:rsidRPr="00381487">
        <w:t xml:space="preserve"> partial pressures (</w:t>
      </w:r>
      <w:r w:rsidR="0049233F" w:rsidRPr="00381487">
        <w:t>0.01 – 0.20 atm</w:t>
      </w:r>
      <w:r w:rsidRPr="00381487">
        <w:t xml:space="preserve">). Then, the Langmuir and Freundlich isotherm models have been used to fit the experimental equilibrium data in the low </w:t>
      </w:r>
      <w:r w:rsidR="008869A5" w:rsidRPr="00D7150B">
        <w:rPr>
          <w:rFonts w:cs="Arial"/>
          <w:szCs w:val="18"/>
        </w:rPr>
        <w:t>CO</w:t>
      </w:r>
      <w:r w:rsidR="008869A5" w:rsidRPr="00D7150B">
        <w:rPr>
          <w:rFonts w:cs="Arial"/>
          <w:szCs w:val="18"/>
          <w:vertAlign w:val="subscript"/>
        </w:rPr>
        <w:t>2</w:t>
      </w:r>
      <w:r w:rsidRPr="00381487">
        <w:t xml:space="preserve"> pressure region typical of a combustion flue gas. The evaluation of the most important thermodynamic properties, i.e. the standard Gibbs free energy, enthalpy change, entropy change and isosteric heat of adsorption, has provided insights into the feasibility and strength of adsorbate–adsorbent interaction. Pseudo-first and pseudo-second order kinetic models have been used to fit the experimental </w:t>
      </w:r>
      <w:r w:rsidR="008869A5" w:rsidRPr="00D7150B">
        <w:rPr>
          <w:rFonts w:cs="Arial"/>
          <w:szCs w:val="18"/>
        </w:rPr>
        <w:t>CO</w:t>
      </w:r>
      <w:r w:rsidR="008869A5" w:rsidRPr="00D7150B">
        <w:rPr>
          <w:rFonts w:cs="Arial"/>
          <w:szCs w:val="18"/>
          <w:vertAlign w:val="subscript"/>
        </w:rPr>
        <w:t>2</w:t>
      </w:r>
      <w:r w:rsidRPr="00381487">
        <w:t xml:space="preserve"> uptake data, thus obtaining the rate of </w:t>
      </w:r>
      <w:r w:rsidR="008869A5" w:rsidRPr="00D7150B">
        <w:rPr>
          <w:rFonts w:cs="Arial"/>
          <w:szCs w:val="18"/>
        </w:rPr>
        <w:t>CO</w:t>
      </w:r>
      <w:r w:rsidR="008869A5" w:rsidRPr="00D7150B">
        <w:rPr>
          <w:rFonts w:cs="Arial"/>
          <w:szCs w:val="18"/>
          <w:vertAlign w:val="subscript"/>
        </w:rPr>
        <w:t>2</w:t>
      </w:r>
      <w:r w:rsidRPr="00381487">
        <w:t xml:space="preserve"> adsorption for possible equipment design.</w:t>
      </w:r>
    </w:p>
    <w:p w:rsidR="00117471" w:rsidRPr="00B57B36" w:rsidRDefault="00117471" w:rsidP="00117471">
      <w:pPr>
        <w:pStyle w:val="CETHeading1"/>
        <w:numPr>
          <w:ilvl w:val="1"/>
          <w:numId w:val="22"/>
        </w:numPr>
      </w:pPr>
      <w:r>
        <w:t>Experimentals</w:t>
      </w:r>
    </w:p>
    <w:p w:rsidR="00117471" w:rsidRPr="00381487" w:rsidRDefault="00117471" w:rsidP="00117471">
      <w:pPr>
        <w:pStyle w:val="CETBodytext"/>
      </w:pPr>
      <w:r w:rsidRPr="00381487">
        <w:rPr>
          <w:i/>
          <w:u w:val="single"/>
        </w:rPr>
        <w:t xml:space="preserve">Materials and </w:t>
      </w:r>
      <w:r w:rsidR="00247C70">
        <w:rPr>
          <w:i/>
          <w:u w:val="single"/>
        </w:rPr>
        <w:t>e</w:t>
      </w:r>
      <w:r w:rsidRPr="00381487">
        <w:rPr>
          <w:i/>
          <w:u w:val="single"/>
        </w:rPr>
        <w:t xml:space="preserve">xperimental </w:t>
      </w:r>
      <w:r w:rsidR="00247C70">
        <w:rPr>
          <w:i/>
          <w:u w:val="single"/>
        </w:rPr>
        <w:t>a</w:t>
      </w:r>
      <w:r w:rsidRPr="00381487">
        <w:rPr>
          <w:i/>
          <w:u w:val="single"/>
        </w:rPr>
        <w:t>pparatus:</w:t>
      </w:r>
      <w:r w:rsidRPr="00381487">
        <w:t xml:space="preserve"> A natural yellow tuff from Campania (I) region has been used as adsorbent material. The sample has been crushed and sieved to obtain a 400-600 </w:t>
      </w:r>
      <w:r w:rsidRPr="00381487">
        <w:rPr>
          <w:rFonts w:ascii="Symbol" w:hAnsi="Symbol"/>
        </w:rPr>
        <w:t></w:t>
      </w:r>
      <w:r w:rsidRPr="00381487">
        <w:t xml:space="preserve">m fraction. Prior to the </w:t>
      </w:r>
      <w:r w:rsidR="008869A5" w:rsidRPr="00D7150B">
        <w:rPr>
          <w:rFonts w:cs="Arial"/>
          <w:szCs w:val="18"/>
        </w:rPr>
        <w:t>CO</w:t>
      </w:r>
      <w:r w:rsidR="008869A5" w:rsidRPr="00D7150B">
        <w:rPr>
          <w:rFonts w:cs="Arial"/>
          <w:szCs w:val="18"/>
          <w:vertAlign w:val="subscript"/>
        </w:rPr>
        <w:t>2</w:t>
      </w:r>
      <w:r w:rsidRPr="00381487">
        <w:t xml:space="preserve"> adsorption study, the tuff physical and structural properties have been characterized. The internal porosity and the absolute density of the material have determined by employing mercury intrusion porosimetry (MIP, ThermoFinnigan 240). XRD analysis has provided the phase composition of the tuff by using a Bruker D8 Advance powder diffractometer with Cu Kα radiation. The </w:t>
      </w:r>
      <w:r w:rsidR="008869A5" w:rsidRPr="00D7150B">
        <w:rPr>
          <w:rFonts w:cs="Arial"/>
          <w:szCs w:val="18"/>
        </w:rPr>
        <w:t>CO</w:t>
      </w:r>
      <w:r w:rsidR="008869A5" w:rsidRPr="00D7150B">
        <w:rPr>
          <w:rFonts w:cs="Arial"/>
          <w:szCs w:val="18"/>
          <w:vertAlign w:val="subscript"/>
        </w:rPr>
        <w:t>2</w:t>
      </w:r>
      <w:r w:rsidRPr="00381487">
        <w:t xml:space="preserve"> dynamic breakthrough tests were carried out at atmospheric pressure in a laboratory-scale fixed bed reactor (ID = 10 mm, column length = 600 mm). More detailed information can be found elsewhere </w:t>
      </w:r>
      <w:r w:rsidR="00546610">
        <w:fldChar w:fldCharType="begin" w:fldLock="1"/>
      </w:r>
      <w:r w:rsidR="00546610">
        <w:instrText>ADDIN CSL_CITATION {"citationItems":[{"id":"ITEM-1","itemData":{"DOI":"10.1016/j.fuel.2018.02.093","ISSN":"00162361","abstract":"© 2018 Elsevier Ltd The combined favorable properties of large surface area, permanent porosity and tunable pore size/functionality, have enabled metal-organic frameworks (MOFs) as ideal candidates for CO 2 capture in post-combustion configuration. At the present, the volumetric capacity of MOFs toward CO 2 is rarely studied and breakthrough experiments of simulated flue gas to evaluate the CO 2 uptake capacity under dynamic conditions are not always performed. In this work three 1,3,5-benzenetricarboxylic acid (BTC) based MOFs differing in morphology and textural properties were produced and characterized by breakthrough experiments in order to assess the influence of MOFs structural/textural properties on CO 2 sorption capacity. The selected BTC-base MOFs were: Zn-HKUST-1 for its low surface area and for the presence of coordinatively unsaturated metal sites, Al-MIL-96 for the basic environment inside its pores and Fe-MIL-100 for its microporous character and high surface area. The experimental campaign evidenced that the CO 2 uptake follows the Al-MIL-96 &gt; Zn-HKUST-1 &gt; Fe-MIL-100 order and that in all three BTC-MOFs the chemistry of the pores has a larger impact on CO 2 sorption capacity than porosity under post-combustion conditions.","author":[{"dropping-particle":"","family":"Gargiulo","given":"Valentina","non-dropping-particle":"","parse-names":false,"suffix":""},{"dropping-particle":"","family":"Alfè","given":"Michela","non-dropping-particle":"","parse-names":false,"suffix":""},{"dropping-particle":"","family":"Raganati","given":"Federica","non-dropping-particle":"","parse-names":false,"suffix":""},{"dropping-particle":"","family":"Lisi","given":"Luciana","non-dropping-particle":"","parse-names":false,"suffix":""},{"dropping-particle":"","family":"Chirone","given":"Riccardo","non-dropping-particle":"","parse-names":false,"suffix":""},{"dropping-particle":"","family":"Ammendola","given":"Paola","non-dropping-particle":"","parse-names":false,"suffix":""}],"container-title":"Fuel","id":"ITEM-1","issued":{"date-parts":[["2018","6"]]},"page":"319-326","title":"BTC-based metal-organic frameworks: Correlation between relevant structural features and CO2 adsorption performances","type":"article-journal","volume":"222"},"uris":["http://www.mendeley.com/documents/?uuid=d570e311-031d-3ac6-bee5-2f807262bdf2"]}],"mendeley":{"formattedCitation":"(Gargiulo et al., 2018)","plainTextFormattedCitation":"(Gargiulo et al., 2018)","previouslyFormattedCitation":"(Gargiulo et al., 2018)"},"properties":{"noteIndex":0},"schema":"https://github.com/citation-style-language/schema/raw/master/csl-citation.json"}</w:instrText>
      </w:r>
      <w:r w:rsidR="00546610">
        <w:fldChar w:fldCharType="separate"/>
      </w:r>
      <w:r w:rsidR="00546610" w:rsidRPr="00546610">
        <w:rPr>
          <w:noProof/>
        </w:rPr>
        <w:t>(Gargiulo et al., 2018)</w:t>
      </w:r>
      <w:r w:rsidR="00546610">
        <w:fldChar w:fldCharType="end"/>
      </w:r>
      <w:r w:rsidRPr="00381487">
        <w:t>. Separate high purity N</w:t>
      </w:r>
      <w:r w:rsidRPr="00890C8A">
        <w:rPr>
          <w:vertAlign w:val="subscript"/>
        </w:rPr>
        <w:t>2</w:t>
      </w:r>
      <w:r w:rsidRPr="00381487">
        <w:t xml:space="preserve"> and </w:t>
      </w:r>
      <w:r w:rsidR="008869A5" w:rsidRPr="00D7150B">
        <w:rPr>
          <w:rFonts w:cs="Arial"/>
          <w:szCs w:val="18"/>
        </w:rPr>
        <w:t>CO</w:t>
      </w:r>
      <w:r w:rsidR="008869A5" w:rsidRPr="00D7150B">
        <w:rPr>
          <w:rFonts w:cs="Arial"/>
          <w:szCs w:val="18"/>
          <w:vertAlign w:val="subscript"/>
        </w:rPr>
        <w:t>2</w:t>
      </w:r>
      <w:r w:rsidRPr="00381487">
        <w:t xml:space="preserve"> cylinders (99.995% vol.) are used to prepare the gas feed, using two mass flow controllers (Brooks 8550S) to set and control the inlet flowrates. The analysis system consists of a continuous gas analyzer equipped with an infrared detector (ABB AO2020, URAS 14). In a typical adsorption test, the sorbent (5 g, corresponding to about 5 cm of bed height) is subjected to a drying/cleaning step by flowing N</w:t>
      </w:r>
      <w:r w:rsidRPr="00890C8A">
        <w:rPr>
          <w:vertAlign w:val="subscript"/>
        </w:rPr>
        <w:t>2</w:t>
      </w:r>
      <w:r w:rsidRPr="00381487">
        <w:t xml:space="preserve"> (15 L h</w:t>
      </w:r>
      <w:r w:rsidRPr="00890C8A">
        <w:rPr>
          <w:vertAlign w:val="superscript"/>
        </w:rPr>
        <w:t>-1</w:t>
      </w:r>
      <w:r w:rsidRPr="00381487">
        <w:t>) for 60 min at 150 °C. Afterwards, the sorbent is pre-conditioned for about 10 min by setting the temperature (25, 40, 70, 100 and 150 °C) to the desired value and fluxing 15 L h</w:t>
      </w:r>
      <w:r w:rsidRPr="00890C8A">
        <w:rPr>
          <w:vertAlign w:val="superscript"/>
        </w:rPr>
        <w:t>-1</w:t>
      </w:r>
      <w:r w:rsidRPr="00381487">
        <w:t xml:space="preserve"> of N</w:t>
      </w:r>
      <w:r w:rsidRPr="00890C8A">
        <w:rPr>
          <w:vertAlign w:val="subscript"/>
        </w:rPr>
        <w:t>2</w:t>
      </w:r>
      <w:r w:rsidRPr="00381487">
        <w:t xml:space="preserve"> through the system. This is followed by the adsorption step in which 15 L h</w:t>
      </w:r>
      <w:r w:rsidRPr="00890C8A">
        <w:rPr>
          <w:vertAlign w:val="superscript"/>
        </w:rPr>
        <w:t>-1</w:t>
      </w:r>
      <w:r w:rsidRPr="00381487">
        <w:t xml:space="preserve"> of the </w:t>
      </w:r>
      <w:r w:rsidR="008869A5" w:rsidRPr="00D7150B">
        <w:rPr>
          <w:rFonts w:cs="Arial"/>
          <w:szCs w:val="18"/>
        </w:rPr>
        <w:t>CO</w:t>
      </w:r>
      <w:r w:rsidR="008869A5" w:rsidRPr="00D7150B">
        <w:rPr>
          <w:rFonts w:cs="Arial"/>
          <w:szCs w:val="18"/>
          <w:vertAlign w:val="subscript"/>
        </w:rPr>
        <w:t>2</w:t>
      </w:r>
      <w:r w:rsidRPr="00381487">
        <w:t>/N</w:t>
      </w:r>
      <w:r w:rsidRPr="00890C8A">
        <w:rPr>
          <w:vertAlign w:val="subscript"/>
        </w:rPr>
        <w:t>2</w:t>
      </w:r>
      <w:r w:rsidRPr="00381487">
        <w:t xml:space="preserve"> gas mixture (1, 3, 5, 10, 15 and 20 % vol. of </w:t>
      </w:r>
      <w:r w:rsidR="008869A5" w:rsidRPr="00D7150B">
        <w:rPr>
          <w:rFonts w:cs="Arial"/>
          <w:szCs w:val="18"/>
        </w:rPr>
        <w:t>CO</w:t>
      </w:r>
      <w:r w:rsidR="008869A5" w:rsidRPr="00D7150B">
        <w:rPr>
          <w:rFonts w:cs="Arial"/>
          <w:szCs w:val="18"/>
          <w:vertAlign w:val="subscript"/>
        </w:rPr>
        <w:t>2</w:t>
      </w:r>
      <w:r w:rsidRPr="00381487">
        <w:t xml:space="preserve">) is fed through column. By continuously monitoring the </w:t>
      </w:r>
      <w:r w:rsidR="008869A5" w:rsidRPr="00D7150B">
        <w:rPr>
          <w:rFonts w:cs="Arial"/>
          <w:szCs w:val="18"/>
        </w:rPr>
        <w:t>CO</w:t>
      </w:r>
      <w:r w:rsidR="008869A5" w:rsidRPr="00D7150B">
        <w:rPr>
          <w:rFonts w:cs="Arial"/>
          <w:szCs w:val="18"/>
          <w:vertAlign w:val="subscript"/>
        </w:rPr>
        <w:t>2</w:t>
      </w:r>
      <w:r w:rsidRPr="00381487">
        <w:t xml:space="preserve"> concentration in the outlet stream until saturation of the bed (i.e. the outlet </w:t>
      </w:r>
      <w:r w:rsidR="008869A5" w:rsidRPr="00D7150B">
        <w:rPr>
          <w:rFonts w:cs="Arial"/>
          <w:szCs w:val="18"/>
        </w:rPr>
        <w:t>CO</w:t>
      </w:r>
      <w:r w:rsidR="008869A5" w:rsidRPr="00D7150B">
        <w:rPr>
          <w:rFonts w:cs="Arial"/>
          <w:szCs w:val="18"/>
          <w:vertAlign w:val="subscript"/>
        </w:rPr>
        <w:t>2</w:t>
      </w:r>
      <w:r w:rsidRPr="00381487">
        <w:t xml:space="preserve"> concentration approached the inlet value) the breakthrough curves are obtained.</w:t>
      </w:r>
    </w:p>
    <w:p w:rsidR="00117471" w:rsidRDefault="00117471" w:rsidP="00117471">
      <w:pPr>
        <w:rPr>
          <w:lang w:val="en-US"/>
        </w:rPr>
      </w:pPr>
      <w:r w:rsidRPr="00117471">
        <w:rPr>
          <w:rFonts w:cs="Arial"/>
          <w:i/>
          <w:szCs w:val="18"/>
          <w:u w:val="single"/>
          <w:lang w:val="en-US"/>
        </w:rPr>
        <w:t>Adsorption thermodynamics:</w:t>
      </w:r>
      <w:r w:rsidRPr="00117471">
        <w:rPr>
          <w:rFonts w:cs="Arial"/>
          <w:szCs w:val="18"/>
          <w:lang w:val="en-US"/>
        </w:rPr>
        <w:t xml:space="preserve"> Langmuir and Freundlich models have been employed to fit the</w:t>
      </w:r>
      <w:r w:rsidRPr="00117471">
        <w:rPr>
          <w:lang w:val="en-US"/>
        </w:rPr>
        <w:t xml:space="preserve"> experimental adsorption isotherms of the tuff. The Langmuir model is the simplest theoretical model to describe monolayer adsorption onto homogeneous surfaces (i.e. the adsorption sites are equivalent from an energetic point of view) and it is based on the following mathematical expression </w:t>
      </w:r>
      <w:r w:rsidRPr="00117471">
        <w:rPr>
          <w:lang w:val="en-US"/>
        </w:rPr>
        <w:fldChar w:fldCharType="begin" w:fldLock="1"/>
      </w:r>
      <w:r w:rsidR="008869A5">
        <w:rPr>
          <w:lang w:val="en-US"/>
        </w:rPr>
        <w:instrText>ADDIN CSL_CITATION {"citationItems":[{"id":"ITEM-1","itemData":{"DOI":"10.1021/ja02268a002","ISBN":"0002-7863","ISSN":"0002-7863","abstract":"Bismuth.-Oeschsner de Coninck and Gsrard,' by reduction of bismuth Molybdenum.-Miiller,2 by oxidation of the metal, found Mo = 96.035. Neodymium.-Baxter, Whitcomb, Stewart, and Cha~in,~ by analyses Columbium.-Smith and Van Haager~,~","author":[{"dropping-particle":"","family":"Langmuir","given":"Irving","non-dropping-particle":"","parse-names":false,"suffix":""}],"container-title":"Journal of the American Chemical Society","id":"ITEM-1","issue":"11","issued":{"date-parts":[["1916","11"]]},"page":"2221-2295","title":"The constitution and fundamental properties of solids and liquids. Part I. Solids","type":"article-journal","volume":"38"},"uris":["http://www.mendeley.com/documents/?uuid=a1db0ef7-843b-48d6-b907-a0b805f9c58b"]}],"mendeley":{"formattedCitation":"(Langmuir, 1916)","plainTextFormattedCitation":"(Langmuir, 1916)","previouslyFormattedCitation":"(Langmuir, 1916)"},"properties":{"noteIndex":0},"schema":"https://github.com/citation-style-language/schema/raw/master/csl-citation.json"}</w:instrText>
      </w:r>
      <w:r w:rsidRPr="00117471">
        <w:rPr>
          <w:lang w:val="en-US"/>
        </w:rPr>
        <w:fldChar w:fldCharType="separate"/>
      </w:r>
      <w:r w:rsidR="008A5C81" w:rsidRPr="008A5C81">
        <w:rPr>
          <w:noProof/>
          <w:lang w:val="en-US"/>
        </w:rPr>
        <w:t>(Langmuir, 1916)</w:t>
      </w:r>
      <w:r w:rsidRPr="00117471">
        <w:rPr>
          <w:lang w:val="en-US"/>
        </w:rPr>
        <w:fldChar w:fldCharType="end"/>
      </w:r>
      <w:r w:rsidRPr="00117471">
        <w:rPr>
          <w:lang w:val="en-US"/>
        </w:rPr>
        <w:t xml:space="preserve">: </w:t>
      </w:r>
    </w:p>
    <w:tbl>
      <w:tblPr>
        <w:tblW w:w="5000" w:type="pct"/>
        <w:tblLook w:val="04A0" w:firstRow="1" w:lastRow="0" w:firstColumn="1" w:lastColumn="0" w:noHBand="0" w:noVBand="1"/>
      </w:tblPr>
      <w:tblGrid>
        <w:gridCol w:w="7983"/>
        <w:gridCol w:w="804"/>
      </w:tblGrid>
      <w:tr w:rsidR="007A6D5F" w:rsidRPr="00B57B36" w:rsidTr="00851A18">
        <w:tc>
          <w:tcPr>
            <w:tcW w:w="8188" w:type="dxa"/>
            <w:shd w:val="clear" w:color="auto" w:fill="auto"/>
            <w:vAlign w:val="center"/>
          </w:tcPr>
          <w:p w:rsidR="007A6D5F" w:rsidRPr="007A6D5F" w:rsidRDefault="006A54C6" w:rsidP="00851A18">
            <w:pPr>
              <w:pStyle w:val="CETEquation"/>
            </w:pPr>
            <m:oMathPara>
              <m:oMathParaPr>
                <m:jc m:val="left"/>
              </m:oMathParaPr>
              <m:oMath>
                <m:sSub>
                  <m:sSubPr>
                    <m:ctrlPr>
                      <w:rPr>
                        <w:rFonts w:ascii="Cambria Math" w:hAnsi="Cambria Math"/>
                        <w:i/>
                        <w:szCs w:val="18"/>
                      </w:rPr>
                    </m:ctrlPr>
                  </m:sSubPr>
                  <m:e>
                    <m:r>
                      <w:rPr>
                        <w:rFonts w:ascii="Cambria Math" w:hAnsi="Cambria Math"/>
                        <w:szCs w:val="18"/>
                      </w:rPr>
                      <m:t>q</m:t>
                    </m:r>
                  </m:e>
                  <m:sub>
                    <m:r>
                      <w:rPr>
                        <w:rFonts w:ascii="Cambria Math" w:hAnsi="Cambria Math"/>
                        <w:szCs w:val="18"/>
                      </w:rPr>
                      <m:t>e</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q</m:t>
                    </m:r>
                  </m:e>
                  <m:sub>
                    <m:r>
                      <w:rPr>
                        <w:rFonts w:ascii="Cambria Math" w:hAnsi="Cambria Math"/>
                        <w:szCs w:val="18"/>
                      </w:rPr>
                      <m:t>L</m:t>
                    </m:r>
                  </m:sub>
                </m:sSub>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K</m:t>
                        </m:r>
                      </m:e>
                      <m:sub>
                        <m:r>
                          <w:rPr>
                            <w:rFonts w:ascii="Cambria Math" w:hAnsi="Cambria Math"/>
                            <w:szCs w:val="18"/>
                          </w:rPr>
                          <m:t>L</m:t>
                        </m:r>
                      </m:sub>
                    </m:sSub>
                    <m:sSub>
                      <m:sSubPr>
                        <m:ctrlPr>
                          <w:rPr>
                            <w:rFonts w:ascii="Cambria Math" w:hAnsi="Cambria Math"/>
                            <w:i/>
                            <w:szCs w:val="18"/>
                          </w:rPr>
                        </m:ctrlPr>
                      </m:sSubPr>
                      <m:e>
                        <m:r>
                          <w:rPr>
                            <w:rFonts w:ascii="Cambria Math" w:hAnsi="Cambria Math"/>
                            <w:szCs w:val="18"/>
                          </w:rPr>
                          <m:t>P</m:t>
                        </m:r>
                      </m:e>
                      <m:sub>
                        <m:sSub>
                          <m:sSubPr>
                            <m:ctrlPr>
                              <w:rPr>
                                <w:rFonts w:ascii="Cambria Math" w:hAnsi="Cambria Math"/>
                                <w:i/>
                                <w:szCs w:val="18"/>
                              </w:rPr>
                            </m:ctrlPr>
                          </m:sSubPr>
                          <m:e>
                            <m:r>
                              <w:rPr>
                                <w:rFonts w:ascii="Cambria Math" w:hAnsi="Cambria Math"/>
                                <w:szCs w:val="18"/>
                              </w:rPr>
                              <m:t>CO</m:t>
                            </m:r>
                          </m:e>
                          <m:sub>
                            <m:r>
                              <w:rPr>
                                <w:rFonts w:ascii="Cambria Math" w:hAnsi="Cambria Math"/>
                                <w:szCs w:val="18"/>
                              </w:rPr>
                              <m:t>2</m:t>
                            </m:r>
                          </m:sub>
                        </m:sSub>
                      </m:sub>
                    </m:sSub>
                  </m:num>
                  <m:den>
                    <m:r>
                      <w:rPr>
                        <w:rFonts w:ascii="Cambria Math" w:hAnsi="Cambria Math"/>
                        <w:szCs w:val="18"/>
                      </w:rPr>
                      <m:t>1+</m:t>
                    </m:r>
                    <m:sSub>
                      <m:sSubPr>
                        <m:ctrlPr>
                          <w:rPr>
                            <w:rFonts w:ascii="Cambria Math" w:hAnsi="Cambria Math"/>
                            <w:i/>
                            <w:szCs w:val="18"/>
                          </w:rPr>
                        </m:ctrlPr>
                      </m:sSubPr>
                      <m:e>
                        <m:r>
                          <w:rPr>
                            <w:rFonts w:ascii="Cambria Math" w:hAnsi="Cambria Math"/>
                            <w:szCs w:val="18"/>
                          </w:rPr>
                          <m:t>K</m:t>
                        </m:r>
                      </m:e>
                      <m:sub>
                        <m:r>
                          <w:rPr>
                            <w:rFonts w:ascii="Cambria Math" w:hAnsi="Cambria Math"/>
                            <w:szCs w:val="18"/>
                          </w:rPr>
                          <m:t>L</m:t>
                        </m:r>
                      </m:sub>
                    </m:sSub>
                    <m:sSub>
                      <m:sSubPr>
                        <m:ctrlPr>
                          <w:rPr>
                            <w:rFonts w:ascii="Cambria Math" w:hAnsi="Cambria Math"/>
                            <w:i/>
                            <w:szCs w:val="18"/>
                          </w:rPr>
                        </m:ctrlPr>
                      </m:sSubPr>
                      <m:e>
                        <m:r>
                          <w:rPr>
                            <w:rFonts w:ascii="Cambria Math" w:hAnsi="Cambria Math"/>
                            <w:szCs w:val="18"/>
                          </w:rPr>
                          <m:t>P</m:t>
                        </m:r>
                      </m:e>
                      <m:sub>
                        <m:sSub>
                          <m:sSubPr>
                            <m:ctrlPr>
                              <w:rPr>
                                <w:rFonts w:ascii="Cambria Math" w:hAnsi="Cambria Math"/>
                                <w:i/>
                                <w:szCs w:val="18"/>
                              </w:rPr>
                            </m:ctrlPr>
                          </m:sSubPr>
                          <m:e>
                            <m:r>
                              <w:rPr>
                                <w:rFonts w:ascii="Cambria Math" w:hAnsi="Cambria Math"/>
                                <w:szCs w:val="18"/>
                              </w:rPr>
                              <m:t>CO</m:t>
                            </m:r>
                          </m:e>
                          <m:sub>
                            <m:r>
                              <w:rPr>
                                <w:rFonts w:ascii="Cambria Math" w:hAnsi="Cambria Math"/>
                                <w:szCs w:val="18"/>
                              </w:rPr>
                              <m:t>2</m:t>
                            </m:r>
                          </m:sub>
                        </m:sSub>
                      </m:sub>
                    </m:sSub>
                  </m:den>
                </m:f>
              </m:oMath>
            </m:oMathPara>
          </w:p>
        </w:tc>
        <w:tc>
          <w:tcPr>
            <w:tcW w:w="815" w:type="dxa"/>
            <w:shd w:val="clear" w:color="auto" w:fill="auto"/>
            <w:vAlign w:val="center"/>
          </w:tcPr>
          <w:p w:rsidR="007A6D5F" w:rsidRPr="00B57B36" w:rsidRDefault="007A6D5F" w:rsidP="00851A18">
            <w:pPr>
              <w:pStyle w:val="CETEquation"/>
              <w:jc w:val="right"/>
            </w:pPr>
            <w:r w:rsidRPr="00B57B36">
              <w:t>(1)</w:t>
            </w:r>
          </w:p>
        </w:tc>
      </w:tr>
    </w:tbl>
    <w:p w:rsidR="00117471" w:rsidRDefault="00117471" w:rsidP="00117471">
      <w:pPr>
        <w:rPr>
          <w:szCs w:val="18"/>
          <w:lang w:val="en-US"/>
        </w:rPr>
      </w:pPr>
      <w:r w:rsidRPr="00117471">
        <w:rPr>
          <w:szCs w:val="18"/>
          <w:lang w:val="en-US"/>
        </w:rPr>
        <w:t>where q</w:t>
      </w:r>
      <w:r w:rsidRPr="00117471">
        <w:rPr>
          <w:szCs w:val="18"/>
          <w:vertAlign w:val="subscript"/>
          <w:lang w:val="en-US"/>
        </w:rPr>
        <w:t>e</w:t>
      </w:r>
      <w:r w:rsidRPr="00117471">
        <w:rPr>
          <w:szCs w:val="18"/>
          <w:lang w:val="en-US"/>
        </w:rPr>
        <w:t xml:space="preserve"> (mmol g</w:t>
      </w:r>
      <w:r w:rsidRPr="00117471">
        <w:rPr>
          <w:szCs w:val="18"/>
          <w:vertAlign w:val="superscript"/>
          <w:lang w:val="en-US"/>
        </w:rPr>
        <w:t>-1</w:t>
      </w:r>
      <w:r w:rsidRPr="00117471">
        <w:rPr>
          <w:szCs w:val="18"/>
          <w:lang w:val="en-US"/>
        </w:rPr>
        <w:t xml:space="preserve">) is the amount of </w:t>
      </w:r>
      <w:r w:rsidR="008869A5" w:rsidRPr="00D7150B">
        <w:rPr>
          <w:rFonts w:cs="Arial"/>
          <w:szCs w:val="18"/>
        </w:rPr>
        <w:t>CO</w:t>
      </w:r>
      <w:r w:rsidR="008869A5" w:rsidRPr="00D7150B">
        <w:rPr>
          <w:rFonts w:cs="Arial"/>
          <w:szCs w:val="18"/>
          <w:vertAlign w:val="subscript"/>
        </w:rPr>
        <w:t>2</w:t>
      </w:r>
      <w:r w:rsidRPr="00117471">
        <w:rPr>
          <w:rFonts w:cs="Arial"/>
          <w:szCs w:val="18"/>
          <w:lang w:val="en-US"/>
        </w:rPr>
        <w:t xml:space="preserve"> </w:t>
      </w:r>
      <w:r w:rsidRPr="00117471">
        <w:rPr>
          <w:szCs w:val="18"/>
          <w:lang w:val="en-US"/>
        </w:rPr>
        <w:t>adsorbed per mass of sorbent at equilibrium, q</w:t>
      </w:r>
      <w:r w:rsidRPr="00321847">
        <w:rPr>
          <w:szCs w:val="18"/>
          <w:vertAlign w:val="subscript"/>
          <w:lang w:val="en-US"/>
        </w:rPr>
        <w:t>L</w:t>
      </w:r>
      <w:r w:rsidRPr="00117471">
        <w:rPr>
          <w:szCs w:val="18"/>
          <w:lang w:val="en-US"/>
        </w:rPr>
        <w:t xml:space="preserve"> (mmol g</w:t>
      </w:r>
      <w:r w:rsidRPr="00321847">
        <w:rPr>
          <w:szCs w:val="18"/>
          <w:vertAlign w:val="superscript"/>
          <w:lang w:val="en-US"/>
        </w:rPr>
        <w:t>-1</w:t>
      </w:r>
      <w:r w:rsidRPr="00117471">
        <w:rPr>
          <w:szCs w:val="18"/>
          <w:lang w:val="en-US"/>
        </w:rPr>
        <w:t>) is the maximum monolayer adsorption capacity of the adsorbent, P</w:t>
      </w:r>
      <w:r w:rsidR="008869A5" w:rsidRPr="00D7150B">
        <w:rPr>
          <w:rFonts w:cs="Arial"/>
          <w:szCs w:val="18"/>
        </w:rPr>
        <w:t>CO</w:t>
      </w:r>
      <w:r w:rsidR="008869A5" w:rsidRPr="00D7150B">
        <w:rPr>
          <w:rFonts w:cs="Arial"/>
          <w:szCs w:val="18"/>
          <w:vertAlign w:val="subscript"/>
        </w:rPr>
        <w:t>2</w:t>
      </w:r>
      <w:r w:rsidRPr="00117471">
        <w:rPr>
          <w:szCs w:val="18"/>
          <w:lang w:val="en-US"/>
        </w:rPr>
        <w:t xml:space="preserve"> (atm) is the equilibrium pressure of the gas adsorbed, whilst K</w:t>
      </w:r>
      <w:r w:rsidRPr="00117471">
        <w:rPr>
          <w:szCs w:val="18"/>
          <w:vertAlign w:val="subscript"/>
          <w:lang w:val="en-US"/>
        </w:rPr>
        <w:t>L</w:t>
      </w:r>
      <w:r w:rsidRPr="00117471">
        <w:rPr>
          <w:szCs w:val="18"/>
          <w:lang w:val="en-US"/>
        </w:rPr>
        <w:t xml:space="preserve"> (atm</w:t>
      </w:r>
      <w:r w:rsidRPr="00117471">
        <w:rPr>
          <w:szCs w:val="18"/>
          <w:vertAlign w:val="superscript"/>
          <w:lang w:val="en-US"/>
        </w:rPr>
        <w:t>-1</w:t>
      </w:r>
      <w:r w:rsidRPr="00117471">
        <w:rPr>
          <w:szCs w:val="18"/>
          <w:lang w:val="en-US"/>
        </w:rPr>
        <w:t xml:space="preserve">) is the Langmuir adsorption constant or affinity constant. The Freundlich model is the first empirical equation to describe non-ideal multilayer adsorption onto heterogeneous surfaces </w:t>
      </w:r>
      <w:r w:rsidRPr="00117471">
        <w:rPr>
          <w:szCs w:val="18"/>
          <w:lang w:val="en-US"/>
        </w:rPr>
        <w:fldChar w:fldCharType="begin" w:fldLock="1"/>
      </w:r>
      <w:r w:rsidR="008869A5">
        <w:rPr>
          <w:szCs w:val="18"/>
          <w:lang w:val="en-US"/>
        </w:rPr>
        <w:instrText>ADDIN CSL_CITATION {"citationItems":[{"id":"ITEM-1","itemData":{"author":[{"dropping-particle":"","family":"Freundlich","given":"M.F.","non-dropping-particle":"","parse-names":false,"suffix":""}],"container-title":"The Journal of Physical Chemistry","id":"ITEM-1","issued":{"date-parts":[["1906"]]},"page":"355-471","title":"Over the adsorption in solution","type":"article-journal","volume":"57"},"uris":["http://www.mendeley.com/documents/?uuid=25d864a0-01ff-433d-8e9c-85c6ddcfc029"]}],"mendeley":{"formattedCitation":"(Freundlich, 1906)","plainTextFormattedCitation":"(Freundlich, 1906)","previouslyFormattedCitation":"(Freundlich, 1906)"},"properties":{"noteIndex":0},"schema":"https://github.com/citation-style-language/schema/raw/master/csl-citation.json"}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(Freundlich, 1906)</w:t>
      </w:r>
      <w:r w:rsidRPr="00117471">
        <w:rPr>
          <w:szCs w:val="18"/>
          <w:lang w:val="en-US"/>
        </w:rPr>
        <w:fldChar w:fldCharType="end"/>
      </w:r>
      <w:r w:rsidRPr="00117471">
        <w:rPr>
          <w:szCs w:val="18"/>
          <w:lang w:val="en-US"/>
        </w:rPr>
        <w:t xml:space="preserve"> and it assumes that the adsorption energy exponentially decreases as the number of available adsorption sites decreases. Its mathematical expression is </w:t>
      </w:r>
      <w:r w:rsidRPr="00117471">
        <w:rPr>
          <w:szCs w:val="18"/>
          <w:lang w:val="en-US"/>
        </w:rPr>
        <w:fldChar w:fldCharType="begin" w:fldLock="1"/>
      </w:r>
      <w:r w:rsidR="008869A5">
        <w:rPr>
          <w:szCs w:val="18"/>
          <w:lang w:val="en-US"/>
        </w:rPr>
        <w:instrText>ADDIN CSL_CITATION {"citationItems":[{"id":"ITEM-1","itemData":{"author":[{"dropping-particle":"","family":"Freundlich","given":"M.F.","non-dropping-particle":"","parse-names":false,"suffix":""}],"container-title":"The Journal of Physical Chemistry","id":"ITEM-1","issued":{"date-parts":[["1906"]]},"page":"355-471","title":"Over the adsorption in solution","type":"article-journal","volume":"57"},"uris":["http://www.mendeley.com/documents/?uuid=25d864a0-01ff-433d-8e9c-85c6ddcfc029"]}],"mendeley":{"formattedCitation":"(Freundlich, 1906)","plainTextFormattedCitation":"(Freundlich, 1906)","previouslyFormattedCitation":"(Freundlich, 1906)"},"properties":{"noteIndex":0},"schema":"https://github.com/citation-style-language/schema/raw/master/csl-citation.json"}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(Freundlich, 1906)</w:t>
      </w:r>
      <w:r w:rsidRPr="00117471">
        <w:rPr>
          <w:szCs w:val="18"/>
          <w:lang w:val="en-US"/>
        </w:rPr>
        <w:fldChar w:fldCharType="end"/>
      </w:r>
      <w:r w:rsidRPr="00117471">
        <w:rPr>
          <w:szCs w:val="18"/>
          <w:lang w:val="en-US"/>
        </w:rPr>
        <w:t>:</w:t>
      </w:r>
    </w:p>
    <w:tbl>
      <w:tblPr>
        <w:tblW w:w="5000" w:type="pct"/>
        <w:tblLook w:val="04A0" w:firstRow="1" w:lastRow="0" w:firstColumn="1" w:lastColumn="0" w:noHBand="0" w:noVBand="1"/>
      </w:tblPr>
      <w:tblGrid>
        <w:gridCol w:w="7983"/>
        <w:gridCol w:w="804"/>
      </w:tblGrid>
      <w:tr w:rsidR="00E551DA" w:rsidRPr="00B57B36" w:rsidTr="00851A18">
        <w:tc>
          <w:tcPr>
            <w:tcW w:w="8188" w:type="dxa"/>
            <w:shd w:val="clear" w:color="auto" w:fill="auto"/>
            <w:vAlign w:val="center"/>
          </w:tcPr>
          <w:p w:rsidR="00E551DA" w:rsidRPr="007A6D5F" w:rsidRDefault="006A54C6" w:rsidP="00851A18">
            <w:pPr>
              <w:pStyle w:val="CETEquation"/>
            </w:pPr>
            <m:oMathPara>
              <m:oMathParaPr>
                <m:jc m:val="left"/>
              </m:oMathParaPr>
              <m:oMath>
                <m:sSub>
                  <m:sSubPr>
                    <m:ctrlPr>
                      <w:rPr>
                        <w:rFonts w:ascii="Cambria Math" w:hAnsi="Cambria Math"/>
                        <w:i/>
                        <w:szCs w:val="18"/>
                      </w:rPr>
                    </m:ctrlPr>
                  </m:sSubPr>
                  <m:e>
                    <m:r>
                      <w:rPr>
                        <w:rFonts w:ascii="Cambria Math" w:hAnsi="Cambria Math"/>
                        <w:szCs w:val="18"/>
                      </w:rPr>
                      <m:t>q</m:t>
                    </m:r>
                  </m:e>
                  <m:sub>
                    <m:r>
                      <w:rPr>
                        <w:rFonts w:ascii="Cambria Math" w:hAnsi="Cambria Math"/>
                        <w:szCs w:val="18"/>
                      </w:rPr>
                      <m:t>e</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K</m:t>
                    </m:r>
                  </m:e>
                  <m:sub>
                    <m:r>
                      <w:rPr>
                        <w:rFonts w:ascii="Cambria Math" w:hAnsi="Cambria Math"/>
                        <w:szCs w:val="18"/>
                      </w:rPr>
                      <m:t>F</m:t>
                    </m:r>
                  </m:sub>
                </m:sSub>
                <m:sSup>
                  <m:sSupPr>
                    <m:ctrlPr>
                      <w:rPr>
                        <w:rFonts w:ascii="Cambria Math" w:hAnsi="Cambria Math"/>
                        <w:i/>
                        <w:szCs w:val="18"/>
                      </w:rPr>
                    </m:ctrlPr>
                  </m:sSupPr>
                  <m:e>
                    <m:sSub>
                      <m:sSubPr>
                        <m:ctrlPr>
                          <w:rPr>
                            <w:rFonts w:ascii="Cambria Math" w:hAnsi="Cambria Math"/>
                            <w:i/>
                            <w:szCs w:val="18"/>
                          </w:rPr>
                        </m:ctrlPr>
                      </m:sSubPr>
                      <m:e>
                        <m:r>
                          <w:rPr>
                            <w:rFonts w:ascii="Cambria Math" w:hAnsi="Cambria Math"/>
                            <w:szCs w:val="18"/>
                          </w:rPr>
                          <m:t>P</m:t>
                        </m:r>
                      </m:e>
                      <m:sub>
                        <m:sSub>
                          <m:sSubPr>
                            <m:ctrlPr>
                              <w:rPr>
                                <w:rFonts w:ascii="Cambria Math" w:hAnsi="Cambria Math"/>
                                <w:i/>
                                <w:szCs w:val="18"/>
                              </w:rPr>
                            </m:ctrlPr>
                          </m:sSubPr>
                          <m:e>
                            <m:r>
                              <w:rPr>
                                <w:rFonts w:ascii="Cambria Math" w:hAnsi="Cambria Math"/>
                                <w:szCs w:val="18"/>
                              </w:rPr>
                              <m:t>CO</m:t>
                            </m:r>
                          </m:e>
                          <m:sub>
                            <m:r>
                              <w:rPr>
                                <w:rFonts w:ascii="Cambria Math" w:hAnsi="Cambria Math"/>
                                <w:szCs w:val="18"/>
                              </w:rPr>
                              <m:t>2</m:t>
                            </m:r>
                          </m:sub>
                        </m:sSub>
                      </m:sub>
                    </m:sSub>
                  </m:e>
                  <m:sup>
                    <m:f>
                      <m:fPr>
                        <m:type m:val="skw"/>
                        <m:ctrlPr>
                          <w:rPr>
                            <w:rFonts w:ascii="Cambria Math" w:hAnsi="Cambria Math"/>
                            <w:i/>
                            <w:szCs w:val="18"/>
                          </w:rPr>
                        </m:ctrlPr>
                      </m:fPr>
                      <m:num>
                        <m:r>
                          <w:rPr>
                            <w:rFonts w:ascii="Cambria Math" w:hAnsi="Cambria Math"/>
                            <w:szCs w:val="18"/>
                          </w:rPr>
                          <m:t>1</m:t>
                        </m:r>
                      </m:num>
                      <m:den>
                        <m:r>
                          <w:rPr>
                            <w:rFonts w:ascii="Cambria Math" w:hAnsi="Cambria Math"/>
                            <w:szCs w:val="18"/>
                          </w:rPr>
                          <m:t>n</m:t>
                        </m:r>
                      </m:den>
                    </m:f>
                  </m:sup>
                </m:sSup>
              </m:oMath>
            </m:oMathPara>
          </w:p>
        </w:tc>
        <w:tc>
          <w:tcPr>
            <w:tcW w:w="815" w:type="dxa"/>
            <w:shd w:val="clear" w:color="auto" w:fill="auto"/>
            <w:vAlign w:val="center"/>
          </w:tcPr>
          <w:p w:rsidR="00E551DA" w:rsidRPr="00B57B36" w:rsidRDefault="00E551DA" w:rsidP="00E551DA">
            <w:pPr>
              <w:pStyle w:val="CETEquation"/>
              <w:jc w:val="right"/>
            </w:pPr>
            <w:r w:rsidRPr="00B57B36">
              <w:t>(</w:t>
            </w:r>
            <w:r>
              <w:t>2</w:t>
            </w:r>
            <w:r w:rsidRPr="00B57B36">
              <w:t>)</w:t>
            </w:r>
          </w:p>
        </w:tc>
      </w:tr>
    </w:tbl>
    <w:p w:rsidR="00117471" w:rsidRPr="00117471" w:rsidRDefault="00117471" w:rsidP="00117471">
      <w:pPr>
        <w:rPr>
          <w:b/>
          <w:szCs w:val="18"/>
          <w:lang w:val="en-US"/>
        </w:rPr>
      </w:pPr>
      <w:r w:rsidRPr="00117471">
        <w:rPr>
          <w:szCs w:val="18"/>
          <w:lang w:val="en-US"/>
        </w:rPr>
        <w:t>where K</w:t>
      </w:r>
      <w:r w:rsidRPr="00117471">
        <w:rPr>
          <w:szCs w:val="18"/>
          <w:vertAlign w:val="subscript"/>
          <w:lang w:val="en-US"/>
        </w:rPr>
        <w:t>F</w:t>
      </w:r>
      <w:r w:rsidRPr="00117471">
        <w:rPr>
          <w:szCs w:val="18"/>
          <w:lang w:val="en-US"/>
        </w:rPr>
        <w:t xml:space="preserve"> is the Freundlich isotherm constant (mmol g</w:t>
      </w:r>
      <w:r w:rsidRPr="00117471">
        <w:rPr>
          <w:szCs w:val="18"/>
          <w:vertAlign w:val="superscript"/>
          <w:lang w:val="en-US"/>
        </w:rPr>
        <w:t>-1</w:t>
      </w:r>
      <w:r w:rsidRPr="00117471">
        <w:rPr>
          <w:szCs w:val="18"/>
          <w:lang w:val="en-US"/>
        </w:rPr>
        <w:t xml:space="preserve"> atm</w:t>
      </w:r>
      <w:r w:rsidRPr="00117471">
        <w:rPr>
          <w:szCs w:val="18"/>
          <w:vertAlign w:val="superscript"/>
          <w:lang w:val="en-US"/>
        </w:rPr>
        <w:t>-1/n</w:t>
      </w:r>
      <w:r w:rsidRPr="00117471">
        <w:rPr>
          <w:szCs w:val="18"/>
          <w:lang w:val="en-US"/>
        </w:rPr>
        <w:t xml:space="preserve">) and n is the heterogeneity factor (Freundlich coefficient). The ratio 1/n is the Freundlich intensity parameter and it is a measure of the adsorbate/adsorbent binding energy and surface heterogeneity </w:t>
      </w:r>
      <w:r w:rsidRPr="00117471">
        <w:rPr>
          <w:szCs w:val="18"/>
          <w:lang w:val="en-US"/>
        </w:rPr>
        <w:fldChar w:fldCharType="begin" w:fldLock="1"/>
      </w:r>
      <w:r w:rsidR="008869A5">
        <w:rPr>
          <w:szCs w:val="18"/>
          <w:lang w:val="en-US"/>
        </w:rPr>
        <w:instrText>ADDIN CSL_CITATION {"citationItems":[{"id":"ITEM-1","itemData":{"author":[{"dropping-particle":"","family":"Freundlich","given":"M.F.","non-dropping-particle":"","parse-names":false,"suffix":""}],"container-title":"The Journal of Physical Chemistry","id":"ITEM-1","issued":{"date-parts":[["1906"]]},"page":"355-471","title":"Over the adsorption in solution","type":"article-journal","volume":"57"},"uris":["http://www.mendeley.com/documents/?uuid=25d864a0-01ff-433d-8e9c-85c6ddcfc029"]}],"mendeley":{"formattedCitation":"(Freundlich, 1906)","plainTextFormattedCitation":"(Freundlich, 1906)","previouslyFormattedCitation":"(Freundlich, 1906)"},"properties":{"noteIndex":0},"schema":"https://github.com/citation-style-language/schema/raw/master/csl-citation.json"}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(Freundlich, 1906)</w:t>
      </w:r>
      <w:r w:rsidRPr="00117471">
        <w:rPr>
          <w:szCs w:val="18"/>
          <w:lang w:val="en-US"/>
        </w:rPr>
        <w:fldChar w:fldCharType="end"/>
      </w:r>
      <w:r w:rsidRPr="00117471">
        <w:rPr>
          <w:szCs w:val="18"/>
          <w:lang w:val="en-US"/>
        </w:rPr>
        <w:t xml:space="preserve">. Moreover, the magnitude of 1/n gives insight on whether the process is favorable or not, the adsorption being favorable at 1/n &lt; 1 </w:t>
      </w:r>
      <w:r w:rsidRPr="00117471">
        <w:rPr>
          <w:szCs w:val="18"/>
          <w:lang w:val="en-US"/>
        </w:rPr>
        <w:fldChar w:fldCharType="begin" w:fldLock="1"/>
      </w:r>
      <w:r w:rsidR="008869A5">
        <w:rPr>
          <w:szCs w:val="18"/>
          <w:lang w:val="en-US"/>
        </w:rPr>
        <w:instrText>ADDIN CSL_CITATION {"citationItems":[{"id":"ITEM-1","itemData":{"author":[{"dropping-particle":"","family":"Freundlich","given":"M.F.","non-dropping-particle":"","parse-names":false,"suffix":""}],"container-title":"The Journal of Physical Chemistry","id":"ITEM-1","issued":{"date-parts":[["1906"]]},"page":"355-471","title":"Over the adsorption in solution","type":"article-journal","volume":"57"},"uris":["http://www.mendeley.com/documents/?uuid=25d864a0-01ff-433d-8e9c-85c6ddcfc029"]}],"mendeley":{"formattedCitation":"(Freundlich, 1906)","plainTextFormattedCitation":"(Freundlich, 1906)","previouslyFormattedCitation":"(Freundlich, 1906)"},"properties":{"noteIndex":0},"schema":"https://github.com/citation-style-language/schema/raw/master/csl-citation.json"}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(Freundlich, 1906)</w:t>
      </w:r>
      <w:r w:rsidRPr="00117471">
        <w:rPr>
          <w:szCs w:val="18"/>
          <w:lang w:val="en-US"/>
        </w:rPr>
        <w:fldChar w:fldCharType="end"/>
      </w:r>
      <w:r w:rsidRPr="00117471">
        <w:rPr>
          <w:szCs w:val="18"/>
          <w:lang w:val="en-US"/>
        </w:rPr>
        <w:t>.</w:t>
      </w:r>
      <w:r w:rsidR="00BD3EF1">
        <w:rPr>
          <w:szCs w:val="18"/>
          <w:lang w:val="en-US"/>
        </w:rPr>
        <w:t xml:space="preserve"> </w:t>
      </w:r>
      <w:r w:rsidRPr="00117471">
        <w:rPr>
          <w:szCs w:val="18"/>
          <w:lang w:val="en-US"/>
        </w:rPr>
        <w:t>The quality of the isotherm fit by Lamgmuir and Frenundlich models to experimental data has been assessed by evaluating the coefficient of correlation, R</w:t>
      </w:r>
      <w:r w:rsidRPr="00117471">
        <w:rPr>
          <w:szCs w:val="18"/>
          <w:vertAlign w:val="superscript"/>
          <w:lang w:val="en-US"/>
        </w:rPr>
        <w:t>2</w:t>
      </w:r>
      <w:r w:rsidRPr="00117471">
        <w:rPr>
          <w:szCs w:val="18"/>
          <w:lang w:val="en-US"/>
        </w:rPr>
        <w:t xml:space="preserve">, and the HYBRID error function </w:t>
      </w:r>
      <w:r w:rsidRPr="00117471">
        <w:rPr>
          <w:szCs w:val="18"/>
          <w:lang w:val="en-US"/>
        </w:rPr>
        <w:fldChar w:fldCharType="begin" w:fldLock="1"/>
      </w:r>
      <w:r w:rsidR="008869A5">
        <w:rPr>
          <w:szCs w:val="18"/>
          <w:lang w:val="en-US"/>
        </w:rPr>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(Raganati et al., 2018)</w:t>
      </w:r>
      <w:r w:rsidRPr="00117471">
        <w:rPr>
          <w:szCs w:val="18"/>
          <w:lang w:val="en-US"/>
        </w:rPr>
        <w:fldChar w:fldCharType="end"/>
      </w:r>
      <w:r w:rsidRPr="00117471">
        <w:rPr>
          <w:szCs w:val="18"/>
          <w:lang w:val="en-US"/>
        </w:rPr>
        <w:t>.</w:t>
      </w:r>
      <w:r w:rsidR="00BD3EF1">
        <w:rPr>
          <w:szCs w:val="18"/>
          <w:lang w:val="en-US"/>
        </w:rPr>
        <w:t xml:space="preserve"> </w:t>
      </w:r>
      <w:r w:rsidRPr="00117471">
        <w:rPr>
          <w:szCs w:val="18"/>
          <w:lang w:val="en-US"/>
        </w:rPr>
        <w:t>The most important thermodynamic parameters, i.e. the standard Gibbs free energy change (ΔG</w:t>
      </w:r>
      <w:r w:rsidRPr="00117471">
        <w:rPr>
          <w:szCs w:val="18"/>
          <w:vertAlign w:val="superscript"/>
          <w:lang w:val="en-US"/>
        </w:rPr>
        <w:t>0</w:t>
      </w:r>
      <w:r w:rsidRPr="00117471">
        <w:rPr>
          <w:szCs w:val="18"/>
          <w:lang w:val="en-US"/>
        </w:rPr>
        <w:t>, kJ mol</w:t>
      </w:r>
      <w:r w:rsidRPr="00117471">
        <w:rPr>
          <w:szCs w:val="18"/>
          <w:vertAlign w:val="superscript"/>
          <w:lang w:val="en-US"/>
        </w:rPr>
        <w:t>-1</w:t>
      </w:r>
      <w:r w:rsidRPr="00117471">
        <w:rPr>
          <w:szCs w:val="18"/>
          <w:lang w:val="en-US"/>
        </w:rPr>
        <w:t>), the enthalpy change (ΔH</w:t>
      </w:r>
      <w:r w:rsidRPr="00117471">
        <w:rPr>
          <w:szCs w:val="18"/>
          <w:vertAlign w:val="superscript"/>
          <w:lang w:val="en-US"/>
        </w:rPr>
        <w:t>0</w:t>
      </w:r>
      <w:r w:rsidRPr="00117471">
        <w:rPr>
          <w:szCs w:val="18"/>
          <w:lang w:val="en-US"/>
        </w:rPr>
        <w:t>, kJ mol</w:t>
      </w:r>
      <w:r w:rsidRPr="00117471">
        <w:rPr>
          <w:szCs w:val="18"/>
          <w:vertAlign w:val="superscript"/>
          <w:lang w:val="en-US"/>
        </w:rPr>
        <w:t>-1</w:t>
      </w:r>
      <w:r w:rsidRPr="00117471">
        <w:rPr>
          <w:szCs w:val="18"/>
          <w:lang w:val="en-US"/>
        </w:rPr>
        <w:t>), and the entropy change (ΔS</w:t>
      </w:r>
      <w:r w:rsidRPr="00117471">
        <w:rPr>
          <w:szCs w:val="18"/>
          <w:vertAlign w:val="superscript"/>
          <w:lang w:val="en-US"/>
        </w:rPr>
        <w:t>0</w:t>
      </w:r>
      <w:r w:rsidRPr="00117471">
        <w:rPr>
          <w:szCs w:val="18"/>
          <w:lang w:val="en-US"/>
        </w:rPr>
        <w:t>, kJ mol</w:t>
      </w:r>
      <w:r w:rsidRPr="00117471">
        <w:rPr>
          <w:szCs w:val="18"/>
          <w:vertAlign w:val="superscript"/>
          <w:lang w:val="en-US"/>
        </w:rPr>
        <w:t>-1</w:t>
      </w:r>
      <w:r w:rsidRPr="00117471">
        <w:rPr>
          <w:szCs w:val="18"/>
          <w:lang w:val="en-US"/>
        </w:rPr>
        <w:t xml:space="preserve">), have been evaluated by combining the thermodynamic laws with the experimental data obtained from the Langmuir isotherms and by applying the van’t Hoff equation, in order to obtain information on the nature of the adsorbent-adsorbate interactions and on the energetic heterogeneity of the solid surface </w:t>
      </w:r>
      <w:r w:rsidRPr="00117471">
        <w:rPr>
          <w:szCs w:val="18"/>
          <w:lang w:val="en-US"/>
        </w:rPr>
        <w:fldChar w:fldCharType="begin" w:fldLock="1"/>
      </w:r>
      <w:r w:rsidR="008869A5">
        <w:rPr>
          <w:szCs w:val="18"/>
          <w:lang w:val="en-US"/>
        </w:rPr>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(Raganati et al., 2018)</w:t>
      </w:r>
      <w:r w:rsidRPr="00117471">
        <w:rPr>
          <w:szCs w:val="18"/>
          <w:lang w:val="en-US"/>
        </w:rPr>
        <w:fldChar w:fldCharType="end"/>
      </w:r>
      <w:r w:rsidRPr="00117471">
        <w:rPr>
          <w:szCs w:val="18"/>
          <w:lang w:val="en-US"/>
        </w:rPr>
        <w:t>. Also the isosteric heat of adsorption (Q</w:t>
      </w:r>
      <w:r w:rsidRPr="00117471">
        <w:rPr>
          <w:szCs w:val="18"/>
          <w:vertAlign w:val="subscript"/>
          <w:lang w:val="en-US"/>
        </w:rPr>
        <w:t>st</w:t>
      </w:r>
      <w:r w:rsidRPr="00117471">
        <w:rPr>
          <w:szCs w:val="18"/>
          <w:lang w:val="en-US"/>
        </w:rPr>
        <w:t xml:space="preserve">), defined as the heat of adsorption at constant amount of adsorbed adsorbate, has been evaluated since it can provide an estimation of the strength of molecular-scale interactions between the adsorbate molecules and the adsorbent surface </w:t>
      </w:r>
      <w:r w:rsidRPr="00117471">
        <w:rPr>
          <w:szCs w:val="18"/>
          <w:lang w:val="en-US"/>
        </w:rPr>
        <w:fldChar w:fldCharType="begin" w:fldLock="1"/>
      </w:r>
      <w:r w:rsidR="008869A5">
        <w:rPr>
          <w:szCs w:val="18"/>
          <w:lang w:val="en-US"/>
        </w:rPr>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(Raganati et al., 2018)</w:t>
      </w:r>
      <w:r w:rsidRPr="00117471">
        <w:rPr>
          <w:szCs w:val="18"/>
          <w:lang w:val="en-US"/>
        </w:rPr>
        <w:fldChar w:fldCharType="end"/>
      </w:r>
      <w:r w:rsidRPr="00117471">
        <w:rPr>
          <w:szCs w:val="18"/>
          <w:lang w:val="en-US"/>
        </w:rPr>
        <w:t>. Q</w:t>
      </w:r>
      <w:r w:rsidRPr="00117471">
        <w:rPr>
          <w:szCs w:val="18"/>
          <w:vertAlign w:val="subscript"/>
          <w:lang w:val="en-US"/>
        </w:rPr>
        <w:t>st</w:t>
      </w:r>
      <w:r w:rsidRPr="00117471">
        <w:rPr>
          <w:szCs w:val="18"/>
          <w:lang w:val="en-US"/>
        </w:rPr>
        <w:t xml:space="preserve"> (kJ mol</w:t>
      </w:r>
      <w:r w:rsidRPr="00321847">
        <w:rPr>
          <w:szCs w:val="18"/>
          <w:vertAlign w:val="superscript"/>
          <w:lang w:val="en-US"/>
        </w:rPr>
        <w:t>-1</w:t>
      </w:r>
      <w:r w:rsidRPr="00117471">
        <w:rPr>
          <w:szCs w:val="18"/>
          <w:lang w:val="en-US"/>
        </w:rPr>
        <w:t>) at a given q</w:t>
      </w:r>
      <w:r w:rsidRPr="00117471">
        <w:rPr>
          <w:szCs w:val="18"/>
          <w:vertAlign w:val="subscript"/>
          <w:lang w:val="en-US"/>
        </w:rPr>
        <w:t>e</w:t>
      </w:r>
      <w:r w:rsidRPr="00117471">
        <w:rPr>
          <w:szCs w:val="18"/>
          <w:lang w:val="en-US"/>
        </w:rPr>
        <w:t xml:space="preserve"> can be calculated, after integrating the Clausius–</w:t>
      </w:r>
      <w:r w:rsidRPr="00117471">
        <w:rPr>
          <w:szCs w:val="18"/>
          <w:lang w:val="en-US"/>
        </w:rPr>
        <w:lastRenderedPageBreak/>
        <w:t>Clapeyron equation, from the slopes of the plot of lnP</w:t>
      </w:r>
      <w:r w:rsidR="008869A5" w:rsidRPr="00FB203F">
        <w:rPr>
          <w:rFonts w:cs="Arial"/>
          <w:szCs w:val="18"/>
          <w:vertAlign w:val="subscript"/>
        </w:rPr>
        <w:t>CO</w:t>
      </w:r>
      <w:r w:rsidR="008869A5" w:rsidRPr="00FB203F">
        <w:rPr>
          <w:rFonts w:cs="Arial"/>
          <w:sz w:val="14"/>
          <w:szCs w:val="18"/>
          <w:vertAlign w:val="subscript"/>
        </w:rPr>
        <w:t>2</w:t>
      </w:r>
      <w:r w:rsidRPr="00117471">
        <w:rPr>
          <w:szCs w:val="18"/>
          <w:lang w:val="en-US"/>
        </w:rPr>
        <w:t xml:space="preserve"> against 1/T at a fixed specified adsorbed amount of</w:t>
      </w:r>
      <w:r w:rsidRPr="00117471">
        <w:rPr>
          <w:rFonts w:cs="Arial"/>
          <w:szCs w:val="18"/>
          <w:lang w:val="en-US"/>
        </w:rPr>
        <w:t xml:space="preserve"> </w:t>
      </w:r>
      <w:r w:rsidR="008869A5" w:rsidRPr="00D7150B">
        <w:rPr>
          <w:rFonts w:cs="Arial"/>
          <w:szCs w:val="18"/>
        </w:rPr>
        <w:t>CO</w:t>
      </w:r>
      <w:r w:rsidR="008869A5" w:rsidRPr="00D7150B">
        <w:rPr>
          <w:rFonts w:cs="Arial"/>
          <w:szCs w:val="18"/>
          <w:vertAlign w:val="subscript"/>
        </w:rPr>
        <w:t>2</w:t>
      </w:r>
      <w:r w:rsidRPr="00117471">
        <w:rPr>
          <w:rFonts w:cs="Arial"/>
          <w:szCs w:val="18"/>
          <w:lang w:val="en-US"/>
        </w:rPr>
        <w:t xml:space="preserve"> </w:t>
      </w:r>
      <w:r w:rsidRPr="00117471">
        <w:rPr>
          <w:szCs w:val="18"/>
          <w:lang w:val="en-US"/>
        </w:rPr>
        <w:fldChar w:fldCharType="begin" w:fldLock="1"/>
      </w:r>
      <w:r w:rsidR="008869A5">
        <w:rPr>
          <w:szCs w:val="18"/>
          <w:lang w:val="en-US"/>
        </w:rPr>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(Raganati et al., 2018)</w:t>
      </w:r>
      <w:r w:rsidRPr="00117471">
        <w:rPr>
          <w:szCs w:val="18"/>
          <w:lang w:val="en-US"/>
        </w:rPr>
        <w:fldChar w:fldCharType="end"/>
      </w:r>
      <w:r w:rsidRPr="00117471">
        <w:rPr>
          <w:snapToGrid w:val="0"/>
          <w:szCs w:val="18"/>
          <w:lang w:val="en-US"/>
        </w:rPr>
        <w:t>.</w:t>
      </w:r>
    </w:p>
    <w:p w:rsidR="00117471" w:rsidRDefault="00117471" w:rsidP="00117471">
      <w:pPr>
        <w:rPr>
          <w:szCs w:val="18"/>
          <w:lang w:val="en-US"/>
        </w:rPr>
      </w:pPr>
      <w:r w:rsidRPr="00117471">
        <w:rPr>
          <w:rFonts w:cs="Arial"/>
          <w:i/>
          <w:szCs w:val="18"/>
          <w:u w:val="single"/>
          <w:lang w:val="en-US"/>
        </w:rPr>
        <w:t>Adsorption kinetics:</w:t>
      </w:r>
      <w:r w:rsidRPr="00117471">
        <w:rPr>
          <w:rFonts w:cs="Arial"/>
          <w:szCs w:val="18"/>
          <w:lang w:val="en-US"/>
        </w:rPr>
        <w:t xml:space="preserve"> </w:t>
      </w:r>
      <w:r w:rsidRPr="00117471">
        <w:rPr>
          <w:szCs w:val="18"/>
          <w:lang w:val="en-US"/>
        </w:rPr>
        <w:t xml:space="preserve">Among the kinetic models available in the literature, pseudo-first order and pseudo-second order models are the simplest and most extensively used ones </w:t>
      </w:r>
      <w:r w:rsidRPr="00117471">
        <w:rPr>
          <w:szCs w:val="18"/>
          <w:lang w:val="en-US"/>
        </w:rPr>
        <w:fldChar w:fldCharType="begin" w:fldLock="1"/>
      </w:r>
      <w:r w:rsidR="008869A5">
        <w:rPr>
          <w:szCs w:val="18"/>
          <w:lang w:val="en-US"/>
        </w:rPr>
        <w:instrText>ADDIN CSL_CITATION {"citationItems":[{"id":"ITEM-1","itemData":{"DOI":"10.1016/j.cej.2014.06.091","ISSN":"13858947","abstract":"CO 2 adsorption kinetic study on pore-expanded mesoporous silica (MCM-41) material. Kinetic modeling under wide range of pressure and temperature conditions. Detailed kinetic analysis is carried out to predict kinetic behavior of CO 2 uptake. Highlighted individual mechanistic steps that control the diffusion of CO 2 uptake. g r a p h i c a l a b s t r a c t CO 2 adsorption kinetics Pseudo first order and second order model Interparticle diffusion Intraparticle diffusion Boyds model a b s t r a c t Adsorption kinetics is a critical parameter to assess the performance of an adsorbent. Therefore, from a practical standpoint, it is important to characterize the rate-controlling steps associated with an adsorp-tion process. More recently, our research group synthesized a pore-expanded MCM-41 (MCM-41) for CO 2 capture application. In the current work, kinetic measurements of pure CO 2 on MCM-41 at four different temperatures (30, 45, 60, and 75 °C) are performed under wide pressure regime (0.2–11) bar. The exper-imental data of CO 2 uptake as a function of time at different pressure and temperature conditions are analyzed by both pseudo-first order and the pseudo-second order kinetic models. The type of interaction between CO 2 and MCM-41 as well as adsorption rate behavior of CO 2 on MCM-41 is deduced from the best fitted model. To further investigate the mechanism of CO 2 adsorption on MCM-41, interparticle diffusion, intraparticle diffusion and Boyd's models are also selected. The CO 2 diffusion mechanism in MCM-41 is elucidated based on the information derived from all the three models. Film diffusion mainly governed the rate-controlling process of CO 2 uptake on MCM-41 at low pressure and low temperature conditions. Interestingly, it is also interpreted that pore diffusion becomes more prominent at higher pressure and higher temperature conditions.","author":[{"dropping-particle":"","family":"Loganathan","given":"Sravanthi","non-dropping-particle":"","parse-names":false,"suffix":""},{"dropping-particle":"","family":"Tikmani","given":"Mayur","non-dropping-particle":"","parse-names":false,"suffix":""},{"dropping-particle":"","family":"Edubilli","given":"Satyannarayana","non-dropping-particle":"","parse-names":false,"suffix":""},{"dropping-particle":"","family":"Mishra","given":"Aakanksha","non-dropping-particle":"","parse-names":false,"suffix":""},{"dropping-particle":"","family":"Ghoshal","given":"Aloke Kumar","non-dropping-particle":"","parse-names":false,"suffix":""}],"container-title":"Chemical Engineering Journal","id":"ITEM-1","issued":{"date-parts":[["2014","11"]]},"page":"1-8","title":"CO2 adsorption kinetics on mesoporous silica under wide range of pressure and temperature","type":"article-journal","volume":"256"},"uris":["http://www.mendeley.com/documents/?uuid=4b09696d-41ec-347c-88ed-35be22da2f13"]}],"mendeley":{"formattedCitation":"(Loganathan et al., 2014)","plainTextFormattedCitation":"(Loganathan et al., 2014)","previouslyFormattedCitation":"(Loganathan et al., 2014)"},"properties":{"noteIndex":0},"schema":"https://github.com/citation-style-language/schema/raw/master/csl-citation.json"}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(Loganathan et al., 2014)</w:t>
      </w:r>
      <w:r w:rsidRPr="00117471">
        <w:rPr>
          <w:szCs w:val="18"/>
          <w:lang w:val="en-US"/>
        </w:rPr>
        <w:fldChar w:fldCharType="end"/>
      </w:r>
      <w:r w:rsidRPr="00117471">
        <w:rPr>
          <w:szCs w:val="18"/>
          <w:lang w:val="en-US"/>
        </w:rPr>
        <w:t xml:space="preserve">. The mathematical expression pseudo-first order kinetic model is given by </w:t>
      </w:r>
      <w:r w:rsidRPr="00117471">
        <w:rPr>
          <w:szCs w:val="18"/>
          <w:lang w:val="en-US"/>
        </w:rPr>
        <w:fldChar w:fldCharType="begin" w:fldLock="1"/>
      </w:r>
      <w:r w:rsidR="008869A5">
        <w:rPr>
          <w:szCs w:val="18"/>
          <w:lang w:val="en-US"/>
        </w:rPr>
        <w:instrText>ADDIN CSL_CITATION {"citationItems":[{"id":"ITEM-1","itemData":{"DOI":"10.1016/j.cej.2014.06.091","ISSN":"13858947","abstract":"CO 2 adsorption kinetic study on pore-expanded mesoporous silica (MCM-41) material. Kinetic modeling under wide range of pressure and temperature conditions. Detailed kinetic analysis is carried out to predict kinetic behavior of CO 2 uptake. Highlighted individual mechanistic steps that control the diffusion of CO 2 uptake. g r a p h i c a l a b s t r a c t CO 2 adsorption kinetics Pseudo first order and second order model Interparticle diffusion Intraparticle diffusion Boyds model a b s t r a c t Adsorption kinetics is a critical parameter to assess the performance of an adsorbent. Therefore, from a practical standpoint, it is important to characterize the rate-controlling steps associated with an adsorp-tion process. More recently, our research group synthesized a pore-expanded MCM-41 (MCM-41) for CO 2 capture application. In the current work, kinetic measurements of pure CO 2 on MCM-41 at four different temperatures (30, 45, 60, and 75 °C) are performed under wide pressure regime (0.2–11) bar. The exper-imental data of CO 2 uptake as a function of time at different pressure and temperature conditions are analyzed by both pseudo-first order and the pseudo-second order kinetic models. The type of interaction between CO 2 and MCM-41 as well as adsorption rate behavior of CO 2 on MCM-41 is deduced from the best fitted model. To further investigate the mechanism of CO 2 adsorption on MCM-41, interparticle diffusion, intraparticle diffusion and Boyd's models are also selected. The CO 2 diffusion mechanism in MCM-41 is elucidated based on the information derived from all the three models. Film diffusion mainly governed the rate-controlling process of CO 2 uptake on MCM-41 at low pressure and low temperature conditions. Interestingly, it is also interpreted that pore diffusion becomes more prominent at higher pressure and higher temperature conditions.","author":[{"dropping-particle":"","family":"Loganathan","given":"Sravanthi","non-dropping-particle":"","parse-names":false,"suffix":""},{"dropping-particle":"","family":"Tikmani","given":"Mayur","non-dropping-particle":"","parse-names":false,"suffix":""},{"dropping-particle":"","family":"Edubilli","given":"Satyannarayana","non-dropping-particle":"","parse-names":false,"suffix":""},{"dropping-particle":"","family":"Mishra","given":"Aakanksha","non-dropping-particle":"","parse-names":false,"suffix":""},{"dropping-particle":"","family":"Ghoshal","given":"Aloke Kumar","non-dropping-particle":"","parse-names":false,"suffix":""}],"container-title":"Chemical Engineering Journal","id":"ITEM-1","issued":{"date-parts":[["2014","11"]]},"page":"1-8","title":"CO2 adsorption kinetics on mesoporous silica under wide range of pressure and temperature","type":"article-journal","volume":"256"},"uris":["http://www.mendeley.com/documents/?uuid=4b09696d-41ec-347c-88ed-35be22da2f13"]}],"mendeley":{"formattedCitation":"(Loganathan et al., 2014)","plainTextFormattedCitation":"(Loganathan et al., 2014)","previouslyFormattedCitation":"(Loganathan et al., 2014)"},"properties":{"noteIndex":0},"schema":"https://github.com/citation-style-language/schema/raw/master/csl-citation.json"}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(Loganathan et al., 2014)</w:t>
      </w:r>
      <w:r w:rsidRPr="00117471">
        <w:rPr>
          <w:szCs w:val="18"/>
          <w:lang w:val="en-US"/>
        </w:rPr>
        <w:fldChar w:fldCharType="end"/>
      </w:r>
      <w:r w:rsidRPr="00117471">
        <w:rPr>
          <w:szCs w:val="18"/>
          <w:lang w:val="en-US"/>
        </w:rPr>
        <w:t>:</w:t>
      </w:r>
    </w:p>
    <w:tbl>
      <w:tblPr>
        <w:tblW w:w="5000" w:type="pct"/>
        <w:tblLook w:val="04A0" w:firstRow="1" w:lastRow="0" w:firstColumn="1" w:lastColumn="0" w:noHBand="0" w:noVBand="1"/>
      </w:tblPr>
      <w:tblGrid>
        <w:gridCol w:w="7983"/>
        <w:gridCol w:w="804"/>
      </w:tblGrid>
      <w:tr w:rsidR="00E551DA" w:rsidRPr="00B57B36" w:rsidTr="00851A18">
        <w:tc>
          <w:tcPr>
            <w:tcW w:w="8188" w:type="dxa"/>
            <w:shd w:val="clear" w:color="auto" w:fill="auto"/>
            <w:vAlign w:val="center"/>
          </w:tcPr>
          <w:p w:rsidR="00E551DA" w:rsidRPr="007A6D5F" w:rsidRDefault="006A54C6" w:rsidP="00851A18">
            <w:pPr>
              <w:pStyle w:val="CETEquation"/>
            </w:pPr>
            <m:oMathPara>
              <m:oMathParaPr>
                <m:jc m:val="left"/>
              </m:oMathParaPr>
              <m:oMath>
                <m:sSub>
                  <m:sSubPr>
                    <m:ctrlPr>
                      <w:rPr>
                        <w:rFonts w:ascii="Cambria Math" w:hAnsi="Cambria Math"/>
                        <w:i/>
                        <w:szCs w:val="18"/>
                      </w:rPr>
                    </m:ctrlPr>
                  </m:sSubPr>
                  <m:e>
                    <m:r>
                      <w:rPr>
                        <w:rFonts w:ascii="Cambria Math" w:hAnsi="Cambria Math"/>
                        <w:szCs w:val="18"/>
                      </w:rPr>
                      <m:t>q</m:t>
                    </m:r>
                  </m:e>
                  <m:sub>
                    <m:r>
                      <w:rPr>
                        <w:rFonts w:ascii="Cambria Math" w:hAnsi="Cambria Math"/>
                        <w:szCs w:val="18"/>
                      </w:rPr>
                      <m:t>t</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q</m:t>
                    </m:r>
                  </m:e>
                  <m:sub>
                    <m:r>
                      <w:rPr>
                        <w:rFonts w:ascii="Cambria Math" w:hAnsi="Cambria Math"/>
                        <w:szCs w:val="18"/>
                      </w:rPr>
                      <m:t>e</m:t>
                    </m:r>
                  </m:sub>
                </m:sSub>
                <m:d>
                  <m:dPr>
                    <m:begChr m:val="["/>
                    <m:endChr m:val="]"/>
                    <m:ctrlPr>
                      <w:rPr>
                        <w:rFonts w:ascii="Cambria Math" w:hAnsi="Cambria Math"/>
                        <w:i/>
                        <w:szCs w:val="18"/>
                      </w:rPr>
                    </m:ctrlPr>
                  </m:dPr>
                  <m:e>
                    <m:r>
                      <w:rPr>
                        <w:rFonts w:ascii="Cambria Math" w:hAnsi="Cambria Math"/>
                        <w:szCs w:val="18"/>
                      </w:rPr>
                      <m:t>1-exp</m:t>
                    </m:r>
                    <m:d>
                      <m:dPr>
                        <m:ctrlPr>
                          <w:rPr>
                            <w:rFonts w:ascii="Cambria Math" w:hAnsi="Cambria Math"/>
                            <w:i/>
                            <w:szCs w:val="18"/>
                          </w:rPr>
                        </m:ctrlPr>
                      </m:dPr>
                      <m:e>
                        <m:r>
                          <w:rPr>
                            <w:rFonts w:ascii="Cambria Math" w:hAnsi="Cambria Math"/>
                            <w:szCs w:val="18"/>
                          </w:rPr>
                          <m:t>-</m:t>
                        </m:r>
                        <m:sSub>
                          <m:sSubPr>
                            <m:ctrlPr>
                              <w:rPr>
                                <w:rFonts w:ascii="Cambria Math" w:hAnsi="Cambria Math"/>
                                <w:i/>
                                <w:szCs w:val="18"/>
                              </w:rPr>
                            </m:ctrlPr>
                          </m:sSubPr>
                          <m:e>
                            <m:r>
                              <w:rPr>
                                <w:rFonts w:ascii="Cambria Math" w:hAnsi="Cambria Math"/>
                                <w:szCs w:val="18"/>
                              </w:rPr>
                              <m:t>k</m:t>
                            </m:r>
                          </m:e>
                          <m:sub>
                            <m:r>
                              <w:rPr>
                                <w:rFonts w:ascii="Cambria Math" w:hAnsi="Cambria Math"/>
                                <w:szCs w:val="18"/>
                              </w:rPr>
                              <m:t>f</m:t>
                            </m:r>
                          </m:sub>
                        </m:sSub>
                        <m:r>
                          <w:rPr>
                            <w:rFonts w:ascii="Cambria Math" w:hAnsi="Cambria Math"/>
                            <w:szCs w:val="18"/>
                          </w:rPr>
                          <m:t>t</m:t>
                        </m:r>
                      </m:e>
                    </m:d>
                  </m:e>
                </m:d>
              </m:oMath>
            </m:oMathPara>
          </w:p>
        </w:tc>
        <w:tc>
          <w:tcPr>
            <w:tcW w:w="815" w:type="dxa"/>
            <w:shd w:val="clear" w:color="auto" w:fill="auto"/>
            <w:vAlign w:val="center"/>
          </w:tcPr>
          <w:p w:rsidR="00E551DA" w:rsidRPr="00B57B36" w:rsidRDefault="00E551DA" w:rsidP="00E551DA">
            <w:pPr>
              <w:pStyle w:val="CETEquation"/>
              <w:jc w:val="right"/>
            </w:pPr>
            <w:r w:rsidRPr="00B57B36">
              <w:t>(</w:t>
            </w:r>
            <w:r>
              <w:t>3</w:t>
            </w:r>
            <w:r w:rsidRPr="00B57B36">
              <w:t>)</w:t>
            </w:r>
          </w:p>
        </w:tc>
      </w:tr>
    </w:tbl>
    <w:p w:rsidR="00117471" w:rsidRDefault="00117471" w:rsidP="00117471">
      <w:pPr>
        <w:rPr>
          <w:szCs w:val="18"/>
          <w:lang w:val="en-US"/>
        </w:rPr>
      </w:pPr>
      <w:r w:rsidRPr="00117471">
        <w:rPr>
          <w:szCs w:val="18"/>
          <w:lang w:val="en-US"/>
        </w:rPr>
        <w:t>where q</w:t>
      </w:r>
      <w:r w:rsidRPr="00117471">
        <w:rPr>
          <w:szCs w:val="18"/>
          <w:vertAlign w:val="subscript"/>
          <w:lang w:val="en-US"/>
        </w:rPr>
        <w:t>t</w:t>
      </w:r>
      <w:r w:rsidRPr="00117471">
        <w:rPr>
          <w:szCs w:val="18"/>
          <w:lang w:val="en-US"/>
        </w:rPr>
        <w:t xml:space="preserve"> (mmol g</w:t>
      </w:r>
      <w:r w:rsidRPr="00117471">
        <w:rPr>
          <w:szCs w:val="18"/>
          <w:vertAlign w:val="superscript"/>
          <w:lang w:val="en-US"/>
        </w:rPr>
        <w:t>-1</w:t>
      </w:r>
      <w:r w:rsidRPr="00117471">
        <w:rPr>
          <w:szCs w:val="18"/>
          <w:lang w:val="en-US"/>
        </w:rPr>
        <w:t xml:space="preserve">) is the amount of </w:t>
      </w:r>
      <w:r w:rsidR="008869A5" w:rsidRPr="00D7150B">
        <w:rPr>
          <w:rFonts w:cs="Arial"/>
          <w:szCs w:val="18"/>
        </w:rPr>
        <w:t>CO</w:t>
      </w:r>
      <w:r w:rsidR="008869A5" w:rsidRPr="00D7150B">
        <w:rPr>
          <w:rFonts w:cs="Arial"/>
          <w:szCs w:val="18"/>
          <w:vertAlign w:val="subscript"/>
        </w:rPr>
        <w:t>2</w:t>
      </w:r>
      <w:r w:rsidRPr="00117471">
        <w:rPr>
          <w:szCs w:val="18"/>
          <w:lang w:val="en-US"/>
        </w:rPr>
        <w:t xml:space="preserve"> adsorbed per mass of sorbent at the time t, and k</w:t>
      </w:r>
      <w:r w:rsidRPr="00117471">
        <w:rPr>
          <w:szCs w:val="18"/>
          <w:vertAlign w:val="subscript"/>
          <w:lang w:val="en-US"/>
        </w:rPr>
        <w:t>f</w:t>
      </w:r>
      <w:r w:rsidRPr="00117471">
        <w:rPr>
          <w:szCs w:val="18"/>
          <w:lang w:val="en-US"/>
        </w:rPr>
        <w:t xml:space="preserve"> (min</w:t>
      </w:r>
      <w:r w:rsidRPr="00117471">
        <w:rPr>
          <w:szCs w:val="18"/>
          <w:vertAlign w:val="superscript"/>
          <w:lang w:val="en-US"/>
        </w:rPr>
        <w:t>-1</w:t>
      </w:r>
      <w:r w:rsidRPr="00117471">
        <w:rPr>
          <w:szCs w:val="18"/>
          <w:lang w:val="en-US"/>
        </w:rPr>
        <w:t xml:space="preserve">) is the rate constant of first-order sorption. This model can properly describe a reversible type of adsorbate/adsorbent interactions, as the case of </w:t>
      </w:r>
      <w:r w:rsidR="008869A5" w:rsidRPr="00D7150B">
        <w:rPr>
          <w:rFonts w:cs="Arial"/>
          <w:szCs w:val="18"/>
        </w:rPr>
        <w:t>CO</w:t>
      </w:r>
      <w:r w:rsidR="008869A5" w:rsidRPr="00D7150B">
        <w:rPr>
          <w:rFonts w:cs="Arial"/>
          <w:szCs w:val="18"/>
          <w:vertAlign w:val="subscript"/>
        </w:rPr>
        <w:t>2</w:t>
      </w:r>
      <w:r w:rsidRPr="00117471">
        <w:rPr>
          <w:szCs w:val="18"/>
          <w:lang w:val="en-US"/>
        </w:rPr>
        <w:t xml:space="preserve"> adsorption on physical adsorbents like activated carbons and zeolites </w:t>
      </w:r>
      <w:r w:rsidRPr="00117471">
        <w:rPr>
          <w:szCs w:val="18"/>
          <w:lang w:val="en-US"/>
        </w:rPr>
        <w:fldChar w:fldCharType="begin" w:fldLock="1"/>
      </w:r>
      <w:r w:rsidR="008869A5">
        <w:rPr>
          <w:szCs w:val="18"/>
          <w:lang w:val="en-US"/>
        </w:rPr>
        <w:instrText>ADDIN CSL_CITATION {"citationItems":[{"id":"ITEM-1","itemData":{"DOI":"10.1016/j.cej.2014.06.091","ISSN":"13858947","abstract":"CO 2 adsorption kinetic study on pore-expanded mesoporous silica (MCM-41) material. Kinetic modeling under wide range of pressure and temperature conditions. Detailed kinetic analysis is carried out to predict kinetic behavior of CO 2 uptake. Highlighted individual mechanistic steps that control the diffusion of CO 2 uptake. g r a p h i c a l a b s t r a c t CO 2 adsorption kinetics Pseudo first order and second order model Interparticle diffusion Intraparticle diffusion Boyds model a b s t r a c t Adsorption kinetics is a critical parameter to assess the performance of an adsorbent. Therefore, from a practical standpoint, it is important to characterize the rate-controlling steps associated with an adsorp-tion process. More recently, our research group synthesized a pore-expanded MCM-41 (MCM-41) for CO 2 capture application. In the current work, kinetic measurements of pure CO 2 on MCM-41 at four different temperatures (30, 45, 60, and 75 °C) are performed under wide pressure regime (0.2–11) bar. The exper-imental data of CO 2 uptake as a function of time at different pressure and temperature conditions are analyzed by both pseudo-first order and the pseudo-second order kinetic models. The type of interaction between CO 2 and MCM-41 as well as adsorption rate behavior of CO 2 on MCM-41 is deduced from the best fitted model. To further investigate the mechanism of CO 2 adsorption on MCM-41, interparticle diffusion, intraparticle diffusion and Boyd's models are also selected. The CO 2 diffusion mechanism in MCM-41 is elucidated based on the information derived from all the three models. Film diffusion mainly governed the rate-controlling process of CO 2 uptake on MCM-41 at low pressure and low temperature conditions. Interestingly, it is also interpreted that pore diffusion becomes more prominent at higher pressure and higher temperature conditions.","author":[{"dropping-particle":"","family":"Loganathan","given":"Sravanthi","non-dropping-particle":"","parse-names":false,"suffix":""},{"dropping-particle":"","family":"Tikmani","given":"Mayur","non-dropping-particle":"","parse-names":false,"suffix":""},{"dropping-particle":"","family":"Edubilli","given":"Satyannarayana","non-dropping-particle":"","parse-names":false,"suffix":""},{"dropping-particle":"","family":"Mishra","given":"Aakanksha","non-dropping-particle":"","parse-names":false,"suffix":""},{"dropping-particle":"","family":"Ghoshal","given":"Aloke Kumar","non-dropping-particle":"","parse-names":false,"suffix":""}],"container-title":"Chemical Engineering Journal","id":"ITEM-1","issued":{"date-parts":[["2014","11"]]},"page":"1-8","title":"CO2 adsorption kinetics on mesoporous silica under wide range of pressure and temperature","type":"article-journal","volume":"256"},"uris":["http://www.mendeley.com/documents/?uuid=4b09696d-41ec-347c-88ed-35be22da2f13"]}],"mendeley":{"formattedCitation":"(Loganathan et al., 2014)","plainTextFormattedCitation":"(Loganathan et al., 2014)","previouslyFormattedCitation":"(Loganathan et al., 2014)"},"properties":{"noteIndex":0},"schema":"https://github.com/citation-style-language/schema/raw/master/csl-citation.json"}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(Loganathan et al., 2014)</w:t>
      </w:r>
      <w:r w:rsidRPr="00117471">
        <w:rPr>
          <w:szCs w:val="18"/>
          <w:lang w:val="en-US"/>
        </w:rPr>
        <w:fldChar w:fldCharType="end"/>
      </w:r>
      <w:r w:rsidRPr="00117471">
        <w:rPr>
          <w:szCs w:val="18"/>
          <w:lang w:val="en-US"/>
        </w:rPr>
        <w:t xml:space="preserve">. The mathematical expression of the second order kinetic model is </w:t>
      </w:r>
      <w:r w:rsidRPr="00117471">
        <w:rPr>
          <w:szCs w:val="18"/>
          <w:lang w:val="en-US"/>
        </w:rPr>
        <w:fldChar w:fldCharType="begin" w:fldLock="1"/>
      </w:r>
      <w:r w:rsidR="008869A5">
        <w:rPr>
          <w:szCs w:val="18"/>
          <w:lang w:val="en-US"/>
        </w:rPr>
        <w:instrText>ADDIN CSL_CITATION {"citationItems":[{"id":"ITEM-1","itemData":{"DOI":"10.1016/j.cej.2014.06.091","ISSN":"13858947","abstract":"CO 2 adsorption kinetic study on pore-expanded mesoporous silica (MCM-41) material. Kinetic modeling under wide range of pressure and temperature conditions. Detailed kinetic analysis is carried out to predict kinetic behavior of CO 2 uptake. Highlighted individual mechanistic steps that control the diffusion of CO 2 uptake. g r a p h i c a l a b s t r a c t CO 2 adsorption kinetics Pseudo first order and second order model Interparticle diffusion Intraparticle diffusion Boyds model a b s t r a c t Adsorption kinetics is a critical parameter to assess the performance of an adsorbent. Therefore, from a practical standpoint, it is important to characterize the rate-controlling steps associated with an adsorp-tion process. More recently, our research group synthesized a pore-expanded MCM-41 (MCM-41) for CO 2 capture application. In the current work, kinetic measurements of pure CO 2 on MCM-41 at four different temperatures (30, 45, 60, and 75 °C) are performed under wide pressure regime (0.2–11) bar. The exper-imental data of CO 2 uptake as a function of time at different pressure and temperature conditions are analyzed by both pseudo-first order and the pseudo-second order kinetic models. The type of interaction between CO 2 and MCM-41 as well as adsorption rate behavior of CO 2 on MCM-41 is deduced from the best fitted model. To further investigate the mechanism of CO 2 adsorption on MCM-41, interparticle diffusion, intraparticle diffusion and Boyd's models are also selected. The CO 2 diffusion mechanism in MCM-41 is elucidated based on the information derived from all the three models. Film diffusion mainly governed the rate-controlling process of CO 2 uptake on MCM-41 at low pressure and low temperature conditions. Interestingly, it is also interpreted that pore diffusion becomes more prominent at higher pressure and higher temperature conditions.","author":[{"dropping-particle":"","family":"Loganathan","given":"Sravanthi","non-dropping-particle":"","parse-names":false,"suffix":""},{"dropping-particle":"","family":"Tikmani","given":"Mayur","non-dropping-particle":"","parse-names":false,"suffix":""},{"dropping-particle":"","family":"Edubilli","given":"Satyannarayana","non-dropping-particle":"","parse-names":false,"suffix":""},{"dropping-particle":"","family":"Mishra","given":"Aakanksha","non-dropping-particle":"","parse-names":false,"suffix":""},{"dropping-particle":"","family":"Ghoshal","given":"Aloke Kumar","non-dropping-particle":"","parse-names":false,"suffix":""}],"container-title":"Chemical Engineering Journal","id":"ITEM-1","issued":{"date-parts":[["2014","11"]]},"page":"1-8","title":"CO2 adsorption kinetics on mesoporous silica under wide range of pressure and temperature","type":"article-journal","volume":"256"},"uris":["http://www.mendeley.com/documents/?uuid=4b09696d-41ec-347c-88ed-35be22da2f13"]}],"mendeley":{"formattedCitation":"(Loganathan et al., 2014)","plainTextFormattedCitation":"(Loganathan et al., 2014)","previouslyFormattedCitation":"(Loganathan et al., 2014)"},"properties":{"noteIndex":0},"schema":"https://github.com/citation-style-language/schema/raw/master/csl-citation.json"}</w:instrText>
      </w:r>
      <w:r w:rsidRPr="00117471">
        <w:rPr>
          <w:szCs w:val="18"/>
          <w:lang w:val="en-US"/>
        </w:rPr>
        <w:fldChar w:fldCharType="separate"/>
      </w:r>
      <w:r w:rsidR="008A5C81" w:rsidRPr="008A5C81">
        <w:rPr>
          <w:noProof/>
          <w:szCs w:val="18"/>
          <w:lang w:val="en-US"/>
        </w:rPr>
        <w:t>(Loganathan et al., 2014)</w:t>
      </w:r>
      <w:r w:rsidRPr="00117471">
        <w:rPr>
          <w:szCs w:val="18"/>
          <w:lang w:val="en-US"/>
        </w:rPr>
        <w:fldChar w:fldCharType="end"/>
      </w:r>
      <w:r w:rsidRPr="00117471">
        <w:rPr>
          <w:szCs w:val="18"/>
          <w:lang w:val="en-US"/>
        </w:rPr>
        <w:t>:</w:t>
      </w:r>
    </w:p>
    <w:tbl>
      <w:tblPr>
        <w:tblW w:w="5000" w:type="pct"/>
        <w:tblLook w:val="04A0" w:firstRow="1" w:lastRow="0" w:firstColumn="1" w:lastColumn="0" w:noHBand="0" w:noVBand="1"/>
      </w:tblPr>
      <w:tblGrid>
        <w:gridCol w:w="7983"/>
        <w:gridCol w:w="804"/>
      </w:tblGrid>
      <w:tr w:rsidR="00E551DA" w:rsidRPr="00B57B36" w:rsidTr="00851A18">
        <w:tc>
          <w:tcPr>
            <w:tcW w:w="8188" w:type="dxa"/>
            <w:shd w:val="clear" w:color="auto" w:fill="auto"/>
            <w:vAlign w:val="center"/>
          </w:tcPr>
          <w:p w:rsidR="00E551DA" w:rsidRPr="007A6D5F" w:rsidRDefault="006A54C6" w:rsidP="00851A18">
            <w:pPr>
              <w:pStyle w:val="CETEquation"/>
            </w:pPr>
            <m:oMathPara>
              <m:oMathParaPr>
                <m:jc m:val="left"/>
              </m:oMathParaPr>
              <m:oMath>
                <m:sSub>
                  <m:sSubPr>
                    <m:ctrlPr>
                      <w:rPr>
                        <w:rFonts w:ascii="Cambria Math" w:hAnsi="Cambria Math"/>
                        <w:i/>
                        <w:szCs w:val="18"/>
                      </w:rPr>
                    </m:ctrlPr>
                  </m:sSubPr>
                  <m:e>
                    <m:r>
                      <w:rPr>
                        <w:rFonts w:ascii="Cambria Math" w:hAnsi="Cambria Math"/>
                        <w:szCs w:val="18"/>
                      </w:rPr>
                      <m:t>q</m:t>
                    </m:r>
                  </m:e>
                  <m:sub>
                    <m:r>
                      <w:rPr>
                        <w:rFonts w:ascii="Cambria Math" w:hAnsi="Cambria Math"/>
                        <w:szCs w:val="18"/>
                      </w:rPr>
                      <m:t>t</m:t>
                    </m:r>
                  </m:sub>
                </m:sSub>
                <m:r>
                  <w:rPr>
                    <w:rFonts w:ascii="Cambria Math" w:hAnsi="Cambria Math"/>
                    <w:szCs w:val="18"/>
                  </w:rPr>
                  <m:t>=</m:t>
                </m:r>
                <m:f>
                  <m:fPr>
                    <m:ctrlPr>
                      <w:rPr>
                        <w:rFonts w:ascii="Cambria Math" w:hAnsi="Cambria Math"/>
                        <w:i/>
                        <w:szCs w:val="18"/>
                      </w:rPr>
                    </m:ctrlPr>
                  </m:fPr>
                  <m:num>
                    <m:sSup>
                      <m:sSupPr>
                        <m:ctrlPr>
                          <w:rPr>
                            <w:rFonts w:ascii="Cambria Math" w:hAnsi="Cambria Math"/>
                            <w:i/>
                            <w:szCs w:val="18"/>
                          </w:rPr>
                        </m:ctrlPr>
                      </m:sSupPr>
                      <m:e>
                        <m:sSub>
                          <m:sSubPr>
                            <m:ctrlPr>
                              <w:rPr>
                                <w:rFonts w:ascii="Cambria Math" w:hAnsi="Cambria Math"/>
                                <w:i/>
                                <w:szCs w:val="18"/>
                              </w:rPr>
                            </m:ctrlPr>
                          </m:sSubPr>
                          <m:e>
                            <m:r>
                              <w:rPr>
                                <w:rFonts w:ascii="Cambria Math" w:hAnsi="Cambria Math"/>
                                <w:szCs w:val="18"/>
                              </w:rPr>
                              <m:t>q</m:t>
                            </m:r>
                          </m:e>
                          <m:sub>
                            <m:r>
                              <w:rPr>
                                <w:rFonts w:ascii="Cambria Math" w:hAnsi="Cambria Math"/>
                                <w:szCs w:val="18"/>
                              </w:rPr>
                              <m:t>e</m:t>
                            </m:r>
                          </m:sub>
                        </m:sSub>
                      </m:e>
                      <m:sup>
                        <m:r>
                          <w:rPr>
                            <w:rFonts w:ascii="Cambria Math" w:hAnsi="Cambria Math"/>
                            <w:szCs w:val="18"/>
                          </w:rPr>
                          <m:t>2</m:t>
                        </m:r>
                      </m:sup>
                    </m:sSup>
                    <m:sSub>
                      <m:sSubPr>
                        <m:ctrlPr>
                          <w:rPr>
                            <w:rFonts w:ascii="Cambria Math" w:hAnsi="Cambria Math"/>
                            <w:i/>
                            <w:szCs w:val="18"/>
                          </w:rPr>
                        </m:ctrlPr>
                      </m:sSubPr>
                      <m:e>
                        <m:r>
                          <w:rPr>
                            <w:rFonts w:ascii="Cambria Math" w:hAnsi="Cambria Math"/>
                            <w:szCs w:val="18"/>
                          </w:rPr>
                          <m:t>k</m:t>
                        </m:r>
                      </m:e>
                      <m:sub>
                        <m:r>
                          <w:rPr>
                            <w:rFonts w:ascii="Cambria Math" w:hAnsi="Cambria Math"/>
                            <w:szCs w:val="18"/>
                          </w:rPr>
                          <m:t>s</m:t>
                        </m:r>
                      </m:sub>
                    </m:sSub>
                    <m:r>
                      <w:rPr>
                        <w:rFonts w:ascii="Cambria Math" w:hAnsi="Cambria Math"/>
                        <w:szCs w:val="18"/>
                      </w:rPr>
                      <m:t>t</m:t>
                    </m:r>
                  </m:num>
                  <m:den>
                    <m:r>
                      <w:rPr>
                        <w:rFonts w:ascii="Cambria Math" w:hAnsi="Cambria Math"/>
                        <w:szCs w:val="18"/>
                      </w:rPr>
                      <m:t>1+</m:t>
                    </m:r>
                    <m:sSub>
                      <m:sSubPr>
                        <m:ctrlPr>
                          <w:rPr>
                            <w:rFonts w:ascii="Cambria Math" w:hAnsi="Cambria Math"/>
                            <w:i/>
                            <w:szCs w:val="18"/>
                          </w:rPr>
                        </m:ctrlPr>
                      </m:sSubPr>
                      <m:e>
                        <m:sSub>
                          <m:sSubPr>
                            <m:ctrlPr>
                              <w:rPr>
                                <w:rFonts w:ascii="Cambria Math" w:hAnsi="Cambria Math"/>
                                <w:i/>
                                <w:szCs w:val="18"/>
                              </w:rPr>
                            </m:ctrlPr>
                          </m:sSubPr>
                          <m:e>
                            <m:r>
                              <w:rPr>
                                <w:rFonts w:ascii="Cambria Math" w:hAnsi="Cambria Math"/>
                                <w:szCs w:val="18"/>
                              </w:rPr>
                              <m:t>q</m:t>
                            </m:r>
                          </m:e>
                          <m:sub>
                            <m:r>
                              <w:rPr>
                                <w:rFonts w:ascii="Cambria Math" w:hAnsi="Cambria Math"/>
                                <w:szCs w:val="18"/>
                              </w:rPr>
                              <m:t>e</m:t>
                            </m:r>
                          </m:sub>
                        </m:sSub>
                        <m:r>
                          <w:rPr>
                            <w:rFonts w:ascii="Cambria Math" w:hAnsi="Cambria Math"/>
                            <w:szCs w:val="18"/>
                          </w:rPr>
                          <m:t>k</m:t>
                        </m:r>
                      </m:e>
                      <m:sub>
                        <m:r>
                          <w:rPr>
                            <w:rFonts w:ascii="Cambria Math" w:hAnsi="Cambria Math"/>
                            <w:szCs w:val="18"/>
                          </w:rPr>
                          <m:t>s</m:t>
                        </m:r>
                      </m:sub>
                    </m:sSub>
                    <m:r>
                      <w:rPr>
                        <w:rFonts w:ascii="Cambria Math" w:hAnsi="Cambria Math"/>
                        <w:szCs w:val="18"/>
                      </w:rPr>
                      <m:t>t</m:t>
                    </m:r>
                  </m:den>
                </m:f>
              </m:oMath>
            </m:oMathPara>
          </w:p>
        </w:tc>
        <w:tc>
          <w:tcPr>
            <w:tcW w:w="815" w:type="dxa"/>
            <w:shd w:val="clear" w:color="auto" w:fill="auto"/>
            <w:vAlign w:val="center"/>
          </w:tcPr>
          <w:p w:rsidR="00E551DA" w:rsidRPr="00B57B36" w:rsidRDefault="00E551DA" w:rsidP="00E551DA">
            <w:pPr>
              <w:pStyle w:val="CETEquation"/>
              <w:jc w:val="right"/>
            </w:pPr>
            <w:r w:rsidRPr="00B57B36">
              <w:t>(</w:t>
            </w:r>
            <w:r>
              <w:t>4</w:t>
            </w:r>
            <w:r w:rsidRPr="00B57B36">
              <w:t>)</w:t>
            </w:r>
          </w:p>
        </w:tc>
      </w:tr>
    </w:tbl>
    <w:p w:rsidR="00117471" w:rsidRDefault="00117471" w:rsidP="00117471">
      <w:pPr>
        <w:pStyle w:val="CETBodytext"/>
        <w:rPr>
          <w:lang w:val="en-GB"/>
        </w:rPr>
      </w:pPr>
      <w:r w:rsidRPr="00381487">
        <w:rPr>
          <w:szCs w:val="18"/>
        </w:rPr>
        <w:t>where k</w:t>
      </w:r>
      <w:r w:rsidRPr="00381487">
        <w:rPr>
          <w:szCs w:val="18"/>
          <w:vertAlign w:val="subscript"/>
        </w:rPr>
        <w:t>s</w:t>
      </w:r>
      <w:r w:rsidRPr="00381487">
        <w:rPr>
          <w:szCs w:val="18"/>
        </w:rPr>
        <w:t xml:space="preserve"> (g mmol</w:t>
      </w:r>
      <w:r w:rsidRPr="00381487">
        <w:rPr>
          <w:szCs w:val="18"/>
          <w:vertAlign w:val="superscript"/>
        </w:rPr>
        <w:t>-1</w:t>
      </w:r>
      <w:r w:rsidRPr="00381487">
        <w:rPr>
          <w:szCs w:val="18"/>
        </w:rPr>
        <w:t xml:space="preserve"> min</w:t>
      </w:r>
      <w:r w:rsidRPr="00381487">
        <w:rPr>
          <w:szCs w:val="18"/>
          <w:vertAlign w:val="superscript"/>
        </w:rPr>
        <w:t>-1</w:t>
      </w:r>
      <w:r w:rsidRPr="00381487">
        <w:rPr>
          <w:szCs w:val="18"/>
        </w:rPr>
        <w:t xml:space="preserve">) is the second order rate constant. This model assumes that, besides weak physical interactions, adsorption is also associated to chemical adsorbate/adsorbent interactions, thus being generally most suited to describe chemisorption </w:t>
      </w:r>
      <w:r w:rsidRPr="00381487">
        <w:rPr>
          <w:szCs w:val="18"/>
        </w:rPr>
        <w:fldChar w:fldCharType="begin" w:fldLock="1"/>
      </w:r>
      <w:r w:rsidR="008869A5">
        <w:rPr>
          <w:szCs w:val="18"/>
        </w:rPr>
        <w:instrText>ADDIN CSL_CITATION {"citationItems":[{"id":"ITEM-1","itemData":{"DOI":"10.1016/j.cej.2014.06.091","ISSN":"13858947","abstract":"CO 2 adsorption kinetic study on pore-expanded mesoporous silica (MCM-41) material. Kinetic modeling under wide range of pressure and temperature conditions. Detailed kinetic analysis is carried out to predict kinetic behavior of CO 2 uptake. Highlighted individual mechanistic steps that control the diffusion of CO 2 uptake. g r a p h i c a l a b s t r a c t CO 2 adsorption kinetics Pseudo first order and second order model Interparticle diffusion Intraparticle diffusion Boyds model a b s t r a c t Adsorption kinetics is a critical parameter to assess the performance of an adsorbent. Therefore, from a practical standpoint, it is important to characterize the rate-controlling steps associated with an adsorp-tion process. More recently, our research group synthesized a pore-expanded MCM-41 (MCM-41) for CO 2 capture application. In the current work, kinetic measurements of pure CO 2 on MCM-41 at four different temperatures (30, 45, 60, and 75 °C) are performed under wide pressure regime (0.2–11) bar. The exper-imental data of CO 2 uptake as a function of time at different pressure and temperature conditions are analyzed by both pseudo-first order and the pseudo-second order kinetic models. The type of interaction between CO 2 and MCM-41 as well as adsorption rate behavior of CO 2 on MCM-41 is deduced from the best fitted model. To further investigate the mechanism of CO 2 adsorption on MCM-41, interparticle diffusion, intraparticle diffusion and Boyd's models are also selected. The CO 2 diffusion mechanism in MCM-41 is elucidated based on the information derived from all the three models. Film diffusion mainly governed the rate-controlling process of CO 2 uptake on MCM-41 at low pressure and low temperature conditions. Interestingly, it is also interpreted that pore diffusion becomes more prominent at higher pressure and higher temperature conditions.","author":[{"dropping-particle":"","family":"Loganathan","given":"Sravanthi","non-dropping-particle":"","parse-names":false,"suffix":""},{"dropping-particle":"","family":"Tikmani","given":"Mayur","non-dropping-particle":"","parse-names":false,"suffix":""},{"dropping-particle":"","family":"Edubilli","given":"Satyannarayana","non-dropping-particle":"","parse-names":false,"suffix":""},{"dropping-particle":"","family":"Mishra","given":"Aakanksha","non-dropping-particle":"","parse-names":false,"suffix":""},{"dropping-particle":"","family":"Ghoshal","given":"Aloke Kumar","non-dropping-particle":"","parse-names":false,"suffix":""}],"container-title":"Chemical Engineering Journal","id":"ITEM-1","issued":{"date-parts":[["2014","11"]]},"page":"1-8","title":"CO2 adsorption kinetics on mesoporous silica under wide range of pressure and temperature","type":"article-journal","volume":"256"},"uris":["http://www.mendeley.com/documents/?uuid=4b09696d-41ec-347c-88ed-35be22da2f13"]}],"mendeley":{"formattedCitation":"(Loganathan et al., 2014)","plainTextFormattedCitation":"(Loganathan et al., 2014)","previouslyFormattedCitation":"(Loganathan et al., 2014)"},"properties":{"noteIndex":0},"schema":"https://github.com/citation-style-language/schema/raw/master/csl-citation.json"}</w:instrText>
      </w:r>
      <w:r w:rsidRPr="00381487">
        <w:rPr>
          <w:szCs w:val="18"/>
        </w:rPr>
        <w:fldChar w:fldCharType="separate"/>
      </w:r>
      <w:r w:rsidR="008A5C81" w:rsidRPr="008A5C81">
        <w:rPr>
          <w:noProof/>
          <w:szCs w:val="18"/>
        </w:rPr>
        <w:t>(Loganathan et al., 2014)</w:t>
      </w:r>
      <w:r w:rsidRPr="00381487">
        <w:rPr>
          <w:szCs w:val="18"/>
        </w:rPr>
        <w:fldChar w:fldCharType="end"/>
      </w:r>
      <w:r w:rsidRPr="00381487">
        <w:rPr>
          <w:szCs w:val="18"/>
        </w:rPr>
        <w:t>. The fitting quality of the kinetic models to the experimental data has been then assessed by R</w:t>
      </w:r>
      <w:r w:rsidRPr="00381487">
        <w:rPr>
          <w:szCs w:val="18"/>
          <w:vertAlign w:val="superscript"/>
        </w:rPr>
        <w:t>2</w:t>
      </w:r>
      <w:r w:rsidRPr="00381487">
        <w:rPr>
          <w:szCs w:val="18"/>
        </w:rPr>
        <w:t xml:space="preserve"> and HYBRID</w:t>
      </w:r>
      <w:r w:rsidR="00252983">
        <w:rPr>
          <w:szCs w:val="18"/>
        </w:rPr>
        <w:t xml:space="preserve"> </w:t>
      </w:r>
      <w:r w:rsidR="00DB00E1" w:rsidRPr="00381487">
        <w:fldChar w:fldCharType="begin" w:fldLock="1"/>
      </w:r>
      <w:r w:rsidR="00DB00E1">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00DB00E1" w:rsidRPr="00381487">
        <w:fldChar w:fldCharType="separate"/>
      </w:r>
      <w:r w:rsidR="00DB00E1" w:rsidRPr="008A5C81">
        <w:rPr>
          <w:noProof/>
        </w:rPr>
        <w:t>(Raganati et al., 2018)</w:t>
      </w:r>
      <w:r w:rsidR="00DB00E1" w:rsidRPr="00381487">
        <w:fldChar w:fldCharType="end"/>
      </w:r>
      <w:r w:rsidRPr="00381487">
        <w:rPr>
          <w:szCs w:val="18"/>
        </w:rPr>
        <w:t>.</w:t>
      </w:r>
    </w:p>
    <w:p w:rsidR="00A62D7E" w:rsidRPr="00B57B36" w:rsidRDefault="00A62D7E" w:rsidP="00A62D7E">
      <w:pPr>
        <w:pStyle w:val="CETHeading1"/>
        <w:numPr>
          <w:ilvl w:val="1"/>
          <w:numId w:val="22"/>
        </w:numPr>
      </w:pPr>
      <w:r>
        <w:t>Results and discussions</w:t>
      </w:r>
    </w:p>
    <w:p w:rsidR="00A62D7E" w:rsidRPr="00321847" w:rsidRDefault="00A62D7E" w:rsidP="00A62D7E">
      <w:pPr>
        <w:pStyle w:val="CETBodytext"/>
        <w:rPr>
          <w:szCs w:val="18"/>
        </w:rPr>
      </w:pPr>
      <w:r w:rsidRPr="00591AD2">
        <w:rPr>
          <w:rFonts w:cs="Arial"/>
          <w:i/>
          <w:szCs w:val="18"/>
          <w:u w:val="single"/>
        </w:rPr>
        <w:t>Materials characterization</w:t>
      </w:r>
      <w:r w:rsidR="00591AD2" w:rsidRPr="00591AD2">
        <w:rPr>
          <w:rFonts w:cs="Arial"/>
          <w:i/>
          <w:szCs w:val="18"/>
          <w:u w:val="single"/>
        </w:rPr>
        <w:t>:</w:t>
      </w:r>
      <w:r w:rsidR="00591AD2" w:rsidRPr="00591AD2">
        <w:rPr>
          <w:rFonts w:cs="Arial"/>
          <w:szCs w:val="18"/>
        </w:rPr>
        <w:t xml:space="preserve"> </w:t>
      </w:r>
      <w:r w:rsidRPr="00381487">
        <w:rPr>
          <w:szCs w:val="18"/>
        </w:rPr>
        <w:t>The tuff is characterized by a rather high level of cristallinity, with characteristic reflection peaks of chabazite located at 2</w:t>
      </w:r>
      <w:r w:rsidRPr="00381487">
        <w:rPr>
          <w:rFonts w:ascii="Symbol" w:hAnsi="Symbol"/>
          <w:szCs w:val="18"/>
        </w:rPr>
        <w:t></w:t>
      </w:r>
      <w:r w:rsidRPr="00381487">
        <w:rPr>
          <w:szCs w:val="18"/>
        </w:rPr>
        <w:t xml:space="preserve">=20.45, 22.86, 24.61, 30.40, and 30.73, typically abundant in natural zeolites, together with other impurities (feldspar, quartz, calcite, etc.) </w:t>
      </w:r>
      <w:r w:rsidRPr="00381487">
        <w:rPr>
          <w:szCs w:val="18"/>
        </w:rPr>
        <w:fldChar w:fldCharType="begin" w:fldLock="1"/>
      </w:r>
      <w:r w:rsidR="008869A5">
        <w:rPr>
          <w:szCs w:val="18"/>
        </w:rPr>
        <w:instrText>ADDIN CSL_CITATION {"citationItems":[{"id":"ITEM-1","itemData":{"DOI":"10.1016/j.egypro.2017.03.1145","ISSN":"18766102","abstract":"The removal of carbon dioxide from flue gases can be achieved through adsorption separation technologies. In this framework, zeolites have shown promising results for the separation of CO 2 from gas mixtures and can potentially be used for both TSA/PSA processes. In particular, natural zeolites are inexpensive and can be viable sorbents. The aim of this work is the characterization of a non-synthetic tuff zeolite that could be used as carbon dioxide adsorbent. In order to assess changes in its structural and gas adsorption properties, the tuff was treated with acid solutions. Both the natural and acid treated samples were fully characterized from a chemico-physical point of view: pore size distribution, specific surface, SEM and XRD analyses were performed. The CO 2 adsorption capacity of the samples was measured in a lab-scale fixed bed reactor. Breakthrough curves were determined at a fixed flow rate (15Nl/h) using mixtures of CO 2 and N 2 with different CO 2 concentrations (5-20%vol.). Then, the adsorption isotherms were obtained from experimental data. The experimental results show that tuff, in particular if properly pre-treated, is a promising alternative to synthetic zeolites in adsorption processes for CO 2 removal.","author":[{"dropping-particle":"","family":"Ammendola","given":"Paola","non-dropping-particle":"","parse-names":false,"suffix":""},{"dropping-particle":"","family":"Raganati","given":"Federica","non-dropping-particle":"","parse-names":false,"suffix":""},{"dropping-particle":"","family":"Chirone","given":"Riccardo","non-dropping-particle":"","parse-names":false,"suffix":""},{"dropping-particle":"","family":"Miccio","given":"Francesco","non-dropping-particle":"","parse-names":false,"suffix":""}],"container-title":"Energy Procedia","id":"ITEM-1","issued":{"date-parts":[["2017","7"]]},"page":"46-52","title":"Preliminary Assessment of Tuff as CO2 Sorbent","type":"article-journal","volume":"114"},"uris":["http://www.mendeley.com/documents/?uuid=45bfa371-07e2-3ce6-aa5b-76a5b8482aef"]}],"mendeley":{"formattedCitation":"(Ammendola et al., 2017)","plainTextFormattedCitation":"(Ammendola et al., 2017)","previouslyFormattedCitation":"(Ammendola et al., 2017)"},"properties":{"noteIndex":0},"schema":"https://github.com/citation-style-language/schema/raw/master/csl-citation.json"}</w:instrText>
      </w:r>
      <w:r w:rsidRPr="00381487">
        <w:rPr>
          <w:szCs w:val="18"/>
        </w:rPr>
        <w:fldChar w:fldCharType="separate"/>
      </w:r>
      <w:r w:rsidR="008A5C81" w:rsidRPr="008A5C81">
        <w:rPr>
          <w:noProof/>
          <w:szCs w:val="18"/>
        </w:rPr>
        <w:t>(Ammendola et al., 2017)</w:t>
      </w:r>
      <w:r w:rsidRPr="00381487">
        <w:rPr>
          <w:szCs w:val="18"/>
        </w:rPr>
        <w:fldChar w:fldCharType="end"/>
      </w:r>
      <w:r w:rsidRPr="00381487">
        <w:rPr>
          <w:szCs w:val="18"/>
        </w:rPr>
        <w:t xml:space="preserve">. Detailed information regarding the morphology, chemical composition and pore distribution of the tuff can be found elsewhere </w:t>
      </w:r>
      <w:r w:rsidRPr="00381487">
        <w:rPr>
          <w:szCs w:val="18"/>
        </w:rPr>
        <w:fldChar w:fldCharType="begin" w:fldLock="1"/>
      </w:r>
      <w:r w:rsidR="008869A5">
        <w:rPr>
          <w:szCs w:val="18"/>
        </w:rPr>
        <w:instrText>ADDIN CSL_CITATION {"citationItems":[{"id":"ITEM-1","itemData":{"DOI":"10.1016/j.egypro.2017.03.1145","ISSN":"18766102","abstract":"The removal of carbon dioxide from flue gases can be achieved through adsorption separation technologies. In this framework, zeolites have shown promising results for the separation of CO 2 from gas mixtures and can potentially be used for both TSA/PSA processes. In particular, natural zeolites are inexpensive and can be viable sorbents. The aim of this work is the characterization of a non-synthetic tuff zeolite that could be used as carbon dioxide adsorbent. In order to assess changes in its structural and gas adsorption properties, the tuff was treated with acid solutions. Both the natural and acid treated samples were fully characterized from a chemico-physical point of view: pore size distribution, specific surface, SEM and XRD analyses were performed. The CO 2 adsorption capacity of the samples was measured in a lab-scale fixed bed reactor. Breakthrough curves were determined at a fixed flow rate (15Nl/h) using mixtures of CO 2 and N 2 with different CO 2 concentrations (5-20%vol.). Then, the adsorption isotherms were obtained from experimental data. The experimental results show that tuff, in particular if properly pre-treated, is a promising alternative to synthetic zeolites in adsorption processes for CO 2 removal.","author":[{"dropping-particle":"","family":"Ammendola","given":"Paola","non-dropping-particle":"","parse-names":false,"suffix":""},{"dropping-particle":"","family":"Raganati","given":"Federica","non-dropping-particle":"","parse-names":false,"suffix":""},{"dropping-particle":"","family":"Chirone","given":"Riccardo","non-dropping-particle":"","parse-names":false,"suffix":""},{"dropping-particle":"","family":"Miccio","given":"Francesco","non-dropping-particle":"","parse-names":false,"suffix":""}],"container-title":"Energy Procedia","id":"ITEM-1","issued":{"date-parts":[["2017","7"]]},"page":"46-52","title":"Preliminary Assessment of Tuff as CO2 Sorbent","type":"article-journal","volume":"114"},"uris":["http://www.mendeley.com/documents/?uuid=45bfa371-07e2-3ce6-aa5b-76a5b8482aef"]}],"mendeley":{"formattedCitation":"(Ammendola et al., 2017)","plainTextFormattedCitation":"(Ammendola et al., 2017)","previouslyFormattedCitation":"(Ammendola et al., 2017)"},"properties":{"noteIndex":0},"schema":"https://github.com/citation-style-language/schema/raw/master/csl-citation.json"}</w:instrText>
      </w:r>
      <w:r w:rsidRPr="00381487">
        <w:rPr>
          <w:szCs w:val="18"/>
        </w:rPr>
        <w:fldChar w:fldCharType="separate"/>
      </w:r>
      <w:r w:rsidR="008A5C81" w:rsidRPr="008A5C81">
        <w:rPr>
          <w:noProof/>
          <w:szCs w:val="18"/>
        </w:rPr>
        <w:t>(Ammendola et al., 2017)</w:t>
      </w:r>
      <w:r w:rsidRPr="00381487">
        <w:rPr>
          <w:szCs w:val="18"/>
        </w:rPr>
        <w:fldChar w:fldCharType="end"/>
      </w:r>
      <w:r w:rsidRPr="00381487">
        <w:rPr>
          <w:szCs w:val="18"/>
        </w:rPr>
        <w:t>, also including SEM and N</w:t>
      </w:r>
      <w:r w:rsidRPr="00283FBE">
        <w:rPr>
          <w:szCs w:val="18"/>
          <w:vertAlign w:val="subscript"/>
        </w:rPr>
        <w:t>2</w:t>
      </w:r>
      <w:r w:rsidRPr="00381487">
        <w:rPr>
          <w:szCs w:val="18"/>
        </w:rPr>
        <w:t xml:space="preserve"> adsorption characterization. Briefly, the material is characterized by micronic cubic shaped structures, typical of the zeolites, as well as glassy regions, and it is basically microporous (7 Å &lt; d &lt; 20 Å) with a unimodal pore size distribution, as typically reported for zeolites. The corresponding BET surface area is 141 m</w:t>
      </w:r>
      <w:r w:rsidRPr="00381487">
        <w:rPr>
          <w:szCs w:val="18"/>
          <w:vertAlign w:val="superscript"/>
        </w:rPr>
        <w:t>2</w:t>
      </w:r>
      <w:r w:rsidRPr="00381487">
        <w:rPr>
          <w:szCs w:val="18"/>
        </w:rPr>
        <w:t xml:space="preserve"> g</w:t>
      </w:r>
      <w:r w:rsidRPr="00381487">
        <w:rPr>
          <w:szCs w:val="18"/>
          <w:vertAlign w:val="superscript"/>
        </w:rPr>
        <w:t>-1</w:t>
      </w:r>
      <w:r w:rsidR="00321847">
        <w:rPr>
          <w:szCs w:val="18"/>
        </w:rPr>
        <w:t>.</w:t>
      </w:r>
    </w:p>
    <w:p w:rsidR="00A62D7E" w:rsidRPr="00381487" w:rsidRDefault="00A62D7E" w:rsidP="00A62D7E">
      <w:pPr>
        <w:pStyle w:val="CETBodytext"/>
        <w:rPr>
          <w:szCs w:val="18"/>
        </w:rPr>
      </w:pPr>
      <w:r w:rsidRPr="00591AD2">
        <w:rPr>
          <w:rFonts w:cs="Arial"/>
          <w:i/>
          <w:szCs w:val="18"/>
          <w:u w:val="single"/>
        </w:rPr>
        <w:t>Adsorption thermodynamics</w:t>
      </w:r>
      <w:r w:rsidR="00591AD2">
        <w:rPr>
          <w:rFonts w:cs="Arial"/>
          <w:i/>
          <w:szCs w:val="18"/>
          <w:u w:val="single"/>
        </w:rPr>
        <w:t>:</w:t>
      </w:r>
      <w:r w:rsidR="00591AD2">
        <w:rPr>
          <w:rFonts w:cs="Arial"/>
          <w:szCs w:val="18"/>
        </w:rPr>
        <w:t xml:space="preserve"> </w:t>
      </w:r>
      <w:r w:rsidRPr="00381487">
        <w:rPr>
          <w:szCs w:val="18"/>
        </w:rPr>
        <w:t>The fitting of the experimental data by Langmuir and Freundlich models are reported in Fig. 1. Table 1 reports the values of the model parameters, R</w:t>
      </w:r>
      <w:r w:rsidRPr="00381487">
        <w:rPr>
          <w:szCs w:val="18"/>
          <w:vertAlign w:val="superscript"/>
        </w:rPr>
        <w:t>2</w:t>
      </w:r>
      <w:r w:rsidRPr="00381487">
        <w:rPr>
          <w:szCs w:val="18"/>
        </w:rPr>
        <w:t xml:space="preserve"> and HYBRID. </w:t>
      </w:r>
    </w:p>
    <w:p w:rsidR="00A62D7E" w:rsidRPr="00A62D7E" w:rsidRDefault="00A62D7E" w:rsidP="00E82805">
      <w:pPr>
        <w:jc w:val="left"/>
        <w:rPr>
          <w:snapToGrid w:val="0"/>
          <w:sz w:val="24"/>
          <w:lang w:val="en-US"/>
        </w:rPr>
      </w:pPr>
      <w:r w:rsidRPr="00381487">
        <w:rPr>
          <w:noProof/>
          <w:lang w:val="it-IT" w:eastAsia="it-IT"/>
        </w:rPr>
        <w:drawing>
          <wp:inline distT="0" distB="0" distL="0" distR="0" wp14:anchorId="460A73E8" wp14:editId="1A0D6114">
            <wp:extent cx="2206186" cy="1620000"/>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732" r="3044"/>
                    <a:stretch/>
                  </pic:blipFill>
                  <pic:spPr bwMode="auto">
                    <a:xfrm>
                      <a:off x="0" y="0"/>
                      <a:ext cx="2206186" cy="1620000"/>
                    </a:xfrm>
                    <a:prstGeom prst="rect">
                      <a:avLst/>
                    </a:prstGeom>
                    <a:noFill/>
                    <a:ln>
                      <a:noFill/>
                    </a:ln>
                    <a:extLst>
                      <a:ext uri="{53640926-AAD7-44D8-BBD7-CCE9431645EC}">
                        <a14:shadowObscured xmlns:a14="http://schemas.microsoft.com/office/drawing/2010/main"/>
                      </a:ext>
                    </a:extLst>
                  </pic:spPr>
                </pic:pic>
              </a:graphicData>
            </a:graphic>
          </wp:inline>
        </w:drawing>
      </w:r>
      <w:r w:rsidRPr="00381487">
        <w:rPr>
          <w:noProof/>
          <w:lang w:val="it-IT" w:eastAsia="it-IT"/>
        </w:rPr>
        <w:drawing>
          <wp:inline distT="0" distB="0" distL="0" distR="0" wp14:anchorId="0E51EEEC" wp14:editId="78477F1D">
            <wp:extent cx="2185234" cy="1620000"/>
            <wp:effectExtent l="0" t="0" r="571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rotWithShape="1">
                    <a:blip r:embed="rId11" cstate="print">
                      <a:extLst>
                        <a:ext uri="{28A0092B-C50C-407E-A947-70E740481C1C}">
                          <a14:useLocalDpi xmlns:a14="http://schemas.microsoft.com/office/drawing/2010/main" val="0"/>
                        </a:ext>
                      </a:extLst>
                    </a:blip>
                    <a:srcRect t="7361"/>
                    <a:stretch/>
                  </pic:blipFill>
                  <pic:spPr bwMode="auto">
                    <a:xfrm>
                      <a:off x="0" y="0"/>
                      <a:ext cx="2185234"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A62D7E" w:rsidRPr="00381487" w:rsidRDefault="00A62D7E" w:rsidP="00A62D7E">
      <w:pPr>
        <w:pStyle w:val="CETCaption"/>
        <w:spacing w:before="0"/>
        <w:rPr>
          <w:i w:val="0"/>
          <w:lang w:val="en-US"/>
        </w:rPr>
      </w:pPr>
      <w:r w:rsidRPr="00381487">
        <w:rPr>
          <w:lang w:val="en-US"/>
        </w:rPr>
        <w:t xml:space="preserve">Figure 1: </w:t>
      </w:r>
      <w:r w:rsidR="00BD3EF1" w:rsidRPr="00D7150B">
        <w:rPr>
          <w:rFonts w:cs="Arial"/>
          <w:szCs w:val="18"/>
        </w:rPr>
        <w:t>CO</w:t>
      </w:r>
      <w:r w:rsidR="00BD3EF1" w:rsidRPr="00D7150B">
        <w:rPr>
          <w:rFonts w:cs="Arial"/>
          <w:szCs w:val="18"/>
          <w:vertAlign w:val="subscript"/>
        </w:rPr>
        <w:t>2</w:t>
      </w:r>
      <w:r w:rsidR="00BD3EF1">
        <w:rPr>
          <w:rFonts w:cs="Arial"/>
          <w:szCs w:val="18"/>
          <w:vertAlign w:val="subscript"/>
        </w:rPr>
        <w:t xml:space="preserve"> </w:t>
      </w:r>
      <w:r w:rsidR="00BD3EF1">
        <w:rPr>
          <w:lang w:val="en-US"/>
        </w:rPr>
        <w:t>ad</w:t>
      </w:r>
      <w:r w:rsidRPr="00381487">
        <w:rPr>
          <w:lang w:val="en-US"/>
        </w:rPr>
        <w:t>sorption isotherms fitted by: a) Langmuir model; b) Freundlich model.</w:t>
      </w:r>
    </w:p>
    <w:p w:rsidR="00A62D7E" w:rsidRPr="00381487" w:rsidRDefault="00073114" w:rsidP="00A62D7E">
      <w:pPr>
        <w:pStyle w:val="CETBodytext"/>
        <w:rPr>
          <w:szCs w:val="18"/>
        </w:rPr>
      </w:pPr>
      <w:r>
        <w:rPr>
          <w:szCs w:val="18"/>
        </w:rPr>
        <w:t>Figure</w:t>
      </w:r>
      <w:r w:rsidR="00A62D7E" w:rsidRPr="00381487">
        <w:rPr>
          <w:szCs w:val="18"/>
        </w:rPr>
        <w:t xml:space="preserve"> 1 clearly shows that both the models used in this work fitted the experimental results quite well, in line with the results obtained by other Authors with physical sorbents </w:t>
      </w:r>
      <w:r w:rsidR="00A62D7E" w:rsidRPr="00381487">
        <w:rPr>
          <w:szCs w:val="18"/>
        </w:rPr>
        <w:fldChar w:fldCharType="begin" w:fldLock="1"/>
      </w:r>
      <w:r w:rsidR="008869A5">
        <w:rPr>
          <w:szCs w:val="18"/>
        </w:rPr>
        <w:instrText>ADDIN CSL_CITATION {"citationItems":[{"id":"ITEM-1","itemData":{"DOI":"10.1016/S1003-9953(06)60030-3","ISBN":"1003-9953","ISSN":"10039953","abstract":"The adsorption of CO2 on a raw activated carbon A and three modified activated carbon samples B, C, and D at temperatures ranging from 303 to 333 K and the thermodynamics of adsorption have been investigated using a vacuum adsorption apparatus in order to obtain more information about the effect of CO2 on removal of organic sulfur-containing compounds in industrial gases. The active ingredients impregnated in the carbon samples show significant influence on the adsorption for CO2 and its volumes adsorbed on modified carbon samples B, C, and D are all larger than that on the raw carbon sample A. On the other hand, the physical parameters such as surface area, pore volume, and micropore volume of carbon samples show no influence on the adsorbed amount of CO2. The Dubinin-Radushkevich (D-R) equation was the best model for fitting the adsorption data on carbon samples A and B, while the Freundlich equation was the best fit for the adsorption on carbon samples C and D. The isosteric heats of adsorption on carbon samples A, B, C, and D derived from the adsorption isotherms using the Clapeyron equation decreased slightly increasing surface loading. The heat of adsorption lay between 10.5 and 28.4 kJ/mol, with the carbon sample D having the highest value at all surface coverages that were studied. The observed entropy change associated with the adsorption for the carbon samples A, B, and C (above the surface coverage of 7 ml/g) was lower than the theoretical value for mobile adsorption. However, it was higher than the theoretical value for mobile adsorption but lower than the theoretical value for localized adsorption for carbon sample D. ?? 2006 CAS/DICP.","author":[{"dropping-particle":"","family":"Guo","given":"Bo","non-dropping-particle":"","parse-names":false,"suffix":""},{"dropping-particle":"","family":"Chang","given":"Liping","non-dropping-particle":"","parse-names":false,"suffix":""},{"dropping-particle":"","family":"Xie","given":"Kechang","non-dropping-particle":"","parse-names":false,"suffix":""}],"container-title":"Journal of Natural Gas Chemistry","id":"ITEM-1","issue":"3","issued":{"date-parts":[["2006","9"]]},"page":"223-229","title":"Adsorption of Carbon Dioxide on Activated Carbon","type":"article-journal","volume":"15"},"uris":["http://www.mendeley.com/documents/?uuid=371b592d-1ffa-42b8-9ef0-fe375f2fdef2"]}],"mendeley":{"formattedCitation":"(Guo et al., 2006)","plainTextFormattedCitation":"(Guo et al., 2006)","previouslyFormattedCitation":"(Guo et al., 2006)"},"properties":{"noteIndex":0},"schema":"https://github.com/citation-style-language/schema/raw/master/csl-citation.json"}</w:instrText>
      </w:r>
      <w:r w:rsidR="00A62D7E" w:rsidRPr="00381487">
        <w:rPr>
          <w:szCs w:val="18"/>
        </w:rPr>
        <w:fldChar w:fldCharType="separate"/>
      </w:r>
      <w:r w:rsidR="008A5C81" w:rsidRPr="008A5C81">
        <w:rPr>
          <w:noProof/>
          <w:szCs w:val="18"/>
        </w:rPr>
        <w:t>(Guo et al., 2006)</w:t>
      </w:r>
      <w:r w:rsidR="00A62D7E" w:rsidRPr="00381487">
        <w:rPr>
          <w:szCs w:val="18"/>
        </w:rPr>
        <w:fldChar w:fldCharType="end"/>
      </w:r>
      <w:r w:rsidR="00A62D7E" w:rsidRPr="00381487">
        <w:rPr>
          <w:szCs w:val="18"/>
        </w:rPr>
        <w:t>. This was also confirmed by the fact that R</w:t>
      </w:r>
      <w:r w:rsidR="00A62D7E" w:rsidRPr="00381487">
        <w:rPr>
          <w:szCs w:val="18"/>
          <w:vertAlign w:val="superscript"/>
        </w:rPr>
        <w:t>2</w:t>
      </w:r>
      <w:r w:rsidR="00A62D7E" w:rsidRPr="00381487">
        <w:rPr>
          <w:szCs w:val="18"/>
        </w:rPr>
        <w:t xml:space="preserve"> is always larger than 0.99 and HYBRID is always lower than 0.5%. As a matter of fact, it is quite common that both Langmuir and Freundlich isotherms are able to fairly fit the same set of </w:t>
      </w:r>
      <w:r w:rsidR="008869A5" w:rsidRPr="00D7150B">
        <w:rPr>
          <w:rFonts w:cs="Arial"/>
          <w:szCs w:val="18"/>
        </w:rPr>
        <w:t>CO</w:t>
      </w:r>
      <w:r w:rsidR="008869A5" w:rsidRPr="00D7150B">
        <w:rPr>
          <w:rFonts w:cs="Arial"/>
          <w:szCs w:val="18"/>
          <w:vertAlign w:val="subscript"/>
        </w:rPr>
        <w:t>2</w:t>
      </w:r>
      <w:r w:rsidR="00A62D7E" w:rsidRPr="00381487">
        <w:rPr>
          <w:szCs w:val="18"/>
        </w:rPr>
        <w:t xml:space="preserve"> adsorption data at certain </w:t>
      </w:r>
      <w:r w:rsidR="008869A5" w:rsidRPr="00D7150B">
        <w:rPr>
          <w:rFonts w:cs="Arial"/>
          <w:szCs w:val="18"/>
        </w:rPr>
        <w:t>CO</w:t>
      </w:r>
      <w:r w:rsidR="008869A5" w:rsidRPr="00D7150B">
        <w:rPr>
          <w:rFonts w:cs="Arial"/>
          <w:szCs w:val="18"/>
          <w:vertAlign w:val="subscript"/>
        </w:rPr>
        <w:t>2</w:t>
      </w:r>
      <w:r w:rsidR="00A62D7E" w:rsidRPr="00381487">
        <w:rPr>
          <w:szCs w:val="18"/>
        </w:rPr>
        <w:t xml:space="preserve"> partial pressure ranges, at least from a macroscopic point of view </w:t>
      </w:r>
      <w:r w:rsidR="00A62D7E" w:rsidRPr="00381487">
        <w:rPr>
          <w:szCs w:val="18"/>
        </w:rPr>
        <w:fldChar w:fldCharType="begin" w:fldLock="1"/>
      </w:r>
      <w:r w:rsidR="008869A5">
        <w:rPr>
          <w:szCs w:val="18"/>
        </w:rPr>
        <w:instrText>ADDIN CSL_CITATION {"citationItems":[{"id":"ITEM-1","itemData":{"DOI":"10.1002/aic.13870","ISBN":"9513862380","ISSN":"00011541","abstract":"superhydrophobic surfaces can be used to reduce the minimum voltage and to increase the maximum speed under certain conditions, but there are some harmful side-effects. First of all, the electrostatic pressure can push water into the surface pores, which hinders actuation. The phenomenon can also be treated as a vertical electrowetting effect. Another drawback is that the use of superhydrophobic surfaces makes actuation more critical to the properties of the liquid. For example, actuation of biological buffer solutions was not successful. For these reasons, it is concluded that it is more beneficial to use a smooth surface with low hysteresis than a superhydrophobic surface in droplet actuation. Electrostatic droplet actuation is a potential method for manipulating liquid on a microscopic scale, but there is still work to do. This work contains a detailed examination of the droplet actuation mechanism, and trapping of charges in the solid-liquid interface is found to be the most severe problem that needs to be solved.","author":[{"dropping-particle":"","family":"Monazam","given":"Esmail R.","non-dropping-particle":"","parse-names":false,"suffix":""},{"dropping-particle":"","family":"Shadle","given":"Lawrence J.","non-dropping-particle":"","parse-names":false,"suffix":""},{"dropping-particle":"","family":"Miller","given":"David C.","non-dropping-particle":"","parse-names":false,"suffix":""},{"dropping-particle":"","family":"Pennline","given":"Henry W.","non-dropping-particle":"","parse-names":false,"suffix":""},{"dropping-particle":"","family":"Fauth","given":"Daniel J.","non-dropping-particle":"","parse-names":false,"suffix":""},{"dropping-particle":"","family":"Hoffman","given":"James S.","non-dropping-particle":"","parse-names":false,"suffix":""},{"dropping-particle":"","family":"Gray","given":"McMahan L.","non-dropping-particle":"","parse-names":false,"suffix":""}],"container-title":"AIChE Journal","id":"ITEM-1","issue":"3","issued":{"date-parts":[["2013","3"]]},"page":"923-935","title":"Equilibrium and kinetics analysis of carbon dioxide capture using immobilized amine on a mesoporous silica","type":"article-journal","volume":"59"},"uris":["http://www.mendeley.com/documents/?uuid=74bd7567-0fec-4c42-8689-274d38b63d05"]}],"mendeley":{"formattedCitation":"(Monazam et al., 2013)","plainTextFormattedCitation":"(Monazam et al., 2013)","previouslyFormattedCitation":"(Monazam et al., 2013)"},"properties":{"noteIndex":0},"schema":"https://github.com/citation-style-language/schema/raw/master/csl-citation.json"}</w:instrText>
      </w:r>
      <w:r w:rsidR="00A62D7E" w:rsidRPr="00381487">
        <w:rPr>
          <w:szCs w:val="18"/>
        </w:rPr>
        <w:fldChar w:fldCharType="separate"/>
      </w:r>
      <w:r w:rsidR="008A5C81" w:rsidRPr="008A5C81">
        <w:rPr>
          <w:noProof/>
          <w:szCs w:val="18"/>
        </w:rPr>
        <w:t>(Monazam et al., 2013)</w:t>
      </w:r>
      <w:r w:rsidR="00A62D7E" w:rsidRPr="00381487">
        <w:rPr>
          <w:szCs w:val="18"/>
        </w:rPr>
        <w:fldChar w:fldCharType="end"/>
      </w:r>
      <w:r w:rsidR="00A62D7E" w:rsidRPr="00381487">
        <w:rPr>
          <w:szCs w:val="18"/>
        </w:rPr>
        <w:t>. In particular, this is true especially when P</w:t>
      </w:r>
      <w:r w:rsidR="008869A5" w:rsidRPr="00D7150B">
        <w:rPr>
          <w:rFonts w:cs="Arial"/>
          <w:szCs w:val="18"/>
        </w:rPr>
        <w:t>CO</w:t>
      </w:r>
      <w:r w:rsidR="008869A5" w:rsidRPr="00D7150B">
        <w:rPr>
          <w:rFonts w:cs="Arial"/>
          <w:szCs w:val="18"/>
          <w:vertAlign w:val="subscript"/>
        </w:rPr>
        <w:t>2</w:t>
      </w:r>
      <w:r w:rsidR="00A62D7E" w:rsidRPr="00381487">
        <w:rPr>
          <w:szCs w:val="18"/>
        </w:rPr>
        <w:t xml:space="preserve"> is small (i.e. &lt; 0.1atm, as typical of post-combustion capture applications) and </w:t>
      </w:r>
      <w:bookmarkStart w:id="0" w:name="OLE_LINK15"/>
      <w:bookmarkStart w:id="1" w:name="OLE_LINK16"/>
      <w:r w:rsidR="00A62D7E" w:rsidRPr="00381487">
        <w:rPr>
          <w:szCs w:val="18"/>
        </w:rPr>
        <w:t>q</w:t>
      </w:r>
      <w:r w:rsidR="00A62D7E" w:rsidRPr="00381487">
        <w:rPr>
          <w:szCs w:val="18"/>
          <w:vertAlign w:val="subscript"/>
        </w:rPr>
        <w:t>e</w:t>
      </w:r>
      <w:bookmarkEnd w:id="0"/>
      <w:bookmarkEnd w:id="1"/>
      <w:r w:rsidR="00A62D7E" w:rsidRPr="00381487">
        <w:rPr>
          <w:szCs w:val="18"/>
        </w:rPr>
        <w:t xml:space="preserve"> is also small enough to have linear shape of adsorption isotherm. As a confirmation, it clearly appears from Fig. 1a that the Langmuir fitting is less accurate at lower temperatures, i.e. when q</w:t>
      </w:r>
      <w:r w:rsidR="00A62D7E" w:rsidRPr="00381487">
        <w:rPr>
          <w:szCs w:val="18"/>
          <w:vertAlign w:val="subscript"/>
        </w:rPr>
        <w:t>e</w:t>
      </w:r>
      <w:r w:rsidR="00A62D7E" w:rsidRPr="00381487">
        <w:rPr>
          <w:szCs w:val="18"/>
        </w:rPr>
        <w:t xml:space="preserve"> is larger and the adsorption isotherms moves away from the linearity. This can be ascribed to the fact that when a larger amount of </w:t>
      </w:r>
      <w:r w:rsidR="008869A5" w:rsidRPr="00D7150B">
        <w:rPr>
          <w:rFonts w:cs="Arial"/>
          <w:szCs w:val="18"/>
        </w:rPr>
        <w:t>CO</w:t>
      </w:r>
      <w:r w:rsidR="008869A5" w:rsidRPr="00D7150B">
        <w:rPr>
          <w:rFonts w:cs="Arial"/>
          <w:szCs w:val="18"/>
          <w:vertAlign w:val="subscript"/>
        </w:rPr>
        <w:t>2</w:t>
      </w:r>
      <w:r w:rsidR="00A62D7E" w:rsidRPr="00381487">
        <w:rPr>
          <w:szCs w:val="18"/>
        </w:rPr>
        <w:t xml:space="preserve"> is adsorbed, it is most likely that multiple layers of </w:t>
      </w:r>
      <w:r w:rsidR="008869A5" w:rsidRPr="00D7150B">
        <w:rPr>
          <w:rFonts w:cs="Arial"/>
          <w:szCs w:val="18"/>
        </w:rPr>
        <w:t>CO</w:t>
      </w:r>
      <w:r w:rsidR="008869A5" w:rsidRPr="00D7150B">
        <w:rPr>
          <w:rFonts w:cs="Arial"/>
          <w:szCs w:val="18"/>
          <w:vertAlign w:val="subscript"/>
        </w:rPr>
        <w:t>2</w:t>
      </w:r>
      <w:r w:rsidR="00A62D7E" w:rsidRPr="00381487">
        <w:rPr>
          <w:szCs w:val="18"/>
        </w:rPr>
        <w:t xml:space="preserve"> molecules are adsorbed on the sorbent surface; as a consequence, Freundlich model is able to give a better fitting. As regards the effect of temperature, Table 1 clearly shows that, when temperature is increased, the predicted values of maximum amount of </w:t>
      </w:r>
      <w:r w:rsidR="008869A5" w:rsidRPr="00D7150B">
        <w:rPr>
          <w:rFonts w:cs="Arial"/>
          <w:szCs w:val="18"/>
        </w:rPr>
        <w:t>CO</w:t>
      </w:r>
      <w:r w:rsidR="008869A5" w:rsidRPr="00D7150B">
        <w:rPr>
          <w:rFonts w:cs="Arial"/>
          <w:szCs w:val="18"/>
          <w:vertAlign w:val="subscript"/>
        </w:rPr>
        <w:t>2</w:t>
      </w:r>
      <w:r w:rsidR="00A62D7E" w:rsidRPr="00381487">
        <w:rPr>
          <w:szCs w:val="18"/>
        </w:rPr>
        <w:t xml:space="preserve"> adsorbed (q</w:t>
      </w:r>
      <w:r w:rsidR="00A62D7E" w:rsidRPr="00381487">
        <w:rPr>
          <w:szCs w:val="18"/>
          <w:vertAlign w:val="subscript"/>
        </w:rPr>
        <w:t>L</w:t>
      </w:r>
      <w:r w:rsidR="00A62D7E" w:rsidRPr="00381487">
        <w:rPr>
          <w:szCs w:val="18"/>
        </w:rPr>
        <w:t>) and adsorption isotherm constants (K</w:t>
      </w:r>
      <w:r w:rsidR="00A62D7E" w:rsidRPr="00381487">
        <w:rPr>
          <w:szCs w:val="18"/>
          <w:vertAlign w:val="subscript"/>
        </w:rPr>
        <w:t>L</w:t>
      </w:r>
      <w:r w:rsidR="00A62D7E" w:rsidRPr="00381487">
        <w:rPr>
          <w:szCs w:val="18"/>
        </w:rPr>
        <w:t xml:space="preserve"> and K</w:t>
      </w:r>
      <w:r w:rsidR="00A62D7E" w:rsidRPr="00381487">
        <w:rPr>
          <w:szCs w:val="18"/>
          <w:vertAlign w:val="subscript"/>
        </w:rPr>
        <w:t>F</w:t>
      </w:r>
      <w:r w:rsidR="00A62D7E" w:rsidRPr="00381487">
        <w:rPr>
          <w:szCs w:val="18"/>
        </w:rPr>
        <w:t xml:space="preserve">) decreased. This is in line with the </w:t>
      </w:r>
      <w:r w:rsidR="00A62D7E" w:rsidRPr="00381487">
        <w:rPr>
          <w:szCs w:val="18"/>
        </w:rPr>
        <w:lastRenderedPageBreak/>
        <w:t xml:space="preserve">exothermicity of the </w:t>
      </w:r>
      <w:r w:rsidR="008869A5" w:rsidRPr="00D7150B">
        <w:rPr>
          <w:rFonts w:cs="Arial"/>
          <w:szCs w:val="18"/>
        </w:rPr>
        <w:t>CO</w:t>
      </w:r>
      <w:r w:rsidR="008869A5" w:rsidRPr="00D7150B">
        <w:rPr>
          <w:rFonts w:cs="Arial"/>
          <w:szCs w:val="18"/>
          <w:vertAlign w:val="subscript"/>
        </w:rPr>
        <w:t>2</w:t>
      </w:r>
      <w:r w:rsidR="00A62D7E" w:rsidRPr="00381487">
        <w:rPr>
          <w:szCs w:val="18"/>
        </w:rPr>
        <w:t xml:space="preserve"> adsorption phenomenon on the tuff, i.e. it is thermodynamically favored at low temperatures. Also regarding the results obtained from the Freundlich model, n &gt; 1 at all the investigated temperatures, which is an indication of a high level of heterogeneity of the system as long as of good adsorption intensity </w:t>
      </w:r>
      <w:r w:rsidR="00A62D7E" w:rsidRPr="00381487">
        <w:rPr>
          <w:szCs w:val="18"/>
        </w:rPr>
        <w:fldChar w:fldCharType="begin" w:fldLock="1"/>
      </w:r>
      <w:r w:rsidR="008869A5">
        <w:rPr>
          <w:szCs w:val="18"/>
        </w:rPr>
        <w:instrText>ADDIN CSL_CITATION {"citationItems":[{"id":"ITEM-1","itemData":{"author":[{"dropping-particle":"","family":"Freundlich","given":"M.F.","non-dropping-particle":"","parse-names":false,"suffix":""}],"container-title":"The Journal of Physical Chemistry","id":"ITEM-1","issued":{"date-parts":[["1906"]]},"page":"355-471","title":"Over the adsorption in solution","type":"article-journal","volume":"57"},"uris":["http://www.mendeley.com/documents/?uuid=25d864a0-01ff-433d-8e9c-85c6ddcfc029"]}],"mendeley":{"formattedCitation":"(Freundlich, 1906)","plainTextFormattedCitation":"(Freundlich, 1906)","previouslyFormattedCitation":"(Freundlich, 1906)"},"properties":{"noteIndex":0},"schema":"https://github.com/citation-style-language/schema/raw/master/csl-citation.json"}</w:instrText>
      </w:r>
      <w:r w:rsidR="00A62D7E" w:rsidRPr="00381487">
        <w:rPr>
          <w:szCs w:val="18"/>
        </w:rPr>
        <w:fldChar w:fldCharType="separate"/>
      </w:r>
      <w:r w:rsidR="008A5C81" w:rsidRPr="008A5C81">
        <w:rPr>
          <w:noProof/>
          <w:szCs w:val="18"/>
        </w:rPr>
        <w:t>(Freundlich, 1906)</w:t>
      </w:r>
      <w:r w:rsidR="00A62D7E" w:rsidRPr="00381487">
        <w:rPr>
          <w:szCs w:val="18"/>
        </w:rPr>
        <w:fldChar w:fldCharType="end"/>
      </w:r>
      <w:r w:rsidR="00A62D7E" w:rsidRPr="00381487">
        <w:rPr>
          <w:szCs w:val="18"/>
        </w:rPr>
        <w:t xml:space="preserve">. Also, the dependence of n on the adsorption temperature is a further confirmation of the fact that </w:t>
      </w:r>
      <w:r w:rsidR="008869A5" w:rsidRPr="00D7150B">
        <w:rPr>
          <w:rFonts w:cs="Arial"/>
          <w:szCs w:val="18"/>
        </w:rPr>
        <w:t>CO</w:t>
      </w:r>
      <w:r w:rsidR="008869A5" w:rsidRPr="00D7150B">
        <w:rPr>
          <w:rFonts w:cs="Arial"/>
          <w:szCs w:val="18"/>
          <w:vertAlign w:val="subscript"/>
        </w:rPr>
        <w:t>2</w:t>
      </w:r>
      <w:r w:rsidR="00A62D7E" w:rsidRPr="00381487">
        <w:rPr>
          <w:szCs w:val="18"/>
        </w:rPr>
        <w:t xml:space="preserve"> adsorption on the tuff i</w:t>
      </w:r>
      <w:r w:rsidR="00615356">
        <w:rPr>
          <w:szCs w:val="18"/>
        </w:rPr>
        <w:t>s favored at low temperatures, according to</w:t>
      </w:r>
      <w:r w:rsidR="00A62D7E" w:rsidRPr="00381487">
        <w:rPr>
          <w:szCs w:val="18"/>
        </w:rPr>
        <w:t xml:space="preserve"> its exothermic in nature.</w:t>
      </w:r>
    </w:p>
    <w:p w:rsidR="00A62D7E" w:rsidRPr="00321847" w:rsidRDefault="00A62D7E" w:rsidP="00321847">
      <w:pPr>
        <w:pStyle w:val="CETTabletitle"/>
      </w:pPr>
      <w:r w:rsidRPr="00321847">
        <w:t>Table 1. Langmuir and Freundlich adsorption equation parameters and fitting comparison.</w:t>
      </w:r>
    </w:p>
    <w:tbl>
      <w:tblPr>
        <w:tblW w:w="7069" w:type="dxa"/>
        <w:tblCellMar>
          <w:left w:w="70" w:type="dxa"/>
          <w:right w:w="70" w:type="dxa"/>
        </w:tblCellMar>
        <w:tblLook w:val="04A0" w:firstRow="1" w:lastRow="0" w:firstColumn="1" w:lastColumn="0" w:noHBand="0" w:noVBand="1"/>
      </w:tblPr>
      <w:tblGrid>
        <w:gridCol w:w="567"/>
        <w:gridCol w:w="591"/>
        <w:gridCol w:w="691"/>
        <w:gridCol w:w="760"/>
        <w:gridCol w:w="821"/>
        <w:gridCol w:w="207"/>
        <w:gridCol w:w="704"/>
        <w:gridCol w:w="591"/>
        <w:gridCol w:w="643"/>
        <w:gridCol w:w="620"/>
        <w:gridCol w:w="874"/>
      </w:tblGrid>
      <w:tr w:rsidR="00A62D7E" w:rsidRPr="00321847" w:rsidTr="00321847">
        <w:trPr>
          <w:trHeight w:val="57"/>
        </w:trPr>
        <w:tc>
          <w:tcPr>
            <w:tcW w:w="567" w:type="dxa"/>
            <w:vMerge w:val="restart"/>
            <w:tcBorders>
              <w:top w:val="single" w:sz="12" w:space="0" w:color="00B050"/>
              <w:left w:val="nil"/>
              <w:right w:val="nil"/>
            </w:tcBorders>
            <w:shd w:val="clear" w:color="auto" w:fill="auto"/>
            <w:noWrap/>
            <w:vAlign w:val="center"/>
          </w:tcPr>
          <w:p w:rsidR="00A62D7E" w:rsidRPr="00321847" w:rsidRDefault="00A62D7E" w:rsidP="00321847">
            <w:pPr>
              <w:pStyle w:val="CETBodytext"/>
              <w:rPr>
                <w:lang w:val="en-GB"/>
              </w:rPr>
            </w:pPr>
            <w:bookmarkStart w:id="2" w:name="OLE_LINK43"/>
            <w:bookmarkStart w:id="3" w:name="OLE_LINK44"/>
            <w:bookmarkStart w:id="4" w:name="OLE_LINK45"/>
            <w:r w:rsidRPr="00321847">
              <w:rPr>
                <w:lang w:val="en-GB"/>
              </w:rPr>
              <w:t>T, °C</w:t>
            </w:r>
          </w:p>
        </w:tc>
        <w:tc>
          <w:tcPr>
            <w:tcW w:w="2507" w:type="dxa"/>
            <w:gridSpan w:val="4"/>
            <w:tcBorders>
              <w:top w:val="single" w:sz="12" w:space="0" w:color="00B050"/>
              <w:left w:val="nil"/>
              <w:bottom w:val="single" w:sz="2" w:space="0" w:color="00B050"/>
              <w:right w:val="nil"/>
            </w:tcBorders>
            <w:shd w:val="clear" w:color="auto" w:fill="auto"/>
            <w:noWrap/>
            <w:vAlign w:val="center"/>
          </w:tcPr>
          <w:p w:rsidR="00A62D7E" w:rsidRPr="00321847" w:rsidRDefault="00A62D7E" w:rsidP="00321847">
            <w:pPr>
              <w:pStyle w:val="CETBodytext"/>
              <w:rPr>
                <w:lang w:val="en-GB"/>
              </w:rPr>
            </w:pPr>
            <w:r w:rsidRPr="00321847">
              <w:rPr>
                <w:lang w:val="en-GB"/>
              </w:rPr>
              <w:t>Langmuir</w:t>
            </w:r>
          </w:p>
        </w:tc>
        <w:tc>
          <w:tcPr>
            <w:tcW w:w="283" w:type="dxa"/>
            <w:tcBorders>
              <w:top w:val="single" w:sz="12" w:space="0" w:color="00B050"/>
              <w:left w:val="nil"/>
              <w:right w:val="nil"/>
            </w:tcBorders>
          </w:tcPr>
          <w:p w:rsidR="00A62D7E" w:rsidRPr="00321847" w:rsidRDefault="00A62D7E" w:rsidP="00321847">
            <w:pPr>
              <w:pStyle w:val="CETBodytext"/>
              <w:rPr>
                <w:lang w:val="en-GB"/>
              </w:rPr>
            </w:pPr>
          </w:p>
        </w:tc>
        <w:tc>
          <w:tcPr>
            <w:tcW w:w="3712" w:type="dxa"/>
            <w:gridSpan w:val="5"/>
            <w:tcBorders>
              <w:top w:val="single" w:sz="12" w:space="0" w:color="00B050"/>
              <w:left w:val="nil"/>
              <w:bottom w:val="single" w:sz="2" w:space="0" w:color="00B050"/>
              <w:right w:val="nil"/>
            </w:tcBorders>
          </w:tcPr>
          <w:p w:rsidR="00A62D7E" w:rsidRPr="00321847" w:rsidRDefault="00A62D7E" w:rsidP="00321847">
            <w:pPr>
              <w:pStyle w:val="CETBodytext"/>
              <w:rPr>
                <w:lang w:val="en-GB"/>
              </w:rPr>
            </w:pPr>
            <w:r w:rsidRPr="00321847">
              <w:rPr>
                <w:lang w:val="en-GB"/>
              </w:rPr>
              <w:t>Freundlich</w:t>
            </w:r>
          </w:p>
        </w:tc>
      </w:tr>
      <w:tr w:rsidR="00A62D7E" w:rsidRPr="00321847" w:rsidTr="00321847">
        <w:trPr>
          <w:trHeight w:val="57"/>
        </w:trPr>
        <w:tc>
          <w:tcPr>
            <w:tcW w:w="567" w:type="dxa"/>
            <w:vMerge/>
            <w:tcBorders>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p>
        </w:tc>
        <w:tc>
          <w:tcPr>
            <w:tcW w:w="567" w:type="dxa"/>
            <w:tcBorders>
              <w:top w:val="single" w:sz="2" w:space="0" w:color="00B050"/>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q</w:t>
            </w:r>
            <w:r w:rsidRPr="00321847">
              <w:rPr>
                <w:vertAlign w:val="subscript"/>
                <w:lang w:val="en-GB"/>
              </w:rPr>
              <w:t>L</w:t>
            </w:r>
          </w:p>
        </w:tc>
        <w:tc>
          <w:tcPr>
            <w:tcW w:w="426" w:type="dxa"/>
            <w:tcBorders>
              <w:top w:val="single" w:sz="2" w:space="0" w:color="00B050"/>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K</w:t>
            </w:r>
            <w:r w:rsidRPr="00321847">
              <w:rPr>
                <w:vertAlign w:val="subscript"/>
                <w:lang w:val="en-GB"/>
              </w:rPr>
              <w:t>L</w:t>
            </w:r>
          </w:p>
        </w:tc>
        <w:tc>
          <w:tcPr>
            <w:tcW w:w="760" w:type="dxa"/>
            <w:tcBorders>
              <w:top w:val="single" w:sz="2" w:space="0" w:color="00B050"/>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R</w:t>
            </w:r>
            <w:r w:rsidRPr="00321847">
              <w:rPr>
                <w:vertAlign w:val="superscript"/>
                <w:lang w:val="en-GB"/>
              </w:rPr>
              <w:t>2</w:t>
            </w:r>
          </w:p>
        </w:tc>
        <w:tc>
          <w:tcPr>
            <w:tcW w:w="754" w:type="dxa"/>
            <w:tcBorders>
              <w:top w:val="single" w:sz="2" w:space="0" w:color="00B050"/>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bookmarkStart w:id="5" w:name="OLE_LINK21"/>
            <w:bookmarkStart w:id="6" w:name="OLE_LINK22"/>
            <w:r w:rsidRPr="00321847">
              <w:rPr>
                <w:lang w:val="en-GB"/>
              </w:rPr>
              <w:t>HYBRID</w:t>
            </w:r>
            <w:bookmarkEnd w:id="5"/>
            <w:bookmarkEnd w:id="6"/>
          </w:p>
        </w:tc>
        <w:tc>
          <w:tcPr>
            <w:tcW w:w="283" w:type="dxa"/>
            <w:tcBorders>
              <w:left w:val="nil"/>
              <w:bottom w:val="single" w:sz="12" w:space="0" w:color="00B050"/>
              <w:right w:val="nil"/>
            </w:tcBorders>
          </w:tcPr>
          <w:p w:rsidR="00A62D7E" w:rsidRPr="00321847" w:rsidRDefault="00A62D7E" w:rsidP="00321847">
            <w:pPr>
              <w:pStyle w:val="CETBodytext"/>
              <w:rPr>
                <w:lang w:val="en-GB"/>
              </w:rPr>
            </w:pPr>
          </w:p>
        </w:tc>
        <w:tc>
          <w:tcPr>
            <w:tcW w:w="846" w:type="dxa"/>
            <w:tcBorders>
              <w:top w:val="single" w:sz="2" w:space="0" w:color="00B050"/>
              <w:left w:val="nil"/>
              <w:bottom w:val="single" w:sz="12" w:space="0" w:color="00B050"/>
              <w:right w:val="nil"/>
            </w:tcBorders>
          </w:tcPr>
          <w:p w:rsidR="00A62D7E" w:rsidRPr="00321847" w:rsidRDefault="00A62D7E" w:rsidP="00321847">
            <w:pPr>
              <w:pStyle w:val="CETBodytext"/>
              <w:rPr>
                <w:lang w:val="en-GB"/>
              </w:rPr>
            </w:pPr>
            <w:r w:rsidRPr="00321847">
              <w:rPr>
                <w:lang w:val="en-GB"/>
              </w:rPr>
              <w:t>k</w:t>
            </w:r>
            <w:r w:rsidRPr="00321847">
              <w:rPr>
                <w:vertAlign w:val="subscript"/>
                <w:lang w:val="en-GB"/>
              </w:rPr>
              <w:t>F</w:t>
            </w:r>
          </w:p>
        </w:tc>
        <w:tc>
          <w:tcPr>
            <w:tcW w:w="563" w:type="dxa"/>
            <w:tcBorders>
              <w:top w:val="single" w:sz="2" w:space="0" w:color="00B050"/>
              <w:left w:val="nil"/>
              <w:bottom w:val="single" w:sz="12" w:space="0" w:color="00B050"/>
              <w:right w:val="nil"/>
            </w:tcBorders>
          </w:tcPr>
          <w:p w:rsidR="00A62D7E" w:rsidRPr="00321847" w:rsidRDefault="00A62D7E" w:rsidP="00321847">
            <w:pPr>
              <w:pStyle w:val="CETBodytext"/>
              <w:rPr>
                <w:lang w:val="en-GB"/>
              </w:rPr>
            </w:pPr>
            <w:r w:rsidRPr="00321847">
              <w:rPr>
                <w:lang w:val="en-GB"/>
              </w:rPr>
              <w:t>n</w:t>
            </w:r>
          </w:p>
        </w:tc>
        <w:tc>
          <w:tcPr>
            <w:tcW w:w="707" w:type="dxa"/>
            <w:tcBorders>
              <w:top w:val="single" w:sz="2" w:space="0" w:color="00B050"/>
              <w:left w:val="nil"/>
              <w:bottom w:val="single" w:sz="12" w:space="0" w:color="00B050"/>
              <w:right w:val="nil"/>
            </w:tcBorders>
          </w:tcPr>
          <w:p w:rsidR="00A62D7E" w:rsidRPr="00321847" w:rsidRDefault="00A62D7E" w:rsidP="00321847">
            <w:pPr>
              <w:pStyle w:val="CETBodytext"/>
              <w:rPr>
                <w:lang w:val="en-GB"/>
              </w:rPr>
            </w:pPr>
            <w:r w:rsidRPr="00321847">
              <w:rPr>
                <w:lang w:val="en-GB"/>
              </w:rPr>
              <w:t>1/n</w:t>
            </w:r>
          </w:p>
        </w:tc>
        <w:tc>
          <w:tcPr>
            <w:tcW w:w="657" w:type="dxa"/>
            <w:tcBorders>
              <w:top w:val="single" w:sz="2" w:space="0" w:color="00B050"/>
              <w:left w:val="nil"/>
              <w:bottom w:val="single" w:sz="12" w:space="0" w:color="00B050"/>
              <w:right w:val="nil"/>
            </w:tcBorders>
            <w:vAlign w:val="center"/>
          </w:tcPr>
          <w:p w:rsidR="00A62D7E" w:rsidRPr="00321847" w:rsidRDefault="00A62D7E" w:rsidP="00321847">
            <w:pPr>
              <w:pStyle w:val="CETBodytext"/>
              <w:rPr>
                <w:lang w:val="en-GB"/>
              </w:rPr>
            </w:pPr>
            <w:r w:rsidRPr="00321847">
              <w:rPr>
                <w:lang w:val="en-GB"/>
              </w:rPr>
              <w:t>R</w:t>
            </w:r>
            <w:r w:rsidRPr="00321847">
              <w:rPr>
                <w:vertAlign w:val="superscript"/>
                <w:lang w:val="en-GB"/>
              </w:rPr>
              <w:t>2</w:t>
            </w:r>
          </w:p>
        </w:tc>
        <w:tc>
          <w:tcPr>
            <w:tcW w:w="939" w:type="dxa"/>
            <w:tcBorders>
              <w:top w:val="single" w:sz="2" w:space="0" w:color="00B050"/>
              <w:left w:val="nil"/>
              <w:bottom w:val="single" w:sz="12" w:space="0" w:color="00B050"/>
              <w:right w:val="nil"/>
            </w:tcBorders>
            <w:vAlign w:val="center"/>
          </w:tcPr>
          <w:p w:rsidR="00A62D7E" w:rsidRPr="00321847" w:rsidRDefault="00A62D7E" w:rsidP="00321847">
            <w:pPr>
              <w:pStyle w:val="CETBodytext"/>
              <w:rPr>
                <w:lang w:val="en-GB"/>
              </w:rPr>
            </w:pPr>
            <w:r w:rsidRPr="00321847">
              <w:rPr>
                <w:lang w:val="en-GB"/>
              </w:rPr>
              <w:t>HYBRID</w:t>
            </w:r>
          </w:p>
        </w:tc>
      </w:tr>
      <w:tr w:rsidR="00A62D7E" w:rsidRPr="00321847" w:rsidTr="00321847">
        <w:trPr>
          <w:trHeight w:val="57"/>
        </w:trPr>
        <w:tc>
          <w:tcPr>
            <w:tcW w:w="567" w:type="dxa"/>
            <w:tcBorders>
              <w:top w:val="single" w:sz="12" w:space="0" w:color="00B050"/>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25</w:t>
            </w:r>
          </w:p>
        </w:tc>
        <w:tc>
          <w:tcPr>
            <w:tcW w:w="567" w:type="dxa"/>
            <w:tcBorders>
              <w:top w:val="single" w:sz="12" w:space="0" w:color="00B050"/>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0.826</w:t>
            </w:r>
          </w:p>
        </w:tc>
        <w:tc>
          <w:tcPr>
            <w:tcW w:w="426" w:type="dxa"/>
            <w:tcBorders>
              <w:top w:val="single" w:sz="12" w:space="0" w:color="00B050"/>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24.988</w:t>
            </w:r>
          </w:p>
        </w:tc>
        <w:tc>
          <w:tcPr>
            <w:tcW w:w="760" w:type="dxa"/>
            <w:tcBorders>
              <w:top w:val="single" w:sz="12" w:space="0" w:color="00B050"/>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0.994</w:t>
            </w:r>
          </w:p>
        </w:tc>
        <w:tc>
          <w:tcPr>
            <w:tcW w:w="754" w:type="dxa"/>
            <w:tcBorders>
              <w:top w:val="single" w:sz="12" w:space="0" w:color="00B050"/>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0.526</w:t>
            </w:r>
          </w:p>
        </w:tc>
        <w:tc>
          <w:tcPr>
            <w:tcW w:w="283" w:type="dxa"/>
            <w:tcBorders>
              <w:top w:val="single" w:sz="12" w:space="0" w:color="00B050"/>
              <w:left w:val="nil"/>
              <w:bottom w:val="nil"/>
              <w:right w:val="nil"/>
            </w:tcBorders>
          </w:tcPr>
          <w:p w:rsidR="00A62D7E" w:rsidRPr="00321847" w:rsidRDefault="00A62D7E" w:rsidP="00321847">
            <w:pPr>
              <w:pStyle w:val="CETBodytext"/>
              <w:rPr>
                <w:lang w:val="en-GB"/>
              </w:rPr>
            </w:pPr>
          </w:p>
        </w:tc>
        <w:tc>
          <w:tcPr>
            <w:tcW w:w="846" w:type="dxa"/>
            <w:tcBorders>
              <w:top w:val="single" w:sz="12" w:space="0" w:color="00B050"/>
              <w:left w:val="nil"/>
              <w:bottom w:val="nil"/>
              <w:right w:val="nil"/>
            </w:tcBorders>
            <w:vAlign w:val="center"/>
          </w:tcPr>
          <w:p w:rsidR="00A62D7E" w:rsidRPr="00321847" w:rsidRDefault="00A62D7E" w:rsidP="00321847">
            <w:pPr>
              <w:pStyle w:val="CETBodytext"/>
              <w:rPr>
                <w:lang w:val="en-GB"/>
              </w:rPr>
            </w:pPr>
            <w:r w:rsidRPr="00321847">
              <w:rPr>
                <w:lang w:val="en-GB"/>
              </w:rPr>
              <w:t>1.341</w:t>
            </w:r>
          </w:p>
        </w:tc>
        <w:tc>
          <w:tcPr>
            <w:tcW w:w="563" w:type="dxa"/>
            <w:tcBorders>
              <w:top w:val="single" w:sz="12" w:space="0" w:color="00B050"/>
              <w:left w:val="nil"/>
              <w:bottom w:val="nil"/>
              <w:right w:val="nil"/>
            </w:tcBorders>
            <w:vAlign w:val="center"/>
          </w:tcPr>
          <w:p w:rsidR="00A62D7E" w:rsidRPr="00321847" w:rsidRDefault="00A62D7E" w:rsidP="00321847">
            <w:pPr>
              <w:pStyle w:val="CETBodytext"/>
              <w:rPr>
                <w:lang w:val="en-GB"/>
              </w:rPr>
            </w:pPr>
            <w:r w:rsidRPr="00321847">
              <w:rPr>
                <w:lang w:val="en-GB"/>
              </w:rPr>
              <w:t>2.616</w:t>
            </w:r>
          </w:p>
        </w:tc>
        <w:tc>
          <w:tcPr>
            <w:tcW w:w="707" w:type="dxa"/>
            <w:tcBorders>
              <w:top w:val="single" w:sz="12" w:space="0" w:color="00B050"/>
              <w:left w:val="nil"/>
              <w:bottom w:val="nil"/>
              <w:right w:val="nil"/>
            </w:tcBorders>
            <w:vAlign w:val="center"/>
          </w:tcPr>
          <w:p w:rsidR="00A62D7E" w:rsidRPr="00321847" w:rsidRDefault="00A62D7E" w:rsidP="00321847">
            <w:pPr>
              <w:pStyle w:val="CETBodytext"/>
              <w:rPr>
                <w:lang w:val="en-GB"/>
              </w:rPr>
            </w:pPr>
            <w:r w:rsidRPr="00321847">
              <w:rPr>
                <w:lang w:val="en-GB"/>
              </w:rPr>
              <w:t>0.382</w:t>
            </w:r>
          </w:p>
        </w:tc>
        <w:tc>
          <w:tcPr>
            <w:tcW w:w="657" w:type="dxa"/>
            <w:tcBorders>
              <w:top w:val="single" w:sz="12" w:space="0" w:color="00B050"/>
              <w:left w:val="nil"/>
              <w:bottom w:val="nil"/>
              <w:right w:val="nil"/>
            </w:tcBorders>
            <w:vAlign w:val="center"/>
          </w:tcPr>
          <w:p w:rsidR="00A62D7E" w:rsidRPr="00321847" w:rsidRDefault="00A62D7E" w:rsidP="00321847">
            <w:pPr>
              <w:pStyle w:val="CETBodytext"/>
              <w:rPr>
                <w:lang w:val="en-GB"/>
              </w:rPr>
            </w:pPr>
            <w:r w:rsidRPr="00321847">
              <w:rPr>
                <w:lang w:val="en-GB"/>
              </w:rPr>
              <w:t>0.999</w:t>
            </w:r>
          </w:p>
        </w:tc>
        <w:tc>
          <w:tcPr>
            <w:tcW w:w="939" w:type="dxa"/>
            <w:tcBorders>
              <w:top w:val="single" w:sz="12" w:space="0" w:color="00B050"/>
              <w:left w:val="nil"/>
              <w:bottom w:val="nil"/>
              <w:right w:val="nil"/>
            </w:tcBorders>
            <w:vAlign w:val="center"/>
          </w:tcPr>
          <w:p w:rsidR="00A62D7E" w:rsidRPr="00321847" w:rsidRDefault="00A62D7E" w:rsidP="00321847">
            <w:pPr>
              <w:pStyle w:val="CETBodytext"/>
              <w:rPr>
                <w:lang w:val="en-GB"/>
              </w:rPr>
            </w:pPr>
            <w:r w:rsidRPr="00321847">
              <w:rPr>
                <w:lang w:val="en-GB"/>
              </w:rPr>
              <w:t>0.035</w:t>
            </w:r>
          </w:p>
        </w:tc>
      </w:tr>
      <w:tr w:rsidR="00A62D7E" w:rsidRPr="00321847" w:rsidTr="00321847">
        <w:trPr>
          <w:trHeight w:val="57"/>
        </w:trPr>
        <w:tc>
          <w:tcPr>
            <w:tcW w:w="567"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40</w:t>
            </w:r>
          </w:p>
        </w:tc>
        <w:tc>
          <w:tcPr>
            <w:tcW w:w="567"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0.859</w:t>
            </w:r>
          </w:p>
        </w:tc>
        <w:tc>
          <w:tcPr>
            <w:tcW w:w="426"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14.968</w:t>
            </w:r>
          </w:p>
        </w:tc>
        <w:tc>
          <w:tcPr>
            <w:tcW w:w="760"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0.994</w:t>
            </w:r>
          </w:p>
        </w:tc>
        <w:tc>
          <w:tcPr>
            <w:tcW w:w="754"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0.479</w:t>
            </w:r>
          </w:p>
        </w:tc>
        <w:tc>
          <w:tcPr>
            <w:tcW w:w="283" w:type="dxa"/>
            <w:tcBorders>
              <w:top w:val="nil"/>
              <w:left w:val="nil"/>
              <w:bottom w:val="nil"/>
              <w:right w:val="nil"/>
            </w:tcBorders>
          </w:tcPr>
          <w:p w:rsidR="00A62D7E" w:rsidRPr="00321847" w:rsidRDefault="00A62D7E" w:rsidP="00321847">
            <w:pPr>
              <w:pStyle w:val="CETBodytext"/>
              <w:rPr>
                <w:lang w:val="en-GB"/>
              </w:rPr>
            </w:pPr>
          </w:p>
        </w:tc>
        <w:tc>
          <w:tcPr>
            <w:tcW w:w="846"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1.430</w:t>
            </w:r>
          </w:p>
        </w:tc>
        <w:tc>
          <w:tcPr>
            <w:tcW w:w="563"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2.129</w:t>
            </w:r>
          </w:p>
        </w:tc>
        <w:tc>
          <w:tcPr>
            <w:tcW w:w="707"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0.469</w:t>
            </w:r>
          </w:p>
        </w:tc>
        <w:tc>
          <w:tcPr>
            <w:tcW w:w="657"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0.999</w:t>
            </w:r>
          </w:p>
        </w:tc>
        <w:tc>
          <w:tcPr>
            <w:tcW w:w="939"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0.020</w:t>
            </w:r>
          </w:p>
        </w:tc>
      </w:tr>
      <w:tr w:rsidR="00A62D7E" w:rsidRPr="00321847" w:rsidTr="00321847">
        <w:trPr>
          <w:trHeight w:val="57"/>
        </w:trPr>
        <w:tc>
          <w:tcPr>
            <w:tcW w:w="567"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70</w:t>
            </w:r>
          </w:p>
        </w:tc>
        <w:tc>
          <w:tcPr>
            <w:tcW w:w="567"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0.684</w:t>
            </w:r>
          </w:p>
        </w:tc>
        <w:tc>
          <w:tcPr>
            <w:tcW w:w="426"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9.526</w:t>
            </w:r>
          </w:p>
        </w:tc>
        <w:tc>
          <w:tcPr>
            <w:tcW w:w="760"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0.994</w:t>
            </w:r>
          </w:p>
        </w:tc>
        <w:tc>
          <w:tcPr>
            <w:tcW w:w="754" w:type="dxa"/>
            <w:tcBorders>
              <w:top w:val="nil"/>
              <w:left w:val="nil"/>
              <w:bottom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0.352</w:t>
            </w:r>
          </w:p>
        </w:tc>
        <w:tc>
          <w:tcPr>
            <w:tcW w:w="283" w:type="dxa"/>
            <w:tcBorders>
              <w:top w:val="nil"/>
              <w:left w:val="nil"/>
              <w:bottom w:val="nil"/>
              <w:right w:val="nil"/>
            </w:tcBorders>
          </w:tcPr>
          <w:p w:rsidR="00A62D7E" w:rsidRPr="00321847" w:rsidRDefault="00A62D7E" w:rsidP="00321847">
            <w:pPr>
              <w:pStyle w:val="CETBodytext"/>
              <w:rPr>
                <w:lang w:val="en-GB"/>
              </w:rPr>
            </w:pPr>
          </w:p>
        </w:tc>
        <w:tc>
          <w:tcPr>
            <w:tcW w:w="846"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1.128</w:t>
            </w:r>
          </w:p>
        </w:tc>
        <w:tc>
          <w:tcPr>
            <w:tcW w:w="563"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1.808</w:t>
            </w:r>
          </w:p>
        </w:tc>
        <w:tc>
          <w:tcPr>
            <w:tcW w:w="707"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0.553</w:t>
            </w:r>
          </w:p>
        </w:tc>
        <w:tc>
          <w:tcPr>
            <w:tcW w:w="657"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0.999</w:t>
            </w:r>
          </w:p>
        </w:tc>
        <w:tc>
          <w:tcPr>
            <w:tcW w:w="939" w:type="dxa"/>
            <w:tcBorders>
              <w:top w:val="nil"/>
              <w:left w:val="nil"/>
              <w:bottom w:val="nil"/>
              <w:right w:val="nil"/>
            </w:tcBorders>
            <w:vAlign w:val="center"/>
          </w:tcPr>
          <w:p w:rsidR="00A62D7E" w:rsidRPr="00321847" w:rsidRDefault="00A62D7E" w:rsidP="00321847">
            <w:pPr>
              <w:pStyle w:val="CETBodytext"/>
              <w:rPr>
                <w:lang w:val="en-GB"/>
              </w:rPr>
            </w:pPr>
            <w:r w:rsidRPr="00321847">
              <w:rPr>
                <w:lang w:val="en-GB"/>
              </w:rPr>
              <w:t>0.076</w:t>
            </w:r>
          </w:p>
        </w:tc>
      </w:tr>
      <w:tr w:rsidR="00A62D7E" w:rsidRPr="00321847" w:rsidTr="00321847">
        <w:trPr>
          <w:trHeight w:val="57"/>
        </w:trPr>
        <w:tc>
          <w:tcPr>
            <w:tcW w:w="567" w:type="dxa"/>
            <w:tcBorders>
              <w:top w:val="nil"/>
              <w:left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100</w:t>
            </w:r>
          </w:p>
        </w:tc>
        <w:tc>
          <w:tcPr>
            <w:tcW w:w="567" w:type="dxa"/>
            <w:tcBorders>
              <w:top w:val="nil"/>
              <w:left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0.636</w:t>
            </w:r>
          </w:p>
        </w:tc>
        <w:tc>
          <w:tcPr>
            <w:tcW w:w="426" w:type="dxa"/>
            <w:tcBorders>
              <w:top w:val="nil"/>
              <w:left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4.556</w:t>
            </w:r>
          </w:p>
        </w:tc>
        <w:tc>
          <w:tcPr>
            <w:tcW w:w="760" w:type="dxa"/>
            <w:tcBorders>
              <w:top w:val="nil"/>
              <w:left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0.997</w:t>
            </w:r>
          </w:p>
        </w:tc>
        <w:tc>
          <w:tcPr>
            <w:tcW w:w="754" w:type="dxa"/>
            <w:tcBorders>
              <w:top w:val="nil"/>
              <w:left w:val="nil"/>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0.212</w:t>
            </w:r>
          </w:p>
        </w:tc>
        <w:tc>
          <w:tcPr>
            <w:tcW w:w="283" w:type="dxa"/>
            <w:tcBorders>
              <w:top w:val="nil"/>
              <w:left w:val="nil"/>
              <w:right w:val="nil"/>
            </w:tcBorders>
          </w:tcPr>
          <w:p w:rsidR="00A62D7E" w:rsidRPr="00321847" w:rsidRDefault="00A62D7E" w:rsidP="00321847">
            <w:pPr>
              <w:pStyle w:val="CETBodytext"/>
              <w:rPr>
                <w:lang w:val="en-GB"/>
              </w:rPr>
            </w:pPr>
          </w:p>
        </w:tc>
        <w:tc>
          <w:tcPr>
            <w:tcW w:w="846" w:type="dxa"/>
            <w:tcBorders>
              <w:top w:val="nil"/>
              <w:left w:val="nil"/>
              <w:right w:val="nil"/>
            </w:tcBorders>
            <w:vAlign w:val="center"/>
          </w:tcPr>
          <w:p w:rsidR="00A62D7E" w:rsidRPr="00321847" w:rsidRDefault="00A62D7E" w:rsidP="00321847">
            <w:pPr>
              <w:pStyle w:val="CETBodytext"/>
              <w:rPr>
                <w:lang w:val="en-GB"/>
              </w:rPr>
            </w:pPr>
            <w:r w:rsidRPr="00321847">
              <w:rPr>
                <w:lang w:val="en-GB"/>
              </w:rPr>
              <w:t>0.939</w:t>
            </w:r>
          </w:p>
        </w:tc>
        <w:tc>
          <w:tcPr>
            <w:tcW w:w="563" w:type="dxa"/>
            <w:tcBorders>
              <w:top w:val="nil"/>
              <w:left w:val="nil"/>
              <w:right w:val="nil"/>
            </w:tcBorders>
            <w:vAlign w:val="center"/>
          </w:tcPr>
          <w:p w:rsidR="00A62D7E" w:rsidRPr="00321847" w:rsidRDefault="00A62D7E" w:rsidP="00321847">
            <w:pPr>
              <w:pStyle w:val="CETBodytext"/>
              <w:rPr>
                <w:lang w:val="en-GB"/>
              </w:rPr>
            </w:pPr>
            <w:r w:rsidRPr="00321847">
              <w:rPr>
                <w:lang w:val="en-GB"/>
              </w:rPr>
              <w:t>1.448</w:t>
            </w:r>
          </w:p>
        </w:tc>
        <w:tc>
          <w:tcPr>
            <w:tcW w:w="707" w:type="dxa"/>
            <w:tcBorders>
              <w:top w:val="nil"/>
              <w:left w:val="nil"/>
              <w:right w:val="nil"/>
            </w:tcBorders>
            <w:vAlign w:val="center"/>
          </w:tcPr>
          <w:p w:rsidR="00A62D7E" w:rsidRPr="00321847" w:rsidRDefault="00A62D7E" w:rsidP="00321847">
            <w:pPr>
              <w:pStyle w:val="CETBodytext"/>
              <w:rPr>
                <w:lang w:val="en-GB"/>
              </w:rPr>
            </w:pPr>
            <w:r w:rsidRPr="00321847">
              <w:rPr>
                <w:lang w:val="en-GB"/>
              </w:rPr>
              <w:t>0.690</w:t>
            </w:r>
          </w:p>
        </w:tc>
        <w:tc>
          <w:tcPr>
            <w:tcW w:w="657" w:type="dxa"/>
            <w:tcBorders>
              <w:top w:val="nil"/>
              <w:left w:val="nil"/>
              <w:right w:val="nil"/>
            </w:tcBorders>
            <w:vAlign w:val="center"/>
          </w:tcPr>
          <w:p w:rsidR="00A62D7E" w:rsidRPr="00321847" w:rsidRDefault="00A62D7E" w:rsidP="00321847">
            <w:pPr>
              <w:pStyle w:val="CETBodytext"/>
              <w:rPr>
                <w:lang w:val="en-GB"/>
              </w:rPr>
            </w:pPr>
            <w:r w:rsidRPr="00321847">
              <w:rPr>
                <w:lang w:val="en-GB"/>
              </w:rPr>
              <w:t>0.999</w:t>
            </w:r>
          </w:p>
        </w:tc>
        <w:tc>
          <w:tcPr>
            <w:tcW w:w="939" w:type="dxa"/>
            <w:tcBorders>
              <w:top w:val="nil"/>
              <w:left w:val="nil"/>
              <w:right w:val="nil"/>
            </w:tcBorders>
            <w:vAlign w:val="center"/>
          </w:tcPr>
          <w:p w:rsidR="00A62D7E" w:rsidRPr="00321847" w:rsidRDefault="00A62D7E" w:rsidP="00321847">
            <w:pPr>
              <w:pStyle w:val="CETBodytext"/>
              <w:rPr>
                <w:lang w:val="en-GB"/>
              </w:rPr>
            </w:pPr>
            <w:r w:rsidRPr="00321847">
              <w:rPr>
                <w:lang w:val="en-GB"/>
              </w:rPr>
              <w:t>0.072</w:t>
            </w:r>
          </w:p>
        </w:tc>
      </w:tr>
      <w:tr w:rsidR="00A62D7E" w:rsidRPr="00321847" w:rsidTr="00321847">
        <w:trPr>
          <w:trHeight w:val="57"/>
        </w:trPr>
        <w:tc>
          <w:tcPr>
            <w:tcW w:w="567" w:type="dxa"/>
            <w:tcBorders>
              <w:top w:val="nil"/>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150</w:t>
            </w:r>
          </w:p>
        </w:tc>
        <w:tc>
          <w:tcPr>
            <w:tcW w:w="567" w:type="dxa"/>
            <w:tcBorders>
              <w:top w:val="nil"/>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0.493</w:t>
            </w:r>
          </w:p>
        </w:tc>
        <w:tc>
          <w:tcPr>
            <w:tcW w:w="426" w:type="dxa"/>
            <w:tcBorders>
              <w:top w:val="nil"/>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3.373</w:t>
            </w:r>
          </w:p>
        </w:tc>
        <w:tc>
          <w:tcPr>
            <w:tcW w:w="760" w:type="dxa"/>
            <w:tcBorders>
              <w:top w:val="nil"/>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0.998</w:t>
            </w:r>
          </w:p>
        </w:tc>
        <w:tc>
          <w:tcPr>
            <w:tcW w:w="754" w:type="dxa"/>
            <w:tcBorders>
              <w:top w:val="nil"/>
              <w:left w:val="nil"/>
              <w:bottom w:val="single" w:sz="12" w:space="0" w:color="00B050"/>
              <w:right w:val="nil"/>
            </w:tcBorders>
            <w:shd w:val="clear" w:color="auto" w:fill="auto"/>
            <w:noWrap/>
            <w:vAlign w:val="center"/>
            <w:hideMark/>
          </w:tcPr>
          <w:p w:rsidR="00A62D7E" w:rsidRPr="00321847" w:rsidRDefault="00A62D7E" w:rsidP="00321847">
            <w:pPr>
              <w:pStyle w:val="CETBodytext"/>
              <w:rPr>
                <w:lang w:val="en-GB"/>
              </w:rPr>
            </w:pPr>
            <w:r w:rsidRPr="00321847">
              <w:rPr>
                <w:lang w:val="en-GB"/>
              </w:rPr>
              <w:t>0.129</w:t>
            </w:r>
          </w:p>
        </w:tc>
        <w:tc>
          <w:tcPr>
            <w:tcW w:w="283" w:type="dxa"/>
            <w:tcBorders>
              <w:top w:val="nil"/>
              <w:left w:val="nil"/>
              <w:bottom w:val="single" w:sz="12" w:space="0" w:color="00B050"/>
              <w:right w:val="nil"/>
            </w:tcBorders>
          </w:tcPr>
          <w:p w:rsidR="00A62D7E" w:rsidRPr="00321847" w:rsidRDefault="00A62D7E" w:rsidP="00321847">
            <w:pPr>
              <w:pStyle w:val="CETBodytext"/>
              <w:rPr>
                <w:lang w:val="en-GB"/>
              </w:rPr>
            </w:pPr>
          </w:p>
        </w:tc>
        <w:tc>
          <w:tcPr>
            <w:tcW w:w="846" w:type="dxa"/>
            <w:tcBorders>
              <w:top w:val="nil"/>
              <w:left w:val="nil"/>
              <w:bottom w:val="single" w:sz="12" w:space="0" w:color="00B050"/>
              <w:right w:val="nil"/>
            </w:tcBorders>
            <w:vAlign w:val="center"/>
          </w:tcPr>
          <w:p w:rsidR="00A62D7E" w:rsidRPr="00321847" w:rsidRDefault="00A62D7E" w:rsidP="00321847">
            <w:pPr>
              <w:pStyle w:val="CETBodytext"/>
              <w:rPr>
                <w:lang w:val="en-GB"/>
              </w:rPr>
            </w:pPr>
            <w:r w:rsidRPr="00321847">
              <w:rPr>
                <w:lang w:val="en-GB"/>
              </w:rPr>
              <w:t>0.665</w:t>
            </w:r>
          </w:p>
        </w:tc>
        <w:tc>
          <w:tcPr>
            <w:tcW w:w="563" w:type="dxa"/>
            <w:tcBorders>
              <w:top w:val="nil"/>
              <w:left w:val="nil"/>
              <w:bottom w:val="single" w:sz="12" w:space="0" w:color="00B050"/>
              <w:right w:val="nil"/>
            </w:tcBorders>
            <w:vAlign w:val="center"/>
          </w:tcPr>
          <w:p w:rsidR="00A62D7E" w:rsidRPr="00321847" w:rsidRDefault="00A62D7E" w:rsidP="00321847">
            <w:pPr>
              <w:pStyle w:val="CETBodytext"/>
              <w:rPr>
                <w:lang w:val="en-GB"/>
              </w:rPr>
            </w:pPr>
            <w:r w:rsidRPr="00321847">
              <w:rPr>
                <w:lang w:val="en-GB"/>
              </w:rPr>
              <w:t>1.347</w:t>
            </w:r>
          </w:p>
        </w:tc>
        <w:tc>
          <w:tcPr>
            <w:tcW w:w="707" w:type="dxa"/>
            <w:tcBorders>
              <w:top w:val="nil"/>
              <w:left w:val="nil"/>
              <w:bottom w:val="single" w:sz="12" w:space="0" w:color="00B050"/>
              <w:right w:val="nil"/>
            </w:tcBorders>
            <w:vAlign w:val="center"/>
          </w:tcPr>
          <w:p w:rsidR="00A62D7E" w:rsidRPr="00321847" w:rsidRDefault="00A62D7E" w:rsidP="00321847">
            <w:pPr>
              <w:pStyle w:val="CETBodytext"/>
              <w:rPr>
                <w:lang w:val="en-GB"/>
              </w:rPr>
            </w:pPr>
            <w:r w:rsidRPr="00321847">
              <w:rPr>
                <w:lang w:val="en-GB"/>
              </w:rPr>
              <w:t>0.742</w:t>
            </w:r>
          </w:p>
        </w:tc>
        <w:tc>
          <w:tcPr>
            <w:tcW w:w="657" w:type="dxa"/>
            <w:tcBorders>
              <w:top w:val="nil"/>
              <w:left w:val="nil"/>
              <w:bottom w:val="single" w:sz="12" w:space="0" w:color="00B050"/>
              <w:right w:val="nil"/>
            </w:tcBorders>
            <w:vAlign w:val="center"/>
          </w:tcPr>
          <w:p w:rsidR="00A62D7E" w:rsidRPr="00321847" w:rsidRDefault="00A62D7E" w:rsidP="00321847">
            <w:pPr>
              <w:pStyle w:val="CETBodytext"/>
              <w:rPr>
                <w:lang w:val="en-GB"/>
              </w:rPr>
            </w:pPr>
            <w:r w:rsidRPr="00321847">
              <w:rPr>
                <w:lang w:val="en-GB"/>
              </w:rPr>
              <w:t>0.999</w:t>
            </w:r>
          </w:p>
        </w:tc>
        <w:tc>
          <w:tcPr>
            <w:tcW w:w="939" w:type="dxa"/>
            <w:tcBorders>
              <w:top w:val="nil"/>
              <w:left w:val="nil"/>
              <w:bottom w:val="single" w:sz="12" w:space="0" w:color="00B050"/>
              <w:right w:val="nil"/>
            </w:tcBorders>
            <w:vAlign w:val="center"/>
          </w:tcPr>
          <w:p w:rsidR="00A62D7E" w:rsidRPr="00321847" w:rsidRDefault="00A62D7E" w:rsidP="00321847">
            <w:pPr>
              <w:pStyle w:val="CETBodytext"/>
              <w:rPr>
                <w:lang w:val="en-GB"/>
              </w:rPr>
            </w:pPr>
            <w:r w:rsidRPr="00321847">
              <w:rPr>
                <w:lang w:val="en-GB"/>
              </w:rPr>
              <w:t>0.055</w:t>
            </w:r>
          </w:p>
        </w:tc>
      </w:tr>
      <w:bookmarkEnd w:id="2"/>
      <w:bookmarkEnd w:id="3"/>
      <w:bookmarkEnd w:id="4"/>
    </w:tbl>
    <w:p w:rsidR="00A62D7E" w:rsidRPr="00381487" w:rsidRDefault="00A62D7E" w:rsidP="00A62D7E">
      <w:pPr>
        <w:pStyle w:val="CETBodytext"/>
      </w:pPr>
    </w:p>
    <w:p w:rsidR="00A62D7E" w:rsidRPr="00381487" w:rsidRDefault="00F45C8A" w:rsidP="00A62D7E">
      <w:pPr>
        <w:pStyle w:val="CETBodytext"/>
        <w:rPr>
          <w:szCs w:val="18"/>
        </w:rPr>
      </w:pPr>
      <w:r>
        <w:rPr>
          <w:szCs w:val="18"/>
        </w:rPr>
        <w:t>Figure</w:t>
      </w:r>
      <w:r w:rsidR="00A62D7E" w:rsidRPr="00381487">
        <w:rPr>
          <w:szCs w:val="18"/>
        </w:rPr>
        <w:t xml:space="preserve"> 2a reports van’t Hoff plot for the natural tuff in the temperature range of 25 - 150 °C. The values of ΔH</w:t>
      </w:r>
      <w:r w:rsidR="00A62D7E" w:rsidRPr="00381487">
        <w:rPr>
          <w:szCs w:val="18"/>
          <w:vertAlign w:val="superscript"/>
        </w:rPr>
        <w:t>0</w:t>
      </w:r>
      <w:r w:rsidR="00A62D7E" w:rsidRPr="00381487">
        <w:rPr>
          <w:szCs w:val="18"/>
        </w:rPr>
        <w:t>, ΔS</w:t>
      </w:r>
      <w:r w:rsidR="00A62D7E" w:rsidRPr="00381487">
        <w:rPr>
          <w:szCs w:val="18"/>
          <w:vertAlign w:val="superscript"/>
        </w:rPr>
        <w:t>0</w:t>
      </w:r>
      <w:r w:rsidR="00A62D7E" w:rsidRPr="00381487">
        <w:rPr>
          <w:szCs w:val="18"/>
        </w:rPr>
        <w:t xml:space="preserve"> and ΔG</w:t>
      </w:r>
      <w:r w:rsidR="00A62D7E" w:rsidRPr="00381487">
        <w:rPr>
          <w:szCs w:val="18"/>
          <w:vertAlign w:val="superscript"/>
        </w:rPr>
        <w:t>0</w:t>
      </w:r>
      <w:r w:rsidR="00A62D7E" w:rsidRPr="00381487">
        <w:rPr>
          <w:szCs w:val="18"/>
        </w:rPr>
        <w:t xml:space="preserve"> are listed in Table 2. ΔG</w:t>
      </w:r>
      <w:r w:rsidR="00A62D7E" w:rsidRPr="00381487">
        <w:rPr>
          <w:szCs w:val="18"/>
          <w:vertAlign w:val="superscript"/>
        </w:rPr>
        <w:t>0</w:t>
      </w:r>
      <w:r w:rsidR="00A62D7E" w:rsidRPr="00381487">
        <w:rPr>
          <w:szCs w:val="18"/>
        </w:rPr>
        <w:t xml:space="preserve"> is always negative, thus indicating that the </w:t>
      </w:r>
      <w:r w:rsidR="008869A5" w:rsidRPr="00D7150B">
        <w:rPr>
          <w:rFonts w:cs="Arial"/>
          <w:szCs w:val="18"/>
        </w:rPr>
        <w:t>CO</w:t>
      </w:r>
      <w:r w:rsidR="008869A5" w:rsidRPr="00D7150B">
        <w:rPr>
          <w:rFonts w:cs="Arial"/>
          <w:szCs w:val="18"/>
          <w:vertAlign w:val="subscript"/>
        </w:rPr>
        <w:t>2</w:t>
      </w:r>
      <w:r w:rsidR="00A62D7E" w:rsidRPr="00381487">
        <w:rPr>
          <w:szCs w:val="18"/>
        </w:rPr>
        <w:t xml:space="preserve"> adsorption process on the tuff occurs favorably and spontaneously at all the adopted adsorption temperatures. Besides that, the van’t Hoff plot exhibits an increasing trend; i.e. when temperature is increased, the magnitude of ΔG</w:t>
      </w:r>
      <w:r w:rsidR="00A62D7E" w:rsidRPr="00381487">
        <w:rPr>
          <w:szCs w:val="18"/>
          <w:vertAlign w:val="superscript"/>
        </w:rPr>
        <w:t>0</w:t>
      </w:r>
      <w:r w:rsidR="00A62D7E" w:rsidRPr="00381487">
        <w:rPr>
          <w:szCs w:val="18"/>
        </w:rPr>
        <w:t xml:space="preserve"> is decreased, which is a confirmation of the adsorption feasibility decreasing at higher temperatures. This is also in line with the above reported adsorption isotherms. ΔH</w:t>
      </w:r>
      <w:r w:rsidR="00A62D7E" w:rsidRPr="00381487">
        <w:rPr>
          <w:szCs w:val="18"/>
          <w:vertAlign w:val="superscript"/>
        </w:rPr>
        <w:t>0</w:t>
      </w:r>
      <w:r w:rsidR="00A62D7E" w:rsidRPr="00381487">
        <w:rPr>
          <w:szCs w:val="18"/>
        </w:rPr>
        <w:t xml:space="preserve"> is also negative, which further confirms the exothermicity of the adsorption process, i.e. energy in form of heat is generated into its surroundings during the adsorptive process since new physical/chemical bonds are formed. As regards its magnitude, ΔH</w:t>
      </w:r>
      <w:r w:rsidR="00A62D7E" w:rsidRPr="00381487">
        <w:rPr>
          <w:szCs w:val="18"/>
          <w:vertAlign w:val="superscript"/>
        </w:rPr>
        <w:t>0</w:t>
      </w:r>
      <w:r w:rsidR="00A62D7E" w:rsidRPr="00381487">
        <w:rPr>
          <w:szCs w:val="18"/>
        </w:rPr>
        <w:t xml:space="preserve"> values are lower than 20 kJ mol</w:t>
      </w:r>
      <w:r w:rsidR="00A62D7E" w:rsidRPr="00381487">
        <w:rPr>
          <w:szCs w:val="18"/>
          <w:vertAlign w:val="superscript"/>
        </w:rPr>
        <w:t>-1</w:t>
      </w:r>
      <w:r w:rsidR="00A62D7E" w:rsidRPr="00381487">
        <w:rPr>
          <w:szCs w:val="18"/>
        </w:rPr>
        <w:t xml:space="preserve">, thus confirming that </w:t>
      </w:r>
      <w:r w:rsidR="008869A5" w:rsidRPr="00D7150B">
        <w:rPr>
          <w:rFonts w:cs="Arial"/>
          <w:szCs w:val="18"/>
        </w:rPr>
        <w:t>CO</w:t>
      </w:r>
      <w:r w:rsidR="008869A5" w:rsidRPr="00D7150B">
        <w:rPr>
          <w:rFonts w:cs="Arial"/>
          <w:szCs w:val="18"/>
          <w:vertAlign w:val="subscript"/>
        </w:rPr>
        <w:t>2</w:t>
      </w:r>
      <w:r w:rsidR="00A62D7E" w:rsidRPr="00381487">
        <w:rPr>
          <w:szCs w:val="18"/>
        </w:rPr>
        <w:t xml:space="preserve"> adsorption on the tuff is physical in nature </w:t>
      </w:r>
      <w:r w:rsidR="00A62D7E" w:rsidRPr="00381487">
        <w:rPr>
          <w:szCs w:val="18"/>
        </w:rPr>
        <w:fldChar w:fldCharType="begin" w:fldLock="1"/>
      </w:r>
      <w:r w:rsidR="008869A5">
        <w:rPr>
          <w:szCs w:val="18"/>
        </w:rPr>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00A62D7E" w:rsidRPr="00381487">
        <w:rPr>
          <w:szCs w:val="18"/>
        </w:rPr>
        <w:fldChar w:fldCharType="separate"/>
      </w:r>
      <w:r w:rsidR="008A5C81" w:rsidRPr="008A5C81">
        <w:rPr>
          <w:noProof/>
          <w:szCs w:val="18"/>
        </w:rPr>
        <w:t>(Raganati et al., 2018)</w:t>
      </w:r>
      <w:r w:rsidR="00A62D7E" w:rsidRPr="00381487">
        <w:rPr>
          <w:szCs w:val="18"/>
        </w:rPr>
        <w:fldChar w:fldCharType="end"/>
      </w:r>
      <w:r w:rsidR="00A62D7E" w:rsidRPr="00381487">
        <w:rPr>
          <w:szCs w:val="18"/>
        </w:rPr>
        <w:t>. Finally, ΔS</w:t>
      </w:r>
      <w:r w:rsidR="00A62D7E" w:rsidRPr="00381487">
        <w:rPr>
          <w:szCs w:val="18"/>
          <w:vertAlign w:val="superscript"/>
        </w:rPr>
        <w:t>0</w:t>
      </w:r>
      <w:r w:rsidR="00A62D7E" w:rsidRPr="00381487">
        <w:rPr>
          <w:szCs w:val="18"/>
        </w:rPr>
        <w:t xml:space="preserve"> is also negative, meaning that the disorder and randomness of the system decrease during the adsorption process. Indeed, when adsorbed on the tuff surface, the </w:t>
      </w:r>
      <w:r w:rsidR="008869A5" w:rsidRPr="00D7150B">
        <w:rPr>
          <w:rFonts w:cs="Arial"/>
          <w:szCs w:val="18"/>
        </w:rPr>
        <w:t>CO</w:t>
      </w:r>
      <w:r w:rsidR="008869A5" w:rsidRPr="00D7150B">
        <w:rPr>
          <w:rFonts w:cs="Arial"/>
          <w:szCs w:val="18"/>
          <w:vertAlign w:val="subscript"/>
        </w:rPr>
        <w:t>2</w:t>
      </w:r>
      <w:r w:rsidR="00A62D7E" w:rsidRPr="00381487">
        <w:rPr>
          <w:szCs w:val="18"/>
        </w:rPr>
        <w:t xml:space="preserve"> molecules lose the freedom of movement they have in the gaseous phase </w:t>
      </w:r>
      <w:r w:rsidR="00A62D7E" w:rsidRPr="00381487">
        <w:rPr>
          <w:szCs w:val="18"/>
        </w:rPr>
        <w:fldChar w:fldCharType="begin" w:fldLock="1"/>
      </w:r>
      <w:r w:rsidR="008869A5">
        <w:rPr>
          <w:szCs w:val="18"/>
        </w:rPr>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00A62D7E" w:rsidRPr="00381487">
        <w:rPr>
          <w:szCs w:val="18"/>
        </w:rPr>
        <w:fldChar w:fldCharType="separate"/>
      </w:r>
      <w:r w:rsidR="008A5C81" w:rsidRPr="008A5C81">
        <w:rPr>
          <w:noProof/>
          <w:szCs w:val="18"/>
        </w:rPr>
        <w:t>(Raganati et al., 2018)</w:t>
      </w:r>
      <w:r w:rsidR="00A62D7E" w:rsidRPr="00381487">
        <w:rPr>
          <w:szCs w:val="18"/>
        </w:rPr>
        <w:fldChar w:fldCharType="end"/>
      </w:r>
      <w:r w:rsidR="00A62D7E" w:rsidRPr="00381487">
        <w:rPr>
          <w:szCs w:val="18"/>
        </w:rPr>
        <w:t>.</w:t>
      </w:r>
    </w:p>
    <w:p w:rsidR="00A62D7E" w:rsidRPr="00A62D7E" w:rsidRDefault="00E82805" w:rsidP="00E82805">
      <w:pPr>
        <w:jc w:val="left"/>
        <w:rPr>
          <w:snapToGrid w:val="0"/>
          <w:sz w:val="24"/>
          <w:lang w:val="en-US"/>
        </w:rPr>
      </w:pPr>
      <w:r w:rsidRPr="00381487">
        <w:rPr>
          <w:noProof/>
          <w:lang w:val="it-IT" w:eastAsia="it-IT"/>
        </w:rPr>
        <mc:AlternateContent>
          <mc:Choice Requires="wps">
            <w:drawing>
              <wp:anchor distT="0" distB="0" distL="114300" distR="114300" simplePos="0" relativeHeight="251660288" behindDoc="0" locked="0" layoutInCell="1" allowOverlap="1" wp14:anchorId="69E48241" wp14:editId="7E65E83A">
                <wp:simplePos x="0" y="0"/>
                <wp:positionH relativeFrom="column">
                  <wp:posOffset>3832971</wp:posOffset>
                </wp:positionH>
                <wp:positionV relativeFrom="paragraph">
                  <wp:posOffset>81556</wp:posOffset>
                </wp:positionV>
                <wp:extent cx="307238" cy="402336"/>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307238" cy="402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2D7E" w:rsidRPr="00D30845" w:rsidRDefault="00A62D7E" w:rsidP="00A62D7E">
                            <w:pPr>
                              <w:rPr>
                                <w:b/>
                                <w:sz w:val="32"/>
                              </w:rPr>
                            </w:pPr>
                            <w:r w:rsidRPr="00D30845">
                              <w:rPr>
                                <w:b/>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E48241" id="_x0000_t202" coordsize="21600,21600" o:spt="202" path="m,l,21600r21600,l21600,xe">
                <v:stroke joinstyle="miter"/>
                <v:path gradientshapeok="t" o:connecttype="rect"/>
              </v:shapetype>
              <v:shape id="Casella di testo 3" o:spid="_x0000_s1026" type="#_x0000_t202" style="position:absolute;margin-left:301.8pt;margin-top:6.4pt;width:24.2pt;height:3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" filled="f" stroked="f" strokeweight=".5pt">
                <v:textbox>
                  <w:txbxContent>
                    <w:p w:rsidR="00A62D7E" w:rsidRPr="00D30845" w:rsidRDefault="00A62D7E" w:rsidP="00A62D7E">
                      <w:pPr>
                        <w:rPr>
                          <w:b/>
                          <w:sz w:val="32"/>
                        </w:rPr>
                      </w:pPr>
                      <w:r w:rsidRPr="00D30845">
                        <w:rPr>
                          <w:b/>
                          <w:sz w:val="32"/>
                        </w:rPr>
                        <w:t>b</w:t>
                      </w:r>
                    </w:p>
                  </w:txbxContent>
                </v:textbox>
              </v:shape>
            </w:pict>
          </mc:Fallback>
        </mc:AlternateContent>
      </w:r>
      <w:r w:rsidRPr="00381487">
        <w:rPr>
          <w:noProof/>
          <w:lang w:val="it-IT" w:eastAsia="it-IT"/>
        </w:rPr>
        <mc:AlternateContent>
          <mc:Choice Requires="wps">
            <w:drawing>
              <wp:anchor distT="0" distB="0" distL="114300" distR="114300" simplePos="0" relativeHeight="251659264" behindDoc="0" locked="0" layoutInCell="1" allowOverlap="1" wp14:anchorId="268AF980" wp14:editId="3C9263DD">
                <wp:simplePos x="0" y="0"/>
                <wp:positionH relativeFrom="column">
                  <wp:posOffset>1745091</wp:posOffset>
                </wp:positionH>
                <wp:positionV relativeFrom="paragraph">
                  <wp:posOffset>82771</wp:posOffset>
                </wp:positionV>
                <wp:extent cx="314553" cy="402336"/>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14553" cy="402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2D7E" w:rsidRPr="00D30845" w:rsidRDefault="00A62D7E" w:rsidP="00A62D7E">
                            <w:pPr>
                              <w:rPr>
                                <w:b/>
                                <w:sz w:val="32"/>
                                <w:szCs w:val="32"/>
                              </w:rPr>
                            </w:pPr>
                            <w:r w:rsidRPr="00D30845">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AF980" id="Casella di testo 8" o:spid="_x0000_s1027" type="#_x0000_t202" style="position:absolute;margin-left:137.4pt;margin-top:6.5pt;width:24.75pt;height:3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" filled="f" stroked="f" strokeweight=".5pt">
                <v:textbox>
                  <w:txbxContent>
                    <w:p w:rsidR="00A62D7E" w:rsidRPr="00D30845" w:rsidRDefault="00A62D7E" w:rsidP="00A62D7E">
                      <w:pPr>
                        <w:rPr>
                          <w:b/>
                          <w:sz w:val="32"/>
                          <w:szCs w:val="32"/>
                        </w:rPr>
                      </w:pPr>
                      <w:r w:rsidRPr="00D30845">
                        <w:rPr>
                          <w:b/>
                          <w:sz w:val="32"/>
                          <w:szCs w:val="32"/>
                        </w:rPr>
                        <w:t>a</w:t>
                      </w:r>
                    </w:p>
                  </w:txbxContent>
                </v:textbox>
              </v:shape>
            </w:pict>
          </mc:Fallback>
        </mc:AlternateContent>
      </w:r>
      <w:r w:rsidR="00A62D7E" w:rsidRPr="00381487">
        <w:rPr>
          <w:noProof/>
          <w:lang w:val="it-IT" w:eastAsia="it-IT"/>
        </w:rPr>
        <w:drawing>
          <wp:inline distT="0" distB="0" distL="0" distR="0" wp14:anchorId="570DF03F" wp14:editId="4CC68E5B">
            <wp:extent cx="2117963" cy="162000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418"/>
                    <a:stretch/>
                  </pic:blipFill>
                  <pic:spPr bwMode="auto">
                    <a:xfrm>
                      <a:off x="0" y="0"/>
                      <a:ext cx="2117963" cy="1620000"/>
                    </a:xfrm>
                    <a:prstGeom prst="rect">
                      <a:avLst/>
                    </a:prstGeom>
                    <a:noFill/>
                    <a:ln>
                      <a:noFill/>
                    </a:ln>
                    <a:extLst>
                      <a:ext uri="{53640926-AAD7-44D8-BBD7-CCE9431645EC}">
                        <a14:shadowObscured xmlns:a14="http://schemas.microsoft.com/office/drawing/2010/main"/>
                      </a:ext>
                    </a:extLst>
                  </pic:spPr>
                </pic:pic>
              </a:graphicData>
            </a:graphic>
          </wp:inline>
        </w:drawing>
      </w:r>
      <w:r w:rsidR="00A62D7E" w:rsidRPr="00381487">
        <w:rPr>
          <w:noProof/>
          <w:lang w:val="it-IT" w:eastAsia="it-IT"/>
        </w:rPr>
        <w:drawing>
          <wp:inline distT="0" distB="0" distL="0" distR="0" wp14:anchorId="7850215B" wp14:editId="351C9A45">
            <wp:extent cx="2065937" cy="1620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418"/>
                    <a:stretch/>
                  </pic:blipFill>
                  <pic:spPr bwMode="auto">
                    <a:xfrm>
                      <a:off x="0" y="0"/>
                      <a:ext cx="2065937"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A62D7E" w:rsidRPr="00381487" w:rsidRDefault="00A62D7E" w:rsidP="00A62D7E">
      <w:pPr>
        <w:pStyle w:val="CETCaption"/>
        <w:spacing w:before="0"/>
        <w:rPr>
          <w:lang w:val="en-US"/>
        </w:rPr>
      </w:pPr>
      <w:r w:rsidRPr="00381487">
        <w:rPr>
          <w:lang w:val="en-US"/>
        </w:rPr>
        <w:t xml:space="preserve">Figure 2: a) Van’t Hoff plot. b) Variation of the isosteric heat of adsorption with the </w:t>
      </w:r>
      <w:r w:rsidR="008869A5" w:rsidRPr="00D7150B">
        <w:rPr>
          <w:rFonts w:cs="Arial"/>
          <w:szCs w:val="18"/>
        </w:rPr>
        <w:t>CO</w:t>
      </w:r>
      <w:r w:rsidR="008869A5" w:rsidRPr="00D7150B">
        <w:rPr>
          <w:rFonts w:cs="Arial"/>
          <w:szCs w:val="18"/>
          <w:vertAlign w:val="subscript"/>
        </w:rPr>
        <w:t>2</w:t>
      </w:r>
      <w:r w:rsidRPr="00381487">
        <w:rPr>
          <w:lang w:val="en-US"/>
        </w:rPr>
        <w:t xml:space="preserve"> loading.</w:t>
      </w:r>
    </w:p>
    <w:p w:rsidR="00A62D7E" w:rsidRPr="00960BB6" w:rsidRDefault="00A62D7E" w:rsidP="00960BB6">
      <w:pPr>
        <w:pStyle w:val="CETTabletitle"/>
      </w:pPr>
      <w:r w:rsidRPr="00960BB6">
        <w:t xml:space="preserve">Table 2. Thermodynamic properties for </w:t>
      </w:r>
      <w:r w:rsidR="008869A5" w:rsidRPr="00D7150B">
        <w:rPr>
          <w:rFonts w:cs="Arial"/>
          <w:szCs w:val="18"/>
        </w:rPr>
        <w:t>CO</w:t>
      </w:r>
      <w:r w:rsidR="008869A5" w:rsidRPr="00D7150B">
        <w:rPr>
          <w:rFonts w:cs="Arial"/>
          <w:szCs w:val="18"/>
          <w:vertAlign w:val="subscript"/>
        </w:rPr>
        <w:t>2</w:t>
      </w:r>
      <w:r w:rsidRPr="00960BB6">
        <w:t xml:space="preserve"> adsorption on the natural tuff.</w:t>
      </w:r>
    </w:p>
    <w:tbl>
      <w:tblPr>
        <w:tblStyle w:val="Grigliatabella"/>
        <w:tblW w:w="7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425"/>
        <w:gridCol w:w="998"/>
        <w:gridCol w:w="998"/>
        <w:gridCol w:w="998"/>
        <w:gridCol w:w="1005"/>
        <w:gridCol w:w="919"/>
      </w:tblGrid>
      <w:tr w:rsidR="00A62D7E" w:rsidRPr="00960BB6" w:rsidTr="009A5AB4">
        <w:trPr>
          <w:trHeight w:val="57"/>
        </w:trPr>
        <w:tc>
          <w:tcPr>
            <w:tcW w:w="1134" w:type="dxa"/>
            <w:tcBorders>
              <w:top w:val="single" w:sz="12" w:space="0" w:color="00B050"/>
              <w:bottom w:val="single" w:sz="2" w:space="0" w:color="00B050"/>
            </w:tcBorders>
            <w:vAlign w:val="center"/>
          </w:tcPr>
          <w:p w:rsidR="00A62D7E" w:rsidRPr="00960BB6" w:rsidRDefault="00A62D7E" w:rsidP="00960BB6">
            <w:pPr>
              <w:pStyle w:val="CETBodytext"/>
              <w:rPr>
                <w:lang w:val="en-GB"/>
              </w:rPr>
            </w:pPr>
            <w:r w:rsidRPr="00960BB6">
              <w:rPr>
                <w:rFonts w:ascii="Symbol" w:hAnsi="Symbol"/>
                <w:lang w:val="en-GB"/>
              </w:rPr>
              <w:t></w:t>
            </w:r>
            <w:r w:rsidRPr="00960BB6">
              <w:rPr>
                <w:lang w:val="en-GB"/>
              </w:rPr>
              <w:t>H</w:t>
            </w:r>
            <w:r w:rsidRPr="00960BB6">
              <w:rPr>
                <w:vertAlign w:val="superscript"/>
                <w:lang w:val="en-GB"/>
              </w:rPr>
              <w:t>0</w:t>
            </w:r>
          </w:p>
        </w:tc>
        <w:tc>
          <w:tcPr>
            <w:tcW w:w="1134" w:type="dxa"/>
            <w:tcBorders>
              <w:top w:val="single" w:sz="12" w:space="0" w:color="00B050"/>
              <w:bottom w:val="single" w:sz="2" w:space="0" w:color="00B050"/>
            </w:tcBorders>
            <w:vAlign w:val="center"/>
          </w:tcPr>
          <w:p w:rsidR="00A62D7E" w:rsidRPr="00960BB6" w:rsidRDefault="00960BB6" w:rsidP="00960BB6">
            <w:pPr>
              <w:pStyle w:val="CETBodytext"/>
              <w:rPr>
                <w:lang w:val="en-GB"/>
              </w:rPr>
            </w:pPr>
            <w:r w:rsidRPr="00960BB6">
              <w:rPr>
                <w:rFonts w:ascii="Symbol" w:hAnsi="Symbol"/>
                <w:lang w:val="en-GB"/>
              </w:rPr>
              <w:t></w:t>
            </w:r>
            <w:r w:rsidR="00A62D7E" w:rsidRPr="00960BB6">
              <w:rPr>
                <w:lang w:val="en-GB"/>
              </w:rPr>
              <w:t>S</w:t>
            </w:r>
            <w:r w:rsidR="00A62D7E" w:rsidRPr="00960BB6">
              <w:rPr>
                <w:vertAlign w:val="superscript"/>
                <w:lang w:val="en-GB"/>
              </w:rPr>
              <w:t>0</w:t>
            </w:r>
          </w:p>
        </w:tc>
        <w:tc>
          <w:tcPr>
            <w:tcW w:w="425" w:type="dxa"/>
            <w:tcBorders>
              <w:top w:val="single" w:sz="12" w:space="0" w:color="00B050"/>
              <w:bottom w:val="single" w:sz="2" w:space="0" w:color="00B050"/>
            </w:tcBorders>
          </w:tcPr>
          <w:p w:rsidR="00A62D7E" w:rsidRPr="00960BB6" w:rsidRDefault="00A62D7E" w:rsidP="00960BB6">
            <w:pPr>
              <w:pStyle w:val="CETBodytext"/>
              <w:rPr>
                <w:lang w:val="en-GB"/>
              </w:rPr>
            </w:pPr>
          </w:p>
        </w:tc>
        <w:tc>
          <w:tcPr>
            <w:tcW w:w="4918" w:type="dxa"/>
            <w:gridSpan w:val="5"/>
            <w:tcBorders>
              <w:top w:val="single" w:sz="12" w:space="0" w:color="00B050"/>
              <w:bottom w:val="single" w:sz="2" w:space="0" w:color="00B050"/>
            </w:tcBorders>
            <w:vAlign w:val="center"/>
          </w:tcPr>
          <w:p w:rsidR="00A62D7E" w:rsidRPr="00960BB6" w:rsidRDefault="00960BB6" w:rsidP="00960BB6">
            <w:pPr>
              <w:pStyle w:val="CETBodytext"/>
              <w:rPr>
                <w:lang w:val="en-GB"/>
              </w:rPr>
            </w:pPr>
            <w:r w:rsidRPr="00960BB6">
              <w:rPr>
                <w:rFonts w:ascii="Symbol" w:hAnsi="Symbol"/>
                <w:lang w:val="en-GB"/>
              </w:rPr>
              <w:t></w:t>
            </w:r>
            <w:r w:rsidR="00A62D7E" w:rsidRPr="00960BB6">
              <w:rPr>
                <w:lang w:val="en-GB"/>
              </w:rPr>
              <w:t>G</w:t>
            </w:r>
            <w:r w:rsidR="00A62D7E" w:rsidRPr="00960BB6">
              <w:rPr>
                <w:vertAlign w:val="superscript"/>
                <w:lang w:val="en-GB"/>
              </w:rPr>
              <w:t>0</w:t>
            </w:r>
          </w:p>
        </w:tc>
      </w:tr>
      <w:tr w:rsidR="00A62D7E" w:rsidRPr="00960BB6" w:rsidTr="009A5AB4">
        <w:trPr>
          <w:trHeight w:val="57"/>
        </w:trPr>
        <w:tc>
          <w:tcPr>
            <w:tcW w:w="1134" w:type="dxa"/>
            <w:vMerge w:val="restart"/>
            <w:tcBorders>
              <w:top w:val="single" w:sz="2" w:space="0" w:color="00B050"/>
            </w:tcBorders>
            <w:vAlign w:val="center"/>
          </w:tcPr>
          <w:p w:rsidR="00A62D7E" w:rsidRPr="00960BB6" w:rsidRDefault="00A62D7E" w:rsidP="00960BB6">
            <w:pPr>
              <w:pStyle w:val="CETBodytext"/>
              <w:rPr>
                <w:lang w:val="en-GB"/>
              </w:rPr>
            </w:pPr>
            <w:r w:rsidRPr="00960BB6">
              <w:rPr>
                <w:lang w:val="en-GB"/>
              </w:rPr>
              <w:t>-17.04</w:t>
            </w:r>
          </w:p>
        </w:tc>
        <w:tc>
          <w:tcPr>
            <w:tcW w:w="1134" w:type="dxa"/>
            <w:vMerge w:val="restart"/>
            <w:tcBorders>
              <w:top w:val="single" w:sz="2" w:space="0" w:color="00B050"/>
            </w:tcBorders>
            <w:vAlign w:val="center"/>
          </w:tcPr>
          <w:p w:rsidR="00A62D7E" w:rsidRPr="00960BB6" w:rsidRDefault="00A62D7E" w:rsidP="00960BB6">
            <w:pPr>
              <w:pStyle w:val="CETBodytext"/>
              <w:rPr>
                <w:lang w:val="en-GB"/>
              </w:rPr>
            </w:pPr>
            <w:r w:rsidRPr="00960BB6">
              <w:rPr>
                <w:lang w:val="en-GB"/>
              </w:rPr>
              <w:t>-0.031</w:t>
            </w:r>
          </w:p>
        </w:tc>
        <w:tc>
          <w:tcPr>
            <w:tcW w:w="425" w:type="dxa"/>
            <w:tcBorders>
              <w:top w:val="single" w:sz="2" w:space="0" w:color="00B050"/>
            </w:tcBorders>
            <w:vAlign w:val="bottom"/>
          </w:tcPr>
          <w:p w:rsidR="00A62D7E" w:rsidRPr="00960BB6" w:rsidRDefault="00A62D7E" w:rsidP="00960BB6">
            <w:pPr>
              <w:pStyle w:val="CETBodytext"/>
              <w:rPr>
                <w:lang w:val="en-GB"/>
              </w:rPr>
            </w:pPr>
          </w:p>
        </w:tc>
        <w:tc>
          <w:tcPr>
            <w:tcW w:w="998" w:type="dxa"/>
            <w:tcBorders>
              <w:top w:val="single" w:sz="2" w:space="0" w:color="00B050"/>
              <w:bottom w:val="single" w:sz="2" w:space="0" w:color="00B050"/>
            </w:tcBorders>
            <w:vAlign w:val="center"/>
          </w:tcPr>
          <w:p w:rsidR="00A62D7E" w:rsidRPr="00960BB6" w:rsidRDefault="00A62D7E" w:rsidP="00960BB6">
            <w:pPr>
              <w:pStyle w:val="CETBodytext"/>
              <w:rPr>
                <w:lang w:val="en-GB"/>
              </w:rPr>
            </w:pPr>
            <w:r w:rsidRPr="00960BB6">
              <w:rPr>
                <w:lang w:val="en-GB"/>
              </w:rPr>
              <w:t>18°C</w:t>
            </w:r>
          </w:p>
        </w:tc>
        <w:tc>
          <w:tcPr>
            <w:tcW w:w="998" w:type="dxa"/>
            <w:tcBorders>
              <w:top w:val="single" w:sz="2" w:space="0" w:color="00B050"/>
              <w:bottom w:val="single" w:sz="2" w:space="0" w:color="00B050"/>
            </w:tcBorders>
            <w:vAlign w:val="center"/>
          </w:tcPr>
          <w:p w:rsidR="00A62D7E" w:rsidRPr="00960BB6" w:rsidRDefault="00A62D7E" w:rsidP="00960BB6">
            <w:pPr>
              <w:pStyle w:val="CETBodytext"/>
              <w:rPr>
                <w:lang w:val="en-GB"/>
              </w:rPr>
            </w:pPr>
            <w:r w:rsidRPr="00960BB6">
              <w:rPr>
                <w:lang w:val="en-GB"/>
              </w:rPr>
              <w:t>40°C</w:t>
            </w:r>
          </w:p>
        </w:tc>
        <w:tc>
          <w:tcPr>
            <w:tcW w:w="998" w:type="dxa"/>
            <w:tcBorders>
              <w:top w:val="single" w:sz="2" w:space="0" w:color="00B050"/>
              <w:bottom w:val="single" w:sz="2" w:space="0" w:color="00B050"/>
            </w:tcBorders>
            <w:vAlign w:val="center"/>
          </w:tcPr>
          <w:p w:rsidR="00A62D7E" w:rsidRPr="00960BB6" w:rsidRDefault="00A62D7E" w:rsidP="00960BB6">
            <w:pPr>
              <w:pStyle w:val="CETBodytext"/>
              <w:rPr>
                <w:lang w:val="en-GB"/>
              </w:rPr>
            </w:pPr>
            <w:r w:rsidRPr="00960BB6">
              <w:rPr>
                <w:lang w:val="en-GB"/>
              </w:rPr>
              <w:t>70°C</w:t>
            </w:r>
          </w:p>
        </w:tc>
        <w:tc>
          <w:tcPr>
            <w:tcW w:w="1005" w:type="dxa"/>
            <w:tcBorders>
              <w:top w:val="single" w:sz="2" w:space="0" w:color="00B050"/>
              <w:bottom w:val="single" w:sz="2" w:space="0" w:color="00B050"/>
            </w:tcBorders>
            <w:vAlign w:val="center"/>
          </w:tcPr>
          <w:p w:rsidR="00A62D7E" w:rsidRPr="00960BB6" w:rsidRDefault="00A62D7E" w:rsidP="00960BB6">
            <w:pPr>
              <w:pStyle w:val="CETBodytext"/>
              <w:rPr>
                <w:lang w:val="en-GB"/>
              </w:rPr>
            </w:pPr>
            <w:r w:rsidRPr="00960BB6">
              <w:rPr>
                <w:lang w:val="en-GB"/>
              </w:rPr>
              <w:t>100°C</w:t>
            </w:r>
          </w:p>
        </w:tc>
        <w:tc>
          <w:tcPr>
            <w:tcW w:w="919" w:type="dxa"/>
            <w:tcBorders>
              <w:top w:val="single" w:sz="2" w:space="0" w:color="00B050"/>
              <w:bottom w:val="single" w:sz="2" w:space="0" w:color="00B050"/>
            </w:tcBorders>
            <w:vAlign w:val="center"/>
          </w:tcPr>
          <w:p w:rsidR="00A62D7E" w:rsidRPr="00960BB6" w:rsidRDefault="00A62D7E" w:rsidP="00960BB6">
            <w:pPr>
              <w:pStyle w:val="CETBodytext"/>
              <w:rPr>
                <w:lang w:val="en-GB"/>
              </w:rPr>
            </w:pPr>
            <w:r w:rsidRPr="00960BB6">
              <w:rPr>
                <w:lang w:val="en-GB"/>
              </w:rPr>
              <w:t>150°C</w:t>
            </w:r>
          </w:p>
        </w:tc>
      </w:tr>
      <w:tr w:rsidR="00A62D7E" w:rsidRPr="00960BB6" w:rsidTr="0091793F">
        <w:trPr>
          <w:trHeight w:val="57"/>
        </w:trPr>
        <w:tc>
          <w:tcPr>
            <w:tcW w:w="1134" w:type="dxa"/>
            <w:vMerge/>
            <w:tcBorders>
              <w:bottom w:val="single" w:sz="12" w:space="0" w:color="00B050"/>
            </w:tcBorders>
            <w:vAlign w:val="center"/>
          </w:tcPr>
          <w:p w:rsidR="00A62D7E" w:rsidRPr="00960BB6" w:rsidRDefault="00A62D7E" w:rsidP="00960BB6">
            <w:pPr>
              <w:pStyle w:val="CETBodytext"/>
              <w:rPr>
                <w:lang w:val="en-GB"/>
              </w:rPr>
            </w:pPr>
          </w:p>
        </w:tc>
        <w:tc>
          <w:tcPr>
            <w:tcW w:w="1134" w:type="dxa"/>
            <w:vMerge/>
            <w:tcBorders>
              <w:bottom w:val="single" w:sz="12" w:space="0" w:color="00B050"/>
            </w:tcBorders>
            <w:vAlign w:val="center"/>
          </w:tcPr>
          <w:p w:rsidR="00A62D7E" w:rsidRPr="00960BB6" w:rsidRDefault="00A62D7E" w:rsidP="00960BB6">
            <w:pPr>
              <w:pStyle w:val="CETBodytext"/>
              <w:rPr>
                <w:lang w:val="en-GB"/>
              </w:rPr>
            </w:pPr>
          </w:p>
        </w:tc>
        <w:tc>
          <w:tcPr>
            <w:tcW w:w="425" w:type="dxa"/>
            <w:tcBorders>
              <w:bottom w:val="single" w:sz="12" w:space="0" w:color="00B050"/>
            </w:tcBorders>
            <w:vAlign w:val="bottom"/>
          </w:tcPr>
          <w:p w:rsidR="00A62D7E" w:rsidRPr="00960BB6" w:rsidRDefault="00A62D7E" w:rsidP="00960BB6">
            <w:pPr>
              <w:pStyle w:val="CETBodytext"/>
              <w:rPr>
                <w:lang w:val="en-GB"/>
              </w:rPr>
            </w:pPr>
          </w:p>
        </w:tc>
        <w:tc>
          <w:tcPr>
            <w:tcW w:w="998" w:type="dxa"/>
            <w:tcBorders>
              <w:top w:val="single" w:sz="2" w:space="0" w:color="00B050"/>
              <w:bottom w:val="single" w:sz="12" w:space="0" w:color="00B050"/>
            </w:tcBorders>
            <w:vAlign w:val="center"/>
          </w:tcPr>
          <w:p w:rsidR="00A62D7E" w:rsidRPr="0091793F" w:rsidRDefault="00A62D7E" w:rsidP="0091793F">
            <w:pPr>
              <w:pStyle w:val="CETBodytext"/>
              <w:ind w:right="-1"/>
              <w:rPr>
                <w:rFonts w:cs="Arial"/>
                <w:szCs w:val="18"/>
                <w:lang w:val="en-GB"/>
              </w:rPr>
            </w:pPr>
            <w:r w:rsidRPr="0091793F">
              <w:rPr>
                <w:rFonts w:cs="Arial"/>
                <w:szCs w:val="18"/>
                <w:lang w:val="en-GB"/>
              </w:rPr>
              <w:t>-7.709</w:t>
            </w:r>
          </w:p>
        </w:tc>
        <w:tc>
          <w:tcPr>
            <w:tcW w:w="998" w:type="dxa"/>
            <w:tcBorders>
              <w:top w:val="single" w:sz="2" w:space="0" w:color="00B050"/>
              <w:bottom w:val="single" w:sz="12" w:space="0" w:color="00B050"/>
            </w:tcBorders>
            <w:vAlign w:val="center"/>
          </w:tcPr>
          <w:p w:rsidR="00A62D7E" w:rsidRPr="0091793F" w:rsidRDefault="00A62D7E" w:rsidP="0091793F">
            <w:pPr>
              <w:pStyle w:val="CETBodytext"/>
              <w:ind w:right="-1"/>
              <w:rPr>
                <w:rFonts w:cs="Arial"/>
                <w:szCs w:val="18"/>
                <w:lang w:val="en-GB"/>
              </w:rPr>
            </w:pPr>
            <w:r w:rsidRPr="0091793F">
              <w:rPr>
                <w:rFonts w:cs="Arial"/>
                <w:szCs w:val="18"/>
                <w:lang w:val="en-GB"/>
              </w:rPr>
              <w:t>-7.239</w:t>
            </w:r>
          </w:p>
        </w:tc>
        <w:tc>
          <w:tcPr>
            <w:tcW w:w="998" w:type="dxa"/>
            <w:tcBorders>
              <w:top w:val="single" w:sz="2" w:space="0" w:color="00B050"/>
              <w:bottom w:val="single" w:sz="12" w:space="0" w:color="00B050"/>
            </w:tcBorders>
            <w:vAlign w:val="center"/>
          </w:tcPr>
          <w:p w:rsidR="00A62D7E" w:rsidRPr="0091793F" w:rsidRDefault="00A62D7E" w:rsidP="0091793F">
            <w:pPr>
              <w:pStyle w:val="CETBodytext"/>
              <w:ind w:right="-1"/>
              <w:rPr>
                <w:rFonts w:cs="Arial"/>
                <w:szCs w:val="18"/>
                <w:lang w:val="en-GB"/>
              </w:rPr>
            </w:pPr>
            <w:r w:rsidRPr="0091793F">
              <w:rPr>
                <w:rFonts w:cs="Arial"/>
                <w:szCs w:val="18"/>
                <w:lang w:val="en-GB"/>
              </w:rPr>
              <w:t>-6.300</w:t>
            </w:r>
          </w:p>
        </w:tc>
        <w:tc>
          <w:tcPr>
            <w:tcW w:w="1005" w:type="dxa"/>
            <w:tcBorders>
              <w:top w:val="single" w:sz="2" w:space="0" w:color="00B050"/>
              <w:bottom w:val="single" w:sz="12" w:space="0" w:color="00B050"/>
            </w:tcBorders>
            <w:vAlign w:val="center"/>
          </w:tcPr>
          <w:p w:rsidR="00A62D7E" w:rsidRPr="0091793F" w:rsidRDefault="00A62D7E" w:rsidP="0091793F">
            <w:pPr>
              <w:pStyle w:val="CETBodytext"/>
              <w:ind w:right="-1"/>
              <w:rPr>
                <w:rFonts w:cs="Arial"/>
                <w:szCs w:val="18"/>
                <w:lang w:val="en-GB"/>
              </w:rPr>
            </w:pPr>
            <w:r w:rsidRPr="0091793F">
              <w:rPr>
                <w:rFonts w:cs="Arial"/>
                <w:szCs w:val="18"/>
                <w:lang w:val="en-GB"/>
              </w:rPr>
              <w:t>-5.360</w:t>
            </w:r>
          </w:p>
        </w:tc>
        <w:tc>
          <w:tcPr>
            <w:tcW w:w="919" w:type="dxa"/>
            <w:tcBorders>
              <w:top w:val="single" w:sz="2" w:space="0" w:color="00B050"/>
              <w:bottom w:val="single" w:sz="12" w:space="0" w:color="00B050"/>
            </w:tcBorders>
            <w:vAlign w:val="center"/>
          </w:tcPr>
          <w:p w:rsidR="00A62D7E" w:rsidRPr="0091793F" w:rsidRDefault="00A62D7E" w:rsidP="0091793F">
            <w:pPr>
              <w:pStyle w:val="CETBodytext"/>
              <w:ind w:right="-1"/>
              <w:rPr>
                <w:rFonts w:cs="Arial"/>
                <w:szCs w:val="18"/>
                <w:lang w:val="en-GB"/>
              </w:rPr>
            </w:pPr>
            <w:r w:rsidRPr="0091793F">
              <w:rPr>
                <w:rFonts w:cs="Arial"/>
                <w:szCs w:val="18"/>
                <w:lang w:val="en-GB"/>
              </w:rPr>
              <w:t>-3.794</w:t>
            </w:r>
          </w:p>
        </w:tc>
      </w:tr>
    </w:tbl>
    <w:p w:rsidR="00A62D7E" w:rsidRDefault="00A62D7E" w:rsidP="00A62D7E">
      <w:pPr>
        <w:pStyle w:val="CETBodytext"/>
      </w:pPr>
    </w:p>
    <w:p w:rsidR="00A62D7E" w:rsidRPr="00381487" w:rsidRDefault="00F45C8A" w:rsidP="00A62D7E">
      <w:pPr>
        <w:pStyle w:val="CETBodytext"/>
        <w:rPr>
          <w:szCs w:val="18"/>
        </w:rPr>
      </w:pPr>
      <w:r>
        <w:rPr>
          <w:szCs w:val="18"/>
        </w:rPr>
        <w:t xml:space="preserve">Figure </w:t>
      </w:r>
      <w:r w:rsidR="00A62D7E" w:rsidRPr="00381487">
        <w:rPr>
          <w:szCs w:val="18"/>
        </w:rPr>
        <w:t>2b shows Q</w:t>
      </w:r>
      <w:r w:rsidR="00A62D7E" w:rsidRPr="00381487">
        <w:rPr>
          <w:szCs w:val="18"/>
          <w:vertAlign w:val="subscript"/>
        </w:rPr>
        <w:t>st</w:t>
      </w:r>
      <w:r w:rsidR="00A62D7E" w:rsidRPr="00381487">
        <w:rPr>
          <w:szCs w:val="18"/>
        </w:rPr>
        <w:t xml:space="preserve"> as a function of the </w:t>
      </w:r>
      <w:r w:rsidR="008869A5" w:rsidRPr="00D7150B">
        <w:rPr>
          <w:rFonts w:cs="Arial"/>
          <w:szCs w:val="18"/>
        </w:rPr>
        <w:t>CO</w:t>
      </w:r>
      <w:r w:rsidR="008869A5" w:rsidRPr="00D7150B">
        <w:rPr>
          <w:rFonts w:cs="Arial"/>
          <w:szCs w:val="18"/>
          <w:vertAlign w:val="subscript"/>
        </w:rPr>
        <w:t>2</w:t>
      </w:r>
      <w:r w:rsidR="00A62D7E" w:rsidRPr="00381487">
        <w:rPr>
          <w:szCs w:val="18"/>
        </w:rPr>
        <w:t xml:space="preserve"> loading. Q</w:t>
      </w:r>
      <w:r w:rsidR="00A62D7E" w:rsidRPr="00381487">
        <w:rPr>
          <w:szCs w:val="18"/>
          <w:vertAlign w:val="subscript"/>
        </w:rPr>
        <w:t>st</w:t>
      </w:r>
      <w:r w:rsidR="00A62D7E" w:rsidRPr="00381487">
        <w:rPr>
          <w:szCs w:val="18"/>
        </w:rPr>
        <w:t xml:space="preserve"> ranges between 15 and 45 kJ mol</w:t>
      </w:r>
      <w:r w:rsidR="00A62D7E" w:rsidRPr="00381487">
        <w:rPr>
          <w:szCs w:val="18"/>
          <w:vertAlign w:val="superscript"/>
        </w:rPr>
        <w:t>-1</w:t>
      </w:r>
      <w:r w:rsidR="00A62D7E" w:rsidRPr="00381487">
        <w:rPr>
          <w:szCs w:val="18"/>
        </w:rPr>
        <w:t xml:space="preserve"> that are typical of </w:t>
      </w:r>
      <w:r w:rsidR="00A62D7E" w:rsidRPr="00252983">
        <w:rPr>
          <w:szCs w:val="18"/>
        </w:rPr>
        <w:t>a purely physical interaction (&lt; 80 kJ mol</w:t>
      </w:r>
      <w:r w:rsidR="00A62D7E" w:rsidRPr="00252983">
        <w:rPr>
          <w:szCs w:val="18"/>
          <w:vertAlign w:val="superscript"/>
        </w:rPr>
        <w:t>-1</w:t>
      </w:r>
      <w:r w:rsidR="00A62D7E" w:rsidRPr="00252983">
        <w:rPr>
          <w:szCs w:val="18"/>
        </w:rPr>
        <w:t xml:space="preserve">). Then, it is clear </w:t>
      </w:r>
      <w:r w:rsidR="0012014C" w:rsidRPr="00252983">
        <w:rPr>
          <w:szCs w:val="18"/>
        </w:rPr>
        <w:t xml:space="preserve">from Fig. 2b </w:t>
      </w:r>
      <w:r w:rsidR="00A62D7E" w:rsidRPr="00252983">
        <w:rPr>
          <w:szCs w:val="18"/>
        </w:rPr>
        <w:t>that Q</w:t>
      </w:r>
      <w:r w:rsidR="00A62D7E" w:rsidRPr="00252983">
        <w:rPr>
          <w:szCs w:val="18"/>
          <w:vertAlign w:val="subscript"/>
        </w:rPr>
        <w:t>st</w:t>
      </w:r>
      <w:r w:rsidR="00A62D7E" w:rsidRPr="00252983">
        <w:rPr>
          <w:szCs w:val="18"/>
        </w:rPr>
        <w:t xml:space="preserve"> decreases with increasing </w:t>
      </w:r>
      <w:r w:rsidR="008869A5" w:rsidRPr="00252983">
        <w:rPr>
          <w:rFonts w:cs="Arial"/>
          <w:szCs w:val="18"/>
        </w:rPr>
        <w:t>CO</w:t>
      </w:r>
      <w:r w:rsidR="008869A5" w:rsidRPr="00252983">
        <w:rPr>
          <w:rFonts w:cs="Arial"/>
          <w:szCs w:val="18"/>
          <w:vertAlign w:val="subscript"/>
        </w:rPr>
        <w:t>2</w:t>
      </w:r>
      <w:r w:rsidR="00A62D7E" w:rsidRPr="00381487">
        <w:rPr>
          <w:szCs w:val="18"/>
        </w:rPr>
        <w:t xml:space="preserve"> surface loading, which means that the tuff is characterized by a high level of heterogeneity and that there is a variation in adsorbate-adsorbent and adsorbate-adsorbate interactions. This </w:t>
      </w:r>
      <w:r w:rsidR="00E85032">
        <w:rPr>
          <w:szCs w:val="18"/>
        </w:rPr>
        <w:t xml:space="preserve">evidence </w:t>
      </w:r>
      <w:r w:rsidR="00A62D7E" w:rsidRPr="00381487">
        <w:rPr>
          <w:szCs w:val="18"/>
        </w:rPr>
        <w:t xml:space="preserve">can be explained considering that at the initial stages of adsorption, large numbers of free adsorption sites are available on the tuff surface. Therefore, the </w:t>
      </w:r>
      <w:r w:rsidR="008869A5" w:rsidRPr="00D7150B">
        <w:rPr>
          <w:rFonts w:cs="Arial"/>
          <w:szCs w:val="18"/>
        </w:rPr>
        <w:t>CO</w:t>
      </w:r>
      <w:r w:rsidR="008869A5" w:rsidRPr="00D7150B">
        <w:rPr>
          <w:rFonts w:cs="Arial"/>
          <w:szCs w:val="18"/>
          <w:vertAlign w:val="subscript"/>
        </w:rPr>
        <w:t>2</w:t>
      </w:r>
      <w:r w:rsidR="00A62D7E" w:rsidRPr="00381487">
        <w:rPr>
          <w:szCs w:val="18"/>
        </w:rPr>
        <w:t xml:space="preserve"> molecules may easily come into direct contact with adsorbent surface; as a consequence, the activation energy is low and the heat of adsorption is high. As the adsorption process continues to take place, i.e. the surface coverage is increased, less and less adsorption sites are still available and, as a consequence, the adsorption of further </w:t>
      </w:r>
      <w:r w:rsidR="008869A5" w:rsidRPr="00D7150B">
        <w:rPr>
          <w:rFonts w:cs="Arial"/>
          <w:szCs w:val="18"/>
        </w:rPr>
        <w:t>CO</w:t>
      </w:r>
      <w:r w:rsidR="008869A5" w:rsidRPr="00D7150B">
        <w:rPr>
          <w:rFonts w:cs="Arial"/>
          <w:szCs w:val="18"/>
          <w:vertAlign w:val="subscript"/>
        </w:rPr>
        <w:t>2</w:t>
      </w:r>
      <w:r w:rsidR="00A62D7E" w:rsidRPr="00381487">
        <w:rPr>
          <w:szCs w:val="18"/>
        </w:rPr>
        <w:t xml:space="preserve"> molecules becomes more and more difficult. Besides that, it is most likely that some kind of lateral interactions in the adsorbed layer start to take place in the form of attractive/repulsive forces between </w:t>
      </w:r>
      <w:r w:rsidR="008869A5" w:rsidRPr="00D7150B">
        <w:rPr>
          <w:rFonts w:cs="Arial"/>
          <w:szCs w:val="18"/>
        </w:rPr>
        <w:t>CO</w:t>
      </w:r>
      <w:r w:rsidR="008869A5" w:rsidRPr="00D7150B">
        <w:rPr>
          <w:rFonts w:cs="Arial"/>
          <w:szCs w:val="18"/>
          <w:vertAlign w:val="subscript"/>
        </w:rPr>
        <w:t>2</w:t>
      </w:r>
      <w:r w:rsidR="00A62D7E" w:rsidRPr="00381487">
        <w:rPr>
          <w:szCs w:val="18"/>
        </w:rPr>
        <w:t xml:space="preserve"> molecules adsorbed on the tuff surface (adsorbate–adsorbate </w:t>
      </w:r>
      <w:r w:rsidR="00A62D7E" w:rsidRPr="00381487">
        <w:rPr>
          <w:szCs w:val="18"/>
        </w:rPr>
        <w:lastRenderedPageBreak/>
        <w:t xml:space="preserve">interactions) </w:t>
      </w:r>
      <w:r w:rsidR="00A62D7E" w:rsidRPr="00381487">
        <w:rPr>
          <w:szCs w:val="18"/>
        </w:rPr>
        <w:fldChar w:fldCharType="begin" w:fldLock="1"/>
      </w:r>
      <w:r w:rsidR="008869A5">
        <w:rPr>
          <w:szCs w:val="18"/>
        </w:rPr>
        <w:instrText>ADDIN CSL_CITATION {"citationItems":[{"id":"ITEM-1","itemData":{"DOI":"10.1016/j.cherd.2018.04.037","ISSN":"02638762","abstract":"In this work, CO2 adsorption on a novel composite material, CB-FM, obtained coating a low-cost carbon black (CB) with magnetite fine particles (FM), has been characterized from the thermodynamic point of view. In particular, the mechanism (isotherm), nature/strength (thermodynamics) of CO2 adsorption has been investigated by performing dynamic breakthrough experiments in a lab-scale fixed bed reactor. The effect of both temperature (18–150°C) and CO2 partial pressure (0.5–20% vol.) has been investigated. Then, five adsorption models, i.e. Langmuir, Freundlich, Sips, Toth and Dubinin–Radushkevich (D–R) isotherms, were applied to evaluate the feasibility of adsorbate–adsorbent interaction and to describe the CO2 adsorption isotherm in the low pressure region typical of a combustion flue gas. Besides that, the most important thermodynamic properties, i.e. the standard Gibbs free energy, standard enthalpy change and entropy change and isosteric heat of adsorption as a function of surface coverage, were evaluated using van’t Hoff and Clausius–Clapeyron equations.","author":[{"dropping-particle":"","family":"Raganati","given":"F.","non-dropping-particle":"","parse-names":false,"suffix":""},{"dropping-particle":"","family":"Alfe","given":"M.","non-dropping-particle":"","parse-names":false,"suffix":""},{"dropping-particle":"","family":"Gargiulo","given":"V.","non-dropping-particle":"","parse-names":false,"suffix":""},{"dropping-particle":"","family":"Chirone","given":"R.","non-dropping-particle":"","parse-names":false,"suffix":""},{"dropping-particle":"","family":"Ammendola","given":"P.","non-dropping-particle":"","parse-names":false,"suffix":""}],"container-title":"Chemical Engineering Research and Design","id":"ITEM-1","issued":{"date-parts":[["2018","6"]]},"page":"540-552","title":"Isotherms and thermodynamics of CO2 adsorption on a novel carbon-magnetite composite sorbent","type":"article-journal","volume":"134"},"uris":["http://www.mendeley.com/documents/?uuid=f038aa07-8a3d-30f5-8be1-9b714e45f703"]}],"mendeley":{"formattedCitation":"(Raganati et al., 2018)","plainTextFormattedCitation":"(Raganati et al., 2018)","previouslyFormattedCitation":"(Raganati et al., 2018)"},"properties":{"noteIndex":0},"schema":"https://github.com/citation-style-language/schema/raw/master/csl-citation.json"}</w:instrText>
      </w:r>
      <w:r w:rsidR="00A62D7E" w:rsidRPr="00381487">
        <w:rPr>
          <w:szCs w:val="18"/>
        </w:rPr>
        <w:fldChar w:fldCharType="separate"/>
      </w:r>
      <w:r w:rsidR="008A5C81" w:rsidRPr="008A5C81">
        <w:rPr>
          <w:noProof/>
          <w:szCs w:val="18"/>
        </w:rPr>
        <w:t>(Raganati et al., 2018)</w:t>
      </w:r>
      <w:r w:rsidR="00A62D7E" w:rsidRPr="00381487">
        <w:rPr>
          <w:szCs w:val="18"/>
        </w:rPr>
        <w:fldChar w:fldCharType="end"/>
      </w:r>
      <w:r w:rsidR="00A62D7E" w:rsidRPr="00381487">
        <w:rPr>
          <w:szCs w:val="18"/>
        </w:rPr>
        <w:t xml:space="preserve">. As a result, as the adsorption process proceeds, the activation energy is increased and the heat of adsorption is decreased. </w:t>
      </w:r>
    </w:p>
    <w:p w:rsidR="00A62D7E" w:rsidRPr="00381487" w:rsidRDefault="00A62D7E" w:rsidP="00A62D7E">
      <w:pPr>
        <w:pStyle w:val="CETBodytext"/>
      </w:pPr>
      <w:r w:rsidRPr="00591AD2">
        <w:rPr>
          <w:rFonts w:cs="Arial"/>
          <w:i/>
          <w:szCs w:val="18"/>
          <w:u w:val="single"/>
        </w:rPr>
        <w:t>Adsorption kinetics</w:t>
      </w:r>
      <w:r w:rsidR="00591AD2" w:rsidRPr="00591AD2">
        <w:rPr>
          <w:rFonts w:cs="Arial"/>
          <w:i/>
          <w:szCs w:val="18"/>
          <w:u w:val="single"/>
        </w:rPr>
        <w:t>:</w:t>
      </w:r>
      <w:r w:rsidR="00591AD2">
        <w:rPr>
          <w:rFonts w:cs="Arial"/>
          <w:szCs w:val="18"/>
        </w:rPr>
        <w:t xml:space="preserve"> </w:t>
      </w:r>
      <w:r w:rsidR="00F45C8A">
        <w:t>Figure</w:t>
      </w:r>
      <w:r w:rsidRPr="00381487">
        <w:t xml:space="preserve"> 3 </w:t>
      </w:r>
      <w:r w:rsidR="00E85032">
        <w:t>presents</w:t>
      </w:r>
      <w:r w:rsidRPr="00381487">
        <w:t xml:space="preserve"> the </w:t>
      </w:r>
      <w:r w:rsidR="008869A5" w:rsidRPr="00D7150B">
        <w:rPr>
          <w:rFonts w:cs="Arial"/>
          <w:szCs w:val="18"/>
        </w:rPr>
        <w:t>CO</w:t>
      </w:r>
      <w:r w:rsidR="008869A5" w:rsidRPr="00D7150B">
        <w:rPr>
          <w:rFonts w:cs="Arial"/>
          <w:szCs w:val="18"/>
          <w:vertAlign w:val="subscript"/>
        </w:rPr>
        <w:t>2</w:t>
      </w:r>
      <w:r w:rsidRPr="00381487">
        <w:t xml:space="preserve"> transient adsorption uptakes and fractional adsorption uptake on the tuff at different adsorption temperatures (at 10%vol. of </w:t>
      </w:r>
      <w:r w:rsidR="008869A5" w:rsidRPr="00D7150B">
        <w:rPr>
          <w:rFonts w:cs="Arial"/>
          <w:szCs w:val="18"/>
        </w:rPr>
        <w:t>CO</w:t>
      </w:r>
      <w:r w:rsidR="008869A5" w:rsidRPr="00D7150B">
        <w:rPr>
          <w:rFonts w:cs="Arial"/>
          <w:szCs w:val="18"/>
          <w:vertAlign w:val="subscript"/>
        </w:rPr>
        <w:t>2</w:t>
      </w:r>
      <w:r w:rsidRPr="00381487">
        <w:t xml:space="preserve"> inlet concentration), as evaluated from the experimental breakthrough curves. It is clear that adsorption kinetics and thermodynamics are differently affected by the temperature. Indeed, when temperature is increased, the </w:t>
      </w:r>
      <w:r w:rsidR="008869A5" w:rsidRPr="00D7150B">
        <w:rPr>
          <w:rFonts w:cs="Arial"/>
          <w:szCs w:val="18"/>
        </w:rPr>
        <w:t>CO</w:t>
      </w:r>
      <w:r w:rsidR="008869A5" w:rsidRPr="00D7150B">
        <w:rPr>
          <w:rFonts w:cs="Arial"/>
          <w:szCs w:val="18"/>
          <w:vertAlign w:val="subscript"/>
        </w:rPr>
        <w:t>2</w:t>
      </w:r>
      <w:r w:rsidRPr="00381487">
        <w:t xml:space="preserve"> adsorption becomes faster due to enhanced kinetics and, on the contrary, the amount of </w:t>
      </w:r>
      <w:r w:rsidR="008869A5" w:rsidRPr="00D7150B">
        <w:rPr>
          <w:rFonts w:cs="Arial"/>
          <w:szCs w:val="18"/>
        </w:rPr>
        <w:t>CO</w:t>
      </w:r>
      <w:r w:rsidR="008869A5" w:rsidRPr="00D7150B">
        <w:rPr>
          <w:rFonts w:cs="Arial"/>
          <w:szCs w:val="18"/>
          <w:vertAlign w:val="subscript"/>
        </w:rPr>
        <w:t>2</w:t>
      </w:r>
      <w:r w:rsidRPr="00381487">
        <w:t xml:space="preserve"> adsorbed at equilibrium is decreased due to thermodynamics limitation. In other words, the equilibrium </w:t>
      </w:r>
      <w:r w:rsidR="008869A5" w:rsidRPr="00D7150B">
        <w:rPr>
          <w:rFonts w:cs="Arial"/>
          <w:szCs w:val="18"/>
        </w:rPr>
        <w:t>CO</w:t>
      </w:r>
      <w:r w:rsidR="008869A5" w:rsidRPr="00D7150B">
        <w:rPr>
          <w:rFonts w:cs="Arial"/>
          <w:szCs w:val="18"/>
          <w:vertAlign w:val="subscript"/>
        </w:rPr>
        <w:t>2</w:t>
      </w:r>
      <w:r w:rsidRPr="00381487">
        <w:t xml:space="preserve"> adsorption capacity decreases </w:t>
      </w:r>
      <w:r w:rsidR="0011727A">
        <w:t>with the temperature increasing,</w:t>
      </w:r>
      <w:r w:rsidRPr="00381487">
        <w:t xml:space="preserve"> the asymptotic values reached by the </w:t>
      </w:r>
      <w:r w:rsidR="008869A5" w:rsidRPr="00D7150B">
        <w:rPr>
          <w:rFonts w:cs="Arial"/>
          <w:szCs w:val="18"/>
        </w:rPr>
        <w:t>CO</w:t>
      </w:r>
      <w:r w:rsidR="008869A5" w:rsidRPr="00D7150B">
        <w:rPr>
          <w:rFonts w:cs="Arial"/>
          <w:szCs w:val="18"/>
          <w:vertAlign w:val="subscript"/>
        </w:rPr>
        <w:t>2</w:t>
      </w:r>
      <w:r w:rsidRPr="00381487">
        <w:t xml:space="preserve"> uptake curves in Fig. 3a decreasing as temp</w:t>
      </w:r>
      <w:r w:rsidR="0011727A">
        <w:t>eratures increased</w:t>
      </w:r>
      <w:r w:rsidRPr="00381487">
        <w:t>, which is in line with the exothermicity of the adsorption.</w:t>
      </w:r>
    </w:p>
    <w:p w:rsidR="00A62D7E" w:rsidRPr="00A62D7E" w:rsidRDefault="00A62D7E" w:rsidP="00745AAF">
      <w:pPr>
        <w:jc w:val="left"/>
        <w:rPr>
          <w:snapToGrid w:val="0"/>
          <w:sz w:val="24"/>
          <w:lang w:val="en-US"/>
        </w:rPr>
      </w:pPr>
      <w:r w:rsidRPr="00381487">
        <w:rPr>
          <w:noProof/>
          <w:lang w:val="it-IT" w:eastAsia="it-IT"/>
        </w:rPr>
        <w:drawing>
          <wp:inline distT="0" distB="0" distL="0" distR="0" wp14:anchorId="2557066F" wp14:editId="169EA11A">
            <wp:extent cx="2007638" cy="162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7638" cy="1620000"/>
                    </a:xfrm>
                    <a:prstGeom prst="rect">
                      <a:avLst/>
                    </a:prstGeom>
                    <a:noFill/>
                    <a:ln>
                      <a:noFill/>
                    </a:ln>
                  </pic:spPr>
                </pic:pic>
              </a:graphicData>
            </a:graphic>
          </wp:inline>
        </w:drawing>
      </w:r>
      <w:r w:rsidRPr="00381487">
        <w:rPr>
          <w:noProof/>
          <w:lang w:val="it-IT" w:eastAsia="it-IT"/>
        </w:rPr>
        <w:drawing>
          <wp:inline distT="0" distB="0" distL="0" distR="0" wp14:anchorId="5E970E94" wp14:editId="64171D14">
            <wp:extent cx="2031891" cy="1620000"/>
            <wp:effectExtent l="0" t="0" r="698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1891" cy="1620000"/>
                    </a:xfrm>
                    <a:prstGeom prst="rect">
                      <a:avLst/>
                    </a:prstGeom>
                    <a:noFill/>
                    <a:ln>
                      <a:noFill/>
                    </a:ln>
                  </pic:spPr>
                </pic:pic>
              </a:graphicData>
            </a:graphic>
          </wp:inline>
        </w:drawing>
      </w:r>
    </w:p>
    <w:p w:rsidR="00A62D7E" w:rsidRPr="00381487" w:rsidRDefault="00A62D7E" w:rsidP="00A62D7E">
      <w:pPr>
        <w:pStyle w:val="CETCaption"/>
        <w:spacing w:before="0"/>
        <w:rPr>
          <w:lang w:val="en-US"/>
        </w:rPr>
      </w:pPr>
      <w:r w:rsidRPr="00381487">
        <w:rPr>
          <w:lang w:val="en-US"/>
        </w:rPr>
        <w:t xml:space="preserve">Figure 3: a) </w:t>
      </w:r>
      <w:r w:rsidR="008869A5" w:rsidRPr="00D7150B">
        <w:rPr>
          <w:rFonts w:cs="Arial"/>
          <w:szCs w:val="18"/>
        </w:rPr>
        <w:t>CO</w:t>
      </w:r>
      <w:r w:rsidR="008869A5" w:rsidRPr="00D7150B">
        <w:rPr>
          <w:rFonts w:cs="Arial"/>
          <w:szCs w:val="18"/>
          <w:vertAlign w:val="subscript"/>
        </w:rPr>
        <w:t>2</w:t>
      </w:r>
      <w:r w:rsidRPr="00381487">
        <w:rPr>
          <w:lang w:val="en-US"/>
        </w:rPr>
        <w:t xml:space="preserve"> transient adsorption uptakes; b) </w:t>
      </w:r>
      <w:r w:rsidR="008869A5" w:rsidRPr="00D7150B">
        <w:rPr>
          <w:rFonts w:cs="Arial"/>
          <w:szCs w:val="18"/>
        </w:rPr>
        <w:t>CO</w:t>
      </w:r>
      <w:r w:rsidR="008869A5" w:rsidRPr="00D7150B">
        <w:rPr>
          <w:rFonts w:cs="Arial"/>
          <w:szCs w:val="18"/>
          <w:vertAlign w:val="subscript"/>
        </w:rPr>
        <w:t>2</w:t>
      </w:r>
      <w:r w:rsidRPr="00381487">
        <w:rPr>
          <w:lang w:val="en-US"/>
        </w:rPr>
        <w:t xml:space="preserve"> fractional adsorption uptakes. </w:t>
      </w:r>
    </w:p>
    <w:p w:rsidR="00A62D7E" w:rsidRPr="00381487" w:rsidRDefault="00A62D7E" w:rsidP="00A62D7E">
      <w:pPr>
        <w:pStyle w:val="CETBodytext"/>
      </w:pPr>
      <w:r w:rsidRPr="00381487">
        <w:t>On the contrary, higher temperatures positi</w:t>
      </w:r>
      <w:r w:rsidR="0011727A">
        <w:t>vely affect adsorption kinetics</w:t>
      </w:r>
      <w:r w:rsidRPr="00381487">
        <w:t>, as it is clearly shown by the curves becoming steeper (Fig. 3b) with increasing temperatures, in accordance with the fastened mass-transfer and diffusion phenomena at higher values of adsorption temperatures. Then, the pseudo-first order and pseudo-second order models have been us</w:t>
      </w:r>
      <w:r>
        <w:t>ed to fit the experimental data (Fig. 4)</w:t>
      </w:r>
      <w:r w:rsidRPr="00381487">
        <w:t xml:space="preserve">. Table 5 reports the values of the kinetic constants with the relative correlation coefficients and errors. </w:t>
      </w:r>
    </w:p>
    <w:p w:rsidR="00A62D7E" w:rsidRPr="00A62D7E" w:rsidRDefault="00A62D7E" w:rsidP="00745AAF">
      <w:pPr>
        <w:jc w:val="left"/>
        <w:rPr>
          <w:sz w:val="24"/>
          <w:szCs w:val="24"/>
          <w:lang w:val="en-US"/>
        </w:rPr>
      </w:pPr>
      <w:r w:rsidRPr="00381487">
        <w:rPr>
          <w:noProof/>
          <w:lang w:val="it-IT" w:eastAsia="it-IT"/>
        </w:rPr>
        <w:drawing>
          <wp:inline distT="0" distB="0" distL="0" distR="0" wp14:anchorId="65C375E2" wp14:editId="168E5557">
            <wp:extent cx="2182452" cy="1620000"/>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rotWithShape="1">
                    <a:blip r:embed="rId16" cstate="print">
                      <a:extLst>
                        <a:ext uri="{28A0092B-C50C-407E-A947-70E740481C1C}">
                          <a14:useLocalDpi xmlns:a14="http://schemas.microsoft.com/office/drawing/2010/main" val="0"/>
                        </a:ext>
                      </a:extLst>
                    </a:blip>
                    <a:srcRect t="6320"/>
                    <a:stretch/>
                  </pic:blipFill>
                  <pic:spPr bwMode="auto">
                    <a:xfrm>
                      <a:off x="0" y="0"/>
                      <a:ext cx="2182452" cy="1620000"/>
                    </a:xfrm>
                    <a:prstGeom prst="rect">
                      <a:avLst/>
                    </a:prstGeom>
                    <a:noFill/>
                    <a:ln>
                      <a:noFill/>
                    </a:ln>
                    <a:extLst>
                      <a:ext uri="{53640926-AAD7-44D8-BBD7-CCE9431645EC}">
                        <a14:shadowObscured xmlns:a14="http://schemas.microsoft.com/office/drawing/2010/main"/>
                      </a:ext>
                    </a:extLst>
                  </pic:spPr>
                </pic:pic>
              </a:graphicData>
            </a:graphic>
          </wp:inline>
        </w:drawing>
      </w:r>
      <w:r w:rsidRPr="00381487">
        <w:rPr>
          <w:noProof/>
          <w:lang w:val="it-IT" w:eastAsia="it-IT"/>
        </w:rPr>
        <w:drawing>
          <wp:inline distT="0" distB="0" distL="0" distR="0" wp14:anchorId="6D6CB635" wp14:editId="7E96F3A8">
            <wp:extent cx="2226303" cy="1620000"/>
            <wp:effectExtent l="0" t="0" r="317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rotWithShape="1">
                    <a:blip r:embed="rId17" cstate="print">
                      <a:extLst>
                        <a:ext uri="{28A0092B-C50C-407E-A947-70E740481C1C}">
                          <a14:useLocalDpi xmlns:a14="http://schemas.microsoft.com/office/drawing/2010/main" val="0"/>
                        </a:ext>
                      </a:extLst>
                    </a:blip>
                    <a:srcRect t="6083"/>
                    <a:stretch/>
                  </pic:blipFill>
                  <pic:spPr bwMode="auto">
                    <a:xfrm>
                      <a:off x="0" y="0"/>
                      <a:ext cx="2226303"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A62D7E" w:rsidRPr="00381487" w:rsidRDefault="00A62D7E" w:rsidP="00A62D7E">
      <w:pPr>
        <w:pStyle w:val="CETCaption"/>
        <w:spacing w:before="0"/>
        <w:rPr>
          <w:lang w:val="en-US"/>
        </w:rPr>
      </w:pPr>
      <w:r w:rsidRPr="00381487">
        <w:rPr>
          <w:lang w:val="en-US"/>
        </w:rPr>
        <w:t xml:space="preserve">Figure 4: Experimental (dotted line) </w:t>
      </w:r>
      <w:r w:rsidR="008869A5" w:rsidRPr="00D7150B">
        <w:rPr>
          <w:rFonts w:cs="Arial"/>
          <w:szCs w:val="18"/>
        </w:rPr>
        <w:t>CO</w:t>
      </w:r>
      <w:r w:rsidR="008869A5" w:rsidRPr="00D7150B">
        <w:rPr>
          <w:rFonts w:cs="Arial"/>
          <w:szCs w:val="18"/>
          <w:vertAlign w:val="subscript"/>
        </w:rPr>
        <w:t>2</w:t>
      </w:r>
      <w:r w:rsidRPr="00381487">
        <w:rPr>
          <w:lang w:val="en-US"/>
        </w:rPr>
        <w:t xml:space="preserve"> uptake </w:t>
      </w:r>
      <w:r w:rsidR="00BD3EF1">
        <w:rPr>
          <w:lang w:val="en-US"/>
        </w:rPr>
        <w:t xml:space="preserve">and </w:t>
      </w:r>
      <w:r w:rsidRPr="00381487">
        <w:rPr>
          <w:lang w:val="en-US"/>
        </w:rPr>
        <w:t>corresponding fit to the pseudo-first (solid line) and pseudo-second (dashed line) order kinetic models at the lowest and highest investigated adsorption temperatures.</w:t>
      </w:r>
    </w:p>
    <w:p w:rsidR="00252983" w:rsidRDefault="00F45C8A" w:rsidP="00A62D7E">
      <w:pPr>
        <w:pStyle w:val="CETBodytext"/>
      </w:pPr>
      <w:r>
        <w:t>Figure</w:t>
      </w:r>
      <w:r w:rsidR="00A62D7E" w:rsidRPr="00381487">
        <w:t xml:space="preserve"> 4 clearly shows that for each investigated temperature, the pseudo-first order kinetic model fits the experimental data better than the pseudo-second order kinetic model does (this shows larger deviations from the experimental data). More specifically, the pseudo-second order model tends to underestimate the </w:t>
      </w:r>
      <w:r w:rsidR="008869A5" w:rsidRPr="00D7150B">
        <w:rPr>
          <w:rFonts w:cs="Arial"/>
          <w:szCs w:val="18"/>
        </w:rPr>
        <w:t>CO</w:t>
      </w:r>
      <w:r w:rsidR="008869A5" w:rsidRPr="00D7150B">
        <w:rPr>
          <w:rFonts w:cs="Arial"/>
          <w:szCs w:val="18"/>
          <w:vertAlign w:val="subscript"/>
        </w:rPr>
        <w:t>2</w:t>
      </w:r>
      <w:r w:rsidR="00A62D7E" w:rsidRPr="00381487">
        <w:t xml:space="preserve"> uptake in the first few minutes (t &lt; 5 min); in contrast, this is remarkably overestimated in the last stage of the adsorption process, namely as the equilibrium is approaching. As a consequence, the pseudo-second order model significantly overestimates the equilibrium </w:t>
      </w:r>
      <w:r w:rsidR="008869A5" w:rsidRPr="00D7150B">
        <w:rPr>
          <w:rFonts w:cs="Arial"/>
          <w:szCs w:val="18"/>
        </w:rPr>
        <w:t>CO</w:t>
      </w:r>
      <w:r w:rsidR="008869A5" w:rsidRPr="00D7150B">
        <w:rPr>
          <w:rFonts w:cs="Arial"/>
          <w:szCs w:val="18"/>
          <w:vertAlign w:val="subscript"/>
        </w:rPr>
        <w:t>2</w:t>
      </w:r>
      <w:r w:rsidR="00A62D7E" w:rsidRPr="00381487">
        <w:t xml:space="preserve"> uptake (q</w:t>
      </w:r>
      <w:r w:rsidR="00A62D7E" w:rsidRPr="00FB3E9B">
        <w:rPr>
          <w:vertAlign w:val="subscript"/>
        </w:rPr>
        <w:t>e</w:t>
      </w:r>
      <w:r w:rsidR="00A62D7E" w:rsidRPr="00381487">
        <w:t xml:space="preserve">) (Table </w:t>
      </w:r>
      <w:r w:rsidR="00C502CF">
        <w:t>3</w:t>
      </w:r>
      <w:r w:rsidR="00A62D7E" w:rsidRPr="00381487">
        <w:t xml:space="preserve">). </w:t>
      </w:r>
      <w:r w:rsidR="00252983" w:rsidRPr="00381487">
        <w:t xml:space="preserve">In contrast to this, the pseudo-first kinetic model is capable of adequately fitting the experimental points during the entire time evolution of the adsorption. This better quality is clearly confirmed by the data reported in Table </w:t>
      </w:r>
      <w:r w:rsidR="00252983">
        <w:t>3</w:t>
      </w:r>
      <w:r w:rsidR="00252983" w:rsidRPr="00381487">
        <w:t>, in terms of higher values of R</w:t>
      </w:r>
      <w:r w:rsidR="00252983" w:rsidRPr="00283FBE">
        <w:rPr>
          <w:vertAlign w:val="superscript"/>
        </w:rPr>
        <w:t>2</w:t>
      </w:r>
      <w:r w:rsidR="00252983" w:rsidRPr="00381487">
        <w:t xml:space="preserve"> and lower values of HYB</w:t>
      </w:r>
      <w:r w:rsidR="00252983">
        <w:t>RID</w:t>
      </w:r>
      <w:r w:rsidR="00252983" w:rsidRPr="00381487">
        <w:t xml:space="preserve">. These results can be ascribed to the fact that that the pseudo-first order can fairly describe adsorption processes characterized by reversible adsorbate/adsorbent surface interactions, i.e. purely physical adsorption. On the contrary, the second-order kinetic model can better describe chemisorption processes, i.e. it is a better choice when it is necessary to account for the occurrence of chemical bonding between the adsorbate and the adsorbent surface. Therefore, these results are in line with those obtained from the thermodynamic study, showing that the </w:t>
      </w:r>
      <w:r w:rsidR="00252983" w:rsidRPr="00D7150B">
        <w:rPr>
          <w:rFonts w:cs="Arial"/>
          <w:szCs w:val="18"/>
        </w:rPr>
        <w:t>CO</w:t>
      </w:r>
      <w:r w:rsidR="00252983" w:rsidRPr="00D7150B">
        <w:rPr>
          <w:rFonts w:cs="Arial"/>
          <w:szCs w:val="18"/>
          <w:vertAlign w:val="subscript"/>
        </w:rPr>
        <w:t>2</w:t>
      </w:r>
      <w:r w:rsidR="00252983" w:rsidRPr="00381487">
        <w:t xml:space="preserve"> adsorption on the tuff is purely physisorption. It can also be also observed that, whatever the kinetic model, the kinetic constant (k</w:t>
      </w:r>
      <w:r w:rsidR="00252983" w:rsidRPr="00FB3E9B">
        <w:rPr>
          <w:vertAlign w:val="subscript"/>
        </w:rPr>
        <w:t>f</w:t>
      </w:r>
      <w:r w:rsidR="00252983" w:rsidRPr="00381487">
        <w:t xml:space="preserve"> and k</w:t>
      </w:r>
      <w:r w:rsidR="00252983" w:rsidRPr="00FB3E9B">
        <w:rPr>
          <w:vertAlign w:val="subscript"/>
        </w:rPr>
        <w:t>s</w:t>
      </w:r>
      <w:r w:rsidR="00252983" w:rsidRPr="00381487">
        <w:t>) increase with increasing temperatures, in line with high temperatures favoring adsorption (Table 3</w:t>
      </w:r>
      <w:r w:rsidR="00252983">
        <w:t>)</w:t>
      </w:r>
      <w:r w:rsidR="00252983" w:rsidRPr="00381487">
        <w:t>.</w:t>
      </w:r>
    </w:p>
    <w:p w:rsidR="00A62D7E" w:rsidRPr="0091793F" w:rsidRDefault="00A62D7E" w:rsidP="0091793F">
      <w:pPr>
        <w:pStyle w:val="CETTabletitle"/>
      </w:pPr>
      <w:r w:rsidRPr="0091793F">
        <w:lastRenderedPageBreak/>
        <w:t>Table 3. Values of the pseudo-first order and pseudo-second kinetic model parameters and fitting comparison</w:t>
      </w:r>
    </w:p>
    <w:tbl>
      <w:tblPr>
        <w:tblW w:w="7900" w:type="dxa"/>
        <w:tblCellMar>
          <w:left w:w="70" w:type="dxa"/>
          <w:right w:w="70" w:type="dxa"/>
        </w:tblCellMar>
        <w:tblLook w:val="04A0" w:firstRow="1" w:lastRow="0" w:firstColumn="1" w:lastColumn="0" w:noHBand="0" w:noVBand="1"/>
      </w:tblPr>
      <w:tblGrid>
        <w:gridCol w:w="851"/>
        <w:gridCol w:w="992"/>
        <w:gridCol w:w="709"/>
        <w:gridCol w:w="850"/>
        <w:gridCol w:w="924"/>
        <w:gridCol w:w="160"/>
        <w:gridCol w:w="974"/>
        <w:gridCol w:w="800"/>
        <w:gridCol w:w="733"/>
        <w:gridCol w:w="907"/>
      </w:tblGrid>
      <w:tr w:rsidR="00A62D7E" w:rsidRPr="009A07F0" w:rsidTr="009A07F0">
        <w:trPr>
          <w:trHeight w:val="20"/>
        </w:trPr>
        <w:tc>
          <w:tcPr>
            <w:tcW w:w="851" w:type="dxa"/>
            <w:vMerge w:val="restart"/>
            <w:tcBorders>
              <w:top w:val="single" w:sz="12" w:space="0" w:color="00B050"/>
              <w:left w:val="nil"/>
              <w:right w:val="nil"/>
            </w:tcBorders>
            <w:shd w:val="clear" w:color="auto" w:fill="auto"/>
            <w:noWrap/>
            <w:vAlign w:val="center"/>
          </w:tcPr>
          <w:p w:rsidR="00A62D7E" w:rsidRPr="009A07F0" w:rsidRDefault="00A62D7E" w:rsidP="009A07F0">
            <w:pPr>
              <w:pStyle w:val="CETBodytext"/>
              <w:rPr>
                <w:lang w:val="en-GB"/>
              </w:rPr>
            </w:pPr>
            <w:r w:rsidRPr="009A07F0">
              <w:rPr>
                <w:lang w:val="en-GB"/>
              </w:rPr>
              <w:t>T, °C</w:t>
            </w:r>
          </w:p>
        </w:tc>
        <w:tc>
          <w:tcPr>
            <w:tcW w:w="3475" w:type="dxa"/>
            <w:gridSpan w:val="4"/>
            <w:tcBorders>
              <w:top w:val="single" w:sz="12" w:space="0" w:color="00B050"/>
              <w:left w:val="nil"/>
              <w:bottom w:val="single" w:sz="2" w:space="0" w:color="00B050"/>
              <w:right w:val="nil"/>
            </w:tcBorders>
            <w:shd w:val="clear" w:color="auto" w:fill="auto"/>
            <w:noWrap/>
            <w:vAlign w:val="center"/>
          </w:tcPr>
          <w:p w:rsidR="00A62D7E" w:rsidRPr="009A07F0" w:rsidRDefault="00A62D7E" w:rsidP="009A07F0">
            <w:pPr>
              <w:pStyle w:val="CETBodytext"/>
              <w:rPr>
                <w:lang w:val="en-GB"/>
              </w:rPr>
            </w:pPr>
            <w:bookmarkStart w:id="7" w:name="OLE_LINK46"/>
            <w:bookmarkStart w:id="8" w:name="OLE_LINK47"/>
            <w:bookmarkStart w:id="9" w:name="OLE_LINK48"/>
            <w:r w:rsidRPr="009A07F0">
              <w:rPr>
                <w:lang w:val="en-GB"/>
              </w:rPr>
              <w:t>Pseudo-first order</w:t>
            </w:r>
            <w:bookmarkEnd w:id="7"/>
            <w:bookmarkEnd w:id="8"/>
            <w:bookmarkEnd w:id="9"/>
          </w:p>
        </w:tc>
        <w:tc>
          <w:tcPr>
            <w:tcW w:w="160" w:type="dxa"/>
            <w:tcBorders>
              <w:top w:val="single" w:sz="12" w:space="0" w:color="00B050"/>
              <w:left w:val="nil"/>
              <w:right w:val="nil"/>
            </w:tcBorders>
          </w:tcPr>
          <w:p w:rsidR="00A62D7E" w:rsidRPr="009A07F0" w:rsidRDefault="00A62D7E" w:rsidP="009A07F0">
            <w:pPr>
              <w:pStyle w:val="CETBodytext"/>
              <w:rPr>
                <w:lang w:val="en-GB"/>
              </w:rPr>
            </w:pPr>
          </w:p>
        </w:tc>
        <w:tc>
          <w:tcPr>
            <w:tcW w:w="3414" w:type="dxa"/>
            <w:gridSpan w:val="4"/>
            <w:tcBorders>
              <w:top w:val="single" w:sz="12" w:space="0" w:color="00B050"/>
              <w:left w:val="nil"/>
              <w:bottom w:val="single" w:sz="2" w:space="0" w:color="00B050"/>
              <w:right w:val="nil"/>
            </w:tcBorders>
          </w:tcPr>
          <w:p w:rsidR="00A62D7E" w:rsidRPr="009A07F0" w:rsidRDefault="00A62D7E" w:rsidP="009A07F0">
            <w:pPr>
              <w:pStyle w:val="CETBodytext"/>
              <w:rPr>
                <w:lang w:val="en-GB"/>
              </w:rPr>
            </w:pPr>
            <w:r w:rsidRPr="009A07F0">
              <w:rPr>
                <w:lang w:val="en-GB"/>
              </w:rPr>
              <w:t>Pseudo-second order</w:t>
            </w:r>
          </w:p>
        </w:tc>
      </w:tr>
      <w:tr w:rsidR="00A62D7E" w:rsidRPr="009A07F0" w:rsidTr="009A07F0">
        <w:trPr>
          <w:trHeight w:val="20"/>
        </w:trPr>
        <w:tc>
          <w:tcPr>
            <w:tcW w:w="851" w:type="dxa"/>
            <w:vMerge/>
            <w:tcBorders>
              <w:left w:val="nil"/>
              <w:bottom w:val="single" w:sz="2" w:space="0" w:color="00B050"/>
              <w:right w:val="nil"/>
            </w:tcBorders>
            <w:shd w:val="clear" w:color="auto" w:fill="auto"/>
            <w:noWrap/>
            <w:vAlign w:val="center"/>
            <w:hideMark/>
          </w:tcPr>
          <w:p w:rsidR="00A62D7E" w:rsidRPr="009A07F0" w:rsidRDefault="00A62D7E" w:rsidP="009A07F0">
            <w:pPr>
              <w:pStyle w:val="CETBodytext"/>
              <w:rPr>
                <w:lang w:val="en-GB"/>
              </w:rPr>
            </w:pPr>
            <w:bookmarkStart w:id="10" w:name="_Hlk512878313"/>
            <w:bookmarkStart w:id="11" w:name="_Hlk512878390"/>
          </w:p>
        </w:tc>
        <w:tc>
          <w:tcPr>
            <w:tcW w:w="992" w:type="dxa"/>
            <w:tcBorders>
              <w:top w:val="single" w:sz="2" w:space="0" w:color="00B050"/>
              <w:left w:val="nil"/>
              <w:bottom w:val="single" w:sz="2" w:space="0" w:color="00B050"/>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q</w:t>
            </w:r>
            <w:r w:rsidRPr="009A07F0">
              <w:rPr>
                <w:vertAlign w:val="subscript"/>
                <w:lang w:val="en-GB"/>
              </w:rPr>
              <w:t>e</w:t>
            </w:r>
          </w:p>
        </w:tc>
        <w:tc>
          <w:tcPr>
            <w:tcW w:w="709" w:type="dxa"/>
            <w:tcBorders>
              <w:top w:val="single" w:sz="2" w:space="0" w:color="00B050"/>
              <w:left w:val="nil"/>
              <w:bottom w:val="single" w:sz="2" w:space="0" w:color="00B050"/>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k</w:t>
            </w:r>
            <w:r w:rsidRPr="009A07F0">
              <w:rPr>
                <w:vertAlign w:val="subscript"/>
                <w:lang w:val="en-GB"/>
              </w:rPr>
              <w:t>f</w:t>
            </w:r>
          </w:p>
        </w:tc>
        <w:tc>
          <w:tcPr>
            <w:tcW w:w="850" w:type="dxa"/>
            <w:tcBorders>
              <w:top w:val="single" w:sz="2" w:space="0" w:color="00B050"/>
              <w:left w:val="nil"/>
              <w:bottom w:val="single" w:sz="2" w:space="0" w:color="00B050"/>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R</w:t>
            </w:r>
            <w:r w:rsidRPr="00F45C8A">
              <w:rPr>
                <w:vertAlign w:val="superscript"/>
                <w:lang w:val="en-GB"/>
              </w:rPr>
              <w:t>2</w:t>
            </w:r>
          </w:p>
        </w:tc>
        <w:tc>
          <w:tcPr>
            <w:tcW w:w="924" w:type="dxa"/>
            <w:tcBorders>
              <w:top w:val="single" w:sz="2" w:space="0" w:color="00B050"/>
              <w:left w:val="nil"/>
              <w:bottom w:val="single" w:sz="2" w:space="0" w:color="00B050"/>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HYBRID</w:t>
            </w:r>
          </w:p>
        </w:tc>
        <w:tc>
          <w:tcPr>
            <w:tcW w:w="160" w:type="dxa"/>
            <w:tcBorders>
              <w:left w:val="nil"/>
              <w:bottom w:val="single" w:sz="2" w:space="0" w:color="00B050"/>
              <w:right w:val="nil"/>
            </w:tcBorders>
          </w:tcPr>
          <w:p w:rsidR="00A62D7E" w:rsidRPr="009A07F0" w:rsidRDefault="00A62D7E" w:rsidP="009A07F0">
            <w:pPr>
              <w:pStyle w:val="CETBodytext"/>
              <w:rPr>
                <w:lang w:val="en-GB"/>
              </w:rPr>
            </w:pPr>
          </w:p>
        </w:tc>
        <w:tc>
          <w:tcPr>
            <w:tcW w:w="974" w:type="dxa"/>
            <w:tcBorders>
              <w:top w:val="single" w:sz="2" w:space="0" w:color="00B050"/>
              <w:left w:val="nil"/>
              <w:bottom w:val="single" w:sz="2" w:space="0" w:color="00B050"/>
              <w:right w:val="nil"/>
            </w:tcBorders>
            <w:vAlign w:val="center"/>
          </w:tcPr>
          <w:p w:rsidR="00A62D7E" w:rsidRPr="009A07F0" w:rsidRDefault="00A62D7E" w:rsidP="009A07F0">
            <w:pPr>
              <w:pStyle w:val="CETBodytext"/>
              <w:rPr>
                <w:lang w:val="en-GB"/>
              </w:rPr>
            </w:pPr>
            <w:r w:rsidRPr="009A07F0">
              <w:rPr>
                <w:lang w:val="en-GB"/>
              </w:rPr>
              <w:t>q</w:t>
            </w:r>
            <w:r w:rsidRPr="009A07F0">
              <w:rPr>
                <w:vertAlign w:val="subscript"/>
                <w:lang w:val="en-GB"/>
              </w:rPr>
              <w:t>e</w:t>
            </w:r>
          </w:p>
        </w:tc>
        <w:tc>
          <w:tcPr>
            <w:tcW w:w="800" w:type="dxa"/>
            <w:tcBorders>
              <w:top w:val="single" w:sz="2" w:space="0" w:color="00B050"/>
              <w:left w:val="nil"/>
              <w:bottom w:val="single" w:sz="2" w:space="0" w:color="00B050"/>
              <w:right w:val="nil"/>
            </w:tcBorders>
            <w:vAlign w:val="center"/>
          </w:tcPr>
          <w:p w:rsidR="00A62D7E" w:rsidRPr="009A07F0" w:rsidRDefault="00A62D7E" w:rsidP="009A07F0">
            <w:pPr>
              <w:pStyle w:val="CETBodytext"/>
              <w:rPr>
                <w:lang w:val="en-GB"/>
              </w:rPr>
            </w:pPr>
            <w:r w:rsidRPr="009A07F0">
              <w:rPr>
                <w:lang w:val="en-GB"/>
              </w:rPr>
              <w:t>k</w:t>
            </w:r>
            <w:r w:rsidRPr="009A07F0">
              <w:rPr>
                <w:vertAlign w:val="subscript"/>
                <w:lang w:val="en-GB"/>
              </w:rPr>
              <w:t>s</w:t>
            </w:r>
          </w:p>
        </w:tc>
        <w:tc>
          <w:tcPr>
            <w:tcW w:w="733" w:type="dxa"/>
            <w:tcBorders>
              <w:top w:val="single" w:sz="2" w:space="0" w:color="00B050"/>
              <w:left w:val="nil"/>
              <w:bottom w:val="single" w:sz="2" w:space="0" w:color="00B050"/>
              <w:right w:val="nil"/>
            </w:tcBorders>
            <w:vAlign w:val="center"/>
          </w:tcPr>
          <w:p w:rsidR="00A62D7E" w:rsidRPr="009A07F0" w:rsidRDefault="00A62D7E" w:rsidP="009A07F0">
            <w:pPr>
              <w:pStyle w:val="CETBodytext"/>
              <w:rPr>
                <w:lang w:val="en-GB"/>
              </w:rPr>
            </w:pPr>
            <w:r w:rsidRPr="009A07F0">
              <w:rPr>
                <w:lang w:val="en-GB"/>
              </w:rPr>
              <w:t>R</w:t>
            </w:r>
            <w:r w:rsidRPr="009A07F0">
              <w:rPr>
                <w:vertAlign w:val="superscript"/>
                <w:lang w:val="en-GB"/>
              </w:rPr>
              <w:t>2</w:t>
            </w:r>
          </w:p>
        </w:tc>
        <w:tc>
          <w:tcPr>
            <w:tcW w:w="907" w:type="dxa"/>
            <w:tcBorders>
              <w:top w:val="single" w:sz="2" w:space="0" w:color="00B050"/>
              <w:left w:val="nil"/>
              <w:bottom w:val="single" w:sz="2" w:space="0" w:color="00B050"/>
              <w:right w:val="nil"/>
            </w:tcBorders>
            <w:vAlign w:val="center"/>
          </w:tcPr>
          <w:p w:rsidR="00A62D7E" w:rsidRPr="009A07F0" w:rsidRDefault="00A62D7E" w:rsidP="009A07F0">
            <w:pPr>
              <w:pStyle w:val="CETBodytext"/>
              <w:rPr>
                <w:lang w:val="en-GB"/>
              </w:rPr>
            </w:pPr>
            <w:r w:rsidRPr="009A07F0">
              <w:rPr>
                <w:lang w:val="en-GB"/>
              </w:rPr>
              <w:t>HYBRID</w:t>
            </w:r>
          </w:p>
        </w:tc>
      </w:tr>
      <w:bookmarkEnd w:id="10"/>
      <w:tr w:rsidR="00A62D7E" w:rsidRPr="009A07F0" w:rsidTr="009A07F0">
        <w:trPr>
          <w:trHeight w:val="20"/>
        </w:trPr>
        <w:tc>
          <w:tcPr>
            <w:tcW w:w="851" w:type="dxa"/>
            <w:tcBorders>
              <w:top w:val="single" w:sz="2" w:space="0" w:color="00B050"/>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25</w:t>
            </w:r>
          </w:p>
        </w:tc>
        <w:tc>
          <w:tcPr>
            <w:tcW w:w="992" w:type="dxa"/>
            <w:tcBorders>
              <w:top w:val="single" w:sz="2" w:space="0" w:color="00B050"/>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0.605</w:t>
            </w:r>
          </w:p>
        </w:tc>
        <w:tc>
          <w:tcPr>
            <w:tcW w:w="709" w:type="dxa"/>
            <w:tcBorders>
              <w:top w:val="single" w:sz="2" w:space="0" w:color="00B050"/>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0.403</w:t>
            </w:r>
          </w:p>
        </w:tc>
        <w:tc>
          <w:tcPr>
            <w:tcW w:w="850" w:type="dxa"/>
            <w:tcBorders>
              <w:top w:val="single" w:sz="2" w:space="0" w:color="00B050"/>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0.995</w:t>
            </w:r>
          </w:p>
        </w:tc>
        <w:tc>
          <w:tcPr>
            <w:tcW w:w="924" w:type="dxa"/>
            <w:tcBorders>
              <w:top w:val="single" w:sz="2" w:space="0" w:color="00B050"/>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0.0672</w:t>
            </w:r>
          </w:p>
        </w:tc>
        <w:tc>
          <w:tcPr>
            <w:tcW w:w="160" w:type="dxa"/>
            <w:tcBorders>
              <w:top w:val="single" w:sz="2" w:space="0" w:color="00B050"/>
              <w:left w:val="nil"/>
              <w:bottom w:val="nil"/>
              <w:right w:val="nil"/>
            </w:tcBorders>
          </w:tcPr>
          <w:p w:rsidR="00A62D7E" w:rsidRPr="009A07F0" w:rsidRDefault="00A62D7E" w:rsidP="009A07F0">
            <w:pPr>
              <w:pStyle w:val="CETBodytext"/>
              <w:rPr>
                <w:lang w:val="en-GB"/>
              </w:rPr>
            </w:pPr>
          </w:p>
        </w:tc>
        <w:tc>
          <w:tcPr>
            <w:tcW w:w="974" w:type="dxa"/>
            <w:tcBorders>
              <w:top w:val="single" w:sz="2" w:space="0" w:color="00B050"/>
              <w:left w:val="nil"/>
              <w:bottom w:val="nil"/>
              <w:right w:val="nil"/>
            </w:tcBorders>
            <w:vAlign w:val="center"/>
          </w:tcPr>
          <w:p w:rsidR="00A62D7E" w:rsidRPr="009A07F0" w:rsidRDefault="00A62D7E" w:rsidP="009A07F0">
            <w:pPr>
              <w:pStyle w:val="CETBodytext"/>
              <w:rPr>
                <w:lang w:val="en-GB"/>
              </w:rPr>
            </w:pPr>
            <w:r w:rsidRPr="009A07F0">
              <w:rPr>
                <w:lang w:val="en-GB"/>
              </w:rPr>
              <w:t>0.734</w:t>
            </w:r>
          </w:p>
        </w:tc>
        <w:tc>
          <w:tcPr>
            <w:tcW w:w="800" w:type="dxa"/>
            <w:tcBorders>
              <w:top w:val="single" w:sz="2" w:space="0" w:color="00B050"/>
              <w:left w:val="nil"/>
              <w:bottom w:val="nil"/>
              <w:right w:val="nil"/>
            </w:tcBorders>
            <w:vAlign w:val="center"/>
          </w:tcPr>
          <w:p w:rsidR="00A62D7E" w:rsidRPr="009A07F0" w:rsidRDefault="00A62D7E" w:rsidP="009A07F0">
            <w:pPr>
              <w:pStyle w:val="CETBodytext"/>
              <w:rPr>
                <w:lang w:val="en-GB"/>
              </w:rPr>
            </w:pPr>
            <w:r w:rsidRPr="009A07F0">
              <w:rPr>
                <w:lang w:val="en-GB"/>
              </w:rPr>
              <w:t>0.516</w:t>
            </w:r>
          </w:p>
        </w:tc>
        <w:tc>
          <w:tcPr>
            <w:tcW w:w="733" w:type="dxa"/>
            <w:tcBorders>
              <w:top w:val="single" w:sz="2" w:space="0" w:color="00B050"/>
              <w:left w:val="nil"/>
              <w:bottom w:val="nil"/>
              <w:right w:val="nil"/>
            </w:tcBorders>
            <w:vAlign w:val="center"/>
          </w:tcPr>
          <w:p w:rsidR="00A62D7E" w:rsidRPr="009A07F0" w:rsidRDefault="00A62D7E" w:rsidP="009A07F0">
            <w:pPr>
              <w:pStyle w:val="CETBodytext"/>
              <w:rPr>
                <w:lang w:val="en-GB"/>
              </w:rPr>
            </w:pPr>
            <w:r w:rsidRPr="009A07F0">
              <w:rPr>
                <w:lang w:val="en-GB"/>
              </w:rPr>
              <w:t>0.987</w:t>
            </w:r>
          </w:p>
        </w:tc>
        <w:tc>
          <w:tcPr>
            <w:tcW w:w="907" w:type="dxa"/>
            <w:tcBorders>
              <w:top w:val="single" w:sz="2" w:space="0" w:color="00B050"/>
              <w:left w:val="nil"/>
              <w:bottom w:val="nil"/>
              <w:right w:val="nil"/>
            </w:tcBorders>
            <w:vAlign w:val="center"/>
          </w:tcPr>
          <w:p w:rsidR="00A62D7E" w:rsidRPr="009A07F0" w:rsidRDefault="00A62D7E" w:rsidP="009A07F0">
            <w:pPr>
              <w:pStyle w:val="CETBodytext"/>
              <w:rPr>
                <w:lang w:val="en-GB"/>
              </w:rPr>
            </w:pPr>
            <w:r w:rsidRPr="009A07F0">
              <w:rPr>
                <w:lang w:val="en-GB"/>
              </w:rPr>
              <w:t>0.111</w:t>
            </w:r>
          </w:p>
        </w:tc>
      </w:tr>
      <w:tr w:rsidR="00A62D7E" w:rsidRPr="009A07F0" w:rsidTr="009A07F0">
        <w:trPr>
          <w:trHeight w:val="20"/>
        </w:trPr>
        <w:tc>
          <w:tcPr>
            <w:tcW w:w="851"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40</w:t>
            </w:r>
          </w:p>
        </w:tc>
        <w:tc>
          <w:tcPr>
            <w:tcW w:w="992"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0.513</w:t>
            </w:r>
          </w:p>
        </w:tc>
        <w:tc>
          <w:tcPr>
            <w:tcW w:w="709"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0.476</w:t>
            </w:r>
          </w:p>
        </w:tc>
        <w:tc>
          <w:tcPr>
            <w:tcW w:w="850"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0.997</w:t>
            </w:r>
          </w:p>
        </w:tc>
        <w:tc>
          <w:tcPr>
            <w:tcW w:w="924"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0.0636</w:t>
            </w:r>
          </w:p>
        </w:tc>
        <w:tc>
          <w:tcPr>
            <w:tcW w:w="160" w:type="dxa"/>
            <w:tcBorders>
              <w:top w:val="nil"/>
              <w:left w:val="nil"/>
              <w:bottom w:val="nil"/>
              <w:right w:val="nil"/>
            </w:tcBorders>
          </w:tcPr>
          <w:p w:rsidR="00A62D7E" w:rsidRPr="009A07F0" w:rsidRDefault="00A62D7E" w:rsidP="009A07F0">
            <w:pPr>
              <w:pStyle w:val="CETBodytext"/>
              <w:rPr>
                <w:lang w:val="en-GB"/>
              </w:rPr>
            </w:pPr>
          </w:p>
        </w:tc>
        <w:tc>
          <w:tcPr>
            <w:tcW w:w="974" w:type="dxa"/>
            <w:tcBorders>
              <w:top w:val="nil"/>
              <w:left w:val="nil"/>
              <w:bottom w:val="nil"/>
              <w:right w:val="nil"/>
            </w:tcBorders>
            <w:vAlign w:val="center"/>
          </w:tcPr>
          <w:p w:rsidR="00A62D7E" w:rsidRPr="009A07F0" w:rsidRDefault="00A62D7E" w:rsidP="009A07F0">
            <w:pPr>
              <w:pStyle w:val="CETBodytext"/>
              <w:rPr>
                <w:lang w:val="en-GB"/>
              </w:rPr>
            </w:pPr>
            <w:r w:rsidRPr="009A07F0">
              <w:rPr>
                <w:lang w:val="en-GB"/>
              </w:rPr>
              <w:t>0.607</w:t>
            </w:r>
          </w:p>
        </w:tc>
        <w:tc>
          <w:tcPr>
            <w:tcW w:w="800" w:type="dxa"/>
            <w:tcBorders>
              <w:top w:val="nil"/>
              <w:left w:val="nil"/>
              <w:bottom w:val="nil"/>
              <w:right w:val="nil"/>
            </w:tcBorders>
            <w:vAlign w:val="center"/>
          </w:tcPr>
          <w:p w:rsidR="00A62D7E" w:rsidRPr="009A07F0" w:rsidRDefault="00A62D7E" w:rsidP="009A07F0">
            <w:pPr>
              <w:pStyle w:val="CETBodytext"/>
              <w:rPr>
                <w:lang w:val="en-GB"/>
              </w:rPr>
            </w:pPr>
            <w:r w:rsidRPr="009A07F0">
              <w:rPr>
                <w:lang w:val="en-GB"/>
              </w:rPr>
              <w:t>0.766</w:t>
            </w:r>
          </w:p>
        </w:tc>
        <w:tc>
          <w:tcPr>
            <w:tcW w:w="733" w:type="dxa"/>
            <w:tcBorders>
              <w:top w:val="nil"/>
              <w:left w:val="nil"/>
              <w:bottom w:val="nil"/>
              <w:right w:val="nil"/>
            </w:tcBorders>
            <w:vAlign w:val="center"/>
          </w:tcPr>
          <w:p w:rsidR="00A62D7E" w:rsidRPr="009A07F0" w:rsidRDefault="00A62D7E" w:rsidP="009A07F0">
            <w:pPr>
              <w:pStyle w:val="CETBodytext"/>
              <w:rPr>
                <w:lang w:val="en-GB"/>
              </w:rPr>
            </w:pPr>
            <w:r w:rsidRPr="009A07F0">
              <w:rPr>
                <w:lang w:val="en-GB"/>
              </w:rPr>
              <w:t>0.988</w:t>
            </w:r>
          </w:p>
        </w:tc>
        <w:tc>
          <w:tcPr>
            <w:tcW w:w="907" w:type="dxa"/>
            <w:tcBorders>
              <w:top w:val="nil"/>
              <w:left w:val="nil"/>
              <w:bottom w:val="nil"/>
              <w:right w:val="nil"/>
            </w:tcBorders>
            <w:vAlign w:val="center"/>
          </w:tcPr>
          <w:p w:rsidR="00A62D7E" w:rsidRPr="009A07F0" w:rsidRDefault="00A62D7E" w:rsidP="009A07F0">
            <w:pPr>
              <w:pStyle w:val="CETBodytext"/>
              <w:rPr>
                <w:lang w:val="en-GB"/>
              </w:rPr>
            </w:pPr>
            <w:r w:rsidRPr="009A07F0">
              <w:rPr>
                <w:lang w:val="en-GB"/>
              </w:rPr>
              <w:t>0.109</w:t>
            </w:r>
          </w:p>
        </w:tc>
      </w:tr>
      <w:tr w:rsidR="00A62D7E" w:rsidRPr="009A07F0" w:rsidTr="009A07F0">
        <w:trPr>
          <w:trHeight w:val="20"/>
        </w:trPr>
        <w:tc>
          <w:tcPr>
            <w:tcW w:w="851"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70</w:t>
            </w:r>
          </w:p>
        </w:tc>
        <w:tc>
          <w:tcPr>
            <w:tcW w:w="992"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0.331</w:t>
            </w:r>
          </w:p>
        </w:tc>
        <w:tc>
          <w:tcPr>
            <w:tcW w:w="709"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0.745</w:t>
            </w:r>
          </w:p>
        </w:tc>
        <w:tc>
          <w:tcPr>
            <w:tcW w:w="850"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0.998</w:t>
            </w:r>
          </w:p>
        </w:tc>
        <w:tc>
          <w:tcPr>
            <w:tcW w:w="924" w:type="dxa"/>
            <w:tcBorders>
              <w:top w:val="nil"/>
              <w:left w:val="nil"/>
              <w:bottom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0.0432</w:t>
            </w:r>
          </w:p>
        </w:tc>
        <w:tc>
          <w:tcPr>
            <w:tcW w:w="160" w:type="dxa"/>
            <w:tcBorders>
              <w:top w:val="nil"/>
              <w:left w:val="nil"/>
              <w:bottom w:val="nil"/>
              <w:right w:val="nil"/>
            </w:tcBorders>
          </w:tcPr>
          <w:p w:rsidR="00A62D7E" w:rsidRPr="009A07F0" w:rsidRDefault="00A62D7E" w:rsidP="009A07F0">
            <w:pPr>
              <w:pStyle w:val="CETBodytext"/>
              <w:rPr>
                <w:lang w:val="en-GB"/>
              </w:rPr>
            </w:pPr>
          </w:p>
        </w:tc>
        <w:tc>
          <w:tcPr>
            <w:tcW w:w="974" w:type="dxa"/>
            <w:tcBorders>
              <w:top w:val="nil"/>
              <w:left w:val="nil"/>
              <w:bottom w:val="nil"/>
              <w:right w:val="nil"/>
            </w:tcBorders>
            <w:vAlign w:val="center"/>
          </w:tcPr>
          <w:p w:rsidR="00A62D7E" w:rsidRPr="009A07F0" w:rsidRDefault="00A62D7E" w:rsidP="009A07F0">
            <w:pPr>
              <w:pStyle w:val="CETBodytext"/>
              <w:rPr>
                <w:lang w:val="en-GB"/>
              </w:rPr>
            </w:pPr>
            <w:r w:rsidRPr="009A07F0">
              <w:rPr>
                <w:lang w:val="en-GB"/>
              </w:rPr>
              <w:t>0.372</w:t>
            </w:r>
          </w:p>
        </w:tc>
        <w:tc>
          <w:tcPr>
            <w:tcW w:w="800" w:type="dxa"/>
            <w:tcBorders>
              <w:top w:val="nil"/>
              <w:left w:val="nil"/>
              <w:bottom w:val="nil"/>
              <w:right w:val="nil"/>
            </w:tcBorders>
            <w:vAlign w:val="center"/>
          </w:tcPr>
          <w:p w:rsidR="00A62D7E" w:rsidRPr="009A07F0" w:rsidRDefault="00A62D7E" w:rsidP="009A07F0">
            <w:pPr>
              <w:pStyle w:val="CETBodytext"/>
              <w:rPr>
                <w:lang w:val="en-GB"/>
              </w:rPr>
            </w:pPr>
            <w:r w:rsidRPr="009A07F0">
              <w:rPr>
                <w:lang w:val="en-GB"/>
              </w:rPr>
              <w:t>2.173</w:t>
            </w:r>
          </w:p>
        </w:tc>
        <w:tc>
          <w:tcPr>
            <w:tcW w:w="733" w:type="dxa"/>
            <w:tcBorders>
              <w:top w:val="nil"/>
              <w:left w:val="nil"/>
              <w:bottom w:val="nil"/>
              <w:right w:val="nil"/>
            </w:tcBorders>
            <w:vAlign w:val="center"/>
          </w:tcPr>
          <w:p w:rsidR="00A62D7E" w:rsidRPr="009A07F0" w:rsidRDefault="00A62D7E" w:rsidP="009A07F0">
            <w:pPr>
              <w:pStyle w:val="CETBodytext"/>
              <w:rPr>
                <w:lang w:val="en-GB"/>
              </w:rPr>
            </w:pPr>
            <w:r w:rsidRPr="009A07F0">
              <w:rPr>
                <w:lang w:val="en-GB"/>
              </w:rPr>
              <w:t>0.989</w:t>
            </w:r>
          </w:p>
        </w:tc>
        <w:tc>
          <w:tcPr>
            <w:tcW w:w="907" w:type="dxa"/>
            <w:tcBorders>
              <w:top w:val="nil"/>
              <w:left w:val="nil"/>
              <w:bottom w:val="nil"/>
              <w:right w:val="nil"/>
            </w:tcBorders>
            <w:vAlign w:val="center"/>
          </w:tcPr>
          <w:p w:rsidR="00A62D7E" w:rsidRPr="009A07F0" w:rsidRDefault="00A62D7E" w:rsidP="009A07F0">
            <w:pPr>
              <w:pStyle w:val="CETBodytext"/>
              <w:rPr>
                <w:lang w:val="en-GB"/>
              </w:rPr>
            </w:pPr>
            <w:r w:rsidRPr="009A07F0">
              <w:rPr>
                <w:lang w:val="en-GB"/>
              </w:rPr>
              <w:t>0.084</w:t>
            </w:r>
          </w:p>
        </w:tc>
      </w:tr>
      <w:tr w:rsidR="00A62D7E" w:rsidRPr="009A07F0" w:rsidTr="009A07F0">
        <w:trPr>
          <w:trHeight w:val="20"/>
        </w:trPr>
        <w:tc>
          <w:tcPr>
            <w:tcW w:w="851" w:type="dxa"/>
            <w:tcBorders>
              <w:top w:val="nil"/>
              <w:left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100</w:t>
            </w:r>
          </w:p>
        </w:tc>
        <w:tc>
          <w:tcPr>
            <w:tcW w:w="992" w:type="dxa"/>
            <w:tcBorders>
              <w:top w:val="nil"/>
              <w:left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0.197</w:t>
            </w:r>
          </w:p>
        </w:tc>
        <w:tc>
          <w:tcPr>
            <w:tcW w:w="709" w:type="dxa"/>
            <w:tcBorders>
              <w:top w:val="nil"/>
              <w:left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1.295</w:t>
            </w:r>
          </w:p>
        </w:tc>
        <w:tc>
          <w:tcPr>
            <w:tcW w:w="850" w:type="dxa"/>
            <w:tcBorders>
              <w:top w:val="nil"/>
              <w:left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0.999</w:t>
            </w:r>
          </w:p>
        </w:tc>
        <w:tc>
          <w:tcPr>
            <w:tcW w:w="924" w:type="dxa"/>
            <w:tcBorders>
              <w:top w:val="nil"/>
              <w:left w:val="nil"/>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0.0294</w:t>
            </w:r>
          </w:p>
        </w:tc>
        <w:tc>
          <w:tcPr>
            <w:tcW w:w="160" w:type="dxa"/>
            <w:tcBorders>
              <w:top w:val="nil"/>
              <w:left w:val="nil"/>
              <w:right w:val="nil"/>
            </w:tcBorders>
          </w:tcPr>
          <w:p w:rsidR="00A62D7E" w:rsidRPr="009A07F0" w:rsidRDefault="00A62D7E" w:rsidP="009A07F0">
            <w:pPr>
              <w:pStyle w:val="CETBodytext"/>
              <w:rPr>
                <w:lang w:val="en-GB"/>
              </w:rPr>
            </w:pPr>
          </w:p>
        </w:tc>
        <w:tc>
          <w:tcPr>
            <w:tcW w:w="974" w:type="dxa"/>
            <w:tcBorders>
              <w:top w:val="nil"/>
              <w:left w:val="nil"/>
              <w:right w:val="nil"/>
            </w:tcBorders>
            <w:vAlign w:val="center"/>
          </w:tcPr>
          <w:p w:rsidR="00A62D7E" w:rsidRPr="009A07F0" w:rsidRDefault="00A62D7E" w:rsidP="009A07F0">
            <w:pPr>
              <w:pStyle w:val="CETBodytext"/>
              <w:rPr>
                <w:lang w:val="en-GB"/>
              </w:rPr>
            </w:pPr>
            <w:r w:rsidRPr="009A07F0">
              <w:rPr>
                <w:lang w:val="en-GB"/>
              </w:rPr>
              <w:t>0.212</w:t>
            </w:r>
          </w:p>
        </w:tc>
        <w:tc>
          <w:tcPr>
            <w:tcW w:w="800" w:type="dxa"/>
            <w:tcBorders>
              <w:top w:val="nil"/>
              <w:left w:val="nil"/>
              <w:right w:val="nil"/>
            </w:tcBorders>
            <w:vAlign w:val="center"/>
          </w:tcPr>
          <w:p w:rsidR="00A62D7E" w:rsidRPr="009A07F0" w:rsidRDefault="00A62D7E" w:rsidP="009A07F0">
            <w:pPr>
              <w:pStyle w:val="CETBodytext"/>
              <w:rPr>
                <w:lang w:val="en-GB"/>
              </w:rPr>
            </w:pPr>
            <w:r w:rsidRPr="009A07F0">
              <w:rPr>
                <w:lang w:val="en-GB"/>
              </w:rPr>
              <w:t>7.372</w:t>
            </w:r>
          </w:p>
        </w:tc>
        <w:tc>
          <w:tcPr>
            <w:tcW w:w="733" w:type="dxa"/>
            <w:tcBorders>
              <w:top w:val="nil"/>
              <w:left w:val="nil"/>
              <w:right w:val="nil"/>
            </w:tcBorders>
            <w:vAlign w:val="center"/>
          </w:tcPr>
          <w:p w:rsidR="00A62D7E" w:rsidRPr="009A07F0" w:rsidRDefault="00A62D7E" w:rsidP="009A07F0">
            <w:pPr>
              <w:pStyle w:val="CETBodytext"/>
              <w:rPr>
                <w:lang w:val="en-GB"/>
              </w:rPr>
            </w:pPr>
            <w:r w:rsidRPr="009A07F0">
              <w:rPr>
                <w:lang w:val="en-GB"/>
              </w:rPr>
              <w:t>0.995</w:t>
            </w:r>
          </w:p>
        </w:tc>
        <w:tc>
          <w:tcPr>
            <w:tcW w:w="907" w:type="dxa"/>
            <w:tcBorders>
              <w:top w:val="nil"/>
              <w:left w:val="nil"/>
              <w:right w:val="nil"/>
            </w:tcBorders>
            <w:vAlign w:val="center"/>
          </w:tcPr>
          <w:p w:rsidR="00A62D7E" w:rsidRPr="009A07F0" w:rsidRDefault="00A62D7E" w:rsidP="009A07F0">
            <w:pPr>
              <w:pStyle w:val="CETBodytext"/>
              <w:rPr>
                <w:lang w:val="en-GB"/>
              </w:rPr>
            </w:pPr>
            <w:r w:rsidRPr="009A07F0">
              <w:rPr>
                <w:lang w:val="en-GB"/>
              </w:rPr>
              <w:t>0.067</w:t>
            </w:r>
          </w:p>
        </w:tc>
      </w:tr>
      <w:tr w:rsidR="00A62D7E" w:rsidRPr="009A07F0" w:rsidTr="009A07F0">
        <w:trPr>
          <w:trHeight w:val="20"/>
        </w:trPr>
        <w:tc>
          <w:tcPr>
            <w:tcW w:w="851" w:type="dxa"/>
            <w:tcBorders>
              <w:top w:val="nil"/>
              <w:left w:val="nil"/>
              <w:bottom w:val="single" w:sz="12" w:space="0" w:color="00B050"/>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130</w:t>
            </w:r>
          </w:p>
        </w:tc>
        <w:tc>
          <w:tcPr>
            <w:tcW w:w="992" w:type="dxa"/>
            <w:tcBorders>
              <w:top w:val="nil"/>
              <w:left w:val="nil"/>
              <w:bottom w:val="single" w:sz="12" w:space="0" w:color="00B050"/>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0.122</w:t>
            </w:r>
          </w:p>
        </w:tc>
        <w:tc>
          <w:tcPr>
            <w:tcW w:w="709" w:type="dxa"/>
            <w:tcBorders>
              <w:top w:val="nil"/>
              <w:left w:val="nil"/>
              <w:bottom w:val="single" w:sz="12" w:space="0" w:color="00B050"/>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2.108</w:t>
            </w:r>
          </w:p>
        </w:tc>
        <w:tc>
          <w:tcPr>
            <w:tcW w:w="850" w:type="dxa"/>
            <w:tcBorders>
              <w:top w:val="nil"/>
              <w:left w:val="nil"/>
              <w:bottom w:val="single" w:sz="12" w:space="0" w:color="00B050"/>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0.999</w:t>
            </w:r>
          </w:p>
        </w:tc>
        <w:tc>
          <w:tcPr>
            <w:tcW w:w="924" w:type="dxa"/>
            <w:tcBorders>
              <w:top w:val="nil"/>
              <w:left w:val="nil"/>
              <w:bottom w:val="single" w:sz="12" w:space="0" w:color="00B050"/>
              <w:right w:val="nil"/>
            </w:tcBorders>
            <w:shd w:val="clear" w:color="auto" w:fill="auto"/>
            <w:noWrap/>
            <w:vAlign w:val="center"/>
            <w:hideMark/>
          </w:tcPr>
          <w:p w:rsidR="00A62D7E" w:rsidRPr="009A07F0" w:rsidRDefault="00A62D7E" w:rsidP="009A07F0">
            <w:pPr>
              <w:pStyle w:val="CETBodytext"/>
              <w:rPr>
                <w:lang w:val="en-GB"/>
              </w:rPr>
            </w:pPr>
            <w:r w:rsidRPr="009A07F0">
              <w:rPr>
                <w:lang w:val="en-GB"/>
              </w:rPr>
              <w:t>0.0244</w:t>
            </w:r>
          </w:p>
        </w:tc>
        <w:tc>
          <w:tcPr>
            <w:tcW w:w="160" w:type="dxa"/>
            <w:tcBorders>
              <w:top w:val="nil"/>
              <w:left w:val="nil"/>
              <w:bottom w:val="single" w:sz="12" w:space="0" w:color="00B050"/>
              <w:right w:val="nil"/>
            </w:tcBorders>
          </w:tcPr>
          <w:p w:rsidR="00A62D7E" w:rsidRPr="009A07F0" w:rsidRDefault="00A62D7E" w:rsidP="009A07F0">
            <w:pPr>
              <w:pStyle w:val="CETBodytext"/>
              <w:rPr>
                <w:lang w:val="en-GB"/>
              </w:rPr>
            </w:pPr>
          </w:p>
        </w:tc>
        <w:tc>
          <w:tcPr>
            <w:tcW w:w="974" w:type="dxa"/>
            <w:tcBorders>
              <w:top w:val="nil"/>
              <w:left w:val="nil"/>
              <w:bottom w:val="single" w:sz="12" w:space="0" w:color="00B050"/>
              <w:right w:val="nil"/>
            </w:tcBorders>
            <w:vAlign w:val="center"/>
          </w:tcPr>
          <w:p w:rsidR="00A62D7E" w:rsidRPr="009A07F0" w:rsidRDefault="00A62D7E" w:rsidP="009A07F0">
            <w:pPr>
              <w:pStyle w:val="CETBodytext"/>
              <w:rPr>
                <w:lang w:val="en-GB"/>
              </w:rPr>
            </w:pPr>
            <w:r w:rsidRPr="009A07F0">
              <w:rPr>
                <w:lang w:val="en-GB"/>
              </w:rPr>
              <w:t>0.129</w:t>
            </w:r>
          </w:p>
        </w:tc>
        <w:tc>
          <w:tcPr>
            <w:tcW w:w="800" w:type="dxa"/>
            <w:tcBorders>
              <w:top w:val="nil"/>
              <w:left w:val="nil"/>
              <w:bottom w:val="single" w:sz="12" w:space="0" w:color="00B050"/>
              <w:right w:val="nil"/>
            </w:tcBorders>
            <w:vAlign w:val="center"/>
          </w:tcPr>
          <w:p w:rsidR="00A62D7E" w:rsidRPr="009A07F0" w:rsidRDefault="00A62D7E" w:rsidP="009A07F0">
            <w:pPr>
              <w:pStyle w:val="CETBodytext"/>
              <w:rPr>
                <w:lang w:val="en-GB"/>
              </w:rPr>
            </w:pPr>
            <w:r w:rsidRPr="009A07F0">
              <w:rPr>
                <w:lang w:val="en-GB"/>
              </w:rPr>
              <w:t>21.052</w:t>
            </w:r>
          </w:p>
        </w:tc>
        <w:tc>
          <w:tcPr>
            <w:tcW w:w="733" w:type="dxa"/>
            <w:tcBorders>
              <w:top w:val="nil"/>
              <w:left w:val="nil"/>
              <w:bottom w:val="single" w:sz="12" w:space="0" w:color="00B050"/>
              <w:right w:val="nil"/>
            </w:tcBorders>
            <w:vAlign w:val="center"/>
          </w:tcPr>
          <w:p w:rsidR="00A62D7E" w:rsidRPr="009A07F0" w:rsidRDefault="00A62D7E" w:rsidP="009A07F0">
            <w:pPr>
              <w:pStyle w:val="CETBodytext"/>
              <w:rPr>
                <w:lang w:val="en-GB"/>
              </w:rPr>
            </w:pPr>
            <w:r w:rsidRPr="009A07F0">
              <w:rPr>
                <w:lang w:val="en-GB"/>
              </w:rPr>
              <w:t>0.996</w:t>
            </w:r>
          </w:p>
        </w:tc>
        <w:tc>
          <w:tcPr>
            <w:tcW w:w="907" w:type="dxa"/>
            <w:tcBorders>
              <w:top w:val="nil"/>
              <w:left w:val="nil"/>
              <w:bottom w:val="single" w:sz="12" w:space="0" w:color="00B050"/>
              <w:right w:val="nil"/>
            </w:tcBorders>
            <w:vAlign w:val="center"/>
          </w:tcPr>
          <w:p w:rsidR="00A62D7E" w:rsidRPr="009A07F0" w:rsidRDefault="00A62D7E" w:rsidP="009A07F0">
            <w:pPr>
              <w:pStyle w:val="CETBodytext"/>
              <w:rPr>
                <w:lang w:val="en-GB"/>
              </w:rPr>
            </w:pPr>
            <w:r w:rsidRPr="009A07F0">
              <w:rPr>
                <w:lang w:val="en-GB"/>
              </w:rPr>
              <w:t>0.047</w:t>
            </w:r>
          </w:p>
        </w:tc>
      </w:tr>
    </w:tbl>
    <w:bookmarkEnd w:id="11"/>
    <w:p w:rsidR="008A5C81" w:rsidRPr="00B57B36" w:rsidRDefault="008A5C81" w:rsidP="008A5C81">
      <w:pPr>
        <w:pStyle w:val="CETHeading1"/>
        <w:numPr>
          <w:ilvl w:val="1"/>
          <w:numId w:val="22"/>
        </w:numPr>
      </w:pPr>
      <w:r>
        <w:t>Conclusions</w:t>
      </w:r>
    </w:p>
    <w:p w:rsidR="008A5C81" w:rsidRPr="00381487" w:rsidRDefault="008A5C81" w:rsidP="008A5C81">
      <w:pPr>
        <w:pStyle w:val="CETBodytext"/>
      </w:pPr>
      <w:r w:rsidRPr="00381487">
        <w:t xml:space="preserve">In this work </w:t>
      </w:r>
      <w:r w:rsidR="008869A5" w:rsidRPr="00D7150B">
        <w:rPr>
          <w:rFonts w:cs="Arial"/>
          <w:szCs w:val="18"/>
        </w:rPr>
        <w:t>CO</w:t>
      </w:r>
      <w:r w:rsidR="008869A5" w:rsidRPr="00D7150B">
        <w:rPr>
          <w:rFonts w:cs="Arial"/>
          <w:szCs w:val="18"/>
          <w:vertAlign w:val="subscript"/>
        </w:rPr>
        <w:t>2</w:t>
      </w:r>
      <w:r w:rsidRPr="00381487">
        <w:t xml:space="preserve"> adsorption on a natural tuff has been studied focusing on the thermodynamics and kinetics of the process. Dynamic breakthrough experiments have been performed in a lab-scale fixed bed reactor. As regards thermodynamics, it is oppositely affected by temperature and pressure. Indeed, when </w:t>
      </w:r>
      <w:r w:rsidR="008869A5" w:rsidRPr="00D7150B">
        <w:rPr>
          <w:rFonts w:cs="Arial"/>
          <w:szCs w:val="18"/>
        </w:rPr>
        <w:t>CO</w:t>
      </w:r>
      <w:r w:rsidR="008869A5" w:rsidRPr="00D7150B">
        <w:rPr>
          <w:rFonts w:cs="Arial"/>
          <w:szCs w:val="18"/>
          <w:vertAlign w:val="subscript"/>
        </w:rPr>
        <w:t>2</w:t>
      </w:r>
      <w:r w:rsidRPr="00381487">
        <w:t xml:space="preserve"> partial pressure is increased, the equilibrium </w:t>
      </w:r>
      <w:r w:rsidR="008869A5" w:rsidRPr="00D7150B">
        <w:rPr>
          <w:rFonts w:cs="Arial"/>
          <w:szCs w:val="18"/>
        </w:rPr>
        <w:t>CO</w:t>
      </w:r>
      <w:r w:rsidR="008869A5" w:rsidRPr="00D7150B">
        <w:rPr>
          <w:rFonts w:cs="Arial"/>
          <w:szCs w:val="18"/>
          <w:vertAlign w:val="subscript"/>
        </w:rPr>
        <w:t>2</w:t>
      </w:r>
      <w:r w:rsidRPr="00381487">
        <w:t xml:space="preserve"> adsorption uptake increases, whereas it decreases when temperature is increased. The equilibrium experimental data ha</w:t>
      </w:r>
      <w:r w:rsidR="00EC741B">
        <w:t>s</w:t>
      </w:r>
      <w:r w:rsidRPr="00381487">
        <w:t xml:space="preserve"> been fitted by Langmuir and Freundlich models. The Freundlich model provides the better results in terms of fitting quality, which suggests that </w:t>
      </w:r>
      <w:r w:rsidR="008869A5" w:rsidRPr="00D7150B">
        <w:rPr>
          <w:rFonts w:cs="Arial"/>
          <w:szCs w:val="18"/>
        </w:rPr>
        <w:t>CO</w:t>
      </w:r>
      <w:r w:rsidR="008869A5" w:rsidRPr="00D7150B">
        <w:rPr>
          <w:rFonts w:cs="Arial"/>
          <w:szCs w:val="18"/>
          <w:vertAlign w:val="subscript"/>
        </w:rPr>
        <w:t>2</w:t>
      </w:r>
      <w:r w:rsidRPr="00381487">
        <w:t xml:space="preserve"> adsorption on the tuff is multilayer and happens with a heterogeneous surface binding. Then, the study of the thermodynamic parameters has shown that </w:t>
      </w:r>
      <w:r w:rsidR="008869A5" w:rsidRPr="00D7150B">
        <w:rPr>
          <w:rFonts w:cs="Arial"/>
          <w:szCs w:val="18"/>
        </w:rPr>
        <w:t>CO</w:t>
      </w:r>
      <w:r w:rsidR="008869A5" w:rsidRPr="00D7150B">
        <w:rPr>
          <w:rFonts w:cs="Arial"/>
          <w:szCs w:val="18"/>
          <w:vertAlign w:val="subscript"/>
        </w:rPr>
        <w:t>2</w:t>
      </w:r>
      <w:r w:rsidRPr="00381487">
        <w:t xml:space="preserve"> adsorption on the tuff is spontaneous, exothermic and physical in nature. As the surface loading increase</w:t>
      </w:r>
      <w:r w:rsidR="00C7117F">
        <w:t>s,</w:t>
      </w:r>
      <w:r w:rsidRPr="00381487">
        <w:t xml:space="preserve"> the isosteric heat of adsorption decreases, which is a further confirmation </w:t>
      </w:r>
      <w:r w:rsidR="00C7117F">
        <w:t xml:space="preserve">of </w:t>
      </w:r>
      <w:r w:rsidRPr="00381487">
        <w:t>the tuff ha</w:t>
      </w:r>
      <w:r w:rsidR="00C7117F">
        <w:t>ving</w:t>
      </w:r>
      <w:r w:rsidRPr="00381487">
        <w:t xml:space="preserve"> an energetically heterogeneous surface and that some kind of lateral interactions take place among the </w:t>
      </w:r>
      <w:r w:rsidR="008869A5" w:rsidRPr="00D7150B">
        <w:rPr>
          <w:rFonts w:cs="Arial"/>
          <w:szCs w:val="18"/>
        </w:rPr>
        <w:t>CO</w:t>
      </w:r>
      <w:r w:rsidR="008869A5" w:rsidRPr="00D7150B">
        <w:rPr>
          <w:rFonts w:cs="Arial"/>
          <w:szCs w:val="18"/>
          <w:vertAlign w:val="subscript"/>
        </w:rPr>
        <w:t>2</w:t>
      </w:r>
      <w:r w:rsidRPr="00381487">
        <w:t xml:space="preserve"> molecules adsorbed on the tuff surface. Then, the pseudo-first and pseudo-second kinetic model have been adopted to fit the experimental data. The pseudo-first order kinetic model is the best one, being able to provide a better quality of the fitting all the investigated adsorption temperatures. </w:t>
      </w:r>
    </w:p>
    <w:p w:rsidR="008A5C81" w:rsidRPr="00B57B36" w:rsidRDefault="008A5C81" w:rsidP="008A5C81">
      <w:pPr>
        <w:pStyle w:val="CETReference"/>
      </w:pPr>
      <w:r w:rsidRPr="00B57B36">
        <w:t>References</w:t>
      </w:r>
    </w:p>
    <w:p w:rsidR="00DB00E1" w:rsidRPr="00DB00E1" w:rsidRDefault="008A5C81" w:rsidP="00DB00E1">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DB00E1" w:rsidRPr="00DB00E1">
        <w:rPr>
          <w:rFonts w:cs="Arial"/>
          <w:noProof/>
          <w:szCs w:val="24"/>
        </w:rPr>
        <w:t>Ackley M., Rege R., Saxena H., 2003, Application of natural zeolites in the purification and separation of gases, Microporous and Mesoporous Materials, 61, 25–42.</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Ammendola P., Raganati F., Chirone R., Miccio F., 2017, Preliminary Assessment of Tuff as CO2 Sorbent, Energy Procedia, 114, 46–52.</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Colella C., 2008, Applications of Natural Zeolites, in: Handbook of Porous Solids. Wiley-VCH Verlag GmbH, Weinheim, Germany, pp. 1156–1189.</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Freundlich M.F., 1906, Over the adsorption in solution, The Journal of Physical Chemistry, 57, 355–471.</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Gargiulo V., Alfè M., Ammendola P., Raganati F., Chirone R., 2016, CO2 sorption on surface-modified carbonaceous support: Probing the influence of the carbon black microporosity and surface polarity, Applied Surface Science, 360, 329–337.</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Gargiulo V., Alfè M., Raganati F., Lisi L., Chirone R., Ammendola P., 2018, BTC-based metal-organic frameworks: Correlation between relevant structural features and CO2 adsorption performances, Fuel, 222, 319–326.</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Guo B., Chang L., Xie K., 2006, Adsorption of Carbon Dioxide on Activated Carbon, Journal of Natural Gas Chemistry, 15, 223–229.</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Langmuir I., 1916, The constitution and fundamental properties of solids and liquids. Part I. Solids, Journal of the American Chemical Society, 38, 2221–2295.</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Loganathan S., Tikmani M., Edubilli S., Mishra A., Ghoshal A.K., 2014, CO2 adsorption kinetics on mesoporous silica under wide range of pressure and temperature, Chemical Engineering Journal, 256, 1–8.</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Monazam E.R., Shadle L.J., Miller D.C., Pennline H.W., Fauth D.J., Hoffman J.S., Gray M.L., 2013, Equilibrium and kinetics analysis of carbon dioxide capture using immobilized amine on a mesoporous silica, AIChE Journal, 59, 923–935.</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Raganati F., Alfe M., Gargiulo V., Chirone R., Ammendola P., 2018, Isotherms and thermodynamics of CO2 adsorption on a novel carbon-magnetite composite sorbent, Chemical Engineering Research and Design, 134, 540–552.</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Raganati F., Ammendola P., Chirone R., 2016, On improving the CO2 recovery efficiency of a conventional TSA process in a sound assisted fluidized bed by separating heating and purging, Separation and Purification Technology, 167, 24–31.</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Raganati F., Ammendola P., Chirone R., 2015, Role of Acoustic Fields in Promoting the Gas-Solid Contact in a Fluidized Bed of Fine Particles, KONA Powder and Particle Journal, 32, 23–40.</w:t>
      </w:r>
    </w:p>
    <w:p w:rsidR="00DB00E1" w:rsidRPr="00DB00E1" w:rsidRDefault="00DB00E1" w:rsidP="00DB00E1">
      <w:pPr>
        <w:widowControl w:val="0"/>
        <w:autoSpaceDE w:val="0"/>
        <w:autoSpaceDN w:val="0"/>
        <w:adjustRightInd w:val="0"/>
        <w:spacing w:line="240" w:lineRule="auto"/>
        <w:ind w:left="480" w:hanging="480"/>
        <w:rPr>
          <w:rFonts w:cs="Arial"/>
          <w:noProof/>
          <w:szCs w:val="24"/>
        </w:rPr>
      </w:pPr>
      <w:r w:rsidRPr="00DB00E1">
        <w:rPr>
          <w:rFonts w:cs="Arial"/>
          <w:noProof/>
          <w:szCs w:val="24"/>
        </w:rPr>
        <w:t>Ramli A., Ahmed S., Yusup S., 2014, Adsorption Behaviour of Si-MCM-41 for CO: Effect of Pressure and Temperature on Adsorption, Chemical Engineering Transactions, 39, 271–276.</w:t>
      </w:r>
    </w:p>
    <w:p w:rsidR="00117471" w:rsidRDefault="00DB00E1" w:rsidP="00DB00E1">
      <w:pPr>
        <w:widowControl w:val="0"/>
        <w:autoSpaceDE w:val="0"/>
        <w:autoSpaceDN w:val="0"/>
        <w:adjustRightInd w:val="0"/>
        <w:spacing w:line="240" w:lineRule="auto"/>
        <w:ind w:left="480" w:hanging="480"/>
      </w:pPr>
      <w:r w:rsidRPr="00DB00E1">
        <w:rPr>
          <w:rFonts w:cs="Arial"/>
          <w:noProof/>
          <w:szCs w:val="24"/>
        </w:rPr>
        <w:t>Siriwardane R. V., Shen M.-S., Fisher E.P., Poston J.A., 2001, Adsorption of CO2 on Molecular Sieves and Activated Carbon, Energy &amp; Fuels, 15, 279–284.</w:t>
      </w:r>
      <w:r w:rsidR="008A5C81">
        <w:fldChar w:fldCharType="end"/>
      </w:r>
      <w:bookmarkStart w:id="12" w:name="_GoBack"/>
      <w:bookmarkEnd w:id="12"/>
    </w:p>
    <w:sectPr w:rsidR="0011747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C6" w:rsidRDefault="006A54C6" w:rsidP="004F5E36">
      <w:r>
        <w:separator/>
      </w:r>
    </w:p>
  </w:endnote>
  <w:endnote w:type="continuationSeparator" w:id="0">
    <w:p w:rsidR="006A54C6" w:rsidRDefault="006A54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C6" w:rsidRDefault="006A54C6" w:rsidP="004F5E36">
      <w:r>
        <w:separator/>
      </w:r>
    </w:p>
  </w:footnote>
  <w:footnote w:type="continuationSeparator" w:id="0">
    <w:p w:rsidR="006A54C6" w:rsidRDefault="006A54C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7D4752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27C0"/>
    <w:rsid w:val="000052FB"/>
    <w:rsid w:val="00010F40"/>
    <w:rsid w:val="000117CB"/>
    <w:rsid w:val="0003148D"/>
    <w:rsid w:val="00047D7F"/>
    <w:rsid w:val="00051566"/>
    <w:rsid w:val="00062A9A"/>
    <w:rsid w:val="00065058"/>
    <w:rsid w:val="00073114"/>
    <w:rsid w:val="00083D04"/>
    <w:rsid w:val="00086C39"/>
    <w:rsid w:val="000A03B2"/>
    <w:rsid w:val="000A3B79"/>
    <w:rsid w:val="000D34BE"/>
    <w:rsid w:val="000E102F"/>
    <w:rsid w:val="000E36F1"/>
    <w:rsid w:val="000E3A73"/>
    <w:rsid w:val="000E414A"/>
    <w:rsid w:val="000F093C"/>
    <w:rsid w:val="000F16BD"/>
    <w:rsid w:val="000F31E7"/>
    <w:rsid w:val="000F787B"/>
    <w:rsid w:val="0011727A"/>
    <w:rsid w:val="00117471"/>
    <w:rsid w:val="0012014C"/>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F42A5"/>
    <w:rsid w:val="001F7B9D"/>
    <w:rsid w:val="002224B4"/>
    <w:rsid w:val="002447EF"/>
    <w:rsid w:val="00247C70"/>
    <w:rsid w:val="00251550"/>
    <w:rsid w:val="00252983"/>
    <w:rsid w:val="00252C1A"/>
    <w:rsid w:val="00263B05"/>
    <w:rsid w:val="0027221A"/>
    <w:rsid w:val="00275B61"/>
    <w:rsid w:val="00282656"/>
    <w:rsid w:val="00296B83"/>
    <w:rsid w:val="002B78CE"/>
    <w:rsid w:val="002C2FB6"/>
    <w:rsid w:val="002D5BCD"/>
    <w:rsid w:val="003009B7"/>
    <w:rsid w:val="00300E56"/>
    <w:rsid w:val="0030469C"/>
    <w:rsid w:val="00321847"/>
    <w:rsid w:val="00321CA6"/>
    <w:rsid w:val="00334C09"/>
    <w:rsid w:val="003365E3"/>
    <w:rsid w:val="003510E4"/>
    <w:rsid w:val="003723D4"/>
    <w:rsid w:val="00384CC8"/>
    <w:rsid w:val="003871FD"/>
    <w:rsid w:val="003A1E30"/>
    <w:rsid w:val="003A7D1C"/>
    <w:rsid w:val="003B304B"/>
    <w:rsid w:val="003B3146"/>
    <w:rsid w:val="003B60F3"/>
    <w:rsid w:val="003E57E8"/>
    <w:rsid w:val="003F015E"/>
    <w:rsid w:val="00400414"/>
    <w:rsid w:val="0041446B"/>
    <w:rsid w:val="0044329C"/>
    <w:rsid w:val="004577FE"/>
    <w:rsid w:val="00457B9C"/>
    <w:rsid w:val="0046164A"/>
    <w:rsid w:val="004628D2"/>
    <w:rsid w:val="00462DCD"/>
    <w:rsid w:val="004648AD"/>
    <w:rsid w:val="004703A9"/>
    <w:rsid w:val="004760DE"/>
    <w:rsid w:val="0049233F"/>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610"/>
    <w:rsid w:val="00546B05"/>
    <w:rsid w:val="00547A68"/>
    <w:rsid w:val="005531C9"/>
    <w:rsid w:val="00565138"/>
    <w:rsid w:val="00591AD2"/>
    <w:rsid w:val="005B2110"/>
    <w:rsid w:val="005B61E6"/>
    <w:rsid w:val="005C77E1"/>
    <w:rsid w:val="005D6A2F"/>
    <w:rsid w:val="005E1A82"/>
    <w:rsid w:val="005E794C"/>
    <w:rsid w:val="005F0A28"/>
    <w:rsid w:val="005F0E5E"/>
    <w:rsid w:val="00600535"/>
    <w:rsid w:val="00610CD6"/>
    <w:rsid w:val="00615356"/>
    <w:rsid w:val="00620DEE"/>
    <w:rsid w:val="00621F92"/>
    <w:rsid w:val="00625639"/>
    <w:rsid w:val="00631B33"/>
    <w:rsid w:val="0064184D"/>
    <w:rsid w:val="006422CC"/>
    <w:rsid w:val="00660E3E"/>
    <w:rsid w:val="00662E74"/>
    <w:rsid w:val="00680C23"/>
    <w:rsid w:val="00693766"/>
    <w:rsid w:val="006A3281"/>
    <w:rsid w:val="006A54C6"/>
    <w:rsid w:val="006B4888"/>
    <w:rsid w:val="006C2E45"/>
    <w:rsid w:val="006C359C"/>
    <w:rsid w:val="006C5579"/>
    <w:rsid w:val="006E737D"/>
    <w:rsid w:val="0070195D"/>
    <w:rsid w:val="00720A24"/>
    <w:rsid w:val="00732386"/>
    <w:rsid w:val="007447F3"/>
    <w:rsid w:val="00745AAF"/>
    <w:rsid w:val="0075499F"/>
    <w:rsid w:val="00760B31"/>
    <w:rsid w:val="007661C8"/>
    <w:rsid w:val="0077098D"/>
    <w:rsid w:val="007931FA"/>
    <w:rsid w:val="007A6D5F"/>
    <w:rsid w:val="007A7BBA"/>
    <w:rsid w:val="007B0C50"/>
    <w:rsid w:val="007C1A43"/>
    <w:rsid w:val="007E1DC6"/>
    <w:rsid w:val="00813288"/>
    <w:rsid w:val="008168FC"/>
    <w:rsid w:val="00824326"/>
    <w:rsid w:val="00830996"/>
    <w:rsid w:val="008345F1"/>
    <w:rsid w:val="00865B07"/>
    <w:rsid w:val="008667EA"/>
    <w:rsid w:val="0087637F"/>
    <w:rsid w:val="008869A5"/>
    <w:rsid w:val="008904B9"/>
    <w:rsid w:val="00892AD5"/>
    <w:rsid w:val="008A1512"/>
    <w:rsid w:val="008A5C81"/>
    <w:rsid w:val="008C78C1"/>
    <w:rsid w:val="008D32B9"/>
    <w:rsid w:val="008D433B"/>
    <w:rsid w:val="008E566E"/>
    <w:rsid w:val="0090161A"/>
    <w:rsid w:val="00901EB6"/>
    <w:rsid w:val="00904C62"/>
    <w:rsid w:val="0091793F"/>
    <w:rsid w:val="00924DAC"/>
    <w:rsid w:val="00927058"/>
    <w:rsid w:val="009450CE"/>
    <w:rsid w:val="00947179"/>
    <w:rsid w:val="0095164B"/>
    <w:rsid w:val="00954090"/>
    <w:rsid w:val="009573E7"/>
    <w:rsid w:val="00960BB6"/>
    <w:rsid w:val="009635B9"/>
    <w:rsid w:val="00963E05"/>
    <w:rsid w:val="00967D54"/>
    <w:rsid w:val="00996483"/>
    <w:rsid w:val="00996F5A"/>
    <w:rsid w:val="009A07F0"/>
    <w:rsid w:val="009A0A3E"/>
    <w:rsid w:val="009A5AB4"/>
    <w:rsid w:val="009B041A"/>
    <w:rsid w:val="009C7C86"/>
    <w:rsid w:val="009D2FF7"/>
    <w:rsid w:val="009E7884"/>
    <w:rsid w:val="009E788A"/>
    <w:rsid w:val="009F0E08"/>
    <w:rsid w:val="00A1763D"/>
    <w:rsid w:val="00A17CEC"/>
    <w:rsid w:val="00A27EF0"/>
    <w:rsid w:val="00A50B20"/>
    <w:rsid w:val="00A51390"/>
    <w:rsid w:val="00A60D13"/>
    <w:rsid w:val="00A62D7E"/>
    <w:rsid w:val="00A72745"/>
    <w:rsid w:val="00A76EFC"/>
    <w:rsid w:val="00A91010"/>
    <w:rsid w:val="00A97F29"/>
    <w:rsid w:val="00AA702E"/>
    <w:rsid w:val="00AB0964"/>
    <w:rsid w:val="00AB5011"/>
    <w:rsid w:val="00AC7368"/>
    <w:rsid w:val="00AD16B9"/>
    <w:rsid w:val="00AE0153"/>
    <w:rsid w:val="00AE377D"/>
    <w:rsid w:val="00B17FBD"/>
    <w:rsid w:val="00B315A6"/>
    <w:rsid w:val="00B31813"/>
    <w:rsid w:val="00B33365"/>
    <w:rsid w:val="00B57B36"/>
    <w:rsid w:val="00B8686D"/>
    <w:rsid w:val="00BC30C9"/>
    <w:rsid w:val="00BC4428"/>
    <w:rsid w:val="00BD3EF1"/>
    <w:rsid w:val="00BE3E58"/>
    <w:rsid w:val="00C01616"/>
    <w:rsid w:val="00C0162B"/>
    <w:rsid w:val="00C345B1"/>
    <w:rsid w:val="00C40142"/>
    <w:rsid w:val="00C502CF"/>
    <w:rsid w:val="00C57182"/>
    <w:rsid w:val="00C57863"/>
    <w:rsid w:val="00C655FD"/>
    <w:rsid w:val="00C7117F"/>
    <w:rsid w:val="00C7491B"/>
    <w:rsid w:val="00C870A8"/>
    <w:rsid w:val="00C94434"/>
    <w:rsid w:val="00CA0178"/>
    <w:rsid w:val="00CA0D75"/>
    <w:rsid w:val="00CA1C95"/>
    <w:rsid w:val="00CA5A9C"/>
    <w:rsid w:val="00CD3517"/>
    <w:rsid w:val="00CD5A00"/>
    <w:rsid w:val="00CD5FE2"/>
    <w:rsid w:val="00CE7C68"/>
    <w:rsid w:val="00D02B4C"/>
    <w:rsid w:val="00D040C4"/>
    <w:rsid w:val="00D15481"/>
    <w:rsid w:val="00D30845"/>
    <w:rsid w:val="00D57C84"/>
    <w:rsid w:val="00D6057D"/>
    <w:rsid w:val="00D84576"/>
    <w:rsid w:val="00DA1399"/>
    <w:rsid w:val="00DA24C6"/>
    <w:rsid w:val="00DA4D7B"/>
    <w:rsid w:val="00DB00E1"/>
    <w:rsid w:val="00DE264A"/>
    <w:rsid w:val="00E02D18"/>
    <w:rsid w:val="00E041E7"/>
    <w:rsid w:val="00E23CA1"/>
    <w:rsid w:val="00E26995"/>
    <w:rsid w:val="00E409A8"/>
    <w:rsid w:val="00E50C12"/>
    <w:rsid w:val="00E551DA"/>
    <w:rsid w:val="00E65B91"/>
    <w:rsid w:val="00E7209D"/>
    <w:rsid w:val="00E77223"/>
    <w:rsid w:val="00E82805"/>
    <w:rsid w:val="00E85032"/>
    <w:rsid w:val="00E8528B"/>
    <w:rsid w:val="00E85B94"/>
    <w:rsid w:val="00E978D0"/>
    <w:rsid w:val="00EA4613"/>
    <w:rsid w:val="00EA7F91"/>
    <w:rsid w:val="00EB1523"/>
    <w:rsid w:val="00EC0E49"/>
    <w:rsid w:val="00EC741B"/>
    <w:rsid w:val="00EE0131"/>
    <w:rsid w:val="00F155B2"/>
    <w:rsid w:val="00F30C64"/>
    <w:rsid w:val="00F32CDB"/>
    <w:rsid w:val="00F36C6B"/>
    <w:rsid w:val="00F45C8A"/>
    <w:rsid w:val="00F63A70"/>
    <w:rsid w:val="00FA21D0"/>
    <w:rsid w:val="00FA5F5F"/>
    <w:rsid w:val="00FB203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TAMainText">
    <w:name w:val="TA_Main_Text"/>
    <w:basedOn w:val="Normale"/>
    <w:rsid w:val="00117471"/>
    <w:pPr>
      <w:tabs>
        <w:tab w:val="clear" w:pos="7100"/>
      </w:tabs>
      <w:spacing w:line="480" w:lineRule="auto"/>
      <w:ind w:firstLine="202"/>
    </w:pPr>
    <w:rPr>
      <w:rFonts w:ascii="Times" w:hAnsi="Times"/>
      <w:sz w:val="24"/>
      <w:lang w:val="en-US"/>
    </w:rPr>
  </w:style>
  <w:style w:type="paragraph" w:styleId="Paragrafoelenco">
    <w:name w:val="List Paragraph"/>
    <w:basedOn w:val="Normale"/>
    <w:uiPriority w:val="34"/>
    <w:rsid w:val="0011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639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2A2A-ECB5-4634-9BA4-C7464CB1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16445</Words>
  <Characters>93743</Characters>
  <Application>Microsoft Office Word</Application>
  <DocSecurity>0</DocSecurity>
  <Lines>781</Lines>
  <Paragraphs>219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109969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Federica Raganati</cp:lastModifiedBy>
  <cp:revision>44</cp:revision>
  <cp:lastPrinted>2015-05-12T18:31:00Z</cp:lastPrinted>
  <dcterms:created xsi:type="dcterms:W3CDTF">2018-09-26T07:07:00Z</dcterms:created>
  <dcterms:modified xsi:type="dcterms:W3CDTF">2019-04-01T07:21:00Z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92ebc08c-aceb-39d8-89df-9e691df384b1</vt:lpwstr>
  </property>
  <property fmtid="{D5CDD505-2E9C-101B-9397-08002B2CF9AE}" pid="6" name="Mendeley Citation Style_1">
    <vt:lpwstr>http://csl.mendeley.com/styles/3433741/CET-senza-doi</vt:lpwstr>
  </property>
  <property fmtid="{D5CDD505-2E9C-101B-9397-08002B2CF9AE}" pid="7" name="Mendeley Recent Style Id 0_1">
    <vt:lpwstr>http://csl.mendeley.com/styles/3433741/CET</vt:lpwstr>
  </property>
  <property fmtid="{D5CDD505-2E9C-101B-9397-08002B2CF9AE}" pid="8" name="Mendeley Recent Style Name 0_1">
    <vt:lpwstr>CET - Dr Federica Raganati</vt:lpwstr>
  </property>
  <property fmtid="{D5CDD505-2E9C-101B-9397-08002B2CF9AE}" pid="9" name="Mendeley Recent Style Id 1_1">
    <vt:lpwstr>http://csl.mendeley.com/styles/3433741/CET-senza-doi</vt:lpwstr>
  </property>
  <property fmtid="{D5CDD505-2E9C-101B-9397-08002B2CF9AE}" pid="10" name="Mendeley Recent Style Name 1_1">
    <vt:lpwstr>CET - senza doi - Dr Federica Raganati</vt:lpwstr>
  </property>
  <property fmtid="{D5CDD505-2E9C-101B-9397-08002B2CF9AE}" pid="11" name="Mendeley Recent Style Id 2_1">
    <vt:lpwstr>http://www.zotero.org/styles/elsevier-vancouver</vt:lpwstr>
  </property>
  <property fmtid="{D5CDD505-2E9C-101B-9397-08002B2CF9AE}" pid="12" name="Mendeley Recent Style Name 2_1">
    <vt:lpwstr>Elsevier - Vancouver</vt:lpwstr>
  </property>
  <property fmtid="{D5CDD505-2E9C-101B-9397-08002B2CF9AE}" pid="13" name="Mendeley Recent Style Id 3_1">
    <vt:lpwstr>http://www.zotero.org/styles/elsevier-vancouver-author-date</vt:lpwstr>
  </property>
  <property fmtid="{D5CDD505-2E9C-101B-9397-08002B2CF9AE}" pid="14" name="Mendeley Recent Style Name 3_1">
    <vt:lpwstr>Elsevier - Vancouver (author-date)</vt:lpwstr>
  </property>
  <property fmtid="{D5CDD505-2E9C-101B-9397-08002B2CF9AE}" pid="15" name="Mendeley Recent Style Id 4_1">
    <vt:lpwstr>http://www.zotero.org/styles/fuel-processing-technology</vt:lpwstr>
  </property>
  <property fmtid="{D5CDD505-2E9C-101B-9397-08002B2CF9AE}" pid="16" name="Mendeley Recent Style Name 4_1">
    <vt:lpwstr>Fuel Processing Technology</vt:lpwstr>
  </property>
  <property fmtid="{D5CDD505-2E9C-101B-9397-08002B2CF9AE}" pid="17" name="Mendeley Recent Style Id 5_1">
    <vt:lpwstr>http://www.zotero.org/styles/powder-technology</vt:lpwstr>
  </property>
  <property fmtid="{D5CDD505-2E9C-101B-9397-08002B2CF9AE}" pid="18" name="Mendeley Recent Style Name 5_1">
    <vt:lpwstr>Powder Technology</vt:lpwstr>
  </property>
  <property fmtid="{D5CDD505-2E9C-101B-9397-08002B2CF9AE}" pid="19" name="Mendeley Recent Style Id 6_1">
    <vt:lpwstr>http://www.zotero.org/styles/vancouver</vt:lpwstr>
  </property>
  <property fmtid="{D5CDD505-2E9C-101B-9397-08002B2CF9AE}" pid="20" name="Mendeley Recent Style Name 6_1">
    <vt:lpwstr>Vancouver</vt:lpwstr>
  </property>
  <property fmtid="{D5CDD505-2E9C-101B-9397-08002B2CF9AE}" pid="21" name="Mendeley Recent Style Id 7_1">
    <vt:lpwstr>https://csl.mendeley.com/styles/3433741/vancouver-ecos19</vt:lpwstr>
  </property>
  <property fmtid="{D5CDD505-2E9C-101B-9397-08002B2CF9AE}" pid="22" name="Mendeley Recent Style Name 7_1">
    <vt:lpwstr>Vancouver - ECOS19</vt:lpwstr>
  </property>
  <property fmtid="{D5CDD505-2E9C-101B-9397-08002B2CF9AE}" pid="23" name="Mendeley Recent Style Id 8_1">
    <vt:lpwstr>https://csl.mendeley.com/styles/3433741/vancouver-ecos19-doi</vt:lpwstr>
  </property>
  <property fmtid="{D5CDD505-2E9C-101B-9397-08002B2CF9AE}" pid="24" name="Mendeley Recent Style Name 8_1">
    <vt:lpwstr>Vancouver - ECOS19 - con doi</vt:lpwstr>
  </property>
  <property fmtid="{D5CDD505-2E9C-101B-9397-08002B2CF9AE}" pid="25" name="Mendeley Recent Style Id 9_1">
    <vt:lpwstr>https://csl.mendeley.com/styles/3433741/Vancouver-JCTB</vt:lpwstr>
  </property>
  <property fmtid="{D5CDD505-2E9C-101B-9397-08002B2CF9AE}" pid="26" name="Mendeley Recent Style Name 9_1">
    <vt:lpwstr>Vancouver - JCTB</vt:lpwstr>
  </property>
</Properties>
</file>