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5B76078" w14:textId="77777777">
        <w:trPr>
          <w:trHeight w:val="852"/>
          <w:jc w:val="center"/>
        </w:trPr>
        <w:tc>
          <w:tcPr>
            <w:tcW w:w="6946" w:type="dxa"/>
            <w:vMerge w:val="restart"/>
            <w:tcBorders>
              <w:right w:val="single" w:sz="4" w:space="0" w:color="auto"/>
            </w:tcBorders>
          </w:tcPr>
          <w:p w14:paraId="0328F302"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736069D9" wp14:editId="54C99EC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4FF5630"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629A4DB3"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4A3A9D6" w14:textId="77777777" w:rsidR="000A03B2" w:rsidRPr="00B57B36" w:rsidRDefault="000A03B2" w:rsidP="00CD5FE2">
            <w:pPr>
              <w:jc w:val="right"/>
            </w:pPr>
            <w:r w:rsidRPr="00B57B36">
              <w:rPr>
                <w:noProof/>
                <w:lang w:eastAsia="en-GB"/>
              </w:rPr>
              <w:drawing>
                <wp:inline distT="0" distB="0" distL="0" distR="0" wp14:anchorId="55DDC06A" wp14:editId="372B873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7634632F" w14:textId="77777777">
        <w:trPr>
          <w:trHeight w:val="567"/>
          <w:jc w:val="center"/>
        </w:trPr>
        <w:tc>
          <w:tcPr>
            <w:tcW w:w="6946" w:type="dxa"/>
            <w:vMerge/>
            <w:tcBorders>
              <w:right w:val="single" w:sz="4" w:space="0" w:color="auto"/>
            </w:tcBorders>
          </w:tcPr>
          <w:p w14:paraId="06FC9A63"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23BB83AF"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6BB7A17F"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EBB6591"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7FA3113B" w14:textId="77777777">
        <w:trPr>
          <w:trHeight w:val="68"/>
          <w:jc w:val="center"/>
        </w:trPr>
        <w:tc>
          <w:tcPr>
            <w:tcW w:w="8789" w:type="dxa"/>
            <w:gridSpan w:val="2"/>
          </w:tcPr>
          <w:p w14:paraId="52CDF77C"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429C422A"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DD90BAE"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7AA1E6CD" w14:textId="77777777" w:rsidR="00E978D0" w:rsidRPr="00B57B36" w:rsidRDefault="00D833C0" w:rsidP="00E978D0">
      <w:pPr>
        <w:pStyle w:val="CETTitle"/>
      </w:pPr>
      <w:r>
        <w:t>Study of Liquefied Natural Gas production Cycles for Novel Low-Temperature Natural Gas Purification Processes</w:t>
      </w:r>
    </w:p>
    <w:p w14:paraId="30204973" w14:textId="77777777" w:rsidR="00E978D0" w:rsidRPr="00D833C0" w:rsidRDefault="00D833C0" w:rsidP="00AB5011">
      <w:pPr>
        <w:pStyle w:val="CETAuthors"/>
        <w:rPr>
          <w:lang w:val="it-IT"/>
        </w:rPr>
      </w:pPr>
      <w:r w:rsidRPr="00D833C0">
        <w:rPr>
          <w:lang w:val="it-IT"/>
        </w:rPr>
        <w:t>Giorgia De Guido</w:t>
      </w:r>
      <w:r w:rsidR="00600535" w:rsidRPr="00D833C0">
        <w:rPr>
          <w:lang w:val="it-IT"/>
        </w:rPr>
        <w:t xml:space="preserve">*, </w:t>
      </w:r>
      <w:r w:rsidRPr="00D833C0">
        <w:rPr>
          <w:lang w:val="it-IT"/>
        </w:rPr>
        <w:t>Laura Annamaria Pellegrini</w:t>
      </w:r>
    </w:p>
    <w:p w14:paraId="61AE87BC" w14:textId="77777777" w:rsidR="00D833C0" w:rsidRPr="00D833C0" w:rsidRDefault="00D833C0" w:rsidP="00D833C0">
      <w:pPr>
        <w:pStyle w:val="CETAddress"/>
        <w:rPr>
          <w:lang w:val="it-IT"/>
        </w:rPr>
      </w:pPr>
      <w:r w:rsidRPr="00D833C0">
        <w:rPr>
          <w:lang w:val="it-IT"/>
        </w:rPr>
        <w:t xml:space="preserve">Dipartimento di Chimica, Materiali e Ingegneria Chimica “G. Natta”, Politecnico di Milano, Piazza Leonardo da Vinci 32, </w:t>
      </w:r>
      <w:r>
        <w:rPr>
          <w:lang w:val="it-IT"/>
        </w:rPr>
        <w:t xml:space="preserve">      </w:t>
      </w:r>
      <w:r w:rsidRPr="00D833C0">
        <w:rPr>
          <w:lang w:val="it-IT"/>
        </w:rPr>
        <w:t>I-20133 Milano, Italy</w:t>
      </w:r>
    </w:p>
    <w:p w14:paraId="7F9A11A8" w14:textId="77777777" w:rsidR="00E978D0" w:rsidRPr="00B57B36" w:rsidRDefault="00AB5011" w:rsidP="00E978D0">
      <w:pPr>
        <w:pStyle w:val="CETemail"/>
      </w:pPr>
      <w:r w:rsidRPr="00D833C0">
        <w:rPr>
          <w:lang w:val="it-IT"/>
        </w:rPr>
        <w:t xml:space="preserve"> </w:t>
      </w:r>
      <w:r w:rsidR="00D833C0" w:rsidRPr="00D833C0">
        <w:t>giorgia.deguido@polimi.it</w:t>
      </w:r>
    </w:p>
    <w:p w14:paraId="54A45C7B" w14:textId="4AA9814B" w:rsidR="00D833C0" w:rsidRPr="00D833C0" w:rsidRDefault="00D833C0" w:rsidP="00D833C0">
      <w:pPr>
        <w:pStyle w:val="CETBodytext"/>
        <w:rPr>
          <w:lang w:val="en-GB"/>
        </w:rPr>
      </w:pPr>
      <w:r w:rsidRPr="00D833C0">
        <w:rPr>
          <w:lang w:val="en-GB"/>
        </w:rPr>
        <w:t xml:space="preserve">The primary energy mix forecasted for the future shows that growth rates will be the highest for renewable energy sources but, </w:t>
      </w:r>
      <w:r>
        <w:rPr>
          <w:lang w:val="en-GB"/>
        </w:rPr>
        <w:t>in absolute terms, fossil fuels</w:t>
      </w:r>
      <w:r w:rsidRPr="00D833C0">
        <w:rPr>
          <w:lang w:val="en-GB"/>
        </w:rPr>
        <w:t xml:space="preserve"> will remain dominant. Among them, </w:t>
      </w:r>
      <w:r w:rsidRPr="00D833C0">
        <w:rPr>
          <w:lang w:bidi="en-US"/>
        </w:rPr>
        <w:t>natural gas is the most attractive due to the advantage</w:t>
      </w:r>
      <w:r w:rsidR="005E6759">
        <w:rPr>
          <w:lang w:bidi="en-US"/>
        </w:rPr>
        <w:t>s</w:t>
      </w:r>
      <w:r w:rsidRPr="00D833C0">
        <w:rPr>
          <w:lang w:bidi="en-US"/>
        </w:rPr>
        <w:t xml:space="preserve"> it offers in terms of environmental impact. This has recently contributed to the increased demand for natural gas and to the interest in developing those reserves that were left undeveloped in the past because of their high acid gas </w:t>
      </w:r>
      <w:r w:rsidR="00372956" w:rsidRPr="00D833C0">
        <w:rPr>
          <w:lang w:bidi="en-US"/>
        </w:rPr>
        <w:t>(particularly CO</w:t>
      </w:r>
      <w:r w:rsidR="00372956" w:rsidRPr="00D833C0">
        <w:rPr>
          <w:vertAlign w:val="subscript"/>
          <w:lang w:bidi="en-US"/>
        </w:rPr>
        <w:t>2</w:t>
      </w:r>
      <w:r w:rsidR="00372956" w:rsidRPr="00D833C0">
        <w:rPr>
          <w:lang w:bidi="en-US"/>
        </w:rPr>
        <w:t>)</w:t>
      </w:r>
      <w:r w:rsidR="00372956">
        <w:rPr>
          <w:lang w:bidi="en-US"/>
        </w:rPr>
        <w:t xml:space="preserve"> </w:t>
      </w:r>
      <w:r w:rsidRPr="00D833C0">
        <w:rPr>
          <w:lang w:bidi="en-US"/>
        </w:rPr>
        <w:t>content.</w:t>
      </w:r>
      <w:r w:rsidR="00A4606D">
        <w:rPr>
          <w:lang w:val="en-GB"/>
        </w:rPr>
        <w:t xml:space="preserve"> </w:t>
      </w:r>
      <w:r w:rsidRPr="00D833C0">
        <w:rPr>
          <w:lang w:bidi="en-US"/>
        </w:rPr>
        <w:t xml:space="preserve">This has driven the recent research towards novel technologies that are suitable for the production of </w:t>
      </w:r>
      <w:r w:rsidR="00A4606D">
        <w:rPr>
          <w:lang w:bidi="en-US"/>
        </w:rPr>
        <w:t>these</w:t>
      </w:r>
      <w:r w:rsidRPr="00D833C0">
        <w:rPr>
          <w:lang w:bidi="en-US"/>
        </w:rPr>
        <w:t xml:space="preserve"> gas fields. These novel technologies are </w:t>
      </w:r>
      <w:r>
        <w:rPr>
          <w:lang w:bidi="en-US"/>
        </w:rPr>
        <w:t xml:space="preserve">based on </w:t>
      </w:r>
      <w:r w:rsidRPr="00D833C0">
        <w:rPr>
          <w:lang w:bidi="en-US"/>
        </w:rPr>
        <w:t xml:space="preserve">low-temperature/cryogenic separation methods, which produce a purified natural gas stream at a temperature much lower than that </w:t>
      </w:r>
      <w:r w:rsidR="00E966B9">
        <w:rPr>
          <w:lang w:bidi="en-US"/>
        </w:rPr>
        <w:t>reached</w:t>
      </w:r>
      <w:r w:rsidRPr="00D833C0">
        <w:rPr>
          <w:lang w:bidi="en-US"/>
        </w:rPr>
        <w:t xml:space="preserve"> when conventional technologies are used for acid gas removal.</w:t>
      </w:r>
    </w:p>
    <w:p w14:paraId="0C84FA94" w14:textId="503A92D6" w:rsidR="00D833C0" w:rsidRPr="00D833C0" w:rsidRDefault="00D833C0" w:rsidP="00D833C0">
      <w:pPr>
        <w:pStyle w:val="CETBodytext"/>
        <w:rPr>
          <w:lang w:bidi="en-US"/>
        </w:rPr>
      </w:pPr>
      <w:r w:rsidRPr="00D833C0">
        <w:rPr>
          <w:lang w:bidi="en-US"/>
        </w:rPr>
        <w:t>In addition to the key role played by natural gas, it is important to also take into account the one played by liquefied natural gas</w:t>
      </w:r>
      <w:r>
        <w:rPr>
          <w:lang w:bidi="en-US"/>
        </w:rPr>
        <w:t>, which</w:t>
      </w:r>
      <w:r w:rsidRPr="00D833C0">
        <w:rPr>
          <w:lang w:bidi="en-US"/>
        </w:rPr>
        <w:t xml:space="preserve"> represents a valuable alternative to the common method for natural gas transportation via pipelines t</w:t>
      </w:r>
      <w:r>
        <w:rPr>
          <w:lang w:bidi="en-US"/>
        </w:rPr>
        <w:t>o reach the utilization zones.</w:t>
      </w:r>
      <w:r w:rsidRPr="00D833C0">
        <w:rPr>
          <w:lang w:bidi="en-US"/>
        </w:rPr>
        <w:t xml:space="preserve"> Currently, all the natural gas liquefaction technologies are developed for a natural gas stream coming from a conventional purification process that produces a purified stream at about ambient temperature. Considering the recent development of low-temperature/cryogenic natural gas purification technologies, it is important to study liquefaction cycles so that they can be applied to a pur</w:t>
      </w:r>
      <w:r w:rsidR="00D7294D">
        <w:rPr>
          <w:lang w:bidi="en-US"/>
        </w:rPr>
        <w:t>ified natural gas stream at low</w:t>
      </w:r>
      <w:r w:rsidRPr="00D833C0">
        <w:rPr>
          <w:lang w:bidi="en-US"/>
        </w:rPr>
        <w:t xml:space="preserve">/cryogenic temperatures. </w:t>
      </w:r>
    </w:p>
    <w:p w14:paraId="648DAEBE" w14:textId="0005063C" w:rsidR="00D833C0" w:rsidRPr="00D833C0" w:rsidRDefault="00D833C0" w:rsidP="00D833C0">
      <w:pPr>
        <w:pStyle w:val="CETBodytext"/>
        <w:rPr>
          <w:lang w:val="en-GB"/>
        </w:rPr>
      </w:pPr>
      <w:r w:rsidRPr="00D833C0">
        <w:rPr>
          <w:lang w:bidi="en-US"/>
        </w:rPr>
        <w:t>This work deals with this study and aims at ad</w:t>
      </w:r>
      <w:r w:rsidRPr="00201B70">
        <w:rPr>
          <w:lang w:bidi="en-US"/>
        </w:rPr>
        <w:t xml:space="preserve">apting the Single Mixed Refrigerant (SMR) </w:t>
      </w:r>
      <w:r w:rsidR="002200FA" w:rsidRPr="00201B70">
        <w:rPr>
          <w:lang w:bidi="en-US"/>
        </w:rPr>
        <w:t>liqu</w:t>
      </w:r>
      <w:r w:rsidR="002200FA">
        <w:rPr>
          <w:lang w:bidi="en-US"/>
        </w:rPr>
        <w:t>efaction process</w:t>
      </w:r>
      <w:r w:rsidRPr="00D833C0">
        <w:rPr>
          <w:lang w:bidi="en-US"/>
        </w:rPr>
        <w:t xml:space="preserve"> currently used to liquefy a natural gas stream at ambient temperature, so that </w:t>
      </w:r>
      <w:r w:rsidR="002200FA">
        <w:rPr>
          <w:lang w:bidi="en-US"/>
        </w:rPr>
        <w:t>it</w:t>
      </w:r>
      <w:r w:rsidRPr="00D833C0">
        <w:rPr>
          <w:lang w:bidi="en-US"/>
        </w:rPr>
        <w:t xml:space="preserve"> can be applied to a pur</w:t>
      </w:r>
      <w:r w:rsidR="00D7294D">
        <w:rPr>
          <w:lang w:bidi="en-US"/>
        </w:rPr>
        <w:t>ified natural gas stream at low</w:t>
      </w:r>
      <w:r w:rsidRPr="00D833C0">
        <w:rPr>
          <w:lang w:bidi="en-US"/>
        </w:rPr>
        <w:t xml:space="preserve">/cryogenic temperatures. </w:t>
      </w:r>
      <w:r w:rsidR="002200FA">
        <w:rPr>
          <w:lang w:bidi="en-US"/>
        </w:rPr>
        <w:t>S</w:t>
      </w:r>
      <w:r w:rsidRPr="00D833C0">
        <w:t>imulations have been carried out in Aspen H</w:t>
      </w:r>
      <w:r w:rsidR="002200FA">
        <w:t>ysys</w:t>
      </w:r>
      <w:r w:rsidRPr="00D833C0">
        <w:rPr>
          <w:vertAlign w:val="superscript"/>
        </w:rPr>
        <w:t>®</w:t>
      </w:r>
      <w:r w:rsidRPr="00D833C0">
        <w:t xml:space="preserve"> V9.0 in order to </w:t>
      </w:r>
      <w:r w:rsidR="00C66C87">
        <w:t>adjust the composition and flow</w:t>
      </w:r>
      <w:r w:rsidRPr="00D833C0">
        <w:t>rate of the mixed refrigerant depending on the conditions of the purified natural gas stream that und</w:t>
      </w:r>
      <w:r w:rsidR="00201B70">
        <w:t>ergoes the liquefaction process.</w:t>
      </w:r>
    </w:p>
    <w:p w14:paraId="2A75AAF5" w14:textId="77777777" w:rsidR="00600535" w:rsidRPr="00B57B36" w:rsidRDefault="00600535" w:rsidP="00600535">
      <w:pPr>
        <w:pStyle w:val="CETHeading1"/>
        <w:rPr>
          <w:lang w:val="en-GB"/>
        </w:rPr>
      </w:pPr>
      <w:r w:rsidRPr="00B57B36">
        <w:rPr>
          <w:lang w:val="en-GB"/>
        </w:rPr>
        <w:t>Introduction</w:t>
      </w:r>
    </w:p>
    <w:p w14:paraId="7F2C3D1C" w14:textId="503329F5" w:rsidR="00C00091" w:rsidRDefault="004E5EF7" w:rsidP="00D833C0">
      <w:pPr>
        <w:pStyle w:val="CETBodytext"/>
        <w:rPr>
          <w:lang w:bidi="en-US"/>
        </w:rPr>
      </w:pPr>
      <w:r w:rsidRPr="004E5EF7">
        <w:rPr>
          <w:lang w:val="en-GB"/>
        </w:rPr>
        <w:t>The rising concern about climate has contributed to the change the world of energy is experiencing today. A key player in this transition towards lower carbon sources is natural gas (NG)</w:t>
      </w:r>
      <w:r w:rsidR="00E06DCC">
        <w:rPr>
          <w:lang w:val="en-GB"/>
        </w:rPr>
        <w:t xml:space="preserve">, which </w:t>
      </w:r>
      <w:r w:rsidR="00D833C0" w:rsidRPr="004E5EF7">
        <w:rPr>
          <w:lang w:bidi="en-US"/>
        </w:rPr>
        <w:t xml:space="preserve">is the most attractive </w:t>
      </w:r>
      <w:r w:rsidRPr="004E5EF7">
        <w:rPr>
          <w:lang w:bidi="en-US"/>
        </w:rPr>
        <w:t xml:space="preserve">among fossil fuels </w:t>
      </w:r>
      <w:r w:rsidR="00D833C0" w:rsidRPr="004E5EF7">
        <w:rPr>
          <w:lang w:bidi="en-US"/>
        </w:rPr>
        <w:t>due to the advantage</w:t>
      </w:r>
      <w:r w:rsidRPr="004E5EF7">
        <w:rPr>
          <w:lang w:bidi="en-US"/>
        </w:rPr>
        <w:t>s</w:t>
      </w:r>
      <w:r w:rsidR="00D833C0" w:rsidRPr="004E5EF7">
        <w:rPr>
          <w:lang w:bidi="en-US"/>
        </w:rPr>
        <w:t xml:space="preserve"> it offers in</w:t>
      </w:r>
      <w:r w:rsidR="00E06DCC">
        <w:rPr>
          <w:lang w:bidi="en-US"/>
        </w:rPr>
        <w:t xml:space="preserve"> terms of environmental impact. </w:t>
      </w:r>
      <w:r w:rsidR="00D668AB" w:rsidRPr="004E5EF7">
        <w:rPr>
          <w:lang w:bidi="en-US"/>
        </w:rPr>
        <w:t>The co</w:t>
      </w:r>
      <w:r w:rsidR="00D668AB">
        <w:rPr>
          <w:lang w:bidi="en-US"/>
        </w:rPr>
        <w:t>mposition of NG can vary widely, depending on the extraction site. Among the other characteristics that define its quality, the content of acid gases (mainly CO</w:t>
      </w:r>
      <w:r w:rsidR="00D668AB" w:rsidRPr="0073651F">
        <w:rPr>
          <w:vertAlign w:val="subscript"/>
          <w:lang w:bidi="en-US"/>
        </w:rPr>
        <w:t>2</w:t>
      </w:r>
      <w:r w:rsidR="00D668AB">
        <w:rPr>
          <w:lang w:bidi="en-US"/>
        </w:rPr>
        <w:t xml:space="preserve"> and H</w:t>
      </w:r>
      <w:r w:rsidR="00D668AB" w:rsidRPr="0073651F">
        <w:rPr>
          <w:vertAlign w:val="subscript"/>
          <w:lang w:bidi="en-US"/>
        </w:rPr>
        <w:t>2</w:t>
      </w:r>
      <w:r w:rsidR="00D668AB">
        <w:rPr>
          <w:lang w:bidi="en-US"/>
        </w:rPr>
        <w:t>S) is a key one, since it affects the choice of the acid gas removal (AGR) process. Indeed, several technologies are curren</w:t>
      </w:r>
      <w:r w:rsidR="003A4939">
        <w:rPr>
          <w:lang w:bidi="en-US"/>
        </w:rPr>
        <w:t>t</w:t>
      </w:r>
      <w:r w:rsidR="00D668AB">
        <w:rPr>
          <w:lang w:bidi="en-US"/>
        </w:rPr>
        <w:t>ly available for NG purification</w:t>
      </w:r>
      <w:r w:rsidR="00400507">
        <w:rPr>
          <w:lang w:bidi="en-US"/>
        </w:rPr>
        <w:t xml:space="preserve"> (De Guido et al., 2017)</w:t>
      </w:r>
      <w:r w:rsidR="002751D7">
        <w:rPr>
          <w:lang w:bidi="en-US"/>
        </w:rPr>
        <w:t xml:space="preserve"> and each of them has</w:t>
      </w:r>
      <w:r w:rsidR="003A4939">
        <w:rPr>
          <w:lang w:bidi="en-US"/>
        </w:rPr>
        <w:t xml:space="preserve"> advantages and disadvantages. In particular, considering the most widespread technology (i.e., chemical absorption by amines solutions), the main drawback is re</w:t>
      </w:r>
      <w:r w:rsidR="00410498">
        <w:rPr>
          <w:lang w:bidi="en-US"/>
        </w:rPr>
        <w:t xml:space="preserve">lated to </w:t>
      </w:r>
      <w:r w:rsidR="003A4939">
        <w:rPr>
          <w:lang w:bidi="en-US"/>
        </w:rPr>
        <w:t xml:space="preserve">the need </w:t>
      </w:r>
      <w:r w:rsidR="00C00091">
        <w:rPr>
          <w:lang w:bidi="en-US"/>
        </w:rPr>
        <w:t>for solvent regene</w:t>
      </w:r>
      <w:r w:rsidR="00C42C9C">
        <w:rPr>
          <w:lang w:bidi="en-US"/>
        </w:rPr>
        <w:t>ration that</w:t>
      </w:r>
      <w:r w:rsidR="00C00091">
        <w:rPr>
          <w:lang w:bidi="en-US"/>
        </w:rPr>
        <w:t xml:space="preserve"> bec</w:t>
      </w:r>
      <w:r w:rsidR="0073651F">
        <w:rPr>
          <w:lang w:bidi="en-US"/>
        </w:rPr>
        <w:t>o</w:t>
      </w:r>
      <w:r w:rsidR="00C00091">
        <w:rPr>
          <w:lang w:bidi="en-US"/>
        </w:rPr>
        <w:t xml:space="preserve">mes very expensive if the content of the acid gas in the raw NG stream is high </w:t>
      </w:r>
      <w:r w:rsidR="00C00091" w:rsidRPr="00D833C0">
        <w:rPr>
          <w:lang w:bidi="en-US"/>
        </w:rPr>
        <w:t>(above about 10-15</w:t>
      </w:r>
      <w:r w:rsidR="006B0F7C">
        <w:rPr>
          <w:lang w:bidi="en-US"/>
        </w:rPr>
        <w:t xml:space="preserve"> </w:t>
      </w:r>
      <w:r w:rsidR="0099453C">
        <w:rPr>
          <w:lang w:bidi="en-US"/>
        </w:rPr>
        <w:t>mol</w:t>
      </w:r>
      <w:r w:rsidR="00C00091" w:rsidRPr="00D833C0">
        <w:rPr>
          <w:lang w:bidi="en-US"/>
        </w:rPr>
        <w:t>%)</w:t>
      </w:r>
      <w:r w:rsidR="00C00091">
        <w:rPr>
          <w:lang w:bidi="en-US"/>
        </w:rPr>
        <w:t xml:space="preserve">. </w:t>
      </w:r>
    </w:p>
    <w:p w14:paraId="5F315FA5" w14:textId="722FB6AF" w:rsidR="00D833C0" w:rsidRDefault="00C00091" w:rsidP="00D833C0">
      <w:pPr>
        <w:pStyle w:val="CETBodytext"/>
        <w:rPr>
          <w:lang w:bidi="en-US"/>
        </w:rPr>
      </w:pPr>
      <w:r>
        <w:rPr>
          <w:lang w:bidi="en-US"/>
        </w:rPr>
        <w:t xml:space="preserve">Since </w:t>
      </w:r>
      <w:r w:rsidR="00D833C0" w:rsidRPr="00D833C0">
        <w:rPr>
          <w:lang w:bidi="en-US"/>
        </w:rPr>
        <w:t xml:space="preserve">the increased demand for natural gas </w:t>
      </w:r>
      <w:r>
        <w:rPr>
          <w:lang w:bidi="en-US"/>
        </w:rPr>
        <w:t>has led to</w:t>
      </w:r>
      <w:r w:rsidR="00D833C0" w:rsidRPr="00D833C0">
        <w:rPr>
          <w:lang w:bidi="en-US"/>
        </w:rPr>
        <w:t xml:space="preserve"> the interest in developing those natural gas reserves that were left undeveloped in the past because of their high acid gas </w:t>
      </w:r>
      <w:r w:rsidR="00E06DCC" w:rsidRPr="00D833C0">
        <w:rPr>
          <w:lang w:bidi="en-US"/>
        </w:rPr>
        <w:t>(particularly CO</w:t>
      </w:r>
      <w:r w:rsidR="00E06DCC" w:rsidRPr="00D833C0">
        <w:rPr>
          <w:vertAlign w:val="subscript"/>
          <w:lang w:bidi="en-US"/>
        </w:rPr>
        <w:t>2</w:t>
      </w:r>
      <w:r w:rsidR="00E06DCC" w:rsidRPr="00D833C0">
        <w:rPr>
          <w:lang w:bidi="en-US"/>
        </w:rPr>
        <w:t xml:space="preserve">) </w:t>
      </w:r>
      <w:r w:rsidR="00D833C0" w:rsidRPr="00D833C0">
        <w:rPr>
          <w:lang w:bidi="en-US"/>
        </w:rPr>
        <w:t>content</w:t>
      </w:r>
      <w:r>
        <w:rPr>
          <w:lang w:bidi="en-US"/>
        </w:rPr>
        <w:t>,</w:t>
      </w:r>
      <w:r w:rsidR="00D833C0" w:rsidRPr="00D833C0">
        <w:rPr>
          <w:lang w:val="en-GB"/>
        </w:rPr>
        <w:t xml:space="preserve"> </w:t>
      </w:r>
      <w:r>
        <w:rPr>
          <w:lang w:val="en-GB"/>
        </w:rPr>
        <w:t>t</w:t>
      </w:r>
      <w:r w:rsidR="00D833C0" w:rsidRPr="00D833C0">
        <w:rPr>
          <w:lang w:bidi="en-US"/>
        </w:rPr>
        <w:t>his has driven the recent research towards novel technologies that are suitable for the</w:t>
      </w:r>
      <w:r w:rsidR="00E06DCC">
        <w:rPr>
          <w:lang w:bidi="en-US"/>
        </w:rPr>
        <w:t>ir</w:t>
      </w:r>
      <w:r w:rsidR="00D833C0" w:rsidRPr="00D833C0">
        <w:rPr>
          <w:lang w:bidi="en-US"/>
        </w:rPr>
        <w:t xml:space="preserve"> production. These novel technologies are </w:t>
      </w:r>
      <w:r w:rsidR="00D833C0">
        <w:rPr>
          <w:lang w:bidi="en-US"/>
        </w:rPr>
        <w:t xml:space="preserve">based on </w:t>
      </w:r>
      <w:r w:rsidR="00D833C0" w:rsidRPr="00D833C0">
        <w:rPr>
          <w:lang w:bidi="en-US"/>
        </w:rPr>
        <w:t xml:space="preserve">low-temperature/cryogenic </w:t>
      </w:r>
      <w:r w:rsidR="008F370A">
        <w:rPr>
          <w:lang w:bidi="en-US"/>
        </w:rPr>
        <w:t>separation methods</w:t>
      </w:r>
      <w:r w:rsidR="00410498">
        <w:rPr>
          <w:lang w:bidi="en-US"/>
        </w:rPr>
        <w:t>, which are also of interest for upgrading biogas to biomethan</w:t>
      </w:r>
      <w:r w:rsidR="00410498" w:rsidRPr="00236C09">
        <w:rPr>
          <w:lang w:bidi="en-US"/>
        </w:rPr>
        <w:t>e (Pellegrini et al., 201</w:t>
      </w:r>
      <w:r w:rsidR="00236C09" w:rsidRPr="00236C09">
        <w:rPr>
          <w:lang w:bidi="en-US"/>
        </w:rPr>
        <w:t>8</w:t>
      </w:r>
      <w:r w:rsidR="00410498" w:rsidRPr="00236C09">
        <w:rPr>
          <w:lang w:bidi="en-US"/>
        </w:rPr>
        <w:t>)</w:t>
      </w:r>
      <w:r w:rsidR="00D833C0" w:rsidRPr="00236C09">
        <w:rPr>
          <w:lang w:bidi="en-US"/>
        </w:rPr>
        <w:t>.</w:t>
      </w:r>
      <w:r w:rsidRPr="00236C09">
        <w:rPr>
          <w:lang w:bidi="en-US"/>
        </w:rPr>
        <w:t xml:space="preserve"> </w:t>
      </w:r>
      <w:r w:rsidR="008F370A" w:rsidRPr="00236C09">
        <w:rPr>
          <w:lang w:bidi="en-US"/>
        </w:rPr>
        <w:t>Thr</w:t>
      </w:r>
      <w:r w:rsidR="008F370A">
        <w:rPr>
          <w:lang w:bidi="en-US"/>
        </w:rPr>
        <w:t xml:space="preserve">ee of them, which are based on distillation, are reported in Table 1: the </w:t>
      </w:r>
      <w:r w:rsidR="008F370A">
        <w:rPr>
          <w:lang w:bidi="en-US"/>
        </w:rPr>
        <w:lastRenderedPageBreak/>
        <w:t>Ryan-Holmes proce</w:t>
      </w:r>
      <w:r w:rsidR="008F370A" w:rsidRPr="00932A20">
        <w:rPr>
          <w:lang w:bidi="en-US"/>
        </w:rPr>
        <w:t>ss</w:t>
      </w:r>
      <w:r w:rsidR="00410498" w:rsidRPr="00932A20">
        <w:rPr>
          <w:lang w:bidi="en-US"/>
        </w:rPr>
        <w:t xml:space="preserve"> (Holmes and Ryan, 1982)</w:t>
      </w:r>
      <w:r w:rsidR="008F370A" w:rsidRPr="00932A20">
        <w:rPr>
          <w:lang w:bidi="en-US"/>
        </w:rPr>
        <w:t>,</w:t>
      </w:r>
      <w:r w:rsidR="008F370A">
        <w:rPr>
          <w:lang w:bidi="en-US"/>
        </w:rPr>
        <w:t xml:space="preserve"> the DCCD</w:t>
      </w:r>
      <w:r w:rsidR="008F370A" w:rsidRPr="008F370A">
        <w:rPr>
          <w:vertAlign w:val="superscript"/>
          <w:lang w:bidi="en-US"/>
        </w:rPr>
        <w:t>TM</w:t>
      </w:r>
      <w:r w:rsidR="008F370A">
        <w:rPr>
          <w:lang w:bidi="en-US"/>
        </w:rPr>
        <w:t xml:space="preserve"> pr</w:t>
      </w:r>
      <w:r w:rsidR="008F370A" w:rsidRPr="00201B70">
        <w:rPr>
          <w:lang w:bidi="en-US"/>
        </w:rPr>
        <w:t xml:space="preserve">ocess </w:t>
      </w:r>
      <w:r w:rsidR="00410498" w:rsidRPr="00201B70">
        <w:rPr>
          <w:lang w:bidi="en-US"/>
        </w:rPr>
        <w:t>(Pellegrini et al., 2016)</w:t>
      </w:r>
      <w:r w:rsidR="00F661B2" w:rsidRPr="00201B70">
        <w:rPr>
          <w:lang w:bidi="en-US"/>
        </w:rPr>
        <w:t>,</w:t>
      </w:r>
      <w:r w:rsidR="00410498" w:rsidRPr="00201B70">
        <w:rPr>
          <w:lang w:bidi="en-US"/>
        </w:rPr>
        <w:t xml:space="preserve"> </w:t>
      </w:r>
      <w:r w:rsidR="008F370A" w:rsidRPr="00201B70">
        <w:rPr>
          <w:lang w:bidi="en-US"/>
        </w:rPr>
        <w:t>and the C</w:t>
      </w:r>
      <w:r w:rsidR="008F370A">
        <w:rPr>
          <w:lang w:bidi="en-US"/>
        </w:rPr>
        <w:t>FZ</w:t>
      </w:r>
      <w:r w:rsidR="008F370A" w:rsidRPr="008F370A">
        <w:rPr>
          <w:vertAlign w:val="superscript"/>
          <w:lang w:bidi="en-US"/>
        </w:rPr>
        <w:t>TM</w:t>
      </w:r>
      <w:r w:rsidR="008F370A">
        <w:rPr>
          <w:lang w:bidi="en-US"/>
        </w:rPr>
        <w:t xml:space="preserve"> process</w:t>
      </w:r>
      <w:r w:rsidR="00410498">
        <w:rPr>
          <w:lang w:bidi="en-US"/>
        </w:rPr>
        <w:t xml:space="preserve"> (</w:t>
      </w:r>
      <w:r w:rsidR="00932A20">
        <w:rPr>
          <w:lang w:bidi="en-US"/>
        </w:rPr>
        <w:t>Valencia et al., 2014</w:t>
      </w:r>
      <w:r w:rsidR="00410498">
        <w:rPr>
          <w:lang w:bidi="en-US"/>
        </w:rPr>
        <w:t>)</w:t>
      </w:r>
      <w:r w:rsidR="008F370A">
        <w:rPr>
          <w:lang w:bidi="en-US"/>
        </w:rPr>
        <w:t>. As shown in Table 1, the main difference between a conventional amine absorption technology and a low-temperature one lies in the temperature of the purified gas stream that is, then, sent to the liquefaction unit in case of LNG production</w:t>
      </w:r>
      <w:r w:rsidR="00CD0668">
        <w:rPr>
          <w:lang w:bidi="en-US"/>
        </w:rPr>
        <w:t>. S</w:t>
      </w:r>
      <w:r w:rsidR="008F370A">
        <w:rPr>
          <w:lang w:bidi="en-US"/>
        </w:rPr>
        <w:t xml:space="preserve">uch a temperature is close to the ambient one in the conventional case, and </w:t>
      </w:r>
      <w:r w:rsidR="000D6EFC">
        <w:rPr>
          <w:lang w:bidi="en-US"/>
        </w:rPr>
        <w:t xml:space="preserve">it is of </w:t>
      </w:r>
      <w:r>
        <w:rPr>
          <w:lang w:bidi="en-US"/>
        </w:rPr>
        <w:t>about -90 °C</w:t>
      </w:r>
      <w:r w:rsidR="000D6EFC">
        <w:rPr>
          <w:lang w:bidi="en-US"/>
        </w:rPr>
        <w:t xml:space="preserve"> in </w:t>
      </w:r>
      <w:r w:rsidR="00F661B2">
        <w:rPr>
          <w:lang w:bidi="en-US"/>
        </w:rPr>
        <w:t xml:space="preserve">the </w:t>
      </w:r>
      <w:r w:rsidR="000D6EFC">
        <w:rPr>
          <w:lang w:bidi="en-US"/>
        </w:rPr>
        <w:t>case of low-temperature AGR technologies</w:t>
      </w:r>
      <w:r>
        <w:rPr>
          <w:lang w:bidi="en-US"/>
        </w:rPr>
        <w:t>.</w:t>
      </w:r>
      <w:r w:rsidR="000F3E16">
        <w:rPr>
          <w:lang w:bidi="en-US"/>
        </w:rPr>
        <w:t xml:space="preserve"> The synergy between a low-temperature AGR technology and the downstream liquefaction proc</w:t>
      </w:r>
      <w:r w:rsidR="000F3E16" w:rsidRPr="00932A20">
        <w:rPr>
          <w:lang w:bidi="en-US"/>
        </w:rPr>
        <w:t>ess (Pellegrini et al., 2019) incr</w:t>
      </w:r>
      <w:r w:rsidR="000F3E16">
        <w:rPr>
          <w:lang w:bidi="en-US"/>
        </w:rPr>
        <w:t>eases the interest in these novel technologies.</w:t>
      </w:r>
    </w:p>
    <w:p w14:paraId="042F1C2E" w14:textId="77777777" w:rsidR="00642678" w:rsidRPr="00B57B36" w:rsidRDefault="00642678" w:rsidP="00642678">
      <w:pPr>
        <w:pStyle w:val="CETTabletitle"/>
      </w:pPr>
      <w:r w:rsidRPr="00B57B36">
        <w:t xml:space="preserve">Table 1: </w:t>
      </w:r>
      <w:r w:rsidR="009C766E">
        <w:t>Temperature and pressure of the NG stream purified by means of different AGR technologies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38"/>
        <w:gridCol w:w="1134"/>
        <w:gridCol w:w="1134"/>
        <w:gridCol w:w="2154"/>
      </w:tblGrid>
      <w:tr w:rsidR="00791166" w:rsidRPr="00B57B36" w14:paraId="7261BD6C" w14:textId="77777777" w:rsidTr="00791166">
        <w:tc>
          <w:tcPr>
            <w:tcW w:w="2438" w:type="dxa"/>
            <w:tcBorders>
              <w:top w:val="single" w:sz="12" w:space="0" w:color="008000"/>
              <w:bottom w:val="single" w:sz="6" w:space="0" w:color="008000"/>
            </w:tcBorders>
            <w:shd w:val="clear" w:color="auto" w:fill="FFFFFF"/>
          </w:tcPr>
          <w:p w14:paraId="1E58BF05" w14:textId="77777777" w:rsidR="00791166" w:rsidRPr="00B57B36" w:rsidRDefault="00791166" w:rsidP="00594A6F">
            <w:pPr>
              <w:pStyle w:val="CETBodytext"/>
              <w:rPr>
                <w:lang w:val="en-GB"/>
              </w:rPr>
            </w:pPr>
            <w:r>
              <w:rPr>
                <w:lang w:val="en-GB"/>
              </w:rPr>
              <w:t>Technology</w:t>
            </w:r>
          </w:p>
        </w:tc>
        <w:tc>
          <w:tcPr>
            <w:tcW w:w="1134" w:type="dxa"/>
            <w:tcBorders>
              <w:top w:val="single" w:sz="12" w:space="0" w:color="008000"/>
              <w:bottom w:val="single" w:sz="6" w:space="0" w:color="008000"/>
            </w:tcBorders>
            <w:shd w:val="clear" w:color="auto" w:fill="FFFFFF"/>
            <w:vAlign w:val="center"/>
          </w:tcPr>
          <w:p w14:paraId="4DA4E008" w14:textId="77777777" w:rsidR="00791166" w:rsidRPr="00B57B36" w:rsidRDefault="00791166" w:rsidP="00A278FB">
            <w:pPr>
              <w:pStyle w:val="CETBodytext"/>
              <w:jc w:val="left"/>
              <w:rPr>
                <w:lang w:val="en-GB"/>
              </w:rPr>
            </w:pPr>
            <w:r>
              <w:rPr>
                <w:lang w:val="en-GB"/>
              </w:rPr>
              <w:t>T, °C</w:t>
            </w:r>
          </w:p>
        </w:tc>
        <w:tc>
          <w:tcPr>
            <w:tcW w:w="1134" w:type="dxa"/>
            <w:tcBorders>
              <w:top w:val="single" w:sz="12" w:space="0" w:color="008000"/>
              <w:bottom w:val="single" w:sz="6" w:space="0" w:color="008000"/>
            </w:tcBorders>
            <w:shd w:val="clear" w:color="auto" w:fill="FFFFFF"/>
            <w:vAlign w:val="center"/>
          </w:tcPr>
          <w:p w14:paraId="49337C1B" w14:textId="77777777" w:rsidR="00791166" w:rsidRPr="00B57B36" w:rsidRDefault="00791166" w:rsidP="00A278FB">
            <w:pPr>
              <w:pStyle w:val="CETBodytext"/>
              <w:jc w:val="left"/>
              <w:rPr>
                <w:lang w:val="en-GB"/>
              </w:rPr>
            </w:pPr>
            <w:r>
              <w:rPr>
                <w:lang w:val="en-GB"/>
              </w:rPr>
              <w:t>P, bar</w:t>
            </w:r>
          </w:p>
        </w:tc>
        <w:tc>
          <w:tcPr>
            <w:tcW w:w="2154" w:type="dxa"/>
            <w:tcBorders>
              <w:top w:val="single" w:sz="12" w:space="0" w:color="008000"/>
              <w:bottom w:val="single" w:sz="6" w:space="0" w:color="008000"/>
            </w:tcBorders>
            <w:shd w:val="clear" w:color="auto" w:fill="FFFFFF"/>
            <w:vAlign w:val="center"/>
          </w:tcPr>
          <w:p w14:paraId="572CF28C" w14:textId="77777777" w:rsidR="00791166" w:rsidRPr="00B57B36" w:rsidRDefault="00791166" w:rsidP="00A278FB">
            <w:pPr>
              <w:pStyle w:val="CETBodytext"/>
              <w:ind w:right="-1"/>
              <w:jc w:val="left"/>
              <w:rPr>
                <w:rFonts w:cs="Arial"/>
                <w:szCs w:val="18"/>
                <w:lang w:val="en-GB"/>
              </w:rPr>
            </w:pPr>
            <w:r>
              <w:rPr>
                <w:rFonts w:cs="Arial"/>
                <w:szCs w:val="18"/>
                <w:lang w:val="en-GB"/>
              </w:rPr>
              <w:t>Literature source</w:t>
            </w:r>
          </w:p>
        </w:tc>
      </w:tr>
      <w:tr w:rsidR="00791166" w:rsidRPr="00B57B36" w14:paraId="4F10D383" w14:textId="77777777" w:rsidTr="00791166">
        <w:tc>
          <w:tcPr>
            <w:tcW w:w="2438" w:type="dxa"/>
            <w:shd w:val="clear" w:color="auto" w:fill="FFFFFF"/>
          </w:tcPr>
          <w:p w14:paraId="2AACCCE6" w14:textId="77777777" w:rsidR="00791166" w:rsidRPr="00B57B36" w:rsidRDefault="00791166" w:rsidP="00594A6F">
            <w:pPr>
              <w:pStyle w:val="CETBodytext"/>
              <w:rPr>
                <w:lang w:val="en-GB"/>
              </w:rPr>
            </w:pPr>
            <w:r>
              <w:rPr>
                <w:lang w:val="en-GB"/>
              </w:rPr>
              <w:t>Amine absorption</w:t>
            </w:r>
          </w:p>
        </w:tc>
        <w:tc>
          <w:tcPr>
            <w:tcW w:w="1134" w:type="dxa"/>
            <w:shd w:val="clear" w:color="auto" w:fill="FFFFFF"/>
            <w:vAlign w:val="center"/>
          </w:tcPr>
          <w:p w14:paraId="423D665A" w14:textId="698F7612" w:rsidR="00791166" w:rsidRPr="000B4796" w:rsidRDefault="005D3797" w:rsidP="00A278FB">
            <w:pPr>
              <w:pStyle w:val="CETBodytext"/>
              <w:jc w:val="left"/>
              <w:rPr>
                <w:lang w:val="en-GB"/>
              </w:rPr>
            </w:pPr>
            <w:r>
              <w:rPr>
                <w:lang w:val="en-GB"/>
              </w:rPr>
              <w:t>32</w:t>
            </w:r>
          </w:p>
        </w:tc>
        <w:tc>
          <w:tcPr>
            <w:tcW w:w="1134" w:type="dxa"/>
            <w:shd w:val="clear" w:color="auto" w:fill="FFFFFF"/>
            <w:vAlign w:val="center"/>
          </w:tcPr>
          <w:p w14:paraId="488C5985" w14:textId="01ED196F" w:rsidR="00791166" w:rsidRPr="000B4796" w:rsidRDefault="005D3797" w:rsidP="00A278FB">
            <w:pPr>
              <w:pStyle w:val="CETBodytext"/>
              <w:jc w:val="left"/>
              <w:rPr>
                <w:lang w:val="en-GB"/>
              </w:rPr>
            </w:pPr>
            <w:r>
              <w:rPr>
                <w:lang w:val="en-GB"/>
              </w:rPr>
              <w:t>50</w:t>
            </w:r>
          </w:p>
        </w:tc>
        <w:tc>
          <w:tcPr>
            <w:tcW w:w="2154" w:type="dxa"/>
            <w:shd w:val="clear" w:color="auto" w:fill="FFFFFF"/>
            <w:vAlign w:val="center"/>
          </w:tcPr>
          <w:p w14:paraId="4B532074" w14:textId="2F947080" w:rsidR="00791166" w:rsidRPr="000B4796" w:rsidRDefault="005D3797" w:rsidP="00A278FB">
            <w:pPr>
              <w:pStyle w:val="CETBodytext"/>
              <w:ind w:right="-1"/>
              <w:jc w:val="left"/>
              <w:rPr>
                <w:rFonts w:cs="Arial"/>
                <w:szCs w:val="18"/>
                <w:lang w:val="en-GB"/>
              </w:rPr>
            </w:pPr>
            <w:r>
              <w:rPr>
                <w:rFonts w:cs="Arial"/>
                <w:szCs w:val="18"/>
                <w:lang w:val="en-GB"/>
              </w:rPr>
              <w:t>Kohl and Nielsen (1997)</w:t>
            </w:r>
          </w:p>
        </w:tc>
      </w:tr>
      <w:tr w:rsidR="00791166" w:rsidRPr="00B57B36" w14:paraId="3BFA67F3" w14:textId="77777777" w:rsidTr="00791166">
        <w:tc>
          <w:tcPr>
            <w:tcW w:w="2438" w:type="dxa"/>
            <w:shd w:val="clear" w:color="auto" w:fill="FFFFFF"/>
          </w:tcPr>
          <w:p w14:paraId="538F2C78" w14:textId="77777777" w:rsidR="00791166" w:rsidRPr="00B57B36" w:rsidRDefault="00791166" w:rsidP="00594A6F">
            <w:pPr>
              <w:pStyle w:val="CETBodytext"/>
              <w:rPr>
                <w:lang w:val="en-GB"/>
              </w:rPr>
            </w:pPr>
            <w:r>
              <w:rPr>
                <w:lang w:val="en-GB"/>
              </w:rPr>
              <w:t>Ryan-Holmes</w:t>
            </w:r>
          </w:p>
        </w:tc>
        <w:tc>
          <w:tcPr>
            <w:tcW w:w="1134" w:type="dxa"/>
            <w:shd w:val="clear" w:color="auto" w:fill="FFFFFF"/>
            <w:vAlign w:val="center"/>
          </w:tcPr>
          <w:p w14:paraId="36A9D64E" w14:textId="77777777" w:rsidR="00791166" w:rsidRPr="00B57B36" w:rsidRDefault="00791166" w:rsidP="002C463C">
            <w:pPr>
              <w:pStyle w:val="CETBodytext"/>
              <w:jc w:val="left"/>
              <w:rPr>
                <w:lang w:val="en-GB"/>
              </w:rPr>
            </w:pPr>
            <w:r>
              <w:rPr>
                <w:lang w:val="en-GB"/>
              </w:rPr>
              <w:t>-86</w:t>
            </w:r>
          </w:p>
        </w:tc>
        <w:tc>
          <w:tcPr>
            <w:tcW w:w="1134" w:type="dxa"/>
            <w:shd w:val="clear" w:color="auto" w:fill="FFFFFF"/>
            <w:vAlign w:val="center"/>
          </w:tcPr>
          <w:p w14:paraId="2C8F3897" w14:textId="77777777" w:rsidR="00791166" w:rsidRPr="000B4796" w:rsidRDefault="00791166" w:rsidP="002C463C">
            <w:pPr>
              <w:pStyle w:val="CETBodytext"/>
              <w:jc w:val="left"/>
              <w:rPr>
                <w:lang w:val="en-GB"/>
              </w:rPr>
            </w:pPr>
            <w:r w:rsidRPr="000B4796">
              <w:rPr>
                <w:lang w:val="en-GB"/>
              </w:rPr>
              <w:t>41</w:t>
            </w:r>
          </w:p>
        </w:tc>
        <w:tc>
          <w:tcPr>
            <w:tcW w:w="2154" w:type="dxa"/>
            <w:shd w:val="clear" w:color="auto" w:fill="FFFFFF"/>
            <w:vAlign w:val="center"/>
          </w:tcPr>
          <w:p w14:paraId="0D7AD2EC" w14:textId="0E89F8FB" w:rsidR="00791166" w:rsidRPr="000B4796" w:rsidRDefault="00791166" w:rsidP="00410498">
            <w:pPr>
              <w:pStyle w:val="CETBodytext"/>
              <w:ind w:right="-1"/>
              <w:jc w:val="left"/>
              <w:rPr>
                <w:rFonts w:cs="Arial"/>
                <w:szCs w:val="18"/>
                <w:lang w:val="en-GB"/>
              </w:rPr>
            </w:pPr>
            <w:r w:rsidRPr="000B4796">
              <w:rPr>
                <w:rFonts w:cs="Arial"/>
                <w:szCs w:val="18"/>
                <w:lang w:val="en-GB"/>
              </w:rPr>
              <w:t xml:space="preserve">Holmes </w:t>
            </w:r>
            <w:r w:rsidR="00410498" w:rsidRPr="000B4796">
              <w:rPr>
                <w:rFonts w:cs="Arial"/>
                <w:szCs w:val="18"/>
                <w:lang w:val="en-GB"/>
              </w:rPr>
              <w:t xml:space="preserve">and Ryan </w:t>
            </w:r>
            <w:r w:rsidRPr="000B4796">
              <w:rPr>
                <w:rFonts w:cs="Arial"/>
                <w:szCs w:val="18"/>
                <w:lang w:val="en-GB"/>
              </w:rPr>
              <w:t>(1982)</w:t>
            </w:r>
          </w:p>
        </w:tc>
      </w:tr>
      <w:tr w:rsidR="00791166" w:rsidRPr="00B57B36" w14:paraId="07BA7C2C" w14:textId="77777777" w:rsidTr="00791166">
        <w:tc>
          <w:tcPr>
            <w:tcW w:w="2438" w:type="dxa"/>
            <w:shd w:val="clear" w:color="auto" w:fill="FFFFFF"/>
          </w:tcPr>
          <w:p w14:paraId="1072A24F" w14:textId="77777777" w:rsidR="00791166" w:rsidRPr="00B57B36" w:rsidRDefault="00791166" w:rsidP="00594A6F">
            <w:pPr>
              <w:pStyle w:val="CETBodytext"/>
              <w:rPr>
                <w:lang w:val="en-GB"/>
              </w:rPr>
            </w:pPr>
            <w:r>
              <w:rPr>
                <w:lang w:val="en-GB"/>
              </w:rPr>
              <w:t>DCCD</w:t>
            </w:r>
            <w:r w:rsidRPr="00791166">
              <w:rPr>
                <w:vertAlign w:val="superscript"/>
                <w:lang w:val="en-GB"/>
              </w:rPr>
              <w:t>TM</w:t>
            </w:r>
          </w:p>
        </w:tc>
        <w:tc>
          <w:tcPr>
            <w:tcW w:w="1134" w:type="dxa"/>
            <w:shd w:val="clear" w:color="auto" w:fill="FFFFFF"/>
            <w:vAlign w:val="center"/>
          </w:tcPr>
          <w:p w14:paraId="18C959B0" w14:textId="77777777" w:rsidR="00791166" w:rsidRPr="00B57B36" w:rsidRDefault="002C463C" w:rsidP="00A278FB">
            <w:pPr>
              <w:pStyle w:val="CETBodytext"/>
              <w:jc w:val="left"/>
              <w:rPr>
                <w:lang w:val="en-GB"/>
              </w:rPr>
            </w:pPr>
            <w:r>
              <w:rPr>
                <w:lang w:val="en-GB"/>
              </w:rPr>
              <w:t>-87</w:t>
            </w:r>
          </w:p>
        </w:tc>
        <w:tc>
          <w:tcPr>
            <w:tcW w:w="1134" w:type="dxa"/>
            <w:shd w:val="clear" w:color="auto" w:fill="FFFFFF"/>
            <w:vAlign w:val="center"/>
          </w:tcPr>
          <w:p w14:paraId="7F82761F" w14:textId="77777777" w:rsidR="00791166" w:rsidRPr="000B4796" w:rsidRDefault="00791166" w:rsidP="00A278FB">
            <w:pPr>
              <w:pStyle w:val="CETBodytext"/>
              <w:jc w:val="left"/>
              <w:rPr>
                <w:lang w:val="en-GB"/>
              </w:rPr>
            </w:pPr>
            <w:r w:rsidRPr="000B4796">
              <w:rPr>
                <w:lang w:val="en-GB"/>
              </w:rPr>
              <w:t>40</w:t>
            </w:r>
          </w:p>
        </w:tc>
        <w:tc>
          <w:tcPr>
            <w:tcW w:w="2154" w:type="dxa"/>
            <w:shd w:val="clear" w:color="auto" w:fill="FFFFFF"/>
            <w:vAlign w:val="center"/>
          </w:tcPr>
          <w:p w14:paraId="4AFA8483" w14:textId="77777777" w:rsidR="00791166" w:rsidRPr="000B4796" w:rsidRDefault="00791166" w:rsidP="00A278FB">
            <w:pPr>
              <w:pStyle w:val="CETBodytext"/>
              <w:ind w:right="-1"/>
              <w:jc w:val="left"/>
              <w:rPr>
                <w:rFonts w:cs="Arial"/>
                <w:szCs w:val="18"/>
                <w:lang w:val="en-GB"/>
              </w:rPr>
            </w:pPr>
            <w:r w:rsidRPr="000B4796">
              <w:rPr>
                <w:rFonts w:cs="Arial"/>
                <w:szCs w:val="18"/>
                <w:lang w:val="en-GB"/>
              </w:rPr>
              <w:t>Pellegrini (2014)</w:t>
            </w:r>
          </w:p>
        </w:tc>
      </w:tr>
      <w:tr w:rsidR="00791166" w:rsidRPr="00B57B36" w14:paraId="2D7653F0" w14:textId="77777777" w:rsidTr="00791166">
        <w:tc>
          <w:tcPr>
            <w:tcW w:w="2438" w:type="dxa"/>
            <w:shd w:val="clear" w:color="auto" w:fill="FFFFFF"/>
          </w:tcPr>
          <w:p w14:paraId="183A4AA6" w14:textId="77777777" w:rsidR="00791166" w:rsidRPr="00B57B36" w:rsidRDefault="00791166" w:rsidP="00594A6F">
            <w:pPr>
              <w:pStyle w:val="CETBodytext"/>
              <w:rPr>
                <w:lang w:val="en-GB"/>
              </w:rPr>
            </w:pPr>
            <w:r>
              <w:rPr>
                <w:lang w:val="en-GB"/>
              </w:rPr>
              <w:t>CFZ</w:t>
            </w:r>
            <w:r w:rsidRPr="00791166">
              <w:rPr>
                <w:vertAlign w:val="superscript"/>
                <w:lang w:val="en-GB"/>
              </w:rPr>
              <w:t>TM</w:t>
            </w:r>
            <w:r w:rsidR="001E1F17">
              <w:rPr>
                <w:lang w:val="en-GB"/>
              </w:rPr>
              <w:t xml:space="preserve"> (pipeline-quality)</w:t>
            </w:r>
          </w:p>
        </w:tc>
        <w:tc>
          <w:tcPr>
            <w:tcW w:w="1134" w:type="dxa"/>
            <w:shd w:val="clear" w:color="auto" w:fill="FFFFFF"/>
            <w:vAlign w:val="center"/>
          </w:tcPr>
          <w:p w14:paraId="0F4E91A8" w14:textId="77777777" w:rsidR="00791166" w:rsidRPr="00B57B36" w:rsidRDefault="00791166" w:rsidP="00441708">
            <w:pPr>
              <w:pStyle w:val="CETBodytext"/>
              <w:jc w:val="left"/>
              <w:rPr>
                <w:lang w:val="en-GB"/>
              </w:rPr>
            </w:pPr>
            <w:r>
              <w:rPr>
                <w:lang w:val="en-GB"/>
              </w:rPr>
              <w:t>-8</w:t>
            </w:r>
            <w:r w:rsidR="00441708">
              <w:rPr>
                <w:lang w:val="en-GB"/>
              </w:rPr>
              <w:t>9/-86</w:t>
            </w:r>
          </w:p>
        </w:tc>
        <w:tc>
          <w:tcPr>
            <w:tcW w:w="1134" w:type="dxa"/>
            <w:shd w:val="clear" w:color="auto" w:fill="FFFFFF"/>
            <w:vAlign w:val="center"/>
          </w:tcPr>
          <w:p w14:paraId="54369B38" w14:textId="3D7762D2" w:rsidR="00791166" w:rsidRPr="000B4796" w:rsidRDefault="009A1147" w:rsidP="009A1147">
            <w:pPr>
              <w:pStyle w:val="CETBodytext"/>
              <w:jc w:val="left"/>
              <w:rPr>
                <w:lang w:val="en-GB"/>
              </w:rPr>
            </w:pPr>
            <w:r>
              <w:rPr>
                <w:lang w:val="en-GB"/>
              </w:rPr>
              <w:t>39/42</w:t>
            </w:r>
          </w:p>
        </w:tc>
        <w:tc>
          <w:tcPr>
            <w:tcW w:w="2154" w:type="dxa"/>
            <w:shd w:val="clear" w:color="auto" w:fill="FFFFFF"/>
            <w:vAlign w:val="center"/>
          </w:tcPr>
          <w:p w14:paraId="4DED8E3B" w14:textId="77777777" w:rsidR="00791166" w:rsidRPr="000B4796" w:rsidRDefault="00791166" w:rsidP="00A278FB">
            <w:pPr>
              <w:pStyle w:val="CETBodytext"/>
              <w:ind w:right="-1"/>
              <w:jc w:val="left"/>
              <w:rPr>
                <w:rFonts w:cs="Arial"/>
                <w:szCs w:val="18"/>
                <w:lang w:val="en-GB"/>
              </w:rPr>
            </w:pPr>
            <w:r w:rsidRPr="000B4796">
              <w:rPr>
                <w:rFonts w:cs="Arial"/>
                <w:szCs w:val="18"/>
                <w:lang w:val="en-GB"/>
              </w:rPr>
              <w:t>Valencia et al. (2014)</w:t>
            </w:r>
          </w:p>
        </w:tc>
      </w:tr>
      <w:tr w:rsidR="00791166" w:rsidRPr="00B57B36" w14:paraId="534983FF" w14:textId="77777777" w:rsidTr="00791166">
        <w:tc>
          <w:tcPr>
            <w:tcW w:w="2438" w:type="dxa"/>
            <w:shd w:val="clear" w:color="auto" w:fill="FFFFFF"/>
          </w:tcPr>
          <w:p w14:paraId="2F7EE43F" w14:textId="77777777" w:rsidR="00791166" w:rsidRPr="00B57B36" w:rsidRDefault="00791166" w:rsidP="001E1F17">
            <w:pPr>
              <w:pStyle w:val="CETBodytext"/>
              <w:ind w:right="-1"/>
              <w:rPr>
                <w:rFonts w:cs="Arial"/>
                <w:szCs w:val="18"/>
                <w:lang w:val="en-GB"/>
              </w:rPr>
            </w:pPr>
            <w:r>
              <w:rPr>
                <w:rFonts w:cs="Arial"/>
                <w:szCs w:val="18"/>
                <w:lang w:val="en-GB"/>
              </w:rPr>
              <w:t>CFZ</w:t>
            </w:r>
            <w:r w:rsidRPr="00791166">
              <w:rPr>
                <w:rFonts w:cs="Arial"/>
                <w:szCs w:val="18"/>
                <w:vertAlign w:val="superscript"/>
                <w:lang w:val="en-GB"/>
              </w:rPr>
              <w:t>TM</w:t>
            </w:r>
            <w:r w:rsidR="001E1F17">
              <w:rPr>
                <w:rFonts w:cs="Arial"/>
                <w:szCs w:val="18"/>
                <w:lang w:val="en-GB"/>
              </w:rPr>
              <w:t xml:space="preserve"> (LNG-quality)</w:t>
            </w:r>
          </w:p>
        </w:tc>
        <w:tc>
          <w:tcPr>
            <w:tcW w:w="1134" w:type="dxa"/>
            <w:shd w:val="clear" w:color="auto" w:fill="FFFFFF"/>
            <w:vAlign w:val="center"/>
          </w:tcPr>
          <w:p w14:paraId="3207185C" w14:textId="77777777" w:rsidR="00791166" w:rsidRPr="00B57B36" w:rsidRDefault="00791166" w:rsidP="00441708">
            <w:pPr>
              <w:pStyle w:val="CETBodytext"/>
              <w:ind w:right="-1"/>
              <w:jc w:val="left"/>
              <w:rPr>
                <w:rFonts w:cs="Arial"/>
                <w:szCs w:val="18"/>
                <w:lang w:val="en-GB"/>
              </w:rPr>
            </w:pPr>
            <w:r>
              <w:rPr>
                <w:rFonts w:cs="Arial"/>
                <w:szCs w:val="18"/>
                <w:lang w:val="en-GB"/>
              </w:rPr>
              <w:t>-90</w:t>
            </w:r>
          </w:p>
        </w:tc>
        <w:tc>
          <w:tcPr>
            <w:tcW w:w="1134" w:type="dxa"/>
            <w:shd w:val="clear" w:color="auto" w:fill="FFFFFF"/>
            <w:vAlign w:val="center"/>
          </w:tcPr>
          <w:p w14:paraId="553E423C" w14:textId="12A9DCF3" w:rsidR="00791166" w:rsidRPr="000B4796" w:rsidRDefault="00441708" w:rsidP="009A1147">
            <w:pPr>
              <w:pStyle w:val="CETBodytext"/>
              <w:ind w:right="-1"/>
              <w:jc w:val="left"/>
              <w:rPr>
                <w:rFonts w:cs="Arial"/>
                <w:szCs w:val="18"/>
                <w:lang w:val="en-GB"/>
              </w:rPr>
            </w:pPr>
            <w:r w:rsidRPr="000B4796">
              <w:rPr>
                <w:rFonts w:cs="Arial"/>
                <w:szCs w:val="18"/>
                <w:lang w:val="en-GB"/>
              </w:rPr>
              <w:t>3</w:t>
            </w:r>
            <w:r w:rsidR="009A1147">
              <w:rPr>
                <w:rFonts w:cs="Arial"/>
                <w:szCs w:val="18"/>
                <w:lang w:val="en-GB"/>
              </w:rPr>
              <w:t>7</w:t>
            </w:r>
          </w:p>
        </w:tc>
        <w:tc>
          <w:tcPr>
            <w:tcW w:w="2154" w:type="dxa"/>
            <w:shd w:val="clear" w:color="auto" w:fill="FFFFFF"/>
            <w:vAlign w:val="center"/>
          </w:tcPr>
          <w:p w14:paraId="507FD635" w14:textId="77777777" w:rsidR="00791166" w:rsidRPr="000B4796" w:rsidRDefault="00791166" w:rsidP="00A278FB">
            <w:pPr>
              <w:pStyle w:val="CETBodytext"/>
              <w:ind w:right="-1"/>
              <w:jc w:val="left"/>
              <w:rPr>
                <w:rFonts w:cs="Arial"/>
                <w:szCs w:val="18"/>
                <w:lang w:val="en-GB"/>
              </w:rPr>
            </w:pPr>
            <w:r w:rsidRPr="000B4796">
              <w:rPr>
                <w:rFonts w:cs="Arial"/>
                <w:szCs w:val="18"/>
                <w:lang w:val="en-GB"/>
              </w:rPr>
              <w:t>Valencia et al. (2014)</w:t>
            </w:r>
          </w:p>
        </w:tc>
      </w:tr>
    </w:tbl>
    <w:p w14:paraId="4659B82F" w14:textId="77777777" w:rsidR="00642678" w:rsidRDefault="00642678" w:rsidP="00D833C0">
      <w:pPr>
        <w:pStyle w:val="CETBodytext"/>
        <w:rPr>
          <w:lang w:bidi="en-US"/>
        </w:rPr>
      </w:pPr>
    </w:p>
    <w:p w14:paraId="7AFBC826" w14:textId="7AF9FA4C" w:rsidR="00D833C0" w:rsidRPr="00D833C0" w:rsidRDefault="00023F24" w:rsidP="00207C6C">
      <w:pPr>
        <w:pStyle w:val="CETBodytext"/>
        <w:rPr>
          <w:lang w:val="en-GB"/>
        </w:rPr>
      </w:pPr>
      <w:r>
        <w:rPr>
          <w:lang w:bidi="en-US"/>
        </w:rPr>
        <w:t>In the case of LNG production, the CO</w:t>
      </w:r>
      <w:r w:rsidRPr="0073651F">
        <w:rPr>
          <w:vertAlign w:val="subscript"/>
          <w:lang w:bidi="en-US"/>
        </w:rPr>
        <w:t>2</w:t>
      </w:r>
      <w:r>
        <w:rPr>
          <w:lang w:bidi="en-US"/>
        </w:rPr>
        <w:t xml:space="preserve"> content must be reduced to 50 pp</w:t>
      </w:r>
      <w:r w:rsidRPr="000B4796">
        <w:rPr>
          <w:lang w:bidi="en-US"/>
        </w:rPr>
        <w:t>m (</w:t>
      </w:r>
      <w:r w:rsidR="00F139CF" w:rsidRPr="000B4796">
        <w:rPr>
          <w:lang w:bidi="en-US"/>
        </w:rPr>
        <w:t>Berstad et al., 2012</w:t>
      </w:r>
      <w:r w:rsidRPr="000B4796">
        <w:rPr>
          <w:lang w:bidi="en-US"/>
        </w:rPr>
        <w:t>) and the</w:t>
      </w:r>
      <w:r>
        <w:rPr>
          <w:lang w:bidi="en-US"/>
        </w:rPr>
        <w:t xml:space="preserve"> purified NG stream must be sent to the liquefaction unit. All the liquefaction technologies currently </w:t>
      </w:r>
      <w:r w:rsidR="00324328">
        <w:rPr>
          <w:lang w:bidi="en-US"/>
        </w:rPr>
        <w:t>available</w:t>
      </w:r>
      <w:r>
        <w:rPr>
          <w:lang w:bidi="en-US"/>
        </w:rPr>
        <w:t xml:space="preserve"> have been </w:t>
      </w:r>
      <w:r w:rsidR="00324328">
        <w:rPr>
          <w:lang w:bidi="en-US"/>
        </w:rPr>
        <w:t xml:space="preserve">designed to liquefy </w:t>
      </w:r>
      <w:r>
        <w:rPr>
          <w:lang w:bidi="en-US"/>
        </w:rPr>
        <w:t xml:space="preserve">a NG stream </w:t>
      </w:r>
      <w:r w:rsidR="00B46A80">
        <w:rPr>
          <w:lang w:bidi="en-US"/>
        </w:rPr>
        <w:t>coming from a conventional AGR process and, thus, at a temperature close to the ambient one. The current interest in low-temperature AGR technologies requires to rationalize the liquefaction process in order to make it suitable to treat a NG feed stream at low</w:t>
      </w:r>
      <w:r w:rsidR="002D6744">
        <w:rPr>
          <w:lang w:bidi="en-US"/>
        </w:rPr>
        <w:t xml:space="preserve"> </w:t>
      </w:r>
      <w:r w:rsidR="00B46A80">
        <w:rPr>
          <w:lang w:bidi="en-US"/>
        </w:rPr>
        <w:t>temperature. To the authors</w:t>
      </w:r>
      <w:r w:rsidR="00324328">
        <w:rPr>
          <w:lang w:bidi="en-US"/>
        </w:rPr>
        <w:t>’</w:t>
      </w:r>
      <w:r w:rsidR="00B46A80">
        <w:rPr>
          <w:lang w:bidi="en-US"/>
        </w:rPr>
        <w:t xml:space="preserve"> knowledge, this issue has not</w:t>
      </w:r>
      <w:r w:rsidR="00324328">
        <w:rPr>
          <w:lang w:bidi="en-US"/>
        </w:rPr>
        <w:t xml:space="preserve"> been addressed in the literatu</w:t>
      </w:r>
      <w:r w:rsidR="00B46A80">
        <w:rPr>
          <w:lang w:bidi="en-US"/>
        </w:rPr>
        <w:t>re yet. Therefore, this work presents a preliminary analysis dealing with the study of the liquefaction process by means of the</w:t>
      </w:r>
      <w:r w:rsidR="002363EF">
        <w:rPr>
          <w:lang w:bidi="en-US"/>
        </w:rPr>
        <w:t xml:space="preserve"> </w:t>
      </w:r>
      <w:r w:rsidR="002363EF" w:rsidRPr="00201B70">
        <w:rPr>
          <w:lang w:bidi="en-US"/>
        </w:rPr>
        <w:t>Single Mixed Refrigerant</w:t>
      </w:r>
      <w:r w:rsidR="00B46A80">
        <w:rPr>
          <w:lang w:bidi="en-US"/>
        </w:rPr>
        <w:t xml:space="preserve"> </w:t>
      </w:r>
      <w:r w:rsidR="002363EF">
        <w:rPr>
          <w:lang w:bidi="en-US"/>
        </w:rPr>
        <w:t>(</w:t>
      </w:r>
      <w:r w:rsidR="00B46A80">
        <w:rPr>
          <w:lang w:bidi="en-US"/>
        </w:rPr>
        <w:t>SMR</w:t>
      </w:r>
      <w:r w:rsidR="002363EF">
        <w:rPr>
          <w:lang w:bidi="en-US"/>
        </w:rPr>
        <w:t>)</w:t>
      </w:r>
      <w:r w:rsidR="00B46A80">
        <w:rPr>
          <w:lang w:bidi="en-US"/>
        </w:rPr>
        <w:t xml:space="preserve"> technolog</w:t>
      </w:r>
      <w:r w:rsidR="008F2233">
        <w:rPr>
          <w:lang w:bidi="en-US"/>
        </w:rPr>
        <w:t>y</w:t>
      </w:r>
      <w:r w:rsidR="00B46A80">
        <w:rPr>
          <w:lang w:bidi="en-US"/>
        </w:rPr>
        <w:t xml:space="preserve"> applied to </w:t>
      </w:r>
      <w:r w:rsidR="008F2233">
        <w:rPr>
          <w:lang w:bidi="en-US"/>
        </w:rPr>
        <w:t xml:space="preserve">a purified NG stream obtained from </w:t>
      </w:r>
      <w:r w:rsidR="00093FBE">
        <w:rPr>
          <w:lang w:bidi="en-US"/>
        </w:rPr>
        <w:t xml:space="preserve">both </w:t>
      </w:r>
      <w:r w:rsidR="008F2233">
        <w:rPr>
          <w:lang w:bidi="en-US"/>
        </w:rPr>
        <w:t>a conventional AGR process and from a novel one based on low-temperature distillation</w:t>
      </w:r>
      <w:r w:rsidR="00B46A80">
        <w:rPr>
          <w:lang w:bidi="en-US"/>
        </w:rPr>
        <w:t xml:space="preserve">. </w:t>
      </w:r>
      <w:r w:rsidR="008F2233">
        <w:rPr>
          <w:lang w:bidi="en-US"/>
        </w:rPr>
        <w:t>The two case studies will be denoted in th</w:t>
      </w:r>
      <w:r w:rsidR="00F661B2">
        <w:rPr>
          <w:lang w:bidi="en-US"/>
        </w:rPr>
        <w:t>e following by “conventional</w:t>
      </w:r>
      <w:r w:rsidR="008F2233">
        <w:rPr>
          <w:lang w:bidi="en-US"/>
        </w:rPr>
        <w:t>” and “low-tempera</w:t>
      </w:r>
      <w:r w:rsidR="00F661B2">
        <w:rPr>
          <w:lang w:bidi="en-US"/>
        </w:rPr>
        <w:t>ture</w:t>
      </w:r>
      <w:r w:rsidR="008F2233">
        <w:rPr>
          <w:lang w:bidi="en-US"/>
        </w:rPr>
        <w:t xml:space="preserve">”, respectively. </w:t>
      </w:r>
      <w:r w:rsidR="00B46A80">
        <w:rPr>
          <w:lang w:bidi="en-US"/>
        </w:rPr>
        <w:t>S</w:t>
      </w:r>
      <w:r w:rsidR="00D833C0" w:rsidRPr="00D833C0">
        <w:t>imulations have been carried out in Aspen H</w:t>
      </w:r>
      <w:r w:rsidR="00CC3270">
        <w:t>ysys</w:t>
      </w:r>
      <w:r w:rsidR="00D833C0" w:rsidRPr="00D833C0">
        <w:rPr>
          <w:vertAlign w:val="superscript"/>
        </w:rPr>
        <w:t>®</w:t>
      </w:r>
      <w:r w:rsidR="00D833C0" w:rsidRPr="00D833C0">
        <w:t xml:space="preserve"> V9.0 </w:t>
      </w:r>
      <w:r w:rsidR="002200FA">
        <w:t xml:space="preserve">(AspenTech, 2016) </w:t>
      </w:r>
      <w:r w:rsidR="00D833C0" w:rsidRPr="00D833C0">
        <w:t xml:space="preserve">to adjust the composition and </w:t>
      </w:r>
      <w:r w:rsidR="00A439A6">
        <w:t xml:space="preserve">the </w:t>
      </w:r>
      <w:r w:rsidR="00C66C87">
        <w:t>flow</w:t>
      </w:r>
      <w:r w:rsidR="00D833C0" w:rsidRPr="00D833C0">
        <w:t>rate of the mixed refrigerant</w:t>
      </w:r>
      <w:r w:rsidR="00F661B2">
        <w:t xml:space="preserve"> (MR)</w:t>
      </w:r>
      <w:r w:rsidR="002200FA">
        <w:t>,</w:t>
      </w:r>
      <w:r w:rsidR="00D833C0" w:rsidRPr="00D833C0">
        <w:t xml:space="preserve"> depending on the conditions of the purified </w:t>
      </w:r>
      <w:r w:rsidR="00093FBE">
        <w:t>NG</w:t>
      </w:r>
      <w:r w:rsidR="00D833C0" w:rsidRPr="00D833C0">
        <w:t xml:space="preserve"> stream that unde</w:t>
      </w:r>
      <w:r w:rsidR="000B4796">
        <w:t>rgoes the liquefaction process.</w:t>
      </w:r>
    </w:p>
    <w:p w14:paraId="141FCE46" w14:textId="77777777" w:rsidR="00CE16CE" w:rsidRDefault="007C2C31" w:rsidP="00CE16CE">
      <w:pPr>
        <w:pStyle w:val="CETHeading1"/>
        <w:tabs>
          <w:tab w:val="clear" w:pos="360"/>
          <w:tab w:val="right" w:pos="7100"/>
        </w:tabs>
        <w:jc w:val="both"/>
        <w:rPr>
          <w:lang w:val="en-GB"/>
        </w:rPr>
      </w:pPr>
      <w:r>
        <w:rPr>
          <w:lang w:val="en-GB"/>
        </w:rPr>
        <w:t>Methods</w:t>
      </w:r>
    </w:p>
    <w:p w14:paraId="3B3AC9A6" w14:textId="59789F5B" w:rsidR="005A52FF" w:rsidRPr="00CE16CE" w:rsidRDefault="00CE16CE" w:rsidP="004D0476">
      <w:pPr>
        <w:pStyle w:val="CETheadingx"/>
        <w:rPr>
          <w:lang w:val="en-GB"/>
        </w:rPr>
      </w:pPr>
      <w:r w:rsidRPr="00CE16CE">
        <w:t>Simulations</w:t>
      </w:r>
    </w:p>
    <w:p w14:paraId="10FCB915" w14:textId="2F9FBF80" w:rsidR="00814312" w:rsidRDefault="00070098" w:rsidP="00814312">
      <w:pPr>
        <w:pStyle w:val="CETBodytext"/>
        <w:rPr>
          <w:lang w:val="en-GB"/>
        </w:rPr>
      </w:pPr>
      <w:r>
        <w:t>For the low-temperature</w:t>
      </w:r>
      <w:r w:rsidR="00324328">
        <w:t xml:space="preserve"> case study, a methane gas mixture containing 50 ppm CO</w:t>
      </w:r>
      <w:r w:rsidR="00324328" w:rsidRPr="00DE0BB7">
        <w:rPr>
          <w:vertAlign w:val="subscript"/>
        </w:rPr>
        <w:t>2</w:t>
      </w:r>
      <w:r w:rsidR="00324328">
        <w:t xml:space="preserve"> </w:t>
      </w:r>
      <w:r w:rsidR="00093FBE">
        <w:t>has been</w:t>
      </w:r>
      <w:r w:rsidR="00324328">
        <w:t xml:space="preserve"> considered. </w:t>
      </w:r>
      <w:r w:rsidR="00CC21B7">
        <w:t>A binary mixture of the two components has been taken into account considering that</w:t>
      </w:r>
      <w:r w:rsidR="001D7129">
        <w:t>,</w:t>
      </w:r>
      <w:r w:rsidR="00CC21B7">
        <w:t xml:space="preserve"> if hydrocarbons heavier than methane are present in the raw NG feed stream, they are recovered at the bottom of the distillation tower, together with CO</w:t>
      </w:r>
      <w:r w:rsidR="00CC21B7" w:rsidRPr="00DE0BB7">
        <w:rPr>
          <w:vertAlign w:val="subscript"/>
        </w:rPr>
        <w:t>2</w:t>
      </w:r>
      <w:r w:rsidR="00CC21B7">
        <w:t>.</w:t>
      </w:r>
      <w:r w:rsidR="00A53FBB">
        <w:t xml:space="preserve"> </w:t>
      </w:r>
      <w:r w:rsidR="00CC3270">
        <w:t>For comparison purposes</w:t>
      </w:r>
      <w:r w:rsidR="002200FA">
        <w:t>,</w:t>
      </w:r>
      <w:r w:rsidR="00CC3270">
        <w:t xml:space="preserve"> the same binary mixture has been also considered in the conventional case study. </w:t>
      </w:r>
      <w:r w:rsidR="00A53FBB">
        <w:t>T</w:t>
      </w:r>
      <w:r w:rsidR="00CC3270">
        <w:t>he two streams differ for the temperature set equal to 32 °C and -87 °C, respectively, in the conventional and low-temperature case study</w:t>
      </w:r>
      <w:r w:rsidR="002200FA">
        <w:t xml:space="preserve"> (Table 2)</w:t>
      </w:r>
      <w:r w:rsidR="00CC3270">
        <w:t xml:space="preserve">. Moreover, </w:t>
      </w:r>
      <w:r w:rsidR="00DC3360">
        <w:t>a pressure of 50 bar and 40 bar</w:t>
      </w:r>
      <w:r w:rsidR="00CC3270">
        <w:t xml:space="preserve"> has been considered in each case</w:t>
      </w:r>
      <w:r w:rsidR="00DC3360">
        <w:t xml:space="preserve"> (Table 2)</w:t>
      </w:r>
      <w:r w:rsidR="00CC3270">
        <w:t>, taking into account the typical operating conditions of the upstream AGR unit.</w:t>
      </w:r>
      <w:r w:rsidR="00A53FBB">
        <w:t xml:space="preserve"> </w:t>
      </w:r>
      <w:r w:rsidR="00C66C87">
        <w:rPr>
          <w:lang w:val="en-GB"/>
        </w:rPr>
        <w:t>A mass flow</w:t>
      </w:r>
      <w:r>
        <w:rPr>
          <w:lang w:val="en-GB"/>
        </w:rPr>
        <w:t xml:space="preserve">rate of 1 kg/h has been considered for the NG stream entering the liquefaction unit so that the resulting </w:t>
      </w:r>
      <w:r w:rsidR="00C66C87">
        <w:rPr>
          <w:lang w:val="en-GB"/>
        </w:rPr>
        <w:t>compression power for unit flow</w:t>
      </w:r>
      <w:r>
        <w:rPr>
          <w:lang w:val="en-GB"/>
        </w:rPr>
        <w:t>rate corresponds to the specific power required for N</w:t>
      </w:r>
      <w:r w:rsidR="00DD09A5">
        <w:rPr>
          <w:lang w:val="en-GB"/>
        </w:rPr>
        <w:t>G</w:t>
      </w:r>
      <w:r>
        <w:rPr>
          <w:lang w:val="en-GB"/>
        </w:rPr>
        <w:t xml:space="preserve"> liquefaction.</w:t>
      </w:r>
      <w:r w:rsidR="00814312">
        <w:rPr>
          <w:lang w:val="en-GB"/>
        </w:rPr>
        <w:t xml:space="preserve"> The optimization effort in this study regards the SMR liquefaction technology: it has been selected since it is the simplest one and was believed to be suitable for beginning the analysis that represents the scope of this work. The sch</w:t>
      </w:r>
      <w:r w:rsidR="00BE43D1">
        <w:rPr>
          <w:lang w:val="en-GB"/>
        </w:rPr>
        <w:t>eme is illustrated in Figure 1.</w:t>
      </w:r>
    </w:p>
    <w:p w14:paraId="553FA8A3" w14:textId="72099A23" w:rsidR="00CC21B7" w:rsidRDefault="00BE43D1" w:rsidP="004D0476">
      <w:pPr>
        <w:pStyle w:val="CETBodytext"/>
        <w:rPr>
          <w:lang w:val="en-GB"/>
        </w:rPr>
      </w:pPr>
      <w:r>
        <w:rPr>
          <w:lang w:val="en-GB"/>
        </w:rPr>
        <w:t>The SMR liquefaction process employs a single cycle with a mixture of N</w:t>
      </w:r>
      <w:r w:rsidRPr="009D7AEA">
        <w:rPr>
          <w:vertAlign w:val="subscript"/>
          <w:lang w:val="en-GB"/>
        </w:rPr>
        <w:t>2</w:t>
      </w:r>
      <w:r>
        <w:rPr>
          <w:lang w:val="en-GB"/>
        </w:rPr>
        <w:t xml:space="preserve"> and hydrocarbons (typically, methane, ethane and propane) as refrigerant. Like all systems that use a mixture of refrigerant components and, thus, can be tailored to the specific application, it is considered as the most flexible of all the liquefaction systems. Indeed, the refrigerant can easily be adjusted for changes in feed conditions while the plant is in operation, contrarily to other liquefaction processes that make use of pure refrigerants and can only alter its flowrate. Moreover, the use of a mixture of refrigerant components allows obtaining a better match between the warming and cooling curves, increasing the cycle efficiency.</w:t>
      </w:r>
      <w:r w:rsidR="00D118DE">
        <w:rPr>
          <w:lang w:val="en-GB"/>
        </w:rPr>
        <w:t xml:space="preserve"> The SMR process involves a reverse Rankine cycle, in which the refrigerant passes through some basic steps. As shown in Figure 1, the MR undergoes an inter-refrigerated compression train (4 stages) used to rise its pressure from 1.3 bar to the maximum pressure reached in the process. </w:t>
      </w:r>
      <w:r w:rsidR="00D118DE" w:rsidRPr="00DB72F4">
        <w:rPr>
          <w:lang w:val="en-GB"/>
        </w:rPr>
        <w:t>Then, it is partially condensed, prior to entering the main cryogenic heat exchanger (MCHE).</w:t>
      </w:r>
      <w:r w:rsidR="00431F8B">
        <w:rPr>
          <w:lang w:val="en-GB"/>
        </w:rPr>
        <w:t xml:space="preserve"> The MCHE</w:t>
      </w:r>
      <w:r w:rsidR="00431F8B" w:rsidRPr="00DB72F4">
        <w:rPr>
          <w:lang w:val="en-GB"/>
        </w:rPr>
        <w:t xml:space="preserve"> represents the heart of the process and it is where refrigeration and liquefaction of NG take place. In </w:t>
      </w:r>
      <w:r w:rsidR="00431F8B">
        <w:rPr>
          <w:lang w:val="en-GB"/>
        </w:rPr>
        <w:t>it</w:t>
      </w:r>
      <w:r w:rsidR="00431F8B" w:rsidRPr="00DB72F4">
        <w:rPr>
          <w:lang w:val="en-GB"/>
        </w:rPr>
        <w:t>, the MR is totally condensed before being flashed across an expansion valve, which causes a further drop in its temperature. Refrigeration for condensing and sub-cooling the NG feed is provided by the vaporizing MR (cold fluid</w:t>
      </w:r>
      <w:r w:rsidR="00431F8B">
        <w:rPr>
          <w:lang w:val="en-GB"/>
        </w:rPr>
        <w:t>)</w:t>
      </w:r>
      <w:r w:rsidR="00431F8B" w:rsidRPr="00DB72F4">
        <w:rPr>
          <w:lang w:val="en-GB"/>
        </w:rPr>
        <w:t>, whic</w:t>
      </w:r>
      <w:r w:rsidR="00431F8B">
        <w:rPr>
          <w:lang w:val="en-GB"/>
        </w:rPr>
        <w:t xml:space="preserve">h is recovered to be </w:t>
      </w:r>
      <w:r w:rsidR="00431F8B" w:rsidRPr="00DB72F4">
        <w:rPr>
          <w:lang w:val="en-GB"/>
        </w:rPr>
        <w:t>compressed again</w:t>
      </w:r>
      <w:r w:rsidR="00431F8B">
        <w:rPr>
          <w:lang w:val="en-GB"/>
        </w:rPr>
        <w:t xml:space="preserve"> (the stream “Out of MR from HE” has the same characteristics </w:t>
      </w:r>
      <w:r w:rsidR="00431F8B">
        <w:rPr>
          <w:lang w:val="en-GB"/>
        </w:rPr>
        <w:lastRenderedPageBreak/>
        <w:t>of the stream “In of MR Comp” entering the first compressor “MR Comp 1” in Figure 1, to close the MR cycle)</w:t>
      </w:r>
      <w:r w:rsidR="00431F8B" w:rsidRPr="00DB72F4">
        <w:rPr>
          <w:lang w:val="en-GB"/>
        </w:rPr>
        <w:t>.</w:t>
      </w:r>
      <w:r w:rsidR="00431F8B">
        <w:rPr>
          <w:lang w:val="en-GB"/>
        </w:rPr>
        <w:t xml:space="preserve"> Thus, the MCHE is a multi</w:t>
      </w:r>
      <w:r w:rsidR="00521825">
        <w:rPr>
          <w:lang w:val="en-GB"/>
        </w:rPr>
        <w:t>-</w:t>
      </w:r>
      <w:r w:rsidR="00431F8B">
        <w:rPr>
          <w:lang w:val="en-GB"/>
        </w:rPr>
        <w:t>stream heat exchanger, with two hot streams (the warm MR and NG) and one cold stream (the cold MR).</w:t>
      </w:r>
    </w:p>
    <w:p w14:paraId="2D23E8DC" w14:textId="5D38C09B" w:rsidR="001D7129" w:rsidRPr="00B57B36" w:rsidRDefault="001D7129" w:rsidP="004D0476">
      <w:pPr>
        <w:pStyle w:val="CETTabletitle"/>
      </w:pPr>
      <w:r w:rsidRPr="00B57B36">
        <w:t xml:space="preserve">Table </w:t>
      </w:r>
      <w:r>
        <w:t>2</w:t>
      </w:r>
      <w:r w:rsidRPr="00B57B36">
        <w:t xml:space="preserve">: </w:t>
      </w:r>
      <w:r>
        <w:t>Composition and conditions of the NG stream entering the liquefaction unit</w:t>
      </w:r>
      <w:r w:rsidR="00763EBA">
        <w:t xml:space="preserve"> for the two case studies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38"/>
        <w:gridCol w:w="1361"/>
        <w:gridCol w:w="1871"/>
      </w:tblGrid>
      <w:tr w:rsidR="001D7129" w:rsidRPr="00B57B36" w14:paraId="47A914EF" w14:textId="77777777" w:rsidTr="001D7129">
        <w:tc>
          <w:tcPr>
            <w:tcW w:w="2438" w:type="dxa"/>
            <w:tcBorders>
              <w:top w:val="single" w:sz="12" w:space="0" w:color="008000"/>
              <w:bottom w:val="single" w:sz="6" w:space="0" w:color="008000"/>
            </w:tcBorders>
            <w:shd w:val="clear" w:color="auto" w:fill="FFFFFF"/>
          </w:tcPr>
          <w:p w14:paraId="55A917BD" w14:textId="0FC8C395" w:rsidR="001D7129" w:rsidRPr="00CC3270" w:rsidRDefault="001D7129" w:rsidP="004D0476">
            <w:pPr>
              <w:pStyle w:val="CETBodytext"/>
              <w:keepNext/>
              <w:rPr>
                <w:lang w:val="en-GB"/>
              </w:rPr>
            </w:pPr>
          </w:p>
        </w:tc>
        <w:tc>
          <w:tcPr>
            <w:tcW w:w="1361" w:type="dxa"/>
            <w:tcBorders>
              <w:top w:val="single" w:sz="12" w:space="0" w:color="008000"/>
              <w:bottom w:val="single" w:sz="6" w:space="0" w:color="008000"/>
            </w:tcBorders>
            <w:shd w:val="clear" w:color="auto" w:fill="FFFFFF"/>
            <w:vAlign w:val="center"/>
          </w:tcPr>
          <w:p w14:paraId="53008301" w14:textId="6807777C" w:rsidR="001D7129" w:rsidRPr="00CC3270" w:rsidRDefault="001D7129" w:rsidP="004D0476">
            <w:pPr>
              <w:pStyle w:val="CETBodytext"/>
              <w:keepNext/>
              <w:jc w:val="left"/>
              <w:rPr>
                <w:lang w:val="en-GB"/>
              </w:rPr>
            </w:pPr>
            <w:r w:rsidRPr="00CC3270">
              <w:rPr>
                <w:lang w:val="en-GB"/>
              </w:rPr>
              <w:t>Conventional</w:t>
            </w:r>
          </w:p>
        </w:tc>
        <w:tc>
          <w:tcPr>
            <w:tcW w:w="1871" w:type="dxa"/>
            <w:tcBorders>
              <w:top w:val="single" w:sz="12" w:space="0" w:color="008000"/>
              <w:bottom w:val="single" w:sz="6" w:space="0" w:color="008000"/>
            </w:tcBorders>
            <w:shd w:val="clear" w:color="auto" w:fill="FFFFFF"/>
            <w:vAlign w:val="center"/>
          </w:tcPr>
          <w:p w14:paraId="55AE92EE" w14:textId="3BE854DB" w:rsidR="001D7129" w:rsidRPr="00CC3270" w:rsidRDefault="00CC3270" w:rsidP="004D0476">
            <w:pPr>
              <w:pStyle w:val="CETBodytext"/>
              <w:keepNext/>
              <w:jc w:val="left"/>
              <w:rPr>
                <w:lang w:val="en-GB"/>
              </w:rPr>
            </w:pPr>
            <w:r>
              <w:rPr>
                <w:lang w:val="en-GB"/>
              </w:rPr>
              <w:t>Low-temperature</w:t>
            </w:r>
          </w:p>
        </w:tc>
      </w:tr>
      <w:tr w:rsidR="001D7129" w:rsidRPr="00B57B36" w14:paraId="796E200D" w14:textId="77777777" w:rsidTr="001D7129">
        <w:tc>
          <w:tcPr>
            <w:tcW w:w="2438" w:type="dxa"/>
            <w:shd w:val="clear" w:color="auto" w:fill="FFFFFF"/>
          </w:tcPr>
          <w:p w14:paraId="3C94F40F" w14:textId="74DDCCC8" w:rsidR="001D7129" w:rsidRPr="00CC3270" w:rsidRDefault="001D7129" w:rsidP="004D0476">
            <w:pPr>
              <w:pStyle w:val="CETBodytext"/>
              <w:keepNext/>
              <w:rPr>
                <w:lang w:val="en-GB"/>
              </w:rPr>
            </w:pPr>
            <w:r w:rsidRPr="00CC3270">
              <w:rPr>
                <w:lang w:val="en-GB"/>
              </w:rPr>
              <w:t>Temperature, °C</w:t>
            </w:r>
          </w:p>
        </w:tc>
        <w:tc>
          <w:tcPr>
            <w:tcW w:w="1361" w:type="dxa"/>
            <w:shd w:val="clear" w:color="auto" w:fill="FFFFFF"/>
            <w:vAlign w:val="center"/>
          </w:tcPr>
          <w:p w14:paraId="3963B81E" w14:textId="58FA6787" w:rsidR="001D7129" w:rsidRPr="00CC3270" w:rsidRDefault="001D7129" w:rsidP="004D0476">
            <w:pPr>
              <w:pStyle w:val="CETBodytext"/>
              <w:keepNext/>
              <w:jc w:val="left"/>
              <w:rPr>
                <w:lang w:val="en-GB"/>
              </w:rPr>
            </w:pPr>
            <w:r w:rsidRPr="00CC3270">
              <w:rPr>
                <w:lang w:val="en-GB"/>
              </w:rPr>
              <w:t>32</w:t>
            </w:r>
          </w:p>
        </w:tc>
        <w:tc>
          <w:tcPr>
            <w:tcW w:w="1871" w:type="dxa"/>
            <w:shd w:val="clear" w:color="auto" w:fill="FFFFFF"/>
            <w:vAlign w:val="center"/>
          </w:tcPr>
          <w:p w14:paraId="419B3A7A" w14:textId="15DF92CB" w:rsidR="001D7129" w:rsidRPr="00CC3270" w:rsidRDefault="001D7129" w:rsidP="004D0476">
            <w:pPr>
              <w:pStyle w:val="CETBodytext"/>
              <w:keepNext/>
              <w:jc w:val="left"/>
              <w:rPr>
                <w:lang w:val="en-GB"/>
              </w:rPr>
            </w:pPr>
            <w:r w:rsidRPr="00CC3270">
              <w:rPr>
                <w:lang w:val="en-GB"/>
              </w:rPr>
              <w:t>-87</w:t>
            </w:r>
          </w:p>
        </w:tc>
      </w:tr>
      <w:tr w:rsidR="001D7129" w:rsidRPr="00B57B36" w14:paraId="6B18777C" w14:textId="77777777" w:rsidTr="001D7129">
        <w:tc>
          <w:tcPr>
            <w:tcW w:w="2438" w:type="dxa"/>
            <w:shd w:val="clear" w:color="auto" w:fill="FFFFFF"/>
          </w:tcPr>
          <w:p w14:paraId="10D091BB" w14:textId="6C982F85" w:rsidR="001D7129" w:rsidRPr="00CC3270" w:rsidRDefault="001D7129" w:rsidP="004D0476">
            <w:pPr>
              <w:pStyle w:val="CETBodytext"/>
              <w:keepNext/>
              <w:rPr>
                <w:lang w:val="en-GB"/>
              </w:rPr>
            </w:pPr>
            <w:r w:rsidRPr="00CC3270">
              <w:rPr>
                <w:lang w:val="en-GB"/>
              </w:rPr>
              <w:t>Pressure, bar</w:t>
            </w:r>
          </w:p>
        </w:tc>
        <w:tc>
          <w:tcPr>
            <w:tcW w:w="1361" w:type="dxa"/>
            <w:shd w:val="clear" w:color="auto" w:fill="FFFFFF"/>
            <w:vAlign w:val="center"/>
          </w:tcPr>
          <w:p w14:paraId="2C7361EA" w14:textId="2093D599" w:rsidR="001D7129" w:rsidRPr="00CC3270" w:rsidRDefault="00B06A65" w:rsidP="004D0476">
            <w:pPr>
              <w:pStyle w:val="CETBodytext"/>
              <w:keepNext/>
              <w:jc w:val="left"/>
              <w:rPr>
                <w:lang w:val="en-GB"/>
              </w:rPr>
            </w:pPr>
            <w:r w:rsidRPr="00CC3270">
              <w:rPr>
                <w:lang w:val="en-GB"/>
              </w:rPr>
              <w:t>50</w:t>
            </w:r>
          </w:p>
        </w:tc>
        <w:tc>
          <w:tcPr>
            <w:tcW w:w="1871" w:type="dxa"/>
            <w:shd w:val="clear" w:color="auto" w:fill="FFFFFF"/>
            <w:vAlign w:val="center"/>
          </w:tcPr>
          <w:p w14:paraId="61802393" w14:textId="2CE13D4F" w:rsidR="001D7129" w:rsidRPr="00CC3270" w:rsidRDefault="0087724F" w:rsidP="004D0476">
            <w:pPr>
              <w:pStyle w:val="CETBodytext"/>
              <w:keepNext/>
              <w:jc w:val="left"/>
              <w:rPr>
                <w:lang w:val="en-GB"/>
              </w:rPr>
            </w:pPr>
            <w:r w:rsidRPr="00CC3270">
              <w:rPr>
                <w:lang w:val="en-GB"/>
              </w:rPr>
              <w:t>40</w:t>
            </w:r>
          </w:p>
        </w:tc>
      </w:tr>
      <w:tr w:rsidR="001D7129" w:rsidRPr="00B57B36" w14:paraId="600E38CA" w14:textId="77777777" w:rsidTr="001D7129">
        <w:tc>
          <w:tcPr>
            <w:tcW w:w="2438" w:type="dxa"/>
            <w:shd w:val="clear" w:color="auto" w:fill="FFFFFF"/>
          </w:tcPr>
          <w:p w14:paraId="24ACAF48" w14:textId="1EB927C4" w:rsidR="001D7129" w:rsidRPr="00CC3270" w:rsidRDefault="00070098" w:rsidP="004D0476">
            <w:pPr>
              <w:pStyle w:val="CETBodytext"/>
              <w:keepNext/>
              <w:rPr>
                <w:lang w:val="en-GB"/>
              </w:rPr>
            </w:pPr>
            <w:r w:rsidRPr="00CC3270">
              <w:rPr>
                <w:lang w:val="en-GB"/>
              </w:rPr>
              <w:t>Mass</w:t>
            </w:r>
            <w:r w:rsidR="001D7129" w:rsidRPr="00CC3270">
              <w:rPr>
                <w:lang w:val="en-GB"/>
              </w:rPr>
              <w:t xml:space="preserve"> flowrate, k</w:t>
            </w:r>
            <w:r w:rsidRPr="00CC3270">
              <w:rPr>
                <w:lang w:val="en-GB"/>
              </w:rPr>
              <w:t>g</w:t>
            </w:r>
            <w:r w:rsidR="001D7129" w:rsidRPr="00CC3270">
              <w:rPr>
                <w:lang w:val="en-GB"/>
              </w:rPr>
              <w:t>/h</w:t>
            </w:r>
          </w:p>
        </w:tc>
        <w:tc>
          <w:tcPr>
            <w:tcW w:w="1361" w:type="dxa"/>
            <w:shd w:val="clear" w:color="auto" w:fill="FFFFFF"/>
            <w:vAlign w:val="center"/>
          </w:tcPr>
          <w:p w14:paraId="0FCD31E7" w14:textId="75C4DC19" w:rsidR="001D7129" w:rsidRPr="00CC3270" w:rsidRDefault="001D7129" w:rsidP="004D0476">
            <w:pPr>
              <w:pStyle w:val="CETBodytext"/>
              <w:keepNext/>
              <w:jc w:val="left"/>
              <w:rPr>
                <w:lang w:val="en-GB"/>
              </w:rPr>
            </w:pPr>
            <w:r w:rsidRPr="00CC3270">
              <w:rPr>
                <w:lang w:val="en-GB"/>
              </w:rPr>
              <w:t>1</w:t>
            </w:r>
          </w:p>
        </w:tc>
        <w:tc>
          <w:tcPr>
            <w:tcW w:w="1871" w:type="dxa"/>
            <w:shd w:val="clear" w:color="auto" w:fill="FFFFFF"/>
            <w:vAlign w:val="center"/>
          </w:tcPr>
          <w:p w14:paraId="4E002F1A" w14:textId="5C227CAF" w:rsidR="001D7129" w:rsidRPr="00CC3270" w:rsidRDefault="001D7129" w:rsidP="004D0476">
            <w:pPr>
              <w:pStyle w:val="CETBodytext"/>
              <w:keepNext/>
              <w:jc w:val="left"/>
              <w:rPr>
                <w:lang w:val="en-GB"/>
              </w:rPr>
            </w:pPr>
            <w:r w:rsidRPr="00CC3270">
              <w:rPr>
                <w:lang w:val="en-GB"/>
              </w:rPr>
              <w:t>1</w:t>
            </w:r>
          </w:p>
        </w:tc>
      </w:tr>
      <w:tr w:rsidR="001D7129" w:rsidRPr="00B57B36" w14:paraId="0B7B788C" w14:textId="77777777" w:rsidTr="001D7129">
        <w:tc>
          <w:tcPr>
            <w:tcW w:w="2438" w:type="dxa"/>
            <w:shd w:val="clear" w:color="auto" w:fill="FFFFFF"/>
          </w:tcPr>
          <w:p w14:paraId="1CA598CB" w14:textId="15C8F3FE" w:rsidR="001D7129" w:rsidRPr="00CC3270" w:rsidRDefault="00B06A65" w:rsidP="004D0476">
            <w:pPr>
              <w:pStyle w:val="CETBodytext"/>
              <w:keepNext/>
              <w:rPr>
                <w:lang w:val="en-GB"/>
              </w:rPr>
            </w:pPr>
            <w:r w:rsidRPr="00CC3270">
              <w:rPr>
                <w:lang w:val="en-GB"/>
              </w:rPr>
              <w:t>Composition, mol/mol</w:t>
            </w:r>
          </w:p>
        </w:tc>
        <w:tc>
          <w:tcPr>
            <w:tcW w:w="1361" w:type="dxa"/>
            <w:shd w:val="clear" w:color="auto" w:fill="FFFFFF"/>
            <w:vAlign w:val="center"/>
          </w:tcPr>
          <w:p w14:paraId="17E35D72" w14:textId="49B44E2C" w:rsidR="001D7129" w:rsidRPr="00CC3270" w:rsidRDefault="001D7129" w:rsidP="004D0476">
            <w:pPr>
              <w:pStyle w:val="CETBodytext"/>
              <w:keepNext/>
              <w:jc w:val="left"/>
              <w:rPr>
                <w:lang w:val="en-GB"/>
              </w:rPr>
            </w:pPr>
          </w:p>
        </w:tc>
        <w:tc>
          <w:tcPr>
            <w:tcW w:w="1871" w:type="dxa"/>
            <w:shd w:val="clear" w:color="auto" w:fill="FFFFFF"/>
            <w:vAlign w:val="center"/>
          </w:tcPr>
          <w:p w14:paraId="08848CA6" w14:textId="59451144" w:rsidR="001D7129" w:rsidRPr="00CC3270" w:rsidRDefault="001D7129" w:rsidP="004D0476">
            <w:pPr>
              <w:pStyle w:val="CETBodytext"/>
              <w:keepNext/>
              <w:jc w:val="left"/>
              <w:rPr>
                <w:lang w:val="en-GB"/>
              </w:rPr>
            </w:pPr>
          </w:p>
        </w:tc>
      </w:tr>
      <w:tr w:rsidR="00B06A65" w:rsidRPr="00B57B36" w14:paraId="23C6EC6E" w14:textId="77777777" w:rsidTr="001D7129">
        <w:tc>
          <w:tcPr>
            <w:tcW w:w="2438" w:type="dxa"/>
            <w:shd w:val="clear" w:color="auto" w:fill="FFFFFF"/>
          </w:tcPr>
          <w:p w14:paraId="405B42DA" w14:textId="3050F38F" w:rsidR="00B06A65" w:rsidRPr="00CC3270" w:rsidRDefault="00B06A65" w:rsidP="004D0476">
            <w:pPr>
              <w:pStyle w:val="CETBodytext"/>
              <w:keepNext/>
              <w:ind w:right="-1"/>
              <w:jc w:val="left"/>
              <w:rPr>
                <w:rFonts w:cs="Arial"/>
                <w:szCs w:val="18"/>
                <w:lang w:val="en-GB"/>
              </w:rPr>
            </w:pPr>
            <w:r w:rsidRPr="00CC3270">
              <w:rPr>
                <w:rFonts w:cs="Arial"/>
                <w:szCs w:val="18"/>
                <w:lang w:val="en-GB"/>
              </w:rPr>
              <w:t xml:space="preserve">    Methane</w:t>
            </w:r>
          </w:p>
        </w:tc>
        <w:tc>
          <w:tcPr>
            <w:tcW w:w="1361" w:type="dxa"/>
            <w:shd w:val="clear" w:color="auto" w:fill="FFFFFF"/>
            <w:vAlign w:val="center"/>
          </w:tcPr>
          <w:p w14:paraId="0820858F" w14:textId="2CA5F185" w:rsidR="00B06A65" w:rsidRPr="00CC3270" w:rsidRDefault="00CC3270" w:rsidP="004D0476">
            <w:pPr>
              <w:pStyle w:val="CETBodytext"/>
              <w:keepNext/>
              <w:ind w:right="-1"/>
              <w:jc w:val="left"/>
              <w:rPr>
                <w:rFonts w:cs="Arial"/>
                <w:szCs w:val="18"/>
                <w:lang w:val="en-GB"/>
              </w:rPr>
            </w:pPr>
            <w:r w:rsidRPr="00CC3270">
              <w:rPr>
                <w:rFonts w:cs="Arial"/>
                <w:szCs w:val="18"/>
                <w:lang w:val="en-GB"/>
              </w:rPr>
              <w:t>0.99995</w:t>
            </w:r>
          </w:p>
        </w:tc>
        <w:tc>
          <w:tcPr>
            <w:tcW w:w="1871" w:type="dxa"/>
            <w:shd w:val="clear" w:color="auto" w:fill="FFFFFF"/>
            <w:vAlign w:val="center"/>
          </w:tcPr>
          <w:p w14:paraId="62B062B0" w14:textId="79CEDCBB" w:rsidR="00B06A65" w:rsidRPr="00CC3270" w:rsidRDefault="00B06A65" w:rsidP="004D0476">
            <w:pPr>
              <w:pStyle w:val="CETBodytext"/>
              <w:keepNext/>
              <w:ind w:right="-1"/>
              <w:jc w:val="left"/>
              <w:rPr>
                <w:rFonts w:cs="Arial"/>
                <w:szCs w:val="18"/>
                <w:lang w:val="en-GB"/>
              </w:rPr>
            </w:pPr>
            <w:r w:rsidRPr="00CC3270">
              <w:rPr>
                <w:rFonts w:cs="Arial"/>
                <w:szCs w:val="18"/>
                <w:lang w:val="en-GB"/>
              </w:rPr>
              <w:t>0.99995</w:t>
            </w:r>
          </w:p>
        </w:tc>
      </w:tr>
      <w:tr w:rsidR="00B06A65" w:rsidRPr="00B57B36" w14:paraId="13322F2C" w14:textId="77777777" w:rsidTr="001D7129">
        <w:tc>
          <w:tcPr>
            <w:tcW w:w="2438" w:type="dxa"/>
            <w:shd w:val="clear" w:color="auto" w:fill="FFFFFF"/>
          </w:tcPr>
          <w:p w14:paraId="152719DF" w14:textId="15448815" w:rsidR="00B06A65" w:rsidRPr="00CC3270" w:rsidRDefault="00B06A65" w:rsidP="00B06A65">
            <w:pPr>
              <w:pStyle w:val="CETBodytext"/>
              <w:ind w:right="-1"/>
              <w:jc w:val="left"/>
              <w:rPr>
                <w:rFonts w:cs="Arial"/>
                <w:szCs w:val="18"/>
                <w:lang w:val="en-GB"/>
              </w:rPr>
            </w:pPr>
            <w:r w:rsidRPr="00CC3270">
              <w:rPr>
                <w:rFonts w:cs="Arial"/>
                <w:szCs w:val="18"/>
                <w:lang w:val="en-GB"/>
              </w:rPr>
              <w:t xml:space="preserve">    CO</w:t>
            </w:r>
            <w:r w:rsidRPr="00CC3270">
              <w:rPr>
                <w:rFonts w:cs="Arial"/>
                <w:szCs w:val="18"/>
                <w:vertAlign w:val="subscript"/>
                <w:lang w:val="en-GB"/>
              </w:rPr>
              <w:t>2</w:t>
            </w:r>
          </w:p>
        </w:tc>
        <w:tc>
          <w:tcPr>
            <w:tcW w:w="1361" w:type="dxa"/>
            <w:shd w:val="clear" w:color="auto" w:fill="FFFFFF"/>
            <w:vAlign w:val="center"/>
          </w:tcPr>
          <w:p w14:paraId="181847F2" w14:textId="0F3B215B" w:rsidR="00B06A65" w:rsidRPr="00CC3270" w:rsidRDefault="006B0F7C" w:rsidP="00594A6F">
            <w:pPr>
              <w:pStyle w:val="CETBodytext"/>
              <w:ind w:right="-1"/>
              <w:jc w:val="left"/>
              <w:rPr>
                <w:rFonts w:cs="Arial"/>
                <w:szCs w:val="18"/>
                <w:lang w:val="en-GB"/>
              </w:rPr>
            </w:pPr>
            <w:r w:rsidRPr="00CC3270">
              <w:rPr>
                <w:rFonts w:cs="Arial"/>
                <w:szCs w:val="18"/>
                <w:lang w:val="en-GB"/>
              </w:rPr>
              <w:t>0.00005</w:t>
            </w:r>
          </w:p>
        </w:tc>
        <w:tc>
          <w:tcPr>
            <w:tcW w:w="1871" w:type="dxa"/>
            <w:shd w:val="clear" w:color="auto" w:fill="FFFFFF"/>
            <w:vAlign w:val="center"/>
          </w:tcPr>
          <w:p w14:paraId="768CD0C6" w14:textId="04C21C41" w:rsidR="00B06A65" w:rsidRPr="00CC3270" w:rsidRDefault="00B06A65" w:rsidP="00594A6F">
            <w:pPr>
              <w:pStyle w:val="CETBodytext"/>
              <w:ind w:right="-1"/>
              <w:jc w:val="left"/>
              <w:rPr>
                <w:rFonts w:cs="Arial"/>
                <w:szCs w:val="18"/>
                <w:lang w:val="en-GB"/>
              </w:rPr>
            </w:pPr>
            <w:r w:rsidRPr="00CC3270">
              <w:rPr>
                <w:rFonts w:cs="Arial"/>
                <w:szCs w:val="18"/>
                <w:lang w:val="en-GB"/>
              </w:rPr>
              <w:t>0.00005</w:t>
            </w:r>
          </w:p>
        </w:tc>
      </w:tr>
    </w:tbl>
    <w:p w14:paraId="5AAD853A" w14:textId="77777777" w:rsidR="001D7129" w:rsidRDefault="001D7129" w:rsidP="00600535">
      <w:pPr>
        <w:pStyle w:val="CETBodytext"/>
        <w:rPr>
          <w:lang w:val="en-GB"/>
        </w:rPr>
      </w:pPr>
    </w:p>
    <w:p w14:paraId="56DBCF41" w14:textId="74B21728" w:rsidR="00D45138" w:rsidRDefault="003C51A1" w:rsidP="00600535">
      <w:pPr>
        <w:pStyle w:val="CETBodytext"/>
        <w:rPr>
          <w:lang w:val="en-GB"/>
        </w:rPr>
      </w:pPr>
      <w:r>
        <w:rPr>
          <w:noProof/>
          <w:lang w:val="en-GB" w:eastAsia="en-GB"/>
        </w:rPr>
        <w:drawing>
          <wp:inline distT="0" distB="0" distL="0" distR="0" wp14:anchorId="6F2F528A" wp14:editId="1DD92BDB">
            <wp:extent cx="5579745" cy="1991360"/>
            <wp:effectExtent l="0" t="0" r="190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9745" cy="1991360"/>
                    </a:xfrm>
                    <a:prstGeom prst="rect">
                      <a:avLst/>
                    </a:prstGeom>
                  </pic:spPr>
                </pic:pic>
              </a:graphicData>
            </a:graphic>
          </wp:inline>
        </w:drawing>
      </w:r>
    </w:p>
    <w:p w14:paraId="386B4681" w14:textId="53FEFC70" w:rsidR="00D45138" w:rsidRDefault="00D45138" w:rsidP="00D45138">
      <w:pPr>
        <w:pStyle w:val="CETCaption"/>
      </w:pPr>
      <w:r w:rsidRPr="00B57B36">
        <w:t xml:space="preserve">Figure 1: </w:t>
      </w:r>
      <w:r>
        <w:t>Scheme of the SMR liquefaction process</w:t>
      </w:r>
    </w:p>
    <w:p w14:paraId="0CCA4178" w14:textId="3E390691" w:rsidR="006D3555" w:rsidRDefault="006D3555" w:rsidP="00600535">
      <w:pPr>
        <w:pStyle w:val="CETBodytext"/>
        <w:rPr>
          <w:lang w:val="en-GB"/>
        </w:rPr>
      </w:pPr>
      <w:r>
        <w:rPr>
          <w:lang w:val="en-GB"/>
        </w:rPr>
        <w:t xml:space="preserve">Considering the two case studies investigated in this work, the composition and </w:t>
      </w:r>
      <w:r w:rsidR="00AE187D">
        <w:rPr>
          <w:lang w:val="en-GB"/>
        </w:rPr>
        <w:t xml:space="preserve">the </w:t>
      </w:r>
      <w:r w:rsidR="00C66C87">
        <w:rPr>
          <w:lang w:val="en-GB"/>
        </w:rPr>
        <w:t>flow</w:t>
      </w:r>
      <w:r>
        <w:rPr>
          <w:lang w:val="en-GB"/>
        </w:rPr>
        <w:t>rate of the MR have been optimized in order to minimize the power required</w:t>
      </w:r>
      <w:r w:rsidR="00DC3360">
        <w:rPr>
          <w:lang w:val="en-GB"/>
        </w:rPr>
        <w:t xml:space="preserve"> for compression, while guarantee</w:t>
      </w:r>
      <w:r>
        <w:rPr>
          <w:lang w:val="en-GB"/>
        </w:rPr>
        <w:t>ing there is no temperature cross in the MC</w:t>
      </w:r>
      <w:r w:rsidR="00DA2BD5">
        <w:rPr>
          <w:lang w:val="en-GB"/>
        </w:rPr>
        <w:t>HE. To avoid that, the minimum</w:t>
      </w:r>
      <w:r>
        <w:rPr>
          <w:lang w:val="en-GB"/>
        </w:rPr>
        <w:t xml:space="preserve"> approach</w:t>
      </w:r>
      <w:r w:rsidR="00DA2BD5">
        <w:rPr>
          <w:lang w:val="en-GB"/>
        </w:rPr>
        <w:t xml:space="preserve"> temperature (MAT</w:t>
      </w:r>
      <w:r>
        <w:rPr>
          <w:lang w:val="en-GB"/>
        </w:rPr>
        <w:t xml:space="preserve">) has been </w:t>
      </w:r>
      <w:r w:rsidR="00657586">
        <w:rPr>
          <w:lang w:val="en-GB"/>
        </w:rPr>
        <w:t xml:space="preserve">considered to be the design constraint for the process and </w:t>
      </w:r>
      <w:r>
        <w:rPr>
          <w:lang w:val="en-GB"/>
        </w:rPr>
        <w:t>set at 3°C, a</w:t>
      </w:r>
      <w:r w:rsidR="00E54F9A">
        <w:rPr>
          <w:lang w:val="en-GB"/>
        </w:rPr>
        <w:t>s recommended in the literatu</w:t>
      </w:r>
      <w:r w:rsidR="00E54F9A" w:rsidRPr="000B4796">
        <w:rPr>
          <w:lang w:val="en-GB"/>
        </w:rPr>
        <w:t>re (Khan et al., 201</w:t>
      </w:r>
      <w:r w:rsidR="00067242" w:rsidRPr="000B4796">
        <w:rPr>
          <w:lang w:val="en-GB"/>
        </w:rPr>
        <w:t>3</w:t>
      </w:r>
      <w:r w:rsidR="00E54F9A" w:rsidRPr="000B4796">
        <w:rPr>
          <w:lang w:val="en-GB"/>
        </w:rPr>
        <w:t>) fo</w:t>
      </w:r>
      <w:r w:rsidR="00E54F9A">
        <w:rPr>
          <w:lang w:val="en-GB"/>
        </w:rPr>
        <w:t>r low-temperature/cryogenic applications. To set-up the simulation, the pressure at the outlet of eac</w:t>
      </w:r>
      <w:r w:rsidR="00657586">
        <w:rPr>
          <w:lang w:val="en-GB"/>
        </w:rPr>
        <w:t>h compressor has been spec</w:t>
      </w:r>
      <w:r w:rsidR="00657586" w:rsidRPr="00932A20">
        <w:rPr>
          <w:lang w:val="en-GB"/>
        </w:rPr>
        <w:t>ified</w:t>
      </w:r>
      <w:r w:rsidR="00E54F9A" w:rsidRPr="00932A20">
        <w:rPr>
          <w:lang w:val="en-GB"/>
        </w:rPr>
        <w:t xml:space="preserve"> at</w:t>
      </w:r>
      <w:r w:rsidR="00657586" w:rsidRPr="00932A20">
        <w:rPr>
          <w:lang w:val="en-GB"/>
        </w:rPr>
        <w:t xml:space="preserve"> (Khan et al., 2015)</w:t>
      </w:r>
      <w:r w:rsidR="00E54F9A" w:rsidRPr="00932A20">
        <w:rPr>
          <w:lang w:val="en-GB"/>
        </w:rPr>
        <w:t>: 3.2</w:t>
      </w:r>
      <w:r w:rsidR="00E54F9A">
        <w:rPr>
          <w:lang w:val="en-GB"/>
        </w:rPr>
        <w:t>05, 7.899, 19.47, and 48 bar. The temperature at the outlet of each inter-c</w:t>
      </w:r>
      <w:r w:rsidR="002F0760">
        <w:rPr>
          <w:lang w:val="en-GB"/>
        </w:rPr>
        <w:t xml:space="preserve">ooler has been fixed at 40 °C. </w:t>
      </w:r>
      <w:r w:rsidR="00E72008">
        <w:rPr>
          <w:lang w:val="en-GB"/>
        </w:rPr>
        <w:t xml:space="preserve">Based on </w:t>
      </w:r>
      <w:r w:rsidR="00006920">
        <w:rPr>
          <w:lang w:val="en-GB"/>
        </w:rPr>
        <w:t xml:space="preserve">some </w:t>
      </w:r>
      <w:r w:rsidR="00E72008">
        <w:rPr>
          <w:lang w:val="en-GB"/>
        </w:rPr>
        <w:t>information available in the literature, t</w:t>
      </w:r>
      <w:r w:rsidR="00BD0BB6">
        <w:rPr>
          <w:lang w:val="en-GB"/>
        </w:rPr>
        <w:t>he temperature</w:t>
      </w:r>
      <w:r w:rsidR="00E54F9A">
        <w:rPr>
          <w:lang w:val="en-GB"/>
        </w:rPr>
        <w:t xml:space="preserve"> and</w:t>
      </w:r>
      <w:r w:rsidR="00BD0BB6">
        <w:rPr>
          <w:lang w:val="en-GB"/>
        </w:rPr>
        <w:t xml:space="preserve"> pressure</w:t>
      </w:r>
      <w:r w:rsidR="00E54F9A">
        <w:rPr>
          <w:lang w:val="en-GB"/>
        </w:rPr>
        <w:t xml:space="preserve"> of the </w:t>
      </w:r>
      <w:r w:rsidR="00AE187D">
        <w:rPr>
          <w:lang w:val="en-GB"/>
        </w:rPr>
        <w:t>MR</w:t>
      </w:r>
      <w:r w:rsidR="00093FBE">
        <w:rPr>
          <w:lang w:val="en-GB"/>
        </w:rPr>
        <w:t xml:space="preserve"> </w:t>
      </w:r>
      <w:r w:rsidR="00E54F9A">
        <w:rPr>
          <w:lang w:val="en-GB"/>
        </w:rPr>
        <w:t>stream exiting the valve</w:t>
      </w:r>
      <w:r w:rsidR="00017B60">
        <w:rPr>
          <w:lang w:val="en-GB"/>
        </w:rPr>
        <w:t xml:space="preserve"> (</w:t>
      </w:r>
      <w:r w:rsidR="00C07958">
        <w:rPr>
          <w:lang w:val="en-GB"/>
        </w:rPr>
        <w:t>“</w:t>
      </w:r>
      <w:r w:rsidR="00017B60">
        <w:rPr>
          <w:lang w:val="en-GB"/>
        </w:rPr>
        <w:t>MR Exp Vlv</w:t>
      </w:r>
      <w:r w:rsidR="00C07958">
        <w:rPr>
          <w:lang w:val="en-GB"/>
        </w:rPr>
        <w:t>”</w:t>
      </w:r>
      <w:r w:rsidR="00017B60">
        <w:rPr>
          <w:lang w:val="en-GB"/>
        </w:rPr>
        <w:t>)</w:t>
      </w:r>
      <w:r w:rsidR="00E54F9A">
        <w:rPr>
          <w:lang w:val="en-GB"/>
        </w:rPr>
        <w:t xml:space="preserve"> have been</w:t>
      </w:r>
      <w:r w:rsidR="005C7986">
        <w:rPr>
          <w:lang w:val="en-GB"/>
        </w:rPr>
        <w:t xml:space="preserve"> </w:t>
      </w:r>
      <w:r w:rsidR="00E54F9A">
        <w:rPr>
          <w:lang w:val="en-GB"/>
        </w:rPr>
        <w:t>specifie</w:t>
      </w:r>
      <w:r w:rsidR="00E54F9A" w:rsidRPr="00BD0BB6">
        <w:rPr>
          <w:lang w:val="en-GB"/>
        </w:rPr>
        <w:t>d</w:t>
      </w:r>
      <w:r w:rsidR="005C7986">
        <w:rPr>
          <w:lang w:val="en-GB"/>
        </w:rPr>
        <w:t>, respectively,</w:t>
      </w:r>
      <w:r w:rsidR="00E54F9A" w:rsidRPr="00BD0BB6">
        <w:rPr>
          <w:lang w:val="en-GB"/>
        </w:rPr>
        <w:t xml:space="preserve"> at -1</w:t>
      </w:r>
      <w:r w:rsidR="00BD0BB6" w:rsidRPr="00BD0BB6">
        <w:rPr>
          <w:lang w:val="en-GB"/>
        </w:rPr>
        <w:t>55</w:t>
      </w:r>
      <w:r w:rsidR="00093FBE">
        <w:rPr>
          <w:lang w:val="en-GB"/>
        </w:rPr>
        <w:t xml:space="preserve"> </w:t>
      </w:r>
      <w:r w:rsidR="00E54F9A" w:rsidRPr="00BD0BB6">
        <w:rPr>
          <w:lang w:val="en-GB"/>
        </w:rPr>
        <w:t>°C and 2.</w:t>
      </w:r>
      <w:r w:rsidR="00E54F9A">
        <w:rPr>
          <w:lang w:val="en-GB"/>
        </w:rPr>
        <w:t>3 b</w:t>
      </w:r>
      <w:r w:rsidR="00E54F9A" w:rsidRPr="002C7FA6">
        <w:rPr>
          <w:lang w:val="en-GB"/>
        </w:rPr>
        <w:t>ar</w:t>
      </w:r>
      <w:r w:rsidR="001A48D7" w:rsidRPr="002C7FA6">
        <w:rPr>
          <w:lang w:val="en-GB"/>
        </w:rPr>
        <w:t xml:space="preserve"> (the temperature difference the MR as hot fluid experiences in the MCHE is of about </w:t>
      </w:r>
      <w:r w:rsidR="00006920">
        <w:rPr>
          <w:lang w:val="en-GB"/>
        </w:rPr>
        <w:t xml:space="preserve">  </w:t>
      </w:r>
      <w:r w:rsidR="001A48D7" w:rsidRPr="002C7FA6">
        <w:rPr>
          <w:lang w:val="en-GB"/>
        </w:rPr>
        <w:t>190 °C</w:t>
      </w:r>
      <w:r w:rsidR="00F0051D">
        <w:rPr>
          <w:lang w:val="en-GB"/>
        </w:rPr>
        <w:t xml:space="preserve"> in both cases</w:t>
      </w:r>
      <w:r w:rsidR="002A7DEE">
        <w:rPr>
          <w:lang w:val="en-GB"/>
        </w:rPr>
        <w:t>)</w:t>
      </w:r>
      <w:r w:rsidR="00E54F9A" w:rsidRPr="002C7FA6">
        <w:rPr>
          <w:lang w:val="en-GB"/>
        </w:rPr>
        <w:t>. On the NG side,</w:t>
      </w:r>
      <w:r w:rsidR="00E54F9A">
        <w:rPr>
          <w:lang w:val="en-GB"/>
        </w:rPr>
        <w:t xml:space="preserve"> the inlet stream is completely specified (according to the information reported in Table 2). Moreover, the </w:t>
      </w:r>
      <w:r w:rsidR="00BD0BB6">
        <w:rPr>
          <w:lang w:val="en-GB"/>
        </w:rPr>
        <w:t>temperature</w:t>
      </w:r>
      <w:r w:rsidR="00E54F9A">
        <w:rPr>
          <w:lang w:val="en-GB"/>
        </w:rPr>
        <w:t xml:space="preserve"> at which it is cooled dow</w:t>
      </w:r>
      <w:r w:rsidR="005A52FF">
        <w:rPr>
          <w:lang w:val="en-GB"/>
        </w:rPr>
        <w:t>n has been fixed at -149.5 °C</w:t>
      </w:r>
      <w:r w:rsidR="00C07958">
        <w:rPr>
          <w:lang w:val="en-GB"/>
        </w:rPr>
        <w:t xml:space="preserve"> and, t</w:t>
      </w:r>
      <w:r w:rsidR="00E54F9A">
        <w:rPr>
          <w:lang w:val="en-GB"/>
        </w:rPr>
        <w:t>hen, it is depressurized to 1.21 bar</w:t>
      </w:r>
      <w:r w:rsidR="00C07958">
        <w:rPr>
          <w:lang w:val="en-GB"/>
        </w:rPr>
        <w:t xml:space="preserve"> </w:t>
      </w:r>
      <w:r w:rsidR="00C07958" w:rsidRPr="00932A20">
        <w:rPr>
          <w:lang w:val="en-GB"/>
        </w:rPr>
        <w:t>(Khan et al., 2015)</w:t>
      </w:r>
      <w:r w:rsidR="00E54F9A">
        <w:rPr>
          <w:lang w:val="en-GB"/>
        </w:rPr>
        <w:t>.</w:t>
      </w:r>
      <w:r w:rsidR="005A52FF">
        <w:rPr>
          <w:lang w:val="en-GB"/>
        </w:rPr>
        <w:t xml:space="preserve"> Pressure drops have been neglected in the inter-coolers, whereas they have been assumed to be equal to 1 bar at each side of the MCHE.</w:t>
      </w:r>
    </w:p>
    <w:p w14:paraId="1BF63ACA" w14:textId="57818437" w:rsidR="005A52FF" w:rsidRPr="005A52FF" w:rsidRDefault="005A52FF" w:rsidP="004D0476">
      <w:pPr>
        <w:pStyle w:val="CETheadingx"/>
      </w:pPr>
      <w:r w:rsidRPr="005A52FF">
        <w:t>Procedure</w:t>
      </w:r>
    </w:p>
    <w:p w14:paraId="0B809A7F" w14:textId="2524D1EE" w:rsidR="00DF10B6" w:rsidRDefault="005A52FF" w:rsidP="00600535">
      <w:pPr>
        <w:pStyle w:val="CETBodytext"/>
        <w:rPr>
          <w:lang w:val="en-GB"/>
        </w:rPr>
      </w:pPr>
      <w:r>
        <w:rPr>
          <w:lang w:val="en-GB"/>
        </w:rPr>
        <w:t xml:space="preserve">The analysis has been carried out by simulating the process schemes in </w:t>
      </w:r>
      <w:r w:rsidR="00530E35">
        <w:rPr>
          <w:lang w:val="en-GB"/>
        </w:rPr>
        <w:t>A</w:t>
      </w:r>
      <w:r w:rsidRPr="000B4796">
        <w:rPr>
          <w:lang w:val="en-GB"/>
        </w:rPr>
        <w:t xml:space="preserve">spen </w:t>
      </w:r>
      <w:r w:rsidR="00530E35" w:rsidRPr="000B4796">
        <w:rPr>
          <w:lang w:val="en-GB"/>
        </w:rPr>
        <w:t>H</w:t>
      </w:r>
      <w:r w:rsidRPr="000B4796">
        <w:rPr>
          <w:lang w:val="en-GB"/>
        </w:rPr>
        <w:t>ysys</w:t>
      </w:r>
      <w:r w:rsidRPr="000B4796">
        <w:rPr>
          <w:vertAlign w:val="superscript"/>
          <w:lang w:val="en-GB"/>
        </w:rPr>
        <w:t>®</w:t>
      </w:r>
      <w:r w:rsidRPr="000B4796">
        <w:rPr>
          <w:lang w:val="en-GB"/>
        </w:rPr>
        <w:t xml:space="preserve"> V9.0 (AspenTech, 201</w:t>
      </w:r>
      <w:r w:rsidRPr="00006920">
        <w:rPr>
          <w:lang w:val="en-GB"/>
        </w:rPr>
        <w:t>6)</w:t>
      </w:r>
      <w:r w:rsidR="00AB6FF7" w:rsidRPr="00006920">
        <w:rPr>
          <w:lang w:val="en-GB"/>
        </w:rPr>
        <w:t>, using the Peng-Robinson thermodynamic package.</w:t>
      </w:r>
      <w:r>
        <w:rPr>
          <w:lang w:val="en-GB"/>
        </w:rPr>
        <w:t xml:space="preserve"> </w:t>
      </w:r>
      <w:r w:rsidR="00975E02">
        <w:rPr>
          <w:lang w:val="en-GB"/>
        </w:rPr>
        <w:t>T</w:t>
      </w:r>
      <w:r>
        <w:rPr>
          <w:lang w:val="en-GB"/>
        </w:rPr>
        <w:t xml:space="preserve">he optimization has been managed </w:t>
      </w:r>
      <w:r w:rsidR="002A7DEE">
        <w:rPr>
          <w:lang w:val="en-GB"/>
        </w:rPr>
        <w:t>through</w:t>
      </w:r>
      <w:r>
        <w:rPr>
          <w:lang w:val="en-GB"/>
        </w:rPr>
        <w:t xml:space="preserve"> MATLAB</w:t>
      </w:r>
      <w:r w:rsidRPr="000B4796">
        <w:rPr>
          <w:vertAlign w:val="superscript"/>
          <w:lang w:val="en-GB"/>
        </w:rPr>
        <w:t>®</w:t>
      </w:r>
      <w:r w:rsidRPr="000B4796">
        <w:rPr>
          <w:lang w:val="en-GB"/>
        </w:rPr>
        <w:t xml:space="preserve"> (MathWorks Inc., 2018)</w:t>
      </w:r>
      <w:r w:rsidR="002F2731" w:rsidRPr="000B4796">
        <w:rPr>
          <w:lang w:val="en-GB"/>
        </w:rPr>
        <w:t>, conn</w:t>
      </w:r>
      <w:r w:rsidR="002F2731">
        <w:rPr>
          <w:lang w:val="en-GB"/>
        </w:rPr>
        <w:t xml:space="preserve">ecting the two tools using the </w:t>
      </w:r>
      <w:r>
        <w:rPr>
          <w:lang w:val="en-GB"/>
        </w:rPr>
        <w:t>ActiveX</w:t>
      </w:r>
      <w:r w:rsidR="002F2731">
        <w:rPr>
          <w:lang w:val="en-GB"/>
        </w:rPr>
        <w:t>server functionality</w:t>
      </w:r>
      <w:r>
        <w:rPr>
          <w:lang w:val="en-GB"/>
        </w:rPr>
        <w:t>.</w:t>
      </w:r>
      <w:r w:rsidR="00DD09A5">
        <w:rPr>
          <w:lang w:val="en-GB"/>
        </w:rPr>
        <w:t xml:space="preserve"> </w:t>
      </w:r>
      <w:r w:rsidR="00DF10B6">
        <w:rPr>
          <w:lang w:val="en-GB"/>
        </w:rPr>
        <w:t>The following constrained minimization problem has been solved:</w:t>
      </w:r>
    </w:p>
    <w:tbl>
      <w:tblPr>
        <w:tblW w:w="5000" w:type="pct"/>
        <w:tblLook w:val="04A0" w:firstRow="1" w:lastRow="0" w:firstColumn="1" w:lastColumn="0" w:noHBand="0" w:noVBand="1"/>
      </w:tblPr>
      <w:tblGrid>
        <w:gridCol w:w="7984"/>
        <w:gridCol w:w="803"/>
      </w:tblGrid>
      <w:tr w:rsidR="00DF10B6" w:rsidRPr="00B57B36" w14:paraId="08E89112" w14:textId="77777777" w:rsidTr="008C4516">
        <w:tc>
          <w:tcPr>
            <w:tcW w:w="8188" w:type="dxa"/>
            <w:shd w:val="clear" w:color="auto" w:fill="auto"/>
            <w:vAlign w:val="center"/>
          </w:tcPr>
          <w:p w14:paraId="6E5B926F" w14:textId="643D58F9" w:rsidR="00DF10B6" w:rsidRPr="00B57B36" w:rsidRDefault="00DF10B6" w:rsidP="008C4516">
            <w:pPr>
              <w:pStyle w:val="CETEquation"/>
            </w:pPr>
            <w:r w:rsidRPr="00DF10B6">
              <w:rPr>
                <w:noProof/>
                <w:position w:val="-28"/>
                <w:lang w:eastAsia="en-GB"/>
              </w:rPr>
              <w:object w:dxaOrig="2320" w:dyaOrig="680" w14:anchorId="5B68F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pt;height:26.3pt" o:ole="">
                  <v:imagedata r:id="rId11" o:title=""/>
                </v:shape>
                <o:OLEObject Type="Embed" ProgID="Equation.DSMT4" ShapeID="_x0000_i1025" DrawAspect="Content" ObjectID="_1616992998" r:id="rId12"/>
              </w:object>
            </w:r>
          </w:p>
        </w:tc>
        <w:tc>
          <w:tcPr>
            <w:tcW w:w="815" w:type="dxa"/>
            <w:shd w:val="clear" w:color="auto" w:fill="auto"/>
            <w:vAlign w:val="center"/>
          </w:tcPr>
          <w:p w14:paraId="4A0DA7BB" w14:textId="77777777" w:rsidR="00DF10B6" w:rsidRPr="00B57B36" w:rsidRDefault="00DF10B6" w:rsidP="008C4516">
            <w:pPr>
              <w:pStyle w:val="CETEquation"/>
              <w:jc w:val="right"/>
            </w:pPr>
            <w:r w:rsidRPr="00B57B36">
              <w:t>(1)</w:t>
            </w:r>
          </w:p>
        </w:tc>
      </w:tr>
    </w:tbl>
    <w:p w14:paraId="5935C5F0" w14:textId="4139AD82" w:rsidR="001C6F31" w:rsidRPr="001C6F31" w:rsidRDefault="00DF10B6" w:rsidP="00600535">
      <w:pPr>
        <w:pStyle w:val="CETBodytext"/>
        <w:rPr>
          <w:lang w:val="en-GB"/>
        </w:rPr>
      </w:pPr>
      <w:r>
        <w:rPr>
          <w:lang w:val="en-GB"/>
        </w:rPr>
        <w:t>to minimize</w:t>
      </w:r>
      <w:r w:rsidR="00DD09A5">
        <w:rPr>
          <w:lang w:val="en-GB"/>
        </w:rPr>
        <w:t xml:space="preserve"> the total compression power required for the </w:t>
      </w:r>
      <w:r w:rsidR="002200FA">
        <w:rPr>
          <w:lang w:val="en-GB"/>
        </w:rPr>
        <w:t>MR</w:t>
      </w:r>
      <w:r w:rsidR="00DD09A5">
        <w:rPr>
          <w:lang w:val="en-GB"/>
        </w:rPr>
        <w:t xml:space="preserve">, subject to the constraint that the MAT is </w:t>
      </w:r>
      <w:r w:rsidR="00DD09A5">
        <w:rPr>
          <w:rFonts w:cs="Arial"/>
          <w:lang w:val="en-GB"/>
        </w:rPr>
        <w:t>≥</w:t>
      </w:r>
      <w:r w:rsidR="00DD09A5">
        <w:rPr>
          <w:lang w:val="en-GB"/>
        </w:rPr>
        <w:t xml:space="preserve"> 3</w:t>
      </w:r>
      <w:r w:rsidR="00120442">
        <w:rPr>
          <w:lang w:val="en-GB"/>
        </w:rPr>
        <w:t xml:space="preserve"> </w:t>
      </w:r>
      <w:r w:rsidR="00DD09A5">
        <w:rPr>
          <w:lang w:val="en-GB"/>
        </w:rPr>
        <w:t>°C</w:t>
      </w:r>
      <w:r>
        <w:rPr>
          <w:lang w:val="en-GB"/>
        </w:rPr>
        <w:t>, by optimizing the MR composition and flowrate</w:t>
      </w:r>
      <w:r w:rsidR="00DD09A5">
        <w:rPr>
          <w:lang w:val="en-GB"/>
        </w:rPr>
        <w:t>. In the simulations of the liquefaction process</w:t>
      </w:r>
      <w:r w:rsidR="002200FA">
        <w:rPr>
          <w:lang w:val="en-GB"/>
        </w:rPr>
        <w:t>,</w:t>
      </w:r>
      <w:r w:rsidR="00DD09A5">
        <w:rPr>
          <w:lang w:val="en-GB"/>
        </w:rPr>
        <w:t xml:space="preserve"> different </w:t>
      </w:r>
      <w:r w:rsidR="00120442">
        <w:rPr>
          <w:lang w:val="en-GB"/>
        </w:rPr>
        <w:t>streams</w:t>
      </w:r>
      <w:r w:rsidR="00DD09A5">
        <w:rPr>
          <w:lang w:val="en-GB"/>
        </w:rPr>
        <w:t xml:space="preserve"> for each pure component in the MR (i.e., propane, ethane, methane and nitrogen) have been defined</w:t>
      </w:r>
      <w:r w:rsidR="002200FA">
        <w:rPr>
          <w:lang w:val="en-GB"/>
        </w:rPr>
        <w:t xml:space="preserve"> (Figure 1)</w:t>
      </w:r>
      <w:r w:rsidR="00DD09A5">
        <w:rPr>
          <w:lang w:val="en-GB"/>
        </w:rPr>
        <w:t xml:space="preserve"> and, then, sent to a mixer</w:t>
      </w:r>
      <w:r w:rsidR="00D90CE5">
        <w:rPr>
          <w:lang w:val="en-GB"/>
        </w:rPr>
        <w:t xml:space="preserve"> (MIX-100)</w:t>
      </w:r>
      <w:r w:rsidR="00DD09A5">
        <w:rPr>
          <w:lang w:val="en-GB"/>
        </w:rPr>
        <w:t xml:space="preserve"> in order to create the refrigerant mixture while changing its composition directly from MATLAB</w:t>
      </w:r>
      <w:r w:rsidR="00DD09A5" w:rsidRPr="00530E35">
        <w:rPr>
          <w:vertAlign w:val="superscript"/>
          <w:lang w:val="en-GB"/>
        </w:rPr>
        <w:t>®</w:t>
      </w:r>
      <w:r w:rsidR="00C3065F">
        <w:rPr>
          <w:lang w:val="en-GB"/>
        </w:rPr>
        <w:t>. To find t</w:t>
      </w:r>
      <w:r w:rsidR="00C66C87">
        <w:rPr>
          <w:lang w:val="en-GB"/>
        </w:rPr>
        <w:t>he optimal composition and flow</w:t>
      </w:r>
      <w:r w:rsidR="00C3065F">
        <w:rPr>
          <w:lang w:val="en-GB"/>
        </w:rPr>
        <w:t xml:space="preserve">rate of the </w:t>
      </w:r>
      <w:r w:rsidR="002200FA">
        <w:rPr>
          <w:lang w:val="en-GB"/>
        </w:rPr>
        <w:t>MR</w:t>
      </w:r>
      <w:r w:rsidR="00C3065F">
        <w:rPr>
          <w:lang w:val="en-GB"/>
        </w:rPr>
        <w:t xml:space="preserve">, the </w:t>
      </w:r>
      <w:r w:rsidR="00193544">
        <w:rPr>
          <w:lang w:val="en-GB"/>
        </w:rPr>
        <w:t>grid-search method</w:t>
      </w:r>
      <w:r w:rsidR="005A52FF" w:rsidRPr="00CE16CE">
        <w:rPr>
          <w:lang w:val="en-GB"/>
        </w:rPr>
        <w:t xml:space="preserve"> </w:t>
      </w:r>
      <w:r w:rsidR="00193544">
        <w:rPr>
          <w:lang w:val="en-GB"/>
        </w:rPr>
        <w:lastRenderedPageBreak/>
        <w:t xml:space="preserve">(Sepiacci et al., 2017) </w:t>
      </w:r>
      <w:r w:rsidR="00C3065F">
        <w:rPr>
          <w:lang w:val="en-GB"/>
        </w:rPr>
        <w:t xml:space="preserve">has been adopted and </w:t>
      </w:r>
      <w:r w:rsidR="005A52FF" w:rsidRPr="00CE16CE">
        <w:rPr>
          <w:lang w:val="en-GB"/>
        </w:rPr>
        <w:t xml:space="preserve">implemented in </w:t>
      </w:r>
      <w:r w:rsidR="0073651F" w:rsidRPr="00CE16CE">
        <w:rPr>
          <w:lang w:val="en-GB"/>
        </w:rPr>
        <w:t>MATLAB</w:t>
      </w:r>
      <w:r w:rsidR="0073651F" w:rsidRPr="00CE16CE">
        <w:rPr>
          <w:vertAlign w:val="superscript"/>
          <w:lang w:val="en-GB"/>
        </w:rPr>
        <w:t>®</w:t>
      </w:r>
      <w:r w:rsidR="003410F4">
        <w:rPr>
          <w:lang w:val="en-GB"/>
        </w:rPr>
        <w:t>. It</w:t>
      </w:r>
      <w:r w:rsidR="005A52FF" w:rsidRPr="00CE16CE">
        <w:rPr>
          <w:lang w:val="en-GB"/>
        </w:rPr>
        <w:t xml:space="preserve"> consists of four steps. In the first one, the mol</w:t>
      </w:r>
      <w:r w:rsidR="00C66C87">
        <w:rPr>
          <w:lang w:val="en-GB"/>
        </w:rPr>
        <w:t xml:space="preserve">e </w:t>
      </w:r>
      <w:r w:rsidR="005A52FF" w:rsidRPr="00CE16CE">
        <w:rPr>
          <w:lang w:val="en-GB"/>
        </w:rPr>
        <w:t>fractions of each component in the MR</w:t>
      </w:r>
      <w:r w:rsidR="005A52FF">
        <w:rPr>
          <w:lang w:val="en-GB"/>
        </w:rPr>
        <w:t xml:space="preserve"> </w:t>
      </w:r>
      <w:r w:rsidR="005E02AC">
        <w:rPr>
          <w:lang w:val="en-GB"/>
        </w:rPr>
        <w:t>are</w:t>
      </w:r>
      <w:r w:rsidR="005A52FF">
        <w:rPr>
          <w:lang w:val="en-GB"/>
        </w:rPr>
        <w:t xml:space="preserve"> varied between 0 and 1 </w:t>
      </w:r>
      <w:r w:rsidR="00093FBE">
        <w:rPr>
          <w:lang w:val="en-GB"/>
        </w:rPr>
        <w:t xml:space="preserve">(with a step of 0.1) </w:t>
      </w:r>
      <w:r w:rsidR="005A52FF">
        <w:rPr>
          <w:lang w:val="en-GB"/>
        </w:rPr>
        <w:t>and all the non-feasible combinat</w:t>
      </w:r>
      <w:r w:rsidR="005A52FF" w:rsidRPr="00A54D62">
        <w:rPr>
          <w:lang w:val="en-GB"/>
        </w:rPr>
        <w:t xml:space="preserve">ions (i.e., those </w:t>
      </w:r>
      <w:r w:rsidR="0093546F" w:rsidRPr="00A54D62">
        <w:rPr>
          <w:lang w:val="en-GB"/>
        </w:rPr>
        <w:t xml:space="preserve">that don’t </w:t>
      </w:r>
      <w:r w:rsidR="006E06A5" w:rsidRPr="00A54D62">
        <w:rPr>
          <w:lang w:val="en-GB"/>
        </w:rPr>
        <w:t>add</w:t>
      </w:r>
      <w:r w:rsidR="0093546F" w:rsidRPr="00A54D62">
        <w:rPr>
          <w:lang w:val="en-GB"/>
        </w:rPr>
        <w:t xml:space="preserve"> up to unity</w:t>
      </w:r>
      <w:r w:rsidR="005A52FF" w:rsidRPr="00A54D62">
        <w:rPr>
          <w:lang w:val="en-GB"/>
        </w:rPr>
        <w:t>) are discarded</w:t>
      </w:r>
      <w:r w:rsidR="005A52FF">
        <w:rPr>
          <w:lang w:val="en-GB"/>
        </w:rPr>
        <w:t>. Assuming a first guess value for the</w:t>
      </w:r>
      <w:r w:rsidR="003410F4">
        <w:rPr>
          <w:lang w:val="en-GB"/>
        </w:rPr>
        <w:t xml:space="preserve"> total mo</w:t>
      </w:r>
      <w:r w:rsidR="00C66C87">
        <w:rPr>
          <w:lang w:val="en-GB"/>
        </w:rPr>
        <w:t>lar flow</w:t>
      </w:r>
      <w:r w:rsidR="003410F4">
        <w:rPr>
          <w:lang w:val="en-GB"/>
        </w:rPr>
        <w:t xml:space="preserve">rate of the </w:t>
      </w:r>
      <w:r w:rsidR="002200FA">
        <w:rPr>
          <w:lang w:val="en-GB"/>
        </w:rPr>
        <w:t>MR</w:t>
      </w:r>
      <w:r w:rsidR="005A52FF">
        <w:rPr>
          <w:lang w:val="en-GB"/>
        </w:rPr>
        <w:t xml:space="preserve">, the simulation is carried out for all the other feasible combinations, thus determining the </w:t>
      </w:r>
      <w:r w:rsidR="00DD09A5">
        <w:rPr>
          <w:lang w:val="en-GB"/>
        </w:rPr>
        <w:t>total compression power and MAT</w:t>
      </w:r>
      <w:r w:rsidR="005A52FF">
        <w:rPr>
          <w:lang w:val="en-GB"/>
        </w:rPr>
        <w:t xml:space="preserve"> for each of them. In the second step, all the</w:t>
      </w:r>
      <w:r w:rsidR="00DD09A5">
        <w:rPr>
          <w:lang w:val="en-GB"/>
        </w:rPr>
        <w:t xml:space="preserve"> combinations that le</w:t>
      </w:r>
      <w:r w:rsidR="00156188">
        <w:rPr>
          <w:lang w:val="en-GB"/>
        </w:rPr>
        <w:t>ad</w:t>
      </w:r>
      <w:r w:rsidR="00DD09A5">
        <w:rPr>
          <w:lang w:val="en-GB"/>
        </w:rPr>
        <w:t xml:space="preserve"> to a MAT</w:t>
      </w:r>
      <w:r w:rsidR="005A52FF">
        <w:rPr>
          <w:lang w:val="en-GB"/>
        </w:rPr>
        <w:t xml:space="preserve"> </w:t>
      </w:r>
      <w:r w:rsidR="005A52FF">
        <w:rPr>
          <w:rFonts w:cs="Arial"/>
          <w:lang w:val="en-GB"/>
        </w:rPr>
        <w:t>≥</w:t>
      </w:r>
      <w:r w:rsidR="005A52FF">
        <w:rPr>
          <w:lang w:val="en-GB"/>
        </w:rPr>
        <w:t xml:space="preserve"> 3°C are selected and, for eac</w:t>
      </w:r>
      <w:r w:rsidR="00C66C87">
        <w:rPr>
          <w:lang w:val="en-GB"/>
        </w:rPr>
        <w:t>h of them, the total molar flow</w:t>
      </w:r>
      <w:r w:rsidR="005A52FF">
        <w:rPr>
          <w:lang w:val="en-GB"/>
        </w:rPr>
        <w:t xml:space="preserve">rate of the </w:t>
      </w:r>
      <w:r w:rsidR="00093FBE">
        <w:rPr>
          <w:lang w:val="en-GB"/>
        </w:rPr>
        <w:t xml:space="preserve">MR </w:t>
      </w:r>
      <w:r w:rsidR="005A52FF">
        <w:rPr>
          <w:lang w:val="en-GB"/>
        </w:rPr>
        <w:t>is reduced (</w:t>
      </w:r>
      <w:r w:rsidR="00DD09A5">
        <w:rPr>
          <w:lang w:val="en-GB"/>
        </w:rPr>
        <w:t xml:space="preserve">with a </w:t>
      </w:r>
      <w:r w:rsidR="005A52FF">
        <w:rPr>
          <w:lang w:val="en-GB"/>
        </w:rPr>
        <w:t xml:space="preserve">step size </w:t>
      </w:r>
      <w:r w:rsidR="00DD09A5">
        <w:rPr>
          <w:lang w:val="en-GB"/>
        </w:rPr>
        <w:t>of 0.0001 kmol/h) until the MAT</w:t>
      </w:r>
      <w:r w:rsidR="005A52FF">
        <w:rPr>
          <w:lang w:val="en-GB"/>
        </w:rPr>
        <w:t xml:space="preserve"> approaches the target value: this ensures the total compression power to decrease as well. If no feasible combination is found, then the procedure is repeated starting from a higher MR total flowrate. Otherwise, the combination with the minimum compression power is chosen. The third and fourth </w:t>
      </w:r>
      <w:r w:rsidR="0073651F">
        <w:rPr>
          <w:lang w:val="en-GB"/>
        </w:rPr>
        <w:t>s</w:t>
      </w:r>
      <w:r w:rsidR="005A52FF">
        <w:rPr>
          <w:lang w:val="en-GB"/>
        </w:rPr>
        <w:t xml:space="preserve">teps are </w:t>
      </w:r>
      <w:r w:rsidR="003410F4">
        <w:rPr>
          <w:lang w:val="en-GB"/>
        </w:rPr>
        <w:t>similar to</w:t>
      </w:r>
      <w:r w:rsidR="005A52FF">
        <w:rPr>
          <w:lang w:val="en-GB"/>
        </w:rPr>
        <w:t xml:space="preserve"> the first and second ones</w:t>
      </w:r>
      <w:r w:rsidR="003410F4">
        <w:rPr>
          <w:lang w:val="en-GB"/>
        </w:rPr>
        <w:t>, but allow a further refinem</w:t>
      </w:r>
      <w:r w:rsidR="00C66C87">
        <w:rPr>
          <w:lang w:val="en-GB"/>
        </w:rPr>
        <w:t>ent of the composition and flow</w:t>
      </w:r>
      <w:r w:rsidR="003410F4">
        <w:rPr>
          <w:lang w:val="en-GB"/>
        </w:rPr>
        <w:t>rate of the</w:t>
      </w:r>
      <w:r w:rsidR="00093FBE">
        <w:rPr>
          <w:lang w:val="en-GB"/>
        </w:rPr>
        <w:t xml:space="preserve"> MR.</w:t>
      </w:r>
    </w:p>
    <w:p w14:paraId="682D7CDA" w14:textId="05913DB5" w:rsidR="00600535" w:rsidRPr="00B57B36" w:rsidRDefault="0073651F" w:rsidP="00600535">
      <w:pPr>
        <w:pStyle w:val="CETHeading1"/>
        <w:rPr>
          <w:lang w:val="en-GB"/>
        </w:rPr>
      </w:pPr>
      <w:r>
        <w:rPr>
          <w:lang w:val="en-GB"/>
        </w:rPr>
        <w:t>Results and discussion</w:t>
      </w:r>
    </w:p>
    <w:p w14:paraId="08904801" w14:textId="7D6A840E" w:rsidR="00732FCB" w:rsidRDefault="00DD09A5" w:rsidP="00732FCB">
      <w:pPr>
        <w:pStyle w:val="CETBodytext"/>
        <w:rPr>
          <w:lang w:val="en-GB"/>
        </w:rPr>
      </w:pPr>
      <w:r>
        <w:rPr>
          <w:lang w:val="en-GB"/>
        </w:rPr>
        <w:t xml:space="preserve">Table </w:t>
      </w:r>
      <w:r w:rsidR="00F309D3">
        <w:rPr>
          <w:lang w:val="en-GB"/>
        </w:rPr>
        <w:t>3 summarizes the best results obtained for the two case studies investigated in this work.</w:t>
      </w:r>
      <w:r w:rsidR="00732FCB">
        <w:rPr>
          <w:lang w:val="en-GB"/>
        </w:rPr>
        <w:t xml:space="preserve"> Figure 2 illustrates the hot and cold composite curves </w:t>
      </w:r>
      <w:r w:rsidR="00E71AA1">
        <w:rPr>
          <w:lang w:val="en-GB"/>
        </w:rPr>
        <w:t>(including the two individual warming curves for the sake of clarity)</w:t>
      </w:r>
      <w:r w:rsidR="00E71AA1">
        <w:rPr>
          <w:lang w:val="en-GB"/>
        </w:rPr>
        <w:t xml:space="preserve"> </w:t>
      </w:r>
      <w:r w:rsidR="00732FCB">
        <w:rPr>
          <w:lang w:val="en-GB"/>
        </w:rPr>
        <w:t>for the MCHE in these two cases.</w:t>
      </w:r>
    </w:p>
    <w:p w14:paraId="3356A8EE" w14:textId="34883DE6" w:rsidR="00F309D3" w:rsidRPr="00B57B36" w:rsidRDefault="00F309D3" w:rsidP="00F309D3">
      <w:pPr>
        <w:pStyle w:val="CETTabletitle"/>
      </w:pPr>
      <w:r w:rsidRPr="00B57B36">
        <w:t xml:space="preserve">Table </w:t>
      </w:r>
      <w:r>
        <w:t>3</w:t>
      </w:r>
      <w:r w:rsidRPr="00B57B36">
        <w:t xml:space="preserve">: </w:t>
      </w:r>
      <w:r>
        <w:t xml:space="preserve">Results of optimization </w:t>
      </w:r>
      <w:r w:rsidR="00905A2B">
        <w:t>with the grid-</w:t>
      </w:r>
      <w:r w:rsidR="00193544">
        <w:t>search method</w:t>
      </w:r>
      <w:r>
        <w:t xml:space="preserve"> for the two case studies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65"/>
        <w:gridCol w:w="1361"/>
        <w:gridCol w:w="1871"/>
      </w:tblGrid>
      <w:tr w:rsidR="00F309D3" w:rsidRPr="00B57B36" w14:paraId="7EE4E5F3" w14:textId="77777777" w:rsidTr="000F2E62">
        <w:tc>
          <w:tcPr>
            <w:tcW w:w="2665" w:type="dxa"/>
            <w:tcBorders>
              <w:top w:val="single" w:sz="12" w:space="0" w:color="008000"/>
              <w:bottom w:val="single" w:sz="6" w:space="0" w:color="008000"/>
            </w:tcBorders>
            <w:shd w:val="clear" w:color="auto" w:fill="FFFFFF"/>
          </w:tcPr>
          <w:p w14:paraId="1E9B882E" w14:textId="77777777" w:rsidR="00F309D3" w:rsidRPr="00B57B36" w:rsidRDefault="00F309D3" w:rsidP="00AA3B0D">
            <w:pPr>
              <w:pStyle w:val="CETBodytext"/>
              <w:rPr>
                <w:lang w:val="en-GB"/>
              </w:rPr>
            </w:pPr>
          </w:p>
        </w:tc>
        <w:tc>
          <w:tcPr>
            <w:tcW w:w="1361" w:type="dxa"/>
            <w:tcBorders>
              <w:top w:val="single" w:sz="12" w:space="0" w:color="008000"/>
              <w:bottom w:val="single" w:sz="6" w:space="0" w:color="008000"/>
            </w:tcBorders>
            <w:shd w:val="clear" w:color="auto" w:fill="FFFFFF"/>
            <w:vAlign w:val="center"/>
          </w:tcPr>
          <w:p w14:paraId="4FC41EC2" w14:textId="77777777" w:rsidR="00F309D3" w:rsidRPr="00B57B36" w:rsidRDefault="00F309D3" w:rsidP="00AA3B0D">
            <w:pPr>
              <w:pStyle w:val="CETBodytext"/>
              <w:jc w:val="left"/>
              <w:rPr>
                <w:lang w:val="en-GB"/>
              </w:rPr>
            </w:pPr>
            <w:r>
              <w:rPr>
                <w:lang w:val="en-GB"/>
              </w:rPr>
              <w:t>Conventional</w:t>
            </w:r>
          </w:p>
        </w:tc>
        <w:tc>
          <w:tcPr>
            <w:tcW w:w="1871" w:type="dxa"/>
            <w:tcBorders>
              <w:top w:val="single" w:sz="12" w:space="0" w:color="008000"/>
              <w:bottom w:val="single" w:sz="6" w:space="0" w:color="008000"/>
            </w:tcBorders>
            <w:shd w:val="clear" w:color="auto" w:fill="FFFFFF"/>
            <w:vAlign w:val="center"/>
          </w:tcPr>
          <w:p w14:paraId="31DCCE58" w14:textId="2DD98375" w:rsidR="00F309D3" w:rsidRPr="00B57B36" w:rsidRDefault="001F367E" w:rsidP="00AA3B0D">
            <w:pPr>
              <w:pStyle w:val="CETBodytext"/>
              <w:jc w:val="left"/>
              <w:rPr>
                <w:lang w:val="en-GB"/>
              </w:rPr>
            </w:pPr>
            <w:r>
              <w:rPr>
                <w:lang w:val="en-GB"/>
              </w:rPr>
              <w:t>Low-temperature</w:t>
            </w:r>
          </w:p>
        </w:tc>
      </w:tr>
      <w:tr w:rsidR="00F309D3" w:rsidRPr="00B57B36" w14:paraId="3590869E" w14:textId="77777777" w:rsidTr="000F2E62">
        <w:tc>
          <w:tcPr>
            <w:tcW w:w="2665" w:type="dxa"/>
            <w:shd w:val="clear" w:color="auto" w:fill="FFFFFF"/>
          </w:tcPr>
          <w:p w14:paraId="154F03D0" w14:textId="24C7652E" w:rsidR="00F309D3" w:rsidRPr="00B57B36" w:rsidRDefault="005B5510" w:rsidP="005B5510">
            <w:pPr>
              <w:pStyle w:val="CETBodytext"/>
              <w:rPr>
                <w:lang w:val="en-GB"/>
              </w:rPr>
            </w:pPr>
            <w:r>
              <w:rPr>
                <w:lang w:val="en-GB"/>
              </w:rPr>
              <w:t>MR m</w:t>
            </w:r>
            <w:r w:rsidR="00905A2B">
              <w:rPr>
                <w:lang w:val="en-GB"/>
              </w:rPr>
              <w:t>olar</w:t>
            </w:r>
            <w:r w:rsidR="00F309D3">
              <w:rPr>
                <w:lang w:val="en-GB"/>
              </w:rPr>
              <w:t xml:space="preserve"> flowrate, k</w:t>
            </w:r>
            <w:r w:rsidR="00905A2B">
              <w:rPr>
                <w:lang w:val="en-GB"/>
              </w:rPr>
              <w:t>mol</w:t>
            </w:r>
            <w:r w:rsidR="00F309D3">
              <w:rPr>
                <w:lang w:val="en-GB"/>
              </w:rPr>
              <w:t>/h</w:t>
            </w:r>
          </w:p>
        </w:tc>
        <w:tc>
          <w:tcPr>
            <w:tcW w:w="1361" w:type="dxa"/>
            <w:shd w:val="clear" w:color="auto" w:fill="FFFFFF"/>
            <w:vAlign w:val="center"/>
          </w:tcPr>
          <w:p w14:paraId="1351F61E" w14:textId="6E46ADF7" w:rsidR="00F309D3" w:rsidRPr="00964ED3" w:rsidRDefault="003A4F27" w:rsidP="00AA3B0D">
            <w:pPr>
              <w:pStyle w:val="CETBodytext"/>
              <w:jc w:val="left"/>
              <w:rPr>
                <w:lang w:val="en-GB"/>
              </w:rPr>
            </w:pPr>
            <w:r w:rsidRPr="00964ED3">
              <w:rPr>
                <w:lang w:val="en-GB"/>
              </w:rPr>
              <w:t>0.1645</w:t>
            </w:r>
          </w:p>
        </w:tc>
        <w:tc>
          <w:tcPr>
            <w:tcW w:w="1871" w:type="dxa"/>
            <w:shd w:val="clear" w:color="auto" w:fill="FFFFFF"/>
            <w:vAlign w:val="center"/>
          </w:tcPr>
          <w:p w14:paraId="4A5B8F2D" w14:textId="1A900204" w:rsidR="00F309D3" w:rsidRPr="00964ED3" w:rsidRDefault="003A4F27" w:rsidP="00F03B66">
            <w:pPr>
              <w:pStyle w:val="CETBodytext"/>
              <w:jc w:val="left"/>
              <w:rPr>
                <w:lang w:val="en-GB"/>
              </w:rPr>
            </w:pPr>
            <w:r w:rsidRPr="00964ED3">
              <w:rPr>
                <w:lang w:val="en-GB"/>
              </w:rPr>
              <w:t>0.151</w:t>
            </w:r>
            <w:r w:rsidR="00F03B66" w:rsidRPr="00964ED3">
              <w:rPr>
                <w:lang w:val="en-GB"/>
              </w:rPr>
              <w:t>0</w:t>
            </w:r>
          </w:p>
        </w:tc>
      </w:tr>
      <w:tr w:rsidR="00F309D3" w:rsidRPr="00B57B36" w14:paraId="6D02EF60" w14:textId="77777777" w:rsidTr="000F2E62">
        <w:tc>
          <w:tcPr>
            <w:tcW w:w="2665" w:type="dxa"/>
            <w:shd w:val="clear" w:color="auto" w:fill="FFFFFF"/>
          </w:tcPr>
          <w:p w14:paraId="04892A01" w14:textId="625A8990" w:rsidR="00F309D3" w:rsidRPr="00B57B36" w:rsidRDefault="005B5510" w:rsidP="005B5510">
            <w:pPr>
              <w:pStyle w:val="CETBodytext"/>
              <w:rPr>
                <w:lang w:val="en-GB"/>
              </w:rPr>
            </w:pPr>
            <w:r>
              <w:rPr>
                <w:lang w:val="en-GB"/>
              </w:rPr>
              <w:t>MR c</w:t>
            </w:r>
            <w:r w:rsidR="00F309D3">
              <w:rPr>
                <w:lang w:val="en-GB"/>
              </w:rPr>
              <w:t>omposition, mol/mol</w:t>
            </w:r>
          </w:p>
        </w:tc>
        <w:tc>
          <w:tcPr>
            <w:tcW w:w="1361" w:type="dxa"/>
            <w:shd w:val="clear" w:color="auto" w:fill="FFFFFF"/>
            <w:vAlign w:val="center"/>
          </w:tcPr>
          <w:p w14:paraId="1D1D0A3C" w14:textId="77777777" w:rsidR="00F309D3" w:rsidRPr="00964ED3" w:rsidRDefault="00F309D3" w:rsidP="00AA3B0D">
            <w:pPr>
              <w:pStyle w:val="CETBodytext"/>
              <w:jc w:val="left"/>
              <w:rPr>
                <w:lang w:val="en-GB"/>
              </w:rPr>
            </w:pPr>
          </w:p>
        </w:tc>
        <w:tc>
          <w:tcPr>
            <w:tcW w:w="1871" w:type="dxa"/>
            <w:shd w:val="clear" w:color="auto" w:fill="FFFFFF"/>
            <w:vAlign w:val="center"/>
          </w:tcPr>
          <w:p w14:paraId="7E1E572A" w14:textId="77777777" w:rsidR="00F309D3" w:rsidRPr="00964ED3" w:rsidRDefault="00F309D3" w:rsidP="00AA3B0D">
            <w:pPr>
              <w:pStyle w:val="CETBodytext"/>
              <w:jc w:val="left"/>
              <w:rPr>
                <w:lang w:val="en-GB"/>
              </w:rPr>
            </w:pPr>
          </w:p>
        </w:tc>
      </w:tr>
      <w:tr w:rsidR="00F309D3" w:rsidRPr="00B57B36" w14:paraId="6DCF163D" w14:textId="77777777" w:rsidTr="000F2E62">
        <w:tc>
          <w:tcPr>
            <w:tcW w:w="2665" w:type="dxa"/>
            <w:shd w:val="clear" w:color="auto" w:fill="FFFFFF"/>
          </w:tcPr>
          <w:p w14:paraId="24A61F4D" w14:textId="7FD36496" w:rsidR="00F309D3" w:rsidRPr="00B57B36" w:rsidRDefault="00F309D3" w:rsidP="00905A2B">
            <w:pPr>
              <w:pStyle w:val="CETBodytext"/>
              <w:ind w:right="-1"/>
              <w:jc w:val="left"/>
              <w:rPr>
                <w:rFonts w:cs="Arial"/>
                <w:szCs w:val="18"/>
                <w:lang w:val="en-GB"/>
              </w:rPr>
            </w:pPr>
            <w:r>
              <w:rPr>
                <w:rFonts w:cs="Arial"/>
                <w:szCs w:val="18"/>
                <w:lang w:val="en-GB"/>
              </w:rPr>
              <w:t xml:space="preserve">    </w:t>
            </w:r>
            <w:r w:rsidR="00905A2B">
              <w:rPr>
                <w:rFonts w:cs="Arial"/>
                <w:szCs w:val="18"/>
                <w:lang w:val="en-GB"/>
              </w:rPr>
              <w:t xml:space="preserve">Propane </w:t>
            </w:r>
          </w:p>
        </w:tc>
        <w:tc>
          <w:tcPr>
            <w:tcW w:w="1361" w:type="dxa"/>
            <w:shd w:val="clear" w:color="auto" w:fill="FFFFFF"/>
            <w:vAlign w:val="center"/>
          </w:tcPr>
          <w:p w14:paraId="140B9655" w14:textId="2CB56F9E" w:rsidR="00F309D3" w:rsidRPr="00964ED3" w:rsidRDefault="00796660" w:rsidP="00F03B66">
            <w:pPr>
              <w:pStyle w:val="CETBodytext"/>
              <w:ind w:right="-1"/>
              <w:jc w:val="left"/>
              <w:rPr>
                <w:rFonts w:cs="Arial"/>
                <w:szCs w:val="18"/>
                <w:lang w:val="en-GB"/>
              </w:rPr>
            </w:pPr>
            <w:r w:rsidRPr="00964ED3">
              <w:rPr>
                <w:rFonts w:cs="Arial"/>
                <w:szCs w:val="18"/>
                <w:lang w:val="en-GB"/>
              </w:rPr>
              <w:t>0.</w:t>
            </w:r>
            <w:r w:rsidR="003A4F27" w:rsidRPr="00964ED3">
              <w:rPr>
                <w:rFonts w:cs="Arial"/>
                <w:szCs w:val="18"/>
                <w:lang w:val="en-GB"/>
              </w:rPr>
              <w:t>4</w:t>
            </w:r>
            <w:r w:rsidR="00F03B66" w:rsidRPr="00964ED3">
              <w:rPr>
                <w:rFonts w:cs="Arial"/>
                <w:szCs w:val="18"/>
                <w:lang w:val="en-GB"/>
              </w:rPr>
              <w:t>700</w:t>
            </w:r>
          </w:p>
        </w:tc>
        <w:tc>
          <w:tcPr>
            <w:tcW w:w="1871" w:type="dxa"/>
            <w:shd w:val="clear" w:color="auto" w:fill="FFFFFF"/>
            <w:vAlign w:val="center"/>
          </w:tcPr>
          <w:p w14:paraId="1B92E7B0" w14:textId="1EA463F5" w:rsidR="00F309D3" w:rsidRPr="00964ED3" w:rsidRDefault="003A4F27" w:rsidP="00F03B66">
            <w:pPr>
              <w:pStyle w:val="CETBodytext"/>
              <w:ind w:right="-1"/>
              <w:jc w:val="left"/>
              <w:rPr>
                <w:rFonts w:cs="Arial"/>
                <w:szCs w:val="18"/>
                <w:lang w:val="en-GB"/>
              </w:rPr>
            </w:pPr>
            <w:r w:rsidRPr="00964ED3">
              <w:rPr>
                <w:rFonts w:cs="Arial"/>
                <w:szCs w:val="18"/>
                <w:lang w:val="en-GB"/>
              </w:rPr>
              <w:t>0.376</w:t>
            </w:r>
            <w:r w:rsidR="00F03B66" w:rsidRPr="00964ED3">
              <w:rPr>
                <w:rFonts w:cs="Arial"/>
                <w:szCs w:val="18"/>
                <w:lang w:val="en-GB"/>
              </w:rPr>
              <w:t>1</w:t>
            </w:r>
          </w:p>
        </w:tc>
      </w:tr>
      <w:tr w:rsidR="00F309D3" w:rsidRPr="00B57B36" w14:paraId="3CBA3094" w14:textId="77777777" w:rsidTr="000F2E62">
        <w:tc>
          <w:tcPr>
            <w:tcW w:w="2665" w:type="dxa"/>
            <w:shd w:val="clear" w:color="auto" w:fill="FFFFFF"/>
          </w:tcPr>
          <w:p w14:paraId="3C95110E" w14:textId="1370775E" w:rsidR="00F309D3" w:rsidRDefault="00F309D3" w:rsidP="00905A2B">
            <w:pPr>
              <w:pStyle w:val="CETBodytext"/>
              <w:ind w:right="-1"/>
              <w:jc w:val="left"/>
              <w:rPr>
                <w:rFonts w:cs="Arial"/>
                <w:szCs w:val="18"/>
                <w:lang w:val="en-GB"/>
              </w:rPr>
            </w:pPr>
            <w:r>
              <w:rPr>
                <w:rFonts w:cs="Arial"/>
                <w:szCs w:val="18"/>
                <w:lang w:val="en-GB"/>
              </w:rPr>
              <w:t xml:space="preserve">    </w:t>
            </w:r>
            <w:r w:rsidR="00905A2B">
              <w:rPr>
                <w:rFonts w:cs="Arial"/>
                <w:szCs w:val="18"/>
                <w:lang w:val="en-GB"/>
              </w:rPr>
              <w:t>Ethane</w:t>
            </w:r>
          </w:p>
        </w:tc>
        <w:tc>
          <w:tcPr>
            <w:tcW w:w="1361" w:type="dxa"/>
            <w:shd w:val="clear" w:color="auto" w:fill="FFFFFF"/>
            <w:vAlign w:val="center"/>
          </w:tcPr>
          <w:p w14:paraId="3DBC1955" w14:textId="168DA144" w:rsidR="00F309D3" w:rsidRPr="00964ED3" w:rsidRDefault="00796660" w:rsidP="00F03B66">
            <w:pPr>
              <w:pStyle w:val="CETBodytext"/>
              <w:ind w:right="-1"/>
              <w:jc w:val="left"/>
              <w:rPr>
                <w:rFonts w:cs="Arial"/>
                <w:szCs w:val="18"/>
                <w:lang w:val="en-GB"/>
              </w:rPr>
            </w:pPr>
            <w:r w:rsidRPr="00964ED3">
              <w:rPr>
                <w:rFonts w:cs="Arial"/>
                <w:szCs w:val="18"/>
                <w:lang w:val="en-GB"/>
              </w:rPr>
              <w:t>0.</w:t>
            </w:r>
            <w:r w:rsidR="003A4F27" w:rsidRPr="00964ED3">
              <w:rPr>
                <w:rFonts w:cs="Arial"/>
                <w:szCs w:val="18"/>
                <w:lang w:val="en-GB"/>
              </w:rPr>
              <w:t>2</w:t>
            </w:r>
            <w:r w:rsidR="00F03B66" w:rsidRPr="00964ED3">
              <w:rPr>
                <w:rFonts w:cs="Arial"/>
                <w:szCs w:val="18"/>
                <w:lang w:val="en-GB"/>
              </w:rPr>
              <w:t>097</w:t>
            </w:r>
          </w:p>
        </w:tc>
        <w:tc>
          <w:tcPr>
            <w:tcW w:w="1871" w:type="dxa"/>
            <w:shd w:val="clear" w:color="auto" w:fill="FFFFFF"/>
            <w:vAlign w:val="center"/>
          </w:tcPr>
          <w:p w14:paraId="7424A426" w14:textId="13388C1C" w:rsidR="00F309D3" w:rsidRPr="00964ED3" w:rsidRDefault="003A4F27" w:rsidP="00F03B66">
            <w:pPr>
              <w:pStyle w:val="CETBodytext"/>
              <w:ind w:right="-1"/>
              <w:jc w:val="left"/>
              <w:rPr>
                <w:rFonts w:cs="Arial"/>
                <w:szCs w:val="18"/>
                <w:lang w:val="en-GB"/>
              </w:rPr>
            </w:pPr>
            <w:r w:rsidRPr="00964ED3">
              <w:rPr>
                <w:rFonts w:cs="Arial"/>
                <w:szCs w:val="18"/>
                <w:lang w:val="en-GB"/>
              </w:rPr>
              <w:t>0.206</w:t>
            </w:r>
            <w:r w:rsidR="00F03B66" w:rsidRPr="00964ED3">
              <w:rPr>
                <w:rFonts w:cs="Arial"/>
                <w:szCs w:val="18"/>
                <w:lang w:val="en-GB"/>
              </w:rPr>
              <w:t>0</w:t>
            </w:r>
          </w:p>
        </w:tc>
      </w:tr>
      <w:tr w:rsidR="00F309D3" w:rsidRPr="00B57B36" w14:paraId="336DF900" w14:textId="77777777" w:rsidTr="000F2E62">
        <w:tc>
          <w:tcPr>
            <w:tcW w:w="2665" w:type="dxa"/>
            <w:shd w:val="clear" w:color="auto" w:fill="FFFFFF"/>
          </w:tcPr>
          <w:p w14:paraId="4DE67176" w14:textId="5CA00406" w:rsidR="00F309D3" w:rsidRDefault="00F309D3" w:rsidP="00905A2B">
            <w:pPr>
              <w:pStyle w:val="CETBodytext"/>
              <w:ind w:right="-1"/>
              <w:jc w:val="left"/>
              <w:rPr>
                <w:rFonts w:cs="Arial"/>
                <w:szCs w:val="18"/>
                <w:lang w:val="en-GB"/>
              </w:rPr>
            </w:pPr>
            <w:r>
              <w:rPr>
                <w:rFonts w:cs="Arial"/>
                <w:szCs w:val="18"/>
                <w:lang w:val="en-GB"/>
              </w:rPr>
              <w:t xml:space="preserve">  </w:t>
            </w:r>
            <w:r w:rsidR="00905A2B">
              <w:rPr>
                <w:rFonts w:cs="Arial"/>
                <w:szCs w:val="18"/>
                <w:lang w:val="en-GB"/>
              </w:rPr>
              <w:t xml:space="preserve"> </w:t>
            </w:r>
            <w:r>
              <w:rPr>
                <w:rFonts w:cs="Arial"/>
                <w:szCs w:val="18"/>
                <w:lang w:val="en-GB"/>
              </w:rPr>
              <w:t xml:space="preserve"> </w:t>
            </w:r>
            <w:r w:rsidR="00905A2B">
              <w:rPr>
                <w:rFonts w:cs="Arial"/>
                <w:szCs w:val="18"/>
                <w:lang w:val="en-GB"/>
              </w:rPr>
              <w:t>Methane</w:t>
            </w:r>
          </w:p>
        </w:tc>
        <w:tc>
          <w:tcPr>
            <w:tcW w:w="1361" w:type="dxa"/>
            <w:shd w:val="clear" w:color="auto" w:fill="FFFFFF"/>
            <w:vAlign w:val="center"/>
          </w:tcPr>
          <w:p w14:paraId="1C9B9196" w14:textId="3F4990FC" w:rsidR="00F309D3" w:rsidRPr="00964ED3" w:rsidRDefault="00796660" w:rsidP="00F03B66">
            <w:pPr>
              <w:pStyle w:val="CETBodytext"/>
              <w:ind w:right="-1"/>
              <w:jc w:val="left"/>
              <w:rPr>
                <w:rFonts w:cs="Arial"/>
                <w:szCs w:val="18"/>
                <w:lang w:val="en-GB"/>
              </w:rPr>
            </w:pPr>
            <w:r w:rsidRPr="00964ED3">
              <w:rPr>
                <w:rFonts w:cs="Arial"/>
                <w:szCs w:val="18"/>
                <w:lang w:val="en-GB"/>
              </w:rPr>
              <w:t>0.</w:t>
            </w:r>
            <w:r w:rsidR="003A4F27" w:rsidRPr="00964ED3">
              <w:rPr>
                <w:rFonts w:cs="Arial"/>
                <w:szCs w:val="18"/>
                <w:lang w:val="en-GB"/>
              </w:rPr>
              <w:t>240</w:t>
            </w:r>
            <w:r w:rsidR="00F03B66" w:rsidRPr="00964ED3">
              <w:rPr>
                <w:rFonts w:cs="Arial"/>
                <w:szCs w:val="18"/>
                <w:lang w:val="en-GB"/>
              </w:rPr>
              <w:t>1</w:t>
            </w:r>
          </w:p>
        </w:tc>
        <w:tc>
          <w:tcPr>
            <w:tcW w:w="1871" w:type="dxa"/>
            <w:shd w:val="clear" w:color="auto" w:fill="FFFFFF"/>
            <w:vAlign w:val="center"/>
          </w:tcPr>
          <w:p w14:paraId="172CF98B" w14:textId="3ED1DA6A" w:rsidR="00F309D3" w:rsidRPr="00964ED3" w:rsidRDefault="003A4F27" w:rsidP="00F03B66">
            <w:pPr>
              <w:pStyle w:val="CETBodytext"/>
              <w:ind w:right="-1"/>
              <w:jc w:val="left"/>
              <w:rPr>
                <w:rFonts w:cs="Arial"/>
                <w:szCs w:val="18"/>
                <w:lang w:val="en-GB"/>
              </w:rPr>
            </w:pPr>
            <w:r w:rsidRPr="00964ED3">
              <w:rPr>
                <w:rFonts w:cs="Arial"/>
                <w:szCs w:val="18"/>
                <w:lang w:val="en-GB"/>
              </w:rPr>
              <w:t>0.342</w:t>
            </w:r>
            <w:r w:rsidR="00F03B66" w:rsidRPr="00964ED3">
              <w:rPr>
                <w:rFonts w:cs="Arial"/>
                <w:szCs w:val="18"/>
                <w:lang w:val="en-GB"/>
              </w:rPr>
              <w:t>4</w:t>
            </w:r>
          </w:p>
        </w:tc>
      </w:tr>
      <w:tr w:rsidR="00F309D3" w:rsidRPr="00B57B36" w14:paraId="723B6E6C" w14:textId="77777777" w:rsidTr="000F2E62">
        <w:tc>
          <w:tcPr>
            <w:tcW w:w="2665" w:type="dxa"/>
            <w:shd w:val="clear" w:color="auto" w:fill="FFFFFF"/>
          </w:tcPr>
          <w:p w14:paraId="1CF654FC" w14:textId="01C740D6" w:rsidR="00F309D3" w:rsidRDefault="00F309D3" w:rsidP="00AA3B0D">
            <w:pPr>
              <w:pStyle w:val="CETBodytext"/>
              <w:ind w:right="-1"/>
              <w:jc w:val="left"/>
              <w:rPr>
                <w:rFonts w:cs="Arial"/>
                <w:szCs w:val="18"/>
                <w:lang w:val="en-GB"/>
              </w:rPr>
            </w:pPr>
            <w:r>
              <w:rPr>
                <w:rFonts w:cs="Arial"/>
                <w:szCs w:val="18"/>
                <w:lang w:val="en-GB"/>
              </w:rPr>
              <w:t xml:space="preserve">   </w:t>
            </w:r>
            <w:r w:rsidR="00905A2B">
              <w:rPr>
                <w:rFonts w:cs="Arial"/>
                <w:szCs w:val="18"/>
                <w:lang w:val="en-GB"/>
              </w:rPr>
              <w:t xml:space="preserve"> Nitrogen</w:t>
            </w:r>
          </w:p>
        </w:tc>
        <w:tc>
          <w:tcPr>
            <w:tcW w:w="1361" w:type="dxa"/>
            <w:shd w:val="clear" w:color="auto" w:fill="FFFFFF"/>
            <w:vAlign w:val="center"/>
          </w:tcPr>
          <w:p w14:paraId="3127152C" w14:textId="6C80676F" w:rsidR="00F309D3" w:rsidRPr="00964ED3" w:rsidRDefault="00796660" w:rsidP="00F03B66">
            <w:pPr>
              <w:pStyle w:val="CETBodytext"/>
              <w:ind w:right="-1"/>
              <w:jc w:val="left"/>
              <w:rPr>
                <w:rFonts w:cs="Arial"/>
                <w:szCs w:val="18"/>
                <w:lang w:val="en-GB"/>
              </w:rPr>
            </w:pPr>
            <w:r w:rsidRPr="00964ED3">
              <w:rPr>
                <w:rFonts w:cs="Arial"/>
                <w:szCs w:val="18"/>
                <w:lang w:val="en-GB"/>
              </w:rPr>
              <w:t>0.08</w:t>
            </w:r>
            <w:r w:rsidR="003A4F27" w:rsidRPr="00964ED3">
              <w:rPr>
                <w:rFonts w:cs="Arial"/>
                <w:szCs w:val="18"/>
                <w:lang w:val="en-GB"/>
              </w:rPr>
              <w:t>0</w:t>
            </w:r>
            <w:r w:rsidR="00F03B66" w:rsidRPr="00964ED3">
              <w:rPr>
                <w:rFonts w:cs="Arial"/>
                <w:szCs w:val="18"/>
                <w:lang w:val="en-GB"/>
              </w:rPr>
              <w:t>2</w:t>
            </w:r>
          </w:p>
        </w:tc>
        <w:tc>
          <w:tcPr>
            <w:tcW w:w="1871" w:type="dxa"/>
            <w:shd w:val="clear" w:color="auto" w:fill="FFFFFF"/>
            <w:vAlign w:val="center"/>
          </w:tcPr>
          <w:p w14:paraId="436419B8" w14:textId="2B9F0CA2" w:rsidR="00F309D3" w:rsidRPr="00964ED3" w:rsidRDefault="00796660" w:rsidP="00AA3B0D">
            <w:pPr>
              <w:pStyle w:val="CETBodytext"/>
              <w:ind w:right="-1"/>
              <w:jc w:val="left"/>
              <w:rPr>
                <w:rFonts w:cs="Arial"/>
                <w:szCs w:val="18"/>
                <w:lang w:val="en-GB"/>
              </w:rPr>
            </w:pPr>
            <w:r w:rsidRPr="00964ED3">
              <w:rPr>
                <w:rFonts w:cs="Arial"/>
                <w:szCs w:val="18"/>
                <w:lang w:val="en-GB"/>
              </w:rPr>
              <w:t>0.07</w:t>
            </w:r>
            <w:r w:rsidR="003A4F27" w:rsidRPr="00964ED3">
              <w:rPr>
                <w:rFonts w:cs="Arial"/>
                <w:szCs w:val="18"/>
                <w:lang w:val="en-GB"/>
              </w:rPr>
              <w:t>55</w:t>
            </w:r>
          </w:p>
        </w:tc>
      </w:tr>
      <w:tr w:rsidR="000F2E62" w:rsidRPr="00B57B36" w14:paraId="1EFB9EE7" w14:textId="77777777" w:rsidTr="000F2E62">
        <w:tc>
          <w:tcPr>
            <w:tcW w:w="2665" w:type="dxa"/>
            <w:shd w:val="clear" w:color="auto" w:fill="FFFFFF"/>
          </w:tcPr>
          <w:p w14:paraId="3755248E" w14:textId="25AF0110" w:rsidR="000F2E62" w:rsidRDefault="001F367E" w:rsidP="00AA3B0D">
            <w:pPr>
              <w:pStyle w:val="CETBodytext"/>
              <w:ind w:right="-1"/>
              <w:jc w:val="left"/>
              <w:rPr>
                <w:rFonts w:cs="Arial"/>
                <w:szCs w:val="18"/>
                <w:lang w:val="en-GB"/>
              </w:rPr>
            </w:pPr>
            <w:r>
              <w:rPr>
                <w:rFonts w:cs="Arial"/>
                <w:szCs w:val="18"/>
                <w:lang w:val="en-GB"/>
              </w:rPr>
              <w:t>MAT</w:t>
            </w:r>
            <w:r w:rsidR="000F2E62">
              <w:rPr>
                <w:rFonts w:cs="Arial"/>
                <w:szCs w:val="18"/>
                <w:lang w:val="en-GB"/>
              </w:rPr>
              <w:t>, °C</w:t>
            </w:r>
          </w:p>
        </w:tc>
        <w:tc>
          <w:tcPr>
            <w:tcW w:w="1361" w:type="dxa"/>
            <w:shd w:val="clear" w:color="auto" w:fill="FFFFFF"/>
            <w:vAlign w:val="center"/>
          </w:tcPr>
          <w:p w14:paraId="5868276A" w14:textId="6BE2C3E9" w:rsidR="000F2E62" w:rsidRPr="00964ED3" w:rsidRDefault="002707AB" w:rsidP="003A4F27">
            <w:pPr>
              <w:pStyle w:val="CETBodytext"/>
              <w:ind w:right="-1"/>
              <w:jc w:val="left"/>
              <w:rPr>
                <w:rFonts w:cs="Arial"/>
                <w:szCs w:val="18"/>
                <w:lang w:val="en-GB"/>
              </w:rPr>
            </w:pPr>
            <w:r w:rsidRPr="00964ED3">
              <w:rPr>
                <w:rFonts w:cs="Arial"/>
                <w:szCs w:val="18"/>
                <w:lang w:val="en-GB"/>
              </w:rPr>
              <w:t>3.017</w:t>
            </w:r>
          </w:p>
        </w:tc>
        <w:tc>
          <w:tcPr>
            <w:tcW w:w="1871" w:type="dxa"/>
            <w:shd w:val="clear" w:color="auto" w:fill="FFFFFF"/>
            <w:vAlign w:val="center"/>
          </w:tcPr>
          <w:p w14:paraId="2EBCE074" w14:textId="1B0FD044" w:rsidR="000F2E62" w:rsidRPr="00964ED3" w:rsidRDefault="00F03B66" w:rsidP="00AA3B0D">
            <w:pPr>
              <w:pStyle w:val="CETBodytext"/>
              <w:ind w:right="-1"/>
              <w:jc w:val="left"/>
              <w:rPr>
                <w:rFonts w:cs="Arial"/>
                <w:szCs w:val="18"/>
                <w:lang w:val="en-GB"/>
              </w:rPr>
            </w:pPr>
            <w:r w:rsidRPr="00964ED3">
              <w:rPr>
                <w:rFonts w:cs="Arial"/>
                <w:szCs w:val="18"/>
                <w:lang w:val="en-GB"/>
              </w:rPr>
              <w:t>2.998</w:t>
            </w:r>
          </w:p>
        </w:tc>
      </w:tr>
      <w:tr w:rsidR="000F2E62" w:rsidRPr="00B57B36" w14:paraId="2EE17315" w14:textId="77777777" w:rsidTr="000F2E62">
        <w:tc>
          <w:tcPr>
            <w:tcW w:w="2665" w:type="dxa"/>
            <w:shd w:val="clear" w:color="auto" w:fill="FFFFFF"/>
          </w:tcPr>
          <w:p w14:paraId="360BD8D0" w14:textId="2D114870" w:rsidR="000F2E62" w:rsidRDefault="000F2E62" w:rsidP="00AA3B0D">
            <w:pPr>
              <w:pStyle w:val="CETBodytext"/>
              <w:ind w:right="-1"/>
              <w:jc w:val="left"/>
              <w:rPr>
                <w:rFonts w:cs="Arial"/>
                <w:szCs w:val="18"/>
                <w:lang w:val="en-GB"/>
              </w:rPr>
            </w:pPr>
            <w:r>
              <w:rPr>
                <w:rFonts w:cs="Arial"/>
                <w:szCs w:val="18"/>
                <w:lang w:val="en-GB"/>
              </w:rPr>
              <w:t>Total compression power, kW</w:t>
            </w:r>
          </w:p>
        </w:tc>
        <w:tc>
          <w:tcPr>
            <w:tcW w:w="1361" w:type="dxa"/>
            <w:shd w:val="clear" w:color="auto" w:fill="FFFFFF"/>
            <w:vAlign w:val="center"/>
          </w:tcPr>
          <w:p w14:paraId="7F8975AE" w14:textId="303A42DC" w:rsidR="000F2E62" w:rsidRPr="00964ED3" w:rsidRDefault="000F2E62" w:rsidP="002707AB">
            <w:pPr>
              <w:pStyle w:val="CETBodytext"/>
              <w:ind w:right="-1"/>
              <w:jc w:val="left"/>
              <w:rPr>
                <w:rFonts w:cs="Arial"/>
                <w:szCs w:val="18"/>
                <w:lang w:val="en-GB"/>
              </w:rPr>
            </w:pPr>
            <w:r w:rsidRPr="00964ED3">
              <w:rPr>
                <w:rFonts w:cs="Arial"/>
                <w:szCs w:val="18"/>
                <w:lang w:val="en-GB"/>
              </w:rPr>
              <w:t>0.</w:t>
            </w:r>
            <w:r w:rsidR="003A4F27" w:rsidRPr="00964ED3">
              <w:rPr>
                <w:rFonts w:cs="Arial"/>
                <w:szCs w:val="18"/>
                <w:lang w:val="en-GB"/>
              </w:rPr>
              <w:t>555</w:t>
            </w:r>
            <w:r w:rsidR="002707AB" w:rsidRPr="00964ED3">
              <w:rPr>
                <w:rFonts w:cs="Arial"/>
                <w:szCs w:val="18"/>
                <w:lang w:val="en-GB"/>
              </w:rPr>
              <w:t>6</w:t>
            </w:r>
          </w:p>
        </w:tc>
        <w:tc>
          <w:tcPr>
            <w:tcW w:w="1871" w:type="dxa"/>
            <w:shd w:val="clear" w:color="auto" w:fill="FFFFFF"/>
            <w:vAlign w:val="center"/>
          </w:tcPr>
          <w:p w14:paraId="57749769" w14:textId="1ECE3E1F" w:rsidR="000F2E62" w:rsidRPr="00964ED3" w:rsidRDefault="00F03B66" w:rsidP="00AA3B0D">
            <w:pPr>
              <w:pStyle w:val="CETBodytext"/>
              <w:ind w:right="-1"/>
              <w:jc w:val="left"/>
              <w:rPr>
                <w:rFonts w:cs="Arial"/>
                <w:szCs w:val="18"/>
                <w:lang w:val="en-GB"/>
              </w:rPr>
            </w:pPr>
            <w:r w:rsidRPr="00964ED3">
              <w:rPr>
                <w:rFonts w:cs="Arial"/>
                <w:szCs w:val="18"/>
                <w:lang w:val="en-GB"/>
              </w:rPr>
              <w:t>0.5271</w:t>
            </w:r>
          </w:p>
        </w:tc>
      </w:tr>
    </w:tbl>
    <w:p w14:paraId="44E7C04B" w14:textId="3FCA6B8C" w:rsidR="00F309D3" w:rsidRDefault="00F309D3" w:rsidP="00600535">
      <w:pPr>
        <w:pStyle w:val="CETBodytext"/>
        <w:rPr>
          <w:lang w:val="en-GB"/>
        </w:rPr>
      </w:pPr>
    </w:p>
    <w:p w14:paraId="2458D8BA" w14:textId="19644024" w:rsidR="00E01F15" w:rsidRDefault="00827BC3" w:rsidP="00E01F15">
      <w:pPr>
        <w:pStyle w:val="CETBodytext"/>
        <w:rPr>
          <w:lang w:val="en-GB"/>
        </w:rPr>
      </w:pPr>
      <w:r>
        <w:rPr>
          <w:lang w:val="en-GB"/>
        </w:rPr>
        <w:t>The shape of the cold composite curve is due to the fact that in the low-temperature region, the evaporation of the MR occurs, while at higher temperatures the vapour is superheated.</w:t>
      </w:r>
      <w:r w:rsidR="00D408BE">
        <w:rPr>
          <w:lang w:val="en-GB"/>
        </w:rPr>
        <w:t xml:space="preserve"> Note that the hot composite curve in </w:t>
      </w:r>
      <w:r w:rsidR="00D408BE" w:rsidRPr="00743AFE">
        <w:rPr>
          <w:lang w:val="en-GB"/>
        </w:rPr>
        <w:t xml:space="preserve">Figure 2 is made of warm refrigerant </w:t>
      </w:r>
      <w:r w:rsidR="00743AFE" w:rsidRPr="00743AFE">
        <w:rPr>
          <w:lang w:val="en-GB"/>
        </w:rPr>
        <w:t xml:space="preserve">(dotted red line) </w:t>
      </w:r>
      <w:r w:rsidR="00D408BE" w:rsidRPr="00743AFE">
        <w:rPr>
          <w:lang w:val="en-GB"/>
        </w:rPr>
        <w:t xml:space="preserve">and </w:t>
      </w:r>
      <w:r w:rsidR="006B099B" w:rsidRPr="00743AFE">
        <w:rPr>
          <w:lang w:val="en-GB"/>
        </w:rPr>
        <w:t>natural gas</w:t>
      </w:r>
      <w:r w:rsidR="00743AFE" w:rsidRPr="00743AFE">
        <w:rPr>
          <w:lang w:val="en-GB"/>
        </w:rPr>
        <w:t xml:space="preserve"> (dashed red line)</w:t>
      </w:r>
      <w:r w:rsidR="006B099B" w:rsidRPr="00743AFE">
        <w:rPr>
          <w:lang w:val="en-GB"/>
        </w:rPr>
        <w:t xml:space="preserve">, </w:t>
      </w:r>
      <w:r w:rsidR="00D408BE" w:rsidRPr="00743AFE">
        <w:rPr>
          <w:lang w:val="en-GB"/>
        </w:rPr>
        <w:t>an</w:t>
      </w:r>
      <w:r w:rsidR="00D408BE">
        <w:rPr>
          <w:lang w:val="en-GB"/>
        </w:rPr>
        <w:t xml:space="preserve">d </w:t>
      </w:r>
      <w:r w:rsidR="006B099B">
        <w:rPr>
          <w:lang w:val="en-GB"/>
        </w:rPr>
        <w:t xml:space="preserve">it </w:t>
      </w:r>
      <w:r w:rsidR="00D408BE">
        <w:rPr>
          <w:lang w:val="en-GB"/>
        </w:rPr>
        <w:t xml:space="preserve">varies with </w:t>
      </w:r>
      <w:r w:rsidR="001F367E">
        <w:rPr>
          <w:lang w:val="en-GB"/>
        </w:rPr>
        <w:t xml:space="preserve">both </w:t>
      </w:r>
      <w:r w:rsidR="00D408BE">
        <w:rPr>
          <w:lang w:val="en-GB"/>
        </w:rPr>
        <w:t>the MR composition</w:t>
      </w:r>
      <w:r w:rsidR="001F367E">
        <w:rPr>
          <w:lang w:val="en-GB"/>
        </w:rPr>
        <w:t xml:space="preserve"> and the NG inlet conditions</w:t>
      </w:r>
      <w:r w:rsidR="00D408BE">
        <w:rPr>
          <w:lang w:val="en-GB"/>
        </w:rPr>
        <w:t>.</w:t>
      </w:r>
      <w:r w:rsidR="006B099B">
        <w:rPr>
          <w:lang w:val="en-GB"/>
        </w:rPr>
        <w:t xml:space="preserve"> The discontinuity that can be observed in the hot composite curve occurs in the region of the MCHE where the natural gas stream is liquefied (around -83 °C and -87.6 °C, respe</w:t>
      </w:r>
      <w:r w:rsidR="0090521C">
        <w:rPr>
          <w:lang w:val="en-GB"/>
        </w:rPr>
        <w:t>ctively</w:t>
      </w:r>
      <w:r w:rsidR="00B913F1">
        <w:rPr>
          <w:lang w:val="en-GB"/>
        </w:rPr>
        <w:t>,</w:t>
      </w:r>
      <w:r w:rsidR="0090521C">
        <w:rPr>
          <w:lang w:val="en-GB"/>
        </w:rPr>
        <w:t xml:space="preserve"> in the conventional and</w:t>
      </w:r>
      <w:r w:rsidR="006B099B">
        <w:rPr>
          <w:lang w:val="en-GB"/>
        </w:rPr>
        <w:t xml:space="preserve"> in the low-temperature case study).</w:t>
      </w:r>
      <w:r w:rsidR="00B913F1">
        <w:rPr>
          <w:lang w:val="en-GB"/>
        </w:rPr>
        <w:t xml:space="preserve"> </w:t>
      </w:r>
      <w:r w:rsidR="00AB263D">
        <w:rPr>
          <w:lang w:val="en-GB"/>
        </w:rPr>
        <w:t xml:space="preserve">The heat to be removed in the </w:t>
      </w:r>
      <w:r w:rsidR="00A54D62">
        <w:rPr>
          <w:lang w:val="en-GB"/>
        </w:rPr>
        <w:t xml:space="preserve">           </w:t>
      </w:r>
      <w:r w:rsidR="00AB263D">
        <w:rPr>
          <w:lang w:val="en-GB"/>
        </w:rPr>
        <w:t>low-temperature case study is certainly lower than the one in the conventional case, requiring a lower amount of refrigerant to be used</w:t>
      </w:r>
      <w:r w:rsidR="00DC697D">
        <w:rPr>
          <w:lang w:val="en-GB"/>
        </w:rPr>
        <w:t xml:space="preserve"> (Table 3) and, </w:t>
      </w:r>
      <w:r w:rsidR="00DC697D" w:rsidRPr="00567DD3">
        <w:rPr>
          <w:lang w:val="en-GB"/>
        </w:rPr>
        <w:t>thus, resulting</w:t>
      </w:r>
      <w:r w:rsidR="00AB263D" w:rsidRPr="00567DD3">
        <w:rPr>
          <w:lang w:val="en-GB"/>
        </w:rPr>
        <w:t xml:space="preserve"> in a</w:t>
      </w:r>
      <w:r w:rsidR="004F074A" w:rsidRPr="00567DD3">
        <w:rPr>
          <w:lang w:val="en-GB"/>
        </w:rPr>
        <w:t xml:space="preserve"> </w:t>
      </w:r>
      <w:r w:rsidR="0090521C" w:rsidRPr="00567DD3">
        <w:rPr>
          <w:lang w:val="en-GB"/>
        </w:rPr>
        <w:t>lower total compression power.</w:t>
      </w:r>
      <w:r w:rsidR="00A339AA" w:rsidRPr="00567DD3">
        <w:rPr>
          <w:lang w:val="en-GB"/>
        </w:rPr>
        <w:t xml:space="preserve"> </w:t>
      </w:r>
      <w:r w:rsidR="00567DD3" w:rsidRPr="00567DD3">
        <w:rPr>
          <w:lang w:val="en-GB"/>
        </w:rPr>
        <w:t>The</w:t>
      </w:r>
      <w:r w:rsidR="004F074A" w:rsidRPr="00567DD3">
        <w:rPr>
          <w:lang w:val="en-GB"/>
        </w:rPr>
        <w:t xml:space="preserve"> little difference is due to the fact that the optimization focused on the MR composition and flow rate without taking into ac</w:t>
      </w:r>
      <w:r w:rsidR="00567DD3" w:rsidRPr="00567DD3">
        <w:rPr>
          <w:lang w:val="en-GB"/>
        </w:rPr>
        <w:t>count other variables, which might</w:t>
      </w:r>
      <w:r w:rsidR="004F074A" w:rsidRPr="00567DD3">
        <w:rPr>
          <w:lang w:val="en-GB"/>
        </w:rPr>
        <w:t xml:space="preserve"> lead to larger differences between the </w:t>
      </w:r>
      <w:r w:rsidR="00567DD3" w:rsidRPr="00567DD3">
        <w:rPr>
          <w:lang w:val="en-GB"/>
        </w:rPr>
        <w:t xml:space="preserve">power consumptions of the </w:t>
      </w:r>
      <w:r w:rsidR="004F074A" w:rsidRPr="00567DD3">
        <w:rPr>
          <w:lang w:val="en-GB"/>
        </w:rPr>
        <w:t>two case studies.</w:t>
      </w:r>
      <w:bookmarkStart w:id="0" w:name="_GoBack"/>
      <w:bookmarkEnd w:id="0"/>
      <w:r w:rsidR="004F074A">
        <w:rPr>
          <w:lang w:val="en-GB"/>
        </w:rPr>
        <w:t xml:space="preserve"> </w:t>
      </w:r>
    </w:p>
    <w:p w14:paraId="1102A2F1" w14:textId="77777777" w:rsidR="00E01F15" w:rsidRDefault="00E01F15" w:rsidP="00E01F15">
      <w:pPr>
        <w:pStyle w:val="CETCaption"/>
        <w:rPr>
          <w:i w:val="0"/>
        </w:rPr>
      </w:pPr>
      <w:r w:rsidRPr="000E0279">
        <w:rPr>
          <w:noProof/>
          <w:lang w:eastAsia="en-GB"/>
        </w:rPr>
        <w:drawing>
          <wp:inline distT="0" distB="0" distL="0" distR="0" wp14:anchorId="66529383" wp14:editId="02E4E716">
            <wp:extent cx="2426400" cy="1915200"/>
            <wp:effectExtent l="0" t="0" r="0" b="889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6400" cy="1915200"/>
                    </a:xfrm>
                    <a:prstGeom prst="rect">
                      <a:avLst/>
                    </a:prstGeom>
                    <a:noFill/>
                    <a:ln>
                      <a:noFill/>
                    </a:ln>
                  </pic:spPr>
                </pic:pic>
              </a:graphicData>
            </a:graphic>
          </wp:inline>
        </w:drawing>
      </w:r>
      <w:r>
        <w:t>a)</w:t>
      </w:r>
      <w:r w:rsidRPr="00837D22">
        <w:rPr>
          <w:i w:val="0"/>
        </w:rPr>
        <w:t xml:space="preserve"> </w:t>
      </w:r>
      <w:r w:rsidRPr="004862F6">
        <w:rPr>
          <w:noProof/>
          <w:lang w:eastAsia="en-GB"/>
        </w:rPr>
        <w:drawing>
          <wp:inline distT="0" distB="0" distL="0" distR="0" wp14:anchorId="47E389F2" wp14:editId="2281F88E">
            <wp:extent cx="2426400" cy="19116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6400" cy="1911600"/>
                    </a:xfrm>
                    <a:prstGeom prst="rect">
                      <a:avLst/>
                    </a:prstGeom>
                    <a:noFill/>
                    <a:ln>
                      <a:noFill/>
                    </a:ln>
                  </pic:spPr>
                </pic:pic>
              </a:graphicData>
            </a:graphic>
          </wp:inline>
        </w:drawing>
      </w:r>
      <w:r>
        <w:rPr>
          <w:i w:val="0"/>
        </w:rPr>
        <w:t>b)</w:t>
      </w:r>
    </w:p>
    <w:p w14:paraId="2D31B0A6" w14:textId="77777777" w:rsidR="00E01F15" w:rsidRDefault="00E01F15" w:rsidP="00E01F15">
      <w:pPr>
        <w:pStyle w:val="CETCaption"/>
      </w:pPr>
      <w:r w:rsidRPr="00B57B36">
        <w:t xml:space="preserve">Figure </w:t>
      </w:r>
      <w:r>
        <w:t>2</w:t>
      </w:r>
      <w:r w:rsidRPr="00B57B36">
        <w:t xml:space="preserve">: </w:t>
      </w:r>
      <w:r>
        <w:t>Hot and cold composite curves for the MCHE in the: a) conventional case study; b) low-temperature case study</w:t>
      </w:r>
    </w:p>
    <w:p w14:paraId="2493A3B5" w14:textId="1F0E4777" w:rsidR="001C14F5" w:rsidRPr="001C14F5" w:rsidRDefault="004F074A" w:rsidP="00E01F15">
      <w:pPr>
        <w:pStyle w:val="CETBodytext"/>
      </w:pPr>
      <w:r w:rsidRPr="00A54D62">
        <w:rPr>
          <w:lang w:val="en-GB"/>
        </w:rPr>
        <w:lastRenderedPageBreak/>
        <w:t>It is im</w:t>
      </w:r>
      <w:r>
        <w:rPr>
          <w:lang w:val="en-GB"/>
        </w:rPr>
        <w:t xml:space="preserve">portant to point out that, if the same MR that resulted the best one for the conventional case study were used in the low-temperature one, a temperature cross in the MCHE would have occurred. Assuming the same composition has to be used while changing the inlet conditions (namely, decreasing the inlet temperature) of the NG stream, the liquefaction could be performed by increasing the MR flowrate and, therefore, at a higher compression power. </w:t>
      </w:r>
      <w:r w:rsidR="00A339AA" w:rsidRPr="00E41382">
        <w:rPr>
          <w:lang w:val="en-GB"/>
        </w:rPr>
        <w:t>As far as the composition is considered, in or</w:t>
      </w:r>
      <w:r w:rsidR="00A339AA">
        <w:rPr>
          <w:lang w:val="en-GB"/>
        </w:rPr>
        <w:t>der to better understand how it affects the problem under investigation, Figure 3 and Figure 4 illustrate the power and the MAT in the MCHE</w:t>
      </w:r>
      <w:r w:rsidR="00F04816">
        <w:rPr>
          <w:lang w:val="en-GB"/>
        </w:rPr>
        <w:t xml:space="preserve">, given by the </w:t>
      </w:r>
      <w:r w:rsidR="00A339AA">
        <w:rPr>
          <w:lang w:val="en-GB"/>
        </w:rPr>
        <w:t>colourful scale o</w:t>
      </w:r>
      <w:r w:rsidR="00F04816">
        <w:rPr>
          <w:lang w:val="en-GB"/>
        </w:rPr>
        <w:t>n the right side of each figure,</w:t>
      </w:r>
      <w:r w:rsidR="00A339AA">
        <w:rPr>
          <w:lang w:val="en-GB"/>
        </w:rPr>
        <w:t xml:space="preserve"> for different sets of mole fractions of propane (C3), ethane (C2) and methane (C1) for the low-temperature case study (the mole </w:t>
      </w:r>
      <w:r w:rsidR="00A339AA" w:rsidRPr="00EA2E4D">
        <w:rPr>
          <w:lang w:val="en-GB"/>
        </w:rPr>
        <w:t xml:space="preserve">fraction of </w:t>
      </w:r>
      <w:r w:rsidR="00F04816" w:rsidRPr="00EA2E4D">
        <w:rPr>
          <w:lang w:val="en-GB"/>
        </w:rPr>
        <w:t>nitrogen</w:t>
      </w:r>
      <w:r w:rsidR="00A339AA" w:rsidRPr="00EA2E4D">
        <w:rPr>
          <w:lang w:val="en-GB"/>
        </w:rPr>
        <w:t xml:space="preserve"> in the MR can be inferred </w:t>
      </w:r>
      <w:r w:rsidR="006270FC" w:rsidRPr="00EA2E4D">
        <w:rPr>
          <w:lang w:val="en-GB"/>
        </w:rPr>
        <w:t xml:space="preserve">by </w:t>
      </w:r>
      <w:r w:rsidR="00A339AA" w:rsidRPr="00EA2E4D">
        <w:rPr>
          <w:lang w:val="en-GB"/>
        </w:rPr>
        <w:t>subtracting the sum of the other three mole fractions from unity). Th</w:t>
      </w:r>
      <w:r w:rsidR="00A339AA">
        <w:rPr>
          <w:lang w:val="en-GB"/>
        </w:rPr>
        <w:t xml:space="preserve">e molar flowrate of the MR has been set equal to the value reported in Table 3 for the low-temperature case study. </w:t>
      </w:r>
    </w:p>
    <w:p w14:paraId="65C13EE3" w14:textId="7C354B45" w:rsidR="008407D7" w:rsidRPr="001D3A6A" w:rsidRDefault="002A7DEE" w:rsidP="001D3A6A">
      <w:pPr>
        <w:pStyle w:val="CETBodytext"/>
        <w:rPr>
          <w:lang w:val="en-GB"/>
        </w:rPr>
      </w:pPr>
      <w:r>
        <w:rPr>
          <w:lang w:val="en-GB"/>
        </w:rPr>
        <w:pict w14:anchorId="0B5528E1">
          <v:shape id="_x0000_i1026" type="#_x0000_t75" style="width:439.5pt;height:220.4pt">
            <v:imagedata r:id="rId15" o:title="Power low-T new rotation 1 (black square)"/>
          </v:shape>
        </w:pict>
      </w:r>
    </w:p>
    <w:p w14:paraId="4AA1D325" w14:textId="0F0D5E47" w:rsidR="008C770E" w:rsidRDefault="008C770E" w:rsidP="00964ED3">
      <w:pPr>
        <w:pStyle w:val="CETCaption"/>
      </w:pPr>
      <w:r w:rsidRPr="00B57B36">
        <w:t xml:space="preserve">Figure </w:t>
      </w:r>
      <w:r>
        <w:t>3</w:t>
      </w:r>
      <w:r w:rsidRPr="00B57B36">
        <w:t xml:space="preserve">: </w:t>
      </w:r>
      <w:r>
        <w:t>Effect of the com</w:t>
      </w:r>
      <w:r w:rsidR="001F367E">
        <w:t>position of the MR</w:t>
      </w:r>
      <w:r w:rsidR="00964ED3">
        <w:t xml:space="preserve"> on the total compression power </w:t>
      </w:r>
      <w:r w:rsidR="00C66C87">
        <w:t>at fixed molar flow</w:t>
      </w:r>
      <w:r>
        <w:t>rate</w:t>
      </w:r>
      <w:r w:rsidR="00964ED3">
        <w:t>,</w:t>
      </w:r>
      <w:r>
        <w:t xml:space="preserve"> as reported in Table 3 for the low-temperature</w:t>
      </w:r>
      <w:r w:rsidR="00964ED3">
        <w:t xml:space="preserve"> case study</w:t>
      </w:r>
      <w:r w:rsidR="00E3405E">
        <w:t xml:space="preserve"> (the black filled square corresponds to the optimum in Table 3)</w:t>
      </w:r>
    </w:p>
    <w:p w14:paraId="0EDFCC7A" w14:textId="4E240D24" w:rsidR="00C10083" w:rsidRDefault="002A7DEE" w:rsidP="00692B44">
      <w:pPr>
        <w:pStyle w:val="CETCaption"/>
      </w:pPr>
      <w:r>
        <w:rPr>
          <w:noProof/>
          <w:lang w:eastAsia="en-GB"/>
        </w:rPr>
        <w:pict w14:anchorId="6B65859A">
          <v:shape id="_x0000_i1027" type="#_x0000_t75" style="width:439.5pt;height:220.4pt">
            <v:imagedata r:id="rId16" o:title="MAT low-T new rotation 1 (black square)"/>
          </v:shape>
        </w:pict>
      </w:r>
    </w:p>
    <w:p w14:paraId="0C4A08AE" w14:textId="35ED5256" w:rsidR="00692B44" w:rsidRDefault="008C770E" w:rsidP="00692B44">
      <w:pPr>
        <w:pStyle w:val="CETCaption"/>
      </w:pPr>
      <w:r w:rsidRPr="00B57B36">
        <w:t xml:space="preserve">Figure </w:t>
      </w:r>
      <w:r>
        <w:t>4</w:t>
      </w:r>
      <w:r w:rsidRPr="00B57B36">
        <w:t xml:space="preserve">: </w:t>
      </w:r>
      <w:r>
        <w:t xml:space="preserve">Effect of the composition of the </w:t>
      </w:r>
      <w:r w:rsidR="001F367E">
        <w:t>MR</w:t>
      </w:r>
      <w:r w:rsidR="00964ED3">
        <w:t xml:space="preserve"> on the MA</w:t>
      </w:r>
      <w:r w:rsidR="001F367E">
        <w:t>T</w:t>
      </w:r>
      <w:r w:rsidR="00964ED3">
        <w:t xml:space="preserve"> in the MCHE</w:t>
      </w:r>
      <w:r w:rsidR="00C66C87">
        <w:t xml:space="preserve"> at fixed molar flow</w:t>
      </w:r>
      <w:r>
        <w:t>rate</w:t>
      </w:r>
      <w:r w:rsidR="00964ED3">
        <w:t>,</w:t>
      </w:r>
      <w:r>
        <w:t xml:space="preserve"> as reported in Table 3 for the low-temperature</w:t>
      </w:r>
      <w:r w:rsidR="00964ED3">
        <w:t xml:space="preserve"> case study</w:t>
      </w:r>
      <w:r w:rsidR="00E3405E">
        <w:t xml:space="preserve"> (the black filled square corresponds to the optimum in Table 3)</w:t>
      </w:r>
    </w:p>
    <w:p w14:paraId="2C1B8AF1" w14:textId="5C7A2683" w:rsidR="00E01F15" w:rsidRPr="00E01F15" w:rsidRDefault="00E01F15" w:rsidP="00E01F15">
      <w:pPr>
        <w:pStyle w:val="CETBodytext"/>
      </w:pPr>
      <w:r w:rsidRPr="00994221">
        <w:t xml:space="preserve">The </w:t>
      </w:r>
      <w:r>
        <w:t>pyramidal shape of the two plots is due to the fact that only the feasible mol</w:t>
      </w:r>
      <w:r w:rsidRPr="00EA2E4D">
        <w:t>e</w:t>
      </w:r>
      <w:r>
        <w:t xml:space="preserve"> fractions combinations are illustrated. Figure 3 shows that, if the mixed refrigerant is composed of propane only, the total power required </w:t>
      </w:r>
      <w:r>
        <w:lastRenderedPageBreak/>
        <w:t>for compression is minimum (blue circle in Figure 3), which, however, leads to an unfeasible condition due to a negative MAT, as shown in Figure 4. On the contrary, if it is composed of N</w:t>
      </w:r>
      <w:r w:rsidRPr="00994221">
        <w:rPr>
          <w:vertAlign w:val="subscript"/>
        </w:rPr>
        <w:t>2</w:t>
      </w:r>
      <w:r>
        <w:t xml:space="preserve"> only (which also leads to an unfeasible condition due to a negative MAT, as shown in Figure 4), it requires the highest compression power (bright yellow circle in Figure 3). This can be explained considering that a mixture mainly consisting of N</w:t>
      </w:r>
      <w:r w:rsidRPr="003C6AEC">
        <w:rPr>
          <w:vertAlign w:val="subscript"/>
        </w:rPr>
        <w:t>2</w:t>
      </w:r>
      <w:r>
        <w:t xml:space="preserve"> and methane is able to exchange less latent heat (due to a lower heat of vaporization) and, when it exchanges sensible heat, it tends to increment its temperature more than a mixture mainly consisting of propane and ethane (due to a lower specific heat). This leads, in turn, to a higher temperature at the outlet of the MCHE and, thus, at the inlet of the compression train, resulting in a higher compression power required, which is proportional to the temperature at the inlet of the compression train. Of course, these observations regarding the power requirement must be coupled with those concerning the feasibility of the heat exchange process itself and, therefore, with the analysis of the MAT in the MCHE. As shown in Figure 4, if the MR is composed of a pure component the refrigeration process is not feasible because of a temperature cross within the MCHE, with the worst case corresponding to the one involving pure N</w:t>
      </w:r>
      <w:r w:rsidRPr="00964ED3">
        <w:rPr>
          <w:vertAlign w:val="subscript"/>
        </w:rPr>
        <w:t>2</w:t>
      </w:r>
      <w:r>
        <w:t xml:space="preserve"> as cooling medium.</w:t>
      </w:r>
    </w:p>
    <w:p w14:paraId="08D26DA0" w14:textId="77777777" w:rsidR="001C14F5" w:rsidRPr="00B57B36" w:rsidRDefault="001C14F5" w:rsidP="001C14F5">
      <w:pPr>
        <w:pStyle w:val="CETHeading1"/>
        <w:rPr>
          <w:lang w:val="en-GB"/>
        </w:rPr>
      </w:pPr>
      <w:r w:rsidRPr="00B57B36">
        <w:rPr>
          <w:lang w:val="en-GB"/>
        </w:rPr>
        <w:t>Conclusions</w:t>
      </w:r>
    </w:p>
    <w:p w14:paraId="6E6A8DE5" w14:textId="2CB2E92C" w:rsidR="001C14F5" w:rsidRPr="001C14F5" w:rsidRDefault="001C14F5" w:rsidP="001C14F5">
      <w:pPr>
        <w:pStyle w:val="CETBodytext"/>
        <w:rPr>
          <w:lang w:val="en-GB"/>
        </w:rPr>
      </w:pPr>
      <w:r>
        <w:rPr>
          <w:lang w:val="en-GB"/>
        </w:rPr>
        <w:t>Considering the recent interest in novel low-temperature acid gas removal technologies for the purification of natural gas and the increasing importance gained by LNG, this work points out the need for adapting the liquefaction process so that it is able to treat a NG stream that is at a temperature lower than the typical ones. Thus, taking the SMR liquefaction process into account, simulations have been performed in Aspen Hysys</w:t>
      </w:r>
      <w:r w:rsidRPr="00416E57">
        <w:rPr>
          <w:vertAlign w:val="superscript"/>
          <w:lang w:val="en-GB"/>
        </w:rPr>
        <w:t>®</w:t>
      </w:r>
      <w:r>
        <w:rPr>
          <w:lang w:val="en-GB"/>
        </w:rPr>
        <w:t xml:space="preserve"> and the optimization has been managed through MATLAB</w:t>
      </w:r>
      <w:r w:rsidRPr="00416E57">
        <w:rPr>
          <w:vertAlign w:val="superscript"/>
          <w:lang w:val="en-GB"/>
        </w:rPr>
        <w:t>®</w:t>
      </w:r>
      <w:r>
        <w:rPr>
          <w:lang w:val="en-GB"/>
        </w:rPr>
        <w:t xml:space="preserve"> on the basis of the grid-search method. The results confirm that, even with a relatively simple liquefaction process, it is not possible to use the same mixed refrigerant in a convenient way for liquefaction of a natural gas mixture obtained from different acid gas removal units. On the contrary, its composition and flowrate must be adjusted for each case, which results in a lower consumption for a natural gas stream that is already available at low-temperature. The problem addressed in this work certainly requires further investigation in order to find a method for an overall optimization of the liquefaction process and/or to design one more suitable to liquefy a natural gas that has undergone a </w:t>
      </w:r>
      <w:r w:rsidR="0094133B">
        <w:rPr>
          <w:lang w:val="en-GB"/>
        </w:rPr>
        <w:t xml:space="preserve">                 </w:t>
      </w:r>
      <w:r>
        <w:rPr>
          <w:lang w:val="en-GB"/>
        </w:rPr>
        <w:t>low-temperature acid gas removal process upstream.</w:t>
      </w:r>
    </w:p>
    <w:p w14:paraId="24D6670F" w14:textId="77777777" w:rsidR="00600535" w:rsidRPr="00B57B36" w:rsidRDefault="00600535" w:rsidP="00600535">
      <w:pPr>
        <w:pStyle w:val="CETReference"/>
      </w:pPr>
      <w:r w:rsidRPr="00B57B36">
        <w:t>References</w:t>
      </w:r>
    </w:p>
    <w:p w14:paraId="5A84885A" w14:textId="2D9919D0" w:rsidR="00964924" w:rsidRPr="00B2291D" w:rsidRDefault="00964924" w:rsidP="008571E9">
      <w:pPr>
        <w:pStyle w:val="CETReferencetext"/>
      </w:pPr>
      <w:r>
        <w:t>AspenTech, 2016</w:t>
      </w:r>
      <w:r w:rsidR="008A1514">
        <w:t>,</w:t>
      </w:r>
      <w:r w:rsidRPr="00B2291D">
        <w:t xml:space="preserve"> Aspen </w:t>
      </w:r>
      <w:r>
        <w:t>Hysy</w:t>
      </w:r>
      <w:r w:rsidRPr="00B2291D">
        <w:t>s</w:t>
      </w:r>
      <w:r w:rsidRPr="00B2291D">
        <w:rPr>
          <w:vertAlign w:val="superscript"/>
        </w:rPr>
        <w:t>®</w:t>
      </w:r>
      <w:r w:rsidRPr="00B2291D">
        <w:t>, Burlington, MA, United States.</w:t>
      </w:r>
    </w:p>
    <w:p w14:paraId="5486D2C3" w14:textId="6590102D" w:rsidR="00F139CF" w:rsidRDefault="00F139CF" w:rsidP="008571E9">
      <w:pPr>
        <w:pStyle w:val="CETReferencetext"/>
      </w:pPr>
      <w:r w:rsidRPr="00F139CF">
        <w:t>Berstad D., Nekså P., Anantharaman R., 2012</w:t>
      </w:r>
      <w:r w:rsidR="008A1514">
        <w:t>,</w:t>
      </w:r>
      <w:r w:rsidRPr="00F139CF">
        <w:t xml:space="preserve"> Low-temperature CO</w:t>
      </w:r>
      <w:r w:rsidRPr="00F139CF">
        <w:rPr>
          <w:vertAlign w:val="subscript"/>
        </w:rPr>
        <w:t>2</w:t>
      </w:r>
      <w:r w:rsidRPr="00F139CF">
        <w:t xml:space="preserve"> removal from natural gas</w:t>
      </w:r>
      <w:r w:rsidR="008A1514">
        <w:t>,</w:t>
      </w:r>
      <w:r w:rsidRPr="00F139CF">
        <w:t> </w:t>
      </w:r>
      <w:r w:rsidRPr="00F139CF">
        <w:rPr>
          <w:iCs/>
        </w:rPr>
        <w:t>Energy Procedia</w:t>
      </w:r>
      <w:r w:rsidRPr="00F139CF">
        <w:t>, </w:t>
      </w:r>
      <w:r w:rsidRPr="00F139CF">
        <w:rPr>
          <w:iCs/>
        </w:rPr>
        <w:t>26</w:t>
      </w:r>
      <w:r w:rsidRPr="00F139CF">
        <w:t>, 41-48.</w:t>
      </w:r>
    </w:p>
    <w:p w14:paraId="356EA910" w14:textId="77777777" w:rsidR="00400507" w:rsidRPr="00B2291D" w:rsidRDefault="00400507" w:rsidP="008571E9">
      <w:pPr>
        <w:pStyle w:val="CETReferencetext"/>
      </w:pPr>
      <w:r w:rsidRPr="00B2291D">
        <w:t>De Guido G., Pellegrini L.</w:t>
      </w:r>
      <w:r>
        <w:t>A., Besagni G., Inzoli F., 2017,</w:t>
      </w:r>
      <w:r w:rsidRPr="00B2291D">
        <w:t xml:space="preserve"> Acid gas removal fr</w:t>
      </w:r>
      <w:r>
        <w:t>om natural gas by water washing,</w:t>
      </w:r>
      <w:r w:rsidRPr="00B2291D">
        <w:t> </w:t>
      </w:r>
      <w:r w:rsidRPr="00B2291D">
        <w:rPr>
          <w:iCs/>
        </w:rPr>
        <w:t>Chemical Engineering Transactions</w:t>
      </w:r>
      <w:r w:rsidRPr="00B2291D">
        <w:t>, </w:t>
      </w:r>
      <w:r w:rsidRPr="00B2291D">
        <w:rPr>
          <w:iCs/>
        </w:rPr>
        <w:t>57</w:t>
      </w:r>
      <w:r w:rsidRPr="00B2291D">
        <w:t>, 1129-1134.</w:t>
      </w:r>
    </w:p>
    <w:p w14:paraId="3D05BB60" w14:textId="3B073B0E" w:rsidR="00311938" w:rsidRDefault="00311938" w:rsidP="008571E9">
      <w:pPr>
        <w:pStyle w:val="CETReferencetext"/>
      </w:pPr>
      <w:r>
        <w:t>Holmes</w:t>
      </w:r>
      <w:r w:rsidR="008A1514">
        <w:t xml:space="preserve"> A.S., </w:t>
      </w:r>
      <w:r>
        <w:t>Ryan</w:t>
      </w:r>
      <w:r w:rsidR="008A1514">
        <w:t xml:space="preserve"> J.M.</w:t>
      </w:r>
      <w:r>
        <w:t>, 1982</w:t>
      </w:r>
      <w:r w:rsidR="008A1514">
        <w:t>,</w:t>
      </w:r>
      <w:r>
        <w:t xml:space="preserve"> Cryogenic Distillative Separation of Acid Gas from Methane, US Patent 4,318,723.</w:t>
      </w:r>
    </w:p>
    <w:p w14:paraId="4C31D0E0" w14:textId="0BB50046" w:rsidR="00E4072E" w:rsidRDefault="00E4072E" w:rsidP="008571E9">
      <w:pPr>
        <w:pStyle w:val="CETReferencetext"/>
      </w:pPr>
      <w:r>
        <w:t>Khan M.S., Lee S., Rangaiah G.P., Lee</w:t>
      </w:r>
      <w:r w:rsidRPr="00E4072E">
        <w:t xml:space="preserve"> M.</w:t>
      </w:r>
      <w:r>
        <w:t>, 2013</w:t>
      </w:r>
      <w:r w:rsidR="008A1514">
        <w:t>,</w:t>
      </w:r>
      <w:r w:rsidRPr="00E4072E">
        <w:t xml:space="preserve"> Knowledge based decision making method for the selection of mixed refrigerant systems for energy efficient LNG processes</w:t>
      </w:r>
      <w:r w:rsidR="008A1514">
        <w:t>,</w:t>
      </w:r>
      <w:r w:rsidRPr="00E4072E">
        <w:t> </w:t>
      </w:r>
      <w:r>
        <w:rPr>
          <w:iCs/>
        </w:rPr>
        <w:t>Applied E</w:t>
      </w:r>
      <w:r w:rsidRPr="00E4072E">
        <w:rPr>
          <w:iCs/>
        </w:rPr>
        <w:t>nergy</w:t>
      </w:r>
      <w:r w:rsidRPr="00E4072E">
        <w:t>, </w:t>
      </w:r>
      <w:r w:rsidRPr="00E4072E">
        <w:rPr>
          <w:iCs/>
        </w:rPr>
        <w:t>111</w:t>
      </w:r>
      <w:r w:rsidRPr="00E4072E">
        <w:t>, 1018-1031.</w:t>
      </w:r>
    </w:p>
    <w:p w14:paraId="2EC4B84F" w14:textId="36209632" w:rsidR="00261B9C" w:rsidRDefault="00261B9C" w:rsidP="008571E9">
      <w:pPr>
        <w:pStyle w:val="CETReferencetext"/>
      </w:pPr>
      <w:r w:rsidRPr="00261B9C">
        <w:t>Khan M.S., Karimi</w:t>
      </w:r>
      <w:r>
        <w:t xml:space="preserve"> I.A., Bahadori A., Lee</w:t>
      </w:r>
      <w:r w:rsidRPr="00261B9C">
        <w:t xml:space="preserve"> M.</w:t>
      </w:r>
      <w:r>
        <w:t>, 2015</w:t>
      </w:r>
      <w:r w:rsidR="008A1514">
        <w:t>,</w:t>
      </w:r>
      <w:r w:rsidRPr="00261B9C">
        <w:t xml:space="preserve"> Sequential coordinate random search for optimal operation of LNG (liquefied natural gas) plant</w:t>
      </w:r>
      <w:r w:rsidR="008A1514">
        <w:t>,</w:t>
      </w:r>
      <w:r w:rsidRPr="00261B9C">
        <w:t> </w:t>
      </w:r>
      <w:r w:rsidRPr="00261B9C">
        <w:rPr>
          <w:iCs/>
        </w:rPr>
        <w:t>Energy</w:t>
      </w:r>
      <w:r w:rsidRPr="00261B9C">
        <w:t>, </w:t>
      </w:r>
      <w:r w:rsidRPr="00261B9C">
        <w:rPr>
          <w:iCs/>
        </w:rPr>
        <w:t>89</w:t>
      </w:r>
      <w:r w:rsidRPr="00261B9C">
        <w:t>, 757-767.</w:t>
      </w:r>
    </w:p>
    <w:p w14:paraId="172840B3" w14:textId="77777777" w:rsidR="00817D8F" w:rsidRDefault="00817D8F" w:rsidP="008571E9">
      <w:pPr>
        <w:pStyle w:val="CETReferencetext"/>
      </w:pPr>
      <w:r w:rsidRPr="00817D8F">
        <w:t>Kohl A.L., Nielsen R., 1997, Gas Purification, 5</w:t>
      </w:r>
      <w:r w:rsidRPr="0075259E">
        <w:rPr>
          <w:vertAlign w:val="superscript"/>
        </w:rPr>
        <w:t>th</w:t>
      </w:r>
      <w:r w:rsidRPr="00817D8F">
        <w:t xml:space="preserve"> ed, Texas: Gulf Publishing Company, Book Division.</w:t>
      </w:r>
    </w:p>
    <w:p w14:paraId="618FD29F" w14:textId="77777777" w:rsidR="00400507" w:rsidRPr="00964924" w:rsidRDefault="00400507" w:rsidP="008571E9">
      <w:pPr>
        <w:pStyle w:val="CETReferencetext"/>
      </w:pPr>
      <w:r w:rsidRPr="00964924">
        <w:t>MathWorks, Inc., MATLAB</w:t>
      </w:r>
      <w:r w:rsidRPr="008A1514">
        <w:rPr>
          <w:vertAlign w:val="superscript"/>
        </w:rPr>
        <w:t>®</w:t>
      </w:r>
      <w:r w:rsidRPr="00964924">
        <w:t>, 2018.</w:t>
      </w:r>
    </w:p>
    <w:p w14:paraId="503C6C9C" w14:textId="1329983D" w:rsidR="00C1229A" w:rsidRDefault="008A1514" w:rsidP="008571E9">
      <w:pPr>
        <w:pStyle w:val="CETReferencetext"/>
      </w:pPr>
      <w:r>
        <w:t>Pellegrini L.A., 2014,</w:t>
      </w:r>
      <w:r w:rsidR="00C1229A" w:rsidRPr="00C1229A">
        <w:t xml:space="preserve"> Process for the removal of CO</w:t>
      </w:r>
      <w:r w:rsidR="00C1229A" w:rsidRPr="00C1229A">
        <w:rPr>
          <w:vertAlign w:val="subscript"/>
        </w:rPr>
        <w:t>2</w:t>
      </w:r>
      <w:r w:rsidR="00C1229A" w:rsidRPr="00C1229A">
        <w:t xml:space="preserve"> from Acid Gas, WO Pa</w:t>
      </w:r>
      <w:r w:rsidR="00C1229A">
        <w:t>tent 2014/054945A2.</w:t>
      </w:r>
    </w:p>
    <w:p w14:paraId="0AB7EF2C" w14:textId="0221BFF8" w:rsidR="00201B70" w:rsidRDefault="00201B70" w:rsidP="008571E9">
      <w:pPr>
        <w:pStyle w:val="CETReferencetext"/>
      </w:pPr>
      <w:r w:rsidRPr="008A1514">
        <w:t>Pellegrini L.A., De Guido G., Langè S.,</w:t>
      </w:r>
      <w:r w:rsidR="009C4A63">
        <w:t xml:space="preserve"> Moioli S., Picutti B., Vergani</w:t>
      </w:r>
      <w:r w:rsidRPr="008A1514">
        <w:t xml:space="preserve"> P., Franzoni G., Brignoli F., 2016</w:t>
      </w:r>
      <w:r w:rsidR="008A1514" w:rsidRPr="008A1514">
        <w:t>,</w:t>
      </w:r>
      <w:r w:rsidRPr="008A1514">
        <w:t xml:space="preserve"> </w:t>
      </w:r>
      <w:r w:rsidRPr="00201B70">
        <w:t>The Potential of a New Distillation Process for the Upgrading of Acid Gas</w:t>
      </w:r>
      <w:r w:rsidR="009C4A63">
        <w:t>, in</w:t>
      </w:r>
      <w:r>
        <w:t xml:space="preserve">: </w:t>
      </w:r>
      <w:r w:rsidRPr="00201B70">
        <w:rPr>
          <w:iCs/>
        </w:rPr>
        <w:t>Abu Dhabi International Petroleum Exhibition &amp; Conference</w:t>
      </w:r>
      <w:r w:rsidR="008A1514">
        <w:t>,</w:t>
      </w:r>
      <w:r w:rsidRPr="00201B70">
        <w:t xml:space="preserve"> Society of Petroleum Engineers.</w:t>
      </w:r>
    </w:p>
    <w:p w14:paraId="239CD610" w14:textId="24C16D3F" w:rsidR="00236C09" w:rsidRPr="008A1514" w:rsidRDefault="00236C09" w:rsidP="008571E9">
      <w:pPr>
        <w:pStyle w:val="CETReferencetext"/>
      </w:pPr>
      <w:r w:rsidRPr="008A1514">
        <w:t>Pellegrini L.A., De Guido G., Langé S., 2018</w:t>
      </w:r>
      <w:r w:rsidR="008A1514" w:rsidRPr="008A1514">
        <w:t>,</w:t>
      </w:r>
      <w:r w:rsidRPr="008A1514">
        <w:t xml:space="preserve"> </w:t>
      </w:r>
      <w:r w:rsidRPr="00236C09">
        <w:t>Biogas to liquefied biomethane via cryogenic upgrading technologies</w:t>
      </w:r>
      <w:r w:rsidR="008A1514">
        <w:t>,</w:t>
      </w:r>
      <w:r w:rsidRPr="00236C09">
        <w:t> </w:t>
      </w:r>
      <w:r w:rsidRPr="008A1514">
        <w:rPr>
          <w:iCs/>
        </w:rPr>
        <w:t>Renewable Energy</w:t>
      </w:r>
      <w:r w:rsidRPr="008A1514">
        <w:t>, </w:t>
      </w:r>
      <w:r w:rsidRPr="008A1514">
        <w:rPr>
          <w:iCs/>
        </w:rPr>
        <w:t>124</w:t>
      </w:r>
      <w:r w:rsidRPr="008A1514">
        <w:t>, 75-83.</w:t>
      </w:r>
    </w:p>
    <w:p w14:paraId="4285F277" w14:textId="68CF5660" w:rsidR="00B91DAA" w:rsidRDefault="00B91DAA" w:rsidP="008571E9">
      <w:pPr>
        <w:pStyle w:val="CETReferencetext"/>
      </w:pPr>
      <w:r w:rsidRPr="008A1514">
        <w:t>Pellegrini L.A., De Guido G., Valentina V., 2019</w:t>
      </w:r>
      <w:r w:rsidR="008A1514" w:rsidRPr="008A1514">
        <w:t>,</w:t>
      </w:r>
      <w:r w:rsidRPr="008A1514">
        <w:t xml:space="preserve"> </w:t>
      </w:r>
      <w:r w:rsidRPr="00B91DAA">
        <w:t>Energy and exergy analysis of acid gas removal processes in the LNG production chain</w:t>
      </w:r>
      <w:r w:rsidR="008A1514">
        <w:t>,</w:t>
      </w:r>
      <w:r w:rsidRPr="00B91DAA">
        <w:t> </w:t>
      </w:r>
      <w:r w:rsidRPr="00B91DAA">
        <w:rPr>
          <w:iCs/>
        </w:rPr>
        <w:t>Journal of Natural Gas Science and Engineering</w:t>
      </w:r>
      <w:r w:rsidRPr="00B91DAA">
        <w:t>, </w:t>
      </w:r>
      <w:r w:rsidRPr="00B91DAA">
        <w:rPr>
          <w:iCs/>
        </w:rPr>
        <w:t>61</w:t>
      </w:r>
      <w:r w:rsidRPr="00B91DAA">
        <w:t>, 303-319.</w:t>
      </w:r>
    </w:p>
    <w:p w14:paraId="75319A7B" w14:textId="3B2809F0" w:rsidR="00193544" w:rsidRPr="00B91DAA" w:rsidRDefault="00193544" w:rsidP="008571E9">
      <w:pPr>
        <w:pStyle w:val="CETReferencetext"/>
      </w:pPr>
      <w:r w:rsidRPr="00193544">
        <w:t>Sepiacci P., Depetri V., Manca D</w:t>
      </w:r>
      <w:r w:rsidR="00C44794">
        <w:t>.</w:t>
      </w:r>
      <w:r w:rsidRPr="00193544">
        <w:t>, 2017, A systematic approach to the optimal design of chemical plants with waste r</w:t>
      </w:r>
      <w:r>
        <w:t>eduction and market uncertainty,</w:t>
      </w:r>
      <w:r w:rsidRPr="00193544">
        <w:t> </w:t>
      </w:r>
      <w:r w:rsidRPr="00193544">
        <w:rPr>
          <w:iCs/>
        </w:rPr>
        <w:t>Computers &amp; Chemical Engineering</w:t>
      </w:r>
      <w:r w:rsidRPr="00193544">
        <w:t>, </w:t>
      </w:r>
      <w:r w:rsidRPr="00193544">
        <w:rPr>
          <w:iCs/>
        </w:rPr>
        <w:t>102</w:t>
      </w:r>
      <w:r w:rsidRPr="00193544">
        <w:t>, 96-109.</w:t>
      </w:r>
    </w:p>
    <w:p w14:paraId="62516811" w14:textId="7D6A90A0" w:rsidR="005B5510" w:rsidRDefault="005B5510" w:rsidP="008571E9">
      <w:pPr>
        <w:pStyle w:val="CETReferencetext"/>
      </w:pPr>
      <w:r>
        <w:t>Valencia J.A., Kelman S.D., Nagavarapu A.K., Maher D.</w:t>
      </w:r>
      <w:r w:rsidRPr="005B5510">
        <w:t>W.</w:t>
      </w:r>
      <w:r>
        <w:t xml:space="preserve">, 2014, </w:t>
      </w:r>
      <w:r w:rsidRPr="005B5510">
        <w:t>The controlled freeze zone technology for the commerci</w:t>
      </w:r>
      <w:r>
        <w:t xml:space="preserve">alization of sour gas resources, in: </w:t>
      </w:r>
      <w:r w:rsidRPr="005B5510">
        <w:t>International Petroleum Technology Conference</w:t>
      </w:r>
      <w:r>
        <w:t xml:space="preserve"> (</w:t>
      </w:r>
      <w:r w:rsidRPr="005B5510">
        <w:t>IPTC 2014).</w:t>
      </w:r>
    </w:p>
    <w:sectPr w:rsidR="005B5510" w:rsidSect="00201B7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4EB4C" w14:textId="77777777" w:rsidR="00B42A54" w:rsidRDefault="00B42A54" w:rsidP="004F5E36">
      <w:r>
        <w:separator/>
      </w:r>
    </w:p>
  </w:endnote>
  <w:endnote w:type="continuationSeparator" w:id="0">
    <w:p w14:paraId="0751858E" w14:textId="77777777" w:rsidR="00B42A54" w:rsidRDefault="00B42A5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83EAA" w14:textId="77777777" w:rsidR="00B42A54" w:rsidRDefault="00B42A54" w:rsidP="004F5E36">
      <w:r>
        <w:separator/>
      </w:r>
    </w:p>
  </w:footnote>
  <w:footnote w:type="continuationSeparator" w:id="0">
    <w:p w14:paraId="73317834" w14:textId="77777777" w:rsidR="00B42A54" w:rsidRDefault="00B42A5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88C577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983"/>
    <w:rsid w:val="000052FB"/>
    <w:rsid w:val="00006920"/>
    <w:rsid w:val="00010F40"/>
    <w:rsid w:val="000117CB"/>
    <w:rsid w:val="00017B60"/>
    <w:rsid w:val="00023F24"/>
    <w:rsid w:val="0003148D"/>
    <w:rsid w:val="00047D7F"/>
    <w:rsid w:val="00051566"/>
    <w:rsid w:val="00062A9A"/>
    <w:rsid w:val="00065058"/>
    <w:rsid w:val="00067242"/>
    <w:rsid w:val="00070098"/>
    <w:rsid w:val="00086C39"/>
    <w:rsid w:val="00092A6E"/>
    <w:rsid w:val="00093FBE"/>
    <w:rsid w:val="000A03B2"/>
    <w:rsid w:val="000A3B79"/>
    <w:rsid w:val="000B4796"/>
    <w:rsid w:val="000D34BE"/>
    <w:rsid w:val="000D6EFC"/>
    <w:rsid w:val="000E0279"/>
    <w:rsid w:val="000E102F"/>
    <w:rsid w:val="000E36F1"/>
    <w:rsid w:val="000E3A73"/>
    <w:rsid w:val="000E414A"/>
    <w:rsid w:val="000F093C"/>
    <w:rsid w:val="000F16BD"/>
    <w:rsid w:val="000F2E62"/>
    <w:rsid w:val="000F3E16"/>
    <w:rsid w:val="000F787B"/>
    <w:rsid w:val="00120442"/>
    <w:rsid w:val="0012091F"/>
    <w:rsid w:val="00126BC2"/>
    <w:rsid w:val="001308B6"/>
    <w:rsid w:val="0013121F"/>
    <w:rsid w:val="00131FAB"/>
    <w:rsid w:val="00131FE6"/>
    <w:rsid w:val="0013263F"/>
    <w:rsid w:val="00134DE4"/>
    <w:rsid w:val="0014034D"/>
    <w:rsid w:val="00150E59"/>
    <w:rsid w:val="00152DE3"/>
    <w:rsid w:val="0015411D"/>
    <w:rsid w:val="00155B34"/>
    <w:rsid w:val="00155F61"/>
    <w:rsid w:val="00156188"/>
    <w:rsid w:val="00162642"/>
    <w:rsid w:val="00164CF9"/>
    <w:rsid w:val="00184AD6"/>
    <w:rsid w:val="00193544"/>
    <w:rsid w:val="001A466F"/>
    <w:rsid w:val="001A48D7"/>
    <w:rsid w:val="001B0349"/>
    <w:rsid w:val="001B65C1"/>
    <w:rsid w:val="001C14F5"/>
    <w:rsid w:val="001C684B"/>
    <w:rsid w:val="001C6F31"/>
    <w:rsid w:val="001D3A6A"/>
    <w:rsid w:val="001D53FC"/>
    <w:rsid w:val="001D7129"/>
    <w:rsid w:val="001E1F17"/>
    <w:rsid w:val="001F367E"/>
    <w:rsid w:val="001F42A5"/>
    <w:rsid w:val="001F7961"/>
    <w:rsid w:val="001F7B9D"/>
    <w:rsid w:val="00201B70"/>
    <w:rsid w:val="00207C6C"/>
    <w:rsid w:val="002200FA"/>
    <w:rsid w:val="002224B4"/>
    <w:rsid w:val="002363EF"/>
    <w:rsid w:val="00236C09"/>
    <w:rsid w:val="002447EF"/>
    <w:rsid w:val="00251550"/>
    <w:rsid w:val="00252C1A"/>
    <w:rsid w:val="00261B9C"/>
    <w:rsid w:val="00263B05"/>
    <w:rsid w:val="002707AB"/>
    <w:rsid w:val="0027221A"/>
    <w:rsid w:val="002733B9"/>
    <w:rsid w:val="002751D7"/>
    <w:rsid w:val="00275B61"/>
    <w:rsid w:val="00282656"/>
    <w:rsid w:val="00285D79"/>
    <w:rsid w:val="00292A1C"/>
    <w:rsid w:val="00296B83"/>
    <w:rsid w:val="002A06C0"/>
    <w:rsid w:val="002A7DEE"/>
    <w:rsid w:val="002B2CD7"/>
    <w:rsid w:val="002B4AF5"/>
    <w:rsid w:val="002B78CE"/>
    <w:rsid w:val="002C2FB6"/>
    <w:rsid w:val="002C463C"/>
    <w:rsid w:val="002C7FA6"/>
    <w:rsid w:val="002D5BCD"/>
    <w:rsid w:val="002D6744"/>
    <w:rsid w:val="002F0760"/>
    <w:rsid w:val="002F2731"/>
    <w:rsid w:val="003009B7"/>
    <w:rsid w:val="00300E56"/>
    <w:rsid w:val="0030469C"/>
    <w:rsid w:val="00311938"/>
    <w:rsid w:val="00313028"/>
    <w:rsid w:val="00316EA5"/>
    <w:rsid w:val="00317BF4"/>
    <w:rsid w:val="00321CA6"/>
    <w:rsid w:val="00324328"/>
    <w:rsid w:val="00334C09"/>
    <w:rsid w:val="003365E3"/>
    <w:rsid w:val="003410F4"/>
    <w:rsid w:val="003723D4"/>
    <w:rsid w:val="00372956"/>
    <w:rsid w:val="00384CC8"/>
    <w:rsid w:val="003871FD"/>
    <w:rsid w:val="003A1E30"/>
    <w:rsid w:val="003A4939"/>
    <w:rsid w:val="003A4F27"/>
    <w:rsid w:val="003A7D1C"/>
    <w:rsid w:val="003B146A"/>
    <w:rsid w:val="003B304B"/>
    <w:rsid w:val="003B3146"/>
    <w:rsid w:val="003B60F3"/>
    <w:rsid w:val="003C51A1"/>
    <w:rsid w:val="003C6AEC"/>
    <w:rsid w:val="003E00D4"/>
    <w:rsid w:val="003F015E"/>
    <w:rsid w:val="00400414"/>
    <w:rsid w:val="00400507"/>
    <w:rsid w:val="00410498"/>
    <w:rsid w:val="0041446B"/>
    <w:rsid w:val="00416E57"/>
    <w:rsid w:val="00431F8B"/>
    <w:rsid w:val="00433C0D"/>
    <w:rsid w:val="00441708"/>
    <w:rsid w:val="0044329C"/>
    <w:rsid w:val="004543FC"/>
    <w:rsid w:val="004577FE"/>
    <w:rsid w:val="00457B9C"/>
    <w:rsid w:val="0046164A"/>
    <w:rsid w:val="004628D2"/>
    <w:rsid w:val="00462DCD"/>
    <w:rsid w:val="004648AD"/>
    <w:rsid w:val="00464C79"/>
    <w:rsid w:val="004703A9"/>
    <w:rsid w:val="00475327"/>
    <w:rsid w:val="004760DE"/>
    <w:rsid w:val="004862F6"/>
    <w:rsid w:val="004A004E"/>
    <w:rsid w:val="004A24CF"/>
    <w:rsid w:val="004B6721"/>
    <w:rsid w:val="004C3D1D"/>
    <w:rsid w:val="004C7913"/>
    <w:rsid w:val="004D0476"/>
    <w:rsid w:val="004E4DD6"/>
    <w:rsid w:val="004E5EF7"/>
    <w:rsid w:val="004F074A"/>
    <w:rsid w:val="004F5E36"/>
    <w:rsid w:val="00507B47"/>
    <w:rsid w:val="00507CC9"/>
    <w:rsid w:val="005119A5"/>
    <w:rsid w:val="00511A54"/>
    <w:rsid w:val="005140BB"/>
    <w:rsid w:val="00521825"/>
    <w:rsid w:val="005278B7"/>
    <w:rsid w:val="00530E35"/>
    <w:rsid w:val="00532016"/>
    <w:rsid w:val="005346C8"/>
    <w:rsid w:val="00543E7D"/>
    <w:rsid w:val="00546B05"/>
    <w:rsid w:val="00547A68"/>
    <w:rsid w:val="005531C9"/>
    <w:rsid w:val="00567DD3"/>
    <w:rsid w:val="00586BDA"/>
    <w:rsid w:val="00594305"/>
    <w:rsid w:val="005A52FF"/>
    <w:rsid w:val="005B2110"/>
    <w:rsid w:val="005B5510"/>
    <w:rsid w:val="005B61E6"/>
    <w:rsid w:val="005C77E1"/>
    <w:rsid w:val="005C7986"/>
    <w:rsid w:val="005D3797"/>
    <w:rsid w:val="005D6A2F"/>
    <w:rsid w:val="005E02AC"/>
    <w:rsid w:val="005E1A82"/>
    <w:rsid w:val="005E6759"/>
    <w:rsid w:val="005E794C"/>
    <w:rsid w:val="005F0A28"/>
    <w:rsid w:val="005F0E5E"/>
    <w:rsid w:val="00600535"/>
    <w:rsid w:val="00610CD6"/>
    <w:rsid w:val="00611C42"/>
    <w:rsid w:val="00620DEE"/>
    <w:rsid w:val="00621F92"/>
    <w:rsid w:val="00625639"/>
    <w:rsid w:val="006270FC"/>
    <w:rsid w:val="00631B33"/>
    <w:rsid w:val="0064184D"/>
    <w:rsid w:val="006422CC"/>
    <w:rsid w:val="00642678"/>
    <w:rsid w:val="00657586"/>
    <w:rsid w:val="00660E3E"/>
    <w:rsid w:val="00662E74"/>
    <w:rsid w:val="00673BBC"/>
    <w:rsid w:val="00680C23"/>
    <w:rsid w:val="00692B44"/>
    <w:rsid w:val="00693766"/>
    <w:rsid w:val="006A04AC"/>
    <w:rsid w:val="006A3281"/>
    <w:rsid w:val="006B099B"/>
    <w:rsid w:val="006B0F7C"/>
    <w:rsid w:val="006B4888"/>
    <w:rsid w:val="006C2E45"/>
    <w:rsid w:val="006C359C"/>
    <w:rsid w:val="006C5579"/>
    <w:rsid w:val="006D3555"/>
    <w:rsid w:val="006E06A5"/>
    <w:rsid w:val="006E737D"/>
    <w:rsid w:val="006F2E0E"/>
    <w:rsid w:val="0070195D"/>
    <w:rsid w:val="00720A24"/>
    <w:rsid w:val="00732386"/>
    <w:rsid w:val="00732FCB"/>
    <w:rsid w:val="0073651F"/>
    <w:rsid w:val="00743AFE"/>
    <w:rsid w:val="007447F3"/>
    <w:rsid w:val="00744A30"/>
    <w:rsid w:val="0075259E"/>
    <w:rsid w:val="00753454"/>
    <w:rsid w:val="0075499F"/>
    <w:rsid w:val="00763EBA"/>
    <w:rsid w:val="007661C8"/>
    <w:rsid w:val="0077098D"/>
    <w:rsid w:val="00784184"/>
    <w:rsid w:val="00791166"/>
    <w:rsid w:val="007931FA"/>
    <w:rsid w:val="00796660"/>
    <w:rsid w:val="007A7BBA"/>
    <w:rsid w:val="007B0C50"/>
    <w:rsid w:val="007C1A43"/>
    <w:rsid w:val="007C2C31"/>
    <w:rsid w:val="007D6A33"/>
    <w:rsid w:val="007E1DC6"/>
    <w:rsid w:val="007E3656"/>
    <w:rsid w:val="007E3B73"/>
    <w:rsid w:val="007E4BF9"/>
    <w:rsid w:val="0081132C"/>
    <w:rsid w:val="00813288"/>
    <w:rsid w:val="00814312"/>
    <w:rsid w:val="008168FC"/>
    <w:rsid w:val="00817D8F"/>
    <w:rsid w:val="00827BC3"/>
    <w:rsid w:val="00830996"/>
    <w:rsid w:val="008345F1"/>
    <w:rsid w:val="00837D22"/>
    <w:rsid w:val="008407D7"/>
    <w:rsid w:val="008571E9"/>
    <w:rsid w:val="00864740"/>
    <w:rsid w:val="00865B07"/>
    <w:rsid w:val="008667EA"/>
    <w:rsid w:val="00870BEA"/>
    <w:rsid w:val="0087637F"/>
    <w:rsid w:val="0087724F"/>
    <w:rsid w:val="008904B9"/>
    <w:rsid w:val="00892AD5"/>
    <w:rsid w:val="008A1512"/>
    <w:rsid w:val="008A1514"/>
    <w:rsid w:val="008C46B2"/>
    <w:rsid w:val="008C770E"/>
    <w:rsid w:val="008C78C1"/>
    <w:rsid w:val="008D32B9"/>
    <w:rsid w:val="008D433B"/>
    <w:rsid w:val="008E2A73"/>
    <w:rsid w:val="008E566E"/>
    <w:rsid w:val="008E782A"/>
    <w:rsid w:val="008F2233"/>
    <w:rsid w:val="008F370A"/>
    <w:rsid w:val="0090161A"/>
    <w:rsid w:val="00901EB6"/>
    <w:rsid w:val="0090396B"/>
    <w:rsid w:val="00904C62"/>
    <w:rsid w:val="0090521C"/>
    <w:rsid w:val="00905A2B"/>
    <w:rsid w:val="00924DAC"/>
    <w:rsid w:val="00927058"/>
    <w:rsid w:val="00932A20"/>
    <w:rsid w:val="0093546F"/>
    <w:rsid w:val="0094133B"/>
    <w:rsid w:val="009450CE"/>
    <w:rsid w:val="00947179"/>
    <w:rsid w:val="0095164B"/>
    <w:rsid w:val="00954090"/>
    <w:rsid w:val="009573E7"/>
    <w:rsid w:val="009635B9"/>
    <w:rsid w:val="00963E05"/>
    <w:rsid w:val="00964924"/>
    <w:rsid w:val="00964ED3"/>
    <w:rsid w:val="00967D54"/>
    <w:rsid w:val="00975E02"/>
    <w:rsid w:val="00976170"/>
    <w:rsid w:val="00994221"/>
    <w:rsid w:val="0099453C"/>
    <w:rsid w:val="00996483"/>
    <w:rsid w:val="00996F5A"/>
    <w:rsid w:val="0099765B"/>
    <w:rsid w:val="009A0A3E"/>
    <w:rsid w:val="009A1147"/>
    <w:rsid w:val="009B041A"/>
    <w:rsid w:val="009B1116"/>
    <w:rsid w:val="009B4723"/>
    <w:rsid w:val="009C4A63"/>
    <w:rsid w:val="009C766E"/>
    <w:rsid w:val="009C7C86"/>
    <w:rsid w:val="009D2FF7"/>
    <w:rsid w:val="009D7AEA"/>
    <w:rsid w:val="009E637D"/>
    <w:rsid w:val="009E7884"/>
    <w:rsid w:val="009E788A"/>
    <w:rsid w:val="009F0E08"/>
    <w:rsid w:val="00A00A38"/>
    <w:rsid w:val="00A1763D"/>
    <w:rsid w:val="00A17CEC"/>
    <w:rsid w:val="00A278FB"/>
    <w:rsid w:val="00A27EF0"/>
    <w:rsid w:val="00A321D5"/>
    <w:rsid w:val="00A339AA"/>
    <w:rsid w:val="00A439A6"/>
    <w:rsid w:val="00A4606D"/>
    <w:rsid w:val="00A50B20"/>
    <w:rsid w:val="00A51390"/>
    <w:rsid w:val="00A53FBB"/>
    <w:rsid w:val="00A54D62"/>
    <w:rsid w:val="00A60D13"/>
    <w:rsid w:val="00A72745"/>
    <w:rsid w:val="00A76EFC"/>
    <w:rsid w:val="00A91010"/>
    <w:rsid w:val="00A97F29"/>
    <w:rsid w:val="00AA2394"/>
    <w:rsid w:val="00AA702E"/>
    <w:rsid w:val="00AB0964"/>
    <w:rsid w:val="00AB263D"/>
    <w:rsid w:val="00AB5011"/>
    <w:rsid w:val="00AB6FF7"/>
    <w:rsid w:val="00AC7368"/>
    <w:rsid w:val="00AD16B9"/>
    <w:rsid w:val="00AE187D"/>
    <w:rsid w:val="00AE377D"/>
    <w:rsid w:val="00AF5E15"/>
    <w:rsid w:val="00B00E7F"/>
    <w:rsid w:val="00B06A65"/>
    <w:rsid w:val="00B17FBD"/>
    <w:rsid w:val="00B315A6"/>
    <w:rsid w:val="00B31813"/>
    <w:rsid w:val="00B33365"/>
    <w:rsid w:val="00B42A54"/>
    <w:rsid w:val="00B46A80"/>
    <w:rsid w:val="00B57982"/>
    <w:rsid w:val="00B57B36"/>
    <w:rsid w:val="00B748A4"/>
    <w:rsid w:val="00B8686D"/>
    <w:rsid w:val="00B913F1"/>
    <w:rsid w:val="00B91DAA"/>
    <w:rsid w:val="00BC30C9"/>
    <w:rsid w:val="00BC67B3"/>
    <w:rsid w:val="00BD0BB6"/>
    <w:rsid w:val="00BE3E58"/>
    <w:rsid w:val="00BE43D1"/>
    <w:rsid w:val="00C00091"/>
    <w:rsid w:val="00C01616"/>
    <w:rsid w:val="00C0162B"/>
    <w:rsid w:val="00C06A5E"/>
    <w:rsid w:val="00C07958"/>
    <w:rsid w:val="00C10083"/>
    <w:rsid w:val="00C1229A"/>
    <w:rsid w:val="00C27D1E"/>
    <w:rsid w:val="00C3065F"/>
    <w:rsid w:val="00C345B1"/>
    <w:rsid w:val="00C40142"/>
    <w:rsid w:val="00C42C9C"/>
    <w:rsid w:val="00C44794"/>
    <w:rsid w:val="00C51AE8"/>
    <w:rsid w:val="00C57182"/>
    <w:rsid w:val="00C57863"/>
    <w:rsid w:val="00C655FD"/>
    <w:rsid w:val="00C66C87"/>
    <w:rsid w:val="00C670C7"/>
    <w:rsid w:val="00C870A8"/>
    <w:rsid w:val="00C94434"/>
    <w:rsid w:val="00CA0D75"/>
    <w:rsid w:val="00CA1C95"/>
    <w:rsid w:val="00CA3FA6"/>
    <w:rsid w:val="00CA5A9C"/>
    <w:rsid w:val="00CA5AEB"/>
    <w:rsid w:val="00CC21B7"/>
    <w:rsid w:val="00CC3270"/>
    <w:rsid w:val="00CD0668"/>
    <w:rsid w:val="00CD3517"/>
    <w:rsid w:val="00CD5A00"/>
    <w:rsid w:val="00CD5FE2"/>
    <w:rsid w:val="00CE16CE"/>
    <w:rsid w:val="00CE7C68"/>
    <w:rsid w:val="00D02B4C"/>
    <w:rsid w:val="00D03B42"/>
    <w:rsid w:val="00D040C4"/>
    <w:rsid w:val="00D118DE"/>
    <w:rsid w:val="00D408BE"/>
    <w:rsid w:val="00D45138"/>
    <w:rsid w:val="00D57C84"/>
    <w:rsid w:val="00D6057D"/>
    <w:rsid w:val="00D668AB"/>
    <w:rsid w:val="00D7294D"/>
    <w:rsid w:val="00D8254C"/>
    <w:rsid w:val="00D833C0"/>
    <w:rsid w:val="00D84576"/>
    <w:rsid w:val="00D90CE5"/>
    <w:rsid w:val="00DA1399"/>
    <w:rsid w:val="00DA24C6"/>
    <w:rsid w:val="00DA2BD5"/>
    <w:rsid w:val="00DA4D7B"/>
    <w:rsid w:val="00DB72F4"/>
    <w:rsid w:val="00DC3360"/>
    <w:rsid w:val="00DC697D"/>
    <w:rsid w:val="00DD09A5"/>
    <w:rsid w:val="00DE0BB7"/>
    <w:rsid w:val="00DE264A"/>
    <w:rsid w:val="00DF10B6"/>
    <w:rsid w:val="00E01F15"/>
    <w:rsid w:val="00E02D18"/>
    <w:rsid w:val="00E041E7"/>
    <w:rsid w:val="00E06DCC"/>
    <w:rsid w:val="00E165BA"/>
    <w:rsid w:val="00E23CA1"/>
    <w:rsid w:val="00E26995"/>
    <w:rsid w:val="00E3405E"/>
    <w:rsid w:val="00E35C58"/>
    <w:rsid w:val="00E4072E"/>
    <w:rsid w:val="00E409A8"/>
    <w:rsid w:val="00E41382"/>
    <w:rsid w:val="00E42173"/>
    <w:rsid w:val="00E50C12"/>
    <w:rsid w:val="00E54F9A"/>
    <w:rsid w:val="00E65B91"/>
    <w:rsid w:val="00E71AA1"/>
    <w:rsid w:val="00E72008"/>
    <w:rsid w:val="00E7209D"/>
    <w:rsid w:val="00E77223"/>
    <w:rsid w:val="00E8528B"/>
    <w:rsid w:val="00E85B94"/>
    <w:rsid w:val="00E966B9"/>
    <w:rsid w:val="00E978D0"/>
    <w:rsid w:val="00EA2E4D"/>
    <w:rsid w:val="00EA4613"/>
    <w:rsid w:val="00EA7F91"/>
    <w:rsid w:val="00EB1523"/>
    <w:rsid w:val="00EC0E49"/>
    <w:rsid w:val="00EE0131"/>
    <w:rsid w:val="00EE34E0"/>
    <w:rsid w:val="00F0051D"/>
    <w:rsid w:val="00F03B66"/>
    <w:rsid w:val="00F04816"/>
    <w:rsid w:val="00F139CF"/>
    <w:rsid w:val="00F155B2"/>
    <w:rsid w:val="00F309D3"/>
    <w:rsid w:val="00F30C64"/>
    <w:rsid w:val="00F32CDB"/>
    <w:rsid w:val="00F63A70"/>
    <w:rsid w:val="00F661B2"/>
    <w:rsid w:val="00F733F2"/>
    <w:rsid w:val="00FA21D0"/>
    <w:rsid w:val="00FA5F5F"/>
    <w:rsid w:val="00FA6046"/>
    <w:rsid w:val="00FB730C"/>
    <w:rsid w:val="00FC2695"/>
    <w:rsid w:val="00FC3E03"/>
    <w:rsid w:val="00FC3FC1"/>
    <w:rsid w:val="00FC638C"/>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A81E6"/>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D0476"/>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D0476"/>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Titolo">
    <w:name w:val="Title"/>
    <w:aliases w:val="Bibliograf."/>
    <w:basedOn w:val="Normale"/>
    <w:link w:val="TitoloCarattere"/>
    <w:uiPriority w:val="10"/>
    <w:qFormat/>
    <w:rsid w:val="00964924"/>
    <w:pPr>
      <w:tabs>
        <w:tab w:val="clear" w:pos="7100"/>
      </w:tabs>
      <w:spacing w:line="360" w:lineRule="auto"/>
      <w:ind w:left="357" w:hanging="357"/>
      <w:contextualSpacing/>
    </w:pPr>
    <w:rPr>
      <w:rFonts w:ascii="Times New Roman" w:eastAsiaTheme="minorHAnsi" w:hAnsi="Times New Roman" w:cstheme="majorBidi"/>
      <w:sz w:val="24"/>
      <w:szCs w:val="52"/>
      <w:lang w:val="en-US" w:bidi="en-US"/>
    </w:rPr>
  </w:style>
  <w:style w:type="character" w:customStyle="1" w:styleId="TitoloCarattere">
    <w:name w:val="Titolo Carattere"/>
    <w:aliases w:val="Bibliograf. Carattere"/>
    <w:basedOn w:val="Carpredefinitoparagrafo"/>
    <w:link w:val="Titolo"/>
    <w:uiPriority w:val="10"/>
    <w:rsid w:val="00964924"/>
    <w:rPr>
      <w:rFonts w:ascii="Times New Roman" w:hAnsi="Times New Roman" w:cstheme="majorBidi"/>
      <w:sz w:val="24"/>
      <w:szCs w:val="5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E0BD-7626-463A-B01B-AE43F859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1763</TotalTime>
  <Pages>6</Pages>
  <Words>3260</Words>
  <Characters>18587</Characters>
  <Application>Microsoft Office Word</Application>
  <DocSecurity>0</DocSecurity>
  <Lines>154</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Giorgia De Guido</cp:lastModifiedBy>
  <cp:revision>202</cp:revision>
  <cp:lastPrinted>2015-05-12T18:31:00Z</cp:lastPrinted>
  <dcterms:created xsi:type="dcterms:W3CDTF">2018-09-26T07:07:00Z</dcterms:created>
  <dcterms:modified xsi:type="dcterms:W3CDTF">2019-04-17T05:57:00Z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