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3F4247">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F4247">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7D2950" w:rsidRPr="008D193D" w:rsidRDefault="007D2950" w:rsidP="007D2950">
      <w:pPr>
        <w:pStyle w:val="CETTitle"/>
        <w:rPr>
          <w:lang w:val="en-US"/>
        </w:rPr>
      </w:pPr>
      <w:r w:rsidRPr="008D193D">
        <w:lastRenderedPageBreak/>
        <w:t xml:space="preserve">Methanol </w:t>
      </w:r>
      <w:r>
        <w:t>Production f</w:t>
      </w:r>
      <w:r w:rsidRPr="008D193D">
        <w:t xml:space="preserve">rom </w:t>
      </w:r>
      <w:r w:rsidR="00D94F8D">
        <w:t xml:space="preserve">Biomass </w:t>
      </w:r>
      <w:r w:rsidRPr="008D193D">
        <w:t>Gasification</w:t>
      </w:r>
      <w:r w:rsidR="00D94F8D">
        <w:t>:</w:t>
      </w:r>
      <w:r w:rsidR="00D94F8D">
        <w:br/>
        <w:t xml:space="preserve">Techno-Economic Assessment of </w:t>
      </w:r>
      <w:r>
        <w:t>Different Feedstocks</w:t>
      </w:r>
    </w:p>
    <w:p w:rsidR="00E978D0" w:rsidRPr="00641621" w:rsidRDefault="00641621" w:rsidP="00AB5011">
      <w:pPr>
        <w:pStyle w:val="CETAuthors"/>
        <w:rPr>
          <w:lang w:val="it-IT"/>
        </w:rPr>
      </w:pPr>
      <w:r>
        <w:rPr>
          <w:lang w:val="it-IT"/>
        </w:rPr>
        <w:t xml:space="preserve">Andre </w:t>
      </w:r>
      <w:r w:rsidRPr="00641621">
        <w:rPr>
          <w:lang w:val="it-IT"/>
        </w:rPr>
        <w:t>F</w:t>
      </w:r>
      <w:r>
        <w:rPr>
          <w:lang w:val="it-IT"/>
        </w:rPr>
        <w:t>.</w:t>
      </w:r>
      <w:r w:rsidRPr="00641621">
        <w:rPr>
          <w:lang w:val="it-IT"/>
        </w:rPr>
        <w:t xml:space="preserve"> Amaral</w:t>
      </w:r>
      <w:r w:rsidRPr="00641621">
        <w:rPr>
          <w:vertAlign w:val="superscript"/>
          <w:lang w:val="it-IT"/>
        </w:rPr>
        <w:t>a</w:t>
      </w:r>
      <w:r w:rsidRPr="00641621">
        <w:rPr>
          <w:lang w:val="it-IT"/>
        </w:rPr>
        <w:t>,</w:t>
      </w:r>
      <w:r>
        <w:rPr>
          <w:lang w:val="it-IT"/>
        </w:rPr>
        <w:t xml:space="preserve"> Daniele Previtali</w:t>
      </w:r>
      <w:r w:rsidRPr="00641621">
        <w:rPr>
          <w:vertAlign w:val="superscript"/>
          <w:lang w:val="it-IT"/>
        </w:rPr>
        <w:t>a</w:t>
      </w:r>
      <w:r w:rsidRPr="00641621">
        <w:rPr>
          <w:lang w:val="it-IT"/>
        </w:rPr>
        <w:t xml:space="preserve">, </w:t>
      </w:r>
      <w:r>
        <w:rPr>
          <w:lang w:val="it-IT"/>
        </w:rPr>
        <w:t xml:space="preserve">Anna </w:t>
      </w:r>
      <w:r w:rsidRPr="00641621">
        <w:rPr>
          <w:lang w:val="it-IT"/>
        </w:rPr>
        <w:t>Dell'Angelo</w:t>
      </w:r>
      <w:r w:rsidRPr="00641621">
        <w:rPr>
          <w:vertAlign w:val="superscript"/>
          <w:lang w:val="it-IT"/>
        </w:rPr>
        <w:t>a</w:t>
      </w:r>
      <w:r w:rsidRPr="00641621">
        <w:rPr>
          <w:lang w:val="it-IT"/>
        </w:rPr>
        <w:t>,</w:t>
      </w:r>
      <w:r>
        <w:rPr>
          <w:lang w:val="it-IT"/>
        </w:rPr>
        <w:t xml:space="preserve"> Filippo</w:t>
      </w:r>
      <w:r w:rsidRPr="00641621">
        <w:rPr>
          <w:lang w:val="it-IT"/>
        </w:rPr>
        <w:t xml:space="preserve"> Bisotti</w:t>
      </w:r>
      <w:r w:rsidRPr="00641621">
        <w:rPr>
          <w:vertAlign w:val="superscript"/>
          <w:lang w:val="it-IT"/>
        </w:rPr>
        <w:t>a</w:t>
      </w:r>
      <w:r w:rsidRPr="00641621">
        <w:rPr>
          <w:lang w:val="it-IT"/>
        </w:rPr>
        <w:t>,</w:t>
      </w:r>
      <w:r>
        <w:rPr>
          <w:lang w:val="it-IT"/>
        </w:rPr>
        <w:t xml:space="preserve"> Alessandro Di Pretoro</w:t>
      </w:r>
      <w:r>
        <w:rPr>
          <w:vertAlign w:val="superscript"/>
          <w:lang w:val="it-IT"/>
        </w:rPr>
        <w:t>b</w:t>
      </w:r>
      <w:r w:rsidRPr="00641621">
        <w:rPr>
          <w:lang w:val="it-IT"/>
        </w:rPr>
        <w:t xml:space="preserve">, </w:t>
      </w:r>
      <w:r>
        <w:rPr>
          <w:lang w:val="it-IT"/>
        </w:rPr>
        <w:t xml:space="preserve">Ecem M. </w:t>
      </w:r>
      <w:r w:rsidRPr="00641621">
        <w:rPr>
          <w:lang w:val="it-IT"/>
        </w:rPr>
        <w:t>Andoglu</w:t>
      </w:r>
      <w:r>
        <w:rPr>
          <w:vertAlign w:val="superscript"/>
          <w:lang w:val="it-IT"/>
        </w:rPr>
        <w:t>c</w:t>
      </w:r>
      <w:r w:rsidRPr="00641621">
        <w:rPr>
          <w:lang w:val="it-IT"/>
        </w:rPr>
        <w:t>,</w:t>
      </w:r>
      <w:r>
        <w:rPr>
          <w:lang w:val="it-IT"/>
        </w:rPr>
        <w:t xml:space="preserve"> Simone</w:t>
      </w:r>
      <w:r w:rsidRPr="00641621">
        <w:rPr>
          <w:lang w:val="it-IT"/>
        </w:rPr>
        <w:t xml:space="preserve"> Colombo</w:t>
      </w:r>
      <w:r w:rsidRPr="00641621">
        <w:rPr>
          <w:vertAlign w:val="superscript"/>
          <w:lang w:val="it-IT"/>
        </w:rPr>
        <w:t>a</w:t>
      </w:r>
      <w:r w:rsidRPr="00641621">
        <w:rPr>
          <w:lang w:val="it-IT"/>
        </w:rPr>
        <w:t>,</w:t>
      </w:r>
      <w:r>
        <w:rPr>
          <w:lang w:val="it-IT"/>
        </w:rPr>
        <w:t xml:space="preserve"> Flavio</w:t>
      </w:r>
      <w:r w:rsidRPr="00641621">
        <w:rPr>
          <w:lang w:val="it-IT"/>
        </w:rPr>
        <w:t xml:space="preserve"> Manenti</w:t>
      </w:r>
      <w:r w:rsidRPr="00641621">
        <w:rPr>
          <w:vertAlign w:val="superscript"/>
          <w:lang w:val="it-IT"/>
        </w:rPr>
        <w:t>a</w:t>
      </w:r>
      <w:r>
        <w:rPr>
          <w:lang w:val="it-IT"/>
        </w:rPr>
        <w:t>*</w:t>
      </w:r>
    </w:p>
    <w:p w:rsidR="00641621" w:rsidRDefault="00641621" w:rsidP="00641621">
      <w:pPr>
        <w:pStyle w:val="CETAddress"/>
        <w:rPr>
          <w:lang w:val="it-IT"/>
        </w:rPr>
      </w:pPr>
      <w:r w:rsidRPr="005057C6">
        <w:rPr>
          <w:vertAlign w:val="superscript"/>
          <w:lang w:val="en-US"/>
        </w:rPr>
        <w:t>a</w:t>
      </w:r>
      <w:r w:rsidRPr="005057C6">
        <w:rPr>
          <w:lang w:val="en-US"/>
        </w:rPr>
        <w:t xml:space="preserve"> Polytechnic University of Milan, CMIC Dept. </w:t>
      </w:r>
      <w:r w:rsidRPr="005057C6">
        <w:rPr>
          <w:lang w:val="it-IT"/>
        </w:rPr>
        <w:t xml:space="preserve">“Giulio Natta”, </w:t>
      </w:r>
      <w:r>
        <w:rPr>
          <w:lang w:val="it-IT"/>
        </w:rPr>
        <w:t xml:space="preserve">32 Piazza </w:t>
      </w:r>
      <w:r w:rsidRPr="005057C6">
        <w:rPr>
          <w:lang w:val="it-IT"/>
        </w:rPr>
        <w:t>Leonardo da Vinci</w:t>
      </w:r>
      <w:r>
        <w:rPr>
          <w:lang w:val="it-IT"/>
        </w:rPr>
        <w:t>, 20133 Milan</w:t>
      </w:r>
      <w:r w:rsidRPr="005057C6">
        <w:rPr>
          <w:lang w:val="it-IT"/>
        </w:rPr>
        <w:t>, Italy</w:t>
      </w:r>
    </w:p>
    <w:p w:rsidR="00B27849" w:rsidRPr="00660FD6" w:rsidRDefault="00B27849" w:rsidP="00B27849">
      <w:pPr>
        <w:pStyle w:val="CETAddress"/>
        <w:rPr>
          <w:lang w:val="en-US"/>
        </w:rPr>
      </w:pPr>
      <w:r>
        <w:rPr>
          <w:vertAlign w:val="superscript"/>
          <w:lang w:val="en-US"/>
        </w:rPr>
        <w:t>b</w:t>
      </w:r>
      <w:r w:rsidRPr="005057C6">
        <w:rPr>
          <w:lang w:val="en-US"/>
        </w:rPr>
        <w:t xml:space="preserve"> </w:t>
      </w:r>
      <w:r w:rsidR="00B7063F" w:rsidRPr="00B7063F">
        <w:rPr>
          <w:lang w:val="en-US"/>
        </w:rPr>
        <w:t>Université de Toulouse, Laboratoire de Génie Chimique UMR CNRS/INPT/UPS 5503, Toulouse, France</w:t>
      </w:r>
    </w:p>
    <w:p w:rsidR="00B27849" w:rsidRPr="00660FD6" w:rsidRDefault="00B27849" w:rsidP="00B27849">
      <w:pPr>
        <w:pStyle w:val="CETAddress"/>
        <w:rPr>
          <w:lang w:val="en-US"/>
        </w:rPr>
      </w:pPr>
      <w:r>
        <w:rPr>
          <w:vertAlign w:val="superscript"/>
          <w:lang w:val="en-US"/>
        </w:rPr>
        <w:t>c</w:t>
      </w:r>
      <w:r w:rsidRPr="005057C6">
        <w:rPr>
          <w:lang w:val="en-US"/>
        </w:rPr>
        <w:t xml:space="preserve"> </w:t>
      </w:r>
      <w:r w:rsidR="005A635F" w:rsidRPr="005A635F">
        <w:rPr>
          <w:lang w:val="en-US"/>
        </w:rPr>
        <w:t>Bilecik Seyh Edebali University, Department of Chemical Enginnering, Gulumbe Campus, 11230, Bilecik, Turkey</w:t>
      </w:r>
    </w:p>
    <w:p w:rsidR="00E978D0" w:rsidRPr="00B57B36" w:rsidRDefault="00641621" w:rsidP="00E978D0">
      <w:pPr>
        <w:pStyle w:val="CETemail"/>
      </w:pPr>
      <w:r>
        <w:t>*</w:t>
      </w:r>
      <w:r w:rsidR="00AB5011">
        <w:t xml:space="preserve"> </w:t>
      </w:r>
      <w:r>
        <w:t>flavio.manenti@polimi.it</w:t>
      </w:r>
    </w:p>
    <w:p w:rsidR="000741BB" w:rsidRPr="000741BB" w:rsidRDefault="000741BB" w:rsidP="000741BB">
      <w:pPr>
        <w:pStyle w:val="CETBodytext"/>
        <w:rPr>
          <w:lang w:val="en-GB"/>
        </w:rPr>
      </w:pPr>
      <w:r>
        <w:rPr>
          <w:lang w:val="en-GB"/>
        </w:rPr>
        <w:t>This work presents</w:t>
      </w:r>
      <w:r w:rsidR="00A0615D">
        <w:rPr>
          <w:lang w:val="en-GB"/>
        </w:rPr>
        <w:t xml:space="preserve"> an updated</w:t>
      </w:r>
      <w:r>
        <w:rPr>
          <w:lang w:val="en-GB"/>
        </w:rPr>
        <w:t xml:space="preserve"> techno-economic assessment of methanol production, considering an entrained flow gasifier with different second generation biomasses. Computer simulations were performed with the aid of a gasification simulator </w:t>
      </w:r>
      <w:r w:rsidRPr="000741BB">
        <w:rPr>
          <w:i/>
          <w:lang w:val="en-GB"/>
        </w:rPr>
        <w:t>GasDS</w:t>
      </w:r>
      <w:r w:rsidRPr="000741BB">
        <w:rPr>
          <w:lang w:val="en-GB"/>
        </w:rPr>
        <w:t xml:space="preserve"> </w:t>
      </w:r>
      <w:r>
        <w:rPr>
          <w:lang w:val="en-GB"/>
        </w:rPr>
        <w:t>and with commercial process simulator Aspen HYSYS.</w:t>
      </w:r>
    </w:p>
    <w:p w:rsidR="000741BB" w:rsidRDefault="000741BB" w:rsidP="000741BB">
      <w:pPr>
        <w:pStyle w:val="CETBodytext"/>
        <w:rPr>
          <w:lang w:val="en-GB"/>
        </w:rPr>
      </w:pPr>
      <w:r>
        <w:rPr>
          <w:lang w:val="en-GB"/>
        </w:rPr>
        <w:t xml:space="preserve">A method was proposed to determine biomass composition in terms of cellulose, hemicellulose and </w:t>
      </w:r>
      <w:r w:rsidR="000369D1">
        <w:rPr>
          <w:lang w:val="en-GB"/>
        </w:rPr>
        <w:t xml:space="preserve">three surrogate compounds that </w:t>
      </w:r>
      <w:r w:rsidR="000369D1" w:rsidRPr="004203BA">
        <w:t>account for the most abundant monomers that compose lign</w:t>
      </w:r>
      <w:r w:rsidR="000369D1">
        <w:t>in chains</w:t>
      </w:r>
      <w:r>
        <w:rPr>
          <w:lang w:val="en-GB"/>
        </w:rPr>
        <w:t>; the lower heat value (LHV) relative error was not bigger than 10%.</w:t>
      </w:r>
    </w:p>
    <w:p w:rsidR="000741BB" w:rsidRDefault="000741BB" w:rsidP="000741BB">
      <w:pPr>
        <w:pStyle w:val="CETBodytext"/>
        <w:rPr>
          <w:lang w:val="en-GB"/>
        </w:rPr>
      </w:pPr>
      <w:r>
        <w:rPr>
          <w:lang w:val="en-GB"/>
        </w:rPr>
        <w:t>The kinetic model deriving from this biomass characterization (composition) is not sufficiently accurate to describe biomass gasification; this is due to unrealistically small residence times and the (not modelled) catalytic effect of molten slag. Biomass gasification output is efficiently estimated by using chemical equilibrium.</w:t>
      </w:r>
    </w:p>
    <w:p w:rsidR="000741BB" w:rsidRDefault="000741BB" w:rsidP="000741BB">
      <w:pPr>
        <w:pStyle w:val="CETBodytext"/>
      </w:pPr>
      <w:r>
        <w:rPr>
          <w:lang w:val="en-GB"/>
        </w:rPr>
        <w:t xml:space="preserve">At </w:t>
      </w:r>
      <w:r>
        <w:t>current methanol market price (</w:t>
      </w:r>
      <w:r w:rsidRPr="00B111BD">
        <w:t>350 €/t</w:t>
      </w:r>
      <w:r>
        <w:t xml:space="preserve">) the process is economically unfeasible at the current plant capacity of 100 MW </w:t>
      </w:r>
      <w:r>
        <w:rPr>
          <w:lang w:val="en-GB"/>
        </w:rPr>
        <w:t xml:space="preserve">LHV </w:t>
      </w:r>
      <w:r>
        <w:t>biomass input</w:t>
      </w:r>
      <w:r w:rsidR="000369D1">
        <w:t xml:space="preserve"> (production costs </w:t>
      </w:r>
      <w:r w:rsidR="00E3535A">
        <w:t>vary between 36</w:t>
      </w:r>
      <w:r w:rsidR="000369D1" w:rsidRPr="00B111BD">
        <w:t xml:space="preserve">0 </w:t>
      </w:r>
      <w:r w:rsidR="00E3535A">
        <w:t xml:space="preserve">and 440 </w:t>
      </w:r>
      <w:r w:rsidR="000369D1" w:rsidRPr="00B111BD">
        <w:t>€/t</w:t>
      </w:r>
      <w:r w:rsidR="000369D1">
        <w:t>)</w:t>
      </w:r>
      <w:r>
        <w:t>.</w:t>
      </w:r>
    </w:p>
    <w:p w:rsidR="00600535" w:rsidRPr="00B57B36" w:rsidRDefault="00600535" w:rsidP="00600535">
      <w:pPr>
        <w:pStyle w:val="CETHeading1"/>
        <w:rPr>
          <w:lang w:val="en-GB"/>
        </w:rPr>
      </w:pPr>
      <w:r w:rsidRPr="00B57B36">
        <w:rPr>
          <w:lang w:val="en-GB"/>
        </w:rPr>
        <w:t>Introduction</w:t>
      </w:r>
    </w:p>
    <w:p w:rsidR="00F25553" w:rsidRDefault="00A17EBB" w:rsidP="000741BB">
      <w:pPr>
        <w:pStyle w:val="CETBodytext"/>
        <w:rPr>
          <w:lang w:val="en-GB"/>
        </w:rPr>
      </w:pPr>
      <w:r>
        <w:rPr>
          <w:lang w:val="en-GB"/>
        </w:rPr>
        <w:t xml:space="preserve">The current global warming situation, together with matters of </w:t>
      </w:r>
      <w:r w:rsidR="00E8642A">
        <w:rPr>
          <w:lang w:val="en-GB"/>
        </w:rPr>
        <w:t>international</w:t>
      </w:r>
      <w:r>
        <w:rPr>
          <w:lang w:val="en-GB"/>
        </w:rPr>
        <w:t xml:space="preserve"> </w:t>
      </w:r>
      <w:r w:rsidR="00E8642A" w:rsidRPr="00E8642A">
        <w:rPr>
          <w:lang w:val="en-GB"/>
        </w:rPr>
        <w:t>sovereignty</w:t>
      </w:r>
      <w:r w:rsidR="00E8642A">
        <w:rPr>
          <w:lang w:val="en-GB"/>
        </w:rPr>
        <w:t>,</w:t>
      </w:r>
      <w:r w:rsidR="00E8642A" w:rsidRPr="00E8642A">
        <w:rPr>
          <w:lang w:val="en-GB"/>
        </w:rPr>
        <w:t xml:space="preserve"> </w:t>
      </w:r>
      <w:r>
        <w:rPr>
          <w:lang w:val="en-GB"/>
        </w:rPr>
        <w:t>has brought great attention</w:t>
      </w:r>
      <w:r w:rsidR="00E8642A">
        <w:rPr>
          <w:lang w:val="en-GB"/>
        </w:rPr>
        <w:t xml:space="preserve"> to renewable energy</w:t>
      </w:r>
      <w:r>
        <w:rPr>
          <w:lang w:val="en-GB"/>
        </w:rPr>
        <w:t xml:space="preserve"> in the last decades</w:t>
      </w:r>
      <w:r w:rsidR="00E8642A">
        <w:rPr>
          <w:lang w:val="en-GB"/>
        </w:rPr>
        <w:t>. Renewables are locally-produced</w:t>
      </w:r>
      <w:r w:rsidR="006A6D2C">
        <w:rPr>
          <w:lang w:val="en-GB"/>
        </w:rPr>
        <w:t>,</w:t>
      </w:r>
      <w:r w:rsidR="00E8642A">
        <w:rPr>
          <w:lang w:val="en-GB"/>
        </w:rPr>
        <w:t xml:space="preserve"> low-carbon-impact energy source</w:t>
      </w:r>
      <w:r w:rsidR="006A6D2C">
        <w:rPr>
          <w:lang w:val="en-GB"/>
        </w:rPr>
        <w:t>s which</w:t>
      </w:r>
      <w:r w:rsidR="00AA36DB">
        <w:rPr>
          <w:lang w:val="en-GB"/>
        </w:rPr>
        <w:t>,</w:t>
      </w:r>
      <w:r w:rsidR="00E8642A">
        <w:rPr>
          <w:lang w:val="en-GB"/>
        </w:rPr>
        <w:t xml:space="preserve"> therefore, </w:t>
      </w:r>
      <w:r w:rsidR="0038013C">
        <w:rPr>
          <w:lang w:val="en-GB"/>
        </w:rPr>
        <w:t xml:space="preserve">are insensitive to </w:t>
      </w:r>
      <w:r w:rsidR="00D7760B">
        <w:rPr>
          <w:lang w:val="en-GB"/>
        </w:rPr>
        <w:t>international</w:t>
      </w:r>
      <w:r w:rsidR="0038013C">
        <w:rPr>
          <w:lang w:val="en-GB"/>
        </w:rPr>
        <w:t xml:space="preserve"> policies or</w:t>
      </w:r>
      <w:r w:rsidR="00D7760B">
        <w:rPr>
          <w:lang w:val="en-GB"/>
        </w:rPr>
        <w:t xml:space="preserve"> market oscillations.</w:t>
      </w:r>
      <w:r w:rsidR="00F25553">
        <w:rPr>
          <w:lang w:val="en-GB"/>
        </w:rPr>
        <w:t xml:space="preserve"> </w:t>
      </w:r>
      <w:r w:rsidR="000741BB">
        <w:rPr>
          <w:lang w:val="en-GB"/>
        </w:rPr>
        <w:t>The concept of biorefinery is most adequate to this current energy scenario; in a biorefinery, second generation biomass (residual vegetable biomass usually deriving from agro-industrial activity, such as corn cobs or wheat straw) can be processed to produce co</w:t>
      </w:r>
      <w:r w:rsidR="00E3535A">
        <w:rPr>
          <w:lang w:val="en-GB"/>
        </w:rPr>
        <w:t xml:space="preserve">mmodities that are typical of the traditional </w:t>
      </w:r>
      <w:r w:rsidR="000741BB">
        <w:rPr>
          <w:lang w:val="en-GB"/>
        </w:rPr>
        <w:t xml:space="preserve">oil refinery </w:t>
      </w:r>
      <w:r w:rsidR="000741BB">
        <w:rPr>
          <w:lang w:val="en-GB"/>
        </w:rPr>
        <w:fldChar w:fldCharType="begin" w:fldLock="1"/>
      </w:r>
      <w:r w:rsidR="00D427E2">
        <w:rPr>
          <w:lang w:val="en-GB"/>
        </w:rPr>
        <w:instrText>ADDIN CSL_CITATION {"citationItems":[{"id":"ITEM-1","itemData":{"DOI":"10.3303/CET1650008","ISBN":"978-88-95608-41-9","ISSN":"2283-9216","abstract":"The Mantova Chemical District is a Site of National (and European) Interest (SIN). It comprises an oil refinery specialized in gasoline owned by Mol and Ies societies, a petrochemical plant (olefins) owned by Eni Versalis, an air separation unit and a reformer plant owned by Sapio and a series of industries working in the area of chipboard. Nowadays the oil refinery is off and the industrial network is deeply suffering from it; authorities at all levels (town, province, region, and ministry) are moving fast to convert the old facility into a biorefinery. This paper illustrates the studies and partial results of the funded project BioMAN for the conversion of the old refinery into a lignocellulosic biorefinery. A process framework was proposed for the establishment of an integrated biorefinery based on stablished and emerging technologies. In future works, a further elaboration of such scheme will allow determining optimal operating conditions through optimization algorithms. A preliminary economical assessment of methanol production showed potential for revenue production: accumulated net income was 61 mi ? in five years. Methanol production was 50 kt per year; the yearly amount of biomass required, approximately 160 kt, is in agreement with current reports of local availability.","author":[{"dropping-particle":"","family":"Amaral","given":"Andre Furtado","non-dropping-particle":"","parse-names":false,"suffix":""},{"dropping-particle":"","family":"Santini","given":"Anna Sofia","non-dropping-particle":"","parse-names":false,"suffix":""},{"dropping-particle":"","family":"Bozzano","given":"Giulia","non-dropping-particle":"","parse-names":false,"suffix":""},{"dropping-particle":"","family":"Pirola","given":"Carlo","non-dropping-particle":"","parse-names":false,"suffix":""},{"dropping-particle":"","family":"Manenti","given":"Flavio","non-dropping-particle":"","parse-names":false,"suffix":""}],"container-title":"Chemical Engineering Transactions","id":"ITEM-1","issued":{"date-parts":[["2016"]]},"page":"43-48","title":"Revamping of the Mantova Chemical District as short-chain lignocellulosic biorefinery","type":"article-journal","volume":"50"},"uris":["http://www.mendeley.com/documents/?uuid=578ac94b-b873-41de-9ed4-1a26c142b0d2"]}],"mendeley":{"formattedCitation":"(Amaral &lt;i&gt;et al.&lt;/i&gt;, 2016)","plainTextFormattedCitation":"(Amaral et al., 2016)","previouslyFormattedCitation":"(Amaral &lt;i&gt;et al.&lt;/i&gt;, 2016)"},"properties":{"noteIndex":0},"schema":"https://github.com/citation-style-language/schema/raw/master/csl-citation.json"}</w:instrText>
      </w:r>
      <w:r w:rsidR="000741BB">
        <w:rPr>
          <w:lang w:val="en-GB"/>
        </w:rPr>
        <w:fldChar w:fldCharType="separate"/>
      </w:r>
      <w:r w:rsidR="00D427E2" w:rsidRPr="00D427E2">
        <w:rPr>
          <w:noProof/>
          <w:lang w:val="en-GB"/>
        </w:rPr>
        <w:t xml:space="preserve">(Amaral </w:t>
      </w:r>
      <w:r w:rsidR="00D427E2" w:rsidRPr="00D427E2">
        <w:rPr>
          <w:i/>
          <w:noProof/>
          <w:lang w:val="en-GB"/>
        </w:rPr>
        <w:t>et al.</w:t>
      </w:r>
      <w:r w:rsidR="00D427E2" w:rsidRPr="00D427E2">
        <w:rPr>
          <w:noProof/>
          <w:lang w:val="en-GB"/>
        </w:rPr>
        <w:t>, 2016)</w:t>
      </w:r>
      <w:r w:rsidR="000741BB">
        <w:rPr>
          <w:lang w:val="en-GB"/>
        </w:rPr>
        <w:fldChar w:fldCharType="end"/>
      </w:r>
      <w:r w:rsidR="000741BB">
        <w:rPr>
          <w:lang w:val="en-GB"/>
        </w:rPr>
        <w:t>.</w:t>
      </w:r>
      <w:r w:rsidR="0038013C">
        <w:rPr>
          <w:lang w:val="en-GB"/>
        </w:rPr>
        <w:t xml:space="preserve"> </w:t>
      </w:r>
      <w:r w:rsidR="00F25553">
        <w:rPr>
          <w:lang w:val="en-GB"/>
        </w:rPr>
        <w:t xml:space="preserve">In the European </w:t>
      </w:r>
      <w:r w:rsidR="0013181E">
        <w:rPr>
          <w:lang w:val="en-GB"/>
        </w:rPr>
        <w:t>s</w:t>
      </w:r>
      <w:r w:rsidR="00F25553">
        <w:rPr>
          <w:lang w:val="en-GB"/>
        </w:rPr>
        <w:t xml:space="preserve">cenario, biomass is expected to account for more than 50% of renewable energy share </w:t>
      </w:r>
      <w:r w:rsidR="00F25553">
        <w:rPr>
          <w:lang w:val="en-GB"/>
        </w:rPr>
        <w:fldChar w:fldCharType="begin" w:fldLock="1"/>
      </w:r>
      <w:r w:rsidR="0013181E">
        <w:rPr>
          <w:lang w:val="en-GB"/>
        </w:rPr>
        <w:instrText>ADDIN CSL_CITATION {"citationItems":[{"id":"ITEM-1","itemData":{"DOI":"10.1186/1754-6834-5-25","ISBN":"1754683452","ISSN":"1754-6834","PMID":"22546368","abstract":"This paper reviews recent literature on bioenergy potentials in conjunction with available biomass conversion technologies. The geographical scope is the European Union, which has set a course for long term development of its energy supply from the current dependence on fossil resources to a dominance of renewable resources. A cornerstone in European energy policies and strategies is biomass and bioenergy. The annual demand for biomass for energy is estimated to increase from the current level of 5.7 EJ to 10.0 EJ in 2020. Assessments of bioenergy potentials vary substantially due to methodological inconsistency and assumptions applied by individual authors. Forest biomass, agricultural residues and energy crops constitute the three major sources of biomass for energy, with the latter probably developing into the most important source over the 21st century. Land use and the changes thereof is a key issue in sustainable bioenergy production as land availability is an ultimately limiting factor.","author":[{"dropping-particle":"","family":"Bentsen","given":"Niclas Scott","non-dropping-particle":"","parse-names":false,"suffix":""},{"dropping-particle":"","family":"Felby","given":"Claus","non-dropping-particle":"","parse-names":false,"suffix":""}],"container-title":"Biotechnology for biofuels","id":"ITEM-1","issue":"1","issued":{"date-parts":[["2012"]]},"page":"25","title":"Biomass for energy in the European Union - a review of bioenergy resource assessments.","type":"article-journal","volume":"5"},"uris":["http://www.mendeley.com/documents/?uuid=ba0e4bf2-449e-43c6-b703-e699d22aa5ab"]}],"mendeley":{"formattedCitation":"(Bentsen and Felby, 2012)","plainTextFormattedCitation":"(Bentsen and Felby, 2012)","previouslyFormattedCitation":"(Bentsen and Felby, 2012)"},"properties":{"noteIndex":0},"schema":"https://github.com/citation-style-language/schema/raw/master/csl-citation.json"}</w:instrText>
      </w:r>
      <w:r w:rsidR="00F25553">
        <w:rPr>
          <w:lang w:val="en-GB"/>
        </w:rPr>
        <w:fldChar w:fldCharType="separate"/>
      </w:r>
      <w:r w:rsidR="00F25553" w:rsidRPr="00F25553">
        <w:rPr>
          <w:noProof/>
          <w:lang w:val="en-GB"/>
        </w:rPr>
        <w:t>(Bentsen and Felby, 2012)</w:t>
      </w:r>
      <w:r w:rsidR="00F25553">
        <w:rPr>
          <w:lang w:val="en-GB"/>
        </w:rPr>
        <w:fldChar w:fldCharType="end"/>
      </w:r>
      <w:r w:rsidR="00F25553">
        <w:rPr>
          <w:lang w:val="en-GB"/>
        </w:rPr>
        <w:t>.</w:t>
      </w:r>
    </w:p>
    <w:p w:rsidR="008A7543" w:rsidRDefault="00D7760B" w:rsidP="00600535">
      <w:pPr>
        <w:pStyle w:val="CETBodytext"/>
        <w:rPr>
          <w:lang w:val="en-GB"/>
        </w:rPr>
      </w:pPr>
      <w:r>
        <w:rPr>
          <w:lang w:val="en-GB"/>
        </w:rPr>
        <w:t xml:space="preserve">Biomass gasification is a thermal valorization process </w:t>
      </w:r>
      <w:r w:rsidR="003E0660">
        <w:rPr>
          <w:lang w:val="en-GB"/>
        </w:rPr>
        <w:t xml:space="preserve">that is organic </w:t>
      </w:r>
      <w:r w:rsidR="00E3535A">
        <w:rPr>
          <w:lang w:val="en-GB"/>
        </w:rPr>
        <w:t xml:space="preserve">with </w:t>
      </w:r>
      <w:r w:rsidR="001C197A">
        <w:rPr>
          <w:lang w:val="en-GB"/>
        </w:rPr>
        <w:t>this current energetic</w:t>
      </w:r>
      <w:r>
        <w:rPr>
          <w:lang w:val="en-GB"/>
        </w:rPr>
        <w:t xml:space="preserve"> scenario, especially in developing countries where input is abundant and cheap</w:t>
      </w:r>
      <w:r w:rsidR="00AA36DB">
        <w:rPr>
          <w:lang w:val="en-GB"/>
        </w:rPr>
        <w:t>.</w:t>
      </w:r>
      <w:r>
        <w:rPr>
          <w:lang w:val="en-GB"/>
        </w:rPr>
        <w:t xml:space="preserve"> </w:t>
      </w:r>
      <w:r w:rsidR="00AA36DB">
        <w:rPr>
          <w:lang w:val="en-GB"/>
        </w:rPr>
        <w:t>F</w:t>
      </w:r>
      <w:r>
        <w:rPr>
          <w:lang w:val="en-GB"/>
        </w:rPr>
        <w:t xml:space="preserve">rom the process point of view, </w:t>
      </w:r>
      <w:r w:rsidR="00AA36DB">
        <w:rPr>
          <w:lang w:val="en-GB"/>
        </w:rPr>
        <w:t>gasification is a very flexible process: (1) it is capable of processing inputs with differing qualities; (2) the process output, syngas is also extremely flex</w:t>
      </w:r>
      <w:r w:rsidR="006535F3">
        <w:rPr>
          <w:lang w:val="en-GB"/>
        </w:rPr>
        <w:t>ible in terms of process design. Syngas is a mixture rich in H</w:t>
      </w:r>
      <w:r w:rsidR="006535F3" w:rsidRPr="00E22AA4">
        <w:rPr>
          <w:vertAlign w:val="subscript"/>
          <w:lang w:val="en-GB"/>
        </w:rPr>
        <w:t>2</w:t>
      </w:r>
      <w:r w:rsidR="006535F3">
        <w:rPr>
          <w:lang w:val="en-GB"/>
        </w:rPr>
        <w:t xml:space="preserve"> and CO, but may also contain H</w:t>
      </w:r>
      <w:r w:rsidR="006535F3" w:rsidRPr="00E22AA4">
        <w:rPr>
          <w:vertAlign w:val="subscript"/>
          <w:lang w:val="en-GB"/>
        </w:rPr>
        <w:t>2</w:t>
      </w:r>
      <w:r w:rsidR="006535F3">
        <w:rPr>
          <w:lang w:val="en-GB"/>
        </w:rPr>
        <w:t>O, CO</w:t>
      </w:r>
      <w:r w:rsidR="006535F3" w:rsidRPr="00E22AA4">
        <w:rPr>
          <w:vertAlign w:val="subscript"/>
          <w:lang w:val="en-GB"/>
        </w:rPr>
        <w:t>2</w:t>
      </w:r>
      <w:r w:rsidR="006535F3">
        <w:rPr>
          <w:lang w:val="en-GB"/>
        </w:rPr>
        <w:t>, CH</w:t>
      </w:r>
      <w:r w:rsidR="006535F3" w:rsidRPr="00E22AA4">
        <w:rPr>
          <w:vertAlign w:val="subscript"/>
          <w:lang w:val="en-GB"/>
        </w:rPr>
        <w:t>4</w:t>
      </w:r>
      <w:r w:rsidR="006535F3">
        <w:rPr>
          <w:lang w:val="en-GB"/>
        </w:rPr>
        <w:t>, tars</w:t>
      </w:r>
      <w:r w:rsidR="00222742">
        <w:rPr>
          <w:lang w:val="en-GB"/>
        </w:rPr>
        <w:t xml:space="preserve"> and</w:t>
      </w:r>
      <w:r w:rsidR="006535F3">
        <w:rPr>
          <w:lang w:val="en-GB"/>
        </w:rPr>
        <w:t xml:space="preserve"> ashes; </w:t>
      </w:r>
      <w:r w:rsidR="00AA36DB">
        <w:rPr>
          <w:lang w:val="en-GB"/>
        </w:rPr>
        <w:t>almost every organic molecule can be produced from syngas</w:t>
      </w:r>
      <w:r w:rsidR="00E22AA4">
        <w:rPr>
          <w:lang w:val="en-GB"/>
        </w:rPr>
        <w:t>.</w:t>
      </w:r>
      <w:r w:rsidR="008A7543">
        <w:rPr>
          <w:lang w:val="en-GB"/>
        </w:rPr>
        <w:t xml:space="preserve"> </w:t>
      </w:r>
      <w:r w:rsidR="0038013C">
        <w:rPr>
          <w:lang w:val="en-GB"/>
        </w:rPr>
        <w:t xml:space="preserve">In this work, </w:t>
      </w:r>
      <w:r w:rsidR="004D4578">
        <w:rPr>
          <w:lang w:val="en-GB"/>
        </w:rPr>
        <w:t xml:space="preserve">biomass gasification </w:t>
      </w:r>
      <w:r w:rsidR="00E22AA4">
        <w:rPr>
          <w:lang w:val="en-GB"/>
        </w:rPr>
        <w:t xml:space="preserve">is </w:t>
      </w:r>
      <w:r w:rsidR="0038013C">
        <w:rPr>
          <w:lang w:val="en-GB"/>
        </w:rPr>
        <w:t>considered</w:t>
      </w:r>
      <w:r w:rsidR="00544231">
        <w:rPr>
          <w:lang w:val="en-GB"/>
        </w:rPr>
        <w:t>,</w:t>
      </w:r>
      <w:r w:rsidR="0038013C">
        <w:rPr>
          <w:lang w:val="en-GB"/>
        </w:rPr>
        <w:t xml:space="preserve"> coupled with </w:t>
      </w:r>
      <w:r w:rsidR="00E22AA4">
        <w:rPr>
          <w:lang w:val="en-GB"/>
        </w:rPr>
        <w:t>the perspective of methanol</w:t>
      </w:r>
      <w:r w:rsidR="0013181E">
        <w:rPr>
          <w:lang w:val="en-GB"/>
        </w:rPr>
        <w:t xml:space="preserve"> </w:t>
      </w:r>
      <w:r w:rsidR="0038013C">
        <w:rPr>
          <w:lang w:val="en-GB"/>
        </w:rPr>
        <w:t xml:space="preserve">production </w:t>
      </w:r>
      <w:r w:rsidR="0013181E">
        <w:rPr>
          <w:lang w:val="en-GB"/>
        </w:rPr>
        <w:t>fro</w:t>
      </w:r>
      <w:r w:rsidR="008A7543">
        <w:rPr>
          <w:lang w:val="en-GB"/>
        </w:rPr>
        <w:t>m syngas.</w:t>
      </w:r>
    </w:p>
    <w:p w:rsidR="00BD12E9" w:rsidRDefault="0013181E" w:rsidP="008A7543">
      <w:pPr>
        <w:pStyle w:val="CETBodytext"/>
        <w:rPr>
          <w:lang w:val="en-GB"/>
        </w:rPr>
      </w:pPr>
      <w:r>
        <w:rPr>
          <w:lang w:val="en-GB"/>
        </w:rPr>
        <w:t>T</w:t>
      </w:r>
      <w:r w:rsidRPr="0013181E">
        <w:rPr>
          <w:lang w:val="en-GB"/>
        </w:rPr>
        <w:t xml:space="preserve">he majority </w:t>
      </w:r>
      <w:r>
        <w:rPr>
          <w:lang w:val="en-GB"/>
        </w:rPr>
        <w:t xml:space="preserve">of the world methanol production </w:t>
      </w:r>
      <w:r w:rsidRPr="0013181E">
        <w:rPr>
          <w:lang w:val="en-GB"/>
        </w:rPr>
        <w:t xml:space="preserve">comes from </w:t>
      </w:r>
      <w:r w:rsidR="00BD12E9">
        <w:rPr>
          <w:lang w:val="en-GB"/>
        </w:rPr>
        <w:t xml:space="preserve">the </w:t>
      </w:r>
      <w:r w:rsidRPr="0013181E">
        <w:rPr>
          <w:lang w:val="en-GB"/>
        </w:rPr>
        <w:t>steam reforming of natural gas in plants with capacities on the order of 1000 kt of methanol per year</w:t>
      </w:r>
      <w:r>
        <w:rPr>
          <w:lang w:val="en-GB"/>
        </w:rPr>
        <w:t xml:space="preserve"> </w:t>
      </w:r>
      <w:r>
        <w:rPr>
          <w:lang w:val="en-GB"/>
        </w:rPr>
        <w:fldChar w:fldCharType="begin" w:fldLock="1"/>
      </w:r>
      <w:r w:rsidR="00D427E2">
        <w:rPr>
          <w:lang w:val="en-GB"/>
        </w:rPr>
        <w:instrText>ADDIN CSL_CITATION {"citationItems":[{"id":"ITEM-1","itemData":{"author":[{"dropping-particle":"","family":"Dahl","given":"Per Juul","non-dropping-particle":"","parse-names":false,"suffix":""},{"dropping-particle":"","family":"Christensen","given":"Thomas","non-dropping-particle":"","parse-names":false,"suffix":""},{"dropping-particle":"","family":"Winter-Madsen","given":"Sandra","non-dropping-particle":"","parse-names":false,"suffix":""},{"dropping-particle":"","family":"King","given":"Stephanie M","non-dropping-particle":"","parse-names":false,"suffix":""}],"container-title":"Nitrogen + Syngas 2014 International Conference &amp; Exhibition","id":"ITEM-1","issued":{"date-parts":[["2014"]]},"publisher":"CRU","publisher-place":"Paris","title":"Proven autothermal reforming technology for modern large- scale methanol plants","type":"paper-conference"},"uris":["http://www.mendeley.com/documents/?uuid=30234eb8-da1b-47d9-852b-d5f9aa195c7c"]}],"mendeley":{"formattedCitation":"(Dahl &lt;i&gt;et al.&lt;/i&gt;, 2014)","plainTextFormattedCitation":"(Dahl et al., 2014)","previouslyFormattedCitation":"(Dahl &lt;i&gt;et al.&lt;/i&gt;, 2014)"},"properties":{"noteIndex":0},"schema":"https://github.com/citation-style-language/schema/raw/master/csl-citation.json"}</w:instrText>
      </w:r>
      <w:r>
        <w:rPr>
          <w:lang w:val="en-GB"/>
        </w:rPr>
        <w:fldChar w:fldCharType="separate"/>
      </w:r>
      <w:r w:rsidR="00D427E2" w:rsidRPr="00D427E2">
        <w:rPr>
          <w:noProof/>
          <w:lang w:val="en-GB"/>
        </w:rPr>
        <w:t xml:space="preserve">(Dahl </w:t>
      </w:r>
      <w:r w:rsidR="00D427E2" w:rsidRPr="00D427E2">
        <w:rPr>
          <w:i/>
          <w:noProof/>
          <w:lang w:val="en-GB"/>
        </w:rPr>
        <w:t>et al.</w:t>
      </w:r>
      <w:r w:rsidR="00D427E2" w:rsidRPr="00D427E2">
        <w:rPr>
          <w:noProof/>
          <w:lang w:val="en-GB"/>
        </w:rPr>
        <w:t>, 2014)</w:t>
      </w:r>
      <w:r>
        <w:rPr>
          <w:lang w:val="en-GB"/>
        </w:rPr>
        <w:fldChar w:fldCharType="end"/>
      </w:r>
      <w:r w:rsidR="00BD12E9">
        <w:rPr>
          <w:lang w:val="en-GB"/>
        </w:rPr>
        <w:t>; t</w:t>
      </w:r>
      <w:r w:rsidR="008A7543">
        <w:rPr>
          <w:lang w:val="en-GB"/>
        </w:rPr>
        <w:t xml:space="preserve">he </w:t>
      </w:r>
      <w:r w:rsidR="0038013C">
        <w:rPr>
          <w:lang w:val="en-GB"/>
        </w:rPr>
        <w:t xml:space="preserve">process </w:t>
      </w:r>
      <w:r w:rsidR="008A7543">
        <w:rPr>
          <w:lang w:val="en-GB"/>
        </w:rPr>
        <w:t>size</w:t>
      </w:r>
      <w:r w:rsidR="0038013C">
        <w:rPr>
          <w:lang w:val="en-GB"/>
        </w:rPr>
        <w:t xml:space="preserve">s studied in this work are </w:t>
      </w:r>
      <w:r w:rsidR="008A7543">
        <w:rPr>
          <w:lang w:val="en-GB"/>
        </w:rPr>
        <w:t xml:space="preserve">one order of magnitude below the </w:t>
      </w:r>
      <w:r w:rsidR="0038013C">
        <w:rPr>
          <w:lang w:val="en-GB"/>
        </w:rPr>
        <w:t xml:space="preserve">traditional </w:t>
      </w:r>
      <w:r w:rsidR="008A7543">
        <w:rPr>
          <w:lang w:val="en-GB"/>
        </w:rPr>
        <w:t xml:space="preserve">methanol plants (i.e. around </w:t>
      </w:r>
      <w:r w:rsidR="00222742">
        <w:rPr>
          <w:lang w:val="en-GB"/>
        </w:rPr>
        <w:t>100 kt of methanol per year)</w:t>
      </w:r>
      <w:r w:rsidR="00BD12E9">
        <w:rPr>
          <w:lang w:val="en-GB"/>
        </w:rPr>
        <w:t xml:space="preserve"> due to the </w:t>
      </w:r>
      <w:r w:rsidR="00BD12E9" w:rsidRPr="008A7543">
        <w:rPr>
          <w:lang w:val="en-GB"/>
        </w:rPr>
        <w:t xml:space="preserve">cost and logistics of </w:t>
      </w:r>
      <w:r w:rsidR="00222742">
        <w:rPr>
          <w:lang w:val="en-GB"/>
        </w:rPr>
        <w:t>transporting</w:t>
      </w:r>
      <w:r w:rsidR="00BD12E9" w:rsidRPr="008A7543">
        <w:rPr>
          <w:lang w:val="en-GB"/>
        </w:rPr>
        <w:t xml:space="preserve"> biomass</w:t>
      </w:r>
      <w:r w:rsidR="008A7543">
        <w:rPr>
          <w:lang w:val="en-GB"/>
        </w:rPr>
        <w:t>.</w:t>
      </w:r>
    </w:p>
    <w:p w:rsidR="00D7760B" w:rsidRDefault="00BD12E9" w:rsidP="00600535">
      <w:pPr>
        <w:pStyle w:val="CETBodytext"/>
        <w:rPr>
          <w:lang w:val="en-GB"/>
        </w:rPr>
      </w:pPr>
      <w:r>
        <w:rPr>
          <w:lang w:val="en-GB"/>
        </w:rPr>
        <w:t xml:space="preserve">This work proposes an updated </w:t>
      </w:r>
      <w:r w:rsidR="007D2950">
        <w:rPr>
          <w:lang w:val="en-GB"/>
        </w:rPr>
        <w:t>techno-</w:t>
      </w:r>
      <w:r w:rsidR="00544231">
        <w:rPr>
          <w:lang w:val="en-GB"/>
        </w:rPr>
        <w:t xml:space="preserve">economic </w:t>
      </w:r>
      <w:r>
        <w:rPr>
          <w:lang w:val="en-GB"/>
        </w:rPr>
        <w:t xml:space="preserve">assessment </w:t>
      </w:r>
      <w:r w:rsidR="00544231">
        <w:rPr>
          <w:lang w:val="en-GB"/>
        </w:rPr>
        <w:t>on methanol production from biomass gasification</w:t>
      </w:r>
      <w:r w:rsidR="007D2950">
        <w:rPr>
          <w:lang w:val="en-GB"/>
        </w:rPr>
        <w:t>; the results of such assessment</w:t>
      </w:r>
      <w:r w:rsidR="007D2950" w:rsidRPr="007D2950">
        <w:rPr>
          <w:lang w:val="en-GB"/>
        </w:rPr>
        <w:t xml:space="preserve"> provide</w:t>
      </w:r>
      <w:r w:rsidR="007D2950">
        <w:rPr>
          <w:lang w:val="en-GB"/>
        </w:rPr>
        <w:t>s</w:t>
      </w:r>
      <w:r w:rsidR="007D2950" w:rsidRPr="007D2950">
        <w:rPr>
          <w:lang w:val="en-GB"/>
        </w:rPr>
        <w:t xml:space="preserve"> insight in the state-of-art </w:t>
      </w:r>
      <w:r w:rsidR="007D2950">
        <w:rPr>
          <w:lang w:val="en-GB"/>
        </w:rPr>
        <w:t xml:space="preserve">while proposing </w:t>
      </w:r>
      <w:r w:rsidR="007D2950" w:rsidRPr="007D2950">
        <w:rPr>
          <w:lang w:val="en-GB"/>
        </w:rPr>
        <w:t xml:space="preserve">guidelines to </w:t>
      </w:r>
      <w:r w:rsidR="007D2950" w:rsidRPr="007D2950">
        <w:rPr>
          <w:lang w:val="en-GB"/>
        </w:rPr>
        <w:lastRenderedPageBreak/>
        <w:t>close the gap between research and commercial application on the topic.</w:t>
      </w:r>
      <w:r w:rsidR="007D2950">
        <w:rPr>
          <w:lang w:val="en-GB"/>
        </w:rPr>
        <w:t xml:space="preserve"> S</w:t>
      </w:r>
      <w:r w:rsidR="004D4578">
        <w:rPr>
          <w:lang w:val="en-GB"/>
        </w:rPr>
        <w:t>pecial concern is given to: (1)</w:t>
      </w:r>
      <w:r w:rsidR="00E22AA4">
        <w:rPr>
          <w:lang w:val="en-GB"/>
        </w:rPr>
        <w:t xml:space="preserve"> </w:t>
      </w:r>
      <w:r w:rsidR="004D4578">
        <w:rPr>
          <w:lang w:val="en-GB"/>
        </w:rPr>
        <w:t xml:space="preserve">the characterization of the vegetable biomass in terms of its composition; (2) </w:t>
      </w:r>
      <w:r w:rsidR="00E22AA4">
        <w:rPr>
          <w:lang w:val="en-GB"/>
        </w:rPr>
        <w:t>the simulation of the gasification reactor</w:t>
      </w:r>
      <w:r w:rsidR="00F05387">
        <w:rPr>
          <w:lang w:val="en-GB"/>
        </w:rPr>
        <w:t>;</w:t>
      </w:r>
      <w:r w:rsidR="004D4578">
        <w:rPr>
          <w:lang w:val="en-GB"/>
        </w:rPr>
        <w:t xml:space="preserve"> (3)</w:t>
      </w:r>
      <w:r w:rsidR="00E22AA4">
        <w:rPr>
          <w:lang w:val="en-GB"/>
        </w:rPr>
        <w:t xml:space="preserve"> the process sensitivity to input composition</w:t>
      </w:r>
      <w:r w:rsidR="00F05387">
        <w:rPr>
          <w:lang w:val="en-GB"/>
        </w:rPr>
        <w:t>.</w:t>
      </w:r>
    </w:p>
    <w:p w:rsidR="00600535" w:rsidRDefault="004F6E84" w:rsidP="00600535">
      <w:pPr>
        <w:pStyle w:val="CETHeading1"/>
        <w:tabs>
          <w:tab w:val="clear" w:pos="360"/>
          <w:tab w:val="right" w:pos="7100"/>
        </w:tabs>
        <w:jc w:val="both"/>
        <w:rPr>
          <w:lang w:val="en-GB"/>
        </w:rPr>
      </w:pPr>
      <w:r>
        <w:rPr>
          <w:lang w:val="en-GB"/>
        </w:rPr>
        <w:t>Materials &amp; Methods</w:t>
      </w:r>
    </w:p>
    <w:p w:rsidR="006535F3" w:rsidRDefault="004F6E84" w:rsidP="004F6E84">
      <w:pPr>
        <w:pStyle w:val="CETBodytext"/>
        <w:rPr>
          <w:lang w:val="en-GB"/>
        </w:rPr>
      </w:pPr>
      <w:r>
        <w:rPr>
          <w:lang w:val="en-GB"/>
        </w:rPr>
        <w:t xml:space="preserve">The process </w:t>
      </w:r>
      <w:r w:rsidR="00DF4AC6">
        <w:rPr>
          <w:lang w:val="en-GB"/>
        </w:rPr>
        <w:t>was</w:t>
      </w:r>
      <w:r>
        <w:rPr>
          <w:lang w:val="en-GB"/>
        </w:rPr>
        <w:t xml:space="preserve"> st</w:t>
      </w:r>
      <w:r w:rsidR="004D4578">
        <w:rPr>
          <w:lang w:val="en-GB"/>
        </w:rPr>
        <w:t>udied with computer simulations</w:t>
      </w:r>
      <w:r w:rsidR="0027429D">
        <w:rPr>
          <w:lang w:val="en-GB"/>
        </w:rPr>
        <w:t xml:space="preserve">. Vegetable biomass composition (cellulose, hemicellulose and lignin mass fractions) was determined by performing a data fitting with information from an online database. </w:t>
      </w:r>
      <w:r w:rsidR="0027429D">
        <w:t xml:space="preserve">The gasifier performance and its response to biomass </w:t>
      </w:r>
      <w:r w:rsidR="006535F3">
        <w:t xml:space="preserve">composition </w:t>
      </w:r>
      <w:r w:rsidR="0027429D">
        <w:t xml:space="preserve">is studied </w:t>
      </w:r>
      <w:r w:rsidR="0065686A">
        <w:t xml:space="preserve">in </w:t>
      </w:r>
      <w:r w:rsidR="008A7543">
        <w:t xml:space="preserve">using </w:t>
      </w:r>
      <w:r w:rsidR="0065686A">
        <w:t xml:space="preserve">two different </w:t>
      </w:r>
      <w:r w:rsidR="008A7543">
        <w:t xml:space="preserve">modelling </w:t>
      </w:r>
      <w:r w:rsidR="0065686A">
        <w:t xml:space="preserve">approaches: (1) </w:t>
      </w:r>
      <w:r w:rsidR="0027429D">
        <w:t xml:space="preserve">with the aid of </w:t>
      </w:r>
      <w:r w:rsidR="0065686A" w:rsidRPr="0065686A">
        <w:rPr>
          <w:i/>
        </w:rPr>
        <w:t>GasDS</w:t>
      </w:r>
      <w:r w:rsidR="0065686A">
        <w:t xml:space="preserve">, </w:t>
      </w:r>
      <w:r w:rsidR="0027429D">
        <w:t xml:space="preserve">a specialized </w:t>
      </w:r>
      <w:r w:rsidR="0065686A">
        <w:t>gasification simulator</w:t>
      </w:r>
      <w:r w:rsidR="008A7543">
        <w:t xml:space="preserve">; (2) by considering the output streams to be at </w:t>
      </w:r>
      <w:r w:rsidR="0065686A">
        <w:t xml:space="preserve">chemical </w:t>
      </w:r>
      <w:r w:rsidR="0027429D">
        <w:t>equilibrium</w:t>
      </w:r>
      <w:r w:rsidR="0065686A">
        <w:t xml:space="preserve">. </w:t>
      </w:r>
      <w:r w:rsidR="00822DD1">
        <w:rPr>
          <w:lang w:val="en-GB"/>
        </w:rPr>
        <w:t>Commercial process simulator Aspen HYSYS is used to perform mass and energy balances calculations</w:t>
      </w:r>
      <w:r w:rsidR="0065686A">
        <w:rPr>
          <w:lang w:val="en-GB"/>
        </w:rPr>
        <w:t xml:space="preserve"> which are then used to perform the economic assessment of the </w:t>
      </w:r>
      <w:r w:rsidR="000517F5">
        <w:rPr>
          <w:lang w:val="en-GB"/>
        </w:rPr>
        <w:t>process</w:t>
      </w:r>
      <w:r w:rsidR="0065686A">
        <w:rPr>
          <w:lang w:val="en-GB"/>
        </w:rPr>
        <w:t>. Further details on the simulations are presented on the next sections.</w:t>
      </w:r>
    </w:p>
    <w:p w:rsidR="00600535" w:rsidRPr="00B57B36" w:rsidRDefault="00DF4AC6" w:rsidP="00FA5F5F">
      <w:pPr>
        <w:pStyle w:val="CETheadingx"/>
      </w:pPr>
      <w:r>
        <w:t xml:space="preserve">Biomass </w:t>
      </w:r>
      <w:r w:rsidR="00652AB4">
        <w:t>molecular composition</w:t>
      </w:r>
    </w:p>
    <w:p w:rsidR="00652AB4" w:rsidRDefault="004227D8" w:rsidP="005D01A4">
      <w:r>
        <w:t>F</w:t>
      </w:r>
      <w:r w:rsidRPr="004203BA">
        <w:t>or what concerns the kinetic modeling of pyrolysis and combustion of biomass, among the main components considered are cellulose, hemicellulose and lignin. For this analysis, cellulose and hemicellulose are considered pure components, in opposition to lignin, which is further divided in three subtypes. These lignin subtypes are surrogate compounds that account for the most abundant monomers that compose lign</w:t>
      </w:r>
      <w:r>
        <w:t>in chains</w:t>
      </w:r>
      <w:r w:rsidR="00C32688">
        <w:t xml:space="preserve">; further details on these compounds are given on the work of </w:t>
      </w:r>
      <w:r w:rsidR="00C32688">
        <w:fldChar w:fldCharType="begin" w:fldLock="1"/>
      </w:r>
      <w:r w:rsidR="00D427E2">
        <w:instrText>ADDIN CSL_CITATION {"citationItems":[{"id":"ITEM-1","itemData":{"DOI":"10.1021/ef800551t","ISSN":"0887-0624","author":[{"dropping-particle":"","family":"Ranzi","given":"Eliseo","non-dropping-particle":"","parse-names":false,"suffix":""},{"dropping-particle":"","family":"Cuoci","given":"Alberto","non-dropping-particle":"","parse-names":false,"suffix":""},{"dropping-particle":"","family":"Faravelli","given":"Tiziano","non-dropping-particle":"","parse-names":false,"suffix":""},{"dropping-particle":"","family":"Frassoldati","given":"Alessio","non-dropping-particle":"","parse-names":false,"suffix":""},{"dropping-particle":"","family":"Migliavacca","given":"Gabriele","non-dropping-particle":"","parse-names":false,"suffix":""},{"dropping-particle":"","family":"Pierucci","given":"Sauro","non-dropping-particle":"","parse-names":false,"suffix":""},{"dropping-particle":"","family":"Sommariva","given":"Samuele","non-dropping-particle":"","parse-names":false,"suffix":""}],"container-title":"Energy &amp; Fuels","id":"ITEM-1","issue":"6","issued":{"date-parts":[["2008","11","19"]]},"page":"4292-4300","title":"Chemical Kinetics of Biomass Pyrolysis","type":"article-journal","volume":"22"},"uris":["http://www.mendeley.com/documents/?uuid=eed991d9-8c0d-4489-b400-0c3a90cbc4b8"]}],"mendeley":{"formattedCitation":"(Ranzi &lt;i&gt;et al.&lt;/i&gt;, 2008)","plainTextFormattedCitation":"(Ranzi et al., 2008)","previouslyFormattedCitation":"(Ranzi &lt;i&gt;et al.&lt;/i&gt;, 2008)"},"properties":{"noteIndex":0},"schema":"https://github.com/citation-style-language/schema/raw/master/csl-citation.json"}</w:instrText>
      </w:r>
      <w:r w:rsidR="00C32688">
        <w:fldChar w:fldCharType="separate"/>
      </w:r>
      <w:r w:rsidR="00D427E2" w:rsidRPr="00D427E2">
        <w:rPr>
          <w:noProof/>
        </w:rPr>
        <w:t xml:space="preserve">(Ranzi </w:t>
      </w:r>
      <w:r w:rsidR="00D427E2" w:rsidRPr="00D427E2">
        <w:rPr>
          <w:i/>
          <w:noProof/>
        </w:rPr>
        <w:t>et al.</w:t>
      </w:r>
      <w:r w:rsidR="00D427E2" w:rsidRPr="00D427E2">
        <w:rPr>
          <w:noProof/>
        </w:rPr>
        <w:t>, 2008)</w:t>
      </w:r>
      <w:r w:rsidR="00C32688">
        <w:fldChar w:fldCharType="end"/>
      </w:r>
      <w:r>
        <w:t>.</w:t>
      </w:r>
    </w:p>
    <w:p w:rsidR="003D2731" w:rsidRDefault="00652AB4" w:rsidP="00652AB4">
      <w:r>
        <w:t xml:space="preserve">The atomic composition of </w:t>
      </w:r>
      <w:r w:rsidRPr="004203BA">
        <w:t>any biomass</w:t>
      </w:r>
      <w:r>
        <w:t xml:space="preserve"> is </w:t>
      </w:r>
      <w:r w:rsidRPr="004203BA">
        <w:t>calculated from an atomic mass balance</w:t>
      </w:r>
      <w:r>
        <w:t xml:space="preserve"> (</w:t>
      </w:r>
      <w:r w:rsidRPr="004203BA">
        <w:t>AMB)</w:t>
      </w:r>
      <w:r>
        <w:t xml:space="preserve">. </w:t>
      </w:r>
      <w:r w:rsidRPr="004203BA">
        <w:t xml:space="preserve">Problem statement: for </w:t>
      </w:r>
      <w:r w:rsidR="003E0660">
        <w:t xml:space="preserve">a </w:t>
      </w:r>
      <w:r w:rsidRPr="004203BA">
        <w:t xml:space="preserve">given </w:t>
      </w:r>
      <w:r>
        <w:t xml:space="preserve">biomass atomic composition </w:t>
      </w:r>
      <w:r w:rsidR="006535F3">
        <w:t>(</w:t>
      </w:r>
      <m:oMath>
        <m:r>
          <m:rPr>
            <m:scr m:val="double-struck"/>
            <m:sty m:val="p"/>
          </m:rPr>
          <w:rPr>
            <w:rFonts w:ascii="Cambria Math" w:hAnsi="Cambria Math"/>
          </w:rPr>
          <m:t>C</m:t>
        </m:r>
      </m:oMath>
      <w:r w:rsidR="00C83426">
        <w:t xml:space="preserve">, </w:t>
      </w:r>
      <w:r w:rsidR="006535F3">
        <w:t xml:space="preserve">determined experimentally) </w:t>
      </w:r>
      <w:r>
        <w:t>and given components atomic composition</w:t>
      </w:r>
      <w:r w:rsidR="006535F3">
        <w:t xml:space="preserve"> (</w:t>
      </w:r>
      <m:oMath>
        <m:sSub>
          <m:sSubPr>
            <m:ctrlPr>
              <w:rPr>
                <w:rFonts w:ascii="Cambria Math" w:hAnsi="Cambria Math"/>
                <w:iCs/>
              </w:rPr>
            </m:ctrlPr>
          </m:sSubPr>
          <m:e>
            <m:r>
              <m:rPr>
                <m:scr m:val="double-struck"/>
                <m:sty m:val="p"/>
              </m:rPr>
              <w:rPr>
                <w:rFonts w:ascii="Cambria Math" w:hAnsi="Cambria Math"/>
              </w:rPr>
              <m:t>C</m:t>
            </m:r>
          </m:e>
          <m:sub>
            <m:r>
              <m:rPr>
                <m:sty m:val="p"/>
              </m:rPr>
              <w:rPr>
                <w:rFonts w:ascii="Cambria Math" w:hAnsi="Cambria Math"/>
              </w:rPr>
              <m:t>j</m:t>
            </m:r>
          </m:sub>
        </m:sSub>
      </m:oMath>
      <w:r w:rsidR="00C83426">
        <w:rPr>
          <w:iCs/>
        </w:rPr>
        <w:t xml:space="preserve">, </w:t>
      </w:r>
      <w:r w:rsidR="006535F3">
        <w:t>from the model)</w:t>
      </w:r>
      <w:r>
        <w:t xml:space="preserve">, find the </w:t>
      </w:r>
      <w:r w:rsidR="003D2731">
        <w:t xml:space="preserve">biomass components </w:t>
      </w:r>
      <w:r w:rsidR="003D2731" w:rsidRPr="004203BA">
        <w:t xml:space="preserve">mass fraction </w:t>
      </w:r>
      <w:r w:rsidR="003D2731">
        <w:t>(</w:t>
      </w:r>
      <m:oMath>
        <m:sSub>
          <m:sSubPr>
            <m:ctrlPr>
              <w:rPr>
                <w:rFonts w:ascii="Cambria Math" w:hAnsi="Cambria Math"/>
              </w:rPr>
            </m:ctrlPr>
          </m:sSubPr>
          <m:e>
            <m:r>
              <m:rPr>
                <m:scr m:val="double-struck"/>
                <m:sty m:val="p"/>
              </m:rPr>
              <w:rPr>
                <w:rFonts w:ascii="Cambria Math" w:hAnsi="Cambria Math"/>
              </w:rPr>
              <m:t>k</m:t>
            </m:r>
          </m:e>
          <m:sub>
            <m:r>
              <m:rPr>
                <m:sty m:val="p"/>
              </m:rPr>
              <w:rPr>
                <w:rFonts w:ascii="Cambria Math" w:hAnsi="Cambria Math"/>
              </w:rPr>
              <m:t>j</m:t>
            </m:r>
          </m:sub>
        </m:sSub>
      </m:oMath>
      <w:r w:rsidR="003D2731">
        <w:t xml:space="preserve">) </w:t>
      </w:r>
      <w:r w:rsidR="000B538C">
        <w:t>such that</w:t>
      </w:r>
    </w:p>
    <w:tbl>
      <w:tblPr>
        <w:tblW w:w="5000" w:type="pct"/>
        <w:tblLook w:val="04A0" w:firstRow="1" w:lastRow="0" w:firstColumn="1" w:lastColumn="0" w:noHBand="0" w:noVBand="1"/>
      </w:tblPr>
      <w:tblGrid>
        <w:gridCol w:w="7982"/>
        <w:gridCol w:w="805"/>
      </w:tblGrid>
      <w:tr w:rsidR="003E0660" w:rsidRPr="00B57B36" w:rsidTr="003E0660">
        <w:tc>
          <w:tcPr>
            <w:tcW w:w="7982" w:type="dxa"/>
            <w:shd w:val="clear" w:color="auto" w:fill="auto"/>
            <w:vAlign w:val="center"/>
          </w:tcPr>
          <w:p w:rsidR="003E0660" w:rsidRPr="000B538C" w:rsidRDefault="003E0660" w:rsidP="003E0660">
            <w:pPr>
              <w:jc w:val="left"/>
            </w:pPr>
            <m:oMathPara>
              <m:oMathParaPr>
                <m:jc m:val="left"/>
              </m:oMathParaPr>
              <m:oMath>
                <m:r>
                  <m:rPr>
                    <m:scr m:val="double-struck"/>
                    <m:sty m:val="p"/>
                  </m:rPr>
                  <w:rPr>
                    <w:rFonts w:ascii="Cambria Math" w:hAnsi="Cambria Math"/>
                  </w:rPr>
                  <m:t>C=</m:t>
                </m:r>
                <m:nary>
                  <m:naryPr>
                    <m:chr m:val="∑"/>
                    <m:limLoc m:val="undOvr"/>
                    <m:supHide m:val="1"/>
                    <m:ctrlPr>
                      <w:rPr>
                        <w:rFonts w:ascii="Cambria Math" w:hAnsi="Cambria Math"/>
                        <w:iCs/>
                      </w:rPr>
                    </m:ctrlPr>
                  </m:naryPr>
                  <m:sub>
                    <m:r>
                      <m:rPr>
                        <m:sty m:val="p"/>
                      </m:rPr>
                      <w:rPr>
                        <w:rFonts w:ascii="Cambria Math" w:hAnsi="Cambria Math"/>
                      </w:rPr>
                      <m:t>j</m:t>
                    </m:r>
                  </m:sub>
                  <m:sup/>
                  <m:e>
                    <m:sSub>
                      <m:sSubPr>
                        <m:ctrlPr>
                          <w:rPr>
                            <w:rFonts w:ascii="Cambria Math" w:hAnsi="Cambria Math"/>
                            <w:iCs/>
                          </w:rPr>
                        </m:ctrlPr>
                      </m:sSubPr>
                      <m:e>
                        <m:r>
                          <m:rPr>
                            <m:scr m:val="double-struck"/>
                            <m:sty m:val="p"/>
                          </m:rPr>
                          <w:rPr>
                            <w:rFonts w:ascii="Cambria Math" w:hAnsi="Cambria Math"/>
                          </w:rPr>
                          <m:t>C</m:t>
                        </m:r>
                      </m:e>
                      <m:sub>
                        <m:r>
                          <m:rPr>
                            <m:sty m:val="p"/>
                          </m:rPr>
                          <w:rPr>
                            <w:rFonts w:ascii="Cambria Math" w:hAnsi="Cambria Math"/>
                          </w:rPr>
                          <m:t>j</m:t>
                        </m:r>
                      </m:sub>
                    </m:sSub>
                    <m:sSub>
                      <m:sSubPr>
                        <m:ctrlPr>
                          <w:rPr>
                            <w:rFonts w:ascii="Cambria Math" w:hAnsi="Cambria Math"/>
                          </w:rPr>
                        </m:ctrlPr>
                      </m:sSubPr>
                      <m:e>
                        <m:r>
                          <m:rPr>
                            <m:scr m:val="double-struck"/>
                            <m:sty m:val="p"/>
                          </m:rPr>
                          <w:rPr>
                            <w:rFonts w:ascii="Cambria Math" w:hAnsi="Cambria Math"/>
                          </w:rPr>
                          <m:t>k</m:t>
                        </m:r>
                      </m:e>
                      <m:sub>
                        <m:r>
                          <m:rPr>
                            <m:sty m:val="p"/>
                          </m:rPr>
                          <w:rPr>
                            <w:rFonts w:ascii="Cambria Math" w:hAnsi="Cambria Math"/>
                          </w:rPr>
                          <m:t>j</m:t>
                        </m:r>
                      </m:sub>
                    </m:sSub>
                  </m:e>
                </m:nary>
              </m:oMath>
            </m:oMathPara>
          </w:p>
        </w:tc>
        <w:tc>
          <w:tcPr>
            <w:tcW w:w="805" w:type="dxa"/>
            <w:shd w:val="clear" w:color="auto" w:fill="auto"/>
            <w:vAlign w:val="center"/>
          </w:tcPr>
          <w:p w:rsidR="003E0660" w:rsidRPr="00B57B36" w:rsidRDefault="003E0660" w:rsidP="0026777F">
            <w:pPr>
              <w:pStyle w:val="CETEquation"/>
              <w:jc w:val="center"/>
            </w:pPr>
            <w:r w:rsidRPr="00B57B36">
              <w:t>(1)</w:t>
            </w:r>
          </w:p>
        </w:tc>
      </w:tr>
      <w:tr w:rsidR="000B538C" w:rsidRPr="00B57B36" w:rsidTr="000B538C">
        <w:tc>
          <w:tcPr>
            <w:tcW w:w="7982" w:type="dxa"/>
            <w:shd w:val="clear" w:color="auto" w:fill="auto"/>
            <w:vAlign w:val="center"/>
          </w:tcPr>
          <w:p w:rsidR="000B538C" w:rsidRPr="000B538C" w:rsidRDefault="000B538C" w:rsidP="000B538C">
            <m:oMathPara>
              <m:oMathParaPr>
                <m:jc m:val="left"/>
              </m:oMathParaPr>
              <m:oMath>
                <m:r>
                  <m:rPr>
                    <m:sty m:val="p"/>
                  </m:rPr>
                  <w:rPr>
                    <w:rFonts w:ascii="Cambria Math" w:hAnsi="Cambria Math"/>
                  </w:rPr>
                  <m:t>0≤</m:t>
                </m:r>
                <m:sSub>
                  <m:sSubPr>
                    <m:ctrlPr>
                      <w:rPr>
                        <w:rFonts w:ascii="Cambria Math" w:hAnsi="Cambria Math"/>
                      </w:rPr>
                    </m:ctrlPr>
                  </m:sSubPr>
                  <m:e>
                    <m:r>
                      <m:rPr>
                        <m:scr m:val="double-struck"/>
                        <m:sty m:val="p"/>
                      </m:rPr>
                      <w:rPr>
                        <w:rFonts w:ascii="Cambria Math" w:hAnsi="Cambria Math"/>
                      </w:rPr>
                      <m:t>k</m:t>
                    </m:r>
                  </m:e>
                  <m:sub>
                    <m:r>
                      <m:rPr>
                        <m:sty m:val="p"/>
                      </m:rPr>
                      <w:rPr>
                        <w:rFonts w:ascii="Cambria Math" w:hAnsi="Cambria Math"/>
                      </w:rPr>
                      <m:t>j</m:t>
                    </m:r>
                  </m:sub>
                </m:sSub>
                <m:r>
                  <m:rPr>
                    <m:sty m:val="p"/>
                  </m:rPr>
                  <w:rPr>
                    <w:rFonts w:ascii="Cambria Math" w:hAnsi="Cambria Math"/>
                  </w:rPr>
                  <m:t>≤1</m:t>
                </m:r>
              </m:oMath>
            </m:oMathPara>
          </w:p>
        </w:tc>
        <w:tc>
          <w:tcPr>
            <w:tcW w:w="805" w:type="dxa"/>
            <w:shd w:val="clear" w:color="auto" w:fill="auto"/>
            <w:vAlign w:val="center"/>
          </w:tcPr>
          <w:p w:rsidR="000B538C" w:rsidRPr="00B57B36" w:rsidRDefault="003E0660" w:rsidP="0026777F">
            <w:pPr>
              <w:pStyle w:val="CETEquation"/>
              <w:jc w:val="center"/>
            </w:pPr>
            <w:r>
              <w:t>(2</w:t>
            </w:r>
            <w:r w:rsidR="000B538C" w:rsidRPr="00B57B36">
              <w:t>)</w:t>
            </w:r>
          </w:p>
        </w:tc>
      </w:tr>
      <w:tr w:rsidR="000B538C" w:rsidRPr="00B57B36" w:rsidTr="000B538C">
        <w:tc>
          <w:tcPr>
            <w:tcW w:w="7982" w:type="dxa"/>
            <w:shd w:val="clear" w:color="auto" w:fill="auto"/>
            <w:vAlign w:val="center"/>
          </w:tcPr>
          <w:p w:rsidR="000B538C" w:rsidRPr="000B538C" w:rsidRDefault="00502DB8" w:rsidP="000B538C">
            <m:oMathPara>
              <m:oMathParaPr>
                <m:jc m:val="left"/>
              </m:oMathParaPr>
              <m:oMath>
                <m:nary>
                  <m:naryPr>
                    <m:chr m:val="∑"/>
                    <m:limLoc m:val="undOvr"/>
                    <m:supHide m:val="1"/>
                    <m:ctrlPr>
                      <w:rPr>
                        <w:rFonts w:ascii="Cambria Math" w:hAnsi="Cambria Math"/>
                        <w:iCs/>
                      </w:rPr>
                    </m:ctrlPr>
                  </m:naryPr>
                  <m:sub>
                    <m:r>
                      <m:rPr>
                        <m:sty m:val="p"/>
                      </m:rPr>
                      <w:rPr>
                        <w:rFonts w:ascii="Cambria Math" w:hAnsi="Cambria Math"/>
                      </w:rPr>
                      <m:t>j</m:t>
                    </m:r>
                  </m:sub>
                  <m:sup/>
                  <m:e>
                    <m:sSub>
                      <m:sSubPr>
                        <m:ctrlPr>
                          <w:rPr>
                            <w:rFonts w:ascii="Cambria Math" w:hAnsi="Cambria Math"/>
                          </w:rPr>
                        </m:ctrlPr>
                      </m:sSubPr>
                      <m:e>
                        <m:r>
                          <m:rPr>
                            <m:scr m:val="double-struck"/>
                            <m:sty m:val="p"/>
                          </m:rPr>
                          <w:rPr>
                            <w:rFonts w:ascii="Cambria Math" w:hAnsi="Cambria Math"/>
                          </w:rPr>
                          <m:t>k</m:t>
                        </m:r>
                      </m:e>
                      <m:sub>
                        <m:r>
                          <m:rPr>
                            <m:sty m:val="p"/>
                          </m:rPr>
                          <w:rPr>
                            <w:rFonts w:ascii="Cambria Math" w:hAnsi="Cambria Math"/>
                          </w:rPr>
                          <m:t>j</m:t>
                        </m:r>
                      </m:sub>
                    </m:sSub>
                  </m:e>
                </m:nary>
                <m:r>
                  <m:rPr>
                    <m:sty m:val="p"/>
                  </m:rPr>
                  <w:rPr>
                    <w:rFonts w:ascii="Cambria Math" w:hAnsi="Cambria Math"/>
                  </w:rPr>
                  <m:t>=1</m:t>
                </m:r>
              </m:oMath>
            </m:oMathPara>
          </w:p>
        </w:tc>
        <w:tc>
          <w:tcPr>
            <w:tcW w:w="805" w:type="dxa"/>
            <w:shd w:val="clear" w:color="auto" w:fill="auto"/>
            <w:vAlign w:val="center"/>
          </w:tcPr>
          <w:p w:rsidR="000B538C" w:rsidRPr="00B57B36" w:rsidRDefault="000B538C" w:rsidP="0026777F">
            <w:pPr>
              <w:pStyle w:val="CETEquation"/>
              <w:jc w:val="center"/>
            </w:pPr>
            <w:r w:rsidRPr="00B57B36">
              <w:t>(</w:t>
            </w:r>
            <w:r w:rsidR="003E0660">
              <w:t>3</w:t>
            </w:r>
            <w:r w:rsidRPr="00B57B36">
              <w:t>)</w:t>
            </w:r>
          </w:p>
        </w:tc>
      </w:tr>
    </w:tbl>
    <w:p w:rsidR="00752BD0" w:rsidRDefault="00752BD0" w:rsidP="00433B43">
      <w:r w:rsidRPr="004203BA">
        <w:t xml:space="preserve">It is instructive first to consider a simpler case in which no constraints are imposed. </w:t>
      </w:r>
      <w:r>
        <w:t>A</w:t>
      </w:r>
      <w:r w:rsidRPr="004203BA">
        <w:t xml:space="preserve">ny combination of three </w:t>
      </w:r>
      <w:r>
        <w:t xml:space="preserve">different </w:t>
      </w:r>
      <w:r w:rsidRPr="004203BA">
        <w:t>molecular components fo</w:t>
      </w:r>
      <w:r>
        <w:t>rm a linearly independent basis (LIB); s</w:t>
      </w:r>
      <w:r w:rsidRPr="004203BA">
        <w:t xml:space="preserve">ince any </w:t>
      </w:r>
      <w:r>
        <w:t xml:space="preserve">LIB </w:t>
      </w:r>
      <w:r w:rsidRPr="004203BA">
        <w:t xml:space="preserve">is able to span R3, this means that at least one solution should be found for every </w:t>
      </w:r>
      <w:r>
        <w:t xml:space="preserve">LIB. As a consequence, </w:t>
      </w:r>
      <w:r w:rsidRPr="004203BA">
        <w:t xml:space="preserve">the </w:t>
      </w:r>
      <w:r>
        <w:t xml:space="preserve">AMB </w:t>
      </w:r>
      <w:r w:rsidR="00E56C07">
        <w:t xml:space="preserve">with 5 components </w:t>
      </w:r>
      <w:r w:rsidR="00C83426" w:rsidRPr="004203BA">
        <w:t>will have multiple solutions for the no constraint case</w:t>
      </w:r>
      <w:r w:rsidR="008D1D97">
        <w:t xml:space="preserve"> (</w:t>
      </w:r>
      <w:r w:rsidR="00E56C07">
        <w:t>and also for</w:t>
      </w:r>
      <w:r w:rsidR="00C83426">
        <w:t xml:space="preserve"> </w:t>
      </w:r>
      <w:r w:rsidR="00E56C07">
        <w:t>s</w:t>
      </w:r>
      <w:r w:rsidR="00C83426">
        <w:t>ome constrained cases</w:t>
      </w:r>
      <w:r w:rsidR="008D1D97">
        <w:t>)</w:t>
      </w:r>
      <w:r>
        <w:t>.</w:t>
      </w:r>
    </w:p>
    <w:p w:rsidR="00433B43" w:rsidRDefault="00752BD0" w:rsidP="004227D8">
      <w:r w:rsidRPr="004203BA">
        <w:t xml:space="preserve">The problem can be tended by reducing the number of independent variables </w:t>
      </w:r>
      <w:r w:rsidR="006535F3">
        <w:t xml:space="preserve">(from five) </w:t>
      </w:r>
      <w:r w:rsidRPr="004203BA">
        <w:t>to three</w:t>
      </w:r>
      <w:r>
        <w:t xml:space="preserve">, </w:t>
      </w:r>
      <w:r w:rsidRPr="004203BA">
        <w:t>by using the experimentally determined composition of cellulose and hemicellulose</w:t>
      </w:r>
      <w:r>
        <w:t xml:space="preserve">. For this new </w:t>
      </w:r>
      <w:r w:rsidR="00433B43" w:rsidRPr="004203BA">
        <w:t>AMB</w:t>
      </w:r>
      <w:r>
        <w:t>,</w:t>
      </w:r>
      <w:r w:rsidR="00433B43" w:rsidRPr="004203BA">
        <w:t xml:space="preserve"> the previously established bounds usually prevent an exact solution to be found, i.e., the atomic experimental composition cannot be matched exactly by a linear combination of the species’ composition. It is possible, though, to estimate a solution which is the closest possible to the observed values of the AMB through an optimization process. The criterion chosen for evaluating the goodness of the solution is the minimization of the sum of the squared relative residues (SSRR) of the AMB; this choice avoids high relative errors on the estimation of the hydrogen massive content, which is much lower than oxygen and carbon. </w:t>
      </w:r>
      <w:r w:rsidR="00135756">
        <w:t xml:space="preserve">For the mathematical details </w:t>
      </w:r>
      <w:r>
        <w:t>on the solution</w:t>
      </w:r>
      <w:r w:rsidR="00E73B29">
        <w:t xml:space="preserve"> </w:t>
      </w:r>
      <w:r w:rsidR="00135756">
        <w:t xml:space="preserve">of the </w:t>
      </w:r>
      <w:r w:rsidR="002804CC">
        <w:t>AMB</w:t>
      </w:r>
      <w:r w:rsidR="00135756">
        <w:t xml:space="preserve"> t</w:t>
      </w:r>
      <w:r>
        <w:t>he reader is referred to the</w:t>
      </w:r>
      <w:r w:rsidR="001F2423">
        <w:t xml:space="preserve"> following online</w:t>
      </w:r>
      <w:r>
        <w:t xml:space="preserve"> </w:t>
      </w:r>
      <w:r w:rsidR="001F2423">
        <w:t>m</w:t>
      </w:r>
      <w:r w:rsidR="00135756">
        <w:t>aterial</w:t>
      </w:r>
      <w:r w:rsidR="00975A04">
        <w:t xml:space="preserve"> </w:t>
      </w:r>
      <w:r w:rsidR="00975A04">
        <w:fldChar w:fldCharType="begin" w:fldLock="1"/>
      </w:r>
      <w:r w:rsidR="002B72E1">
        <w:instrText>ADDIN CSL_CITATION {"citationItems":[{"id":"ITEM-1","itemData":{"URL":"https://tinyurl.com/ICheaP14-SupMat-AFA","accessed":{"date-parts":[["2019","1","31"]]},"author":[{"dropping-particle":"","family":"Amaral","given":"Andre Furtado","non-dropping-particle":"","parse-names":false,"suffix":""}],"id":"ITEM-1","issued":{"date-parts":[["2019"]]},"title":"Supplementary Material","type":"webpage"},"uris":["http://www.mendeley.com/documents/?uuid=d707c9d6-0675-4a64-b6fe-a529580c52ad"]}],"mendeley":{"formattedCitation":"(Amaral, 2019)","plainTextFormattedCitation":"(Amaral, 2019)","previouslyFormattedCitation":"(Amaral, 2019)"},"properties":{"noteIndex":0},"schema":"https://github.com/citation-style-language/schema/raw/master/csl-citation.json"}</w:instrText>
      </w:r>
      <w:r w:rsidR="00975A04">
        <w:fldChar w:fldCharType="separate"/>
      </w:r>
      <w:r w:rsidR="00975A04" w:rsidRPr="00975A04">
        <w:rPr>
          <w:noProof/>
        </w:rPr>
        <w:t>(Amaral, 2019)</w:t>
      </w:r>
      <w:r w:rsidR="00975A04">
        <w:fldChar w:fldCharType="end"/>
      </w:r>
      <w:r w:rsidR="002804CC">
        <w:t>.</w:t>
      </w:r>
    </w:p>
    <w:p w:rsidR="006535F3" w:rsidRPr="004203BA" w:rsidRDefault="006535F3" w:rsidP="00553B0C">
      <w:r>
        <w:t xml:space="preserve">Biomass </w:t>
      </w:r>
      <w:r w:rsidR="00C70B6B">
        <w:t>parameters</w:t>
      </w:r>
      <w:r>
        <w:t xml:space="preserve"> were taken from the </w:t>
      </w:r>
      <w:r w:rsidR="00F36398">
        <w:t>Phillys</w:t>
      </w:r>
      <w:r>
        <w:t>2</w:t>
      </w:r>
      <w:r w:rsidR="00F36398">
        <w:t xml:space="preserve"> </w:t>
      </w:r>
      <w:r>
        <w:t>database</w:t>
      </w:r>
      <w:r w:rsidR="00F36398">
        <w:t xml:space="preserve"> </w:t>
      </w:r>
      <w:r w:rsidR="00F36398">
        <w:fldChar w:fldCharType="begin" w:fldLock="1"/>
      </w:r>
      <w:r w:rsidR="00015A2A">
        <w:instrText>ADDIN CSL_CITATION {"citationItems":[{"id":"ITEM-1","itemData":{"URL":"https://phyllis.nl/","accessed":{"date-parts":[["2019","1","31"]]},"author":[{"dropping-particle":"","family":"Energy Research Centre of the Netherlands","given":"","non-dropping-particle":"","parse-names":false,"suffix":""}],"id":"ITEM-1","issued":{"date-parts":[["2019"]]},"title":"Phyllis2, database for biomass and waste","type":"webpage"},"uris":["http://www.mendeley.com/documents/?uuid=ab517f1b-fff1-4785-8c85-bd5326df511f"]}],"mendeley":{"formattedCitation":"(Energy Research Centre of the Netherlands, 2019)","plainTextFormattedCitation":"(Energy Research Centre of the Netherlands, 2019)","previouslyFormattedCitation":"(Energy Research Centre of the Netherlands, 2019)"},"properties":{"noteIndex":0},"schema":"https://github.com/citation-style-language/schema/raw/master/csl-citation.json"}</w:instrText>
      </w:r>
      <w:r w:rsidR="00F36398">
        <w:fldChar w:fldCharType="separate"/>
      </w:r>
      <w:r w:rsidR="00F36398" w:rsidRPr="00F36398">
        <w:rPr>
          <w:noProof/>
        </w:rPr>
        <w:t>(Energy Research Centre of the Netherlands, 2019)</w:t>
      </w:r>
      <w:r w:rsidR="00F36398">
        <w:fldChar w:fldCharType="end"/>
      </w:r>
      <w:r>
        <w:t xml:space="preserve"> and the ca</w:t>
      </w:r>
      <w:r w:rsidR="004D4578">
        <w:t xml:space="preserve">lculated lower heating value (LHV) is compared to the </w:t>
      </w:r>
      <w:r w:rsidR="00553B0C">
        <w:t>value determined experimentally; two entries from the database were used when any single entry could not provide all the required information.</w:t>
      </w:r>
    </w:p>
    <w:p w:rsidR="00600535" w:rsidRDefault="00DF4AC6" w:rsidP="00FA5F5F">
      <w:pPr>
        <w:pStyle w:val="CETheadingx"/>
      </w:pPr>
      <w:r>
        <w:t xml:space="preserve">Gasification </w:t>
      </w:r>
      <w:r w:rsidR="00822DD1">
        <w:t>r</w:t>
      </w:r>
      <w:r w:rsidR="00060304">
        <w:t xml:space="preserve">eactor </w:t>
      </w:r>
      <w:r w:rsidR="00822DD1">
        <w:t>s</w:t>
      </w:r>
      <w:r>
        <w:t>imulation</w:t>
      </w:r>
    </w:p>
    <w:p w:rsidR="00EA3FCD" w:rsidRDefault="00015A2A" w:rsidP="00DF4AC6">
      <w:pPr>
        <w:pStyle w:val="CETBodytext"/>
      </w:pPr>
      <w:r>
        <w:t>An entrained-</w:t>
      </w:r>
      <w:r w:rsidR="00060304">
        <w:t>flow gasifier was considered for our simulations; it is among one of the most diffused</w:t>
      </w:r>
      <w:r>
        <w:t xml:space="preserve"> gasification</w:t>
      </w:r>
      <w:r w:rsidR="00060304">
        <w:t xml:space="preserve"> technologies</w:t>
      </w:r>
      <w:r>
        <w:t xml:space="preserve">. </w:t>
      </w:r>
      <w:r w:rsidR="00822DD1">
        <w:t xml:space="preserve">In this configuration the biomass follows concurrently the input gas stream (which in this case is pure oxygen). </w:t>
      </w:r>
      <w:r w:rsidR="00EA3FCD">
        <w:t>B</w:t>
      </w:r>
      <w:r w:rsidR="00CC1C88">
        <w:t>iomass input was 100 MW</w:t>
      </w:r>
      <w:r w:rsidR="00EA3FCD">
        <w:t>,</w:t>
      </w:r>
      <w:r w:rsidR="00CC1C88">
        <w:t xml:space="preserve"> considering </w:t>
      </w:r>
      <w:r w:rsidR="00EA3FCD">
        <w:t>the average between</w:t>
      </w:r>
      <w:r w:rsidR="00CC1C88">
        <w:t xml:space="preserve"> the total </w:t>
      </w:r>
      <w:r w:rsidR="00EA3FCD">
        <w:t xml:space="preserve">input </w:t>
      </w:r>
      <w:r w:rsidR="00CC1C88">
        <w:t xml:space="preserve">energy </w:t>
      </w:r>
      <w:r w:rsidR="00EA3FCD">
        <w:t xml:space="preserve">(in terms of LHV) and </w:t>
      </w:r>
      <w:r w:rsidR="00D86F08">
        <w:t xml:space="preserve">365 </w:t>
      </w:r>
      <w:r w:rsidR="00A87226">
        <w:t>days in the year; oxygen input was</w:t>
      </w:r>
      <w:r w:rsidR="007F4132">
        <w:t xml:space="preserve"> 50% of the total bioma</w:t>
      </w:r>
      <w:r w:rsidR="00D86F08">
        <w:t xml:space="preserve">ss </w:t>
      </w:r>
      <w:r w:rsidR="008A7543">
        <w:t xml:space="preserve">input </w:t>
      </w:r>
      <w:r w:rsidR="00D86F08">
        <w:t xml:space="preserve">mass flow </w:t>
      </w:r>
      <w:r w:rsidR="008A7543">
        <w:t>(considering ashes and</w:t>
      </w:r>
      <w:r w:rsidR="007F4132">
        <w:t xml:space="preserve"> 5% moisture).</w:t>
      </w:r>
    </w:p>
    <w:p w:rsidR="004E2FB2" w:rsidRDefault="00EA3FCD" w:rsidP="004E2FB2">
      <w:pPr>
        <w:pStyle w:val="CETBodytext"/>
      </w:pPr>
      <w:r>
        <w:t xml:space="preserve">The gasification reactor was simulated with two different approaches in order to predict output composition and temperature. </w:t>
      </w:r>
      <w:r w:rsidR="00015A2A">
        <w:t xml:space="preserve">For the first approach, simulations were performed with the </w:t>
      </w:r>
      <w:r w:rsidR="00015A2A">
        <w:rPr>
          <w:i/>
        </w:rPr>
        <w:t>Gas</w:t>
      </w:r>
      <w:r w:rsidR="00015A2A" w:rsidRPr="00060304">
        <w:rPr>
          <w:i/>
        </w:rPr>
        <w:t>DS</w:t>
      </w:r>
      <w:r w:rsidR="00015A2A">
        <w:t xml:space="preserve"> package, a </w:t>
      </w:r>
      <w:r w:rsidR="00060304">
        <w:t xml:space="preserve">kinetic, phenomenological model; </w:t>
      </w:r>
      <w:r w:rsidR="00654D8D">
        <w:t xml:space="preserve">a detailed mechanism is used for the gas-phase reactions while </w:t>
      </w:r>
      <w:r w:rsidR="00015A2A">
        <w:t>the solid-phase ki</w:t>
      </w:r>
      <w:r w:rsidR="00654D8D">
        <w:t xml:space="preserve">netics are based on the biomass composition </w:t>
      </w:r>
      <w:r w:rsidR="00015A2A">
        <w:t>(</w:t>
      </w:r>
      <w:r w:rsidR="00654D8D">
        <w:t xml:space="preserve">in terms of </w:t>
      </w:r>
      <w:r w:rsidR="00015A2A">
        <w:t xml:space="preserve">cellulose, hemicellulose and 3 types of lignin) </w:t>
      </w:r>
      <w:r w:rsidR="00654D8D">
        <w:t xml:space="preserve">determined </w:t>
      </w:r>
      <w:r w:rsidR="00F97CE8">
        <w:t xml:space="preserve">with </w:t>
      </w:r>
      <w:r w:rsidR="00654D8D">
        <w:t xml:space="preserve">the methods </w:t>
      </w:r>
      <w:r w:rsidR="00F97CE8">
        <w:t xml:space="preserve">presented </w:t>
      </w:r>
      <w:r w:rsidR="00654D8D">
        <w:t xml:space="preserve">on the previous section. </w:t>
      </w:r>
      <w:r w:rsidR="00015A2A">
        <w:t xml:space="preserve">For further information on the </w:t>
      </w:r>
      <w:r w:rsidR="00015A2A" w:rsidRPr="003D52E9">
        <w:rPr>
          <w:i/>
        </w:rPr>
        <w:t>GasDS</w:t>
      </w:r>
      <w:r w:rsidR="00015A2A">
        <w:t xml:space="preserve"> package the reader is referred to </w:t>
      </w:r>
      <w:r w:rsidR="00015A2A">
        <w:fldChar w:fldCharType="begin" w:fldLock="1"/>
      </w:r>
      <w:r w:rsidR="00D427E2">
        <w:instrText>ADDIN CSL_CITATION {"citationItems":[{"id":"ITEM-1","itemData":{"DOI":"10.3303/CET1650042","ISBN":"978-88-95608-41-9","ISSN":"2283-9216","abstract":"In this paper, a simulation package called GASDS is introduced. It is particularly suited to evaluate the pyrolysis, gasification and combustion of biomass and coal feedstocks. The aim of this work is to describe the package from a numerical point of view and its interface. Additionally, experimental results for a countercurrent fixed-bed biomass gasification reactor are reproduced. The influence of reactor and particle discretizations are investigated with respect to accuracy and computational time. Some differences are present between experimental and simulation results. In order to improve the agreement between simulation and experimental results it is suggested to improve the kinetic scheme of the solid phase and gas-solid reactions. The negligible differences in terms of predictions, instead, do not justify the adoption of finer discretizations for the particle and reactor, which imply longer computational times.","author":[{"dropping-particle":"","family":"Cabianca","given":"Lorenzo","non-dropping-particle":"","parse-names":false,"suffix":""},{"dropping-particle":"","family":"Bassani","given":"Andrea","non-dropping-particle":"","parse-names":false,"suffix":""},{"dropping-particle":"","family":"Amaral","given":"André F","non-dropping-particle":"","parse-names":false,"suffix":""},{"dropping-particle":"","family":"Rossi","given":"Francesco","non-dropping-particle":"","parse-names":false,"suffix":""},{"dropping-particle":"","family":"Bozzano","given":"Giulia","non-dropping-particle":"","parse-names":false,"suffix":""},{"dropping-particle":"","family":"Ranzi","given":"Eliseo","non-dropping-particle":"","parse-names":false,"suffix":""},{"dropping-particle":"","family":"Telen","given":"Dries","non-dropping-particle":"","parse-names":false,"suffix":""},{"dropping-particle":"","family":"Logist","given":"Filip","non-dropping-particle":"","parse-names":false,"suffix":""},{"dropping-particle":"Van","family":"Impe","given":"Jan","non-dropping-particle":"","parse-names":false,"suffix":""},{"dropping-particle":"","family":"Manenti","given":"Flavio","non-dropping-particle":"","parse-names":false,"suffix":""}],"container-title":"Chemical Engineering Transactions","id":"ITEM-1","issue":"2004","issued":{"date-parts":[["2016"]]},"page":"247-252","title":"GASDS: a Kinetic-Based Package for Biomass and Coal Gasification","type":"article-journal","volume":"50"},"uris":["http://www.mendeley.com/documents/?uuid=2509d80c-1b52-490e-82bd-6f77418ed9b8"]}],"mendeley":{"formattedCitation":"(Cabianca &lt;i&gt;et al.&lt;/i&gt;, 2016)","plainTextFormattedCitation":"(Cabianca et al., 2016)","previouslyFormattedCitation":"(Cabianca &lt;i&gt;et al.&lt;/i&gt;, 2016)"},"properties":{"noteIndex":0},"schema":"https://github.com/citation-style-language/schema/raw/master/csl-citation.json"}</w:instrText>
      </w:r>
      <w:r w:rsidR="00015A2A">
        <w:fldChar w:fldCharType="separate"/>
      </w:r>
      <w:r w:rsidR="00D427E2" w:rsidRPr="00D427E2">
        <w:rPr>
          <w:noProof/>
        </w:rPr>
        <w:t xml:space="preserve">(Cabianca </w:t>
      </w:r>
      <w:r w:rsidR="00D427E2" w:rsidRPr="00D427E2">
        <w:rPr>
          <w:i/>
          <w:noProof/>
        </w:rPr>
        <w:t>et al.</w:t>
      </w:r>
      <w:r w:rsidR="00D427E2" w:rsidRPr="00D427E2">
        <w:rPr>
          <w:noProof/>
        </w:rPr>
        <w:t>, 2016)</w:t>
      </w:r>
      <w:r w:rsidR="00015A2A">
        <w:fldChar w:fldCharType="end"/>
      </w:r>
      <w:r w:rsidR="00015A2A">
        <w:t>.</w:t>
      </w:r>
      <w:r>
        <w:t xml:space="preserve"> </w:t>
      </w:r>
      <w:r w:rsidR="001353F3">
        <w:t>For t</w:t>
      </w:r>
      <w:r w:rsidR="004E2FB2">
        <w:t xml:space="preserve">he second approach, gasification </w:t>
      </w:r>
      <w:r w:rsidR="003D52E9">
        <w:t xml:space="preserve">output is determined </w:t>
      </w:r>
      <w:r w:rsidR="004965A6">
        <w:t xml:space="preserve">by </w:t>
      </w:r>
      <w:r w:rsidR="004965A6">
        <w:lastRenderedPageBreak/>
        <w:t xml:space="preserve">letting the </w:t>
      </w:r>
      <w:r w:rsidR="004965A6">
        <w:rPr>
          <w:i/>
        </w:rPr>
        <w:t>Gas</w:t>
      </w:r>
      <w:r w:rsidR="004965A6" w:rsidRPr="00060304">
        <w:rPr>
          <w:i/>
        </w:rPr>
        <w:t>DS</w:t>
      </w:r>
      <w:r w:rsidR="004965A6">
        <w:t xml:space="preserve"> output attain adiabatic </w:t>
      </w:r>
      <w:r w:rsidR="004E2FB2" w:rsidRPr="004E2FB2">
        <w:t xml:space="preserve">chemical equilibrium through minimization of Gibbs energy, which is calculated using the polynomials provided by </w:t>
      </w:r>
      <w:r w:rsidR="004E2FB2">
        <w:fldChar w:fldCharType="begin" w:fldLock="1"/>
      </w:r>
      <w:r w:rsidR="00D427E2">
        <w:instrText>ADDIN CSL_CITATION {"citationItems":[{"id":"ITEM-1","itemData":{"URL":"http://garfield.chem.elte.hu/Burcat/BURCAT.THR","author":[{"dropping-particle":"","family":"Goos","given":"Elke","non-dropping-particle":"","parse-names":false,"suffix":""},{"dropping-particle":"","family":"Burcat","given":"Alexander","non-dropping-particle":"","parse-names":false,"suffix":""},{"dropping-particle":"","family":"Ruscic","given":"Branko","non-dropping-particle":"","parse-names":false,"suffix":""}],"id":"ITEM-1","issued":{"date-parts":[["2018"]]},"title":"Extended Third Millenium Ideal Gas Thermochemical Database with updates from Active Thermochemical Tables","type":"webpage"},"uris":["http://www.mendeley.com/documents/?uuid=b4386f32-fa57-400f-8853-0a89e72c6733"]}],"mendeley":{"formattedCitation":"(Goos, Burcat and Ruscic, 2018)","plainTextFormattedCitation":"(Goos, Burcat and Ruscic, 2018)","previouslyFormattedCitation":"(Goos, Burcat and Ruscic, 2018)"},"properties":{"noteIndex":0},"schema":"https://github.com/citation-style-language/schema/raw/master/csl-citation.json"}</w:instrText>
      </w:r>
      <w:r w:rsidR="004E2FB2">
        <w:fldChar w:fldCharType="separate"/>
      </w:r>
      <w:r w:rsidR="00D427E2" w:rsidRPr="00D427E2">
        <w:rPr>
          <w:noProof/>
        </w:rPr>
        <w:t>(Goos, Burcat and Ruscic, 2018)</w:t>
      </w:r>
      <w:r w:rsidR="004E2FB2">
        <w:fldChar w:fldCharType="end"/>
      </w:r>
      <w:r w:rsidR="004E2FB2">
        <w:t xml:space="preserve"> </w:t>
      </w:r>
      <w:r w:rsidR="004E2FB2" w:rsidRPr="004E2FB2">
        <w:t>a.k.a. ‘the NASA polynomials’.</w:t>
      </w:r>
      <w:r w:rsidR="004E2FB2">
        <w:t xml:space="preserve"> The polynomial coefficients are input inside the HYSYS simulator and the ‘Gibbs reactor’ unit is used to perform the calculations.</w:t>
      </w:r>
    </w:p>
    <w:p w:rsidR="00822DD1" w:rsidRDefault="00CB0276" w:rsidP="00822DD1">
      <w:pPr>
        <w:pStyle w:val="CETheadingx"/>
      </w:pPr>
      <w:r>
        <w:t>Techno-economic assessment of m</w:t>
      </w:r>
      <w:r w:rsidR="0049013C">
        <w:t>ethanol production</w:t>
      </w:r>
    </w:p>
    <w:p w:rsidR="002C1C1A" w:rsidRDefault="001D6738" w:rsidP="00CB0276">
      <w:pPr>
        <w:pStyle w:val="CETBodytext"/>
        <w:rPr>
          <w:lang w:val="en-GB"/>
        </w:rPr>
      </w:pPr>
      <w:r>
        <w:rPr>
          <w:lang w:val="en-GB"/>
        </w:rPr>
        <w:t xml:space="preserve">The </w:t>
      </w:r>
      <w:r w:rsidR="00CB0276">
        <w:rPr>
          <w:lang w:val="en-GB"/>
        </w:rPr>
        <w:t xml:space="preserve">methanol production </w:t>
      </w:r>
      <w:r>
        <w:rPr>
          <w:lang w:val="en-GB"/>
        </w:rPr>
        <w:t xml:space="preserve">process was </w:t>
      </w:r>
      <w:r w:rsidR="00CB0276">
        <w:rPr>
          <w:lang w:val="en-GB"/>
        </w:rPr>
        <w:t xml:space="preserve">simulated </w:t>
      </w:r>
      <w:r>
        <w:rPr>
          <w:lang w:val="en-GB"/>
        </w:rPr>
        <w:t>with co</w:t>
      </w:r>
      <w:r w:rsidR="00CB0276">
        <w:rPr>
          <w:lang w:val="en-GB"/>
        </w:rPr>
        <w:t xml:space="preserve">mmercial simulator Aspen HYSYS. </w:t>
      </w:r>
      <w:r w:rsidR="002C1C1A">
        <w:rPr>
          <w:lang w:val="en-GB"/>
        </w:rPr>
        <w:fldChar w:fldCharType="begin"/>
      </w:r>
      <w:r w:rsidR="002C1C1A">
        <w:rPr>
          <w:lang w:val="en-GB"/>
        </w:rPr>
        <w:instrText xml:space="preserve"> REF _Ref1032167 \h </w:instrText>
      </w:r>
      <w:r w:rsidR="002C1C1A">
        <w:rPr>
          <w:lang w:val="en-GB"/>
        </w:rPr>
      </w:r>
      <w:r w:rsidR="002C1C1A">
        <w:rPr>
          <w:lang w:val="en-GB"/>
        </w:rPr>
        <w:fldChar w:fldCharType="separate"/>
      </w:r>
      <w:r w:rsidR="002C1C1A">
        <w:t xml:space="preserve">Figure </w:t>
      </w:r>
      <w:r w:rsidR="002C1C1A">
        <w:rPr>
          <w:noProof/>
        </w:rPr>
        <w:t>2</w:t>
      </w:r>
      <w:r w:rsidR="002C1C1A">
        <w:rPr>
          <w:lang w:val="en-GB"/>
        </w:rPr>
        <w:fldChar w:fldCharType="end"/>
      </w:r>
      <w:r w:rsidR="002C1C1A">
        <w:rPr>
          <w:lang w:val="en-GB"/>
        </w:rPr>
        <w:t xml:space="preserve"> </w:t>
      </w:r>
      <w:r w:rsidR="000B33B2">
        <w:rPr>
          <w:lang w:val="en-GB"/>
        </w:rPr>
        <w:t>shows the program flowsheet with the subflowsheet</w:t>
      </w:r>
      <w:r w:rsidR="004965A6">
        <w:rPr>
          <w:lang w:val="en-GB"/>
        </w:rPr>
        <w:t xml:space="preserve">s used for each process section; the gasification section is shown in the detail: the GasDS output is read in the ‘GAS*’ stream, which is let attain adiabatic chemical equilibrium </w:t>
      </w:r>
      <w:r w:rsidR="00C9725A">
        <w:rPr>
          <w:lang w:val="en-GB"/>
        </w:rPr>
        <w:t>with a ‘Gibbs reactor</w:t>
      </w:r>
      <w:r w:rsidR="004965A6">
        <w:rPr>
          <w:lang w:val="en-GB"/>
        </w:rPr>
        <w:t>’</w:t>
      </w:r>
      <w:r w:rsidR="00C9725A">
        <w:rPr>
          <w:lang w:val="en-GB"/>
        </w:rPr>
        <w:t>-type</w:t>
      </w:r>
      <w:r w:rsidR="004965A6">
        <w:rPr>
          <w:lang w:val="en-GB"/>
        </w:rPr>
        <w:t xml:space="preserve"> unit.</w:t>
      </w:r>
      <w:r w:rsidR="003C5A8B">
        <w:rPr>
          <w:lang w:val="en-GB"/>
        </w:rPr>
        <w:t xml:space="preserve"> </w:t>
      </w:r>
      <w:r w:rsidR="00CB0276">
        <w:rPr>
          <w:lang w:val="en-GB"/>
        </w:rPr>
        <w:t xml:space="preserve">The steps are summarized in </w:t>
      </w:r>
      <w:r w:rsidR="00CB0276">
        <w:rPr>
          <w:lang w:val="en-GB"/>
        </w:rPr>
        <w:fldChar w:fldCharType="begin"/>
      </w:r>
      <w:r w:rsidR="00CB0276">
        <w:rPr>
          <w:lang w:val="en-GB"/>
        </w:rPr>
        <w:instrText xml:space="preserve"> REF _Ref977651 \h </w:instrText>
      </w:r>
      <w:r w:rsidR="00CB0276">
        <w:rPr>
          <w:lang w:val="en-GB"/>
        </w:rPr>
      </w:r>
      <w:r w:rsidR="00CB0276">
        <w:rPr>
          <w:lang w:val="en-GB"/>
        </w:rPr>
        <w:fldChar w:fldCharType="separate"/>
      </w:r>
      <w:r w:rsidR="00CB0276">
        <w:t xml:space="preserve">Table </w:t>
      </w:r>
      <w:r w:rsidR="00CB0276">
        <w:rPr>
          <w:noProof/>
        </w:rPr>
        <w:t>1</w:t>
      </w:r>
      <w:r w:rsidR="00CB0276">
        <w:rPr>
          <w:lang w:val="en-GB"/>
        </w:rPr>
        <w:fldChar w:fldCharType="end"/>
      </w:r>
      <w:r w:rsidR="00CB0276">
        <w:rPr>
          <w:lang w:val="en-GB"/>
        </w:rPr>
        <w:t xml:space="preserve"> accordi</w:t>
      </w:r>
      <w:r w:rsidR="00C9725A">
        <w:rPr>
          <w:lang w:val="en-GB"/>
        </w:rPr>
        <w:t>ng to their order and function.</w:t>
      </w:r>
    </w:p>
    <w:p w:rsidR="00C9725A" w:rsidRDefault="00C9725A" w:rsidP="00CB0276">
      <w:pPr>
        <w:pStyle w:val="CETBodytext"/>
        <w:rPr>
          <w:lang w:val="en-GB"/>
        </w:rPr>
      </w:pPr>
    </w:p>
    <w:p w:rsidR="002C1C1A" w:rsidRDefault="004965A6" w:rsidP="00CB0276">
      <w:pPr>
        <w:pStyle w:val="CETBodytext"/>
        <w:rPr>
          <w:lang w:val="en-GB"/>
        </w:rPr>
      </w:pPr>
      <w:r>
        <w:rPr>
          <w:noProof/>
        </w:rPr>
        <w:drawing>
          <wp:inline distT="0" distB="0" distL="0" distR="0" wp14:anchorId="7FF12FAF">
            <wp:extent cx="3808429" cy="1800000"/>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8429" cy="1800000"/>
                    </a:xfrm>
                    <a:prstGeom prst="rect">
                      <a:avLst/>
                    </a:prstGeom>
                    <a:noFill/>
                  </pic:spPr>
                </pic:pic>
              </a:graphicData>
            </a:graphic>
          </wp:inline>
        </w:drawing>
      </w:r>
    </w:p>
    <w:p w:rsidR="002C1C1A" w:rsidRPr="00B57B36" w:rsidRDefault="002C1C1A" w:rsidP="002C1C1A">
      <w:pPr>
        <w:pStyle w:val="CETCaption"/>
      </w:pPr>
      <w:bookmarkStart w:id="0" w:name="_Ref1032167"/>
      <w:r>
        <w:t xml:space="preserve">Figure </w:t>
      </w:r>
      <w:r>
        <w:fldChar w:fldCharType="begin"/>
      </w:r>
      <w:r>
        <w:instrText xml:space="preserve"> SEQ Figure \* ARABIC </w:instrText>
      </w:r>
      <w:r>
        <w:fldChar w:fldCharType="separate"/>
      </w:r>
      <w:r>
        <w:rPr>
          <w:noProof/>
        </w:rPr>
        <w:t>2</w:t>
      </w:r>
      <w:r>
        <w:fldChar w:fldCharType="end"/>
      </w:r>
      <w:bookmarkEnd w:id="0"/>
      <w:r w:rsidRPr="00B57B36">
        <w:t xml:space="preserve">: </w:t>
      </w:r>
      <w:r>
        <w:t>Aspen HYSYS flowsheet showing the biomass conversion process; in detail the gasification section</w:t>
      </w:r>
      <w:r w:rsidR="00C9725A">
        <w:t xml:space="preserve"> in which adiabatic chemical equilibrium is calculated with a ‘Gibbs reactor’-type unit.</w:t>
      </w:r>
    </w:p>
    <w:p w:rsidR="001D6738" w:rsidRPr="009378F0" w:rsidRDefault="00CB0276" w:rsidP="00CB0276">
      <w:pPr>
        <w:pStyle w:val="CETTabletitle"/>
      </w:pPr>
      <w:bookmarkStart w:id="1" w:name="_Ref977651"/>
      <w:r>
        <w:t xml:space="preserve">Table </w:t>
      </w:r>
      <w:r>
        <w:fldChar w:fldCharType="begin"/>
      </w:r>
      <w:r>
        <w:instrText xml:space="preserve"> SEQ Table \* ARABIC </w:instrText>
      </w:r>
      <w:r>
        <w:fldChar w:fldCharType="separate"/>
      </w:r>
      <w:r>
        <w:rPr>
          <w:noProof/>
        </w:rPr>
        <w:t>1</w:t>
      </w:r>
      <w:r>
        <w:fldChar w:fldCharType="end"/>
      </w:r>
      <w:bookmarkEnd w:id="1"/>
      <w:r w:rsidR="001D6738">
        <w:t>: Summary of the processing steps according to their order and function.</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268"/>
        <w:gridCol w:w="5387"/>
      </w:tblGrid>
      <w:tr w:rsidR="001D6738" w:rsidRPr="009378F0" w:rsidTr="0055241C">
        <w:tc>
          <w:tcPr>
            <w:tcW w:w="1134" w:type="dxa"/>
            <w:tcBorders>
              <w:top w:val="single" w:sz="12" w:space="0" w:color="008000"/>
              <w:bottom w:val="single" w:sz="6" w:space="0" w:color="008000"/>
            </w:tcBorders>
            <w:shd w:val="clear" w:color="auto" w:fill="FFFFFF"/>
          </w:tcPr>
          <w:p w:rsidR="001D6738" w:rsidRPr="009378F0" w:rsidRDefault="001D6738" w:rsidP="004D2246">
            <w:pPr>
              <w:pStyle w:val="CETBodytext"/>
              <w:jc w:val="center"/>
              <w:rPr>
                <w:lang w:val="en-GB"/>
              </w:rPr>
            </w:pPr>
            <w:r>
              <w:rPr>
                <w:lang w:val="en-GB"/>
              </w:rPr>
              <w:t>Operation #</w:t>
            </w:r>
          </w:p>
        </w:tc>
        <w:tc>
          <w:tcPr>
            <w:tcW w:w="2268" w:type="dxa"/>
            <w:tcBorders>
              <w:top w:val="single" w:sz="12" w:space="0" w:color="008000"/>
              <w:bottom w:val="single" w:sz="6" w:space="0" w:color="008000"/>
            </w:tcBorders>
            <w:shd w:val="clear" w:color="auto" w:fill="FFFFFF"/>
          </w:tcPr>
          <w:p w:rsidR="001D6738" w:rsidRPr="009378F0" w:rsidRDefault="001D6738" w:rsidP="00150DEA">
            <w:pPr>
              <w:pStyle w:val="CETBodytext"/>
              <w:rPr>
                <w:lang w:val="en-GB"/>
              </w:rPr>
            </w:pPr>
            <w:r>
              <w:rPr>
                <w:lang w:val="en-GB"/>
              </w:rPr>
              <w:t>Name</w:t>
            </w:r>
          </w:p>
        </w:tc>
        <w:tc>
          <w:tcPr>
            <w:tcW w:w="5387" w:type="dxa"/>
            <w:tcBorders>
              <w:top w:val="single" w:sz="12" w:space="0" w:color="008000"/>
              <w:bottom w:val="single" w:sz="6" w:space="0" w:color="008000"/>
            </w:tcBorders>
            <w:shd w:val="clear" w:color="auto" w:fill="FFFFFF"/>
          </w:tcPr>
          <w:p w:rsidR="001D6738" w:rsidRPr="009378F0" w:rsidRDefault="001D6738" w:rsidP="00150DEA">
            <w:pPr>
              <w:pStyle w:val="CETBodytext"/>
              <w:ind w:right="-1"/>
              <w:rPr>
                <w:rFonts w:cs="Arial"/>
                <w:szCs w:val="18"/>
                <w:lang w:val="en-GB"/>
              </w:rPr>
            </w:pPr>
            <w:r>
              <w:rPr>
                <w:rFonts w:cs="Arial"/>
                <w:szCs w:val="18"/>
                <w:lang w:val="en-GB"/>
              </w:rPr>
              <w:t>Function</w:t>
            </w:r>
          </w:p>
        </w:tc>
      </w:tr>
      <w:tr w:rsidR="001D6738" w:rsidRPr="009378F0" w:rsidTr="00150DEA">
        <w:tc>
          <w:tcPr>
            <w:tcW w:w="1134" w:type="dxa"/>
            <w:shd w:val="clear" w:color="auto" w:fill="FFFFFF"/>
          </w:tcPr>
          <w:p w:rsidR="001D6738" w:rsidRPr="009378F0" w:rsidRDefault="001D6738" w:rsidP="004D2246">
            <w:pPr>
              <w:pStyle w:val="CETBodytext"/>
              <w:jc w:val="center"/>
              <w:rPr>
                <w:lang w:val="en-GB"/>
              </w:rPr>
            </w:pPr>
            <w:r>
              <w:rPr>
                <w:lang w:val="en-GB"/>
              </w:rPr>
              <w:t>1</w:t>
            </w:r>
          </w:p>
        </w:tc>
        <w:tc>
          <w:tcPr>
            <w:tcW w:w="2268" w:type="dxa"/>
            <w:shd w:val="clear" w:color="auto" w:fill="FFFFFF"/>
          </w:tcPr>
          <w:p w:rsidR="001D6738" w:rsidRPr="009378F0" w:rsidRDefault="00CB0276" w:rsidP="00150DEA">
            <w:pPr>
              <w:pStyle w:val="CETBodytext"/>
              <w:rPr>
                <w:lang w:val="en-GB"/>
              </w:rPr>
            </w:pPr>
            <w:r>
              <w:rPr>
                <w:lang w:val="en-GB"/>
              </w:rPr>
              <w:t>ASU – Air separation unit</w:t>
            </w:r>
          </w:p>
        </w:tc>
        <w:tc>
          <w:tcPr>
            <w:tcW w:w="5387" w:type="dxa"/>
            <w:shd w:val="clear" w:color="auto" w:fill="FFFFFF"/>
          </w:tcPr>
          <w:p w:rsidR="001D6738" w:rsidRPr="009378F0" w:rsidRDefault="00CB0276" w:rsidP="00150DEA">
            <w:pPr>
              <w:pStyle w:val="CETBodytext"/>
              <w:ind w:right="-1"/>
              <w:rPr>
                <w:rFonts w:cs="Arial"/>
                <w:szCs w:val="18"/>
                <w:lang w:val="en-GB"/>
              </w:rPr>
            </w:pPr>
            <w:r>
              <w:rPr>
                <w:rFonts w:cs="Arial"/>
                <w:szCs w:val="18"/>
                <w:lang w:val="en-GB"/>
              </w:rPr>
              <w:t>Produces pure oxygen to be used in the gasifier</w:t>
            </w:r>
          </w:p>
        </w:tc>
      </w:tr>
      <w:tr w:rsidR="00CB0276" w:rsidRPr="009378F0" w:rsidTr="00150DEA">
        <w:tc>
          <w:tcPr>
            <w:tcW w:w="1134" w:type="dxa"/>
            <w:shd w:val="clear" w:color="auto" w:fill="FFFFFF"/>
          </w:tcPr>
          <w:p w:rsidR="00CB0276" w:rsidRPr="00617BB6" w:rsidRDefault="00CB0276" w:rsidP="004D2246">
            <w:pPr>
              <w:pStyle w:val="CETBodytext"/>
              <w:jc w:val="center"/>
              <w:rPr>
                <w:lang w:val="en-GB"/>
              </w:rPr>
            </w:pPr>
            <w:r>
              <w:rPr>
                <w:lang w:val="en-GB"/>
              </w:rPr>
              <w:t>2</w:t>
            </w:r>
          </w:p>
        </w:tc>
        <w:tc>
          <w:tcPr>
            <w:tcW w:w="2268" w:type="dxa"/>
            <w:shd w:val="clear" w:color="auto" w:fill="FFFFFF"/>
          </w:tcPr>
          <w:p w:rsidR="00CB0276" w:rsidRPr="009378F0" w:rsidRDefault="00CB0276" w:rsidP="00CB0276">
            <w:pPr>
              <w:pStyle w:val="CETBodytext"/>
              <w:rPr>
                <w:lang w:val="en-GB"/>
              </w:rPr>
            </w:pPr>
            <w:r>
              <w:rPr>
                <w:lang w:val="en-GB"/>
              </w:rPr>
              <w:t>Gasification</w:t>
            </w:r>
          </w:p>
        </w:tc>
        <w:tc>
          <w:tcPr>
            <w:tcW w:w="5387" w:type="dxa"/>
            <w:shd w:val="clear" w:color="auto" w:fill="FFFFFF"/>
          </w:tcPr>
          <w:p w:rsidR="00CB0276" w:rsidRPr="009378F0" w:rsidRDefault="00CB0276" w:rsidP="00EE6907">
            <w:pPr>
              <w:pStyle w:val="CETBodytext"/>
              <w:ind w:right="-1"/>
              <w:rPr>
                <w:rFonts w:cs="Arial"/>
                <w:szCs w:val="18"/>
                <w:lang w:val="en-GB"/>
              </w:rPr>
            </w:pPr>
            <w:r>
              <w:rPr>
                <w:rFonts w:cs="Arial"/>
                <w:szCs w:val="18"/>
                <w:lang w:val="en-GB"/>
              </w:rPr>
              <w:t>Partially oxidizes biomass to generate producer gas</w:t>
            </w:r>
          </w:p>
        </w:tc>
      </w:tr>
      <w:tr w:rsidR="00CB0276" w:rsidRPr="009378F0" w:rsidTr="00150DEA">
        <w:tc>
          <w:tcPr>
            <w:tcW w:w="1134" w:type="dxa"/>
            <w:shd w:val="clear" w:color="auto" w:fill="FFFFFF"/>
          </w:tcPr>
          <w:p w:rsidR="00CB0276" w:rsidRPr="00617BB6" w:rsidRDefault="00CB0276" w:rsidP="004D2246">
            <w:pPr>
              <w:pStyle w:val="CETBodytext"/>
              <w:jc w:val="center"/>
              <w:rPr>
                <w:lang w:val="en-GB"/>
              </w:rPr>
            </w:pPr>
            <w:r>
              <w:rPr>
                <w:lang w:val="en-GB"/>
              </w:rPr>
              <w:t>3</w:t>
            </w:r>
          </w:p>
        </w:tc>
        <w:tc>
          <w:tcPr>
            <w:tcW w:w="2268" w:type="dxa"/>
            <w:shd w:val="clear" w:color="auto" w:fill="FFFFFF"/>
          </w:tcPr>
          <w:p w:rsidR="00CB0276" w:rsidRPr="00617BB6" w:rsidRDefault="00CB0276" w:rsidP="00CB0276">
            <w:pPr>
              <w:pStyle w:val="CETBodytext"/>
              <w:rPr>
                <w:lang w:val="en-GB"/>
              </w:rPr>
            </w:pPr>
            <w:r>
              <w:rPr>
                <w:lang w:val="en-GB"/>
              </w:rPr>
              <w:t>Quenching</w:t>
            </w:r>
          </w:p>
        </w:tc>
        <w:tc>
          <w:tcPr>
            <w:tcW w:w="5387" w:type="dxa"/>
            <w:shd w:val="clear" w:color="auto" w:fill="FFFFFF"/>
          </w:tcPr>
          <w:p w:rsidR="00CB0276" w:rsidRPr="009378F0" w:rsidRDefault="00CB0276" w:rsidP="00CB0276">
            <w:pPr>
              <w:pStyle w:val="CETBodytext"/>
              <w:ind w:right="-1"/>
              <w:rPr>
                <w:rFonts w:cs="Arial"/>
                <w:szCs w:val="18"/>
                <w:lang w:val="en-GB"/>
              </w:rPr>
            </w:pPr>
            <w:r>
              <w:rPr>
                <w:rFonts w:cs="Arial"/>
                <w:szCs w:val="18"/>
                <w:lang w:val="en-GB"/>
              </w:rPr>
              <w:t>Cools gas with a cold gas recycle; residual tar removal</w:t>
            </w:r>
          </w:p>
        </w:tc>
      </w:tr>
      <w:tr w:rsidR="00CB0276" w:rsidRPr="009378F0" w:rsidTr="00150DEA">
        <w:tc>
          <w:tcPr>
            <w:tcW w:w="1134" w:type="dxa"/>
            <w:shd w:val="clear" w:color="auto" w:fill="FFFFFF"/>
          </w:tcPr>
          <w:p w:rsidR="00CB0276" w:rsidRPr="00617BB6" w:rsidRDefault="00CB0276" w:rsidP="004D2246">
            <w:pPr>
              <w:pStyle w:val="CETBodytext"/>
              <w:jc w:val="center"/>
              <w:rPr>
                <w:lang w:val="en-GB"/>
              </w:rPr>
            </w:pPr>
            <w:r>
              <w:rPr>
                <w:lang w:val="en-GB"/>
              </w:rPr>
              <w:t>4</w:t>
            </w:r>
          </w:p>
        </w:tc>
        <w:tc>
          <w:tcPr>
            <w:tcW w:w="2268" w:type="dxa"/>
            <w:shd w:val="clear" w:color="auto" w:fill="FFFFFF"/>
          </w:tcPr>
          <w:p w:rsidR="00CB0276" w:rsidRPr="00617BB6" w:rsidRDefault="00CB0276" w:rsidP="00CB0276">
            <w:pPr>
              <w:pStyle w:val="CETBodytext"/>
              <w:rPr>
                <w:lang w:val="en-GB"/>
              </w:rPr>
            </w:pPr>
            <w:r>
              <w:rPr>
                <w:lang w:val="en-GB"/>
              </w:rPr>
              <w:t>Water-gas-shift reaction</w:t>
            </w:r>
          </w:p>
        </w:tc>
        <w:tc>
          <w:tcPr>
            <w:tcW w:w="5387" w:type="dxa"/>
            <w:shd w:val="clear" w:color="auto" w:fill="FFFFFF"/>
          </w:tcPr>
          <w:p w:rsidR="00CB0276" w:rsidRPr="009378F0" w:rsidRDefault="00CB0276" w:rsidP="00CB0276">
            <w:pPr>
              <w:pStyle w:val="CETBodytext"/>
              <w:ind w:right="-1"/>
              <w:rPr>
                <w:rFonts w:cs="Arial"/>
                <w:szCs w:val="18"/>
                <w:lang w:val="en-GB"/>
              </w:rPr>
            </w:pPr>
            <w:r>
              <w:rPr>
                <w:rFonts w:cs="Arial"/>
                <w:szCs w:val="18"/>
                <w:lang w:val="en-GB"/>
              </w:rPr>
              <w:t>Adjusts the H</w:t>
            </w:r>
            <w:r w:rsidRPr="00B872EB">
              <w:rPr>
                <w:rFonts w:cs="Arial"/>
                <w:szCs w:val="18"/>
                <w:vertAlign w:val="subscript"/>
                <w:lang w:val="en-GB"/>
              </w:rPr>
              <w:t>2</w:t>
            </w:r>
            <w:r>
              <w:rPr>
                <w:rFonts w:cs="Arial"/>
                <w:szCs w:val="18"/>
                <w:lang w:val="en-GB"/>
              </w:rPr>
              <w:t xml:space="preserve">/CO ratio of the </w:t>
            </w:r>
            <w:r w:rsidR="00D86F08">
              <w:rPr>
                <w:rFonts w:cs="Arial"/>
                <w:szCs w:val="18"/>
                <w:lang w:val="en-GB"/>
              </w:rPr>
              <w:t>syn</w:t>
            </w:r>
            <w:r>
              <w:rPr>
                <w:rFonts w:cs="Arial"/>
                <w:szCs w:val="18"/>
                <w:lang w:val="en-GB"/>
              </w:rPr>
              <w:t>gas stream</w:t>
            </w:r>
          </w:p>
        </w:tc>
      </w:tr>
      <w:tr w:rsidR="00CB0276" w:rsidRPr="009378F0" w:rsidTr="00150DEA">
        <w:tc>
          <w:tcPr>
            <w:tcW w:w="1134" w:type="dxa"/>
            <w:shd w:val="clear" w:color="auto" w:fill="FFFFFF"/>
          </w:tcPr>
          <w:p w:rsidR="00CB0276" w:rsidRPr="00617BB6" w:rsidRDefault="00CB0276" w:rsidP="004D2246">
            <w:pPr>
              <w:pStyle w:val="CETBodytext"/>
              <w:jc w:val="center"/>
              <w:rPr>
                <w:lang w:val="en-GB"/>
              </w:rPr>
            </w:pPr>
            <w:r>
              <w:rPr>
                <w:lang w:val="en-GB"/>
              </w:rPr>
              <w:t>5</w:t>
            </w:r>
          </w:p>
        </w:tc>
        <w:tc>
          <w:tcPr>
            <w:tcW w:w="2268" w:type="dxa"/>
            <w:shd w:val="clear" w:color="auto" w:fill="FFFFFF"/>
          </w:tcPr>
          <w:p w:rsidR="00CB0276" w:rsidRPr="00617BB6" w:rsidRDefault="00CB0276" w:rsidP="00CB0276">
            <w:pPr>
              <w:pStyle w:val="CETBodytext"/>
              <w:rPr>
                <w:lang w:val="en-GB"/>
              </w:rPr>
            </w:pPr>
            <w:r>
              <w:rPr>
                <w:lang w:val="en-GB"/>
              </w:rPr>
              <w:t>Sweetening</w:t>
            </w:r>
          </w:p>
        </w:tc>
        <w:tc>
          <w:tcPr>
            <w:tcW w:w="5387" w:type="dxa"/>
            <w:shd w:val="clear" w:color="auto" w:fill="FFFFFF"/>
          </w:tcPr>
          <w:p w:rsidR="00CB0276" w:rsidRPr="009378F0" w:rsidRDefault="00CB0276" w:rsidP="00CB0276">
            <w:pPr>
              <w:pStyle w:val="CETBodytext"/>
              <w:ind w:right="-1"/>
              <w:rPr>
                <w:rFonts w:cs="Arial"/>
                <w:szCs w:val="18"/>
                <w:lang w:val="en-GB"/>
              </w:rPr>
            </w:pPr>
            <w:r>
              <w:rPr>
                <w:rFonts w:cs="Arial"/>
                <w:szCs w:val="18"/>
                <w:lang w:val="en-GB"/>
              </w:rPr>
              <w:t>Removes CO</w:t>
            </w:r>
            <w:r w:rsidRPr="00B872EB">
              <w:rPr>
                <w:rFonts w:cs="Arial"/>
                <w:szCs w:val="18"/>
                <w:vertAlign w:val="subscript"/>
                <w:lang w:val="en-GB"/>
              </w:rPr>
              <w:t>2</w:t>
            </w:r>
            <w:r>
              <w:rPr>
                <w:rFonts w:cs="Arial"/>
                <w:szCs w:val="18"/>
                <w:lang w:val="en-GB"/>
              </w:rPr>
              <w:t xml:space="preserve"> and H</w:t>
            </w:r>
            <w:r w:rsidRPr="00B872EB">
              <w:rPr>
                <w:rFonts w:cs="Arial"/>
                <w:szCs w:val="18"/>
                <w:vertAlign w:val="subscript"/>
                <w:lang w:val="en-GB"/>
              </w:rPr>
              <w:t>2</w:t>
            </w:r>
            <w:r>
              <w:rPr>
                <w:rFonts w:cs="Arial"/>
                <w:szCs w:val="18"/>
                <w:lang w:val="en-GB"/>
              </w:rPr>
              <w:t xml:space="preserve">S from the </w:t>
            </w:r>
            <w:r w:rsidR="00D86F08">
              <w:rPr>
                <w:rFonts w:cs="Arial"/>
                <w:szCs w:val="18"/>
                <w:lang w:val="en-GB"/>
              </w:rPr>
              <w:t>syn</w:t>
            </w:r>
            <w:r>
              <w:rPr>
                <w:rFonts w:cs="Arial"/>
                <w:szCs w:val="18"/>
                <w:lang w:val="en-GB"/>
              </w:rPr>
              <w:t>gas</w:t>
            </w:r>
          </w:p>
        </w:tc>
      </w:tr>
      <w:tr w:rsidR="00CB0276" w:rsidRPr="009378F0" w:rsidTr="00150DEA">
        <w:tc>
          <w:tcPr>
            <w:tcW w:w="1134" w:type="dxa"/>
            <w:shd w:val="clear" w:color="auto" w:fill="FFFFFF"/>
          </w:tcPr>
          <w:p w:rsidR="00CB0276" w:rsidRPr="00617BB6" w:rsidRDefault="00CB0276" w:rsidP="004D2246">
            <w:pPr>
              <w:pStyle w:val="CETBodytext"/>
              <w:jc w:val="center"/>
              <w:rPr>
                <w:lang w:val="en-GB"/>
              </w:rPr>
            </w:pPr>
            <w:r>
              <w:rPr>
                <w:lang w:val="en-GB"/>
              </w:rPr>
              <w:t>6</w:t>
            </w:r>
          </w:p>
        </w:tc>
        <w:tc>
          <w:tcPr>
            <w:tcW w:w="2268" w:type="dxa"/>
            <w:shd w:val="clear" w:color="auto" w:fill="FFFFFF"/>
          </w:tcPr>
          <w:p w:rsidR="00CB0276" w:rsidRPr="00617BB6" w:rsidRDefault="00CB0276" w:rsidP="00CB0276">
            <w:pPr>
              <w:pStyle w:val="CETBodytext"/>
              <w:rPr>
                <w:lang w:val="en-GB"/>
              </w:rPr>
            </w:pPr>
            <w:r>
              <w:rPr>
                <w:lang w:val="en-GB"/>
              </w:rPr>
              <w:t>MeOH synthesis</w:t>
            </w:r>
          </w:p>
        </w:tc>
        <w:tc>
          <w:tcPr>
            <w:tcW w:w="5387" w:type="dxa"/>
            <w:shd w:val="clear" w:color="auto" w:fill="FFFFFF"/>
          </w:tcPr>
          <w:p w:rsidR="00CB0276" w:rsidRPr="009378F0" w:rsidRDefault="00CB0276" w:rsidP="00CB0276">
            <w:pPr>
              <w:pStyle w:val="CETBodytext"/>
              <w:ind w:right="-1"/>
              <w:rPr>
                <w:rFonts w:cs="Arial"/>
                <w:szCs w:val="18"/>
                <w:lang w:val="en-GB"/>
              </w:rPr>
            </w:pPr>
            <w:r>
              <w:rPr>
                <w:rFonts w:cs="Arial"/>
                <w:szCs w:val="18"/>
                <w:lang w:val="en-GB"/>
              </w:rPr>
              <w:t>Produces MeOH from syngas</w:t>
            </w:r>
          </w:p>
        </w:tc>
      </w:tr>
      <w:tr w:rsidR="00CB0276" w:rsidRPr="009378F0" w:rsidTr="00150DEA">
        <w:tc>
          <w:tcPr>
            <w:tcW w:w="1134" w:type="dxa"/>
            <w:shd w:val="clear" w:color="auto" w:fill="FFFFFF"/>
          </w:tcPr>
          <w:p w:rsidR="00CB0276" w:rsidRDefault="00CB0276" w:rsidP="004D2246">
            <w:pPr>
              <w:pStyle w:val="CETBodytext"/>
              <w:jc w:val="center"/>
              <w:rPr>
                <w:lang w:val="en-GB"/>
              </w:rPr>
            </w:pPr>
            <w:r>
              <w:rPr>
                <w:lang w:val="en-GB"/>
              </w:rPr>
              <w:t>7</w:t>
            </w:r>
          </w:p>
        </w:tc>
        <w:tc>
          <w:tcPr>
            <w:tcW w:w="2268" w:type="dxa"/>
            <w:shd w:val="clear" w:color="auto" w:fill="FFFFFF"/>
          </w:tcPr>
          <w:p w:rsidR="00CB0276" w:rsidRPr="00617BB6" w:rsidRDefault="00CB0276" w:rsidP="00CB0276">
            <w:pPr>
              <w:pStyle w:val="CETBodytext"/>
              <w:rPr>
                <w:lang w:val="en-GB"/>
              </w:rPr>
            </w:pPr>
            <w:r>
              <w:rPr>
                <w:lang w:val="en-GB"/>
              </w:rPr>
              <w:t>Distillation</w:t>
            </w:r>
          </w:p>
        </w:tc>
        <w:tc>
          <w:tcPr>
            <w:tcW w:w="5387" w:type="dxa"/>
            <w:shd w:val="clear" w:color="auto" w:fill="FFFFFF"/>
          </w:tcPr>
          <w:p w:rsidR="00CB0276" w:rsidRPr="009378F0" w:rsidRDefault="00CB0276" w:rsidP="00CB0276">
            <w:pPr>
              <w:pStyle w:val="CETBodytext"/>
              <w:ind w:right="-1"/>
              <w:rPr>
                <w:rFonts w:cs="Arial"/>
                <w:szCs w:val="18"/>
                <w:lang w:val="en-GB"/>
              </w:rPr>
            </w:pPr>
            <w:r>
              <w:rPr>
                <w:rFonts w:cs="Arial"/>
                <w:szCs w:val="18"/>
                <w:lang w:val="en-GB"/>
              </w:rPr>
              <w:t>Removes water and dissolved gases from the raw product</w:t>
            </w:r>
          </w:p>
        </w:tc>
      </w:tr>
      <w:tr w:rsidR="00CB0276" w:rsidRPr="009378F0" w:rsidTr="00547B74">
        <w:tc>
          <w:tcPr>
            <w:tcW w:w="1134" w:type="dxa"/>
            <w:tcBorders>
              <w:bottom w:val="single" w:sz="12" w:space="0" w:color="008000"/>
            </w:tcBorders>
            <w:shd w:val="clear" w:color="auto" w:fill="FFFFFF"/>
          </w:tcPr>
          <w:p w:rsidR="00CB0276" w:rsidRPr="009378F0" w:rsidRDefault="00CB0276" w:rsidP="004D2246">
            <w:pPr>
              <w:pStyle w:val="CETBodytext"/>
              <w:ind w:right="-1"/>
              <w:jc w:val="center"/>
              <w:rPr>
                <w:rFonts w:cs="Arial"/>
                <w:szCs w:val="18"/>
                <w:lang w:val="en-GB"/>
              </w:rPr>
            </w:pPr>
            <w:r>
              <w:rPr>
                <w:rFonts w:cs="Arial"/>
                <w:szCs w:val="18"/>
                <w:lang w:val="en-GB"/>
              </w:rPr>
              <w:t>8</w:t>
            </w:r>
          </w:p>
        </w:tc>
        <w:tc>
          <w:tcPr>
            <w:tcW w:w="2268" w:type="dxa"/>
            <w:tcBorders>
              <w:bottom w:val="single" w:sz="12" w:space="0" w:color="008000"/>
            </w:tcBorders>
            <w:shd w:val="clear" w:color="auto" w:fill="FFFFFF"/>
          </w:tcPr>
          <w:p w:rsidR="00CB0276" w:rsidRPr="009378F0" w:rsidRDefault="00CB0276" w:rsidP="00CB0276">
            <w:pPr>
              <w:pStyle w:val="CETBodytext"/>
              <w:ind w:right="-1"/>
              <w:rPr>
                <w:rFonts w:cs="Arial"/>
                <w:szCs w:val="18"/>
                <w:lang w:val="en-GB"/>
              </w:rPr>
            </w:pPr>
            <w:r>
              <w:rPr>
                <w:rFonts w:cs="Arial"/>
                <w:szCs w:val="18"/>
                <w:lang w:val="en-GB"/>
              </w:rPr>
              <w:t>Power generation</w:t>
            </w:r>
          </w:p>
        </w:tc>
        <w:tc>
          <w:tcPr>
            <w:tcW w:w="5387" w:type="dxa"/>
            <w:tcBorders>
              <w:bottom w:val="single" w:sz="12" w:space="0" w:color="008000"/>
            </w:tcBorders>
            <w:shd w:val="clear" w:color="auto" w:fill="FFFFFF"/>
          </w:tcPr>
          <w:p w:rsidR="00CB0276" w:rsidRPr="009378F0" w:rsidRDefault="00CB0276" w:rsidP="00CB0276">
            <w:pPr>
              <w:pStyle w:val="CETBodytext"/>
              <w:ind w:right="-1"/>
              <w:rPr>
                <w:rFonts w:cs="Arial"/>
                <w:szCs w:val="18"/>
                <w:lang w:val="en-GB"/>
              </w:rPr>
            </w:pPr>
            <w:r>
              <w:rPr>
                <w:rFonts w:cs="Arial"/>
                <w:szCs w:val="18"/>
                <w:lang w:val="en-GB"/>
              </w:rPr>
              <w:t xml:space="preserve">Generation </w:t>
            </w:r>
            <w:r w:rsidR="001A6DD0">
              <w:rPr>
                <w:rFonts w:cs="Arial"/>
                <w:szCs w:val="18"/>
                <w:lang w:val="en-GB"/>
              </w:rPr>
              <w:t xml:space="preserve">of </w:t>
            </w:r>
            <w:r>
              <w:rPr>
                <w:rFonts w:cs="Arial"/>
                <w:szCs w:val="18"/>
                <w:lang w:val="en-GB"/>
              </w:rPr>
              <w:t>heat and electricity in a combined cycle</w:t>
            </w:r>
          </w:p>
        </w:tc>
      </w:tr>
    </w:tbl>
    <w:p w:rsidR="003C5A8B" w:rsidRDefault="003C5A8B" w:rsidP="003C5A8B">
      <w:pPr>
        <w:pStyle w:val="CETBodytext"/>
      </w:pPr>
    </w:p>
    <w:p w:rsidR="00C9725A" w:rsidRDefault="005F771D" w:rsidP="00C9725A">
      <w:pPr>
        <w:pStyle w:val="CETBodytext"/>
        <w:rPr>
          <w:lang w:val="en-GB"/>
        </w:rPr>
      </w:pPr>
      <w:r w:rsidRPr="00086915">
        <w:t>CapEx and OpEx w</w:t>
      </w:r>
      <w:r w:rsidR="00086915" w:rsidRPr="00086915">
        <w:t>ere</w:t>
      </w:r>
      <w:r w:rsidRPr="00086915">
        <w:t xml:space="preserve"> estimated with the correlations and methods seen in </w:t>
      </w:r>
      <w:r w:rsidRPr="00086915">
        <w:fldChar w:fldCharType="begin" w:fldLock="1"/>
      </w:r>
      <w:r w:rsidR="00D427E2">
        <w:instrText>ADDIN CSL_CITATION {"citationItems":[{"id":"ITEM-1","itemData":{"ISBN":"0-13-261812-5","author":[{"dropping-particle":"","family":"Turton","given":"Richard","non-dropping-particle":"","parse-names":false,"suffix":""},{"dropping-particle":"","family":"Bailie","given":"Richard C.","non-dropping-particle":"","parse-names":false,"suffix":""},{"dropping-particle":"","family":"Whiting","given":"Wallace B.","non-dropping-particle":"","parse-names":false,"suffix":""},{"dropping-particle":"","family":"Shaeiwitz","given":"Joseph A.","non-dropping-particle":"","parse-names":false,"suffix":""},{"dropping-particle":"","family":"Bhattacharyya","given":"Debangsu","non-dropping-particle":"","parse-names":false,"suffix":""}],"edition":"4th","id":"ITEM-1","issued":{"date-parts":[["2012"]]},"number-of-pages":"1306","publisher":"Pearson Education, Inc","publisher-place":"Upper Saddle River, NJ, USA.","title":"Analysis, Synthesis, and Design of Chemical Processes","type":"book"},"uris":["http://www.mendeley.com/documents/?uuid=ec62ff19-7dbc-496b-abf0-5c22b9df855d"]}],"mendeley":{"formattedCitation":"(Turton &lt;i&gt;et al.&lt;/i&gt;, 2012)","plainTextFormattedCitation":"(Turton et al., 2012)","previouslyFormattedCitation":"(Turton &lt;i&gt;et al.&lt;/i&gt;, 2012)"},"properties":{"noteIndex":0},"schema":"https://github.com/citation-style-language/schema/raw/master/csl-citation.json"}</w:instrText>
      </w:r>
      <w:r w:rsidRPr="00086915">
        <w:fldChar w:fldCharType="separate"/>
      </w:r>
      <w:r w:rsidR="00D427E2" w:rsidRPr="00D427E2">
        <w:rPr>
          <w:noProof/>
        </w:rPr>
        <w:t xml:space="preserve">(Turton </w:t>
      </w:r>
      <w:r w:rsidR="00D427E2" w:rsidRPr="00D427E2">
        <w:rPr>
          <w:i/>
          <w:noProof/>
        </w:rPr>
        <w:t>et al.</w:t>
      </w:r>
      <w:r w:rsidR="00D427E2" w:rsidRPr="00D427E2">
        <w:rPr>
          <w:noProof/>
        </w:rPr>
        <w:t>, 2012)</w:t>
      </w:r>
      <w:r w:rsidRPr="00086915">
        <w:fldChar w:fldCharType="end"/>
      </w:r>
      <w:r w:rsidRPr="00086915">
        <w:t xml:space="preserve">. </w:t>
      </w:r>
      <w:r w:rsidR="00086915" w:rsidRPr="00086915">
        <w:t>Other than methanol, heat and electricity are produced; s</w:t>
      </w:r>
      <w:r w:rsidRPr="00086915">
        <w:t xml:space="preserve">ince methanol is the main component investigated in this work, the </w:t>
      </w:r>
      <w:r w:rsidR="00086915" w:rsidRPr="00086915">
        <w:t xml:space="preserve">results of the economic assessment are </w:t>
      </w:r>
      <w:r w:rsidRPr="00086915">
        <w:t xml:space="preserve">presented </w:t>
      </w:r>
      <w:r w:rsidR="00086915" w:rsidRPr="00086915">
        <w:t>in terms of methanol production cost.</w:t>
      </w:r>
      <w:r w:rsidR="00EA3FCD">
        <w:t xml:space="preserve"> Only 90% of the days of the year were considered work days; this impacts equipment size and, therefore, CapEx. </w:t>
      </w:r>
      <w:r w:rsidR="006E5104">
        <w:t xml:space="preserve">The heat exchanger network (HEN) </w:t>
      </w:r>
      <w:r w:rsidR="003742D4">
        <w:t>was estimated as 10</w:t>
      </w:r>
      <w:r w:rsidR="006E5104">
        <w:t xml:space="preserve">% of total CapEx. </w:t>
      </w:r>
      <w:r w:rsidR="00C9725A" w:rsidRPr="00086915">
        <w:rPr>
          <w:lang w:val="en-GB"/>
        </w:rPr>
        <w:t xml:space="preserve">More details on the simulation </w:t>
      </w:r>
      <w:r w:rsidR="00086915" w:rsidRPr="00086915">
        <w:rPr>
          <w:lang w:val="en-GB"/>
        </w:rPr>
        <w:t>and t</w:t>
      </w:r>
      <w:r w:rsidR="00C9725A" w:rsidRPr="00086915">
        <w:rPr>
          <w:lang w:val="en-GB"/>
        </w:rPr>
        <w:t xml:space="preserve">he </w:t>
      </w:r>
      <w:r w:rsidR="00086915" w:rsidRPr="00086915">
        <w:rPr>
          <w:lang w:val="en-GB"/>
        </w:rPr>
        <w:t xml:space="preserve">economic </w:t>
      </w:r>
      <w:r w:rsidR="00C9725A" w:rsidRPr="00086915">
        <w:rPr>
          <w:lang w:val="en-GB"/>
        </w:rPr>
        <w:t xml:space="preserve">assessment are available on previous works </w:t>
      </w:r>
      <w:r w:rsidR="00C9725A" w:rsidRPr="00086915">
        <w:rPr>
          <w:lang w:val="en-GB"/>
        </w:rPr>
        <w:fldChar w:fldCharType="begin" w:fldLock="1"/>
      </w:r>
      <w:r w:rsidR="00D427E2">
        <w:rPr>
          <w:lang w:val="en-GB"/>
        </w:rPr>
        <w:instrText>ADDIN CSL_CITATION {"citationItems":[{"id":"ITEM-1","itemData":{"DOI":"10.3303/CET1757175","ISBN":"978-88-95608-48-8","ISSN":"2283-9216","abstract":"Methanol is an important intermediate in the synthesis of different chemicals. It is mainly produced by reforming of natural gas in centralized facilities with productive capacities on the order of 10 9 tons per day. Production of methanol from biomass suffers from the cost and logistics of the transportation of biomass and it has not yet maturated into commercial scale. The techno-economic feasibility of the co-production of bio-methanol and bio-char is assessed through detailed computer simulations using process simulator Aspen HYSYS® together with the gasification simulator GASDS. This work further elaborates the previous results on the bio-methanol production process, presenting particularities and updates on previously reported values. The production model is seen to be valid, with payback times that go from 3 to 6 years according to the capacity of the plant (100 to 1000 kt of biomass per year). Self-sustainability is possible but a 50/50 mix of producing and buying electricity yields the most economic choice.","author":[{"dropping-particle":"","family":"Amaral","given":"Andre Furtado","non-dropping-particle":"","parse-names":false,"suffix":""},{"dropping-particle":"","family":"Bozzano","given":"Giulia","non-dropping-particle":"","parse-names":false,"suffix":""},{"dropping-particle":"","family":"Pirola","given":"Carlo","non-dropping-particle":"","parse-names":false,"suffix":""},{"dropping-particle":"","family":"Goryunov","given":"Aleksey G.","non-dropping-particle":"","parse-names":false,"suffix":""},{"dropping-particle":"V.","family":"Chistyakov","given":"Andrey","non-dropping-particle":"","parse-names":false,"suffix":""},{"dropping-particle":"","family":"Manenti","given":"Flavio","non-dropping-particle":"","parse-names":false,"suffix":""}],"container-title":"Chemical Engineering Transactions","id":"ITEM-1","issued":{"date-parts":[["2017"]]},"page":"1045-1050","title":"Self-sustainable bio-methanol &amp; bio-char coproduction from 2nd generation biomass gasification","type":"article-journal","volume":"57"},"uris":["http://www.mendeley.com/documents/?uuid=f72b482f-c291-320b-9801-e68d09143b60"]}],"mendeley":{"formattedCitation":"(Amaral &lt;i&gt;et al.&lt;/i&gt;, 2017)","plainTextFormattedCitation":"(Amaral et al., 2017)","previouslyFormattedCitation":"(Amaral &lt;i&gt;et al.&lt;/i&gt;, 2017)"},"properties":{"noteIndex":0},"schema":"https://github.com/citation-style-language/schema/raw/master/csl-citation.json"}</w:instrText>
      </w:r>
      <w:r w:rsidR="00C9725A" w:rsidRPr="00086915">
        <w:rPr>
          <w:lang w:val="en-GB"/>
        </w:rPr>
        <w:fldChar w:fldCharType="separate"/>
      </w:r>
      <w:r w:rsidR="00D427E2" w:rsidRPr="00D427E2">
        <w:rPr>
          <w:noProof/>
          <w:lang w:val="en-GB"/>
        </w:rPr>
        <w:t xml:space="preserve">(Amaral </w:t>
      </w:r>
      <w:r w:rsidR="00D427E2" w:rsidRPr="00D427E2">
        <w:rPr>
          <w:i/>
          <w:noProof/>
          <w:lang w:val="en-GB"/>
        </w:rPr>
        <w:t>et al.</w:t>
      </w:r>
      <w:r w:rsidR="00D427E2" w:rsidRPr="00D427E2">
        <w:rPr>
          <w:noProof/>
          <w:lang w:val="en-GB"/>
        </w:rPr>
        <w:t>, 2017)</w:t>
      </w:r>
      <w:r w:rsidR="00C9725A" w:rsidRPr="00086915">
        <w:rPr>
          <w:lang w:val="en-GB"/>
        </w:rPr>
        <w:fldChar w:fldCharType="end"/>
      </w:r>
      <w:r w:rsidR="00C9725A" w:rsidRPr="00086915">
        <w:rPr>
          <w:lang w:val="en-GB"/>
        </w:rPr>
        <w:t>.</w:t>
      </w:r>
    </w:p>
    <w:p w:rsidR="00DF4AC6" w:rsidRDefault="00DF4AC6" w:rsidP="00DF4AC6">
      <w:pPr>
        <w:pStyle w:val="CETHeading1"/>
        <w:tabs>
          <w:tab w:val="clear" w:pos="360"/>
          <w:tab w:val="right" w:pos="7100"/>
        </w:tabs>
        <w:jc w:val="both"/>
        <w:rPr>
          <w:lang w:val="en-GB"/>
        </w:rPr>
      </w:pPr>
      <w:r>
        <w:rPr>
          <w:lang w:val="en-GB"/>
        </w:rPr>
        <w:t xml:space="preserve">Results </w:t>
      </w:r>
      <w:r w:rsidR="00822DD1">
        <w:rPr>
          <w:lang w:val="en-GB"/>
        </w:rPr>
        <w:t>&amp;</w:t>
      </w:r>
      <w:r>
        <w:rPr>
          <w:lang w:val="en-GB"/>
        </w:rPr>
        <w:t xml:space="preserve"> Discussion</w:t>
      </w:r>
    </w:p>
    <w:p w:rsidR="00AB5011" w:rsidRDefault="00893118" w:rsidP="0055241C">
      <w:pPr>
        <w:pStyle w:val="CETBodytext"/>
        <w:rPr>
          <w:lang w:val="en-GB"/>
        </w:rPr>
      </w:pPr>
      <w:r>
        <w:fldChar w:fldCharType="begin"/>
      </w:r>
      <w:r>
        <w:instrText xml:space="preserve"> REF _Ref1138688 \h </w:instrText>
      </w:r>
      <w:r>
        <w:fldChar w:fldCharType="separate"/>
      </w:r>
      <w:r>
        <w:t xml:space="preserve">Table </w:t>
      </w:r>
      <w:r>
        <w:rPr>
          <w:noProof/>
        </w:rPr>
        <w:t>2</w:t>
      </w:r>
      <w:r>
        <w:fldChar w:fldCharType="end"/>
      </w:r>
      <w:r>
        <w:t xml:space="preserve"> summarizes the results of the </w:t>
      </w:r>
      <w:r w:rsidR="0055241C">
        <w:t xml:space="preserve">previously presented </w:t>
      </w:r>
      <w:r>
        <w:t xml:space="preserve">analyses; the </w:t>
      </w:r>
      <w:r w:rsidR="0055241C">
        <w:t xml:space="preserve">table is divided in three sections, each of which related to the correspondent section under </w:t>
      </w:r>
      <w:r w:rsidR="0055241C">
        <w:rPr>
          <w:lang w:val="en-GB"/>
        </w:rPr>
        <w:t xml:space="preserve">Materials &amp; Methods; </w:t>
      </w:r>
      <w:r w:rsidR="0055241C">
        <w:t>t</w:t>
      </w:r>
      <w:r w:rsidR="00060304">
        <w:rPr>
          <w:lang w:val="en-GB"/>
        </w:rPr>
        <w:t>he</w:t>
      </w:r>
      <w:r w:rsidR="00BA7495">
        <w:rPr>
          <w:lang w:val="en-GB"/>
        </w:rPr>
        <w:t xml:space="preserve"> explanation and</w:t>
      </w:r>
      <w:r w:rsidR="00060304">
        <w:rPr>
          <w:lang w:val="en-GB"/>
        </w:rPr>
        <w:t xml:space="preserve"> </w:t>
      </w:r>
      <w:r>
        <w:rPr>
          <w:lang w:val="en-GB"/>
        </w:rPr>
        <w:t xml:space="preserve">discussion of the </w:t>
      </w:r>
      <w:r w:rsidR="00060304">
        <w:rPr>
          <w:lang w:val="en-GB"/>
        </w:rPr>
        <w:t xml:space="preserve">results </w:t>
      </w:r>
      <w:r w:rsidR="0055241C">
        <w:rPr>
          <w:lang w:val="en-GB"/>
        </w:rPr>
        <w:t>follows the same order.</w:t>
      </w:r>
    </w:p>
    <w:p w:rsidR="005F771D" w:rsidRDefault="005F771D" w:rsidP="005F771D">
      <w:pPr>
        <w:pStyle w:val="CETheadingx"/>
      </w:pPr>
      <w:r>
        <w:t>Biomass molecular composition</w:t>
      </w:r>
    </w:p>
    <w:p w:rsidR="00694ABB" w:rsidRDefault="00553B0C" w:rsidP="00FA316F">
      <w:pPr>
        <w:pStyle w:val="CETBodytext"/>
      </w:pPr>
      <w:r>
        <w:t>The relative deviation for the LHV is seen in the last row</w:t>
      </w:r>
      <w:r w:rsidR="0087291E">
        <w:t xml:space="preserve"> of the first section of </w:t>
      </w:r>
      <w:r w:rsidR="0087291E">
        <w:fldChar w:fldCharType="begin"/>
      </w:r>
      <w:r w:rsidR="0087291E">
        <w:instrText xml:space="preserve"> REF _Ref1138688 \h </w:instrText>
      </w:r>
      <w:r w:rsidR="0087291E">
        <w:fldChar w:fldCharType="separate"/>
      </w:r>
      <w:r w:rsidR="0087291E">
        <w:t xml:space="preserve">Table </w:t>
      </w:r>
      <w:r w:rsidR="0087291E">
        <w:rPr>
          <w:noProof/>
        </w:rPr>
        <w:t>2</w:t>
      </w:r>
      <w:r w:rsidR="0087291E">
        <w:fldChar w:fldCharType="end"/>
      </w:r>
      <w:r>
        <w:t xml:space="preserve">; the small values of the relative deviation indicate </w:t>
      </w:r>
      <w:r w:rsidR="00474F15">
        <w:t>good agreement between calculated and measured LHV</w:t>
      </w:r>
      <w:r w:rsidR="00FA316F">
        <w:t>; this finding points in favor of the proposed biomass composition model, even though real biomass composition is significantly more complex</w:t>
      </w:r>
      <w:r w:rsidR="00694ABB">
        <w:t>.</w:t>
      </w:r>
      <w:r w:rsidR="00CA5603">
        <w:t xml:space="preserve"> It is interesting to notice that there is no direct connection between the sum of the squared relative residuals (SSRR) and the LHV relative deviation.</w:t>
      </w:r>
    </w:p>
    <w:p w:rsidR="00FA316F" w:rsidRDefault="00694ABB" w:rsidP="00FA316F">
      <w:pPr>
        <w:pStyle w:val="CETBodytext"/>
      </w:pPr>
      <w:r>
        <w:lastRenderedPageBreak/>
        <w:t>I</w:t>
      </w:r>
      <w:r w:rsidR="00FA316F">
        <w:t xml:space="preserve">t is important to realize that the results presented here depend strongly on the methods used to determine cellulose and hemicellulose composition; the </w:t>
      </w:r>
      <w:r w:rsidR="00C77A8A">
        <w:t>most</w:t>
      </w:r>
      <w:r w:rsidR="00FA316F">
        <w:t xml:space="preserve"> recent methods determine these quantities directly and produce much more exact values than the older ones, which determine these quantities indirectly (e.g., by sugar analysis, for instance).</w:t>
      </w:r>
    </w:p>
    <w:p w:rsidR="00A86C4F" w:rsidRPr="00A86C4F" w:rsidRDefault="005F771D" w:rsidP="00AC5889">
      <w:pPr>
        <w:pStyle w:val="CETTabletitle"/>
        <w:jc w:val="both"/>
        <w:rPr>
          <w:rFonts w:asciiTheme="minorHAnsi" w:eastAsiaTheme="minorHAnsi" w:hAnsiTheme="minorHAnsi" w:cstheme="minorBidi"/>
          <w:sz w:val="22"/>
          <w:szCs w:val="22"/>
          <w:lang w:val="en-US"/>
        </w:rPr>
      </w:pPr>
      <w:bookmarkStart w:id="2" w:name="_Ref1138688"/>
      <w:r>
        <w:t xml:space="preserve">Table </w:t>
      </w:r>
      <w:r>
        <w:fldChar w:fldCharType="begin"/>
      </w:r>
      <w:r>
        <w:instrText xml:space="preserve"> SEQ Table \* ARABIC </w:instrText>
      </w:r>
      <w:r>
        <w:fldChar w:fldCharType="separate"/>
      </w:r>
      <w:r w:rsidR="0030370F">
        <w:rPr>
          <w:noProof/>
        </w:rPr>
        <w:t>2</w:t>
      </w:r>
      <w:r>
        <w:fldChar w:fldCharType="end"/>
      </w:r>
      <w:bookmarkEnd w:id="2"/>
      <w:r>
        <w:t xml:space="preserve">: Summary of the </w:t>
      </w:r>
      <w:r w:rsidR="0087291E">
        <w:t>results; the table is divided in three sections, each of which related to the correspondent section under Materials &amp; Methods</w:t>
      </w:r>
      <w:r w:rsidR="001E3448">
        <w:t>. Further explanation of the c</w:t>
      </w:r>
      <w:r w:rsidR="00BA7495">
        <w:t>ontents of the table is given on</w:t>
      </w:r>
      <w:r w:rsidR="001E3448">
        <w:t xml:space="preserve"> the correspondent</w:t>
      </w:r>
      <w:r w:rsidR="00BA7495">
        <w:t xml:space="preserve"> subsection under Results &amp; Discussion.</w:t>
      </w:r>
      <w:r w:rsidR="0052271B">
        <w:fldChar w:fldCharType="begin"/>
      </w:r>
      <w:r w:rsidR="0052271B">
        <w:instrText xml:space="preserve"> LINK </w:instrText>
      </w:r>
      <w:r w:rsidR="00A86C4F">
        <w:instrText xml:space="preserve">Excel.Sheet.12 "C:\\Users\\Master\\Dropbox\\Doutorado\\Articoli Bandi Congressi Missioni Reviews\\IcheaP 2019\\SimulationData.xlsx" Tables!R1C1:R26C8 </w:instrText>
      </w:r>
      <w:r w:rsidR="0052271B">
        <w:instrText xml:space="preserve">\f 4 \h \* MERGEFORMAT </w:instrText>
      </w:r>
      <w:r w:rsidR="0052271B">
        <w:fldChar w:fldCharType="separate"/>
      </w:r>
    </w:p>
    <w:tbl>
      <w:tblPr>
        <w:tblW w:w="8723" w:type="dxa"/>
        <w:tblLook w:val="04A0" w:firstRow="1" w:lastRow="0" w:firstColumn="1" w:lastColumn="0" w:noHBand="0" w:noVBand="1"/>
      </w:tblPr>
      <w:tblGrid>
        <w:gridCol w:w="2481"/>
        <w:gridCol w:w="801"/>
        <w:gridCol w:w="936"/>
        <w:gridCol w:w="936"/>
        <w:gridCol w:w="1087"/>
        <w:gridCol w:w="850"/>
        <w:gridCol w:w="816"/>
        <w:gridCol w:w="816"/>
      </w:tblGrid>
      <w:tr w:rsidR="00A86C4F" w:rsidRPr="00A86C4F" w:rsidTr="004F2A0C">
        <w:trPr>
          <w:divId w:val="882985727"/>
          <w:trHeight w:val="600"/>
        </w:trPr>
        <w:tc>
          <w:tcPr>
            <w:tcW w:w="2481" w:type="dxa"/>
            <w:tcBorders>
              <w:top w:val="single" w:sz="12" w:space="0" w:color="008000"/>
              <w:bottom w:val="single" w:sz="6" w:space="0" w:color="008000"/>
              <w:righ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Name</w:t>
            </w:r>
          </w:p>
        </w:tc>
        <w:tc>
          <w:tcPr>
            <w:tcW w:w="801" w:type="dxa"/>
            <w:tcBorders>
              <w:top w:val="single" w:sz="12" w:space="0" w:color="008000"/>
              <w:left w:val="single" w:sz="6" w:space="0" w:color="008000"/>
              <w:bottom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Corn</w:t>
            </w:r>
            <w:r w:rsidRPr="00A86C4F">
              <w:rPr>
                <w:rFonts w:cs="Arial"/>
                <w:szCs w:val="18"/>
                <w:lang w:val="en-US"/>
              </w:rPr>
              <w:br/>
              <w:t>stover</w:t>
            </w:r>
          </w:p>
        </w:tc>
        <w:tc>
          <w:tcPr>
            <w:tcW w:w="936" w:type="dxa"/>
            <w:tcBorders>
              <w:top w:val="single" w:sz="12" w:space="0" w:color="008000"/>
              <w:bottom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Wheat</w:t>
            </w:r>
            <w:r w:rsidRPr="00A86C4F">
              <w:rPr>
                <w:rFonts w:cs="Arial"/>
                <w:szCs w:val="18"/>
                <w:lang w:val="en-US"/>
              </w:rPr>
              <w:br/>
              <w:t>straw</w:t>
            </w:r>
          </w:p>
        </w:tc>
        <w:tc>
          <w:tcPr>
            <w:tcW w:w="936" w:type="dxa"/>
            <w:tcBorders>
              <w:top w:val="single" w:sz="12" w:space="0" w:color="008000"/>
              <w:bottom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Switch</w:t>
            </w:r>
            <w:r w:rsidRPr="00A86C4F">
              <w:rPr>
                <w:rFonts w:cs="Arial"/>
                <w:szCs w:val="18"/>
                <w:lang w:val="en-US"/>
              </w:rPr>
              <w:br/>
              <w:t>grass</w:t>
            </w:r>
          </w:p>
        </w:tc>
        <w:tc>
          <w:tcPr>
            <w:tcW w:w="1087" w:type="dxa"/>
            <w:tcBorders>
              <w:top w:val="single" w:sz="12" w:space="0" w:color="008000"/>
              <w:bottom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Sugarcane</w:t>
            </w:r>
            <w:r w:rsidRPr="00A86C4F">
              <w:rPr>
                <w:rFonts w:cs="Arial"/>
                <w:szCs w:val="18"/>
                <w:lang w:val="en-US"/>
              </w:rPr>
              <w:br/>
              <w:t>bagasse</w:t>
            </w:r>
          </w:p>
        </w:tc>
        <w:tc>
          <w:tcPr>
            <w:tcW w:w="850" w:type="dxa"/>
            <w:tcBorders>
              <w:top w:val="single" w:sz="12" w:space="0" w:color="008000"/>
              <w:bottom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Almond</w:t>
            </w:r>
            <w:r w:rsidRPr="00A86C4F">
              <w:rPr>
                <w:rFonts w:cs="Arial"/>
                <w:szCs w:val="18"/>
                <w:lang w:val="en-US"/>
              </w:rPr>
              <w:br/>
              <w:t>shells</w:t>
            </w:r>
          </w:p>
        </w:tc>
        <w:tc>
          <w:tcPr>
            <w:tcW w:w="816" w:type="dxa"/>
            <w:tcBorders>
              <w:top w:val="single" w:sz="12" w:space="0" w:color="008000"/>
              <w:bottom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Olive</w:t>
            </w:r>
            <w:r w:rsidRPr="00A86C4F">
              <w:rPr>
                <w:rFonts w:cs="Arial"/>
                <w:szCs w:val="18"/>
                <w:lang w:val="en-US"/>
              </w:rPr>
              <w:br/>
              <w:t>pits</w:t>
            </w:r>
          </w:p>
        </w:tc>
        <w:tc>
          <w:tcPr>
            <w:tcW w:w="816" w:type="dxa"/>
            <w:tcBorders>
              <w:top w:val="single" w:sz="12" w:space="0" w:color="008000"/>
              <w:bottom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Birch</w:t>
            </w:r>
            <w:r w:rsidRPr="00A86C4F">
              <w:rPr>
                <w:rFonts w:cs="Arial"/>
                <w:szCs w:val="18"/>
                <w:lang w:val="en-US"/>
              </w:rPr>
              <w:br/>
              <w:t>wood</w:t>
            </w:r>
          </w:p>
        </w:tc>
      </w:tr>
      <w:tr w:rsidR="00A86C4F" w:rsidRPr="00A86C4F" w:rsidTr="004F2A0C">
        <w:trPr>
          <w:divId w:val="882985727"/>
          <w:trHeight w:val="600"/>
        </w:trPr>
        <w:tc>
          <w:tcPr>
            <w:tcW w:w="2481" w:type="dxa"/>
            <w:tcBorders>
              <w:top w:val="single" w:sz="6" w:space="0" w:color="008000"/>
              <w:righ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Phillys2 #</w:t>
            </w:r>
          </w:p>
        </w:tc>
        <w:tc>
          <w:tcPr>
            <w:tcW w:w="801" w:type="dxa"/>
            <w:tcBorders>
              <w:top w:val="single" w:sz="6" w:space="0" w:color="008000"/>
              <w:left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889</w:t>
            </w:r>
          </w:p>
        </w:tc>
        <w:tc>
          <w:tcPr>
            <w:tcW w:w="936" w:type="dxa"/>
            <w:tcBorders>
              <w:top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977</w:t>
            </w:r>
          </w:p>
        </w:tc>
        <w:tc>
          <w:tcPr>
            <w:tcW w:w="936" w:type="dxa"/>
            <w:tcBorders>
              <w:top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2436</w:t>
            </w:r>
          </w:p>
        </w:tc>
        <w:tc>
          <w:tcPr>
            <w:tcW w:w="1087" w:type="dxa"/>
            <w:tcBorders>
              <w:top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2342</w:t>
            </w:r>
            <w:r w:rsidRPr="00A86C4F">
              <w:rPr>
                <w:rFonts w:cs="Arial"/>
                <w:szCs w:val="18"/>
                <w:lang w:val="en-US"/>
              </w:rPr>
              <w:br/>
              <w:t>/ 2806</w:t>
            </w:r>
          </w:p>
        </w:tc>
        <w:tc>
          <w:tcPr>
            <w:tcW w:w="850" w:type="dxa"/>
            <w:tcBorders>
              <w:top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2314</w:t>
            </w:r>
          </w:p>
        </w:tc>
        <w:tc>
          <w:tcPr>
            <w:tcW w:w="816" w:type="dxa"/>
            <w:tcBorders>
              <w:top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1978</w:t>
            </w:r>
            <w:r w:rsidRPr="00A86C4F">
              <w:rPr>
                <w:rFonts w:cs="Arial"/>
                <w:szCs w:val="18"/>
                <w:lang w:val="en-US"/>
              </w:rPr>
              <w:br/>
              <w:t>/ 2290</w:t>
            </w:r>
          </w:p>
        </w:tc>
        <w:tc>
          <w:tcPr>
            <w:tcW w:w="816" w:type="dxa"/>
            <w:tcBorders>
              <w:top w:val="single" w:sz="6" w:space="0" w:color="008000"/>
            </w:tcBorders>
            <w:shd w:val="clear" w:color="auto" w:fill="auto"/>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2066</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Ash (Dry wt%)</w:t>
            </w:r>
          </w:p>
        </w:tc>
        <w:tc>
          <w:tcPr>
            <w:tcW w:w="801" w:type="dxa"/>
            <w:tcBorders>
              <w:lef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7.4</w:t>
            </w:r>
          </w:p>
        </w:tc>
        <w:tc>
          <w:tcPr>
            <w:tcW w:w="936" w:type="dxa"/>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13.5</w:t>
            </w:r>
          </w:p>
        </w:tc>
        <w:tc>
          <w:tcPr>
            <w:tcW w:w="936" w:type="dxa"/>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5.4</w:t>
            </w:r>
          </w:p>
        </w:tc>
        <w:tc>
          <w:tcPr>
            <w:tcW w:w="1087" w:type="dxa"/>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1.6</w:t>
            </w:r>
          </w:p>
        </w:tc>
        <w:tc>
          <w:tcPr>
            <w:tcW w:w="850" w:type="dxa"/>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3.3</w:t>
            </w:r>
          </w:p>
        </w:tc>
        <w:tc>
          <w:tcPr>
            <w:tcW w:w="816" w:type="dxa"/>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3.0</w:t>
            </w:r>
          </w:p>
        </w:tc>
        <w:tc>
          <w:tcPr>
            <w:tcW w:w="816" w:type="dxa"/>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0.2</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C exp.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50.6</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53.7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50.6</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49.9</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50.2</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48.3</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48.3</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H exp.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6.32</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6.03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5.70</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6.04</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6.28</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6.11</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6.02</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O exp.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43.1</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40.3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43.7</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44.1</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43.6</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45.6</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45.7</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C calc.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50.3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50.3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50.4</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49.8</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49.2</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49.4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49.8</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H calc.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6.20</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5.96</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5.94</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6.01</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6.01</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5.99</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5.85</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O calc.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43.5</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43.7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43.7</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44.2</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44.8</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44.6</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44.3</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SSRR</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113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30</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27</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Cellulose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39.7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33.3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40.7</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43.1</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52.4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29.0</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35.8</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Hemicellulose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27.4</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45.2</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34.8</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35.9</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29.9</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38.4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25.2</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Lignin C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2.6</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21.5</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19.5</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17.6</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17.7</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Lignin H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30.3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3.4</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14.1</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6.7</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Lignin O (DAF wt%)</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5.0</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0.0</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18.6</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32.4</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LHV calc. (DAF, MJ/kg)</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19.1</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18.7</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18.5</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18.2</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18.4</w:t>
            </w:r>
          </w:p>
        </w:tc>
      </w:tr>
      <w:tr w:rsidR="00A86C4F" w:rsidRPr="00A86C4F" w:rsidTr="004F2A0C">
        <w:trPr>
          <w:divId w:val="882985727"/>
          <w:trHeight w:val="300"/>
        </w:trPr>
        <w:tc>
          <w:tcPr>
            <w:tcW w:w="2481" w:type="dxa"/>
            <w:tcBorders>
              <w:bottom w:val="single" w:sz="4" w:space="0" w:color="008000"/>
              <w:right w:val="single" w:sz="4"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Δrel LHV (%)</w:t>
            </w:r>
          </w:p>
        </w:tc>
        <w:tc>
          <w:tcPr>
            <w:tcW w:w="801" w:type="dxa"/>
            <w:tcBorders>
              <w:left w:val="single" w:sz="4" w:space="0" w:color="008000"/>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-0.4</w:t>
            </w:r>
          </w:p>
        </w:tc>
        <w:tc>
          <w:tcPr>
            <w:tcW w:w="93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1.9</w:t>
            </w:r>
          </w:p>
        </w:tc>
        <w:tc>
          <w:tcPr>
            <w:tcW w:w="93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7.6</w:t>
            </w:r>
          </w:p>
        </w:tc>
        <w:tc>
          <w:tcPr>
            <w:tcW w:w="1087"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3.1</w:t>
            </w:r>
          </w:p>
        </w:tc>
        <w:tc>
          <w:tcPr>
            <w:tcW w:w="850"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0.9</w:t>
            </w:r>
          </w:p>
        </w:tc>
        <w:tc>
          <w:tcPr>
            <w:tcW w:w="81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5.7</w:t>
            </w:r>
          </w:p>
        </w:tc>
        <w:tc>
          <w:tcPr>
            <w:tcW w:w="81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5.6</w:t>
            </w:r>
          </w:p>
        </w:tc>
      </w:tr>
      <w:tr w:rsidR="00A86C4F" w:rsidRPr="00A86C4F" w:rsidTr="004F2A0C">
        <w:trPr>
          <w:divId w:val="882985727"/>
          <w:trHeight w:val="300"/>
        </w:trPr>
        <w:tc>
          <w:tcPr>
            <w:tcW w:w="2481" w:type="dxa"/>
            <w:tcBorders>
              <w:top w:val="single" w:sz="4" w:space="0" w:color="008000"/>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O2 / stoich. O2 (%)</w:t>
            </w:r>
          </w:p>
        </w:tc>
        <w:tc>
          <w:tcPr>
            <w:tcW w:w="801" w:type="dxa"/>
            <w:tcBorders>
              <w:top w:val="single" w:sz="4" w:space="0" w:color="008000"/>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36</w:t>
            </w:r>
          </w:p>
        </w:tc>
        <w:tc>
          <w:tcPr>
            <w:tcW w:w="93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36</w:t>
            </w:r>
          </w:p>
        </w:tc>
        <w:tc>
          <w:tcPr>
            <w:tcW w:w="93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36</w:t>
            </w:r>
          </w:p>
        </w:tc>
        <w:tc>
          <w:tcPr>
            <w:tcW w:w="1087"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w:t>
            </w:r>
          </w:p>
        </w:tc>
        <w:tc>
          <w:tcPr>
            <w:tcW w:w="850"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w:t>
            </w:r>
          </w:p>
        </w:tc>
        <w:tc>
          <w:tcPr>
            <w:tcW w:w="81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w:t>
            </w:r>
          </w:p>
        </w:tc>
        <w:tc>
          <w:tcPr>
            <w:tcW w:w="81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O2 / Carbon (mol %)</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38</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38</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38</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38</w:t>
            </w:r>
          </w:p>
        </w:tc>
      </w:tr>
      <w:tr w:rsidR="00A86C4F" w:rsidRPr="00A86C4F" w:rsidTr="004F2A0C">
        <w:trPr>
          <w:divId w:val="882985727"/>
          <w:trHeight w:val="300"/>
        </w:trPr>
        <w:tc>
          <w:tcPr>
            <w:tcW w:w="2481" w:type="dxa"/>
            <w:tcBorders>
              <w:right w:val="single" w:sz="6"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Carbon conv. - GasDS (%)</w:t>
            </w:r>
          </w:p>
        </w:tc>
        <w:tc>
          <w:tcPr>
            <w:tcW w:w="801" w:type="dxa"/>
            <w:tcBorders>
              <w:left w:val="single" w:sz="6"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80</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76</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76</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79</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72</w:t>
            </w:r>
          </w:p>
        </w:tc>
      </w:tr>
      <w:tr w:rsidR="00A86C4F" w:rsidRPr="00A86C4F" w:rsidTr="004F2A0C">
        <w:trPr>
          <w:divId w:val="882985727"/>
          <w:trHeight w:val="300"/>
        </w:trPr>
        <w:tc>
          <w:tcPr>
            <w:tcW w:w="2481" w:type="dxa"/>
            <w:tcBorders>
              <w:bottom w:val="single" w:sz="4" w:space="0" w:color="008000"/>
              <w:right w:val="single" w:sz="4"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Carbon conv. - Equilib. (%)</w:t>
            </w:r>
          </w:p>
        </w:tc>
        <w:tc>
          <w:tcPr>
            <w:tcW w:w="801" w:type="dxa"/>
            <w:tcBorders>
              <w:left w:val="single" w:sz="4" w:space="0" w:color="008000"/>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100</w:t>
            </w:r>
          </w:p>
        </w:tc>
        <w:tc>
          <w:tcPr>
            <w:tcW w:w="93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100</w:t>
            </w:r>
          </w:p>
        </w:tc>
        <w:tc>
          <w:tcPr>
            <w:tcW w:w="93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100</w:t>
            </w:r>
          </w:p>
        </w:tc>
        <w:tc>
          <w:tcPr>
            <w:tcW w:w="1087"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100</w:t>
            </w:r>
          </w:p>
        </w:tc>
        <w:tc>
          <w:tcPr>
            <w:tcW w:w="850"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100</w:t>
            </w:r>
          </w:p>
        </w:tc>
        <w:tc>
          <w:tcPr>
            <w:tcW w:w="81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100</w:t>
            </w:r>
          </w:p>
        </w:tc>
        <w:tc>
          <w:tcPr>
            <w:tcW w:w="816" w:type="dxa"/>
            <w:tcBorders>
              <w:bottom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100</w:t>
            </w:r>
          </w:p>
        </w:tc>
      </w:tr>
      <w:tr w:rsidR="00A86C4F" w:rsidRPr="00A86C4F" w:rsidTr="004F2A0C">
        <w:trPr>
          <w:divId w:val="882985727"/>
          <w:trHeight w:val="300"/>
        </w:trPr>
        <w:tc>
          <w:tcPr>
            <w:tcW w:w="2481" w:type="dxa"/>
            <w:tcBorders>
              <w:top w:val="single" w:sz="4" w:space="0" w:color="008000"/>
              <w:right w:val="single" w:sz="4"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Process cost (M€)</w:t>
            </w:r>
          </w:p>
        </w:tc>
        <w:tc>
          <w:tcPr>
            <w:tcW w:w="801" w:type="dxa"/>
            <w:tcBorders>
              <w:top w:val="single" w:sz="4" w:space="0" w:color="008000"/>
              <w:left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28</w:t>
            </w:r>
          </w:p>
        </w:tc>
        <w:tc>
          <w:tcPr>
            <w:tcW w:w="93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29</w:t>
            </w:r>
          </w:p>
        </w:tc>
        <w:tc>
          <w:tcPr>
            <w:tcW w:w="93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28</w:t>
            </w:r>
          </w:p>
        </w:tc>
        <w:tc>
          <w:tcPr>
            <w:tcW w:w="1087"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28</w:t>
            </w:r>
          </w:p>
        </w:tc>
        <w:tc>
          <w:tcPr>
            <w:tcW w:w="850"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28</w:t>
            </w:r>
          </w:p>
        </w:tc>
        <w:tc>
          <w:tcPr>
            <w:tcW w:w="81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28</w:t>
            </w:r>
          </w:p>
        </w:tc>
        <w:tc>
          <w:tcPr>
            <w:tcW w:w="816" w:type="dxa"/>
            <w:tcBorders>
              <w:top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28</w:t>
            </w:r>
          </w:p>
        </w:tc>
      </w:tr>
      <w:tr w:rsidR="00A86C4F" w:rsidRPr="00A86C4F" w:rsidTr="004F2A0C">
        <w:trPr>
          <w:divId w:val="882985727"/>
          <w:trHeight w:val="300"/>
        </w:trPr>
        <w:tc>
          <w:tcPr>
            <w:tcW w:w="2481" w:type="dxa"/>
            <w:tcBorders>
              <w:right w:val="single" w:sz="4"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MeOH output (LHV GWh)</w:t>
            </w:r>
          </w:p>
        </w:tc>
        <w:tc>
          <w:tcPr>
            <w:tcW w:w="801" w:type="dxa"/>
            <w:tcBorders>
              <w:left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408</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377</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404</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411</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402</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414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424</w:t>
            </w:r>
          </w:p>
        </w:tc>
      </w:tr>
      <w:tr w:rsidR="00A86C4F" w:rsidRPr="00A86C4F" w:rsidTr="004F2A0C">
        <w:trPr>
          <w:divId w:val="882985727"/>
          <w:trHeight w:val="300"/>
        </w:trPr>
        <w:tc>
          <w:tcPr>
            <w:tcW w:w="2481" w:type="dxa"/>
            <w:tcBorders>
              <w:right w:val="single" w:sz="4"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MeOH output (kt)</w:t>
            </w:r>
          </w:p>
        </w:tc>
        <w:tc>
          <w:tcPr>
            <w:tcW w:w="801" w:type="dxa"/>
            <w:tcBorders>
              <w:left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73</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68</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72</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74</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72</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74</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76</w:t>
            </w:r>
          </w:p>
        </w:tc>
      </w:tr>
      <w:tr w:rsidR="00A86C4F" w:rsidRPr="00A86C4F" w:rsidTr="004F2A0C">
        <w:trPr>
          <w:divId w:val="882985727"/>
          <w:trHeight w:val="300"/>
        </w:trPr>
        <w:tc>
          <w:tcPr>
            <w:tcW w:w="2481" w:type="dxa"/>
            <w:tcBorders>
              <w:right w:val="single" w:sz="4" w:space="0" w:color="008000"/>
            </w:tcBorders>
            <w:shd w:val="clear" w:color="auto" w:fill="auto"/>
            <w:noWrap/>
            <w:vAlign w:val="bottom"/>
            <w:hideMark/>
          </w:tcPr>
          <w:p w:rsidR="00A86C4F" w:rsidRPr="00A86C4F" w:rsidRDefault="00A86C4F" w:rsidP="00A86C4F">
            <w:pPr>
              <w:pStyle w:val="CETBodytextItalic"/>
              <w:rPr>
                <w:rFonts w:cs="Arial"/>
                <w:szCs w:val="18"/>
                <w:lang w:val="en-US"/>
              </w:rPr>
            </w:pPr>
            <w:r w:rsidRPr="00A86C4F">
              <w:rPr>
                <w:rFonts w:cs="Arial"/>
                <w:szCs w:val="18"/>
                <w:lang w:val="en-US"/>
              </w:rPr>
              <w:t>MeOH cost (€/MWh)</w:t>
            </w:r>
          </w:p>
        </w:tc>
        <w:tc>
          <w:tcPr>
            <w:tcW w:w="801" w:type="dxa"/>
            <w:tcBorders>
              <w:left w:val="single" w:sz="4" w:space="0" w:color="008000"/>
            </w:tcBorders>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68</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78</w:t>
            </w:r>
          </w:p>
        </w:tc>
        <w:tc>
          <w:tcPr>
            <w:tcW w:w="93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69</w:t>
            </w:r>
          </w:p>
        </w:tc>
        <w:tc>
          <w:tcPr>
            <w:tcW w:w="1087"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67</w:t>
            </w:r>
          </w:p>
        </w:tc>
        <w:tc>
          <w:tcPr>
            <w:tcW w:w="850"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69</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67</w:t>
            </w:r>
          </w:p>
        </w:tc>
        <w:tc>
          <w:tcPr>
            <w:tcW w:w="816" w:type="dxa"/>
            <w:shd w:val="clear" w:color="auto" w:fill="auto"/>
            <w:noWrap/>
            <w:vAlign w:val="center"/>
            <w:hideMark/>
          </w:tcPr>
          <w:p w:rsidR="00A86C4F" w:rsidRPr="00A86C4F" w:rsidRDefault="00A86C4F" w:rsidP="00A86C4F">
            <w:pPr>
              <w:pStyle w:val="CETBodytextItalic"/>
              <w:rPr>
                <w:rFonts w:cs="Arial"/>
                <w:szCs w:val="18"/>
                <w:lang w:val="en-US"/>
              </w:rPr>
            </w:pPr>
            <w:r w:rsidRPr="00A86C4F">
              <w:rPr>
                <w:rFonts w:cs="Arial"/>
                <w:szCs w:val="18"/>
                <w:lang w:val="en-US"/>
              </w:rPr>
              <w:t>65</w:t>
            </w:r>
          </w:p>
        </w:tc>
      </w:tr>
      <w:tr w:rsidR="00A86C4F" w:rsidRPr="00A86C4F" w:rsidTr="004F2A0C">
        <w:trPr>
          <w:divId w:val="882985727"/>
          <w:trHeight w:val="300"/>
        </w:trPr>
        <w:tc>
          <w:tcPr>
            <w:tcW w:w="2481" w:type="dxa"/>
            <w:tcBorders>
              <w:left w:val="nil"/>
              <w:bottom w:val="single" w:sz="12" w:space="0" w:color="008000"/>
              <w:right w:val="single" w:sz="4" w:space="0" w:color="008000"/>
            </w:tcBorders>
            <w:shd w:val="clear" w:color="auto" w:fill="auto"/>
            <w:noWrap/>
            <w:vAlign w:val="bottom"/>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MeOH cost (€/t)</w:t>
            </w:r>
          </w:p>
        </w:tc>
        <w:tc>
          <w:tcPr>
            <w:tcW w:w="801" w:type="dxa"/>
            <w:tcBorders>
              <w:left w:val="single" w:sz="4" w:space="0" w:color="008000"/>
              <w:bottom w:val="single" w:sz="12" w:space="0" w:color="008000"/>
              <w:right w:val="nil"/>
            </w:tcBorders>
            <w:shd w:val="clear" w:color="auto" w:fill="auto"/>
            <w:noWrap/>
            <w:vAlign w:val="center"/>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381</w:t>
            </w:r>
          </w:p>
        </w:tc>
        <w:tc>
          <w:tcPr>
            <w:tcW w:w="936" w:type="dxa"/>
            <w:tcBorders>
              <w:left w:val="nil"/>
              <w:bottom w:val="single" w:sz="12" w:space="0" w:color="008000"/>
              <w:right w:val="nil"/>
            </w:tcBorders>
            <w:shd w:val="clear" w:color="auto" w:fill="auto"/>
            <w:noWrap/>
            <w:vAlign w:val="center"/>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435</w:t>
            </w:r>
          </w:p>
        </w:tc>
        <w:tc>
          <w:tcPr>
            <w:tcW w:w="936" w:type="dxa"/>
            <w:tcBorders>
              <w:left w:val="nil"/>
              <w:bottom w:val="single" w:sz="12" w:space="0" w:color="008000"/>
              <w:right w:val="nil"/>
            </w:tcBorders>
            <w:shd w:val="clear" w:color="auto" w:fill="auto"/>
            <w:noWrap/>
            <w:vAlign w:val="center"/>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387</w:t>
            </w:r>
          </w:p>
        </w:tc>
        <w:tc>
          <w:tcPr>
            <w:tcW w:w="1087" w:type="dxa"/>
            <w:tcBorders>
              <w:left w:val="nil"/>
              <w:bottom w:val="single" w:sz="12" w:space="0" w:color="008000"/>
              <w:right w:val="nil"/>
            </w:tcBorders>
            <w:shd w:val="clear" w:color="auto" w:fill="auto"/>
            <w:noWrap/>
            <w:vAlign w:val="center"/>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376</w:t>
            </w:r>
          </w:p>
        </w:tc>
        <w:tc>
          <w:tcPr>
            <w:tcW w:w="850" w:type="dxa"/>
            <w:tcBorders>
              <w:left w:val="nil"/>
              <w:bottom w:val="single" w:sz="12" w:space="0" w:color="008000"/>
              <w:right w:val="nil"/>
            </w:tcBorders>
            <w:shd w:val="clear" w:color="auto" w:fill="auto"/>
            <w:noWrap/>
            <w:vAlign w:val="center"/>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387</w:t>
            </w:r>
          </w:p>
        </w:tc>
        <w:tc>
          <w:tcPr>
            <w:tcW w:w="816" w:type="dxa"/>
            <w:tcBorders>
              <w:left w:val="nil"/>
              <w:bottom w:val="single" w:sz="12" w:space="0" w:color="008000"/>
              <w:right w:val="nil"/>
            </w:tcBorders>
            <w:shd w:val="clear" w:color="auto" w:fill="auto"/>
            <w:noWrap/>
            <w:vAlign w:val="center"/>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375</w:t>
            </w:r>
          </w:p>
        </w:tc>
        <w:tc>
          <w:tcPr>
            <w:tcW w:w="816" w:type="dxa"/>
            <w:tcBorders>
              <w:left w:val="nil"/>
              <w:bottom w:val="single" w:sz="12" w:space="0" w:color="008000"/>
              <w:right w:val="nil"/>
            </w:tcBorders>
            <w:shd w:val="clear" w:color="auto" w:fill="auto"/>
            <w:noWrap/>
            <w:vAlign w:val="center"/>
            <w:hideMark/>
          </w:tcPr>
          <w:p w:rsidR="00A86C4F" w:rsidRPr="00A86C4F" w:rsidRDefault="00A86C4F" w:rsidP="00A86C4F">
            <w:pPr>
              <w:pStyle w:val="CETBodytextItalic"/>
              <w:rPr>
                <w:rFonts w:cs="Arial"/>
                <w:color w:val="000000"/>
                <w:szCs w:val="18"/>
                <w:lang w:val="en-US"/>
              </w:rPr>
            </w:pPr>
            <w:r w:rsidRPr="00A86C4F">
              <w:rPr>
                <w:rFonts w:cs="Arial"/>
                <w:color w:val="000000"/>
                <w:szCs w:val="18"/>
                <w:lang w:val="en-US"/>
              </w:rPr>
              <w:t>362</w:t>
            </w:r>
          </w:p>
        </w:tc>
      </w:tr>
    </w:tbl>
    <w:p w:rsidR="00631BB4" w:rsidRDefault="0052271B" w:rsidP="0049013C">
      <w:pPr>
        <w:pStyle w:val="CETBodytext"/>
      </w:pPr>
      <w:r>
        <w:fldChar w:fldCharType="end"/>
      </w:r>
    </w:p>
    <w:p w:rsidR="0049013C" w:rsidRDefault="0049013C" w:rsidP="0049013C">
      <w:pPr>
        <w:pStyle w:val="CETheadingx"/>
      </w:pPr>
      <w:r>
        <w:t>Gasification reactor simulation</w:t>
      </w:r>
    </w:p>
    <w:p w:rsidR="0049013C" w:rsidRDefault="00022ADA" w:rsidP="0049013C">
      <w:pPr>
        <w:pStyle w:val="CETBodytext"/>
      </w:pPr>
      <w:r w:rsidRPr="00944694">
        <w:t xml:space="preserve">The carbon conversion before and after the equilibrium unit </w:t>
      </w:r>
      <w:r w:rsidR="003F35CA" w:rsidRPr="00944694">
        <w:t xml:space="preserve">(shown in </w:t>
      </w:r>
      <w:r w:rsidR="003F35CA" w:rsidRPr="00944694">
        <w:fldChar w:fldCharType="begin"/>
      </w:r>
      <w:r w:rsidR="003F35CA" w:rsidRPr="00944694">
        <w:instrText xml:space="preserve"> REF _Ref1032167 \h </w:instrText>
      </w:r>
      <w:r w:rsidR="00944694" w:rsidRPr="00944694">
        <w:instrText xml:space="preserve"> \* MERGEFORMAT </w:instrText>
      </w:r>
      <w:r w:rsidR="003F35CA" w:rsidRPr="00944694">
        <w:fldChar w:fldCharType="separate"/>
      </w:r>
      <w:r w:rsidR="003F35CA" w:rsidRPr="00944694">
        <w:t xml:space="preserve">Figure </w:t>
      </w:r>
      <w:r w:rsidR="003F35CA" w:rsidRPr="00944694">
        <w:rPr>
          <w:noProof/>
        </w:rPr>
        <w:t>2</w:t>
      </w:r>
      <w:r w:rsidR="003F35CA" w:rsidRPr="00944694">
        <w:fldChar w:fldCharType="end"/>
      </w:r>
      <w:r w:rsidR="003F35CA" w:rsidRPr="00944694">
        <w:t>)</w:t>
      </w:r>
      <w:r w:rsidRPr="00944694">
        <w:t xml:space="preserve"> is seen in the last </w:t>
      </w:r>
      <w:r w:rsidR="00A93E95" w:rsidRPr="00944694">
        <w:t xml:space="preserve">two </w:t>
      </w:r>
      <w:r w:rsidRPr="00944694">
        <w:t>row</w:t>
      </w:r>
      <w:r w:rsidR="00A93E95" w:rsidRPr="00944694">
        <w:t>s</w:t>
      </w:r>
      <w:r w:rsidRPr="00944694">
        <w:t xml:space="preserve"> of the second section of </w:t>
      </w:r>
      <w:r w:rsidRPr="00944694">
        <w:fldChar w:fldCharType="begin"/>
      </w:r>
      <w:r w:rsidRPr="00944694">
        <w:instrText xml:space="preserve"> REF _Ref1138688 \h </w:instrText>
      </w:r>
      <w:r w:rsidR="00944694" w:rsidRPr="00944694">
        <w:instrText xml:space="preserve"> \* MERGEFORMAT </w:instrText>
      </w:r>
      <w:r w:rsidRPr="00944694">
        <w:fldChar w:fldCharType="separate"/>
      </w:r>
      <w:r w:rsidRPr="00944694">
        <w:t xml:space="preserve">Table </w:t>
      </w:r>
      <w:r w:rsidRPr="00944694">
        <w:rPr>
          <w:noProof/>
        </w:rPr>
        <w:t>2</w:t>
      </w:r>
      <w:r w:rsidRPr="00944694">
        <w:fldChar w:fldCharType="end"/>
      </w:r>
      <w:r w:rsidR="00C77A8A">
        <w:t>.</w:t>
      </w:r>
      <w:r w:rsidR="002B72E1" w:rsidRPr="00944694">
        <w:t xml:space="preserve"> </w:t>
      </w:r>
      <w:r w:rsidR="00C77A8A">
        <w:t>A</w:t>
      </w:r>
      <w:r w:rsidR="00944694">
        <w:t>s the ash content increases the (</w:t>
      </w:r>
      <w:r w:rsidR="00944694" w:rsidRPr="00944694">
        <w:rPr>
          <w:i/>
        </w:rPr>
        <w:t>GasDS</w:t>
      </w:r>
      <w:r w:rsidR="00944694">
        <w:t xml:space="preserve">) carbon conversion also increases; this is related to the </w:t>
      </w:r>
      <w:r w:rsidR="00A87226">
        <w:t xml:space="preserve">increasing </w:t>
      </w:r>
      <w:r w:rsidR="00944694">
        <w:t>amount of oxygen</w:t>
      </w:r>
      <w:r w:rsidR="00A87226">
        <w:t xml:space="preserve"> inserted into the system</w:t>
      </w:r>
      <w:r w:rsidR="00944694">
        <w:t xml:space="preserve">. </w:t>
      </w:r>
      <w:r w:rsidR="002B72E1">
        <w:fldChar w:fldCharType="begin" w:fldLock="1"/>
      </w:r>
      <w:r w:rsidR="002B72E1">
        <w:instrText>ADDIN CSL_CITATION {"citationItems":[{"id":"ITEM-1","itemData":{"DOI":"10.1016/j.enconman.2010.10.049","ISSN":"01968904","abstract":"In this paper a generic entrained flow gasifier is modelled in Aspen Plus using different designs e.g. wet/dry feed as well as wet and dry quench. The models are verified with the corresponding data from real existing plants or reference data from the literature. All of them are found to reproduce the raw gas composition as well as synthesis gas yield with acceptable deviation. The comparison of the selected designs revealed the poor performance of the wet feed compared to the dry design. The corresponding cold gas efficiency of 72.1% is much lower than the 83% for the dry feed cases. Furthermore the specific synthesis gas production is 12% lower at 12% higher oxygen demand. On the other hand, the power demand for the gasification island is found to be 60-70% lower than in the dry feed case. Therefore the wet feed design is recommended only in case of high pressure gasification. During, an exergy analysis of the different raw gas cooling concepts the disadvantage of the direct quench became obvious. Combinations of gas quench and heat recovery results in exergy losses of 52.4%. The heat recovery design showed much better exergy efficiency of 63.8%. Especially the wet quench design showed high looses and is therefore restricted to applications incorporating a down stream shift unit. © 2010 Elsevier Ltd. All rights reserved.","author":[{"dropping-particle":"","family":"Kunze","given":"Christian","non-dropping-particle":"","parse-names":false,"suffix":""},{"dropping-particle":"","family":"Spliethoff","given":"Hartmut","non-dropping-particle":"","parse-names":false,"suffix":""}],"container-title":"Energy Conversion and Management","id":"ITEM-1","issue":"5","issued":{"date-parts":[["2011","5"]]},"page":"2135-2141","publisher":"Elsevier Ltd","title":"Modelling, comparison and operation experiences of entrained flow gasifier","type":"article-journal","volume":"52"},"uris":["http://www.mendeley.com/documents/?uuid=27bab83c-ede3-4b87-b6e3-2495d1ec791d"]}],"mendeley":{"formattedCitation":"(Kunze and Spliethoff, 2011)","plainTextFormattedCitation":"(Kunze and Spliethoff, 2011)","previouslyFormattedCitation":"(Kunze and Spliethoff, 2011)"},"properties":{"noteIndex":0},"schema":"https://github.com/citation-style-language/schema/raw/master/csl-citation.json"}</w:instrText>
      </w:r>
      <w:r w:rsidR="002B72E1">
        <w:fldChar w:fldCharType="separate"/>
      </w:r>
      <w:r w:rsidR="002B72E1" w:rsidRPr="002B72E1">
        <w:rPr>
          <w:noProof/>
        </w:rPr>
        <w:t>(Kunze and Spliethoff, 2011)</w:t>
      </w:r>
      <w:r w:rsidR="002B72E1">
        <w:fldChar w:fldCharType="end"/>
      </w:r>
      <w:r w:rsidR="002B72E1">
        <w:t xml:space="preserve"> </w:t>
      </w:r>
      <w:r w:rsidR="00A93E95">
        <w:t xml:space="preserve">reported </w:t>
      </w:r>
      <w:r w:rsidR="002B72E1">
        <w:t xml:space="preserve">98% carbon conversion </w:t>
      </w:r>
      <w:r w:rsidR="00A93E95">
        <w:t xml:space="preserve">for </w:t>
      </w:r>
      <w:r w:rsidR="002B72E1">
        <w:t xml:space="preserve">a </w:t>
      </w:r>
      <w:r w:rsidR="00A93E95">
        <w:t>similar indu</w:t>
      </w:r>
      <w:r w:rsidR="002B72E1">
        <w:t>strial unit running with coal, which is much less reactive than biomass. Therefore, the equilibrium value is clearly a better estimate of carbon conversion th</w:t>
      </w:r>
      <w:r w:rsidR="00A87226">
        <w:t xml:space="preserve">an the values predicted by </w:t>
      </w:r>
      <w:r w:rsidR="00A87226" w:rsidRPr="00A87226">
        <w:rPr>
          <w:i/>
        </w:rPr>
        <w:t>GasDS</w:t>
      </w:r>
      <w:r w:rsidR="002B72E1">
        <w:t xml:space="preserve">. </w:t>
      </w:r>
      <w:r w:rsidR="00AF5369">
        <w:t xml:space="preserve">Consistently, the equilibrium value is used throughout the economic analysis, as shown in </w:t>
      </w:r>
      <w:r w:rsidR="00AF5369">
        <w:fldChar w:fldCharType="begin"/>
      </w:r>
      <w:r w:rsidR="00AF5369">
        <w:instrText xml:space="preserve"> REF _Ref1032167 \h </w:instrText>
      </w:r>
      <w:r w:rsidR="00AF5369">
        <w:fldChar w:fldCharType="separate"/>
      </w:r>
      <w:r w:rsidR="00AF5369">
        <w:t xml:space="preserve">Figure </w:t>
      </w:r>
      <w:r w:rsidR="00AF5369">
        <w:rPr>
          <w:noProof/>
        </w:rPr>
        <w:t>2</w:t>
      </w:r>
      <w:r w:rsidR="00AF5369">
        <w:fldChar w:fldCharType="end"/>
      </w:r>
      <w:r w:rsidR="00AF5369">
        <w:t>.</w:t>
      </w:r>
      <w:r w:rsidR="00C83426">
        <w:t xml:space="preserve"> </w:t>
      </w:r>
      <w:r w:rsidR="002B72E1">
        <w:t xml:space="preserve">The smaller conversion values can be attributed to the fact that biomass residence time in the actual gasifier is actually bigger than that in the simulator (which is modelled as a plug flow reactor), plus </w:t>
      </w:r>
      <w:r w:rsidR="00AF5369">
        <w:t xml:space="preserve">the catalytic effect of the molten </w:t>
      </w:r>
      <w:r w:rsidR="00150DEA">
        <w:t xml:space="preserve">slag on the gasification of char </w:t>
      </w:r>
      <w:r w:rsidR="00AF5369">
        <w:t>(which is not modelled).</w:t>
      </w:r>
    </w:p>
    <w:p w:rsidR="00AF5369" w:rsidRDefault="00AF5369" w:rsidP="00AF5369">
      <w:pPr>
        <w:pStyle w:val="CETheadingx"/>
      </w:pPr>
      <w:r>
        <w:lastRenderedPageBreak/>
        <w:t>Techno-economic assessment of methanol production</w:t>
      </w:r>
    </w:p>
    <w:p w:rsidR="00705CFF" w:rsidRDefault="00EB1589" w:rsidP="00150DEA">
      <w:pPr>
        <w:pStyle w:val="CETBodytext"/>
      </w:pPr>
      <w:r w:rsidRPr="00B111BD">
        <w:t xml:space="preserve">The methanol production cost is seen in the last row of the third section of </w:t>
      </w:r>
      <w:r w:rsidRPr="00B111BD">
        <w:fldChar w:fldCharType="begin"/>
      </w:r>
      <w:r w:rsidRPr="00B111BD">
        <w:instrText xml:space="preserve"> REF _Ref1138688 \h </w:instrText>
      </w:r>
      <w:r w:rsidR="00B111BD">
        <w:instrText xml:space="preserve"> \* MERGEFORMAT </w:instrText>
      </w:r>
      <w:r w:rsidRPr="00B111BD">
        <w:fldChar w:fldCharType="separate"/>
      </w:r>
      <w:r w:rsidRPr="00B111BD">
        <w:t>Table 2</w:t>
      </w:r>
      <w:r w:rsidRPr="00B111BD">
        <w:fldChar w:fldCharType="end"/>
      </w:r>
      <w:r w:rsidRPr="00B111BD">
        <w:t xml:space="preserve">. </w:t>
      </w:r>
      <w:r w:rsidR="00D4635C">
        <w:t xml:space="preserve">A sensible difference in cost can be seen as the ash content is changed; </w:t>
      </w:r>
      <w:r w:rsidR="003D3CE2">
        <w:t xml:space="preserve">this correlation is </w:t>
      </w:r>
      <w:r w:rsidR="00D4635C">
        <w:t xml:space="preserve">illustrated in </w:t>
      </w:r>
      <w:r w:rsidR="00BA2F34">
        <w:fldChar w:fldCharType="begin"/>
      </w:r>
      <w:r w:rsidR="00BA2F34">
        <w:instrText xml:space="preserve"> REF _Ref1905940 \h </w:instrText>
      </w:r>
      <w:r w:rsidR="00BA2F34">
        <w:fldChar w:fldCharType="separate"/>
      </w:r>
      <w:r w:rsidR="00BA2F34">
        <w:t xml:space="preserve">Figure </w:t>
      </w:r>
      <w:r w:rsidR="00BA2F34">
        <w:rPr>
          <w:noProof/>
        </w:rPr>
        <w:t>3</w:t>
      </w:r>
      <w:r w:rsidR="00BA2F34">
        <w:fldChar w:fldCharType="end"/>
      </w:r>
      <w:r w:rsidR="003D3CE2">
        <w:t xml:space="preserve">. This cost difference </w:t>
      </w:r>
      <w:r w:rsidR="00C77A8A">
        <w:t xml:space="preserve">is due to the </w:t>
      </w:r>
      <w:r w:rsidR="00BA2F34">
        <w:t xml:space="preserve">differing </w:t>
      </w:r>
      <w:r w:rsidR="00D4635C">
        <w:t>amount</w:t>
      </w:r>
      <w:r w:rsidR="00BA2F34">
        <w:t>s</w:t>
      </w:r>
      <w:r w:rsidR="00D4635C">
        <w:t xml:space="preserve"> of oxygen</w:t>
      </w:r>
      <w:r w:rsidR="00BA2F34">
        <w:t xml:space="preserve"> used for biomass with </w:t>
      </w:r>
      <w:r w:rsidR="00944694">
        <w:t>higher amount of ash.</w:t>
      </w:r>
      <w:r w:rsidR="003E0660">
        <w:t xml:space="preserve"> </w:t>
      </w:r>
      <w:r w:rsidR="002A4352" w:rsidRPr="00B111BD">
        <w:t xml:space="preserve">In any of the cases, </w:t>
      </w:r>
      <w:r w:rsidR="00944694">
        <w:t xml:space="preserve">methanol </w:t>
      </w:r>
      <w:r w:rsidR="002A4352" w:rsidRPr="00B111BD">
        <w:t xml:space="preserve">production cost is </w:t>
      </w:r>
      <w:r w:rsidR="00944694">
        <w:t xml:space="preserve">bigger than </w:t>
      </w:r>
      <w:r w:rsidR="00B111BD" w:rsidRPr="00B111BD">
        <w:t xml:space="preserve">the average </w:t>
      </w:r>
      <w:r w:rsidR="00944694">
        <w:t xml:space="preserve">value </w:t>
      </w:r>
      <w:r w:rsidR="00B111BD" w:rsidRPr="00B111BD">
        <w:t xml:space="preserve">from coal gasification </w:t>
      </w:r>
      <w:r w:rsidR="002A4352" w:rsidRPr="00B111BD">
        <w:t xml:space="preserve">found </w:t>
      </w:r>
      <w:r w:rsidR="00B111BD" w:rsidRPr="00B111BD">
        <w:t xml:space="preserve">on the review by </w:t>
      </w:r>
      <w:r w:rsidR="00B111BD" w:rsidRPr="00B111BD">
        <w:fldChar w:fldCharType="begin" w:fldLock="1"/>
      </w:r>
      <w:r w:rsidR="00705CFF">
        <w:instrText>ADDIN CSL_CITATION {"citationItems":[{"id":"ITEM-1","itemData":{"URL":"www.irena.org/DocumentDownloads/Publications/IRENA-ETSAP Tech Brief I08 Production_of_Bio-methanol.pdf","accessed":{"date-parts":[["2017","4","19"]]},"author":[{"dropping-particle":"","family":"IEA-ETSAP","given":"","non-dropping-particle":"","parse-names":false,"suffix":""},{"dropping-particle":"","family":"IRENA","given":"","non-dropping-particle":"","parse-names":false,"suffix":""}],"id":"ITEM-1","issue":"January","issued":{"date-parts":[["2013"]]},"title":"Production of Bio-methanol","type":"webpage"},"uris":["http://www.mendeley.com/documents/?uuid=b7c2d55a-2596-4bdb-a4a4-5be6485be82e"]}],"mendeley":{"formattedCitation":"(IEA-ETSAP and IRENA, 2013)","plainTextFormattedCitation":"(IEA-ETSAP and IRENA, 2013)","previouslyFormattedCitation":"(IEA-ETSAP and IRENA, 2013)"},"properties":{"noteIndex":0},"schema":"https://github.com/citation-style-language/schema/raw/master/csl-citation.json"}</w:instrText>
      </w:r>
      <w:r w:rsidR="00B111BD" w:rsidRPr="00B111BD">
        <w:fldChar w:fldCharType="separate"/>
      </w:r>
      <w:r w:rsidR="00B111BD" w:rsidRPr="00B111BD">
        <w:rPr>
          <w:noProof/>
        </w:rPr>
        <w:t>(IEA-ETSAP and IRENA, 2013)</w:t>
      </w:r>
      <w:r w:rsidR="00B111BD" w:rsidRPr="00B111BD">
        <w:fldChar w:fldCharType="end"/>
      </w:r>
      <w:r w:rsidR="001F5D32">
        <w:t>:</w:t>
      </w:r>
      <w:r w:rsidR="00B111BD" w:rsidRPr="00B111BD">
        <w:t xml:space="preserve"> around 350 €/t </w:t>
      </w:r>
      <w:r w:rsidR="00B111BD">
        <w:t xml:space="preserve">for </w:t>
      </w:r>
      <w:r w:rsidR="004D2246">
        <w:t xml:space="preserve">scales of up to </w:t>
      </w:r>
      <w:r w:rsidR="00B111BD">
        <w:t xml:space="preserve">100 kt </w:t>
      </w:r>
      <w:r w:rsidR="004D2246">
        <w:t xml:space="preserve">of methanol </w:t>
      </w:r>
      <w:r w:rsidR="00B111BD">
        <w:t>per year</w:t>
      </w:r>
      <w:r w:rsidR="001F5D32">
        <w:t>.</w:t>
      </w:r>
      <w:r w:rsidR="00B111BD">
        <w:t xml:space="preserve"> </w:t>
      </w:r>
      <w:r w:rsidR="001F5D32">
        <w:t>T</w:t>
      </w:r>
      <w:r w:rsidR="00B111BD">
        <w:t>he same work presents</w:t>
      </w:r>
      <w:r w:rsidR="001F5D32">
        <w:t xml:space="preserve"> a considerably smaller production cost if the input is natural gas (around 2</w:t>
      </w:r>
      <w:r w:rsidR="001F5D32" w:rsidRPr="00B111BD">
        <w:t>50 €/t</w:t>
      </w:r>
      <w:r w:rsidR="001F5D32">
        <w:t>, same production range)</w:t>
      </w:r>
      <w:r w:rsidR="00705CFF">
        <w:t>.</w:t>
      </w:r>
      <w:r w:rsidR="00150DEA">
        <w:t xml:space="preserve"> The current market price of methanol is </w:t>
      </w:r>
      <w:r w:rsidR="00150DEA" w:rsidRPr="00B111BD">
        <w:t>350 €/t</w:t>
      </w:r>
      <w:r w:rsidR="000307A0">
        <w:t xml:space="preserve"> </w:t>
      </w:r>
      <w:r w:rsidR="000307A0">
        <w:fldChar w:fldCharType="begin" w:fldLock="1"/>
      </w:r>
      <w:r w:rsidR="00F25553">
        <w:instrText>ADDIN CSL_CITATION {"citationItems":[{"id":"ITEM-1","itemData":{"URL":"https://www.methanex.com/our-business/pricing","accessed":{"date-parts":[["2019","1","31"]]},"author":[{"dropping-particle":"","family":"Methanex","given":"","non-dropping-particle":"","parse-names":false,"suffix":""}],"id":"ITEM-1","issued":{"date-parts":[["2019"]]},"title":"Methanol Price","type":"webpage"},"uris":["http://www.mendeley.com/documents/?uuid=d8a567a7-1aa5-4e24-ac55-59b4c55aa824"]}],"mendeley":{"formattedCitation":"(Methanex, 2019)","plainTextFormattedCitation":"(Methanex, 2019)","previouslyFormattedCitation":"(Methanex, 2019)"},"properties":{"noteIndex":0},"schema":"https://github.com/citation-style-language/schema/raw/master/csl-citation.json"}</w:instrText>
      </w:r>
      <w:r w:rsidR="000307A0">
        <w:fldChar w:fldCharType="separate"/>
      </w:r>
      <w:r w:rsidR="000307A0" w:rsidRPr="000307A0">
        <w:rPr>
          <w:noProof/>
        </w:rPr>
        <w:t>(Methanex, 2019)</w:t>
      </w:r>
      <w:r w:rsidR="000307A0">
        <w:fldChar w:fldCharType="end"/>
      </w:r>
      <w:r w:rsidR="00150DEA">
        <w:t>, which makes the process unfeasible at the current plant capacity of 100 MW LHV biomass input.</w:t>
      </w:r>
    </w:p>
    <w:p w:rsidR="00D4635C" w:rsidRDefault="00D4635C" w:rsidP="00150DEA">
      <w:pPr>
        <w:pStyle w:val="CETBodytext"/>
      </w:pPr>
    </w:p>
    <w:p w:rsidR="00D4635C" w:rsidRDefault="00D4635C" w:rsidP="00150DEA">
      <w:pPr>
        <w:pStyle w:val="CETBodytext"/>
      </w:pPr>
      <w:r>
        <w:rPr>
          <w:noProof/>
        </w:rPr>
        <w:drawing>
          <wp:inline distT="0" distB="0" distL="0" distR="0" wp14:anchorId="0E97E0C9" wp14:editId="739729BA">
            <wp:extent cx="2994470" cy="180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inline>
        </w:drawing>
      </w:r>
    </w:p>
    <w:p w:rsidR="00D4635C" w:rsidRDefault="00D4635C" w:rsidP="00D4635C">
      <w:pPr>
        <w:pStyle w:val="CETCaption"/>
      </w:pPr>
      <w:bookmarkStart w:id="3" w:name="_Ref1905940"/>
      <w:r>
        <w:t xml:space="preserve">Figure </w:t>
      </w:r>
      <w:r>
        <w:fldChar w:fldCharType="begin"/>
      </w:r>
      <w:r>
        <w:instrText xml:space="preserve"> SEQ Figure \* ARABIC </w:instrText>
      </w:r>
      <w:r>
        <w:fldChar w:fldCharType="separate"/>
      </w:r>
      <w:r>
        <w:rPr>
          <w:noProof/>
        </w:rPr>
        <w:t>3</w:t>
      </w:r>
      <w:r>
        <w:fldChar w:fldCharType="end"/>
      </w:r>
      <w:bookmarkEnd w:id="3"/>
      <w:r w:rsidRPr="00B57B36">
        <w:t xml:space="preserve">: </w:t>
      </w:r>
      <w:r>
        <w:t>Correlation between ash content and MeOH production cost.</w:t>
      </w:r>
    </w:p>
    <w:p w:rsidR="00AF5369" w:rsidRDefault="001F5D32" w:rsidP="00C77A8A">
      <w:pPr>
        <w:pStyle w:val="CETBodytext"/>
      </w:pPr>
      <w:r>
        <w:fldChar w:fldCharType="begin"/>
      </w:r>
      <w:r>
        <w:instrText xml:space="preserve"> REF _Ref1571515 \h </w:instrText>
      </w:r>
      <w:r>
        <w:fldChar w:fldCharType="separate"/>
      </w:r>
      <w:r>
        <w:t xml:space="preserve">Table </w:t>
      </w:r>
      <w:r>
        <w:rPr>
          <w:noProof/>
        </w:rPr>
        <w:t>3</w:t>
      </w:r>
      <w:r>
        <w:fldChar w:fldCharType="end"/>
      </w:r>
      <w:r>
        <w:t xml:space="preserve"> presents further details on the economic analysis</w:t>
      </w:r>
      <w:r w:rsidR="00150DEA">
        <w:t xml:space="preserve"> (considering corn stover as input)</w:t>
      </w:r>
      <w:r>
        <w:t>.</w:t>
      </w:r>
      <w:r w:rsidR="00705CFF">
        <w:t xml:space="preserve"> </w:t>
      </w:r>
      <w:r w:rsidR="006E5104">
        <w:t>The ‘HEN’ entry (under the CapEx of the process sections) stands for the heat exchanger network, as mentioned previously.</w:t>
      </w:r>
    </w:p>
    <w:p w:rsidR="0052271B" w:rsidRPr="0052271B" w:rsidRDefault="001F5D32" w:rsidP="0052271B">
      <w:pPr>
        <w:pStyle w:val="CETTabletitle"/>
        <w:rPr>
          <w:rFonts w:asciiTheme="minorHAnsi" w:eastAsiaTheme="minorHAnsi" w:hAnsiTheme="minorHAnsi" w:cstheme="minorBidi"/>
          <w:sz w:val="22"/>
          <w:szCs w:val="22"/>
          <w:lang w:val="en-US"/>
        </w:rPr>
      </w:pPr>
      <w:bookmarkStart w:id="4" w:name="_Ref1571515"/>
      <w:r>
        <w:t xml:space="preserve">Table </w:t>
      </w:r>
      <w:r>
        <w:fldChar w:fldCharType="begin"/>
      </w:r>
      <w:r>
        <w:instrText xml:space="preserve"> SEQ Table \* ARABIC </w:instrText>
      </w:r>
      <w:r>
        <w:fldChar w:fldCharType="separate"/>
      </w:r>
      <w:r>
        <w:rPr>
          <w:noProof/>
        </w:rPr>
        <w:t>3</w:t>
      </w:r>
      <w:r>
        <w:fldChar w:fldCharType="end"/>
      </w:r>
      <w:bookmarkEnd w:id="4"/>
      <w:r>
        <w:t xml:space="preserve">: Details on the economic </w:t>
      </w:r>
      <w:r w:rsidR="00591720">
        <w:t>a</w:t>
      </w:r>
      <w:r>
        <w:t>nalysis</w:t>
      </w:r>
      <w:r w:rsidR="00591720">
        <w:t xml:space="preserve"> (considering corn stover</w:t>
      </w:r>
      <w:r w:rsidR="00430F7B">
        <w:t xml:space="preserve"> as input</w:t>
      </w:r>
      <w:r w:rsidR="00591720">
        <w:t>).</w:t>
      </w:r>
      <w:r w:rsidR="0052271B">
        <w:fldChar w:fldCharType="begin"/>
      </w:r>
      <w:r w:rsidR="0052271B">
        <w:instrText xml:space="preserve"> LINK Excel.Sheet.12 "C:\\Users\\Master\\Dropbox\\Doutorado\\Articoli Bandi Congressi Missioni Reviews\\IcheaP 2019\\SimulationData.xlsx" "Tables!R2C15:R16C18" \f 4 \h \* MERGEFORMAT </w:instrText>
      </w:r>
      <w:r w:rsidR="0052271B">
        <w:fldChar w:fldCharType="separate"/>
      </w:r>
    </w:p>
    <w:tbl>
      <w:tblPr>
        <w:tblW w:w="4914" w:type="dxa"/>
        <w:tblLook w:val="04A0" w:firstRow="1" w:lastRow="0" w:firstColumn="1" w:lastColumn="0" w:noHBand="0" w:noVBand="1"/>
      </w:tblPr>
      <w:tblGrid>
        <w:gridCol w:w="962"/>
        <w:gridCol w:w="757"/>
        <w:gridCol w:w="2518"/>
        <w:gridCol w:w="677"/>
      </w:tblGrid>
      <w:tr w:rsidR="0052271B" w:rsidRPr="00C77A8A" w:rsidTr="00C77A8A">
        <w:trPr>
          <w:divId w:val="1663196073"/>
          <w:trHeight w:val="57"/>
        </w:trPr>
        <w:tc>
          <w:tcPr>
            <w:tcW w:w="962" w:type="dxa"/>
            <w:tcBorders>
              <w:top w:val="single" w:sz="12" w:space="0" w:color="008000"/>
              <w:left w:val="nil"/>
              <w:bottom w:val="single" w:sz="4" w:space="0" w:color="008000"/>
              <w:right w:val="nil"/>
            </w:tcBorders>
            <w:shd w:val="clear" w:color="auto" w:fill="auto"/>
            <w:vAlign w:val="center"/>
            <w:hideMark/>
          </w:tcPr>
          <w:p w:rsidR="0052271B" w:rsidRPr="00C77A8A" w:rsidRDefault="0052271B" w:rsidP="00C77A8A">
            <w:pPr>
              <w:pStyle w:val="CETBodytextItalic"/>
            </w:pPr>
            <w:r w:rsidRPr="00C77A8A">
              <w:t>Process</w:t>
            </w:r>
            <w:r w:rsidRPr="00C77A8A">
              <w:br/>
              <w:t>section</w:t>
            </w:r>
          </w:p>
        </w:tc>
        <w:tc>
          <w:tcPr>
            <w:tcW w:w="757" w:type="dxa"/>
            <w:tcBorders>
              <w:top w:val="single" w:sz="12" w:space="0" w:color="008000"/>
              <w:left w:val="nil"/>
              <w:bottom w:val="single" w:sz="4" w:space="0" w:color="008000"/>
              <w:right w:val="single" w:sz="4" w:space="0" w:color="008000"/>
            </w:tcBorders>
            <w:shd w:val="clear" w:color="auto" w:fill="auto"/>
            <w:vAlign w:val="bottom"/>
            <w:hideMark/>
          </w:tcPr>
          <w:p w:rsidR="0052271B" w:rsidRPr="00C77A8A" w:rsidRDefault="0052271B" w:rsidP="00C77A8A">
            <w:pPr>
              <w:pStyle w:val="CETBodytextItalic"/>
            </w:pPr>
            <w:r w:rsidRPr="00C77A8A">
              <w:t>CapEx</w:t>
            </w:r>
            <w:r w:rsidRPr="00C77A8A">
              <w:br/>
              <w:t>(M€)</w:t>
            </w:r>
          </w:p>
        </w:tc>
        <w:tc>
          <w:tcPr>
            <w:tcW w:w="2518" w:type="dxa"/>
            <w:tcBorders>
              <w:top w:val="single" w:sz="12" w:space="0" w:color="008000"/>
              <w:left w:val="single" w:sz="4" w:space="0" w:color="008000"/>
              <w:bottom w:val="single" w:sz="4" w:space="0" w:color="008000"/>
              <w:right w:val="nil"/>
            </w:tcBorders>
            <w:shd w:val="clear" w:color="auto" w:fill="auto"/>
            <w:noWrap/>
            <w:vAlign w:val="center"/>
            <w:hideMark/>
          </w:tcPr>
          <w:p w:rsidR="0052271B" w:rsidRPr="00C77A8A" w:rsidRDefault="0052271B" w:rsidP="00C77A8A">
            <w:pPr>
              <w:pStyle w:val="CETBodytextItalic"/>
            </w:pPr>
            <w:r w:rsidRPr="00C77A8A">
              <w:t>OpEx entry</w:t>
            </w:r>
          </w:p>
        </w:tc>
        <w:tc>
          <w:tcPr>
            <w:tcW w:w="677" w:type="dxa"/>
            <w:tcBorders>
              <w:top w:val="single" w:sz="12" w:space="0" w:color="008000"/>
              <w:left w:val="nil"/>
              <w:bottom w:val="single" w:sz="4" w:space="0" w:color="008000"/>
              <w:right w:val="nil"/>
            </w:tcBorders>
            <w:shd w:val="clear" w:color="auto" w:fill="auto"/>
            <w:vAlign w:val="bottom"/>
            <w:hideMark/>
          </w:tcPr>
          <w:p w:rsidR="0052271B" w:rsidRPr="00C77A8A" w:rsidRDefault="0052271B" w:rsidP="00C77A8A">
            <w:pPr>
              <w:pStyle w:val="CETBodytextItalic"/>
            </w:pPr>
            <w:r w:rsidRPr="00C77A8A">
              <w:t>Value</w:t>
            </w:r>
            <w:r w:rsidRPr="00C77A8A">
              <w:br/>
              <w:t>(M€)</w:t>
            </w:r>
          </w:p>
        </w:tc>
      </w:tr>
      <w:tr w:rsidR="0052271B" w:rsidRPr="00C77A8A" w:rsidTr="00C77A8A">
        <w:trPr>
          <w:divId w:val="1663196073"/>
          <w:trHeight w:val="57"/>
        </w:trPr>
        <w:tc>
          <w:tcPr>
            <w:tcW w:w="962" w:type="dxa"/>
            <w:tcBorders>
              <w:top w:val="single" w:sz="4" w:space="0" w:color="008000"/>
              <w:left w:val="nil"/>
              <w:bottom w:val="nil"/>
              <w:right w:val="nil"/>
            </w:tcBorders>
            <w:shd w:val="clear" w:color="auto" w:fill="auto"/>
            <w:noWrap/>
            <w:vAlign w:val="center"/>
            <w:hideMark/>
          </w:tcPr>
          <w:p w:rsidR="0052271B" w:rsidRPr="00C77A8A" w:rsidRDefault="0052271B" w:rsidP="00C77A8A">
            <w:pPr>
              <w:pStyle w:val="CETBodytextItalic"/>
            </w:pPr>
            <w:r w:rsidRPr="00C77A8A">
              <w:t>ASU</w:t>
            </w:r>
          </w:p>
        </w:tc>
        <w:tc>
          <w:tcPr>
            <w:tcW w:w="757" w:type="dxa"/>
            <w:tcBorders>
              <w:top w:val="single" w:sz="4" w:space="0" w:color="008000"/>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15</w:t>
            </w:r>
          </w:p>
        </w:tc>
        <w:tc>
          <w:tcPr>
            <w:tcW w:w="2518" w:type="dxa"/>
            <w:tcBorders>
              <w:top w:val="single" w:sz="4" w:space="0" w:color="008000"/>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Amortization</w:t>
            </w:r>
          </w:p>
        </w:tc>
        <w:tc>
          <w:tcPr>
            <w:tcW w:w="677" w:type="dxa"/>
            <w:tcBorders>
              <w:top w:val="single" w:sz="4" w:space="0" w:color="008000"/>
              <w:left w:val="nil"/>
              <w:bottom w:val="nil"/>
              <w:right w:val="nil"/>
            </w:tcBorders>
            <w:shd w:val="clear" w:color="auto" w:fill="auto"/>
            <w:noWrap/>
            <w:vAlign w:val="bottom"/>
            <w:hideMark/>
          </w:tcPr>
          <w:p w:rsidR="0052271B" w:rsidRPr="00C77A8A" w:rsidRDefault="0052271B" w:rsidP="00C77A8A">
            <w:pPr>
              <w:pStyle w:val="CETBodytextItalic"/>
            </w:pPr>
            <w:r w:rsidRPr="00C77A8A">
              <w:t>-4</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center"/>
            <w:hideMark/>
          </w:tcPr>
          <w:p w:rsidR="0052271B" w:rsidRPr="00C77A8A" w:rsidRDefault="0052271B" w:rsidP="00C77A8A">
            <w:pPr>
              <w:pStyle w:val="CETBodytextItalic"/>
            </w:pPr>
            <w:r w:rsidRPr="00C77A8A">
              <w:t>GAS</w:t>
            </w: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29</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Biomass</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-7</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center"/>
            <w:hideMark/>
          </w:tcPr>
          <w:p w:rsidR="0052271B" w:rsidRPr="00C77A8A" w:rsidRDefault="0052271B" w:rsidP="00C77A8A">
            <w:pPr>
              <w:pStyle w:val="CETBodytextItalic"/>
            </w:pPr>
            <w:r w:rsidRPr="00C77A8A">
              <w:t>QUE</w:t>
            </w: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1</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Operating labor</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-1</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center"/>
            <w:hideMark/>
          </w:tcPr>
          <w:p w:rsidR="0052271B" w:rsidRPr="00C77A8A" w:rsidRDefault="0052271B" w:rsidP="00C77A8A">
            <w:pPr>
              <w:pStyle w:val="CETBodytextItalic"/>
            </w:pPr>
            <w:r w:rsidRPr="00C77A8A">
              <w:t>WGS</w:t>
            </w: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4</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Maintenance &amp; repairs</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-4</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center"/>
            <w:hideMark/>
          </w:tcPr>
          <w:p w:rsidR="0052271B" w:rsidRPr="00C77A8A" w:rsidRDefault="0052271B" w:rsidP="00C77A8A">
            <w:pPr>
              <w:pStyle w:val="CETBodytextItalic"/>
            </w:pPr>
            <w:r w:rsidRPr="00C77A8A">
              <w:t>SWT</w:t>
            </w: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3</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Supplies</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-1</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center"/>
            <w:hideMark/>
          </w:tcPr>
          <w:p w:rsidR="0052271B" w:rsidRPr="00C77A8A" w:rsidRDefault="0052271B" w:rsidP="00C77A8A">
            <w:pPr>
              <w:pStyle w:val="CETBodytextItalic"/>
            </w:pPr>
            <w:r w:rsidRPr="00C77A8A">
              <w:t>MEOH</w:t>
            </w: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4</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Patents</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-1</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center"/>
            <w:hideMark/>
          </w:tcPr>
          <w:p w:rsidR="0052271B" w:rsidRPr="00C77A8A" w:rsidRDefault="0052271B" w:rsidP="00C77A8A">
            <w:pPr>
              <w:pStyle w:val="CETBodytextItalic"/>
            </w:pPr>
            <w:r w:rsidRPr="00C77A8A">
              <w:t>DIST</w:t>
            </w: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1</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Taxes and insurance</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-2</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center"/>
            <w:hideMark/>
          </w:tcPr>
          <w:p w:rsidR="0052271B" w:rsidRPr="00C77A8A" w:rsidRDefault="0052271B" w:rsidP="00C77A8A">
            <w:pPr>
              <w:pStyle w:val="CETBodytextItalic"/>
            </w:pPr>
            <w:r w:rsidRPr="00C77A8A">
              <w:t>PWR</w:t>
            </w: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r w:rsidRPr="00C77A8A">
              <w:t>5</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Overhead</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-3</w:t>
            </w:r>
          </w:p>
        </w:tc>
      </w:tr>
      <w:tr w:rsidR="0052271B" w:rsidRPr="00C77A8A" w:rsidTr="00C77A8A">
        <w:trPr>
          <w:divId w:val="1663196073"/>
          <w:trHeight w:val="57"/>
        </w:trPr>
        <w:tc>
          <w:tcPr>
            <w:tcW w:w="962" w:type="dxa"/>
            <w:tcBorders>
              <w:top w:val="nil"/>
              <w:left w:val="nil"/>
              <w:right w:val="nil"/>
            </w:tcBorders>
            <w:shd w:val="clear" w:color="auto" w:fill="auto"/>
            <w:noWrap/>
            <w:vAlign w:val="center"/>
            <w:hideMark/>
          </w:tcPr>
          <w:p w:rsidR="0052271B" w:rsidRPr="00C77A8A" w:rsidRDefault="0052271B" w:rsidP="00C77A8A">
            <w:pPr>
              <w:pStyle w:val="CETBodytextItalic"/>
            </w:pPr>
            <w:r w:rsidRPr="00C77A8A">
              <w:t>HEN</w:t>
            </w:r>
          </w:p>
        </w:tc>
        <w:tc>
          <w:tcPr>
            <w:tcW w:w="757" w:type="dxa"/>
            <w:tcBorders>
              <w:top w:val="nil"/>
              <w:left w:val="nil"/>
              <w:right w:val="single" w:sz="4" w:space="0" w:color="008000"/>
            </w:tcBorders>
            <w:shd w:val="clear" w:color="auto" w:fill="auto"/>
            <w:noWrap/>
            <w:vAlign w:val="bottom"/>
            <w:hideMark/>
          </w:tcPr>
          <w:p w:rsidR="0052271B" w:rsidRPr="00C77A8A" w:rsidRDefault="0052271B" w:rsidP="00C77A8A">
            <w:pPr>
              <w:pStyle w:val="CETBodytextItalic"/>
            </w:pPr>
            <w:r w:rsidRPr="00C77A8A">
              <w:t>7</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Administration</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-1</w:t>
            </w:r>
          </w:p>
        </w:tc>
      </w:tr>
      <w:tr w:rsidR="0052271B" w:rsidRPr="00C77A8A" w:rsidTr="00C77A8A">
        <w:trPr>
          <w:divId w:val="1663196073"/>
          <w:trHeight w:val="57"/>
        </w:trPr>
        <w:tc>
          <w:tcPr>
            <w:tcW w:w="962" w:type="dxa"/>
            <w:tcBorders>
              <w:top w:val="nil"/>
              <w:left w:val="nil"/>
              <w:bottom w:val="single" w:sz="12" w:space="0" w:color="008000"/>
              <w:right w:val="nil"/>
            </w:tcBorders>
            <w:shd w:val="clear" w:color="auto" w:fill="auto"/>
            <w:noWrap/>
            <w:vAlign w:val="center"/>
            <w:hideMark/>
          </w:tcPr>
          <w:p w:rsidR="0052271B" w:rsidRPr="00C77A8A" w:rsidRDefault="0052271B" w:rsidP="00C77A8A">
            <w:pPr>
              <w:pStyle w:val="CETBodytextItalic"/>
            </w:pPr>
            <w:r w:rsidRPr="00C77A8A">
              <w:t>Total</w:t>
            </w:r>
          </w:p>
        </w:tc>
        <w:tc>
          <w:tcPr>
            <w:tcW w:w="757" w:type="dxa"/>
            <w:tcBorders>
              <w:top w:val="nil"/>
              <w:left w:val="nil"/>
              <w:bottom w:val="single" w:sz="12" w:space="0" w:color="008000"/>
              <w:right w:val="single" w:sz="4" w:space="0" w:color="008000"/>
            </w:tcBorders>
            <w:shd w:val="clear" w:color="auto" w:fill="auto"/>
            <w:noWrap/>
            <w:vAlign w:val="bottom"/>
            <w:hideMark/>
          </w:tcPr>
          <w:p w:rsidR="0052271B" w:rsidRPr="00C77A8A" w:rsidRDefault="0052271B" w:rsidP="00C77A8A">
            <w:pPr>
              <w:pStyle w:val="CETBodytextItalic"/>
            </w:pPr>
            <w:r w:rsidRPr="00C77A8A">
              <w:t>69</w:t>
            </w: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Distribution and selling</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-3</w:t>
            </w:r>
          </w:p>
        </w:tc>
      </w:tr>
      <w:tr w:rsidR="0052271B" w:rsidRPr="00C77A8A" w:rsidTr="00C77A8A">
        <w:trPr>
          <w:divId w:val="1663196073"/>
          <w:trHeight w:val="57"/>
        </w:trPr>
        <w:tc>
          <w:tcPr>
            <w:tcW w:w="962" w:type="dxa"/>
            <w:tcBorders>
              <w:top w:val="single" w:sz="12" w:space="0" w:color="008000"/>
              <w:left w:val="nil"/>
              <w:bottom w:val="nil"/>
              <w:right w:val="nil"/>
            </w:tcBorders>
            <w:shd w:val="clear" w:color="auto" w:fill="auto"/>
            <w:noWrap/>
            <w:vAlign w:val="bottom"/>
            <w:hideMark/>
          </w:tcPr>
          <w:p w:rsidR="0052271B" w:rsidRPr="00C77A8A" w:rsidRDefault="0052271B" w:rsidP="00C77A8A">
            <w:pPr>
              <w:pStyle w:val="CETBodytextItalic"/>
            </w:pPr>
          </w:p>
        </w:tc>
        <w:tc>
          <w:tcPr>
            <w:tcW w:w="757" w:type="dxa"/>
            <w:tcBorders>
              <w:top w:val="single" w:sz="12" w:space="0" w:color="008000"/>
              <w:left w:val="nil"/>
              <w:bottom w:val="nil"/>
              <w:right w:val="single" w:sz="4" w:space="0" w:color="008000"/>
            </w:tcBorders>
            <w:shd w:val="clear" w:color="auto" w:fill="auto"/>
            <w:noWrap/>
            <w:vAlign w:val="bottom"/>
            <w:hideMark/>
          </w:tcPr>
          <w:p w:rsidR="0052271B" w:rsidRPr="00C77A8A" w:rsidRDefault="0052271B" w:rsidP="00C77A8A">
            <w:pPr>
              <w:pStyle w:val="CETBodytextItalic"/>
            </w:pP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Research and development</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-1</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p>
        </w:tc>
        <w:tc>
          <w:tcPr>
            <w:tcW w:w="2518" w:type="dxa"/>
            <w:tcBorders>
              <w:top w:val="nil"/>
              <w:left w:val="single" w:sz="4" w:space="0" w:color="008000"/>
              <w:bottom w:val="nil"/>
              <w:right w:val="nil"/>
            </w:tcBorders>
            <w:shd w:val="clear" w:color="auto" w:fill="auto"/>
            <w:noWrap/>
            <w:vAlign w:val="bottom"/>
            <w:hideMark/>
          </w:tcPr>
          <w:p w:rsidR="0052271B" w:rsidRPr="00C77A8A" w:rsidRDefault="0052271B" w:rsidP="00C77A8A">
            <w:pPr>
              <w:pStyle w:val="CETBodytextItalic"/>
            </w:pPr>
            <w:r w:rsidRPr="00C77A8A">
              <w:t>Others</w:t>
            </w:r>
          </w:p>
        </w:tc>
        <w:tc>
          <w:tcPr>
            <w:tcW w:w="677"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r w:rsidRPr="00C77A8A">
              <w:t>-1</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p>
        </w:tc>
        <w:tc>
          <w:tcPr>
            <w:tcW w:w="2518" w:type="dxa"/>
            <w:tcBorders>
              <w:top w:val="nil"/>
              <w:left w:val="single" w:sz="4" w:space="0" w:color="008000"/>
              <w:right w:val="nil"/>
            </w:tcBorders>
            <w:shd w:val="clear" w:color="auto" w:fill="auto"/>
            <w:noWrap/>
            <w:vAlign w:val="bottom"/>
            <w:hideMark/>
          </w:tcPr>
          <w:p w:rsidR="0052271B" w:rsidRPr="00C77A8A" w:rsidRDefault="0052271B" w:rsidP="00C77A8A">
            <w:pPr>
              <w:pStyle w:val="CETBodytextItalic"/>
            </w:pPr>
            <w:r w:rsidRPr="00C77A8A">
              <w:t>Produced electricity</w:t>
            </w:r>
          </w:p>
        </w:tc>
        <w:tc>
          <w:tcPr>
            <w:tcW w:w="677" w:type="dxa"/>
            <w:tcBorders>
              <w:top w:val="nil"/>
              <w:left w:val="nil"/>
              <w:right w:val="nil"/>
            </w:tcBorders>
            <w:shd w:val="clear" w:color="auto" w:fill="auto"/>
            <w:noWrap/>
            <w:vAlign w:val="bottom"/>
            <w:hideMark/>
          </w:tcPr>
          <w:p w:rsidR="0052271B" w:rsidRPr="00C77A8A" w:rsidRDefault="0052271B" w:rsidP="00C77A8A">
            <w:pPr>
              <w:pStyle w:val="CETBodytextItalic"/>
            </w:pPr>
            <w:r w:rsidRPr="00C77A8A">
              <w:t>1</w:t>
            </w:r>
          </w:p>
        </w:tc>
      </w:tr>
      <w:tr w:rsidR="0052271B" w:rsidRPr="00C77A8A" w:rsidTr="00C77A8A">
        <w:trPr>
          <w:divId w:val="1663196073"/>
          <w:trHeight w:val="57"/>
        </w:trPr>
        <w:tc>
          <w:tcPr>
            <w:tcW w:w="962" w:type="dxa"/>
            <w:tcBorders>
              <w:top w:val="nil"/>
              <w:left w:val="nil"/>
              <w:bottom w:val="nil"/>
              <w:right w:val="nil"/>
            </w:tcBorders>
            <w:shd w:val="clear" w:color="auto" w:fill="auto"/>
            <w:noWrap/>
            <w:vAlign w:val="bottom"/>
            <w:hideMark/>
          </w:tcPr>
          <w:p w:rsidR="0052271B" w:rsidRPr="00C77A8A" w:rsidRDefault="0052271B" w:rsidP="00C77A8A">
            <w:pPr>
              <w:pStyle w:val="CETBodytextItalic"/>
            </w:pPr>
          </w:p>
        </w:tc>
        <w:tc>
          <w:tcPr>
            <w:tcW w:w="757" w:type="dxa"/>
            <w:tcBorders>
              <w:top w:val="nil"/>
              <w:left w:val="nil"/>
              <w:bottom w:val="nil"/>
              <w:right w:val="single" w:sz="4" w:space="0" w:color="008000"/>
            </w:tcBorders>
            <w:shd w:val="clear" w:color="auto" w:fill="auto"/>
            <w:noWrap/>
            <w:vAlign w:val="bottom"/>
            <w:hideMark/>
          </w:tcPr>
          <w:p w:rsidR="0052271B" w:rsidRPr="00C77A8A" w:rsidRDefault="0052271B" w:rsidP="00C77A8A">
            <w:pPr>
              <w:pStyle w:val="CETBodytextItalic"/>
            </w:pPr>
          </w:p>
        </w:tc>
        <w:tc>
          <w:tcPr>
            <w:tcW w:w="2518" w:type="dxa"/>
            <w:tcBorders>
              <w:top w:val="nil"/>
              <w:left w:val="single" w:sz="4" w:space="0" w:color="008000"/>
              <w:bottom w:val="single" w:sz="12" w:space="0" w:color="008000"/>
              <w:right w:val="nil"/>
            </w:tcBorders>
            <w:shd w:val="clear" w:color="auto" w:fill="auto"/>
            <w:noWrap/>
            <w:vAlign w:val="bottom"/>
            <w:hideMark/>
          </w:tcPr>
          <w:p w:rsidR="0052271B" w:rsidRPr="00C77A8A" w:rsidRDefault="0052271B" w:rsidP="00C77A8A">
            <w:pPr>
              <w:pStyle w:val="CETBodytextItalic"/>
            </w:pPr>
            <w:r w:rsidRPr="00C77A8A">
              <w:t>Total</w:t>
            </w:r>
          </w:p>
        </w:tc>
        <w:tc>
          <w:tcPr>
            <w:tcW w:w="677" w:type="dxa"/>
            <w:tcBorders>
              <w:top w:val="nil"/>
              <w:left w:val="nil"/>
              <w:bottom w:val="single" w:sz="12" w:space="0" w:color="008000"/>
              <w:right w:val="nil"/>
            </w:tcBorders>
            <w:shd w:val="clear" w:color="auto" w:fill="auto"/>
            <w:noWrap/>
            <w:vAlign w:val="bottom"/>
            <w:hideMark/>
          </w:tcPr>
          <w:p w:rsidR="0052271B" w:rsidRPr="00C77A8A" w:rsidRDefault="0052271B" w:rsidP="00C77A8A">
            <w:pPr>
              <w:pStyle w:val="CETBodytextItalic"/>
            </w:pPr>
            <w:r w:rsidRPr="00C77A8A">
              <w:t>-28</w:t>
            </w:r>
          </w:p>
        </w:tc>
      </w:tr>
    </w:tbl>
    <w:p w:rsidR="00A0615D" w:rsidRDefault="0052271B" w:rsidP="00C83426">
      <w:pPr>
        <w:pStyle w:val="CETBodytext"/>
      </w:pPr>
      <w:r>
        <w:fldChar w:fldCharType="end"/>
      </w:r>
    </w:p>
    <w:p w:rsidR="00C83426" w:rsidRDefault="006E5104" w:rsidP="00C83426">
      <w:pPr>
        <w:pStyle w:val="CETBodytext"/>
      </w:pPr>
      <w:r>
        <w:t xml:space="preserve">The gasifier CapEx was obtained by using a pyrolysis furnace correlation from </w:t>
      </w:r>
      <w:r>
        <w:fldChar w:fldCharType="begin" w:fldLock="1"/>
      </w:r>
      <w:r w:rsidR="00D427E2">
        <w:instrText>ADDIN CSL_CITATION {"citationItems":[{"id":"ITEM-1","itemData":{"ISBN":"0-13-261812-5","author":[{"dropping-particle":"","family":"Turton","given":"Richard","non-dropping-particle":"","parse-names":false,"suffix":""},{"dropping-particle":"","family":"Bailie","given":"Richard C.","non-dropping-particle":"","parse-names":false,"suffix":""},{"dropping-particle":"","family":"Whiting","given":"Wallace B.","non-dropping-particle":"","parse-names":false,"suffix":""},{"dropping-particle":"","family":"Shaeiwitz","given":"Joseph A.","non-dropping-particle":"","parse-names":false,"suffix":""},{"dropping-particle":"","family":"Bhattacharyya","given":"Debangsu","non-dropping-particle":"","parse-names":false,"suffix":""}],"edition":"4th","id":"ITEM-1","issued":{"date-parts":[["2012"]]},"number-of-pages":"1306","publisher":"Pearson Education, Inc","publisher-place":"Upper Saddle River, NJ, USA.","title":"Analysis, Synthesis, and Design of Chemical Processes","type":"book"},"uris":["http://www.mendeley.com/documents/?uuid=ec62ff19-7dbc-496b-abf0-5c22b9df855d"]}],"mendeley":{"formattedCitation":"(Turton &lt;i&gt;et al.&lt;/i&gt;, 2012)","plainTextFormattedCitation":"(Turton et al., 2012)","previouslyFormattedCitation":"(Turton &lt;i&gt;et al.&lt;/i&gt;, 2012)"},"properties":{"noteIndex":0},"schema":"https://github.com/citation-style-language/schema/raw/master/csl-citation.json"}</w:instrText>
      </w:r>
      <w:r>
        <w:fldChar w:fldCharType="separate"/>
      </w:r>
      <w:r w:rsidR="00D427E2" w:rsidRPr="00D427E2">
        <w:rPr>
          <w:noProof/>
        </w:rPr>
        <w:t xml:space="preserve">(Turton </w:t>
      </w:r>
      <w:r w:rsidR="00D427E2" w:rsidRPr="00D427E2">
        <w:rPr>
          <w:i/>
          <w:noProof/>
        </w:rPr>
        <w:t>et al.</w:t>
      </w:r>
      <w:r w:rsidR="00D427E2" w:rsidRPr="00D427E2">
        <w:rPr>
          <w:noProof/>
        </w:rPr>
        <w:t>, 2012)</w:t>
      </w:r>
      <w:r>
        <w:fldChar w:fldCharType="end"/>
      </w:r>
      <w:r>
        <w:t xml:space="preserve">; it compares favorably with the gasifier correlation from the work of </w:t>
      </w:r>
      <w:r>
        <w:fldChar w:fldCharType="begin" w:fldLock="1"/>
      </w:r>
      <w:r>
        <w:instrText>ADDIN CSL_CITATION {"citationItems":[{"id":"ITEM-1","itemData":{"DOI":"10.1016/S0378-7753(02)00220-3","ISSN":"03787753","author":[{"dropping-particle":"","family":"Hamelinck","given":"Carlo N","non-dropping-particle":"","parse-names":false,"suffix":""},{"dropping-particle":"","family":"Faaij","given":"André P.C","non-dropping-particle":"","parse-names":false,"suffix":""}],"container-title":"Journal of Power Sources","id":"ITEM-1","issue":"1","issued":{"date-parts":[["2002","9"]]},"page":"1-22","title":"Future prospects for production of methanol and hydrogen from biomass","type":"article-journal","volume":"111"},"uris":["http://www.mendeley.com/documents/?uuid=35642241-71ce-45e4-843d-0f6b2f159f78"]}],"mendeley":{"formattedCitation":"(Hamelinck and Faaij, 2002)","plainTextFormattedCitation":"(Hamelinck and Faaij, 2002)","previouslyFormattedCitation":"(Hamelinck and Faaij, 2002)"},"properties":{"noteIndex":0},"schema":"https://github.com/citation-style-language/schema/raw/master/csl-citation.json"}</w:instrText>
      </w:r>
      <w:r>
        <w:fldChar w:fldCharType="separate"/>
      </w:r>
      <w:r w:rsidRPr="00705CFF">
        <w:rPr>
          <w:noProof/>
        </w:rPr>
        <w:t>(Hamelinck and Faaij, 2002)</w:t>
      </w:r>
      <w:r>
        <w:fldChar w:fldCharType="end"/>
      </w:r>
      <w:r>
        <w:t xml:space="preserve">, which produces a value of 33 </w:t>
      </w:r>
      <w:r w:rsidRPr="00705CFF">
        <w:t>M€</w:t>
      </w:r>
      <w:r>
        <w:t xml:space="preserve"> (corrected for inflation and rescaled for the current biomass input). </w:t>
      </w:r>
      <w:r w:rsidR="00C83426">
        <w:fldChar w:fldCharType="begin" w:fldLock="1"/>
      </w:r>
      <w:r w:rsidR="00C83426">
        <w:instrText>ADDIN CSL_CITATION {"citationItems":[{"id":"ITEM-1","itemData":{"DOI":"10.1016/S0378-7753(02)00220-3","ISSN":"03787753","author":[{"dropping-particle":"","family":"Hamelinck","given":"Carlo N","non-dropping-particle":"","parse-names":false,"suffix":""},{"dropping-particle":"","family":"Faaij","given":"André P.C","non-dropping-particle":"","parse-names":false,"suffix":""}],"container-title":"Journal of Power Sources","id":"ITEM-1","issue":"1","issued":{"date-parts":[["2002","9"]]},"page":"1-22","title":"Future prospects for production of methanol and hydrogen from biomass","type":"article-journal","volume":"111"},"uris":["http://www.mendeley.com/documents/?uuid=35642241-71ce-45e4-843d-0f6b2f159f78"]}],"mendeley":{"formattedCitation":"(Hamelinck and Faaij, 2002)","plainTextFormattedCitation":"(Hamelinck and Faaij, 2002)","previouslyFormattedCitation":"(Hamelinck and Faaij, 2002)"},"properties":{"noteIndex":0},"schema":"https://github.com/citation-style-language/schema/raw/master/csl-citation.json"}</w:instrText>
      </w:r>
      <w:r w:rsidR="00C83426">
        <w:fldChar w:fldCharType="separate"/>
      </w:r>
      <w:r w:rsidR="00C83426" w:rsidRPr="00705CFF">
        <w:rPr>
          <w:noProof/>
        </w:rPr>
        <w:t>(Hamelinck and Faaij, 2002)</w:t>
      </w:r>
      <w:r w:rsidR="00C83426">
        <w:fldChar w:fldCharType="end"/>
      </w:r>
      <w:r w:rsidR="00C83426">
        <w:t xml:space="preserve"> present other CapEx correlations which are somewhat more conservative (which estimate, e.g., not 15 but 23 </w:t>
      </w:r>
      <w:r w:rsidR="00C83426" w:rsidRPr="00705CFF">
        <w:t>M€</w:t>
      </w:r>
      <w:r w:rsidR="00C83426">
        <w:t xml:space="preserve"> for the ASU), but use economic parameters which result in less conservative OpEx estimates than the evaluation used in this work. As a consequence, the economic assessment used predicts higher methanol production costs.</w:t>
      </w:r>
    </w:p>
    <w:p w:rsidR="00600535" w:rsidRPr="00B57B36" w:rsidRDefault="00600535" w:rsidP="00F3113C">
      <w:pPr>
        <w:pStyle w:val="CETHeading1"/>
      </w:pPr>
      <w:r w:rsidRPr="00B57B36">
        <w:lastRenderedPageBreak/>
        <w:t>Conclusions</w:t>
      </w:r>
    </w:p>
    <w:p w:rsidR="00753D1A" w:rsidRPr="00753D1A" w:rsidRDefault="00753D1A" w:rsidP="00753D1A">
      <w:pPr>
        <w:pStyle w:val="CETBodytext"/>
      </w:pPr>
      <w:r>
        <w:rPr>
          <w:lang w:val="en-GB"/>
        </w:rPr>
        <w:t>T</w:t>
      </w:r>
      <w:r w:rsidR="00111264">
        <w:rPr>
          <w:lang w:val="en-GB"/>
        </w:rPr>
        <w:t xml:space="preserve">his work </w:t>
      </w:r>
      <w:r>
        <w:rPr>
          <w:lang w:val="en-GB"/>
        </w:rPr>
        <w:t xml:space="preserve">presents </w:t>
      </w:r>
      <w:r w:rsidR="002106CD">
        <w:rPr>
          <w:lang w:val="en-GB"/>
        </w:rPr>
        <w:t>an updated t</w:t>
      </w:r>
      <w:r>
        <w:rPr>
          <w:lang w:val="en-GB"/>
        </w:rPr>
        <w:t xml:space="preserve">echno-economic assessment </w:t>
      </w:r>
      <w:r w:rsidR="00111264">
        <w:rPr>
          <w:lang w:val="en-GB"/>
        </w:rPr>
        <w:t xml:space="preserve">of methanol </w:t>
      </w:r>
      <w:r>
        <w:rPr>
          <w:lang w:val="en-GB"/>
        </w:rPr>
        <w:t xml:space="preserve">production. The process </w:t>
      </w:r>
      <w:r w:rsidR="00150DEA">
        <w:rPr>
          <w:lang w:val="en-GB"/>
        </w:rPr>
        <w:t xml:space="preserve">is studied </w:t>
      </w:r>
      <w:r>
        <w:rPr>
          <w:lang w:val="en-GB"/>
        </w:rPr>
        <w:t>through computer simulations by considering an entrained flow gasifier with different second generation biomasses.</w:t>
      </w:r>
    </w:p>
    <w:p w:rsidR="00753D1A" w:rsidRDefault="00150DEA" w:rsidP="00753D1A">
      <w:pPr>
        <w:pStyle w:val="CETBodytext"/>
        <w:rPr>
          <w:lang w:val="en-GB"/>
        </w:rPr>
      </w:pPr>
      <w:r>
        <w:rPr>
          <w:lang w:val="en-GB"/>
        </w:rPr>
        <w:t>A method was proposed to determine biomass composition in terms of its main components (cellu</w:t>
      </w:r>
      <w:r w:rsidR="00753D1A">
        <w:rPr>
          <w:lang w:val="en-GB"/>
        </w:rPr>
        <w:t>lose, hemicellulose and lignin); the method gave good agreement between predicted and measured LHV.</w:t>
      </w:r>
    </w:p>
    <w:p w:rsidR="00150DEA" w:rsidRDefault="00150DEA" w:rsidP="00753D1A">
      <w:pPr>
        <w:pStyle w:val="CETBodytext"/>
        <w:rPr>
          <w:lang w:val="en-GB"/>
        </w:rPr>
      </w:pPr>
      <w:r>
        <w:rPr>
          <w:lang w:val="en-GB"/>
        </w:rPr>
        <w:t>The kinetic model deriving from this biomass characterization</w:t>
      </w:r>
      <w:r w:rsidR="00753D1A">
        <w:rPr>
          <w:lang w:val="en-GB"/>
        </w:rPr>
        <w:t xml:space="preserve"> (composition)</w:t>
      </w:r>
      <w:r>
        <w:rPr>
          <w:lang w:val="en-GB"/>
        </w:rPr>
        <w:t xml:space="preserve"> is not sufficiently accurate to describe biomass gasification; this is due to unrealistically small residence times and the (not modelled) catalytic effect of molten slag.</w:t>
      </w:r>
      <w:r w:rsidR="00753D1A">
        <w:rPr>
          <w:lang w:val="en-GB"/>
        </w:rPr>
        <w:t xml:space="preserve"> Biomass gasification output is efficiently estimated by using chemical equilibrium.</w:t>
      </w:r>
    </w:p>
    <w:p w:rsidR="00303B13" w:rsidRDefault="00753D1A" w:rsidP="00150DEA">
      <w:pPr>
        <w:pStyle w:val="CETBodytext"/>
      </w:pPr>
      <w:r>
        <w:rPr>
          <w:lang w:val="en-GB"/>
        </w:rPr>
        <w:t xml:space="preserve">At </w:t>
      </w:r>
      <w:r w:rsidR="00150DEA">
        <w:t xml:space="preserve">current </w:t>
      </w:r>
      <w:r>
        <w:t xml:space="preserve">methanol </w:t>
      </w:r>
      <w:r w:rsidR="00150DEA">
        <w:t xml:space="preserve">market price </w:t>
      </w:r>
      <w:r>
        <w:t>(</w:t>
      </w:r>
      <w:r w:rsidR="00150DEA" w:rsidRPr="00B111BD">
        <w:t>350 €/t</w:t>
      </w:r>
      <w:r>
        <w:t xml:space="preserve">) </w:t>
      </w:r>
      <w:r w:rsidR="00150DEA">
        <w:t xml:space="preserve">the process </w:t>
      </w:r>
      <w:r>
        <w:t xml:space="preserve">is economically </w:t>
      </w:r>
      <w:r w:rsidR="00150DEA">
        <w:t>unfeasible at the current plant capac</w:t>
      </w:r>
      <w:r>
        <w:t>ity of 100 MW LHV biomass input</w:t>
      </w:r>
      <w:r w:rsidR="003F35CA">
        <w:t>; production costs fluctuate around 37</w:t>
      </w:r>
      <w:r w:rsidR="003F35CA" w:rsidRPr="00B111BD">
        <w:t>0 €/t</w:t>
      </w:r>
      <w:r w:rsidR="003F35CA">
        <w:t xml:space="preserve"> (for the different biomasses).</w:t>
      </w:r>
    </w:p>
    <w:p w:rsidR="00303B13" w:rsidRPr="00B57B36" w:rsidRDefault="00303B13" w:rsidP="00150DEA">
      <w:pPr>
        <w:pStyle w:val="CETBodytext"/>
        <w:rPr>
          <w:lang w:val="en-GB"/>
        </w:rPr>
      </w:pPr>
      <w:r>
        <w:t>Two questions remain open for a future work: (1) determination of the most critical points of the process for improvements with a sensitivity analysis; (2) determination of a reasonable value for green incentives with more accurate cost data.</w:t>
      </w:r>
    </w:p>
    <w:p w:rsidR="00600535" w:rsidRPr="00B57B36" w:rsidRDefault="00600535" w:rsidP="00600535">
      <w:pPr>
        <w:pStyle w:val="CETAcknowledgementstitle"/>
      </w:pPr>
      <w:r w:rsidRPr="00B57B36">
        <w:t>Acknowledgments</w:t>
      </w:r>
    </w:p>
    <w:p w:rsidR="00600535" w:rsidRPr="004D2246" w:rsidRDefault="004D2246" w:rsidP="00600535">
      <w:pPr>
        <w:pStyle w:val="CETBodytext"/>
        <w:rPr>
          <w:lang w:val="en-GB"/>
        </w:rPr>
      </w:pPr>
      <w:r w:rsidRPr="004D2246">
        <w:rPr>
          <w:lang w:val="en-GB"/>
        </w:rPr>
        <w:t xml:space="preserve">The authors would like to acknowledge the financial support from the following institutions: National Council of Scientific and Technological Development (CNPq) of Brazil (grant number 205843/2014-0); </w:t>
      </w:r>
      <w:bookmarkStart w:id="5" w:name="_GoBack"/>
      <w:bookmarkEnd w:id="5"/>
      <w:r w:rsidRPr="004D2246">
        <w:rPr>
          <w:lang w:val="en-GB"/>
        </w:rPr>
        <w:t>CARIPLO foundation.</w:t>
      </w:r>
    </w:p>
    <w:p w:rsidR="00600535" w:rsidRPr="00B57B36" w:rsidRDefault="00600535" w:rsidP="00600535">
      <w:pPr>
        <w:pStyle w:val="CETReference"/>
      </w:pPr>
      <w:r w:rsidRPr="00B57B36">
        <w:t>References</w:t>
      </w:r>
    </w:p>
    <w:p w:rsidR="0026777F" w:rsidRPr="0026777F" w:rsidRDefault="00876252" w:rsidP="0026777F">
      <w:pPr>
        <w:widowControl w:val="0"/>
        <w:autoSpaceDE w:val="0"/>
        <w:autoSpaceDN w:val="0"/>
        <w:adjustRightInd w:val="0"/>
        <w:spacing w:line="240" w:lineRule="auto"/>
        <w:rPr>
          <w:rFonts w:cs="Arial"/>
          <w:noProof/>
          <w:szCs w:val="24"/>
        </w:rPr>
      </w:pPr>
      <w:r>
        <w:fldChar w:fldCharType="begin" w:fldLock="1"/>
      </w:r>
      <w:r w:rsidRPr="00DC02EB">
        <w:rPr>
          <w:lang w:val="en-US"/>
        </w:rPr>
        <w:instrText xml:space="preserve">ADDIN Mendeley Bibliography CSL_BIBLIOGRAPHY </w:instrText>
      </w:r>
      <w:r>
        <w:fldChar w:fldCharType="separate"/>
      </w:r>
      <w:r w:rsidR="0026777F" w:rsidRPr="0026777F">
        <w:rPr>
          <w:rFonts w:cs="Arial"/>
          <w:noProof/>
          <w:szCs w:val="24"/>
        </w:rPr>
        <w:t xml:space="preserve">Amaral, A. F. (2019) </w:t>
      </w:r>
      <w:r w:rsidR="0026777F" w:rsidRPr="0026777F">
        <w:rPr>
          <w:rFonts w:cs="Arial"/>
          <w:i/>
          <w:iCs/>
          <w:noProof/>
          <w:szCs w:val="24"/>
        </w:rPr>
        <w:t>Supplementary Material</w:t>
      </w:r>
      <w:r w:rsidR="0026777F" w:rsidRPr="0026777F">
        <w:rPr>
          <w:rFonts w:cs="Arial"/>
          <w:noProof/>
          <w:szCs w:val="24"/>
        </w:rPr>
        <w:t>. Available at: https://tinyurl.com/ICheaP14-SupMat-AFA (Accessed: 31 January 2019).</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Amaral, A. F., Bozzano, G., Pirola, C., Goryunov, A. G., Chistyakov, A. V. and Manenti, F. (2017) ‘Self-sustainable bio-methanol &amp; bio-char coproduction from 2nd generation biomass gasification’, </w:t>
      </w:r>
      <w:r w:rsidRPr="0026777F">
        <w:rPr>
          <w:rFonts w:cs="Arial"/>
          <w:i/>
          <w:iCs/>
          <w:noProof/>
          <w:szCs w:val="24"/>
        </w:rPr>
        <w:t>Chemical Engineering Transactions</w:t>
      </w:r>
      <w:r w:rsidRPr="0026777F">
        <w:rPr>
          <w:rFonts w:cs="Arial"/>
          <w:noProof/>
          <w:szCs w:val="24"/>
        </w:rPr>
        <w:t>, 57, pp. 1045–1050. doi: 10.3303/CET1757175.</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Amaral, A. F., Santini, A. S., Bozzano, G., Pirola, C. and Manenti, F. (2016) ‘Revamping of the Mantova Chemical District as short-chain lignocellulosic biorefinery’, </w:t>
      </w:r>
      <w:r w:rsidRPr="0026777F">
        <w:rPr>
          <w:rFonts w:cs="Arial"/>
          <w:i/>
          <w:iCs/>
          <w:noProof/>
          <w:szCs w:val="24"/>
        </w:rPr>
        <w:t>Chemical Engineering Transactions</w:t>
      </w:r>
      <w:r w:rsidRPr="0026777F">
        <w:rPr>
          <w:rFonts w:cs="Arial"/>
          <w:noProof/>
          <w:szCs w:val="24"/>
        </w:rPr>
        <w:t>, 50, pp. 43–48. doi: 10.3303/CET1650008.</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Bentsen, N. S. and Felby, C. (2012) ‘Biomass for energy in the European Union - a review of bioenergy resource assessments.’, </w:t>
      </w:r>
      <w:r w:rsidRPr="0026777F">
        <w:rPr>
          <w:rFonts w:cs="Arial"/>
          <w:i/>
          <w:iCs/>
          <w:noProof/>
          <w:szCs w:val="24"/>
        </w:rPr>
        <w:t>Biotechnology for biofuels</w:t>
      </w:r>
      <w:r w:rsidRPr="0026777F">
        <w:rPr>
          <w:rFonts w:cs="Arial"/>
          <w:noProof/>
          <w:szCs w:val="24"/>
        </w:rPr>
        <w:t>, 5(1), p. 25. doi: 10.1186/1754-6834-5-25.</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Cabianca, L., Bassani, A., Amaral, A. F., Rossi, F., Bozzano, G., Ranzi, E., Telen, D., Logist, F., Impe, J. Van and Manenti, F. (2016) ‘GASDS: a Kinetic-Based Package for Biomass and Coal Gasification’, </w:t>
      </w:r>
      <w:r w:rsidRPr="0026777F">
        <w:rPr>
          <w:rFonts w:cs="Arial"/>
          <w:i/>
          <w:iCs/>
          <w:noProof/>
          <w:szCs w:val="24"/>
        </w:rPr>
        <w:t>Chemical Engineering Transactions</w:t>
      </w:r>
      <w:r w:rsidRPr="0026777F">
        <w:rPr>
          <w:rFonts w:cs="Arial"/>
          <w:noProof/>
          <w:szCs w:val="24"/>
        </w:rPr>
        <w:t>, 50(2004), pp. 247–252. doi: 10.3303/CET1650042.</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Dahl, P. J., Christensen, T., Winter-Madsen, S. and King, S. M. (2014) ‘Proven autothermal reforming technology for modern large- scale methanol plants’, in </w:t>
      </w:r>
      <w:r w:rsidRPr="0026777F">
        <w:rPr>
          <w:rFonts w:cs="Arial"/>
          <w:i/>
          <w:iCs/>
          <w:noProof/>
          <w:szCs w:val="24"/>
        </w:rPr>
        <w:t>Nitrogen + Syngas 2014 International Conference &amp; Exhibition</w:t>
      </w:r>
      <w:r w:rsidRPr="0026777F">
        <w:rPr>
          <w:rFonts w:cs="Arial"/>
          <w:noProof/>
          <w:szCs w:val="24"/>
        </w:rPr>
        <w:t>. Paris: CRU.</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Energy Research Centre of the Netherlands (2019) </w:t>
      </w:r>
      <w:r w:rsidRPr="0026777F">
        <w:rPr>
          <w:rFonts w:cs="Arial"/>
          <w:i/>
          <w:iCs/>
          <w:noProof/>
          <w:szCs w:val="24"/>
        </w:rPr>
        <w:t>Phyllis2, database for biomass and waste</w:t>
      </w:r>
      <w:r w:rsidRPr="0026777F">
        <w:rPr>
          <w:rFonts w:cs="Arial"/>
          <w:noProof/>
          <w:szCs w:val="24"/>
        </w:rPr>
        <w:t>. Available at: https://phyllis.nl/ (Accessed: 31 January 2019).</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Goos, E., Burcat, A. and Ruscic, B. (2018) </w:t>
      </w:r>
      <w:r w:rsidRPr="0026777F">
        <w:rPr>
          <w:rFonts w:cs="Arial"/>
          <w:i/>
          <w:iCs/>
          <w:noProof/>
          <w:szCs w:val="24"/>
        </w:rPr>
        <w:t>Extended Third Millenium Ideal Gas Thermochemical Database with updates from Active Thermochemical Tables</w:t>
      </w:r>
      <w:r w:rsidRPr="0026777F">
        <w:rPr>
          <w:rFonts w:cs="Arial"/>
          <w:noProof/>
          <w:szCs w:val="24"/>
        </w:rPr>
        <w:t>. Available at: http://garfield.chem.elte.hu/Burcat/BURCAT.THR.</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Hamelinck, C. N. and Faaij, A. P. . (2002) ‘Future prospects for production of methanol and hydrogen from biomass’, </w:t>
      </w:r>
      <w:r w:rsidRPr="0026777F">
        <w:rPr>
          <w:rFonts w:cs="Arial"/>
          <w:i/>
          <w:iCs/>
          <w:noProof/>
          <w:szCs w:val="24"/>
        </w:rPr>
        <w:t>Journal of Power Sources</w:t>
      </w:r>
      <w:r w:rsidRPr="0026777F">
        <w:rPr>
          <w:rFonts w:cs="Arial"/>
          <w:noProof/>
          <w:szCs w:val="24"/>
        </w:rPr>
        <w:t>, 111(1), pp. 1–22. doi: 10.1016/S0378-7753(02)00220-3.</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IEA-ETSAP and IRENA (2013) </w:t>
      </w:r>
      <w:r w:rsidRPr="0026777F">
        <w:rPr>
          <w:rFonts w:cs="Arial"/>
          <w:i/>
          <w:iCs/>
          <w:noProof/>
          <w:szCs w:val="24"/>
        </w:rPr>
        <w:t>Production of Bio-methanol</w:t>
      </w:r>
      <w:r w:rsidRPr="0026777F">
        <w:rPr>
          <w:rFonts w:cs="Arial"/>
          <w:noProof/>
          <w:szCs w:val="24"/>
        </w:rPr>
        <w:t>. Available at: www.irena.org/DocumentDownloads/Publications/IRENA-ETSAP Tech Brief I08 Production_of_Bio-methanol.pdf (Accessed: 19 April 2017).</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Kunze, C. and Spliethoff, H. (2011) ‘Modelling, comparison and operation experiences of entrained flow gasifier’, </w:t>
      </w:r>
      <w:r w:rsidRPr="0026777F">
        <w:rPr>
          <w:rFonts w:cs="Arial"/>
          <w:i/>
          <w:iCs/>
          <w:noProof/>
          <w:szCs w:val="24"/>
        </w:rPr>
        <w:t>Energy Conversion and Management</w:t>
      </w:r>
      <w:r w:rsidRPr="0026777F">
        <w:rPr>
          <w:rFonts w:cs="Arial"/>
          <w:noProof/>
          <w:szCs w:val="24"/>
        </w:rPr>
        <w:t>. Elsevier Ltd, 52(5), pp. 2135–2141. doi: 10.1016/j.enconman.2010.10.049.</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Methanex (2019) </w:t>
      </w:r>
      <w:r w:rsidRPr="0026777F">
        <w:rPr>
          <w:rFonts w:cs="Arial"/>
          <w:i/>
          <w:iCs/>
          <w:noProof/>
          <w:szCs w:val="24"/>
        </w:rPr>
        <w:t>Methanol Price</w:t>
      </w:r>
      <w:r w:rsidRPr="0026777F">
        <w:rPr>
          <w:rFonts w:cs="Arial"/>
          <w:noProof/>
          <w:szCs w:val="24"/>
        </w:rPr>
        <w:t>. Available at: https://www.methanex.com/our-business/pricing (Accessed: 31 January 2019).</w:t>
      </w:r>
    </w:p>
    <w:p w:rsidR="0026777F" w:rsidRPr="0026777F" w:rsidRDefault="0026777F" w:rsidP="0026777F">
      <w:pPr>
        <w:widowControl w:val="0"/>
        <w:autoSpaceDE w:val="0"/>
        <w:autoSpaceDN w:val="0"/>
        <w:adjustRightInd w:val="0"/>
        <w:spacing w:line="240" w:lineRule="auto"/>
        <w:rPr>
          <w:rFonts w:cs="Arial"/>
          <w:noProof/>
          <w:szCs w:val="24"/>
        </w:rPr>
      </w:pPr>
      <w:r w:rsidRPr="0026777F">
        <w:rPr>
          <w:rFonts w:cs="Arial"/>
          <w:noProof/>
          <w:szCs w:val="24"/>
        </w:rPr>
        <w:t xml:space="preserve">Ranzi, E., Cuoci, A., Faravelli, T., Frassoldati, A., Migliavacca, G., Pierucci, S. and Sommariva, S. (2008) ‘Chemical Kinetics of Biomass Pyrolysis’, </w:t>
      </w:r>
      <w:r w:rsidRPr="0026777F">
        <w:rPr>
          <w:rFonts w:cs="Arial"/>
          <w:i/>
          <w:iCs/>
          <w:noProof/>
          <w:szCs w:val="24"/>
        </w:rPr>
        <w:t>Energy &amp; Fuels</w:t>
      </w:r>
      <w:r w:rsidRPr="0026777F">
        <w:rPr>
          <w:rFonts w:cs="Arial"/>
          <w:noProof/>
          <w:szCs w:val="24"/>
        </w:rPr>
        <w:t>, 22(6), pp. 4292–4300. doi: 10.1021/ef800551t.</w:t>
      </w:r>
    </w:p>
    <w:p w:rsidR="0026777F" w:rsidRPr="0026777F" w:rsidRDefault="0026777F" w:rsidP="0026777F">
      <w:pPr>
        <w:widowControl w:val="0"/>
        <w:autoSpaceDE w:val="0"/>
        <w:autoSpaceDN w:val="0"/>
        <w:adjustRightInd w:val="0"/>
        <w:spacing w:line="240" w:lineRule="auto"/>
        <w:rPr>
          <w:rFonts w:cs="Arial"/>
          <w:noProof/>
        </w:rPr>
      </w:pPr>
      <w:r w:rsidRPr="0026777F">
        <w:rPr>
          <w:rFonts w:cs="Arial"/>
          <w:noProof/>
          <w:szCs w:val="24"/>
        </w:rPr>
        <w:t xml:space="preserve">Turton, R., Bailie, R. C., Whiting, W. B., Shaeiwitz, J. A. and Bhattacharyya, D. (2012) </w:t>
      </w:r>
      <w:r w:rsidRPr="0026777F">
        <w:rPr>
          <w:rFonts w:cs="Arial"/>
          <w:i/>
          <w:iCs/>
          <w:noProof/>
          <w:szCs w:val="24"/>
        </w:rPr>
        <w:t>Analysis, Synthesis, and Design of Chemical Processes</w:t>
      </w:r>
      <w:r w:rsidRPr="0026777F">
        <w:rPr>
          <w:rFonts w:cs="Arial"/>
          <w:noProof/>
          <w:szCs w:val="24"/>
        </w:rPr>
        <w:t>. 4th edn. Upper Saddle River, NJ, USA.: Pearson Education, Inc.</w:t>
      </w:r>
    </w:p>
    <w:p w:rsidR="006B4888" w:rsidRDefault="00876252" w:rsidP="00876252">
      <w:pPr>
        <w:widowControl w:val="0"/>
        <w:autoSpaceDE w:val="0"/>
        <w:autoSpaceDN w:val="0"/>
        <w:adjustRightInd w:val="0"/>
        <w:spacing w:line="240" w:lineRule="auto"/>
        <w:ind w:left="480" w:hanging="480"/>
      </w:pPr>
      <w:r>
        <w:fldChar w:fldCharType="end"/>
      </w:r>
    </w:p>
    <w:sectPr w:rsidR="006B488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B8" w:rsidRDefault="00502DB8" w:rsidP="004F5E36">
      <w:r>
        <w:separator/>
      </w:r>
    </w:p>
  </w:endnote>
  <w:endnote w:type="continuationSeparator" w:id="0">
    <w:p w:rsidR="00502DB8" w:rsidRDefault="00502DB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B8" w:rsidRDefault="00502DB8" w:rsidP="004F5E36">
      <w:r>
        <w:separator/>
      </w:r>
    </w:p>
  </w:footnote>
  <w:footnote w:type="continuationSeparator" w:id="0">
    <w:p w:rsidR="00502DB8" w:rsidRDefault="00502DB8"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5AAB6B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rPr>
        <w:rFonts w:hint="default"/>
        <w:lang w:val="en-GB"/>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5A2A"/>
    <w:rsid w:val="00022ADA"/>
    <w:rsid w:val="000307A0"/>
    <w:rsid w:val="0003148D"/>
    <w:rsid w:val="000369D1"/>
    <w:rsid w:val="00047D7F"/>
    <w:rsid w:val="00051566"/>
    <w:rsid w:val="000517F5"/>
    <w:rsid w:val="00052A0D"/>
    <w:rsid w:val="00060304"/>
    <w:rsid w:val="00062A9A"/>
    <w:rsid w:val="00065058"/>
    <w:rsid w:val="000741BB"/>
    <w:rsid w:val="0007756D"/>
    <w:rsid w:val="000857FC"/>
    <w:rsid w:val="00086915"/>
    <w:rsid w:val="00086C39"/>
    <w:rsid w:val="000A03B2"/>
    <w:rsid w:val="000A3B79"/>
    <w:rsid w:val="000B33B2"/>
    <w:rsid w:val="000B538C"/>
    <w:rsid w:val="000C0C03"/>
    <w:rsid w:val="000D34BE"/>
    <w:rsid w:val="000E102F"/>
    <w:rsid w:val="000E36F1"/>
    <w:rsid w:val="000E3A73"/>
    <w:rsid w:val="000E414A"/>
    <w:rsid w:val="000F093C"/>
    <w:rsid w:val="000F16BD"/>
    <w:rsid w:val="000F60B7"/>
    <w:rsid w:val="000F787B"/>
    <w:rsid w:val="00111264"/>
    <w:rsid w:val="0012091F"/>
    <w:rsid w:val="00126BC2"/>
    <w:rsid w:val="001308B6"/>
    <w:rsid w:val="0013121F"/>
    <w:rsid w:val="0013181E"/>
    <w:rsid w:val="00131FAB"/>
    <w:rsid w:val="00131FE6"/>
    <w:rsid w:val="0013263F"/>
    <w:rsid w:val="00134DE4"/>
    <w:rsid w:val="001353F3"/>
    <w:rsid w:val="00135756"/>
    <w:rsid w:val="0014034D"/>
    <w:rsid w:val="00150DEA"/>
    <w:rsid w:val="00150E59"/>
    <w:rsid w:val="001526CD"/>
    <w:rsid w:val="00152DE3"/>
    <w:rsid w:val="00162642"/>
    <w:rsid w:val="00164CF9"/>
    <w:rsid w:val="00173D62"/>
    <w:rsid w:val="00184AD6"/>
    <w:rsid w:val="001A6DD0"/>
    <w:rsid w:val="001B0349"/>
    <w:rsid w:val="001B65C1"/>
    <w:rsid w:val="001C197A"/>
    <w:rsid w:val="001C684B"/>
    <w:rsid w:val="001D53FC"/>
    <w:rsid w:val="001D6738"/>
    <w:rsid w:val="001E3448"/>
    <w:rsid w:val="001F2423"/>
    <w:rsid w:val="001F42A5"/>
    <w:rsid w:val="001F5D32"/>
    <w:rsid w:val="001F7B9D"/>
    <w:rsid w:val="002106CD"/>
    <w:rsid w:val="002224B4"/>
    <w:rsid w:val="00222742"/>
    <w:rsid w:val="002447EF"/>
    <w:rsid w:val="00251550"/>
    <w:rsid w:val="00252C1A"/>
    <w:rsid w:val="00263B05"/>
    <w:rsid w:val="0026777F"/>
    <w:rsid w:val="0027221A"/>
    <w:rsid w:val="0027429D"/>
    <w:rsid w:val="00275B61"/>
    <w:rsid w:val="002804CC"/>
    <w:rsid w:val="00282656"/>
    <w:rsid w:val="002844DB"/>
    <w:rsid w:val="00296B83"/>
    <w:rsid w:val="002A4352"/>
    <w:rsid w:val="002B72E1"/>
    <w:rsid w:val="002B78CE"/>
    <w:rsid w:val="002C1C1A"/>
    <w:rsid w:val="002C2FB6"/>
    <w:rsid w:val="002D5BCD"/>
    <w:rsid w:val="002E4D33"/>
    <w:rsid w:val="003009B7"/>
    <w:rsid w:val="00300E56"/>
    <w:rsid w:val="0030370F"/>
    <w:rsid w:val="00303B13"/>
    <w:rsid w:val="0030469C"/>
    <w:rsid w:val="00321CA6"/>
    <w:rsid w:val="00334C09"/>
    <w:rsid w:val="003365E3"/>
    <w:rsid w:val="003723D4"/>
    <w:rsid w:val="003742D4"/>
    <w:rsid w:val="0038013C"/>
    <w:rsid w:val="00384CC8"/>
    <w:rsid w:val="003871FD"/>
    <w:rsid w:val="003A1D75"/>
    <w:rsid w:val="003A1E30"/>
    <w:rsid w:val="003A7D1C"/>
    <w:rsid w:val="003B304B"/>
    <w:rsid w:val="003B3146"/>
    <w:rsid w:val="003B60F3"/>
    <w:rsid w:val="003B6876"/>
    <w:rsid w:val="003C5A8B"/>
    <w:rsid w:val="003D2731"/>
    <w:rsid w:val="003D2770"/>
    <w:rsid w:val="003D3CE2"/>
    <w:rsid w:val="003D52E9"/>
    <w:rsid w:val="003E0660"/>
    <w:rsid w:val="003F015E"/>
    <w:rsid w:val="003F35CA"/>
    <w:rsid w:val="003F4247"/>
    <w:rsid w:val="00400414"/>
    <w:rsid w:val="0041446B"/>
    <w:rsid w:val="004227D8"/>
    <w:rsid w:val="00430F7B"/>
    <w:rsid w:val="00433B43"/>
    <w:rsid w:val="0044329C"/>
    <w:rsid w:val="004577FE"/>
    <w:rsid w:val="00457B9C"/>
    <w:rsid w:val="0046164A"/>
    <w:rsid w:val="004628D2"/>
    <w:rsid w:val="00462DCD"/>
    <w:rsid w:val="004648AD"/>
    <w:rsid w:val="004703A9"/>
    <w:rsid w:val="00474F15"/>
    <w:rsid w:val="004760DE"/>
    <w:rsid w:val="0049013C"/>
    <w:rsid w:val="004965A6"/>
    <w:rsid w:val="004A004E"/>
    <w:rsid w:val="004A24CF"/>
    <w:rsid w:val="004B6721"/>
    <w:rsid w:val="004C3D1D"/>
    <w:rsid w:val="004C7913"/>
    <w:rsid w:val="004D2246"/>
    <w:rsid w:val="004D4578"/>
    <w:rsid w:val="004E2FB2"/>
    <w:rsid w:val="004E4DD6"/>
    <w:rsid w:val="004F2A0C"/>
    <w:rsid w:val="004F5E36"/>
    <w:rsid w:val="004F6E84"/>
    <w:rsid w:val="00502DB8"/>
    <w:rsid w:val="005074C1"/>
    <w:rsid w:val="00507B47"/>
    <w:rsid w:val="00507CC9"/>
    <w:rsid w:val="005119A5"/>
    <w:rsid w:val="0052271B"/>
    <w:rsid w:val="005278B7"/>
    <w:rsid w:val="00532016"/>
    <w:rsid w:val="005346C8"/>
    <w:rsid w:val="00543E7D"/>
    <w:rsid w:val="00544231"/>
    <w:rsid w:val="00546B05"/>
    <w:rsid w:val="00547A68"/>
    <w:rsid w:val="00547B74"/>
    <w:rsid w:val="00550774"/>
    <w:rsid w:val="0055241C"/>
    <w:rsid w:val="005531C9"/>
    <w:rsid w:val="00553B0C"/>
    <w:rsid w:val="005908C4"/>
    <w:rsid w:val="00591720"/>
    <w:rsid w:val="00593857"/>
    <w:rsid w:val="005A635F"/>
    <w:rsid w:val="005B2110"/>
    <w:rsid w:val="005B61E6"/>
    <w:rsid w:val="005B63C1"/>
    <w:rsid w:val="005C77E1"/>
    <w:rsid w:val="005D01A4"/>
    <w:rsid w:val="005D6A2F"/>
    <w:rsid w:val="005E1A82"/>
    <w:rsid w:val="005E49F5"/>
    <w:rsid w:val="005E794C"/>
    <w:rsid w:val="005F0A28"/>
    <w:rsid w:val="005F0E5E"/>
    <w:rsid w:val="005F2D18"/>
    <w:rsid w:val="005F626E"/>
    <w:rsid w:val="005F771D"/>
    <w:rsid w:val="00600535"/>
    <w:rsid w:val="00610CD6"/>
    <w:rsid w:val="00620DEE"/>
    <w:rsid w:val="00621F92"/>
    <w:rsid w:val="00625639"/>
    <w:rsid w:val="00631B33"/>
    <w:rsid w:val="00631BB4"/>
    <w:rsid w:val="00641621"/>
    <w:rsid w:val="0064184D"/>
    <w:rsid w:val="006422CC"/>
    <w:rsid w:val="00652AB4"/>
    <w:rsid w:val="006535F3"/>
    <w:rsid w:val="00654D8D"/>
    <w:rsid w:val="0065686A"/>
    <w:rsid w:val="00660E3E"/>
    <w:rsid w:val="00660FD6"/>
    <w:rsid w:val="00662E74"/>
    <w:rsid w:val="00665439"/>
    <w:rsid w:val="00680C23"/>
    <w:rsid w:val="00693766"/>
    <w:rsid w:val="00694ABB"/>
    <w:rsid w:val="006A3281"/>
    <w:rsid w:val="006A6D2C"/>
    <w:rsid w:val="006B225D"/>
    <w:rsid w:val="006B4888"/>
    <w:rsid w:val="006C2E45"/>
    <w:rsid w:val="006C359C"/>
    <w:rsid w:val="006C5579"/>
    <w:rsid w:val="006E5104"/>
    <w:rsid w:val="006E737D"/>
    <w:rsid w:val="007018EC"/>
    <w:rsid w:val="0070195D"/>
    <w:rsid w:val="00705CFF"/>
    <w:rsid w:val="00720A24"/>
    <w:rsid w:val="00732386"/>
    <w:rsid w:val="00736858"/>
    <w:rsid w:val="007447F3"/>
    <w:rsid w:val="00752BD0"/>
    <w:rsid w:val="00753D1A"/>
    <w:rsid w:val="0075499F"/>
    <w:rsid w:val="007644FD"/>
    <w:rsid w:val="007661C8"/>
    <w:rsid w:val="0077098D"/>
    <w:rsid w:val="007931FA"/>
    <w:rsid w:val="007A7BBA"/>
    <w:rsid w:val="007B0C50"/>
    <w:rsid w:val="007C1A43"/>
    <w:rsid w:val="007D2950"/>
    <w:rsid w:val="007E1DC6"/>
    <w:rsid w:val="007F4132"/>
    <w:rsid w:val="00813288"/>
    <w:rsid w:val="008168FC"/>
    <w:rsid w:val="00820274"/>
    <w:rsid w:val="00822DD1"/>
    <w:rsid w:val="00830080"/>
    <w:rsid w:val="00830996"/>
    <w:rsid w:val="008345F1"/>
    <w:rsid w:val="00836FAF"/>
    <w:rsid w:val="0084318B"/>
    <w:rsid w:val="00856289"/>
    <w:rsid w:val="00865B07"/>
    <w:rsid w:val="008667EA"/>
    <w:rsid w:val="0087291E"/>
    <w:rsid w:val="00876252"/>
    <w:rsid w:val="0087637F"/>
    <w:rsid w:val="008904B9"/>
    <w:rsid w:val="00892AD5"/>
    <w:rsid w:val="00893118"/>
    <w:rsid w:val="008A1512"/>
    <w:rsid w:val="008A7543"/>
    <w:rsid w:val="008C78C1"/>
    <w:rsid w:val="008D193D"/>
    <w:rsid w:val="008D1D97"/>
    <w:rsid w:val="008D32B9"/>
    <w:rsid w:val="008D433B"/>
    <w:rsid w:val="008E46F1"/>
    <w:rsid w:val="008E566E"/>
    <w:rsid w:val="0090161A"/>
    <w:rsid w:val="00901EB6"/>
    <w:rsid w:val="00904C62"/>
    <w:rsid w:val="00924DAC"/>
    <w:rsid w:val="00927058"/>
    <w:rsid w:val="00944694"/>
    <w:rsid w:val="009450CE"/>
    <w:rsid w:val="00947179"/>
    <w:rsid w:val="0095164B"/>
    <w:rsid w:val="00954090"/>
    <w:rsid w:val="009573E7"/>
    <w:rsid w:val="009635B9"/>
    <w:rsid w:val="00963E05"/>
    <w:rsid w:val="00967D54"/>
    <w:rsid w:val="00975A04"/>
    <w:rsid w:val="009767D0"/>
    <w:rsid w:val="00986EF5"/>
    <w:rsid w:val="00996483"/>
    <w:rsid w:val="00996F5A"/>
    <w:rsid w:val="009A0A3E"/>
    <w:rsid w:val="009B041A"/>
    <w:rsid w:val="009C7C86"/>
    <w:rsid w:val="009D2FF7"/>
    <w:rsid w:val="009D302C"/>
    <w:rsid w:val="009E00AC"/>
    <w:rsid w:val="009E7884"/>
    <w:rsid w:val="009E788A"/>
    <w:rsid w:val="009F0E08"/>
    <w:rsid w:val="00A012E1"/>
    <w:rsid w:val="00A0615D"/>
    <w:rsid w:val="00A1763D"/>
    <w:rsid w:val="00A17CEC"/>
    <w:rsid w:val="00A17EBB"/>
    <w:rsid w:val="00A27EF0"/>
    <w:rsid w:val="00A50B20"/>
    <w:rsid w:val="00A51390"/>
    <w:rsid w:val="00A60D13"/>
    <w:rsid w:val="00A71AC3"/>
    <w:rsid w:val="00A7253A"/>
    <w:rsid w:val="00A72745"/>
    <w:rsid w:val="00A76EFC"/>
    <w:rsid w:val="00A86C4F"/>
    <w:rsid w:val="00A87226"/>
    <w:rsid w:val="00A91010"/>
    <w:rsid w:val="00A93E95"/>
    <w:rsid w:val="00A97F29"/>
    <w:rsid w:val="00AA0F38"/>
    <w:rsid w:val="00AA1F96"/>
    <w:rsid w:val="00AA36DB"/>
    <w:rsid w:val="00AA702E"/>
    <w:rsid w:val="00AB0964"/>
    <w:rsid w:val="00AB5011"/>
    <w:rsid w:val="00AC5889"/>
    <w:rsid w:val="00AC7368"/>
    <w:rsid w:val="00AD07D3"/>
    <w:rsid w:val="00AD16B9"/>
    <w:rsid w:val="00AE377D"/>
    <w:rsid w:val="00AF5369"/>
    <w:rsid w:val="00B111BD"/>
    <w:rsid w:val="00B17FBD"/>
    <w:rsid w:val="00B27849"/>
    <w:rsid w:val="00B315A6"/>
    <w:rsid w:val="00B31813"/>
    <w:rsid w:val="00B33365"/>
    <w:rsid w:val="00B57B36"/>
    <w:rsid w:val="00B7063F"/>
    <w:rsid w:val="00B8686D"/>
    <w:rsid w:val="00BA2F34"/>
    <w:rsid w:val="00BA7495"/>
    <w:rsid w:val="00BC2002"/>
    <w:rsid w:val="00BC30C9"/>
    <w:rsid w:val="00BD12E9"/>
    <w:rsid w:val="00BE3E58"/>
    <w:rsid w:val="00C01616"/>
    <w:rsid w:val="00C0162B"/>
    <w:rsid w:val="00C05755"/>
    <w:rsid w:val="00C32688"/>
    <w:rsid w:val="00C345B1"/>
    <w:rsid w:val="00C40142"/>
    <w:rsid w:val="00C42EE4"/>
    <w:rsid w:val="00C57182"/>
    <w:rsid w:val="00C57863"/>
    <w:rsid w:val="00C655FD"/>
    <w:rsid w:val="00C70217"/>
    <w:rsid w:val="00C70B6B"/>
    <w:rsid w:val="00C77A8A"/>
    <w:rsid w:val="00C83426"/>
    <w:rsid w:val="00C870A8"/>
    <w:rsid w:val="00C94434"/>
    <w:rsid w:val="00C9725A"/>
    <w:rsid w:val="00CA0D75"/>
    <w:rsid w:val="00CA1C95"/>
    <w:rsid w:val="00CA5603"/>
    <w:rsid w:val="00CA5A9C"/>
    <w:rsid w:val="00CB0276"/>
    <w:rsid w:val="00CC1C88"/>
    <w:rsid w:val="00CD3517"/>
    <w:rsid w:val="00CD5A00"/>
    <w:rsid w:val="00CD5FE2"/>
    <w:rsid w:val="00CE44F9"/>
    <w:rsid w:val="00CE7C68"/>
    <w:rsid w:val="00D02B4C"/>
    <w:rsid w:val="00D040C4"/>
    <w:rsid w:val="00D427E2"/>
    <w:rsid w:val="00D4635C"/>
    <w:rsid w:val="00D57C84"/>
    <w:rsid w:val="00D6057D"/>
    <w:rsid w:val="00D61012"/>
    <w:rsid w:val="00D7760B"/>
    <w:rsid w:val="00D84576"/>
    <w:rsid w:val="00D86F08"/>
    <w:rsid w:val="00D8792B"/>
    <w:rsid w:val="00D94F8D"/>
    <w:rsid w:val="00D952C3"/>
    <w:rsid w:val="00DA1399"/>
    <w:rsid w:val="00DA24C6"/>
    <w:rsid w:val="00DA4D7B"/>
    <w:rsid w:val="00DC02EB"/>
    <w:rsid w:val="00DD0DF8"/>
    <w:rsid w:val="00DE264A"/>
    <w:rsid w:val="00DF4AC6"/>
    <w:rsid w:val="00E02D18"/>
    <w:rsid w:val="00E041E7"/>
    <w:rsid w:val="00E174C7"/>
    <w:rsid w:val="00E22AA4"/>
    <w:rsid w:val="00E23CA1"/>
    <w:rsid w:val="00E23E81"/>
    <w:rsid w:val="00E26995"/>
    <w:rsid w:val="00E3535A"/>
    <w:rsid w:val="00E409A8"/>
    <w:rsid w:val="00E50C12"/>
    <w:rsid w:val="00E56C07"/>
    <w:rsid w:val="00E65B91"/>
    <w:rsid w:val="00E7209D"/>
    <w:rsid w:val="00E73B29"/>
    <w:rsid w:val="00E77223"/>
    <w:rsid w:val="00E8528B"/>
    <w:rsid w:val="00E85B94"/>
    <w:rsid w:val="00E8642A"/>
    <w:rsid w:val="00E978D0"/>
    <w:rsid w:val="00EA22F5"/>
    <w:rsid w:val="00EA3FCD"/>
    <w:rsid w:val="00EA4613"/>
    <w:rsid w:val="00EA7F91"/>
    <w:rsid w:val="00EB1523"/>
    <w:rsid w:val="00EB1589"/>
    <w:rsid w:val="00EC0E49"/>
    <w:rsid w:val="00EE0131"/>
    <w:rsid w:val="00EE6907"/>
    <w:rsid w:val="00EF30D2"/>
    <w:rsid w:val="00F05387"/>
    <w:rsid w:val="00F13905"/>
    <w:rsid w:val="00F155B2"/>
    <w:rsid w:val="00F25553"/>
    <w:rsid w:val="00F302F6"/>
    <w:rsid w:val="00F30C64"/>
    <w:rsid w:val="00F3113C"/>
    <w:rsid w:val="00F32CDB"/>
    <w:rsid w:val="00F36398"/>
    <w:rsid w:val="00F3645B"/>
    <w:rsid w:val="00F63A70"/>
    <w:rsid w:val="00F6765D"/>
    <w:rsid w:val="00F822E1"/>
    <w:rsid w:val="00F925C7"/>
    <w:rsid w:val="00F97CE8"/>
    <w:rsid w:val="00FA21D0"/>
    <w:rsid w:val="00FA316F"/>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8516"/>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4227D8"/>
    <w:pPr>
      <w:ind w:left="720"/>
      <w:contextualSpacing/>
    </w:pPr>
  </w:style>
  <w:style w:type="paragraph" w:customStyle="1" w:styleId="CET-table-title">
    <w:name w:val="CET-table-title"/>
    <w:rsid w:val="001D6738"/>
    <w:pPr>
      <w:keepNext/>
      <w:spacing w:before="240" w:after="80" w:line="240" w:lineRule="exact"/>
    </w:pPr>
    <w:rPr>
      <w:rFonts w:ascii="Arial" w:eastAsia="Times New Roman" w:hAnsi="Arial" w:cs="Times New Roman"/>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798">
      <w:bodyDiv w:val="1"/>
      <w:marLeft w:val="0"/>
      <w:marRight w:val="0"/>
      <w:marTop w:val="0"/>
      <w:marBottom w:val="0"/>
      <w:divBdr>
        <w:top w:val="none" w:sz="0" w:space="0" w:color="auto"/>
        <w:left w:val="none" w:sz="0" w:space="0" w:color="auto"/>
        <w:bottom w:val="none" w:sz="0" w:space="0" w:color="auto"/>
        <w:right w:val="none" w:sz="0" w:space="0" w:color="auto"/>
      </w:divBdr>
    </w:div>
    <w:div w:id="18356595">
      <w:bodyDiv w:val="1"/>
      <w:marLeft w:val="0"/>
      <w:marRight w:val="0"/>
      <w:marTop w:val="0"/>
      <w:marBottom w:val="0"/>
      <w:divBdr>
        <w:top w:val="none" w:sz="0" w:space="0" w:color="auto"/>
        <w:left w:val="none" w:sz="0" w:space="0" w:color="auto"/>
        <w:bottom w:val="none" w:sz="0" w:space="0" w:color="auto"/>
        <w:right w:val="none" w:sz="0" w:space="0" w:color="auto"/>
      </w:divBdr>
    </w:div>
    <w:div w:id="47535010">
      <w:bodyDiv w:val="1"/>
      <w:marLeft w:val="0"/>
      <w:marRight w:val="0"/>
      <w:marTop w:val="0"/>
      <w:marBottom w:val="0"/>
      <w:divBdr>
        <w:top w:val="none" w:sz="0" w:space="0" w:color="auto"/>
        <w:left w:val="none" w:sz="0" w:space="0" w:color="auto"/>
        <w:bottom w:val="none" w:sz="0" w:space="0" w:color="auto"/>
        <w:right w:val="none" w:sz="0" w:space="0" w:color="auto"/>
      </w:divBdr>
    </w:div>
    <w:div w:id="110823093">
      <w:bodyDiv w:val="1"/>
      <w:marLeft w:val="0"/>
      <w:marRight w:val="0"/>
      <w:marTop w:val="0"/>
      <w:marBottom w:val="0"/>
      <w:divBdr>
        <w:top w:val="none" w:sz="0" w:space="0" w:color="auto"/>
        <w:left w:val="none" w:sz="0" w:space="0" w:color="auto"/>
        <w:bottom w:val="none" w:sz="0" w:space="0" w:color="auto"/>
        <w:right w:val="none" w:sz="0" w:space="0" w:color="auto"/>
      </w:divBdr>
    </w:div>
    <w:div w:id="128205654">
      <w:bodyDiv w:val="1"/>
      <w:marLeft w:val="0"/>
      <w:marRight w:val="0"/>
      <w:marTop w:val="0"/>
      <w:marBottom w:val="0"/>
      <w:divBdr>
        <w:top w:val="none" w:sz="0" w:space="0" w:color="auto"/>
        <w:left w:val="none" w:sz="0" w:space="0" w:color="auto"/>
        <w:bottom w:val="none" w:sz="0" w:space="0" w:color="auto"/>
        <w:right w:val="none" w:sz="0" w:space="0" w:color="auto"/>
      </w:divBdr>
    </w:div>
    <w:div w:id="143591789">
      <w:bodyDiv w:val="1"/>
      <w:marLeft w:val="0"/>
      <w:marRight w:val="0"/>
      <w:marTop w:val="0"/>
      <w:marBottom w:val="0"/>
      <w:divBdr>
        <w:top w:val="none" w:sz="0" w:space="0" w:color="auto"/>
        <w:left w:val="none" w:sz="0" w:space="0" w:color="auto"/>
        <w:bottom w:val="none" w:sz="0" w:space="0" w:color="auto"/>
        <w:right w:val="none" w:sz="0" w:space="0" w:color="auto"/>
      </w:divBdr>
    </w:div>
    <w:div w:id="197477610">
      <w:bodyDiv w:val="1"/>
      <w:marLeft w:val="0"/>
      <w:marRight w:val="0"/>
      <w:marTop w:val="0"/>
      <w:marBottom w:val="0"/>
      <w:divBdr>
        <w:top w:val="none" w:sz="0" w:space="0" w:color="auto"/>
        <w:left w:val="none" w:sz="0" w:space="0" w:color="auto"/>
        <w:bottom w:val="none" w:sz="0" w:space="0" w:color="auto"/>
        <w:right w:val="none" w:sz="0" w:space="0" w:color="auto"/>
      </w:divBdr>
    </w:div>
    <w:div w:id="226455915">
      <w:bodyDiv w:val="1"/>
      <w:marLeft w:val="0"/>
      <w:marRight w:val="0"/>
      <w:marTop w:val="0"/>
      <w:marBottom w:val="0"/>
      <w:divBdr>
        <w:top w:val="none" w:sz="0" w:space="0" w:color="auto"/>
        <w:left w:val="none" w:sz="0" w:space="0" w:color="auto"/>
        <w:bottom w:val="none" w:sz="0" w:space="0" w:color="auto"/>
        <w:right w:val="none" w:sz="0" w:space="0" w:color="auto"/>
      </w:divBdr>
    </w:div>
    <w:div w:id="233052365">
      <w:bodyDiv w:val="1"/>
      <w:marLeft w:val="0"/>
      <w:marRight w:val="0"/>
      <w:marTop w:val="0"/>
      <w:marBottom w:val="0"/>
      <w:divBdr>
        <w:top w:val="none" w:sz="0" w:space="0" w:color="auto"/>
        <w:left w:val="none" w:sz="0" w:space="0" w:color="auto"/>
        <w:bottom w:val="none" w:sz="0" w:space="0" w:color="auto"/>
        <w:right w:val="none" w:sz="0" w:space="0" w:color="auto"/>
      </w:divBdr>
    </w:div>
    <w:div w:id="286551833">
      <w:bodyDiv w:val="1"/>
      <w:marLeft w:val="0"/>
      <w:marRight w:val="0"/>
      <w:marTop w:val="0"/>
      <w:marBottom w:val="0"/>
      <w:divBdr>
        <w:top w:val="none" w:sz="0" w:space="0" w:color="auto"/>
        <w:left w:val="none" w:sz="0" w:space="0" w:color="auto"/>
        <w:bottom w:val="none" w:sz="0" w:space="0" w:color="auto"/>
        <w:right w:val="none" w:sz="0" w:space="0" w:color="auto"/>
      </w:divBdr>
    </w:div>
    <w:div w:id="294868281">
      <w:bodyDiv w:val="1"/>
      <w:marLeft w:val="0"/>
      <w:marRight w:val="0"/>
      <w:marTop w:val="0"/>
      <w:marBottom w:val="0"/>
      <w:divBdr>
        <w:top w:val="none" w:sz="0" w:space="0" w:color="auto"/>
        <w:left w:val="none" w:sz="0" w:space="0" w:color="auto"/>
        <w:bottom w:val="none" w:sz="0" w:space="0" w:color="auto"/>
        <w:right w:val="none" w:sz="0" w:space="0" w:color="auto"/>
      </w:divBdr>
    </w:div>
    <w:div w:id="310136769">
      <w:bodyDiv w:val="1"/>
      <w:marLeft w:val="0"/>
      <w:marRight w:val="0"/>
      <w:marTop w:val="0"/>
      <w:marBottom w:val="0"/>
      <w:divBdr>
        <w:top w:val="none" w:sz="0" w:space="0" w:color="auto"/>
        <w:left w:val="none" w:sz="0" w:space="0" w:color="auto"/>
        <w:bottom w:val="none" w:sz="0" w:space="0" w:color="auto"/>
        <w:right w:val="none" w:sz="0" w:space="0" w:color="auto"/>
      </w:divBdr>
    </w:div>
    <w:div w:id="313608940">
      <w:bodyDiv w:val="1"/>
      <w:marLeft w:val="0"/>
      <w:marRight w:val="0"/>
      <w:marTop w:val="0"/>
      <w:marBottom w:val="0"/>
      <w:divBdr>
        <w:top w:val="none" w:sz="0" w:space="0" w:color="auto"/>
        <w:left w:val="none" w:sz="0" w:space="0" w:color="auto"/>
        <w:bottom w:val="none" w:sz="0" w:space="0" w:color="auto"/>
        <w:right w:val="none" w:sz="0" w:space="0" w:color="auto"/>
      </w:divBdr>
    </w:div>
    <w:div w:id="524056962">
      <w:bodyDiv w:val="1"/>
      <w:marLeft w:val="0"/>
      <w:marRight w:val="0"/>
      <w:marTop w:val="0"/>
      <w:marBottom w:val="0"/>
      <w:divBdr>
        <w:top w:val="none" w:sz="0" w:space="0" w:color="auto"/>
        <w:left w:val="none" w:sz="0" w:space="0" w:color="auto"/>
        <w:bottom w:val="none" w:sz="0" w:space="0" w:color="auto"/>
        <w:right w:val="none" w:sz="0" w:space="0" w:color="auto"/>
      </w:divBdr>
    </w:div>
    <w:div w:id="529950865">
      <w:bodyDiv w:val="1"/>
      <w:marLeft w:val="0"/>
      <w:marRight w:val="0"/>
      <w:marTop w:val="0"/>
      <w:marBottom w:val="0"/>
      <w:divBdr>
        <w:top w:val="none" w:sz="0" w:space="0" w:color="auto"/>
        <w:left w:val="none" w:sz="0" w:space="0" w:color="auto"/>
        <w:bottom w:val="none" w:sz="0" w:space="0" w:color="auto"/>
        <w:right w:val="none" w:sz="0" w:space="0" w:color="auto"/>
      </w:divBdr>
    </w:div>
    <w:div w:id="565384607">
      <w:bodyDiv w:val="1"/>
      <w:marLeft w:val="0"/>
      <w:marRight w:val="0"/>
      <w:marTop w:val="0"/>
      <w:marBottom w:val="0"/>
      <w:divBdr>
        <w:top w:val="none" w:sz="0" w:space="0" w:color="auto"/>
        <w:left w:val="none" w:sz="0" w:space="0" w:color="auto"/>
        <w:bottom w:val="none" w:sz="0" w:space="0" w:color="auto"/>
        <w:right w:val="none" w:sz="0" w:space="0" w:color="auto"/>
      </w:divBdr>
    </w:div>
    <w:div w:id="578052590">
      <w:bodyDiv w:val="1"/>
      <w:marLeft w:val="0"/>
      <w:marRight w:val="0"/>
      <w:marTop w:val="0"/>
      <w:marBottom w:val="0"/>
      <w:divBdr>
        <w:top w:val="none" w:sz="0" w:space="0" w:color="auto"/>
        <w:left w:val="none" w:sz="0" w:space="0" w:color="auto"/>
        <w:bottom w:val="none" w:sz="0" w:space="0" w:color="auto"/>
        <w:right w:val="none" w:sz="0" w:space="0" w:color="auto"/>
      </w:divBdr>
    </w:div>
    <w:div w:id="579144108">
      <w:bodyDiv w:val="1"/>
      <w:marLeft w:val="0"/>
      <w:marRight w:val="0"/>
      <w:marTop w:val="0"/>
      <w:marBottom w:val="0"/>
      <w:divBdr>
        <w:top w:val="none" w:sz="0" w:space="0" w:color="auto"/>
        <w:left w:val="none" w:sz="0" w:space="0" w:color="auto"/>
        <w:bottom w:val="none" w:sz="0" w:space="0" w:color="auto"/>
        <w:right w:val="none" w:sz="0" w:space="0" w:color="auto"/>
      </w:divBdr>
    </w:div>
    <w:div w:id="7204023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551017">
      <w:bodyDiv w:val="1"/>
      <w:marLeft w:val="0"/>
      <w:marRight w:val="0"/>
      <w:marTop w:val="0"/>
      <w:marBottom w:val="0"/>
      <w:divBdr>
        <w:top w:val="none" w:sz="0" w:space="0" w:color="auto"/>
        <w:left w:val="none" w:sz="0" w:space="0" w:color="auto"/>
        <w:bottom w:val="none" w:sz="0" w:space="0" w:color="auto"/>
        <w:right w:val="none" w:sz="0" w:space="0" w:color="auto"/>
      </w:divBdr>
    </w:div>
    <w:div w:id="88298572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0316">
      <w:bodyDiv w:val="1"/>
      <w:marLeft w:val="0"/>
      <w:marRight w:val="0"/>
      <w:marTop w:val="0"/>
      <w:marBottom w:val="0"/>
      <w:divBdr>
        <w:top w:val="none" w:sz="0" w:space="0" w:color="auto"/>
        <w:left w:val="none" w:sz="0" w:space="0" w:color="auto"/>
        <w:bottom w:val="none" w:sz="0" w:space="0" w:color="auto"/>
        <w:right w:val="none" w:sz="0" w:space="0" w:color="auto"/>
      </w:divBdr>
    </w:div>
    <w:div w:id="1010838283">
      <w:bodyDiv w:val="1"/>
      <w:marLeft w:val="0"/>
      <w:marRight w:val="0"/>
      <w:marTop w:val="0"/>
      <w:marBottom w:val="0"/>
      <w:divBdr>
        <w:top w:val="none" w:sz="0" w:space="0" w:color="auto"/>
        <w:left w:val="none" w:sz="0" w:space="0" w:color="auto"/>
        <w:bottom w:val="none" w:sz="0" w:space="0" w:color="auto"/>
        <w:right w:val="none" w:sz="0" w:space="0" w:color="auto"/>
      </w:divBdr>
    </w:div>
    <w:div w:id="1201091271">
      <w:bodyDiv w:val="1"/>
      <w:marLeft w:val="0"/>
      <w:marRight w:val="0"/>
      <w:marTop w:val="0"/>
      <w:marBottom w:val="0"/>
      <w:divBdr>
        <w:top w:val="none" w:sz="0" w:space="0" w:color="auto"/>
        <w:left w:val="none" w:sz="0" w:space="0" w:color="auto"/>
        <w:bottom w:val="none" w:sz="0" w:space="0" w:color="auto"/>
        <w:right w:val="none" w:sz="0" w:space="0" w:color="auto"/>
      </w:divBdr>
    </w:div>
    <w:div w:id="1292327197">
      <w:bodyDiv w:val="1"/>
      <w:marLeft w:val="0"/>
      <w:marRight w:val="0"/>
      <w:marTop w:val="0"/>
      <w:marBottom w:val="0"/>
      <w:divBdr>
        <w:top w:val="none" w:sz="0" w:space="0" w:color="auto"/>
        <w:left w:val="none" w:sz="0" w:space="0" w:color="auto"/>
        <w:bottom w:val="none" w:sz="0" w:space="0" w:color="auto"/>
        <w:right w:val="none" w:sz="0" w:space="0" w:color="auto"/>
      </w:divBdr>
    </w:div>
    <w:div w:id="1304769040">
      <w:bodyDiv w:val="1"/>
      <w:marLeft w:val="0"/>
      <w:marRight w:val="0"/>
      <w:marTop w:val="0"/>
      <w:marBottom w:val="0"/>
      <w:divBdr>
        <w:top w:val="none" w:sz="0" w:space="0" w:color="auto"/>
        <w:left w:val="none" w:sz="0" w:space="0" w:color="auto"/>
        <w:bottom w:val="none" w:sz="0" w:space="0" w:color="auto"/>
        <w:right w:val="none" w:sz="0" w:space="0" w:color="auto"/>
      </w:divBdr>
    </w:div>
    <w:div w:id="1339969223">
      <w:bodyDiv w:val="1"/>
      <w:marLeft w:val="0"/>
      <w:marRight w:val="0"/>
      <w:marTop w:val="0"/>
      <w:marBottom w:val="0"/>
      <w:divBdr>
        <w:top w:val="none" w:sz="0" w:space="0" w:color="auto"/>
        <w:left w:val="none" w:sz="0" w:space="0" w:color="auto"/>
        <w:bottom w:val="none" w:sz="0" w:space="0" w:color="auto"/>
        <w:right w:val="none" w:sz="0" w:space="0" w:color="auto"/>
      </w:divBdr>
    </w:div>
    <w:div w:id="1360551154">
      <w:bodyDiv w:val="1"/>
      <w:marLeft w:val="0"/>
      <w:marRight w:val="0"/>
      <w:marTop w:val="0"/>
      <w:marBottom w:val="0"/>
      <w:divBdr>
        <w:top w:val="none" w:sz="0" w:space="0" w:color="auto"/>
        <w:left w:val="none" w:sz="0" w:space="0" w:color="auto"/>
        <w:bottom w:val="none" w:sz="0" w:space="0" w:color="auto"/>
        <w:right w:val="none" w:sz="0" w:space="0" w:color="auto"/>
      </w:divBdr>
    </w:div>
    <w:div w:id="1368332507">
      <w:bodyDiv w:val="1"/>
      <w:marLeft w:val="0"/>
      <w:marRight w:val="0"/>
      <w:marTop w:val="0"/>
      <w:marBottom w:val="0"/>
      <w:divBdr>
        <w:top w:val="none" w:sz="0" w:space="0" w:color="auto"/>
        <w:left w:val="none" w:sz="0" w:space="0" w:color="auto"/>
        <w:bottom w:val="none" w:sz="0" w:space="0" w:color="auto"/>
        <w:right w:val="none" w:sz="0" w:space="0" w:color="auto"/>
      </w:divBdr>
      <w:divsChild>
        <w:div w:id="1039666122">
          <w:marLeft w:val="0"/>
          <w:marRight w:val="0"/>
          <w:marTop w:val="0"/>
          <w:marBottom w:val="0"/>
          <w:divBdr>
            <w:top w:val="none" w:sz="0" w:space="0" w:color="auto"/>
            <w:left w:val="none" w:sz="0" w:space="0" w:color="auto"/>
            <w:bottom w:val="none" w:sz="0" w:space="0" w:color="auto"/>
            <w:right w:val="none" w:sz="0" w:space="0" w:color="auto"/>
          </w:divBdr>
        </w:div>
      </w:divsChild>
    </w:div>
    <w:div w:id="1426223868">
      <w:bodyDiv w:val="1"/>
      <w:marLeft w:val="0"/>
      <w:marRight w:val="0"/>
      <w:marTop w:val="0"/>
      <w:marBottom w:val="0"/>
      <w:divBdr>
        <w:top w:val="none" w:sz="0" w:space="0" w:color="auto"/>
        <w:left w:val="none" w:sz="0" w:space="0" w:color="auto"/>
        <w:bottom w:val="none" w:sz="0" w:space="0" w:color="auto"/>
        <w:right w:val="none" w:sz="0" w:space="0" w:color="auto"/>
      </w:divBdr>
    </w:div>
    <w:div w:id="1557012481">
      <w:bodyDiv w:val="1"/>
      <w:marLeft w:val="0"/>
      <w:marRight w:val="0"/>
      <w:marTop w:val="0"/>
      <w:marBottom w:val="0"/>
      <w:divBdr>
        <w:top w:val="none" w:sz="0" w:space="0" w:color="auto"/>
        <w:left w:val="none" w:sz="0" w:space="0" w:color="auto"/>
        <w:bottom w:val="none" w:sz="0" w:space="0" w:color="auto"/>
        <w:right w:val="none" w:sz="0" w:space="0" w:color="auto"/>
      </w:divBdr>
    </w:div>
    <w:div w:id="1663196073">
      <w:bodyDiv w:val="1"/>
      <w:marLeft w:val="0"/>
      <w:marRight w:val="0"/>
      <w:marTop w:val="0"/>
      <w:marBottom w:val="0"/>
      <w:divBdr>
        <w:top w:val="none" w:sz="0" w:space="0" w:color="auto"/>
        <w:left w:val="none" w:sz="0" w:space="0" w:color="auto"/>
        <w:bottom w:val="none" w:sz="0" w:space="0" w:color="auto"/>
        <w:right w:val="none" w:sz="0" w:space="0" w:color="auto"/>
      </w:divBdr>
    </w:div>
    <w:div w:id="1671904369">
      <w:bodyDiv w:val="1"/>
      <w:marLeft w:val="0"/>
      <w:marRight w:val="0"/>
      <w:marTop w:val="0"/>
      <w:marBottom w:val="0"/>
      <w:divBdr>
        <w:top w:val="none" w:sz="0" w:space="0" w:color="auto"/>
        <w:left w:val="none" w:sz="0" w:space="0" w:color="auto"/>
        <w:bottom w:val="none" w:sz="0" w:space="0" w:color="auto"/>
        <w:right w:val="none" w:sz="0" w:space="0" w:color="auto"/>
      </w:divBdr>
    </w:div>
    <w:div w:id="16796920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70508">
      <w:bodyDiv w:val="1"/>
      <w:marLeft w:val="0"/>
      <w:marRight w:val="0"/>
      <w:marTop w:val="0"/>
      <w:marBottom w:val="0"/>
      <w:divBdr>
        <w:top w:val="none" w:sz="0" w:space="0" w:color="auto"/>
        <w:left w:val="none" w:sz="0" w:space="0" w:color="auto"/>
        <w:bottom w:val="none" w:sz="0" w:space="0" w:color="auto"/>
        <w:right w:val="none" w:sz="0" w:space="0" w:color="auto"/>
      </w:divBdr>
    </w:div>
    <w:div w:id="1785536640">
      <w:bodyDiv w:val="1"/>
      <w:marLeft w:val="0"/>
      <w:marRight w:val="0"/>
      <w:marTop w:val="0"/>
      <w:marBottom w:val="0"/>
      <w:divBdr>
        <w:top w:val="none" w:sz="0" w:space="0" w:color="auto"/>
        <w:left w:val="none" w:sz="0" w:space="0" w:color="auto"/>
        <w:bottom w:val="none" w:sz="0" w:space="0" w:color="auto"/>
        <w:right w:val="none" w:sz="0" w:space="0" w:color="auto"/>
      </w:divBdr>
    </w:div>
    <w:div w:id="1834837032">
      <w:bodyDiv w:val="1"/>
      <w:marLeft w:val="0"/>
      <w:marRight w:val="0"/>
      <w:marTop w:val="0"/>
      <w:marBottom w:val="0"/>
      <w:divBdr>
        <w:top w:val="none" w:sz="0" w:space="0" w:color="auto"/>
        <w:left w:val="none" w:sz="0" w:space="0" w:color="auto"/>
        <w:bottom w:val="none" w:sz="0" w:space="0" w:color="auto"/>
        <w:right w:val="none" w:sz="0" w:space="0" w:color="auto"/>
      </w:divBdr>
    </w:div>
    <w:div w:id="1918513507">
      <w:bodyDiv w:val="1"/>
      <w:marLeft w:val="0"/>
      <w:marRight w:val="0"/>
      <w:marTop w:val="0"/>
      <w:marBottom w:val="0"/>
      <w:divBdr>
        <w:top w:val="none" w:sz="0" w:space="0" w:color="auto"/>
        <w:left w:val="none" w:sz="0" w:space="0" w:color="auto"/>
        <w:bottom w:val="none" w:sz="0" w:space="0" w:color="auto"/>
        <w:right w:val="none" w:sz="0" w:space="0" w:color="auto"/>
      </w:divBdr>
    </w:div>
    <w:div w:id="1931811392">
      <w:bodyDiv w:val="1"/>
      <w:marLeft w:val="0"/>
      <w:marRight w:val="0"/>
      <w:marTop w:val="0"/>
      <w:marBottom w:val="0"/>
      <w:divBdr>
        <w:top w:val="none" w:sz="0" w:space="0" w:color="auto"/>
        <w:left w:val="none" w:sz="0" w:space="0" w:color="auto"/>
        <w:bottom w:val="none" w:sz="0" w:space="0" w:color="auto"/>
        <w:right w:val="none" w:sz="0" w:space="0" w:color="auto"/>
      </w:divBdr>
    </w:div>
    <w:div w:id="2050108090">
      <w:bodyDiv w:val="1"/>
      <w:marLeft w:val="0"/>
      <w:marRight w:val="0"/>
      <w:marTop w:val="0"/>
      <w:marBottom w:val="0"/>
      <w:divBdr>
        <w:top w:val="none" w:sz="0" w:space="0" w:color="auto"/>
        <w:left w:val="none" w:sz="0" w:space="0" w:color="auto"/>
        <w:bottom w:val="none" w:sz="0" w:space="0" w:color="auto"/>
        <w:right w:val="none" w:sz="0" w:space="0" w:color="auto"/>
      </w:divBdr>
    </w:div>
    <w:div w:id="206937593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F9013-850E-49B3-9281-C54E0A93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6</Pages>
  <Words>7002</Words>
  <Characters>39913</Characters>
  <Application>Microsoft Office Word</Application>
  <DocSecurity>0</DocSecurity>
  <Lines>332</Lines>
  <Paragraphs>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 Furtado Amaral</cp:lastModifiedBy>
  <cp:revision>97</cp:revision>
  <cp:lastPrinted>2015-05-12T18:31:00Z</cp:lastPrinted>
  <dcterms:created xsi:type="dcterms:W3CDTF">2018-09-26T07:07:00Z</dcterms:created>
  <dcterms:modified xsi:type="dcterms:W3CDTF">2019-04-11T20:05:00Z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6a1d6fd3-a6d4-3b46-a555-188e35086495</vt:lpwstr>
  </property>
  <property fmtid="{D5CDD505-2E9C-101B-9397-08002B2CF9AE}" pid="6" name="Mendeley Citation Style_1">
    <vt:lpwstr>http://www.zotero.org/styles/harvard-cite-them-right</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16th edition (author-date)</vt:lpwstr>
  </property>
  <property fmtid="{D5CDD505-2E9C-101B-9397-08002B2CF9AE}" pid="17" name="Mendeley Recent Style Id 5_1">
    <vt:lpwstr>http://www.zotero.org/styles/energy</vt:lpwstr>
  </property>
  <property fmtid="{D5CDD505-2E9C-101B-9397-08002B2CF9AE}" pid="18" name="Mendeley Recent Style Name 5_1">
    <vt:lpwstr>Energy</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(author-date)</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http://csl.mendeley.com/styles/458720881/ieee</vt:lpwstr>
  </property>
  <property fmtid="{D5CDD505-2E9C-101B-9397-08002B2CF9AE}" pid="24" name="Mendeley Recent Style Name 8_1">
    <vt:lpwstr>IEEE - Andre Amaral</vt:lpwstr>
  </property>
  <property fmtid="{D5CDD505-2E9C-101B-9397-08002B2CF9AE}" pid="25" name="Mendeley Recent Style Id 9_1">
    <vt:lpwstr>http://www.zotero.org/styles/journal-of-cleaner-production</vt:lpwstr>
  </property>
  <property fmtid="{D5CDD505-2E9C-101B-9397-08002B2CF9AE}" pid="26" name="Mendeley Recent Style Name 9_1">
    <vt:lpwstr>Journal of Cleaner Production</vt:lpwstr>
  </property>
</Properties>
</file>