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87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46"/>
        <w:gridCol w:w="1843"/>
      </w:tblGrid>
      <w:tr w:rsidR="00586CBF" w:rsidTr="00586CBF">
        <w:trPr>
          <w:trHeight w:val="752"/>
          <w:jc w:val="center"/>
        </w:trPr>
        <w:tc>
          <w:tcPr>
            <w:tcW w:w="6946" w:type="dxa"/>
            <w:vMerge w:val="restart"/>
            <w:tcBorders>
              <w:top w:val="nil"/>
              <w:left w:val="nil"/>
              <w:bottom w:val="nil"/>
              <w:right w:val="single" w:sz="4" w:space="0" w:color="000000"/>
            </w:tcBorders>
            <w:shd w:val="clear" w:color="auto" w:fill="auto"/>
            <w:tcMar>
              <w:top w:w="80" w:type="dxa"/>
              <w:left w:w="80" w:type="dxa"/>
              <w:bottom w:w="80" w:type="dxa"/>
              <w:right w:w="80" w:type="dxa"/>
            </w:tcMar>
          </w:tcPr>
          <w:p w:rsidR="00586CBF" w:rsidRDefault="00586CBF" w:rsidP="00586CBF">
            <w:pPr>
              <w:rPr>
                <w:b/>
                <w:bCs/>
                <w:i/>
                <w:iCs/>
                <w:color w:val="000066"/>
                <w:sz w:val="12"/>
                <w:szCs w:val="12"/>
                <w:u w:color="000066"/>
              </w:rPr>
            </w:pPr>
            <w:bookmarkStart w:id="0" w:name="_GoBack"/>
            <w:bookmarkEnd w:id="0"/>
            <w:r>
              <w:rPr>
                <w:noProof/>
                <w:color w:val="241F20"/>
                <w:u w:color="241F20"/>
              </w:rPr>
              <w:drawing>
                <wp:inline distT="0" distB="0" distL="0" distR="0">
                  <wp:extent cx="640080" cy="373380"/>
                  <wp:effectExtent l="0" t="0" r="0" b="0"/>
                  <wp:docPr id="1073741825" name="officeArt object" descr="cetlogo"/>
                  <wp:cNvGraphicFramePr/>
                  <a:graphic xmlns:a="http://schemas.openxmlformats.org/drawingml/2006/main">
                    <a:graphicData uri="http://schemas.openxmlformats.org/drawingml/2006/picture">
                      <pic:pic xmlns:pic="http://schemas.openxmlformats.org/drawingml/2006/picture">
                        <pic:nvPicPr>
                          <pic:cNvPr id="1073741825" name="image1.jpeg" descr="cetlogo"/>
                          <pic:cNvPicPr>
                            <a:picLocks noChangeAspect="1"/>
                          </pic:cNvPicPr>
                        </pic:nvPicPr>
                        <pic:blipFill>
                          <a:blip r:embed="rId9">
                            <a:extLst/>
                          </a:blip>
                          <a:stretch>
                            <a:fillRect/>
                          </a:stretch>
                        </pic:blipFill>
                        <pic:spPr>
                          <a:xfrm>
                            <a:off x="0" y="0"/>
                            <a:ext cx="640080" cy="373380"/>
                          </a:xfrm>
                          <a:prstGeom prst="rect">
                            <a:avLst/>
                          </a:prstGeom>
                          <a:ln w="12700" cap="flat">
                            <a:noFill/>
                            <a:miter lim="400000"/>
                          </a:ln>
                          <a:effectLst/>
                        </pic:spPr>
                      </pic:pic>
                    </a:graphicData>
                  </a:graphic>
                </wp:inline>
              </w:drawing>
            </w:r>
            <w:r>
              <w:rPr>
                <w:b/>
                <w:bCs/>
                <w:i/>
                <w:iCs/>
                <w:color w:val="000066"/>
                <w:sz w:val="24"/>
                <w:szCs w:val="24"/>
                <w:u w:color="000066"/>
              </w:rPr>
              <w:t>CHEMICAL ENGINEERING</w:t>
            </w:r>
            <w:r>
              <w:rPr>
                <w:b/>
                <w:bCs/>
                <w:i/>
                <w:iCs/>
                <w:color w:val="666666"/>
                <w:sz w:val="24"/>
                <w:szCs w:val="24"/>
                <w:u w:color="666666"/>
              </w:rPr>
              <w:t>TRANSACTIONS</w:t>
            </w:r>
            <w:r>
              <w:rPr>
                <w:rFonts w:ascii="Arial Unicode MS" w:hAnsi="Arial Unicode MS"/>
                <w:color w:val="000066"/>
                <w:sz w:val="27"/>
                <w:szCs w:val="27"/>
                <w:u w:color="000066"/>
              </w:rPr>
              <w:br/>
            </w:r>
          </w:p>
          <w:p w:rsidR="00586CBF" w:rsidRDefault="00586CBF" w:rsidP="00586CBF">
            <w:r>
              <w:rPr>
                <w:b/>
                <w:bCs/>
                <w:i/>
                <w:iCs/>
                <w:color w:val="000066"/>
                <w:sz w:val="22"/>
                <w:szCs w:val="22"/>
                <w:u w:color="000066"/>
              </w:rPr>
              <w:t>VOL. 76, 2019</w:t>
            </w:r>
          </w:p>
        </w:tc>
        <w:tc>
          <w:tcPr>
            <w:tcW w:w="184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586CBF" w:rsidRDefault="00586CBF" w:rsidP="00586CBF">
            <w:pPr>
              <w:spacing w:line="140" w:lineRule="atLeast"/>
              <w:jc w:val="right"/>
              <w:rPr>
                <w:sz w:val="14"/>
                <w:szCs w:val="14"/>
              </w:rPr>
            </w:pPr>
            <w:r>
              <w:rPr>
                <w:sz w:val="14"/>
                <w:szCs w:val="14"/>
              </w:rPr>
              <w:t>A publication of</w:t>
            </w:r>
          </w:p>
          <w:p w:rsidR="00586CBF" w:rsidRDefault="00586CBF" w:rsidP="00586CBF">
            <w:pPr>
              <w:jc w:val="right"/>
            </w:pPr>
            <w:r>
              <w:rPr>
                <w:noProof/>
              </w:rPr>
              <w:drawing>
                <wp:inline distT="0" distB="0" distL="0" distR="0">
                  <wp:extent cx="670560" cy="358142"/>
                  <wp:effectExtent l="0" t="0" r="0" b="0"/>
                  <wp:docPr id="1073741826" name="officeArt object" descr="aidiclogo_grande"/>
                  <wp:cNvGraphicFramePr/>
                  <a:graphic xmlns:a="http://schemas.openxmlformats.org/drawingml/2006/main">
                    <a:graphicData uri="http://schemas.openxmlformats.org/drawingml/2006/picture">
                      <pic:pic xmlns:pic="http://schemas.openxmlformats.org/drawingml/2006/picture">
                        <pic:nvPicPr>
                          <pic:cNvPr id="1073741826" name="image2.jpeg" descr="aidiclogo_grande"/>
                          <pic:cNvPicPr>
                            <a:picLocks noChangeAspect="1"/>
                          </pic:cNvPicPr>
                        </pic:nvPicPr>
                        <pic:blipFill>
                          <a:blip r:embed="rId10">
                            <a:extLst/>
                          </a:blip>
                          <a:stretch>
                            <a:fillRect/>
                          </a:stretch>
                        </pic:blipFill>
                        <pic:spPr>
                          <a:xfrm>
                            <a:off x="0" y="0"/>
                            <a:ext cx="670560" cy="358142"/>
                          </a:xfrm>
                          <a:prstGeom prst="rect">
                            <a:avLst/>
                          </a:prstGeom>
                          <a:ln w="12700" cap="flat">
                            <a:noFill/>
                            <a:miter lim="400000"/>
                          </a:ln>
                          <a:effectLst/>
                        </pic:spPr>
                      </pic:pic>
                    </a:graphicData>
                  </a:graphic>
                </wp:inline>
              </w:drawing>
            </w:r>
          </w:p>
        </w:tc>
      </w:tr>
      <w:tr w:rsidR="00586CBF" w:rsidRPr="001A5C5D" w:rsidTr="00586CBF">
        <w:trPr>
          <w:trHeight w:val="565"/>
          <w:jc w:val="center"/>
        </w:trPr>
        <w:tc>
          <w:tcPr>
            <w:tcW w:w="6946" w:type="dxa"/>
            <w:vMerge/>
            <w:tcBorders>
              <w:top w:val="nil"/>
              <w:left w:val="nil"/>
              <w:bottom w:val="nil"/>
              <w:right w:val="single" w:sz="4" w:space="0" w:color="000000"/>
            </w:tcBorders>
            <w:shd w:val="clear" w:color="auto" w:fill="auto"/>
          </w:tcPr>
          <w:p w:rsidR="00586CBF" w:rsidRDefault="00586CBF" w:rsidP="00586CBF"/>
        </w:tc>
        <w:tc>
          <w:tcPr>
            <w:tcW w:w="184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586CBF" w:rsidRPr="00586CBF" w:rsidRDefault="00586CBF" w:rsidP="00586CBF">
            <w:pPr>
              <w:spacing w:line="140" w:lineRule="atLeast"/>
              <w:jc w:val="right"/>
              <w:rPr>
                <w:sz w:val="14"/>
                <w:szCs w:val="14"/>
                <w:lang w:val="en-US"/>
              </w:rPr>
            </w:pPr>
            <w:r w:rsidRPr="00586CBF">
              <w:rPr>
                <w:sz w:val="14"/>
                <w:szCs w:val="14"/>
                <w:lang w:val="en-US"/>
              </w:rPr>
              <w:t>The Italian Association</w:t>
            </w:r>
          </w:p>
          <w:p w:rsidR="00586CBF" w:rsidRPr="00586CBF" w:rsidRDefault="00586CBF" w:rsidP="00586CBF">
            <w:pPr>
              <w:spacing w:line="140" w:lineRule="atLeast"/>
              <w:jc w:val="right"/>
              <w:rPr>
                <w:sz w:val="14"/>
                <w:szCs w:val="14"/>
                <w:lang w:val="en-US"/>
              </w:rPr>
            </w:pPr>
            <w:r w:rsidRPr="00586CBF">
              <w:rPr>
                <w:sz w:val="14"/>
                <w:szCs w:val="14"/>
                <w:lang w:val="en-US"/>
              </w:rPr>
              <w:t>of Chemical Engineering</w:t>
            </w:r>
          </w:p>
          <w:p w:rsidR="00586CBF" w:rsidRPr="00586CBF" w:rsidRDefault="00586CBF" w:rsidP="00586CBF">
            <w:pPr>
              <w:spacing w:line="140" w:lineRule="atLeast"/>
              <w:jc w:val="right"/>
              <w:rPr>
                <w:lang w:val="en-US"/>
              </w:rPr>
            </w:pPr>
            <w:r w:rsidRPr="00586CBF">
              <w:rPr>
                <w:sz w:val="14"/>
                <w:szCs w:val="14"/>
                <w:lang w:val="en-US"/>
              </w:rPr>
              <w:t>Online at www.cetjournal.it</w:t>
            </w:r>
          </w:p>
        </w:tc>
      </w:tr>
      <w:tr w:rsidR="00586CBF" w:rsidRPr="001A5C5D" w:rsidTr="00586CBF">
        <w:trPr>
          <w:trHeight w:val="531"/>
          <w:jc w:val="center"/>
        </w:trPr>
        <w:tc>
          <w:tcPr>
            <w:tcW w:w="8789" w:type="dxa"/>
            <w:gridSpan w:val="2"/>
            <w:tcBorders>
              <w:top w:val="nil"/>
              <w:left w:val="nil"/>
              <w:bottom w:val="single" w:sz="4" w:space="0" w:color="000000"/>
              <w:right w:val="nil"/>
            </w:tcBorders>
            <w:shd w:val="clear" w:color="auto" w:fill="auto"/>
            <w:tcMar>
              <w:top w:w="80" w:type="dxa"/>
              <w:left w:w="80" w:type="dxa"/>
              <w:bottom w:w="80" w:type="dxa"/>
              <w:right w:w="80" w:type="dxa"/>
            </w:tcMar>
          </w:tcPr>
          <w:p w:rsidR="00586CBF" w:rsidRPr="00645031" w:rsidRDefault="00586CBF" w:rsidP="00586CBF">
            <w:r>
              <w:rPr>
                <w:rFonts w:ascii="Tahoma" w:hAnsi="Tahoma"/>
                <w:color w:val="333333"/>
                <w:sz w:val="14"/>
                <w:szCs w:val="14"/>
                <w:u w:color="333333"/>
              </w:rPr>
              <w:t>Guest Editors:</w:t>
            </w:r>
            <w:r>
              <w:rPr>
                <w:rFonts w:ascii="Tahoma" w:hAnsi="Tahoma"/>
                <w:sz w:val="14"/>
                <w:szCs w:val="14"/>
              </w:rPr>
              <w:t>Sauro Pierucci,</w:t>
            </w:r>
            <w:r>
              <w:rPr>
                <w:rFonts w:ascii="Tahoma" w:hAnsi="Tahoma"/>
                <w:sz w:val="14"/>
                <w:szCs w:val="14"/>
                <w:shd w:val="clear" w:color="auto" w:fill="FFFFFF"/>
              </w:rPr>
              <w:t>Jiří Jaromír Klemeš, Laura Piazza</w:t>
            </w:r>
          </w:p>
          <w:p w:rsidR="00586CBF" w:rsidRPr="00586CBF" w:rsidRDefault="00586CBF" w:rsidP="00586CBF">
            <w:pPr>
              <w:spacing w:line="140" w:lineRule="atLeast"/>
              <w:rPr>
                <w:lang w:val="en-US"/>
              </w:rPr>
            </w:pPr>
            <w:r w:rsidRPr="00586CBF">
              <w:rPr>
                <w:rFonts w:ascii="Tahoma" w:hAnsi="Tahoma"/>
                <w:color w:val="333333"/>
                <w:sz w:val="14"/>
                <w:szCs w:val="14"/>
                <w:u w:color="333333"/>
                <w:lang w:val="en-US"/>
              </w:rPr>
              <w:t>Copyright © 2019, AIDIC Servizi S.r.l.</w:t>
            </w:r>
            <w:r w:rsidRPr="00586CBF">
              <w:rPr>
                <w:rFonts w:ascii="Arial Unicode MS" w:hAnsi="Arial Unicode MS"/>
                <w:color w:val="333333"/>
                <w:sz w:val="14"/>
                <w:szCs w:val="14"/>
                <w:u w:color="333333"/>
                <w:lang w:val="en-US"/>
              </w:rPr>
              <w:br/>
            </w:r>
            <w:r w:rsidRPr="00586CBF">
              <w:rPr>
                <w:rFonts w:ascii="Tahoma" w:hAnsi="Tahoma"/>
                <w:b/>
                <w:bCs/>
                <w:sz w:val="14"/>
                <w:szCs w:val="14"/>
                <w:lang w:val="en-US"/>
              </w:rPr>
              <w:t>ISBN</w:t>
            </w:r>
            <w:r w:rsidRPr="00586CBF">
              <w:rPr>
                <w:rFonts w:ascii="Tahoma" w:hAnsi="Tahoma"/>
                <w:sz w:val="14"/>
                <w:szCs w:val="14"/>
                <w:lang w:val="en-US"/>
              </w:rPr>
              <w:t>978-88-95608-73-0</w:t>
            </w:r>
            <w:r w:rsidRPr="00586CBF">
              <w:rPr>
                <w:rFonts w:ascii="Tahoma" w:hAnsi="Tahoma"/>
                <w:color w:val="333333"/>
                <w:sz w:val="14"/>
                <w:szCs w:val="14"/>
                <w:u w:color="333333"/>
                <w:lang w:val="en-US"/>
              </w:rPr>
              <w:t>;</w:t>
            </w:r>
            <w:r w:rsidRPr="00586CBF">
              <w:rPr>
                <w:rFonts w:ascii="Tahoma" w:hAnsi="Tahoma"/>
                <w:b/>
                <w:bCs/>
                <w:color w:val="333333"/>
                <w:sz w:val="14"/>
                <w:szCs w:val="14"/>
                <w:u w:color="333333"/>
                <w:lang w:val="en-US"/>
              </w:rPr>
              <w:t>ISSN</w:t>
            </w:r>
            <w:r w:rsidRPr="00586CBF">
              <w:rPr>
                <w:rFonts w:ascii="Tahoma" w:hAnsi="Tahoma"/>
                <w:color w:val="333333"/>
                <w:sz w:val="14"/>
                <w:szCs w:val="14"/>
                <w:u w:color="333333"/>
                <w:lang w:val="en-US"/>
              </w:rPr>
              <w:t xml:space="preserve"> 2283-9216</w:t>
            </w:r>
          </w:p>
        </w:tc>
      </w:tr>
    </w:tbl>
    <w:p w:rsidR="00305612" w:rsidRPr="00604040" w:rsidRDefault="00305612" w:rsidP="00604040">
      <w:pPr>
        <w:pStyle w:val="CETTitle"/>
        <w:pBdr>
          <w:top w:val="none" w:sz="0" w:space="0" w:color="auto"/>
          <w:left w:val="none" w:sz="0" w:space="0" w:color="auto"/>
          <w:bottom w:val="none" w:sz="0" w:space="0" w:color="auto"/>
          <w:right w:val="none" w:sz="0" w:space="0" w:color="auto"/>
          <w:between w:val="none" w:sz="0" w:space="0" w:color="auto"/>
          <w:bar w:val="none" w:sz="0" w:color="auto"/>
        </w:pBdr>
        <w:tabs>
          <w:tab w:val="clear" w:pos="7100"/>
        </w:tabs>
        <w:rPr>
          <w:rFonts w:eastAsia="Times New Roman" w:cs="Times New Roman"/>
          <w:color w:val="auto"/>
          <w:szCs w:val="20"/>
          <w:bdr w:val="none" w:sz="0" w:space="0" w:color="auto"/>
          <w:lang w:val="en-GB" w:eastAsia="en-US"/>
        </w:rPr>
      </w:pPr>
      <w:r w:rsidRPr="00305612">
        <w:rPr>
          <w:rFonts w:eastAsia="Times New Roman" w:cs="Times New Roman"/>
          <w:color w:val="auto"/>
          <w:szCs w:val="20"/>
          <w:bdr w:val="none" w:sz="0" w:space="0" w:color="auto"/>
          <w:lang w:val="en-GB" w:eastAsia="en-US"/>
        </w:rPr>
        <w:t>Scenedesmus almeriensis solutions dewatering by using PVDF membrane</w:t>
      </w:r>
    </w:p>
    <w:p w:rsidR="00305612" w:rsidRPr="00305612" w:rsidRDefault="00305612" w:rsidP="00305612">
      <w:pPr>
        <w:jc w:val="center"/>
        <w:rPr>
          <w:rFonts w:ascii="Arial" w:hAnsi="Arial" w:cs="Arial"/>
          <w:sz w:val="24"/>
          <w:szCs w:val="24"/>
        </w:rPr>
      </w:pPr>
      <w:r w:rsidRPr="00305612">
        <w:rPr>
          <w:rFonts w:ascii="Arial" w:hAnsi="Arial" w:cs="Arial"/>
          <w:sz w:val="24"/>
          <w:szCs w:val="24"/>
        </w:rPr>
        <w:t>Tiziana Marino</w:t>
      </w:r>
      <w:r w:rsidRPr="00305612">
        <w:rPr>
          <w:rFonts w:ascii="Arial" w:hAnsi="Arial" w:cs="Arial"/>
          <w:sz w:val="24"/>
          <w:szCs w:val="24"/>
          <w:vertAlign w:val="superscript"/>
        </w:rPr>
        <w:t>a</w:t>
      </w:r>
      <w:r w:rsidR="00AE3E8D">
        <w:rPr>
          <w:rFonts w:ascii="Arial" w:hAnsi="Arial" w:cs="Arial"/>
          <w:sz w:val="24"/>
          <w:szCs w:val="24"/>
          <w:vertAlign w:val="superscript"/>
        </w:rPr>
        <w:t>,b</w:t>
      </w:r>
      <w:r w:rsidRPr="00305612">
        <w:rPr>
          <w:rFonts w:ascii="Arial" w:hAnsi="Arial" w:cs="Arial"/>
          <w:sz w:val="24"/>
          <w:szCs w:val="24"/>
        </w:rPr>
        <w:t>, Alberto Figoli</w:t>
      </w:r>
      <w:r w:rsidRPr="00305612">
        <w:rPr>
          <w:rFonts w:ascii="Arial" w:hAnsi="Arial" w:cs="Arial"/>
          <w:sz w:val="24"/>
          <w:szCs w:val="24"/>
          <w:vertAlign w:val="superscript"/>
        </w:rPr>
        <w:t>a</w:t>
      </w:r>
      <w:r w:rsidRPr="00305612">
        <w:rPr>
          <w:rFonts w:ascii="Arial" w:hAnsi="Arial" w:cs="Arial"/>
          <w:sz w:val="24"/>
          <w:szCs w:val="24"/>
        </w:rPr>
        <w:t>, Elena Chianese</w:t>
      </w:r>
      <w:r w:rsidR="00AE3E8D">
        <w:rPr>
          <w:rFonts w:ascii="Arial" w:hAnsi="Arial" w:cs="Arial"/>
          <w:sz w:val="24"/>
          <w:szCs w:val="24"/>
          <w:vertAlign w:val="superscript"/>
        </w:rPr>
        <w:t>c</w:t>
      </w:r>
      <w:r w:rsidRPr="00305612">
        <w:rPr>
          <w:rFonts w:ascii="Arial" w:hAnsi="Arial" w:cs="Arial"/>
          <w:sz w:val="24"/>
          <w:szCs w:val="24"/>
        </w:rPr>
        <w:t>, Juri Rimauro</w:t>
      </w:r>
      <w:r w:rsidR="00AE3E8D">
        <w:rPr>
          <w:rFonts w:ascii="Arial" w:hAnsi="Arial" w:cs="Arial"/>
          <w:sz w:val="24"/>
          <w:szCs w:val="24"/>
          <w:vertAlign w:val="superscript"/>
        </w:rPr>
        <w:t>d</w:t>
      </w:r>
      <w:r w:rsidRPr="00305612">
        <w:rPr>
          <w:rFonts w:ascii="Arial" w:hAnsi="Arial" w:cs="Arial"/>
          <w:sz w:val="24"/>
          <w:szCs w:val="24"/>
        </w:rPr>
        <w:t>, Sanjeet Mehariya</w:t>
      </w:r>
      <w:r w:rsidR="00AE3E8D">
        <w:rPr>
          <w:rFonts w:ascii="Arial" w:hAnsi="Arial" w:cs="Arial"/>
          <w:sz w:val="24"/>
          <w:szCs w:val="24"/>
          <w:vertAlign w:val="superscript"/>
        </w:rPr>
        <w:t>b,d</w:t>
      </w:r>
      <w:r w:rsidRPr="00305612">
        <w:rPr>
          <w:rFonts w:ascii="Arial" w:hAnsi="Arial" w:cs="Arial"/>
          <w:sz w:val="24"/>
          <w:szCs w:val="24"/>
        </w:rPr>
        <w:t>, Dino Musmarra</w:t>
      </w:r>
      <w:r w:rsidR="00AE3E8D">
        <w:rPr>
          <w:rFonts w:ascii="Arial" w:hAnsi="Arial" w:cs="Arial"/>
          <w:sz w:val="24"/>
          <w:szCs w:val="24"/>
          <w:vertAlign w:val="superscript"/>
        </w:rPr>
        <w:t>b</w:t>
      </w:r>
      <w:r w:rsidRPr="00305612">
        <w:rPr>
          <w:rFonts w:ascii="Arial" w:hAnsi="Arial" w:cs="Arial"/>
          <w:sz w:val="24"/>
          <w:szCs w:val="24"/>
        </w:rPr>
        <w:t>, Antonio Molino</w:t>
      </w:r>
      <w:r w:rsidR="00AE3E8D">
        <w:rPr>
          <w:rFonts w:ascii="Arial" w:hAnsi="Arial" w:cs="Arial"/>
          <w:sz w:val="24"/>
          <w:szCs w:val="24"/>
          <w:vertAlign w:val="superscript"/>
        </w:rPr>
        <w:t>(d</w:t>
      </w:r>
      <w:r w:rsidRPr="00305612">
        <w:rPr>
          <w:rFonts w:ascii="Arial" w:hAnsi="Arial" w:cs="Arial"/>
          <w:sz w:val="24"/>
          <w:szCs w:val="24"/>
          <w:vertAlign w:val="superscript"/>
        </w:rPr>
        <w:t>,*)</w:t>
      </w:r>
    </w:p>
    <w:p w:rsidR="00305612" w:rsidRDefault="00305612" w:rsidP="00305612">
      <w:pPr>
        <w:rPr>
          <w:rFonts w:ascii="Arial" w:hAnsi="Arial" w:cs="Arial"/>
          <w:sz w:val="16"/>
          <w:szCs w:val="16"/>
          <w:vertAlign w:val="superscript"/>
          <w:lang w:val="en-US"/>
        </w:rPr>
      </w:pPr>
      <w:r w:rsidRPr="00305612">
        <w:rPr>
          <w:rFonts w:ascii="Arial" w:eastAsia="Times New Roman" w:hAnsi="Arial" w:cs="Arial"/>
          <w:i/>
          <w:sz w:val="16"/>
          <w:szCs w:val="16"/>
          <w:vertAlign w:val="superscript"/>
          <w:lang w:val="en-US" w:eastAsia="cs-CZ"/>
        </w:rPr>
        <w:t>a</w:t>
      </w:r>
      <w:r w:rsidRPr="00305612">
        <w:rPr>
          <w:rFonts w:ascii="Arial" w:eastAsia="Times New Roman" w:hAnsi="Arial" w:cs="Arial"/>
          <w:i/>
          <w:sz w:val="16"/>
          <w:szCs w:val="16"/>
          <w:lang w:val="en-GB" w:eastAsia="cs-CZ"/>
        </w:rPr>
        <w:t>Institute on Membrane Technology, National Research Council (ITM-CNR) Via Pietro Bucci, Cubo 17C, 87036 Rende (CS), Italy</w:t>
      </w:r>
      <w:r w:rsidRPr="00305612">
        <w:rPr>
          <w:rFonts w:ascii="Arial" w:hAnsi="Arial" w:cs="Arial"/>
          <w:sz w:val="16"/>
          <w:szCs w:val="16"/>
          <w:vertAlign w:val="superscript"/>
          <w:lang w:val="en-US"/>
        </w:rPr>
        <w:t xml:space="preserve"> </w:t>
      </w:r>
    </w:p>
    <w:p w:rsidR="00AE3E8D" w:rsidRPr="00305612" w:rsidRDefault="00AE3E8D" w:rsidP="00AE3E8D">
      <w:pPr>
        <w:pStyle w:val="Nessunaspaziatura"/>
        <w:spacing w:before="0" w:after="120"/>
        <w:jc w:val="both"/>
        <w:rPr>
          <w:rFonts w:cs="Arial"/>
          <w:sz w:val="16"/>
          <w:szCs w:val="16"/>
          <w:lang w:val="en-GB"/>
        </w:rPr>
      </w:pPr>
      <w:r>
        <w:rPr>
          <w:rFonts w:cs="Arial"/>
          <w:sz w:val="16"/>
          <w:szCs w:val="16"/>
          <w:vertAlign w:val="superscript"/>
        </w:rPr>
        <w:t>b</w:t>
      </w:r>
      <w:r w:rsidRPr="00305612">
        <w:rPr>
          <w:rFonts w:cs="Arial"/>
          <w:sz w:val="16"/>
          <w:szCs w:val="16"/>
          <w:lang w:val="en-GB"/>
        </w:rPr>
        <w:t>Department of Engineering, University of Campania “Luigi Vanvitelli”, Via Roma, 29 - 81031 Aversa, Italy</w:t>
      </w:r>
    </w:p>
    <w:p w:rsidR="00305612" w:rsidRPr="00305612" w:rsidRDefault="00AE3E8D" w:rsidP="00305612">
      <w:pPr>
        <w:rPr>
          <w:rFonts w:ascii="Arial" w:eastAsia="Times New Roman" w:hAnsi="Arial" w:cs="Arial"/>
          <w:i/>
          <w:sz w:val="16"/>
          <w:szCs w:val="16"/>
          <w:lang w:val="en-GB" w:eastAsia="cs-CZ"/>
        </w:rPr>
      </w:pPr>
      <w:r>
        <w:rPr>
          <w:rFonts w:ascii="Arial" w:hAnsi="Arial" w:cs="Arial"/>
          <w:sz w:val="16"/>
          <w:szCs w:val="16"/>
          <w:vertAlign w:val="superscript"/>
          <w:lang w:val="en-US"/>
        </w:rPr>
        <w:t>c</w:t>
      </w:r>
      <w:r w:rsidR="00305612" w:rsidRPr="00305612">
        <w:rPr>
          <w:rFonts w:ascii="Arial" w:eastAsia="Times New Roman" w:hAnsi="Arial" w:cs="Arial"/>
          <w:i/>
          <w:sz w:val="16"/>
          <w:szCs w:val="16"/>
          <w:lang w:val="en-GB" w:eastAsia="cs-CZ"/>
        </w:rPr>
        <w:t>Department of Science and Technology, Parthenope University of Naples, Centro Direzionale Isola C4, 80143, Naples, Italy</w:t>
      </w:r>
    </w:p>
    <w:p w:rsidR="00305612" w:rsidRPr="00305612" w:rsidRDefault="00AE3E8D" w:rsidP="00305612">
      <w:pPr>
        <w:pStyle w:val="Nessunaspaziatura"/>
        <w:spacing w:before="0" w:after="120"/>
        <w:jc w:val="both"/>
        <w:rPr>
          <w:rFonts w:cs="Arial"/>
          <w:sz w:val="16"/>
          <w:szCs w:val="16"/>
          <w:lang w:val="en-GB"/>
        </w:rPr>
      </w:pPr>
      <w:r>
        <w:rPr>
          <w:rFonts w:cs="Arial"/>
          <w:sz w:val="16"/>
          <w:szCs w:val="16"/>
          <w:vertAlign w:val="superscript"/>
          <w:lang w:val="en-GB"/>
        </w:rPr>
        <w:t>d</w:t>
      </w:r>
      <w:r w:rsidR="00305612" w:rsidRPr="00305612">
        <w:rPr>
          <w:rFonts w:cs="Arial"/>
          <w:sz w:val="16"/>
          <w:szCs w:val="16"/>
          <w:lang w:val="en-GB"/>
        </w:rPr>
        <w:t>Italian National Agency for New Technologies, Energy and Sustainable Economic Development (ENEA), Territorial and Production System Sustainability Department, CR Portici Piazzale Enrico Fermi, 1 - 80055, Portici, Italy</w:t>
      </w:r>
    </w:p>
    <w:p w:rsidR="00305612" w:rsidRPr="00992AF3" w:rsidRDefault="00305612" w:rsidP="00305612">
      <w:pPr>
        <w:widowControl w:val="0"/>
        <w:suppressAutoHyphens/>
        <w:overflowPunct w:val="0"/>
        <w:autoSpaceDE w:val="0"/>
        <w:spacing w:after="0" w:line="240" w:lineRule="auto"/>
        <w:rPr>
          <w:rFonts w:ascii="Arial" w:eastAsia="Times New Roman" w:hAnsi="Arial" w:cs="Arial"/>
          <w:i/>
          <w:sz w:val="16"/>
          <w:szCs w:val="16"/>
          <w:lang w:val="en-GB" w:eastAsia="cs-CZ"/>
        </w:rPr>
      </w:pPr>
      <w:r w:rsidRPr="00305612">
        <w:rPr>
          <w:rFonts w:ascii="Arial" w:eastAsia="Times New Roman" w:hAnsi="Arial" w:cs="Arial"/>
          <w:i/>
          <w:sz w:val="16"/>
          <w:szCs w:val="16"/>
          <w:lang w:val="en-GB" w:eastAsia="cs-CZ"/>
        </w:rPr>
        <w:t xml:space="preserve">* Corresponding author name: PhD Antonio Molino - </w:t>
      </w:r>
      <w:r w:rsidRPr="00992AF3">
        <w:rPr>
          <w:rFonts w:ascii="Arial" w:eastAsia="Times New Roman" w:hAnsi="Arial" w:cs="Arial"/>
          <w:i/>
          <w:sz w:val="16"/>
          <w:szCs w:val="16"/>
          <w:lang w:val="en-GB" w:eastAsia="cs-CZ"/>
        </w:rPr>
        <w:t>ENEA, Italian National Agency for New Technologies, Energy and sustainable economic Development. Department of Sustainability - Biotechnologies and Agroindustry Division. CR Portici. P. Enrico Fermi, 1, 80055 Portici (NA), Italy. Tel.: +39 081/7723276 E-mail address: antonio.molino@enea.it</w:t>
      </w:r>
    </w:p>
    <w:p w:rsidR="00305612" w:rsidRPr="00992AF3" w:rsidRDefault="00305612" w:rsidP="00586CBF">
      <w:pPr>
        <w:pStyle w:val="CETBodytext"/>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Cs w:val="20"/>
          <w:bdr w:val="none" w:sz="0" w:space="0" w:color="auto"/>
          <w:lang w:val="en-GB" w:eastAsia="en-US"/>
        </w:rPr>
      </w:pPr>
    </w:p>
    <w:p w:rsidR="00305612" w:rsidRDefault="00305612" w:rsidP="00586CBF">
      <w:pPr>
        <w:pStyle w:val="CETBodytext"/>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Cs w:val="20"/>
          <w:bdr w:val="none" w:sz="0" w:space="0" w:color="auto"/>
          <w:lang w:val="en-GB" w:eastAsia="en-US"/>
        </w:rPr>
      </w:pPr>
    </w:p>
    <w:p w:rsidR="00AA43AD" w:rsidRDefault="00AA43AD" w:rsidP="00AA43AD">
      <w:pPr>
        <w:pStyle w:val="CETBodytext"/>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szCs w:val="20"/>
          <w:bdr w:val="none" w:sz="0" w:space="0" w:color="auto"/>
          <w:lang w:val="en-GB" w:eastAsia="en-US"/>
        </w:rPr>
      </w:pPr>
      <w:r>
        <w:rPr>
          <w:rFonts w:eastAsia="Times New Roman" w:cs="Times New Roman"/>
          <w:color w:val="auto"/>
          <w:szCs w:val="20"/>
          <w:bdr w:val="none" w:sz="0" w:space="0" w:color="auto"/>
          <w:lang w:val="en-GB" w:eastAsia="en-US"/>
        </w:rPr>
        <w:t xml:space="preserve">In this work, a membrane-based separation was investigate for </w:t>
      </w:r>
      <w:r w:rsidRPr="00305612">
        <w:rPr>
          <w:rFonts w:eastAsia="Times New Roman" w:cs="Times New Roman"/>
          <w:color w:val="auto"/>
          <w:szCs w:val="20"/>
          <w:bdr w:val="none" w:sz="0" w:space="0" w:color="auto"/>
          <w:lang w:val="en-GB" w:eastAsia="en-US"/>
        </w:rPr>
        <w:t>Scenedesmus almeriensis solutions dewatering</w:t>
      </w:r>
      <w:r>
        <w:rPr>
          <w:rFonts w:eastAsia="Times New Roman" w:cs="Times New Roman"/>
          <w:color w:val="auto"/>
          <w:szCs w:val="20"/>
          <w:bdr w:val="none" w:sz="0" w:space="0" w:color="auto"/>
          <w:lang w:val="en-GB" w:eastAsia="en-US"/>
        </w:rPr>
        <w:t>. A commercial p</w:t>
      </w:r>
      <w:r w:rsidRPr="00AA43AD">
        <w:rPr>
          <w:rFonts w:eastAsia="Times New Roman" w:cs="Times New Roman"/>
          <w:color w:val="auto"/>
          <w:szCs w:val="20"/>
          <w:bdr w:val="none" w:sz="0" w:space="0" w:color="auto"/>
          <w:lang w:val="en-GB" w:eastAsia="en-US"/>
        </w:rPr>
        <w:t>olyvinylidene fluoride</w:t>
      </w:r>
      <w:r>
        <w:rPr>
          <w:rFonts w:eastAsia="Times New Roman" w:cs="Times New Roman"/>
          <w:color w:val="auto"/>
          <w:szCs w:val="20"/>
          <w:bdr w:val="none" w:sz="0" w:space="0" w:color="auto"/>
          <w:lang w:val="en-GB" w:eastAsia="en-US"/>
        </w:rPr>
        <w:t xml:space="preserve"> (PVDF) membrane, having a pore size of 3 </w:t>
      </w:r>
      <w:r w:rsidRPr="00DC586D">
        <w:rPr>
          <w:rFonts w:ascii="Symbol" w:eastAsia="Times New Roman" w:hAnsi="Symbol" w:cs="Times New Roman"/>
          <w:color w:val="auto"/>
          <w:szCs w:val="20"/>
          <w:bdr w:val="none" w:sz="0" w:space="0" w:color="auto"/>
          <w:lang w:val="en-GB" w:eastAsia="en-US"/>
        </w:rPr>
        <w:t></w:t>
      </w:r>
      <w:r>
        <w:rPr>
          <w:rFonts w:eastAsia="Times New Roman" w:cs="Times New Roman"/>
          <w:color w:val="auto"/>
          <w:szCs w:val="20"/>
          <w:bdr w:val="none" w:sz="0" w:space="0" w:color="auto"/>
          <w:lang w:val="en-GB" w:eastAsia="en-US"/>
        </w:rPr>
        <w:t xml:space="preserve">m was used in order to allow the water passage through it (permeate), retaining, at the same time, algae biomass (retentate). The possibility to reuse the permeate for a second </w:t>
      </w:r>
      <w:r w:rsidRPr="00305612">
        <w:rPr>
          <w:rFonts w:eastAsia="Times New Roman" w:cs="Times New Roman"/>
          <w:color w:val="auto"/>
          <w:szCs w:val="20"/>
          <w:bdr w:val="none" w:sz="0" w:space="0" w:color="auto"/>
          <w:lang w:val="en-GB" w:eastAsia="en-US"/>
        </w:rPr>
        <w:t>Scenedesmus almeriensis</w:t>
      </w:r>
      <w:r>
        <w:rPr>
          <w:rFonts w:eastAsia="Times New Roman" w:cs="Times New Roman"/>
          <w:color w:val="auto"/>
          <w:szCs w:val="20"/>
          <w:bdr w:val="none" w:sz="0" w:space="0" w:color="auto"/>
          <w:lang w:val="en-GB" w:eastAsia="en-US"/>
        </w:rPr>
        <w:t xml:space="preserve"> grow</w:t>
      </w:r>
      <w:r w:rsidR="00BF28EA">
        <w:rPr>
          <w:rFonts w:eastAsia="Times New Roman" w:cs="Times New Roman"/>
          <w:color w:val="auto"/>
          <w:szCs w:val="20"/>
          <w:bdr w:val="none" w:sz="0" w:space="0" w:color="auto"/>
          <w:lang w:val="en-GB" w:eastAsia="en-US"/>
        </w:rPr>
        <w:t>th</w:t>
      </w:r>
      <w:r>
        <w:rPr>
          <w:rFonts w:eastAsia="Times New Roman" w:cs="Times New Roman"/>
          <w:color w:val="auto"/>
          <w:szCs w:val="20"/>
          <w:bdr w:val="none" w:sz="0" w:space="0" w:color="auto"/>
          <w:lang w:val="en-GB" w:eastAsia="en-US"/>
        </w:rPr>
        <w:t xml:space="preserve"> step, was also studied. The registered data evidenced the feasibility of the membrane-based dewatering as an alternative competitive technology, even though the recovery of water should need </w:t>
      </w:r>
      <w:r w:rsidR="00D60174">
        <w:rPr>
          <w:rFonts w:eastAsia="Times New Roman" w:cs="Times New Roman"/>
          <w:color w:val="auto"/>
          <w:szCs w:val="20"/>
          <w:bdr w:val="none" w:sz="0" w:space="0" w:color="auto"/>
          <w:lang w:val="en-GB" w:eastAsia="en-US"/>
        </w:rPr>
        <w:t xml:space="preserve">further investigations </w:t>
      </w:r>
      <w:r>
        <w:rPr>
          <w:rFonts w:eastAsia="Times New Roman" w:cs="Times New Roman"/>
          <w:color w:val="auto"/>
          <w:szCs w:val="20"/>
          <w:bdr w:val="none" w:sz="0" w:space="0" w:color="auto"/>
          <w:lang w:val="en-GB" w:eastAsia="en-US"/>
        </w:rPr>
        <w:t>to be optimized.</w:t>
      </w:r>
    </w:p>
    <w:p w:rsidR="00586CBF" w:rsidRDefault="00586CBF" w:rsidP="00586CBF">
      <w:pPr>
        <w:pStyle w:val="CETHeading1"/>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7100"/>
        </w:tabs>
        <w:spacing w:line="240" w:lineRule="auto"/>
        <w:ind w:left="0" w:firstLine="0"/>
        <w:jc w:val="left"/>
        <w:rPr>
          <w:rFonts w:eastAsia="Times New Roman" w:cs="Times New Roman"/>
          <w:bCs w:val="0"/>
          <w:color w:val="auto"/>
          <w:bdr w:val="none" w:sz="0" w:space="0" w:color="auto"/>
          <w:lang w:val="en-GB" w:eastAsia="en-US"/>
        </w:rPr>
      </w:pPr>
      <w:r w:rsidRPr="00645031">
        <w:rPr>
          <w:rFonts w:eastAsia="Times New Roman" w:cs="Times New Roman"/>
          <w:bCs w:val="0"/>
          <w:color w:val="auto"/>
          <w:bdr w:val="none" w:sz="0" w:space="0" w:color="auto"/>
          <w:lang w:val="en-GB" w:eastAsia="en-US"/>
        </w:rPr>
        <w:t>Introduction</w:t>
      </w:r>
    </w:p>
    <w:p w:rsidR="00F339F4" w:rsidRDefault="003316F7" w:rsidP="00384302">
      <w:pPr>
        <w:pStyle w:val="CETBodytext"/>
      </w:pPr>
      <w:r w:rsidRPr="003316F7">
        <w:rPr>
          <w:rFonts w:eastAsia="Times New Roman" w:cs="Times New Roman"/>
          <w:color w:val="auto"/>
          <w:szCs w:val="20"/>
          <w:bdr w:val="none" w:sz="0" w:space="0" w:color="auto"/>
          <w:lang w:eastAsia="en-US"/>
        </w:rPr>
        <w:t xml:space="preserve">Microalgae </w:t>
      </w:r>
      <w:r w:rsidR="00C8066E">
        <w:rPr>
          <w:rFonts w:eastAsia="Times New Roman" w:cs="Times New Roman"/>
          <w:color w:val="auto"/>
          <w:szCs w:val="20"/>
          <w:bdr w:val="none" w:sz="0" w:space="0" w:color="auto"/>
          <w:lang w:eastAsia="en-US"/>
        </w:rPr>
        <w:t xml:space="preserve">represent a large group of aquatic </w:t>
      </w:r>
      <w:r w:rsidR="00C8066E" w:rsidRPr="003316F7">
        <w:rPr>
          <w:rFonts w:eastAsia="Times New Roman" w:cs="Times New Roman"/>
          <w:color w:val="auto"/>
          <w:szCs w:val="20"/>
          <w:bdr w:val="none" w:sz="0" w:space="0" w:color="auto"/>
          <w:lang w:eastAsia="en-US"/>
        </w:rPr>
        <w:t xml:space="preserve">organisms </w:t>
      </w:r>
      <w:r w:rsidR="00C8066E">
        <w:rPr>
          <w:rFonts w:eastAsia="Times New Roman" w:cs="Times New Roman"/>
          <w:color w:val="auto"/>
          <w:szCs w:val="20"/>
          <w:bdr w:val="none" w:sz="0" w:space="0" w:color="auto"/>
          <w:lang w:eastAsia="en-US"/>
        </w:rPr>
        <w:t xml:space="preserve">that </w:t>
      </w:r>
      <w:r w:rsidRPr="003316F7">
        <w:rPr>
          <w:rFonts w:eastAsia="Times New Roman" w:cs="Times New Roman"/>
          <w:color w:val="auto"/>
          <w:szCs w:val="20"/>
          <w:bdr w:val="none" w:sz="0" w:space="0" w:color="auto"/>
          <w:lang w:eastAsia="en-US"/>
        </w:rPr>
        <w:t xml:space="preserve">have garnered remarkable </w:t>
      </w:r>
      <w:r>
        <w:rPr>
          <w:rFonts w:eastAsia="Times New Roman" w:cs="Times New Roman"/>
          <w:color w:val="auto"/>
          <w:szCs w:val="20"/>
          <w:bdr w:val="none" w:sz="0" w:space="0" w:color="auto"/>
          <w:lang w:eastAsia="en-US"/>
        </w:rPr>
        <w:t xml:space="preserve">interest since their </w:t>
      </w:r>
      <w:r w:rsidR="00C8066E">
        <w:rPr>
          <w:rFonts w:eastAsia="Times New Roman" w:cs="Times New Roman"/>
          <w:color w:val="auto"/>
          <w:szCs w:val="20"/>
          <w:bdr w:val="none" w:sz="0" w:space="0" w:color="auto"/>
          <w:lang w:eastAsia="en-US"/>
        </w:rPr>
        <w:t>manifest attracting physical-chemical properties</w:t>
      </w:r>
      <w:r w:rsidR="002C7AD9">
        <w:rPr>
          <w:rFonts w:eastAsia="Times New Roman" w:cs="Times New Roman"/>
          <w:color w:val="auto"/>
          <w:szCs w:val="20"/>
          <w:bdr w:val="none" w:sz="0" w:space="0" w:color="auto"/>
          <w:lang w:eastAsia="en-US"/>
        </w:rPr>
        <w:t xml:space="preserve"> (Molino et al. 2018</w:t>
      </w:r>
      <w:r w:rsidR="002177FF">
        <w:rPr>
          <w:rFonts w:eastAsia="Times New Roman" w:cs="Times New Roman"/>
          <w:color w:val="auto"/>
          <w:szCs w:val="20"/>
          <w:bdr w:val="none" w:sz="0" w:space="0" w:color="auto"/>
          <w:lang w:eastAsia="en-US"/>
        </w:rPr>
        <w:t>a</w:t>
      </w:r>
      <w:r w:rsidR="002C7AD9">
        <w:rPr>
          <w:rFonts w:eastAsia="Times New Roman" w:cs="Times New Roman"/>
          <w:color w:val="auto"/>
          <w:szCs w:val="20"/>
          <w:bdr w:val="none" w:sz="0" w:space="0" w:color="auto"/>
          <w:lang w:eastAsia="en-US"/>
        </w:rPr>
        <w:t>)</w:t>
      </w:r>
      <w:r w:rsidR="00C8066E">
        <w:rPr>
          <w:rFonts w:eastAsia="Times New Roman" w:cs="Times New Roman"/>
          <w:color w:val="auto"/>
          <w:szCs w:val="20"/>
          <w:bdr w:val="none" w:sz="0" w:space="0" w:color="auto"/>
          <w:lang w:eastAsia="en-US"/>
        </w:rPr>
        <w:t>. The majority of microalgae species are able to convert solar into chemical energy by means photosynthesis</w:t>
      </w:r>
      <w:r w:rsidR="002177FF">
        <w:rPr>
          <w:rFonts w:eastAsia="Times New Roman" w:cs="Times New Roman"/>
          <w:color w:val="auto"/>
          <w:szCs w:val="20"/>
          <w:bdr w:val="none" w:sz="0" w:space="0" w:color="auto"/>
          <w:lang w:eastAsia="en-US"/>
        </w:rPr>
        <w:t xml:space="preserve"> (Pierobon et al. 2018)</w:t>
      </w:r>
      <w:r w:rsidR="00C8066E">
        <w:rPr>
          <w:rFonts w:eastAsia="Times New Roman" w:cs="Times New Roman"/>
          <w:color w:val="auto"/>
          <w:szCs w:val="20"/>
          <w:bdr w:val="none" w:sz="0" w:space="0" w:color="auto"/>
          <w:lang w:eastAsia="en-US"/>
        </w:rPr>
        <w:t xml:space="preserve">. </w:t>
      </w:r>
      <w:r w:rsidR="00573F05" w:rsidRPr="003316F7">
        <w:rPr>
          <w:rFonts w:eastAsia="Times New Roman" w:cs="Times New Roman"/>
          <w:color w:val="auto"/>
          <w:szCs w:val="20"/>
          <w:bdr w:val="none" w:sz="0" w:space="0" w:color="auto"/>
          <w:lang w:eastAsia="en-US"/>
        </w:rPr>
        <w:t>Microalgae</w:t>
      </w:r>
      <w:r w:rsidR="00C8066E">
        <w:rPr>
          <w:rFonts w:eastAsia="Times New Roman" w:cs="Times New Roman"/>
          <w:color w:val="auto"/>
          <w:szCs w:val="20"/>
          <w:bdr w:val="none" w:sz="0" w:space="0" w:color="auto"/>
          <w:lang w:eastAsia="en-US"/>
        </w:rPr>
        <w:t xml:space="preserve"> are considered as valuable feedstock for biofuel generation, due to the</w:t>
      </w:r>
      <w:r w:rsidR="00573F05">
        <w:rPr>
          <w:rFonts w:eastAsia="Times New Roman" w:cs="Times New Roman"/>
          <w:color w:val="auto"/>
          <w:szCs w:val="20"/>
          <w:bdr w:val="none" w:sz="0" w:space="0" w:color="auto"/>
          <w:lang w:eastAsia="en-US"/>
        </w:rPr>
        <w:t>ir</w:t>
      </w:r>
      <w:r w:rsidR="00C8066E">
        <w:rPr>
          <w:rFonts w:eastAsia="Times New Roman" w:cs="Times New Roman"/>
          <w:color w:val="auto"/>
          <w:szCs w:val="20"/>
          <w:bdr w:val="none" w:sz="0" w:space="0" w:color="auto"/>
          <w:lang w:eastAsia="en-US"/>
        </w:rPr>
        <w:t xml:space="preserve"> high sugars and fats content, but also for animal feed, since they produce proteins</w:t>
      </w:r>
      <w:r w:rsidR="002177FF">
        <w:rPr>
          <w:rFonts w:eastAsia="Times New Roman" w:cs="Times New Roman"/>
          <w:color w:val="auto"/>
          <w:szCs w:val="20"/>
          <w:bdr w:val="none" w:sz="0" w:space="0" w:color="auto"/>
          <w:lang w:eastAsia="en-US"/>
        </w:rPr>
        <w:t xml:space="preserve"> (Pierobon et al. 2018, Molino et al. 2018b)</w:t>
      </w:r>
      <w:r w:rsidR="00C8066E">
        <w:rPr>
          <w:rFonts w:eastAsia="Times New Roman" w:cs="Times New Roman"/>
          <w:color w:val="auto"/>
          <w:szCs w:val="20"/>
          <w:bdr w:val="none" w:sz="0" w:space="0" w:color="auto"/>
          <w:lang w:eastAsia="en-US"/>
        </w:rPr>
        <w:t xml:space="preserve">. Moreover, microalgae </w:t>
      </w:r>
      <w:r w:rsidR="00384302">
        <w:rPr>
          <w:rFonts w:eastAsia="Times New Roman" w:cs="Times New Roman"/>
          <w:color w:val="auto"/>
          <w:szCs w:val="20"/>
          <w:bdr w:val="none" w:sz="0" w:space="0" w:color="auto"/>
          <w:lang w:eastAsia="en-US"/>
        </w:rPr>
        <w:t>are able to synthe</w:t>
      </w:r>
      <w:r w:rsidR="00384302" w:rsidRPr="00384302">
        <w:rPr>
          <w:rFonts w:eastAsia="Times New Roman" w:cs="Times New Roman"/>
          <w:color w:val="auto"/>
          <w:szCs w:val="20"/>
          <w:bdr w:val="none" w:sz="0" w:space="0" w:color="auto"/>
          <w:lang w:eastAsia="en-US"/>
        </w:rPr>
        <w:t>size bioactive molecules such as pigments that reveal health properties</w:t>
      </w:r>
      <w:r w:rsidR="002177FF">
        <w:rPr>
          <w:rFonts w:eastAsia="Times New Roman" w:cs="Times New Roman"/>
          <w:color w:val="auto"/>
          <w:szCs w:val="20"/>
          <w:bdr w:val="none" w:sz="0" w:space="0" w:color="auto"/>
          <w:lang w:eastAsia="en-US"/>
        </w:rPr>
        <w:t xml:space="preserve"> (Di Sanzo et al. </w:t>
      </w:r>
      <w:r w:rsidR="002177FF" w:rsidRPr="00DC586D">
        <w:rPr>
          <w:rFonts w:eastAsia="Times New Roman" w:cs="Times New Roman"/>
          <w:color w:val="auto"/>
          <w:szCs w:val="20"/>
          <w:bdr w:val="none" w:sz="0" w:space="0" w:color="auto"/>
          <w:lang w:eastAsia="en-US"/>
        </w:rPr>
        <w:t>2018</w:t>
      </w:r>
      <w:r w:rsidR="001F38F8" w:rsidRPr="00DC586D">
        <w:rPr>
          <w:rFonts w:eastAsia="Times New Roman" w:cs="Times New Roman"/>
          <w:color w:val="auto"/>
          <w:szCs w:val="20"/>
          <w:bdr w:val="none" w:sz="0" w:space="0" w:color="auto"/>
          <w:lang w:eastAsia="en-US"/>
        </w:rPr>
        <w:t xml:space="preserve">, </w:t>
      </w:r>
      <w:r w:rsidR="00BD2D7D" w:rsidRPr="00DC586D">
        <w:rPr>
          <w:rFonts w:eastAsia="Times New Roman" w:cs="Times New Roman"/>
          <w:color w:val="auto"/>
          <w:szCs w:val="20"/>
          <w:bdr w:val="none" w:sz="0" w:space="0" w:color="auto"/>
          <w:lang w:eastAsia="en-US"/>
        </w:rPr>
        <w:t>Molino et al. 2018b, Molino et al. 2019a, Molino et al. 2019b</w:t>
      </w:r>
      <w:r w:rsidR="002177FF" w:rsidRPr="00DC586D">
        <w:rPr>
          <w:rFonts w:eastAsia="Times New Roman" w:cs="Times New Roman"/>
          <w:color w:val="auto"/>
          <w:szCs w:val="20"/>
          <w:bdr w:val="none" w:sz="0" w:space="0" w:color="auto"/>
          <w:lang w:eastAsia="en-US"/>
        </w:rPr>
        <w:t>)</w:t>
      </w:r>
      <w:r w:rsidR="00384302" w:rsidRPr="00DC586D">
        <w:rPr>
          <w:rFonts w:eastAsia="Times New Roman" w:cs="Times New Roman"/>
          <w:color w:val="auto"/>
          <w:szCs w:val="20"/>
          <w:bdr w:val="none" w:sz="0" w:space="0" w:color="auto"/>
          <w:lang w:eastAsia="en-US"/>
        </w:rPr>
        <w:t xml:space="preserve">. </w:t>
      </w:r>
      <w:r w:rsidR="00E23A1D">
        <w:rPr>
          <w:rFonts w:eastAsia="Times New Roman" w:cs="Times New Roman"/>
          <w:color w:val="auto"/>
          <w:szCs w:val="20"/>
          <w:bdr w:val="none" w:sz="0" w:space="0" w:color="auto"/>
          <w:lang w:eastAsia="en-US"/>
        </w:rPr>
        <w:t xml:space="preserve">In particular, </w:t>
      </w:r>
      <w:r w:rsidR="00E23A1D" w:rsidRPr="00305612">
        <w:rPr>
          <w:rFonts w:eastAsia="Times New Roman" w:cs="Times New Roman"/>
          <w:color w:val="auto"/>
          <w:szCs w:val="20"/>
          <w:bdr w:val="none" w:sz="0" w:space="0" w:color="auto"/>
          <w:lang w:val="en-GB" w:eastAsia="en-US"/>
        </w:rPr>
        <w:t>Scenedesmus almeriensis</w:t>
      </w:r>
      <w:r w:rsidR="00E23A1D">
        <w:rPr>
          <w:rFonts w:eastAsia="Times New Roman" w:cs="Times New Roman"/>
          <w:color w:val="auto"/>
          <w:szCs w:val="20"/>
          <w:bdr w:val="none" w:sz="0" w:space="0" w:color="auto"/>
          <w:lang w:val="en-GB" w:eastAsia="en-US"/>
        </w:rPr>
        <w:t xml:space="preserve"> is </w:t>
      </w:r>
      <w:r w:rsidR="00E23A1D">
        <w:t>characterized by a high content of lutein, which is a xantophile used as food additive and suggested for retinal degeneration, cancer prevention and cardiovascular diseases</w:t>
      </w:r>
      <w:r w:rsidR="002177FF">
        <w:t xml:space="preserve"> (</w:t>
      </w:r>
      <w:r w:rsidR="002177FF" w:rsidRPr="002177FF">
        <w:t>Sánchez</w:t>
      </w:r>
      <w:r w:rsidR="002177FF">
        <w:t xml:space="preserve"> et al. 2008)</w:t>
      </w:r>
      <w:r w:rsidR="00E23A1D">
        <w:t xml:space="preserve">. </w:t>
      </w:r>
    </w:p>
    <w:p w:rsidR="009A6D38" w:rsidRPr="00AD1B1F" w:rsidRDefault="00384302" w:rsidP="00384302">
      <w:pPr>
        <w:pStyle w:val="CETBodytext"/>
        <w:rPr>
          <w:rFonts w:eastAsia="Times New Roman" w:cs="Times New Roman"/>
          <w:color w:val="auto"/>
          <w:szCs w:val="20"/>
          <w:bdr w:val="none" w:sz="0" w:space="0" w:color="auto"/>
          <w:lang w:eastAsia="en-US"/>
        </w:rPr>
      </w:pPr>
      <w:r>
        <w:rPr>
          <w:rFonts w:eastAsia="Times New Roman" w:cs="Times New Roman"/>
          <w:color w:val="auto"/>
          <w:szCs w:val="20"/>
          <w:bdr w:val="none" w:sz="0" w:space="0" w:color="auto"/>
          <w:lang w:eastAsia="en-US"/>
        </w:rPr>
        <w:t xml:space="preserve">Basically, </w:t>
      </w:r>
      <w:r w:rsidRPr="00305612">
        <w:rPr>
          <w:rFonts w:eastAsia="Times New Roman" w:cs="Times New Roman"/>
          <w:color w:val="auto"/>
          <w:szCs w:val="20"/>
          <w:bdr w:val="none" w:sz="0" w:space="0" w:color="auto"/>
          <w:lang w:val="en-GB" w:eastAsia="en-US"/>
        </w:rPr>
        <w:t xml:space="preserve"> the microalgae production involves three steps, i.e. microalgae cultivation, dewatering and/or harvesting and extraction of  added-value compounds. After the microalgae cultivation, the dewatering operation consents to separate and concentrate the biomass from the algae culture. </w:t>
      </w:r>
      <w:r w:rsidR="00AD1B1F">
        <w:rPr>
          <w:rFonts w:eastAsia="Times New Roman" w:cs="Times New Roman"/>
          <w:color w:val="auto"/>
          <w:szCs w:val="20"/>
          <w:bdr w:val="none" w:sz="0" w:space="0" w:color="auto"/>
          <w:lang w:val="en-GB" w:eastAsia="en-US"/>
        </w:rPr>
        <w:t xml:space="preserve">Commonly used </w:t>
      </w:r>
      <w:r w:rsidR="00AD1B1F" w:rsidRPr="00AD1B1F">
        <w:rPr>
          <w:rFonts w:eastAsia="Times New Roman" w:cs="Times New Roman"/>
          <w:color w:val="auto"/>
          <w:szCs w:val="20"/>
          <w:bdr w:val="none" w:sz="0" w:space="0" w:color="auto"/>
          <w:lang w:eastAsia="en-US"/>
        </w:rPr>
        <w:t xml:space="preserve">separation technologies, </w:t>
      </w:r>
      <w:r w:rsidR="00AD1B1F">
        <w:rPr>
          <w:rFonts w:eastAsia="Times New Roman" w:cs="Times New Roman"/>
          <w:color w:val="auto"/>
          <w:szCs w:val="20"/>
          <w:bdr w:val="none" w:sz="0" w:space="0" w:color="auto"/>
          <w:lang w:eastAsia="en-US"/>
        </w:rPr>
        <w:t>mainly</w:t>
      </w:r>
      <w:r w:rsidR="00AD1B1F" w:rsidRPr="00AD1B1F">
        <w:rPr>
          <w:rFonts w:eastAsia="Times New Roman" w:cs="Times New Roman"/>
          <w:color w:val="auto"/>
          <w:szCs w:val="20"/>
          <w:bdr w:val="none" w:sz="0" w:space="0" w:color="auto"/>
          <w:lang w:eastAsia="en-US"/>
        </w:rPr>
        <w:t xml:space="preserve"> sedimentation, centrifugation, dissolved air and/or froth flotation, filter press and rotary vacuum filter, do not </w:t>
      </w:r>
      <w:r w:rsidR="00AD1B1F">
        <w:rPr>
          <w:rFonts w:eastAsia="Times New Roman" w:cs="Times New Roman"/>
          <w:color w:val="auto"/>
          <w:szCs w:val="20"/>
          <w:bdr w:val="none" w:sz="0" w:space="0" w:color="auto"/>
          <w:lang w:eastAsia="en-US"/>
        </w:rPr>
        <w:t>assure</w:t>
      </w:r>
      <w:r w:rsidR="00AD1B1F" w:rsidRPr="00AD1B1F">
        <w:rPr>
          <w:rFonts w:eastAsia="Times New Roman" w:cs="Times New Roman"/>
          <w:color w:val="auto"/>
          <w:szCs w:val="20"/>
          <w:bdr w:val="none" w:sz="0" w:space="0" w:color="auto"/>
          <w:lang w:eastAsia="en-US"/>
        </w:rPr>
        <w:t xml:space="preserve"> high efficiency, </w:t>
      </w:r>
      <w:r w:rsidR="00AD1B1F">
        <w:rPr>
          <w:rFonts w:eastAsia="Times New Roman" w:cs="Times New Roman"/>
          <w:color w:val="auto"/>
          <w:szCs w:val="20"/>
          <w:bdr w:val="none" w:sz="0" w:space="0" w:color="auto"/>
          <w:lang w:eastAsia="en-US"/>
        </w:rPr>
        <w:t>entail</w:t>
      </w:r>
      <w:r w:rsidR="00AD1B1F" w:rsidRPr="00AD1B1F">
        <w:rPr>
          <w:rFonts w:eastAsia="Times New Roman" w:cs="Times New Roman"/>
          <w:color w:val="auto"/>
          <w:szCs w:val="20"/>
          <w:bdr w:val="none" w:sz="0" w:space="0" w:color="auto"/>
          <w:lang w:eastAsia="en-US"/>
        </w:rPr>
        <w:t xml:space="preserve"> operating high costs costs and </w:t>
      </w:r>
      <w:r w:rsidR="00F164FA">
        <w:rPr>
          <w:rFonts w:eastAsia="Times New Roman" w:cs="Times New Roman"/>
          <w:color w:val="auto"/>
          <w:szCs w:val="20"/>
          <w:bdr w:val="none" w:sz="0" w:space="0" w:color="auto"/>
          <w:lang w:eastAsia="en-US"/>
        </w:rPr>
        <w:t xml:space="preserve">require </w:t>
      </w:r>
      <w:r w:rsidR="00AD1B1F" w:rsidRPr="00AD1B1F">
        <w:rPr>
          <w:rFonts w:eastAsia="Times New Roman" w:cs="Times New Roman"/>
          <w:color w:val="auto"/>
          <w:szCs w:val="20"/>
          <w:bdr w:val="none" w:sz="0" w:space="0" w:color="auto"/>
          <w:lang w:eastAsia="en-US"/>
        </w:rPr>
        <w:t>chemicals addition</w:t>
      </w:r>
      <w:r w:rsidR="0057329C">
        <w:rPr>
          <w:rFonts w:eastAsia="Times New Roman" w:cs="Times New Roman"/>
          <w:color w:val="auto"/>
          <w:szCs w:val="20"/>
          <w:bdr w:val="none" w:sz="0" w:space="0" w:color="auto"/>
          <w:lang w:eastAsia="en-US"/>
        </w:rPr>
        <w:t xml:space="preserve"> (Coons et al. 2014)</w:t>
      </w:r>
      <w:r w:rsidR="00AD1B1F" w:rsidRPr="00AD1B1F">
        <w:rPr>
          <w:rFonts w:eastAsia="Times New Roman" w:cs="Times New Roman"/>
          <w:color w:val="auto"/>
          <w:szCs w:val="20"/>
          <w:bdr w:val="none" w:sz="0" w:space="0" w:color="auto"/>
          <w:lang w:eastAsia="en-US"/>
        </w:rPr>
        <w:t xml:space="preserve">. </w:t>
      </w:r>
      <w:r w:rsidR="0057329C">
        <w:rPr>
          <w:rFonts w:eastAsia="Times New Roman" w:cs="Times New Roman"/>
          <w:color w:val="auto"/>
          <w:szCs w:val="20"/>
          <w:bdr w:val="none" w:sz="0" w:space="0" w:color="auto"/>
          <w:lang w:eastAsia="en-US"/>
        </w:rPr>
        <w:t>Additionally</w:t>
      </w:r>
      <w:r w:rsidR="00AD1B1F" w:rsidRPr="00AD1B1F">
        <w:rPr>
          <w:rFonts w:eastAsia="Times New Roman" w:cs="Times New Roman"/>
          <w:color w:val="auto"/>
          <w:szCs w:val="20"/>
          <w:bdr w:val="none" w:sz="0" w:space="0" w:color="auto"/>
          <w:lang w:eastAsia="en-US"/>
        </w:rPr>
        <w:t xml:space="preserve">, they are difficult to scale-up and in some cases the </w:t>
      </w:r>
      <w:r w:rsidR="0057329C" w:rsidRPr="00AD1B1F">
        <w:rPr>
          <w:rFonts w:eastAsia="Times New Roman" w:cs="Times New Roman"/>
          <w:color w:val="auto"/>
          <w:szCs w:val="20"/>
          <w:bdr w:val="none" w:sz="0" w:space="0" w:color="auto"/>
          <w:lang w:eastAsia="en-US"/>
        </w:rPr>
        <w:t>achieved</w:t>
      </w:r>
      <w:r w:rsidR="00AD1B1F" w:rsidRPr="00AD1B1F">
        <w:rPr>
          <w:rFonts w:eastAsia="Times New Roman" w:cs="Times New Roman"/>
          <w:color w:val="auto"/>
          <w:szCs w:val="20"/>
          <w:bdr w:val="none" w:sz="0" w:space="0" w:color="auto"/>
          <w:lang w:eastAsia="en-US"/>
        </w:rPr>
        <w:t xml:space="preserve"> filtrate is </w:t>
      </w:r>
      <w:r w:rsidR="0057329C">
        <w:rPr>
          <w:rFonts w:eastAsia="Times New Roman" w:cs="Times New Roman"/>
          <w:color w:val="auto"/>
          <w:szCs w:val="20"/>
          <w:bdr w:val="none" w:sz="0" w:space="0" w:color="auto"/>
          <w:lang w:eastAsia="en-US"/>
        </w:rPr>
        <w:t>unsuitable</w:t>
      </w:r>
      <w:r w:rsidR="00AD1B1F" w:rsidRPr="00AD1B1F">
        <w:rPr>
          <w:rFonts w:eastAsia="Times New Roman" w:cs="Times New Roman"/>
          <w:color w:val="auto"/>
          <w:szCs w:val="20"/>
          <w:bdr w:val="none" w:sz="0" w:space="0" w:color="auto"/>
          <w:lang w:eastAsia="en-US"/>
        </w:rPr>
        <w:t xml:space="preserve"> for recycle to microalgae cultivation</w:t>
      </w:r>
      <w:r w:rsidR="001E6461">
        <w:rPr>
          <w:rFonts w:eastAsia="Times New Roman" w:cs="Times New Roman"/>
          <w:color w:val="auto"/>
          <w:szCs w:val="20"/>
          <w:bdr w:val="none" w:sz="0" w:space="0" w:color="auto"/>
          <w:lang w:eastAsia="en-US"/>
        </w:rPr>
        <w:t>.</w:t>
      </w:r>
      <w:r w:rsidR="00AD1B1F" w:rsidRPr="00AD1B1F">
        <w:rPr>
          <w:rFonts w:eastAsia="Times New Roman" w:cs="Times New Roman"/>
          <w:color w:val="auto"/>
          <w:szCs w:val="20"/>
          <w:bdr w:val="none" w:sz="0" w:space="0" w:color="auto"/>
          <w:lang w:eastAsia="en-US"/>
        </w:rPr>
        <w:t xml:space="preserve"> </w:t>
      </w:r>
      <w:r w:rsidR="001E6461">
        <w:rPr>
          <w:rFonts w:eastAsia="Times New Roman" w:cs="Times New Roman"/>
          <w:color w:val="auto"/>
          <w:szCs w:val="20"/>
          <w:bdr w:val="none" w:sz="0" w:space="0" w:color="auto"/>
          <w:lang w:eastAsia="en-US"/>
        </w:rPr>
        <w:t xml:space="preserve">On the contrary, membrane-based filtration as emerging technology </w:t>
      </w:r>
      <w:r w:rsidR="001F38F8">
        <w:rPr>
          <w:rFonts w:eastAsia="Times New Roman" w:cs="Times New Roman"/>
          <w:color w:val="auto"/>
          <w:szCs w:val="20"/>
          <w:bdr w:val="none" w:sz="0" w:space="0" w:color="auto"/>
          <w:lang w:eastAsia="en-US"/>
        </w:rPr>
        <w:t>(Marino et al. 201</w:t>
      </w:r>
      <w:r w:rsidR="00F81923">
        <w:rPr>
          <w:rFonts w:eastAsia="Times New Roman" w:cs="Times New Roman"/>
          <w:color w:val="auto"/>
          <w:szCs w:val="20"/>
          <w:bdr w:val="none" w:sz="0" w:space="0" w:color="auto"/>
          <w:lang w:eastAsia="en-US"/>
        </w:rPr>
        <w:t>7</w:t>
      </w:r>
      <w:r w:rsidR="001F38F8">
        <w:rPr>
          <w:rFonts w:eastAsia="Times New Roman" w:cs="Times New Roman"/>
          <w:color w:val="auto"/>
          <w:szCs w:val="20"/>
          <w:bdr w:val="none" w:sz="0" w:space="0" w:color="auto"/>
          <w:lang w:eastAsia="en-US"/>
        </w:rPr>
        <w:t>, Marino et al.</w:t>
      </w:r>
      <w:r w:rsidR="00F81923">
        <w:rPr>
          <w:rFonts w:eastAsia="Times New Roman" w:cs="Times New Roman"/>
          <w:color w:val="auto"/>
          <w:szCs w:val="20"/>
          <w:bdr w:val="none" w:sz="0" w:space="0" w:color="auto"/>
          <w:lang w:eastAsia="en-US"/>
        </w:rPr>
        <w:t xml:space="preserve"> 2019</w:t>
      </w:r>
      <w:r w:rsidR="001F38F8">
        <w:rPr>
          <w:rFonts w:eastAsia="Times New Roman" w:cs="Times New Roman"/>
          <w:color w:val="auto"/>
          <w:szCs w:val="20"/>
          <w:bdr w:val="none" w:sz="0" w:space="0" w:color="auto"/>
          <w:lang w:eastAsia="en-US"/>
        </w:rPr>
        <w:t xml:space="preserve">) </w:t>
      </w:r>
      <w:r w:rsidR="001E6461">
        <w:rPr>
          <w:rFonts w:eastAsia="Times New Roman" w:cs="Times New Roman"/>
          <w:color w:val="auto"/>
          <w:szCs w:val="20"/>
          <w:bdr w:val="none" w:sz="0" w:space="0" w:color="auto"/>
          <w:lang w:eastAsia="en-US"/>
        </w:rPr>
        <w:t xml:space="preserve">should represent a cost-effective </w:t>
      </w:r>
      <w:r w:rsidR="00AD1B1F" w:rsidRPr="00AD1B1F">
        <w:rPr>
          <w:rFonts w:eastAsia="Times New Roman" w:cs="Times New Roman"/>
          <w:color w:val="auto"/>
          <w:szCs w:val="20"/>
          <w:bdr w:val="none" w:sz="0" w:space="0" w:color="auto"/>
          <w:lang w:eastAsia="en-US"/>
        </w:rPr>
        <w:t xml:space="preserve">dewatering </w:t>
      </w:r>
      <w:r w:rsidR="001E6461">
        <w:rPr>
          <w:rFonts w:eastAsia="Times New Roman" w:cs="Times New Roman"/>
          <w:color w:val="auto"/>
          <w:szCs w:val="20"/>
          <w:bdr w:val="none" w:sz="0" w:space="0" w:color="auto"/>
          <w:lang w:eastAsia="en-US"/>
        </w:rPr>
        <w:t>solution</w:t>
      </w:r>
      <w:r w:rsidR="00AD1B1F" w:rsidRPr="00AD1B1F">
        <w:rPr>
          <w:rFonts w:eastAsia="Times New Roman" w:cs="Times New Roman"/>
          <w:color w:val="auto"/>
          <w:szCs w:val="20"/>
          <w:bdr w:val="none" w:sz="0" w:space="0" w:color="auto"/>
          <w:lang w:eastAsia="en-US"/>
        </w:rPr>
        <w:t>, due to the potential benefit</w:t>
      </w:r>
      <w:r w:rsidR="001F38F8">
        <w:rPr>
          <w:rFonts w:eastAsia="Times New Roman" w:cs="Times New Roman"/>
          <w:color w:val="auto"/>
          <w:szCs w:val="20"/>
          <w:bdr w:val="none" w:sz="0" w:space="0" w:color="auto"/>
          <w:lang w:eastAsia="en-US"/>
        </w:rPr>
        <w:t>s</w:t>
      </w:r>
      <w:r w:rsidR="00AD1B1F" w:rsidRPr="00AD1B1F">
        <w:rPr>
          <w:rFonts w:eastAsia="Times New Roman" w:cs="Times New Roman"/>
          <w:color w:val="auto"/>
          <w:szCs w:val="20"/>
          <w:bdr w:val="none" w:sz="0" w:space="0" w:color="auto"/>
          <w:lang w:eastAsia="en-US"/>
        </w:rPr>
        <w:t xml:space="preserve"> in terms of process intensification performance. For </w:t>
      </w:r>
      <w:r w:rsidR="001E6461">
        <w:rPr>
          <w:rFonts w:eastAsia="Times New Roman" w:cs="Times New Roman"/>
          <w:color w:val="auto"/>
          <w:szCs w:val="20"/>
          <w:bdr w:val="none" w:sz="0" w:space="0" w:color="auto"/>
          <w:lang w:eastAsia="en-US"/>
        </w:rPr>
        <w:t xml:space="preserve">microalgae </w:t>
      </w:r>
      <w:r w:rsidR="00AD1B1F" w:rsidRPr="00AD1B1F">
        <w:rPr>
          <w:rFonts w:eastAsia="Times New Roman" w:cs="Times New Roman"/>
          <w:color w:val="auto"/>
          <w:szCs w:val="20"/>
          <w:bdr w:val="none" w:sz="0" w:space="0" w:color="auto"/>
          <w:lang w:eastAsia="en-US"/>
        </w:rPr>
        <w:t xml:space="preserve">dewatering </w:t>
      </w:r>
      <w:r w:rsidR="001E6461">
        <w:rPr>
          <w:rFonts w:eastAsia="Times New Roman" w:cs="Times New Roman"/>
          <w:color w:val="auto"/>
          <w:szCs w:val="20"/>
          <w:bdr w:val="none" w:sz="0" w:space="0" w:color="auto"/>
          <w:lang w:eastAsia="en-US"/>
        </w:rPr>
        <w:t>step</w:t>
      </w:r>
      <w:r w:rsidR="00AD1B1F" w:rsidRPr="00AD1B1F">
        <w:rPr>
          <w:rFonts w:eastAsia="Times New Roman" w:cs="Times New Roman"/>
          <w:color w:val="auto"/>
          <w:szCs w:val="20"/>
          <w:bdr w:val="none" w:sz="0" w:space="0" w:color="auto"/>
          <w:lang w:eastAsia="en-US"/>
        </w:rPr>
        <w:t xml:space="preserve">, </w:t>
      </w:r>
      <w:r w:rsidR="001E6461">
        <w:rPr>
          <w:rFonts w:eastAsia="Times New Roman" w:cs="Times New Roman"/>
          <w:color w:val="auto"/>
          <w:szCs w:val="20"/>
          <w:bdr w:val="none" w:sz="0" w:space="0" w:color="auto"/>
          <w:lang w:eastAsia="en-US"/>
        </w:rPr>
        <w:t xml:space="preserve">a </w:t>
      </w:r>
      <w:r w:rsidR="00AD1B1F" w:rsidRPr="00AD1B1F">
        <w:rPr>
          <w:rFonts w:eastAsia="Times New Roman" w:cs="Times New Roman"/>
          <w:color w:val="auto"/>
          <w:szCs w:val="20"/>
          <w:bdr w:val="none" w:sz="0" w:space="0" w:color="auto"/>
          <w:lang w:eastAsia="en-US"/>
        </w:rPr>
        <w:t xml:space="preserve">selected membrane </w:t>
      </w:r>
      <w:r w:rsidR="001E6461">
        <w:rPr>
          <w:rFonts w:eastAsia="Times New Roman" w:cs="Times New Roman"/>
          <w:color w:val="auto"/>
          <w:szCs w:val="20"/>
          <w:bdr w:val="none" w:sz="0" w:space="0" w:color="auto"/>
          <w:lang w:eastAsia="en-US"/>
        </w:rPr>
        <w:t>allows</w:t>
      </w:r>
      <w:r w:rsidR="00AD1B1F" w:rsidRPr="00AD1B1F">
        <w:rPr>
          <w:rFonts w:eastAsia="Times New Roman" w:cs="Times New Roman"/>
          <w:color w:val="auto"/>
          <w:szCs w:val="20"/>
          <w:bdr w:val="none" w:sz="0" w:space="0" w:color="auto"/>
          <w:lang w:eastAsia="en-US"/>
        </w:rPr>
        <w:t xml:space="preserve"> water to pass </w:t>
      </w:r>
      <w:r w:rsidR="001E6461">
        <w:rPr>
          <w:rFonts w:eastAsia="Times New Roman" w:cs="Times New Roman"/>
          <w:color w:val="auto"/>
          <w:szCs w:val="20"/>
          <w:bdr w:val="none" w:sz="0" w:space="0" w:color="auto"/>
          <w:lang w:eastAsia="en-US"/>
        </w:rPr>
        <w:t>across</w:t>
      </w:r>
      <w:r w:rsidR="00AD1B1F" w:rsidRPr="00AD1B1F">
        <w:rPr>
          <w:rFonts w:eastAsia="Times New Roman" w:cs="Times New Roman"/>
          <w:color w:val="auto"/>
          <w:szCs w:val="20"/>
          <w:bdr w:val="none" w:sz="0" w:space="0" w:color="auto"/>
          <w:lang w:eastAsia="en-US"/>
        </w:rPr>
        <w:t xml:space="preserve"> it </w:t>
      </w:r>
      <w:r w:rsidR="001E6461">
        <w:rPr>
          <w:rFonts w:eastAsia="Times New Roman" w:cs="Times New Roman"/>
          <w:color w:val="auto"/>
          <w:szCs w:val="20"/>
          <w:bdr w:val="none" w:sz="0" w:space="0" w:color="auto"/>
          <w:lang w:eastAsia="en-US"/>
        </w:rPr>
        <w:t xml:space="preserve">matrix (permeate), hindering, at the same time, </w:t>
      </w:r>
      <w:r w:rsidR="00AD1B1F" w:rsidRPr="00AD1B1F">
        <w:rPr>
          <w:rFonts w:eastAsia="Times New Roman" w:cs="Times New Roman"/>
          <w:color w:val="auto"/>
          <w:szCs w:val="20"/>
          <w:bdr w:val="none" w:sz="0" w:space="0" w:color="auto"/>
          <w:lang w:eastAsia="en-US"/>
        </w:rPr>
        <w:t xml:space="preserve">microalgae </w:t>
      </w:r>
      <w:r w:rsidR="001E6461">
        <w:rPr>
          <w:rFonts w:eastAsia="Times New Roman" w:cs="Times New Roman"/>
          <w:color w:val="auto"/>
          <w:szCs w:val="20"/>
          <w:bdr w:val="none" w:sz="0" w:space="0" w:color="auto"/>
          <w:lang w:eastAsia="en-US"/>
        </w:rPr>
        <w:t>passage (retentate)</w:t>
      </w:r>
      <w:r w:rsidR="00AD1B1F" w:rsidRPr="00AD1B1F">
        <w:rPr>
          <w:rFonts w:eastAsia="Times New Roman" w:cs="Times New Roman"/>
          <w:color w:val="auto"/>
          <w:szCs w:val="20"/>
          <w:bdr w:val="none" w:sz="0" w:space="0" w:color="auto"/>
          <w:lang w:eastAsia="en-US"/>
        </w:rPr>
        <w:t>.</w:t>
      </w:r>
    </w:p>
    <w:p w:rsidR="00384302" w:rsidRDefault="00384302" w:rsidP="00384302">
      <w:pPr>
        <w:pStyle w:val="CETBodytext"/>
        <w:rPr>
          <w:rFonts w:eastAsia="Times New Roman" w:cs="Times New Roman"/>
          <w:color w:val="auto"/>
          <w:szCs w:val="20"/>
          <w:bdr w:val="none" w:sz="0" w:space="0" w:color="auto"/>
          <w:lang w:eastAsia="en-US"/>
        </w:rPr>
      </w:pPr>
      <w:r>
        <w:rPr>
          <w:rFonts w:eastAsia="Times New Roman" w:cs="Times New Roman"/>
          <w:color w:val="auto"/>
          <w:szCs w:val="20"/>
          <w:bdr w:val="none" w:sz="0" w:space="0" w:color="auto"/>
          <w:lang w:val="en-GB" w:eastAsia="en-US"/>
        </w:rPr>
        <w:t xml:space="preserve">In this work, a </w:t>
      </w:r>
      <w:r w:rsidR="001E6461">
        <w:rPr>
          <w:rFonts w:eastAsia="Times New Roman" w:cs="Times New Roman"/>
          <w:color w:val="auto"/>
          <w:szCs w:val="20"/>
          <w:bdr w:val="none" w:sz="0" w:space="0" w:color="auto"/>
          <w:lang w:val="en-GB" w:eastAsia="en-US"/>
        </w:rPr>
        <w:t xml:space="preserve">preliminary </w:t>
      </w:r>
      <w:r>
        <w:rPr>
          <w:rFonts w:eastAsia="Times New Roman" w:cs="Times New Roman"/>
          <w:color w:val="auto"/>
          <w:szCs w:val="20"/>
          <w:bdr w:val="none" w:sz="0" w:space="0" w:color="auto"/>
          <w:lang w:val="en-GB" w:eastAsia="en-US"/>
        </w:rPr>
        <w:t xml:space="preserve">membrane-based separation was </w:t>
      </w:r>
      <w:r w:rsidR="001E6461">
        <w:rPr>
          <w:rFonts w:eastAsia="Times New Roman" w:cs="Times New Roman"/>
          <w:color w:val="auto"/>
          <w:szCs w:val="20"/>
          <w:bdr w:val="none" w:sz="0" w:space="0" w:color="auto"/>
          <w:lang w:val="en-GB" w:eastAsia="en-US"/>
        </w:rPr>
        <w:t>carried out</w:t>
      </w:r>
      <w:r>
        <w:rPr>
          <w:rFonts w:eastAsia="Times New Roman" w:cs="Times New Roman"/>
          <w:color w:val="auto"/>
          <w:szCs w:val="20"/>
          <w:bdr w:val="none" w:sz="0" w:space="0" w:color="auto"/>
          <w:lang w:val="en-GB" w:eastAsia="en-US"/>
        </w:rPr>
        <w:t xml:space="preserve"> with the aim to recover water and to reuse it for a subsequent </w:t>
      </w:r>
      <w:r w:rsidRPr="00305612">
        <w:rPr>
          <w:rFonts w:eastAsia="Times New Roman" w:cs="Times New Roman"/>
          <w:color w:val="auto"/>
          <w:szCs w:val="20"/>
          <w:bdr w:val="none" w:sz="0" w:space="0" w:color="auto"/>
          <w:lang w:val="en-GB" w:eastAsia="en-US"/>
        </w:rPr>
        <w:t xml:space="preserve">Scenedesmus almeriensis </w:t>
      </w:r>
      <w:r>
        <w:rPr>
          <w:rFonts w:eastAsia="Times New Roman" w:cs="Times New Roman"/>
          <w:color w:val="auto"/>
          <w:szCs w:val="20"/>
          <w:bdr w:val="none" w:sz="0" w:space="0" w:color="auto"/>
          <w:lang w:val="en-GB" w:eastAsia="en-US"/>
        </w:rPr>
        <w:t>microalagae grow</w:t>
      </w:r>
      <w:r w:rsidR="00BF28EA">
        <w:rPr>
          <w:rFonts w:eastAsia="Times New Roman" w:cs="Times New Roman"/>
          <w:color w:val="auto"/>
          <w:szCs w:val="20"/>
          <w:bdr w:val="none" w:sz="0" w:space="0" w:color="auto"/>
          <w:lang w:val="en-GB" w:eastAsia="en-US"/>
        </w:rPr>
        <w:t>th</w:t>
      </w:r>
      <w:r>
        <w:rPr>
          <w:rFonts w:eastAsia="Times New Roman" w:cs="Times New Roman"/>
          <w:color w:val="auto"/>
          <w:szCs w:val="20"/>
          <w:bdr w:val="none" w:sz="0" w:space="0" w:color="auto"/>
          <w:lang w:val="en-GB" w:eastAsia="en-US"/>
        </w:rPr>
        <w:t xml:space="preserve">. </w:t>
      </w:r>
      <w:r w:rsidRPr="00305612">
        <w:rPr>
          <w:rFonts w:eastAsia="Times New Roman" w:cs="Times New Roman"/>
          <w:color w:val="auto"/>
          <w:szCs w:val="20"/>
          <w:bdr w:val="none" w:sz="0" w:space="0" w:color="auto"/>
          <w:lang w:val="en-GB" w:eastAsia="en-US"/>
        </w:rPr>
        <w:t>A commercial PVDF membrane</w:t>
      </w:r>
      <w:r w:rsidR="00BD2D7D">
        <w:rPr>
          <w:rFonts w:eastAsia="Times New Roman" w:cs="Times New Roman"/>
          <w:color w:val="auto"/>
          <w:szCs w:val="20"/>
          <w:bdr w:val="none" w:sz="0" w:space="0" w:color="auto"/>
          <w:lang w:val="en-GB" w:eastAsia="en-US"/>
        </w:rPr>
        <w:t>,</w:t>
      </w:r>
      <w:r w:rsidRPr="00305612">
        <w:rPr>
          <w:rFonts w:eastAsia="Times New Roman" w:cs="Times New Roman"/>
          <w:color w:val="auto"/>
          <w:szCs w:val="20"/>
          <w:bdr w:val="none" w:sz="0" w:space="0" w:color="auto"/>
          <w:lang w:val="en-GB" w:eastAsia="en-US"/>
        </w:rPr>
        <w:t xml:space="preserve"> having a pore size in the m</w:t>
      </w:r>
      <w:r w:rsidR="00E23A1D">
        <w:rPr>
          <w:rFonts w:eastAsia="Times New Roman" w:cs="Times New Roman"/>
          <w:color w:val="auto"/>
          <w:szCs w:val="20"/>
          <w:bdr w:val="none" w:sz="0" w:space="0" w:color="auto"/>
          <w:lang w:val="en-GB" w:eastAsia="en-US"/>
        </w:rPr>
        <w:t xml:space="preserve">icrofiltration range, was used </w:t>
      </w:r>
      <w:r w:rsidR="00BD2D7D">
        <w:rPr>
          <w:rFonts w:eastAsia="Times New Roman" w:cs="Times New Roman"/>
          <w:color w:val="auto"/>
          <w:szCs w:val="20"/>
          <w:bdr w:val="none" w:sz="0" w:space="0" w:color="auto"/>
          <w:lang w:val="en-GB" w:eastAsia="en-US"/>
        </w:rPr>
        <w:t>for the filtration</w:t>
      </w:r>
      <w:r w:rsidR="00F81923">
        <w:rPr>
          <w:rFonts w:eastAsia="Times New Roman" w:cs="Times New Roman"/>
          <w:color w:val="auto"/>
          <w:szCs w:val="20"/>
          <w:bdr w:val="none" w:sz="0" w:space="0" w:color="auto"/>
          <w:lang w:val="en-GB" w:eastAsia="en-US"/>
        </w:rPr>
        <w:t xml:space="preserve"> </w:t>
      </w:r>
      <w:r w:rsidR="00BD2D7D">
        <w:rPr>
          <w:rFonts w:eastAsia="Times New Roman" w:cs="Times New Roman"/>
          <w:color w:val="auto"/>
          <w:szCs w:val="20"/>
          <w:bdr w:val="none" w:sz="0" w:space="0" w:color="auto"/>
          <w:lang w:val="en-GB" w:eastAsia="en-US"/>
        </w:rPr>
        <w:t xml:space="preserve">tests </w:t>
      </w:r>
      <w:r w:rsidR="00E23A1D">
        <w:rPr>
          <w:rFonts w:eastAsia="Times New Roman" w:cs="Times New Roman"/>
          <w:color w:val="auto"/>
          <w:szCs w:val="20"/>
          <w:bdr w:val="none" w:sz="0" w:space="0" w:color="auto"/>
          <w:lang w:val="en-GB" w:eastAsia="en-US"/>
        </w:rPr>
        <w:t xml:space="preserve">and </w:t>
      </w:r>
      <w:r w:rsidR="001E6461">
        <w:rPr>
          <w:rFonts w:eastAsia="Times New Roman" w:cs="Times New Roman"/>
          <w:color w:val="auto"/>
          <w:szCs w:val="20"/>
          <w:bdr w:val="none" w:sz="0" w:space="0" w:color="auto"/>
          <w:lang w:val="en-GB" w:eastAsia="en-US"/>
        </w:rPr>
        <w:t xml:space="preserve">morphologically </w:t>
      </w:r>
      <w:r w:rsidR="00E23A1D">
        <w:rPr>
          <w:rFonts w:eastAsia="Times New Roman" w:cs="Times New Roman"/>
          <w:color w:val="auto"/>
          <w:szCs w:val="20"/>
          <w:bdr w:val="none" w:sz="0" w:space="0" w:color="auto"/>
          <w:lang w:val="en-GB" w:eastAsia="en-US"/>
        </w:rPr>
        <w:t>characterized before and after filtration tests.</w:t>
      </w:r>
    </w:p>
    <w:p w:rsidR="00586CBF" w:rsidRPr="00F71675" w:rsidRDefault="00586CBF" w:rsidP="00586CBF">
      <w:pPr>
        <w:pStyle w:val="CETHeading1"/>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40" w:lineRule="auto"/>
        <w:ind w:left="0" w:firstLine="0"/>
        <w:rPr>
          <w:rFonts w:eastAsia="Times New Roman" w:cs="Times New Roman"/>
          <w:bCs w:val="0"/>
          <w:color w:val="auto"/>
          <w:bdr w:val="none" w:sz="0" w:space="0" w:color="auto"/>
          <w:lang w:val="en-GB" w:eastAsia="en-US"/>
        </w:rPr>
      </w:pPr>
      <w:r w:rsidRPr="00F71675">
        <w:rPr>
          <w:rFonts w:eastAsia="Times New Roman" w:cs="Times New Roman"/>
          <w:bCs w:val="0"/>
          <w:color w:val="auto"/>
          <w:bdr w:val="none" w:sz="0" w:space="0" w:color="auto"/>
          <w:lang w:val="en-GB" w:eastAsia="en-US"/>
        </w:rPr>
        <w:lastRenderedPageBreak/>
        <w:t>Materials and methods</w:t>
      </w:r>
    </w:p>
    <w:p w:rsidR="00586CBF" w:rsidRPr="00F71675" w:rsidRDefault="00586CBF" w:rsidP="00586CBF">
      <w:pPr>
        <w:pStyle w:val="CETheadingx"/>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clear" w:pos="7100"/>
        </w:tabs>
        <w:spacing w:line="240" w:lineRule="auto"/>
        <w:jc w:val="left"/>
        <w:rPr>
          <w:rFonts w:eastAsia="Times New Roman" w:cs="Times New Roman"/>
          <w:bCs w:val="0"/>
          <w:color w:val="auto"/>
          <w:szCs w:val="20"/>
          <w:bdr w:val="none" w:sz="0" w:space="0" w:color="auto"/>
          <w:lang w:eastAsia="en-US"/>
        </w:rPr>
      </w:pPr>
      <w:r>
        <w:rPr>
          <w:rFonts w:eastAsia="Times New Roman" w:cs="Times New Roman"/>
          <w:bCs w:val="0"/>
          <w:color w:val="auto"/>
          <w:szCs w:val="20"/>
          <w:bdr w:val="none" w:sz="0" w:space="0" w:color="auto"/>
          <w:lang w:eastAsia="en-US"/>
        </w:rPr>
        <w:t xml:space="preserve">2.1 </w:t>
      </w:r>
      <w:r w:rsidRPr="00F71675">
        <w:rPr>
          <w:rFonts w:eastAsia="Times New Roman" w:cs="Times New Roman"/>
          <w:bCs w:val="0"/>
          <w:color w:val="auto"/>
          <w:szCs w:val="20"/>
          <w:bdr w:val="none" w:sz="0" w:space="0" w:color="auto"/>
          <w:lang w:eastAsia="en-US"/>
        </w:rPr>
        <w:t>Experimental design</w:t>
      </w:r>
      <w:r w:rsidR="00BF28EA">
        <w:rPr>
          <w:rFonts w:eastAsia="Times New Roman" w:cs="Times New Roman"/>
          <w:bCs w:val="0"/>
          <w:color w:val="auto"/>
          <w:szCs w:val="20"/>
          <w:bdr w:val="none" w:sz="0" w:space="0" w:color="auto"/>
          <w:lang w:eastAsia="en-US"/>
        </w:rPr>
        <w:t xml:space="preserve"> </w:t>
      </w:r>
    </w:p>
    <w:p w:rsidR="00305612"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sidRPr="008519FD">
        <w:rPr>
          <w:iCs/>
        </w:rPr>
        <w:t>The chemical installation consist</w:t>
      </w:r>
      <w:r w:rsidR="00BD2D7D">
        <w:rPr>
          <w:iCs/>
        </w:rPr>
        <w:t>ed</w:t>
      </w:r>
      <w:r w:rsidRPr="008519FD">
        <w:rPr>
          <w:iCs/>
        </w:rPr>
        <w:t xml:space="preserve"> of a tubular photobioreactors with volume-surface ratio of about 56.5 L/m</w:t>
      </w:r>
      <w:r w:rsidRPr="00DC586D">
        <w:rPr>
          <w:iCs/>
          <w:vertAlign w:val="superscript"/>
        </w:rPr>
        <w:t>2</w:t>
      </w:r>
      <w:r w:rsidRPr="008519FD">
        <w:rPr>
          <w:iCs/>
        </w:rPr>
        <w:t xml:space="preserve"> equipped with control and monitoring systems of the microalgal biomass growth. Temperature and pH </w:t>
      </w:r>
      <w:r w:rsidR="00BD2D7D">
        <w:rPr>
          <w:iCs/>
        </w:rPr>
        <w:t>were</w:t>
      </w:r>
      <w:r w:rsidRPr="008519FD">
        <w:rPr>
          <w:iCs/>
        </w:rPr>
        <w:t xml:space="preserve"> monitored in real time by SCADA (Supervisory Control And Data Acquisition) with alarms. Photobioreactors </w:t>
      </w:r>
      <w:r w:rsidR="00BD2D7D">
        <w:rPr>
          <w:iCs/>
        </w:rPr>
        <w:t>were</w:t>
      </w:r>
      <w:r w:rsidR="00BD2D7D" w:rsidRPr="008519FD">
        <w:rPr>
          <w:iCs/>
        </w:rPr>
        <w:t xml:space="preserve"> </w:t>
      </w:r>
      <w:r w:rsidRPr="008519FD">
        <w:rPr>
          <w:iCs/>
        </w:rPr>
        <w:t xml:space="preserve">equipped with a feeding system (sparger) of gaseous mixtures, consisting of Nitrogen, Oxygen and Carbon Dioxide. Light </w:t>
      </w:r>
      <w:r w:rsidR="00BD2D7D">
        <w:rPr>
          <w:iCs/>
        </w:rPr>
        <w:t>was</w:t>
      </w:r>
      <w:r w:rsidRPr="008519FD">
        <w:rPr>
          <w:iCs/>
        </w:rPr>
        <w:t xml:space="preserve"> provided by LED</w:t>
      </w:r>
      <w:r w:rsidR="00BF28EA">
        <w:rPr>
          <w:iCs/>
        </w:rPr>
        <w:t xml:space="preserve"> </w:t>
      </w:r>
      <w:r w:rsidRPr="008519FD">
        <w:rPr>
          <w:iCs/>
        </w:rPr>
        <w:t xml:space="preserve">(white, blue and red light) of three different wavelengths but in this experimental test only white light was used. Luminous flux, which </w:t>
      </w:r>
      <w:r w:rsidR="00BD2D7D">
        <w:rPr>
          <w:iCs/>
        </w:rPr>
        <w:t>was</w:t>
      </w:r>
      <w:r w:rsidRPr="008519FD">
        <w:rPr>
          <w:iCs/>
        </w:rPr>
        <w:t xml:space="preserve"> perpendicular to photobioreactor surface, varie</w:t>
      </w:r>
      <w:r w:rsidR="00BD2D7D">
        <w:rPr>
          <w:iCs/>
        </w:rPr>
        <w:t>d</w:t>
      </w:r>
      <w:r w:rsidRPr="008519FD">
        <w:rPr>
          <w:iCs/>
        </w:rPr>
        <w:t xml:space="preserve"> in the range 500 – 4,000 lux on </w:t>
      </w:r>
      <w:r w:rsidR="00BD2D7D">
        <w:rPr>
          <w:iCs/>
        </w:rPr>
        <w:t xml:space="preserve">the </w:t>
      </w:r>
      <w:r w:rsidRPr="008519FD">
        <w:rPr>
          <w:iCs/>
        </w:rPr>
        <w:t xml:space="preserve">surface. It </w:t>
      </w:r>
      <w:r w:rsidR="00BD2D7D">
        <w:rPr>
          <w:iCs/>
        </w:rPr>
        <w:t>was</w:t>
      </w:r>
      <w:r w:rsidRPr="008519FD">
        <w:rPr>
          <w:iCs/>
        </w:rPr>
        <w:t xml:space="preserve"> possible to regulate the optimal algal growth temperature through a single tube exchanger </w:t>
      </w:r>
      <w:r w:rsidR="00BF28EA">
        <w:rPr>
          <w:iCs/>
        </w:rPr>
        <w:t xml:space="preserve">positioned </w:t>
      </w:r>
      <w:r w:rsidRPr="008519FD">
        <w:rPr>
          <w:iCs/>
        </w:rPr>
        <w:t xml:space="preserve">inside the photobioreactor and connected to a cooling chiller for the dissipation of the excess heat supplied by the led. The operating temperature range </w:t>
      </w:r>
      <w:r w:rsidR="00BD2D7D">
        <w:rPr>
          <w:iCs/>
        </w:rPr>
        <w:t>was</w:t>
      </w:r>
      <w:r w:rsidRPr="008519FD">
        <w:rPr>
          <w:iCs/>
        </w:rPr>
        <w:t xml:space="preserve"> between 15 and 35 °C. For the growth of Scenedesmus Almeriensis</w:t>
      </w:r>
      <w:r w:rsidR="00BD2D7D">
        <w:rPr>
          <w:iCs/>
        </w:rPr>
        <w:t xml:space="preserve"> in the </w:t>
      </w:r>
      <w:r w:rsidR="00BD2D7D" w:rsidRPr="008519FD">
        <w:rPr>
          <w:iCs/>
        </w:rPr>
        <w:t>photobioreactor</w:t>
      </w:r>
      <w:r w:rsidRPr="008519FD">
        <w:rPr>
          <w:iCs/>
        </w:rPr>
        <w:t>, a luminous flux of 4,000 lux and a gas flow rate of 300 mL/min were used</w:t>
      </w:r>
      <w:r w:rsidR="00BD2D7D">
        <w:rPr>
          <w:iCs/>
        </w:rPr>
        <w:t>.</w:t>
      </w:r>
      <w:r w:rsidRPr="008519FD">
        <w:rPr>
          <w:iCs/>
        </w:rPr>
        <w:t xml:space="preserve"> The whole experimental apparatus was installed on an aluminum structure </w:t>
      </w:r>
      <w:r w:rsidR="00BD2D7D" w:rsidRPr="008519FD">
        <w:rPr>
          <w:iCs/>
        </w:rPr>
        <w:t>with</w:t>
      </w:r>
      <w:r w:rsidR="00BD2D7D">
        <w:rPr>
          <w:iCs/>
        </w:rPr>
        <w:t xml:space="preserve"> the following </w:t>
      </w:r>
      <w:r w:rsidRPr="008519FD">
        <w:rPr>
          <w:iCs/>
        </w:rPr>
        <w:t>dimension</w:t>
      </w:r>
      <w:r w:rsidR="002E69A8">
        <w:rPr>
          <w:iCs/>
        </w:rPr>
        <w:t>s: 2,500 mm x 1,000 mm x 500 mm and the cylindrical PBR</w:t>
      </w:r>
      <w:r w:rsidRPr="008519FD">
        <w:rPr>
          <w:iCs/>
        </w:rPr>
        <w:t xml:space="preserve"> </w:t>
      </w:r>
      <w:r w:rsidR="002E69A8">
        <w:rPr>
          <w:iCs/>
        </w:rPr>
        <w:t>with</w:t>
      </w:r>
      <w:r w:rsidR="002E69A8" w:rsidRPr="008519FD">
        <w:rPr>
          <w:iCs/>
        </w:rPr>
        <w:t xml:space="preserve"> effective volume </w:t>
      </w:r>
      <w:r w:rsidR="002E69A8">
        <w:rPr>
          <w:iCs/>
        </w:rPr>
        <w:t>of</w:t>
      </w:r>
      <w:r w:rsidR="002E69A8" w:rsidRPr="008519FD">
        <w:rPr>
          <w:iCs/>
        </w:rPr>
        <w:t xml:space="preserve"> 28.8 L </w:t>
      </w:r>
      <w:r w:rsidR="00BD2D7D">
        <w:rPr>
          <w:iCs/>
        </w:rPr>
        <w:t>was</w:t>
      </w:r>
      <w:r w:rsidR="002E69A8" w:rsidRPr="008519FD">
        <w:rPr>
          <w:iCs/>
        </w:rPr>
        <w:t xml:space="preserve"> made in Plexiglas </w:t>
      </w:r>
      <w:r w:rsidR="00420D31">
        <w:rPr>
          <w:iCs/>
        </w:rPr>
        <w:t xml:space="preserve">having </w:t>
      </w:r>
      <w:r w:rsidRPr="008519FD">
        <w:rPr>
          <w:iCs/>
        </w:rPr>
        <w:t xml:space="preserve">dimensions height = 680 mm, external diameter = 250 mm and thickness = 10 mm. The bottom of the </w:t>
      </w:r>
      <w:r w:rsidR="00420D31">
        <w:rPr>
          <w:iCs/>
        </w:rPr>
        <w:t xml:space="preserve">PBR </w:t>
      </w:r>
      <w:r w:rsidRPr="008519FD">
        <w:rPr>
          <w:iCs/>
        </w:rPr>
        <w:t xml:space="preserve">is equipped with 6 filleted holes (1/2”), in which 6 sintered steel spargers of gaseous mixture </w:t>
      </w:r>
      <w:r w:rsidR="00BD2D7D">
        <w:rPr>
          <w:iCs/>
        </w:rPr>
        <w:t>were</w:t>
      </w:r>
      <w:r w:rsidR="00BD2D7D" w:rsidRPr="008519FD">
        <w:rPr>
          <w:iCs/>
        </w:rPr>
        <w:t xml:space="preserve"> </w:t>
      </w:r>
      <w:r w:rsidRPr="008519FD">
        <w:rPr>
          <w:iCs/>
        </w:rPr>
        <w:t>installed, and with 3 holes for temperature/pH sensor insertion. Temperature control systems consist</w:t>
      </w:r>
      <w:r w:rsidR="00BD2D7D">
        <w:rPr>
          <w:iCs/>
        </w:rPr>
        <w:t>ed</w:t>
      </w:r>
      <w:r w:rsidRPr="008519FD">
        <w:rPr>
          <w:iCs/>
        </w:rPr>
        <w:t xml:space="preserve"> in an AISI 316L coaxial pipe (Diameter = 60.3 mm - Thickness = 1 mm) in which the cooling water flows and its temperature </w:t>
      </w:r>
      <w:r w:rsidR="00BD2D7D">
        <w:rPr>
          <w:iCs/>
        </w:rPr>
        <w:t>were</w:t>
      </w:r>
      <w:r w:rsidRPr="008519FD">
        <w:rPr>
          <w:iCs/>
        </w:rPr>
        <w:t xml:space="preserve"> regulated by special chillers</w:t>
      </w:r>
      <w:r w:rsidR="00420D31">
        <w:rPr>
          <w:iCs/>
        </w:rPr>
        <w:t xml:space="preserve">. </w:t>
      </w:r>
      <w:r w:rsidR="00BD2D7D">
        <w:rPr>
          <w:iCs/>
        </w:rPr>
        <w:t>E</w:t>
      </w:r>
      <w:r w:rsidR="00420D31">
        <w:rPr>
          <w:iCs/>
        </w:rPr>
        <w:t>xperimental tests w</w:t>
      </w:r>
      <w:r w:rsidR="00BD2D7D">
        <w:rPr>
          <w:iCs/>
        </w:rPr>
        <w:t xml:space="preserve">ere performed </w:t>
      </w:r>
      <w:r w:rsidR="00420D31">
        <w:rPr>
          <w:iCs/>
        </w:rPr>
        <w:t xml:space="preserve"> at 28 °C</w:t>
      </w:r>
      <w:r w:rsidR="00BD2D7D">
        <w:rPr>
          <w:iCs/>
        </w:rPr>
        <w:t>.</w:t>
      </w:r>
    </w:p>
    <w:p w:rsidR="001E6461" w:rsidRPr="008519FD" w:rsidRDefault="001E6461"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305612" w:rsidRPr="00305612" w:rsidRDefault="00B0153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jc w:val="center"/>
        <w:rPr>
          <w:i/>
          <w:iCs/>
        </w:rPr>
      </w:pPr>
      <w:r>
        <w:rPr>
          <w:noProof/>
          <w:lang w:val="it-IT"/>
        </w:rPr>
        <w:drawing>
          <wp:inline distT="0" distB="0" distL="0" distR="0">
            <wp:extent cx="1417481" cy="2071702"/>
            <wp:effectExtent l="0" t="0" r="0" b="508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11"/>
                    <a:srcRect l="48980" r="24490" b="32252"/>
                    <a:stretch>
                      <a:fillRect/>
                    </a:stretch>
                  </pic:blipFill>
                  <pic:spPr>
                    <a:xfrm>
                      <a:off x="0" y="0"/>
                      <a:ext cx="1417481" cy="2071702"/>
                    </a:xfrm>
                    <a:prstGeom prst="rect">
                      <a:avLst/>
                    </a:prstGeom>
                    <a:noFill/>
                    <a:ln>
                      <a:noFill/>
                    </a:ln>
                  </pic:spPr>
                </pic:pic>
              </a:graphicData>
            </a:graphic>
          </wp:inline>
        </w:drawing>
      </w:r>
    </w:p>
    <w:p w:rsidR="00305612" w:rsidRPr="00305612"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jc w:val="center"/>
        <w:rPr>
          <w:i/>
          <w:iCs/>
        </w:rPr>
      </w:pPr>
      <w:r w:rsidRPr="00305612">
        <w:rPr>
          <w:i/>
          <w:iCs/>
        </w:rPr>
        <w:t>Figure 1: Picture of the photobioreactor used for microalgal growth</w:t>
      </w:r>
    </w:p>
    <w:p w:rsidR="00305612"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p>
    <w:p w:rsidR="00305612" w:rsidRPr="008519FD"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sidRPr="008519FD">
        <w:rPr>
          <w:iCs/>
        </w:rPr>
        <w:t>Scenedesmus Almerie</w:t>
      </w:r>
      <w:r w:rsidR="00BF28EA">
        <w:rPr>
          <w:iCs/>
        </w:rPr>
        <w:t>nsis</w:t>
      </w:r>
      <w:r w:rsidRPr="008519FD">
        <w:rPr>
          <w:iCs/>
        </w:rPr>
        <w:t xml:space="preserve"> inoculum was bought by Algares</w:t>
      </w:r>
      <w:r w:rsidR="00BD2D7D">
        <w:rPr>
          <w:iCs/>
        </w:rPr>
        <w:t xml:space="preserve"> </w:t>
      </w:r>
      <w:r w:rsidR="00BD2D7D" w:rsidRPr="00BD2D7D">
        <w:rPr>
          <w:iCs/>
        </w:rPr>
        <w:t>Srl (Rome, Italy)</w:t>
      </w:r>
      <w:r w:rsidR="00DE2AD1">
        <w:rPr>
          <w:iCs/>
        </w:rPr>
        <w:t>.</w:t>
      </w:r>
      <w:r w:rsidRPr="008519FD">
        <w:rPr>
          <w:iCs/>
        </w:rPr>
        <w:t xml:space="preserve"> The culture medium used for the growth of the microalga Scenedesmus Alm</w:t>
      </w:r>
      <w:r w:rsidR="00BF28EA">
        <w:rPr>
          <w:iCs/>
        </w:rPr>
        <w:t>eriensis in the photobioreactor</w:t>
      </w:r>
      <w:r w:rsidR="00BF4087">
        <w:rPr>
          <w:iCs/>
        </w:rPr>
        <w:t xml:space="preserve"> </w:t>
      </w:r>
      <w:r w:rsidR="00DE2AD1">
        <w:rPr>
          <w:iCs/>
        </w:rPr>
        <w:t>was</w:t>
      </w:r>
      <w:r w:rsidR="00BF4087">
        <w:rPr>
          <w:iCs/>
        </w:rPr>
        <w:t xml:space="preserve"> the Mann and Myers’s</w:t>
      </w:r>
      <w:r w:rsidR="00E1306D">
        <w:rPr>
          <w:iCs/>
        </w:rPr>
        <w:t xml:space="preserve">, </w:t>
      </w:r>
      <w:r w:rsidR="00AE79B3" w:rsidRPr="008519FD">
        <w:rPr>
          <w:iCs/>
        </w:rPr>
        <w:t>w</w:t>
      </w:r>
      <w:r w:rsidRPr="008519FD">
        <w:rPr>
          <w:iCs/>
        </w:rPr>
        <w:t xml:space="preserve">hile the inoculum starter used for experimental tests and deriving from Algares </w:t>
      </w:r>
      <w:r w:rsidR="00DE2AD1">
        <w:rPr>
          <w:iCs/>
        </w:rPr>
        <w:t>is</w:t>
      </w:r>
      <w:r w:rsidR="00DE2AD1" w:rsidRPr="008519FD">
        <w:rPr>
          <w:iCs/>
        </w:rPr>
        <w:t xml:space="preserve"> </w:t>
      </w:r>
      <w:r w:rsidR="00AE79B3" w:rsidRPr="008519FD">
        <w:rPr>
          <w:iCs/>
        </w:rPr>
        <w:t xml:space="preserve">reported in the table </w:t>
      </w:r>
      <w:r w:rsidR="00E1306D">
        <w:rPr>
          <w:iCs/>
        </w:rPr>
        <w:t>1</w:t>
      </w:r>
      <w:r w:rsidR="00DC586D">
        <w:rPr>
          <w:iCs/>
        </w:rPr>
        <w:t>.</w:t>
      </w:r>
    </w:p>
    <w:p w:rsidR="0058135F" w:rsidRDefault="0058135F"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p>
    <w:p w:rsidR="00305612" w:rsidRPr="00305612" w:rsidRDefault="00305612" w:rsidP="0058135F">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jc w:val="left"/>
        <w:rPr>
          <w:i/>
          <w:iCs/>
        </w:rPr>
      </w:pPr>
      <w:r w:rsidRPr="00305612">
        <w:rPr>
          <w:i/>
          <w:iCs/>
        </w:rPr>
        <w:t xml:space="preserve">Table </w:t>
      </w:r>
      <w:r w:rsidR="00E1306D">
        <w:rPr>
          <w:i/>
          <w:iCs/>
        </w:rPr>
        <w:t>1</w:t>
      </w:r>
      <w:r w:rsidRPr="00305612">
        <w:rPr>
          <w:i/>
          <w:iCs/>
        </w:rPr>
        <w:t xml:space="preserve">: </w:t>
      </w:r>
      <w:r w:rsidR="0058135F">
        <w:rPr>
          <w:i/>
          <w:iCs/>
        </w:rPr>
        <w:t xml:space="preserve">Cations and Anions specie contained into </w:t>
      </w:r>
      <w:r w:rsidR="00DE2AD1">
        <w:rPr>
          <w:i/>
          <w:iCs/>
        </w:rPr>
        <w:t xml:space="preserve">the </w:t>
      </w:r>
      <w:r w:rsidRPr="00305612">
        <w:rPr>
          <w:i/>
          <w:iCs/>
        </w:rPr>
        <w:t>Inoculum starter</w:t>
      </w:r>
      <w:r w:rsidR="00B9670F">
        <w:rPr>
          <w:i/>
          <w:iCs/>
        </w:rPr>
        <w:t xml:space="preserve"> bought </w:t>
      </w:r>
      <w:r w:rsidR="00DE2AD1">
        <w:rPr>
          <w:i/>
          <w:iCs/>
        </w:rPr>
        <w:t>from</w:t>
      </w:r>
      <w:r w:rsidR="00B9670F">
        <w:rPr>
          <w:i/>
          <w:iCs/>
        </w:rPr>
        <w:t xml:space="preserve"> Algares</w:t>
      </w:r>
    </w:p>
    <w:p w:rsidR="00B9670F" w:rsidRDefault="00B9670F"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p>
    <w:tbl>
      <w:tblPr>
        <w:tblStyle w:val="TableNormal"/>
        <w:tblW w:w="67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46"/>
        <w:gridCol w:w="1418"/>
        <w:gridCol w:w="412"/>
        <w:gridCol w:w="2038"/>
        <w:gridCol w:w="1335"/>
      </w:tblGrid>
      <w:tr w:rsidR="00B9670F" w:rsidRPr="0058135F" w:rsidTr="00BF28EA">
        <w:trPr>
          <w:trHeight w:val="503"/>
          <w:jc w:val="center"/>
        </w:trPr>
        <w:tc>
          <w:tcPr>
            <w:tcW w:w="1546"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B9670F" w:rsidRPr="0058135F" w:rsidRDefault="0058135F" w:rsidP="0058135F">
            <w:pPr>
              <w:pStyle w:val="CETBodytext"/>
              <w:rPr>
                <w:rFonts w:cs="Arial"/>
                <w:b/>
              </w:rPr>
            </w:pPr>
            <w:r w:rsidRPr="0058135F">
              <w:rPr>
                <w:rFonts w:cs="Arial"/>
                <w:b/>
              </w:rPr>
              <w:t xml:space="preserve">Cations/Anions </w:t>
            </w:r>
          </w:p>
        </w:tc>
        <w:tc>
          <w:tcPr>
            <w:tcW w:w="1418"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58135F" w:rsidRDefault="00B9670F" w:rsidP="00BF28EA">
            <w:pPr>
              <w:pStyle w:val="CETBodytext"/>
              <w:rPr>
                <w:rFonts w:cs="Arial"/>
                <w:b/>
                <w:lang w:val="it-IT"/>
              </w:rPr>
            </w:pPr>
            <w:r w:rsidRPr="0058135F">
              <w:rPr>
                <w:rFonts w:cs="Arial"/>
                <w:b/>
                <w:lang w:val="it-IT"/>
              </w:rPr>
              <w:t xml:space="preserve">Concentration </w:t>
            </w:r>
          </w:p>
          <w:p w:rsidR="00B9670F" w:rsidRPr="0058135F" w:rsidRDefault="00B9670F" w:rsidP="00BF28EA">
            <w:pPr>
              <w:pStyle w:val="CETBodytext"/>
              <w:rPr>
                <w:rFonts w:cs="Arial"/>
                <w:b/>
              </w:rPr>
            </w:pPr>
            <w:r w:rsidRPr="0058135F">
              <w:rPr>
                <w:rFonts w:cs="Arial"/>
                <w:b/>
                <w:lang w:val="it-IT"/>
              </w:rPr>
              <w:t>(mg/l)</w:t>
            </w:r>
          </w:p>
        </w:tc>
        <w:tc>
          <w:tcPr>
            <w:tcW w:w="412" w:type="dxa"/>
            <w:tcBorders>
              <w:top w:val="single" w:sz="12" w:space="0" w:color="008000"/>
              <w:left w:val="nil"/>
              <w:bottom w:val="single" w:sz="6" w:space="0" w:color="008000"/>
              <w:right w:val="nil"/>
            </w:tcBorders>
            <w:shd w:val="clear" w:color="auto" w:fill="A8D08D" w:themeFill="accent6" w:themeFillTint="99"/>
          </w:tcPr>
          <w:p w:rsidR="00B9670F" w:rsidRPr="0058135F" w:rsidRDefault="00B9670F" w:rsidP="00BF28EA">
            <w:pPr>
              <w:pStyle w:val="CETBodytext"/>
              <w:rPr>
                <w:rFonts w:cs="Arial"/>
                <w:b/>
                <w:lang w:val="it-IT"/>
              </w:rPr>
            </w:pPr>
          </w:p>
        </w:tc>
        <w:tc>
          <w:tcPr>
            <w:tcW w:w="2038" w:type="dxa"/>
            <w:tcBorders>
              <w:top w:val="single" w:sz="12" w:space="0" w:color="008000"/>
              <w:left w:val="nil"/>
              <w:bottom w:val="single" w:sz="6" w:space="0" w:color="008000"/>
              <w:right w:val="nil"/>
            </w:tcBorders>
            <w:shd w:val="clear" w:color="auto" w:fill="FFFFFF"/>
          </w:tcPr>
          <w:p w:rsidR="00B9670F" w:rsidRPr="0058135F" w:rsidRDefault="00BF28EA" w:rsidP="00BF28EA">
            <w:pPr>
              <w:pStyle w:val="CETBodytext"/>
              <w:rPr>
                <w:rFonts w:cs="Arial"/>
                <w:b/>
                <w:lang w:val="it-IT"/>
              </w:rPr>
            </w:pPr>
            <w:r>
              <w:rPr>
                <w:rFonts w:cs="Arial"/>
                <w:b/>
                <w:lang w:val="it-IT"/>
              </w:rPr>
              <w:t xml:space="preserve"> </w:t>
            </w:r>
            <w:r w:rsidR="00B9670F" w:rsidRPr="0058135F">
              <w:rPr>
                <w:rFonts w:cs="Arial"/>
                <w:b/>
                <w:lang w:val="it-IT"/>
              </w:rPr>
              <w:t>MICRONUTRIENTS</w:t>
            </w:r>
          </w:p>
        </w:tc>
        <w:tc>
          <w:tcPr>
            <w:tcW w:w="1335" w:type="dxa"/>
            <w:tcBorders>
              <w:top w:val="single" w:sz="12" w:space="0" w:color="008000"/>
              <w:left w:val="nil"/>
              <w:bottom w:val="single" w:sz="6" w:space="0" w:color="008000"/>
              <w:right w:val="nil"/>
            </w:tcBorders>
            <w:shd w:val="clear" w:color="auto" w:fill="FFFFFF"/>
          </w:tcPr>
          <w:p w:rsidR="0058135F" w:rsidRDefault="00B9670F" w:rsidP="00BF28EA">
            <w:pPr>
              <w:pStyle w:val="CETBodytext"/>
              <w:rPr>
                <w:rFonts w:cs="Arial"/>
                <w:b/>
                <w:lang w:val="it-IT"/>
              </w:rPr>
            </w:pPr>
            <w:r w:rsidRPr="0058135F">
              <w:rPr>
                <w:rFonts w:cs="Arial"/>
                <w:b/>
                <w:lang w:val="it-IT"/>
              </w:rPr>
              <w:t xml:space="preserve">Concentration </w:t>
            </w:r>
          </w:p>
          <w:p w:rsidR="00B9670F" w:rsidRPr="0058135F" w:rsidRDefault="00B9670F" w:rsidP="00BF28EA">
            <w:pPr>
              <w:pStyle w:val="CETBodytext"/>
              <w:rPr>
                <w:rFonts w:cs="Arial"/>
                <w:b/>
                <w:lang w:val="it-IT"/>
              </w:rPr>
            </w:pPr>
            <w:r w:rsidRPr="0058135F">
              <w:rPr>
                <w:rFonts w:cs="Arial"/>
                <w:b/>
                <w:lang w:val="it-IT"/>
              </w:rPr>
              <w:t>(mg/l)</w:t>
            </w:r>
          </w:p>
        </w:tc>
      </w:tr>
      <w:tr w:rsidR="00B9670F" w:rsidRPr="0058135F" w:rsidTr="00BF28EA">
        <w:trPr>
          <w:trHeight w:val="231"/>
          <w:jc w:val="center"/>
        </w:trPr>
        <w:tc>
          <w:tcPr>
            <w:tcW w:w="1546" w:type="dxa"/>
            <w:tcBorders>
              <w:top w:val="single" w:sz="6" w:space="0" w:color="008000"/>
              <w:left w:val="nil"/>
              <w:bottom w:val="nil"/>
              <w:right w:val="nil"/>
            </w:tcBorders>
            <w:shd w:val="clear" w:color="auto" w:fill="FFFFFF"/>
            <w:tcMar>
              <w:top w:w="80" w:type="dxa"/>
              <w:left w:w="80" w:type="dxa"/>
              <w:bottom w:w="80" w:type="dxa"/>
              <w:right w:w="80" w:type="dxa"/>
            </w:tcMar>
          </w:tcPr>
          <w:p w:rsidR="00B9670F" w:rsidRPr="0058135F" w:rsidRDefault="00B9670F" w:rsidP="00BF28EA">
            <w:pPr>
              <w:pStyle w:val="CETBodytext"/>
              <w:rPr>
                <w:rFonts w:cs="Arial"/>
                <w:lang w:val="it-IT"/>
              </w:rPr>
            </w:pPr>
            <w:r w:rsidRPr="0058135F">
              <w:rPr>
                <w:rFonts w:cs="Arial"/>
                <w:bCs/>
                <w:iCs/>
              </w:rPr>
              <w:t>Mg</w:t>
            </w:r>
            <w:r w:rsidRPr="00BF28EA">
              <w:rPr>
                <w:rFonts w:cs="Arial"/>
                <w:bCs/>
                <w:iCs/>
                <w:vertAlign w:val="superscript"/>
              </w:rPr>
              <w:t>2+</w:t>
            </w:r>
          </w:p>
        </w:tc>
        <w:tc>
          <w:tcPr>
            <w:tcW w:w="1418" w:type="dxa"/>
            <w:tcBorders>
              <w:top w:val="single" w:sz="6" w:space="0" w:color="008000"/>
              <w:left w:val="nil"/>
              <w:bottom w:val="nil"/>
              <w:right w:val="nil"/>
            </w:tcBorders>
            <w:shd w:val="clear" w:color="auto" w:fill="FFFFFF"/>
            <w:tcMar>
              <w:top w:w="80" w:type="dxa"/>
              <w:left w:w="80" w:type="dxa"/>
              <w:bottom w:w="80" w:type="dxa"/>
              <w:right w:w="80" w:type="dxa"/>
            </w:tcMar>
          </w:tcPr>
          <w:p w:rsidR="00B9670F" w:rsidRPr="00DC586D" w:rsidRDefault="00B9670F" w:rsidP="003A2F51">
            <w:pPr>
              <w:pStyle w:val="CETBodytext"/>
              <w:rPr>
                <w:rFonts w:cs="Arial"/>
                <w:lang w:val="it-IT"/>
              </w:rPr>
            </w:pPr>
            <w:r w:rsidRPr="00DC586D">
              <w:rPr>
                <w:rFonts w:cs="Arial"/>
                <w:i/>
                <w:iCs/>
                <w:lang w:val="it-IT"/>
              </w:rPr>
              <w:t>28</w:t>
            </w:r>
            <w:r w:rsidR="007B77C7" w:rsidRPr="00DC586D">
              <w:rPr>
                <w:rFonts w:cs="Arial"/>
                <w:i/>
                <w:iCs/>
                <w:lang w:val="it-IT"/>
              </w:rPr>
              <w:t>.</w:t>
            </w:r>
            <w:r w:rsidRPr="00DC586D">
              <w:rPr>
                <w:rFonts w:cs="Arial"/>
                <w:i/>
                <w:iCs/>
                <w:lang w:val="it-IT"/>
              </w:rPr>
              <w:t>69</w:t>
            </w:r>
          </w:p>
        </w:tc>
        <w:tc>
          <w:tcPr>
            <w:tcW w:w="412" w:type="dxa"/>
            <w:tcBorders>
              <w:top w:val="single" w:sz="6" w:space="0" w:color="008000"/>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single" w:sz="6" w:space="0" w:color="008000"/>
              <w:left w:val="nil"/>
              <w:bottom w:val="nil"/>
              <w:right w:val="nil"/>
            </w:tcBorders>
            <w:shd w:val="clear" w:color="auto" w:fill="FFFFFF"/>
          </w:tcPr>
          <w:p w:rsidR="00B9670F" w:rsidRPr="005C76B5" w:rsidRDefault="00BF28EA" w:rsidP="009A6D38">
            <w:pPr>
              <w:pStyle w:val="CETBodytext"/>
              <w:rPr>
                <w:rFonts w:cs="Arial"/>
                <w:lang w:val="it-IT"/>
              </w:rPr>
            </w:pPr>
            <w:r w:rsidRPr="00DC586D">
              <w:rPr>
                <w:rFonts w:cs="Arial"/>
                <w:bCs/>
                <w:iCs/>
                <w:lang w:val="it-IT"/>
              </w:rPr>
              <w:t xml:space="preserve"> </w:t>
            </w:r>
            <w:r w:rsidR="009A6D38" w:rsidRPr="00DC586D">
              <w:rPr>
                <w:rFonts w:cs="Arial"/>
                <w:bCs/>
                <w:iCs/>
                <w:lang w:val="it-IT"/>
              </w:rPr>
              <w:t>Fe</w:t>
            </w:r>
            <w:r w:rsidR="0058135F" w:rsidRPr="00DC586D">
              <w:rPr>
                <w:rFonts w:cs="Arial"/>
                <w:bCs/>
                <w:iCs/>
                <w:vertAlign w:val="superscript"/>
                <w:lang w:val="it-IT"/>
              </w:rPr>
              <w:t>2+</w:t>
            </w:r>
          </w:p>
        </w:tc>
        <w:tc>
          <w:tcPr>
            <w:tcW w:w="1335" w:type="dxa"/>
            <w:tcBorders>
              <w:top w:val="single" w:sz="6" w:space="0" w:color="008000"/>
              <w:left w:val="nil"/>
              <w:bottom w:val="nil"/>
              <w:right w:val="nil"/>
            </w:tcBorders>
            <w:shd w:val="clear" w:color="auto" w:fill="FFFFFF"/>
          </w:tcPr>
          <w:p w:rsidR="00B9670F" w:rsidRPr="005C76B5" w:rsidRDefault="007B77C7" w:rsidP="00BF28EA">
            <w:pPr>
              <w:pStyle w:val="CETBodytext"/>
              <w:rPr>
                <w:rFonts w:cs="Arial"/>
                <w:lang w:val="it-IT"/>
              </w:rPr>
            </w:pPr>
            <w:r w:rsidRPr="00DC586D">
              <w:rPr>
                <w:rFonts w:cs="Arial"/>
                <w:iCs/>
                <w:lang w:val="it-IT"/>
              </w:rPr>
              <w:t>0</w:t>
            </w:r>
            <w:r>
              <w:rPr>
                <w:rFonts w:cs="Arial"/>
                <w:iCs/>
                <w:lang w:val="it-IT"/>
              </w:rPr>
              <w:t>.</w:t>
            </w:r>
            <w:r w:rsidR="0058135F" w:rsidRPr="00DC586D">
              <w:rPr>
                <w:rFonts w:cs="Arial"/>
                <w:iCs/>
                <w:lang w:val="it-IT"/>
              </w:rPr>
              <w:t>25</w:t>
            </w:r>
          </w:p>
        </w:tc>
      </w:tr>
      <w:tr w:rsidR="00B9670F" w:rsidRPr="0058135F" w:rsidTr="00BF28EA">
        <w:trPr>
          <w:trHeight w:val="218"/>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BF4087" w:rsidP="00BF4087">
            <w:pPr>
              <w:pStyle w:val="CETBodytext"/>
              <w:rPr>
                <w:rFonts w:cs="Arial"/>
                <w:lang w:val="it-IT"/>
              </w:rPr>
            </w:pPr>
            <w:r w:rsidRPr="00DC586D">
              <w:rPr>
                <w:rFonts w:cs="Arial"/>
                <w:bCs/>
                <w:iCs/>
                <w:lang w:val="it-IT"/>
              </w:rPr>
              <w:t>SO</w:t>
            </w:r>
            <w:r w:rsidRPr="00DC586D">
              <w:rPr>
                <w:rFonts w:cs="Arial"/>
                <w:bCs/>
                <w:iCs/>
                <w:vertAlign w:val="subscript"/>
                <w:lang w:val="it-IT"/>
              </w:rPr>
              <w:t>4</w:t>
            </w:r>
            <w:r w:rsidRPr="00DC586D">
              <w:rPr>
                <w:rFonts w:cs="Arial"/>
                <w:bCs/>
                <w:iCs/>
                <w:vertAlign w:val="superscript"/>
                <w:lang w:val="it-IT"/>
              </w:rPr>
              <w:t>2-</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B9670F" w:rsidP="007B77C7">
            <w:pPr>
              <w:pStyle w:val="CETBodytext"/>
              <w:rPr>
                <w:rFonts w:cs="Arial"/>
                <w:lang w:val="it-IT"/>
              </w:rPr>
            </w:pPr>
            <w:r w:rsidRPr="00DC586D">
              <w:rPr>
                <w:rFonts w:cs="Arial"/>
                <w:i/>
                <w:iCs/>
                <w:lang w:val="it-IT"/>
              </w:rPr>
              <w:t>310</w:t>
            </w:r>
            <w:r w:rsidR="007B77C7">
              <w:rPr>
                <w:rFonts w:cs="Arial"/>
                <w:i/>
                <w:iCs/>
                <w:lang w:val="it-IT"/>
              </w:rPr>
              <w:t>.</w:t>
            </w:r>
            <w:r w:rsidRPr="00DC586D">
              <w:rPr>
                <w:rFonts w:cs="Arial"/>
                <w:i/>
                <w:iCs/>
                <w:lang w:val="it-IT"/>
              </w:rPr>
              <w:t>25</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C76B5" w:rsidRDefault="00BF28EA" w:rsidP="009A6D38">
            <w:pPr>
              <w:pStyle w:val="CETBodytext"/>
              <w:rPr>
                <w:rFonts w:cs="Arial"/>
                <w:lang w:val="it-IT"/>
              </w:rPr>
            </w:pPr>
            <w:r w:rsidRPr="00DC586D">
              <w:rPr>
                <w:rFonts w:cs="Arial"/>
                <w:bCs/>
                <w:iCs/>
                <w:lang w:val="it-IT"/>
              </w:rPr>
              <w:t xml:space="preserve"> </w:t>
            </w:r>
            <w:r w:rsidR="009A6D38" w:rsidRPr="00DC586D">
              <w:rPr>
                <w:rFonts w:cs="Arial"/>
                <w:bCs/>
                <w:iCs/>
                <w:lang w:val="it-IT"/>
              </w:rPr>
              <w:t>Mn</w:t>
            </w:r>
            <w:r w:rsidR="0058135F" w:rsidRPr="00DC586D">
              <w:rPr>
                <w:rFonts w:cs="Arial"/>
                <w:bCs/>
                <w:iCs/>
                <w:vertAlign w:val="superscript"/>
                <w:lang w:val="it-IT"/>
              </w:rPr>
              <w:t>2+</w:t>
            </w:r>
          </w:p>
        </w:tc>
        <w:tc>
          <w:tcPr>
            <w:tcW w:w="1335" w:type="dxa"/>
            <w:tcBorders>
              <w:top w:val="nil"/>
              <w:left w:val="nil"/>
              <w:bottom w:val="nil"/>
              <w:right w:val="nil"/>
            </w:tcBorders>
            <w:shd w:val="clear" w:color="auto" w:fill="FFFFFF"/>
          </w:tcPr>
          <w:p w:rsidR="00B9670F" w:rsidRPr="005C76B5" w:rsidRDefault="007B77C7" w:rsidP="007B77C7">
            <w:pPr>
              <w:pStyle w:val="CETBodytext"/>
              <w:rPr>
                <w:rFonts w:cs="Arial"/>
                <w:lang w:val="it-IT"/>
              </w:rPr>
            </w:pPr>
            <w:r w:rsidRPr="00DC586D">
              <w:rPr>
                <w:rFonts w:cs="Arial"/>
                <w:iCs/>
                <w:lang w:val="it-IT"/>
              </w:rPr>
              <w:t>0</w:t>
            </w:r>
            <w:r>
              <w:rPr>
                <w:rFonts w:cs="Arial"/>
                <w:iCs/>
                <w:lang w:val="it-IT"/>
              </w:rPr>
              <w:t>.</w:t>
            </w:r>
            <w:r w:rsidR="0058135F" w:rsidRPr="00DC586D">
              <w:rPr>
                <w:rFonts w:cs="Arial"/>
                <w:iCs/>
                <w:lang w:val="it-IT"/>
              </w:rPr>
              <w:t>21</w:t>
            </w:r>
          </w:p>
        </w:tc>
      </w:tr>
      <w:tr w:rsidR="00B9670F" w:rsidRPr="0058135F" w:rsidTr="00BF28EA">
        <w:trPr>
          <w:trHeight w:val="218"/>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B9670F" w:rsidP="00BF28EA">
            <w:pPr>
              <w:pStyle w:val="CETBodytext"/>
              <w:rPr>
                <w:rFonts w:cs="Arial"/>
                <w:lang w:val="it-IT"/>
              </w:rPr>
            </w:pPr>
            <w:r w:rsidRPr="00DC586D">
              <w:rPr>
                <w:rFonts w:cs="Arial"/>
                <w:bCs/>
                <w:iCs/>
                <w:lang w:val="it-IT"/>
              </w:rPr>
              <w:t>Na</w:t>
            </w:r>
            <w:r w:rsidRPr="00DC586D">
              <w:rPr>
                <w:rFonts w:cs="Arial"/>
                <w:bCs/>
                <w:iCs/>
                <w:vertAlign w:val="superscript"/>
                <w:lang w:val="it-IT"/>
              </w:rPr>
              <w:t>+</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7B77C7" w:rsidP="00BF28EA">
            <w:pPr>
              <w:pStyle w:val="CETBodytext"/>
              <w:rPr>
                <w:rFonts w:cs="Arial"/>
                <w:lang w:val="it-IT"/>
              </w:rPr>
            </w:pPr>
            <w:r w:rsidRPr="00DC586D">
              <w:rPr>
                <w:rFonts w:cs="Arial"/>
                <w:i/>
                <w:iCs/>
                <w:lang w:val="it-IT"/>
              </w:rPr>
              <w:t>234</w:t>
            </w:r>
            <w:r>
              <w:rPr>
                <w:rFonts w:cs="Arial"/>
                <w:i/>
                <w:iCs/>
                <w:lang w:val="it-IT"/>
              </w:rPr>
              <w:t>.</w:t>
            </w:r>
            <w:r w:rsidR="00B9670F" w:rsidRPr="00DC586D">
              <w:rPr>
                <w:rFonts w:cs="Arial"/>
                <w:i/>
                <w:iCs/>
                <w:lang w:val="it-IT"/>
              </w:rPr>
              <w:t>75</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58135F" w:rsidTr="00BF28EA">
        <w:trPr>
          <w:trHeight w:val="223"/>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B9670F" w:rsidP="00BF28EA">
            <w:pPr>
              <w:pStyle w:val="CETBodytext"/>
              <w:rPr>
                <w:rFonts w:cs="Arial"/>
                <w:lang w:val="it-IT"/>
              </w:rPr>
            </w:pPr>
            <w:r w:rsidRPr="00DC586D">
              <w:rPr>
                <w:rFonts w:cs="Arial"/>
                <w:bCs/>
                <w:iCs/>
                <w:lang w:val="it-IT"/>
              </w:rPr>
              <w:t>NO</w:t>
            </w:r>
            <w:r w:rsidRPr="00DC586D">
              <w:rPr>
                <w:rFonts w:cs="Arial"/>
                <w:bCs/>
                <w:iCs/>
                <w:vertAlign w:val="subscript"/>
                <w:lang w:val="it-IT"/>
              </w:rPr>
              <w:t>3</w:t>
            </w:r>
            <w:r w:rsidRPr="00DC586D">
              <w:rPr>
                <w:rFonts w:cs="Arial"/>
                <w:bCs/>
                <w:iCs/>
                <w:vertAlign w:val="superscript"/>
                <w:lang w:val="it-IT"/>
              </w:rPr>
              <w:t>-</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7B77C7" w:rsidP="00BF28EA">
            <w:pPr>
              <w:pStyle w:val="CETBodytext"/>
              <w:rPr>
                <w:rFonts w:cs="Arial"/>
                <w:lang w:val="it-IT"/>
              </w:rPr>
            </w:pPr>
            <w:r w:rsidRPr="00DC586D">
              <w:rPr>
                <w:rFonts w:cs="Arial"/>
                <w:i/>
                <w:iCs/>
                <w:lang w:val="it-IT"/>
              </w:rPr>
              <w:t>70</w:t>
            </w:r>
            <w:r>
              <w:rPr>
                <w:rFonts w:cs="Arial"/>
                <w:i/>
                <w:iCs/>
                <w:lang w:val="it-IT"/>
              </w:rPr>
              <w:t>.</w:t>
            </w:r>
            <w:r w:rsidR="00B9670F" w:rsidRPr="00DC586D">
              <w:rPr>
                <w:rFonts w:cs="Arial"/>
                <w:i/>
                <w:iCs/>
                <w:lang w:val="it-IT"/>
              </w:rPr>
              <w:t>91</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58135F" w:rsidTr="00BF28EA">
        <w:trPr>
          <w:trHeight w:val="223"/>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B9670F" w:rsidP="00BF28EA">
            <w:pPr>
              <w:pStyle w:val="CETBodytext"/>
              <w:rPr>
                <w:rFonts w:cs="Arial"/>
                <w:lang w:val="it-IT"/>
              </w:rPr>
            </w:pPr>
            <w:r w:rsidRPr="00DC586D">
              <w:rPr>
                <w:rFonts w:cs="Arial"/>
                <w:bCs/>
                <w:iCs/>
                <w:lang w:val="it-IT"/>
              </w:rPr>
              <w:t>NO</w:t>
            </w:r>
            <w:r w:rsidRPr="00DC586D">
              <w:rPr>
                <w:rFonts w:cs="Arial"/>
                <w:bCs/>
                <w:iCs/>
                <w:vertAlign w:val="subscript"/>
                <w:lang w:val="it-IT"/>
              </w:rPr>
              <w:t>2</w:t>
            </w:r>
            <w:r w:rsidRPr="00DC586D">
              <w:rPr>
                <w:rFonts w:cs="Arial"/>
                <w:bCs/>
                <w:iCs/>
                <w:vertAlign w:val="superscript"/>
                <w:lang w:val="it-IT"/>
              </w:rPr>
              <w:t>-</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7B77C7" w:rsidP="00BF28EA">
            <w:pPr>
              <w:pStyle w:val="CETBodytext"/>
              <w:rPr>
                <w:rFonts w:cs="Arial"/>
                <w:lang w:val="it-IT"/>
              </w:rPr>
            </w:pPr>
            <w:r w:rsidRPr="00DC586D">
              <w:rPr>
                <w:rFonts w:cs="Arial"/>
                <w:i/>
                <w:iCs/>
                <w:lang w:val="it-IT"/>
              </w:rPr>
              <w:t>5</w:t>
            </w:r>
            <w:r>
              <w:rPr>
                <w:rFonts w:cs="Arial"/>
                <w:i/>
                <w:iCs/>
                <w:lang w:val="it-IT"/>
              </w:rPr>
              <w:t>.</w:t>
            </w:r>
            <w:r w:rsidR="00B9670F" w:rsidRPr="00DC586D">
              <w:rPr>
                <w:rFonts w:cs="Arial"/>
                <w:i/>
                <w:iCs/>
                <w:lang w:val="it-IT"/>
              </w:rPr>
              <w:t>66</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58135F" w:rsidTr="00BF28EA">
        <w:trPr>
          <w:trHeight w:val="223"/>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9A6D38" w:rsidP="009A6D38">
            <w:pPr>
              <w:pStyle w:val="CETBodytext"/>
              <w:rPr>
                <w:rFonts w:cs="Arial"/>
                <w:lang w:val="it-IT"/>
              </w:rPr>
            </w:pPr>
            <w:r w:rsidRPr="00DC586D">
              <w:rPr>
                <w:rFonts w:cs="Arial"/>
                <w:bCs/>
                <w:iCs/>
                <w:lang w:val="it-IT"/>
              </w:rPr>
              <w:t>Ca</w:t>
            </w:r>
            <w:r w:rsidR="00B9670F" w:rsidRPr="00DC586D">
              <w:rPr>
                <w:rFonts w:cs="Arial"/>
                <w:bCs/>
                <w:iCs/>
                <w:vertAlign w:val="superscript"/>
                <w:lang w:val="it-IT"/>
              </w:rPr>
              <w:t>2+</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B9670F" w:rsidP="007B77C7">
            <w:pPr>
              <w:pStyle w:val="CETBodytext"/>
              <w:rPr>
                <w:rFonts w:cs="Arial"/>
                <w:lang w:val="it-IT"/>
              </w:rPr>
            </w:pPr>
            <w:r w:rsidRPr="00DC586D">
              <w:rPr>
                <w:rFonts w:cs="Arial"/>
                <w:i/>
                <w:iCs/>
                <w:lang w:val="it-IT"/>
              </w:rPr>
              <w:t>49</w:t>
            </w:r>
            <w:r w:rsidR="007B77C7">
              <w:rPr>
                <w:rFonts w:cs="Arial"/>
                <w:i/>
                <w:iCs/>
                <w:lang w:val="it-IT"/>
              </w:rPr>
              <w:t>.</w:t>
            </w:r>
            <w:r w:rsidRPr="00DC586D">
              <w:rPr>
                <w:rFonts w:cs="Arial"/>
                <w:i/>
                <w:iCs/>
                <w:lang w:val="it-IT"/>
              </w:rPr>
              <w:t>95</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58135F" w:rsidTr="00BF28EA">
        <w:trPr>
          <w:trHeight w:val="223"/>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9A6D38" w:rsidP="00BF28EA">
            <w:pPr>
              <w:pStyle w:val="CETBodytext"/>
              <w:rPr>
                <w:rFonts w:cs="Arial"/>
                <w:lang w:val="it-IT"/>
              </w:rPr>
            </w:pPr>
            <w:r w:rsidRPr="00DC586D">
              <w:rPr>
                <w:rFonts w:cs="Arial"/>
                <w:bCs/>
                <w:iCs/>
                <w:lang w:val="it-IT"/>
              </w:rPr>
              <w:t>Cl</w:t>
            </w:r>
            <w:r w:rsidR="00B9670F" w:rsidRPr="00DC586D">
              <w:rPr>
                <w:rFonts w:cs="Arial"/>
                <w:bCs/>
                <w:iCs/>
                <w:vertAlign w:val="superscript"/>
                <w:lang w:val="it-IT"/>
              </w:rPr>
              <w:t>-</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7B77C7" w:rsidP="00BF28EA">
            <w:pPr>
              <w:pStyle w:val="CETBodytext"/>
              <w:rPr>
                <w:rFonts w:cs="Arial"/>
                <w:lang w:val="it-IT"/>
              </w:rPr>
            </w:pPr>
            <w:r w:rsidRPr="00DC586D">
              <w:rPr>
                <w:rFonts w:cs="Arial"/>
                <w:i/>
                <w:iCs/>
                <w:lang w:val="it-IT"/>
              </w:rPr>
              <w:t>82</w:t>
            </w:r>
            <w:r>
              <w:rPr>
                <w:rFonts w:cs="Arial"/>
                <w:i/>
                <w:iCs/>
                <w:lang w:val="it-IT"/>
              </w:rPr>
              <w:t>.</w:t>
            </w:r>
            <w:r w:rsidR="00B9670F" w:rsidRPr="00DC586D">
              <w:rPr>
                <w:rFonts w:cs="Arial"/>
                <w:i/>
                <w:iCs/>
                <w:lang w:val="it-IT"/>
              </w:rPr>
              <w:t>94</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58135F" w:rsidTr="00BF28EA">
        <w:trPr>
          <w:trHeight w:val="223"/>
          <w:jc w:val="center"/>
        </w:trPr>
        <w:tc>
          <w:tcPr>
            <w:tcW w:w="1546" w:type="dxa"/>
            <w:tcBorders>
              <w:top w:val="nil"/>
              <w:left w:val="nil"/>
              <w:bottom w:val="nil"/>
              <w:right w:val="nil"/>
            </w:tcBorders>
            <w:shd w:val="clear" w:color="auto" w:fill="FFFFFF"/>
            <w:tcMar>
              <w:top w:w="80" w:type="dxa"/>
              <w:left w:w="80" w:type="dxa"/>
              <w:bottom w:w="80" w:type="dxa"/>
              <w:right w:w="80" w:type="dxa"/>
            </w:tcMar>
          </w:tcPr>
          <w:p w:rsidR="00B9670F" w:rsidRPr="00DC586D" w:rsidRDefault="009A6D38" w:rsidP="009A6D38">
            <w:pPr>
              <w:pStyle w:val="CETBodytext"/>
              <w:rPr>
                <w:rFonts w:cs="Arial"/>
                <w:bCs/>
                <w:iCs/>
                <w:lang w:val="it-IT"/>
              </w:rPr>
            </w:pPr>
            <w:r w:rsidRPr="00DC586D">
              <w:rPr>
                <w:rFonts w:cs="Arial"/>
                <w:bCs/>
                <w:iCs/>
                <w:lang w:val="it-IT"/>
              </w:rPr>
              <w:t>K</w:t>
            </w:r>
            <w:r w:rsidR="00B9670F" w:rsidRPr="00DC586D">
              <w:rPr>
                <w:rFonts w:cs="Arial"/>
                <w:bCs/>
                <w:iCs/>
                <w:vertAlign w:val="superscript"/>
                <w:lang w:val="it-IT"/>
              </w:rPr>
              <w:t>+</w:t>
            </w:r>
          </w:p>
        </w:tc>
        <w:tc>
          <w:tcPr>
            <w:tcW w:w="1418" w:type="dxa"/>
            <w:tcBorders>
              <w:top w:val="nil"/>
              <w:left w:val="nil"/>
              <w:bottom w:val="nil"/>
              <w:right w:val="nil"/>
            </w:tcBorders>
            <w:shd w:val="clear" w:color="auto" w:fill="FFFFFF"/>
            <w:tcMar>
              <w:top w:w="80" w:type="dxa"/>
              <w:left w:w="80" w:type="dxa"/>
              <w:bottom w:w="80" w:type="dxa"/>
              <w:right w:w="80" w:type="dxa"/>
            </w:tcMar>
          </w:tcPr>
          <w:p w:rsidR="00B9670F" w:rsidRPr="0058135F" w:rsidRDefault="007B77C7" w:rsidP="00BF28EA">
            <w:pPr>
              <w:pStyle w:val="CETBodytext"/>
              <w:rPr>
                <w:rFonts w:cs="Arial"/>
                <w:lang w:val="it-IT"/>
              </w:rPr>
            </w:pPr>
            <w:r w:rsidRPr="00DC586D">
              <w:rPr>
                <w:rFonts w:cs="Arial"/>
                <w:i/>
                <w:iCs/>
                <w:lang w:val="it-IT"/>
              </w:rPr>
              <w:t>15</w:t>
            </w:r>
            <w:r>
              <w:rPr>
                <w:rFonts w:cs="Arial"/>
                <w:i/>
                <w:iCs/>
                <w:lang w:val="it-IT"/>
              </w:rPr>
              <w:t>.</w:t>
            </w:r>
            <w:r w:rsidR="00B9670F" w:rsidRPr="00DC586D">
              <w:rPr>
                <w:rFonts w:cs="Arial"/>
                <w:i/>
                <w:iCs/>
                <w:lang w:val="it-IT"/>
              </w:rPr>
              <w:t>24</w:t>
            </w:r>
          </w:p>
        </w:tc>
        <w:tc>
          <w:tcPr>
            <w:tcW w:w="412" w:type="dxa"/>
            <w:tcBorders>
              <w:top w:val="nil"/>
              <w:left w:val="nil"/>
              <w:bottom w:val="nil"/>
              <w:right w:val="nil"/>
            </w:tcBorders>
            <w:shd w:val="clear" w:color="auto" w:fill="A8D08D" w:themeFill="accent6" w:themeFillTint="99"/>
          </w:tcPr>
          <w:p w:rsidR="00B9670F" w:rsidRPr="0058135F" w:rsidRDefault="00B9670F" w:rsidP="00BF28EA">
            <w:pPr>
              <w:pStyle w:val="CETBodytext"/>
              <w:rPr>
                <w:rFonts w:cs="Arial"/>
                <w:lang w:val="it-IT"/>
              </w:rPr>
            </w:pPr>
          </w:p>
        </w:tc>
        <w:tc>
          <w:tcPr>
            <w:tcW w:w="2038"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c>
          <w:tcPr>
            <w:tcW w:w="1335" w:type="dxa"/>
            <w:tcBorders>
              <w:top w:val="nil"/>
              <w:left w:val="nil"/>
              <w:bottom w:val="nil"/>
              <w:right w:val="nil"/>
            </w:tcBorders>
            <w:shd w:val="clear" w:color="auto" w:fill="FFFFFF"/>
          </w:tcPr>
          <w:p w:rsidR="00B9670F" w:rsidRPr="0058135F" w:rsidRDefault="00B9670F" w:rsidP="00BF28EA">
            <w:pPr>
              <w:pStyle w:val="CETBodytext"/>
              <w:rPr>
                <w:rFonts w:cs="Arial"/>
                <w:lang w:val="it-IT"/>
              </w:rPr>
            </w:pPr>
          </w:p>
        </w:tc>
      </w:tr>
      <w:tr w:rsidR="00B9670F" w:rsidRPr="007B77C7" w:rsidTr="00BF28EA">
        <w:trPr>
          <w:trHeight w:val="223"/>
          <w:jc w:val="center"/>
        </w:trPr>
        <w:tc>
          <w:tcPr>
            <w:tcW w:w="1546" w:type="dxa"/>
            <w:tcBorders>
              <w:top w:val="nil"/>
              <w:left w:val="nil"/>
              <w:bottom w:val="single" w:sz="12" w:space="0" w:color="008000"/>
              <w:right w:val="nil"/>
            </w:tcBorders>
            <w:shd w:val="clear" w:color="auto" w:fill="FFFFFF"/>
            <w:tcMar>
              <w:top w:w="80" w:type="dxa"/>
              <w:left w:w="80" w:type="dxa"/>
              <w:bottom w:w="80" w:type="dxa"/>
              <w:right w:w="80" w:type="dxa"/>
            </w:tcMar>
          </w:tcPr>
          <w:p w:rsidR="00B9670F" w:rsidRPr="0058135F" w:rsidRDefault="00B9670F" w:rsidP="009A6D38">
            <w:pPr>
              <w:pStyle w:val="CETBodytext"/>
              <w:rPr>
                <w:rFonts w:cs="Arial"/>
                <w:bCs/>
                <w:iCs/>
              </w:rPr>
            </w:pPr>
            <w:r w:rsidRPr="00DC586D">
              <w:rPr>
                <w:rFonts w:cs="Arial"/>
                <w:bCs/>
                <w:iCs/>
                <w:lang w:val="it-IT"/>
              </w:rPr>
              <w:t>PO</w:t>
            </w:r>
            <w:r w:rsidRPr="003A534C">
              <w:rPr>
                <w:rFonts w:cs="Arial"/>
                <w:bCs/>
                <w:iCs/>
                <w:vertAlign w:val="subscript"/>
              </w:rPr>
              <w:t>4</w:t>
            </w:r>
            <w:r w:rsidRPr="003A534C">
              <w:rPr>
                <w:rFonts w:cs="Arial"/>
                <w:bCs/>
                <w:iCs/>
                <w:vertAlign w:val="superscript"/>
              </w:rPr>
              <w:t>3-</w:t>
            </w:r>
          </w:p>
        </w:tc>
        <w:tc>
          <w:tcPr>
            <w:tcW w:w="1418" w:type="dxa"/>
            <w:tcBorders>
              <w:top w:val="nil"/>
              <w:left w:val="nil"/>
              <w:bottom w:val="single" w:sz="12" w:space="0" w:color="008000"/>
              <w:right w:val="nil"/>
            </w:tcBorders>
            <w:shd w:val="clear" w:color="auto" w:fill="FFFFFF"/>
            <w:tcMar>
              <w:top w:w="80" w:type="dxa"/>
              <w:left w:w="80" w:type="dxa"/>
              <w:bottom w:w="80" w:type="dxa"/>
              <w:right w:w="80" w:type="dxa"/>
            </w:tcMar>
          </w:tcPr>
          <w:p w:rsidR="00B9670F" w:rsidRPr="00DC586D" w:rsidRDefault="003A2F51" w:rsidP="00BF28EA">
            <w:pPr>
              <w:pStyle w:val="CETBodytext"/>
              <w:rPr>
                <w:rFonts w:cs="Arial"/>
              </w:rPr>
            </w:pPr>
            <w:r>
              <w:rPr>
                <w:rFonts w:cs="Arial"/>
                <w:i/>
                <w:iCs/>
              </w:rPr>
              <w:t>00</w:t>
            </w:r>
            <w:r w:rsidR="007B77C7">
              <w:rPr>
                <w:rFonts w:cs="Arial"/>
                <w:i/>
                <w:iCs/>
              </w:rPr>
              <w:t>.</w:t>
            </w:r>
            <w:r w:rsidR="00B9670F" w:rsidRPr="0058135F">
              <w:rPr>
                <w:rFonts w:cs="Arial"/>
                <w:i/>
                <w:iCs/>
              </w:rPr>
              <w:t>00</w:t>
            </w:r>
          </w:p>
        </w:tc>
        <w:tc>
          <w:tcPr>
            <w:tcW w:w="412" w:type="dxa"/>
            <w:tcBorders>
              <w:top w:val="nil"/>
              <w:left w:val="nil"/>
              <w:bottom w:val="single" w:sz="12" w:space="0" w:color="008000"/>
              <w:right w:val="nil"/>
            </w:tcBorders>
            <w:shd w:val="clear" w:color="auto" w:fill="A8D08D" w:themeFill="accent6" w:themeFillTint="99"/>
          </w:tcPr>
          <w:p w:rsidR="00B9670F" w:rsidRPr="00DC586D" w:rsidRDefault="00B9670F" w:rsidP="00BF28EA">
            <w:pPr>
              <w:pStyle w:val="CETBodytext"/>
              <w:rPr>
                <w:rFonts w:cs="Arial"/>
              </w:rPr>
            </w:pPr>
          </w:p>
        </w:tc>
        <w:tc>
          <w:tcPr>
            <w:tcW w:w="2038" w:type="dxa"/>
            <w:tcBorders>
              <w:top w:val="nil"/>
              <w:left w:val="nil"/>
              <w:bottom w:val="single" w:sz="12" w:space="0" w:color="008000"/>
              <w:right w:val="nil"/>
            </w:tcBorders>
            <w:shd w:val="clear" w:color="auto" w:fill="FFFFFF"/>
          </w:tcPr>
          <w:p w:rsidR="00B9670F" w:rsidRPr="00DC586D" w:rsidRDefault="00B9670F" w:rsidP="00BF28EA">
            <w:pPr>
              <w:pStyle w:val="CETBodytext"/>
              <w:rPr>
                <w:rFonts w:cs="Arial"/>
              </w:rPr>
            </w:pPr>
          </w:p>
        </w:tc>
        <w:tc>
          <w:tcPr>
            <w:tcW w:w="1335" w:type="dxa"/>
            <w:tcBorders>
              <w:top w:val="nil"/>
              <w:left w:val="nil"/>
              <w:bottom w:val="single" w:sz="12" w:space="0" w:color="008000"/>
              <w:right w:val="nil"/>
            </w:tcBorders>
            <w:shd w:val="clear" w:color="auto" w:fill="FFFFFF"/>
          </w:tcPr>
          <w:p w:rsidR="00B9670F" w:rsidRPr="00DC586D" w:rsidRDefault="00B9670F" w:rsidP="00BF28EA">
            <w:pPr>
              <w:pStyle w:val="CETBodytext"/>
              <w:rPr>
                <w:rFonts w:cs="Arial"/>
              </w:rPr>
            </w:pPr>
          </w:p>
        </w:tc>
      </w:tr>
    </w:tbl>
    <w:p w:rsidR="0058135F" w:rsidRPr="008519FD"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sidRPr="008519FD">
        <w:rPr>
          <w:iCs/>
        </w:rPr>
        <w:lastRenderedPageBreak/>
        <w:t>Monitoring o</w:t>
      </w:r>
      <w:r w:rsidR="00E64685">
        <w:rPr>
          <w:iCs/>
        </w:rPr>
        <w:t>f microalgal biomass growth was p</w:t>
      </w:r>
      <w:r w:rsidRPr="008519FD">
        <w:rPr>
          <w:iCs/>
        </w:rPr>
        <w:t>erformed using a spectrophotometer. The</w:t>
      </w:r>
      <w:r w:rsidR="00BF5FEA">
        <w:rPr>
          <w:iCs/>
        </w:rPr>
        <w:t xml:space="preserve"> used</w:t>
      </w:r>
      <w:r w:rsidRPr="008519FD">
        <w:rPr>
          <w:iCs/>
        </w:rPr>
        <w:t xml:space="preserve"> spectrophotometer </w:t>
      </w:r>
      <w:r w:rsidR="00BF5FEA">
        <w:rPr>
          <w:iCs/>
        </w:rPr>
        <w:t>was t</w:t>
      </w:r>
      <w:r w:rsidR="003A534C">
        <w:rPr>
          <w:rFonts w:cs="Calibri"/>
          <w:bCs/>
        </w:rPr>
        <w:t xml:space="preserve">he </w:t>
      </w:r>
      <w:r w:rsidR="00BF5FEA">
        <w:rPr>
          <w:rFonts w:cs="Calibri"/>
          <w:bCs/>
        </w:rPr>
        <w:t>T</w:t>
      </w:r>
      <w:r w:rsidR="005C76B5" w:rsidRPr="007546B9">
        <w:rPr>
          <w:rFonts w:cs="Calibri"/>
          <w:bCs/>
        </w:rPr>
        <w:t>hermo Fisher Scientific Multiskan®</w:t>
      </w:r>
      <w:r w:rsidR="00BF5FEA">
        <w:rPr>
          <w:rFonts w:cs="Calibri"/>
          <w:bCs/>
        </w:rPr>
        <w:t>,</w:t>
      </w:r>
      <w:r w:rsidR="005C76B5" w:rsidRPr="007546B9">
        <w:rPr>
          <w:rFonts w:cs="Calibri"/>
          <w:bCs/>
        </w:rPr>
        <w:t xml:space="preserve"> </w:t>
      </w:r>
      <w:r w:rsidRPr="008519FD">
        <w:rPr>
          <w:iCs/>
        </w:rPr>
        <w:t xml:space="preserve">while </w:t>
      </w:r>
      <w:r w:rsidR="005C76B5">
        <w:rPr>
          <w:iCs/>
        </w:rPr>
        <w:t>analysis on the liquid phase w</w:t>
      </w:r>
      <w:r w:rsidR="003A534C">
        <w:rPr>
          <w:iCs/>
        </w:rPr>
        <w:t>as</w:t>
      </w:r>
      <w:r w:rsidR="005C76B5">
        <w:rPr>
          <w:iCs/>
        </w:rPr>
        <w:t xml:space="preserve"> carried out by using</w:t>
      </w:r>
      <w:r w:rsidR="003A534C">
        <w:rPr>
          <w:iCs/>
        </w:rPr>
        <w:t xml:space="preserve"> </w:t>
      </w:r>
      <w:r w:rsidR="005C76B5" w:rsidRPr="00621254">
        <w:rPr>
          <w:rFonts w:cs="Calibri"/>
          <w:color w:val="000000" w:themeColor="text1"/>
        </w:rPr>
        <w:t xml:space="preserve">Thermo Scientific Dionex™ ICS-1100 Ion Chromatography System (Dionex ICS-1100) </w:t>
      </w:r>
      <w:r w:rsidR="005C76B5">
        <w:rPr>
          <w:rFonts w:cs="Calibri"/>
          <w:color w:val="000000" w:themeColor="text1"/>
        </w:rPr>
        <w:t xml:space="preserve">that </w:t>
      </w:r>
      <w:r w:rsidR="005C76B5" w:rsidRPr="00621254">
        <w:rPr>
          <w:rFonts w:cs="Calibri"/>
          <w:color w:val="000000" w:themeColor="text1"/>
        </w:rPr>
        <w:t>perform</w:t>
      </w:r>
      <w:r w:rsidR="00DE2AD1">
        <w:rPr>
          <w:rFonts w:cs="Calibri"/>
          <w:color w:val="000000" w:themeColor="text1"/>
        </w:rPr>
        <w:t>ed</w:t>
      </w:r>
      <w:r w:rsidR="005C76B5" w:rsidRPr="00621254">
        <w:rPr>
          <w:rFonts w:cs="Calibri"/>
          <w:color w:val="000000" w:themeColor="text1"/>
        </w:rPr>
        <w:t xml:space="preserve"> ion analyses using suppressed or non-suppressed conductivity detection. </w:t>
      </w:r>
    </w:p>
    <w:p w:rsidR="00305612" w:rsidRPr="001B3CBC" w:rsidRDefault="00305612" w:rsidP="00305612">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r w:rsidRPr="008519FD">
        <w:rPr>
          <w:iCs/>
        </w:rPr>
        <w:t>After the growth</w:t>
      </w:r>
      <w:r w:rsidR="003A534C">
        <w:rPr>
          <w:iCs/>
        </w:rPr>
        <w:t xml:space="preserve"> step </w:t>
      </w:r>
      <w:r w:rsidRPr="008519FD">
        <w:rPr>
          <w:iCs/>
        </w:rPr>
        <w:t xml:space="preserve"> in the photobioreactor, the microalgal biomass was separated from the liquid medium by </w:t>
      </w:r>
      <w:r w:rsidR="003A534C">
        <w:rPr>
          <w:iCs/>
        </w:rPr>
        <w:t xml:space="preserve">means of a commercial </w:t>
      </w:r>
      <w:r w:rsidRPr="008519FD">
        <w:rPr>
          <w:iCs/>
        </w:rPr>
        <w:t>PVDF membrane w</w:t>
      </w:r>
      <w:r w:rsidR="003A534C">
        <w:rPr>
          <w:iCs/>
        </w:rPr>
        <w:t>ith a</w:t>
      </w:r>
      <w:r w:rsidRPr="008519FD">
        <w:rPr>
          <w:iCs/>
        </w:rPr>
        <w:t xml:space="preserve"> pore size </w:t>
      </w:r>
      <w:r w:rsidR="003A534C">
        <w:rPr>
          <w:iCs/>
        </w:rPr>
        <w:t>of</w:t>
      </w:r>
      <w:r w:rsidRPr="008519FD">
        <w:rPr>
          <w:iCs/>
        </w:rPr>
        <w:t xml:space="preserve"> 3 μm. The microalgal suspension passed through the membrane with the aid of a pump. The particles with a diameter bigger than 3 μm were retained by the membrane (the retentate, i.e. the microalgal biomass), while those with a diameter smaller than 3 μm passed through the membrane (the permeate, i.e. the liquid medium). The powder of the microalga Scenedesmus Almeriensis, after the growth and the harvesting phase, </w:t>
      </w:r>
      <w:r w:rsidR="003A534C">
        <w:rPr>
          <w:iCs/>
        </w:rPr>
        <w:t>were</w:t>
      </w:r>
      <w:r w:rsidRPr="008519FD">
        <w:rPr>
          <w:iCs/>
        </w:rPr>
        <w:t xml:space="preserve"> frozen and then lyophilized for 24 hours with the aim of producing biomass with a first level of pretreatment and a very low degree of humidity, ready for the following phases of mechanical pretreatment and extraction.</w:t>
      </w:r>
    </w:p>
    <w:p w:rsidR="00305612" w:rsidRDefault="00305612" w:rsidP="00586CBF">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p>
    <w:p w:rsidR="00AE79B3" w:rsidRPr="00AE79B3" w:rsidRDefault="00AE79B3" w:rsidP="00AE79B3">
      <w:pPr>
        <w:pStyle w:val="CETheadingx"/>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clear" w:pos="7100"/>
        </w:tabs>
        <w:spacing w:line="240" w:lineRule="auto"/>
        <w:jc w:val="left"/>
        <w:rPr>
          <w:rFonts w:eastAsia="Times New Roman" w:cs="Times New Roman"/>
          <w:bCs w:val="0"/>
          <w:color w:val="auto"/>
          <w:szCs w:val="20"/>
          <w:bdr w:val="none" w:sz="0" w:space="0" w:color="auto"/>
          <w:lang w:eastAsia="en-US"/>
        </w:rPr>
      </w:pPr>
      <w:r>
        <w:rPr>
          <w:rFonts w:eastAsia="Times New Roman" w:cs="Times New Roman"/>
          <w:bCs w:val="0"/>
          <w:color w:val="auto"/>
          <w:szCs w:val="20"/>
          <w:bdr w:val="none" w:sz="0" w:space="0" w:color="auto"/>
          <w:lang w:eastAsia="en-US"/>
        </w:rPr>
        <w:t xml:space="preserve">2.2 </w:t>
      </w:r>
      <w:r w:rsidRPr="00AE79B3">
        <w:rPr>
          <w:rFonts w:eastAsia="Times New Roman" w:cs="Times New Roman"/>
          <w:bCs w:val="0"/>
          <w:color w:val="auto"/>
          <w:szCs w:val="20"/>
          <w:bdr w:val="none" w:sz="0" w:space="0" w:color="auto"/>
          <w:lang w:eastAsia="en-US"/>
        </w:rPr>
        <w:t>Experimental setup</w:t>
      </w:r>
    </w:p>
    <w:p w:rsidR="00943D2A" w:rsidRDefault="00AE79B3"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sidRPr="008519FD">
        <w:rPr>
          <w:iCs/>
        </w:rPr>
        <w:t xml:space="preserve">This sub-section describes the methodological approach used for the complete characterization of </w:t>
      </w:r>
      <w:r w:rsidR="00BF5FEA" w:rsidRPr="008519FD">
        <w:rPr>
          <w:iCs/>
        </w:rPr>
        <w:t>Scenedesmus Almeriensis</w:t>
      </w:r>
      <w:r w:rsidRPr="008519FD">
        <w:rPr>
          <w:iCs/>
        </w:rPr>
        <w:t>.</w:t>
      </w:r>
      <w:r w:rsidR="00943D2A">
        <w:rPr>
          <w:iCs/>
        </w:rPr>
        <w:t xml:space="preserve"> In table 2 the operative conditions adopted for the microalgae growth, are listed.</w:t>
      </w:r>
    </w:p>
    <w:p w:rsidR="00EB7366" w:rsidRDefault="00EB7366"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DC586D" w:rsidRDefault="00DC586D"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
          <w:iCs/>
        </w:rPr>
      </w:pPr>
    </w:p>
    <w:p w:rsidR="00EB7366" w:rsidRDefault="00840A45"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Pr>
          <w:i/>
          <w:iCs/>
        </w:rPr>
        <w:t xml:space="preserve">Table </w:t>
      </w:r>
      <w:r w:rsidR="00E1306D">
        <w:rPr>
          <w:i/>
          <w:iCs/>
        </w:rPr>
        <w:t>2</w:t>
      </w:r>
      <w:r>
        <w:rPr>
          <w:i/>
          <w:iCs/>
        </w:rPr>
        <w:t xml:space="preserve">: </w:t>
      </w:r>
      <w:r w:rsidRPr="00840A45">
        <w:rPr>
          <w:i/>
          <w:iCs/>
        </w:rPr>
        <w:t xml:space="preserve"> Operative conditions </w:t>
      </w:r>
      <w:r w:rsidR="00DE2AD1">
        <w:rPr>
          <w:i/>
          <w:iCs/>
        </w:rPr>
        <w:t xml:space="preserve">adopted </w:t>
      </w:r>
      <w:r w:rsidRPr="00840A45">
        <w:rPr>
          <w:i/>
          <w:iCs/>
        </w:rPr>
        <w:t xml:space="preserve">for microalgal growth. </w:t>
      </w:r>
      <w:r>
        <w:rPr>
          <w:i/>
          <w:iCs/>
        </w:rPr>
        <w:t xml:space="preserve">White light; </w:t>
      </w:r>
      <w:r w:rsidRPr="00840A45">
        <w:rPr>
          <w:i/>
          <w:iCs/>
        </w:rPr>
        <w:t>Q=300l/min; Irradiance at the wall=4000lux</w:t>
      </w:r>
    </w:p>
    <w:tbl>
      <w:tblPr>
        <w:tblStyle w:val="TableNormal"/>
        <w:tblW w:w="96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8"/>
        <w:gridCol w:w="1416"/>
        <w:gridCol w:w="2030"/>
        <w:gridCol w:w="2410"/>
        <w:gridCol w:w="2876"/>
      </w:tblGrid>
      <w:tr w:rsidR="00E840E1" w:rsidRPr="0058135F" w:rsidTr="001E6461">
        <w:trPr>
          <w:trHeight w:val="503"/>
          <w:jc w:val="center"/>
        </w:trPr>
        <w:tc>
          <w:tcPr>
            <w:tcW w:w="958" w:type="dxa"/>
            <w:tcBorders>
              <w:top w:val="single" w:sz="12" w:space="0" w:color="008000"/>
              <w:left w:val="nil"/>
              <w:bottom w:val="single" w:sz="6" w:space="0" w:color="008000"/>
              <w:right w:val="nil"/>
            </w:tcBorders>
            <w:shd w:val="clear" w:color="auto" w:fill="FFFFFF"/>
          </w:tcPr>
          <w:p w:rsidR="00E840E1" w:rsidRDefault="00E840E1" w:rsidP="00E840E1">
            <w:pPr>
              <w:pStyle w:val="CETBodytext"/>
              <w:jc w:val="center"/>
              <w:rPr>
                <w:rFonts w:cs="Arial"/>
                <w:b/>
              </w:rPr>
            </w:pPr>
            <w:r>
              <w:rPr>
                <w:rFonts w:cs="Arial"/>
                <w:b/>
              </w:rPr>
              <w:t>Test number</w:t>
            </w:r>
          </w:p>
        </w:tc>
        <w:tc>
          <w:tcPr>
            <w:tcW w:w="1416"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E840E1" w:rsidRPr="0058135F" w:rsidRDefault="00E840E1" w:rsidP="00BF28EA">
            <w:pPr>
              <w:pStyle w:val="CETBodytext"/>
              <w:rPr>
                <w:rFonts w:cs="Arial"/>
                <w:b/>
              </w:rPr>
            </w:pPr>
            <w:r>
              <w:rPr>
                <w:rFonts w:cs="Arial"/>
                <w:b/>
              </w:rPr>
              <w:t>Growth phase</w:t>
            </w:r>
            <w:r w:rsidRPr="0058135F">
              <w:rPr>
                <w:rFonts w:cs="Arial"/>
                <w:b/>
              </w:rPr>
              <w:t xml:space="preserve"> </w:t>
            </w:r>
          </w:p>
        </w:tc>
        <w:tc>
          <w:tcPr>
            <w:tcW w:w="2030"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E840E1" w:rsidRDefault="00E840E1" w:rsidP="00840A45">
            <w:pPr>
              <w:pStyle w:val="CETBodytext"/>
              <w:jc w:val="center"/>
              <w:rPr>
                <w:rFonts w:cs="Arial"/>
                <w:b/>
              </w:rPr>
            </w:pPr>
            <w:r>
              <w:rPr>
                <w:rFonts w:cs="Arial"/>
                <w:b/>
              </w:rPr>
              <w:t>Nitrogen composition</w:t>
            </w:r>
          </w:p>
          <w:p w:rsidR="00E840E1" w:rsidRPr="00EB7366" w:rsidRDefault="00E840E1" w:rsidP="00840A45">
            <w:pPr>
              <w:pStyle w:val="CETBodytext"/>
              <w:jc w:val="center"/>
              <w:rPr>
                <w:rFonts w:cs="Arial"/>
                <w:b/>
              </w:rPr>
            </w:pPr>
            <w:r>
              <w:rPr>
                <w:rFonts w:cs="Arial"/>
                <w:b/>
              </w:rPr>
              <w:t>vol %</w:t>
            </w:r>
          </w:p>
        </w:tc>
        <w:tc>
          <w:tcPr>
            <w:tcW w:w="2410" w:type="dxa"/>
            <w:tcBorders>
              <w:top w:val="single" w:sz="12" w:space="0" w:color="008000"/>
              <w:left w:val="nil"/>
              <w:bottom w:val="single" w:sz="6" w:space="0" w:color="008000"/>
              <w:right w:val="nil"/>
            </w:tcBorders>
            <w:shd w:val="clear" w:color="auto" w:fill="FFFFFF"/>
          </w:tcPr>
          <w:p w:rsidR="00E840E1" w:rsidRDefault="00E840E1" w:rsidP="00840A45">
            <w:pPr>
              <w:pStyle w:val="CETBodytext"/>
              <w:jc w:val="center"/>
              <w:rPr>
                <w:rFonts w:cs="Arial"/>
                <w:b/>
                <w:lang w:val="it-IT"/>
              </w:rPr>
            </w:pPr>
            <w:r>
              <w:rPr>
                <w:rFonts w:cs="Arial"/>
                <w:b/>
                <w:lang w:val="it-IT"/>
              </w:rPr>
              <w:t>Oxigen composition</w:t>
            </w:r>
          </w:p>
          <w:p w:rsidR="00E840E1" w:rsidRPr="0058135F" w:rsidRDefault="00E840E1" w:rsidP="00840A45">
            <w:pPr>
              <w:pStyle w:val="CETBodytext"/>
              <w:jc w:val="center"/>
              <w:rPr>
                <w:rFonts w:cs="Arial"/>
                <w:b/>
                <w:lang w:val="it-IT"/>
              </w:rPr>
            </w:pPr>
            <w:r>
              <w:rPr>
                <w:rFonts w:cs="Arial"/>
                <w:b/>
                <w:lang w:val="it-IT"/>
              </w:rPr>
              <w:t>vol %</w:t>
            </w:r>
          </w:p>
        </w:tc>
        <w:tc>
          <w:tcPr>
            <w:tcW w:w="2876" w:type="dxa"/>
            <w:tcBorders>
              <w:top w:val="single" w:sz="12" w:space="0" w:color="008000"/>
              <w:left w:val="nil"/>
              <w:bottom w:val="single" w:sz="6" w:space="0" w:color="008000"/>
              <w:right w:val="nil"/>
            </w:tcBorders>
            <w:shd w:val="clear" w:color="auto" w:fill="FFFFFF"/>
          </w:tcPr>
          <w:p w:rsidR="00E840E1" w:rsidRDefault="00E840E1" w:rsidP="00840A45">
            <w:pPr>
              <w:pStyle w:val="CETBodytext"/>
              <w:ind w:left="-17" w:firstLine="17"/>
              <w:jc w:val="center"/>
              <w:rPr>
                <w:rFonts w:cs="Arial"/>
                <w:b/>
                <w:lang w:val="it-IT"/>
              </w:rPr>
            </w:pPr>
            <w:r>
              <w:rPr>
                <w:rFonts w:cs="Arial"/>
                <w:b/>
                <w:lang w:val="it-IT"/>
              </w:rPr>
              <w:t>Carbon dioxide composition</w:t>
            </w:r>
          </w:p>
          <w:p w:rsidR="00E840E1" w:rsidRPr="0058135F" w:rsidRDefault="00E840E1" w:rsidP="00840A45">
            <w:pPr>
              <w:pStyle w:val="CETBodytext"/>
              <w:jc w:val="center"/>
              <w:rPr>
                <w:rFonts w:cs="Arial"/>
                <w:b/>
                <w:lang w:val="it-IT"/>
              </w:rPr>
            </w:pPr>
            <w:r>
              <w:rPr>
                <w:rFonts w:cs="Arial"/>
                <w:b/>
                <w:lang w:val="it-IT"/>
              </w:rPr>
              <w:t>vol %</w:t>
            </w:r>
          </w:p>
        </w:tc>
      </w:tr>
      <w:tr w:rsidR="00E840E1" w:rsidRPr="00582BAE" w:rsidTr="001E6461">
        <w:trPr>
          <w:trHeight w:val="231"/>
          <w:jc w:val="center"/>
        </w:trPr>
        <w:tc>
          <w:tcPr>
            <w:tcW w:w="958" w:type="dxa"/>
            <w:tcBorders>
              <w:top w:val="single" w:sz="6" w:space="0" w:color="008000"/>
              <w:left w:val="nil"/>
              <w:bottom w:val="nil"/>
              <w:right w:val="nil"/>
            </w:tcBorders>
            <w:shd w:val="clear" w:color="auto" w:fill="FFFFFF"/>
          </w:tcPr>
          <w:p w:rsidR="00E840E1" w:rsidRDefault="00E840E1" w:rsidP="00E840E1">
            <w:pPr>
              <w:pStyle w:val="CETBodytext"/>
              <w:jc w:val="center"/>
              <w:rPr>
                <w:rFonts w:cs="Arial"/>
                <w:bCs/>
                <w:iCs/>
              </w:rPr>
            </w:pPr>
            <w:r>
              <w:rPr>
                <w:rFonts w:cs="Arial"/>
                <w:bCs/>
                <w:iCs/>
              </w:rPr>
              <w:t>1</w:t>
            </w:r>
          </w:p>
        </w:tc>
        <w:tc>
          <w:tcPr>
            <w:tcW w:w="1416" w:type="dxa"/>
            <w:tcBorders>
              <w:top w:val="single" w:sz="6" w:space="0" w:color="008000"/>
              <w:left w:val="nil"/>
              <w:bottom w:val="nil"/>
              <w:right w:val="nil"/>
            </w:tcBorders>
            <w:shd w:val="clear" w:color="auto" w:fill="FFFFFF"/>
            <w:tcMar>
              <w:top w:w="80" w:type="dxa"/>
              <w:left w:w="80" w:type="dxa"/>
              <w:bottom w:w="80" w:type="dxa"/>
              <w:right w:w="80" w:type="dxa"/>
            </w:tcMar>
          </w:tcPr>
          <w:p w:rsidR="00E840E1" w:rsidRPr="0058135F" w:rsidRDefault="00E840E1" w:rsidP="00BF28EA">
            <w:pPr>
              <w:pStyle w:val="CETBodytext"/>
              <w:rPr>
                <w:rFonts w:cs="Arial"/>
                <w:lang w:val="it-IT"/>
              </w:rPr>
            </w:pPr>
            <w:r>
              <w:rPr>
                <w:rFonts w:cs="Arial"/>
                <w:bCs/>
                <w:iCs/>
              </w:rPr>
              <w:t>1</w:t>
            </w:r>
            <w:r w:rsidRPr="00840A45">
              <w:rPr>
                <w:rFonts w:cs="Arial"/>
                <w:bCs/>
                <w:iCs/>
                <w:vertAlign w:val="superscript"/>
              </w:rPr>
              <w:t>ST</w:t>
            </w:r>
          </w:p>
        </w:tc>
        <w:tc>
          <w:tcPr>
            <w:tcW w:w="2030" w:type="dxa"/>
            <w:tcBorders>
              <w:top w:val="single" w:sz="6" w:space="0" w:color="008000"/>
              <w:left w:val="nil"/>
              <w:bottom w:val="nil"/>
              <w:right w:val="nil"/>
            </w:tcBorders>
            <w:shd w:val="clear" w:color="auto" w:fill="FFFFFF"/>
            <w:tcMar>
              <w:top w:w="80" w:type="dxa"/>
              <w:left w:w="80" w:type="dxa"/>
              <w:bottom w:w="80" w:type="dxa"/>
              <w:right w:w="80" w:type="dxa"/>
            </w:tcMar>
          </w:tcPr>
          <w:p w:rsidR="00E840E1" w:rsidRPr="00582BAE" w:rsidRDefault="00E840E1" w:rsidP="007B77C7">
            <w:pPr>
              <w:pStyle w:val="CETBodytext"/>
              <w:jc w:val="center"/>
              <w:rPr>
                <w:rFonts w:cs="Arial"/>
              </w:rPr>
            </w:pPr>
            <w:r w:rsidRPr="00582BAE">
              <w:rPr>
                <w:rFonts w:cs="Arial"/>
              </w:rPr>
              <w:t>79</w:t>
            </w:r>
            <w:r w:rsidR="00582BAE">
              <w:rPr>
                <w:rFonts w:cs="Arial"/>
              </w:rPr>
              <w:t>.</w:t>
            </w:r>
            <w:r w:rsidR="00853914" w:rsidRPr="00582BAE">
              <w:rPr>
                <w:rFonts w:cs="Arial"/>
              </w:rPr>
              <w:t>0</w:t>
            </w:r>
          </w:p>
        </w:tc>
        <w:tc>
          <w:tcPr>
            <w:tcW w:w="2410" w:type="dxa"/>
            <w:tcBorders>
              <w:top w:val="single" w:sz="6" w:space="0" w:color="008000"/>
              <w:left w:val="nil"/>
              <w:bottom w:val="nil"/>
              <w:right w:val="nil"/>
            </w:tcBorders>
            <w:shd w:val="clear" w:color="auto" w:fill="FFFFFF"/>
          </w:tcPr>
          <w:p w:rsidR="00E840E1" w:rsidRPr="00DC586D" w:rsidRDefault="00E840E1" w:rsidP="00840A45">
            <w:pPr>
              <w:pStyle w:val="CETBodytext"/>
              <w:jc w:val="center"/>
              <w:rPr>
                <w:rFonts w:cs="Arial"/>
              </w:rPr>
            </w:pPr>
            <w:r w:rsidRPr="00582BAE">
              <w:rPr>
                <w:rFonts w:cs="Arial"/>
                <w:bCs/>
                <w:iCs/>
              </w:rPr>
              <w:t>21</w:t>
            </w:r>
          </w:p>
        </w:tc>
        <w:tc>
          <w:tcPr>
            <w:tcW w:w="2876" w:type="dxa"/>
            <w:tcBorders>
              <w:top w:val="single" w:sz="6" w:space="0" w:color="008000"/>
              <w:left w:val="nil"/>
              <w:bottom w:val="nil"/>
              <w:right w:val="nil"/>
            </w:tcBorders>
            <w:shd w:val="clear" w:color="auto" w:fill="FFFFFF"/>
          </w:tcPr>
          <w:p w:rsidR="00E840E1" w:rsidRPr="00DC586D" w:rsidRDefault="00E840E1" w:rsidP="00840A45">
            <w:pPr>
              <w:pStyle w:val="CETBodytext"/>
              <w:jc w:val="center"/>
              <w:rPr>
                <w:rFonts w:cs="Arial"/>
              </w:rPr>
            </w:pPr>
            <w:r w:rsidRPr="00582BAE">
              <w:rPr>
                <w:rFonts w:cs="Arial"/>
                <w:iCs/>
              </w:rPr>
              <w:t>0</w:t>
            </w:r>
            <w:r w:rsidR="00582BAE">
              <w:rPr>
                <w:rFonts w:cs="Arial"/>
                <w:iCs/>
              </w:rPr>
              <w:t>.</w:t>
            </w:r>
            <w:r w:rsidR="00853914" w:rsidRPr="00582BAE">
              <w:rPr>
                <w:rFonts w:cs="Arial"/>
                <w:iCs/>
              </w:rPr>
              <w:t>0</w:t>
            </w:r>
          </w:p>
        </w:tc>
      </w:tr>
      <w:tr w:rsidR="00E840E1" w:rsidRPr="00582BAE" w:rsidTr="001E6461">
        <w:trPr>
          <w:trHeight w:val="218"/>
          <w:jc w:val="center"/>
        </w:trPr>
        <w:tc>
          <w:tcPr>
            <w:tcW w:w="958" w:type="dxa"/>
            <w:tcBorders>
              <w:top w:val="nil"/>
              <w:left w:val="nil"/>
              <w:bottom w:val="nil"/>
              <w:right w:val="nil"/>
            </w:tcBorders>
            <w:shd w:val="clear" w:color="auto" w:fill="FFFFFF"/>
          </w:tcPr>
          <w:p w:rsidR="00E840E1" w:rsidRDefault="00E840E1" w:rsidP="00E840E1">
            <w:pPr>
              <w:pStyle w:val="CETBodytext"/>
              <w:jc w:val="center"/>
              <w:rPr>
                <w:rFonts w:cs="Arial"/>
              </w:rPr>
            </w:pPr>
            <w:r>
              <w:rPr>
                <w:rFonts w:cs="Arial"/>
              </w:rPr>
              <w:t>2</w:t>
            </w:r>
          </w:p>
        </w:tc>
        <w:tc>
          <w:tcPr>
            <w:tcW w:w="1416" w:type="dxa"/>
            <w:tcBorders>
              <w:top w:val="nil"/>
              <w:left w:val="nil"/>
              <w:bottom w:val="nil"/>
              <w:right w:val="nil"/>
            </w:tcBorders>
            <w:shd w:val="clear" w:color="auto" w:fill="FFFFFF"/>
            <w:tcMar>
              <w:top w:w="80" w:type="dxa"/>
              <w:left w:w="80" w:type="dxa"/>
              <w:bottom w:w="80" w:type="dxa"/>
              <w:right w:w="80" w:type="dxa"/>
            </w:tcMar>
          </w:tcPr>
          <w:p w:rsidR="00E840E1" w:rsidRPr="0058135F" w:rsidRDefault="00E840E1" w:rsidP="00BF28EA">
            <w:pPr>
              <w:pStyle w:val="CETBodytext"/>
              <w:rPr>
                <w:rFonts w:cs="Arial"/>
              </w:rPr>
            </w:pPr>
            <w:r>
              <w:rPr>
                <w:rFonts w:cs="Arial"/>
              </w:rPr>
              <w:t>1</w:t>
            </w:r>
            <w:r w:rsidRPr="00840A45">
              <w:rPr>
                <w:rFonts w:cs="Arial"/>
                <w:vertAlign w:val="superscript"/>
              </w:rPr>
              <w:t>ST</w:t>
            </w:r>
          </w:p>
        </w:tc>
        <w:tc>
          <w:tcPr>
            <w:tcW w:w="2030" w:type="dxa"/>
            <w:tcBorders>
              <w:top w:val="nil"/>
              <w:left w:val="nil"/>
              <w:bottom w:val="nil"/>
              <w:right w:val="nil"/>
            </w:tcBorders>
            <w:shd w:val="clear" w:color="auto" w:fill="FFFFFF"/>
            <w:tcMar>
              <w:top w:w="80" w:type="dxa"/>
              <w:left w:w="80" w:type="dxa"/>
              <w:bottom w:w="80" w:type="dxa"/>
              <w:right w:w="80" w:type="dxa"/>
            </w:tcMar>
          </w:tcPr>
          <w:p w:rsidR="00E840E1" w:rsidRPr="00582BAE" w:rsidRDefault="007B77C7" w:rsidP="00582BAE">
            <w:pPr>
              <w:pStyle w:val="CETBodytext"/>
              <w:jc w:val="center"/>
              <w:rPr>
                <w:rFonts w:cs="Arial"/>
              </w:rPr>
            </w:pPr>
            <w:r w:rsidRPr="00582BAE">
              <w:rPr>
                <w:rFonts w:cs="Arial"/>
              </w:rPr>
              <w:t>78</w:t>
            </w:r>
            <w:r w:rsidR="00582BAE">
              <w:rPr>
                <w:rFonts w:cs="Arial"/>
              </w:rPr>
              <w:t>.</w:t>
            </w:r>
            <w:r w:rsidR="00E840E1" w:rsidRPr="00582BAE">
              <w:rPr>
                <w:rFonts w:cs="Arial"/>
              </w:rPr>
              <w:t>5</w:t>
            </w:r>
          </w:p>
        </w:tc>
        <w:tc>
          <w:tcPr>
            <w:tcW w:w="2410" w:type="dxa"/>
            <w:tcBorders>
              <w:top w:val="nil"/>
              <w:left w:val="nil"/>
              <w:bottom w:val="nil"/>
              <w:right w:val="nil"/>
            </w:tcBorders>
            <w:shd w:val="clear" w:color="auto" w:fill="FFFFFF"/>
          </w:tcPr>
          <w:p w:rsidR="00E840E1" w:rsidRPr="00DC586D" w:rsidRDefault="00E840E1" w:rsidP="00840A45">
            <w:pPr>
              <w:pStyle w:val="CETBodytext"/>
              <w:jc w:val="center"/>
              <w:rPr>
                <w:rFonts w:cs="Arial"/>
              </w:rPr>
            </w:pPr>
            <w:r w:rsidRPr="00582BAE">
              <w:rPr>
                <w:rFonts w:cs="Arial"/>
                <w:bCs/>
                <w:iCs/>
              </w:rPr>
              <w:t>21</w:t>
            </w:r>
          </w:p>
        </w:tc>
        <w:tc>
          <w:tcPr>
            <w:tcW w:w="2876" w:type="dxa"/>
            <w:tcBorders>
              <w:top w:val="nil"/>
              <w:left w:val="nil"/>
              <w:bottom w:val="nil"/>
              <w:right w:val="nil"/>
            </w:tcBorders>
            <w:shd w:val="clear" w:color="auto" w:fill="FFFFFF"/>
          </w:tcPr>
          <w:p w:rsidR="00E840E1" w:rsidRPr="00DC586D" w:rsidRDefault="007B77C7" w:rsidP="00840A45">
            <w:pPr>
              <w:pStyle w:val="CETBodytext"/>
              <w:jc w:val="center"/>
              <w:rPr>
                <w:rFonts w:cs="Arial"/>
              </w:rPr>
            </w:pPr>
            <w:r w:rsidRPr="00582BAE">
              <w:rPr>
                <w:rFonts w:cs="Arial"/>
                <w:iCs/>
              </w:rPr>
              <w:t>0</w:t>
            </w:r>
            <w:r w:rsidR="00582BAE">
              <w:rPr>
                <w:rFonts w:cs="Arial"/>
                <w:iCs/>
              </w:rPr>
              <w:t>.</w:t>
            </w:r>
            <w:r w:rsidR="00E840E1" w:rsidRPr="00582BAE">
              <w:rPr>
                <w:rFonts w:cs="Arial"/>
                <w:iCs/>
              </w:rPr>
              <w:t>5</w:t>
            </w:r>
          </w:p>
        </w:tc>
      </w:tr>
      <w:tr w:rsidR="00E840E1" w:rsidRPr="00582BAE" w:rsidTr="001E6461">
        <w:trPr>
          <w:trHeight w:val="218"/>
          <w:jc w:val="center"/>
        </w:trPr>
        <w:tc>
          <w:tcPr>
            <w:tcW w:w="958" w:type="dxa"/>
            <w:tcBorders>
              <w:top w:val="nil"/>
              <w:left w:val="nil"/>
              <w:bottom w:val="single" w:sz="12" w:space="0" w:color="008000"/>
              <w:right w:val="nil"/>
            </w:tcBorders>
            <w:shd w:val="clear" w:color="auto" w:fill="FFFFFF"/>
          </w:tcPr>
          <w:p w:rsidR="00E840E1" w:rsidRDefault="00E840E1" w:rsidP="00E840E1">
            <w:pPr>
              <w:pStyle w:val="CETBodytext"/>
              <w:jc w:val="center"/>
              <w:rPr>
                <w:rFonts w:cs="Arial"/>
                <w:bCs/>
                <w:iCs/>
              </w:rPr>
            </w:pPr>
            <w:r>
              <w:rPr>
                <w:rFonts w:cs="Arial"/>
                <w:bCs/>
                <w:iCs/>
              </w:rPr>
              <w:t>3</w:t>
            </w:r>
          </w:p>
        </w:tc>
        <w:tc>
          <w:tcPr>
            <w:tcW w:w="1416" w:type="dxa"/>
            <w:tcBorders>
              <w:top w:val="nil"/>
              <w:left w:val="nil"/>
              <w:bottom w:val="single" w:sz="12" w:space="0" w:color="008000"/>
              <w:right w:val="nil"/>
            </w:tcBorders>
            <w:shd w:val="clear" w:color="auto" w:fill="FFFFFF"/>
            <w:tcMar>
              <w:top w:w="80" w:type="dxa"/>
              <w:left w:w="80" w:type="dxa"/>
              <w:bottom w:w="80" w:type="dxa"/>
              <w:right w:w="80" w:type="dxa"/>
            </w:tcMar>
          </w:tcPr>
          <w:p w:rsidR="00E840E1" w:rsidRPr="0058135F" w:rsidRDefault="00E840E1" w:rsidP="00BF28EA">
            <w:pPr>
              <w:pStyle w:val="CETBodytext"/>
              <w:rPr>
                <w:rFonts w:cs="Arial"/>
              </w:rPr>
            </w:pPr>
            <w:r>
              <w:rPr>
                <w:rFonts w:cs="Arial"/>
                <w:bCs/>
                <w:iCs/>
              </w:rPr>
              <w:t>2</w:t>
            </w:r>
            <w:r w:rsidRPr="00840A45">
              <w:rPr>
                <w:rFonts w:cs="Arial"/>
                <w:bCs/>
                <w:iCs/>
                <w:vertAlign w:val="superscript"/>
              </w:rPr>
              <w:t>ND</w:t>
            </w:r>
          </w:p>
        </w:tc>
        <w:tc>
          <w:tcPr>
            <w:tcW w:w="2030" w:type="dxa"/>
            <w:tcBorders>
              <w:top w:val="nil"/>
              <w:left w:val="nil"/>
              <w:bottom w:val="single" w:sz="12" w:space="0" w:color="008000"/>
              <w:right w:val="nil"/>
            </w:tcBorders>
            <w:shd w:val="clear" w:color="auto" w:fill="FFFFFF"/>
            <w:tcMar>
              <w:top w:w="80" w:type="dxa"/>
              <w:left w:w="80" w:type="dxa"/>
              <w:bottom w:w="80" w:type="dxa"/>
              <w:right w:w="80" w:type="dxa"/>
            </w:tcMar>
          </w:tcPr>
          <w:p w:rsidR="00E840E1" w:rsidRPr="00582BAE" w:rsidRDefault="007B77C7" w:rsidP="00840A45">
            <w:pPr>
              <w:pStyle w:val="CETBodytext"/>
              <w:jc w:val="center"/>
              <w:rPr>
                <w:rFonts w:cs="Arial"/>
              </w:rPr>
            </w:pPr>
            <w:r w:rsidRPr="00582BAE">
              <w:rPr>
                <w:rFonts w:cs="Arial"/>
              </w:rPr>
              <w:t>78</w:t>
            </w:r>
            <w:r w:rsidR="00582BAE">
              <w:rPr>
                <w:rFonts w:cs="Arial"/>
              </w:rPr>
              <w:t>.</w:t>
            </w:r>
            <w:r w:rsidR="00E840E1" w:rsidRPr="00582BAE">
              <w:rPr>
                <w:rFonts w:cs="Arial"/>
              </w:rPr>
              <w:t>5</w:t>
            </w:r>
          </w:p>
        </w:tc>
        <w:tc>
          <w:tcPr>
            <w:tcW w:w="2410" w:type="dxa"/>
            <w:tcBorders>
              <w:top w:val="nil"/>
              <w:left w:val="nil"/>
              <w:bottom w:val="single" w:sz="12" w:space="0" w:color="008000"/>
              <w:right w:val="nil"/>
            </w:tcBorders>
            <w:shd w:val="clear" w:color="auto" w:fill="FFFFFF"/>
          </w:tcPr>
          <w:p w:rsidR="00E840E1" w:rsidRPr="00DC586D" w:rsidRDefault="00E840E1" w:rsidP="00840A45">
            <w:pPr>
              <w:pStyle w:val="CETBodytext"/>
              <w:jc w:val="center"/>
              <w:rPr>
                <w:rFonts w:cs="Arial"/>
              </w:rPr>
            </w:pPr>
            <w:r w:rsidRPr="00582BAE">
              <w:rPr>
                <w:rFonts w:cs="Arial"/>
                <w:bCs/>
                <w:iCs/>
              </w:rPr>
              <w:t>21</w:t>
            </w:r>
          </w:p>
        </w:tc>
        <w:tc>
          <w:tcPr>
            <w:tcW w:w="2876" w:type="dxa"/>
            <w:tcBorders>
              <w:top w:val="nil"/>
              <w:left w:val="nil"/>
              <w:bottom w:val="single" w:sz="12" w:space="0" w:color="008000"/>
              <w:right w:val="nil"/>
            </w:tcBorders>
            <w:shd w:val="clear" w:color="auto" w:fill="FFFFFF"/>
          </w:tcPr>
          <w:p w:rsidR="00E840E1" w:rsidRPr="00DC586D" w:rsidRDefault="007B77C7" w:rsidP="00840A45">
            <w:pPr>
              <w:pStyle w:val="CETBodytext"/>
              <w:jc w:val="center"/>
              <w:rPr>
                <w:rFonts w:cs="Arial"/>
              </w:rPr>
            </w:pPr>
            <w:r w:rsidRPr="00582BAE">
              <w:rPr>
                <w:rFonts w:cs="Arial"/>
                <w:iCs/>
              </w:rPr>
              <w:t>0</w:t>
            </w:r>
            <w:r w:rsidR="00582BAE">
              <w:rPr>
                <w:rFonts w:cs="Arial"/>
                <w:iCs/>
              </w:rPr>
              <w:t>.</w:t>
            </w:r>
            <w:r w:rsidR="00E840E1" w:rsidRPr="00582BAE">
              <w:rPr>
                <w:rFonts w:cs="Arial"/>
                <w:iCs/>
              </w:rPr>
              <w:t>5</w:t>
            </w:r>
          </w:p>
        </w:tc>
      </w:tr>
    </w:tbl>
    <w:p w:rsidR="00EB7366" w:rsidRDefault="00EB7366"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DC586D" w:rsidRDefault="00DC586D" w:rsidP="001E36DA">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1E36DA" w:rsidRPr="008519FD" w:rsidRDefault="00E840E1" w:rsidP="001E36DA">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Pr>
          <w:iCs/>
        </w:rPr>
        <w:t xml:space="preserve">Test N°1 </w:t>
      </w:r>
      <w:r w:rsidR="00DE2AD1">
        <w:rPr>
          <w:iCs/>
        </w:rPr>
        <w:t>was</w:t>
      </w:r>
      <w:r>
        <w:rPr>
          <w:iCs/>
        </w:rPr>
        <w:t xml:space="preserve"> chosen to have a baseline without using carbon source</w:t>
      </w:r>
      <w:r w:rsidR="00943D2A">
        <w:rPr>
          <w:iCs/>
        </w:rPr>
        <w:t>. I</w:t>
      </w:r>
      <w:r>
        <w:rPr>
          <w:iCs/>
        </w:rPr>
        <w:t>n fact</w:t>
      </w:r>
      <w:r w:rsidR="00943D2A">
        <w:rPr>
          <w:iCs/>
        </w:rPr>
        <w:t>,</w:t>
      </w:r>
      <w:r>
        <w:rPr>
          <w:iCs/>
        </w:rPr>
        <w:t xml:space="preserve"> only technical air wa</w:t>
      </w:r>
      <w:r w:rsidR="00943D2A">
        <w:rPr>
          <w:iCs/>
        </w:rPr>
        <w:t xml:space="preserve">s used for this test, while </w:t>
      </w:r>
      <w:r>
        <w:rPr>
          <w:iCs/>
        </w:rPr>
        <w:t>test</w:t>
      </w:r>
      <w:r w:rsidR="00943D2A">
        <w:rPr>
          <w:iCs/>
        </w:rPr>
        <w:t>s</w:t>
      </w:r>
      <w:r>
        <w:rPr>
          <w:iCs/>
        </w:rPr>
        <w:t xml:space="preserve"> N°2 and N°3 </w:t>
      </w:r>
      <w:r w:rsidR="00943D2A">
        <w:rPr>
          <w:iCs/>
        </w:rPr>
        <w:t>were</w:t>
      </w:r>
      <w:r>
        <w:rPr>
          <w:iCs/>
        </w:rPr>
        <w:t xml:space="preserve"> perform</w:t>
      </w:r>
      <w:r w:rsidR="00943D2A">
        <w:rPr>
          <w:iCs/>
        </w:rPr>
        <w:t>ed</w:t>
      </w:r>
      <w:r>
        <w:rPr>
          <w:iCs/>
        </w:rPr>
        <w:t xml:space="preserve"> with 0.5 vol.% of CO</w:t>
      </w:r>
      <w:r w:rsidRPr="00943D2A">
        <w:rPr>
          <w:iCs/>
          <w:vertAlign w:val="subscript"/>
        </w:rPr>
        <w:t>2</w:t>
      </w:r>
      <w:r w:rsidR="00943D2A">
        <w:rPr>
          <w:iCs/>
        </w:rPr>
        <w:t xml:space="preserve"> and fixing</w:t>
      </w:r>
      <w:r>
        <w:rPr>
          <w:iCs/>
        </w:rPr>
        <w:t xml:space="preserve"> oxygen composition at 21vol.%.</w:t>
      </w:r>
      <w:r w:rsidR="001E36DA" w:rsidRPr="001E36DA">
        <w:rPr>
          <w:iCs/>
        </w:rPr>
        <w:t xml:space="preserve"> </w:t>
      </w:r>
      <w:r w:rsidR="001E36DA">
        <w:rPr>
          <w:iCs/>
        </w:rPr>
        <w:t>The inoculum used for the first test</w:t>
      </w:r>
      <w:r w:rsidR="00943D2A">
        <w:rPr>
          <w:iCs/>
        </w:rPr>
        <w:t xml:space="preserve"> </w:t>
      </w:r>
      <w:r w:rsidR="001E36DA">
        <w:rPr>
          <w:iCs/>
        </w:rPr>
        <w:t xml:space="preserve">(N°1) had a composition reported in </w:t>
      </w:r>
      <w:r w:rsidR="001A5C5D">
        <w:rPr>
          <w:iCs/>
        </w:rPr>
        <w:t>table 1</w:t>
      </w:r>
      <w:r w:rsidR="00943D2A">
        <w:rPr>
          <w:iCs/>
        </w:rPr>
        <w:t>.</w:t>
      </w:r>
    </w:p>
    <w:p w:rsidR="00E840E1" w:rsidRDefault="00E840E1"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AE79B3" w:rsidRDefault="00943D2A"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Pr>
          <w:iCs/>
        </w:rPr>
        <w:t>I</w:t>
      </w:r>
      <w:r w:rsidR="001E36DA">
        <w:rPr>
          <w:iCs/>
        </w:rPr>
        <w:t>n order to obtain a volume of about 28</w:t>
      </w:r>
      <w:r w:rsidR="00DE2AD1">
        <w:rPr>
          <w:iCs/>
        </w:rPr>
        <w:t xml:space="preserve"> L</w:t>
      </w:r>
      <w:r w:rsidR="001E36DA">
        <w:rPr>
          <w:iCs/>
        </w:rPr>
        <w:t xml:space="preserve"> for start</w:t>
      </w:r>
      <w:r>
        <w:rPr>
          <w:iCs/>
        </w:rPr>
        <w:t>ing</w:t>
      </w:r>
      <w:r w:rsidR="001E36DA">
        <w:rPr>
          <w:iCs/>
        </w:rPr>
        <w:t xml:space="preserve"> the growth phase, it was added the culture medium in the quantity as reported in the table </w:t>
      </w:r>
      <w:r w:rsidR="001A5C5D">
        <w:rPr>
          <w:iCs/>
        </w:rPr>
        <w:t>3</w:t>
      </w:r>
      <w:r w:rsidR="00DC586D">
        <w:rPr>
          <w:iCs/>
        </w:rPr>
        <w:t>.</w:t>
      </w:r>
    </w:p>
    <w:p w:rsidR="00DC586D" w:rsidRDefault="00DC586D"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DC586D" w:rsidRDefault="00DC586D"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AE79B3" w:rsidRPr="008519FD" w:rsidRDefault="001E36DA"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r w:rsidRPr="008519FD">
        <w:rPr>
          <w:iCs/>
        </w:rPr>
        <w:t xml:space="preserve">Table </w:t>
      </w:r>
      <w:r w:rsidR="001A5C5D">
        <w:rPr>
          <w:iCs/>
        </w:rPr>
        <w:t>3</w:t>
      </w:r>
      <w:r w:rsidRPr="008519FD">
        <w:rPr>
          <w:iCs/>
        </w:rPr>
        <w:t xml:space="preserve">: </w:t>
      </w:r>
      <w:r w:rsidR="004464D0">
        <w:rPr>
          <w:iCs/>
        </w:rPr>
        <w:t>Volumes starter used for each experimental tests</w:t>
      </w:r>
    </w:p>
    <w:tbl>
      <w:tblPr>
        <w:tblStyle w:val="TableNormal"/>
        <w:tblW w:w="83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87"/>
        <w:gridCol w:w="1281"/>
        <w:gridCol w:w="2268"/>
        <w:gridCol w:w="1611"/>
        <w:gridCol w:w="1710"/>
      </w:tblGrid>
      <w:tr w:rsidR="001E36DA" w:rsidRPr="0058135F" w:rsidTr="009A6D38">
        <w:trPr>
          <w:trHeight w:val="503"/>
          <w:jc w:val="center"/>
        </w:trPr>
        <w:tc>
          <w:tcPr>
            <w:tcW w:w="1487" w:type="dxa"/>
            <w:tcBorders>
              <w:top w:val="single" w:sz="12" w:space="0" w:color="008000"/>
              <w:left w:val="nil"/>
              <w:bottom w:val="single" w:sz="6" w:space="0" w:color="008000"/>
              <w:right w:val="nil"/>
            </w:tcBorders>
            <w:shd w:val="clear" w:color="auto" w:fill="FFFFFF"/>
          </w:tcPr>
          <w:p w:rsidR="001E36DA" w:rsidRDefault="001E36DA" w:rsidP="00BF28EA">
            <w:pPr>
              <w:pStyle w:val="CETBodytext"/>
              <w:jc w:val="center"/>
              <w:rPr>
                <w:rFonts w:cs="Arial"/>
                <w:b/>
              </w:rPr>
            </w:pPr>
            <w:r>
              <w:rPr>
                <w:rFonts w:cs="Arial"/>
                <w:b/>
              </w:rPr>
              <w:t>Test number</w:t>
            </w:r>
          </w:p>
        </w:tc>
        <w:tc>
          <w:tcPr>
            <w:tcW w:w="1281"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1E36DA" w:rsidRPr="0058135F" w:rsidRDefault="001E36DA" w:rsidP="00DE2AD1">
            <w:pPr>
              <w:pStyle w:val="CETBodytext"/>
              <w:rPr>
                <w:rFonts w:cs="Arial"/>
                <w:b/>
              </w:rPr>
            </w:pPr>
            <w:r>
              <w:rPr>
                <w:rFonts w:cs="Arial"/>
                <w:b/>
              </w:rPr>
              <w:t>Inoculum (</w:t>
            </w:r>
            <w:r w:rsidR="00DE2AD1">
              <w:rPr>
                <w:rFonts w:cs="Arial"/>
                <w:b/>
              </w:rPr>
              <w:t>L</w:t>
            </w:r>
            <w:r>
              <w:rPr>
                <w:rFonts w:cs="Arial"/>
                <w:b/>
              </w:rPr>
              <w:t>)</w:t>
            </w:r>
            <w:r w:rsidRPr="0058135F">
              <w:rPr>
                <w:rFonts w:cs="Arial"/>
                <w:b/>
              </w:rPr>
              <w:t xml:space="preserve"> </w:t>
            </w:r>
          </w:p>
        </w:tc>
        <w:tc>
          <w:tcPr>
            <w:tcW w:w="2268"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1E36DA" w:rsidRPr="00EB7366" w:rsidRDefault="001E36DA" w:rsidP="00DE2AD1">
            <w:pPr>
              <w:pStyle w:val="CETBodytext"/>
              <w:jc w:val="center"/>
              <w:rPr>
                <w:rFonts w:cs="Arial"/>
                <w:b/>
              </w:rPr>
            </w:pPr>
            <w:r>
              <w:rPr>
                <w:rFonts w:cs="Arial"/>
                <w:b/>
              </w:rPr>
              <w:t>Culture medium (</w:t>
            </w:r>
            <w:r w:rsidR="00DE2AD1">
              <w:rPr>
                <w:rFonts w:cs="Arial"/>
                <w:b/>
              </w:rPr>
              <w:t>L</w:t>
            </w:r>
            <w:r>
              <w:rPr>
                <w:rFonts w:cs="Arial"/>
                <w:b/>
              </w:rPr>
              <w:t>)</w:t>
            </w:r>
          </w:p>
        </w:tc>
        <w:tc>
          <w:tcPr>
            <w:tcW w:w="1611" w:type="dxa"/>
            <w:tcBorders>
              <w:top w:val="single" w:sz="12" w:space="0" w:color="008000"/>
              <w:left w:val="nil"/>
              <w:bottom w:val="single" w:sz="6" w:space="0" w:color="008000"/>
              <w:right w:val="nil"/>
            </w:tcBorders>
            <w:shd w:val="clear" w:color="auto" w:fill="FFFFFF"/>
          </w:tcPr>
          <w:p w:rsidR="001E36DA" w:rsidRPr="0058135F" w:rsidRDefault="001E36DA" w:rsidP="00BF28EA">
            <w:pPr>
              <w:pStyle w:val="CETBodytext"/>
              <w:jc w:val="center"/>
              <w:rPr>
                <w:rFonts w:cs="Arial"/>
                <w:b/>
                <w:lang w:val="it-IT"/>
              </w:rPr>
            </w:pPr>
            <w:r>
              <w:rPr>
                <w:rFonts w:cs="Arial"/>
                <w:b/>
                <w:lang w:val="it-IT"/>
              </w:rPr>
              <w:t>Permeate (</w:t>
            </w:r>
            <w:r w:rsidR="00DE2AD1">
              <w:rPr>
                <w:rFonts w:cs="Arial"/>
                <w:b/>
                <w:lang w:val="it-IT"/>
              </w:rPr>
              <w:t>L</w:t>
            </w:r>
            <w:r>
              <w:rPr>
                <w:rFonts w:cs="Arial"/>
                <w:b/>
                <w:lang w:val="it-IT"/>
              </w:rPr>
              <w:t>)</w:t>
            </w:r>
          </w:p>
        </w:tc>
        <w:tc>
          <w:tcPr>
            <w:tcW w:w="1710" w:type="dxa"/>
            <w:tcBorders>
              <w:top w:val="single" w:sz="12" w:space="0" w:color="008000"/>
              <w:left w:val="nil"/>
              <w:bottom w:val="single" w:sz="6" w:space="0" w:color="008000"/>
              <w:right w:val="nil"/>
            </w:tcBorders>
            <w:shd w:val="clear" w:color="auto" w:fill="FFFFFF"/>
          </w:tcPr>
          <w:p w:rsidR="001E36DA" w:rsidRDefault="001E36DA" w:rsidP="00BF28EA">
            <w:pPr>
              <w:pStyle w:val="CETBodytext"/>
              <w:jc w:val="center"/>
              <w:rPr>
                <w:rFonts w:cs="Arial"/>
                <w:b/>
                <w:lang w:val="it-IT"/>
              </w:rPr>
            </w:pPr>
            <w:r>
              <w:rPr>
                <w:rFonts w:cs="Arial"/>
                <w:b/>
                <w:lang w:val="it-IT"/>
              </w:rPr>
              <w:t>Total volume(</w:t>
            </w:r>
            <w:r w:rsidR="00DE2AD1">
              <w:rPr>
                <w:rFonts w:cs="Arial"/>
                <w:b/>
                <w:lang w:val="it-IT"/>
              </w:rPr>
              <w:t>L</w:t>
            </w:r>
            <w:r>
              <w:rPr>
                <w:rFonts w:cs="Arial"/>
                <w:b/>
                <w:lang w:val="it-IT"/>
              </w:rPr>
              <w:t>)</w:t>
            </w:r>
          </w:p>
        </w:tc>
      </w:tr>
      <w:tr w:rsidR="001E36DA" w:rsidRPr="0058135F" w:rsidTr="009A6D38">
        <w:trPr>
          <w:trHeight w:val="231"/>
          <w:jc w:val="center"/>
        </w:trPr>
        <w:tc>
          <w:tcPr>
            <w:tcW w:w="1487" w:type="dxa"/>
            <w:tcBorders>
              <w:top w:val="single" w:sz="6" w:space="0" w:color="008000"/>
              <w:left w:val="nil"/>
              <w:bottom w:val="nil"/>
              <w:right w:val="nil"/>
            </w:tcBorders>
            <w:shd w:val="clear" w:color="auto" w:fill="FFFFFF"/>
          </w:tcPr>
          <w:p w:rsidR="001E36DA" w:rsidRDefault="001E36DA" w:rsidP="00BF28EA">
            <w:pPr>
              <w:pStyle w:val="CETBodytext"/>
              <w:jc w:val="center"/>
              <w:rPr>
                <w:rFonts w:cs="Arial"/>
                <w:bCs/>
                <w:iCs/>
              </w:rPr>
            </w:pPr>
            <w:r>
              <w:rPr>
                <w:rFonts w:cs="Arial"/>
                <w:bCs/>
                <w:iCs/>
              </w:rPr>
              <w:t>1</w:t>
            </w:r>
          </w:p>
        </w:tc>
        <w:tc>
          <w:tcPr>
            <w:tcW w:w="1281" w:type="dxa"/>
            <w:tcBorders>
              <w:top w:val="single" w:sz="6" w:space="0" w:color="008000"/>
              <w:left w:val="nil"/>
              <w:bottom w:val="nil"/>
              <w:right w:val="nil"/>
            </w:tcBorders>
            <w:shd w:val="clear" w:color="auto" w:fill="FFFFFF"/>
            <w:tcMar>
              <w:top w:w="80" w:type="dxa"/>
              <w:left w:w="80" w:type="dxa"/>
              <w:bottom w:w="80" w:type="dxa"/>
              <w:right w:w="80" w:type="dxa"/>
            </w:tcMar>
          </w:tcPr>
          <w:p w:rsidR="001E36DA" w:rsidRPr="0058135F" w:rsidRDefault="000510BC" w:rsidP="00BF28EA">
            <w:pPr>
              <w:pStyle w:val="CETBodytext"/>
              <w:rPr>
                <w:rFonts w:cs="Arial"/>
                <w:lang w:val="it-IT"/>
              </w:rPr>
            </w:pPr>
            <w:r>
              <w:rPr>
                <w:rFonts w:cs="Arial"/>
                <w:bCs/>
                <w:iCs/>
              </w:rPr>
              <w:t>3</w:t>
            </w:r>
          </w:p>
        </w:tc>
        <w:tc>
          <w:tcPr>
            <w:tcW w:w="2268" w:type="dxa"/>
            <w:tcBorders>
              <w:top w:val="single" w:sz="6" w:space="0" w:color="008000"/>
              <w:left w:val="nil"/>
              <w:bottom w:val="nil"/>
              <w:right w:val="nil"/>
            </w:tcBorders>
            <w:shd w:val="clear" w:color="auto" w:fill="FFFFFF"/>
            <w:tcMar>
              <w:top w:w="80" w:type="dxa"/>
              <w:left w:w="80" w:type="dxa"/>
              <w:bottom w:w="80" w:type="dxa"/>
              <w:right w:w="80" w:type="dxa"/>
            </w:tcMar>
          </w:tcPr>
          <w:p w:rsidR="001E36DA" w:rsidRPr="0058135F" w:rsidRDefault="001E36DA" w:rsidP="00BF28EA">
            <w:pPr>
              <w:pStyle w:val="CETBodytext"/>
              <w:jc w:val="center"/>
              <w:rPr>
                <w:rFonts w:cs="Arial"/>
              </w:rPr>
            </w:pPr>
            <w:r>
              <w:rPr>
                <w:rFonts w:cs="Arial"/>
              </w:rPr>
              <w:t>25</w:t>
            </w:r>
          </w:p>
        </w:tc>
        <w:tc>
          <w:tcPr>
            <w:tcW w:w="1611" w:type="dxa"/>
            <w:tcBorders>
              <w:top w:val="single" w:sz="6" w:space="0" w:color="008000"/>
              <w:left w:val="nil"/>
              <w:bottom w:val="nil"/>
              <w:right w:val="nil"/>
            </w:tcBorders>
            <w:shd w:val="clear" w:color="auto" w:fill="FFFFFF"/>
          </w:tcPr>
          <w:p w:rsidR="001E36DA" w:rsidRPr="005C76B5" w:rsidRDefault="001E36DA" w:rsidP="00BF28EA">
            <w:pPr>
              <w:pStyle w:val="CETBodytext"/>
              <w:jc w:val="center"/>
              <w:rPr>
                <w:rFonts w:cs="Arial"/>
                <w:lang w:val="it-IT"/>
              </w:rPr>
            </w:pPr>
            <w:r>
              <w:rPr>
                <w:rFonts w:cs="Arial"/>
                <w:bCs/>
                <w:iCs/>
              </w:rPr>
              <w:t>-</w:t>
            </w:r>
          </w:p>
        </w:tc>
        <w:tc>
          <w:tcPr>
            <w:tcW w:w="1710" w:type="dxa"/>
            <w:tcBorders>
              <w:top w:val="single" w:sz="6" w:space="0" w:color="008000"/>
              <w:left w:val="nil"/>
              <w:bottom w:val="nil"/>
              <w:right w:val="nil"/>
            </w:tcBorders>
            <w:shd w:val="clear" w:color="auto" w:fill="FFFFFF"/>
          </w:tcPr>
          <w:p w:rsidR="001E36DA" w:rsidRDefault="001E36DA" w:rsidP="00BF28EA">
            <w:pPr>
              <w:pStyle w:val="CETBodytext"/>
              <w:jc w:val="center"/>
              <w:rPr>
                <w:rFonts w:cs="Arial"/>
                <w:bCs/>
                <w:iCs/>
              </w:rPr>
            </w:pPr>
            <w:r>
              <w:rPr>
                <w:rFonts w:cs="Arial"/>
                <w:bCs/>
                <w:iCs/>
              </w:rPr>
              <w:t>28</w:t>
            </w:r>
          </w:p>
        </w:tc>
      </w:tr>
      <w:tr w:rsidR="001E36DA" w:rsidRPr="0058135F" w:rsidTr="009A6D38">
        <w:trPr>
          <w:trHeight w:val="218"/>
          <w:jc w:val="center"/>
        </w:trPr>
        <w:tc>
          <w:tcPr>
            <w:tcW w:w="1487" w:type="dxa"/>
            <w:tcBorders>
              <w:top w:val="nil"/>
              <w:left w:val="nil"/>
              <w:bottom w:val="nil"/>
              <w:right w:val="nil"/>
            </w:tcBorders>
            <w:shd w:val="clear" w:color="auto" w:fill="FFFFFF"/>
          </w:tcPr>
          <w:p w:rsidR="001E36DA" w:rsidRDefault="001E36DA" w:rsidP="00BF28EA">
            <w:pPr>
              <w:pStyle w:val="CETBodytext"/>
              <w:jc w:val="center"/>
              <w:rPr>
                <w:rFonts w:cs="Arial"/>
              </w:rPr>
            </w:pPr>
            <w:r>
              <w:rPr>
                <w:rFonts w:cs="Arial"/>
              </w:rPr>
              <w:t>2</w:t>
            </w:r>
          </w:p>
        </w:tc>
        <w:tc>
          <w:tcPr>
            <w:tcW w:w="1281" w:type="dxa"/>
            <w:tcBorders>
              <w:top w:val="nil"/>
              <w:left w:val="nil"/>
              <w:bottom w:val="nil"/>
              <w:right w:val="nil"/>
            </w:tcBorders>
            <w:shd w:val="clear" w:color="auto" w:fill="FFFFFF"/>
            <w:tcMar>
              <w:top w:w="80" w:type="dxa"/>
              <w:left w:w="80" w:type="dxa"/>
              <w:bottom w:w="80" w:type="dxa"/>
              <w:right w:w="80" w:type="dxa"/>
            </w:tcMar>
          </w:tcPr>
          <w:p w:rsidR="001E36DA" w:rsidRPr="0058135F" w:rsidRDefault="001E36DA" w:rsidP="00BF28EA">
            <w:pPr>
              <w:pStyle w:val="CETBodytext"/>
              <w:rPr>
                <w:rFonts w:cs="Arial"/>
              </w:rPr>
            </w:pPr>
            <w:r>
              <w:rPr>
                <w:rFonts w:cs="Arial"/>
              </w:rPr>
              <w:t>28</w:t>
            </w:r>
          </w:p>
        </w:tc>
        <w:tc>
          <w:tcPr>
            <w:tcW w:w="2268" w:type="dxa"/>
            <w:tcBorders>
              <w:top w:val="nil"/>
              <w:left w:val="nil"/>
              <w:bottom w:val="nil"/>
              <w:right w:val="nil"/>
            </w:tcBorders>
            <w:shd w:val="clear" w:color="auto" w:fill="FFFFFF"/>
            <w:tcMar>
              <w:top w:w="80" w:type="dxa"/>
              <w:left w:w="80" w:type="dxa"/>
              <w:bottom w:w="80" w:type="dxa"/>
              <w:right w:w="80" w:type="dxa"/>
            </w:tcMar>
          </w:tcPr>
          <w:p w:rsidR="001E36DA" w:rsidRPr="0058135F" w:rsidRDefault="001E36DA" w:rsidP="00BF28EA">
            <w:pPr>
              <w:pStyle w:val="CETBodytext"/>
              <w:jc w:val="center"/>
              <w:rPr>
                <w:rFonts w:cs="Arial"/>
              </w:rPr>
            </w:pPr>
            <w:r>
              <w:rPr>
                <w:rFonts w:cs="Arial"/>
              </w:rPr>
              <w:t>-</w:t>
            </w:r>
          </w:p>
        </w:tc>
        <w:tc>
          <w:tcPr>
            <w:tcW w:w="1611" w:type="dxa"/>
            <w:tcBorders>
              <w:top w:val="nil"/>
              <w:left w:val="nil"/>
              <w:bottom w:val="nil"/>
              <w:right w:val="nil"/>
            </w:tcBorders>
            <w:shd w:val="clear" w:color="auto" w:fill="FFFFFF"/>
          </w:tcPr>
          <w:p w:rsidR="001E36DA" w:rsidRPr="005C76B5" w:rsidRDefault="001E36DA" w:rsidP="00BF28EA">
            <w:pPr>
              <w:pStyle w:val="CETBodytext"/>
              <w:jc w:val="center"/>
              <w:rPr>
                <w:rFonts w:cs="Arial"/>
                <w:lang w:val="it-IT"/>
              </w:rPr>
            </w:pPr>
            <w:r>
              <w:rPr>
                <w:rFonts w:cs="Arial"/>
                <w:bCs/>
                <w:iCs/>
              </w:rPr>
              <w:t>-</w:t>
            </w:r>
          </w:p>
        </w:tc>
        <w:tc>
          <w:tcPr>
            <w:tcW w:w="1710" w:type="dxa"/>
            <w:tcBorders>
              <w:top w:val="nil"/>
              <w:left w:val="nil"/>
              <w:bottom w:val="nil"/>
              <w:right w:val="nil"/>
            </w:tcBorders>
            <w:shd w:val="clear" w:color="auto" w:fill="FFFFFF"/>
          </w:tcPr>
          <w:p w:rsidR="001E36DA" w:rsidRDefault="001E36DA" w:rsidP="00BF28EA">
            <w:pPr>
              <w:pStyle w:val="CETBodytext"/>
              <w:jc w:val="center"/>
              <w:rPr>
                <w:rFonts w:cs="Arial"/>
                <w:bCs/>
                <w:iCs/>
              </w:rPr>
            </w:pPr>
            <w:r>
              <w:rPr>
                <w:rFonts w:cs="Arial"/>
                <w:bCs/>
                <w:iCs/>
              </w:rPr>
              <w:t>28</w:t>
            </w:r>
          </w:p>
        </w:tc>
      </w:tr>
      <w:tr w:rsidR="001E36DA" w:rsidRPr="0058135F" w:rsidTr="009A6D38">
        <w:trPr>
          <w:trHeight w:val="218"/>
          <w:jc w:val="center"/>
        </w:trPr>
        <w:tc>
          <w:tcPr>
            <w:tcW w:w="1487" w:type="dxa"/>
            <w:tcBorders>
              <w:top w:val="nil"/>
              <w:left w:val="nil"/>
              <w:bottom w:val="single" w:sz="12" w:space="0" w:color="008000"/>
              <w:right w:val="nil"/>
            </w:tcBorders>
            <w:shd w:val="clear" w:color="auto" w:fill="FFFFFF"/>
          </w:tcPr>
          <w:p w:rsidR="001E36DA" w:rsidRDefault="001E36DA" w:rsidP="00BF28EA">
            <w:pPr>
              <w:pStyle w:val="CETBodytext"/>
              <w:jc w:val="center"/>
              <w:rPr>
                <w:rFonts w:cs="Arial"/>
                <w:bCs/>
                <w:iCs/>
              </w:rPr>
            </w:pPr>
            <w:r>
              <w:rPr>
                <w:rFonts w:cs="Arial"/>
                <w:bCs/>
                <w:iCs/>
              </w:rPr>
              <w:t>3</w:t>
            </w:r>
          </w:p>
        </w:tc>
        <w:tc>
          <w:tcPr>
            <w:tcW w:w="1281" w:type="dxa"/>
            <w:tcBorders>
              <w:top w:val="nil"/>
              <w:left w:val="nil"/>
              <w:bottom w:val="single" w:sz="12" w:space="0" w:color="008000"/>
              <w:right w:val="nil"/>
            </w:tcBorders>
            <w:shd w:val="clear" w:color="auto" w:fill="FFFFFF"/>
            <w:tcMar>
              <w:top w:w="80" w:type="dxa"/>
              <w:left w:w="80" w:type="dxa"/>
              <w:bottom w:w="80" w:type="dxa"/>
              <w:right w:w="80" w:type="dxa"/>
            </w:tcMar>
          </w:tcPr>
          <w:p w:rsidR="001E36DA" w:rsidRPr="0058135F" w:rsidRDefault="001E36DA" w:rsidP="00BF28EA">
            <w:pPr>
              <w:pStyle w:val="CETBodytext"/>
              <w:rPr>
                <w:rFonts w:cs="Arial"/>
              </w:rPr>
            </w:pPr>
            <w:r>
              <w:rPr>
                <w:rFonts w:cs="Arial"/>
                <w:bCs/>
                <w:iCs/>
              </w:rPr>
              <w:t>2</w:t>
            </w:r>
          </w:p>
        </w:tc>
        <w:tc>
          <w:tcPr>
            <w:tcW w:w="2268" w:type="dxa"/>
            <w:tcBorders>
              <w:top w:val="nil"/>
              <w:left w:val="nil"/>
              <w:bottom w:val="single" w:sz="12" w:space="0" w:color="008000"/>
              <w:right w:val="nil"/>
            </w:tcBorders>
            <w:shd w:val="clear" w:color="auto" w:fill="FFFFFF"/>
            <w:tcMar>
              <w:top w:w="80" w:type="dxa"/>
              <w:left w:w="80" w:type="dxa"/>
              <w:bottom w:w="80" w:type="dxa"/>
              <w:right w:w="80" w:type="dxa"/>
            </w:tcMar>
          </w:tcPr>
          <w:p w:rsidR="001E36DA" w:rsidRPr="0058135F" w:rsidRDefault="001E36DA" w:rsidP="00BF28EA">
            <w:pPr>
              <w:pStyle w:val="CETBodytext"/>
              <w:jc w:val="center"/>
              <w:rPr>
                <w:rFonts w:cs="Arial"/>
              </w:rPr>
            </w:pPr>
            <w:r>
              <w:rPr>
                <w:rFonts w:cs="Arial"/>
              </w:rPr>
              <w:t>17</w:t>
            </w:r>
          </w:p>
        </w:tc>
        <w:tc>
          <w:tcPr>
            <w:tcW w:w="1611" w:type="dxa"/>
            <w:tcBorders>
              <w:top w:val="nil"/>
              <w:left w:val="nil"/>
              <w:bottom w:val="single" w:sz="12" w:space="0" w:color="008000"/>
              <w:right w:val="nil"/>
            </w:tcBorders>
            <w:shd w:val="clear" w:color="auto" w:fill="FFFFFF"/>
          </w:tcPr>
          <w:p w:rsidR="001E36DA" w:rsidRPr="0058135F" w:rsidRDefault="001E36DA" w:rsidP="00BF28EA">
            <w:pPr>
              <w:pStyle w:val="CETBodytext"/>
              <w:jc w:val="center"/>
              <w:rPr>
                <w:rFonts w:cs="Arial"/>
                <w:lang w:val="it-IT"/>
              </w:rPr>
            </w:pPr>
            <w:r>
              <w:rPr>
                <w:rFonts w:cs="Arial"/>
                <w:bCs/>
                <w:iCs/>
              </w:rPr>
              <w:t>9</w:t>
            </w:r>
          </w:p>
        </w:tc>
        <w:tc>
          <w:tcPr>
            <w:tcW w:w="1710" w:type="dxa"/>
            <w:tcBorders>
              <w:top w:val="nil"/>
              <w:left w:val="nil"/>
              <w:bottom w:val="single" w:sz="12" w:space="0" w:color="008000"/>
              <w:right w:val="nil"/>
            </w:tcBorders>
            <w:shd w:val="clear" w:color="auto" w:fill="FFFFFF"/>
          </w:tcPr>
          <w:p w:rsidR="001E36DA" w:rsidRDefault="001E36DA" w:rsidP="00BF28EA">
            <w:pPr>
              <w:pStyle w:val="CETBodytext"/>
              <w:jc w:val="center"/>
              <w:rPr>
                <w:rFonts w:cs="Arial"/>
                <w:bCs/>
                <w:iCs/>
              </w:rPr>
            </w:pPr>
            <w:r>
              <w:rPr>
                <w:rFonts w:cs="Arial"/>
                <w:bCs/>
                <w:iCs/>
              </w:rPr>
              <w:t>28</w:t>
            </w:r>
          </w:p>
        </w:tc>
      </w:tr>
    </w:tbl>
    <w:p w:rsidR="00AE79B3" w:rsidRPr="008519FD" w:rsidRDefault="00AE79B3"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AE79B3" w:rsidRPr="008519FD" w:rsidRDefault="00AE79B3" w:rsidP="008519FD">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iCs/>
        </w:rPr>
      </w:pPr>
    </w:p>
    <w:p w:rsidR="009438AA" w:rsidRPr="00AE5FB3" w:rsidRDefault="001E36DA" w:rsidP="00B64D14">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pPr>
      <w:r>
        <w:rPr>
          <w:iCs/>
        </w:rPr>
        <w:t>A</w:t>
      </w:r>
      <w:r w:rsidR="004464D0">
        <w:rPr>
          <w:iCs/>
        </w:rPr>
        <w:t xml:space="preserve">s </w:t>
      </w:r>
      <w:r w:rsidR="00C20FF2">
        <w:rPr>
          <w:iCs/>
        </w:rPr>
        <w:t xml:space="preserve">illustrated </w:t>
      </w:r>
      <w:r w:rsidR="000D3E4C">
        <w:rPr>
          <w:iCs/>
        </w:rPr>
        <w:t>in table 3</w:t>
      </w:r>
      <w:r w:rsidR="00C25528">
        <w:rPr>
          <w:iCs/>
        </w:rPr>
        <w:t xml:space="preserve">, in the first test only inoculum and culture medium </w:t>
      </w:r>
      <w:r w:rsidR="00FD7D29">
        <w:rPr>
          <w:iCs/>
        </w:rPr>
        <w:t xml:space="preserve">were used </w:t>
      </w:r>
      <w:r w:rsidR="00C25528">
        <w:rPr>
          <w:iCs/>
        </w:rPr>
        <w:t>and after 11</w:t>
      </w:r>
      <w:r w:rsidR="00943D2A">
        <w:rPr>
          <w:iCs/>
        </w:rPr>
        <w:t xml:space="preserve"> days, the microalgae growth </w:t>
      </w:r>
      <w:r w:rsidR="00C25528">
        <w:rPr>
          <w:iCs/>
        </w:rPr>
        <w:t>arrived at the maximum optical density</w:t>
      </w:r>
      <w:r w:rsidR="00C20FF2">
        <w:rPr>
          <w:iCs/>
        </w:rPr>
        <w:t>. T</w:t>
      </w:r>
      <w:r w:rsidR="00C25528">
        <w:rPr>
          <w:iCs/>
        </w:rPr>
        <w:t xml:space="preserve">herefore, the </w:t>
      </w:r>
      <w:r w:rsidR="00943D2A">
        <w:rPr>
          <w:iCs/>
        </w:rPr>
        <w:t>same inoculum with 28</w:t>
      </w:r>
      <w:r w:rsidR="00105415">
        <w:rPr>
          <w:iCs/>
        </w:rPr>
        <w:t xml:space="preserve"> L</w:t>
      </w:r>
      <w:r w:rsidR="00943D2A">
        <w:rPr>
          <w:iCs/>
        </w:rPr>
        <w:t xml:space="preserve"> was f</w:t>
      </w:r>
      <w:r w:rsidR="00C25528">
        <w:rPr>
          <w:iCs/>
        </w:rPr>
        <w:t xml:space="preserve">ed </w:t>
      </w:r>
      <w:r w:rsidR="00943D2A">
        <w:rPr>
          <w:iCs/>
        </w:rPr>
        <w:t xml:space="preserve">with </w:t>
      </w:r>
      <w:r w:rsidR="00C25528">
        <w:rPr>
          <w:iCs/>
        </w:rPr>
        <w:t>0.5 CO</w:t>
      </w:r>
      <w:r w:rsidR="00C25528" w:rsidRPr="00943D2A">
        <w:rPr>
          <w:iCs/>
          <w:vertAlign w:val="subscript"/>
        </w:rPr>
        <w:t>2</w:t>
      </w:r>
      <w:r w:rsidR="00FF5E1B">
        <w:rPr>
          <w:iCs/>
        </w:rPr>
        <w:t xml:space="preserve"> for the test </w:t>
      </w:r>
      <w:r w:rsidR="00FF5E1B" w:rsidRPr="00105415">
        <w:rPr>
          <w:iCs/>
        </w:rPr>
        <w:t>N°</w:t>
      </w:r>
      <w:r w:rsidR="00105415">
        <w:rPr>
          <w:iCs/>
        </w:rPr>
        <w:t>2</w:t>
      </w:r>
      <w:r w:rsidR="00C25528" w:rsidRPr="00105415">
        <w:rPr>
          <w:iCs/>
        </w:rPr>
        <w:t>.</w:t>
      </w:r>
      <w:r w:rsidR="00C25528">
        <w:rPr>
          <w:iCs/>
        </w:rPr>
        <w:t xml:space="preserve"> Test N°3 </w:t>
      </w:r>
      <w:r w:rsidR="00943D2A">
        <w:rPr>
          <w:iCs/>
        </w:rPr>
        <w:t>was</w:t>
      </w:r>
      <w:r w:rsidR="00C25528">
        <w:rPr>
          <w:iCs/>
        </w:rPr>
        <w:t xml:space="preserve"> carried out by using </w:t>
      </w:r>
      <w:r w:rsidR="00943D2A">
        <w:rPr>
          <w:iCs/>
        </w:rPr>
        <w:t xml:space="preserve">the </w:t>
      </w:r>
      <w:r w:rsidR="00C25528">
        <w:rPr>
          <w:iCs/>
        </w:rPr>
        <w:t>permeate deriving from membrane separation and by adding 17</w:t>
      </w:r>
      <w:r w:rsidR="00105415">
        <w:rPr>
          <w:iCs/>
        </w:rPr>
        <w:t xml:space="preserve"> L</w:t>
      </w:r>
      <w:r w:rsidR="00C25528">
        <w:rPr>
          <w:iCs/>
        </w:rPr>
        <w:t xml:space="preserve"> of culture medium and</w:t>
      </w:r>
      <w:r w:rsidR="00C20FF2">
        <w:rPr>
          <w:iCs/>
        </w:rPr>
        <w:t xml:space="preserve"> </w:t>
      </w:r>
      <w:r w:rsidR="00C20FF2" w:rsidRPr="00B64D14">
        <w:rPr>
          <w:rFonts w:cs="Arial"/>
          <w:iCs/>
        </w:rPr>
        <w:t>2</w:t>
      </w:r>
      <w:r w:rsidR="00105415">
        <w:rPr>
          <w:rFonts w:cs="Arial"/>
          <w:iCs/>
        </w:rPr>
        <w:t xml:space="preserve"> L</w:t>
      </w:r>
      <w:r w:rsidR="00C20FF2" w:rsidRPr="00B64D14">
        <w:rPr>
          <w:rFonts w:cs="Arial"/>
          <w:iCs/>
        </w:rPr>
        <w:t xml:space="preserve"> of inoculum from test N°2.</w:t>
      </w:r>
      <w:r w:rsidR="009438AA" w:rsidRPr="00B64D14">
        <w:rPr>
          <w:rFonts w:cs="Arial"/>
          <w:iCs/>
        </w:rPr>
        <w:t xml:space="preserve"> </w:t>
      </w:r>
      <w:r w:rsidR="00B64D14" w:rsidRPr="00B64D14">
        <w:rPr>
          <w:rFonts w:cs="Arial"/>
          <w:iCs/>
        </w:rPr>
        <w:t>For the dewatering tests, a</w:t>
      </w:r>
      <w:r w:rsidR="009438AA" w:rsidRPr="00B64D14">
        <w:rPr>
          <w:rFonts w:cs="Arial"/>
        </w:rPr>
        <w:t xml:space="preserve"> laboratory cross-flow cell</w:t>
      </w:r>
      <w:r w:rsidR="00B64D14" w:rsidRPr="00B64D14">
        <w:rPr>
          <w:rFonts w:cs="Arial"/>
        </w:rPr>
        <w:t xml:space="preserve"> </w:t>
      </w:r>
      <w:r w:rsidR="009438AA" w:rsidRPr="00B64D14">
        <w:rPr>
          <w:rFonts w:cs="Arial"/>
        </w:rPr>
        <w:t>(Delta E S.r.l., Italy) provided of a gear pump (Tuthill Pump Co., California) was used</w:t>
      </w:r>
      <w:r w:rsidR="00B64D14" w:rsidRPr="00B64D14">
        <w:rPr>
          <w:rFonts w:cs="Arial"/>
        </w:rPr>
        <w:t xml:space="preserve">. </w:t>
      </w:r>
      <w:r w:rsidR="009438AA" w:rsidRPr="00B64D14">
        <w:rPr>
          <w:rFonts w:cs="Arial"/>
        </w:rPr>
        <w:t xml:space="preserve"> </w:t>
      </w:r>
      <w:r w:rsidR="00B64D14" w:rsidRPr="00B64D14">
        <w:rPr>
          <w:rFonts w:cs="Arial"/>
        </w:rPr>
        <w:t>Microalgae aqueous solution</w:t>
      </w:r>
      <w:r w:rsidR="009438AA" w:rsidRPr="00B64D14">
        <w:rPr>
          <w:rFonts w:cs="Arial"/>
        </w:rPr>
        <w:t xml:space="preserve"> was </w:t>
      </w:r>
      <w:r w:rsidR="00B64D14" w:rsidRPr="00B64D14">
        <w:rPr>
          <w:rFonts w:cs="Arial"/>
        </w:rPr>
        <w:t>forced to pass</w:t>
      </w:r>
      <w:r w:rsidR="009438AA" w:rsidRPr="00B64D14">
        <w:rPr>
          <w:rFonts w:cs="Arial"/>
        </w:rPr>
        <w:t xml:space="preserve"> </w:t>
      </w:r>
      <w:r w:rsidR="00B64D14" w:rsidRPr="00B64D14">
        <w:rPr>
          <w:rFonts w:cs="Arial"/>
        </w:rPr>
        <w:t>through</w:t>
      </w:r>
      <w:r w:rsidR="009438AA" w:rsidRPr="00B64D14">
        <w:rPr>
          <w:rFonts w:cs="Arial"/>
        </w:rPr>
        <w:t xml:space="preserve"> the membrane (area of 8 cm</w:t>
      </w:r>
      <w:r w:rsidR="009438AA" w:rsidRPr="00B64D14">
        <w:rPr>
          <w:rFonts w:cs="Arial"/>
          <w:vertAlign w:val="superscript"/>
        </w:rPr>
        <w:t>2</w:t>
      </w:r>
      <w:r w:rsidR="009438AA" w:rsidRPr="00B64D14">
        <w:rPr>
          <w:rFonts w:cs="Arial"/>
        </w:rPr>
        <w:t>)</w:t>
      </w:r>
      <w:r w:rsidR="00B64D14" w:rsidRPr="00B64D14">
        <w:rPr>
          <w:rFonts w:cs="Arial"/>
        </w:rPr>
        <w:t xml:space="preserve"> and the permeate was collected</w:t>
      </w:r>
      <w:r w:rsidR="007A2551">
        <w:rPr>
          <w:rFonts w:cs="Arial"/>
        </w:rPr>
        <w:t>. Tests were performed starting with a pressure of 1</w:t>
      </w:r>
      <w:r w:rsidR="00E10DEF">
        <w:rPr>
          <w:rFonts w:cs="Arial"/>
        </w:rPr>
        <w:t>-1.2</w:t>
      </w:r>
      <w:r w:rsidR="007A2551">
        <w:rPr>
          <w:rFonts w:cs="Arial"/>
        </w:rPr>
        <w:t xml:space="preserve"> bar and corresponding to a feed flow rate 0.5 </w:t>
      </w:r>
      <w:r w:rsidR="00105415">
        <w:rPr>
          <w:rFonts w:cs="Arial"/>
        </w:rPr>
        <w:t>L</w:t>
      </w:r>
      <w:r w:rsidR="007A2551">
        <w:rPr>
          <w:rFonts w:cs="Arial"/>
        </w:rPr>
        <w:t xml:space="preserve">/h, </w:t>
      </w:r>
      <w:r w:rsidR="00E10DEF">
        <w:rPr>
          <w:rFonts w:cs="Arial"/>
        </w:rPr>
        <w:t xml:space="preserve">till to achieve the pressure of 5 bar (0.1 </w:t>
      </w:r>
      <w:r w:rsidR="00105415">
        <w:rPr>
          <w:rFonts w:cs="Arial"/>
        </w:rPr>
        <w:t>L</w:t>
      </w:r>
      <w:r w:rsidR="00E10DEF">
        <w:rPr>
          <w:rFonts w:cs="Arial"/>
        </w:rPr>
        <w:t>/h)</w:t>
      </w:r>
      <w:r w:rsidR="007E096E">
        <w:rPr>
          <w:rFonts w:cs="Arial"/>
        </w:rPr>
        <w:t xml:space="preserve"> </w:t>
      </w:r>
      <w:r w:rsidR="00E10DEF">
        <w:rPr>
          <w:rFonts w:cs="Arial"/>
        </w:rPr>
        <w:t>after 36 hours filtration. The lowering in the feed flow rate was attributed to the fouling phenomenon, in turn caused by the deposition of biomass on the membrane surface during time.</w:t>
      </w:r>
      <w:r w:rsidR="00B64D14">
        <w:rPr>
          <w:rFonts w:cs="Arial"/>
        </w:rPr>
        <w:t xml:space="preserve"> Membrane morphology was observed by </w:t>
      </w:r>
      <w:r w:rsidR="00B64D14" w:rsidRPr="00B64D14">
        <w:rPr>
          <w:rFonts w:cs="Arial"/>
        </w:rPr>
        <w:t>Zeiss-EVO MA10 scanning electron microscope</w:t>
      </w:r>
      <w:r w:rsidR="00B64D14">
        <w:rPr>
          <w:rFonts w:cs="Arial"/>
        </w:rPr>
        <w:t xml:space="preserve"> (SEM) before and after its use. In order to improve image resolution preventing </w:t>
      </w:r>
      <w:r w:rsidR="00B64D14" w:rsidRPr="00B64D14">
        <w:rPr>
          <w:rFonts w:cs="Arial"/>
        </w:rPr>
        <w:t>electrical charging</w:t>
      </w:r>
      <w:r w:rsidR="00B64D14">
        <w:rPr>
          <w:rFonts w:cs="Arial"/>
        </w:rPr>
        <w:t>, a</w:t>
      </w:r>
      <w:r w:rsidR="00B64D14" w:rsidRPr="00B64D14">
        <w:rPr>
          <w:rFonts w:cs="Arial"/>
        </w:rPr>
        <w:t xml:space="preserve"> conductive gold layer was deposited (Quorum Q150 RS) on </w:t>
      </w:r>
      <w:r w:rsidR="00B64D14">
        <w:rPr>
          <w:rFonts w:cs="Arial"/>
        </w:rPr>
        <w:t>the PVDF membrane before SEM analysis.</w:t>
      </w:r>
      <w:r w:rsidR="00AE5FB3" w:rsidRPr="00AE5FB3">
        <w:t xml:space="preserve"> </w:t>
      </w:r>
    </w:p>
    <w:p w:rsidR="008519FD" w:rsidRDefault="008519FD" w:rsidP="008519FD">
      <w:pPr>
        <w:pStyle w:val="CETHeading1"/>
        <w:numPr>
          <w:ilvl w:val="0"/>
          <w:numId w:val="0"/>
        </w:numPr>
      </w:pPr>
      <w:r>
        <w:lastRenderedPageBreak/>
        <w:t>3</w:t>
      </w:r>
      <w:r w:rsidRPr="00F71675">
        <w:rPr>
          <w:rFonts w:eastAsia="Times New Roman" w:cs="Times New Roman"/>
          <w:bCs w:val="0"/>
          <w:color w:val="auto"/>
          <w:bdr w:val="none" w:sz="0" w:space="0" w:color="auto"/>
          <w:lang w:val="en-GB" w:eastAsia="en-US"/>
        </w:rPr>
        <w:t>. Results and discussion</w:t>
      </w:r>
    </w:p>
    <w:p w:rsidR="00AE5FB3" w:rsidRDefault="00AE5FB3" w:rsidP="00AE5FB3">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rFonts w:cs="Arial"/>
        </w:rPr>
      </w:pPr>
      <w:r w:rsidRPr="00AE5FB3">
        <w:rPr>
          <w:rFonts w:cs="Arial"/>
        </w:rPr>
        <w:t>In Figure 2 the net biomass production and the time of growth are reported. For the test N°1, in absence of CO</w:t>
      </w:r>
      <w:r w:rsidRPr="00AE5FB3">
        <w:rPr>
          <w:rFonts w:cs="Arial"/>
          <w:vertAlign w:val="subscript"/>
        </w:rPr>
        <w:t>2</w:t>
      </w:r>
      <w:r w:rsidRPr="00AE5FB3">
        <w:rPr>
          <w:rFonts w:cs="Arial"/>
        </w:rPr>
        <w:t>, only 3.94 mg/</w:t>
      </w:r>
      <w:r w:rsidR="00105415">
        <w:rPr>
          <w:rFonts w:cs="Arial"/>
        </w:rPr>
        <w:t>L</w:t>
      </w:r>
      <w:r w:rsidRPr="00AE5FB3">
        <w:rPr>
          <w:rFonts w:cs="Arial"/>
        </w:rPr>
        <w:t>*d was observed after 11 days growth, which increased, reaching the highest registered value, for test N°2 (38.87 mg/</w:t>
      </w:r>
      <w:r w:rsidR="00105415">
        <w:rPr>
          <w:rFonts w:cs="Arial"/>
        </w:rPr>
        <w:t>L</w:t>
      </w:r>
      <w:r w:rsidRPr="00AE5FB3">
        <w:rPr>
          <w:rFonts w:cs="Arial"/>
        </w:rPr>
        <w:t>*d after 18 days)</w:t>
      </w:r>
      <w:r>
        <w:rPr>
          <w:rFonts w:cs="Arial"/>
        </w:rPr>
        <w:t>, conducted in presence of 0.5% vol. CO</w:t>
      </w:r>
      <w:r w:rsidRPr="00AE5FB3">
        <w:rPr>
          <w:rFonts w:cs="Arial"/>
          <w:vertAlign w:val="subscript"/>
        </w:rPr>
        <w:t>2</w:t>
      </w:r>
      <w:r w:rsidRPr="00AE5FB3">
        <w:rPr>
          <w:rFonts w:cs="Arial"/>
        </w:rPr>
        <w:t>. The second growth (test N°3</w:t>
      </w:r>
      <w:r>
        <w:rPr>
          <w:rFonts w:cs="Arial"/>
        </w:rPr>
        <w:t>, 0.5% vol. CO</w:t>
      </w:r>
      <w:r w:rsidRPr="00AE5FB3">
        <w:rPr>
          <w:rFonts w:cs="Arial"/>
          <w:vertAlign w:val="subscript"/>
        </w:rPr>
        <w:t>2</w:t>
      </w:r>
      <w:r w:rsidRPr="00AE5FB3">
        <w:rPr>
          <w:rFonts w:cs="Arial"/>
        </w:rPr>
        <w:t>) led to a biomass production of 23.41 mg/</w:t>
      </w:r>
      <w:r w:rsidR="00105415">
        <w:rPr>
          <w:rFonts w:cs="Arial"/>
        </w:rPr>
        <w:t>L</w:t>
      </w:r>
      <w:r w:rsidRPr="00AE5FB3">
        <w:rPr>
          <w:rFonts w:cs="Arial"/>
        </w:rPr>
        <w:t>*d after 14 days.</w:t>
      </w:r>
    </w:p>
    <w:p w:rsidR="001E6461" w:rsidRDefault="001E6461" w:rsidP="00AE5FB3">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rPr>
          <w:rFonts w:cs="Arial"/>
        </w:rPr>
      </w:pPr>
    </w:p>
    <w:p w:rsidR="00AE5FB3" w:rsidRPr="00AE5FB3" w:rsidRDefault="00AE5FB3" w:rsidP="00AE5FB3">
      <w:pPr>
        <w:pStyle w:val="CET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1"/>
        </w:tabs>
      </w:pPr>
    </w:p>
    <w:p w:rsidR="006460E4" w:rsidRPr="00DC586D" w:rsidRDefault="00105415" w:rsidP="00943D2A">
      <w:pPr>
        <w:jc w:val="center"/>
        <w:rPr>
          <w:rFonts w:ascii="Arial" w:hAnsi="Arial" w:cs="Arial"/>
          <w:sz w:val="24"/>
          <w:szCs w:val="24"/>
        </w:rPr>
      </w:pPr>
      <w:r w:rsidRPr="00DC586D">
        <w:rPr>
          <w:rFonts w:ascii="Arial" w:hAnsi="Arial" w:cs="Arial"/>
          <w:noProof/>
          <w:sz w:val="24"/>
          <w:szCs w:val="24"/>
          <w:lang w:eastAsia="it-IT"/>
        </w:rPr>
        <w:drawing>
          <wp:inline distT="0" distB="0" distL="0" distR="0" wp14:anchorId="5812CF25" wp14:editId="64A19402">
            <wp:extent cx="4543095" cy="2846717"/>
            <wp:effectExtent l="0" t="0" r="0" b="0"/>
            <wp:docPr id="3" name="Immagine 3" descr="C:\Users\Tiziana\Dropbox\paper\conference\AIDIC14_submitted\marino\articolo tiziana ICHEAP14\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ziana\Dropbox\paper\conference\AIDIC14_submitted\marino\articolo tiziana ICHEAP14\figure 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47709" cy="2849608"/>
                    </a:xfrm>
                    <a:prstGeom prst="rect">
                      <a:avLst/>
                    </a:prstGeom>
                    <a:noFill/>
                    <a:ln>
                      <a:noFill/>
                    </a:ln>
                  </pic:spPr>
                </pic:pic>
              </a:graphicData>
            </a:graphic>
          </wp:inline>
        </w:drawing>
      </w:r>
    </w:p>
    <w:p w:rsidR="008519FD" w:rsidRDefault="00E1306D" w:rsidP="00577F3B">
      <w:pPr>
        <w:jc w:val="center"/>
        <w:rPr>
          <w:i/>
          <w:iCs/>
          <w:lang w:val="en-US"/>
        </w:rPr>
      </w:pPr>
      <w:r w:rsidRPr="00C20FF2">
        <w:rPr>
          <w:i/>
          <w:iCs/>
          <w:lang w:val="en-US"/>
        </w:rPr>
        <w:t xml:space="preserve">Figure </w:t>
      </w:r>
      <w:r w:rsidR="001B3CBC" w:rsidRPr="00C20FF2">
        <w:rPr>
          <w:i/>
          <w:iCs/>
          <w:lang w:val="en-US"/>
        </w:rPr>
        <w:t>2</w:t>
      </w:r>
      <w:r w:rsidRPr="00C20FF2">
        <w:rPr>
          <w:i/>
          <w:iCs/>
          <w:lang w:val="en-US"/>
        </w:rPr>
        <w:t>:</w:t>
      </w:r>
      <w:r w:rsidR="00C20FF2">
        <w:rPr>
          <w:i/>
          <w:iCs/>
          <w:lang w:val="en-US"/>
        </w:rPr>
        <w:t xml:space="preserve"> Net biomass production (blue) and time of growth (red) observed for </w:t>
      </w:r>
      <w:r w:rsidR="00C20FF2" w:rsidRPr="00C20FF2">
        <w:rPr>
          <w:i/>
          <w:iCs/>
          <w:lang w:val="en-US"/>
        </w:rPr>
        <w:t>Scenedesmus Almeriensis</w:t>
      </w:r>
    </w:p>
    <w:p w:rsidR="007D6996" w:rsidRDefault="00577F3B" w:rsidP="00AE79B3">
      <w:pPr>
        <w:jc w:val="both"/>
        <w:rPr>
          <w:rFonts w:ascii="Arial" w:hAnsi="Arial" w:cs="Arial"/>
          <w:iCs/>
          <w:sz w:val="18"/>
          <w:szCs w:val="18"/>
          <w:lang w:val="en-US"/>
        </w:rPr>
      </w:pPr>
      <w:r w:rsidRPr="00577F3B">
        <w:rPr>
          <w:rFonts w:ascii="Arial" w:hAnsi="Arial" w:cs="Arial"/>
          <w:iCs/>
          <w:sz w:val="18"/>
          <w:szCs w:val="18"/>
          <w:lang w:val="en-US"/>
        </w:rPr>
        <w:t>Scenedesmus Almeriensis</w:t>
      </w:r>
      <w:r>
        <w:rPr>
          <w:rFonts w:ascii="Arial" w:hAnsi="Arial" w:cs="Arial"/>
          <w:iCs/>
          <w:sz w:val="18"/>
          <w:szCs w:val="18"/>
          <w:lang w:val="en-US"/>
        </w:rPr>
        <w:t xml:space="preserve"> growth was related to the consumption of cations and anions, as shown in </w:t>
      </w:r>
      <w:r w:rsidR="00937638">
        <w:rPr>
          <w:rFonts w:ascii="Arial" w:hAnsi="Arial" w:cs="Arial"/>
          <w:iCs/>
          <w:sz w:val="18"/>
          <w:szCs w:val="18"/>
          <w:lang w:val="en-US"/>
        </w:rPr>
        <w:t>Table</w:t>
      </w:r>
      <w:r w:rsidR="001A5C5D">
        <w:rPr>
          <w:rFonts w:ascii="Arial" w:hAnsi="Arial" w:cs="Arial"/>
          <w:iCs/>
          <w:sz w:val="18"/>
          <w:szCs w:val="18"/>
          <w:lang w:val="en-US"/>
        </w:rPr>
        <w:t xml:space="preserve"> 4</w:t>
      </w:r>
      <w:r>
        <w:rPr>
          <w:rFonts w:ascii="Arial" w:hAnsi="Arial" w:cs="Arial"/>
          <w:iCs/>
          <w:sz w:val="18"/>
          <w:szCs w:val="18"/>
          <w:lang w:val="en-US"/>
        </w:rPr>
        <w:t xml:space="preserve">. </w:t>
      </w:r>
      <w:r w:rsidR="00937638">
        <w:rPr>
          <w:rFonts w:ascii="Arial" w:hAnsi="Arial" w:cs="Arial"/>
          <w:iCs/>
          <w:sz w:val="18"/>
          <w:szCs w:val="18"/>
          <w:lang w:val="en-US"/>
        </w:rPr>
        <w:t>During test N°1, in which no CO</w:t>
      </w:r>
      <w:r w:rsidR="00937638" w:rsidRPr="00937638">
        <w:rPr>
          <w:rFonts w:ascii="Arial" w:hAnsi="Arial" w:cs="Arial"/>
          <w:iCs/>
          <w:sz w:val="18"/>
          <w:szCs w:val="18"/>
          <w:vertAlign w:val="subscript"/>
          <w:lang w:val="en-US"/>
        </w:rPr>
        <w:t>2</w:t>
      </w:r>
      <w:r w:rsidR="00937638">
        <w:rPr>
          <w:rFonts w:ascii="Arial" w:hAnsi="Arial" w:cs="Arial"/>
          <w:iCs/>
          <w:sz w:val="18"/>
          <w:szCs w:val="18"/>
          <w:lang w:val="en-US"/>
        </w:rPr>
        <w:t xml:space="preserve"> was supplied, the variation of ions was nearly negligible. This highlighted the importance of CO</w:t>
      </w:r>
      <w:r w:rsidR="00937638" w:rsidRPr="00937638">
        <w:rPr>
          <w:rFonts w:ascii="Arial" w:hAnsi="Arial" w:cs="Arial"/>
          <w:iCs/>
          <w:sz w:val="18"/>
          <w:szCs w:val="18"/>
          <w:vertAlign w:val="subscript"/>
          <w:lang w:val="en-US"/>
        </w:rPr>
        <w:t>2</w:t>
      </w:r>
      <w:r w:rsidR="00937638">
        <w:rPr>
          <w:rFonts w:ascii="Arial" w:hAnsi="Arial" w:cs="Arial"/>
          <w:iCs/>
          <w:sz w:val="18"/>
          <w:szCs w:val="18"/>
          <w:lang w:val="en-US"/>
        </w:rPr>
        <w:t xml:space="preserve"> as essential growth factor for microalgae.</w:t>
      </w:r>
      <w:r w:rsidR="0062109F">
        <w:rPr>
          <w:rFonts w:ascii="Arial" w:hAnsi="Arial" w:cs="Arial"/>
          <w:iCs/>
          <w:sz w:val="18"/>
          <w:szCs w:val="18"/>
          <w:lang w:val="en-US"/>
        </w:rPr>
        <w:t xml:space="preserve"> During tests N°2 and N°3, the presence of CO</w:t>
      </w:r>
      <w:r w:rsidR="0062109F" w:rsidRPr="00937638">
        <w:rPr>
          <w:rFonts w:ascii="Arial" w:hAnsi="Arial" w:cs="Arial"/>
          <w:iCs/>
          <w:sz w:val="18"/>
          <w:szCs w:val="18"/>
          <w:vertAlign w:val="subscript"/>
          <w:lang w:val="en-US"/>
        </w:rPr>
        <w:t>2</w:t>
      </w:r>
      <w:r w:rsidR="0062109F">
        <w:rPr>
          <w:rFonts w:ascii="Arial" w:hAnsi="Arial" w:cs="Arial"/>
          <w:iCs/>
          <w:sz w:val="18"/>
          <w:szCs w:val="18"/>
          <w:lang w:val="en-US"/>
        </w:rPr>
        <w:t xml:space="preserve"> guaranteed the microalgae growth, which was demonstrated by monitorin</w:t>
      </w:r>
      <w:r w:rsidR="000D3E4C">
        <w:rPr>
          <w:rFonts w:ascii="Arial" w:hAnsi="Arial" w:cs="Arial"/>
          <w:iCs/>
          <w:sz w:val="18"/>
          <w:szCs w:val="18"/>
          <w:lang w:val="en-US"/>
        </w:rPr>
        <w:t>g the variation of ions (Table 4</w:t>
      </w:r>
      <w:r w:rsidR="0062109F">
        <w:rPr>
          <w:rFonts w:ascii="Arial" w:hAnsi="Arial" w:cs="Arial"/>
          <w:iCs/>
          <w:sz w:val="18"/>
          <w:szCs w:val="18"/>
          <w:lang w:val="en-US"/>
        </w:rPr>
        <w:t>). In particular, nitrate</w:t>
      </w:r>
      <w:r w:rsidR="002F3181">
        <w:rPr>
          <w:rFonts w:ascii="Arial" w:hAnsi="Arial" w:cs="Arial"/>
          <w:iCs/>
          <w:sz w:val="18"/>
          <w:szCs w:val="18"/>
          <w:lang w:val="en-US"/>
        </w:rPr>
        <w:t>s and phosphates were essential nutrients, as evidenced by their concentration reduction detected after 18 days (test N°2) and 14 days (test N°3). Nitrates consumption reached the highest values during test N° 2, ending at ~90</w:t>
      </w:r>
      <w:r w:rsidR="00CC5FE2">
        <w:rPr>
          <w:rFonts w:ascii="Arial" w:hAnsi="Arial" w:cs="Arial"/>
          <w:iCs/>
          <w:sz w:val="18"/>
          <w:szCs w:val="18"/>
          <w:lang w:val="en-US"/>
        </w:rPr>
        <w:t>%</w:t>
      </w:r>
      <w:r w:rsidR="002F3181">
        <w:rPr>
          <w:rFonts w:ascii="Arial" w:hAnsi="Arial" w:cs="Arial"/>
          <w:iCs/>
          <w:sz w:val="18"/>
          <w:szCs w:val="18"/>
          <w:lang w:val="en-US"/>
        </w:rPr>
        <w:t xml:space="preserve"> and ~100%, respectively. </w:t>
      </w:r>
      <w:r w:rsidR="0062109F">
        <w:rPr>
          <w:rFonts w:ascii="Arial" w:hAnsi="Arial" w:cs="Arial"/>
          <w:iCs/>
          <w:sz w:val="18"/>
          <w:szCs w:val="18"/>
          <w:lang w:val="en-US"/>
        </w:rPr>
        <w:t xml:space="preserve"> </w:t>
      </w:r>
      <w:r w:rsidR="00EC6033">
        <w:rPr>
          <w:rFonts w:ascii="Arial" w:hAnsi="Arial" w:cs="Arial"/>
          <w:iCs/>
          <w:sz w:val="18"/>
          <w:szCs w:val="18"/>
          <w:lang w:val="en-US"/>
        </w:rPr>
        <w:t xml:space="preserve">Phosphates were also completely consumed in test N°2 as well as in test N°3. </w:t>
      </w:r>
      <w:r w:rsidR="00CC5FE2">
        <w:rPr>
          <w:rFonts w:ascii="Arial" w:hAnsi="Arial" w:cs="Arial"/>
          <w:iCs/>
          <w:sz w:val="18"/>
          <w:szCs w:val="18"/>
          <w:lang w:val="en-US"/>
        </w:rPr>
        <w:t xml:space="preserve">The obtained results were in accordance with </w:t>
      </w:r>
      <w:r w:rsidR="00CC5FE2" w:rsidRPr="00063862">
        <w:rPr>
          <w:rFonts w:ascii="Arial" w:hAnsi="Arial" w:cs="Arial"/>
          <w:iCs/>
          <w:sz w:val="18"/>
          <w:szCs w:val="18"/>
          <w:lang w:val="en-US"/>
        </w:rPr>
        <w:t>literature data (Fried et al. 2003</w:t>
      </w:r>
      <w:r w:rsidR="00063862" w:rsidRPr="00063862">
        <w:rPr>
          <w:rFonts w:ascii="Arial" w:hAnsi="Arial" w:cs="Arial"/>
          <w:iCs/>
          <w:sz w:val="18"/>
          <w:szCs w:val="18"/>
          <w:lang w:val="en-US"/>
        </w:rPr>
        <w:t xml:space="preserve">, </w:t>
      </w:r>
      <w:r w:rsidR="00063862" w:rsidRPr="00063862">
        <w:rPr>
          <w:rFonts w:ascii="Arial" w:hAnsi="Arial" w:cs="Arial"/>
          <w:color w:val="000000" w:themeColor="text1"/>
          <w:sz w:val="18"/>
          <w:szCs w:val="18"/>
          <w:lang w:val="en-US"/>
        </w:rPr>
        <w:t>Kwon et al. 2013</w:t>
      </w:r>
      <w:r w:rsidR="00CC5FE2" w:rsidRPr="00063862">
        <w:rPr>
          <w:rFonts w:ascii="Arial" w:hAnsi="Arial" w:cs="Arial"/>
          <w:iCs/>
          <w:sz w:val="18"/>
          <w:szCs w:val="18"/>
          <w:lang w:val="en-US"/>
        </w:rPr>
        <w:t>) which evidenced</w:t>
      </w:r>
      <w:r w:rsidR="00CC5FE2">
        <w:rPr>
          <w:rFonts w:ascii="Arial" w:hAnsi="Arial" w:cs="Arial"/>
          <w:iCs/>
          <w:sz w:val="18"/>
          <w:szCs w:val="18"/>
          <w:lang w:val="en-US"/>
        </w:rPr>
        <w:t xml:space="preserve"> as microalgae growth was strongly affected by the initial nitrate and phosphate content.</w:t>
      </w:r>
    </w:p>
    <w:p w:rsidR="00577F3B" w:rsidRPr="00C20FF2" w:rsidRDefault="00577F3B" w:rsidP="00577F3B">
      <w:pPr>
        <w:jc w:val="both"/>
        <w:rPr>
          <w:i/>
          <w:iCs/>
          <w:lang w:val="en-US"/>
        </w:rPr>
      </w:pPr>
      <w:r w:rsidRPr="00C20FF2">
        <w:rPr>
          <w:i/>
          <w:iCs/>
          <w:lang w:val="en-US"/>
        </w:rPr>
        <w:t xml:space="preserve">Table </w:t>
      </w:r>
      <w:r w:rsidR="001A5C5D">
        <w:rPr>
          <w:i/>
          <w:iCs/>
          <w:lang w:val="en-US"/>
        </w:rPr>
        <w:t>4</w:t>
      </w:r>
      <w:r w:rsidRPr="00C20FF2">
        <w:rPr>
          <w:i/>
          <w:iCs/>
          <w:lang w:val="en-US"/>
        </w:rPr>
        <w:t>:</w:t>
      </w:r>
      <w:r w:rsidR="00CC5FE2">
        <w:rPr>
          <w:i/>
          <w:iCs/>
          <w:lang w:val="en-US"/>
        </w:rPr>
        <w:t xml:space="preserve"> Initial and final ions concentration detected </w:t>
      </w:r>
      <w:r w:rsidR="006E20A7">
        <w:rPr>
          <w:i/>
          <w:iCs/>
          <w:lang w:val="en-US"/>
        </w:rPr>
        <w:t>by</w:t>
      </w:r>
      <w:r w:rsidR="00CC5FE2">
        <w:rPr>
          <w:i/>
          <w:iCs/>
          <w:lang w:val="en-US"/>
        </w:rPr>
        <w:t xml:space="preserve"> tests N° 1, 2 and 3</w:t>
      </w:r>
    </w:p>
    <w:tbl>
      <w:tblPr>
        <w:tblStyle w:val="TableNormal"/>
        <w:tblW w:w="94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4"/>
        <w:gridCol w:w="659"/>
        <w:gridCol w:w="1047"/>
        <w:gridCol w:w="790"/>
        <w:gridCol w:w="871"/>
        <w:gridCol w:w="927"/>
        <w:gridCol w:w="973"/>
        <w:gridCol w:w="656"/>
        <w:gridCol w:w="935"/>
        <w:gridCol w:w="935"/>
        <w:gridCol w:w="935"/>
      </w:tblGrid>
      <w:tr w:rsidR="00577F3B" w:rsidRPr="00507102" w:rsidTr="007749DA">
        <w:trPr>
          <w:trHeight w:val="503"/>
          <w:jc w:val="center"/>
        </w:trPr>
        <w:tc>
          <w:tcPr>
            <w:tcW w:w="684" w:type="dxa"/>
            <w:tcBorders>
              <w:top w:val="single" w:sz="12" w:space="0" w:color="008000"/>
              <w:left w:val="nil"/>
              <w:bottom w:val="single" w:sz="6" w:space="0" w:color="008000"/>
              <w:right w:val="nil"/>
            </w:tcBorders>
            <w:shd w:val="clear" w:color="auto" w:fill="FFFFFF"/>
          </w:tcPr>
          <w:p w:rsidR="00577F3B" w:rsidRPr="00507102" w:rsidRDefault="00577F3B" w:rsidP="007749DA">
            <w:pPr>
              <w:pStyle w:val="CETBodytext"/>
              <w:jc w:val="center"/>
              <w:rPr>
                <w:rFonts w:cs="Arial"/>
                <w:b/>
              </w:rPr>
            </w:pPr>
            <w:r w:rsidRPr="00507102">
              <w:rPr>
                <w:rFonts w:cs="Arial"/>
                <w:b/>
              </w:rPr>
              <w:t xml:space="preserve">Test </w:t>
            </w:r>
          </w:p>
          <w:p w:rsidR="00577F3B" w:rsidRPr="00507102" w:rsidRDefault="00577F3B" w:rsidP="007749DA">
            <w:pPr>
              <w:pStyle w:val="CETBodytext"/>
              <w:jc w:val="center"/>
              <w:rPr>
                <w:rFonts w:cs="Arial"/>
                <w:b/>
              </w:rPr>
            </w:pPr>
            <w:r w:rsidRPr="00507102">
              <w:rPr>
                <w:rFonts w:cs="Arial"/>
                <w:b/>
              </w:rPr>
              <w:t>N°</w:t>
            </w:r>
          </w:p>
        </w:tc>
        <w:tc>
          <w:tcPr>
            <w:tcW w:w="659"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b/>
              </w:rPr>
            </w:pPr>
            <w:r w:rsidRPr="00507102">
              <w:rPr>
                <w:rFonts w:cs="Arial"/>
                <w:b/>
              </w:rPr>
              <w:t>Time</w:t>
            </w:r>
          </w:p>
          <w:p w:rsidR="00577F3B" w:rsidRPr="00507102" w:rsidRDefault="00577F3B" w:rsidP="007749DA">
            <w:pPr>
              <w:pStyle w:val="CETBodytext"/>
              <w:rPr>
                <w:rFonts w:cs="Arial"/>
                <w:b/>
              </w:rPr>
            </w:pPr>
            <w:r w:rsidRPr="00507102">
              <w:rPr>
                <w:rFonts w:cs="Arial"/>
                <w:b/>
              </w:rPr>
              <w:t xml:space="preserve">days </w:t>
            </w:r>
          </w:p>
        </w:tc>
        <w:tc>
          <w:tcPr>
            <w:tcW w:w="1047" w:type="dxa"/>
            <w:tcBorders>
              <w:top w:val="single" w:sz="12" w:space="0" w:color="008000"/>
              <w:left w:val="nil"/>
              <w:bottom w:val="single" w:sz="6" w:space="0" w:color="008000"/>
              <w:right w:val="nil"/>
            </w:tcBorders>
            <w:shd w:val="clear" w:color="auto" w:fill="FFFFFF"/>
            <w:tcMar>
              <w:top w:w="80" w:type="dxa"/>
              <w:left w:w="80" w:type="dxa"/>
              <w:bottom w:w="80" w:type="dxa"/>
              <w:right w:w="80" w:type="dxa"/>
            </w:tcMar>
          </w:tcPr>
          <w:p w:rsidR="00577F3B" w:rsidRPr="00507102" w:rsidRDefault="00577F3B" w:rsidP="007749DA">
            <w:pPr>
              <w:pStyle w:val="CETBodytext"/>
              <w:jc w:val="center"/>
              <w:rPr>
                <w:rFonts w:eastAsia="Times New Roman" w:cs="Arial"/>
                <w:b/>
              </w:rPr>
            </w:pPr>
            <w:r w:rsidRPr="00507102">
              <w:rPr>
                <w:rFonts w:eastAsia="Times New Roman" w:cs="Arial"/>
                <w:b/>
              </w:rPr>
              <w:t>Mg(</w:t>
            </w:r>
            <w:r w:rsidRPr="00943D2A">
              <w:rPr>
                <w:rFonts w:eastAsia="Times New Roman" w:cs="Arial"/>
                <w:b/>
                <w:vertAlign w:val="superscript"/>
              </w:rPr>
              <w:t>2+</w:t>
            </w:r>
            <w:r w:rsidRPr="00507102">
              <w:rPr>
                <w:rFonts w:eastAsia="Times New Roman" w:cs="Arial"/>
                <w:b/>
              </w:rPr>
              <w:t>)</w:t>
            </w:r>
          </w:p>
          <w:p w:rsidR="00577F3B" w:rsidRPr="00507102" w:rsidRDefault="00577F3B" w:rsidP="007749DA">
            <w:pPr>
              <w:pStyle w:val="CETBodytext"/>
              <w:jc w:val="center"/>
              <w:rPr>
                <w:rFonts w:cs="Arial"/>
                <w:b/>
              </w:rPr>
            </w:pPr>
            <w:r w:rsidRPr="00507102">
              <w:rPr>
                <w:rFonts w:eastAsia="Times New Roman" w:cs="Arial"/>
                <w:b/>
              </w:rPr>
              <w:t>mg/</w:t>
            </w:r>
            <w:r w:rsidR="00105415">
              <w:rPr>
                <w:rFonts w:eastAsia="Times New Roman" w:cs="Arial"/>
                <w:b/>
              </w:rPr>
              <w:t>L</w:t>
            </w:r>
          </w:p>
        </w:tc>
        <w:tc>
          <w:tcPr>
            <w:tcW w:w="790" w:type="dxa"/>
            <w:tcBorders>
              <w:top w:val="single" w:sz="12" w:space="0" w:color="008000"/>
              <w:left w:val="nil"/>
              <w:bottom w:val="single" w:sz="6" w:space="0" w:color="008000"/>
              <w:right w:val="nil"/>
            </w:tcBorders>
            <w:shd w:val="clear" w:color="auto" w:fill="FFFFFF"/>
          </w:tcPr>
          <w:p w:rsidR="00577F3B" w:rsidRPr="00507102" w:rsidRDefault="00577F3B" w:rsidP="007749DA">
            <w:pPr>
              <w:pStyle w:val="CETBodytext"/>
              <w:jc w:val="center"/>
              <w:rPr>
                <w:rFonts w:eastAsia="Times New Roman" w:cs="Arial"/>
                <w:b/>
              </w:rPr>
            </w:pPr>
            <w:r w:rsidRPr="00507102">
              <w:rPr>
                <w:rFonts w:eastAsia="Times New Roman" w:cs="Arial"/>
                <w:b/>
              </w:rPr>
              <w:t>SO</w:t>
            </w:r>
            <w:r w:rsidRPr="00943D2A">
              <w:rPr>
                <w:rFonts w:eastAsia="Times New Roman" w:cs="Arial"/>
                <w:b/>
                <w:vertAlign w:val="subscript"/>
              </w:rPr>
              <w:t>4</w:t>
            </w:r>
            <w:r w:rsidRPr="00507102">
              <w:rPr>
                <w:rFonts w:eastAsia="Times New Roman" w:cs="Arial"/>
                <w:b/>
              </w:rPr>
              <w:t>(</w:t>
            </w:r>
            <w:r w:rsidRPr="00943D2A">
              <w:rPr>
                <w:rFonts w:eastAsia="Times New Roman" w:cs="Arial"/>
                <w:b/>
                <w:vertAlign w:val="superscript"/>
              </w:rPr>
              <w:t>2-</w:t>
            </w:r>
            <w:r w:rsidRPr="00507102">
              <w:rPr>
                <w:rFonts w:eastAsia="Times New Roman" w:cs="Arial"/>
                <w:b/>
              </w:rPr>
              <w:t>)</w:t>
            </w:r>
          </w:p>
          <w:p w:rsidR="00577F3B" w:rsidRPr="00507102" w:rsidRDefault="00577F3B" w:rsidP="007749DA">
            <w:pPr>
              <w:pStyle w:val="CETBodytext"/>
              <w:jc w:val="center"/>
              <w:rPr>
                <w:rFonts w:cs="Arial"/>
                <w:b/>
                <w:lang w:val="it-IT"/>
              </w:rPr>
            </w:pPr>
            <w:r w:rsidRPr="00507102">
              <w:rPr>
                <w:rFonts w:eastAsia="Times New Roman" w:cs="Arial"/>
                <w:b/>
              </w:rPr>
              <w:t>mg/</w:t>
            </w:r>
            <w:r w:rsidR="00105415">
              <w:rPr>
                <w:rFonts w:eastAsia="Times New Roman" w:cs="Arial"/>
                <w:b/>
              </w:rPr>
              <w:t>L</w:t>
            </w:r>
          </w:p>
        </w:tc>
        <w:tc>
          <w:tcPr>
            <w:tcW w:w="871" w:type="dxa"/>
            <w:tcBorders>
              <w:top w:val="single" w:sz="12" w:space="0" w:color="008000"/>
              <w:left w:val="nil"/>
              <w:bottom w:val="single" w:sz="6" w:space="0" w:color="008000"/>
              <w:right w:val="nil"/>
            </w:tcBorders>
            <w:shd w:val="clear" w:color="auto" w:fill="FFFFFF"/>
          </w:tcPr>
          <w:p w:rsidR="00577F3B" w:rsidRPr="00507102" w:rsidRDefault="00577F3B" w:rsidP="007749DA">
            <w:pPr>
              <w:pStyle w:val="CETBodytext"/>
              <w:jc w:val="center"/>
              <w:rPr>
                <w:rFonts w:eastAsia="Times New Roman" w:cs="Arial"/>
                <w:b/>
              </w:rPr>
            </w:pPr>
            <w:r w:rsidRPr="00507102">
              <w:rPr>
                <w:rFonts w:eastAsia="Times New Roman" w:cs="Arial"/>
                <w:b/>
              </w:rPr>
              <w:t>Na(</w:t>
            </w:r>
            <w:r w:rsidRPr="00943D2A">
              <w:rPr>
                <w:rFonts w:eastAsia="Times New Roman" w:cs="Arial"/>
                <w:b/>
                <w:vertAlign w:val="superscript"/>
              </w:rPr>
              <w:t>+</w:t>
            </w:r>
            <w:r w:rsidRPr="00507102">
              <w:rPr>
                <w:rFonts w:eastAsia="Times New Roman" w:cs="Arial"/>
                <w:b/>
              </w:rPr>
              <w:t>)</w:t>
            </w:r>
          </w:p>
          <w:p w:rsidR="00577F3B" w:rsidRPr="00507102" w:rsidRDefault="00577F3B" w:rsidP="007749DA">
            <w:pPr>
              <w:pStyle w:val="CETBodytext"/>
              <w:jc w:val="center"/>
              <w:rPr>
                <w:rFonts w:cs="Arial"/>
                <w:b/>
                <w:lang w:val="it-IT"/>
              </w:rPr>
            </w:pPr>
            <w:r w:rsidRPr="00507102">
              <w:rPr>
                <w:rFonts w:eastAsia="Times New Roman" w:cs="Arial"/>
                <w:b/>
              </w:rPr>
              <w:t>mg/</w:t>
            </w:r>
            <w:r w:rsidR="00105415">
              <w:rPr>
                <w:rFonts w:eastAsia="Times New Roman" w:cs="Arial"/>
                <w:b/>
              </w:rPr>
              <w:t>L</w:t>
            </w:r>
          </w:p>
        </w:tc>
        <w:tc>
          <w:tcPr>
            <w:tcW w:w="927" w:type="dxa"/>
            <w:tcBorders>
              <w:top w:val="single" w:sz="12" w:space="0" w:color="008000"/>
              <w:left w:val="nil"/>
              <w:bottom w:val="single" w:sz="6" w:space="0" w:color="008000"/>
              <w:right w:val="nil"/>
            </w:tcBorders>
            <w:shd w:val="clear" w:color="auto" w:fill="FFFFFF"/>
          </w:tcPr>
          <w:p w:rsidR="00577F3B" w:rsidRPr="00507102" w:rsidRDefault="00577F3B" w:rsidP="007749DA">
            <w:pPr>
              <w:pStyle w:val="CETBodytext"/>
              <w:jc w:val="center"/>
              <w:rPr>
                <w:rFonts w:eastAsia="Times New Roman" w:cs="Arial"/>
                <w:b/>
              </w:rPr>
            </w:pPr>
            <w:r w:rsidRPr="00507102">
              <w:rPr>
                <w:rFonts w:eastAsia="Times New Roman" w:cs="Arial"/>
                <w:b/>
              </w:rPr>
              <w:t>NO</w:t>
            </w:r>
            <w:r w:rsidRPr="00943D2A">
              <w:rPr>
                <w:rFonts w:eastAsia="Times New Roman" w:cs="Arial"/>
                <w:b/>
                <w:vertAlign w:val="subscript"/>
              </w:rPr>
              <w:t>3</w:t>
            </w:r>
            <w:r w:rsidRPr="00507102">
              <w:rPr>
                <w:rFonts w:eastAsia="Times New Roman" w:cs="Arial"/>
                <w:b/>
              </w:rPr>
              <w:t>(</w:t>
            </w:r>
            <w:r w:rsidRPr="00943D2A">
              <w:rPr>
                <w:rFonts w:eastAsia="Times New Roman" w:cs="Arial"/>
                <w:b/>
                <w:vertAlign w:val="superscript"/>
              </w:rPr>
              <w:t>-</w:t>
            </w:r>
            <w:r w:rsidRPr="00507102">
              <w:rPr>
                <w:rFonts w:eastAsia="Times New Roman" w:cs="Arial"/>
                <w:b/>
              </w:rPr>
              <w:t>)</w:t>
            </w:r>
          </w:p>
          <w:p w:rsidR="00577F3B" w:rsidRPr="00507102" w:rsidRDefault="00577F3B" w:rsidP="007749DA">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c>
          <w:tcPr>
            <w:tcW w:w="973" w:type="dxa"/>
            <w:tcBorders>
              <w:top w:val="single" w:sz="12" w:space="0" w:color="008000"/>
              <w:left w:val="nil"/>
              <w:bottom w:val="single" w:sz="6" w:space="0" w:color="008000"/>
              <w:right w:val="nil"/>
            </w:tcBorders>
            <w:shd w:val="clear" w:color="auto" w:fill="FFFFFF"/>
          </w:tcPr>
          <w:p w:rsidR="00577F3B" w:rsidRPr="00507102" w:rsidRDefault="00577F3B" w:rsidP="007749DA">
            <w:pPr>
              <w:pStyle w:val="CETBodytext"/>
              <w:jc w:val="center"/>
              <w:rPr>
                <w:rFonts w:eastAsia="Times New Roman" w:cs="Arial"/>
                <w:b/>
              </w:rPr>
            </w:pPr>
            <w:r w:rsidRPr="00507102">
              <w:rPr>
                <w:rFonts w:eastAsia="Times New Roman" w:cs="Arial"/>
                <w:b/>
              </w:rPr>
              <w:t>NO</w:t>
            </w:r>
            <w:r w:rsidRPr="00943D2A">
              <w:rPr>
                <w:rFonts w:eastAsia="Times New Roman" w:cs="Arial"/>
                <w:b/>
                <w:vertAlign w:val="subscript"/>
              </w:rPr>
              <w:t>2</w:t>
            </w:r>
            <w:r w:rsidRPr="00507102">
              <w:rPr>
                <w:rFonts w:eastAsia="Times New Roman" w:cs="Arial"/>
                <w:b/>
              </w:rPr>
              <w:t>(</w:t>
            </w:r>
            <w:r w:rsidRPr="00943D2A">
              <w:rPr>
                <w:rFonts w:eastAsia="Times New Roman" w:cs="Arial"/>
                <w:b/>
                <w:vertAlign w:val="superscript"/>
              </w:rPr>
              <w:t>-</w:t>
            </w:r>
            <w:r w:rsidRPr="00507102">
              <w:rPr>
                <w:rFonts w:eastAsia="Times New Roman" w:cs="Arial"/>
                <w:b/>
              </w:rPr>
              <w:t>)</w:t>
            </w:r>
          </w:p>
          <w:p w:rsidR="00577F3B" w:rsidRPr="00507102" w:rsidRDefault="00577F3B" w:rsidP="00105415">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c>
          <w:tcPr>
            <w:tcW w:w="656" w:type="dxa"/>
            <w:tcBorders>
              <w:top w:val="single" w:sz="12" w:space="0" w:color="008000"/>
              <w:left w:val="nil"/>
              <w:bottom w:val="single" w:sz="6" w:space="0" w:color="008000"/>
              <w:right w:val="nil"/>
            </w:tcBorders>
            <w:shd w:val="clear" w:color="auto" w:fill="FFFFFF"/>
          </w:tcPr>
          <w:p w:rsidR="00577F3B" w:rsidRDefault="00577F3B" w:rsidP="007749DA">
            <w:pPr>
              <w:pStyle w:val="CETBodytext"/>
              <w:jc w:val="center"/>
              <w:rPr>
                <w:rFonts w:eastAsia="Times New Roman" w:cs="Arial"/>
                <w:b/>
              </w:rPr>
            </w:pPr>
            <w:r w:rsidRPr="00507102">
              <w:rPr>
                <w:rFonts w:eastAsia="Times New Roman" w:cs="Arial"/>
                <w:b/>
              </w:rPr>
              <w:t>Ca(</w:t>
            </w:r>
            <w:r w:rsidRPr="00943D2A">
              <w:rPr>
                <w:rFonts w:eastAsia="Times New Roman" w:cs="Arial"/>
                <w:b/>
                <w:vertAlign w:val="superscript"/>
              </w:rPr>
              <w:t>2+</w:t>
            </w:r>
            <w:r w:rsidRPr="00507102">
              <w:rPr>
                <w:rFonts w:eastAsia="Times New Roman" w:cs="Arial"/>
                <w:b/>
              </w:rPr>
              <w:t>)</w:t>
            </w:r>
          </w:p>
          <w:p w:rsidR="00577F3B" w:rsidRPr="00507102" w:rsidRDefault="00577F3B" w:rsidP="00105415">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c>
          <w:tcPr>
            <w:tcW w:w="935" w:type="dxa"/>
            <w:tcBorders>
              <w:top w:val="single" w:sz="12" w:space="0" w:color="008000"/>
              <w:left w:val="nil"/>
              <w:bottom w:val="single" w:sz="6" w:space="0" w:color="008000"/>
              <w:right w:val="nil"/>
            </w:tcBorders>
            <w:shd w:val="clear" w:color="auto" w:fill="FFFFFF"/>
          </w:tcPr>
          <w:p w:rsidR="00577F3B" w:rsidRDefault="00577F3B" w:rsidP="007749DA">
            <w:pPr>
              <w:pStyle w:val="CETBodytext"/>
              <w:jc w:val="center"/>
              <w:rPr>
                <w:rFonts w:eastAsia="Times New Roman" w:cs="Arial"/>
                <w:b/>
              </w:rPr>
            </w:pPr>
            <w:r w:rsidRPr="00507102">
              <w:rPr>
                <w:rFonts w:eastAsia="Times New Roman" w:cs="Arial"/>
                <w:b/>
              </w:rPr>
              <w:t>Cl(</w:t>
            </w:r>
            <w:r w:rsidRPr="00943D2A">
              <w:rPr>
                <w:rFonts w:eastAsia="Times New Roman" w:cs="Arial"/>
                <w:b/>
                <w:vertAlign w:val="superscript"/>
              </w:rPr>
              <w:t>-</w:t>
            </w:r>
            <w:r w:rsidRPr="00507102">
              <w:rPr>
                <w:rFonts w:eastAsia="Times New Roman" w:cs="Arial"/>
                <w:b/>
              </w:rPr>
              <w:t>)</w:t>
            </w:r>
          </w:p>
          <w:p w:rsidR="00577F3B" w:rsidRPr="00507102" w:rsidRDefault="00577F3B" w:rsidP="007749DA">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c>
          <w:tcPr>
            <w:tcW w:w="935" w:type="dxa"/>
            <w:tcBorders>
              <w:top w:val="single" w:sz="12" w:space="0" w:color="008000"/>
              <w:left w:val="nil"/>
              <w:bottom w:val="single" w:sz="6" w:space="0" w:color="008000"/>
              <w:right w:val="nil"/>
            </w:tcBorders>
            <w:shd w:val="clear" w:color="auto" w:fill="FFFFFF"/>
          </w:tcPr>
          <w:p w:rsidR="00577F3B" w:rsidRDefault="00577F3B" w:rsidP="007749DA">
            <w:pPr>
              <w:pStyle w:val="CETBodytext"/>
              <w:jc w:val="center"/>
              <w:rPr>
                <w:rFonts w:eastAsia="Times New Roman" w:cs="Arial"/>
                <w:b/>
              </w:rPr>
            </w:pPr>
            <w:r w:rsidRPr="00507102">
              <w:rPr>
                <w:rFonts w:eastAsia="Times New Roman" w:cs="Arial"/>
                <w:b/>
              </w:rPr>
              <w:t>K(</w:t>
            </w:r>
            <w:r w:rsidRPr="00943D2A">
              <w:rPr>
                <w:rFonts w:eastAsia="Times New Roman" w:cs="Arial"/>
                <w:b/>
                <w:vertAlign w:val="superscript"/>
              </w:rPr>
              <w:t>+</w:t>
            </w:r>
            <w:r w:rsidRPr="00507102">
              <w:rPr>
                <w:rFonts w:eastAsia="Times New Roman" w:cs="Arial"/>
                <w:b/>
              </w:rPr>
              <w:t>)</w:t>
            </w:r>
          </w:p>
          <w:p w:rsidR="00577F3B" w:rsidRPr="00507102" w:rsidRDefault="00577F3B" w:rsidP="00105415">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c>
          <w:tcPr>
            <w:tcW w:w="935" w:type="dxa"/>
            <w:tcBorders>
              <w:top w:val="single" w:sz="12" w:space="0" w:color="008000"/>
              <w:left w:val="nil"/>
              <w:bottom w:val="single" w:sz="6" w:space="0" w:color="008000"/>
              <w:right w:val="nil"/>
            </w:tcBorders>
            <w:shd w:val="clear" w:color="auto" w:fill="FFFFFF"/>
          </w:tcPr>
          <w:p w:rsidR="00577F3B" w:rsidRDefault="00577F3B" w:rsidP="007749DA">
            <w:pPr>
              <w:pStyle w:val="CETBodytext"/>
              <w:jc w:val="center"/>
              <w:rPr>
                <w:rFonts w:eastAsia="Times New Roman" w:cs="Arial"/>
                <w:b/>
              </w:rPr>
            </w:pPr>
            <w:r w:rsidRPr="00507102">
              <w:rPr>
                <w:rFonts w:eastAsia="Times New Roman" w:cs="Arial"/>
                <w:b/>
              </w:rPr>
              <w:t>PO</w:t>
            </w:r>
            <w:r w:rsidRPr="00943D2A">
              <w:rPr>
                <w:rFonts w:eastAsia="Times New Roman" w:cs="Arial"/>
                <w:b/>
                <w:vertAlign w:val="subscript"/>
              </w:rPr>
              <w:t>4</w:t>
            </w:r>
            <w:r w:rsidRPr="00507102">
              <w:rPr>
                <w:rFonts w:eastAsia="Times New Roman" w:cs="Arial"/>
                <w:b/>
              </w:rPr>
              <w:t>(</w:t>
            </w:r>
            <w:r w:rsidRPr="00943D2A">
              <w:rPr>
                <w:rFonts w:eastAsia="Times New Roman" w:cs="Arial"/>
                <w:b/>
                <w:vertAlign w:val="superscript"/>
              </w:rPr>
              <w:t>3-</w:t>
            </w:r>
            <w:r w:rsidRPr="00507102">
              <w:rPr>
                <w:rFonts w:eastAsia="Times New Roman" w:cs="Arial"/>
                <w:b/>
              </w:rPr>
              <w:t>)</w:t>
            </w:r>
          </w:p>
          <w:p w:rsidR="00577F3B" w:rsidRPr="00507102" w:rsidRDefault="00577F3B" w:rsidP="007749DA">
            <w:pPr>
              <w:pStyle w:val="CETBodytext"/>
              <w:jc w:val="center"/>
              <w:rPr>
                <w:rFonts w:eastAsia="Times New Roman" w:cs="Arial"/>
                <w:b/>
              </w:rPr>
            </w:pPr>
            <w:r w:rsidRPr="00507102">
              <w:rPr>
                <w:rFonts w:eastAsia="Times New Roman" w:cs="Arial"/>
                <w:b/>
              </w:rPr>
              <w:t>mg/</w:t>
            </w:r>
            <w:r w:rsidR="00105415">
              <w:rPr>
                <w:rFonts w:eastAsia="Times New Roman" w:cs="Arial"/>
                <w:b/>
              </w:rPr>
              <w:t>L</w:t>
            </w:r>
          </w:p>
        </w:tc>
      </w:tr>
      <w:tr w:rsidR="00577F3B" w:rsidRPr="00507102" w:rsidTr="007749DA">
        <w:trPr>
          <w:trHeight w:val="231"/>
          <w:jc w:val="center"/>
        </w:trPr>
        <w:tc>
          <w:tcPr>
            <w:tcW w:w="684" w:type="dxa"/>
            <w:vMerge w:val="restart"/>
            <w:tcBorders>
              <w:top w:val="single" w:sz="6" w:space="0" w:color="008000"/>
              <w:left w:val="nil"/>
              <w:right w:val="nil"/>
            </w:tcBorders>
            <w:shd w:val="clear" w:color="auto" w:fill="FFFFFF"/>
          </w:tcPr>
          <w:p w:rsidR="00577F3B" w:rsidRPr="00507102" w:rsidRDefault="00577F3B" w:rsidP="007749DA">
            <w:pPr>
              <w:pStyle w:val="CETBodytext"/>
              <w:jc w:val="center"/>
              <w:rPr>
                <w:rFonts w:cs="Arial"/>
                <w:bCs/>
                <w:iCs/>
              </w:rPr>
            </w:pPr>
          </w:p>
          <w:p w:rsidR="00577F3B" w:rsidRPr="00507102" w:rsidRDefault="00577F3B" w:rsidP="007749DA">
            <w:pPr>
              <w:pStyle w:val="CETBodytext"/>
              <w:jc w:val="center"/>
              <w:rPr>
                <w:rFonts w:cs="Arial"/>
                <w:bCs/>
                <w:iCs/>
              </w:rPr>
            </w:pPr>
            <w:r w:rsidRPr="00507102">
              <w:rPr>
                <w:rFonts w:cs="Arial"/>
                <w:bCs/>
                <w:iCs/>
              </w:rPr>
              <w:t>1</w:t>
            </w:r>
          </w:p>
        </w:tc>
        <w:tc>
          <w:tcPr>
            <w:tcW w:w="659"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bCs/>
                <w:iCs/>
              </w:rPr>
            </w:pPr>
            <w:r w:rsidRPr="00507102">
              <w:rPr>
                <w:rFonts w:cs="Arial"/>
                <w:bCs/>
                <w:iCs/>
              </w:rPr>
              <w:t>0</w:t>
            </w:r>
          </w:p>
        </w:tc>
        <w:tc>
          <w:tcPr>
            <w:tcW w:w="1047"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7B77C7" w:rsidP="007B77C7">
            <w:pPr>
              <w:pStyle w:val="CETBodytext"/>
              <w:jc w:val="center"/>
              <w:rPr>
                <w:rFonts w:cs="Arial"/>
              </w:rPr>
            </w:pPr>
            <w:r>
              <w:rPr>
                <w:rFonts w:eastAsia="Times New Roman" w:cs="Arial"/>
              </w:rPr>
              <w:t>100.</w:t>
            </w:r>
            <w:r w:rsidR="00577F3B" w:rsidRPr="00507102">
              <w:rPr>
                <w:rFonts w:eastAsia="Times New Roman" w:cs="Arial"/>
              </w:rPr>
              <w:t>44</w:t>
            </w:r>
          </w:p>
        </w:tc>
        <w:tc>
          <w:tcPr>
            <w:tcW w:w="790"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451.</w:t>
            </w:r>
            <w:r w:rsidR="00577F3B" w:rsidRPr="00507102">
              <w:rPr>
                <w:rFonts w:eastAsia="Times New Roman" w:cs="Arial"/>
              </w:rPr>
              <w:t>28</w:t>
            </w:r>
          </w:p>
        </w:tc>
        <w:tc>
          <w:tcPr>
            <w:tcW w:w="871"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259.</w:t>
            </w:r>
            <w:r w:rsidR="00577F3B" w:rsidRPr="00507102">
              <w:rPr>
                <w:rFonts w:eastAsia="Times New Roman" w:cs="Arial"/>
              </w:rPr>
              <w:t>45</w:t>
            </w:r>
          </w:p>
        </w:tc>
        <w:tc>
          <w:tcPr>
            <w:tcW w:w="927" w:type="dxa"/>
            <w:tcBorders>
              <w:top w:val="single" w:sz="6" w:space="0" w:color="008000"/>
              <w:left w:val="nil"/>
              <w:bottom w:val="nil"/>
              <w:right w:val="nil"/>
            </w:tcBorders>
            <w:shd w:val="clear" w:color="auto" w:fill="FFFFFF"/>
          </w:tcPr>
          <w:p w:rsidR="00577F3B" w:rsidRPr="00507102" w:rsidRDefault="00577F3B" w:rsidP="00853914">
            <w:pPr>
              <w:pStyle w:val="CETBodytext"/>
              <w:jc w:val="center"/>
              <w:rPr>
                <w:rFonts w:eastAsia="Times New Roman" w:cs="Arial"/>
              </w:rPr>
            </w:pPr>
            <w:r w:rsidRPr="00507102">
              <w:rPr>
                <w:rFonts w:eastAsia="Times New Roman" w:cs="Arial"/>
              </w:rPr>
              <w:t>620</w:t>
            </w:r>
            <w:r w:rsidR="007B77C7">
              <w:rPr>
                <w:rFonts w:eastAsia="Times New Roman" w:cs="Arial"/>
              </w:rPr>
              <w:t>.</w:t>
            </w:r>
            <w:r w:rsidRPr="00507102">
              <w:rPr>
                <w:rFonts w:eastAsia="Times New Roman" w:cs="Arial"/>
              </w:rPr>
              <w:t>58</w:t>
            </w:r>
          </w:p>
        </w:tc>
        <w:tc>
          <w:tcPr>
            <w:tcW w:w="973"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0.</w:t>
            </w:r>
            <w:r w:rsidR="00577F3B" w:rsidRPr="00507102">
              <w:rPr>
                <w:rFonts w:eastAsia="Times New Roman" w:cs="Arial"/>
              </w:rPr>
              <w:t>66</w:t>
            </w:r>
          </w:p>
        </w:tc>
        <w:tc>
          <w:tcPr>
            <w:tcW w:w="656"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99.</w:t>
            </w:r>
            <w:r w:rsidR="00577F3B" w:rsidRPr="00124F5D">
              <w:rPr>
                <w:rFonts w:eastAsia="Times New Roman" w:cs="Arial"/>
                <w:sz w:val="20"/>
                <w:szCs w:val="20"/>
              </w:rPr>
              <w:t>35</w:t>
            </w:r>
          </w:p>
        </w:tc>
        <w:tc>
          <w:tcPr>
            <w:tcW w:w="935"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165.</w:t>
            </w:r>
            <w:r w:rsidR="00577F3B" w:rsidRPr="00124F5D">
              <w:rPr>
                <w:rFonts w:eastAsia="Times New Roman" w:cs="Arial"/>
                <w:sz w:val="20"/>
                <w:szCs w:val="20"/>
              </w:rPr>
              <w:t>78</w:t>
            </w:r>
          </w:p>
        </w:tc>
        <w:tc>
          <w:tcPr>
            <w:tcW w:w="935" w:type="dxa"/>
            <w:tcBorders>
              <w:top w:val="single" w:sz="6" w:space="0" w:color="008000"/>
              <w:left w:val="nil"/>
              <w:bottom w:val="nil"/>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38.</w:t>
            </w:r>
            <w:r w:rsidR="00577F3B" w:rsidRPr="00124F5D">
              <w:rPr>
                <w:rFonts w:eastAsia="Times New Roman" w:cs="Arial"/>
                <w:sz w:val="20"/>
                <w:szCs w:val="20"/>
              </w:rPr>
              <w:t>80</w:t>
            </w:r>
          </w:p>
        </w:tc>
        <w:tc>
          <w:tcPr>
            <w:tcW w:w="935" w:type="dxa"/>
            <w:tcBorders>
              <w:top w:val="single" w:sz="6" w:space="0" w:color="008000"/>
              <w:left w:val="nil"/>
              <w:bottom w:val="nil"/>
              <w:right w:val="nil"/>
            </w:tcBorders>
            <w:shd w:val="clear" w:color="auto" w:fill="FFFFFF"/>
          </w:tcPr>
          <w:p w:rsidR="00577F3B" w:rsidRPr="00124F5D" w:rsidRDefault="00853914" w:rsidP="007749DA">
            <w:pPr>
              <w:pStyle w:val="CETBodytext"/>
              <w:jc w:val="center"/>
              <w:rPr>
                <w:rFonts w:eastAsia="Times New Roman" w:cs="Arial"/>
                <w:sz w:val="20"/>
                <w:szCs w:val="20"/>
              </w:rPr>
            </w:pPr>
            <w:r>
              <w:rPr>
                <w:rFonts w:eastAsia="Times New Roman" w:cs="Arial"/>
                <w:sz w:val="20"/>
                <w:szCs w:val="20"/>
              </w:rPr>
              <w:t>4</w:t>
            </w:r>
            <w:r w:rsidR="007B77C7">
              <w:rPr>
                <w:rFonts w:eastAsia="Times New Roman" w:cs="Arial"/>
                <w:sz w:val="20"/>
                <w:szCs w:val="20"/>
              </w:rPr>
              <w:t>7.</w:t>
            </w:r>
            <w:r w:rsidR="00577F3B" w:rsidRPr="00124F5D">
              <w:rPr>
                <w:rFonts w:eastAsia="Times New Roman" w:cs="Arial"/>
                <w:sz w:val="20"/>
                <w:szCs w:val="20"/>
              </w:rPr>
              <w:t>58</w:t>
            </w:r>
          </w:p>
        </w:tc>
      </w:tr>
      <w:tr w:rsidR="00577F3B" w:rsidRPr="00507102" w:rsidTr="007749DA">
        <w:trPr>
          <w:trHeight w:val="231"/>
          <w:jc w:val="center"/>
        </w:trPr>
        <w:tc>
          <w:tcPr>
            <w:tcW w:w="684" w:type="dxa"/>
            <w:vMerge/>
            <w:tcBorders>
              <w:left w:val="nil"/>
              <w:bottom w:val="single" w:sz="6" w:space="0" w:color="008000"/>
              <w:right w:val="nil"/>
            </w:tcBorders>
            <w:shd w:val="clear" w:color="auto" w:fill="FFFFFF"/>
          </w:tcPr>
          <w:p w:rsidR="00577F3B" w:rsidRPr="00507102" w:rsidRDefault="00577F3B" w:rsidP="007749DA">
            <w:pPr>
              <w:pStyle w:val="CETBodytext"/>
              <w:jc w:val="center"/>
              <w:rPr>
                <w:rFonts w:cs="Arial"/>
                <w:bCs/>
                <w:iCs/>
              </w:rPr>
            </w:pPr>
          </w:p>
        </w:tc>
        <w:tc>
          <w:tcPr>
            <w:tcW w:w="659" w:type="dxa"/>
            <w:tcBorders>
              <w:top w:val="nil"/>
              <w:left w:val="nil"/>
              <w:bottom w:val="single" w:sz="6" w:space="0" w:color="008000"/>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lang w:val="it-IT"/>
              </w:rPr>
            </w:pPr>
            <w:r w:rsidRPr="00507102">
              <w:rPr>
                <w:rFonts w:cs="Arial"/>
                <w:bCs/>
                <w:iCs/>
              </w:rPr>
              <w:t>11</w:t>
            </w:r>
          </w:p>
        </w:tc>
        <w:tc>
          <w:tcPr>
            <w:tcW w:w="1047" w:type="dxa"/>
            <w:tcBorders>
              <w:top w:val="nil"/>
              <w:left w:val="nil"/>
              <w:bottom w:val="single" w:sz="6" w:space="0" w:color="008000"/>
              <w:right w:val="nil"/>
            </w:tcBorders>
            <w:shd w:val="clear" w:color="auto" w:fill="FFFFFF"/>
            <w:tcMar>
              <w:top w:w="80" w:type="dxa"/>
              <w:left w:w="80" w:type="dxa"/>
              <w:bottom w:w="80" w:type="dxa"/>
              <w:right w:w="80" w:type="dxa"/>
            </w:tcMar>
          </w:tcPr>
          <w:p w:rsidR="00577F3B" w:rsidRPr="00507102" w:rsidRDefault="007B77C7" w:rsidP="007749DA">
            <w:pPr>
              <w:pStyle w:val="CETBodytext"/>
              <w:jc w:val="center"/>
              <w:rPr>
                <w:rFonts w:cs="Arial"/>
              </w:rPr>
            </w:pPr>
            <w:r>
              <w:rPr>
                <w:rFonts w:eastAsia="Times New Roman" w:cs="Arial"/>
              </w:rPr>
              <w:t>100.</w:t>
            </w:r>
            <w:r w:rsidR="00577F3B" w:rsidRPr="00507102">
              <w:rPr>
                <w:rFonts w:eastAsia="Times New Roman" w:cs="Arial"/>
              </w:rPr>
              <w:t>25</w:t>
            </w:r>
          </w:p>
        </w:tc>
        <w:tc>
          <w:tcPr>
            <w:tcW w:w="790" w:type="dxa"/>
            <w:tcBorders>
              <w:top w:val="nil"/>
              <w:left w:val="nil"/>
              <w:bottom w:val="single" w:sz="6" w:space="0" w:color="008000"/>
              <w:right w:val="nil"/>
            </w:tcBorders>
            <w:shd w:val="clear" w:color="auto" w:fill="FFFFFF"/>
          </w:tcPr>
          <w:p w:rsidR="00577F3B" w:rsidRPr="00507102" w:rsidRDefault="007B77C7" w:rsidP="007B77C7">
            <w:pPr>
              <w:pStyle w:val="CETBodytext"/>
              <w:jc w:val="center"/>
              <w:rPr>
                <w:rFonts w:cs="Arial"/>
                <w:lang w:val="it-IT"/>
              </w:rPr>
            </w:pPr>
            <w:r>
              <w:rPr>
                <w:rFonts w:eastAsia="Times New Roman" w:cs="Arial"/>
              </w:rPr>
              <w:t>432.</w:t>
            </w:r>
            <w:r w:rsidR="00577F3B" w:rsidRPr="00507102">
              <w:rPr>
                <w:rFonts w:eastAsia="Times New Roman" w:cs="Arial"/>
              </w:rPr>
              <w:t>27</w:t>
            </w:r>
          </w:p>
        </w:tc>
        <w:tc>
          <w:tcPr>
            <w:tcW w:w="871"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235.</w:t>
            </w:r>
            <w:r w:rsidR="00577F3B" w:rsidRPr="00507102">
              <w:rPr>
                <w:rFonts w:eastAsia="Times New Roman" w:cs="Arial"/>
              </w:rPr>
              <w:t>82</w:t>
            </w:r>
          </w:p>
        </w:tc>
        <w:tc>
          <w:tcPr>
            <w:tcW w:w="927" w:type="dxa"/>
            <w:tcBorders>
              <w:top w:val="nil"/>
              <w:left w:val="nil"/>
              <w:bottom w:val="single" w:sz="6" w:space="0" w:color="008000"/>
              <w:right w:val="nil"/>
            </w:tcBorders>
            <w:shd w:val="clear" w:color="auto" w:fill="FFFFFF"/>
          </w:tcPr>
          <w:p w:rsidR="00577F3B" w:rsidRPr="00507102" w:rsidRDefault="007B77C7" w:rsidP="007B77C7">
            <w:pPr>
              <w:pStyle w:val="CETBodytext"/>
              <w:jc w:val="center"/>
              <w:rPr>
                <w:rFonts w:eastAsia="Times New Roman" w:cs="Arial"/>
              </w:rPr>
            </w:pPr>
            <w:r>
              <w:rPr>
                <w:rFonts w:eastAsia="Times New Roman" w:cs="Arial"/>
              </w:rPr>
              <w:t>589.</w:t>
            </w:r>
            <w:r w:rsidR="00577F3B" w:rsidRPr="00507102">
              <w:rPr>
                <w:rFonts w:eastAsia="Times New Roman" w:cs="Arial"/>
              </w:rPr>
              <w:t>12</w:t>
            </w:r>
          </w:p>
        </w:tc>
        <w:tc>
          <w:tcPr>
            <w:tcW w:w="973"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0.</w:t>
            </w:r>
            <w:r w:rsidR="00577F3B" w:rsidRPr="00507102">
              <w:rPr>
                <w:rFonts w:eastAsia="Times New Roman" w:cs="Arial"/>
              </w:rPr>
              <w:t>52</w:t>
            </w:r>
          </w:p>
        </w:tc>
        <w:tc>
          <w:tcPr>
            <w:tcW w:w="656" w:type="dxa"/>
            <w:tcBorders>
              <w:top w:val="nil"/>
              <w:left w:val="nil"/>
              <w:bottom w:val="single" w:sz="6" w:space="0" w:color="008000"/>
              <w:right w:val="nil"/>
            </w:tcBorders>
            <w:shd w:val="clear" w:color="auto" w:fill="FFFFFF"/>
          </w:tcPr>
          <w:p w:rsidR="00577F3B" w:rsidRPr="00507102" w:rsidRDefault="00853914" w:rsidP="007B77C7">
            <w:pPr>
              <w:pStyle w:val="CETBodytext"/>
              <w:jc w:val="center"/>
              <w:rPr>
                <w:rFonts w:eastAsia="Times New Roman" w:cs="Arial"/>
              </w:rPr>
            </w:pPr>
            <w:r>
              <w:rPr>
                <w:rFonts w:eastAsia="Times New Roman" w:cs="Arial"/>
                <w:sz w:val="20"/>
                <w:szCs w:val="20"/>
              </w:rPr>
              <w:t>95</w:t>
            </w:r>
            <w:r w:rsidR="007B77C7">
              <w:rPr>
                <w:rFonts w:eastAsia="Times New Roman" w:cs="Arial"/>
                <w:sz w:val="20"/>
                <w:szCs w:val="20"/>
              </w:rPr>
              <w:t>.</w:t>
            </w:r>
            <w:r w:rsidR="00577F3B" w:rsidRPr="00124F5D">
              <w:rPr>
                <w:rFonts w:eastAsia="Times New Roman" w:cs="Arial"/>
                <w:sz w:val="20"/>
                <w:szCs w:val="20"/>
              </w:rPr>
              <w:t>32</w:t>
            </w:r>
          </w:p>
        </w:tc>
        <w:tc>
          <w:tcPr>
            <w:tcW w:w="935"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161.</w:t>
            </w:r>
            <w:r w:rsidR="00577F3B" w:rsidRPr="00124F5D">
              <w:rPr>
                <w:rFonts w:eastAsia="Times New Roman" w:cs="Arial"/>
                <w:sz w:val="20"/>
                <w:szCs w:val="20"/>
              </w:rPr>
              <w:t>87</w:t>
            </w:r>
          </w:p>
        </w:tc>
        <w:tc>
          <w:tcPr>
            <w:tcW w:w="935" w:type="dxa"/>
            <w:tcBorders>
              <w:top w:val="nil"/>
              <w:left w:val="nil"/>
              <w:bottom w:val="single" w:sz="6" w:space="0" w:color="008000"/>
              <w:right w:val="nil"/>
            </w:tcBorders>
            <w:shd w:val="clear" w:color="auto" w:fill="FFFFFF"/>
          </w:tcPr>
          <w:p w:rsidR="00577F3B" w:rsidRPr="00124F5D" w:rsidRDefault="007B77C7" w:rsidP="007B77C7">
            <w:pPr>
              <w:pStyle w:val="CETBodytext"/>
              <w:jc w:val="center"/>
              <w:rPr>
                <w:rFonts w:eastAsia="Times New Roman" w:cs="Arial"/>
                <w:sz w:val="20"/>
                <w:szCs w:val="20"/>
              </w:rPr>
            </w:pPr>
            <w:r>
              <w:rPr>
                <w:rFonts w:eastAsia="Times New Roman" w:cs="Arial"/>
                <w:sz w:val="20"/>
                <w:szCs w:val="20"/>
              </w:rPr>
              <w:t>37.</w:t>
            </w:r>
            <w:r w:rsidR="00577F3B" w:rsidRPr="00124F5D">
              <w:rPr>
                <w:rFonts w:eastAsia="Times New Roman" w:cs="Arial"/>
                <w:sz w:val="20"/>
                <w:szCs w:val="20"/>
              </w:rPr>
              <w:t>98</w:t>
            </w:r>
          </w:p>
        </w:tc>
        <w:tc>
          <w:tcPr>
            <w:tcW w:w="935" w:type="dxa"/>
            <w:tcBorders>
              <w:top w:val="nil"/>
              <w:left w:val="nil"/>
              <w:bottom w:val="single" w:sz="6" w:space="0" w:color="008000"/>
              <w:right w:val="nil"/>
            </w:tcBorders>
            <w:shd w:val="clear" w:color="auto" w:fill="FFFFFF"/>
          </w:tcPr>
          <w:p w:rsidR="00577F3B" w:rsidRPr="00124F5D" w:rsidRDefault="007B77C7" w:rsidP="007B77C7">
            <w:pPr>
              <w:pStyle w:val="CETBodytext"/>
              <w:jc w:val="center"/>
              <w:rPr>
                <w:rFonts w:eastAsia="Times New Roman" w:cs="Arial"/>
                <w:sz w:val="20"/>
                <w:szCs w:val="20"/>
              </w:rPr>
            </w:pPr>
            <w:r>
              <w:rPr>
                <w:rFonts w:eastAsia="Times New Roman" w:cs="Arial"/>
                <w:sz w:val="20"/>
                <w:szCs w:val="20"/>
              </w:rPr>
              <w:t>25.</w:t>
            </w:r>
            <w:r w:rsidR="00577F3B" w:rsidRPr="00124F5D">
              <w:rPr>
                <w:rFonts w:eastAsia="Times New Roman" w:cs="Arial"/>
                <w:sz w:val="20"/>
                <w:szCs w:val="20"/>
              </w:rPr>
              <w:t>68</w:t>
            </w:r>
          </w:p>
        </w:tc>
      </w:tr>
      <w:tr w:rsidR="00577F3B" w:rsidRPr="00507102" w:rsidTr="007749DA">
        <w:trPr>
          <w:trHeight w:val="231"/>
          <w:jc w:val="center"/>
        </w:trPr>
        <w:tc>
          <w:tcPr>
            <w:tcW w:w="684" w:type="dxa"/>
            <w:vMerge w:val="restart"/>
            <w:tcBorders>
              <w:top w:val="single" w:sz="6" w:space="0" w:color="008000"/>
              <w:left w:val="nil"/>
              <w:right w:val="nil"/>
            </w:tcBorders>
            <w:shd w:val="clear" w:color="auto" w:fill="FFFFFF"/>
          </w:tcPr>
          <w:p w:rsidR="00577F3B" w:rsidRPr="00507102" w:rsidRDefault="00577F3B" w:rsidP="007749DA">
            <w:pPr>
              <w:pStyle w:val="CETBodytext"/>
              <w:jc w:val="center"/>
              <w:rPr>
                <w:rFonts w:cs="Arial"/>
                <w:bCs/>
                <w:iCs/>
              </w:rPr>
            </w:pPr>
          </w:p>
          <w:p w:rsidR="00577F3B" w:rsidRPr="00507102" w:rsidRDefault="00577F3B" w:rsidP="007749DA">
            <w:pPr>
              <w:pStyle w:val="CETBodytext"/>
              <w:jc w:val="center"/>
              <w:rPr>
                <w:rFonts w:cs="Arial"/>
                <w:bCs/>
                <w:iCs/>
              </w:rPr>
            </w:pPr>
            <w:r w:rsidRPr="00507102">
              <w:rPr>
                <w:rFonts w:cs="Arial"/>
                <w:bCs/>
                <w:iCs/>
              </w:rPr>
              <w:t>2</w:t>
            </w:r>
          </w:p>
        </w:tc>
        <w:tc>
          <w:tcPr>
            <w:tcW w:w="659"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bCs/>
                <w:iCs/>
              </w:rPr>
            </w:pPr>
            <w:r w:rsidRPr="00507102">
              <w:rPr>
                <w:rFonts w:cs="Arial"/>
                <w:bCs/>
                <w:iCs/>
              </w:rPr>
              <w:t>0</w:t>
            </w:r>
          </w:p>
        </w:tc>
        <w:tc>
          <w:tcPr>
            <w:tcW w:w="1047"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7B77C7" w:rsidP="007749DA">
            <w:pPr>
              <w:pStyle w:val="CETBodytext"/>
              <w:jc w:val="center"/>
              <w:rPr>
                <w:rFonts w:cs="Arial"/>
              </w:rPr>
            </w:pPr>
            <w:r>
              <w:rPr>
                <w:rFonts w:eastAsia="Times New Roman" w:cs="Arial"/>
              </w:rPr>
              <w:t>100.</w:t>
            </w:r>
            <w:r w:rsidR="00577F3B" w:rsidRPr="00507102">
              <w:rPr>
                <w:rFonts w:eastAsia="Times New Roman" w:cs="Arial"/>
              </w:rPr>
              <w:t>25</w:t>
            </w:r>
          </w:p>
        </w:tc>
        <w:tc>
          <w:tcPr>
            <w:tcW w:w="790"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432.</w:t>
            </w:r>
            <w:r w:rsidR="00577F3B" w:rsidRPr="00507102">
              <w:rPr>
                <w:rFonts w:eastAsia="Times New Roman" w:cs="Arial"/>
              </w:rPr>
              <w:t>27</w:t>
            </w:r>
          </w:p>
        </w:tc>
        <w:tc>
          <w:tcPr>
            <w:tcW w:w="871"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235.</w:t>
            </w:r>
            <w:r w:rsidR="00577F3B" w:rsidRPr="00507102">
              <w:rPr>
                <w:rFonts w:eastAsia="Times New Roman" w:cs="Arial"/>
              </w:rPr>
              <w:t>82</w:t>
            </w:r>
          </w:p>
        </w:tc>
        <w:tc>
          <w:tcPr>
            <w:tcW w:w="927"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589.</w:t>
            </w:r>
            <w:r w:rsidR="00577F3B" w:rsidRPr="00507102">
              <w:rPr>
                <w:rFonts w:eastAsia="Times New Roman" w:cs="Arial"/>
              </w:rPr>
              <w:t>12</w:t>
            </w:r>
          </w:p>
        </w:tc>
        <w:tc>
          <w:tcPr>
            <w:tcW w:w="973"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0.</w:t>
            </w:r>
            <w:r w:rsidR="00577F3B" w:rsidRPr="00507102">
              <w:rPr>
                <w:rFonts w:eastAsia="Times New Roman" w:cs="Arial"/>
              </w:rPr>
              <w:t>52</w:t>
            </w:r>
          </w:p>
        </w:tc>
        <w:tc>
          <w:tcPr>
            <w:tcW w:w="656" w:type="dxa"/>
            <w:tcBorders>
              <w:top w:val="single" w:sz="6" w:space="0" w:color="008000"/>
              <w:left w:val="nil"/>
              <w:bottom w:val="nil"/>
              <w:right w:val="nil"/>
            </w:tcBorders>
            <w:shd w:val="clear" w:color="auto" w:fill="FFFFFF"/>
          </w:tcPr>
          <w:p w:rsidR="00577F3B" w:rsidRPr="00507102" w:rsidRDefault="00577F3B" w:rsidP="00853914">
            <w:pPr>
              <w:pStyle w:val="CETBodytext"/>
              <w:jc w:val="center"/>
              <w:rPr>
                <w:rFonts w:eastAsia="Times New Roman" w:cs="Arial"/>
              </w:rPr>
            </w:pPr>
            <w:r w:rsidRPr="00124F5D">
              <w:rPr>
                <w:rFonts w:eastAsia="Times New Roman" w:cs="Arial"/>
                <w:sz w:val="20"/>
                <w:szCs w:val="20"/>
              </w:rPr>
              <w:t>95</w:t>
            </w:r>
            <w:r w:rsidR="007B77C7">
              <w:rPr>
                <w:rFonts w:eastAsia="Times New Roman" w:cs="Arial"/>
                <w:sz w:val="20"/>
                <w:szCs w:val="20"/>
              </w:rPr>
              <w:t>.</w:t>
            </w:r>
            <w:r w:rsidRPr="00124F5D">
              <w:rPr>
                <w:rFonts w:eastAsia="Times New Roman" w:cs="Arial"/>
                <w:sz w:val="20"/>
                <w:szCs w:val="20"/>
              </w:rPr>
              <w:t>32</w:t>
            </w:r>
          </w:p>
        </w:tc>
        <w:tc>
          <w:tcPr>
            <w:tcW w:w="935"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161.</w:t>
            </w:r>
            <w:r w:rsidR="00577F3B" w:rsidRPr="00124F5D">
              <w:rPr>
                <w:rFonts w:eastAsia="Times New Roman" w:cs="Arial"/>
                <w:sz w:val="20"/>
                <w:szCs w:val="20"/>
              </w:rPr>
              <w:t>87</w:t>
            </w:r>
          </w:p>
        </w:tc>
        <w:tc>
          <w:tcPr>
            <w:tcW w:w="935" w:type="dxa"/>
            <w:tcBorders>
              <w:top w:val="single" w:sz="6" w:space="0" w:color="008000"/>
              <w:left w:val="nil"/>
              <w:bottom w:val="nil"/>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37.</w:t>
            </w:r>
            <w:r w:rsidR="00577F3B" w:rsidRPr="00124F5D">
              <w:rPr>
                <w:rFonts w:eastAsia="Times New Roman" w:cs="Arial"/>
                <w:sz w:val="20"/>
                <w:szCs w:val="20"/>
              </w:rPr>
              <w:t>98</w:t>
            </w:r>
          </w:p>
        </w:tc>
        <w:tc>
          <w:tcPr>
            <w:tcW w:w="935" w:type="dxa"/>
            <w:tcBorders>
              <w:top w:val="single" w:sz="6" w:space="0" w:color="008000"/>
              <w:left w:val="nil"/>
              <w:bottom w:val="nil"/>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25.</w:t>
            </w:r>
            <w:r w:rsidR="00577F3B" w:rsidRPr="00124F5D">
              <w:rPr>
                <w:rFonts w:eastAsia="Times New Roman" w:cs="Arial"/>
                <w:sz w:val="20"/>
                <w:szCs w:val="20"/>
              </w:rPr>
              <w:t>68</w:t>
            </w:r>
          </w:p>
        </w:tc>
      </w:tr>
      <w:tr w:rsidR="00577F3B" w:rsidRPr="00507102" w:rsidTr="007749DA">
        <w:trPr>
          <w:trHeight w:val="231"/>
          <w:jc w:val="center"/>
        </w:trPr>
        <w:tc>
          <w:tcPr>
            <w:tcW w:w="684" w:type="dxa"/>
            <w:vMerge/>
            <w:tcBorders>
              <w:left w:val="nil"/>
              <w:bottom w:val="single" w:sz="6" w:space="0" w:color="008000"/>
              <w:right w:val="nil"/>
            </w:tcBorders>
            <w:shd w:val="clear" w:color="auto" w:fill="FFFFFF"/>
          </w:tcPr>
          <w:p w:rsidR="00577F3B" w:rsidRPr="00507102" w:rsidRDefault="00577F3B" w:rsidP="007749DA">
            <w:pPr>
              <w:pStyle w:val="CETBodytext"/>
              <w:jc w:val="center"/>
              <w:rPr>
                <w:rFonts w:cs="Arial"/>
                <w:bCs/>
                <w:iCs/>
              </w:rPr>
            </w:pPr>
          </w:p>
        </w:tc>
        <w:tc>
          <w:tcPr>
            <w:tcW w:w="659" w:type="dxa"/>
            <w:tcBorders>
              <w:top w:val="nil"/>
              <w:left w:val="nil"/>
              <w:bottom w:val="single" w:sz="6" w:space="0" w:color="008000"/>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bCs/>
                <w:iCs/>
              </w:rPr>
            </w:pPr>
            <w:r w:rsidRPr="00507102">
              <w:rPr>
                <w:rFonts w:cs="Arial"/>
                <w:bCs/>
                <w:iCs/>
              </w:rPr>
              <w:t>18</w:t>
            </w:r>
          </w:p>
        </w:tc>
        <w:tc>
          <w:tcPr>
            <w:tcW w:w="1047" w:type="dxa"/>
            <w:tcBorders>
              <w:top w:val="nil"/>
              <w:left w:val="nil"/>
              <w:bottom w:val="single" w:sz="6" w:space="0" w:color="008000"/>
              <w:right w:val="nil"/>
            </w:tcBorders>
            <w:shd w:val="clear" w:color="auto" w:fill="FFFFFF"/>
            <w:tcMar>
              <w:top w:w="80" w:type="dxa"/>
              <w:left w:w="80" w:type="dxa"/>
              <w:bottom w:w="80" w:type="dxa"/>
              <w:right w:w="80" w:type="dxa"/>
            </w:tcMar>
          </w:tcPr>
          <w:p w:rsidR="00577F3B" w:rsidRPr="00507102" w:rsidRDefault="007B77C7" w:rsidP="007749DA">
            <w:pPr>
              <w:pStyle w:val="CETBodytext"/>
              <w:jc w:val="center"/>
              <w:rPr>
                <w:rFonts w:cs="Arial"/>
              </w:rPr>
            </w:pPr>
            <w:r>
              <w:rPr>
                <w:rFonts w:eastAsia="Times New Roman" w:cs="Arial"/>
              </w:rPr>
              <w:t>75.</w:t>
            </w:r>
            <w:r w:rsidR="00577F3B" w:rsidRPr="00507102">
              <w:rPr>
                <w:rFonts w:eastAsia="Times New Roman" w:cs="Arial"/>
              </w:rPr>
              <w:t>63</w:t>
            </w:r>
          </w:p>
        </w:tc>
        <w:tc>
          <w:tcPr>
            <w:tcW w:w="790" w:type="dxa"/>
            <w:tcBorders>
              <w:top w:val="nil"/>
              <w:left w:val="nil"/>
              <w:bottom w:val="single" w:sz="6" w:space="0" w:color="008000"/>
              <w:right w:val="nil"/>
            </w:tcBorders>
            <w:shd w:val="clear" w:color="auto" w:fill="FFFFFF"/>
          </w:tcPr>
          <w:p w:rsidR="00577F3B" w:rsidRPr="00507102" w:rsidRDefault="007B77C7" w:rsidP="007B77C7">
            <w:pPr>
              <w:pStyle w:val="CETBodytext"/>
              <w:jc w:val="center"/>
              <w:rPr>
                <w:rFonts w:cs="Arial"/>
                <w:bCs/>
                <w:iCs/>
              </w:rPr>
            </w:pPr>
            <w:r>
              <w:rPr>
                <w:rFonts w:eastAsia="Times New Roman" w:cs="Arial"/>
              </w:rPr>
              <w:t>363.</w:t>
            </w:r>
            <w:r w:rsidR="00577F3B" w:rsidRPr="00507102">
              <w:rPr>
                <w:rFonts w:eastAsia="Times New Roman" w:cs="Arial"/>
              </w:rPr>
              <w:t>09</w:t>
            </w:r>
          </w:p>
        </w:tc>
        <w:tc>
          <w:tcPr>
            <w:tcW w:w="871"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219.</w:t>
            </w:r>
            <w:r w:rsidR="00577F3B" w:rsidRPr="00507102">
              <w:rPr>
                <w:rFonts w:eastAsia="Times New Roman" w:cs="Arial"/>
              </w:rPr>
              <w:t>20</w:t>
            </w:r>
          </w:p>
        </w:tc>
        <w:tc>
          <w:tcPr>
            <w:tcW w:w="927" w:type="dxa"/>
            <w:tcBorders>
              <w:top w:val="nil"/>
              <w:left w:val="nil"/>
              <w:bottom w:val="single" w:sz="6" w:space="0" w:color="008000"/>
              <w:right w:val="nil"/>
            </w:tcBorders>
            <w:shd w:val="clear" w:color="auto" w:fill="FFFFFF"/>
          </w:tcPr>
          <w:p w:rsidR="00577F3B" w:rsidRPr="00507102" w:rsidRDefault="007B77C7" w:rsidP="007B77C7">
            <w:pPr>
              <w:pStyle w:val="CETBodytext"/>
              <w:jc w:val="center"/>
              <w:rPr>
                <w:rFonts w:eastAsia="Times New Roman" w:cs="Arial"/>
              </w:rPr>
            </w:pPr>
            <w:r>
              <w:rPr>
                <w:rFonts w:eastAsia="Times New Roman" w:cs="Arial"/>
              </w:rPr>
              <w:t>236.</w:t>
            </w:r>
            <w:r w:rsidR="00577F3B" w:rsidRPr="00507102">
              <w:rPr>
                <w:rFonts w:eastAsia="Times New Roman" w:cs="Arial"/>
              </w:rPr>
              <w:t>37</w:t>
            </w:r>
          </w:p>
        </w:tc>
        <w:tc>
          <w:tcPr>
            <w:tcW w:w="973"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0.</w:t>
            </w:r>
            <w:r w:rsidR="00577F3B" w:rsidRPr="00507102">
              <w:rPr>
                <w:rFonts w:eastAsia="Times New Roman" w:cs="Arial"/>
              </w:rPr>
              <w:t>48</w:t>
            </w:r>
          </w:p>
        </w:tc>
        <w:tc>
          <w:tcPr>
            <w:tcW w:w="656" w:type="dxa"/>
            <w:tcBorders>
              <w:top w:val="nil"/>
              <w:left w:val="nil"/>
              <w:bottom w:val="single" w:sz="6" w:space="0" w:color="008000"/>
              <w:right w:val="nil"/>
            </w:tcBorders>
            <w:shd w:val="clear" w:color="auto" w:fill="FFFFFF"/>
          </w:tcPr>
          <w:p w:rsidR="00577F3B" w:rsidRPr="00507102" w:rsidRDefault="007B77C7" w:rsidP="007B77C7">
            <w:pPr>
              <w:pStyle w:val="CETBodytext"/>
              <w:jc w:val="center"/>
              <w:rPr>
                <w:rFonts w:eastAsia="Times New Roman" w:cs="Arial"/>
              </w:rPr>
            </w:pPr>
            <w:r>
              <w:rPr>
                <w:rFonts w:eastAsia="Times New Roman" w:cs="Arial"/>
                <w:sz w:val="20"/>
                <w:szCs w:val="20"/>
              </w:rPr>
              <w:t>71.</w:t>
            </w:r>
            <w:r w:rsidR="00577F3B" w:rsidRPr="00124F5D">
              <w:rPr>
                <w:rFonts w:eastAsia="Times New Roman" w:cs="Arial"/>
                <w:sz w:val="20"/>
                <w:szCs w:val="20"/>
              </w:rPr>
              <w:t>63</w:t>
            </w:r>
          </w:p>
        </w:tc>
        <w:tc>
          <w:tcPr>
            <w:tcW w:w="935" w:type="dxa"/>
            <w:tcBorders>
              <w:top w:val="nil"/>
              <w:left w:val="nil"/>
              <w:bottom w:val="single" w:sz="6"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125.</w:t>
            </w:r>
            <w:r w:rsidR="00577F3B" w:rsidRPr="00124F5D">
              <w:rPr>
                <w:rFonts w:eastAsia="Times New Roman" w:cs="Arial"/>
                <w:sz w:val="20"/>
                <w:szCs w:val="20"/>
              </w:rPr>
              <w:t>21</w:t>
            </w:r>
          </w:p>
        </w:tc>
        <w:tc>
          <w:tcPr>
            <w:tcW w:w="935" w:type="dxa"/>
            <w:tcBorders>
              <w:top w:val="nil"/>
              <w:left w:val="nil"/>
              <w:bottom w:val="single" w:sz="6" w:space="0" w:color="008000"/>
              <w:right w:val="nil"/>
            </w:tcBorders>
            <w:shd w:val="clear" w:color="auto" w:fill="FFFFFF"/>
          </w:tcPr>
          <w:p w:rsidR="00577F3B" w:rsidRPr="00124F5D" w:rsidRDefault="007B77C7" w:rsidP="007B77C7">
            <w:pPr>
              <w:pStyle w:val="CETBodytext"/>
              <w:jc w:val="center"/>
              <w:rPr>
                <w:rFonts w:eastAsia="Times New Roman" w:cs="Arial"/>
                <w:sz w:val="20"/>
                <w:szCs w:val="20"/>
              </w:rPr>
            </w:pPr>
            <w:r>
              <w:rPr>
                <w:rFonts w:eastAsia="Times New Roman" w:cs="Arial"/>
                <w:sz w:val="20"/>
                <w:szCs w:val="20"/>
              </w:rPr>
              <w:t>32.</w:t>
            </w:r>
            <w:r w:rsidR="00577F3B" w:rsidRPr="00124F5D">
              <w:rPr>
                <w:rFonts w:eastAsia="Times New Roman" w:cs="Arial"/>
                <w:sz w:val="20"/>
                <w:szCs w:val="20"/>
              </w:rPr>
              <w:t>05</w:t>
            </w:r>
          </w:p>
        </w:tc>
        <w:tc>
          <w:tcPr>
            <w:tcW w:w="935" w:type="dxa"/>
            <w:tcBorders>
              <w:top w:val="nil"/>
              <w:left w:val="nil"/>
              <w:bottom w:val="single" w:sz="6" w:space="0" w:color="008000"/>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0.</w:t>
            </w:r>
            <w:r w:rsidR="00577F3B" w:rsidRPr="00124F5D">
              <w:rPr>
                <w:rFonts w:eastAsia="Times New Roman" w:cs="Arial"/>
                <w:sz w:val="20"/>
                <w:szCs w:val="20"/>
              </w:rPr>
              <w:t>00</w:t>
            </w:r>
          </w:p>
        </w:tc>
      </w:tr>
      <w:tr w:rsidR="00577F3B" w:rsidRPr="007B77C7" w:rsidTr="007749DA">
        <w:trPr>
          <w:trHeight w:val="231"/>
          <w:jc w:val="center"/>
        </w:trPr>
        <w:tc>
          <w:tcPr>
            <w:tcW w:w="684" w:type="dxa"/>
            <w:vMerge w:val="restart"/>
            <w:tcBorders>
              <w:top w:val="single" w:sz="6" w:space="0" w:color="008000"/>
              <w:left w:val="nil"/>
              <w:right w:val="nil"/>
            </w:tcBorders>
            <w:shd w:val="clear" w:color="auto" w:fill="FFFFFF"/>
          </w:tcPr>
          <w:p w:rsidR="00577F3B" w:rsidRPr="00507102" w:rsidRDefault="00577F3B" w:rsidP="007749DA">
            <w:pPr>
              <w:pStyle w:val="CETBodytext"/>
              <w:jc w:val="center"/>
              <w:rPr>
                <w:rFonts w:cs="Arial"/>
                <w:bCs/>
                <w:iCs/>
              </w:rPr>
            </w:pPr>
          </w:p>
          <w:p w:rsidR="00577F3B" w:rsidRPr="00507102" w:rsidRDefault="00577F3B" w:rsidP="007749DA">
            <w:pPr>
              <w:pStyle w:val="CETBodytext"/>
              <w:jc w:val="center"/>
              <w:rPr>
                <w:rFonts w:cs="Arial"/>
                <w:bCs/>
                <w:iCs/>
              </w:rPr>
            </w:pPr>
            <w:r w:rsidRPr="00507102">
              <w:rPr>
                <w:rFonts w:cs="Arial"/>
                <w:bCs/>
                <w:iCs/>
              </w:rPr>
              <w:t>3</w:t>
            </w:r>
          </w:p>
        </w:tc>
        <w:tc>
          <w:tcPr>
            <w:tcW w:w="659"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bCs/>
                <w:iCs/>
              </w:rPr>
            </w:pPr>
            <w:r w:rsidRPr="00507102">
              <w:rPr>
                <w:rFonts w:cs="Arial"/>
                <w:bCs/>
                <w:iCs/>
              </w:rPr>
              <w:t>0</w:t>
            </w:r>
          </w:p>
        </w:tc>
        <w:tc>
          <w:tcPr>
            <w:tcW w:w="1047" w:type="dxa"/>
            <w:tcBorders>
              <w:top w:val="single" w:sz="6" w:space="0" w:color="008000"/>
              <w:left w:val="nil"/>
              <w:bottom w:val="nil"/>
              <w:right w:val="nil"/>
            </w:tcBorders>
            <w:shd w:val="clear" w:color="auto" w:fill="FFFFFF"/>
            <w:tcMar>
              <w:top w:w="80" w:type="dxa"/>
              <w:left w:w="80" w:type="dxa"/>
              <w:bottom w:w="80" w:type="dxa"/>
              <w:right w:w="80" w:type="dxa"/>
            </w:tcMar>
          </w:tcPr>
          <w:p w:rsidR="00577F3B" w:rsidRPr="00507102" w:rsidRDefault="007B77C7" w:rsidP="007B77C7">
            <w:pPr>
              <w:pStyle w:val="CETBodytext"/>
              <w:jc w:val="center"/>
              <w:rPr>
                <w:rFonts w:cs="Arial"/>
              </w:rPr>
            </w:pPr>
            <w:r>
              <w:rPr>
                <w:rFonts w:eastAsia="Times New Roman" w:cs="Arial"/>
              </w:rPr>
              <w:t>96.</w:t>
            </w:r>
            <w:r w:rsidR="00577F3B" w:rsidRPr="00507102">
              <w:rPr>
                <w:rFonts w:eastAsia="Times New Roman" w:cs="Arial"/>
              </w:rPr>
              <w:t>09</w:t>
            </w:r>
          </w:p>
        </w:tc>
        <w:tc>
          <w:tcPr>
            <w:tcW w:w="790"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381.</w:t>
            </w:r>
            <w:r w:rsidR="00577F3B" w:rsidRPr="00507102">
              <w:rPr>
                <w:rFonts w:eastAsia="Times New Roman" w:cs="Arial"/>
              </w:rPr>
              <w:t>97</w:t>
            </w:r>
          </w:p>
        </w:tc>
        <w:tc>
          <w:tcPr>
            <w:tcW w:w="871"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268.</w:t>
            </w:r>
            <w:r w:rsidR="00577F3B" w:rsidRPr="00507102">
              <w:rPr>
                <w:rFonts w:eastAsia="Times New Roman" w:cs="Arial"/>
              </w:rPr>
              <w:t>43</w:t>
            </w:r>
          </w:p>
        </w:tc>
        <w:tc>
          <w:tcPr>
            <w:tcW w:w="927"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555.</w:t>
            </w:r>
            <w:r w:rsidR="00577F3B" w:rsidRPr="00507102">
              <w:rPr>
                <w:rFonts w:eastAsia="Times New Roman" w:cs="Arial"/>
              </w:rPr>
              <w:t>74</w:t>
            </w:r>
          </w:p>
        </w:tc>
        <w:tc>
          <w:tcPr>
            <w:tcW w:w="973"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1.</w:t>
            </w:r>
            <w:r w:rsidR="00577F3B" w:rsidRPr="00507102">
              <w:rPr>
                <w:rFonts w:eastAsia="Times New Roman" w:cs="Arial"/>
              </w:rPr>
              <w:t>90</w:t>
            </w:r>
          </w:p>
        </w:tc>
        <w:tc>
          <w:tcPr>
            <w:tcW w:w="656"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89.</w:t>
            </w:r>
            <w:r w:rsidR="00577F3B" w:rsidRPr="00124F5D">
              <w:rPr>
                <w:rFonts w:eastAsia="Times New Roman" w:cs="Arial"/>
                <w:sz w:val="20"/>
                <w:szCs w:val="20"/>
              </w:rPr>
              <w:t>16</w:t>
            </w:r>
          </w:p>
        </w:tc>
        <w:tc>
          <w:tcPr>
            <w:tcW w:w="935" w:type="dxa"/>
            <w:tcBorders>
              <w:top w:val="single" w:sz="6" w:space="0" w:color="008000"/>
              <w:left w:val="nil"/>
              <w:bottom w:val="nil"/>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181.</w:t>
            </w:r>
            <w:r w:rsidR="00577F3B" w:rsidRPr="00124F5D">
              <w:rPr>
                <w:rFonts w:eastAsia="Times New Roman" w:cs="Arial"/>
                <w:sz w:val="20"/>
                <w:szCs w:val="20"/>
              </w:rPr>
              <w:t>03</w:t>
            </w:r>
          </w:p>
        </w:tc>
        <w:tc>
          <w:tcPr>
            <w:tcW w:w="935" w:type="dxa"/>
            <w:tcBorders>
              <w:top w:val="single" w:sz="6" w:space="0" w:color="008000"/>
              <w:left w:val="nil"/>
              <w:bottom w:val="nil"/>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38.</w:t>
            </w:r>
            <w:r w:rsidR="00577F3B" w:rsidRPr="00124F5D">
              <w:rPr>
                <w:rFonts w:eastAsia="Times New Roman" w:cs="Arial"/>
                <w:sz w:val="20"/>
                <w:szCs w:val="20"/>
              </w:rPr>
              <w:t>65</w:t>
            </w:r>
          </w:p>
        </w:tc>
        <w:tc>
          <w:tcPr>
            <w:tcW w:w="935" w:type="dxa"/>
            <w:tcBorders>
              <w:top w:val="single" w:sz="6" w:space="0" w:color="008000"/>
              <w:left w:val="nil"/>
              <w:bottom w:val="nil"/>
              <w:right w:val="nil"/>
            </w:tcBorders>
            <w:shd w:val="clear" w:color="auto" w:fill="FFFFFF"/>
          </w:tcPr>
          <w:p w:rsidR="00577F3B" w:rsidRPr="00124F5D" w:rsidRDefault="00577F3B" w:rsidP="007B77C7">
            <w:pPr>
              <w:pStyle w:val="CETBodytext"/>
              <w:jc w:val="center"/>
              <w:rPr>
                <w:rFonts w:eastAsia="Times New Roman" w:cs="Arial"/>
                <w:sz w:val="20"/>
                <w:szCs w:val="20"/>
              </w:rPr>
            </w:pPr>
            <w:r w:rsidRPr="00124F5D">
              <w:rPr>
                <w:rFonts w:eastAsia="Times New Roman" w:cs="Arial"/>
                <w:sz w:val="20"/>
                <w:szCs w:val="20"/>
              </w:rPr>
              <w:t>30</w:t>
            </w:r>
            <w:r w:rsidR="007B77C7">
              <w:rPr>
                <w:rFonts w:eastAsia="Times New Roman" w:cs="Arial"/>
                <w:sz w:val="20"/>
                <w:szCs w:val="20"/>
              </w:rPr>
              <w:t>.</w:t>
            </w:r>
            <w:r w:rsidRPr="00124F5D">
              <w:rPr>
                <w:rFonts w:eastAsia="Times New Roman" w:cs="Arial"/>
                <w:sz w:val="20"/>
                <w:szCs w:val="20"/>
              </w:rPr>
              <w:t>14</w:t>
            </w:r>
          </w:p>
        </w:tc>
      </w:tr>
      <w:tr w:rsidR="00577F3B" w:rsidRPr="007B77C7" w:rsidTr="007749DA">
        <w:trPr>
          <w:trHeight w:val="218"/>
          <w:jc w:val="center"/>
        </w:trPr>
        <w:tc>
          <w:tcPr>
            <w:tcW w:w="684" w:type="dxa"/>
            <w:vMerge/>
            <w:tcBorders>
              <w:left w:val="nil"/>
              <w:bottom w:val="single" w:sz="12" w:space="0" w:color="008000"/>
              <w:right w:val="nil"/>
            </w:tcBorders>
            <w:shd w:val="clear" w:color="auto" w:fill="FFFFFF"/>
          </w:tcPr>
          <w:p w:rsidR="00577F3B" w:rsidRPr="00507102" w:rsidRDefault="00577F3B" w:rsidP="007749DA">
            <w:pPr>
              <w:pStyle w:val="CETBodytext"/>
              <w:jc w:val="center"/>
              <w:rPr>
                <w:rFonts w:cs="Arial"/>
                <w:bCs/>
                <w:iCs/>
              </w:rPr>
            </w:pPr>
          </w:p>
        </w:tc>
        <w:tc>
          <w:tcPr>
            <w:tcW w:w="659" w:type="dxa"/>
            <w:tcBorders>
              <w:top w:val="nil"/>
              <w:left w:val="nil"/>
              <w:bottom w:val="single" w:sz="12" w:space="0" w:color="008000"/>
              <w:right w:val="nil"/>
            </w:tcBorders>
            <w:shd w:val="clear" w:color="auto" w:fill="FFFFFF"/>
            <w:tcMar>
              <w:top w:w="80" w:type="dxa"/>
              <w:left w:w="80" w:type="dxa"/>
              <w:bottom w:w="80" w:type="dxa"/>
              <w:right w:w="80" w:type="dxa"/>
            </w:tcMar>
          </w:tcPr>
          <w:p w:rsidR="00577F3B" w:rsidRPr="00507102" w:rsidRDefault="00577F3B" w:rsidP="007749DA">
            <w:pPr>
              <w:pStyle w:val="CETBodytext"/>
              <w:rPr>
                <w:rFonts w:cs="Arial"/>
              </w:rPr>
            </w:pPr>
            <w:r w:rsidRPr="00507102">
              <w:rPr>
                <w:rFonts w:cs="Arial"/>
                <w:bCs/>
                <w:iCs/>
              </w:rPr>
              <w:t>14</w:t>
            </w:r>
          </w:p>
        </w:tc>
        <w:tc>
          <w:tcPr>
            <w:tcW w:w="1047" w:type="dxa"/>
            <w:tcBorders>
              <w:top w:val="nil"/>
              <w:left w:val="nil"/>
              <w:bottom w:val="single" w:sz="12" w:space="0" w:color="008000"/>
              <w:right w:val="nil"/>
            </w:tcBorders>
            <w:shd w:val="clear" w:color="auto" w:fill="FFFFFF"/>
            <w:tcMar>
              <w:top w:w="80" w:type="dxa"/>
              <w:left w:w="80" w:type="dxa"/>
              <w:bottom w:w="80" w:type="dxa"/>
              <w:right w:w="80" w:type="dxa"/>
            </w:tcMar>
          </w:tcPr>
          <w:p w:rsidR="00577F3B" w:rsidRPr="00507102" w:rsidRDefault="007B77C7" w:rsidP="007749DA">
            <w:pPr>
              <w:pStyle w:val="CETBodytext"/>
              <w:jc w:val="center"/>
              <w:rPr>
                <w:rFonts w:cs="Arial"/>
              </w:rPr>
            </w:pPr>
            <w:r>
              <w:rPr>
                <w:rFonts w:eastAsia="Times New Roman" w:cs="Arial"/>
              </w:rPr>
              <w:t>89.</w:t>
            </w:r>
            <w:r w:rsidR="00577F3B" w:rsidRPr="00507102">
              <w:rPr>
                <w:rFonts w:eastAsia="Times New Roman" w:cs="Arial"/>
              </w:rPr>
              <w:t>00</w:t>
            </w:r>
          </w:p>
        </w:tc>
        <w:tc>
          <w:tcPr>
            <w:tcW w:w="790" w:type="dxa"/>
            <w:tcBorders>
              <w:top w:val="nil"/>
              <w:left w:val="nil"/>
              <w:bottom w:val="single" w:sz="12" w:space="0" w:color="008000"/>
              <w:right w:val="nil"/>
            </w:tcBorders>
            <w:shd w:val="clear" w:color="auto" w:fill="FFFFFF"/>
          </w:tcPr>
          <w:p w:rsidR="00577F3B" w:rsidRPr="00DC586D" w:rsidRDefault="007B77C7" w:rsidP="007749DA">
            <w:pPr>
              <w:pStyle w:val="CETBodytext"/>
              <w:jc w:val="center"/>
              <w:rPr>
                <w:rFonts w:cs="Arial"/>
              </w:rPr>
            </w:pPr>
            <w:r>
              <w:rPr>
                <w:rFonts w:eastAsia="Times New Roman" w:cs="Arial"/>
              </w:rPr>
              <w:t>316.</w:t>
            </w:r>
            <w:r w:rsidR="00577F3B" w:rsidRPr="00507102">
              <w:rPr>
                <w:rFonts w:eastAsia="Times New Roman" w:cs="Arial"/>
              </w:rPr>
              <w:t>72</w:t>
            </w:r>
          </w:p>
        </w:tc>
        <w:tc>
          <w:tcPr>
            <w:tcW w:w="871" w:type="dxa"/>
            <w:tcBorders>
              <w:top w:val="nil"/>
              <w:left w:val="nil"/>
              <w:bottom w:val="single" w:sz="12" w:space="0" w:color="008000"/>
              <w:right w:val="nil"/>
            </w:tcBorders>
            <w:shd w:val="clear" w:color="auto" w:fill="FFFFFF"/>
          </w:tcPr>
          <w:p w:rsidR="00577F3B" w:rsidRPr="00507102" w:rsidRDefault="007B77C7" w:rsidP="007749DA">
            <w:pPr>
              <w:pStyle w:val="CETBodytext"/>
              <w:jc w:val="center"/>
              <w:rPr>
                <w:rFonts w:cs="Arial"/>
                <w:bCs/>
                <w:iCs/>
              </w:rPr>
            </w:pPr>
            <w:r>
              <w:rPr>
                <w:rFonts w:eastAsia="Times New Roman" w:cs="Arial"/>
              </w:rPr>
              <w:t>218.</w:t>
            </w:r>
            <w:r w:rsidR="00577F3B" w:rsidRPr="00507102">
              <w:rPr>
                <w:rFonts w:eastAsia="Times New Roman" w:cs="Arial"/>
              </w:rPr>
              <w:t>14</w:t>
            </w:r>
          </w:p>
        </w:tc>
        <w:tc>
          <w:tcPr>
            <w:tcW w:w="927" w:type="dxa"/>
            <w:tcBorders>
              <w:top w:val="nil"/>
              <w:left w:val="nil"/>
              <w:bottom w:val="single" w:sz="12"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59.</w:t>
            </w:r>
            <w:r w:rsidR="00577F3B" w:rsidRPr="00507102">
              <w:rPr>
                <w:rFonts w:eastAsia="Times New Roman" w:cs="Arial"/>
              </w:rPr>
              <w:t>83</w:t>
            </w:r>
          </w:p>
        </w:tc>
        <w:tc>
          <w:tcPr>
            <w:tcW w:w="973" w:type="dxa"/>
            <w:tcBorders>
              <w:top w:val="nil"/>
              <w:left w:val="nil"/>
              <w:bottom w:val="single" w:sz="12"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rPr>
              <w:t>0.</w:t>
            </w:r>
            <w:r w:rsidR="00577F3B" w:rsidRPr="00507102">
              <w:rPr>
                <w:rFonts w:eastAsia="Times New Roman" w:cs="Arial"/>
              </w:rPr>
              <w:t>00</w:t>
            </w:r>
          </w:p>
        </w:tc>
        <w:tc>
          <w:tcPr>
            <w:tcW w:w="656" w:type="dxa"/>
            <w:tcBorders>
              <w:top w:val="nil"/>
              <w:left w:val="nil"/>
              <w:bottom w:val="single" w:sz="12" w:space="0" w:color="008000"/>
              <w:right w:val="nil"/>
            </w:tcBorders>
            <w:shd w:val="clear" w:color="auto" w:fill="FFFFFF"/>
          </w:tcPr>
          <w:p w:rsidR="00577F3B" w:rsidRPr="00507102" w:rsidRDefault="007B77C7" w:rsidP="007B77C7">
            <w:pPr>
              <w:pStyle w:val="CETBodytext"/>
              <w:jc w:val="center"/>
              <w:rPr>
                <w:rFonts w:eastAsia="Times New Roman" w:cs="Arial"/>
              </w:rPr>
            </w:pPr>
            <w:r>
              <w:rPr>
                <w:rFonts w:eastAsia="Times New Roman" w:cs="Arial"/>
                <w:sz w:val="20"/>
                <w:szCs w:val="20"/>
              </w:rPr>
              <w:t>72.</w:t>
            </w:r>
            <w:r w:rsidR="00577F3B" w:rsidRPr="00124F5D">
              <w:rPr>
                <w:rFonts w:eastAsia="Times New Roman" w:cs="Arial"/>
                <w:sz w:val="20"/>
                <w:szCs w:val="20"/>
              </w:rPr>
              <w:t>30</w:t>
            </w:r>
          </w:p>
        </w:tc>
        <w:tc>
          <w:tcPr>
            <w:tcW w:w="935" w:type="dxa"/>
            <w:tcBorders>
              <w:top w:val="nil"/>
              <w:left w:val="nil"/>
              <w:bottom w:val="single" w:sz="12" w:space="0" w:color="008000"/>
              <w:right w:val="nil"/>
            </w:tcBorders>
            <w:shd w:val="clear" w:color="auto" w:fill="FFFFFF"/>
          </w:tcPr>
          <w:p w:rsidR="00577F3B" w:rsidRPr="00507102" w:rsidRDefault="007B77C7" w:rsidP="007749DA">
            <w:pPr>
              <w:pStyle w:val="CETBodytext"/>
              <w:jc w:val="center"/>
              <w:rPr>
                <w:rFonts w:eastAsia="Times New Roman" w:cs="Arial"/>
              </w:rPr>
            </w:pPr>
            <w:r>
              <w:rPr>
                <w:rFonts w:eastAsia="Times New Roman" w:cs="Arial"/>
                <w:sz w:val="20"/>
                <w:szCs w:val="20"/>
              </w:rPr>
              <w:t>141.</w:t>
            </w:r>
            <w:r w:rsidR="00577F3B" w:rsidRPr="00124F5D">
              <w:rPr>
                <w:rFonts w:eastAsia="Times New Roman" w:cs="Arial"/>
                <w:sz w:val="20"/>
                <w:szCs w:val="20"/>
              </w:rPr>
              <w:t>13</w:t>
            </w:r>
          </w:p>
        </w:tc>
        <w:tc>
          <w:tcPr>
            <w:tcW w:w="935" w:type="dxa"/>
            <w:tcBorders>
              <w:top w:val="nil"/>
              <w:left w:val="nil"/>
              <w:bottom w:val="single" w:sz="12" w:space="0" w:color="008000"/>
              <w:right w:val="nil"/>
            </w:tcBorders>
            <w:shd w:val="clear" w:color="auto" w:fill="FFFFFF"/>
          </w:tcPr>
          <w:p w:rsidR="00577F3B" w:rsidRPr="00124F5D" w:rsidRDefault="007B77C7" w:rsidP="007B77C7">
            <w:pPr>
              <w:pStyle w:val="CETBodytext"/>
              <w:jc w:val="center"/>
              <w:rPr>
                <w:rFonts w:eastAsia="Times New Roman" w:cs="Arial"/>
                <w:sz w:val="20"/>
                <w:szCs w:val="20"/>
              </w:rPr>
            </w:pPr>
            <w:r>
              <w:rPr>
                <w:rFonts w:eastAsia="Times New Roman" w:cs="Arial"/>
                <w:sz w:val="20"/>
                <w:szCs w:val="20"/>
              </w:rPr>
              <w:t>31.</w:t>
            </w:r>
            <w:r w:rsidR="00577F3B" w:rsidRPr="00124F5D">
              <w:rPr>
                <w:rFonts w:eastAsia="Times New Roman" w:cs="Arial"/>
                <w:sz w:val="20"/>
                <w:szCs w:val="20"/>
              </w:rPr>
              <w:t>82</w:t>
            </w:r>
          </w:p>
        </w:tc>
        <w:tc>
          <w:tcPr>
            <w:tcW w:w="935" w:type="dxa"/>
            <w:tcBorders>
              <w:top w:val="nil"/>
              <w:left w:val="nil"/>
              <w:bottom w:val="single" w:sz="12" w:space="0" w:color="008000"/>
              <w:right w:val="nil"/>
            </w:tcBorders>
            <w:shd w:val="clear" w:color="auto" w:fill="FFFFFF"/>
          </w:tcPr>
          <w:p w:rsidR="00577F3B" w:rsidRPr="00124F5D" w:rsidRDefault="007B77C7" w:rsidP="007749DA">
            <w:pPr>
              <w:pStyle w:val="CETBodytext"/>
              <w:jc w:val="center"/>
              <w:rPr>
                <w:rFonts w:eastAsia="Times New Roman" w:cs="Arial"/>
                <w:sz w:val="20"/>
                <w:szCs w:val="20"/>
              </w:rPr>
            </w:pPr>
            <w:r>
              <w:rPr>
                <w:rFonts w:eastAsia="Times New Roman" w:cs="Arial"/>
                <w:sz w:val="20"/>
                <w:szCs w:val="20"/>
              </w:rPr>
              <w:t>0.</w:t>
            </w:r>
            <w:r w:rsidR="00577F3B" w:rsidRPr="00124F5D">
              <w:rPr>
                <w:rFonts w:eastAsia="Times New Roman" w:cs="Arial"/>
                <w:sz w:val="20"/>
                <w:szCs w:val="20"/>
              </w:rPr>
              <w:t>00</w:t>
            </w:r>
          </w:p>
        </w:tc>
      </w:tr>
    </w:tbl>
    <w:p w:rsidR="00AE79B3" w:rsidRDefault="00AE79B3" w:rsidP="00AE79B3">
      <w:pPr>
        <w:jc w:val="both"/>
        <w:rPr>
          <w:rFonts w:ascii="Arial" w:hAnsi="Arial" w:cs="Arial"/>
          <w:sz w:val="24"/>
          <w:szCs w:val="24"/>
          <w:lang w:val="en-US"/>
        </w:rPr>
      </w:pPr>
    </w:p>
    <w:p w:rsidR="006C1D37" w:rsidRPr="007178E8" w:rsidRDefault="00AE5FB3" w:rsidP="001B3CBC">
      <w:pPr>
        <w:jc w:val="both"/>
        <w:rPr>
          <w:rFonts w:ascii="Arial" w:hAnsi="Arial" w:cs="Arial"/>
          <w:sz w:val="18"/>
          <w:szCs w:val="18"/>
          <w:lang w:val="en-US"/>
        </w:rPr>
      </w:pPr>
      <w:r w:rsidRPr="007178E8">
        <w:rPr>
          <w:rFonts w:ascii="Arial" w:hAnsi="Arial" w:cs="Arial"/>
          <w:sz w:val="18"/>
          <w:szCs w:val="18"/>
          <w:lang w:val="en-US"/>
        </w:rPr>
        <w:t>Figure 4</w:t>
      </w:r>
      <w:r w:rsidR="006C1D37" w:rsidRPr="007178E8">
        <w:rPr>
          <w:rFonts w:ascii="Arial" w:hAnsi="Arial" w:cs="Arial"/>
          <w:sz w:val="18"/>
          <w:szCs w:val="18"/>
          <w:lang w:val="en-US"/>
        </w:rPr>
        <w:t>, which</w:t>
      </w:r>
      <w:r w:rsidRPr="007178E8">
        <w:rPr>
          <w:rFonts w:ascii="Arial" w:hAnsi="Arial" w:cs="Arial"/>
          <w:sz w:val="18"/>
          <w:szCs w:val="18"/>
          <w:lang w:val="en-US"/>
        </w:rPr>
        <w:t xml:space="preserve"> shows the SEM pictures of the PVDF membrane before and after the filtration tests, evidenc</w:t>
      </w:r>
      <w:r w:rsidR="006C1D37" w:rsidRPr="007178E8">
        <w:rPr>
          <w:rFonts w:ascii="Arial" w:hAnsi="Arial" w:cs="Arial"/>
          <w:sz w:val="18"/>
          <w:szCs w:val="18"/>
          <w:lang w:val="en-US"/>
        </w:rPr>
        <w:t>es</w:t>
      </w:r>
      <w:r w:rsidRPr="007178E8">
        <w:rPr>
          <w:rFonts w:ascii="Arial" w:hAnsi="Arial" w:cs="Arial"/>
          <w:sz w:val="18"/>
          <w:szCs w:val="18"/>
          <w:lang w:val="en-US"/>
        </w:rPr>
        <w:t xml:space="preserve"> </w:t>
      </w:r>
      <w:r w:rsidR="006C1D37" w:rsidRPr="007178E8">
        <w:rPr>
          <w:rFonts w:ascii="Arial" w:hAnsi="Arial" w:cs="Arial"/>
          <w:sz w:val="18"/>
          <w:szCs w:val="18"/>
          <w:lang w:val="en-US"/>
        </w:rPr>
        <w:t>as the membrane structure remained almost unchanged after its use. Accordingly, the same membrane may be potentially used for consecutive separation tests.</w:t>
      </w:r>
    </w:p>
    <w:p w:rsidR="001E6461" w:rsidRDefault="002A00E9" w:rsidP="002A00E9">
      <w:pPr>
        <w:spacing w:line="360" w:lineRule="auto"/>
        <w:jc w:val="center"/>
        <w:rPr>
          <w:i/>
          <w:iCs/>
          <w:lang w:val="en-US"/>
        </w:rPr>
      </w:pPr>
      <w:r>
        <w:rPr>
          <w:i/>
          <w:iCs/>
          <w:noProof/>
          <w:lang w:eastAsia="it-IT"/>
        </w:rPr>
        <w:lastRenderedPageBreak/>
        <w:drawing>
          <wp:inline distT="0" distB="0" distL="0" distR="0">
            <wp:extent cx="3862316" cy="5018514"/>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66312" cy="5023706"/>
                    </a:xfrm>
                    <a:prstGeom prst="rect">
                      <a:avLst/>
                    </a:prstGeom>
                    <a:noFill/>
                    <a:ln>
                      <a:noFill/>
                    </a:ln>
                  </pic:spPr>
                </pic:pic>
              </a:graphicData>
            </a:graphic>
          </wp:inline>
        </w:drawing>
      </w:r>
    </w:p>
    <w:p w:rsidR="00AD724A" w:rsidRDefault="001B3CBC" w:rsidP="00AD724A">
      <w:pPr>
        <w:jc w:val="both"/>
        <w:rPr>
          <w:i/>
          <w:iCs/>
          <w:lang w:val="en-US"/>
        </w:rPr>
      </w:pPr>
      <w:r>
        <w:rPr>
          <w:i/>
          <w:iCs/>
          <w:lang w:val="en-US"/>
        </w:rPr>
        <w:t>Figure 4:</w:t>
      </w:r>
      <w:r w:rsidR="00FE097F">
        <w:rPr>
          <w:i/>
          <w:iCs/>
          <w:lang w:val="en-US"/>
        </w:rPr>
        <w:t xml:space="preserve"> SEM </w:t>
      </w:r>
      <w:r w:rsidR="00AD724A">
        <w:rPr>
          <w:i/>
          <w:iCs/>
          <w:lang w:val="en-US"/>
        </w:rPr>
        <w:t>image</w:t>
      </w:r>
      <w:r w:rsidR="00FE097F">
        <w:rPr>
          <w:i/>
          <w:iCs/>
          <w:lang w:val="en-US"/>
        </w:rPr>
        <w:t>s</w:t>
      </w:r>
      <w:r w:rsidR="00AD724A">
        <w:rPr>
          <w:i/>
          <w:iCs/>
          <w:lang w:val="en-US"/>
        </w:rPr>
        <w:t xml:space="preserve"> o</w:t>
      </w:r>
      <w:r w:rsidR="00FE097F">
        <w:rPr>
          <w:i/>
          <w:iCs/>
          <w:lang w:val="en-US"/>
        </w:rPr>
        <w:t>f</w:t>
      </w:r>
      <w:r w:rsidR="00AD724A">
        <w:rPr>
          <w:i/>
          <w:iCs/>
          <w:lang w:val="en-US"/>
        </w:rPr>
        <w:t xml:space="preserve"> the </w:t>
      </w:r>
      <w:r w:rsidR="001766EC">
        <w:rPr>
          <w:i/>
          <w:iCs/>
          <w:lang w:val="en-US"/>
        </w:rPr>
        <w:t>PVDF membrane: 6A,6B,6C</w:t>
      </w:r>
      <w:r w:rsidR="00FE097F">
        <w:rPr>
          <w:i/>
          <w:iCs/>
          <w:lang w:val="en-US"/>
        </w:rPr>
        <w:t xml:space="preserve"> </w:t>
      </w:r>
      <w:r w:rsidR="00AD724A">
        <w:rPr>
          <w:i/>
          <w:iCs/>
          <w:lang w:val="en-US"/>
        </w:rPr>
        <w:t xml:space="preserve">top </w:t>
      </w:r>
      <w:r w:rsidR="00FE097F">
        <w:rPr>
          <w:i/>
          <w:iCs/>
          <w:lang w:val="en-US"/>
        </w:rPr>
        <w:t>and 6</w:t>
      </w:r>
      <w:r w:rsidR="001766EC">
        <w:rPr>
          <w:i/>
          <w:iCs/>
          <w:lang w:val="en-US"/>
        </w:rPr>
        <w:t>D, 6E, 6F</w:t>
      </w:r>
      <w:r w:rsidR="00FE097F">
        <w:rPr>
          <w:i/>
          <w:iCs/>
          <w:lang w:val="en-US"/>
        </w:rPr>
        <w:t xml:space="preserve"> bottom surface before the filtration tests</w:t>
      </w:r>
      <w:r w:rsidR="00AD724A">
        <w:rPr>
          <w:i/>
          <w:iCs/>
          <w:lang w:val="en-US"/>
        </w:rPr>
        <w:t>;</w:t>
      </w:r>
      <w:r w:rsidR="00FE097F">
        <w:rPr>
          <w:i/>
          <w:iCs/>
          <w:lang w:val="en-US"/>
        </w:rPr>
        <w:t xml:space="preserve"> </w:t>
      </w:r>
      <w:r w:rsidR="00AD724A">
        <w:rPr>
          <w:i/>
          <w:iCs/>
          <w:lang w:val="en-US"/>
        </w:rPr>
        <w:t>7</w:t>
      </w:r>
      <w:r w:rsidR="001766EC">
        <w:rPr>
          <w:i/>
          <w:iCs/>
          <w:lang w:val="en-US"/>
        </w:rPr>
        <w:t>A, 7B, 7C</w:t>
      </w:r>
      <w:r w:rsidR="00AD724A">
        <w:rPr>
          <w:i/>
          <w:iCs/>
          <w:lang w:val="en-US"/>
        </w:rPr>
        <w:t xml:space="preserve"> top </w:t>
      </w:r>
      <w:r w:rsidR="00FE097F">
        <w:rPr>
          <w:i/>
          <w:iCs/>
          <w:lang w:val="en-US"/>
        </w:rPr>
        <w:t xml:space="preserve">and </w:t>
      </w:r>
      <w:r w:rsidR="00AD724A">
        <w:rPr>
          <w:i/>
          <w:iCs/>
          <w:lang w:val="en-US"/>
        </w:rPr>
        <w:t>7</w:t>
      </w:r>
      <w:r w:rsidR="001766EC">
        <w:rPr>
          <w:i/>
          <w:iCs/>
          <w:lang w:val="en-US"/>
        </w:rPr>
        <w:t>D, 7E, 7F</w:t>
      </w:r>
      <w:r w:rsidR="00AD724A">
        <w:rPr>
          <w:i/>
          <w:iCs/>
          <w:lang w:val="en-US"/>
        </w:rPr>
        <w:t xml:space="preserve"> bottom surface</w:t>
      </w:r>
      <w:r w:rsidR="00FE097F">
        <w:rPr>
          <w:i/>
          <w:iCs/>
          <w:lang w:val="en-US"/>
        </w:rPr>
        <w:t xml:space="preserve"> after the filtration te</w:t>
      </w:r>
      <w:r w:rsidR="00AE5FB3">
        <w:rPr>
          <w:i/>
          <w:iCs/>
          <w:lang w:val="en-US"/>
        </w:rPr>
        <w:t>s</w:t>
      </w:r>
      <w:r w:rsidR="001766EC">
        <w:rPr>
          <w:i/>
          <w:iCs/>
          <w:lang w:val="en-US"/>
        </w:rPr>
        <w:t>ts. Magnification: A</w:t>
      </w:r>
      <w:r w:rsidR="00FE097F">
        <w:rPr>
          <w:i/>
          <w:iCs/>
          <w:lang w:val="en-US"/>
        </w:rPr>
        <w:t xml:space="preserve">) 500x, </w:t>
      </w:r>
      <w:r w:rsidR="001766EC">
        <w:rPr>
          <w:i/>
          <w:iCs/>
          <w:lang w:val="en-US"/>
        </w:rPr>
        <w:t>B)1000x, C</w:t>
      </w:r>
      <w:r w:rsidR="00FE097F">
        <w:rPr>
          <w:i/>
          <w:iCs/>
          <w:lang w:val="en-US"/>
        </w:rPr>
        <w:t>)5000x</w:t>
      </w:r>
    </w:p>
    <w:p w:rsidR="00586CBF" w:rsidRDefault="00586CBF" w:rsidP="003A765E">
      <w:pPr>
        <w:pStyle w:val="CETHeading1"/>
        <w:numPr>
          <w:ilvl w:val="1"/>
          <w:numId w:val="3"/>
        </w:numPr>
        <w:rPr>
          <w:rFonts w:eastAsia="Times New Roman" w:cs="Times New Roman"/>
          <w:bCs w:val="0"/>
          <w:color w:val="auto"/>
          <w:bdr w:val="none" w:sz="0" w:space="0" w:color="auto"/>
          <w:lang w:val="en-GB" w:eastAsia="en-US"/>
        </w:rPr>
      </w:pPr>
      <w:r w:rsidRPr="00EE3CF1">
        <w:rPr>
          <w:rFonts w:eastAsia="Times New Roman" w:cs="Times New Roman"/>
          <w:bCs w:val="0"/>
          <w:color w:val="auto"/>
          <w:bdr w:val="none" w:sz="0" w:space="0" w:color="auto"/>
          <w:lang w:val="en-GB" w:eastAsia="en-US"/>
        </w:rPr>
        <w:t>Conclusions</w:t>
      </w:r>
    </w:p>
    <w:p w:rsidR="00F421F3" w:rsidRPr="007749DA" w:rsidRDefault="00F421F3" w:rsidP="007749DA">
      <w:pPr>
        <w:pStyle w:val="CETBodytext"/>
        <w:rPr>
          <w:rFonts w:cs="Arial"/>
        </w:rPr>
      </w:pPr>
      <w:r>
        <w:rPr>
          <w:lang w:val="en-GB" w:eastAsia="en-US"/>
        </w:rPr>
        <w:t>In this work the most relevant parameters affecting Scene</w:t>
      </w:r>
      <w:r w:rsidRPr="00305612">
        <w:rPr>
          <w:rFonts w:eastAsia="Times New Roman" w:cs="Times New Roman"/>
          <w:color w:val="auto"/>
          <w:szCs w:val="20"/>
          <w:bdr w:val="none" w:sz="0" w:space="0" w:color="auto"/>
          <w:lang w:val="en-GB" w:eastAsia="en-US"/>
        </w:rPr>
        <w:t xml:space="preserve">desmus </w:t>
      </w:r>
      <w:r>
        <w:rPr>
          <w:rFonts w:eastAsia="Times New Roman" w:cs="Times New Roman"/>
          <w:color w:val="auto"/>
          <w:szCs w:val="20"/>
          <w:bdr w:val="none" w:sz="0" w:space="0" w:color="auto"/>
          <w:lang w:val="en-GB" w:eastAsia="en-US"/>
        </w:rPr>
        <w:t>Almeriensis growth were investigated. After the growth step, the possibility to recover water from the aqueous biomass solution, was preliminarily studied by means a PVDF membrane separation. The presence of CO</w:t>
      </w:r>
      <w:r w:rsidRPr="00F421F3">
        <w:rPr>
          <w:rFonts w:eastAsia="Times New Roman" w:cs="Times New Roman"/>
          <w:color w:val="auto"/>
          <w:szCs w:val="20"/>
          <w:bdr w:val="none" w:sz="0" w:space="0" w:color="auto"/>
          <w:vertAlign w:val="subscript"/>
          <w:lang w:val="en-GB" w:eastAsia="en-US"/>
        </w:rPr>
        <w:t>2</w:t>
      </w:r>
      <w:r>
        <w:rPr>
          <w:rFonts w:eastAsia="Times New Roman" w:cs="Times New Roman"/>
          <w:color w:val="auto"/>
          <w:szCs w:val="20"/>
          <w:bdr w:val="none" w:sz="0" w:space="0" w:color="auto"/>
          <w:lang w:val="en-GB" w:eastAsia="en-US"/>
        </w:rPr>
        <w:t xml:space="preserve"> was a dominant condition in order to observe microalgae growth. In fact, in absence of this gaseous nutrient, </w:t>
      </w:r>
      <w:r>
        <w:rPr>
          <w:lang w:val="en-GB" w:eastAsia="en-US"/>
        </w:rPr>
        <w:t>Scene</w:t>
      </w:r>
      <w:r w:rsidRPr="00305612">
        <w:rPr>
          <w:rFonts w:eastAsia="Times New Roman" w:cs="Times New Roman"/>
          <w:color w:val="auto"/>
          <w:szCs w:val="20"/>
          <w:bdr w:val="none" w:sz="0" w:space="0" w:color="auto"/>
          <w:lang w:val="en-GB" w:eastAsia="en-US"/>
        </w:rPr>
        <w:t xml:space="preserve">desmus </w:t>
      </w:r>
      <w:r>
        <w:rPr>
          <w:rFonts w:eastAsia="Times New Roman" w:cs="Times New Roman"/>
          <w:color w:val="auto"/>
          <w:szCs w:val="20"/>
          <w:bdr w:val="none" w:sz="0" w:space="0" w:color="auto"/>
          <w:lang w:val="en-GB" w:eastAsia="en-US"/>
        </w:rPr>
        <w:t>Almeriensis production assumed the lowest obtained value (</w:t>
      </w:r>
      <w:r w:rsidRPr="00AE5FB3">
        <w:rPr>
          <w:rFonts w:cs="Arial"/>
        </w:rPr>
        <w:t>3.94 mg/</w:t>
      </w:r>
      <w:r w:rsidR="004545CC">
        <w:rPr>
          <w:rFonts w:cs="Arial"/>
        </w:rPr>
        <w:t>L</w:t>
      </w:r>
      <w:r w:rsidRPr="00AE5FB3">
        <w:rPr>
          <w:rFonts w:cs="Arial"/>
        </w:rPr>
        <w:t>*d after 11 days</w:t>
      </w:r>
      <w:r>
        <w:rPr>
          <w:rFonts w:cs="Arial"/>
        </w:rPr>
        <w:t>). On the contrary, a noticeable growth was ob</w:t>
      </w:r>
      <w:r w:rsidR="0002076F">
        <w:rPr>
          <w:rFonts w:cs="Arial"/>
        </w:rPr>
        <w:t xml:space="preserve">tained by providing </w:t>
      </w:r>
      <w:r w:rsidRPr="00AE5FB3">
        <w:rPr>
          <w:rFonts w:cs="Arial"/>
        </w:rPr>
        <w:t xml:space="preserve"> </w:t>
      </w:r>
      <w:r w:rsidR="0002076F">
        <w:rPr>
          <w:rFonts w:cs="Arial"/>
        </w:rPr>
        <w:t>0.5% vol. CO</w:t>
      </w:r>
      <w:r w:rsidR="0002076F" w:rsidRPr="00AE5FB3">
        <w:rPr>
          <w:rFonts w:cs="Arial"/>
          <w:vertAlign w:val="subscript"/>
        </w:rPr>
        <w:t>2</w:t>
      </w:r>
      <w:r w:rsidR="0002076F">
        <w:rPr>
          <w:rFonts w:cs="Arial"/>
        </w:rPr>
        <w:t xml:space="preserve">. More precisely, a first growth in which was supplied fresh water led to a biomass content of  </w:t>
      </w:r>
      <w:r w:rsidRPr="00AE5FB3">
        <w:rPr>
          <w:rFonts w:cs="Arial"/>
        </w:rPr>
        <w:t>38.87 mg/</w:t>
      </w:r>
      <w:r w:rsidR="004545CC">
        <w:rPr>
          <w:rFonts w:cs="Arial"/>
        </w:rPr>
        <w:t>L</w:t>
      </w:r>
      <w:r w:rsidRPr="00AE5FB3">
        <w:rPr>
          <w:rFonts w:cs="Arial"/>
        </w:rPr>
        <w:t>*d after 18 days</w:t>
      </w:r>
      <w:r>
        <w:rPr>
          <w:rFonts w:cs="Arial"/>
        </w:rPr>
        <w:t>,</w:t>
      </w:r>
      <w:r w:rsidR="0002076F">
        <w:rPr>
          <w:rFonts w:cs="Arial"/>
        </w:rPr>
        <w:t xml:space="preserve"> which reduced to </w:t>
      </w:r>
      <w:r w:rsidR="0002076F" w:rsidRPr="00AE5FB3">
        <w:rPr>
          <w:rFonts w:cs="Arial"/>
        </w:rPr>
        <w:t>23.41 mg/</w:t>
      </w:r>
      <w:r w:rsidR="004545CC">
        <w:rPr>
          <w:rFonts w:cs="Arial"/>
        </w:rPr>
        <w:t>L</w:t>
      </w:r>
      <w:r w:rsidR="0002076F" w:rsidRPr="00AE5FB3">
        <w:rPr>
          <w:rFonts w:cs="Arial"/>
        </w:rPr>
        <w:t>*d after 14 days</w:t>
      </w:r>
      <w:r w:rsidR="0002076F">
        <w:rPr>
          <w:rFonts w:cs="Arial"/>
        </w:rPr>
        <w:t xml:space="preserve"> when the membrane-recovered water was added to the growth medium. </w:t>
      </w:r>
      <w:r w:rsidR="007749DA">
        <w:rPr>
          <w:rFonts w:cs="Arial"/>
        </w:rPr>
        <w:t xml:space="preserve">Nitrate and phosphate seemed to be crucial factor for the biomass production, as demonstrated by monitoring their depletion during growth tests. </w:t>
      </w:r>
      <w:r w:rsidR="0002076F">
        <w:rPr>
          <w:rFonts w:cs="Arial"/>
        </w:rPr>
        <w:t xml:space="preserve">Dewatering step, carried out by using a commercial PVDF membrane with 0.3 </w:t>
      </w:r>
      <w:r w:rsidR="0002076F" w:rsidRPr="0002076F">
        <w:rPr>
          <w:rFonts w:ascii="Symbol" w:hAnsi="Symbol" w:cs="Arial"/>
        </w:rPr>
        <w:t></w:t>
      </w:r>
      <w:r w:rsidR="0002076F">
        <w:rPr>
          <w:rFonts w:cs="Arial"/>
        </w:rPr>
        <w:t xml:space="preserve">m pore size, allowed to retain biomass on the feed-side and to </w:t>
      </w:r>
      <w:r w:rsidR="007749DA">
        <w:rPr>
          <w:rFonts w:cs="Arial"/>
        </w:rPr>
        <w:t xml:space="preserve">collect water on the permeate-side. However, the process needs to be optimized, since the membrane flux was negatively influenced by cake formation on the membrane surface. Nevertheless, SEM analysis showed that the membrane structure did not change </w:t>
      </w:r>
      <w:r w:rsidR="00397501">
        <w:rPr>
          <w:rFonts w:cs="Arial"/>
        </w:rPr>
        <w:t>significantly after 36 hours filtration</w:t>
      </w:r>
      <w:r w:rsidR="007749DA">
        <w:rPr>
          <w:rFonts w:cs="Arial"/>
        </w:rPr>
        <w:t>, evidencing the possibility to reuse the same membrane for consecutive separations.</w:t>
      </w:r>
    </w:p>
    <w:p w:rsidR="00937638" w:rsidRPr="003A765E" w:rsidRDefault="00937638" w:rsidP="007749DA">
      <w:pPr>
        <w:pStyle w:val="CETBodytext"/>
        <w:ind w:left="96"/>
        <w:rPr>
          <w:lang w:val="en-GB" w:eastAsia="en-US"/>
        </w:rPr>
      </w:pPr>
    </w:p>
    <w:p w:rsidR="00586CBF" w:rsidRDefault="00586CBF">
      <w:pPr>
        <w:pStyle w:val="CETAcknowledgementstitle"/>
      </w:pPr>
      <w:r>
        <w:t>Acknowledgments</w:t>
      </w:r>
    </w:p>
    <w:p w:rsidR="00586CBF" w:rsidRDefault="00586CBF">
      <w:pPr>
        <w:pStyle w:val="CETBodytext"/>
      </w:pPr>
      <w:r>
        <w:t>This paper has received funding from the Bio Based Industries Joint Undertaking under the European</w:t>
      </w:r>
    </w:p>
    <w:p w:rsidR="00586CBF" w:rsidRDefault="00586CBF">
      <w:pPr>
        <w:pStyle w:val="CETBodytext"/>
      </w:pPr>
      <w:r>
        <w:t>Union’s Horizon 2020 research and innovation program under grant agreement No. 745695 (VALUEMAG).</w:t>
      </w:r>
    </w:p>
    <w:p w:rsidR="006E20A7" w:rsidRDefault="006E20A7">
      <w:pPr>
        <w:pStyle w:val="CETBodytext"/>
      </w:pPr>
    </w:p>
    <w:p w:rsidR="00586CBF" w:rsidRDefault="00586CBF">
      <w:pPr>
        <w:pStyle w:val="CETReference"/>
      </w:pPr>
      <w:r>
        <w:lastRenderedPageBreak/>
        <w:t>References</w:t>
      </w:r>
    </w:p>
    <w:p w:rsidR="00F164FA" w:rsidRDefault="00F164FA">
      <w:pPr>
        <w:pStyle w:val="CETReferencetext"/>
        <w:rPr>
          <w:color w:val="000000" w:themeColor="text1"/>
        </w:rPr>
      </w:pPr>
      <w:r w:rsidRPr="00F164FA">
        <w:rPr>
          <w:color w:val="000000" w:themeColor="text1"/>
        </w:rPr>
        <w:t xml:space="preserve">Coons J.E., D.M. Kalb, T. Dale, B.L. Marrone, </w:t>
      </w:r>
      <w:r>
        <w:rPr>
          <w:color w:val="000000" w:themeColor="text1"/>
        </w:rPr>
        <w:t xml:space="preserve">2014, </w:t>
      </w:r>
      <w:r w:rsidRPr="00F164FA">
        <w:rPr>
          <w:color w:val="000000" w:themeColor="text1"/>
        </w:rPr>
        <w:t>Getting to low-cost algal biofuels: A monograph on conventional andcutting-edge harvesting and extraction technologies</w:t>
      </w:r>
      <w:r>
        <w:rPr>
          <w:color w:val="000000" w:themeColor="text1"/>
        </w:rPr>
        <w:t xml:space="preserve">, </w:t>
      </w:r>
      <w:r w:rsidRPr="00F421F3">
        <w:rPr>
          <w:i/>
          <w:color w:val="000000" w:themeColor="text1"/>
        </w:rPr>
        <w:t>Algal Research</w:t>
      </w:r>
      <w:r>
        <w:rPr>
          <w:color w:val="000000" w:themeColor="text1"/>
        </w:rPr>
        <w:t xml:space="preserve">, </w:t>
      </w:r>
      <w:r w:rsidRPr="00F164FA">
        <w:rPr>
          <w:color w:val="000000" w:themeColor="text1"/>
        </w:rPr>
        <w:t>6</w:t>
      </w:r>
      <w:r>
        <w:rPr>
          <w:color w:val="000000" w:themeColor="text1"/>
        </w:rPr>
        <w:t xml:space="preserve">, </w:t>
      </w:r>
      <w:r w:rsidRPr="00F164FA">
        <w:rPr>
          <w:color w:val="000000" w:themeColor="text1"/>
        </w:rPr>
        <w:t>250</w:t>
      </w:r>
      <w:r>
        <w:rPr>
          <w:color w:val="000000" w:themeColor="text1"/>
        </w:rPr>
        <w:t>.</w:t>
      </w:r>
    </w:p>
    <w:p w:rsidR="00F164FA" w:rsidRDefault="00E23A1D">
      <w:pPr>
        <w:pStyle w:val="CETReferencetext"/>
        <w:rPr>
          <w:color w:val="000000" w:themeColor="text1"/>
        </w:rPr>
      </w:pPr>
      <w:r w:rsidRPr="00064599">
        <w:rPr>
          <w:color w:val="000000" w:themeColor="text1"/>
        </w:rPr>
        <w:t>Di Sanzo G., Mehariya S., Martino M., Larocca V., Casella P., Chianese S., Musmarra D., Balducchi R., Molin</w:t>
      </w:r>
      <w:r w:rsidR="00064599">
        <w:rPr>
          <w:color w:val="000000" w:themeColor="text1"/>
        </w:rPr>
        <w:t>o</w:t>
      </w:r>
      <w:r w:rsidRPr="00064599">
        <w:rPr>
          <w:color w:val="000000" w:themeColor="text1"/>
        </w:rPr>
        <w:t xml:space="preserve"> A.</w:t>
      </w:r>
      <w:r w:rsidR="00064599">
        <w:rPr>
          <w:color w:val="000000" w:themeColor="text1"/>
        </w:rPr>
        <w:t xml:space="preserve">, </w:t>
      </w:r>
      <w:r w:rsidRPr="00064599">
        <w:rPr>
          <w:color w:val="000000" w:themeColor="text1"/>
        </w:rPr>
        <w:t>2018, Supercritical carbon dioxide extraction of astaxanthin, lutein, and fatty acids from Haematococcus pluvialis microalgae,</w:t>
      </w:r>
      <w:r w:rsidR="00064599">
        <w:rPr>
          <w:color w:val="000000" w:themeColor="text1"/>
        </w:rPr>
        <w:t xml:space="preserve"> </w:t>
      </w:r>
      <w:r w:rsidRPr="00064599">
        <w:rPr>
          <w:i/>
          <w:iCs/>
          <w:color w:val="000000" w:themeColor="text1"/>
        </w:rPr>
        <w:t>Marine drugs</w:t>
      </w:r>
      <w:r w:rsidRPr="00064599">
        <w:rPr>
          <w:color w:val="000000" w:themeColor="text1"/>
        </w:rPr>
        <w:t xml:space="preserve">, </w:t>
      </w:r>
      <w:r w:rsidRPr="00064599">
        <w:rPr>
          <w:i/>
          <w:iCs/>
          <w:color w:val="000000" w:themeColor="text1"/>
        </w:rPr>
        <w:t>16</w:t>
      </w:r>
      <w:r w:rsidRPr="00064599">
        <w:rPr>
          <w:color w:val="000000" w:themeColor="text1"/>
        </w:rPr>
        <w:t>(9), 334.</w:t>
      </w:r>
    </w:p>
    <w:p w:rsidR="00063862" w:rsidRDefault="00720B0C">
      <w:pPr>
        <w:pStyle w:val="CETReferencetext"/>
        <w:rPr>
          <w:color w:val="000000" w:themeColor="text1"/>
        </w:rPr>
      </w:pPr>
      <w:r w:rsidRPr="00CC5FE2">
        <w:rPr>
          <w:color w:val="000000" w:themeColor="text1"/>
        </w:rPr>
        <w:t>Fried</w:t>
      </w:r>
      <w:r>
        <w:rPr>
          <w:color w:val="000000" w:themeColor="text1"/>
        </w:rPr>
        <w:t xml:space="preserve"> S.</w:t>
      </w:r>
      <w:r w:rsidRPr="00CC5FE2">
        <w:rPr>
          <w:color w:val="000000" w:themeColor="text1"/>
        </w:rPr>
        <w:t>, Mackie</w:t>
      </w:r>
      <w:r>
        <w:rPr>
          <w:color w:val="000000" w:themeColor="text1"/>
        </w:rPr>
        <w:t xml:space="preserve"> B.</w:t>
      </w:r>
      <w:r w:rsidRPr="00CC5FE2">
        <w:rPr>
          <w:color w:val="000000" w:themeColor="text1"/>
        </w:rPr>
        <w:t>, Nothwehr</w:t>
      </w:r>
      <w:r>
        <w:rPr>
          <w:color w:val="000000" w:themeColor="text1"/>
        </w:rPr>
        <w:t xml:space="preserve"> E., 2003, </w:t>
      </w:r>
      <w:r w:rsidRPr="00CC5FE2">
        <w:rPr>
          <w:color w:val="000000" w:themeColor="text1"/>
        </w:rPr>
        <w:t>Nitrate and phosphate levels positively affect the growth of algae species</w:t>
      </w:r>
      <w:r>
        <w:rPr>
          <w:color w:val="000000" w:themeColor="text1"/>
        </w:rPr>
        <w:t xml:space="preserve"> </w:t>
      </w:r>
      <w:r w:rsidRPr="00CC5FE2">
        <w:rPr>
          <w:color w:val="000000" w:themeColor="text1"/>
        </w:rPr>
        <w:t>found in Perry Pond</w:t>
      </w:r>
      <w:r>
        <w:rPr>
          <w:color w:val="000000" w:themeColor="text1"/>
        </w:rPr>
        <w:t>,</w:t>
      </w:r>
      <w:r w:rsidRPr="00720B0C">
        <w:rPr>
          <w:color w:val="000000" w:themeColor="text1"/>
        </w:rPr>
        <w:t xml:space="preserve"> </w:t>
      </w:r>
      <w:r w:rsidRPr="00720B0C">
        <w:rPr>
          <w:i/>
          <w:color w:val="000000" w:themeColor="text1"/>
        </w:rPr>
        <w:t>Tillers</w:t>
      </w:r>
      <w:r>
        <w:rPr>
          <w:color w:val="000000" w:themeColor="text1"/>
        </w:rPr>
        <w:t xml:space="preserve">, </w:t>
      </w:r>
      <w:r w:rsidRPr="00CC5FE2">
        <w:rPr>
          <w:color w:val="000000" w:themeColor="text1"/>
        </w:rPr>
        <w:t>4, 21</w:t>
      </w:r>
      <w:r>
        <w:rPr>
          <w:color w:val="000000" w:themeColor="text1"/>
        </w:rPr>
        <w:t>.</w:t>
      </w:r>
    </w:p>
    <w:p w:rsidR="00063862" w:rsidRDefault="00063862">
      <w:pPr>
        <w:pStyle w:val="CETReferencetext"/>
        <w:rPr>
          <w:color w:val="000000" w:themeColor="text1"/>
        </w:rPr>
      </w:pPr>
      <w:r w:rsidRPr="00063862">
        <w:rPr>
          <w:color w:val="000000" w:themeColor="text1"/>
        </w:rPr>
        <w:t>Kwon H</w:t>
      </w:r>
      <w:r>
        <w:rPr>
          <w:color w:val="000000" w:themeColor="text1"/>
        </w:rPr>
        <w:t xml:space="preserve">. </w:t>
      </w:r>
      <w:r w:rsidRPr="00063862">
        <w:rPr>
          <w:color w:val="000000" w:themeColor="text1"/>
        </w:rPr>
        <w:t>K</w:t>
      </w:r>
      <w:r>
        <w:rPr>
          <w:color w:val="000000" w:themeColor="text1"/>
        </w:rPr>
        <w:t>.</w:t>
      </w:r>
      <w:r w:rsidRPr="00063862">
        <w:rPr>
          <w:color w:val="000000" w:themeColor="text1"/>
        </w:rPr>
        <w:t>, Oh S</w:t>
      </w:r>
      <w:r>
        <w:rPr>
          <w:color w:val="000000" w:themeColor="text1"/>
        </w:rPr>
        <w:t xml:space="preserve">. </w:t>
      </w:r>
      <w:r w:rsidRPr="00063862">
        <w:rPr>
          <w:color w:val="000000" w:themeColor="text1"/>
        </w:rPr>
        <w:t>J</w:t>
      </w:r>
      <w:r>
        <w:rPr>
          <w:color w:val="000000" w:themeColor="text1"/>
        </w:rPr>
        <w:t>.</w:t>
      </w:r>
      <w:r w:rsidRPr="00063862">
        <w:rPr>
          <w:color w:val="000000" w:themeColor="text1"/>
        </w:rPr>
        <w:t>, Yang H</w:t>
      </w:r>
      <w:r>
        <w:rPr>
          <w:color w:val="000000" w:themeColor="text1"/>
        </w:rPr>
        <w:t xml:space="preserve">. </w:t>
      </w:r>
      <w:r w:rsidRPr="00063862">
        <w:rPr>
          <w:color w:val="000000" w:themeColor="text1"/>
        </w:rPr>
        <w:t>S.</w:t>
      </w:r>
      <w:r>
        <w:rPr>
          <w:color w:val="000000" w:themeColor="text1"/>
        </w:rPr>
        <w:t xml:space="preserve">, 2013, </w:t>
      </w:r>
      <w:r w:rsidRPr="00063862">
        <w:rPr>
          <w:color w:val="000000" w:themeColor="text1"/>
        </w:rPr>
        <w:t>Growth and uptake kinetics of nitrate and phosphate by benthic microalgae for phytoremediation of eutrophic coastal sediments</w:t>
      </w:r>
      <w:r>
        <w:rPr>
          <w:color w:val="000000" w:themeColor="text1"/>
        </w:rPr>
        <w:t xml:space="preserve">, </w:t>
      </w:r>
      <w:r w:rsidR="00F421F3" w:rsidRPr="00F421F3">
        <w:rPr>
          <w:i/>
          <w:color w:val="000000" w:themeColor="text1"/>
        </w:rPr>
        <w:t>Bioresource Technology</w:t>
      </w:r>
      <w:r>
        <w:rPr>
          <w:color w:val="000000" w:themeColor="text1"/>
        </w:rPr>
        <w:t>,</w:t>
      </w:r>
      <w:r w:rsidRPr="00063862">
        <w:rPr>
          <w:color w:val="000000" w:themeColor="text1"/>
        </w:rPr>
        <w:t xml:space="preserve"> 129</w:t>
      </w:r>
      <w:r>
        <w:rPr>
          <w:color w:val="000000" w:themeColor="text1"/>
        </w:rPr>
        <w:t xml:space="preserve">, </w:t>
      </w:r>
      <w:r w:rsidRPr="00063862">
        <w:rPr>
          <w:color w:val="000000" w:themeColor="text1"/>
        </w:rPr>
        <w:t>387</w:t>
      </w:r>
      <w:r>
        <w:rPr>
          <w:color w:val="000000" w:themeColor="text1"/>
        </w:rPr>
        <w:t>.</w:t>
      </w:r>
    </w:p>
    <w:p w:rsidR="00944895" w:rsidRPr="00944895" w:rsidRDefault="00944895">
      <w:pPr>
        <w:pStyle w:val="CETReferencetext"/>
        <w:rPr>
          <w:color w:val="000000" w:themeColor="text1"/>
        </w:rPr>
      </w:pPr>
      <w:r w:rsidRPr="00944895">
        <w:rPr>
          <w:color w:val="000000" w:themeColor="text1"/>
        </w:rPr>
        <w:t>MarinoT., Galiano F., Molino A.,</w:t>
      </w:r>
      <w:r w:rsidRPr="00DC586D">
        <w:rPr>
          <w:color w:val="000000" w:themeColor="text1"/>
        </w:rPr>
        <w:t xml:space="preserve"> Figoli A., New frontiers in sustainable membrane preparation: Cyre</w:t>
      </w:r>
      <w:r w:rsidRPr="00944895">
        <w:rPr>
          <w:color w:val="000000" w:themeColor="text1"/>
        </w:rPr>
        <w:t>ne™ as green bioderived solvent</w:t>
      </w:r>
      <w:r>
        <w:rPr>
          <w:color w:val="000000" w:themeColor="text1"/>
        </w:rPr>
        <w:t xml:space="preserve">, 2019, </w:t>
      </w:r>
      <w:r w:rsidRPr="00DC586D">
        <w:rPr>
          <w:color w:val="000000" w:themeColor="text1"/>
        </w:rPr>
        <w:t>Journal of membrane Science, 580, 224</w:t>
      </w:r>
      <w:r>
        <w:rPr>
          <w:color w:val="000000" w:themeColor="text1"/>
        </w:rPr>
        <w:t>.</w:t>
      </w:r>
    </w:p>
    <w:p w:rsidR="00944895" w:rsidRDefault="004668BB">
      <w:pPr>
        <w:pStyle w:val="CETReferencetext"/>
        <w:rPr>
          <w:rFonts w:cs="Arial"/>
          <w:bCs/>
          <w:color w:val="000000" w:themeColor="text1"/>
        </w:rPr>
      </w:pPr>
      <w:r w:rsidRPr="00944895">
        <w:rPr>
          <w:rFonts w:cs="Arial"/>
          <w:bCs/>
          <w:color w:val="000000" w:themeColor="text1"/>
        </w:rPr>
        <w:t xml:space="preserve">Marino T., </w:t>
      </w:r>
      <w:r w:rsidR="00944895" w:rsidRPr="00944895">
        <w:rPr>
          <w:rFonts w:cs="Arial"/>
          <w:bCs/>
          <w:color w:val="000000" w:themeColor="text1"/>
        </w:rPr>
        <w:t>Russo</w:t>
      </w:r>
      <w:r w:rsidR="00944895">
        <w:rPr>
          <w:rFonts w:cs="Arial"/>
          <w:bCs/>
          <w:color w:val="000000" w:themeColor="text1"/>
        </w:rPr>
        <w:t xml:space="preserve"> F.</w:t>
      </w:r>
      <w:r w:rsidR="00944895" w:rsidRPr="00944895">
        <w:rPr>
          <w:rFonts w:cs="Arial"/>
          <w:bCs/>
          <w:color w:val="000000" w:themeColor="text1"/>
        </w:rPr>
        <w:t>, Criscuoli</w:t>
      </w:r>
      <w:r w:rsidR="00944895">
        <w:rPr>
          <w:rFonts w:cs="Arial"/>
          <w:bCs/>
          <w:color w:val="000000" w:themeColor="text1"/>
        </w:rPr>
        <w:t xml:space="preserve"> A.</w:t>
      </w:r>
      <w:r w:rsidR="00944895" w:rsidRPr="00944895">
        <w:rPr>
          <w:rFonts w:cs="Arial"/>
          <w:bCs/>
          <w:color w:val="000000" w:themeColor="text1"/>
        </w:rPr>
        <w:t>, Figoli</w:t>
      </w:r>
      <w:r w:rsidR="00944895">
        <w:rPr>
          <w:rFonts w:cs="Arial"/>
          <w:bCs/>
          <w:color w:val="000000" w:themeColor="text1"/>
        </w:rPr>
        <w:t xml:space="preserve"> A.</w:t>
      </w:r>
      <w:r w:rsidR="00944895" w:rsidRPr="00944895">
        <w:rPr>
          <w:rFonts w:cs="Arial"/>
          <w:bCs/>
          <w:color w:val="000000" w:themeColor="text1"/>
        </w:rPr>
        <w:t xml:space="preserve">,TamiSolve® NxG as novel solvent for polymeric membrane preparation, </w:t>
      </w:r>
      <w:r w:rsidR="00944895">
        <w:rPr>
          <w:rFonts w:cs="Arial"/>
          <w:bCs/>
          <w:color w:val="000000" w:themeColor="text1"/>
        </w:rPr>
        <w:t xml:space="preserve">2017, </w:t>
      </w:r>
      <w:r w:rsidR="00944895" w:rsidRPr="00944895">
        <w:rPr>
          <w:rFonts w:cs="Arial"/>
          <w:bCs/>
          <w:color w:val="000000" w:themeColor="text1"/>
        </w:rPr>
        <w:t xml:space="preserve"> Journal of Membrane Science, 542, 418</w:t>
      </w:r>
      <w:r w:rsidR="00944895">
        <w:rPr>
          <w:rFonts w:cs="Arial"/>
          <w:bCs/>
          <w:color w:val="000000" w:themeColor="text1"/>
        </w:rPr>
        <w:t>.</w:t>
      </w:r>
    </w:p>
    <w:p w:rsidR="00064599" w:rsidRPr="00DC586D" w:rsidRDefault="002C7AD9">
      <w:pPr>
        <w:pStyle w:val="CETReferencetext"/>
        <w:rPr>
          <w:rFonts w:cs="Arial"/>
          <w:bCs/>
          <w:color w:val="000000" w:themeColor="text1"/>
        </w:rPr>
      </w:pPr>
      <w:r w:rsidRPr="00944895">
        <w:rPr>
          <w:rFonts w:cs="Arial"/>
          <w:bCs/>
          <w:color w:val="000000" w:themeColor="text1"/>
        </w:rPr>
        <w:t xml:space="preserve">Molino </w:t>
      </w:r>
      <w:r w:rsidR="00064599" w:rsidRPr="00944895">
        <w:rPr>
          <w:rFonts w:cs="Arial"/>
          <w:bCs/>
          <w:color w:val="000000" w:themeColor="text1"/>
        </w:rPr>
        <w:t xml:space="preserve">A., </w:t>
      </w:r>
      <w:r w:rsidRPr="00944895">
        <w:rPr>
          <w:rFonts w:cs="Arial"/>
          <w:bCs/>
          <w:color w:val="000000" w:themeColor="text1"/>
        </w:rPr>
        <w:t xml:space="preserve">Iovine </w:t>
      </w:r>
      <w:r w:rsidR="00064599" w:rsidRPr="00944895">
        <w:rPr>
          <w:rFonts w:cs="Arial"/>
          <w:bCs/>
          <w:color w:val="000000" w:themeColor="text1"/>
        </w:rPr>
        <w:t>A.,</w:t>
      </w:r>
      <w:r w:rsidRPr="00944895">
        <w:rPr>
          <w:rFonts w:cs="Arial"/>
          <w:bCs/>
          <w:color w:val="000000" w:themeColor="text1"/>
        </w:rPr>
        <w:t xml:space="preserve"> Casella </w:t>
      </w:r>
      <w:r w:rsidR="00064599" w:rsidRPr="00944895">
        <w:rPr>
          <w:rFonts w:cs="Arial"/>
          <w:bCs/>
          <w:color w:val="000000" w:themeColor="text1"/>
        </w:rPr>
        <w:t>P.</w:t>
      </w:r>
      <w:r w:rsidRPr="00944895">
        <w:rPr>
          <w:rFonts w:cs="Arial"/>
          <w:bCs/>
          <w:color w:val="000000" w:themeColor="text1"/>
        </w:rPr>
        <w:t xml:space="preserve">, Mehariya </w:t>
      </w:r>
      <w:r w:rsidR="00064599" w:rsidRPr="00944895">
        <w:rPr>
          <w:rFonts w:cs="Arial"/>
          <w:bCs/>
          <w:color w:val="000000" w:themeColor="text1"/>
        </w:rPr>
        <w:t>S., C</w:t>
      </w:r>
      <w:r w:rsidRPr="00944895">
        <w:rPr>
          <w:rFonts w:cs="Arial"/>
          <w:bCs/>
          <w:color w:val="000000" w:themeColor="text1"/>
        </w:rPr>
        <w:t xml:space="preserve">hianese </w:t>
      </w:r>
      <w:r w:rsidR="00064599" w:rsidRPr="00944895">
        <w:rPr>
          <w:rFonts w:cs="Arial"/>
          <w:bCs/>
          <w:color w:val="000000" w:themeColor="text1"/>
        </w:rPr>
        <w:t xml:space="preserve">S., </w:t>
      </w:r>
      <w:r w:rsidRPr="00F81923">
        <w:rPr>
          <w:rFonts w:cs="Arial"/>
          <w:bCs/>
          <w:color w:val="000000" w:themeColor="text1"/>
        </w:rPr>
        <w:t xml:space="preserve">Cerbone </w:t>
      </w:r>
      <w:r w:rsidR="00064599" w:rsidRPr="00944895">
        <w:rPr>
          <w:rFonts w:cs="Arial"/>
          <w:bCs/>
          <w:color w:val="000000" w:themeColor="text1"/>
        </w:rPr>
        <w:t>A.</w:t>
      </w:r>
      <w:r w:rsidRPr="00944895">
        <w:rPr>
          <w:rFonts w:cs="Arial"/>
          <w:bCs/>
          <w:color w:val="000000" w:themeColor="text1"/>
        </w:rPr>
        <w:t xml:space="preserve">, Rimauro </w:t>
      </w:r>
      <w:r w:rsidR="00064599" w:rsidRPr="00944895">
        <w:rPr>
          <w:rFonts w:cs="Arial"/>
          <w:bCs/>
          <w:color w:val="000000" w:themeColor="text1"/>
        </w:rPr>
        <w:t xml:space="preserve">J., </w:t>
      </w:r>
      <w:r w:rsidRPr="00944895">
        <w:rPr>
          <w:rFonts w:cs="Arial"/>
          <w:bCs/>
          <w:color w:val="000000" w:themeColor="text1"/>
        </w:rPr>
        <w:t xml:space="preserve"> Musmarra</w:t>
      </w:r>
      <w:r w:rsidR="00064599" w:rsidRPr="00944895">
        <w:rPr>
          <w:rFonts w:cs="Arial"/>
          <w:bCs/>
          <w:color w:val="000000" w:themeColor="text1"/>
        </w:rPr>
        <w:t xml:space="preserve"> D., 2018a, Microalgae c</w:t>
      </w:r>
      <w:r w:rsidR="00064599" w:rsidRPr="00064599">
        <w:rPr>
          <w:rFonts w:cs="Arial"/>
          <w:bCs/>
          <w:color w:val="000000" w:themeColor="text1"/>
        </w:rPr>
        <w:t>haracterization for consolidated and new application in human food, animal feed</w:t>
      </w:r>
      <w:r w:rsidR="00064599">
        <w:rPr>
          <w:rFonts w:cs="Arial"/>
          <w:bCs/>
          <w:color w:val="000000" w:themeColor="text1"/>
        </w:rPr>
        <w:t xml:space="preserve"> </w:t>
      </w:r>
      <w:r w:rsidR="00064599" w:rsidRPr="00064599">
        <w:rPr>
          <w:rFonts w:cs="Arial"/>
          <w:bCs/>
          <w:color w:val="000000" w:themeColor="text1"/>
        </w:rPr>
        <w:t xml:space="preserve">and nutraceuticals, </w:t>
      </w:r>
      <w:r w:rsidR="00F421F3" w:rsidRPr="00F421F3">
        <w:rPr>
          <w:rStyle w:val="Enfasicorsivo"/>
          <w:rFonts w:cs="Arial"/>
          <w:color w:val="000000" w:themeColor="text1"/>
          <w:shd w:val="clear" w:color="auto" w:fill="FFFFFF"/>
        </w:rPr>
        <w:t>International Journal of Environmental Research and Public Health</w:t>
      </w:r>
      <w:r w:rsidRPr="00064599">
        <w:rPr>
          <w:rFonts w:cs="Arial"/>
          <w:color w:val="000000" w:themeColor="text1"/>
          <w:shd w:val="clear" w:color="auto" w:fill="FFFFFF"/>
        </w:rPr>
        <w:t>, </w:t>
      </w:r>
      <w:r w:rsidRPr="00064599">
        <w:rPr>
          <w:rStyle w:val="Enfasicorsivo"/>
          <w:rFonts w:cs="Arial"/>
          <w:color w:val="000000" w:themeColor="text1"/>
          <w:shd w:val="clear" w:color="auto" w:fill="FFFFFF"/>
        </w:rPr>
        <w:t>15</w:t>
      </w:r>
      <w:r w:rsidRPr="00064599">
        <w:rPr>
          <w:rFonts w:cs="Arial"/>
          <w:color w:val="000000" w:themeColor="text1"/>
          <w:shd w:val="clear" w:color="auto" w:fill="FFFFFF"/>
        </w:rPr>
        <w:t>(11), 2436</w:t>
      </w:r>
      <w:r w:rsidR="00064599" w:rsidRPr="00064599">
        <w:rPr>
          <w:rFonts w:cs="Arial"/>
          <w:color w:val="000000" w:themeColor="text1"/>
          <w:shd w:val="clear" w:color="auto" w:fill="FFFFFF"/>
        </w:rPr>
        <w:t>.</w:t>
      </w:r>
      <w:r w:rsidR="00064599">
        <w:rPr>
          <w:rFonts w:cs="Arial"/>
          <w:color w:val="000000" w:themeColor="text1"/>
          <w:shd w:val="clear" w:color="auto" w:fill="FFFFFF"/>
        </w:rPr>
        <w:t xml:space="preserve"> </w:t>
      </w:r>
    </w:p>
    <w:p w:rsidR="00944895" w:rsidRDefault="00944895">
      <w:pPr>
        <w:pStyle w:val="CETReferencetext"/>
        <w:rPr>
          <w:rFonts w:cs="Arial"/>
          <w:color w:val="000000" w:themeColor="text1"/>
          <w:shd w:val="clear" w:color="auto" w:fill="FFFFFF"/>
        </w:rPr>
      </w:pPr>
      <w:r w:rsidRPr="00104A97">
        <w:rPr>
          <w:rFonts w:cs="Arial"/>
          <w:color w:val="000000" w:themeColor="text1"/>
        </w:rPr>
        <w:t>Molino A., Larocca V.,  Di Sanzo G., Martino M., Casella P., Marino T., Karatza D.,  Musmarra, D., 2019</w:t>
      </w:r>
      <w:r>
        <w:rPr>
          <w:rFonts w:cs="Arial"/>
          <w:color w:val="000000" w:themeColor="text1"/>
        </w:rPr>
        <w:t>a</w:t>
      </w:r>
      <w:r w:rsidRPr="00104A97">
        <w:rPr>
          <w:rFonts w:cs="Arial"/>
          <w:color w:val="000000" w:themeColor="text1"/>
        </w:rPr>
        <w:t>, Extraction of bioactive compounds using supercritical carbon dioxide, Molecules</w:t>
      </w:r>
      <w:r>
        <w:rPr>
          <w:rFonts w:cs="Arial"/>
          <w:color w:val="000000" w:themeColor="text1"/>
        </w:rPr>
        <w:t xml:space="preserve">, </w:t>
      </w:r>
      <w:r w:rsidRPr="00104A97">
        <w:rPr>
          <w:rFonts w:cs="Arial"/>
          <w:color w:val="000000" w:themeColor="text1"/>
        </w:rPr>
        <w:t>24</w:t>
      </w:r>
      <w:r>
        <w:rPr>
          <w:rFonts w:cs="Arial"/>
          <w:color w:val="000000" w:themeColor="text1"/>
        </w:rPr>
        <w:t xml:space="preserve">(4), </w:t>
      </w:r>
      <w:r w:rsidRPr="00104A97">
        <w:rPr>
          <w:rFonts w:cs="Arial"/>
          <w:color w:val="000000" w:themeColor="text1"/>
        </w:rPr>
        <w:t>Article number 782</w:t>
      </w:r>
      <w:r>
        <w:rPr>
          <w:rFonts w:cs="Arial"/>
          <w:color w:val="000000" w:themeColor="text1"/>
        </w:rPr>
        <w:t>.</w:t>
      </w:r>
    </w:p>
    <w:p w:rsidR="00AE6620" w:rsidRPr="00104A97" w:rsidRDefault="00AE6620" w:rsidP="00AE6620">
      <w:pPr>
        <w:pStyle w:val="CETReferencetext"/>
        <w:rPr>
          <w:rFonts w:cs="Arial"/>
          <w:color w:val="000000" w:themeColor="text1"/>
          <w:lang w:val="it-IT"/>
        </w:rPr>
      </w:pPr>
      <w:r w:rsidRPr="004668BB">
        <w:rPr>
          <w:rFonts w:cs="Arial"/>
          <w:color w:val="000000" w:themeColor="text1"/>
          <w:lang w:val="it-IT"/>
        </w:rPr>
        <w:t xml:space="preserve">Molino A., Martino M., </w:t>
      </w:r>
      <w:r w:rsidRPr="00AE6620">
        <w:rPr>
          <w:rFonts w:cs="Arial"/>
          <w:color w:val="000000" w:themeColor="text1"/>
          <w:lang w:val="it-IT"/>
        </w:rPr>
        <w:t>Larocca V., Di Sanzo G., Spagnoletta A., Marino T., Karatza D., Iovine A., Mehariya S., Musmarra</w:t>
      </w:r>
      <w:r w:rsidRPr="00104A97">
        <w:rPr>
          <w:rFonts w:cs="Arial"/>
          <w:color w:val="000000" w:themeColor="text1"/>
          <w:lang w:val="it-IT"/>
        </w:rPr>
        <w:t xml:space="preserve">  </w:t>
      </w:r>
    </w:p>
    <w:p w:rsidR="00AE6620" w:rsidRDefault="00AE6620" w:rsidP="00AE6620">
      <w:pPr>
        <w:pStyle w:val="CETReferencetext"/>
        <w:rPr>
          <w:rFonts w:cs="Arial"/>
          <w:color w:val="000000" w:themeColor="text1"/>
        </w:rPr>
      </w:pPr>
      <w:r w:rsidRPr="00104A97">
        <w:rPr>
          <w:rFonts w:cs="Arial"/>
          <w:color w:val="000000" w:themeColor="text1"/>
        </w:rPr>
        <w:t>D., 2019</w:t>
      </w:r>
      <w:r w:rsidR="00944895">
        <w:rPr>
          <w:rFonts w:cs="Arial"/>
          <w:color w:val="000000" w:themeColor="text1"/>
        </w:rPr>
        <w:t>b</w:t>
      </w:r>
      <w:r w:rsidRPr="00104A97">
        <w:rPr>
          <w:rFonts w:cs="Arial"/>
          <w:color w:val="000000" w:themeColor="text1"/>
        </w:rPr>
        <w:t xml:space="preserve">, </w:t>
      </w:r>
      <w:r w:rsidRPr="004668BB">
        <w:rPr>
          <w:rFonts w:cs="Arial"/>
          <w:color w:val="000000" w:themeColor="text1"/>
        </w:rPr>
        <w:t xml:space="preserve">Eicosapentaenoic acid extraction from Nannochloropsis gaditana using carbon dioxide at supercritical </w:t>
      </w:r>
    </w:p>
    <w:p w:rsidR="00064599" w:rsidRDefault="00AE6620">
      <w:pPr>
        <w:pStyle w:val="CETReferencetext"/>
      </w:pPr>
      <w:r w:rsidRPr="004668BB">
        <w:rPr>
          <w:rFonts w:cs="Arial"/>
          <w:color w:val="000000" w:themeColor="text1"/>
        </w:rPr>
        <w:t>conditions</w:t>
      </w:r>
      <w:r w:rsidRPr="00104A97">
        <w:rPr>
          <w:rFonts w:cs="Arial"/>
          <w:color w:val="000000" w:themeColor="text1"/>
        </w:rPr>
        <w:t xml:space="preserve">, </w:t>
      </w:r>
      <w:r w:rsidRPr="00355AD2">
        <w:rPr>
          <w:rFonts w:cs="Arial"/>
          <w:color w:val="000000" w:themeColor="text1"/>
        </w:rPr>
        <w:t>Mar</w:t>
      </w:r>
      <w:r>
        <w:rPr>
          <w:rFonts w:cs="Arial"/>
          <w:color w:val="000000" w:themeColor="text1"/>
        </w:rPr>
        <w:t>ine</w:t>
      </w:r>
      <w:r w:rsidRPr="00355AD2">
        <w:rPr>
          <w:rFonts w:cs="Arial"/>
          <w:color w:val="000000" w:themeColor="text1"/>
        </w:rPr>
        <w:t xml:space="preserve"> Drugs</w:t>
      </w:r>
      <w:r>
        <w:rPr>
          <w:rFonts w:cs="Arial"/>
          <w:color w:val="000000" w:themeColor="text1"/>
        </w:rPr>
        <w:t>, 17(2), 132.</w:t>
      </w:r>
      <w:r w:rsidR="00064599" w:rsidRPr="00064599">
        <w:t>Molino A., Mehariya S., Iovine A., Larocca V., Di Sanzo G., Martino M., Mehariya S., Ferraro A.,  Musmarra D., 2018b,</w:t>
      </w:r>
      <w:r w:rsidR="00064599">
        <w:t>Extraction of astaxanthin and lutein from microalga Haematococcus pluvialis in the red phase using CO</w:t>
      </w:r>
      <w:r w:rsidR="00064599" w:rsidRPr="00064599">
        <w:rPr>
          <w:vertAlign w:val="subscript"/>
        </w:rPr>
        <w:t>2</w:t>
      </w:r>
      <w:r w:rsidR="00064599">
        <w:t xml:space="preserve"> supercritical fluid extraction technology with ethanol as co-solvent</w:t>
      </w:r>
      <w:r w:rsidR="00064599" w:rsidRPr="00645031">
        <w:t>,</w:t>
      </w:r>
      <w:r w:rsidR="00064599">
        <w:t xml:space="preserve"> </w:t>
      </w:r>
      <w:r w:rsidR="00064599">
        <w:rPr>
          <w:i/>
          <w:iCs/>
        </w:rPr>
        <w:t>Marine drugs</w:t>
      </w:r>
      <w:r w:rsidR="00064599">
        <w:t xml:space="preserve">, </w:t>
      </w:r>
      <w:r w:rsidR="00064599">
        <w:rPr>
          <w:i/>
          <w:iCs/>
        </w:rPr>
        <w:t>16</w:t>
      </w:r>
      <w:r w:rsidR="00064599">
        <w:t>(11), 432.</w:t>
      </w:r>
    </w:p>
    <w:p w:rsidR="007318C0" w:rsidRDefault="000534C7">
      <w:pPr>
        <w:pStyle w:val="CETReferencetext"/>
        <w:rPr>
          <w:rFonts w:cs="Arial"/>
          <w:color w:val="000000" w:themeColor="text1"/>
          <w:spacing w:val="-5"/>
          <w:shd w:val="clear" w:color="auto" w:fill="FFFFFF"/>
        </w:rPr>
      </w:pPr>
      <w:hyperlink r:id="rId16" w:history="1">
        <w:r w:rsidR="002C7AD9" w:rsidRPr="00064599">
          <w:rPr>
            <w:rStyle w:val="Collegamentoipertestuale"/>
            <w:rFonts w:cs="Arial"/>
            <w:color w:val="000000" w:themeColor="text1"/>
            <w:spacing w:val="-5"/>
            <w:u w:val="none"/>
          </w:rPr>
          <w:t>Pierobon</w:t>
        </w:r>
      </w:hyperlink>
      <w:r w:rsidR="00064599" w:rsidRPr="00064599">
        <w:rPr>
          <w:rStyle w:val="articleauthor-link"/>
          <w:rFonts w:cs="Arial"/>
          <w:color w:val="000000" w:themeColor="text1"/>
          <w:spacing w:val="-5"/>
        </w:rPr>
        <w:t xml:space="preserve"> S. C., Cheng X., </w:t>
      </w:r>
      <w:hyperlink r:id="rId17" w:history="1">
        <w:r w:rsidR="002C7AD9" w:rsidRPr="00064599">
          <w:rPr>
            <w:rStyle w:val="Collegamentoipertestuale"/>
            <w:rFonts w:cs="Arial"/>
            <w:color w:val="000000" w:themeColor="text1"/>
            <w:spacing w:val="-5"/>
            <w:u w:val="none"/>
          </w:rPr>
          <w:t>Graham</w:t>
        </w:r>
      </w:hyperlink>
      <w:r w:rsidR="00064599" w:rsidRPr="00064599">
        <w:rPr>
          <w:rStyle w:val="articleauthor-link"/>
          <w:rFonts w:cs="Arial"/>
          <w:color w:val="000000" w:themeColor="text1"/>
          <w:spacing w:val="-5"/>
        </w:rPr>
        <w:t xml:space="preserve"> P. J.</w:t>
      </w:r>
      <w:r w:rsidR="002C7AD9" w:rsidRPr="00064599">
        <w:rPr>
          <w:rStyle w:val="articleauthor-link"/>
          <w:rFonts w:cs="Arial"/>
          <w:color w:val="000000" w:themeColor="text1"/>
          <w:spacing w:val="-5"/>
        </w:rPr>
        <w:t>, </w:t>
      </w:r>
      <w:hyperlink r:id="rId18" w:history="1">
        <w:r w:rsidR="002C7AD9" w:rsidRPr="00064599">
          <w:rPr>
            <w:rStyle w:val="Collegamentoipertestuale"/>
            <w:rFonts w:cs="Arial"/>
            <w:color w:val="000000" w:themeColor="text1"/>
            <w:spacing w:val="-5"/>
            <w:u w:val="none"/>
          </w:rPr>
          <w:t>Nguyen</w:t>
        </w:r>
      </w:hyperlink>
      <w:r w:rsidR="00064599" w:rsidRPr="00064599">
        <w:rPr>
          <w:rStyle w:val="articleauthor-link"/>
          <w:rFonts w:cs="Arial"/>
          <w:color w:val="000000" w:themeColor="text1"/>
          <w:spacing w:val="-5"/>
        </w:rPr>
        <w:t xml:space="preserve"> B.</w:t>
      </w:r>
      <w:r w:rsidR="002C7AD9" w:rsidRPr="00064599">
        <w:rPr>
          <w:rStyle w:val="articleauthor-link"/>
          <w:rFonts w:cs="Arial"/>
          <w:color w:val="000000" w:themeColor="text1"/>
          <w:spacing w:val="-5"/>
        </w:rPr>
        <w:t>, </w:t>
      </w:r>
      <w:hyperlink r:id="rId19" w:history="1">
        <w:r w:rsidR="002C7AD9" w:rsidRPr="00064599">
          <w:rPr>
            <w:rStyle w:val="Collegamentoipertestuale"/>
            <w:rFonts w:cs="Arial"/>
            <w:color w:val="000000" w:themeColor="text1"/>
            <w:spacing w:val="-5"/>
            <w:u w:val="none"/>
          </w:rPr>
          <w:t>Karakolis</w:t>
        </w:r>
      </w:hyperlink>
      <w:r w:rsidR="00064599" w:rsidRPr="00064599">
        <w:rPr>
          <w:rStyle w:val="articleauthor-link"/>
          <w:rFonts w:cs="Arial"/>
          <w:color w:val="000000" w:themeColor="text1"/>
          <w:spacing w:val="-5"/>
          <w:vertAlign w:val="superscript"/>
        </w:rPr>
        <w:t xml:space="preserve"> </w:t>
      </w:r>
      <w:r w:rsidR="00064599" w:rsidRPr="00064599">
        <w:rPr>
          <w:rStyle w:val="articleauthor-link"/>
          <w:rFonts w:cs="Arial"/>
          <w:color w:val="000000" w:themeColor="text1"/>
          <w:spacing w:val="-5"/>
        </w:rPr>
        <w:t>E., Sinton D.,</w:t>
      </w:r>
      <w:r w:rsidR="00064599" w:rsidRPr="00064599">
        <w:rPr>
          <w:rFonts w:cs="Arial"/>
          <w:color w:val="000000" w:themeColor="text1"/>
          <w:spacing w:val="-5"/>
          <w:shd w:val="clear" w:color="auto" w:fill="FFFFFF"/>
        </w:rPr>
        <w:t xml:space="preserve"> 2018, </w:t>
      </w:r>
      <w:r w:rsidR="00064599" w:rsidRPr="00064599">
        <w:rPr>
          <w:rFonts w:cs="Arial"/>
          <w:color w:val="000000" w:themeColor="text1"/>
          <w:spacing w:val="-5"/>
        </w:rPr>
        <w:t xml:space="preserve">Emerging microalgae technology: a review, </w:t>
      </w:r>
      <w:r w:rsidR="002C7AD9" w:rsidRPr="00064599">
        <w:rPr>
          <w:rStyle w:val="Enfasigrassetto"/>
          <w:rFonts w:cs="Arial"/>
          <w:b w:val="0"/>
          <w:i/>
          <w:iCs/>
          <w:color w:val="000000" w:themeColor="text1"/>
          <w:spacing w:val="-5"/>
          <w:shd w:val="clear" w:color="auto" w:fill="FFFFFF"/>
        </w:rPr>
        <w:t>Sustainable Energy Fuels</w:t>
      </w:r>
      <w:r w:rsidR="002C7AD9" w:rsidRPr="00064599">
        <w:rPr>
          <w:rFonts w:cs="Arial"/>
          <w:color w:val="000000" w:themeColor="text1"/>
          <w:spacing w:val="-5"/>
          <w:shd w:val="clear" w:color="auto" w:fill="FFFFFF"/>
        </w:rPr>
        <w:t xml:space="preserve">, </w:t>
      </w:r>
      <w:r w:rsidR="002C7AD9" w:rsidRPr="00064599">
        <w:rPr>
          <w:rStyle w:val="Enfasigrassetto"/>
          <w:rFonts w:cs="Arial"/>
          <w:b w:val="0"/>
          <w:color w:val="000000" w:themeColor="text1"/>
          <w:spacing w:val="-5"/>
          <w:shd w:val="clear" w:color="auto" w:fill="FFFFFF"/>
        </w:rPr>
        <w:t>2</w:t>
      </w:r>
      <w:r w:rsidR="002C7AD9" w:rsidRPr="00064599">
        <w:rPr>
          <w:rFonts w:cs="Arial"/>
          <w:color w:val="000000" w:themeColor="text1"/>
          <w:spacing w:val="-5"/>
          <w:shd w:val="clear" w:color="auto" w:fill="FFFFFF"/>
        </w:rPr>
        <w:t>, 13</w:t>
      </w:r>
      <w:r w:rsidR="00064599" w:rsidRPr="00064599">
        <w:rPr>
          <w:rFonts w:cs="Arial"/>
          <w:color w:val="000000" w:themeColor="text1"/>
          <w:spacing w:val="-5"/>
          <w:shd w:val="clear" w:color="auto" w:fill="FFFFFF"/>
        </w:rPr>
        <w:t>.</w:t>
      </w:r>
      <w:r w:rsidR="002C7AD9" w:rsidRPr="00064599">
        <w:rPr>
          <w:rFonts w:cs="Arial"/>
          <w:color w:val="000000" w:themeColor="text1"/>
          <w:spacing w:val="-5"/>
          <w:shd w:val="clear" w:color="auto" w:fill="FFFFFF"/>
        </w:rPr>
        <w:t> </w:t>
      </w:r>
      <w:r w:rsidR="00F421F3">
        <w:rPr>
          <w:rFonts w:cs="Arial"/>
          <w:color w:val="000000" w:themeColor="text1"/>
          <w:spacing w:val="-5"/>
          <w:shd w:val="clear" w:color="auto" w:fill="FFFFFF"/>
        </w:rPr>
        <w:t xml:space="preserve"> </w:t>
      </w:r>
    </w:p>
    <w:p w:rsidR="00944895" w:rsidRPr="00944895" w:rsidRDefault="000534C7">
      <w:pPr>
        <w:pStyle w:val="CETReferencetext"/>
        <w:rPr>
          <w:rFonts w:cs="Arial"/>
          <w:b/>
          <w:color w:val="000000" w:themeColor="text1"/>
        </w:rPr>
      </w:pPr>
      <w:hyperlink r:id="rId20" w:history="1">
        <w:r w:rsidR="002177FF" w:rsidRPr="00064599">
          <w:rPr>
            <w:rStyle w:val="Collegamentoipertestuale"/>
            <w:rFonts w:cs="Arial"/>
            <w:color w:val="000000" w:themeColor="text1"/>
            <w:u w:val="none"/>
          </w:rPr>
          <w:t>Sánchez J</w:t>
        </w:r>
        <w:r w:rsidR="00064599">
          <w:rPr>
            <w:rStyle w:val="Collegamentoipertestuale"/>
            <w:rFonts w:cs="Arial"/>
            <w:color w:val="000000" w:themeColor="text1"/>
            <w:u w:val="none"/>
          </w:rPr>
          <w:t>.</w:t>
        </w:r>
        <w:r w:rsidR="002177FF" w:rsidRPr="00064599">
          <w:rPr>
            <w:rStyle w:val="Collegamentoipertestuale"/>
            <w:rFonts w:cs="Arial"/>
            <w:color w:val="000000" w:themeColor="text1"/>
            <w:u w:val="none"/>
          </w:rPr>
          <w:t>F</w:t>
        </w:r>
      </w:hyperlink>
      <w:r w:rsidR="00064599" w:rsidRPr="00064599">
        <w:rPr>
          <w:rFonts w:cs="Arial"/>
          <w:color w:val="000000" w:themeColor="text1"/>
        </w:rPr>
        <w:t>.</w:t>
      </w:r>
      <w:r w:rsidR="002177FF" w:rsidRPr="00064599">
        <w:rPr>
          <w:rFonts w:cs="Arial"/>
          <w:color w:val="000000" w:themeColor="text1"/>
        </w:rPr>
        <w:t>, </w:t>
      </w:r>
      <w:hyperlink r:id="rId21" w:history="1">
        <w:r w:rsidR="002177FF" w:rsidRPr="00064599">
          <w:rPr>
            <w:rStyle w:val="Collegamentoipertestuale"/>
            <w:rFonts w:cs="Arial"/>
            <w:color w:val="000000" w:themeColor="text1"/>
            <w:u w:val="none"/>
          </w:rPr>
          <w:t>Fernández-Sevilla J</w:t>
        </w:r>
        <w:r w:rsidR="00064599">
          <w:rPr>
            <w:rStyle w:val="Collegamentoipertestuale"/>
            <w:rFonts w:cs="Arial"/>
            <w:color w:val="000000" w:themeColor="text1"/>
            <w:u w:val="none"/>
          </w:rPr>
          <w:t>.</w:t>
        </w:r>
        <w:r w:rsidR="002177FF" w:rsidRPr="00064599">
          <w:rPr>
            <w:rStyle w:val="Collegamentoipertestuale"/>
            <w:rFonts w:cs="Arial"/>
            <w:color w:val="000000" w:themeColor="text1"/>
            <w:u w:val="none"/>
          </w:rPr>
          <w:t>M</w:t>
        </w:r>
      </w:hyperlink>
      <w:r w:rsidR="00064599" w:rsidRPr="00064599">
        <w:rPr>
          <w:rFonts w:cs="Arial"/>
          <w:color w:val="000000" w:themeColor="text1"/>
        </w:rPr>
        <w:t>.</w:t>
      </w:r>
      <w:r w:rsidR="002177FF" w:rsidRPr="00064599">
        <w:rPr>
          <w:rFonts w:cs="Arial"/>
          <w:color w:val="000000" w:themeColor="text1"/>
        </w:rPr>
        <w:t>, </w:t>
      </w:r>
      <w:hyperlink r:id="rId22" w:history="1">
        <w:r w:rsidR="002177FF" w:rsidRPr="00064599">
          <w:rPr>
            <w:rStyle w:val="Collegamentoipertestuale"/>
            <w:rFonts w:cs="Arial"/>
            <w:color w:val="000000" w:themeColor="text1"/>
            <w:u w:val="none"/>
          </w:rPr>
          <w:t>Acién F</w:t>
        </w:r>
        <w:r w:rsidR="00064599">
          <w:rPr>
            <w:rStyle w:val="Collegamentoipertestuale"/>
            <w:rFonts w:cs="Arial"/>
            <w:color w:val="000000" w:themeColor="text1"/>
            <w:u w:val="none"/>
          </w:rPr>
          <w:t>.</w:t>
        </w:r>
        <w:r w:rsidR="002177FF" w:rsidRPr="00064599">
          <w:rPr>
            <w:rStyle w:val="Collegamentoipertestuale"/>
            <w:rFonts w:cs="Arial"/>
            <w:color w:val="000000" w:themeColor="text1"/>
            <w:u w:val="none"/>
          </w:rPr>
          <w:t>G</w:t>
        </w:r>
      </w:hyperlink>
      <w:r w:rsidR="00064599" w:rsidRPr="00064599">
        <w:rPr>
          <w:rFonts w:cs="Arial"/>
          <w:color w:val="000000" w:themeColor="text1"/>
        </w:rPr>
        <w:t>.</w:t>
      </w:r>
      <w:r w:rsidR="002177FF" w:rsidRPr="00064599">
        <w:rPr>
          <w:rFonts w:cs="Arial"/>
          <w:color w:val="000000" w:themeColor="text1"/>
        </w:rPr>
        <w:t>, </w:t>
      </w:r>
      <w:hyperlink r:id="rId23" w:history="1">
        <w:r w:rsidR="002177FF" w:rsidRPr="00064599">
          <w:rPr>
            <w:rStyle w:val="Collegamentoipertestuale"/>
            <w:rFonts w:cs="Arial"/>
            <w:color w:val="000000" w:themeColor="text1"/>
            <w:u w:val="none"/>
          </w:rPr>
          <w:t>Cerón M</w:t>
        </w:r>
        <w:r w:rsidR="00064599">
          <w:rPr>
            <w:rStyle w:val="Collegamentoipertestuale"/>
            <w:rFonts w:cs="Arial"/>
            <w:color w:val="000000" w:themeColor="text1"/>
            <w:u w:val="none"/>
          </w:rPr>
          <w:t>.</w:t>
        </w:r>
        <w:r w:rsidR="002177FF" w:rsidRPr="00064599">
          <w:rPr>
            <w:rStyle w:val="Collegamentoipertestuale"/>
            <w:rFonts w:cs="Arial"/>
            <w:color w:val="000000" w:themeColor="text1"/>
            <w:u w:val="none"/>
          </w:rPr>
          <w:t>C</w:t>
        </w:r>
      </w:hyperlink>
      <w:r w:rsidR="00064599" w:rsidRPr="00064599">
        <w:rPr>
          <w:rFonts w:cs="Arial"/>
          <w:color w:val="000000" w:themeColor="text1"/>
        </w:rPr>
        <w:t>.</w:t>
      </w:r>
      <w:r w:rsidR="002177FF" w:rsidRPr="00064599">
        <w:rPr>
          <w:rFonts w:cs="Arial"/>
          <w:color w:val="000000" w:themeColor="text1"/>
        </w:rPr>
        <w:t>, </w:t>
      </w:r>
      <w:hyperlink r:id="rId24" w:history="1">
        <w:r w:rsidR="002177FF" w:rsidRPr="00064599">
          <w:rPr>
            <w:rStyle w:val="Collegamentoipertestuale"/>
            <w:rFonts w:cs="Arial"/>
            <w:color w:val="000000" w:themeColor="text1"/>
            <w:u w:val="none"/>
          </w:rPr>
          <w:t>Pérez-Parra J</w:t>
        </w:r>
      </w:hyperlink>
      <w:r w:rsidR="00064599" w:rsidRPr="00064599">
        <w:rPr>
          <w:rFonts w:cs="Arial"/>
          <w:color w:val="000000" w:themeColor="text1"/>
        </w:rPr>
        <w:t>.</w:t>
      </w:r>
      <w:r w:rsidR="002177FF" w:rsidRPr="00064599">
        <w:rPr>
          <w:rFonts w:cs="Arial"/>
          <w:color w:val="000000" w:themeColor="text1"/>
        </w:rPr>
        <w:t>, </w:t>
      </w:r>
      <w:hyperlink r:id="rId25" w:history="1">
        <w:r w:rsidR="002177FF" w:rsidRPr="00064599">
          <w:rPr>
            <w:rStyle w:val="Collegamentoipertestuale"/>
            <w:rFonts w:cs="Arial"/>
            <w:color w:val="000000" w:themeColor="text1"/>
            <w:u w:val="none"/>
          </w:rPr>
          <w:t>Molina-Grima E</w:t>
        </w:r>
      </w:hyperlink>
      <w:r w:rsidR="002177FF" w:rsidRPr="00064599">
        <w:rPr>
          <w:rFonts w:cs="Arial"/>
          <w:color w:val="000000" w:themeColor="text1"/>
        </w:rPr>
        <w:t>.</w:t>
      </w:r>
      <w:r w:rsidR="00064599">
        <w:rPr>
          <w:rFonts w:cs="Arial"/>
          <w:color w:val="000000" w:themeColor="text1"/>
        </w:rPr>
        <w:t xml:space="preserve">, 2008, </w:t>
      </w:r>
      <w:r w:rsidR="00064599" w:rsidRPr="00064599">
        <w:rPr>
          <w:rFonts w:cs="Arial"/>
          <w:color w:val="000000" w:themeColor="text1"/>
        </w:rPr>
        <w:t>Biomass and lutein productivity of Scenedesmus almeriensis: influence of irradiance, dilution rate and temperature</w:t>
      </w:r>
      <w:r w:rsidR="00064599">
        <w:rPr>
          <w:rFonts w:cs="Arial"/>
          <w:b/>
          <w:color w:val="000000" w:themeColor="text1"/>
        </w:rPr>
        <w:t>,</w:t>
      </w:r>
      <w:r w:rsidR="007318C0" w:rsidRPr="007318C0">
        <w:t xml:space="preserve"> </w:t>
      </w:r>
      <w:r w:rsidR="007318C0" w:rsidRPr="007318C0">
        <w:rPr>
          <w:rFonts w:cs="Arial"/>
          <w:i/>
          <w:color w:val="000000" w:themeColor="text1"/>
        </w:rPr>
        <w:t>Applied Microbiology and Biotechnology</w:t>
      </w:r>
      <w:r w:rsidR="007318C0">
        <w:rPr>
          <w:rFonts w:cs="Arial"/>
          <w:b/>
          <w:color w:val="000000" w:themeColor="text1"/>
        </w:rPr>
        <w:t xml:space="preserve">, </w:t>
      </w:r>
      <w:r w:rsidR="00064599" w:rsidRPr="00064599">
        <w:rPr>
          <w:rFonts w:cs="Arial"/>
          <w:color w:val="000000" w:themeColor="text1"/>
        </w:rPr>
        <w:t>79(5)</w:t>
      </w:r>
      <w:r w:rsidR="007318C0">
        <w:rPr>
          <w:rFonts w:cs="Arial"/>
          <w:b/>
          <w:color w:val="000000" w:themeColor="text1"/>
        </w:rPr>
        <w:t xml:space="preserve">, </w:t>
      </w:r>
      <w:r w:rsidR="00064599" w:rsidRPr="00064599">
        <w:rPr>
          <w:rFonts w:cs="Arial"/>
          <w:color w:val="000000" w:themeColor="text1"/>
        </w:rPr>
        <w:t>719</w:t>
      </w:r>
      <w:r w:rsidR="007318C0">
        <w:rPr>
          <w:rFonts w:cs="Arial"/>
          <w:b/>
          <w:color w:val="000000" w:themeColor="text1"/>
        </w:rPr>
        <w:t>.</w:t>
      </w:r>
    </w:p>
    <w:p w:rsidR="004668BB" w:rsidRPr="00944895" w:rsidRDefault="004668BB">
      <w:pPr>
        <w:pStyle w:val="CETReferencetext"/>
        <w:rPr>
          <w:rFonts w:cs="Arial"/>
          <w:b/>
          <w:color w:val="000000" w:themeColor="text1"/>
        </w:rPr>
      </w:pPr>
    </w:p>
    <w:p w:rsidR="004668BB" w:rsidRPr="00944895" w:rsidRDefault="004668BB">
      <w:pPr>
        <w:pStyle w:val="CETReferencetext"/>
        <w:rPr>
          <w:rFonts w:cs="Arial"/>
          <w:b/>
          <w:color w:val="000000" w:themeColor="text1"/>
        </w:rPr>
      </w:pPr>
    </w:p>
    <w:p w:rsidR="004668BB" w:rsidRPr="00944895" w:rsidRDefault="004668BB">
      <w:pPr>
        <w:pStyle w:val="CETReferencetext"/>
        <w:rPr>
          <w:rFonts w:cs="Arial"/>
          <w:color w:val="000000" w:themeColor="text1"/>
        </w:rPr>
      </w:pPr>
    </w:p>
    <w:p w:rsidR="00904807" w:rsidRPr="00944895" w:rsidRDefault="00904807" w:rsidP="00064599">
      <w:pPr>
        <w:shd w:val="clear" w:color="auto" w:fill="FFFFFF"/>
        <w:rPr>
          <w:rFonts w:ascii="Arial" w:hAnsi="Arial" w:cs="Arial"/>
          <w:color w:val="000000" w:themeColor="text1"/>
          <w:sz w:val="18"/>
          <w:szCs w:val="18"/>
          <w:lang w:val="en-US"/>
        </w:rPr>
      </w:pPr>
    </w:p>
    <w:p w:rsidR="009D0A92" w:rsidRPr="00944895" w:rsidRDefault="009D0A92" w:rsidP="008472C2">
      <w:pPr>
        <w:jc w:val="both"/>
        <w:rPr>
          <w:rFonts w:ascii="Arial" w:hAnsi="Arial" w:cs="Arial"/>
          <w:color w:val="000000" w:themeColor="text1"/>
          <w:sz w:val="18"/>
          <w:szCs w:val="18"/>
          <w:lang w:val="en-US"/>
        </w:rPr>
      </w:pPr>
    </w:p>
    <w:sectPr w:rsidR="009D0A92" w:rsidRPr="00944895" w:rsidSect="00B038F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4C7" w:rsidRDefault="000534C7" w:rsidP="00124F5D">
      <w:pPr>
        <w:spacing w:after="0" w:line="240" w:lineRule="auto"/>
      </w:pPr>
      <w:r>
        <w:separator/>
      </w:r>
    </w:p>
  </w:endnote>
  <w:endnote w:type="continuationSeparator" w:id="0">
    <w:p w:rsidR="000534C7" w:rsidRDefault="000534C7" w:rsidP="00124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4C7" w:rsidRDefault="000534C7" w:rsidP="00124F5D">
      <w:pPr>
        <w:spacing w:after="0" w:line="240" w:lineRule="auto"/>
      </w:pPr>
      <w:r>
        <w:separator/>
      </w:r>
    </w:p>
  </w:footnote>
  <w:footnote w:type="continuationSeparator" w:id="0">
    <w:p w:rsidR="000534C7" w:rsidRDefault="000534C7" w:rsidP="00124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A6C"/>
    <w:multiLevelType w:val="hybridMultilevel"/>
    <w:tmpl w:val="37ECE10C"/>
    <w:styleLink w:val="Stileimportato1"/>
    <w:lvl w:ilvl="0" w:tplc="4C6661A0">
      <w:start w:val="1"/>
      <w:numFmt w:val="decimal"/>
      <w:suff w:val="nothing"/>
      <w:lvlText w:val="%1."/>
      <w:lvlJc w:val="left"/>
      <w:pPr>
        <w:ind w:left="95" w:hanging="95"/>
      </w:pPr>
      <w:rPr>
        <w:rFonts w:hAnsi="Arial Unicode MS"/>
        <w:b/>
        <w:bCs/>
        <w:caps w:val="0"/>
        <w:smallCaps w:val="0"/>
        <w:strike w:val="0"/>
        <w:dstrike w:val="0"/>
        <w:color w:val="000000"/>
        <w:spacing w:val="0"/>
        <w:w w:val="100"/>
        <w:kern w:val="0"/>
        <w:position w:val="0"/>
        <w:highlight w:val="none"/>
        <w:vertAlign w:val="baseline"/>
      </w:rPr>
    </w:lvl>
    <w:lvl w:ilvl="1" w:tplc="D2AA74D8">
      <w:start w:val="1"/>
      <w:numFmt w:val="decimal"/>
      <w:suff w:val="nothing"/>
      <w:lvlText w:val="%2."/>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2" w:tplc="FD741674">
      <w:start w:val="1"/>
      <w:numFmt w:val="decimal"/>
      <w:suff w:val="nothing"/>
      <w:lvlText w:val="%3."/>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3" w:tplc="ABC2E1E6">
      <w:start w:val="1"/>
      <w:numFmt w:val="decimal"/>
      <w:suff w:val="nothing"/>
      <w:lvlText w:val="%4."/>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4" w:tplc="C840C00C">
      <w:start w:val="1"/>
      <w:numFmt w:val="decimal"/>
      <w:suff w:val="nothing"/>
      <w:lvlText w:val="%5."/>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5" w:tplc="0FDCD162">
      <w:start w:val="1"/>
      <w:numFmt w:val="decimal"/>
      <w:suff w:val="nothing"/>
      <w:lvlText w:val="%6."/>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6" w:tplc="5638FE48">
      <w:start w:val="1"/>
      <w:numFmt w:val="decimal"/>
      <w:suff w:val="nothing"/>
      <w:lvlText w:val="%7."/>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7" w:tplc="CB1697BC">
      <w:start w:val="1"/>
      <w:numFmt w:val="decimal"/>
      <w:suff w:val="nothing"/>
      <w:lvlText w:val="%8."/>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lvl w:ilvl="8" w:tplc="AA1A2104">
      <w:start w:val="1"/>
      <w:numFmt w:val="decimal"/>
      <w:suff w:val="nothing"/>
      <w:lvlText w:val="%9."/>
      <w:lvlJc w:val="left"/>
      <w:pPr>
        <w:ind w:left="96" w:hanging="96"/>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036D2E89"/>
    <w:multiLevelType w:val="hybridMultilevel"/>
    <w:tmpl w:val="C03AFCCC"/>
    <w:lvl w:ilvl="0" w:tplc="224C31EE">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7D4998"/>
    <w:multiLevelType w:val="hybridMultilevel"/>
    <w:tmpl w:val="04E8740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40F"/>
    <w:rsid w:val="0002076F"/>
    <w:rsid w:val="000427F2"/>
    <w:rsid w:val="000510BC"/>
    <w:rsid w:val="00051A95"/>
    <w:rsid w:val="00051CC8"/>
    <w:rsid w:val="000534C7"/>
    <w:rsid w:val="000603CD"/>
    <w:rsid w:val="00063862"/>
    <w:rsid w:val="00064599"/>
    <w:rsid w:val="00072ECC"/>
    <w:rsid w:val="0008240F"/>
    <w:rsid w:val="000C7EB0"/>
    <w:rsid w:val="000D3E4C"/>
    <w:rsid w:val="000D5744"/>
    <w:rsid w:val="000F4A95"/>
    <w:rsid w:val="001009C8"/>
    <w:rsid w:val="00105415"/>
    <w:rsid w:val="001110F8"/>
    <w:rsid w:val="00113FB3"/>
    <w:rsid w:val="00124F5D"/>
    <w:rsid w:val="0012726E"/>
    <w:rsid w:val="001721E7"/>
    <w:rsid w:val="001766EC"/>
    <w:rsid w:val="00176F08"/>
    <w:rsid w:val="00186E3F"/>
    <w:rsid w:val="001A5C5D"/>
    <w:rsid w:val="001B3CBC"/>
    <w:rsid w:val="001C1637"/>
    <w:rsid w:val="001C23F6"/>
    <w:rsid w:val="001C4AE6"/>
    <w:rsid w:val="001C4C25"/>
    <w:rsid w:val="001D66FC"/>
    <w:rsid w:val="001E0F87"/>
    <w:rsid w:val="001E36DA"/>
    <w:rsid w:val="001E5024"/>
    <w:rsid w:val="001E6461"/>
    <w:rsid w:val="001F38F8"/>
    <w:rsid w:val="002000AD"/>
    <w:rsid w:val="002177FF"/>
    <w:rsid w:val="002217BE"/>
    <w:rsid w:val="00226129"/>
    <w:rsid w:val="0022653B"/>
    <w:rsid w:val="00252739"/>
    <w:rsid w:val="002527B8"/>
    <w:rsid w:val="00267B51"/>
    <w:rsid w:val="002A00E9"/>
    <w:rsid w:val="002A4CC0"/>
    <w:rsid w:val="002C7AD9"/>
    <w:rsid w:val="002D6B4D"/>
    <w:rsid w:val="002E69A8"/>
    <w:rsid w:val="002F3181"/>
    <w:rsid w:val="00305612"/>
    <w:rsid w:val="00323E77"/>
    <w:rsid w:val="003301CB"/>
    <w:rsid w:val="003316F7"/>
    <w:rsid w:val="00331B55"/>
    <w:rsid w:val="00333766"/>
    <w:rsid w:val="003474BC"/>
    <w:rsid w:val="00367C13"/>
    <w:rsid w:val="00384302"/>
    <w:rsid w:val="00394192"/>
    <w:rsid w:val="00397501"/>
    <w:rsid w:val="003A2F51"/>
    <w:rsid w:val="003A534C"/>
    <w:rsid w:val="003A5F54"/>
    <w:rsid w:val="003A6D3F"/>
    <w:rsid w:val="003A765E"/>
    <w:rsid w:val="003B28BE"/>
    <w:rsid w:val="003B6EE4"/>
    <w:rsid w:val="003C67AB"/>
    <w:rsid w:val="003D2CBE"/>
    <w:rsid w:val="003E4114"/>
    <w:rsid w:val="00420D31"/>
    <w:rsid w:val="00421513"/>
    <w:rsid w:val="00432A3D"/>
    <w:rsid w:val="00435AA0"/>
    <w:rsid w:val="00444C41"/>
    <w:rsid w:val="004464D0"/>
    <w:rsid w:val="004545CC"/>
    <w:rsid w:val="004668BB"/>
    <w:rsid w:val="004854B1"/>
    <w:rsid w:val="0049025C"/>
    <w:rsid w:val="00491E00"/>
    <w:rsid w:val="00494BE0"/>
    <w:rsid w:val="004A1B7F"/>
    <w:rsid w:val="004B40FD"/>
    <w:rsid w:val="004D7335"/>
    <w:rsid w:val="00505DB8"/>
    <w:rsid w:val="00507102"/>
    <w:rsid w:val="00507B8B"/>
    <w:rsid w:val="0051230E"/>
    <w:rsid w:val="005156C1"/>
    <w:rsid w:val="00536231"/>
    <w:rsid w:val="0053646E"/>
    <w:rsid w:val="005421FA"/>
    <w:rsid w:val="0055290D"/>
    <w:rsid w:val="00553020"/>
    <w:rsid w:val="0057329C"/>
    <w:rsid w:val="00573F05"/>
    <w:rsid w:val="00577F3B"/>
    <w:rsid w:val="0058135F"/>
    <w:rsid w:val="00582BAE"/>
    <w:rsid w:val="005835D1"/>
    <w:rsid w:val="0058665F"/>
    <w:rsid w:val="00586CBF"/>
    <w:rsid w:val="00590E31"/>
    <w:rsid w:val="005A30DF"/>
    <w:rsid w:val="005A731F"/>
    <w:rsid w:val="005B038F"/>
    <w:rsid w:val="005C76B5"/>
    <w:rsid w:val="005D2CAD"/>
    <w:rsid w:val="005F15AA"/>
    <w:rsid w:val="005F3A41"/>
    <w:rsid w:val="005F4831"/>
    <w:rsid w:val="00604040"/>
    <w:rsid w:val="00605258"/>
    <w:rsid w:val="00605CFC"/>
    <w:rsid w:val="00607C88"/>
    <w:rsid w:val="0062109F"/>
    <w:rsid w:val="006325C2"/>
    <w:rsid w:val="00633092"/>
    <w:rsid w:val="00637E2F"/>
    <w:rsid w:val="006408B0"/>
    <w:rsid w:val="00641C66"/>
    <w:rsid w:val="00644314"/>
    <w:rsid w:val="006460E4"/>
    <w:rsid w:val="00654A16"/>
    <w:rsid w:val="00654B91"/>
    <w:rsid w:val="00661543"/>
    <w:rsid w:val="00667396"/>
    <w:rsid w:val="0068123E"/>
    <w:rsid w:val="00683ACD"/>
    <w:rsid w:val="00691F05"/>
    <w:rsid w:val="006A247C"/>
    <w:rsid w:val="006C1D37"/>
    <w:rsid w:val="006D293C"/>
    <w:rsid w:val="006E20A7"/>
    <w:rsid w:val="0071077F"/>
    <w:rsid w:val="007178E8"/>
    <w:rsid w:val="00720B0C"/>
    <w:rsid w:val="00721531"/>
    <w:rsid w:val="00730715"/>
    <w:rsid w:val="007318C0"/>
    <w:rsid w:val="007507DE"/>
    <w:rsid w:val="007749DA"/>
    <w:rsid w:val="00774A62"/>
    <w:rsid w:val="00782517"/>
    <w:rsid w:val="00783E77"/>
    <w:rsid w:val="00797D64"/>
    <w:rsid w:val="007A2551"/>
    <w:rsid w:val="007A6942"/>
    <w:rsid w:val="007B2A82"/>
    <w:rsid w:val="007B77C7"/>
    <w:rsid w:val="007D6996"/>
    <w:rsid w:val="007E096E"/>
    <w:rsid w:val="007F310D"/>
    <w:rsid w:val="00801784"/>
    <w:rsid w:val="00840A45"/>
    <w:rsid w:val="008472C2"/>
    <w:rsid w:val="00850F97"/>
    <w:rsid w:val="008519FD"/>
    <w:rsid w:val="00853914"/>
    <w:rsid w:val="0085436C"/>
    <w:rsid w:val="008552EE"/>
    <w:rsid w:val="00866FD0"/>
    <w:rsid w:val="00883A5D"/>
    <w:rsid w:val="008A63B6"/>
    <w:rsid w:val="008A7A16"/>
    <w:rsid w:val="008B6260"/>
    <w:rsid w:val="008F00A0"/>
    <w:rsid w:val="008F6BF1"/>
    <w:rsid w:val="00904807"/>
    <w:rsid w:val="00907DAF"/>
    <w:rsid w:val="00915EB8"/>
    <w:rsid w:val="00923B4B"/>
    <w:rsid w:val="009273B9"/>
    <w:rsid w:val="00937638"/>
    <w:rsid w:val="009438AA"/>
    <w:rsid w:val="00943D2A"/>
    <w:rsid w:val="00944895"/>
    <w:rsid w:val="0095059B"/>
    <w:rsid w:val="009575D6"/>
    <w:rsid w:val="0096138A"/>
    <w:rsid w:val="00967F83"/>
    <w:rsid w:val="00970232"/>
    <w:rsid w:val="009706FC"/>
    <w:rsid w:val="00976E33"/>
    <w:rsid w:val="00981B2B"/>
    <w:rsid w:val="00992AF3"/>
    <w:rsid w:val="0099323F"/>
    <w:rsid w:val="009A6D38"/>
    <w:rsid w:val="009D0A92"/>
    <w:rsid w:val="009D4532"/>
    <w:rsid w:val="009D5959"/>
    <w:rsid w:val="009E0B5F"/>
    <w:rsid w:val="009F35A8"/>
    <w:rsid w:val="00A1042D"/>
    <w:rsid w:val="00A15CA5"/>
    <w:rsid w:val="00A20A6B"/>
    <w:rsid w:val="00A211AE"/>
    <w:rsid w:val="00A52010"/>
    <w:rsid w:val="00A666F1"/>
    <w:rsid w:val="00A736A3"/>
    <w:rsid w:val="00A77731"/>
    <w:rsid w:val="00AA43AD"/>
    <w:rsid w:val="00AA7C4F"/>
    <w:rsid w:val="00AB2C24"/>
    <w:rsid w:val="00AB65CD"/>
    <w:rsid w:val="00AD1B1F"/>
    <w:rsid w:val="00AD2A16"/>
    <w:rsid w:val="00AD6C06"/>
    <w:rsid w:val="00AD724A"/>
    <w:rsid w:val="00AE3E8D"/>
    <w:rsid w:val="00AE5FB3"/>
    <w:rsid w:val="00AE61FF"/>
    <w:rsid w:val="00AE6620"/>
    <w:rsid w:val="00AE79B3"/>
    <w:rsid w:val="00B01532"/>
    <w:rsid w:val="00B038FE"/>
    <w:rsid w:val="00B2394D"/>
    <w:rsid w:val="00B24065"/>
    <w:rsid w:val="00B268BA"/>
    <w:rsid w:val="00B27535"/>
    <w:rsid w:val="00B5164C"/>
    <w:rsid w:val="00B60985"/>
    <w:rsid w:val="00B64D14"/>
    <w:rsid w:val="00B65C88"/>
    <w:rsid w:val="00B9670F"/>
    <w:rsid w:val="00B97836"/>
    <w:rsid w:val="00BA7359"/>
    <w:rsid w:val="00BC0748"/>
    <w:rsid w:val="00BC6C1B"/>
    <w:rsid w:val="00BD2D7D"/>
    <w:rsid w:val="00BE6AC0"/>
    <w:rsid w:val="00BE6F62"/>
    <w:rsid w:val="00BF28EA"/>
    <w:rsid w:val="00BF4087"/>
    <w:rsid w:val="00BF5FEA"/>
    <w:rsid w:val="00BF707E"/>
    <w:rsid w:val="00C1196C"/>
    <w:rsid w:val="00C20FF2"/>
    <w:rsid w:val="00C214CA"/>
    <w:rsid w:val="00C25528"/>
    <w:rsid w:val="00C27227"/>
    <w:rsid w:val="00C35E6D"/>
    <w:rsid w:val="00C40A79"/>
    <w:rsid w:val="00C65ED5"/>
    <w:rsid w:val="00C663CD"/>
    <w:rsid w:val="00C7287D"/>
    <w:rsid w:val="00C74CE3"/>
    <w:rsid w:val="00C751BC"/>
    <w:rsid w:val="00C7721E"/>
    <w:rsid w:val="00C77238"/>
    <w:rsid w:val="00C8066E"/>
    <w:rsid w:val="00C92932"/>
    <w:rsid w:val="00C95D97"/>
    <w:rsid w:val="00CA1047"/>
    <w:rsid w:val="00CA6B64"/>
    <w:rsid w:val="00CB72C1"/>
    <w:rsid w:val="00CC0A67"/>
    <w:rsid w:val="00CC5FE2"/>
    <w:rsid w:val="00CD7EBC"/>
    <w:rsid w:val="00CF06B1"/>
    <w:rsid w:val="00D17776"/>
    <w:rsid w:val="00D5627E"/>
    <w:rsid w:val="00D60174"/>
    <w:rsid w:val="00D75469"/>
    <w:rsid w:val="00D75482"/>
    <w:rsid w:val="00D766A5"/>
    <w:rsid w:val="00D812FC"/>
    <w:rsid w:val="00D81685"/>
    <w:rsid w:val="00D84956"/>
    <w:rsid w:val="00D97B5C"/>
    <w:rsid w:val="00DC4E7E"/>
    <w:rsid w:val="00DC586D"/>
    <w:rsid w:val="00DC6B50"/>
    <w:rsid w:val="00DD2B57"/>
    <w:rsid w:val="00DE2AD1"/>
    <w:rsid w:val="00DE3FBB"/>
    <w:rsid w:val="00DE552A"/>
    <w:rsid w:val="00DF3DAE"/>
    <w:rsid w:val="00E10DEF"/>
    <w:rsid w:val="00E1306D"/>
    <w:rsid w:val="00E22BC7"/>
    <w:rsid w:val="00E23A1D"/>
    <w:rsid w:val="00E2469E"/>
    <w:rsid w:val="00E41071"/>
    <w:rsid w:val="00E54868"/>
    <w:rsid w:val="00E5598B"/>
    <w:rsid w:val="00E56D00"/>
    <w:rsid w:val="00E64685"/>
    <w:rsid w:val="00E75D24"/>
    <w:rsid w:val="00E840E1"/>
    <w:rsid w:val="00E84B85"/>
    <w:rsid w:val="00E975BE"/>
    <w:rsid w:val="00EB7366"/>
    <w:rsid w:val="00EC0617"/>
    <w:rsid w:val="00EC6033"/>
    <w:rsid w:val="00EC752F"/>
    <w:rsid w:val="00EE5EBE"/>
    <w:rsid w:val="00F132A7"/>
    <w:rsid w:val="00F1396C"/>
    <w:rsid w:val="00F164FA"/>
    <w:rsid w:val="00F33111"/>
    <w:rsid w:val="00F33919"/>
    <w:rsid w:val="00F339F4"/>
    <w:rsid w:val="00F421F3"/>
    <w:rsid w:val="00F542F2"/>
    <w:rsid w:val="00F57B62"/>
    <w:rsid w:val="00F62AD7"/>
    <w:rsid w:val="00F752A2"/>
    <w:rsid w:val="00F81923"/>
    <w:rsid w:val="00F84C92"/>
    <w:rsid w:val="00F95FAE"/>
    <w:rsid w:val="00FB21D1"/>
    <w:rsid w:val="00FB4503"/>
    <w:rsid w:val="00FC69BE"/>
    <w:rsid w:val="00FD7D29"/>
    <w:rsid w:val="00FE097F"/>
    <w:rsid w:val="00FF16C8"/>
    <w:rsid w:val="00FF2D4E"/>
    <w:rsid w:val="00FF5E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71D6091-A950-4403-BB50-1959CD30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038FE"/>
  </w:style>
  <w:style w:type="paragraph" w:styleId="Titolo1">
    <w:name w:val="heading 1"/>
    <w:basedOn w:val="Normale"/>
    <w:next w:val="Normale"/>
    <w:link w:val="Titolo1Carattere"/>
    <w:uiPriority w:val="9"/>
    <w:qFormat/>
    <w:rsid w:val="002177F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olo2">
    <w:name w:val="heading 2"/>
    <w:basedOn w:val="Normale"/>
    <w:link w:val="Titolo2Carattere"/>
    <w:uiPriority w:val="9"/>
    <w:qFormat/>
    <w:rsid w:val="002C7AD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D2C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2CAD"/>
    <w:rPr>
      <w:rFonts w:ascii="Tahoma" w:hAnsi="Tahoma" w:cs="Tahoma"/>
      <w:sz w:val="16"/>
      <w:szCs w:val="16"/>
    </w:rPr>
  </w:style>
  <w:style w:type="paragraph" w:styleId="Revisione">
    <w:name w:val="Revision"/>
    <w:hidden/>
    <w:uiPriority w:val="99"/>
    <w:semiHidden/>
    <w:rsid w:val="0068123E"/>
    <w:pPr>
      <w:spacing w:after="0" w:line="240" w:lineRule="auto"/>
    </w:pPr>
  </w:style>
  <w:style w:type="character" w:styleId="Rimandocommento">
    <w:name w:val="annotation reference"/>
    <w:basedOn w:val="Carpredefinitoparagrafo"/>
    <w:uiPriority w:val="99"/>
    <w:semiHidden/>
    <w:unhideWhenUsed/>
    <w:rsid w:val="00435AA0"/>
    <w:rPr>
      <w:sz w:val="16"/>
      <w:szCs w:val="16"/>
    </w:rPr>
  </w:style>
  <w:style w:type="paragraph" w:styleId="Testocommento">
    <w:name w:val="annotation text"/>
    <w:basedOn w:val="Normale"/>
    <w:link w:val="TestocommentoCarattere"/>
    <w:uiPriority w:val="99"/>
    <w:semiHidden/>
    <w:unhideWhenUsed/>
    <w:rsid w:val="00435AA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35AA0"/>
    <w:rPr>
      <w:sz w:val="20"/>
      <w:szCs w:val="20"/>
    </w:rPr>
  </w:style>
  <w:style w:type="paragraph" w:styleId="Soggettocommento">
    <w:name w:val="annotation subject"/>
    <w:basedOn w:val="Testocommento"/>
    <w:next w:val="Testocommento"/>
    <w:link w:val="SoggettocommentoCarattere"/>
    <w:uiPriority w:val="99"/>
    <w:semiHidden/>
    <w:unhideWhenUsed/>
    <w:rsid w:val="00435AA0"/>
    <w:rPr>
      <w:b/>
      <w:bCs/>
    </w:rPr>
  </w:style>
  <w:style w:type="character" w:customStyle="1" w:styleId="SoggettocommentoCarattere">
    <w:name w:val="Soggetto commento Carattere"/>
    <w:basedOn w:val="TestocommentoCarattere"/>
    <w:link w:val="Soggettocommento"/>
    <w:uiPriority w:val="99"/>
    <w:semiHidden/>
    <w:rsid w:val="00435AA0"/>
    <w:rPr>
      <w:b/>
      <w:bCs/>
      <w:sz w:val="20"/>
      <w:szCs w:val="20"/>
    </w:rPr>
  </w:style>
  <w:style w:type="paragraph" w:styleId="NormaleWeb">
    <w:name w:val="Normal (Web)"/>
    <w:basedOn w:val="Normale"/>
    <w:uiPriority w:val="99"/>
    <w:semiHidden/>
    <w:unhideWhenUsed/>
    <w:rsid w:val="00C1196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1196C"/>
    <w:rPr>
      <w:color w:val="0000FF"/>
      <w:u w:val="single"/>
    </w:rPr>
  </w:style>
  <w:style w:type="paragraph" w:styleId="Nessunaspaziatura">
    <w:name w:val="No Spacing"/>
    <w:aliases w:val="Institution"/>
    <w:uiPriority w:val="1"/>
    <w:qFormat/>
    <w:rsid w:val="009E0B5F"/>
    <w:pPr>
      <w:spacing w:before="120" w:after="0" w:line="240" w:lineRule="auto"/>
      <w:jc w:val="center"/>
    </w:pPr>
    <w:rPr>
      <w:rFonts w:ascii="Arial" w:eastAsia="Times New Roman" w:hAnsi="Arial" w:cs="Times New Roman"/>
      <w:i/>
      <w:sz w:val="20"/>
      <w:szCs w:val="20"/>
      <w:lang w:val="cs-CZ" w:eastAsia="cs-CZ"/>
    </w:rPr>
  </w:style>
  <w:style w:type="table" w:styleId="Sfondochiaro">
    <w:name w:val="Light Shading"/>
    <w:basedOn w:val="Tabellanormale"/>
    <w:uiPriority w:val="60"/>
    <w:rsid w:val="00654B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654B9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Testosegnaposto">
    <w:name w:val="Placeholder Text"/>
    <w:basedOn w:val="Carpredefinitoparagrafo"/>
    <w:uiPriority w:val="99"/>
    <w:semiHidden/>
    <w:rsid w:val="00A15CA5"/>
    <w:rPr>
      <w:color w:val="808080"/>
    </w:rPr>
  </w:style>
  <w:style w:type="paragraph" w:styleId="Intestazione">
    <w:name w:val="header"/>
    <w:basedOn w:val="Normale"/>
    <w:link w:val="IntestazioneCarattere"/>
    <w:uiPriority w:val="99"/>
    <w:unhideWhenUsed/>
    <w:rsid w:val="00124F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24F5D"/>
  </w:style>
  <w:style w:type="paragraph" w:styleId="Pidipagina">
    <w:name w:val="footer"/>
    <w:basedOn w:val="Normale"/>
    <w:link w:val="PidipaginaCarattere"/>
    <w:uiPriority w:val="99"/>
    <w:unhideWhenUsed/>
    <w:rsid w:val="00124F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24F5D"/>
  </w:style>
  <w:style w:type="paragraph" w:styleId="Paragrafoelenco">
    <w:name w:val="List Paragraph"/>
    <w:basedOn w:val="Normale"/>
    <w:uiPriority w:val="34"/>
    <w:qFormat/>
    <w:rsid w:val="007A6942"/>
    <w:pPr>
      <w:spacing w:after="200" w:line="276" w:lineRule="auto"/>
      <w:ind w:left="720"/>
      <w:contextualSpacing/>
    </w:pPr>
  </w:style>
  <w:style w:type="table" w:styleId="Grigliatabella">
    <w:name w:val="Table Grid"/>
    <w:basedOn w:val="Tabellanormale"/>
    <w:uiPriority w:val="59"/>
    <w:rsid w:val="007A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86C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customStyle="1" w:styleId="CETTitle">
    <w:name w:val="CET Title"/>
    <w:next w:val="CETAuthors"/>
    <w:rsid w:val="00586CBF"/>
    <w:pPr>
      <w:pBdr>
        <w:top w:val="nil"/>
        <w:left w:val="nil"/>
        <w:bottom w:val="nil"/>
        <w:right w:val="nil"/>
        <w:between w:val="nil"/>
        <w:bar w:val="nil"/>
      </w:pBdr>
      <w:tabs>
        <w:tab w:val="right" w:pos="7100"/>
      </w:tabs>
      <w:suppressAutoHyphens/>
      <w:spacing w:before="480" w:after="120" w:line="264" w:lineRule="auto"/>
      <w:jc w:val="center"/>
      <w:outlineLvl w:val="0"/>
    </w:pPr>
    <w:rPr>
      <w:rFonts w:ascii="Arial" w:eastAsia="Arial Unicode MS" w:hAnsi="Arial" w:cs="Arial Unicode MS"/>
      <w:color w:val="000000"/>
      <w:sz w:val="32"/>
      <w:szCs w:val="32"/>
      <w:u w:color="000000"/>
      <w:bdr w:val="nil"/>
      <w:lang w:val="en-US" w:eastAsia="it-IT"/>
    </w:rPr>
  </w:style>
  <w:style w:type="paragraph" w:customStyle="1" w:styleId="CETAuthors">
    <w:name w:val="CET Authors"/>
    <w:rsid w:val="00586CBF"/>
    <w:pPr>
      <w:keepNext/>
      <w:pBdr>
        <w:top w:val="nil"/>
        <w:left w:val="nil"/>
        <w:bottom w:val="nil"/>
        <w:right w:val="nil"/>
        <w:between w:val="nil"/>
        <w:bar w:val="nil"/>
      </w:pBdr>
      <w:tabs>
        <w:tab w:val="right" w:pos="7100"/>
      </w:tabs>
      <w:suppressAutoHyphens/>
      <w:spacing w:after="120" w:line="264" w:lineRule="auto"/>
      <w:jc w:val="both"/>
    </w:pPr>
    <w:rPr>
      <w:rFonts w:ascii="Arial" w:eastAsia="Arial Unicode MS" w:hAnsi="Arial" w:cs="Arial Unicode MS"/>
      <w:color w:val="000000"/>
      <w:sz w:val="24"/>
      <w:szCs w:val="24"/>
      <w:u w:color="000000"/>
      <w:bdr w:val="nil"/>
      <w:lang w:eastAsia="it-IT"/>
    </w:rPr>
  </w:style>
  <w:style w:type="paragraph" w:customStyle="1" w:styleId="CETAddress">
    <w:name w:val="CET Address"/>
    <w:qFormat/>
    <w:rsid w:val="00586CBF"/>
    <w:pPr>
      <w:keepNext/>
      <w:pBdr>
        <w:top w:val="nil"/>
        <w:left w:val="nil"/>
        <w:bottom w:val="nil"/>
        <w:right w:val="nil"/>
        <w:between w:val="nil"/>
        <w:bar w:val="nil"/>
      </w:pBdr>
      <w:tabs>
        <w:tab w:val="right" w:pos="7100"/>
      </w:tabs>
      <w:suppressAutoHyphens/>
      <w:spacing w:after="0" w:line="264" w:lineRule="auto"/>
      <w:jc w:val="both"/>
    </w:pPr>
    <w:rPr>
      <w:rFonts w:ascii="Arial" w:eastAsia="Arial Unicode MS" w:hAnsi="Arial" w:cs="Arial Unicode MS"/>
      <w:color w:val="000000"/>
      <w:sz w:val="16"/>
      <w:szCs w:val="16"/>
      <w:u w:color="000000"/>
      <w:bdr w:val="nil"/>
      <w:lang w:eastAsia="it-IT"/>
    </w:rPr>
  </w:style>
  <w:style w:type="paragraph" w:customStyle="1" w:styleId="CETemail">
    <w:name w:val="CET email"/>
    <w:next w:val="CETBodytext"/>
    <w:rsid w:val="00586CBF"/>
    <w:pPr>
      <w:pBdr>
        <w:top w:val="nil"/>
        <w:left w:val="nil"/>
        <w:bottom w:val="nil"/>
        <w:right w:val="nil"/>
        <w:between w:val="nil"/>
        <w:bar w:val="nil"/>
      </w:pBdr>
      <w:tabs>
        <w:tab w:val="right" w:pos="7100"/>
      </w:tabs>
      <w:spacing w:after="240" w:line="264" w:lineRule="auto"/>
      <w:jc w:val="both"/>
    </w:pPr>
    <w:rPr>
      <w:rFonts w:ascii="Arial" w:eastAsia="Arial Unicode MS" w:hAnsi="Arial" w:cs="Arial Unicode MS"/>
      <w:color w:val="000000"/>
      <w:sz w:val="16"/>
      <w:szCs w:val="16"/>
      <w:u w:color="000000"/>
      <w:bdr w:val="nil"/>
      <w:lang w:eastAsia="it-IT"/>
    </w:rPr>
  </w:style>
  <w:style w:type="paragraph" w:customStyle="1" w:styleId="CETBodytext">
    <w:name w:val="CET Body text"/>
    <w:qFormat/>
    <w:rsid w:val="00586CBF"/>
    <w:pPr>
      <w:pBdr>
        <w:top w:val="nil"/>
        <w:left w:val="nil"/>
        <w:bottom w:val="nil"/>
        <w:right w:val="nil"/>
        <w:between w:val="nil"/>
        <w:bar w:val="nil"/>
      </w:pBdr>
      <w:tabs>
        <w:tab w:val="right" w:pos="7100"/>
      </w:tabs>
      <w:spacing w:after="0" w:line="264" w:lineRule="auto"/>
      <w:jc w:val="both"/>
    </w:pPr>
    <w:rPr>
      <w:rFonts w:ascii="Arial" w:eastAsia="Arial Unicode MS" w:hAnsi="Arial" w:cs="Arial Unicode MS"/>
      <w:color w:val="000000"/>
      <w:sz w:val="18"/>
      <w:szCs w:val="18"/>
      <w:u w:color="000000"/>
      <w:bdr w:val="nil"/>
      <w:lang w:val="en-US" w:eastAsia="it-IT"/>
    </w:rPr>
  </w:style>
  <w:style w:type="paragraph" w:customStyle="1" w:styleId="CETHeading1">
    <w:name w:val="CET Heading1"/>
    <w:next w:val="CETBodytext"/>
    <w:qFormat/>
    <w:rsid w:val="00586CBF"/>
    <w:pPr>
      <w:keepNext/>
      <w:numPr>
        <w:ilvl w:val="1"/>
        <w:numId w:val="4"/>
      </w:numPr>
      <w:pBdr>
        <w:top w:val="nil"/>
        <w:left w:val="nil"/>
        <w:bottom w:val="nil"/>
        <w:right w:val="nil"/>
        <w:between w:val="nil"/>
        <w:bar w:val="nil"/>
      </w:pBdr>
      <w:tabs>
        <w:tab w:val="left" w:pos="360"/>
        <w:tab w:val="right" w:pos="7100"/>
      </w:tabs>
      <w:suppressAutoHyphens/>
      <w:spacing w:before="240" w:after="120" w:line="264" w:lineRule="auto"/>
      <w:jc w:val="both"/>
    </w:pPr>
    <w:rPr>
      <w:rFonts w:ascii="Arial" w:eastAsia="Arial Unicode MS" w:hAnsi="Arial" w:cs="Arial Unicode MS"/>
      <w:b/>
      <w:bCs/>
      <w:color w:val="000000"/>
      <w:sz w:val="20"/>
      <w:szCs w:val="20"/>
      <w:u w:color="000000"/>
      <w:bdr w:val="nil"/>
      <w:lang w:val="en-US" w:eastAsia="it-IT"/>
    </w:rPr>
  </w:style>
  <w:style w:type="numbering" w:customStyle="1" w:styleId="Stileimportato1">
    <w:name w:val="Stile importato 1"/>
    <w:rsid w:val="00586CBF"/>
    <w:pPr>
      <w:numPr>
        <w:numId w:val="3"/>
      </w:numPr>
    </w:pPr>
  </w:style>
  <w:style w:type="paragraph" w:customStyle="1" w:styleId="CETheadingx">
    <w:name w:val="CET headingx"/>
    <w:next w:val="CETBodytext"/>
    <w:qFormat/>
    <w:rsid w:val="00586CBF"/>
    <w:pPr>
      <w:keepNext/>
      <w:numPr>
        <w:ilvl w:val="2"/>
        <w:numId w:val="4"/>
      </w:numPr>
      <w:pBdr>
        <w:top w:val="nil"/>
        <w:left w:val="nil"/>
        <w:bottom w:val="nil"/>
        <w:right w:val="nil"/>
        <w:between w:val="nil"/>
        <w:bar w:val="nil"/>
      </w:pBdr>
      <w:tabs>
        <w:tab w:val="right" w:pos="7100"/>
      </w:tabs>
      <w:suppressAutoHyphens/>
      <w:spacing w:before="120" w:after="120" w:line="264" w:lineRule="auto"/>
      <w:jc w:val="both"/>
    </w:pPr>
    <w:rPr>
      <w:rFonts w:ascii="Arial" w:eastAsia="Arial Unicode MS" w:hAnsi="Arial" w:cs="Arial Unicode MS"/>
      <w:b/>
      <w:bCs/>
      <w:color w:val="000000"/>
      <w:sz w:val="18"/>
      <w:szCs w:val="18"/>
      <w:u w:color="000000"/>
      <w:bdr w:val="nil"/>
      <w:lang w:val="en-US" w:eastAsia="it-IT"/>
    </w:rPr>
  </w:style>
  <w:style w:type="paragraph" w:customStyle="1" w:styleId="CETTabletitle">
    <w:name w:val="CET Table title"/>
    <w:rsid w:val="00586CBF"/>
    <w:pPr>
      <w:keepNext/>
      <w:pBdr>
        <w:top w:val="nil"/>
        <w:left w:val="nil"/>
        <w:bottom w:val="nil"/>
        <w:right w:val="nil"/>
        <w:between w:val="nil"/>
        <w:bar w:val="nil"/>
      </w:pBdr>
      <w:tabs>
        <w:tab w:val="right" w:pos="7100"/>
      </w:tabs>
      <w:spacing w:before="240" w:after="80" w:line="240" w:lineRule="exact"/>
      <w:jc w:val="both"/>
    </w:pPr>
    <w:rPr>
      <w:rFonts w:ascii="Arial" w:eastAsia="Arial Unicode MS" w:hAnsi="Arial" w:cs="Arial Unicode MS"/>
      <w:i/>
      <w:iCs/>
      <w:color w:val="000000"/>
      <w:sz w:val="18"/>
      <w:szCs w:val="18"/>
      <w:u w:color="000000"/>
      <w:bdr w:val="nil"/>
      <w:lang w:val="en-US" w:eastAsia="it-IT"/>
    </w:rPr>
  </w:style>
  <w:style w:type="paragraph" w:customStyle="1" w:styleId="CETCaption">
    <w:name w:val="CET Caption"/>
    <w:rsid w:val="00586CBF"/>
    <w:pPr>
      <w:pBdr>
        <w:top w:val="nil"/>
        <w:left w:val="nil"/>
        <w:bottom w:val="nil"/>
        <w:right w:val="nil"/>
        <w:between w:val="nil"/>
        <w:bar w:val="nil"/>
      </w:pBdr>
      <w:tabs>
        <w:tab w:val="right" w:pos="7100"/>
      </w:tabs>
      <w:spacing w:before="240" w:after="240" w:line="264" w:lineRule="auto"/>
      <w:jc w:val="both"/>
    </w:pPr>
    <w:rPr>
      <w:rFonts w:ascii="Arial" w:eastAsia="Arial Unicode MS" w:hAnsi="Arial" w:cs="Arial Unicode MS"/>
      <w:i/>
      <w:iCs/>
      <w:color w:val="000000"/>
      <w:sz w:val="18"/>
      <w:szCs w:val="18"/>
      <w:u w:color="000000"/>
      <w:bdr w:val="nil"/>
      <w:lang w:val="en-US" w:eastAsia="it-IT"/>
    </w:rPr>
  </w:style>
  <w:style w:type="paragraph" w:customStyle="1" w:styleId="CETAcknowledgementstitle">
    <w:name w:val="CET Acknowledgements title"/>
    <w:next w:val="CETBodytext"/>
    <w:rsid w:val="00586CBF"/>
    <w:pPr>
      <w:pBdr>
        <w:top w:val="nil"/>
        <w:left w:val="nil"/>
        <w:bottom w:val="nil"/>
        <w:right w:val="nil"/>
        <w:between w:val="nil"/>
        <w:bar w:val="nil"/>
      </w:pBdr>
      <w:tabs>
        <w:tab w:val="right" w:pos="7100"/>
      </w:tabs>
      <w:spacing w:before="200" w:after="120" w:line="264" w:lineRule="auto"/>
      <w:jc w:val="both"/>
    </w:pPr>
    <w:rPr>
      <w:rFonts w:ascii="Arial" w:eastAsia="Arial Unicode MS" w:hAnsi="Arial" w:cs="Arial Unicode MS"/>
      <w:b/>
      <w:bCs/>
      <w:color w:val="000000"/>
      <w:sz w:val="18"/>
      <w:szCs w:val="18"/>
      <w:u w:color="000000"/>
      <w:bdr w:val="nil"/>
      <w:lang w:val="en-US" w:eastAsia="it-IT"/>
    </w:rPr>
  </w:style>
  <w:style w:type="paragraph" w:customStyle="1" w:styleId="CETReference">
    <w:name w:val="CET Reference"/>
    <w:rsid w:val="00586CBF"/>
    <w:pPr>
      <w:pBdr>
        <w:top w:val="nil"/>
        <w:left w:val="nil"/>
        <w:bottom w:val="nil"/>
        <w:right w:val="nil"/>
        <w:between w:val="nil"/>
        <w:bar w:val="nil"/>
      </w:pBdr>
      <w:tabs>
        <w:tab w:val="right" w:pos="7100"/>
      </w:tabs>
      <w:spacing w:before="200" w:after="120" w:line="264" w:lineRule="auto"/>
      <w:jc w:val="both"/>
    </w:pPr>
    <w:rPr>
      <w:rFonts w:ascii="Arial" w:eastAsia="Arial Unicode MS" w:hAnsi="Arial" w:cs="Arial Unicode MS"/>
      <w:b/>
      <w:bCs/>
      <w:color w:val="000000"/>
      <w:sz w:val="18"/>
      <w:szCs w:val="18"/>
      <w:u w:color="000000"/>
      <w:bdr w:val="nil"/>
      <w:lang w:val="en-US" w:eastAsia="it-IT"/>
    </w:rPr>
  </w:style>
  <w:style w:type="paragraph" w:customStyle="1" w:styleId="CETReferencetext">
    <w:name w:val="CET Reference text"/>
    <w:rsid w:val="00E23A1D"/>
    <w:pPr>
      <w:pBdr>
        <w:top w:val="nil"/>
        <w:left w:val="nil"/>
        <w:bottom w:val="nil"/>
        <w:right w:val="nil"/>
        <w:between w:val="nil"/>
        <w:bar w:val="nil"/>
      </w:pBdr>
      <w:tabs>
        <w:tab w:val="right" w:pos="7100"/>
      </w:tabs>
      <w:spacing w:after="0" w:line="264" w:lineRule="auto"/>
      <w:ind w:left="284" w:hanging="284"/>
      <w:jc w:val="both"/>
    </w:pPr>
    <w:rPr>
      <w:rFonts w:ascii="Arial" w:eastAsia="Arial Unicode MS" w:hAnsi="Arial" w:cs="Arial Unicode MS"/>
      <w:color w:val="000000"/>
      <w:sz w:val="18"/>
      <w:szCs w:val="18"/>
      <w:u w:color="000000"/>
      <w:bdr w:val="nil"/>
      <w:lang w:val="en-US" w:eastAsia="it-IT"/>
    </w:rPr>
  </w:style>
  <w:style w:type="character" w:styleId="Enfasicorsivo">
    <w:name w:val="Emphasis"/>
    <w:basedOn w:val="Carpredefinitoparagrafo"/>
    <w:uiPriority w:val="20"/>
    <w:qFormat/>
    <w:rsid w:val="002C7AD9"/>
    <w:rPr>
      <w:i/>
      <w:iCs/>
    </w:rPr>
  </w:style>
  <w:style w:type="character" w:customStyle="1" w:styleId="Titolo2Carattere">
    <w:name w:val="Titolo 2 Carattere"/>
    <w:basedOn w:val="Carpredefinitoparagrafo"/>
    <w:link w:val="Titolo2"/>
    <w:uiPriority w:val="9"/>
    <w:rsid w:val="002C7AD9"/>
    <w:rPr>
      <w:rFonts w:ascii="Times New Roman" w:eastAsia="Times New Roman" w:hAnsi="Times New Roman" w:cs="Times New Roman"/>
      <w:b/>
      <w:bCs/>
      <w:sz w:val="36"/>
      <w:szCs w:val="36"/>
      <w:lang w:eastAsia="it-IT"/>
    </w:rPr>
  </w:style>
  <w:style w:type="character" w:customStyle="1" w:styleId="articleauthor-link">
    <w:name w:val="article__author-link"/>
    <w:basedOn w:val="Carpredefinitoparagrafo"/>
    <w:rsid w:val="002C7AD9"/>
  </w:style>
  <w:style w:type="character" w:styleId="Enfasigrassetto">
    <w:name w:val="Strong"/>
    <w:basedOn w:val="Carpredefinitoparagrafo"/>
    <w:uiPriority w:val="22"/>
    <w:qFormat/>
    <w:rsid w:val="002C7AD9"/>
    <w:rPr>
      <w:b/>
      <w:bCs/>
    </w:rPr>
  </w:style>
  <w:style w:type="character" w:customStyle="1" w:styleId="Titolo1Carattere">
    <w:name w:val="Titolo 1 Carattere"/>
    <w:basedOn w:val="Carpredefinitoparagrafo"/>
    <w:link w:val="Titolo1"/>
    <w:uiPriority w:val="9"/>
    <w:rsid w:val="002177F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05230">
      <w:bodyDiv w:val="1"/>
      <w:marLeft w:val="0"/>
      <w:marRight w:val="0"/>
      <w:marTop w:val="0"/>
      <w:marBottom w:val="0"/>
      <w:divBdr>
        <w:top w:val="none" w:sz="0" w:space="0" w:color="auto"/>
        <w:left w:val="none" w:sz="0" w:space="0" w:color="auto"/>
        <w:bottom w:val="none" w:sz="0" w:space="0" w:color="auto"/>
        <w:right w:val="none" w:sz="0" w:space="0" w:color="auto"/>
      </w:divBdr>
    </w:div>
    <w:div w:id="219680647">
      <w:bodyDiv w:val="1"/>
      <w:marLeft w:val="0"/>
      <w:marRight w:val="0"/>
      <w:marTop w:val="0"/>
      <w:marBottom w:val="0"/>
      <w:divBdr>
        <w:top w:val="none" w:sz="0" w:space="0" w:color="auto"/>
        <w:left w:val="none" w:sz="0" w:space="0" w:color="auto"/>
        <w:bottom w:val="none" w:sz="0" w:space="0" w:color="auto"/>
        <w:right w:val="none" w:sz="0" w:space="0" w:color="auto"/>
      </w:divBdr>
      <w:divsChild>
        <w:div w:id="1296177654">
          <w:marLeft w:val="0"/>
          <w:marRight w:val="0"/>
          <w:marTop w:val="0"/>
          <w:marBottom w:val="0"/>
          <w:divBdr>
            <w:top w:val="none" w:sz="0" w:space="0" w:color="auto"/>
            <w:left w:val="none" w:sz="0" w:space="0" w:color="auto"/>
            <w:bottom w:val="none" w:sz="0" w:space="0" w:color="auto"/>
            <w:right w:val="none" w:sz="0" w:space="0" w:color="auto"/>
          </w:divBdr>
        </w:div>
      </w:divsChild>
    </w:div>
    <w:div w:id="244533402">
      <w:bodyDiv w:val="1"/>
      <w:marLeft w:val="0"/>
      <w:marRight w:val="0"/>
      <w:marTop w:val="0"/>
      <w:marBottom w:val="0"/>
      <w:divBdr>
        <w:top w:val="none" w:sz="0" w:space="0" w:color="auto"/>
        <w:left w:val="none" w:sz="0" w:space="0" w:color="auto"/>
        <w:bottom w:val="none" w:sz="0" w:space="0" w:color="auto"/>
        <w:right w:val="none" w:sz="0" w:space="0" w:color="auto"/>
      </w:divBdr>
    </w:div>
    <w:div w:id="253517211">
      <w:bodyDiv w:val="1"/>
      <w:marLeft w:val="0"/>
      <w:marRight w:val="0"/>
      <w:marTop w:val="0"/>
      <w:marBottom w:val="0"/>
      <w:divBdr>
        <w:top w:val="none" w:sz="0" w:space="0" w:color="auto"/>
        <w:left w:val="none" w:sz="0" w:space="0" w:color="auto"/>
        <w:bottom w:val="none" w:sz="0" w:space="0" w:color="auto"/>
        <w:right w:val="none" w:sz="0" w:space="0" w:color="auto"/>
      </w:divBdr>
    </w:div>
    <w:div w:id="283007275">
      <w:bodyDiv w:val="1"/>
      <w:marLeft w:val="0"/>
      <w:marRight w:val="0"/>
      <w:marTop w:val="0"/>
      <w:marBottom w:val="0"/>
      <w:divBdr>
        <w:top w:val="none" w:sz="0" w:space="0" w:color="auto"/>
        <w:left w:val="none" w:sz="0" w:space="0" w:color="auto"/>
        <w:bottom w:val="none" w:sz="0" w:space="0" w:color="auto"/>
        <w:right w:val="none" w:sz="0" w:space="0" w:color="auto"/>
      </w:divBdr>
    </w:div>
    <w:div w:id="290062348">
      <w:bodyDiv w:val="1"/>
      <w:marLeft w:val="0"/>
      <w:marRight w:val="0"/>
      <w:marTop w:val="0"/>
      <w:marBottom w:val="0"/>
      <w:divBdr>
        <w:top w:val="none" w:sz="0" w:space="0" w:color="auto"/>
        <w:left w:val="none" w:sz="0" w:space="0" w:color="auto"/>
        <w:bottom w:val="none" w:sz="0" w:space="0" w:color="auto"/>
        <w:right w:val="none" w:sz="0" w:space="0" w:color="auto"/>
      </w:divBdr>
    </w:div>
    <w:div w:id="393815506">
      <w:bodyDiv w:val="1"/>
      <w:marLeft w:val="0"/>
      <w:marRight w:val="0"/>
      <w:marTop w:val="0"/>
      <w:marBottom w:val="0"/>
      <w:divBdr>
        <w:top w:val="none" w:sz="0" w:space="0" w:color="auto"/>
        <w:left w:val="none" w:sz="0" w:space="0" w:color="auto"/>
        <w:bottom w:val="none" w:sz="0" w:space="0" w:color="auto"/>
        <w:right w:val="none" w:sz="0" w:space="0" w:color="auto"/>
      </w:divBdr>
    </w:div>
    <w:div w:id="539241143">
      <w:bodyDiv w:val="1"/>
      <w:marLeft w:val="0"/>
      <w:marRight w:val="0"/>
      <w:marTop w:val="0"/>
      <w:marBottom w:val="0"/>
      <w:divBdr>
        <w:top w:val="none" w:sz="0" w:space="0" w:color="auto"/>
        <w:left w:val="none" w:sz="0" w:space="0" w:color="auto"/>
        <w:bottom w:val="none" w:sz="0" w:space="0" w:color="auto"/>
        <w:right w:val="none" w:sz="0" w:space="0" w:color="auto"/>
      </w:divBdr>
      <w:divsChild>
        <w:div w:id="1303079165">
          <w:marLeft w:val="0"/>
          <w:marRight w:val="0"/>
          <w:marTop w:val="0"/>
          <w:marBottom w:val="0"/>
          <w:divBdr>
            <w:top w:val="none" w:sz="0" w:space="0" w:color="auto"/>
            <w:left w:val="none" w:sz="0" w:space="0" w:color="auto"/>
            <w:bottom w:val="none" w:sz="0" w:space="0" w:color="auto"/>
            <w:right w:val="none" w:sz="0" w:space="0" w:color="auto"/>
          </w:divBdr>
          <w:divsChild>
            <w:div w:id="2113279630">
              <w:marLeft w:val="0"/>
              <w:marRight w:val="0"/>
              <w:marTop w:val="0"/>
              <w:marBottom w:val="0"/>
              <w:divBdr>
                <w:top w:val="none" w:sz="0" w:space="0" w:color="auto"/>
                <w:left w:val="none" w:sz="0" w:space="0" w:color="auto"/>
                <w:bottom w:val="none" w:sz="0" w:space="0" w:color="auto"/>
                <w:right w:val="none" w:sz="0" w:space="0" w:color="auto"/>
              </w:divBdr>
            </w:div>
          </w:divsChild>
        </w:div>
        <w:div w:id="1561359185">
          <w:marLeft w:val="0"/>
          <w:marRight w:val="0"/>
          <w:marTop w:val="0"/>
          <w:marBottom w:val="0"/>
          <w:divBdr>
            <w:top w:val="none" w:sz="0" w:space="0" w:color="auto"/>
            <w:left w:val="none" w:sz="0" w:space="0" w:color="auto"/>
            <w:bottom w:val="none" w:sz="0" w:space="0" w:color="auto"/>
            <w:right w:val="none" w:sz="0" w:space="0" w:color="auto"/>
          </w:divBdr>
        </w:div>
      </w:divsChild>
    </w:div>
    <w:div w:id="590701979">
      <w:bodyDiv w:val="1"/>
      <w:marLeft w:val="0"/>
      <w:marRight w:val="0"/>
      <w:marTop w:val="0"/>
      <w:marBottom w:val="0"/>
      <w:divBdr>
        <w:top w:val="none" w:sz="0" w:space="0" w:color="auto"/>
        <w:left w:val="none" w:sz="0" w:space="0" w:color="auto"/>
        <w:bottom w:val="none" w:sz="0" w:space="0" w:color="auto"/>
        <w:right w:val="none" w:sz="0" w:space="0" w:color="auto"/>
      </w:divBdr>
    </w:div>
    <w:div w:id="739444466">
      <w:bodyDiv w:val="1"/>
      <w:marLeft w:val="0"/>
      <w:marRight w:val="0"/>
      <w:marTop w:val="0"/>
      <w:marBottom w:val="0"/>
      <w:divBdr>
        <w:top w:val="none" w:sz="0" w:space="0" w:color="auto"/>
        <w:left w:val="none" w:sz="0" w:space="0" w:color="auto"/>
        <w:bottom w:val="none" w:sz="0" w:space="0" w:color="auto"/>
        <w:right w:val="none" w:sz="0" w:space="0" w:color="auto"/>
      </w:divBdr>
    </w:div>
    <w:div w:id="755518111">
      <w:bodyDiv w:val="1"/>
      <w:marLeft w:val="0"/>
      <w:marRight w:val="0"/>
      <w:marTop w:val="0"/>
      <w:marBottom w:val="0"/>
      <w:divBdr>
        <w:top w:val="none" w:sz="0" w:space="0" w:color="auto"/>
        <w:left w:val="none" w:sz="0" w:space="0" w:color="auto"/>
        <w:bottom w:val="none" w:sz="0" w:space="0" w:color="auto"/>
        <w:right w:val="none" w:sz="0" w:space="0" w:color="auto"/>
      </w:divBdr>
    </w:div>
    <w:div w:id="796799090">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58997629">
      <w:bodyDiv w:val="1"/>
      <w:marLeft w:val="0"/>
      <w:marRight w:val="0"/>
      <w:marTop w:val="0"/>
      <w:marBottom w:val="0"/>
      <w:divBdr>
        <w:top w:val="none" w:sz="0" w:space="0" w:color="auto"/>
        <w:left w:val="none" w:sz="0" w:space="0" w:color="auto"/>
        <w:bottom w:val="none" w:sz="0" w:space="0" w:color="auto"/>
        <w:right w:val="none" w:sz="0" w:space="0" w:color="auto"/>
      </w:divBdr>
    </w:div>
    <w:div w:id="1132870295">
      <w:bodyDiv w:val="1"/>
      <w:marLeft w:val="0"/>
      <w:marRight w:val="0"/>
      <w:marTop w:val="0"/>
      <w:marBottom w:val="0"/>
      <w:divBdr>
        <w:top w:val="none" w:sz="0" w:space="0" w:color="auto"/>
        <w:left w:val="none" w:sz="0" w:space="0" w:color="auto"/>
        <w:bottom w:val="none" w:sz="0" w:space="0" w:color="auto"/>
        <w:right w:val="none" w:sz="0" w:space="0" w:color="auto"/>
      </w:divBdr>
    </w:div>
    <w:div w:id="1187326635">
      <w:bodyDiv w:val="1"/>
      <w:marLeft w:val="0"/>
      <w:marRight w:val="0"/>
      <w:marTop w:val="0"/>
      <w:marBottom w:val="0"/>
      <w:divBdr>
        <w:top w:val="none" w:sz="0" w:space="0" w:color="auto"/>
        <w:left w:val="none" w:sz="0" w:space="0" w:color="auto"/>
        <w:bottom w:val="none" w:sz="0" w:space="0" w:color="auto"/>
        <w:right w:val="none" w:sz="0" w:space="0" w:color="auto"/>
      </w:divBdr>
    </w:div>
    <w:div w:id="1667516428">
      <w:bodyDiv w:val="1"/>
      <w:marLeft w:val="0"/>
      <w:marRight w:val="0"/>
      <w:marTop w:val="0"/>
      <w:marBottom w:val="0"/>
      <w:divBdr>
        <w:top w:val="none" w:sz="0" w:space="0" w:color="auto"/>
        <w:left w:val="none" w:sz="0" w:space="0" w:color="auto"/>
        <w:bottom w:val="none" w:sz="0" w:space="0" w:color="auto"/>
        <w:right w:val="none" w:sz="0" w:space="0" w:color="auto"/>
      </w:divBdr>
    </w:div>
    <w:div w:id="1854299299">
      <w:bodyDiv w:val="1"/>
      <w:marLeft w:val="0"/>
      <w:marRight w:val="0"/>
      <w:marTop w:val="0"/>
      <w:marBottom w:val="0"/>
      <w:divBdr>
        <w:top w:val="none" w:sz="0" w:space="0" w:color="auto"/>
        <w:left w:val="none" w:sz="0" w:space="0" w:color="auto"/>
        <w:bottom w:val="none" w:sz="0" w:space="0" w:color="auto"/>
        <w:right w:val="none" w:sz="0" w:space="0" w:color="auto"/>
      </w:divBdr>
      <w:divsChild>
        <w:div w:id="372267802">
          <w:marLeft w:val="0"/>
          <w:marRight w:val="0"/>
          <w:marTop w:val="0"/>
          <w:marBottom w:val="0"/>
          <w:divBdr>
            <w:top w:val="none" w:sz="0" w:space="0" w:color="auto"/>
            <w:left w:val="none" w:sz="0" w:space="0" w:color="auto"/>
            <w:bottom w:val="none" w:sz="0" w:space="0" w:color="auto"/>
            <w:right w:val="none" w:sz="0" w:space="0" w:color="auto"/>
          </w:divBdr>
        </w:div>
        <w:div w:id="241183770">
          <w:marLeft w:val="0"/>
          <w:marRight w:val="0"/>
          <w:marTop w:val="0"/>
          <w:marBottom w:val="0"/>
          <w:divBdr>
            <w:top w:val="none" w:sz="0" w:space="0" w:color="auto"/>
            <w:left w:val="none" w:sz="0" w:space="0" w:color="auto"/>
            <w:bottom w:val="none" w:sz="0" w:space="0" w:color="auto"/>
            <w:right w:val="none" w:sz="0" w:space="0" w:color="auto"/>
          </w:divBdr>
        </w:div>
      </w:divsChild>
    </w:div>
    <w:div w:id="1946187279">
      <w:bodyDiv w:val="1"/>
      <w:marLeft w:val="0"/>
      <w:marRight w:val="0"/>
      <w:marTop w:val="0"/>
      <w:marBottom w:val="0"/>
      <w:divBdr>
        <w:top w:val="none" w:sz="0" w:space="0" w:color="auto"/>
        <w:left w:val="none" w:sz="0" w:space="0" w:color="auto"/>
        <w:bottom w:val="none" w:sz="0" w:space="0" w:color="auto"/>
        <w:right w:val="none" w:sz="0" w:space="0" w:color="auto"/>
      </w:divBdr>
      <w:divsChild>
        <w:div w:id="1477838127">
          <w:marLeft w:val="0"/>
          <w:marRight w:val="0"/>
          <w:marTop w:val="0"/>
          <w:marBottom w:val="0"/>
          <w:divBdr>
            <w:top w:val="none" w:sz="0" w:space="0" w:color="auto"/>
            <w:left w:val="none" w:sz="0" w:space="0" w:color="auto"/>
            <w:bottom w:val="none" w:sz="0" w:space="0" w:color="auto"/>
            <w:right w:val="none" w:sz="0" w:space="0" w:color="auto"/>
          </w:divBdr>
          <w:divsChild>
            <w:div w:id="1004943112">
              <w:marLeft w:val="0"/>
              <w:marRight w:val="0"/>
              <w:marTop w:val="0"/>
              <w:marBottom w:val="0"/>
              <w:divBdr>
                <w:top w:val="none" w:sz="0" w:space="0" w:color="auto"/>
                <w:left w:val="none" w:sz="0" w:space="0" w:color="auto"/>
                <w:bottom w:val="none" w:sz="0" w:space="0" w:color="auto"/>
                <w:right w:val="none" w:sz="0" w:space="0" w:color="auto"/>
              </w:divBdr>
            </w:div>
          </w:divsChild>
        </w:div>
        <w:div w:id="1510757625">
          <w:marLeft w:val="0"/>
          <w:marRight w:val="0"/>
          <w:marTop w:val="120"/>
          <w:marBottom w:val="120"/>
          <w:divBdr>
            <w:top w:val="none" w:sz="0" w:space="0" w:color="auto"/>
            <w:left w:val="none" w:sz="0" w:space="0" w:color="auto"/>
            <w:bottom w:val="none" w:sz="0" w:space="0" w:color="auto"/>
            <w:right w:val="none" w:sz="0" w:space="0" w:color="auto"/>
          </w:divBdr>
        </w:div>
      </w:divsChild>
    </w:div>
    <w:div w:id="204860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pubs.rsc.org/en/results?searchtext=Author%3AB.%20Nguyen"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ncbi.nlm.nih.gov/pubmed/?term=Fern%C3%A1ndez-Sevilla%20JM%5BAuthor%5D&amp;cauthor=true&amp;cauthor_uid=18491039"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pubs.rsc.org/en/results?searchtext=Author%3AP.%20J.%20Graham" TargetMode="External"/><Relationship Id="rId25" Type="http://schemas.openxmlformats.org/officeDocument/2006/relationships/hyperlink" Target="https://www.ncbi.nlm.nih.gov/pubmed/?term=Molina-Grima%20E%5BAuthor%5D&amp;cauthor=true&amp;cauthor_uid=18491039" TargetMode="External"/><Relationship Id="rId2" Type="http://schemas.openxmlformats.org/officeDocument/2006/relationships/customXml" Target="../customXml/item2.xml"/><Relationship Id="rId16" Type="http://schemas.openxmlformats.org/officeDocument/2006/relationships/hyperlink" Target="https://pubs.rsc.org/en/results?searchtext=Author%3AS.%20C.%20Pierobon" TargetMode="External"/><Relationship Id="rId20" Type="http://schemas.openxmlformats.org/officeDocument/2006/relationships/hyperlink" Target="https://www.ncbi.nlm.nih.gov/pubmed/?term=S%C3%A1nchez%20JF%5BAuthor%5D&amp;cauthor=true&amp;cauthor_uid=184910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cbi.nlm.nih.gov/pubmed/?term=P%C3%A9rez-Parra%20J%5BAuthor%5D&amp;cauthor=true&amp;cauthor_uid=18491039" TargetMode="Externa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yperlink" Target="https://www.ncbi.nlm.nih.gov/pubmed/?term=Cer%C3%B3n%20MC%5BAuthor%5D&amp;cauthor=true&amp;cauthor_uid=18491039" TargetMode="External"/><Relationship Id="rId10" Type="http://schemas.openxmlformats.org/officeDocument/2006/relationships/image" Target="media/image2.jpeg"/><Relationship Id="rId19" Type="http://schemas.openxmlformats.org/officeDocument/2006/relationships/hyperlink" Target="https://pubs.rsc.org/en/results?searchtext=Author%3AE.%20G.%20Karakoli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ncbi.nlm.nih.gov/pubmed/?term=Aci%C3%A9n%20FG%5BAuthor%5D&amp;cauthor=true&amp;cauthor_uid=18491039"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C2BB2-BBB8-4F75-9086-0C163C1A7D17}">
  <ds:schemaRefs>
    <ds:schemaRef ds:uri="http://schemas.openxmlformats.org/officeDocument/2006/bibliography"/>
  </ds:schemaRefs>
</ds:datastoreItem>
</file>

<file path=customXml/itemProps2.xml><?xml version="1.0" encoding="utf-8"?>
<ds:datastoreItem xmlns:ds="http://schemas.openxmlformats.org/officeDocument/2006/customXml" ds:itemID="{2BEED18A-4B0E-49E2-B942-A5357714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2796</Words>
  <Characters>15940</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De Crescenzo</dc:creator>
  <cp:lastModifiedBy>elisa pisati</cp:lastModifiedBy>
  <cp:revision>2</cp:revision>
  <dcterms:created xsi:type="dcterms:W3CDTF">2019-05-20T08:36:00Z</dcterms:created>
  <dcterms:modified xsi:type="dcterms:W3CDTF">2019-05-20T08:36:00Z</dcterms:modified>
</cp:coreProperties>
</file>