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031E2AE" w14:textId="77777777">
        <w:trPr>
          <w:trHeight w:val="852"/>
          <w:jc w:val="center"/>
        </w:trPr>
        <w:tc>
          <w:tcPr>
            <w:tcW w:w="6946" w:type="dxa"/>
            <w:vMerge w:val="restart"/>
            <w:tcBorders>
              <w:right w:val="single" w:sz="4" w:space="0" w:color="auto"/>
            </w:tcBorders>
          </w:tcPr>
          <w:p w14:paraId="12693DD6"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1ED0AAA" wp14:editId="2DBF147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A75E84C"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85D963B"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4959417B" w14:textId="77777777" w:rsidR="000A03B2" w:rsidRPr="00B57B36" w:rsidRDefault="000A03B2" w:rsidP="00CD5FE2">
            <w:pPr>
              <w:jc w:val="right"/>
            </w:pPr>
            <w:r w:rsidRPr="00B57B36">
              <w:rPr>
                <w:noProof/>
                <w:lang w:val="it-IT" w:eastAsia="it-IT"/>
              </w:rPr>
              <w:drawing>
                <wp:inline distT="0" distB="0" distL="0" distR="0" wp14:anchorId="16810B0D" wp14:editId="6F91A1D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140741F" w14:textId="77777777">
        <w:trPr>
          <w:trHeight w:val="567"/>
          <w:jc w:val="center"/>
        </w:trPr>
        <w:tc>
          <w:tcPr>
            <w:tcW w:w="6946" w:type="dxa"/>
            <w:vMerge/>
            <w:tcBorders>
              <w:right w:val="single" w:sz="4" w:space="0" w:color="auto"/>
            </w:tcBorders>
          </w:tcPr>
          <w:p w14:paraId="14D1DC4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1FBF93E"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A958DE1"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670D24B"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4B21E49B" w14:textId="77777777">
        <w:trPr>
          <w:trHeight w:val="68"/>
          <w:jc w:val="center"/>
        </w:trPr>
        <w:tc>
          <w:tcPr>
            <w:tcW w:w="8789" w:type="dxa"/>
            <w:gridSpan w:val="2"/>
          </w:tcPr>
          <w:p w14:paraId="70B379D0"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0551561"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E4BFB40"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3F2CA7F" w14:textId="77777777" w:rsidR="001231EA" w:rsidRPr="005D5E3A" w:rsidRDefault="001231EA" w:rsidP="001231EA">
      <w:pPr>
        <w:pStyle w:val="CETTitle"/>
        <w:rPr>
          <w:lang w:val="en-US"/>
        </w:rPr>
      </w:pPr>
      <w:r w:rsidRPr="005D5E3A">
        <w:rPr>
          <w:lang w:val="en-US"/>
        </w:rPr>
        <w:t xml:space="preserve">Simulation and optimization of pressurized anaerobic digestion and biogas upgrading using Aspen Plus </w:t>
      </w:r>
    </w:p>
    <w:p w14:paraId="444F5AE7" w14:textId="77777777" w:rsidR="001231EA" w:rsidRPr="00A112C6" w:rsidRDefault="001231EA" w:rsidP="001231EA">
      <w:pPr>
        <w:pStyle w:val="CETAuthors"/>
        <w:rPr>
          <w:lang w:val="it-IT"/>
        </w:rPr>
      </w:pPr>
      <w:bookmarkStart w:id="0" w:name="OLE_LINK1"/>
      <w:r w:rsidRPr="00A112C6">
        <w:rPr>
          <w:lang w:val="it-IT"/>
        </w:rPr>
        <w:t>Davide Scamardella</w:t>
      </w:r>
      <w:r w:rsidRPr="00A112C6">
        <w:rPr>
          <w:vertAlign w:val="superscript"/>
          <w:lang w:val="it-IT"/>
        </w:rPr>
        <w:t>a</w:t>
      </w:r>
      <w:r w:rsidRPr="00A112C6">
        <w:rPr>
          <w:lang w:val="it-IT"/>
        </w:rPr>
        <w:t>, Carmen De Crescenzo</w:t>
      </w:r>
      <w:r w:rsidRPr="00A112C6">
        <w:rPr>
          <w:vertAlign w:val="superscript"/>
          <w:lang w:val="it-IT"/>
        </w:rPr>
        <w:t>a</w:t>
      </w:r>
      <w:bookmarkStart w:id="1" w:name="OLE_LINK2"/>
      <w:r w:rsidRPr="00A112C6">
        <w:rPr>
          <w:vertAlign w:val="superscript"/>
          <w:lang w:val="it-IT"/>
        </w:rPr>
        <w:t>,</w:t>
      </w:r>
      <w:r w:rsidRPr="00A112C6">
        <w:rPr>
          <w:lang w:val="it-IT"/>
        </w:rPr>
        <w:t>*,</w:t>
      </w:r>
      <w:bookmarkEnd w:id="0"/>
      <w:r w:rsidRPr="00A112C6">
        <w:rPr>
          <w:lang w:val="it-IT"/>
        </w:rPr>
        <w:t xml:space="preserve"> </w:t>
      </w:r>
      <w:bookmarkStart w:id="2" w:name="OLE_LINK3"/>
      <w:r w:rsidRPr="00A112C6">
        <w:rPr>
          <w:lang w:val="it-IT"/>
        </w:rPr>
        <w:t>Antonia Marzocchella</w:t>
      </w:r>
      <w:r w:rsidRPr="00A112C6">
        <w:rPr>
          <w:vertAlign w:val="superscript"/>
          <w:lang w:val="it-IT"/>
        </w:rPr>
        <w:t>a</w:t>
      </w:r>
      <w:r w:rsidRPr="00A112C6">
        <w:rPr>
          <w:lang w:val="it-IT"/>
        </w:rPr>
        <w:t>, Antonio Molino</w:t>
      </w:r>
      <w:r w:rsidRPr="00A112C6">
        <w:rPr>
          <w:vertAlign w:val="superscript"/>
          <w:lang w:val="it-IT"/>
        </w:rPr>
        <w:t>b</w:t>
      </w:r>
      <w:r w:rsidRPr="00A112C6">
        <w:rPr>
          <w:lang w:val="it-IT"/>
        </w:rPr>
        <w:t xml:space="preserve">, </w:t>
      </w:r>
      <w:bookmarkStart w:id="3" w:name="OLE_LINK4"/>
      <w:r w:rsidRPr="00A112C6">
        <w:rPr>
          <w:lang w:val="it-IT"/>
        </w:rPr>
        <w:t>Simeone Chianese</w:t>
      </w:r>
      <w:r w:rsidRPr="00A112C6">
        <w:rPr>
          <w:vertAlign w:val="superscript"/>
          <w:lang w:val="it-IT"/>
        </w:rPr>
        <w:t>a</w:t>
      </w:r>
      <w:bookmarkStart w:id="4" w:name="OLE_LINK5"/>
      <w:r w:rsidRPr="00A112C6">
        <w:rPr>
          <w:lang w:val="it-IT"/>
        </w:rPr>
        <w:t>, Vincenzo Savastano</w:t>
      </w:r>
      <w:r w:rsidRPr="00A112C6">
        <w:rPr>
          <w:vertAlign w:val="superscript"/>
          <w:lang w:val="it-IT"/>
        </w:rPr>
        <w:t>c</w:t>
      </w:r>
      <w:bookmarkEnd w:id="3"/>
      <w:bookmarkEnd w:id="4"/>
      <w:r w:rsidRPr="00A112C6">
        <w:rPr>
          <w:lang w:val="it-IT"/>
        </w:rPr>
        <w:t>, Raffaele Tralice</w:t>
      </w:r>
      <w:r w:rsidRPr="00A112C6">
        <w:rPr>
          <w:vertAlign w:val="superscript"/>
          <w:lang w:val="it-IT"/>
        </w:rPr>
        <w:t>c</w:t>
      </w:r>
      <w:r w:rsidRPr="00A112C6">
        <w:rPr>
          <w:lang w:val="it-IT"/>
        </w:rPr>
        <w:t>, Despina Karatza</w:t>
      </w:r>
      <w:r w:rsidRPr="00A112C6">
        <w:rPr>
          <w:vertAlign w:val="superscript"/>
          <w:lang w:val="it-IT"/>
        </w:rPr>
        <w:t>a</w:t>
      </w:r>
      <w:r w:rsidRPr="00A112C6">
        <w:rPr>
          <w:lang w:val="it-IT"/>
        </w:rPr>
        <w:t>, Dino Musmarra</w:t>
      </w:r>
      <w:r w:rsidRPr="00A112C6">
        <w:rPr>
          <w:vertAlign w:val="superscript"/>
          <w:lang w:val="it-IT"/>
        </w:rPr>
        <w:t>a</w:t>
      </w:r>
    </w:p>
    <w:bookmarkEnd w:id="1"/>
    <w:bookmarkEnd w:id="2"/>
    <w:p w14:paraId="335F37FF" w14:textId="77777777" w:rsidR="001231EA" w:rsidRPr="005D5E3A" w:rsidRDefault="001231EA" w:rsidP="001231EA">
      <w:pPr>
        <w:pStyle w:val="CETAddress"/>
        <w:rPr>
          <w:lang w:val="en-US"/>
        </w:rPr>
      </w:pPr>
      <w:r w:rsidRPr="005D5E3A">
        <w:rPr>
          <w:vertAlign w:val="superscript"/>
          <w:lang w:val="en-US"/>
        </w:rPr>
        <w:t>a</w:t>
      </w:r>
      <w:r w:rsidRPr="005D5E3A">
        <w:rPr>
          <w:lang w:val="en-US"/>
        </w:rPr>
        <w:t>Department of Engineering, University of Campania “Luigi Vanvitelli”, Via Roma, 29 - 81031 Aversa, Italy</w:t>
      </w:r>
    </w:p>
    <w:p w14:paraId="66F3F093" w14:textId="77777777" w:rsidR="001231EA" w:rsidRPr="005D5E3A" w:rsidRDefault="001231EA" w:rsidP="001231EA">
      <w:pPr>
        <w:pStyle w:val="CETAddress"/>
        <w:rPr>
          <w:lang w:val="en-US"/>
        </w:rPr>
      </w:pPr>
      <w:bookmarkStart w:id="5" w:name="OLE_LINK6"/>
      <w:r w:rsidRPr="005D5E3A">
        <w:rPr>
          <w:vertAlign w:val="superscript"/>
          <w:lang w:val="en-US"/>
        </w:rPr>
        <w:t>b</w:t>
      </w:r>
      <w:r w:rsidRPr="005D5E3A">
        <w:rPr>
          <w:lang w:val="en-US"/>
        </w:rPr>
        <w:t>Italian National Agency for New Technologies, Energy and Sustainable Economic Development (ENEA), Territorial and Production System Sustainability Department, CR Portici Piazzale Enrico Fermi, 1 - 80055, Portici, Italy</w:t>
      </w:r>
    </w:p>
    <w:p w14:paraId="3761276C" w14:textId="77777777" w:rsidR="001231EA" w:rsidRPr="00A112C6" w:rsidRDefault="001231EA" w:rsidP="001231EA">
      <w:pPr>
        <w:pStyle w:val="CETAddress"/>
        <w:rPr>
          <w:lang w:val="it-IT"/>
        </w:rPr>
      </w:pPr>
      <w:r w:rsidRPr="00A112C6">
        <w:rPr>
          <w:vertAlign w:val="superscript"/>
          <w:lang w:val="it-IT"/>
        </w:rPr>
        <w:t>c</w:t>
      </w:r>
      <w:r w:rsidRPr="00A112C6">
        <w:rPr>
          <w:lang w:val="it-IT"/>
        </w:rPr>
        <w:t>Edilgen S.p.a., Via del Pascone, 8/A – 80143, Napoli, Italy</w:t>
      </w:r>
    </w:p>
    <w:bookmarkEnd w:id="5"/>
    <w:p w14:paraId="253222EB" w14:textId="77777777" w:rsidR="001231EA" w:rsidRPr="005D5E3A" w:rsidRDefault="001231EA" w:rsidP="001231EA">
      <w:pPr>
        <w:pStyle w:val="CETemail"/>
        <w:rPr>
          <w:lang w:val="en-US"/>
        </w:rPr>
      </w:pPr>
      <w:r w:rsidRPr="00A112C6">
        <w:rPr>
          <w:lang w:val="it-IT"/>
        </w:rPr>
        <w:t xml:space="preserve"> </w:t>
      </w:r>
      <w:r w:rsidRPr="005D5E3A">
        <w:rPr>
          <w:lang w:val="en-US"/>
        </w:rPr>
        <w:t>corresponding.author carmen.decrescenzo@unicampania.it</w:t>
      </w:r>
    </w:p>
    <w:p w14:paraId="0F724C31" w14:textId="77777777" w:rsidR="001231EA" w:rsidRPr="005D5E3A" w:rsidRDefault="001231EA" w:rsidP="001231EA">
      <w:pPr>
        <w:pStyle w:val="CETBodytext"/>
      </w:pPr>
      <w:bookmarkStart w:id="6" w:name="_Hlk495475023"/>
      <w:r w:rsidRPr="005D5E3A">
        <w:t>Anaerobic digestion is a technology used to biologically convert organic substrates into biogas in the absence of oxygen. The resulting biogas is a renewable energy source mainly consisting of a mixture of methane (60÷70% v/v) and carbon dioxide (30÷40% v/v), with traces of some minor compounds, such as H</w:t>
      </w:r>
      <w:r w:rsidRPr="005D5E3A">
        <w:rPr>
          <w:vertAlign w:val="subscript"/>
        </w:rPr>
        <w:t>2</w:t>
      </w:r>
      <w:r w:rsidRPr="005D5E3A">
        <w:t>S and NH</w:t>
      </w:r>
      <w:r w:rsidRPr="005D5E3A">
        <w:rPr>
          <w:vertAlign w:val="subscript"/>
        </w:rPr>
        <w:t>3</w:t>
      </w:r>
      <w:r w:rsidRPr="005D5E3A">
        <w:t xml:space="preserve">. Anaerobic digestion takes place through a sequence of four biological phases - hydrolysis, acidogenesis, acetogenesis, and methanogenesis - performed by the action of </w:t>
      </w:r>
      <w:proofErr w:type="gramStart"/>
      <w:r w:rsidRPr="005D5E3A">
        <w:t>particular species</w:t>
      </w:r>
      <w:proofErr w:type="gramEnd"/>
      <w:r w:rsidRPr="005D5E3A">
        <w:t xml:space="preserve"> of bacteria. Operating parameters such as temperature, pH, pressure and organic substrates govern the process and affect the starting biomass transformation and the content of methane into the biogas. The biogas from anaerobic digestion can be upgraded to biomethane by removing CO</w:t>
      </w:r>
      <w:r w:rsidRPr="005D5E3A">
        <w:rPr>
          <w:vertAlign w:val="subscript"/>
        </w:rPr>
        <w:t>2</w:t>
      </w:r>
      <w:r w:rsidRPr="005D5E3A">
        <w:t xml:space="preserve"> and the minor compounds. The techniques commonly used for this purpose, like pressure swing adsorption and membrane separation, are energy-intensive as they require the compression of biogas. In this paper, an innovative energy-saving approach for biogas production and its upgrading to biomethane is proposed. The concept is based on anaerobic digestion carried out at a pressure higher than the atmospheric one, called pressured anaerobic digestion (PAD), in order to directly produce high pressure biogas that can be upgraded to high pure biomethane (CH</w:t>
      </w:r>
      <w:r w:rsidRPr="008F116B">
        <w:rPr>
          <w:vertAlign w:val="subscript"/>
        </w:rPr>
        <w:t>4</w:t>
      </w:r>
      <w:r w:rsidRPr="005D5E3A">
        <w:t xml:space="preserve"> ≥ 95% v/v) avoiding the compression phase during the upgrading. The variation of the main operating parameters has been simulated in order to investigate their effect on biomethane production and composition and to define the best operating conditions. The simulation of the process has been carried out by using Aspen Plus®. </w:t>
      </w:r>
    </w:p>
    <w:bookmarkEnd w:id="6"/>
    <w:p w14:paraId="2EE1BDD5" w14:textId="77777777" w:rsidR="001231EA" w:rsidRPr="005D5E3A" w:rsidRDefault="001231EA" w:rsidP="001231EA">
      <w:pPr>
        <w:pStyle w:val="CETHeading1"/>
      </w:pPr>
      <w:r w:rsidRPr="005D5E3A">
        <w:t>Introduction</w:t>
      </w:r>
    </w:p>
    <w:p w14:paraId="253C598A" w14:textId="77777777" w:rsidR="001231EA" w:rsidRPr="005D5E3A" w:rsidRDefault="001231EA" w:rsidP="001231EA">
      <w:pPr>
        <w:pStyle w:val="CETBodytext"/>
      </w:pPr>
      <w:r w:rsidRPr="005D5E3A">
        <w:t xml:space="preserve">Environmental pollution is one of the main problems that society faces today, and scientific and technological research is looking for a solution which could allow to reduce contamination and </w:t>
      </w:r>
      <w:r>
        <w:t xml:space="preserve">to </w:t>
      </w:r>
      <w:r w:rsidRPr="005D5E3A">
        <w:t>produce sustainable energy</w:t>
      </w:r>
      <w:r>
        <w:t xml:space="preserve"> </w:t>
      </w:r>
      <w:r>
        <w:fldChar w:fldCharType="begin" w:fldLock="1"/>
      </w:r>
      <w:r>
        <w:instrText>ADDIN CSL_CITATION {"citationItems":[{"id":"ITEM-1","itemData":{"DOI":"10.3390/en11040811","ISBN":"9780521833783","ISSN":"19961073","abstract":"The production of biofuels from renewable sources is a major challenge in research. Methanol, ethanol, dimethyl ether (DME), synthetic natural gas (SNG), and hydrogen can be produced from syngas which is the result of the gasification of biomasses. Syngas composition varies according to the gasification technology used (such as fixed bed reactors, fluidized bed reactors, entrained flow reactors), the feedstock characteristics, and the operating parameters. This paper presents a review of the predominant biomass gasification technologies and biofuels obtained from syngas by biomass gasification.","author":[{"dropping-particle":"","family":"Molino","given":"Antonio","non-dropping-particle":"","parse-names":false,"suffix":""},{"dropping-particle":"","family":"Larocca","given":"Vincenzo","non-dropping-particle":"","parse-names":false,"suffix":""},{"dropping-particle":"","family":"Chianese","given":"Simeone","non-dropping-particle":"","parse-names":false,"suffix":""},{"dropping-particle":"","family":"Musmarra","given":"Dino","non-dropping-particle":"","parse-names":false,"suffix":""}],"container-title":"Energies","id":"ITEM-1","issue":"4","issued":{"date-parts":[["2018"]]},"page":"1-31","title":"Biofuels production by biomass gasification: A review","type":"article-journal","volume":"11"},"uris":["http://www.mendeley.com/documents/?uuid=5dd61e67-29dc-48bc-827b-1223cad99714","http://www.mendeley.com/documents/?uuid=31918545-9dae-4af4-b749-2b9c175e30aa"]}],"mendeley":{"formattedCitation":"(Molino et al., 2018)","plainTextFormattedCitation":"(Molino et al., 2018)","previouslyFormattedCitation":"(Molino et al., 2018)"},"properties":{"noteIndex":0},"schema":"https://github.com/citation-style-language/schema/raw/master/csl-citation.json"}</w:instrText>
      </w:r>
      <w:r>
        <w:fldChar w:fldCharType="separate"/>
      </w:r>
      <w:r w:rsidRPr="00FA5176">
        <w:rPr>
          <w:noProof/>
        </w:rPr>
        <w:t>(Molino et al., 2018)</w:t>
      </w:r>
      <w:r>
        <w:fldChar w:fldCharType="end"/>
      </w:r>
      <w:r>
        <w:t>.</w:t>
      </w:r>
    </w:p>
    <w:p w14:paraId="1743CFB6" w14:textId="77777777" w:rsidR="001231EA" w:rsidRPr="005D5E3A" w:rsidRDefault="001231EA" w:rsidP="001231EA">
      <w:pPr>
        <w:pStyle w:val="CETBodytext"/>
      </w:pPr>
      <w:r w:rsidRPr="005D5E3A">
        <w:t>One of the most performing processes is represented by Anaerobic Digestion (AD), which produces biogas from the degradation of solid organic waste</w:t>
      </w:r>
      <w:r>
        <w:t xml:space="preserve"> and biomass</w:t>
      </w:r>
      <w:r w:rsidRPr="005D5E3A">
        <w:t xml:space="preserve">, through four biological steps: hydrolysis, acidogenesis, acetogenesis and methanogenesis in which hydrolytic, fermentative bacteria, acetogens and methanogens play distinct roles and differ in physiology, nutritional needs, growth kinetics, and sensitivity to environment </w:t>
      </w:r>
      <w:r w:rsidRPr="005D5E3A">
        <w:fldChar w:fldCharType="begin" w:fldLock="1"/>
      </w:r>
      <w:r>
        <w:instrText>ADDIN CSL_CITATION {"citationItems":[{"id":"ITEM-1","itemData":{"DOI":"10.3390/c4040059","author":[{"dropping-particle":"","family":"González","given":"Judith","non-dropping-particle":"","parse-names":false,"suffix":""},{"dropping-particle":"","family":"Sánchez","given":"Marta E.","non-dropping-particle":"","parse-names":false,"suffix":""},{"dropping-particle":"","family":"Gómez","given":"Xiomar","non-dropping-particle":"","parse-names":false,"suffix":""}],"container-title":"Journal of Carbon Research","id":"ITEM-1","issue":"59","issued":{"date-parts":[["2018"]]},"page":"1-19","title":"Enhancing Anaerobic Digestion: The Effect of Carbon Conductive Materials","type":"article-journal","volume":"4"},"uris":["http://www.mendeley.com/documents/?uuid=b49c9ac8-4ccf-42d2-b4d4-22fa1c1b603b","http://www.mendeley.com/documents/?uuid=809c4fd5-46fe-4365-b5a0-e0b403581712","http://www.mendeley.com/documents/?uuid=45aaa003-84dc-4df1-afb7-9d5a7c05a284"]},{"id":"ITEM-2","itemData":{"DOI":"10.3303/CET1761276","author":[{"dropping-particle":"","family":"Bonga","given":"Cassendra P.C.","non-dropping-particle":"","parse-names":false,"suffix":""},{"dropping-particle":"","family":"Lima","given":"Li Yee","non-dropping-particle":"","parse-names":false,"suffix":""},{"dropping-particle":"","family":"Leea","given":"Chew Tin","non-dropping-particle":"","parse-names":false,"suffix":""},{"dropping-particle":"","family":"Hoa","given":"Wai Shin","non-dropping-particle":"","parse-names":false,"suffix":""},{"dropping-particle":"","family":"Klemešb","given":"Jiři J.","non-dropping-particle":"","parse-names":false,"suffix":""}],"container-title":"CHEMICAL ENGINEERING TRANSACTIONS","id":"ITEM-2","issued":{"date-parts":[["2017"]]},"page":"1667-1674","title":"The Kinetics for Mathematical Modelling on the Anaerobic Digestion of Organic Waste- A Review","type":"article-journal","volume":"61"},"uris":["http://www.mendeley.com/documents/?uuid=e147168b-9ba0-4761-a7f3-bfd474a6acdd"]}],"mendeley":{"formattedCitation":"(Bonga et al., 2017; González et al., 2018)","plainTextFormattedCitation":"(Bonga et al., 2017; González et al., 2018)","previouslyFormattedCitation":"(Bonga et al., 2017; González et al., 2018)"},"properties":{"noteIndex":0},"schema":"https://github.com/citation-style-language/schema/raw/master/csl-citation.json"}</w:instrText>
      </w:r>
      <w:r w:rsidRPr="005D5E3A">
        <w:fldChar w:fldCharType="separate"/>
      </w:r>
      <w:r w:rsidRPr="00032636">
        <w:rPr>
          <w:noProof/>
        </w:rPr>
        <w:t>(Bonga et al., 2017; González et al., 2018)</w:t>
      </w:r>
      <w:r w:rsidRPr="005D5E3A">
        <w:fldChar w:fldCharType="end"/>
      </w:r>
      <w:r w:rsidRPr="005D5E3A">
        <w:t>.</w:t>
      </w:r>
      <w:r>
        <w:t xml:space="preserve"> The biogas is mainly composed by</w:t>
      </w:r>
      <w:r w:rsidRPr="005D5E3A">
        <w:t xml:space="preserve"> methane (CH</w:t>
      </w:r>
      <w:r w:rsidRPr="005D5E3A">
        <w:rPr>
          <w:vertAlign w:val="subscript"/>
        </w:rPr>
        <w:t>4</w:t>
      </w:r>
      <w:r w:rsidRPr="005D5E3A">
        <w:t>) and carbon dioxide (CO</w:t>
      </w:r>
      <w:r w:rsidRPr="005D5E3A">
        <w:rPr>
          <w:vertAlign w:val="subscript"/>
        </w:rPr>
        <w:t>2</w:t>
      </w:r>
      <w:r w:rsidRPr="005D5E3A">
        <w:t>)</w:t>
      </w:r>
      <w:r>
        <w:t>,</w:t>
      </w:r>
      <w:r w:rsidRPr="005D5E3A">
        <w:t xml:space="preserve"> with traces of other gase</w:t>
      </w:r>
      <w:r>
        <w:t>ou</w:t>
      </w:r>
      <w:r w:rsidRPr="005D5E3A">
        <w:t xml:space="preserve">s </w:t>
      </w:r>
      <w:r>
        <w:t xml:space="preserve">compounds </w:t>
      </w:r>
      <w:r w:rsidRPr="005D5E3A">
        <w:t xml:space="preserve">in concentration </w:t>
      </w:r>
      <w:r>
        <w:t>depending</w:t>
      </w:r>
      <w:r w:rsidRPr="005D5E3A">
        <w:t xml:space="preserve"> on the composition of the substrate </w:t>
      </w:r>
      <w:r>
        <w:t xml:space="preserve">digested </w:t>
      </w:r>
      <w:r w:rsidRPr="005D5E3A">
        <w:fldChar w:fldCharType="begin" w:fldLock="1"/>
      </w:r>
      <w:r>
        <w:instrText>ADDIN CSL_CITATION {"citationItems":[{"id":"ITEM-1","itemData":{"DOI":"10.4236/abb.2015.63020","ISSN":"2156-8456","abstract":"The search for alternative energy and fuels has motivated researchers to focus on renewable and sustainable means of getting them instead of relying on the conventional way of energy and fuel production. Anaerobic digestion is a biochemical process during which complex organic matter is decomposed in absence of oxygen, by various types of anaerobic microorganisms. The process of Anaerobic digestion is appropriate for all waste water treatment systems given that the solid can be introduced to the system at an acceptable concentration. Biogas, the product of anaerobic di-gestion process is a clean and renewable form of energy which can be a substitute for conventional sources of energy which are causing ecological-environmental problems and at the same time de-pleting at a faster rate. This paper reviews the anaerobic digestion process and its complexities; it covers different stages involved in the process, the substrate used in the process, the relationship between the substrate and microorganisms and important operating parameters such as pH, temperature and loading rate.","author":[{"dropping-particle":"","family":"Adekunle","given":"Kayode Feyisetan","non-dropping-particle":"","parse-names":false,"suffix":""},{"dropping-particle":"","family":"Okolie","given":"Jude Awele","non-dropping-particle":"","parse-names":false,"suffix":""}],"container-title":"Advances in Bioscience and Biotechnology","id":"ITEM-1","issue":"03","issued":{"date-parts":[["2015"]]},"page":"205-212","title":"A Review of Biochemical Process of Anaerobic Digestion","type":"article-journal","volume":"06"},"uris":["http://www.mendeley.com/documents/?uuid=65a9b5f7-c155-4115-8b24-346af4c8619e","http://www.mendeley.com/documents/?uuid=3467a5de-161a-4d28-9065-505b77fe9dab","http://www.mendeley.com/documents/?uuid=ede58a16-f9bf-4df3-8f55-40f541535a1e"]}],"mendeley":{"formattedCitation":"(Adekunle and Okolie, 2015)","plainTextFormattedCitation":"(Adekunle and Okolie, 2015)","previouslyFormattedCitation":"(Adekunle and Okolie, 2015)"},"properties":{"noteIndex":0},"schema":"https://github.com/citation-style-language/schema/raw/master/csl-citation.json"}</w:instrText>
      </w:r>
      <w:r w:rsidRPr="005D5E3A">
        <w:fldChar w:fldCharType="separate"/>
      </w:r>
      <w:r w:rsidRPr="005D5E3A">
        <w:rPr>
          <w:noProof/>
        </w:rPr>
        <w:t>(Adekunle and Okolie, 2015)</w:t>
      </w:r>
      <w:r w:rsidRPr="005D5E3A">
        <w:fldChar w:fldCharType="end"/>
      </w:r>
      <w:r>
        <w:t>.</w:t>
      </w:r>
    </w:p>
    <w:p w14:paraId="1F844506" w14:textId="77777777" w:rsidR="001231EA" w:rsidRPr="005D5E3A" w:rsidRDefault="001231EA" w:rsidP="001231EA">
      <w:pPr>
        <w:pStyle w:val="CETBodytext"/>
      </w:pPr>
      <w:r w:rsidRPr="005D5E3A">
        <w:lastRenderedPageBreak/>
        <w:t>The biogas can be used for combined heat and power</w:t>
      </w:r>
      <w:r>
        <w:t xml:space="preserve"> (CHP)</w:t>
      </w:r>
      <w:r w:rsidRPr="005D5E3A">
        <w:t xml:space="preserve"> generation or</w:t>
      </w:r>
      <w:r>
        <w:t xml:space="preserve"> can be</w:t>
      </w:r>
      <w:r w:rsidRPr="005D5E3A">
        <w:t xml:space="preserve"> upgraded</w:t>
      </w:r>
      <w:r>
        <w:t xml:space="preserve"> to produce b</w:t>
      </w:r>
      <w:r w:rsidRPr="005D5E3A">
        <w:t>iomethane (CH</w:t>
      </w:r>
      <w:r w:rsidRPr="00167B3C">
        <w:rPr>
          <w:vertAlign w:val="subscript"/>
        </w:rPr>
        <w:t>4</w:t>
      </w:r>
      <w:r w:rsidRPr="005D5E3A">
        <w:t xml:space="preserve"> ≥ 95% v/v)</w:t>
      </w:r>
      <w:r>
        <w:t xml:space="preserve">, that can be fed in </w:t>
      </w:r>
      <w:r w:rsidRPr="005D5E3A">
        <w:t>existing natural gas pipelines</w:t>
      </w:r>
      <w:r>
        <w:t>, after pressurization,</w:t>
      </w:r>
      <w:r w:rsidRPr="005D5E3A">
        <w:t xml:space="preserve"> or used as vehicle fuel or in fuel cells </w:t>
      </w:r>
      <w:r w:rsidRPr="005D5E3A">
        <w:fldChar w:fldCharType="begin" w:fldLock="1"/>
      </w:r>
      <w:r>
        <w:instrText>ADDIN CSL_CITATION {"citationItems":[{"id":"ITEM-1","itemData":{"ISBN":"978-87-992962-0-0","abstract":"One of the main environmental problems of today’s society is the continuously increasing production of organic wastes. In many countries, sustainable waste management as well as waste prevention and reduction have become major political priorities, representing an important share of the common efforts to reduce pollution and greenhouse gas emissions and to mitigate global climate changes. Uncontrolled waste dumping is no longer acceptable today and even controlled landfill disposal and incineration of organic wastes are not considered optimal practices, as environmental standards hereof are increasingly stricter and energy recovery and recycling of nutrients and organic matter is aimed. Production of biogas through anaerobic digestion (AD) of animal manure and slurries as well as of a wide range of digestible organic wastes, converts these substrates into renewable energy and offers a natural fertiliser for agriculture. At the same time, it removes the organic fraction from the overall waste streams, increasing this way the efficiency of energy conversion by incineration of the remaining wastes and the biochemical stability of landfill sites. AD is a microbiological process of decomposition of organic matter, in the absence of oxygen, common to many natural environments and largely applied today to produce biogas in airproof reactor tanks, commonly named digesters. A wide range of micro-organisms are involved in the anaerobic process which has two main end products: biogas and digestate. Biogas is a combustible gas consisting of methane, carbon dioxide and small amounts of other gases and trace elements. Digestate is the decomposed substrate, rich in macro- and micro nutrients and therefore suitable to be used as plant fertiliser. The production and collection of biogas from a biological process was documented for the first time in United Kingdom in 1895 (METCALF &amp; EDDY 1979). Since then, the process was further developed and broadly applied for wastewater treatment and sludge stabilisation. The energy crisis in the early ‘70s brought new awareness about the use of renewable fuels, including biogas from AD. The interest in biogas has further increased today due to global efforts of displacing the fossil fuels used for energy production and the necessity of finding environmentally sustainable solutions for the treatment and recycling of animal manure and organic wastes. Biogas installations, processing agricultural substrates, are some of the most import…","author":[{"dropping-particle":"","family":"Seadi","given":"Teodorita","non-dropping-particle":"Al","parse-names":false,"suffix":""},{"dropping-particle":"","family":"Rutz","given":"D","non-dropping-particle":"","parse-names":false,"suffix":""},{"dropping-particle":"","family":"Prassl","given":"H","non-dropping-particle":"","parse-names":false,"suffix":""},{"dropping-particle":"","family":"Köttner","given":"M","non-dropping-particle":"","parse-names":false,"suffix":""},{"dropping-particle":"","family":"Finsterwalder","given":"T","non-dropping-particle":"","parse-names":false,"suffix":""},{"dropping-particle":"","family":"Volk","given":"S","non-dropping-particle":"","parse-names":false,"suffix":""},{"dropping-particle":"","family":"Janssen","given":"R","non-dropping-particle":"","parse-names":false,"suffix":""}],"container-title":"Biogas handbook","id":"ITEM-1","issued":{"date-parts":[["2008"]]},"page":"10-14","publisher":"University of Southern Denmark Esbjerg, Niels Bohrs Vej 9-10, DK-6700 Esbjerg, Denmark","title":"Advantages of biogas technologies","type":"chapter"},"uris":["http://www.mendeley.com/documents/?uuid=ccfb1ab8-c7b6-46e0-bbc6-b788368bada2","http://www.mendeley.com/documents/?uuid=2f3d6fd3-d1f5-4073-97bb-0badebe8d542","http://www.mendeley.com/documents/?uuid=2f53e558-1ecc-4f5b-98c1-564ab34aa1e3"]}],"mendeley":{"formattedCitation":"(Al Seadi et al., 2008)","plainTextFormattedCitation":"(Al Seadi et al., 2008)","previouslyFormattedCitation":"(Al Seadi et al., 2008)"},"properties":{"noteIndex":0},"schema":"https://github.com/citation-style-language/schema/raw/master/csl-citation.json"}</w:instrText>
      </w:r>
      <w:r w:rsidRPr="005D5E3A">
        <w:fldChar w:fldCharType="separate"/>
      </w:r>
      <w:r w:rsidRPr="005D5E3A">
        <w:rPr>
          <w:noProof/>
        </w:rPr>
        <w:t>(Al Seadi et al., 2008)</w:t>
      </w:r>
      <w:r w:rsidRPr="005D5E3A">
        <w:fldChar w:fldCharType="end"/>
      </w:r>
      <w:r w:rsidRPr="005D5E3A">
        <w:t xml:space="preserve">. </w:t>
      </w:r>
      <w:r>
        <w:t>The upgrading of biogas to b</w:t>
      </w:r>
      <w:r w:rsidRPr="005D5E3A">
        <w:t>iomethane</w:t>
      </w:r>
      <w:r>
        <w:t xml:space="preserve"> consists in removing </w:t>
      </w:r>
      <w:r w:rsidRPr="005D5E3A">
        <w:t>CO</w:t>
      </w:r>
      <w:r w:rsidRPr="005D5E3A">
        <w:rPr>
          <w:vertAlign w:val="subscript"/>
        </w:rPr>
        <w:t>2</w:t>
      </w:r>
      <w:r w:rsidRPr="005D5E3A">
        <w:t xml:space="preserve"> from raw biogas </w:t>
      </w:r>
      <w:r w:rsidRPr="005D5E3A">
        <w:fldChar w:fldCharType="begin" w:fldLock="1"/>
      </w:r>
      <w:r>
        <w:instrText>ADDIN CSL_CITATION {"citationItems":[{"id":"ITEM-1","itemData":{"DOI":"10.1016/j.renene.2018.12.052","author":[{"dropping-particle":"","family":"Barbera","given":"Elena","non-dropping-particle":"","parse-names":false,"suffix":""},{"dropping-particle":"","family":"Menegon","given":"Silvia","non-dropping-particle":"","parse-names":false,"suffix":""},{"dropping-particle":"","family":"Banzato","given":"Donatella","non-dropping-particle":"","parse-names":false,"suffix":""},{"dropping-particle":"","family":"D'Alpaos","given":"Chiara","non-dropping-particle":"","parse-names":false,"suffix":""},{"dropping-particle":"","family":"Bertucco","given":"Alberto","non-dropping-particle":"","parse-names":false,"suffix":""}],"container-title":"Renewable Energy","id":"ITEM-1","issued":{"date-parts":[["2019"]]},"page":"663-673","title":"From biogas to biomethane: A process simulation-based techno-economic comparison of different upgrading technologies in the Italian context","type":"article-journal","volume":"135"},"uris":["http://www.mendeley.com/documents/?uuid=4c6eae49-2e8c-446d-a369-10bb143d38c7","http://www.mendeley.com/documents/?uuid=237eee08-3a72-419e-8c88-cb7e70720ff7"]},{"id":"ITEM-2","itemData":{"DOI":"10.3303/CET1543069","ISBN":"9788895608341","ISSN":"22839216","abstract":"Copyright © 2015, AIDIC Servizi S.r.l.Often left in the background by media, biogas is a renewable energy source with a great potential for development. Its production is based on the anaerobic digestion of organic waste materials, which are usually livestock effluents, municipal and industrial sewage sludge, energy crops, agro-industrial wastes, MSW landfills, etc. To date, biogas is mainly used for the production of electrical energy, thanks to a more favorable regulatory and incentive framework. Installations may adopt a cogeneration arrangement, that allows to recover the heat produced by gas-fired engines for home or industrial reuse. In the near future, however, the biogas properly upgraded to biomethane will be used for transportation or fed into the natural gas grid directly reaching end consumers, both solutions adding value to biogas. The utilization of biogas is in line with the \"20- 20-20\" targets to be met by the Member States of the European Union by 2020, which provide that 20 % of EU energy consumption will have to come from renewable resources and that the share of energy from renewable sources in the transport sector in 2020 will be at least 10 %. Biomethane is obtained from properly treated biogas. Biogas is a mixture of mainly methane and CO2 with other contaminants (such as H2S, nitrogen and oxygen), whose type and amount depend upon the biogas source and determine which cleaning technique (and, to some extent, also upgrading technique) is the most suitable for gas purification. \"Cleaning\" is referred to the pretreatment that allows the removal of all pollutants but carbon dioxide, while \"upgrading\" consists of CO2 removal. There are no clear guidelines for choosing among the different techniques, mainly in relation with the biomass source which affects the biogas composition. This work performs a techno-economic analysis of the biogas-to-biomethane process using three different biogases produced from sewage sludge, agro-industrial wastes and landfills, using water scrubbing and amine washing for the upgrading process. By means of process simulation with commercial software (such as Aspen Plus®), a comparison among performances, energy requirements and solvent type is carried out. In the end, an economic assessment of the two upgrading techniques for the three considered biogas sources is performed, taking into account the flow rate of the biogas to be treated.","author":[{"dropping-particle":"","family":"Pellegrini","given":"Laura A","non-dropping-particle":"","parse-names":false,"suffix":""},{"dropping-particle":"","family":"Guido","given":"Giorgia","non-dropping-particle":"De","parse-names":false,"suffix":""},{"dropping-particle":"","family":"Consonni","given":"Stefano","non-dropping-particle":"","parse-names":false,"suffix":""},{"dropping-particle":"","family":"Bortoluzzi","given":"Giulio","non-dropping-particle":"","parse-names":false,"suffix":""},{"dropping-particle":"","family":"Gatti","given":"Manuele","non-dropping-particle":"","parse-names":false,"suffix":""}],"container-title":"CHEMICAL ENGINEERING TRANSACTIONS","id":"ITEM-2","issued":{"date-parts":[["2015"]]},"page":"409-414","title":"From Biogas to Biomethane: How the Biogas Source Influences the Purification Costs","type":"article-journal","volume":"43"},"uris":["http://www.mendeley.com/documents/?uuid=64fa17d4-5ae4-4df8-98d2-b6dd307a5922"]}],"mendeley":{"formattedCitation":"(Barbera et al., 2019; Pellegrini et al., 2015)","plainTextFormattedCitation":"(Barbera et al., 2019; Pellegrini et al., 2015)","previouslyFormattedCitation":"(Barbera et al., 2019; Pellegrini et al., 2015)"},"properties":{"noteIndex":0},"schema":"https://github.com/citation-style-language/schema/raw/master/csl-citation.json"}</w:instrText>
      </w:r>
      <w:r w:rsidRPr="005D5E3A">
        <w:fldChar w:fldCharType="separate"/>
      </w:r>
      <w:r w:rsidRPr="00366039">
        <w:rPr>
          <w:noProof/>
        </w:rPr>
        <w:t>(Barbera et al., 2019; Pellegrini et al., 2015)</w:t>
      </w:r>
      <w:r w:rsidRPr="005D5E3A">
        <w:fldChar w:fldCharType="end"/>
      </w:r>
      <w:r w:rsidRPr="005D5E3A">
        <w:t>.</w:t>
      </w:r>
      <w:r>
        <w:t xml:space="preserve"> </w:t>
      </w:r>
      <w:r w:rsidRPr="005D5E3A">
        <w:t xml:space="preserve">One of the most used technologies for upgrading biogas is </w:t>
      </w:r>
      <w:r>
        <w:t>m</w:t>
      </w:r>
      <w:r w:rsidRPr="005D5E3A">
        <w:t>embrane separation</w:t>
      </w:r>
      <w:r>
        <w:t>,</w:t>
      </w:r>
      <w:r w:rsidRPr="005D5E3A">
        <w:t xml:space="preserve"> which allows to remove H</w:t>
      </w:r>
      <w:r w:rsidRPr="005D5E3A">
        <w:rPr>
          <w:vertAlign w:val="subscript"/>
        </w:rPr>
        <w:t>2</w:t>
      </w:r>
      <w:r w:rsidRPr="005D5E3A">
        <w:t>S, CO</w:t>
      </w:r>
      <w:r w:rsidRPr="005D5E3A">
        <w:rPr>
          <w:vertAlign w:val="subscript"/>
        </w:rPr>
        <w:t>2</w:t>
      </w:r>
      <w:r w:rsidRPr="005D5E3A">
        <w:t xml:space="preserve">, and other minor compounds </w:t>
      </w:r>
      <w:r>
        <w:t xml:space="preserve">forcing </w:t>
      </w:r>
      <w:r w:rsidRPr="005D5E3A">
        <w:t xml:space="preserve">biogas </w:t>
      </w:r>
      <w:r>
        <w:t xml:space="preserve">to pass </w:t>
      </w:r>
      <w:r w:rsidRPr="005D5E3A">
        <w:t xml:space="preserve">through a semipermeable membrane </w:t>
      </w:r>
      <w:r>
        <w:t>in order</w:t>
      </w:r>
      <w:r w:rsidRPr="005D5E3A">
        <w:t xml:space="preserve"> to separate CH</w:t>
      </w:r>
      <w:r w:rsidRPr="005D5E3A">
        <w:rPr>
          <w:vertAlign w:val="subscript"/>
        </w:rPr>
        <w:t>4</w:t>
      </w:r>
      <w:r w:rsidRPr="005D5E3A">
        <w:t xml:space="preserve"> </w:t>
      </w:r>
      <w:r>
        <w:t xml:space="preserve">from the rest of the gaseous products </w:t>
      </w:r>
      <w:r w:rsidRPr="005D5E3A">
        <w:fldChar w:fldCharType="begin" w:fldLock="1"/>
      </w:r>
      <w:r>
        <w:instrText>ADDIN CSL_CITATION {"citationItems":[{"id":"ITEM-1","itemData":{"DOI":"10.1016/C2014-0-03660-X","ISBN":"9780081004524","ISSN":"1098-6596","PMID":"25246403","abstract":"Membrane Technologies for Biorefining highlights the best practices needed for the efficient and environmentally-compatible separation techniques that are fundamental to the conversion of biomass to fuels and chemicals for use as alternatives to petroleum refining. Membrane technologies are increasingly of interest in biorefineries due to their modest energy consumption, low chemical requirements, and excellent separation efficiency. The book provides researchers in academia and industry with an authoritative overview of the different types of membranes and highlights the ways in which they can be applied in biorefineries for the production of chemicals and biofuels. Topics have been selected to highlight both the variety of raw materials treated in biorefineries and the range of biofuel and chemical end-products. Presents the first book to focus specifically on membrane technologies in biorefineries Provides a comprehensive overview of the different types of membranes and highlight ways in which they can be applied in biorefineries for the production of chemicals and biofuels Topics selected highlight both the variety of raw materials treated using membranes in biorefineries and the range of biofuel and chemical end-products.","author":[{"dropping-particle":"","family":"Molino","given":"A.","non-dropping-particle":"","parse-names":false,"suffix":""},{"dropping-particle":"","family":"Iovane","given":"P","non-dropping-particle":"","parse-names":false,"suffix":""},{"dropping-particle":"","family":"Migliori","given":"M","non-dropping-particle":"","parse-names":false,"suffix":""}],"container-title":"Membrane Technologies for Biorefining","id":"ITEM-1","issued":{"date-parts":[["2016"]]},"page":"465-482","publisher":"Woodhead Publishing","publisher-place":"Cambridge, UK","title":"Biomethane production by biogas with polymeric membrane module","type":"chapter"},"uris":["http://www.mendeley.com/documents/?uuid=21a6eb8c-2b5a-42e5-b43f-c76ab79f3a7e","http://www.mendeley.com/documents/?uuid=0a5993ca-628c-463d-85ff-c070bf9c3148"]}],"mendeley":{"formattedCitation":"(Molino et al., 2016)","plainTextFormattedCitation":"(Molino et al., 2016)","previouslyFormattedCitation":"(Molino et al., 2016)"},"properties":{"noteIndex":0},"schema":"https://github.com/citation-style-language/schema/raw/master/csl-citation.json"}</w:instrText>
      </w:r>
      <w:r w:rsidRPr="005D5E3A">
        <w:fldChar w:fldCharType="separate"/>
      </w:r>
      <w:r w:rsidRPr="00C36EE7">
        <w:rPr>
          <w:noProof/>
        </w:rPr>
        <w:t>(Molino et al., 2016)</w:t>
      </w:r>
      <w:r w:rsidRPr="005D5E3A">
        <w:fldChar w:fldCharType="end"/>
      </w:r>
      <w:r w:rsidRPr="005D5E3A">
        <w:t xml:space="preserve">. The driving force of the system is represented by the different partial pressures of compounds </w:t>
      </w:r>
      <w:r w:rsidRPr="005D5E3A">
        <w:fldChar w:fldCharType="begin" w:fldLock="1"/>
      </w:r>
      <w:r>
        <w:instrText>ADDIN CSL_CITATION {"citationItems":[{"id":"ITEM-1","itemData":{"DOI":"10.1533/9780857097415","ISBN":"9780857097415","ISSN":"19326203","PMID":"21448456","abstract":"With pressure increasing to utilise wastes and residues effectively and sustainably, the production of biogas represents one of the most important routes towards reaching national and international renewable energy targets. The biogas handbook: Science, production and applications provides a comprehensive and systematic guide to the development and deployment of biogas supply chains and technology. Following a concise overview of biogas as an energy option, part one explores biomass resources and fundamental science and engineering of biogas production, including feedstock characterisation, storage and pre-treatment, and yield optimisation. Plant design, engineering, process optimisation and digestate utilisation are the focus of part two. Topics considered include the engineering and process control of biogas plants, methane emissions in biogas production, and biogas digestate quality, utilisation and land application. Finally, part three discusses international experience and best practice in biogas utilisation. Biogas cleaning and upgrading to biomethane, biomethane use as transport fuel and the generation of heat and power from biogas for stationery applications are all discussed. The book concludes with a review of market development and biomethane certification schemes. With its distinguished editors and international team of expert contributors, The biogas handbook: Science, production and applications is a practical reference to biogas technology for process engineers, manufacturers, industrial chemists and biochemists, scientists, researchers and academics working in this field. Provides a concise overview of biogas as an energy option. Explores biomass resources for production. Examines plant design and engineering and process optimisation.","author":[{"dropping-particle":"","family":"Wellinger","given":"Arthur","non-dropping-particle":"","parse-names":false,"suffix":""},{"dropping-particle":"","family":"Murphy","given":"Jerry","non-dropping-particle":"","parse-names":false,"suffix":""},{"dropping-particle":"","family":"Baxter","given":"David","non-dropping-particle":"","parse-names":false,"suffix":""}],"container-title":"The Biogas Handbook: Science, Production and Applications","id":"ITEM-1","issued":{"date-parts":[["2013"]]},"page":"342-378","publisher":"Woodhead Publishing Limited,","publisher-place":"Cambridge, UK","title":"Biogas upgrading to biomethane","type":"chapter"},"uris":["http://www.mendeley.com/documents/?uuid=87e91dc7-d4e4-486d-b877-e77212de2a08","http://www.mendeley.com/documents/?uuid=0a27f135-7084-470b-8051-559e8b5bca70"]}],"mendeley":{"formattedCitation":"(Wellinger et al., 2013)","plainTextFormattedCitation":"(Wellinger et al., 2013)","previouslyFormattedCitation":"(Wellinger et al., 2013)"},"properties":{"noteIndex":0},"schema":"https://github.com/citation-style-language/schema/raw/master/csl-citation.json"}</w:instrText>
      </w:r>
      <w:r w:rsidRPr="005D5E3A">
        <w:fldChar w:fldCharType="separate"/>
      </w:r>
      <w:r w:rsidRPr="005D5E3A">
        <w:rPr>
          <w:noProof/>
        </w:rPr>
        <w:t>(Wellinger et al., 2013)</w:t>
      </w:r>
      <w:r w:rsidRPr="005D5E3A">
        <w:fldChar w:fldCharType="end"/>
      </w:r>
      <w:r w:rsidRPr="005D5E3A">
        <w:t xml:space="preserve">. </w:t>
      </w:r>
    </w:p>
    <w:p w14:paraId="3058AABB" w14:textId="77777777" w:rsidR="001231EA" w:rsidRPr="005D5E3A" w:rsidRDefault="001231EA" w:rsidP="001231EA">
      <w:pPr>
        <w:pStyle w:val="CETBodytext"/>
      </w:pPr>
      <w:r w:rsidRPr="005D5E3A">
        <w:t>Selected materials for membranes</w:t>
      </w:r>
      <w:r>
        <w:t>’</w:t>
      </w:r>
      <w:r w:rsidRPr="005D5E3A">
        <w:t xml:space="preserve"> production able to separate CO</w:t>
      </w:r>
      <w:r w:rsidRPr="005D5E3A">
        <w:rPr>
          <w:vertAlign w:val="subscript"/>
        </w:rPr>
        <w:t>2</w:t>
      </w:r>
      <w:r w:rsidRPr="005D5E3A">
        <w:t xml:space="preserve"> and CH</w:t>
      </w:r>
      <w:r w:rsidRPr="005D5E3A">
        <w:rPr>
          <w:vertAlign w:val="subscript"/>
        </w:rPr>
        <w:t>4</w:t>
      </w:r>
      <w:r w:rsidRPr="005D5E3A">
        <w:t xml:space="preserve"> are cellulose acetate and polyimide </w:t>
      </w:r>
      <w:r w:rsidRPr="005D5E3A">
        <w:fldChar w:fldCharType="begin" w:fldLock="1"/>
      </w:r>
      <w:r w:rsidRPr="005D5E3A">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Advances","id":"ITEM-1","issued":{"date-parts":[["2018"]]},"page":"452-466","title":"Biogas upgrading and utilization: Current status and perspectives","type":"article-journal","volume":"36"},"uris":["http://www.mendeley.com/documents/?uuid=57852425-f044-4576-83b8-6d839cd13b05","http://www.mendeley.com/documents/?uuid=2a66e8df-031d-48c7-b0ed-4d24f77920b6"]}],"mendeley":{"formattedCitation":"(Angelidaki et al., 2018)","plainTextFormattedCitation":"(Angelidaki et al., 2018)","previouslyFormattedCitation":"(Angelidaki et al., 2018)"},"properties":{"noteIndex":0},"schema":"https://github.com/citation-style-language/schema/raw/master/csl-citation.json"}</w:instrText>
      </w:r>
      <w:r w:rsidRPr="005D5E3A">
        <w:fldChar w:fldCharType="separate"/>
      </w:r>
      <w:r w:rsidRPr="005D5E3A">
        <w:rPr>
          <w:noProof/>
        </w:rPr>
        <w:t>(Angelidaki et al., 2018)</w:t>
      </w:r>
      <w:r w:rsidRPr="005D5E3A">
        <w:fldChar w:fldCharType="end"/>
      </w:r>
      <w:r w:rsidRPr="005D5E3A">
        <w:t>. Membrane separation represents a very effective process to remove CO</w:t>
      </w:r>
      <w:r w:rsidRPr="005D5E3A">
        <w:rPr>
          <w:vertAlign w:val="subscript"/>
        </w:rPr>
        <w:t>2</w:t>
      </w:r>
      <w:r w:rsidRPr="005D5E3A">
        <w:t>, H</w:t>
      </w:r>
      <w:r w:rsidRPr="005D5E3A">
        <w:rPr>
          <w:vertAlign w:val="subscript"/>
        </w:rPr>
        <w:t>2</w:t>
      </w:r>
      <w:r w:rsidRPr="005D5E3A">
        <w:t>S, and other pollutants and exhibits several advantages: fitting to different size of plants; low cost of polymeric material; capability to be used to increase both purity and recovery of CH</w:t>
      </w:r>
      <w:r w:rsidRPr="005D5E3A">
        <w:rPr>
          <w:vertAlign w:val="subscript"/>
        </w:rPr>
        <w:t>4</w:t>
      </w:r>
      <w:r w:rsidRPr="005D5E3A">
        <w:t xml:space="preserve"> </w:t>
      </w:r>
      <w:r w:rsidRPr="005D5E3A">
        <w:fldChar w:fldCharType="begin" w:fldLock="1"/>
      </w:r>
      <w:r>
        <w:instrText>ADDIN CSL_CITATION {"citationItems":[{"id":"ITEM-1","itemData":{"DOI":"10.1016/C2014-0-03660-X","ISBN":"9780081004524","ISSN":"1098-6596","PMID":"25246403","abstract":"Membrane Technologies for Biorefining highlights the best practices needed for the efficient and environmentally-compatible separation techniques that are fundamental to the conversion of biomass to fuels and chemicals for use as alternatives to petroleum refining. Membrane technologies are increasingly of interest in biorefineries due to their modest energy consumption, low chemical requirements, and excellent separation efficiency. The book provides researchers in academia and industry with an authoritative overview of the different types of membranes and highlights the ways in which they can be applied in biorefineries for the production of chemicals and biofuels. Topics have been selected to highlight both the variety of raw materials treated in biorefineries and the range of biofuel and chemical end-products. Presents the first book to focus specifically on membrane technologies in biorefineries Provides a comprehensive overview of the different types of membranes and highlight ways in which they can be applied in biorefineries for the production of chemicals and biofuels Topics selected highlight both the variety of raw materials treated using membranes in biorefineries and the range of biofuel and chemical end-products.","author":[{"dropping-particle":"","family":"Molino","given":"A.","non-dropping-particle":"","parse-names":false,"suffix":""},{"dropping-particle":"","family":"Iovane","given":"P","non-dropping-particle":"","parse-names":false,"suffix":""},{"dropping-particle":"","family":"Migliori","given":"M","non-dropping-particle":"","parse-names":false,"suffix":""}],"container-title":"Membrane Technologies for Biorefining","id":"ITEM-1","issued":{"date-parts":[["2016"]]},"page":"465-482","publisher":"Woodhead Publishing","publisher-place":"Cambridge, UK","title":"Biomethane production by biogas with polymeric membrane module","type":"chapter"},"uris":["http://www.mendeley.com/documents/?uuid=0a5993ca-628c-463d-85ff-c070bf9c3148","http://www.mendeley.com/documents/?uuid=21a6eb8c-2b5a-42e5-b43f-c76ab79f3a7e"]}],"mendeley":{"formattedCitation":"(Molino et al., 2016)","plainTextFormattedCitation":"(Molino et al., 2016)","previouslyFormattedCitation":"(Molino et al., 2016)"},"properties":{"noteIndex":0},"schema":"https://github.com/citation-style-language/schema/raw/master/csl-citation.json"}</w:instrText>
      </w:r>
      <w:r w:rsidRPr="005D5E3A">
        <w:fldChar w:fldCharType="separate"/>
      </w:r>
      <w:r w:rsidRPr="005D5E3A">
        <w:rPr>
          <w:noProof/>
        </w:rPr>
        <w:t>(Molino et al., 2016)</w:t>
      </w:r>
      <w:r w:rsidRPr="005D5E3A">
        <w:fldChar w:fldCharType="end"/>
      </w:r>
      <w:r w:rsidRPr="005D5E3A">
        <w:t>.</w:t>
      </w:r>
    </w:p>
    <w:p w14:paraId="549AA093" w14:textId="77777777" w:rsidR="001231EA" w:rsidRDefault="001231EA" w:rsidP="001231EA">
      <w:pPr>
        <w:pStyle w:val="CETBodytext"/>
      </w:pPr>
      <w:r w:rsidRPr="005D5E3A">
        <w:t>Since the biogas upgrading is a very high energy consumption</w:t>
      </w:r>
      <w:r>
        <w:t xml:space="preserve"> process</w:t>
      </w:r>
      <w:r w:rsidRPr="005D5E3A">
        <w:t xml:space="preserve">, the pressured anaerobic digestion (PAD) could represent a </w:t>
      </w:r>
      <w:r>
        <w:t xml:space="preserve">cost-effective </w:t>
      </w:r>
      <w:r w:rsidRPr="005D5E3A">
        <w:t>technology. PAD process consists of an anaerobic digestion carried out at a pressure higher than the atmospheric one</w:t>
      </w:r>
      <w:r>
        <w:t xml:space="preserve"> </w:t>
      </w:r>
      <w:r w:rsidRPr="005D5E3A">
        <w:t>(1.5-5 bar)</w:t>
      </w:r>
      <w:r>
        <w:t>.</w:t>
      </w:r>
      <w:r w:rsidRPr="005D5E3A">
        <w:t xml:space="preserve"> </w:t>
      </w:r>
      <w:r>
        <w:t>In this configuration, biogas</w:t>
      </w:r>
      <w:r w:rsidRPr="005D5E3A">
        <w:t xml:space="preserve"> upgrading </w:t>
      </w:r>
      <w:r>
        <w:t>uses</w:t>
      </w:r>
      <w:r w:rsidRPr="005D5E3A">
        <w:t xml:space="preserve"> the pressure at which it is directly available to remove the polluting mixtures and to produce biomethane</w:t>
      </w:r>
      <w:r>
        <w:t>,</w:t>
      </w:r>
      <w:r w:rsidRPr="005D5E3A">
        <w:t xml:space="preserve"> fit</w:t>
      </w:r>
      <w:r>
        <w:t>ting</w:t>
      </w:r>
      <w:r w:rsidRPr="005D5E3A">
        <w:t xml:space="preserve"> characteristics both for the use for vehicles and for the injection into the distribution grid by significantly reducing costs related to the compression of the biomethane.</w:t>
      </w:r>
      <w:r>
        <w:t xml:space="preserve"> </w:t>
      </w:r>
    </w:p>
    <w:p w14:paraId="4B0EFCAC" w14:textId="77777777" w:rsidR="001231EA" w:rsidRPr="005D5E3A" w:rsidRDefault="001231EA" w:rsidP="001231EA">
      <w:pPr>
        <w:pStyle w:val="CETBodytext"/>
      </w:pPr>
      <w:r w:rsidRPr="005D5E3A">
        <w:t xml:space="preserve">Simulations of both PAD and membrane separation processes have been carried out by using Aspen Plus® software, in order to investigate the effect of variation of anaerobic digestion </w:t>
      </w:r>
      <w:r>
        <w:t xml:space="preserve">pressure and temperature </w:t>
      </w:r>
      <w:r w:rsidRPr="005D5E3A">
        <w:t>on biomethane composition and production.</w:t>
      </w:r>
    </w:p>
    <w:p w14:paraId="19002116" w14:textId="77777777" w:rsidR="001231EA" w:rsidRPr="005D5E3A" w:rsidRDefault="001231EA" w:rsidP="001231EA">
      <w:pPr>
        <w:pStyle w:val="CETHeading1"/>
      </w:pPr>
      <w:r w:rsidRPr="005D5E3A">
        <w:t>Models and methods</w:t>
      </w:r>
    </w:p>
    <w:p w14:paraId="35021139" w14:textId="77777777" w:rsidR="001231EA" w:rsidRPr="005D5E3A" w:rsidRDefault="001231EA" w:rsidP="001231EA">
      <w:pPr>
        <w:pStyle w:val="CETheadingx"/>
      </w:pPr>
      <w:r w:rsidRPr="005D5E3A">
        <w:t>PAD model</w:t>
      </w:r>
    </w:p>
    <w:p w14:paraId="2B5B9572" w14:textId="77777777" w:rsidR="001231EA" w:rsidRDefault="001231EA" w:rsidP="001231EA">
      <w:pPr>
        <w:pStyle w:val="CETBodytext"/>
      </w:pPr>
      <w:r w:rsidRPr="005D5E3A">
        <w:t xml:space="preserve">PAD was simulated by means of </w:t>
      </w:r>
      <w:r>
        <w:t xml:space="preserve">RCSTR </w:t>
      </w:r>
      <w:r w:rsidRPr="005D5E3A">
        <w:t xml:space="preserve">using Aspen Plus® </w:t>
      </w:r>
      <w:r>
        <w:t xml:space="preserve">V10 </w:t>
      </w:r>
      <w:r w:rsidRPr="005D5E3A">
        <w:t>software.</w:t>
      </w:r>
      <w:r>
        <w:t xml:space="preserve"> RCSTR models a continuous-stirred tank reactor </w:t>
      </w:r>
      <w:r w:rsidRPr="005D5E3A">
        <w:fldChar w:fldCharType="begin" w:fldLock="1"/>
      </w:r>
      <w:r>
        <w:instrText>ADDIN CSL_CITATION {"citationItems":[{"id":"ITEM-1","itemData":{"ISBN":"9787122145536","abstract":"All other brand and product names are trademarks or registered trademarks of their respective companies. This manual is intended as a guide to using AspenTech's software. This documentation contains AspenTech proprietary and confidential information and may not be disclosed, used, or copied without the prior consent of AspenTech or as set forth in the applicable license agreement. Users are solely responsible for the proper use of the software and the application of the results obtained. Although AspenTech has tested the software and reviewed the documentation, the sole warranty for the software may be found in the applicable license agreement between AspenTech and the user. ASPENTECH MAKES NO WARRANTY OR REPRESENTATION, EITHER EXPRESSED OR IMPLIED, WITH RESPECT TO THIS DOCUMENTATION, ITS QUALITY, PERFORMANCE, MERCHANTABILITY, OR FITNESS FOR A PARTICULAR PURPOSE.","author":[{"dropping-particle":"","family":"Aspen Plus User Guide","given":"","non-dropping-particle":"","parse-names":false,"suffix":""}],"container-title":"Aspen Plus ® User Guide","id":"ITEM-1","issued":{"date-parts":[["2000"]]},"title":"Aspen Plus ® User Guide","type":"article"},"uris":["http://www.mendeley.com/documents/?uuid=9553970a-78a0-4489-a402-0ce366f0cb63","http://www.mendeley.com/documents/?uuid=a55b78b4-0b17-41e8-9aa7-fa86f5bfceac"]}],"mendeley":{"formattedCitation":"(Aspen Plus User Guide, 2000)","manualFormatting":"(Aspen Plus® User Guide, 2000)","plainTextFormattedCitation":"(Aspen Plus User Guide, 2000)","previouslyFormattedCitation":"(Aspen Plus User Guide, 2000)"},"properties":{"noteIndex":0},"schema":"https://github.com/citation-style-language/schema/raw/master/csl-citation.json"}</w:instrText>
      </w:r>
      <w:r w:rsidRPr="005D5E3A">
        <w:fldChar w:fldCharType="separate"/>
      </w:r>
      <w:r w:rsidRPr="005D5E3A">
        <w:rPr>
          <w:noProof/>
        </w:rPr>
        <w:t>(Aspen Plus</w:t>
      </w:r>
      <w:r w:rsidRPr="00DE4CDE">
        <w:rPr>
          <w:rFonts w:cs="Arial"/>
          <w:noProof/>
        </w:rPr>
        <w:t>®</w:t>
      </w:r>
      <w:r>
        <w:rPr>
          <w:rFonts w:cs="Arial"/>
          <w:noProof/>
        </w:rPr>
        <w:t xml:space="preserve"> </w:t>
      </w:r>
      <w:r w:rsidRPr="005D5E3A">
        <w:rPr>
          <w:noProof/>
        </w:rPr>
        <w:t>User Guide, 2000)</w:t>
      </w:r>
      <w:r w:rsidRPr="005D5E3A">
        <w:fldChar w:fldCharType="end"/>
      </w:r>
      <w:r w:rsidRPr="005D5E3A">
        <w:t>.</w:t>
      </w:r>
      <w:r>
        <w:t xml:space="preserve"> Reaction kinetics were obtained from previous ADM 1 model, which was investigated by several research groups </w:t>
      </w:r>
      <w:r>
        <w:fldChar w:fldCharType="begin" w:fldLock="1"/>
      </w:r>
      <w:r>
        <w:instrText>ADDIN CSL_CITATION {"citationItems":[{"id":"ITEM-1","itemData":{"DOI":"10.1002/(SICI)1097-0290(19990505)63:3&lt;363::AID-BIT13&gt;3.0.CO;2-Z","ISBN":"0006-3592","ISSN":"00063592","PMID":"10099616","abstract":"A dynamic model describing the anaerobic degradation of complex material, and codigestion of different types of wastes, was developed based on a model previously described (Angelidaki et al., 1993). In the model, the substrate is described by its composition of basic organic components, i.e., carbohydrates, lipids, and proteins, the concentration of intermediates such as volatile fatty acids and long-chain fatty acids, and important inorganic components, i.e., ammonia, phosphate, cations, and anions. This allows dynamic changes of the process during a shift of substrate composition to be simulated by changing the input substrate data. The model includes 2 enzymatic hydrolytic steps, 8 bacterial steps and involves 19 chemical compounds. The model also includes a detailed description of pH and temperature characteristics. Free ammonia, acetate, volatile fatty acids, (VFA) and long-chain fatty acids (LCFA) constitute the primary modulating factors in the model. The model was tested with success in lab-scale reactors codigesting manure with glycerol trioleate or manure with gelatin. Finally, the model was validated using results from a full-scale biogas plant codigesting manure together with a proteinous wastewater and with bentonite-bound oil, which is a waste with high content of lipids. Copyright 1999 John Wiley &amp; Sons, Inc.","author":[{"dropping-particle":"","family":"Angelidaki","given":"Irini","non-dropping-particle":"","parse-names":false,"suffix":""},{"dropping-particle":"","family":"Ellegaard","given":"Lars","non-dropping-particle":"","parse-names":false,"suffix":""},{"dropping-particle":"","family":"Ahring","given":"Birgitte K.","non-dropping-particle":"","parse-names":false,"suffix":""}],"container-title":"Biotechnology and Bioengineering","id":"ITEM-1","issue":"3","issued":{"date-parts":[["1999"]]},"page":"363-372","title":"A comprehensive model of anaerobic bioconversion of complex substrates to biogas","type":"article-journal","volume":"63"},"uris":["http://www.mendeley.com/documents/?uuid=566c373c-1f76-4a37-93e9-3005917ee1cd","http://www.mendeley.com/documents/?uuid=840a7b2d-38e7-4793-a0c7-19a76367ff04"]},{"id":"ITEM-2","itemData":{"DOI":"org/10.2166/wst.2002.0292","ISBN":"1 900222 78 7","ISSN":"1476-1777","PMID":"12188579","abstract":"The IWA Anaerobic Digestion Modelling Task Group was established in 1997 at the 8th World Congress on Anaerobic Digestion (Sendai, Japan) with the goal of developing a generalised anaerobic digestion model. The structured model includes multiple steps describing biochemical as well as physico- chemical processes. The biochemical steps include disintegration from homogeneous particulates to carbohydrates, proteins and lipids; extracellular hydrolysis of these particulate substrates to sugars, amino acids, and long chain fatty acids (LCFA), respectively; acidogenesis from sugars and amino acids to volatile fatty acids (VFAs) and hydrogen; acetogenesis of LCFA and VFAs to acetate; and separate methanogenesis steps from acetate and hydrogen/CO2. The physico-chemical equations describe ion association and dissociation, and gas-liquid transfer. Implemented as a differential and algebraic equation (DAE) set, there are 26 dynamic state concentration variables, and 8 implicit algebraic variables per reactor vessel or element. Implemented as differential equations (DE) only, there are 32 dynamic concentration state variables","author":[{"dropping-particle":"","family":"Batstone","given":"D. J.","non-dropping-particle":"","parse-names":false,"suffix":""},{"dropping-particle":"","family":"Keller","given":"J.","non-dropping-particle":"","parse-names":false,"suffix":""},{"dropping-particle":"","family":"Angelidaki","given":"I.","non-dropping-particle":"","parse-names":false,"suffix":""},{"dropping-particle":"","family":"Kalyuzhnyi","given":"S.","non-dropping-particle":"","parse-names":false,"suffix":""},{"dropping-particle":"","family":"Pavlostathis","given":"S. G.","non-dropping-particle":"","parse-names":false,"suffix":""},{"dropping-particle":"","family":"Rozzi","given":"A.","non-dropping-particle":"","parse-names":false,"suffix":""},{"dropping-particle":"","family":"Sanders","given":"W.","non-dropping-particle":"","parse-names":false,"suffix":""},{"dropping-particle":"","family":"Siegrist","given":"H.","non-dropping-particle":"","parse-names":false,"suffix":""},{"dropping-particle":"","family":"Vavilin","given":"V.","non-dropping-particle":"","parse-names":false,"suffix":""}],"container-title":"Water Science and Technology","id":"ITEM-2","issue":"10","issued":{"date-parts":[["2002"]]},"page":"65-73","title":"Anaerobic Digestion Model No. 1","type":"article-journal","volume":"45"},"uris":["http://www.mendeley.com/documents/?uuid=56d86e09-62af-431d-9e39-4339cc368a1a","http://www.mendeley.com/documents/?uuid=015ce24a-6f1e-420d-a72f-e82121dd7078"]},{"id":"ITEM-3","itemData":{"DOI":"10.1016/j.biortech.2014.01.051","ISBN":"0960-8524","ISSN":"18732976","PMID":"24524857","abstract":"A novel process simulation model (PSM) was developed for biogas production in anaerobic digesters using Aspen Plus®. The PSM is a library model of anaerobic digestion, which predicts the biogas production from any substrate at any given process condition. A total of 46 reactions were used in the model, which include inhibitions, rate-kinetics, pH, ammonia, volume, loading rate, and retention time. The hydrolysis reactions were based on the extent of the reaction, while the acidogenic, acetogenic, and methanogenic reactions were based on the kinetics. The PSM was validated against a variety of lab and industrial data on anaerobic digestion. The P-value after statistical analysis was found to be 0.701, which showed that there was no significant difference between discrete validations and processing conditions. The sensitivity analysis for a ±10% change in composition of substrate and extent of reaction results in 5.285% higher value than the experimental value. The model is available at http://hdl.handle.net/2320/12358 (Rajendran et al., 2013b). © 2014 Elsevier Ltd.","author":[{"dropping-particle":"","family":"Rajendran","given":"Karthik","non-dropping-particle":"","parse-names":false,"suffix":""},{"dropping-particle":"","family":"Kankanala","given":"Harshavardhan R.","non-dropping-particle":"","parse-names":false,"suffix":""},{"dropping-particle":"","family":"Lundin","given":"Magnus","non-dropping-particle":"","parse-names":false,"suffix":""},{"dropping-particle":"","family":"Taherzadeh","given":"Mohammad J.","non-dropping-particle":"","parse-names":false,"suffix":""}],"container-title":"Bioresource Technology","id":"ITEM-3","issued":{"date-parts":[["2014"]]},"page":"7-13","title":"A novel process simulation model (PSM) for anaerobic digestion using Aspen Plus","type":"article-journal","volume":"168"},"uris":["http://www.mendeley.com/documents/?uuid=93bf882d-5b83-49a1-a889-5b0f1b310115","http://www.mendeley.com/documents/?uuid=4eb9a309-723c-4499-b749-b50a7c9fac1d"]}],"mendeley":{"formattedCitation":"(Angelidaki et al., 1999; Batstone et al., 2002; Rajendran et al., 2014)","plainTextFormattedCitation":"(Angelidaki et al., 1999; Batstone et al., 2002; Rajendran et al., 2014)","previouslyFormattedCitation":"(Angelidaki et al., 1999; Batstone et al., 2002; Rajendran et al., 2014)"},"properties":{"noteIndex":0},"schema":"https://github.com/citation-style-language/schema/raw/master/csl-citation.json"}</w:instrText>
      </w:r>
      <w:r>
        <w:fldChar w:fldCharType="separate"/>
      </w:r>
      <w:r w:rsidRPr="006B7767">
        <w:rPr>
          <w:noProof/>
        </w:rPr>
        <w:t>(Angelidaki et al., 1999; Batstone et al., 2002; Rajendran et al., 2014)</w:t>
      </w:r>
      <w:r>
        <w:fldChar w:fldCharType="end"/>
      </w:r>
      <w:r w:rsidRPr="005D5E3A">
        <w:t xml:space="preserve">. </w:t>
      </w:r>
      <w:r>
        <w:t>ELEC</w:t>
      </w:r>
      <w:r w:rsidRPr="005D5E3A">
        <w:t xml:space="preserve">NRTL method </w:t>
      </w:r>
      <w:r>
        <w:t>was</w:t>
      </w:r>
      <w:r w:rsidRPr="005D5E3A">
        <w:t xml:space="preserve"> used</w:t>
      </w:r>
      <w:r>
        <w:t xml:space="preserve"> for rigorously modeling electrolyte systems and it allowed to simulate dissociation equilibria that affect the CO</w:t>
      </w:r>
      <w:r w:rsidRPr="00C77B95">
        <w:rPr>
          <w:vertAlign w:val="subscript"/>
        </w:rPr>
        <w:t xml:space="preserve">2 </w:t>
      </w:r>
      <w:r>
        <w:t xml:space="preserve">solubility in the liquid phase, according to the following reactions </w:t>
      </w:r>
      <w:r w:rsidR="00B63C96">
        <w:fldChar w:fldCharType="begin" w:fldLock="1"/>
      </w:r>
      <w:r w:rsidR="00B63C96">
        <w:instrText>ADDIN CSL_CITATION {"citationItems":[{"id":"ITEM-1","itemData":{"DOI":"10.1016/j.bej.2006.12.011","ISBN":"1369-703X","ISSN":"1369703X","abstract":"Catabolic reactions provide the chemical energy necessary for the maintenance of living microorganisms. The catabolic reactions in anaerobic digestion process may progress close to the equilibrium state (ΔG = 0) depending strongly on the microorganisms in the digester. The thermodynamic equilibrium of catabolic reactions in the anaerobic digestion process was modelled under isothermal and isobaric conditions. Three thermodynamic models were considered; the ideal, the Debye-Hückel-Praunitz, and the Pitzer-Praunitz. The models in this paper concentrate on the methanogenic equilibrium of the anaerobic digestion process. The thermodynamic equilibrium model shows that the methanogenesis step requires thermal energy and electrons, so that anaerobic digestion may achieve high substrate degradation and high conversion to methane. Some thermodynamic recommendations are suggested for the future development of the methanogenic phase of anaerobic digestion. © 2006 Elsevier B.V. All rights reserved.","author":[{"dropping-particle":"","family":"Oh","given":"Sung T.","non-dropping-particle":"","parse-names":false,"suffix":""},{"dropping-particle":"","family":"Martin","given":"Alastair D.","non-dropping-particle":"","parse-names":false,"suffix":""}],"container-title":"Biochemical Engineering Journal","id":"ITEM-1","issued":{"date-parts":[["2007"]]},"page":"256-266","title":"Thermodynamic equilibrium model in anaerobic digestion process","type":"article-journal","volume":"34"},"uris":["http://www.mendeley.com/documents/?uuid=491be940-28d7-478b-a2d4-97360a8bed38"]},{"id":"ITEM-2","itemData":{"DOI":"10.1016/j.fuel.2017.10.098","ISBN":"0016-2361","ISSN":"00162361","abstract":"Scrubbing with seawater is a reliable technology for flue-gas desulfurization in coal-fired power plants or in marine applications. The introduction of new regulations for emission control in Europe and the due increment of operational efficiency are pushing forward the optimization of scrubber's design, for which packing columns may be a better solution compared to spray columns. The design of a seawater scrubber mainly relies on a correct assessment of the equilibrium conditions and of the mass transfer coefficients in the absorber. In this work, experiments are performed on a model flue-gas (32 m3·h−1) having a SO2concentration in the range 500–2000 ppmv, treated in a packed column filled with a structured packing (Mellapak 250X®) at 1 atm and 25 °C, with liquid-to-gas ratio between 1.06 and 3.44 kg·kg−1. Three different absorbing solutions are investigated: (a) a seawater; (b) a basic solution obtained by adding 200 mg·L−1NaOH solution to the seawater and (c) distilled water, used as benchmark. In order to analyze the packed column tests, SO2equilibrium absorption tests at low concentrations (100–2000 ppmv) are carried out in a feed-batch reactor, using the same absorbing solutions tested in column tests. The experimental tests in packed column indicate that, for SO2concentration as low as 500 ppm, an absorption efficiency above 98% can be achieved by using liquid-to-gas mass ratio about to 2.91 kg·kg−1. In this condition, few differences appear among solutions (a) and (b). For the highest SO2concentration (i.e. 2000 ppmv), a maximum of 85% efficiency is observed for liquid-to-gas mass ratio of 3.44 kg·kg−1. Modeling of both the equilibrium and the dynamic data are implemented in Aspen Plus®V 8.6. However, while modeling assures a very good prediction of the equilibrium data, it is not able to properly describe the dynamic test results, with a systematic underestimation for tests having a removal efficiency higher than 85%.","author":[{"dropping-particle":"","family":"Flagiello","given":"D.","non-dropping-particle":"","parse-names":false,"suffix":""},{"dropping-particle":"","family":"Erto","given":"A.","non-dropping-particle":"","parse-names":false,"suffix":""},{"dropping-particle":"","family":"Lancia","given":"A.","non-dropping-particle":"","parse-names":false,"suffix":""},{"dropping-particle":"","family":"Natale","given":"F.","non-dropping-particle":"Di","parse-names":false,"suffix":""}],"container-title":"Fuel","id":"ITEM-2","issue":"October 2017","issued":{"date-parts":[["2018"]]},"page":"254-263","publisher":"Elsevier","title":"Experimental and modelling analysis of seawater scrubbers for sulphur dioxide removal from flue-gas","type":"article-journal","volume":"214"},"uris":["http://www.mendeley.com/documents/?uuid=8e3a73c4-2e1e-4ac2-ae68-44b4ead2842f"]}],"mendeley":{"formattedCitation":"(Flagiello et al., 2018; Oh and Martin, 2007)","plainTextFormattedCitation":"(Flagiello et al., 2018; Oh and Martin, 2007)","previouslyFormattedCitation":"(Flagiello et al., 2018; Oh and Martin, 2007)"},"properties":{"noteIndex":0},"schema":"https://github.com/citation-style-language/schema/raw/master/csl-citation.json"}</w:instrText>
      </w:r>
      <w:r w:rsidR="00B63C96">
        <w:fldChar w:fldCharType="separate"/>
      </w:r>
      <w:r w:rsidR="00B63C96" w:rsidRPr="00B63C96">
        <w:rPr>
          <w:noProof/>
        </w:rPr>
        <w:t>(Flagiello et al., 2018; Oh and Martin, 2007)</w:t>
      </w:r>
      <w:r w:rsidR="00B63C96">
        <w:fldChar w:fldCharType="end"/>
      </w:r>
    </w:p>
    <w:p w14:paraId="7380F2CE" w14:textId="77777777" w:rsidR="001231EA" w:rsidRPr="00B33FB6" w:rsidRDefault="001231EA" w:rsidP="001231EA">
      <w:pPr>
        <w:pStyle w:val="CETEquation"/>
        <w:rPr>
          <w:rFonts w:eastAsiaTheme="minorEastAsia"/>
        </w:rPr>
      </w:pPr>
      <m:oMath>
        <m:sSub>
          <m:sSubPr>
            <m:ctrlPr>
              <w:rPr>
                <w:rFonts w:ascii="Cambria Math" w:hAnsi="Cambria Math"/>
              </w:rPr>
            </m:ctrlPr>
          </m:sSubPr>
          <m:e>
            <m:sSub>
              <m:sSubPr>
                <m:ctrlPr>
                  <w:rPr>
                    <w:rFonts w:ascii="Cambria Math" w:hAnsi="Cambria Math"/>
                  </w:rPr>
                </m:ctrlPr>
              </m:sSubPr>
              <m:e>
                <m:r>
                  <w:rPr>
                    <w:rFonts w:ascii="Cambria Math" w:hAnsi="Cambria Math"/>
                  </w:rPr>
                  <m:t>CO</m:t>
                </m:r>
              </m:e>
              <m:sub>
                <m:r>
                  <m:rPr>
                    <m:sty m:val="p"/>
                  </m:rPr>
                  <w:rPr>
                    <w:rFonts w:ascii="Cambria Math" w:hAnsi="Cambria Math"/>
                  </w:rPr>
                  <m:t>2</m:t>
                </m:r>
              </m:sub>
            </m:sSub>
          </m:e>
          <m:sub>
            <m:r>
              <m:rPr>
                <m:sty m:val="p"/>
              </m:rPr>
              <w:rPr>
                <w:rFonts w:ascii="Cambria Math" w:hAnsi="Cambria Math"/>
              </w:rPr>
              <m:t>(</m:t>
            </m:r>
            <m:r>
              <w:rPr>
                <w:rFonts w:ascii="Cambria Math" w:hAnsi="Cambria Math"/>
              </w:rPr>
              <m:t>l</m:t>
            </m:r>
            <m:r>
              <m:rPr>
                <m:sty m:val="p"/>
              </m:rPr>
              <w:rPr>
                <w:rFonts w:ascii="Cambria Math" w:hAnsi="Cambria Math"/>
              </w:rPr>
              <m:t>)</m:t>
            </m:r>
          </m:sub>
        </m:sSub>
        <m:r>
          <m:rPr>
            <m:sty m:val="p"/>
          </m:rPr>
          <w:rPr>
            <w:rFonts w:ascii="Cambria Math" w:hAnsi="Cambria Math"/>
          </w:rPr>
          <w:sym w:font="Wingdings 3" w:char="F044"/>
        </m:r>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CO</m:t>
                </m:r>
              </m:e>
              <m:sub>
                <m:r>
                  <m:rPr>
                    <m:sty m:val="p"/>
                  </m:rPr>
                  <w:rPr>
                    <w:rFonts w:ascii="Cambria Math" w:hAnsi="Cambria Math"/>
                  </w:rPr>
                  <m:t>2</m:t>
                </m:r>
              </m:sub>
            </m:sSub>
          </m:e>
          <m:sub>
            <m:r>
              <m:rPr>
                <m:sty m:val="p"/>
              </m:rPr>
              <w:rPr>
                <w:rFonts w:ascii="Cambria Math" w:hAnsi="Cambria Math"/>
              </w:rPr>
              <m:t>(</m:t>
            </m:r>
            <m:r>
              <w:rPr>
                <w:rFonts w:ascii="Cambria Math" w:hAnsi="Cambria Math"/>
              </w:rPr>
              <m:t>g</m:t>
            </m:r>
            <m:r>
              <m:rPr>
                <m:sty m:val="p"/>
              </m:rPr>
              <w:rPr>
                <w:rFonts w:ascii="Cambria Math" w:hAnsi="Cambria Math"/>
              </w:rPr>
              <m:t>)</m:t>
            </m:r>
          </m:sub>
        </m:sSub>
      </m:oMath>
      <w:r>
        <w:t xml:space="preserve">                                                                                                                                                (1)</w:t>
      </w:r>
    </w:p>
    <w:p w14:paraId="34EFB21C" w14:textId="77777777" w:rsidR="001231EA" w:rsidRPr="00167749" w:rsidRDefault="001231EA" w:rsidP="001231EA">
      <w:pPr>
        <w:pStyle w:val="CETEquation"/>
        <w:rPr>
          <w:rFonts w:eastAsiaTheme="minorEastAsia"/>
        </w:rPr>
      </w:pPr>
      <m:oMath>
        <m:sSub>
          <m:sSubPr>
            <m:ctrlPr>
              <w:rPr>
                <w:rFonts w:ascii="Cambria Math" w:hAnsi="Cambria Math"/>
              </w:rPr>
            </m:ctrlPr>
          </m:sSubPr>
          <m:e>
            <m:r>
              <m:rPr>
                <m:sty m:val="p"/>
              </m:rPr>
              <w:rPr>
                <w:rFonts w:ascii="Cambria Math" w:hAnsi="Cambria Math"/>
              </w:rPr>
              <m:t>2</m:t>
            </m:r>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w:sym w:font="Wingdings 3" w:char="F044"/>
        </m:r>
        <m:r>
          <m:rPr>
            <m:sty m:val="p"/>
          </m:rPr>
          <w:rPr>
            <w:rFonts w:ascii="Cambria Math" w:hAnsi="Cambria Math"/>
          </w:rPr>
          <m:t xml:space="preserve"> </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H</m:t>
                </m:r>
              </m:e>
              <m:sub>
                <m:r>
                  <m:rPr>
                    <m:sty m:val="p"/>
                  </m:rPr>
                  <w:rPr>
                    <w:rFonts w:ascii="Cambria Math" w:eastAsiaTheme="minorEastAsia" w:hAnsi="Cambria Math"/>
                  </w:rPr>
                  <m:t>3</m:t>
                </m:r>
              </m:sub>
            </m:sSub>
            <m:r>
              <w:rPr>
                <w:rFonts w:ascii="Cambria Math" w:eastAsiaTheme="minorEastAsia" w:hAnsi="Cambria Math"/>
              </w:rPr>
              <m:t>O</m:t>
            </m:r>
          </m:e>
          <m:sup>
            <m:r>
              <m:rPr>
                <m:sty m:val="p"/>
              </m:rPr>
              <w:rPr>
                <w:rFonts w:ascii="Cambria Math" w:eastAsiaTheme="minorEastAsia" w:hAnsi="Cambria Math"/>
              </w:rPr>
              <m:t>+</m:t>
            </m:r>
          </m:sup>
        </m:sSup>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OH</m:t>
            </m:r>
          </m:e>
          <m:sup>
            <m:r>
              <m:rPr>
                <m:sty m:val="p"/>
              </m:rPr>
              <w:rPr>
                <w:rFonts w:ascii="Cambria Math" w:eastAsiaTheme="minorEastAsia" w:hAnsi="Cambria Math"/>
              </w:rPr>
              <m:t>-</m:t>
            </m:r>
          </m:sup>
        </m:sSup>
      </m:oMath>
      <w:r>
        <w:t xml:space="preserve">                                                                                                                                       (2)</w:t>
      </w:r>
    </w:p>
    <w:p w14:paraId="6A90BDF3" w14:textId="77777777" w:rsidR="001231EA" w:rsidRPr="00167749" w:rsidRDefault="001231EA" w:rsidP="001231EA">
      <w:pPr>
        <w:pStyle w:val="CETEquation"/>
        <w:rPr>
          <w:rFonts w:eastAsiaTheme="minorEastAsia"/>
        </w:rPr>
      </w:pPr>
      <m:oMath>
        <m:sSub>
          <m:sSubPr>
            <m:ctrlPr>
              <w:rPr>
                <w:rFonts w:ascii="Cambria Math" w:hAnsi="Cambria Math"/>
              </w:rPr>
            </m:ctrlPr>
          </m:sSubPr>
          <m:e>
            <m:sSub>
              <m:sSubPr>
                <m:ctrlPr>
                  <w:rPr>
                    <w:rFonts w:ascii="Cambria Math" w:hAnsi="Cambria Math"/>
                  </w:rPr>
                </m:ctrlPr>
              </m:sSubPr>
              <m:e>
                <m:r>
                  <w:rPr>
                    <w:rFonts w:ascii="Cambria Math" w:hAnsi="Cambria Math"/>
                  </w:rPr>
                  <m:t>CO</m:t>
                </m:r>
              </m:e>
              <m:sub>
                <m:r>
                  <m:rPr>
                    <m:sty m:val="p"/>
                  </m:rPr>
                  <w:rPr>
                    <w:rFonts w:ascii="Cambria Math" w:hAnsi="Cambria Math"/>
                  </w:rPr>
                  <m:t>2</m:t>
                </m:r>
              </m:sub>
            </m:sSub>
          </m:e>
          <m:sub>
            <m:r>
              <m:rPr>
                <m:sty m:val="p"/>
              </m:rPr>
              <w:rPr>
                <w:rFonts w:ascii="Cambria Math" w:hAnsi="Cambria Math"/>
              </w:rPr>
              <m:t>(</m:t>
            </m:r>
            <m:r>
              <w:rPr>
                <w:rFonts w:ascii="Cambria Math" w:hAnsi="Cambria Math"/>
              </w:rPr>
              <m:t>l</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m:t>
            </m:r>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w:sym w:font="Wingdings 3" w:char="F044"/>
        </m:r>
        <m:r>
          <m:rPr>
            <m:sty m:val="p"/>
          </m:rPr>
          <w:rPr>
            <w:rFonts w:ascii="Cambria Math" w:hAnsi="Cambria Math"/>
          </w:rPr>
          <m:t xml:space="preserve"> </m:t>
        </m:r>
        <m:sSubSup>
          <m:sSubSupPr>
            <m:ctrlPr>
              <w:rPr>
                <w:rFonts w:ascii="Cambria Math" w:hAnsi="Cambria Math"/>
              </w:rPr>
            </m:ctrlPr>
          </m:sSubSupPr>
          <m:e>
            <m:r>
              <w:rPr>
                <w:rFonts w:ascii="Cambria Math" w:hAnsi="Cambria Math"/>
              </w:rPr>
              <m:t>HCO</m:t>
            </m:r>
          </m:e>
          <m:sub>
            <m:r>
              <m:rPr>
                <m:sty m:val="p"/>
              </m:rPr>
              <w:rPr>
                <w:rFonts w:ascii="Cambria Math" w:hAnsi="Cambria Math"/>
              </w:rPr>
              <m:t>3</m:t>
            </m:r>
          </m:sub>
          <m:sup>
            <m:r>
              <m:rPr>
                <m:sty m:val="p"/>
              </m:rPr>
              <w:rPr>
                <w:rFonts w:ascii="Cambria Math" w:hAnsi="Cambria Math"/>
              </w:rPr>
              <m:t>-</m:t>
            </m:r>
          </m:sup>
        </m:sSubSup>
        <m:r>
          <m:rPr>
            <m:sty m:val="p"/>
          </m:rPr>
          <w:rPr>
            <w:rFonts w:ascii="Cambria Math" w:hAnsi="Cambria Math"/>
          </w:rPr>
          <m:t>+</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H</m:t>
                </m:r>
              </m:e>
              <m:sub>
                <m:r>
                  <m:rPr>
                    <m:sty m:val="p"/>
                  </m:rPr>
                  <w:rPr>
                    <w:rFonts w:ascii="Cambria Math" w:eastAsiaTheme="minorEastAsia" w:hAnsi="Cambria Math"/>
                  </w:rPr>
                  <m:t>3</m:t>
                </m:r>
              </m:sub>
            </m:sSub>
            <m:r>
              <w:rPr>
                <w:rFonts w:ascii="Cambria Math" w:eastAsiaTheme="minorEastAsia" w:hAnsi="Cambria Math"/>
              </w:rPr>
              <m:t>O</m:t>
            </m:r>
          </m:e>
          <m:sup>
            <m:r>
              <m:rPr>
                <m:sty m:val="p"/>
              </m:rPr>
              <w:rPr>
                <w:rFonts w:ascii="Cambria Math" w:eastAsiaTheme="minorEastAsia" w:hAnsi="Cambria Math"/>
              </w:rPr>
              <m:t>+</m:t>
            </m:r>
          </m:sup>
        </m:sSup>
      </m:oMath>
      <w:r>
        <w:t xml:space="preserve">                                                                                                                       (3)</w:t>
      </w:r>
    </w:p>
    <w:p w14:paraId="4DD4150D" w14:textId="77777777" w:rsidR="001231EA" w:rsidRPr="00167749" w:rsidRDefault="001231EA" w:rsidP="001231EA">
      <w:pPr>
        <w:pStyle w:val="CETEquation"/>
        <w:rPr>
          <w:rFonts w:eastAsiaTheme="minorEastAsia"/>
        </w:rPr>
      </w:pPr>
      <m:oMath>
        <m:sSubSup>
          <m:sSubSupPr>
            <m:ctrlPr>
              <w:rPr>
                <w:rFonts w:ascii="Cambria Math" w:hAnsi="Cambria Math"/>
              </w:rPr>
            </m:ctrlPr>
          </m:sSubSupPr>
          <m:e>
            <m:r>
              <w:rPr>
                <w:rFonts w:ascii="Cambria Math" w:hAnsi="Cambria Math"/>
              </w:rPr>
              <m:t>HCO</m:t>
            </m:r>
          </m:e>
          <m:sub>
            <m:r>
              <m:rPr>
                <m:sty m:val="p"/>
              </m:rPr>
              <w:rPr>
                <w:rFonts w:ascii="Cambria Math" w:hAnsi="Cambria Math"/>
              </w:rPr>
              <m:t>3</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w:sym w:font="Wingdings 3" w:char="F044"/>
        </m:r>
        <m:r>
          <m:rPr>
            <m:sty m:val="p"/>
          </m:rPr>
          <w:rPr>
            <w:rFonts w:ascii="Cambria Math" w:hAnsi="Cambria Math"/>
          </w:rPr>
          <m:t xml:space="preserve"> </m:t>
        </m:r>
        <m:sSubSup>
          <m:sSubSupPr>
            <m:ctrlPr>
              <w:rPr>
                <w:rFonts w:ascii="Cambria Math" w:hAnsi="Cambria Math"/>
              </w:rPr>
            </m:ctrlPr>
          </m:sSubSupPr>
          <m:e>
            <m:r>
              <w:rPr>
                <w:rFonts w:ascii="Cambria Math" w:hAnsi="Cambria Math"/>
              </w:rPr>
              <m:t>CO</m:t>
            </m:r>
          </m:e>
          <m:sub>
            <m:r>
              <m:rPr>
                <m:sty m:val="p"/>
              </m:rPr>
              <w:rPr>
                <w:rFonts w:ascii="Cambria Math" w:hAnsi="Cambria Math"/>
              </w:rPr>
              <m:t>3</m:t>
            </m:r>
          </m:sub>
          <m:sup>
            <m:r>
              <m:rPr>
                <m:sty m:val="p"/>
              </m:rPr>
              <w:rPr>
                <w:rFonts w:ascii="Cambria Math" w:hAnsi="Cambria Math"/>
              </w:rPr>
              <m:t>2-</m:t>
            </m:r>
          </m:sup>
        </m:sSubSup>
        <m:r>
          <m:rPr>
            <m:sty m:val="p"/>
          </m:rPr>
          <w:rPr>
            <w:rFonts w:ascii="Cambria Math" w:hAnsi="Cambria Math"/>
          </w:rPr>
          <m:t>+</m:t>
        </m:r>
        <m:sSup>
          <m:sSupPr>
            <m:ctrlPr>
              <w:rPr>
                <w:rFonts w:ascii="Cambria Math" w:eastAsiaTheme="minorEastAsia" w:hAnsi="Cambria Math"/>
              </w:rPr>
            </m:ctrlPr>
          </m:sSupPr>
          <m:e>
            <m:sSub>
              <m:sSubPr>
                <m:ctrlPr>
                  <w:rPr>
                    <w:rFonts w:ascii="Cambria Math" w:eastAsiaTheme="minorEastAsia" w:hAnsi="Cambria Math"/>
                  </w:rPr>
                </m:ctrlPr>
              </m:sSubPr>
              <m:e>
                <m:r>
                  <w:rPr>
                    <w:rFonts w:ascii="Cambria Math" w:eastAsiaTheme="minorEastAsia" w:hAnsi="Cambria Math"/>
                  </w:rPr>
                  <m:t>H</m:t>
                </m:r>
              </m:e>
              <m:sub>
                <m:r>
                  <m:rPr>
                    <m:sty m:val="p"/>
                  </m:rPr>
                  <w:rPr>
                    <w:rFonts w:ascii="Cambria Math" w:eastAsiaTheme="minorEastAsia" w:hAnsi="Cambria Math"/>
                  </w:rPr>
                  <m:t>3</m:t>
                </m:r>
              </m:sub>
            </m:sSub>
            <m:r>
              <w:rPr>
                <w:rFonts w:ascii="Cambria Math" w:eastAsiaTheme="minorEastAsia" w:hAnsi="Cambria Math"/>
              </w:rPr>
              <m:t>O</m:t>
            </m:r>
          </m:e>
          <m:sup>
            <m:r>
              <m:rPr>
                <m:sty m:val="p"/>
              </m:rPr>
              <w:rPr>
                <w:rFonts w:ascii="Cambria Math" w:eastAsiaTheme="minorEastAsia" w:hAnsi="Cambria Math"/>
              </w:rPr>
              <m:t>+</m:t>
            </m:r>
          </m:sup>
        </m:sSup>
      </m:oMath>
      <w:r>
        <w:t xml:space="preserve">                                                                                                                          (4)</w:t>
      </w:r>
    </w:p>
    <w:p w14:paraId="5C3884A3" w14:textId="77777777" w:rsidR="001231EA" w:rsidRDefault="001231EA" w:rsidP="001231EA">
      <w:pPr>
        <w:pStyle w:val="CETBodytext"/>
      </w:pPr>
      <w:r w:rsidRPr="001C2CCD">
        <w:t xml:space="preserve">In order to evaluate the </w:t>
      </w:r>
      <w:r w:rsidRPr="003C5587">
        <w:t>composition of the</w:t>
      </w:r>
      <w:r w:rsidRPr="001C2CCD">
        <w:t xml:space="preserve"> biogas obtained by PAD, the main compounds </w:t>
      </w:r>
      <w:r>
        <w:t>reported</w:t>
      </w:r>
      <w:r w:rsidRPr="001C2CCD">
        <w:t xml:space="preserve"> in literature as intermediate and final products of the </w:t>
      </w:r>
      <w:r w:rsidRPr="003C5587">
        <w:t>hydrolysis, acidogenesis</w:t>
      </w:r>
      <w:r w:rsidRPr="001C2CCD">
        <w:t>, acetogenesis, and methanogenesis reactions</w:t>
      </w:r>
      <w:r>
        <w:t>,</w:t>
      </w:r>
      <w:r w:rsidRPr="001C2CCD">
        <w:t xml:space="preserve"> are selected</w:t>
      </w:r>
      <w:r>
        <w:t xml:space="preserve"> in </w:t>
      </w:r>
      <w:r w:rsidRPr="005D5E3A">
        <w:t>Aspen Plus®</w:t>
      </w:r>
      <w:r>
        <w:t xml:space="preserve">. A schematic diagram of RCSTR used for simulations is represented in </w:t>
      </w:r>
      <w:r>
        <w:fldChar w:fldCharType="begin"/>
      </w:r>
      <w:r>
        <w:instrText xml:space="preserve"> REF _Ref536110923 \h </w:instrText>
      </w:r>
      <w:r>
        <w:fldChar w:fldCharType="separate"/>
      </w:r>
      <w:r>
        <w:t xml:space="preserve">Figure </w:t>
      </w:r>
      <w:r>
        <w:rPr>
          <w:noProof/>
        </w:rPr>
        <w:t>1</w:t>
      </w:r>
      <w:r>
        <w:fldChar w:fldCharType="end"/>
      </w:r>
      <w:r>
        <w:t>.</w:t>
      </w:r>
    </w:p>
    <w:p w14:paraId="7F455726" w14:textId="77777777" w:rsidR="001231EA" w:rsidRDefault="001231EA" w:rsidP="001231EA">
      <w:pPr>
        <w:pStyle w:val="CETBodytext"/>
      </w:pPr>
      <w:r>
        <w:rPr>
          <w:noProof/>
          <w:lang w:val="it-IT" w:eastAsia="it-IT"/>
        </w:rPr>
        <w:drawing>
          <wp:inline distT="0" distB="0" distL="0" distR="0" wp14:anchorId="27A19145" wp14:editId="7C4EC121">
            <wp:extent cx="3016250" cy="1508125"/>
            <wp:effectExtent l="0" t="0" r="635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1-29 at 11.54.45.jpeg"/>
                    <pic:cNvPicPr/>
                  </pic:nvPicPr>
                  <pic:blipFill>
                    <a:blip r:embed="rId10"/>
                    <a:stretch>
                      <a:fillRect/>
                    </a:stretch>
                  </pic:blipFill>
                  <pic:spPr>
                    <a:xfrm>
                      <a:off x="0" y="0"/>
                      <a:ext cx="3016250" cy="1508125"/>
                    </a:xfrm>
                    <a:prstGeom prst="rect">
                      <a:avLst/>
                    </a:prstGeom>
                  </pic:spPr>
                </pic:pic>
              </a:graphicData>
            </a:graphic>
          </wp:inline>
        </w:drawing>
      </w:r>
    </w:p>
    <w:p w14:paraId="222D4943" w14:textId="77777777" w:rsidR="001231EA" w:rsidRDefault="001231EA" w:rsidP="001231EA">
      <w:pPr>
        <w:pStyle w:val="CETCaption"/>
      </w:pPr>
      <w:bookmarkStart w:id="7" w:name="_Ref536110923"/>
      <w:r>
        <w:t xml:space="preserve">Figure </w:t>
      </w:r>
      <w:r>
        <w:fldChar w:fldCharType="begin"/>
      </w:r>
      <w:r>
        <w:instrText xml:space="preserve"> SEQ Figure \* ARABIC </w:instrText>
      </w:r>
      <w:r>
        <w:fldChar w:fldCharType="separate"/>
      </w:r>
      <w:r>
        <w:rPr>
          <w:noProof/>
        </w:rPr>
        <w:t>1</w:t>
      </w:r>
      <w:r>
        <w:fldChar w:fldCharType="end"/>
      </w:r>
      <w:bookmarkEnd w:id="7"/>
      <w:r>
        <w:t xml:space="preserve">: Schematic diagram of RCSTR </w:t>
      </w:r>
    </w:p>
    <w:p w14:paraId="3E605DF1" w14:textId="77777777" w:rsidR="001231EA" w:rsidRPr="002E0235" w:rsidRDefault="001231EA" w:rsidP="001231EA">
      <w:pPr>
        <w:pStyle w:val="CETBodytext"/>
      </w:pPr>
      <w:r>
        <w:t xml:space="preserve">In </w:t>
      </w:r>
      <w:r>
        <w:rPr>
          <w:i/>
        </w:rPr>
        <w:fldChar w:fldCharType="begin"/>
      </w:r>
      <w:r>
        <w:instrText xml:space="preserve"> REF _Ref170348 \h  \* MERGEFORMAT </w:instrText>
      </w:r>
      <w:r>
        <w:rPr>
          <w:i/>
        </w:rPr>
      </w:r>
      <w:r>
        <w:rPr>
          <w:i/>
        </w:rPr>
        <w:fldChar w:fldCharType="separate"/>
      </w:r>
      <w:r w:rsidRPr="00270280">
        <w:t xml:space="preserve">Table </w:t>
      </w:r>
      <w:r w:rsidRPr="00270280">
        <w:rPr>
          <w:noProof/>
        </w:rPr>
        <w:t>1</w:t>
      </w:r>
      <w:r>
        <w:rPr>
          <w:i/>
        </w:rPr>
        <w:fldChar w:fldCharType="end"/>
      </w:r>
      <w:r>
        <w:t xml:space="preserve"> input parameters of PAD reactor are reported. </w:t>
      </w:r>
      <w:r w:rsidR="00C8035D">
        <w:t xml:space="preserve">Feeding composition was kept constant and detailed in </w:t>
      </w:r>
      <w:r w:rsidR="00C8035D">
        <w:fldChar w:fldCharType="begin"/>
      </w:r>
      <w:r w:rsidR="00C8035D">
        <w:instrText xml:space="preserve"> REF _Ref6217280 \h </w:instrText>
      </w:r>
      <w:r w:rsidR="00C8035D">
        <w:fldChar w:fldCharType="separate"/>
      </w:r>
      <w:r w:rsidR="00C8035D" w:rsidRPr="00C90A92">
        <w:t xml:space="preserve">Table </w:t>
      </w:r>
      <w:r w:rsidR="00C8035D" w:rsidRPr="00C90A92">
        <w:rPr>
          <w:noProof/>
        </w:rPr>
        <w:t>2</w:t>
      </w:r>
      <w:r w:rsidR="00C8035D">
        <w:fldChar w:fldCharType="end"/>
      </w:r>
      <w:r w:rsidR="00C8035D">
        <w:t>, while operating</w:t>
      </w:r>
      <w:r w:rsidR="00C8035D" w:rsidRPr="005D5E3A">
        <w:t xml:space="preserve"> pressure</w:t>
      </w:r>
      <w:r w:rsidR="00C8035D">
        <w:t xml:space="preserve"> and temperature were varied in </w:t>
      </w:r>
      <w:r w:rsidR="00C8035D" w:rsidRPr="005D5E3A">
        <w:t>the range 1.5-5 ba</w:t>
      </w:r>
      <w:r w:rsidR="00C8035D">
        <w:t>r and 35-45 °C (mesophilic condition), respectively.</w:t>
      </w:r>
    </w:p>
    <w:p w14:paraId="1200AEC9" w14:textId="77777777" w:rsidR="001231EA" w:rsidRDefault="001231EA" w:rsidP="001231EA">
      <w:pPr>
        <w:pStyle w:val="CETTabletitle"/>
      </w:pPr>
      <w:bookmarkStart w:id="8" w:name="_Ref170348"/>
      <w:bookmarkStart w:id="9" w:name="_Ref170330"/>
      <w:r w:rsidRPr="00270280">
        <w:rPr>
          <w:i w:val="0"/>
        </w:rPr>
        <w:lastRenderedPageBreak/>
        <w:t xml:space="preserve">Table </w:t>
      </w:r>
      <w:r w:rsidRPr="00270280">
        <w:rPr>
          <w:i w:val="0"/>
        </w:rPr>
        <w:fldChar w:fldCharType="begin"/>
      </w:r>
      <w:r w:rsidRPr="00270280">
        <w:rPr>
          <w:i w:val="0"/>
        </w:rPr>
        <w:instrText xml:space="preserve"> SEQ Table \* ARABIC </w:instrText>
      </w:r>
      <w:r w:rsidRPr="00270280">
        <w:rPr>
          <w:i w:val="0"/>
        </w:rPr>
        <w:fldChar w:fldCharType="separate"/>
      </w:r>
      <w:r>
        <w:rPr>
          <w:i w:val="0"/>
          <w:noProof/>
        </w:rPr>
        <w:t>1</w:t>
      </w:r>
      <w:r w:rsidRPr="00270280">
        <w:rPr>
          <w:i w:val="0"/>
        </w:rPr>
        <w:fldChar w:fldCharType="end"/>
      </w:r>
      <w:bookmarkEnd w:id="8"/>
      <w:r w:rsidRPr="00270280">
        <w:rPr>
          <w:i w:val="0"/>
        </w:rPr>
        <w:t>:</w:t>
      </w:r>
      <w:r>
        <w:t xml:space="preserve"> PAD input parameters</w:t>
      </w:r>
      <w:bookmarkEnd w:id="9"/>
    </w:p>
    <w:tbl>
      <w:tblPr>
        <w:tblW w:w="696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82"/>
        <w:gridCol w:w="1370"/>
        <w:gridCol w:w="1702"/>
        <w:gridCol w:w="1357"/>
        <w:gridCol w:w="1357"/>
      </w:tblGrid>
      <w:tr w:rsidR="001231EA" w:rsidRPr="00586674" w14:paraId="3EAF80B7" w14:textId="77777777" w:rsidTr="005F7F6E">
        <w:trPr>
          <w:trHeight w:val="560"/>
        </w:trPr>
        <w:tc>
          <w:tcPr>
            <w:tcW w:w="1182" w:type="dxa"/>
            <w:tcBorders>
              <w:top w:val="single" w:sz="12" w:space="0" w:color="008000"/>
              <w:bottom w:val="single" w:sz="4" w:space="0" w:color="008000"/>
            </w:tcBorders>
            <w:shd w:val="clear" w:color="auto" w:fill="FFFFFF"/>
          </w:tcPr>
          <w:p w14:paraId="3F3E0C64" w14:textId="77777777" w:rsidR="001231EA" w:rsidRPr="00826B15" w:rsidRDefault="001231EA" w:rsidP="005F7F6E">
            <w:pPr>
              <w:pStyle w:val="CETBodytext"/>
            </w:pPr>
            <w:r w:rsidRPr="00826B15">
              <w:t xml:space="preserve">Reactor volume </w:t>
            </w:r>
          </w:p>
          <w:p w14:paraId="4A6E3B15" w14:textId="77777777" w:rsidR="001231EA" w:rsidRPr="00826B15" w:rsidRDefault="001231EA" w:rsidP="005F7F6E">
            <w:pPr>
              <w:pStyle w:val="CETBodytext"/>
            </w:pPr>
            <w:r w:rsidRPr="00826B15">
              <w:t>[m</w:t>
            </w:r>
            <w:r w:rsidRPr="007E183B">
              <w:rPr>
                <w:vertAlign w:val="superscript"/>
              </w:rPr>
              <w:t>3</w:t>
            </w:r>
            <w:r w:rsidRPr="00826B15">
              <w:t>]</w:t>
            </w:r>
          </w:p>
        </w:tc>
        <w:tc>
          <w:tcPr>
            <w:tcW w:w="1370" w:type="dxa"/>
            <w:tcBorders>
              <w:top w:val="single" w:sz="12" w:space="0" w:color="008000"/>
              <w:bottom w:val="single" w:sz="4" w:space="0" w:color="008000"/>
            </w:tcBorders>
            <w:shd w:val="clear" w:color="auto" w:fill="FFFFFF"/>
            <w:vAlign w:val="center"/>
          </w:tcPr>
          <w:p w14:paraId="01DD7DE8" w14:textId="77777777" w:rsidR="001231EA" w:rsidRPr="00826B15" w:rsidRDefault="001231EA" w:rsidP="005F7F6E">
            <w:pPr>
              <w:pStyle w:val="CETBodytext"/>
            </w:pPr>
            <w:r w:rsidRPr="00826B15">
              <w:t>Feeding</w:t>
            </w:r>
          </w:p>
          <w:p w14:paraId="2933E8A0" w14:textId="77777777" w:rsidR="001231EA" w:rsidRPr="00826B15" w:rsidRDefault="001231EA" w:rsidP="005F7F6E">
            <w:pPr>
              <w:pStyle w:val="CETBodytext"/>
            </w:pPr>
            <w:r w:rsidRPr="00826B15">
              <w:t xml:space="preserve">mass flow </w:t>
            </w:r>
          </w:p>
          <w:p w14:paraId="47701692" w14:textId="77777777" w:rsidR="001231EA" w:rsidRPr="00826B15" w:rsidRDefault="001231EA" w:rsidP="005F7F6E">
            <w:pPr>
              <w:pStyle w:val="CETBodytext"/>
            </w:pPr>
            <w:r w:rsidRPr="00826B15">
              <w:t>[t/d]</w:t>
            </w:r>
          </w:p>
        </w:tc>
        <w:tc>
          <w:tcPr>
            <w:tcW w:w="1702" w:type="dxa"/>
            <w:tcBorders>
              <w:top w:val="single" w:sz="12" w:space="0" w:color="008000"/>
              <w:bottom w:val="single" w:sz="4" w:space="0" w:color="008000"/>
            </w:tcBorders>
            <w:shd w:val="clear" w:color="auto" w:fill="FFFFFF"/>
            <w:vAlign w:val="center"/>
          </w:tcPr>
          <w:p w14:paraId="321EC4B8" w14:textId="77777777" w:rsidR="001231EA" w:rsidRPr="00826B15" w:rsidRDefault="001231EA" w:rsidP="005F7F6E">
            <w:pPr>
              <w:pStyle w:val="CETBodytext"/>
            </w:pPr>
            <w:r w:rsidRPr="00826B15">
              <w:t>Operating</w:t>
            </w:r>
          </w:p>
          <w:p w14:paraId="616D8CFA" w14:textId="77777777" w:rsidR="001231EA" w:rsidRPr="00826B15" w:rsidRDefault="001231EA" w:rsidP="005F7F6E">
            <w:pPr>
              <w:pStyle w:val="CETBodytext"/>
            </w:pPr>
            <w:r w:rsidRPr="00826B15">
              <w:t>pressure</w:t>
            </w:r>
          </w:p>
          <w:p w14:paraId="42C62D42" w14:textId="77777777" w:rsidR="001231EA" w:rsidRPr="00826B15" w:rsidRDefault="001231EA" w:rsidP="005F7F6E">
            <w:pPr>
              <w:pStyle w:val="CETBodytext"/>
            </w:pPr>
            <w:r w:rsidRPr="00826B15">
              <w:t>[bar]</w:t>
            </w:r>
          </w:p>
        </w:tc>
        <w:tc>
          <w:tcPr>
            <w:tcW w:w="1357" w:type="dxa"/>
            <w:tcBorders>
              <w:top w:val="single" w:sz="12" w:space="0" w:color="008000"/>
              <w:bottom w:val="single" w:sz="4" w:space="0" w:color="008000"/>
            </w:tcBorders>
            <w:shd w:val="clear" w:color="auto" w:fill="FFFFFF"/>
            <w:vAlign w:val="center"/>
          </w:tcPr>
          <w:p w14:paraId="47C32008" w14:textId="77777777" w:rsidR="001231EA" w:rsidRPr="00826B15" w:rsidRDefault="001231EA" w:rsidP="005F7F6E">
            <w:pPr>
              <w:pStyle w:val="CETBodytext"/>
            </w:pPr>
            <w:r w:rsidRPr="00826B15">
              <w:t>Temperature</w:t>
            </w:r>
          </w:p>
          <w:p w14:paraId="23B0B1B1" w14:textId="77777777" w:rsidR="001231EA" w:rsidRPr="00826B15" w:rsidRDefault="001231EA" w:rsidP="005F7F6E">
            <w:pPr>
              <w:pStyle w:val="CETBodytext"/>
            </w:pPr>
            <w:r w:rsidRPr="00826B15">
              <w:t>[°C]</w:t>
            </w:r>
          </w:p>
        </w:tc>
        <w:tc>
          <w:tcPr>
            <w:tcW w:w="1357" w:type="dxa"/>
            <w:tcBorders>
              <w:top w:val="single" w:sz="12" w:space="0" w:color="008000"/>
              <w:bottom w:val="single" w:sz="4" w:space="0" w:color="008000"/>
            </w:tcBorders>
            <w:shd w:val="clear" w:color="auto" w:fill="FFFFFF"/>
            <w:vAlign w:val="center"/>
          </w:tcPr>
          <w:p w14:paraId="4C9DA486" w14:textId="77777777" w:rsidR="001231EA" w:rsidRPr="00826B15" w:rsidRDefault="001231EA" w:rsidP="005F7F6E">
            <w:pPr>
              <w:pStyle w:val="CETBodytext"/>
            </w:pPr>
            <w:r w:rsidRPr="00826B15">
              <w:t>Retention time</w:t>
            </w:r>
          </w:p>
          <w:p w14:paraId="56BD7E9F" w14:textId="77777777" w:rsidR="001231EA" w:rsidRPr="00826B15" w:rsidRDefault="001231EA" w:rsidP="005F7F6E">
            <w:pPr>
              <w:pStyle w:val="CETBodytext"/>
            </w:pPr>
            <w:r w:rsidRPr="00826B15">
              <w:t>[d]</w:t>
            </w:r>
          </w:p>
        </w:tc>
      </w:tr>
      <w:tr w:rsidR="001231EA" w:rsidRPr="00586674" w14:paraId="4313CD51" w14:textId="77777777" w:rsidTr="005F7F6E">
        <w:trPr>
          <w:trHeight w:val="272"/>
        </w:trPr>
        <w:tc>
          <w:tcPr>
            <w:tcW w:w="1182" w:type="dxa"/>
            <w:tcBorders>
              <w:top w:val="single" w:sz="4" w:space="0" w:color="008000"/>
              <w:bottom w:val="single" w:sz="12" w:space="0" w:color="008000"/>
            </w:tcBorders>
            <w:shd w:val="clear" w:color="auto" w:fill="FFFFFF"/>
          </w:tcPr>
          <w:p w14:paraId="6DE9B5FC" w14:textId="77777777" w:rsidR="001231EA" w:rsidRPr="00826B15" w:rsidRDefault="001231EA" w:rsidP="005F7F6E">
            <w:pPr>
              <w:pStyle w:val="CETBodytext"/>
            </w:pPr>
            <w:r w:rsidRPr="00826B15">
              <w:t>60</w:t>
            </w:r>
          </w:p>
        </w:tc>
        <w:tc>
          <w:tcPr>
            <w:tcW w:w="1370" w:type="dxa"/>
            <w:tcBorders>
              <w:top w:val="single" w:sz="4" w:space="0" w:color="008000"/>
              <w:bottom w:val="single" w:sz="12" w:space="0" w:color="008000"/>
            </w:tcBorders>
            <w:shd w:val="clear" w:color="auto" w:fill="FFFFFF"/>
          </w:tcPr>
          <w:p w14:paraId="39F765A8" w14:textId="77777777" w:rsidR="001231EA" w:rsidRPr="00826B15" w:rsidRDefault="001231EA" w:rsidP="005F7F6E">
            <w:pPr>
              <w:pStyle w:val="CETBodytext"/>
            </w:pPr>
            <w:r w:rsidRPr="00826B15">
              <w:t>2</w:t>
            </w:r>
          </w:p>
        </w:tc>
        <w:tc>
          <w:tcPr>
            <w:tcW w:w="1702" w:type="dxa"/>
            <w:tcBorders>
              <w:top w:val="single" w:sz="4" w:space="0" w:color="008000"/>
              <w:bottom w:val="single" w:sz="12" w:space="0" w:color="008000"/>
            </w:tcBorders>
            <w:shd w:val="clear" w:color="auto" w:fill="FFFFFF"/>
          </w:tcPr>
          <w:p w14:paraId="6303A117" w14:textId="77777777" w:rsidR="001231EA" w:rsidRPr="00826B15" w:rsidRDefault="001231EA" w:rsidP="005F7F6E">
            <w:pPr>
              <w:pStyle w:val="CETBodytext"/>
            </w:pPr>
            <w:r w:rsidRPr="00826B15">
              <w:t>1.5-5</w:t>
            </w:r>
          </w:p>
        </w:tc>
        <w:tc>
          <w:tcPr>
            <w:tcW w:w="1357" w:type="dxa"/>
            <w:tcBorders>
              <w:top w:val="single" w:sz="4" w:space="0" w:color="008000"/>
              <w:bottom w:val="single" w:sz="12" w:space="0" w:color="008000"/>
            </w:tcBorders>
            <w:shd w:val="clear" w:color="auto" w:fill="FFFFFF"/>
          </w:tcPr>
          <w:p w14:paraId="1D47DF00" w14:textId="77777777" w:rsidR="001231EA" w:rsidRPr="00826B15" w:rsidRDefault="001231EA" w:rsidP="005F7F6E">
            <w:pPr>
              <w:pStyle w:val="CETBodytext"/>
            </w:pPr>
            <w:r w:rsidRPr="00826B15">
              <w:t>35-45</w:t>
            </w:r>
          </w:p>
        </w:tc>
        <w:tc>
          <w:tcPr>
            <w:tcW w:w="1357" w:type="dxa"/>
            <w:tcBorders>
              <w:top w:val="single" w:sz="4" w:space="0" w:color="008000"/>
              <w:bottom w:val="single" w:sz="12" w:space="0" w:color="008000"/>
            </w:tcBorders>
            <w:shd w:val="clear" w:color="auto" w:fill="FFFFFF"/>
          </w:tcPr>
          <w:p w14:paraId="6942CF33" w14:textId="77777777" w:rsidR="001231EA" w:rsidRPr="00826B15" w:rsidRDefault="001231EA" w:rsidP="005F7F6E">
            <w:pPr>
              <w:pStyle w:val="CETBodytext"/>
            </w:pPr>
            <w:r w:rsidRPr="00826B15">
              <w:t>30</w:t>
            </w:r>
          </w:p>
        </w:tc>
      </w:tr>
    </w:tbl>
    <w:p w14:paraId="69B86494" w14:textId="77777777" w:rsidR="001231EA" w:rsidRDefault="001231EA" w:rsidP="001231EA">
      <w:pPr>
        <w:pStyle w:val="CETBodytext"/>
      </w:pPr>
      <w:bookmarkStart w:id="10" w:name="_Ref171133"/>
    </w:p>
    <w:p w14:paraId="61F77EE5" w14:textId="77777777" w:rsidR="001231EA" w:rsidRDefault="001231EA" w:rsidP="001231EA">
      <w:pPr>
        <w:pStyle w:val="CETBodytext"/>
      </w:pPr>
      <w:r w:rsidRPr="008F2D2B">
        <w:t>In this validation, fruit waste was used as a substrate in the reactor</w:t>
      </w:r>
      <w:r>
        <w:t xml:space="preserve"> with following composition:</w:t>
      </w:r>
    </w:p>
    <w:p w14:paraId="6ECBFE11" w14:textId="77777777" w:rsidR="001231EA" w:rsidRPr="00C90A92" w:rsidRDefault="001231EA" w:rsidP="001231EA">
      <w:pPr>
        <w:pStyle w:val="CETTabletitle"/>
        <w:rPr>
          <w:i w:val="0"/>
        </w:rPr>
      </w:pPr>
      <w:bookmarkStart w:id="11" w:name="_Ref6217274"/>
      <w:bookmarkStart w:id="12" w:name="_Ref6217280"/>
      <w:r w:rsidRPr="00C90A92">
        <w:rPr>
          <w:i w:val="0"/>
        </w:rPr>
        <w:t xml:space="preserve">Table </w:t>
      </w:r>
      <w:r w:rsidRPr="00C90A92">
        <w:rPr>
          <w:i w:val="0"/>
        </w:rPr>
        <w:fldChar w:fldCharType="begin"/>
      </w:r>
      <w:r w:rsidRPr="00C90A92">
        <w:rPr>
          <w:i w:val="0"/>
        </w:rPr>
        <w:instrText xml:space="preserve"> SEQ Table \* ARABIC </w:instrText>
      </w:r>
      <w:r w:rsidRPr="00C90A92">
        <w:rPr>
          <w:i w:val="0"/>
        </w:rPr>
        <w:fldChar w:fldCharType="separate"/>
      </w:r>
      <w:r w:rsidRPr="00C90A92">
        <w:rPr>
          <w:i w:val="0"/>
          <w:noProof/>
        </w:rPr>
        <w:t>2</w:t>
      </w:r>
      <w:r w:rsidRPr="00C90A92">
        <w:rPr>
          <w:i w:val="0"/>
        </w:rPr>
        <w:fldChar w:fldCharType="end"/>
      </w:r>
      <w:bookmarkEnd w:id="10"/>
      <w:bookmarkEnd w:id="12"/>
      <w:r w:rsidRPr="00C90A92">
        <w:rPr>
          <w:i w:val="0"/>
        </w:rPr>
        <w:t>:</w:t>
      </w:r>
      <w:r>
        <w:rPr>
          <w:i w:val="0"/>
        </w:rPr>
        <w:t xml:space="preserve"> </w:t>
      </w:r>
      <w:r w:rsidRPr="001B63B4">
        <w:t>Feeding composition</w:t>
      </w:r>
      <w:bookmarkEnd w:id="11"/>
    </w:p>
    <w:tbl>
      <w:tblPr>
        <w:tblW w:w="696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82"/>
        <w:gridCol w:w="1370"/>
        <w:gridCol w:w="1702"/>
        <w:gridCol w:w="1357"/>
        <w:gridCol w:w="1357"/>
      </w:tblGrid>
      <w:tr w:rsidR="001231EA" w:rsidRPr="00586674" w14:paraId="53893E1F" w14:textId="77777777" w:rsidTr="005F7F6E">
        <w:trPr>
          <w:trHeight w:val="560"/>
        </w:trPr>
        <w:tc>
          <w:tcPr>
            <w:tcW w:w="1182" w:type="dxa"/>
            <w:tcBorders>
              <w:top w:val="single" w:sz="12" w:space="0" w:color="008000"/>
              <w:bottom w:val="single" w:sz="4" w:space="0" w:color="008000"/>
            </w:tcBorders>
            <w:shd w:val="clear" w:color="auto" w:fill="FFFFFF"/>
            <w:vAlign w:val="center"/>
          </w:tcPr>
          <w:p w14:paraId="22DEBB14" w14:textId="77777777" w:rsidR="001231EA" w:rsidRDefault="001231EA" w:rsidP="005F7F6E">
            <w:pPr>
              <w:pStyle w:val="CETBodytext"/>
            </w:pPr>
            <w:r>
              <w:t>Sugar</w:t>
            </w:r>
          </w:p>
          <w:p w14:paraId="55BBAD21" w14:textId="77777777" w:rsidR="001231EA" w:rsidRPr="00586674" w:rsidRDefault="001231EA" w:rsidP="005F7F6E">
            <w:pPr>
              <w:pStyle w:val="CETBodytext"/>
            </w:pPr>
            <w:r w:rsidRPr="00586674">
              <w:t>[</w:t>
            </w:r>
            <w:r>
              <w:t>% w/w</w:t>
            </w:r>
            <w:r w:rsidRPr="00586674">
              <w:t>]</w:t>
            </w:r>
          </w:p>
        </w:tc>
        <w:tc>
          <w:tcPr>
            <w:tcW w:w="1370" w:type="dxa"/>
            <w:tcBorders>
              <w:top w:val="single" w:sz="12" w:space="0" w:color="008000"/>
              <w:bottom w:val="single" w:sz="4" w:space="0" w:color="008000"/>
            </w:tcBorders>
            <w:shd w:val="clear" w:color="auto" w:fill="FFFFFF"/>
            <w:vAlign w:val="center"/>
          </w:tcPr>
          <w:p w14:paraId="1BEDB40A" w14:textId="77777777" w:rsidR="001231EA" w:rsidRDefault="001231EA" w:rsidP="005F7F6E">
            <w:pPr>
              <w:pStyle w:val="CETBodytext"/>
            </w:pPr>
            <w:r>
              <w:t>Protein</w:t>
            </w:r>
          </w:p>
          <w:p w14:paraId="0920B070" w14:textId="77777777" w:rsidR="001231EA" w:rsidRPr="00586674" w:rsidRDefault="001231EA" w:rsidP="005F7F6E">
            <w:pPr>
              <w:pStyle w:val="CETBodytext"/>
            </w:pPr>
            <w:r w:rsidRPr="00586674">
              <w:t>[</w:t>
            </w:r>
            <w:r>
              <w:t>% w/w</w:t>
            </w:r>
            <w:r w:rsidRPr="00586674">
              <w:t>]</w:t>
            </w:r>
          </w:p>
        </w:tc>
        <w:tc>
          <w:tcPr>
            <w:tcW w:w="1702" w:type="dxa"/>
            <w:tcBorders>
              <w:top w:val="single" w:sz="12" w:space="0" w:color="008000"/>
              <w:bottom w:val="single" w:sz="4" w:space="0" w:color="008000"/>
            </w:tcBorders>
            <w:shd w:val="clear" w:color="auto" w:fill="FFFFFF"/>
            <w:vAlign w:val="center"/>
          </w:tcPr>
          <w:p w14:paraId="461D7322" w14:textId="77777777" w:rsidR="001231EA" w:rsidRDefault="001231EA" w:rsidP="005F7F6E">
            <w:pPr>
              <w:pStyle w:val="CETBodytext"/>
            </w:pPr>
            <w:r>
              <w:t>Fatty acids</w:t>
            </w:r>
          </w:p>
          <w:p w14:paraId="72D6ACE6" w14:textId="77777777" w:rsidR="001231EA" w:rsidRPr="00586674" w:rsidRDefault="001231EA" w:rsidP="005F7F6E">
            <w:pPr>
              <w:pStyle w:val="CETBodytext"/>
            </w:pPr>
            <w:r w:rsidRPr="00586674">
              <w:t>[</w:t>
            </w:r>
            <w:r>
              <w:t>% w/w</w:t>
            </w:r>
            <w:r w:rsidRPr="00586674">
              <w:t>]</w:t>
            </w:r>
          </w:p>
        </w:tc>
        <w:tc>
          <w:tcPr>
            <w:tcW w:w="1357" w:type="dxa"/>
            <w:tcBorders>
              <w:top w:val="single" w:sz="12" w:space="0" w:color="008000"/>
              <w:bottom w:val="single" w:sz="4" w:space="0" w:color="008000"/>
            </w:tcBorders>
            <w:shd w:val="clear" w:color="auto" w:fill="FFFFFF"/>
            <w:vAlign w:val="center"/>
          </w:tcPr>
          <w:p w14:paraId="30B3F3AF" w14:textId="77777777" w:rsidR="001231EA" w:rsidRDefault="001231EA" w:rsidP="005F7F6E">
            <w:pPr>
              <w:pStyle w:val="CETBodytext"/>
            </w:pPr>
            <w:r>
              <w:t>Water</w:t>
            </w:r>
          </w:p>
          <w:p w14:paraId="02984B6F" w14:textId="77777777" w:rsidR="001231EA" w:rsidRDefault="001231EA" w:rsidP="005F7F6E">
            <w:pPr>
              <w:pStyle w:val="CETBodytext"/>
            </w:pPr>
            <w:r w:rsidRPr="00586674">
              <w:t>[</w:t>
            </w:r>
            <w:r>
              <w:t>% w/w</w:t>
            </w:r>
            <w:r w:rsidRPr="00586674">
              <w:t>]</w:t>
            </w:r>
          </w:p>
        </w:tc>
        <w:tc>
          <w:tcPr>
            <w:tcW w:w="1357" w:type="dxa"/>
            <w:tcBorders>
              <w:top w:val="single" w:sz="12" w:space="0" w:color="008000"/>
              <w:bottom w:val="single" w:sz="4" w:space="0" w:color="008000"/>
            </w:tcBorders>
            <w:shd w:val="clear" w:color="auto" w:fill="FFFFFF"/>
            <w:vAlign w:val="center"/>
          </w:tcPr>
          <w:p w14:paraId="2792800C" w14:textId="77777777" w:rsidR="001231EA" w:rsidRDefault="001231EA" w:rsidP="005F7F6E">
            <w:pPr>
              <w:pStyle w:val="CETBodytext"/>
            </w:pPr>
            <w:r>
              <w:t>Others</w:t>
            </w:r>
          </w:p>
          <w:p w14:paraId="3A4711F9" w14:textId="77777777" w:rsidR="001231EA" w:rsidRDefault="001231EA" w:rsidP="005F7F6E">
            <w:pPr>
              <w:pStyle w:val="CETBodytext"/>
            </w:pPr>
            <w:r w:rsidRPr="00586674">
              <w:t>[</w:t>
            </w:r>
            <w:r>
              <w:t>% w/w</w:t>
            </w:r>
            <w:r w:rsidRPr="00586674">
              <w:t>]</w:t>
            </w:r>
          </w:p>
        </w:tc>
      </w:tr>
      <w:tr w:rsidR="001231EA" w:rsidRPr="00586674" w14:paraId="4A6CFAA4" w14:textId="77777777" w:rsidTr="005F7F6E">
        <w:trPr>
          <w:trHeight w:val="272"/>
        </w:trPr>
        <w:tc>
          <w:tcPr>
            <w:tcW w:w="1182" w:type="dxa"/>
            <w:tcBorders>
              <w:top w:val="single" w:sz="4" w:space="0" w:color="008000"/>
            </w:tcBorders>
            <w:shd w:val="clear" w:color="auto" w:fill="FFFFFF"/>
          </w:tcPr>
          <w:p w14:paraId="5320FBBC" w14:textId="77777777" w:rsidR="001231EA" w:rsidRPr="00586674" w:rsidRDefault="001231EA" w:rsidP="005F7F6E">
            <w:pPr>
              <w:pStyle w:val="CETBodytext"/>
            </w:pPr>
            <w:r>
              <w:t>42</w:t>
            </w:r>
          </w:p>
        </w:tc>
        <w:tc>
          <w:tcPr>
            <w:tcW w:w="1370" w:type="dxa"/>
            <w:tcBorders>
              <w:top w:val="single" w:sz="4" w:space="0" w:color="008000"/>
            </w:tcBorders>
            <w:shd w:val="clear" w:color="auto" w:fill="FFFFFF"/>
          </w:tcPr>
          <w:p w14:paraId="33663849" w14:textId="77777777" w:rsidR="001231EA" w:rsidRPr="00586674" w:rsidRDefault="001231EA" w:rsidP="005F7F6E">
            <w:pPr>
              <w:pStyle w:val="CETBodytext"/>
            </w:pPr>
            <w:r>
              <w:t>5.8</w:t>
            </w:r>
          </w:p>
        </w:tc>
        <w:tc>
          <w:tcPr>
            <w:tcW w:w="1702" w:type="dxa"/>
            <w:tcBorders>
              <w:top w:val="single" w:sz="4" w:space="0" w:color="008000"/>
            </w:tcBorders>
            <w:shd w:val="clear" w:color="auto" w:fill="FFFFFF"/>
          </w:tcPr>
          <w:p w14:paraId="738A0BF4" w14:textId="77777777" w:rsidR="001231EA" w:rsidRDefault="001231EA" w:rsidP="005F7F6E">
            <w:pPr>
              <w:pStyle w:val="CETBodytext"/>
            </w:pPr>
            <w:r>
              <w:t>1.2</w:t>
            </w:r>
          </w:p>
        </w:tc>
        <w:tc>
          <w:tcPr>
            <w:tcW w:w="1357" w:type="dxa"/>
            <w:tcBorders>
              <w:top w:val="single" w:sz="4" w:space="0" w:color="008000"/>
            </w:tcBorders>
            <w:shd w:val="clear" w:color="auto" w:fill="FFFFFF"/>
          </w:tcPr>
          <w:p w14:paraId="11F97BC4" w14:textId="77777777" w:rsidR="001231EA" w:rsidRDefault="001231EA" w:rsidP="005F7F6E">
            <w:pPr>
              <w:pStyle w:val="CETBodytext"/>
            </w:pPr>
            <w:r>
              <w:t>49.9</w:t>
            </w:r>
          </w:p>
        </w:tc>
        <w:tc>
          <w:tcPr>
            <w:tcW w:w="1357" w:type="dxa"/>
            <w:tcBorders>
              <w:top w:val="single" w:sz="4" w:space="0" w:color="008000"/>
            </w:tcBorders>
            <w:shd w:val="clear" w:color="auto" w:fill="FFFFFF"/>
          </w:tcPr>
          <w:p w14:paraId="2B0DC5E0" w14:textId="77777777" w:rsidR="001231EA" w:rsidRDefault="001231EA" w:rsidP="005F7F6E">
            <w:pPr>
              <w:pStyle w:val="CETBodytext"/>
            </w:pPr>
            <w:r>
              <w:t>1.1</w:t>
            </w:r>
          </w:p>
        </w:tc>
      </w:tr>
    </w:tbl>
    <w:p w14:paraId="51D83E5E" w14:textId="77777777" w:rsidR="001231EA" w:rsidRPr="00C90A92" w:rsidRDefault="001231EA" w:rsidP="001231EA">
      <w:pPr>
        <w:pStyle w:val="CETBodytext"/>
      </w:pPr>
    </w:p>
    <w:p w14:paraId="6FDD7F5A" w14:textId="77777777" w:rsidR="001231EA" w:rsidRPr="005D5E3A" w:rsidRDefault="001231EA" w:rsidP="001231EA">
      <w:pPr>
        <w:pStyle w:val="CETheadingx"/>
      </w:pPr>
      <w:r w:rsidRPr="005D5E3A">
        <w:t xml:space="preserve">Membrane separation </w:t>
      </w:r>
    </w:p>
    <w:p w14:paraId="1F6B8C6B" w14:textId="77777777" w:rsidR="001231EA" w:rsidRDefault="001231EA" w:rsidP="001231EA">
      <w:pPr>
        <w:pStyle w:val="CETBodytext"/>
      </w:pPr>
      <w:r w:rsidRPr="005D5E3A">
        <w:t>In</w:t>
      </w:r>
      <w:r>
        <w:t xml:space="preserve"> gas</w:t>
      </w:r>
      <w:r w:rsidRPr="005D5E3A">
        <w:t xml:space="preserve"> separation processe</w:t>
      </w:r>
      <w:r>
        <w:t xml:space="preserve">s </w:t>
      </w:r>
      <w:r w:rsidRPr="005D5E3A">
        <w:t xml:space="preserve">gas components are </w:t>
      </w:r>
      <w:r>
        <w:t xml:space="preserve">separated according to different gas permeability of membrane materials. </w:t>
      </w:r>
      <w:r w:rsidRPr="005D5E3A">
        <w:t>Aspen Plus®</w:t>
      </w:r>
      <w:r>
        <w:t xml:space="preserve"> enables to simulate membrane separation using a user-defined model (user 2 block), interfacing the block with an Excel file.</w:t>
      </w:r>
    </w:p>
    <w:p w14:paraId="7BF6ADEC" w14:textId="77777777" w:rsidR="001231EA" w:rsidRDefault="001231EA" w:rsidP="001231EA">
      <w:pPr>
        <w:pStyle w:val="CETBodytext"/>
      </w:pPr>
      <w:r>
        <w:t>Biogas upgrading by m</w:t>
      </w:r>
      <w:r w:rsidRPr="005D5E3A">
        <w:t>embrane separation process was simulated by means of Fick’s law with diffusive model assumptions.</w:t>
      </w:r>
      <w:r>
        <w:t xml:space="preserve"> In </w:t>
      </w:r>
      <w:r>
        <w:fldChar w:fldCharType="begin"/>
      </w:r>
      <w:r>
        <w:instrText xml:space="preserve"> REF _Ref536106986 \h </w:instrText>
      </w:r>
      <w:r>
        <w:fldChar w:fldCharType="separate"/>
      </w:r>
      <w:r>
        <w:t xml:space="preserve">Figure </w:t>
      </w:r>
      <w:r>
        <w:rPr>
          <w:noProof/>
        </w:rPr>
        <w:t>2</w:t>
      </w:r>
      <w:r>
        <w:fldChar w:fldCharType="end"/>
      </w:r>
      <w:r>
        <w:t>, a schematic diagram of membrane system is represented. From membrane, two streams are produced: the retentate, which is the CH</w:t>
      </w:r>
      <w:r w:rsidRPr="00FD3A77">
        <w:rPr>
          <w:vertAlign w:val="subscript"/>
        </w:rPr>
        <w:t>4</w:t>
      </w:r>
      <w:r w:rsidRPr="00B50619">
        <w:t>-</w:t>
      </w:r>
      <w:r>
        <w:t>rich gaseous stream at a pressure close to the biogas pressure value; and the permeate, which is the CO</w:t>
      </w:r>
      <w:r w:rsidRPr="00B20EED">
        <w:rPr>
          <w:vertAlign w:val="subscript"/>
        </w:rPr>
        <w:t>2</w:t>
      </w:r>
      <w:r>
        <w:t xml:space="preserve">-rich gaseous stream and the off-gas of the process </w:t>
      </w:r>
      <w:r>
        <w:fldChar w:fldCharType="begin" w:fldLock="1"/>
      </w:r>
      <w:r>
        <w:instrText>ADDIN CSL_CITATION {"citationItems":[{"id":"ITEM-1","itemData":{"DOI":"10.1533/9780857097415","ISBN":"9780857097415","ISSN":"19326203","PMID":"21448456","abstract":"With pressure increasing to utilise wastes and residues effectively and sustainably, the production of biogas represents one of the most important routes towards reaching national and international renewable energy targets. The biogas handbook: Science, production and applications provides a comprehensive and systematic guide to the development and deployment of biogas supply chains and technology. Following a concise overview of biogas as an energy option, part one explores biomass resources and fundamental science and engineering of biogas production, including feedstock characterisation, storage and pre-treatment, and yield optimisation. Plant design, engineering, process optimisation and digestate utilisation are the focus of part two. Topics considered include the engineering and process control of biogas plants, methane emissions in biogas production, and biogas digestate quality, utilisation and land application. Finally, part three discusses international experience and best practice in biogas utilisation. Biogas cleaning and upgrading to biomethane, biomethane use as transport fuel and the generation of heat and power from biogas for stationery applications are all discussed. The book concludes with a review of market development and biomethane certification schemes. With its distinguished editors and international team of expert contributors, The biogas handbook: Science, production and applications is a practical reference to biogas technology for process engineers, manufacturers, industrial chemists and biochemists, scientists, researchers and academics working in this field. Provides a concise overview of biogas as an energy option. Explores biomass resources for production. Examines plant design and engineering and process optimisation.","author":[{"dropping-particle":"","family":"Wellinger","given":"Arthur","non-dropping-particle":"","parse-names":false,"suffix":""},{"dropping-particle":"","family":"Murphy","given":"Jerry","non-dropping-particle":"","parse-names":false,"suffix":""},{"dropping-particle":"","family":"Baxter","given":"David","non-dropping-particle":"","parse-names":false,"suffix":""}],"container-title":"The Biogas Handbook: Science, Production and Applications","id":"ITEM-1","issued":{"date-parts":[["2013"]]},"page":"342-378","publisher":"Woodhead Publishing Limited,","publisher-place":"Cambridge, UK","title":"Biogas upgrading to biomethane","type":"chapter"},"uris":["http://www.mendeley.com/documents/?uuid=0a27f135-7084-470b-8051-559e8b5bca70"]}],"mendeley":{"formattedCitation":"(Wellinger et al., 2013)","plainTextFormattedCitation":"(Wellinger et al., 2013)","previouslyFormattedCitation":"(Wellinger et al., 2013)"},"properties":{"noteIndex":0},"schema":"https://github.com/citation-style-language/schema/raw/master/csl-citation.json"}</w:instrText>
      </w:r>
      <w:r>
        <w:fldChar w:fldCharType="separate"/>
      </w:r>
      <w:r w:rsidRPr="00304B6F">
        <w:rPr>
          <w:noProof/>
        </w:rPr>
        <w:t>(Wellinger et al., 2013)</w:t>
      </w:r>
      <w:r>
        <w:fldChar w:fldCharType="end"/>
      </w:r>
      <w:r>
        <w:t>.</w:t>
      </w:r>
    </w:p>
    <w:p w14:paraId="417B3AC2" w14:textId="77777777" w:rsidR="001231EA" w:rsidRPr="00E05252" w:rsidRDefault="001231EA" w:rsidP="001231EA">
      <w:pPr>
        <w:pStyle w:val="CETBodytext"/>
      </w:pPr>
    </w:p>
    <w:p w14:paraId="2F8A006A" w14:textId="77777777" w:rsidR="001231EA" w:rsidRDefault="001231EA" w:rsidP="001231EA">
      <w:pPr>
        <w:pStyle w:val="CETBodytext"/>
      </w:pPr>
      <w:r>
        <w:rPr>
          <w:noProof/>
          <w:lang w:val="it-IT" w:eastAsia="it-IT"/>
        </w:rPr>
        <w:drawing>
          <wp:inline distT="0" distB="0" distL="0" distR="0" wp14:anchorId="7454109D" wp14:editId="580E3A2A">
            <wp:extent cx="3180766" cy="1445124"/>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1-24 at 15.13.17.jpeg"/>
                    <pic:cNvPicPr/>
                  </pic:nvPicPr>
                  <pic:blipFill>
                    <a:blip r:embed="rId11"/>
                    <a:stretch>
                      <a:fillRect/>
                    </a:stretch>
                  </pic:blipFill>
                  <pic:spPr>
                    <a:xfrm>
                      <a:off x="0" y="0"/>
                      <a:ext cx="3204523" cy="1455918"/>
                    </a:xfrm>
                    <a:prstGeom prst="rect">
                      <a:avLst/>
                    </a:prstGeom>
                  </pic:spPr>
                </pic:pic>
              </a:graphicData>
            </a:graphic>
          </wp:inline>
        </w:drawing>
      </w:r>
    </w:p>
    <w:p w14:paraId="5C3EB77A" w14:textId="77777777" w:rsidR="001231EA" w:rsidRDefault="001231EA" w:rsidP="001231EA">
      <w:pPr>
        <w:pStyle w:val="CETCaption"/>
      </w:pPr>
      <w:bookmarkStart w:id="13" w:name="_Ref536106986"/>
      <w:r>
        <w:t xml:space="preserve">Figure </w:t>
      </w:r>
      <w:r>
        <w:fldChar w:fldCharType="begin"/>
      </w:r>
      <w:r>
        <w:instrText xml:space="preserve"> SEQ Figure \* ARABIC </w:instrText>
      </w:r>
      <w:r>
        <w:fldChar w:fldCharType="separate"/>
      </w:r>
      <w:r>
        <w:rPr>
          <w:noProof/>
        </w:rPr>
        <w:t>2</w:t>
      </w:r>
      <w:r>
        <w:fldChar w:fldCharType="end"/>
      </w:r>
      <w:bookmarkEnd w:id="13"/>
      <w:r>
        <w:t xml:space="preserve">: Schematic diagram of membrane system </w:t>
      </w:r>
    </w:p>
    <w:p w14:paraId="6D119C68" w14:textId="77777777" w:rsidR="001231EA" w:rsidRPr="00E40FBF" w:rsidRDefault="001231EA" w:rsidP="001231EA">
      <w:pPr>
        <w:pStyle w:val="CETBodytext"/>
      </w:pPr>
      <w:r>
        <w:t>The main parameters used to determine the efficiency of the separation of methane from the biogas are the CH</w:t>
      </w:r>
      <w:r w:rsidRPr="00A45237">
        <w:rPr>
          <w:vertAlign w:val="subscript"/>
        </w:rPr>
        <w:t>4</w:t>
      </w:r>
      <w:r>
        <w:t xml:space="preserve"> recovery (</w:t>
      </w:r>
      <w:r w:rsidRPr="00FE511E">
        <w:t>η)</w:t>
      </w:r>
      <w:r>
        <w:t>, defined as the ratio between the CH</w:t>
      </w:r>
      <w:r w:rsidRPr="00E40FBF">
        <w:rPr>
          <w:vertAlign w:val="subscript"/>
        </w:rPr>
        <w:t>4</w:t>
      </w:r>
      <w:r>
        <w:t xml:space="preserve"> flow in retentate and the CH</w:t>
      </w:r>
      <w:r w:rsidRPr="00E40FBF">
        <w:rPr>
          <w:vertAlign w:val="subscript"/>
        </w:rPr>
        <w:t>4</w:t>
      </w:r>
      <w:r>
        <w:t xml:space="preserve"> flow in biogas </w:t>
      </w:r>
      <w:r w:rsidRPr="005F1C72">
        <w:t>fed to the membrane</w:t>
      </w:r>
      <w:r>
        <w:t>, and the purity of retentate flow, i.e. the CH</w:t>
      </w:r>
      <w:r w:rsidRPr="00E84D72">
        <w:rPr>
          <w:vertAlign w:val="subscript"/>
        </w:rPr>
        <w:t>4</w:t>
      </w:r>
      <w:r>
        <w:t xml:space="preserve"> volumetric concentration (</w:t>
      </w:r>
      <w:proofErr w:type="spellStart"/>
      <w:r>
        <w:t>y</w:t>
      </w:r>
      <w:r>
        <w:rPr>
          <w:vertAlign w:val="subscript"/>
        </w:rPr>
        <w:t>R</w:t>
      </w:r>
      <w:proofErr w:type="spellEnd"/>
      <w:r>
        <w:t>). Another key parameter</w:t>
      </w:r>
      <w:r w:rsidRPr="00EA346F">
        <w:t xml:space="preserve"> </w:t>
      </w:r>
      <w:r>
        <w:t>used to design gas separation membrane process is</w:t>
      </w:r>
      <w:r w:rsidRPr="00EA346F">
        <w:t xml:space="preserve"> the membrane selectivity</w:t>
      </w:r>
      <w:r>
        <w:t xml:space="preserve">, which is </w:t>
      </w:r>
      <w:r w:rsidRPr="00EA346F">
        <w:t>the ratio of permeabilities of the components to be separated</w:t>
      </w:r>
      <w:r>
        <w:t>.</w:t>
      </w:r>
      <w:r w:rsidRPr="00EA346F">
        <w:t xml:space="preserve"> It depends on the membrane materials to be used. For this study, </w:t>
      </w:r>
      <w:r>
        <w:t>separation of CO</w:t>
      </w:r>
      <w:r w:rsidRPr="007E183B">
        <w:rPr>
          <w:vertAlign w:val="subscript"/>
        </w:rPr>
        <w:t>2</w:t>
      </w:r>
      <w:r>
        <w:t xml:space="preserve"> and CH</w:t>
      </w:r>
      <w:r w:rsidRPr="00A45237">
        <w:rPr>
          <w:vertAlign w:val="subscript"/>
        </w:rPr>
        <w:t>4</w:t>
      </w:r>
      <w:r>
        <w:t xml:space="preserve"> occurred by using a PEK-A membrane with a selectivity of 28.6 </w:t>
      </w:r>
      <w:r>
        <w:fldChar w:fldCharType="begin" w:fldLock="1"/>
      </w:r>
      <w:r>
        <w:instrText>ADDIN CSL_CITATION {"citationItems":[{"id":"ITEM-1","itemData":{"author":[{"dropping-particle":"","family":"Molino","given":"Antonio","non-dropping-particle":"","parse-names":false,"suffix":""},{"dropping-particle":"","family":"Nanna","given":"Francesco","non-dropping-particle":"","parse-names":false,"suffix":""},{"dropping-particle":"","family":"Iovane","given":"Pierpaolo","non-dropping-particle":"","parse-names":false,"suffix":""}],"id":"ITEM-1","issued":{"date-parts":[["2013"]]},"number-of-pages":"1-26","title":"TEST SPERIMENTALI CON MEMBRANE POLIMERICHE PER LA PURIFICAZIONE DEL BIOGAS DA CO2 E H2S","type":"report"},"uris":["http://www.mendeley.com/documents/?uuid=7b7910b4-0eec-4a94-b90c-d1a64d608310","http://www.mendeley.com/documents/?uuid=c3ecdb14-05a1-45cb-8fa9-0eee3d5cf62a"]}],"mendeley":{"formattedCitation":"(Molino et al., 2013)","plainTextFormattedCitation":"(Molino et al., 2013)","previouslyFormattedCitation":"(Molino et al., 2013)"},"properties":{"noteIndex":0},"schema":"https://github.com/citation-style-language/schema/raw/master/csl-citation.json"}</w:instrText>
      </w:r>
      <w:r>
        <w:fldChar w:fldCharType="separate"/>
      </w:r>
      <w:r w:rsidRPr="00162C13">
        <w:rPr>
          <w:noProof/>
        </w:rPr>
        <w:t>(Molino et al., 2013)</w:t>
      </w:r>
      <w:r>
        <w:fldChar w:fldCharType="end"/>
      </w:r>
      <w:r>
        <w:t xml:space="preserve">. </w:t>
      </w:r>
      <w:r w:rsidRPr="00582542">
        <w:t>CH</w:t>
      </w:r>
      <w:r w:rsidRPr="00582542">
        <w:rPr>
          <w:vertAlign w:val="subscript"/>
        </w:rPr>
        <w:t>4</w:t>
      </w:r>
      <w:r>
        <w:t xml:space="preserve"> </w:t>
      </w:r>
      <w:r w:rsidRPr="00582542">
        <w:t>recovery</w:t>
      </w:r>
      <w:r>
        <w:t xml:space="preserve"> (</w:t>
      </w:r>
      <w:r w:rsidRPr="00FE511E">
        <w:t>η)</w:t>
      </w:r>
      <w:r>
        <w:t xml:space="preserve"> was assumed equal to 30%.</w:t>
      </w:r>
    </w:p>
    <w:p w14:paraId="57AA40DC" w14:textId="77777777" w:rsidR="001231EA" w:rsidRDefault="001231EA" w:rsidP="001231EA">
      <w:pPr>
        <w:pStyle w:val="CETHeading1"/>
      </w:pPr>
      <w:r w:rsidRPr="005D5E3A">
        <w:t>Results and discussion</w:t>
      </w:r>
    </w:p>
    <w:p w14:paraId="39871429" w14:textId="77777777" w:rsidR="001231EA" w:rsidRDefault="001231EA" w:rsidP="001231EA">
      <w:pPr>
        <w:pStyle w:val="CETBodytext"/>
      </w:pPr>
      <w:r w:rsidRPr="00A13DAA">
        <w:t>In this work the effects of variation of pressure</w:t>
      </w:r>
      <w:r>
        <w:t xml:space="preserve"> (1.5-5 bar)</w:t>
      </w:r>
      <w:r w:rsidRPr="00A13DAA">
        <w:t xml:space="preserve"> </w:t>
      </w:r>
      <w:r>
        <w:t xml:space="preserve">and temperature (35°C-45°C) </w:t>
      </w:r>
      <w:r w:rsidRPr="00A13DAA">
        <w:t xml:space="preserve">of PAD </w:t>
      </w:r>
      <w:r>
        <w:t xml:space="preserve">on biomethane production and composition </w:t>
      </w:r>
      <w:r w:rsidRPr="00A13DAA">
        <w:t xml:space="preserve">were investigated. </w:t>
      </w:r>
      <w:r>
        <w:t xml:space="preserve">In </w:t>
      </w:r>
      <w:r>
        <w:fldChar w:fldCharType="begin"/>
      </w:r>
      <w:r>
        <w:instrText xml:space="preserve"> REF _Ref176034 \h </w:instrText>
      </w:r>
      <w:r>
        <w:fldChar w:fldCharType="separate"/>
      </w:r>
      <w:r w:rsidRPr="009632C7">
        <w:t xml:space="preserve">Table </w:t>
      </w:r>
      <w:r>
        <w:rPr>
          <w:noProof/>
        </w:rPr>
        <w:t>3</w:t>
      </w:r>
      <w:r>
        <w:fldChar w:fldCharType="end"/>
      </w:r>
      <w:r>
        <w:t>, biogas and liquid waste flow rates resulting from PAD process are reported. In addition, biogas productivity, i.e. ratio between produced biogas and feeding flow rate, is shown. As it can be seen, produced biogas decreases with higher pressure values; meanwhile it increases with increasing of temperature. The liquid waste does not exhibit relevant variation varying temperature and pressure of the process.</w:t>
      </w:r>
    </w:p>
    <w:p w14:paraId="0E1D3360" w14:textId="77777777" w:rsidR="001231EA" w:rsidRDefault="001231EA" w:rsidP="001231EA">
      <w:pPr>
        <w:pStyle w:val="CETBodytext"/>
      </w:pPr>
    </w:p>
    <w:p w14:paraId="1148B27C" w14:textId="77777777" w:rsidR="001231EA" w:rsidRPr="009632C7" w:rsidRDefault="001231EA" w:rsidP="001231EA">
      <w:pPr>
        <w:pStyle w:val="CETTabletitle"/>
        <w:rPr>
          <w:i w:val="0"/>
        </w:rPr>
      </w:pPr>
      <w:bookmarkStart w:id="14" w:name="_Ref176034"/>
      <w:r w:rsidRPr="009632C7">
        <w:rPr>
          <w:i w:val="0"/>
        </w:rPr>
        <w:lastRenderedPageBreak/>
        <w:t xml:space="preserve">Table </w:t>
      </w:r>
      <w:r w:rsidRPr="009632C7">
        <w:rPr>
          <w:i w:val="0"/>
        </w:rPr>
        <w:fldChar w:fldCharType="begin"/>
      </w:r>
      <w:r w:rsidRPr="009632C7">
        <w:rPr>
          <w:i w:val="0"/>
        </w:rPr>
        <w:instrText xml:space="preserve"> SEQ Table \* ARABIC </w:instrText>
      </w:r>
      <w:r w:rsidRPr="009632C7">
        <w:rPr>
          <w:i w:val="0"/>
        </w:rPr>
        <w:fldChar w:fldCharType="separate"/>
      </w:r>
      <w:r>
        <w:rPr>
          <w:i w:val="0"/>
          <w:noProof/>
        </w:rPr>
        <w:t>3</w:t>
      </w:r>
      <w:r w:rsidRPr="009632C7">
        <w:rPr>
          <w:i w:val="0"/>
        </w:rPr>
        <w:fldChar w:fldCharType="end"/>
      </w:r>
      <w:bookmarkEnd w:id="14"/>
      <w:r w:rsidRPr="009632C7">
        <w:rPr>
          <w:i w:val="0"/>
        </w:rPr>
        <w:t>:</w:t>
      </w:r>
      <w:r w:rsidRPr="009632C7">
        <w:t xml:space="preserve"> </w:t>
      </w:r>
      <w:r>
        <w:t xml:space="preserve">Biogas, liquid waste flow rates and </w:t>
      </w:r>
      <w:r>
        <w:rPr>
          <w:rFonts w:cs="Arial"/>
          <w:szCs w:val="18"/>
        </w:rPr>
        <w:t>biogas productivity</w:t>
      </w:r>
      <w:r>
        <w:t xml:space="preserve"> from PAD </w:t>
      </w:r>
    </w:p>
    <w:tbl>
      <w:tblPr>
        <w:tblW w:w="882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40"/>
        <w:gridCol w:w="678"/>
        <w:gridCol w:w="992"/>
        <w:gridCol w:w="1134"/>
        <w:gridCol w:w="20"/>
        <w:gridCol w:w="12"/>
        <w:gridCol w:w="709"/>
        <w:gridCol w:w="851"/>
        <w:gridCol w:w="1067"/>
        <w:gridCol w:w="20"/>
        <w:gridCol w:w="755"/>
        <w:gridCol w:w="851"/>
        <w:gridCol w:w="960"/>
        <w:gridCol w:w="32"/>
      </w:tblGrid>
      <w:tr w:rsidR="001231EA" w:rsidRPr="00586674" w14:paraId="05651D38" w14:textId="77777777" w:rsidTr="005F7F6E">
        <w:trPr>
          <w:trHeight w:val="134"/>
        </w:trPr>
        <w:tc>
          <w:tcPr>
            <w:tcW w:w="740" w:type="dxa"/>
            <w:vMerge w:val="restart"/>
            <w:tcBorders>
              <w:top w:val="single" w:sz="12" w:space="0" w:color="008000"/>
              <w:bottom w:val="single" w:sz="4" w:space="0" w:color="008000"/>
            </w:tcBorders>
            <w:shd w:val="clear" w:color="auto" w:fill="FFFFFF"/>
            <w:vAlign w:val="center"/>
          </w:tcPr>
          <w:p w14:paraId="2CF3F2E6" w14:textId="77777777" w:rsidR="001231EA" w:rsidRPr="00586674" w:rsidRDefault="001231EA" w:rsidP="005F7F6E">
            <w:pPr>
              <w:pStyle w:val="CETBodytext"/>
              <w:jc w:val="left"/>
            </w:pPr>
            <w:r w:rsidRPr="00586674">
              <w:t>Pressure</w:t>
            </w:r>
          </w:p>
          <w:p w14:paraId="25BA2FB5" w14:textId="77777777" w:rsidR="001231EA" w:rsidRPr="00586674" w:rsidRDefault="001231EA" w:rsidP="005F7F6E">
            <w:pPr>
              <w:pStyle w:val="CETBodytext"/>
              <w:jc w:val="left"/>
            </w:pPr>
            <w:r w:rsidRPr="00586674">
              <w:t>[bar]</w:t>
            </w:r>
          </w:p>
        </w:tc>
        <w:tc>
          <w:tcPr>
            <w:tcW w:w="2804" w:type="dxa"/>
            <w:gridSpan w:val="3"/>
            <w:tcBorders>
              <w:top w:val="single" w:sz="12" w:space="0" w:color="008000"/>
              <w:bottom w:val="single" w:sz="4" w:space="0" w:color="008000"/>
            </w:tcBorders>
            <w:shd w:val="clear" w:color="auto" w:fill="FFFFFF"/>
            <w:vAlign w:val="center"/>
          </w:tcPr>
          <w:p w14:paraId="72C4F789" w14:textId="77777777" w:rsidR="001231EA" w:rsidRPr="00586674" w:rsidRDefault="001231EA" w:rsidP="005F7F6E">
            <w:pPr>
              <w:pStyle w:val="CETBodytext"/>
              <w:jc w:val="left"/>
            </w:pPr>
            <w:r>
              <w:t>T=35°C</w:t>
            </w:r>
          </w:p>
        </w:tc>
        <w:tc>
          <w:tcPr>
            <w:tcW w:w="32" w:type="dxa"/>
            <w:gridSpan w:val="2"/>
            <w:tcBorders>
              <w:top w:val="single" w:sz="12" w:space="0" w:color="008000"/>
              <w:bottom w:val="single" w:sz="4" w:space="0" w:color="008000"/>
            </w:tcBorders>
            <w:shd w:val="clear" w:color="auto" w:fill="FFFFFF"/>
            <w:vAlign w:val="center"/>
          </w:tcPr>
          <w:p w14:paraId="0959393C" w14:textId="77777777" w:rsidR="001231EA" w:rsidRDefault="001231EA" w:rsidP="005F7F6E">
            <w:pPr>
              <w:pStyle w:val="CETBodytext"/>
              <w:jc w:val="left"/>
            </w:pPr>
          </w:p>
        </w:tc>
        <w:tc>
          <w:tcPr>
            <w:tcW w:w="2627" w:type="dxa"/>
            <w:gridSpan w:val="3"/>
            <w:tcBorders>
              <w:top w:val="single" w:sz="12" w:space="0" w:color="008000"/>
              <w:bottom w:val="single" w:sz="4" w:space="0" w:color="008000"/>
            </w:tcBorders>
            <w:shd w:val="clear" w:color="auto" w:fill="FFFFFF"/>
            <w:vAlign w:val="center"/>
          </w:tcPr>
          <w:p w14:paraId="3EF56D04" w14:textId="77777777" w:rsidR="001231EA" w:rsidRDefault="001231EA" w:rsidP="005F7F6E">
            <w:pPr>
              <w:pStyle w:val="CETBodytext"/>
              <w:jc w:val="left"/>
            </w:pPr>
            <w:r>
              <w:t>T=40°C</w:t>
            </w:r>
          </w:p>
        </w:tc>
        <w:tc>
          <w:tcPr>
            <w:tcW w:w="20" w:type="dxa"/>
            <w:tcBorders>
              <w:top w:val="single" w:sz="12" w:space="0" w:color="008000"/>
              <w:bottom w:val="single" w:sz="4" w:space="0" w:color="008000"/>
            </w:tcBorders>
            <w:shd w:val="clear" w:color="auto" w:fill="FFFFFF"/>
            <w:vAlign w:val="center"/>
          </w:tcPr>
          <w:p w14:paraId="68641176" w14:textId="77777777" w:rsidR="001231EA" w:rsidRDefault="001231EA" w:rsidP="005F7F6E">
            <w:pPr>
              <w:pStyle w:val="CETBodytext"/>
              <w:jc w:val="left"/>
            </w:pPr>
          </w:p>
        </w:tc>
        <w:tc>
          <w:tcPr>
            <w:tcW w:w="2598" w:type="dxa"/>
            <w:gridSpan w:val="4"/>
            <w:tcBorders>
              <w:top w:val="single" w:sz="12" w:space="0" w:color="008000"/>
              <w:bottom w:val="single" w:sz="4" w:space="0" w:color="008000"/>
            </w:tcBorders>
            <w:shd w:val="clear" w:color="auto" w:fill="FFFFFF"/>
            <w:vAlign w:val="center"/>
          </w:tcPr>
          <w:p w14:paraId="61FEC1FE" w14:textId="77777777" w:rsidR="001231EA" w:rsidRDefault="001231EA" w:rsidP="005F7F6E">
            <w:pPr>
              <w:pStyle w:val="CETBodytext"/>
              <w:jc w:val="left"/>
            </w:pPr>
            <w:r>
              <w:t>T=45°C</w:t>
            </w:r>
          </w:p>
        </w:tc>
      </w:tr>
      <w:tr w:rsidR="001231EA" w:rsidRPr="00586674" w14:paraId="4A012E4A" w14:textId="77777777" w:rsidTr="005F7F6E">
        <w:trPr>
          <w:gridAfter w:val="1"/>
          <w:wAfter w:w="32" w:type="dxa"/>
          <w:trHeight w:val="134"/>
        </w:trPr>
        <w:tc>
          <w:tcPr>
            <w:tcW w:w="740" w:type="dxa"/>
            <w:vMerge/>
            <w:tcBorders>
              <w:top w:val="nil"/>
              <w:bottom w:val="single" w:sz="4" w:space="0" w:color="008000"/>
            </w:tcBorders>
            <w:shd w:val="clear" w:color="auto" w:fill="FFFFFF"/>
          </w:tcPr>
          <w:p w14:paraId="131EAF0F" w14:textId="77777777" w:rsidR="001231EA" w:rsidRPr="00586674" w:rsidRDefault="001231EA" w:rsidP="005F7F6E">
            <w:pPr>
              <w:pStyle w:val="CETBodytext"/>
              <w:jc w:val="left"/>
            </w:pPr>
          </w:p>
        </w:tc>
        <w:tc>
          <w:tcPr>
            <w:tcW w:w="678" w:type="dxa"/>
            <w:tcBorders>
              <w:bottom w:val="single" w:sz="4" w:space="0" w:color="008000"/>
            </w:tcBorders>
            <w:shd w:val="clear" w:color="auto" w:fill="FFFFFF"/>
            <w:vAlign w:val="center"/>
          </w:tcPr>
          <w:p w14:paraId="1B2E9164" w14:textId="77777777" w:rsidR="001231EA" w:rsidRDefault="001231EA" w:rsidP="005F7F6E">
            <w:pPr>
              <w:pStyle w:val="CETBodytext"/>
              <w:jc w:val="left"/>
            </w:pPr>
            <w:r>
              <w:t>Biogas [Nm</w:t>
            </w:r>
            <w:r w:rsidRPr="0062511D">
              <w:rPr>
                <w:vertAlign w:val="superscript"/>
              </w:rPr>
              <w:t>3</w:t>
            </w:r>
            <w:r>
              <w:t xml:space="preserve">/d] </w:t>
            </w:r>
          </w:p>
        </w:tc>
        <w:tc>
          <w:tcPr>
            <w:tcW w:w="992" w:type="dxa"/>
            <w:tcBorders>
              <w:bottom w:val="single" w:sz="4" w:space="0" w:color="008000"/>
            </w:tcBorders>
            <w:shd w:val="clear" w:color="auto" w:fill="FFFFFF"/>
            <w:vAlign w:val="center"/>
          </w:tcPr>
          <w:p w14:paraId="648C72FB" w14:textId="77777777" w:rsidR="001231EA" w:rsidRDefault="001231EA" w:rsidP="005F7F6E">
            <w:pPr>
              <w:pStyle w:val="CETBodytext"/>
              <w:jc w:val="left"/>
            </w:pPr>
            <w:r>
              <w:t>Liquid waste</w:t>
            </w:r>
          </w:p>
          <w:p w14:paraId="7B23F639" w14:textId="77777777" w:rsidR="001231EA" w:rsidRDefault="001231EA" w:rsidP="005F7F6E">
            <w:pPr>
              <w:pStyle w:val="CETBodytext"/>
              <w:jc w:val="left"/>
            </w:pPr>
            <w:r>
              <w:t>[t/d]</w:t>
            </w:r>
          </w:p>
        </w:tc>
        <w:tc>
          <w:tcPr>
            <w:tcW w:w="1134" w:type="dxa"/>
            <w:tcBorders>
              <w:bottom w:val="single" w:sz="4" w:space="0" w:color="008000"/>
            </w:tcBorders>
            <w:shd w:val="clear" w:color="auto" w:fill="FFFFFF"/>
            <w:vAlign w:val="center"/>
          </w:tcPr>
          <w:p w14:paraId="2DA9F041" w14:textId="77777777" w:rsidR="001231EA" w:rsidRDefault="001231EA" w:rsidP="005F7F6E">
            <w:pPr>
              <w:pStyle w:val="CETBodytext"/>
              <w:jc w:val="left"/>
            </w:pPr>
            <w:r>
              <w:t>Biogas Productivity</w:t>
            </w:r>
          </w:p>
          <w:p w14:paraId="6B72B7B7" w14:textId="77777777" w:rsidR="001231EA" w:rsidRDefault="001231EA" w:rsidP="005F7F6E">
            <w:pPr>
              <w:pStyle w:val="CETBodytext"/>
              <w:jc w:val="left"/>
            </w:pPr>
            <w:r>
              <w:t>[Nm</w:t>
            </w:r>
            <w:r w:rsidRPr="0062511D">
              <w:rPr>
                <w:vertAlign w:val="superscript"/>
              </w:rPr>
              <w:t>3</w:t>
            </w:r>
            <w:r>
              <w:t>/t]</w:t>
            </w:r>
          </w:p>
        </w:tc>
        <w:tc>
          <w:tcPr>
            <w:tcW w:w="20" w:type="dxa"/>
            <w:vMerge w:val="restart"/>
            <w:tcBorders>
              <w:top w:val="single" w:sz="4" w:space="0" w:color="008000"/>
              <w:bottom w:val="single" w:sz="4" w:space="0" w:color="008000"/>
            </w:tcBorders>
            <w:shd w:val="clear" w:color="auto" w:fill="FFFFFF"/>
          </w:tcPr>
          <w:p w14:paraId="2AFED9F9" w14:textId="77777777" w:rsidR="001231EA" w:rsidRDefault="001231EA" w:rsidP="005F7F6E">
            <w:pPr>
              <w:pStyle w:val="CETBodytext"/>
              <w:jc w:val="left"/>
            </w:pPr>
          </w:p>
        </w:tc>
        <w:tc>
          <w:tcPr>
            <w:tcW w:w="721" w:type="dxa"/>
            <w:gridSpan w:val="2"/>
            <w:tcBorders>
              <w:top w:val="single" w:sz="4" w:space="0" w:color="008000"/>
              <w:bottom w:val="single" w:sz="4" w:space="0" w:color="008000"/>
            </w:tcBorders>
            <w:shd w:val="clear" w:color="auto" w:fill="FFFFFF"/>
            <w:vAlign w:val="center"/>
          </w:tcPr>
          <w:p w14:paraId="0DFCEDEB" w14:textId="77777777" w:rsidR="001231EA" w:rsidRDefault="001231EA" w:rsidP="005F7F6E">
            <w:pPr>
              <w:pStyle w:val="CETBodytext"/>
              <w:jc w:val="left"/>
            </w:pPr>
            <w:r>
              <w:t>Biogas [Nm</w:t>
            </w:r>
            <w:r w:rsidRPr="0062511D">
              <w:rPr>
                <w:vertAlign w:val="superscript"/>
              </w:rPr>
              <w:t>3</w:t>
            </w:r>
            <w:r>
              <w:t>/d]</w:t>
            </w:r>
          </w:p>
        </w:tc>
        <w:tc>
          <w:tcPr>
            <w:tcW w:w="851" w:type="dxa"/>
            <w:tcBorders>
              <w:top w:val="single" w:sz="4" w:space="0" w:color="008000"/>
              <w:bottom w:val="single" w:sz="4" w:space="0" w:color="008000"/>
            </w:tcBorders>
            <w:vAlign w:val="center"/>
          </w:tcPr>
          <w:p w14:paraId="3B3FF649" w14:textId="77777777" w:rsidR="001231EA" w:rsidRDefault="001231EA" w:rsidP="005F7F6E">
            <w:pPr>
              <w:pStyle w:val="CETBodytext"/>
              <w:jc w:val="left"/>
            </w:pPr>
            <w:r>
              <w:t xml:space="preserve">Liquid waste </w:t>
            </w:r>
          </w:p>
          <w:p w14:paraId="1FD824EA" w14:textId="77777777" w:rsidR="001231EA" w:rsidRDefault="001231EA" w:rsidP="005F7F6E">
            <w:pPr>
              <w:pStyle w:val="CETBodytext"/>
              <w:jc w:val="left"/>
            </w:pPr>
            <w:r>
              <w:t>[t/d]</w:t>
            </w:r>
          </w:p>
        </w:tc>
        <w:tc>
          <w:tcPr>
            <w:tcW w:w="1067" w:type="dxa"/>
            <w:tcBorders>
              <w:top w:val="single" w:sz="4" w:space="0" w:color="008000"/>
              <w:bottom w:val="single" w:sz="4" w:space="0" w:color="008000"/>
            </w:tcBorders>
            <w:vAlign w:val="center"/>
          </w:tcPr>
          <w:p w14:paraId="420CE90B" w14:textId="77777777" w:rsidR="001231EA" w:rsidRDefault="001231EA" w:rsidP="005F7F6E">
            <w:pPr>
              <w:pStyle w:val="CETBodytext"/>
              <w:jc w:val="left"/>
            </w:pPr>
            <w:r>
              <w:t>Biogas Productivity</w:t>
            </w:r>
          </w:p>
          <w:p w14:paraId="04552224" w14:textId="77777777" w:rsidR="001231EA" w:rsidRDefault="001231EA" w:rsidP="005F7F6E">
            <w:pPr>
              <w:pStyle w:val="CETBodytext"/>
              <w:jc w:val="left"/>
            </w:pPr>
            <w:r>
              <w:t>[Nm</w:t>
            </w:r>
            <w:r w:rsidRPr="0062511D">
              <w:rPr>
                <w:vertAlign w:val="superscript"/>
              </w:rPr>
              <w:t>3</w:t>
            </w:r>
            <w:r>
              <w:t xml:space="preserve">/t] </w:t>
            </w:r>
          </w:p>
        </w:tc>
        <w:tc>
          <w:tcPr>
            <w:tcW w:w="20" w:type="dxa"/>
            <w:vMerge w:val="restart"/>
            <w:tcBorders>
              <w:bottom w:val="single" w:sz="4" w:space="0" w:color="008000"/>
            </w:tcBorders>
          </w:tcPr>
          <w:p w14:paraId="510B7C12" w14:textId="77777777" w:rsidR="001231EA" w:rsidRDefault="001231EA" w:rsidP="005F7F6E">
            <w:pPr>
              <w:pStyle w:val="CETBodytext"/>
              <w:jc w:val="left"/>
            </w:pPr>
          </w:p>
        </w:tc>
        <w:tc>
          <w:tcPr>
            <w:tcW w:w="755" w:type="dxa"/>
            <w:tcBorders>
              <w:top w:val="single" w:sz="4" w:space="0" w:color="008000"/>
              <w:bottom w:val="single" w:sz="4" w:space="0" w:color="008000"/>
            </w:tcBorders>
            <w:vAlign w:val="center"/>
          </w:tcPr>
          <w:p w14:paraId="40A392D5" w14:textId="77777777" w:rsidR="001231EA" w:rsidRDefault="001231EA" w:rsidP="005F7F6E">
            <w:pPr>
              <w:pStyle w:val="CETBodytext"/>
              <w:jc w:val="left"/>
            </w:pPr>
            <w:r>
              <w:t>Biogas</w:t>
            </w:r>
          </w:p>
          <w:p w14:paraId="5E44DC7B" w14:textId="77777777" w:rsidR="001231EA" w:rsidRDefault="001231EA" w:rsidP="005F7F6E">
            <w:pPr>
              <w:pStyle w:val="CETBodytext"/>
              <w:jc w:val="left"/>
            </w:pPr>
            <w:r>
              <w:t>[Nm</w:t>
            </w:r>
            <w:r w:rsidRPr="0062511D">
              <w:rPr>
                <w:vertAlign w:val="superscript"/>
              </w:rPr>
              <w:t>3</w:t>
            </w:r>
            <w:r>
              <w:t xml:space="preserve">/d] </w:t>
            </w:r>
          </w:p>
        </w:tc>
        <w:tc>
          <w:tcPr>
            <w:tcW w:w="851" w:type="dxa"/>
            <w:tcBorders>
              <w:top w:val="single" w:sz="4" w:space="0" w:color="008000"/>
              <w:bottom w:val="single" w:sz="4" w:space="0" w:color="008000"/>
            </w:tcBorders>
            <w:vAlign w:val="center"/>
          </w:tcPr>
          <w:p w14:paraId="12CB3221" w14:textId="77777777" w:rsidR="001231EA" w:rsidRDefault="001231EA" w:rsidP="005F7F6E">
            <w:pPr>
              <w:pStyle w:val="CETBodytext"/>
              <w:jc w:val="left"/>
            </w:pPr>
            <w:r>
              <w:t>Liquid waste</w:t>
            </w:r>
          </w:p>
          <w:p w14:paraId="184ECE7E" w14:textId="77777777" w:rsidR="001231EA" w:rsidRDefault="001231EA" w:rsidP="005F7F6E">
            <w:pPr>
              <w:pStyle w:val="CETBodytext"/>
              <w:jc w:val="left"/>
            </w:pPr>
            <w:r>
              <w:t>[t/d]</w:t>
            </w:r>
          </w:p>
        </w:tc>
        <w:tc>
          <w:tcPr>
            <w:tcW w:w="960" w:type="dxa"/>
            <w:tcBorders>
              <w:top w:val="single" w:sz="4" w:space="0" w:color="008000"/>
              <w:bottom w:val="single" w:sz="4" w:space="0" w:color="008000"/>
            </w:tcBorders>
            <w:vAlign w:val="center"/>
          </w:tcPr>
          <w:p w14:paraId="22547B96" w14:textId="77777777" w:rsidR="001231EA" w:rsidRDefault="001231EA" w:rsidP="005F7F6E">
            <w:pPr>
              <w:pStyle w:val="CETBodytext"/>
              <w:jc w:val="left"/>
            </w:pPr>
            <w:r>
              <w:t>Biogas Productivity</w:t>
            </w:r>
          </w:p>
          <w:p w14:paraId="1E15EBBB" w14:textId="77777777" w:rsidR="001231EA" w:rsidRDefault="001231EA" w:rsidP="005F7F6E">
            <w:pPr>
              <w:pStyle w:val="CETBodytext"/>
              <w:jc w:val="left"/>
            </w:pPr>
            <w:r>
              <w:t>[Nm</w:t>
            </w:r>
            <w:r w:rsidRPr="0062511D">
              <w:rPr>
                <w:vertAlign w:val="superscript"/>
              </w:rPr>
              <w:t>3</w:t>
            </w:r>
            <w:r>
              <w:t>/t]</w:t>
            </w:r>
          </w:p>
        </w:tc>
      </w:tr>
      <w:tr w:rsidR="001231EA" w:rsidRPr="00586674" w14:paraId="54A44001" w14:textId="77777777" w:rsidTr="005F7F6E">
        <w:trPr>
          <w:gridAfter w:val="1"/>
          <w:wAfter w:w="32" w:type="dxa"/>
          <w:trHeight w:val="267"/>
        </w:trPr>
        <w:tc>
          <w:tcPr>
            <w:tcW w:w="740" w:type="dxa"/>
            <w:tcBorders>
              <w:top w:val="single" w:sz="4" w:space="0" w:color="008000"/>
            </w:tcBorders>
            <w:shd w:val="clear" w:color="auto" w:fill="FFFFFF"/>
          </w:tcPr>
          <w:p w14:paraId="2A59A00E" w14:textId="77777777" w:rsidR="001231EA" w:rsidRPr="00586674" w:rsidRDefault="001231EA" w:rsidP="005F7F6E">
            <w:pPr>
              <w:pStyle w:val="CETBodytext"/>
              <w:jc w:val="left"/>
            </w:pPr>
            <w:r w:rsidRPr="00586674">
              <w:t>1.5</w:t>
            </w:r>
          </w:p>
        </w:tc>
        <w:tc>
          <w:tcPr>
            <w:tcW w:w="678" w:type="dxa"/>
            <w:tcBorders>
              <w:top w:val="single" w:sz="4" w:space="0" w:color="008000"/>
            </w:tcBorders>
            <w:shd w:val="clear" w:color="auto" w:fill="FFFFFF"/>
          </w:tcPr>
          <w:p w14:paraId="4B5E0463" w14:textId="77777777" w:rsidR="001231EA" w:rsidRPr="00586674" w:rsidRDefault="001231EA" w:rsidP="005F7F6E">
            <w:pPr>
              <w:pStyle w:val="CETBodytext"/>
              <w:jc w:val="left"/>
            </w:pPr>
            <w:r>
              <w:t>149</w:t>
            </w:r>
          </w:p>
        </w:tc>
        <w:tc>
          <w:tcPr>
            <w:tcW w:w="992" w:type="dxa"/>
            <w:tcBorders>
              <w:top w:val="single" w:sz="4" w:space="0" w:color="008000"/>
            </w:tcBorders>
            <w:shd w:val="clear" w:color="auto" w:fill="FFFFFF"/>
          </w:tcPr>
          <w:p w14:paraId="70DB38DB" w14:textId="77777777" w:rsidR="001231EA" w:rsidRPr="00586674" w:rsidRDefault="001231EA" w:rsidP="005F7F6E">
            <w:pPr>
              <w:pStyle w:val="CETBodytext"/>
              <w:jc w:val="left"/>
            </w:pPr>
            <w:r>
              <w:t>1.89</w:t>
            </w:r>
          </w:p>
        </w:tc>
        <w:tc>
          <w:tcPr>
            <w:tcW w:w="1134" w:type="dxa"/>
            <w:tcBorders>
              <w:top w:val="single" w:sz="4" w:space="0" w:color="008000"/>
            </w:tcBorders>
            <w:shd w:val="clear" w:color="auto" w:fill="FFFFFF"/>
          </w:tcPr>
          <w:p w14:paraId="2521232B" w14:textId="77777777" w:rsidR="001231EA" w:rsidRPr="00586674" w:rsidRDefault="001231EA" w:rsidP="005F7F6E">
            <w:pPr>
              <w:pStyle w:val="CETBodytext"/>
              <w:jc w:val="left"/>
            </w:pPr>
            <w:r>
              <w:t>74.5</w:t>
            </w:r>
          </w:p>
        </w:tc>
        <w:tc>
          <w:tcPr>
            <w:tcW w:w="20" w:type="dxa"/>
            <w:vMerge/>
            <w:tcBorders>
              <w:top w:val="single" w:sz="4" w:space="0" w:color="008000"/>
            </w:tcBorders>
            <w:shd w:val="clear" w:color="auto" w:fill="FFFFFF"/>
          </w:tcPr>
          <w:p w14:paraId="034EFAF9" w14:textId="77777777" w:rsidR="001231EA" w:rsidRDefault="001231EA" w:rsidP="005F7F6E">
            <w:pPr>
              <w:pStyle w:val="CETBodytext"/>
              <w:jc w:val="left"/>
            </w:pPr>
          </w:p>
        </w:tc>
        <w:tc>
          <w:tcPr>
            <w:tcW w:w="721" w:type="dxa"/>
            <w:gridSpan w:val="2"/>
            <w:tcBorders>
              <w:top w:val="single" w:sz="4" w:space="0" w:color="008000"/>
            </w:tcBorders>
            <w:shd w:val="clear" w:color="auto" w:fill="FFFFFF"/>
          </w:tcPr>
          <w:p w14:paraId="07FEC77A" w14:textId="77777777" w:rsidR="001231EA" w:rsidRPr="00586674" w:rsidRDefault="001231EA" w:rsidP="005F7F6E">
            <w:pPr>
              <w:pStyle w:val="CETBodytext"/>
              <w:jc w:val="left"/>
            </w:pPr>
            <w:r>
              <w:t>152</w:t>
            </w:r>
          </w:p>
        </w:tc>
        <w:tc>
          <w:tcPr>
            <w:tcW w:w="851" w:type="dxa"/>
            <w:tcBorders>
              <w:top w:val="single" w:sz="4" w:space="0" w:color="008000"/>
            </w:tcBorders>
          </w:tcPr>
          <w:p w14:paraId="54373C75" w14:textId="77777777" w:rsidR="001231EA" w:rsidRPr="00586674" w:rsidRDefault="001231EA" w:rsidP="005F7F6E">
            <w:pPr>
              <w:pStyle w:val="CETBodytext"/>
              <w:jc w:val="left"/>
            </w:pPr>
            <w:r>
              <w:t>1.89</w:t>
            </w:r>
          </w:p>
        </w:tc>
        <w:tc>
          <w:tcPr>
            <w:tcW w:w="1067" w:type="dxa"/>
            <w:tcBorders>
              <w:top w:val="single" w:sz="4" w:space="0" w:color="008000"/>
            </w:tcBorders>
          </w:tcPr>
          <w:p w14:paraId="66173A9F" w14:textId="77777777" w:rsidR="001231EA" w:rsidRPr="00586674" w:rsidRDefault="001231EA" w:rsidP="005F7F6E">
            <w:pPr>
              <w:pStyle w:val="CETBodytext"/>
              <w:jc w:val="left"/>
            </w:pPr>
            <w:r>
              <w:t>76.0</w:t>
            </w:r>
          </w:p>
        </w:tc>
        <w:tc>
          <w:tcPr>
            <w:tcW w:w="20" w:type="dxa"/>
            <w:vMerge/>
            <w:tcBorders>
              <w:top w:val="single" w:sz="4" w:space="0" w:color="008000"/>
            </w:tcBorders>
          </w:tcPr>
          <w:p w14:paraId="2430C66C" w14:textId="77777777" w:rsidR="001231EA" w:rsidRPr="00586674" w:rsidRDefault="001231EA" w:rsidP="005F7F6E">
            <w:pPr>
              <w:pStyle w:val="CETBodytext"/>
              <w:jc w:val="left"/>
            </w:pPr>
          </w:p>
        </w:tc>
        <w:tc>
          <w:tcPr>
            <w:tcW w:w="755" w:type="dxa"/>
            <w:tcBorders>
              <w:top w:val="single" w:sz="4" w:space="0" w:color="008000"/>
            </w:tcBorders>
          </w:tcPr>
          <w:p w14:paraId="7E38DCD8" w14:textId="77777777" w:rsidR="001231EA" w:rsidRPr="00586674" w:rsidRDefault="001231EA" w:rsidP="005F7F6E">
            <w:pPr>
              <w:pStyle w:val="CETBodytext"/>
              <w:jc w:val="left"/>
            </w:pPr>
            <w:r>
              <w:t>157</w:t>
            </w:r>
          </w:p>
        </w:tc>
        <w:tc>
          <w:tcPr>
            <w:tcW w:w="851" w:type="dxa"/>
            <w:tcBorders>
              <w:top w:val="single" w:sz="4" w:space="0" w:color="008000"/>
            </w:tcBorders>
          </w:tcPr>
          <w:p w14:paraId="667D52D6" w14:textId="77777777" w:rsidR="001231EA" w:rsidRPr="00586674" w:rsidRDefault="001231EA" w:rsidP="005F7F6E">
            <w:pPr>
              <w:pStyle w:val="CETBodytext"/>
              <w:jc w:val="left"/>
            </w:pPr>
            <w:r>
              <w:t>1.88</w:t>
            </w:r>
          </w:p>
        </w:tc>
        <w:tc>
          <w:tcPr>
            <w:tcW w:w="960" w:type="dxa"/>
            <w:tcBorders>
              <w:top w:val="single" w:sz="4" w:space="0" w:color="008000"/>
            </w:tcBorders>
          </w:tcPr>
          <w:p w14:paraId="70DFCC0F" w14:textId="77777777" w:rsidR="001231EA" w:rsidRPr="00586674" w:rsidRDefault="001231EA" w:rsidP="005F7F6E">
            <w:pPr>
              <w:pStyle w:val="CETBodytext"/>
              <w:jc w:val="left"/>
            </w:pPr>
            <w:r>
              <w:t>78.5</w:t>
            </w:r>
          </w:p>
        </w:tc>
      </w:tr>
      <w:tr w:rsidR="001231EA" w:rsidRPr="00586674" w14:paraId="2B875C75" w14:textId="77777777" w:rsidTr="005F7F6E">
        <w:trPr>
          <w:gridAfter w:val="1"/>
          <w:wAfter w:w="32" w:type="dxa"/>
          <w:trHeight w:val="267"/>
        </w:trPr>
        <w:tc>
          <w:tcPr>
            <w:tcW w:w="740" w:type="dxa"/>
            <w:shd w:val="clear" w:color="auto" w:fill="FFFFFF"/>
          </w:tcPr>
          <w:p w14:paraId="3C383736" w14:textId="77777777" w:rsidR="001231EA" w:rsidRPr="00586674" w:rsidRDefault="001231EA" w:rsidP="005F7F6E">
            <w:pPr>
              <w:pStyle w:val="CETBodytext"/>
              <w:jc w:val="left"/>
            </w:pPr>
            <w:r w:rsidRPr="00586674">
              <w:t>2.0</w:t>
            </w:r>
          </w:p>
        </w:tc>
        <w:tc>
          <w:tcPr>
            <w:tcW w:w="678" w:type="dxa"/>
            <w:shd w:val="clear" w:color="auto" w:fill="FFFFFF"/>
          </w:tcPr>
          <w:p w14:paraId="53AAEC15" w14:textId="77777777" w:rsidR="001231EA" w:rsidRPr="00586674" w:rsidRDefault="001231EA" w:rsidP="005F7F6E">
            <w:pPr>
              <w:pStyle w:val="CETBodytext"/>
              <w:jc w:val="left"/>
            </w:pPr>
            <w:r>
              <w:t>144</w:t>
            </w:r>
          </w:p>
        </w:tc>
        <w:tc>
          <w:tcPr>
            <w:tcW w:w="992" w:type="dxa"/>
            <w:shd w:val="clear" w:color="auto" w:fill="FFFFFF"/>
          </w:tcPr>
          <w:p w14:paraId="5F2FB6D2" w14:textId="77777777" w:rsidR="001231EA" w:rsidRPr="00586674" w:rsidRDefault="001231EA" w:rsidP="005F7F6E">
            <w:pPr>
              <w:pStyle w:val="CETBodytext"/>
              <w:jc w:val="left"/>
            </w:pPr>
            <w:r>
              <w:t>1.90</w:t>
            </w:r>
          </w:p>
        </w:tc>
        <w:tc>
          <w:tcPr>
            <w:tcW w:w="1134" w:type="dxa"/>
            <w:shd w:val="clear" w:color="auto" w:fill="FFFFFF"/>
          </w:tcPr>
          <w:p w14:paraId="44858449" w14:textId="77777777" w:rsidR="001231EA" w:rsidRPr="00586674" w:rsidRDefault="001231EA" w:rsidP="005F7F6E">
            <w:pPr>
              <w:pStyle w:val="CETBodytext"/>
              <w:jc w:val="left"/>
            </w:pPr>
            <w:r>
              <w:t>72.0</w:t>
            </w:r>
          </w:p>
        </w:tc>
        <w:tc>
          <w:tcPr>
            <w:tcW w:w="20" w:type="dxa"/>
            <w:vMerge/>
            <w:shd w:val="clear" w:color="auto" w:fill="FFFFFF"/>
          </w:tcPr>
          <w:p w14:paraId="5130B0DF" w14:textId="77777777" w:rsidR="001231EA" w:rsidRPr="00586674" w:rsidRDefault="001231EA" w:rsidP="005F7F6E">
            <w:pPr>
              <w:pStyle w:val="CETBodytext"/>
              <w:jc w:val="left"/>
            </w:pPr>
          </w:p>
        </w:tc>
        <w:tc>
          <w:tcPr>
            <w:tcW w:w="721" w:type="dxa"/>
            <w:gridSpan w:val="2"/>
            <w:shd w:val="clear" w:color="auto" w:fill="FFFFFF"/>
          </w:tcPr>
          <w:p w14:paraId="53FE385F" w14:textId="77777777" w:rsidR="001231EA" w:rsidRPr="00586674" w:rsidRDefault="001231EA" w:rsidP="005F7F6E">
            <w:pPr>
              <w:pStyle w:val="CETBodytext"/>
              <w:jc w:val="left"/>
            </w:pPr>
            <w:r>
              <w:t>148</w:t>
            </w:r>
          </w:p>
        </w:tc>
        <w:tc>
          <w:tcPr>
            <w:tcW w:w="851" w:type="dxa"/>
          </w:tcPr>
          <w:p w14:paraId="5AC57ACA" w14:textId="77777777" w:rsidR="001231EA" w:rsidRPr="00586674" w:rsidRDefault="001231EA" w:rsidP="005F7F6E">
            <w:pPr>
              <w:pStyle w:val="CETBodytext"/>
              <w:jc w:val="left"/>
            </w:pPr>
            <w:r>
              <w:t>1.89</w:t>
            </w:r>
          </w:p>
        </w:tc>
        <w:tc>
          <w:tcPr>
            <w:tcW w:w="1067" w:type="dxa"/>
          </w:tcPr>
          <w:p w14:paraId="65046EE6" w14:textId="77777777" w:rsidR="001231EA" w:rsidRPr="00586674" w:rsidRDefault="001231EA" w:rsidP="005F7F6E">
            <w:pPr>
              <w:pStyle w:val="CETBodytext"/>
              <w:jc w:val="left"/>
            </w:pPr>
            <w:r>
              <w:t>74.0</w:t>
            </w:r>
          </w:p>
        </w:tc>
        <w:tc>
          <w:tcPr>
            <w:tcW w:w="20" w:type="dxa"/>
            <w:vMerge/>
          </w:tcPr>
          <w:p w14:paraId="761F4D63" w14:textId="77777777" w:rsidR="001231EA" w:rsidRPr="00586674" w:rsidRDefault="001231EA" w:rsidP="005F7F6E">
            <w:pPr>
              <w:pStyle w:val="CETBodytext"/>
              <w:jc w:val="left"/>
            </w:pPr>
          </w:p>
        </w:tc>
        <w:tc>
          <w:tcPr>
            <w:tcW w:w="755" w:type="dxa"/>
          </w:tcPr>
          <w:p w14:paraId="29E8B505" w14:textId="77777777" w:rsidR="001231EA" w:rsidRPr="00586674" w:rsidRDefault="001231EA" w:rsidP="005F7F6E">
            <w:pPr>
              <w:pStyle w:val="CETBodytext"/>
              <w:jc w:val="left"/>
            </w:pPr>
            <w:r>
              <w:t>154</w:t>
            </w:r>
          </w:p>
        </w:tc>
        <w:tc>
          <w:tcPr>
            <w:tcW w:w="851" w:type="dxa"/>
          </w:tcPr>
          <w:p w14:paraId="5F754393" w14:textId="77777777" w:rsidR="001231EA" w:rsidRPr="00586674" w:rsidRDefault="001231EA" w:rsidP="005F7F6E">
            <w:pPr>
              <w:pStyle w:val="CETBodytext"/>
              <w:jc w:val="left"/>
            </w:pPr>
            <w:r>
              <w:t>1.89</w:t>
            </w:r>
          </w:p>
        </w:tc>
        <w:tc>
          <w:tcPr>
            <w:tcW w:w="960" w:type="dxa"/>
          </w:tcPr>
          <w:p w14:paraId="30AE5889" w14:textId="77777777" w:rsidR="001231EA" w:rsidRPr="00586674" w:rsidRDefault="001231EA" w:rsidP="005F7F6E">
            <w:pPr>
              <w:pStyle w:val="CETBodytext"/>
              <w:jc w:val="left"/>
            </w:pPr>
            <w:r>
              <w:t>77.0</w:t>
            </w:r>
          </w:p>
        </w:tc>
      </w:tr>
      <w:tr w:rsidR="001231EA" w:rsidRPr="00586674" w14:paraId="603A39B3" w14:textId="77777777" w:rsidTr="005F7F6E">
        <w:trPr>
          <w:gridAfter w:val="1"/>
          <w:wAfter w:w="32" w:type="dxa"/>
          <w:trHeight w:val="267"/>
        </w:trPr>
        <w:tc>
          <w:tcPr>
            <w:tcW w:w="740" w:type="dxa"/>
            <w:shd w:val="clear" w:color="auto" w:fill="FFFFFF"/>
          </w:tcPr>
          <w:p w14:paraId="02F2C26F" w14:textId="77777777" w:rsidR="001231EA" w:rsidRPr="00586674" w:rsidRDefault="001231EA" w:rsidP="005F7F6E">
            <w:pPr>
              <w:pStyle w:val="CETBodytext"/>
              <w:jc w:val="left"/>
            </w:pPr>
            <w:r w:rsidRPr="00586674">
              <w:t>3.0</w:t>
            </w:r>
          </w:p>
        </w:tc>
        <w:tc>
          <w:tcPr>
            <w:tcW w:w="678" w:type="dxa"/>
            <w:shd w:val="clear" w:color="auto" w:fill="FFFFFF"/>
          </w:tcPr>
          <w:p w14:paraId="3619CC34" w14:textId="77777777" w:rsidR="001231EA" w:rsidRPr="00586674" w:rsidRDefault="001231EA" w:rsidP="005F7F6E">
            <w:pPr>
              <w:pStyle w:val="CETBodytext"/>
              <w:jc w:val="left"/>
            </w:pPr>
            <w:r>
              <w:t>135</w:t>
            </w:r>
          </w:p>
        </w:tc>
        <w:tc>
          <w:tcPr>
            <w:tcW w:w="992" w:type="dxa"/>
            <w:shd w:val="clear" w:color="auto" w:fill="FFFFFF"/>
          </w:tcPr>
          <w:p w14:paraId="16BBC35B" w14:textId="77777777" w:rsidR="001231EA" w:rsidRPr="00586674" w:rsidRDefault="001231EA" w:rsidP="005F7F6E">
            <w:pPr>
              <w:pStyle w:val="CETBodytext"/>
              <w:jc w:val="left"/>
            </w:pPr>
            <w:r>
              <w:t>1.90</w:t>
            </w:r>
          </w:p>
        </w:tc>
        <w:tc>
          <w:tcPr>
            <w:tcW w:w="1134" w:type="dxa"/>
            <w:shd w:val="clear" w:color="auto" w:fill="FFFFFF"/>
          </w:tcPr>
          <w:p w14:paraId="3C424A15" w14:textId="77777777" w:rsidR="001231EA" w:rsidRPr="00586674" w:rsidRDefault="001231EA" w:rsidP="005F7F6E">
            <w:pPr>
              <w:pStyle w:val="CETBodytext"/>
              <w:jc w:val="left"/>
            </w:pPr>
            <w:r>
              <w:t>67.5</w:t>
            </w:r>
          </w:p>
        </w:tc>
        <w:tc>
          <w:tcPr>
            <w:tcW w:w="20" w:type="dxa"/>
            <w:vMerge/>
            <w:shd w:val="clear" w:color="auto" w:fill="FFFFFF"/>
          </w:tcPr>
          <w:p w14:paraId="5620E12B" w14:textId="77777777" w:rsidR="001231EA" w:rsidRPr="00586674" w:rsidRDefault="001231EA" w:rsidP="005F7F6E">
            <w:pPr>
              <w:pStyle w:val="CETBodytext"/>
              <w:jc w:val="left"/>
            </w:pPr>
          </w:p>
        </w:tc>
        <w:tc>
          <w:tcPr>
            <w:tcW w:w="721" w:type="dxa"/>
            <w:gridSpan w:val="2"/>
            <w:shd w:val="clear" w:color="auto" w:fill="FFFFFF"/>
          </w:tcPr>
          <w:p w14:paraId="466B0AC8" w14:textId="77777777" w:rsidR="001231EA" w:rsidRPr="00586674" w:rsidRDefault="001231EA" w:rsidP="005F7F6E">
            <w:pPr>
              <w:pStyle w:val="CETBodytext"/>
              <w:jc w:val="left"/>
            </w:pPr>
            <w:r>
              <w:t>145</w:t>
            </w:r>
          </w:p>
        </w:tc>
        <w:tc>
          <w:tcPr>
            <w:tcW w:w="851" w:type="dxa"/>
          </w:tcPr>
          <w:p w14:paraId="13898488" w14:textId="77777777" w:rsidR="001231EA" w:rsidRPr="00586674" w:rsidRDefault="001231EA" w:rsidP="005F7F6E">
            <w:pPr>
              <w:pStyle w:val="CETBodytext"/>
              <w:jc w:val="left"/>
            </w:pPr>
            <w:r>
              <w:t>1.90</w:t>
            </w:r>
          </w:p>
        </w:tc>
        <w:tc>
          <w:tcPr>
            <w:tcW w:w="1067" w:type="dxa"/>
          </w:tcPr>
          <w:p w14:paraId="1DAE2223" w14:textId="77777777" w:rsidR="001231EA" w:rsidRPr="00586674" w:rsidRDefault="001231EA" w:rsidP="005F7F6E">
            <w:pPr>
              <w:pStyle w:val="CETBodytext"/>
              <w:jc w:val="left"/>
            </w:pPr>
            <w:r>
              <w:t>69.5</w:t>
            </w:r>
          </w:p>
        </w:tc>
        <w:tc>
          <w:tcPr>
            <w:tcW w:w="20" w:type="dxa"/>
            <w:vMerge/>
          </w:tcPr>
          <w:p w14:paraId="3C604C31" w14:textId="77777777" w:rsidR="001231EA" w:rsidRPr="00586674" w:rsidRDefault="001231EA" w:rsidP="005F7F6E">
            <w:pPr>
              <w:pStyle w:val="CETBodytext"/>
              <w:jc w:val="left"/>
            </w:pPr>
          </w:p>
        </w:tc>
        <w:tc>
          <w:tcPr>
            <w:tcW w:w="755" w:type="dxa"/>
          </w:tcPr>
          <w:p w14:paraId="5557C579" w14:textId="77777777" w:rsidR="001231EA" w:rsidRPr="00586674" w:rsidRDefault="001231EA" w:rsidP="005F7F6E">
            <w:pPr>
              <w:pStyle w:val="CETBodytext"/>
              <w:jc w:val="left"/>
            </w:pPr>
            <w:r>
              <w:t>145</w:t>
            </w:r>
          </w:p>
        </w:tc>
        <w:tc>
          <w:tcPr>
            <w:tcW w:w="851" w:type="dxa"/>
          </w:tcPr>
          <w:p w14:paraId="233F8C59" w14:textId="77777777" w:rsidR="001231EA" w:rsidRPr="00586674" w:rsidRDefault="001231EA" w:rsidP="005F7F6E">
            <w:pPr>
              <w:pStyle w:val="CETBodytext"/>
              <w:jc w:val="left"/>
            </w:pPr>
            <w:r>
              <w:t>1.89</w:t>
            </w:r>
          </w:p>
        </w:tc>
        <w:tc>
          <w:tcPr>
            <w:tcW w:w="960" w:type="dxa"/>
          </w:tcPr>
          <w:p w14:paraId="57F8008E" w14:textId="77777777" w:rsidR="001231EA" w:rsidRPr="00586674" w:rsidRDefault="001231EA" w:rsidP="005F7F6E">
            <w:pPr>
              <w:pStyle w:val="CETBodytext"/>
              <w:jc w:val="left"/>
            </w:pPr>
            <w:r>
              <w:t>72.5</w:t>
            </w:r>
          </w:p>
        </w:tc>
      </w:tr>
      <w:tr w:rsidR="001231EA" w:rsidRPr="00586674" w14:paraId="6CBF9589" w14:textId="77777777" w:rsidTr="005F7F6E">
        <w:trPr>
          <w:gridAfter w:val="1"/>
          <w:wAfter w:w="32" w:type="dxa"/>
          <w:trHeight w:val="267"/>
        </w:trPr>
        <w:tc>
          <w:tcPr>
            <w:tcW w:w="740" w:type="dxa"/>
            <w:shd w:val="clear" w:color="auto" w:fill="FFFFFF"/>
          </w:tcPr>
          <w:p w14:paraId="34C47A5E" w14:textId="77777777" w:rsidR="001231EA" w:rsidRPr="00586674" w:rsidRDefault="001231EA" w:rsidP="005F7F6E">
            <w:pPr>
              <w:pStyle w:val="CETBodytext"/>
              <w:jc w:val="left"/>
            </w:pPr>
            <w:r w:rsidRPr="00586674">
              <w:t>4.0</w:t>
            </w:r>
          </w:p>
        </w:tc>
        <w:tc>
          <w:tcPr>
            <w:tcW w:w="678" w:type="dxa"/>
            <w:shd w:val="clear" w:color="auto" w:fill="FFFFFF"/>
          </w:tcPr>
          <w:p w14:paraId="70974907" w14:textId="77777777" w:rsidR="001231EA" w:rsidRPr="00586674" w:rsidRDefault="001231EA" w:rsidP="005F7F6E">
            <w:pPr>
              <w:pStyle w:val="CETBodytext"/>
              <w:jc w:val="left"/>
            </w:pPr>
            <w:r>
              <w:t>131</w:t>
            </w:r>
          </w:p>
        </w:tc>
        <w:tc>
          <w:tcPr>
            <w:tcW w:w="992" w:type="dxa"/>
            <w:shd w:val="clear" w:color="auto" w:fill="FFFFFF"/>
          </w:tcPr>
          <w:p w14:paraId="76D98C6C" w14:textId="77777777" w:rsidR="001231EA" w:rsidRPr="00586674" w:rsidRDefault="001231EA" w:rsidP="005F7F6E">
            <w:pPr>
              <w:pStyle w:val="CETBodytext"/>
              <w:jc w:val="left"/>
            </w:pPr>
            <w:r>
              <w:t>1.91</w:t>
            </w:r>
          </w:p>
        </w:tc>
        <w:tc>
          <w:tcPr>
            <w:tcW w:w="1134" w:type="dxa"/>
            <w:shd w:val="clear" w:color="auto" w:fill="FFFFFF"/>
          </w:tcPr>
          <w:p w14:paraId="12ED073E" w14:textId="77777777" w:rsidR="001231EA" w:rsidRPr="00586674" w:rsidRDefault="001231EA" w:rsidP="005F7F6E">
            <w:pPr>
              <w:pStyle w:val="CETBodytext"/>
              <w:jc w:val="left"/>
            </w:pPr>
            <w:r>
              <w:t>65.5</w:t>
            </w:r>
          </w:p>
        </w:tc>
        <w:tc>
          <w:tcPr>
            <w:tcW w:w="20" w:type="dxa"/>
            <w:vMerge/>
            <w:shd w:val="clear" w:color="auto" w:fill="FFFFFF"/>
          </w:tcPr>
          <w:p w14:paraId="2A3BA0AE" w14:textId="77777777" w:rsidR="001231EA" w:rsidRPr="00586674" w:rsidRDefault="001231EA" w:rsidP="005F7F6E">
            <w:pPr>
              <w:pStyle w:val="CETBodytext"/>
              <w:jc w:val="left"/>
            </w:pPr>
          </w:p>
        </w:tc>
        <w:tc>
          <w:tcPr>
            <w:tcW w:w="721" w:type="dxa"/>
            <w:gridSpan w:val="2"/>
            <w:shd w:val="clear" w:color="auto" w:fill="FFFFFF"/>
          </w:tcPr>
          <w:p w14:paraId="4C8FEDCE" w14:textId="77777777" w:rsidR="001231EA" w:rsidRPr="00586674" w:rsidRDefault="001231EA" w:rsidP="005F7F6E">
            <w:pPr>
              <w:pStyle w:val="CETBodytext"/>
              <w:jc w:val="left"/>
            </w:pPr>
            <w:r>
              <w:t>142</w:t>
            </w:r>
          </w:p>
        </w:tc>
        <w:tc>
          <w:tcPr>
            <w:tcW w:w="851" w:type="dxa"/>
          </w:tcPr>
          <w:p w14:paraId="48A2D353" w14:textId="77777777" w:rsidR="001231EA" w:rsidRPr="00586674" w:rsidRDefault="001231EA" w:rsidP="005F7F6E">
            <w:pPr>
              <w:pStyle w:val="CETBodytext"/>
              <w:jc w:val="left"/>
            </w:pPr>
            <w:r>
              <w:t>1.90</w:t>
            </w:r>
          </w:p>
        </w:tc>
        <w:tc>
          <w:tcPr>
            <w:tcW w:w="1067" w:type="dxa"/>
          </w:tcPr>
          <w:p w14:paraId="2991E8AD" w14:textId="77777777" w:rsidR="001231EA" w:rsidRPr="00586674" w:rsidRDefault="001231EA" w:rsidP="005F7F6E">
            <w:pPr>
              <w:pStyle w:val="CETBodytext"/>
              <w:jc w:val="left"/>
            </w:pPr>
            <w:r>
              <w:t>68.0</w:t>
            </w:r>
          </w:p>
        </w:tc>
        <w:tc>
          <w:tcPr>
            <w:tcW w:w="20" w:type="dxa"/>
            <w:vMerge/>
          </w:tcPr>
          <w:p w14:paraId="5D98004D" w14:textId="77777777" w:rsidR="001231EA" w:rsidRPr="00586674" w:rsidRDefault="001231EA" w:rsidP="005F7F6E">
            <w:pPr>
              <w:pStyle w:val="CETBodytext"/>
              <w:jc w:val="left"/>
            </w:pPr>
          </w:p>
        </w:tc>
        <w:tc>
          <w:tcPr>
            <w:tcW w:w="755" w:type="dxa"/>
          </w:tcPr>
          <w:p w14:paraId="2B506071" w14:textId="77777777" w:rsidR="001231EA" w:rsidRPr="00586674" w:rsidRDefault="001231EA" w:rsidP="005F7F6E">
            <w:pPr>
              <w:pStyle w:val="CETBodytext"/>
              <w:jc w:val="left"/>
            </w:pPr>
            <w:r>
              <w:t>142</w:t>
            </w:r>
          </w:p>
        </w:tc>
        <w:tc>
          <w:tcPr>
            <w:tcW w:w="851" w:type="dxa"/>
          </w:tcPr>
          <w:p w14:paraId="45909A0E" w14:textId="77777777" w:rsidR="001231EA" w:rsidRPr="00586674" w:rsidRDefault="001231EA" w:rsidP="005F7F6E">
            <w:pPr>
              <w:pStyle w:val="CETBodytext"/>
              <w:jc w:val="left"/>
            </w:pPr>
            <w:r>
              <w:t>1.90</w:t>
            </w:r>
          </w:p>
        </w:tc>
        <w:tc>
          <w:tcPr>
            <w:tcW w:w="960" w:type="dxa"/>
          </w:tcPr>
          <w:p w14:paraId="5772DE1B" w14:textId="77777777" w:rsidR="001231EA" w:rsidRPr="00586674" w:rsidRDefault="001231EA" w:rsidP="005F7F6E">
            <w:pPr>
              <w:pStyle w:val="CETBodytext"/>
              <w:jc w:val="left"/>
            </w:pPr>
            <w:r>
              <w:t>71.0</w:t>
            </w:r>
          </w:p>
        </w:tc>
      </w:tr>
      <w:tr w:rsidR="001231EA" w:rsidRPr="00586674" w14:paraId="1AA25467" w14:textId="77777777" w:rsidTr="005F7F6E">
        <w:trPr>
          <w:gridAfter w:val="1"/>
          <w:wAfter w:w="32" w:type="dxa"/>
          <w:trHeight w:val="267"/>
        </w:trPr>
        <w:tc>
          <w:tcPr>
            <w:tcW w:w="740" w:type="dxa"/>
            <w:tcBorders>
              <w:top w:val="nil"/>
              <w:bottom w:val="single" w:sz="12" w:space="0" w:color="008000"/>
            </w:tcBorders>
            <w:shd w:val="clear" w:color="auto" w:fill="FFFFFF"/>
          </w:tcPr>
          <w:p w14:paraId="0CD89FE9" w14:textId="77777777" w:rsidR="001231EA" w:rsidRPr="00586674" w:rsidRDefault="001231EA" w:rsidP="005F7F6E">
            <w:pPr>
              <w:pStyle w:val="CETBodytext"/>
              <w:jc w:val="left"/>
            </w:pPr>
            <w:r w:rsidRPr="00586674">
              <w:t>5.0</w:t>
            </w:r>
          </w:p>
        </w:tc>
        <w:tc>
          <w:tcPr>
            <w:tcW w:w="678" w:type="dxa"/>
            <w:tcBorders>
              <w:bottom w:val="single" w:sz="12" w:space="0" w:color="008000"/>
            </w:tcBorders>
            <w:shd w:val="clear" w:color="auto" w:fill="FFFFFF"/>
          </w:tcPr>
          <w:p w14:paraId="6D7B59ED" w14:textId="77777777" w:rsidR="001231EA" w:rsidRPr="00586674" w:rsidRDefault="001231EA" w:rsidP="005F7F6E">
            <w:pPr>
              <w:pStyle w:val="CETBodytext"/>
              <w:jc w:val="left"/>
            </w:pPr>
            <w:r>
              <w:t>127</w:t>
            </w:r>
          </w:p>
        </w:tc>
        <w:tc>
          <w:tcPr>
            <w:tcW w:w="992" w:type="dxa"/>
            <w:tcBorders>
              <w:bottom w:val="single" w:sz="12" w:space="0" w:color="008000"/>
            </w:tcBorders>
            <w:shd w:val="clear" w:color="auto" w:fill="FFFFFF"/>
          </w:tcPr>
          <w:p w14:paraId="3035C05A" w14:textId="77777777" w:rsidR="001231EA" w:rsidRPr="00586674" w:rsidRDefault="001231EA" w:rsidP="005F7F6E">
            <w:pPr>
              <w:pStyle w:val="CETBodytext"/>
              <w:jc w:val="left"/>
            </w:pPr>
            <w:r>
              <w:t>1.91</w:t>
            </w:r>
          </w:p>
        </w:tc>
        <w:tc>
          <w:tcPr>
            <w:tcW w:w="1134" w:type="dxa"/>
            <w:tcBorders>
              <w:bottom w:val="single" w:sz="12" w:space="0" w:color="008000"/>
            </w:tcBorders>
            <w:shd w:val="clear" w:color="auto" w:fill="FFFFFF"/>
          </w:tcPr>
          <w:p w14:paraId="1920FBDD" w14:textId="77777777" w:rsidR="001231EA" w:rsidRPr="00586674" w:rsidRDefault="001231EA" w:rsidP="005F7F6E">
            <w:pPr>
              <w:pStyle w:val="CETBodytext"/>
              <w:jc w:val="left"/>
            </w:pPr>
            <w:r>
              <w:t>63.5</w:t>
            </w:r>
          </w:p>
        </w:tc>
        <w:tc>
          <w:tcPr>
            <w:tcW w:w="20" w:type="dxa"/>
            <w:vMerge/>
            <w:tcBorders>
              <w:bottom w:val="single" w:sz="12" w:space="0" w:color="008000"/>
            </w:tcBorders>
            <w:shd w:val="clear" w:color="auto" w:fill="FFFFFF"/>
          </w:tcPr>
          <w:p w14:paraId="216B057C" w14:textId="77777777" w:rsidR="001231EA" w:rsidRPr="00586674" w:rsidRDefault="001231EA" w:rsidP="005F7F6E">
            <w:pPr>
              <w:pStyle w:val="CETBodytext"/>
              <w:jc w:val="left"/>
            </w:pPr>
          </w:p>
        </w:tc>
        <w:tc>
          <w:tcPr>
            <w:tcW w:w="721" w:type="dxa"/>
            <w:gridSpan w:val="2"/>
            <w:tcBorders>
              <w:bottom w:val="single" w:sz="12" w:space="0" w:color="008000"/>
            </w:tcBorders>
            <w:shd w:val="clear" w:color="auto" w:fill="FFFFFF"/>
          </w:tcPr>
          <w:p w14:paraId="21BE225E" w14:textId="77777777" w:rsidR="001231EA" w:rsidRPr="00586674" w:rsidRDefault="001231EA" w:rsidP="005F7F6E">
            <w:pPr>
              <w:pStyle w:val="CETBodytext"/>
              <w:jc w:val="left"/>
            </w:pPr>
            <w:r>
              <w:t>139</w:t>
            </w:r>
          </w:p>
        </w:tc>
        <w:tc>
          <w:tcPr>
            <w:tcW w:w="851" w:type="dxa"/>
          </w:tcPr>
          <w:p w14:paraId="16392C18" w14:textId="77777777" w:rsidR="001231EA" w:rsidRPr="00586674" w:rsidRDefault="001231EA" w:rsidP="005F7F6E">
            <w:pPr>
              <w:pStyle w:val="CETBodytext"/>
              <w:jc w:val="left"/>
            </w:pPr>
            <w:r>
              <w:t>1.91</w:t>
            </w:r>
          </w:p>
        </w:tc>
        <w:tc>
          <w:tcPr>
            <w:tcW w:w="1067" w:type="dxa"/>
          </w:tcPr>
          <w:p w14:paraId="2A5D542F" w14:textId="77777777" w:rsidR="001231EA" w:rsidRPr="00586674" w:rsidRDefault="001231EA" w:rsidP="005F7F6E">
            <w:pPr>
              <w:pStyle w:val="CETBodytext"/>
              <w:jc w:val="left"/>
            </w:pPr>
            <w:r>
              <w:t>66.0</w:t>
            </w:r>
          </w:p>
        </w:tc>
        <w:tc>
          <w:tcPr>
            <w:tcW w:w="20" w:type="dxa"/>
            <w:vMerge/>
          </w:tcPr>
          <w:p w14:paraId="59736324" w14:textId="77777777" w:rsidR="001231EA" w:rsidRPr="00586674" w:rsidRDefault="001231EA" w:rsidP="005F7F6E">
            <w:pPr>
              <w:pStyle w:val="CETBodytext"/>
              <w:jc w:val="left"/>
            </w:pPr>
          </w:p>
        </w:tc>
        <w:tc>
          <w:tcPr>
            <w:tcW w:w="755" w:type="dxa"/>
          </w:tcPr>
          <w:p w14:paraId="3AAF54A3" w14:textId="77777777" w:rsidR="001231EA" w:rsidRPr="00586674" w:rsidRDefault="001231EA" w:rsidP="005F7F6E">
            <w:pPr>
              <w:pStyle w:val="CETBodytext"/>
              <w:jc w:val="left"/>
            </w:pPr>
            <w:r>
              <w:t>139</w:t>
            </w:r>
          </w:p>
        </w:tc>
        <w:tc>
          <w:tcPr>
            <w:tcW w:w="851" w:type="dxa"/>
          </w:tcPr>
          <w:p w14:paraId="734ED504" w14:textId="77777777" w:rsidR="001231EA" w:rsidRPr="00586674" w:rsidRDefault="001231EA" w:rsidP="005F7F6E">
            <w:pPr>
              <w:pStyle w:val="CETBodytext"/>
              <w:jc w:val="left"/>
            </w:pPr>
            <w:r>
              <w:t>1.90</w:t>
            </w:r>
          </w:p>
        </w:tc>
        <w:tc>
          <w:tcPr>
            <w:tcW w:w="960" w:type="dxa"/>
          </w:tcPr>
          <w:p w14:paraId="324EF88F" w14:textId="77777777" w:rsidR="001231EA" w:rsidRPr="00586674" w:rsidRDefault="001231EA" w:rsidP="005F7F6E">
            <w:pPr>
              <w:pStyle w:val="CETBodytext"/>
              <w:jc w:val="left"/>
            </w:pPr>
            <w:r>
              <w:t>69.5</w:t>
            </w:r>
          </w:p>
        </w:tc>
      </w:tr>
    </w:tbl>
    <w:p w14:paraId="608CADB6" w14:textId="77777777" w:rsidR="001231EA" w:rsidRPr="00C77A16" w:rsidRDefault="001231EA" w:rsidP="001231EA">
      <w:pPr>
        <w:pStyle w:val="CETBodytext"/>
      </w:pPr>
    </w:p>
    <w:p w14:paraId="0FF10519" w14:textId="77777777" w:rsidR="001231EA" w:rsidRDefault="001231EA" w:rsidP="001231EA">
      <w:pPr>
        <w:pStyle w:val="CETBodytext"/>
      </w:pPr>
      <w:r>
        <w:t>CH</w:t>
      </w:r>
      <w:r w:rsidRPr="00B065AE">
        <w:rPr>
          <w:vertAlign w:val="subscript"/>
        </w:rPr>
        <w:t>4</w:t>
      </w:r>
      <w:r>
        <w:t xml:space="preserve"> concentration of the biogas</w:t>
      </w:r>
      <w:r w:rsidRPr="00A13DAA">
        <w:t xml:space="preserve"> at different </w:t>
      </w:r>
      <w:r>
        <w:t xml:space="preserve">operative </w:t>
      </w:r>
      <w:r w:rsidRPr="00A13DAA">
        <w:t>pressure</w:t>
      </w:r>
      <w:r>
        <w:t xml:space="preserve"> and temperature</w:t>
      </w:r>
      <w:r w:rsidRPr="00A13DAA">
        <w:t xml:space="preserve"> values</w:t>
      </w:r>
      <w:r>
        <w:t xml:space="preserve"> is reported in </w:t>
      </w:r>
      <w:r w:rsidR="00C778F5">
        <w:fldChar w:fldCharType="begin"/>
      </w:r>
      <w:r w:rsidR="00C778F5">
        <w:instrText xml:space="preserve"> REF _Ref182082 \h </w:instrText>
      </w:r>
      <w:r w:rsidR="00C778F5">
        <w:fldChar w:fldCharType="separate"/>
      </w:r>
      <w:r w:rsidR="00C778F5">
        <w:t xml:space="preserve">Figure </w:t>
      </w:r>
      <w:r w:rsidR="00C778F5">
        <w:rPr>
          <w:noProof/>
        </w:rPr>
        <w:t>3</w:t>
      </w:r>
      <w:r w:rsidR="00C778F5">
        <w:fldChar w:fldCharType="end"/>
      </w:r>
      <w:r w:rsidRPr="00A13DAA">
        <w:t>.</w:t>
      </w:r>
      <w:r>
        <w:t xml:space="preserve"> Increasing operative pressure, CH</w:t>
      </w:r>
      <w:r w:rsidRPr="00A112C6">
        <w:rPr>
          <w:vertAlign w:val="subscript"/>
        </w:rPr>
        <w:t>4</w:t>
      </w:r>
      <w:r>
        <w:t xml:space="preserve"> content in biogas stream increases due to the greater solubility of CO</w:t>
      </w:r>
      <w:r w:rsidRPr="00A112C6">
        <w:rPr>
          <w:vertAlign w:val="subscript"/>
        </w:rPr>
        <w:t>2</w:t>
      </w:r>
      <w:r>
        <w:rPr>
          <w:vertAlign w:val="subscript"/>
        </w:rPr>
        <w:t xml:space="preserve"> </w:t>
      </w:r>
      <w:r>
        <w:t>in liquid phase. According to Henry’s law, CO</w:t>
      </w:r>
      <w:r w:rsidRPr="00A112C6">
        <w:rPr>
          <w:vertAlign w:val="subscript"/>
        </w:rPr>
        <w:t>2</w:t>
      </w:r>
      <w:r>
        <w:t xml:space="preserve"> solubility in liquid increases with greater value of its partial pressure in gas phase</w:t>
      </w:r>
      <w:r w:rsidRPr="00E8663F">
        <w:rPr>
          <w:color w:val="000000" w:themeColor="text1"/>
        </w:rPr>
        <w:t>, and consequently CO</w:t>
      </w:r>
      <w:r w:rsidRPr="00E8663F">
        <w:rPr>
          <w:color w:val="000000" w:themeColor="text1"/>
          <w:vertAlign w:val="subscript"/>
        </w:rPr>
        <w:t>2</w:t>
      </w:r>
      <w:r w:rsidRPr="00E8663F">
        <w:rPr>
          <w:color w:val="000000" w:themeColor="text1"/>
        </w:rPr>
        <w:t xml:space="preserve"> concentration in the biogas flow decrease</w:t>
      </w:r>
      <w:r>
        <w:rPr>
          <w:color w:val="000000" w:themeColor="text1"/>
        </w:rPr>
        <w:t>s</w:t>
      </w:r>
      <w:r w:rsidRPr="00E8663F">
        <w:rPr>
          <w:color w:val="000000" w:themeColor="text1"/>
        </w:rPr>
        <w:t xml:space="preserve"> (</w:t>
      </w:r>
      <w:r>
        <w:rPr>
          <w:color w:val="000000" w:themeColor="text1"/>
        </w:rPr>
        <w:fldChar w:fldCharType="begin"/>
      </w:r>
      <w:r>
        <w:rPr>
          <w:color w:val="000000" w:themeColor="text1"/>
        </w:rPr>
        <w:instrText xml:space="preserve"> REF _Ref182124 \h </w:instrText>
      </w:r>
      <w:r>
        <w:rPr>
          <w:color w:val="000000" w:themeColor="text1"/>
        </w:rPr>
      </w:r>
      <w:r>
        <w:rPr>
          <w:color w:val="000000" w:themeColor="text1"/>
        </w:rPr>
        <w:fldChar w:fldCharType="separate"/>
      </w:r>
      <w:r>
        <w:t xml:space="preserve">Figure </w:t>
      </w:r>
      <w:r>
        <w:rPr>
          <w:noProof/>
        </w:rPr>
        <w:t>4</w:t>
      </w:r>
      <w:r>
        <w:rPr>
          <w:color w:val="000000" w:themeColor="text1"/>
        </w:rPr>
        <w:fldChar w:fldCharType="end"/>
      </w:r>
      <w:r w:rsidRPr="00E8663F">
        <w:rPr>
          <w:color w:val="000000" w:themeColor="text1"/>
        </w:rPr>
        <w:fldChar w:fldCharType="begin"/>
      </w:r>
      <w:r w:rsidRPr="00E8663F">
        <w:rPr>
          <w:color w:val="000000" w:themeColor="text1"/>
        </w:rPr>
        <w:instrText xml:space="preserve"> REF _Ref536541895 \h </w:instrText>
      </w:r>
      <w:r>
        <w:rPr>
          <w:color w:val="000000" w:themeColor="text1"/>
        </w:rPr>
        <w:instrText xml:space="preserve"> \* MERGEFORMAT </w:instrText>
      </w:r>
      <w:r w:rsidRPr="00E8663F">
        <w:rPr>
          <w:color w:val="000000" w:themeColor="text1"/>
        </w:rPr>
      </w:r>
      <w:r w:rsidRPr="00E8663F">
        <w:rPr>
          <w:color w:val="000000" w:themeColor="text1"/>
        </w:rPr>
        <w:fldChar w:fldCharType="end"/>
      </w:r>
      <w:r w:rsidRPr="00E8663F">
        <w:rPr>
          <w:color w:val="000000" w:themeColor="text1"/>
        </w:rPr>
        <w:t>). Furthermore, pH value in the liquid phase decreases with increasing of pressure</w:t>
      </w:r>
      <w:r>
        <w:rPr>
          <w:color w:val="000000" w:themeColor="text1"/>
        </w:rPr>
        <w:t xml:space="preserve">, as reported in </w:t>
      </w:r>
      <w:r>
        <w:rPr>
          <w:color w:val="000000" w:themeColor="text1"/>
        </w:rPr>
        <w:fldChar w:fldCharType="begin"/>
      </w:r>
      <w:r>
        <w:rPr>
          <w:color w:val="000000" w:themeColor="text1"/>
        </w:rPr>
        <w:instrText xml:space="preserve"> REF _Ref182197 \h </w:instrText>
      </w:r>
      <w:r>
        <w:rPr>
          <w:color w:val="000000" w:themeColor="text1"/>
        </w:rPr>
      </w:r>
      <w:r>
        <w:rPr>
          <w:color w:val="000000" w:themeColor="text1"/>
        </w:rPr>
        <w:fldChar w:fldCharType="separate"/>
      </w:r>
      <w:r>
        <w:t xml:space="preserve">Figure </w:t>
      </w:r>
      <w:r>
        <w:rPr>
          <w:noProof/>
        </w:rPr>
        <w:t>5</w:t>
      </w:r>
      <w:r>
        <w:rPr>
          <w:color w:val="000000" w:themeColor="text1"/>
        </w:rPr>
        <w:fldChar w:fldCharType="end"/>
      </w:r>
      <w:r w:rsidRPr="00C54834">
        <w:rPr>
          <w:color w:val="000000" w:themeColor="text1"/>
        </w:rPr>
        <w:t xml:space="preserve">, confirming results presented in </w:t>
      </w:r>
      <w:r w:rsidRPr="00C54834">
        <w:rPr>
          <w:color w:val="000000" w:themeColor="text1"/>
        </w:rPr>
        <w:fldChar w:fldCharType="begin" w:fldLock="1"/>
      </w:r>
      <w:r>
        <w:rPr>
          <w:color w:val="000000" w:themeColor="text1"/>
        </w:rPr>
        <w:instrText>ADDIN CSL_CITATION {"citationItems":[{"id":"ITEM-1","itemData":{"DOI":"10.1016/j.apenergy.2013.11.012","ISBN":"03062619","ISSN":"03062619","abstract":"Two-phase pressurized anaerobic digestion is a novel process aimed at facilitating injection of the produced biogas into the natural gas grid by integrating the fermentative biogas production and upgrading it to substitute natural gas. In order to understand the mechanisms, knowledge of pressure effects on anaerobic digestion is required. To examine the effects of pressure on the anaerobic digestion process, a two-phase anaerobic digestion system was built up in laboratory scale, including three acidogenesis-leach-bed-reactors and one pressure-resistant anaerobic filter. Four different pressure levels (the absolute pressure of 1bar, 3bar, 6bar and 9bar) were applied to the methane reactor in sequence, with the organic loading rate maintained at approximately 5.1kgCODm-3d-1. Gas production, gas quality, pH value, volatile fatty acids, alcohol, ammonium-nitrogen, chemical oxygen demand (COD) and alkaline buffer capacity were analyzed. No additional caustic chemicals were added for pH adjustment throughout the experiment. With the pressure increasing from 1.07bar to 8.91bar, the pH value decreased from 7.2 to 6.5, the methane content increased from 66% to 75%, and the specific methane yield was slightly reduced from 0.33lNg-1COD to 0.31lNg-1COD. There was almost no acid-accumulation during the entire experiment. The average COD-degradation grade was always more than 93%, and the average alkaline buffering capacity (VFA/TIC ratio) did not exceed 0.2 at any pressure level. The anaerobic filter showed a very stable performance, regardless of the pressure variation. © 2013 Elsevier Ltd.","author":[{"dropping-particle":"","family":"Chen","given":"Yuling","non-dropping-particle":"","parse-names":false,"suffix":""},{"dropping-particle":"","family":"Rößler","given":"Benjamin","non-dropping-particle":"","parse-names":false,"suffix":""},{"dropping-particle":"","family":"Zielonka","given":"Simon","non-dropping-particle":"","parse-names":false,"suffix":""},{"dropping-particle":"","family":"Lemmer","given":"Andreas","non-dropping-particle":"","parse-names":false,"suffix":""},{"dropping-particle":"","family":"Wonneberger","given":"Anna Maria","non-dropping-particle":"","parse-names":false,"suffix":""},{"dropping-particle":"","family":"Jungbluth","given":"Thomas","non-dropping-particle":"","parse-names":false,"suffix":""}],"container-title":"Applied Energy","id":"ITEM-1","issued":{"date-parts":[["2014"]]},"page":"409-415","title":"The pressure effects on two-phase anaerobic digestion","type":"article-journal","volume":"116"},"uris":["http://www.mendeley.com/documents/?uuid=639c8906-e859-4a65-9a88-3ef1cc3e3179","http://www.mendeley.com/documents/?uuid=6b199f83-0723-418a-8ff8-aa6342b95372"]},{"id":"ITEM-2","itemData":{"DOI":"10.1080/17597269.2017.1309854","ISBN":"1055-7903","ISSN":"17597277","PMID":"17768072","abstract":"One of the most novel foraging strategies in Neotropical birds is army-ant-following, in which birds prey upon arthropods and small vertebrates flushed from the forest floor by swarm raids of the army-ant Eciton burchellii. This specialization is most developed in the typical antbirds (Thamnophilidae) which are divisible into three specialization categories: (1) those that forage at swarms opportunistically as army-ants move through their territories (occasional followers), (2) those that follow swarms beyond their territories but also forage independently of swarms (regular followers), and (3) those that appear incapable of foraging independently of swarms (obligate followers). Although army-ant-following is one of the great spectacles of tropical forests, basic questions about its evolution remain unaddressed. Using a strongly resolved molecular phylogeny of the typical antbirds, we found that army-ant-following is phylogenetically conserved, with regular following having evolved only three times, and that the most likely evolutionary progression was from least (occasional) to more (regular) to most (obligate) specialized, with no reversals from the obligate state. Despite the dependence of the specialists on a single ant species, molecular dating indicates that army-ant-following has persisted in antbirds since the late Miocene. These results provide the first characterization of army-ant-following as an ancient and phylogenetically conserved specialization. ?? 2007 Elsevier Inc. All rights reserved.","author":[{"dropping-particle":"","family":"Al-Rubaye","given":"Haider","non-dropping-particle":"","parse-names":false,"suffix":""},{"dropping-particle":"","family":"Karambelkar","given":"Shruti","non-dropping-particle":"","parse-names":false,"suffix":""},{"dropping-particle":"","family":"Shivashankaraiah","given":"Manohar M.","non-dropping-particle":"","parse-names":false,"suffix":""},{"dropping-particle":"","family":"Smith","given":"Joseph D.","non-dropping-particle":"","parse-names":false,"suffix":""}],"container-title":"Biofuels","id":"ITEM-2","issued":{"date-parts":[["2017"]]},"page":"1-11","publisher":"Taylor &amp; Francis","title":"Process Simulation of Two-Stage Anaerobic Digestion for Methane Production","type":"article-journal"},"uris":["http://www.mendeley.com/documents/?uuid=778e8a33-9cae-400f-9f16-279d234a9f47","http://www.mendeley.com/documents/?uuid=ca82867f-9f8c-458d-b878-e62904258184"]}],"mendeley":{"formattedCitation":"(Al-Rubaye et al., 2017; Chen et al., 2014)","manualFormatting":"Al-Rubaye et al., (2017) and Chen et al., (2014","plainTextFormattedCitation":"(Al-Rubaye et al., 2017; Chen et al., 2014)","previouslyFormattedCitation":"(Al-Rubaye et al., 2017; Chen et al., 2014)"},"properties":{"noteIndex":0},"schema":"https://github.com/citation-style-language/schema/raw/master/csl-citation.json"}</w:instrText>
      </w:r>
      <w:r w:rsidRPr="00C54834">
        <w:rPr>
          <w:color w:val="000000" w:themeColor="text1"/>
        </w:rPr>
        <w:fldChar w:fldCharType="separate"/>
      </w:r>
      <w:r w:rsidRPr="00C54834">
        <w:rPr>
          <w:noProof/>
          <w:color w:val="000000" w:themeColor="text1"/>
        </w:rPr>
        <w:t xml:space="preserve">Al-Rubaye et al., </w:t>
      </w:r>
      <w:r>
        <w:rPr>
          <w:noProof/>
          <w:color w:val="000000" w:themeColor="text1"/>
        </w:rPr>
        <w:t>(</w:t>
      </w:r>
      <w:r w:rsidRPr="00C54834">
        <w:rPr>
          <w:noProof/>
          <w:color w:val="000000" w:themeColor="text1"/>
        </w:rPr>
        <w:t>2017</w:t>
      </w:r>
      <w:r>
        <w:rPr>
          <w:noProof/>
          <w:color w:val="000000" w:themeColor="text1"/>
        </w:rPr>
        <w:t>)</w:t>
      </w:r>
      <w:r w:rsidRPr="00C54834">
        <w:rPr>
          <w:noProof/>
          <w:color w:val="000000" w:themeColor="text1"/>
        </w:rPr>
        <w:t xml:space="preserve"> and Chen et al., </w:t>
      </w:r>
      <w:r>
        <w:rPr>
          <w:noProof/>
          <w:color w:val="000000" w:themeColor="text1"/>
        </w:rPr>
        <w:t>(</w:t>
      </w:r>
      <w:r w:rsidRPr="00C54834">
        <w:rPr>
          <w:noProof/>
          <w:color w:val="000000" w:themeColor="text1"/>
        </w:rPr>
        <w:t>2014</w:t>
      </w:r>
      <w:r w:rsidRPr="00C54834">
        <w:rPr>
          <w:color w:val="000000" w:themeColor="text1"/>
        </w:rPr>
        <w:fldChar w:fldCharType="end"/>
      </w:r>
      <w:r>
        <w:rPr>
          <w:color w:val="000000" w:themeColor="text1"/>
        </w:rPr>
        <w:t>)</w:t>
      </w:r>
      <w:r w:rsidRPr="00C54834">
        <w:rPr>
          <w:color w:val="000000" w:themeColor="text1"/>
        </w:rPr>
        <w:t xml:space="preserve">. The </w:t>
      </w:r>
      <w:r>
        <w:rPr>
          <w:color w:val="000000" w:themeColor="text1"/>
        </w:rPr>
        <w:t>increase</w:t>
      </w:r>
      <w:r w:rsidRPr="00C54834">
        <w:rPr>
          <w:color w:val="000000" w:themeColor="text1"/>
        </w:rPr>
        <w:t xml:space="preserve"> of temperature </w:t>
      </w:r>
      <w:r>
        <w:t>from 35 °C to 45 °C implies higher CH</w:t>
      </w:r>
      <w:r w:rsidRPr="00526205">
        <w:rPr>
          <w:vertAlign w:val="subscript"/>
        </w:rPr>
        <w:t>4</w:t>
      </w:r>
      <w:r>
        <w:t xml:space="preserve"> concentration in the biogas, in accordance with the study</w:t>
      </w:r>
      <w:r w:rsidRPr="001C2CCD">
        <w:t xml:space="preserve"> </w:t>
      </w:r>
      <w:r>
        <w:t xml:space="preserve">by </w:t>
      </w:r>
      <w:r>
        <w:fldChar w:fldCharType="begin" w:fldLock="1"/>
      </w:r>
      <w:r>
        <w:instrText>ADDIN CSL_CITATION {"citationItems":[{"id":"ITEM-1","itemData":{"DOI":"10.1016/j.renene.2018.01.119","ISBN":"3490701629315","ISSN":"18790682","abstract":"In this study, changes in the microbial communities and the metabolic pathway involved in anaerobic digestion were examined as the temperature was changed from 9 to 55 °C. The results from six batch biogas reactors, which were designed to ferment at 9, 15, 21, 35, 45 and 55 °C, showed that: 1) The components of the microbial communities and metabolic pathways were found to be very similar but the metabolic activities increased significantly when the temperature grew from 15 to 35 °C. 2) Hydrogenotrophic metabolism was almost exclusively observed when the temperature was lowered to 9 °C, whereas greater bacterial diversity involving hydrolisis, acidogenesis, and acetogenesis was observed when the temperature was raised to 45 °C. Finally, these dominant bacteria involved in hydrolisis, acidogenesis, and acetogenesis decreased in number when the temperature was raised to 55 °C and acetotrophic-type metabolism became the major metabolic pathway. That means the turning point for microbial community composition and metabolic pathway from mesophilic to thermophilic was at 45 °C and the metabolic pathway at 9 °C was somewhat different to those observed at 15–35 °C.","author":[{"dropping-particle":"","family":"Tian","given":"Guangliang","non-dropping-particle":"","parse-names":false,"suffix":""},{"dropping-particle":"","family":"Yang","given":"Bin","non-dropping-particle":"","parse-names":false,"suffix":""},{"dropping-particle":"","family":"Dong","given":"Minghua","non-dropping-particle":"","parse-names":false,"suffix":""},{"dropping-particle":"","family":"Zhu","given":"Rui","non-dropping-particle":"","parse-names":false,"suffix":""},{"dropping-particle":"","family":"Yin","given":"Fang","non-dropping-particle":"","parse-names":false,"suffix":""},{"dropping-particle":"","family":"Zhao","given":"Xingling","non-dropping-particle":"","parse-names":false,"suffix":""},{"dropping-particle":"","family":"Wang","given":"Yongxia","non-dropping-particle":"","parse-names":false,"suffix":""},{"dropping-particle":"","family":"Xiao","given":"Wei","non-dropping-particle":"","parse-names":false,"suffix":""},{"dropping-particle":"","family":"Wang","given":"Qiang","non-dropping-particle":"","parse-names":false,"suffix":""},{"dropping-particle":"","family":"Zhang","given":"Wudi","non-dropping-particle":"","parse-names":false,"suffix":""},{"dropping-particle":"","family":"Cui","given":"Xiaolong","non-dropping-particle":"","parse-names":false,"suffix":""}],"container-title":"Renewable Energy","id":"ITEM-1","issued":{"date-parts":[["2018"]]},"page":"15-25","title":"The effect of temperature on the microbial communities of peak biogas production in batch biogas reactors","type":"article-journal","volume":"123"},"uris":["http://www.mendeley.com/documents/?uuid=b9857043-3274-4ee5-9d5d-87204b065fff","http://www.mendeley.com/documents/?uuid=c619b329-acd3-4314-b1c3-9874899cfa44"]}],"mendeley":{"formattedCitation":"(Tian et al., 2018)","manualFormatting":"Tian et al., (2018","plainTextFormattedCitation":"(Tian et al., 2018)","previouslyFormattedCitation":"(Tian et al., 2018)"},"properties":{"noteIndex":0},"schema":"https://github.com/citation-style-language/schema/raw/master/csl-citation.json"}</w:instrText>
      </w:r>
      <w:r>
        <w:fldChar w:fldCharType="separate"/>
      </w:r>
      <w:r w:rsidRPr="00E8168E">
        <w:rPr>
          <w:noProof/>
        </w:rPr>
        <w:t xml:space="preserve">Tian et al., </w:t>
      </w:r>
      <w:r>
        <w:rPr>
          <w:noProof/>
        </w:rPr>
        <w:t>(</w:t>
      </w:r>
      <w:r w:rsidRPr="00E8168E">
        <w:rPr>
          <w:noProof/>
        </w:rPr>
        <w:t>2018</w:t>
      </w:r>
      <w:r>
        <w:fldChar w:fldCharType="end"/>
      </w:r>
      <w:r>
        <w:t>).</w:t>
      </w:r>
    </w:p>
    <w:p w14:paraId="2C5D4BBA" w14:textId="77777777" w:rsidR="001231EA" w:rsidRDefault="001231EA" w:rsidP="001231EA">
      <w:pPr>
        <w:pStyle w:val="CETBodytext"/>
      </w:pPr>
    </w:p>
    <w:p w14:paraId="122EE887" w14:textId="77777777" w:rsidR="001231EA" w:rsidRDefault="001231EA" w:rsidP="001231EA">
      <w:pPr>
        <w:pStyle w:val="CETBodytext"/>
        <w:keepNext/>
      </w:pPr>
      <w:r>
        <w:rPr>
          <w:noProof/>
          <w:lang w:val="it-IT" w:eastAsia="it-IT"/>
        </w:rPr>
        <w:drawing>
          <wp:inline distT="0" distB="0" distL="0" distR="0" wp14:anchorId="34DA4316" wp14:editId="344C7710">
            <wp:extent cx="3600000" cy="2160000"/>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ych4.JPG"/>
                    <pic:cNvPicPr/>
                  </pic:nvPicPr>
                  <pic:blipFill rotWithShape="1">
                    <a:blip r:embed="rId12" cstate="print">
                      <a:extLst>
                        <a:ext uri="{28A0092B-C50C-407E-A947-70E740481C1C}">
                          <a14:useLocalDpi xmlns:a14="http://schemas.microsoft.com/office/drawing/2010/main" val="0"/>
                        </a:ext>
                      </a:extLst>
                    </a:blip>
                    <a:srcRect l="10209" t="32528" r="3881" b="30360"/>
                    <a:stretch/>
                  </pic:blipFill>
                  <pic:spPr bwMode="auto">
                    <a:xfrm>
                      <a:off x="0" y="0"/>
                      <a:ext cx="360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C9B413C" w14:textId="77777777" w:rsidR="001231EA" w:rsidRDefault="001231EA" w:rsidP="001231EA">
      <w:pPr>
        <w:pStyle w:val="CETCaption"/>
      </w:pPr>
      <w:bookmarkStart w:id="15" w:name="_Ref182082"/>
      <w:r>
        <w:t xml:space="preserve">Figure </w:t>
      </w:r>
      <w:r>
        <w:fldChar w:fldCharType="begin"/>
      </w:r>
      <w:r>
        <w:instrText xml:space="preserve"> SEQ Figure \* ARABIC </w:instrText>
      </w:r>
      <w:r>
        <w:fldChar w:fldCharType="separate"/>
      </w:r>
      <w:r>
        <w:rPr>
          <w:noProof/>
        </w:rPr>
        <w:t>3</w:t>
      </w:r>
      <w:r>
        <w:fldChar w:fldCharType="end"/>
      </w:r>
      <w:bookmarkEnd w:id="15"/>
      <w:r>
        <w:t>: CH</w:t>
      </w:r>
      <w:r w:rsidRPr="00AD7A28">
        <w:rPr>
          <w:vertAlign w:val="subscript"/>
        </w:rPr>
        <w:t>4</w:t>
      </w:r>
      <w:r>
        <w:t xml:space="preserve"> concentration in biogas as function of pressure at different temperature</w:t>
      </w:r>
    </w:p>
    <w:p w14:paraId="5B226B7E" w14:textId="77777777" w:rsidR="001231EA" w:rsidRDefault="001231EA" w:rsidP="001231EA">
      <w:pPr>
        <w:pStyle w:val="CETCaption"/>
        <w:keepNext/>
      </w:pPr>
      <w:r>
        <w:rPr>
          <w:noProof/>
          <w:lang w:val="it-IT" w:eastAsia="it-IT"/>
        </w:rPr>
        <w:drawing>
          <wp:inline distT="0" distB="0" distL="0" distR="0" wp14:anchorId="74807302" wp14:editId="7EC8F787">
            <wp:extent cx="3600000" cy="21600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yco2.JPG"/>
                    <pic:cNvPicPr/>
                  </pic:nvPicPr>
                  <pic:blipFill rotWithShape="1">
                    <a:blip r:embed="rId13" cstate="print">
                      <a:extLst>
                        <a:ext uri="{28A0092B-C50C-407E-A947-70E740481C1C}">
                          <a14:useLocalDpi xmlns:a14="http://schemas.microsoft.com/office/drawing/2010/main" val="0"/>
                        </a:ext>
                      </a:extLst>
                    </a:blip>
                    <a:srcRect l="9960" t="32263" r="3881" b="30801"/>
                    <a:stretch/>
                  </pic:blipFill>
                  <pic:spPr bwMode="auto">
                    <a:xfrm>
                      <a:off x="0" y="0"/>
                      <a:ext cx="3600000" cy="2160000"/>
                    </a:xfrm>
                    <a:prstGeom prst="rect">
                      <a:avLst/>
                    </a:prstGeom>
                    <a:ln>
                      <a:noFill/>
                    </a:ln>
                    <a:extLst>
                      <a:ext uri="{53640926-AAD7-44D8-BBD7-CCE9431645EC}">
                        <a14:shadowObscured xmlns:a14="http://schemas.microsoft.com/office/drawing/2010/main"/>
                      </a:ext>
                    </a:extLst>
                  </pic:spPr>
                </pic:pic>
              </a:graphicData>
            </a:graphic>
          </wp:inline>
        </w:drawing>
      </w:r>
    </w:p>
    <w:p w14:paraId="5282B2AA" w14:textId="77777777" w:rsidR="001231EA" w:rsidRDefault="001231EA" w:rsidP="001231EA">
      <w:pPr>
        <w:pStyle w:val="CETCaption"/>
      </w:pPr>
      <w:bookmarkStart w:id="16" w:name="_Ref182124"/>
      <w:r>
        <w:t xml:space="preserve">Figure </w:t>
      </w:r>
      <w:r>
        <w:fldChar w:fldCharType="begin"/>
      </w:r>
      <w:r>
        <w:instrText xml:space="preserve"> SEQ Figure \* ARABIC </w:instrText>
      </w:r>
      <w:r>
        <w:fldChar w:fldCharType="separate"/>
      </w:r>
      <w:r>
        <w:rPr>
          <w:noProof/>
        </w:rPr>
        <w:t>4</w:t>
      </w:r>
      <w:r>
        <w:fldChar w:fldCharType="end"/>
      </w:r>
      <w:bookmarkEnd w:id="16"/>
      <w:r>
        <w:t xml:space="preserve"> :</w:t>
      </w:r>
      <w:r w:rsidRPr="00DB2066">
        <w:t xml:space="preserve"> </w:t>
      </w:r>
      <w:r>
        <w:t>CO</w:t>
      </w:r>
      <w:r>
        <w:rPr>
          <w:vertAlign w:val="subscript"/>
        </w:rPr>
        <w:t>2</w:t>
      </w:r>
      <w:r>
        <w:t xml:space="preserve"> concentration in biogas as function of pressure at different temperature</w:t>
      </w:r>
    </w:p>
    <w:p w14:paraId="7B0D0131" w14:textId="77777777" w:rsidR="001231EA" w:rsidRDefault="001231EA" w:rsidP="001231EA">
      <w:pPr>
        <w:pStyle w:val="CETCaption"/>
        <w:keepNext/>
        <w:jc w:val="left"/>
      </w:pPr>
      <w:r>
        <w:rPr>
          <w:noProof/>
        </w:rPr>
        <w:lastRenderedPageBreak/>
        <w:t xml:space="preserve">    </w:t>
      </w:r>
      <w:r>
        <w:rPr>
          <w:noProof/>
          <w:lang w:val="it-IT" w:eastAsia="it-IT"/>
        </w:rPr>
        <w:drawing>
          <wp:inline distT="0" distB="0" distL="0" distR="0" wp14:anchorId="7ECCF425" wp14:editId="17BF2442">
            <wp:extent cx="3499096" cy="216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JPG"/>
                    <pic:cNvPicPr/>
                  </pic:nvPicPr>
                  <pic:blipFill rotWithShape="1">
                    <a:blip r:embed="rId14" cstate="print">
                      <a:extLst>
                        <a:ext uri="{28A0092B-C50C-407E-A947-70E740481C1C}">
                          <a14:useLocalDpi xmlns:a14="http://schemas.microsoft.com/office/drawing/2010/main" val="0"/>
                        </a:ext>
                      </a:extLst>
                    </a:blip>
                    <a:srcRect l="11828" t="32263" r="3258" b="30625"/>
                    <a:stretch/>
                  </pic:blipFill>
                  <pic:spPr bwMode="auto">
                    <a:xfrm>
                      <a:off x="0" y="0"/>
                      <a:ext cx="3499096" cy="2160000"/>
                    </a:xfrm>
                    <a:prstGeom prst="rect">
                      <a:avLst/>
                    </a:prstGeom>
                    <a:ln>
                      <a:noFill/>
                    </a:ln>
                    <a:extLst>
                      <a:ext uri="{53640926-AAD7-44D8-BBD7-CCE9431645EC}">
                        <a14:shadowObscured xmlns:a14="http://schemas.microsoft.com/office/drawing/2010/main"/>
                      </a:ext>
                    </a:extLst>
                  </pic:spPr>
                </pic:pic>
              </a:graphicData>
            </a:graphic>
          </wp:inline>
        </w:drawing>
      </w:r>
    </w:p>
    <w:p w14:paraId="3CF3A20C" w14:textId="77777777" w:rsidR="001231EA" w:rsidRPr="001E1D6C" w:rsidRDefault="001231EA" w:rsidP="001231EA">
      <w:pPr>
        <w:pStyle w:val="CETCaption"/>
      </w:pPr>
      <w:bookmarkStart w:id="17" w:name="_Ref182197"/>
      <w:r>
        <w:t xml:space="preserve">Figure </w:t>
      </w:r>
      <w:r>
        <w:fldChar w:fldCharType="begin"/>
      </w:r>
      <w:r>
        <w:instrText xml:space="preserve"> SEQ Figure \* ARABIC </w:instrText>
      </w:r>
      <w:r>
        <w:fldChar w:fldCharType="separate"/>
      </w:r>
      <w:r>
        <w:rPr>
          <w:noProof/>
        </w:rPr>
        <w:t>5</w:t>
      </w:r>
      <w:r>
        <w:fldChar w:fldCharType="end"/>
      </w:r>
      <w:bookmarkEnd w:id="17"/>
      <w:r>
        <w:t>: pH in the liquid phase as function of pressure at different temperature</w:t>
      </w:r>
    </w:p>
    <w:p w14:paraId="699C79E7" w14:textId="77777777" w:rsidR="001231EA" w:rsidRPr="00F93AA8" w:rsidRDefault="001231EA" w:rsidP="001231EA">
      <w:pPr>
        <w:pStyle w:val="CETBodytext"/>
      </w:pPr>
      <w:r>
        <w:t>The effects of operating pressure of PAD on the performances of upgrading process of biogas were studied assuming CH</w:t>
      </w:r>
      <w:r w:rsidRPr="003003DF">
        <w:rPr>
          <w:vertAlign w:val="subscript"/>
        </w:rPr>
        <w:t>4</w:t>
      </w:r>
      <w:r>
        <w:t xml:space="preserve"> recovery (</w:t>
      </w:r>
      <w:r w:rsidRPr="00FE511E">
        <w:t>η)</w:t>
      </w:r>
      <w:r>
        <w:t xml:space="preserve"> equal to 30% and considering the biogas produced at 45 °C, because of the higher CH</w:t>
      </w:r>
      <w:r w:rsidRPr="0087743E">
        <w:rPr>
          <w:vertAlign w:val="subscript"/>
        </w:rPr>
        <w:t>4</w:t>
      </w:r>
      <w:r>
        <w:t xml:space="preserve"> concentration for all the pressures investigated (</w:t>
      </w:r>
      <w:r w:rsidR="00C778F5">
        <w:fldChar w:fldCharType="begin"/>
      </w:r>
      <w:r w:rsidR="00C778F5">
        <w:instrText xml:space="preserve"> REF _Ref182082 \h </w:instrText>
      </w:r>
      <w:r w:rsidR="00C778F5">
        <w:fldChar w:fldCharType="separate"/>
      </w:r>
      <w:r w:rsidR="00C778F5">
        <w:t xml:space="preserve">Figure </w:t>
      </w:r>
      <w:r w:rsidR="00C778F5">
        <w:rPr>
          <w:noProof/>
        </w:rPr>
        <w:t>3</w:t>
      </w:r>
      <w:r w:rsidR="00C778F5">
        <w:fldChar w:fldCharType="end"/>
      </w:r>
      <w:r>
        <w:t xml:space="preserve">). In </w:t>
      </w:r>
      <w:r w:rsidR="00C778F5">
        <w:fldChar w:fldCharType="begin"/>
      </w:r>
      <w:r w:rsidR="00C778F5">
        <w:instrText xml:space="preserve"> REF _Ref6217569 \h </w:instrText>
      </w:r>
      <w:r w:rsidR="00C778F5">
        <w:fldChar w:fldCharType="separate"/>
      </w:r>
      <w:r w:rsidR="00C778F5" w:rsidRPr="00FA3B4B">
        <w:t xml:space="preserve">Table </w:t>
      </w:r>
      <w:r w:rsidR="00C778F5">
        <w:rPr>
          <w:noProof/>
        </w:rPr>
        <w:t>4</w:t>
      </w:r>
      <w:r w:rsidR="00C778F5">
        <w:fldChar w:fldCharType="end"/>
      </w:r>
      <w:r>
        <w:t>, biogas, retentate, permeate flow rates and CH</w:t>
      </w:r>
      <w:r w:rsidRPr="00B00003">
        <w:rPr>
          <w:vertAlign w:val="subscript"/>
        </w:rPr>
        <w:t>4</w:t>
      </w:r>
      <w:r>
        <w:t xml:space="preserve"> volumetric concentrations in retentate (methane purity </w:t>
      </w:r>
      <w:proofErr w:type="spellStart"/>
      <w:r w:rsidRPr="008F116B">
        <w:t>y</w:t>
      </w:r>
      <w:r w:rsidRPr="008F116B">
        <w:rPr>
          <w:vertAlign w:val="subscript"/>
        </w:rPr>
        <w:t>R</w:t>
      </w:r>
      <w:proofErr w:type="spellEnd"/>
      <w:r>
        <w:t>) and permeate are reported (</w:t>
      </w:r>
      <w:proofErr w:type="spellStart"/>
      <w:r w:rsidRPr="008F116B">
        <w:t>y</w:t>
      </w:r>
      <w:r w:rsidRPr="008F116B">
        <w:rPr>
          <w:vertAlign w:val="subscript"/>
        </w:rPr>
        <w:t>R</w:t>
      </w:r>
      <w:proofErr w:type="spellEnd"/>
      <w:r>
        <w:t>). By increasing pressure, biogas, retentate and permeate flow rates decreased while methane purity (</w:t>
      </w:r>
      <w:proofErr w:type="spellStart"/>
      <w:r w:rsidRPr="008F116B">
        <w:t>y</w:t>
      </w:r>
      <w:r w:rsidRPr="008F116B">
        <w:rPr>
          <w:vertAlign w:val="subscript"/>
        </w:rPr>
        <w:t>R</w:t>
      </w:r>
      <w:proofErr w:type="spellEnd"/>
      <w:r>
        <w:t xml:space="preserve">) increased; </w:t>
      </w:r>
      <w:proofErr w:type="gramStart"/>
      <w:r>
        <w:t>in particular a</w:t>
      </w:r>
      <w:proofErr w:type="gramEnd"/>
      <w:r>
        <w:t xml:space="preserve"> pressure of 3 bar resulted sufficient to produce a retentate flow rate with a CH</w:t>
      </w:r>
      <w:r w:rsidRPr="007E183B">
        <w:rPr>
          <w:vertAlign w:val="subscript"/>
        </w:rPr>
        <w:t>4</w:t>
      </w:r>
      <w:r>
        <w:t xml:space="preserve"> purity higher than</w:t>
      </w:r>
      <w:r w:rsidRPr="008F116B">
        <w:t xml:space="preserve"> </w:t>
      </w:r>
      <w:r>
        <w:t>95</w:t>
      </w:r>
      <w:r w:rsidRPr="008F116B">
        <w:t>%</w:t>
      </w:r>
      <w:r>
        <w:t xml:space="preserve"> (</w:t>
      </w:r>
      <w:proofErr w:type="spellStart"/>
      <w:r>
        <w:t>y</w:t>
      </w:r>
      <w:r w:rsidRPr="007E183B">
        <w:rPr>
          <w:vertAlign w:val="subscript"/>
        </w:rPr>
        <w:t>R</w:t>
      </w:r>
      <w:proofErr w:type="spellEnd"/>
      <w:r>
        <w:t xml:space="preserve"> = 0.97). CH</w:t>
      </w:r>
      <w:r w:rsidRPr="00F60154">
        <w:rPr>
          <w:vertAlign w:val="subscript"/>
        </w:rPr>
        <w:t>4</w:t>
      </w:r>
      <w:r>
        <w:t xml:space="preserve"> concentration in the permeate stream (</w:t>
      </w:r>
      <w:proofErr w:type="spellStart"/>
      <w:r>
        <w:t>y</w:t>
      </w:r>
      <w:r w:rsidRPr="007E183B">
        <w:rPr>
          <w:vertAlign w:val="subscript"/>
        </w:rPr>
        <w:t>P</w:t>
      </w:r>
      <w:proofErr w:type="spellEnd"/>
      <w:r>
        <w:t xml:space="preserve">) also increased with pressure, highlighting the possibility to further process the permeate for biomethane production or for energy recovery. </w:t>
      </w:r>
    </w:p>
    <w:p w14:paraId="32FD8110" w14:textId="77777777" w:rsidR="001231EA" w:rsidRPr="00586674" w:rsidRDefault="001231EA" w:rsidP="001231EA">
      <w:pPr>
        <w:pStyle w:val="CETTabletitle"/>
      </w:pPr>
      <w:bookmarkStart w:id="18" w:name="_Ref6217569"/>
      <w:r w:rsidRPr="00FA3B4B">
        <w:rPr>
          <w:i w:val="0"/>
        </w:rPr>
        <w:t xml:space="preserve">Table </w:t>
      </w:r>
      <w:r w:rsidRPr="00FA3B4B">
        <w:rPr>
          <w:i w:val="0"/>
        </w:rPr>
        <w:fldChar w:fldCharType="begin"/>
      </w:r>
      <w:r w:rsidRPr="00FA3B4B">
        <w:rPr>
          <w:i w:val="0"/>
        </w:rPr>
        <w:instrText xml:space="preserve"> SEQ Table \* ARABIC </w:instrText>
      </w:r>
      <w:r w:rsidRPr="00FA3B4B">
        <w:rPr>
          <w:i w:val="0"/>
        </w:rPr>
        <w:fldChar w:fldCharType="separate"/>
      </w:r>
      <w:r>
        <w:rPr>
          <w:i w:val="0"/>
          <w:noProof/>
        </w:rPr>
        <w:t>4</w:t>
      </w:r>
      <w:r w:rsidRPr="00FA3B4B">
        <w:rPr>
          <w:i w:val="0"/>
        </w:rPr>
        <w:fldChar w:fldCharType="end"/>
      </w:r>
      <w:bookmarkEnd w:id="18"/>
      <w:r w:rsidRPr="00FA3B4B">
        <w:rPr>
          <w:i w:val="0"/>
        </w:rPr>
        <w:t>:</w:t>
      </w:r>
      <w:r>
        <w:rPr>
          <w:i w:val="0"/>
        </w:rPr>
        <w:t xml:space="preserve"> </w:t>
      </w:r>
      <w:r>
        <w:t>Mass flow rates and</w:t>
      </w:r>
      <w:r w:rsidRPr="000566FA">
        <w:t xml:space="preserve"> composition</w:t>
      </w:r>
      <w:r>
        <w:t xml:space="preserve"> of retentate and</w:t>
      </w:r>
      <w:r w:rsidRPr="00586674">
        <w:t xml:space="preserve"> </w:t>
      </w:r>
      <w:r>
        <w:t>perme</w:t>
      </w:r>
      <w:r w:rsidRPr="00586674">
        <w:t xml:space="preserve">ate </w:t>
      </w:r>
      <w:r>
        <w:t>streams</w:t>
      </w:r>
      <w:r w:rsidRPr="00586674">
        <w:t xml:space="preserve"> </w:t>
      </w:r>
      <w:r>
        <w:t>from</w:t>
      </w:r>
      <w:r w:rsidRPr="00586674">
        <w:t xml:space="preserve"> biogas upgrading</w:t>
      </w:r>
    </w:p>
    <w:tbl>
      <w:tblPr>
        <w:tblW w:w="8787"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82"/>
        <w:gridCol w:w="1633"/>
        <w:gridCol w:w="1439"/>
        <w:gridCol w:w="1357"/>
        <w:gridCol w:w="1542"/>
        <w:gridCol w:w="1634"/>
      </w:tblGrid>
      <w:tr w:rsidR="001231EA" w:rsidRPr="00586674" w14:paraId="1324B664" w14:textId="77777777" w:rsidTr="005F7F6E">
        <w:trPr>
          <w:trHeight w:val="560"/>
          <w:jc w:val="center"/>
        </w:trPr>
        <w:tc>
          <w:tcPr>
            <w:tcW w:w="1182" w:type="dxa"/>
            <w:tcBorders>
              <w:top w:val="single" w:sz="12" w:space="0" w:color="008000"/>
              <w:bottom w:val="single" w:sz="4" w:space="0" w:color="008000"/>
            </w:tcBorders>
            <w:shd w:val="clear" w:color="auto" w:fill="FFFFFF"/>
          </w:tcPr>
          <w:p w14:paraId="424D1D1A" w14:textId="77777777" w:rsidR="001231EA" w:rsidRPr="00586674" w:rsidRDefault="001231EA" w:rsidP="005F7F6E">
            <w:pPr>
              <w:pStyle w:val="CETBodytext"/>
            </w:pPr>
            <w:bookmarkStart w:id="19" w:name="_Hlk536745906"/>
            <w:r w:rsidRPr="00586674">
              <w:t>Pressure</w:t>
            </w:r>
          </w:p>
          <w:p w14:paraId="23624391" w14:textId="77777777" w:rsidR="001231EA" w:rsidRPr="00586674" w:rsidRDefault="001231EA" w:rsidP="005F7F6E">
            <w:pPr>
              <w:pStyle w:val="CETBodytext"/>
            </w:pPr>
            <w:r w:rsidRPr="00586674">
              <w:t>[bar]</w:t>
            </w:r>
          </w:p>
        </w:tc>
        <w:tc>
          <w:tcPr>
            <w:tcW w:w="1633" w:type="dxa"/>
            <w:tcBorders>
              <w:top w:val="single" w:sz="12" w:space="0" w:color="008000"/>
              <w:bottom w:val="single" w:sz="4" w:space="0" w:color="008000"/>
            </w:tcBorders>
            <w:shd w:val="clear" w:color="auto" w:fill="FFFFFF"/>
            <w:vAlign w:val="center"/>
          </w:tcPr>
          <w:p w14:paraId="0BC6D258" w14:textId="77777777" w:rsidR="001231EA" w:rsidRDefault="001231EA" w:rsidP="005F7F6E">
            <w:pPr>
              <w:pStyle w:val="CETBodytext"/>
            </w:pPr>
            <w:r>
              <w:t xml:space="preserve">Biogas </w:t>
            </w:r>
          </w:p>
          <w:p w14:paraId="65802414" w14:textId="77777777" w:rsidR="001231EA" w:rsidRPr="00586674" w:rsidRDefault="001231EA" w:rsidP="005F7F6E">
            <w:pPr>
              <w:pStyle w:val="CETBodytext"/>
            </w:pPr>
            <w:r>
              <w:t>[Nm</w:t>
            </w:r>
            <w:r w:rsidRPr="00292EC9">
              <w:rPr>
                <w:vertAlign w:val="superscript"/>
              </w:rPr>
              <w:t>3</w:t>
            </w:r>
            <w:r>
              <w:t>/d]</w:t>
            </w:r>
          </w:p>
        </w:tc>
        <w:tc>
          <w:tcPr>
            <w:tcW w:w="1439" w:type="dxa"/>
            <w:tcBorders>
              <w:top w:val="single" w:sz="12" w:space="0" w:color="008000"/>
              <w:bottom w:val="single" w:sz="4" w:space="0" w:color="008000"/>
            </w:tcBorders>
            <w:shd w:val="clear" w:color="auto" w:fill="FFFFFF"/>
            <w:vAlign w:val="center"/>
          </w:tcPr>
          <w:p w14:paraId="7FF4F040" w14:textId="77777777" w:rsidR="001231EA" w:rsidRPr="00586674" w:rsidRDefault="001231EA" w:rsidP="005F7F6E">
            <w:pPr>
              <w:pStyle w:val="CETBodytext"/>
            </w:pPr>
            <w:proofErr w:type="spellStart"/>
            <w:r>
              <w:t>y</w:t>
            </w:r>
            <w:r w:rsidRPr="00C17757">
              <w:rPr>
                <w:vertAlign w:val="subscript"/>
              </w:rPr>
              <w:t>R</w:t>
            </w:r>
            <w:proofErr w:type="spellEnd"/>
          </w:p>
        </w:tc>
        <w:tc>
          <w:tcPr>
            <w:tcW w:w="1357" w:type="dxa"/>
            <w:tcBorders>
              <w:top w:val="single" w:sz="12" w:space="0" w:color="008000"/>
              <w:bottom w:val="single" w:sz="4" w:space="0" w:color="008000"/>
            </w:tcBorders>
            <w:shd w:val="clear" w:color="auto" w:fill="FFFFFF"/>
            <w:vAlign w:val="center"/>
          </w:tcPr>
          <w:p w14:paraId="72B1B10C" w14:textId="77777777" w:rsidR="001231EA" w:rsidRDefault="001231EA" w:rsidP="005F7F6E">
            <w:pPr>
              <w:pStyle w:val="CETBodytext"/>
            </w:pPr>
            <w:proofErr w:type="spellStart"/>
            <w:r>
              <w:t>y</w:t>
            </w:r>
            <w:r>
              <w:rPr>
                <w:vertAlign w:val="subscript"/>
              </w:rPr>
              <w:t>P</w:t>
            </w:r>
            <w:proofErr w:type="spellEnd"/>
          </w:p>
        </w:tc>
        <w:tc>
          <w:tcPr>
            <w:tcW w:w="1542" w:type="dxa"/>
            <w:tcBorders>
              <w:top w:val="single" w:sz="12" w:space="0" w:color="008000"/>
              <w:bottom w:val="single" w:sz="4" w:space="0" w:color="008000"/>
            </w:tcBorders>
            <w:shd w:val="clear" w:color="auto" w:fill="FFFFFF"/>
            <w:vAlign w:val="center"/>
          </w:tcPr>
          <w:p w14:paraId="25E2057C" w14:textId="77777777" w:rsidR="001231EA" w:rsidRDefault="001231EA" w:rsidP="005F7F6E">
            <w:pPr>
              <w:pStyle w:val="CETBodytext"/>
            </w:pPr>
            <w:r>
              <w:t xml:space="preserve">Retentate </w:t>
            </w:r>
            <w:bookmarkStart w:id="20" w:name="OLE_LINK9"/>
          </w:p>
          <w:p w14:paraId="6AF91DB7" w14:textId="77777777" w:rsidR="001231EA" w:rsidRPr="00586674" w:rsidRDefault="001231EA" w:rsidP="005F7F6E">
            <w:pPr>
              <w:pStyle w:val="CETBodytext"/>
            </w:pPr>
            <w:r>
              <w:t>[Nm</w:t>
            </w:r>
            <w:r w:rsidRPr="0062511D">
              <w:rPr>
                <w:vertAlign w:val="superscript"/>
              </w:rPr>
              <w:t>3</w:t>
            </w:r>
            <w:r>
              <w:t>/d]</w:t>
            </w:r>
            <w:bookmarkEnd w:id="20"/>
          </w:p>
        </w:tc>
        <w:tc>
          <w:tcPr>
            <w:tcW w:w="1634" w:type="dxa"/>
            <w:tcBorders>
              <w:top w:val="single" w:sz="12" w:space="0" w:color="008000"/>
              <w:bottom w:val="single" w:sz="4" w:space="0" w:color="008000"/>
            </w:tcBorders>
            <w:shd w:val="clear" w:color="auto" w:fill="FFFFFF"/>
            <w:vAlign w:val="center"/>
          </w:tcPr>
          <w:p w14:paraId="71F5F41B" w14:textId="77777777" w:rsidR="001231EA" w:rsidRDefault="001231EA" w:rsidP="005F7F6E">
            <w:pPr>
              <w:pStyle w:val="CETBodytext"/>
            </w:pPr>
            <w:r>
              <w:t>Permeate</w:t>
            </w:r>
          </w:p>
          <w:p w14:paraId="03A2AF1E" w14:textId="77777777" w:rsidR="001231EA" w:rsidRPr="00586674" w:rsidRDefault="001231EA" w:rsidP="005F7F6E">
            <w:pPr>
              <w:pStyle w:val="CETBodytext"/>
            </w:pPr>
            <w:r>
              <w:t>[Nm</w:t>
            </w:r>
            <w:r w:rsidRPr="0062511D">
              <w:rPr>
                <w:vertAlign w:val="superscript"/>
              </w:rPr>
              <w:t>3</w:t>
            </w:r>
            <w:r>
              <w:t>/d]</w:t>
            </w:r>
          </w:p>
        </w:tc>
      </w:tr>
      <w:tr w:rsidR="001231EA" w:rsidRPr="00586674" w14:paraId="286E641D" w14:textId="77777777" w:rsidTr="005F7F6E">
        <w:trPr>
          <w:trHeight w:val="272"/>
          <w:jc w:val="center"/>
        </w:trPr>
        <w:tc>
          <w:tcPr>
            <w:tcW w:w="1182" w:type="dxa"/>
            <w:tcBorders>
              <w:top w:val="single" w:sz="4" w:space="0" w:color="008000"/>
            </w:tcBorders>
            <w:shd w:val="clear" w:color="auto" w:fill="FFFFFF"/>
          </w:tcPr>
          <w:p w14:paraId="0275DF6B" w14:textId="77777777" w:rsidR="001231EA" w:rsidRPr="00586674" w:rsidRDefault="001231EA" w:rsidP="005F7F6E">
            <w:pPr>
              <w:pStyle w:val="CETBodytext"/>
            </w:pPr>
            <w:r w:rsidRPr="00586674">
              <w:t>1.5</w:t>
            </w:r>
          </w:p>
        </w:tc>
        <w:tc>
          <w:tcPr>
            <w:tcW w:w="1633" w:type="dxa"/>
            <w:tcBorders>
              <w:top w:val="single" w:sz="4" w:space="0" w:color="008000"/>
            </w:tcBorders>
            <w:shd w:val="clear" w:color="auto" w:fill="FFFFFF"/>
          </w:tcPr>
          <w:p w14:paraId="7F08AB1D" w14:textId="77777777" w:rsidR="001231EA" w:rsidRPr="00586674" w:rsidRDefault="001231EA" w:rsidP="005F7F6E">
            <w:pPr>
              <w:pStyle w:val="CETBodytext"/>
            </w:pPr>
            <w:r>
              <w:t>157</w:t>
            </w:r>
          </w:p>
        </w:tc>
        <w:tc>
          <w:tcPr>
            <w:tcW w:w="1439" w:type="dxa"/>
            <w:tcBorders>
              <w:top w:val="single" w:sz="4" w:space="0" w:color="008000"/>
            </w:tcBorders>
            <w:shd w:val="clear" w:color="auto" w:fill="FFFFFF"/>
          </w:tcPr>
          <w:p w14:paraId="0A996DEE" w14:textId="77777777" w:rsidR="001231EA" w:rsidRDefault="001231EA" w:rsidP="005F7F6E">
            <w:pPr>
              <w:pStyle w:val="CETBodytext"/>
            </w:pPr>
            <w:r>
              <w:t>0.75</w:t>
            </w:r>
          </w:p>
        </w:tc>
        <w:tc>
          <w:tcPr>
            <w:tcW w:w="1357" w:type="dxa"/>
            <w:tcBorders>
              <w:top w:val="single" w:sz="4" w:space="0" w:color="008000"/>
            </w:tcBorders>
            <w:shd w:val="clear" w:color="auto" w:fill="FFFFFF"/>
          </w:tcPr>
          <w:p w14:paraId="3B1AE75A" w14:textId="77777777" w:rsidR="001231EA" w:rsidRDefault="001231EA" w:rsidP="005F7F6E">
            <w:pPr>
              <w:pStyle w:val="CETBodytext"/>
            </w:pPr>
            <w:r>
              <w:t>0.52</w:t>
            </w:r>
          </w:p>
        </w:tc>
        <w:tc>
          <w:tcPr>
            <w:tcW w:w="1542" w:type="dxa"/>
            <w:tcBorders>
              <w:top w:val="single" w:sz="4" w:space="0" w:color="008000"/>
            </w:tcBorders>
            <w:shd w:val="clear" w:color="auto" w:fill="FFFFFF"/>
          </w:tcPr>
          <w:p w14:paraId="122A41C3" w14:textId="77777777" w:rsidR="001231EA" w:rsidRDefault="001231EA" w:rsidP="005F7F6E">
            <w:pPr>
              <w:pStyle w:val="CETBodytext"/>
            </w:pPr>
            <w:r>
              <w:t>35.3</w:t>
            </w:r>
          </w:p>
        </w:tc>
        <w:tc>
          <w:tcPr>
            <w:tcW w:w="1634" w:type="dxa"/>
            <w:tcBorders>
              <w:top w:val="single" w:sz="4" w:space="0" w:color="008000"/>
            </w:tcBorders>
            <w:shd w:val="clear" w:color="auto" w:fill="FFFFFF"/>
          </w:tcPr>
          <w:p w14:paraId="7A29960D" w14:textId="77777777" w:rsidR="001231EA" w:rsidRPr="00586674" w:rsidRDefault="001231EA" w:rsidP="005F7F6E">
            <w:pPr>
              <w:pStyle w:val="CETBodytext"/>
            </w:pPr>
            <w:r>
              <w:t>121.7</w:t>
            </w:r>
          </w:p>
        </w:tc>
      </w:tr>
      <w:tr w:rsidR="001231EA" w:rsidRPr="00586674" w14:paraId="07E2F1F2" w14:textId="77777777" w:rsidTr="005F7F6E">
        <w:trPr>
          <w:trHeight w:val="272"/>
          <w:jc w:val="center"/>
        </w:trPr>
        <w:tc>
          <w:tcPr>
            <w:tcW w:w="1182" w:type="dxa"/>
            <w:shd w:val="clear" w:color="auto" w:fill="FFFFFF"/>
          </w:tcPr>
          <w:p w14:paraId="2E037BE3" w14:textId="77777777" w:rsidR="001231EA" w:rsidRPr="00586674" w:rsidRDefault="001231EA" w:rsidP="005F7F6E">
            <w:pPr>
              <w:pStyle w:val="CETBodytext"/>
            </w:pPr>
            <w:r w:rsidRPr="00586674">
              <w:t>2.0</w:t>
            </w:r>
          </w:p>
        </w:tc>
        <w:tc>
          <w:tcPr>
            <w:tcW w:w="1633" w:type="dxa"/>
            <w:shd w:val="clear" w:color="auto" w:fill="FFFFFF"/>
          </w:tcPr>
          <w:p w14:paraId="56B474A7" w14:textId="77777777" w:rsidR="001231EA" w:rsidRPr="00586674" w:rsidRDefault="001231EA" w:rsidP="005F7F6E">
            <w:pPr>
              <w:pStyle w:val="CETBodytext"/>
            </w:pPr>
            <w:r>
              <w:t>154</w:t>
            </w:r>
          </w:p>
        </w:tc>
        <w:tc>
          <w:tcPr>
            <w:tcW w:w="1439" w:type="dxa"/>
            <w:shd w:val="clear" w:color="auto" w:fill="FFFFFF"/>
          </w:tcPr>
          <w:p w14:paraId="63EC058E" w14:textId="77777777" w:rsidR="001231EA" w:rsidRDefault="001231EA" w:rsidP="005F7F6E">
            <w:pPr>
              <w:pStyle w:val="CETBodytext"/>
            </w:pPr>
            <w:r>
              <w:t>0.90</w:t>
            </w:r>
          </w:p>
        </w:tc>
        <w:tc>
          <w:tcPr>
            <w:tcW w:w="1357" w:type="dxa"/>
            <w:shd w:val="clear" w:color="auto" w:fill="FFFFFF"/>
          </w:tcPr>
          <w:p w14:paraId="709DFF16" w14:textId="77777777" w:rsidR="001231EA" w:rsidRDefault="001231EA" w:rsidP="005F7F6E">
            <w:pPr>
              <w:pStyle w:val="CETBodytext"/>
            </w:pPr>
            <w:r>
              <w:t>0.54</w:t>
            </w:r>
          </w:p>
        </w:tc>
        <w:tc>
          <w:tcPr>
            <w:tcW w:w="1542" w:type="dxa"/>
            <w:shd w:val="clear" w:color="auto" w:fill="FFFFFF"/>
          </w:tcPr>
          <w:p w14:paraId="784FDB69" w14:textId="77777777" w:rsidR="001231EA" w:rsidRDefault="001231EA" w:rsidP="005F7F6E">
            <w:pPr>
              <w:pStyle w:val="CETBodytext"/>
            </w:pPr>
            <w:r>
              <w:t>31.7</w:t>
            </w:r>
          </w:p>
        </w:tc>
        <w:tc>
          <w:tcPr>
            <w:tcW w:w="1634" w:type="dxa"/>
            <w:shd w:val="clear" w:color="auto" w:fill="FFFFFF"/>
          </w:tcPr>
          <w:p w14:paraId="2AA1450E" w14:textId="77777777" w:rsidR="001231EA" w:rsidRPr="00586674" w:rsidRDefault="001231EA" w:rsidP="005F7F6E">
            <w:pPr>
              <w:pStyle w:val="CETBodytext"/>
            </w:pPr>
            <w:r>
              <w:t>122.3</w:t>
            </w:r>
          </w:p>
        </w:tc>
      </w:tr>
      <w:tr w:rsidR="001231EA" w:rsidRPr="00586674" w14:paraId="1A93854E" w14:textId="77777777" w:rsidTr="005F7F6E">
        <w:trPr>
          <w:trHeight w:val="272"/>
          <w:jc w:val="center"/>
        </w:trPr>
        <w:tc>
          <w:tcPr>
            <w:tcW w:w="1182" w:type="dxa"/>
            <w:shd w:val="clear" w:color="auto" w:fill="FFFFFF"/>
          </w:tcPr>
          <w:p w14:paraId="28688BCF" w14:textId="77777777" w:rsidR="001231EA" w:rsidRPr="00586674" w:rsidRDefault="001231EA" w:rsidP="005F7F6E">
            <w:pPr>
              <w:pStyle w:val="CETBodytext"/>
            </w:pPr>
            <w:r w:rsidRPr="00586674">
              <w:t>3.0</w:t>
            </w:r>
          </w:p>
        </w:tc>
        <w:tc>
          <w:tcPr>
            <w:tcW w:w="1633" w:type="dxa"/>
            <w:shd w:val="clear" w:color="auto" w:fill="FFFFFF"/>
          </w:tcPr>
          <w:p w14:paraId="4DC85532" w14:textId="77777777" w:rsidR="001231EA" w:rsidRPr="00586674" w:rsidRDefault="001231EA" w:rsidP="005F7F6E">
            <w:pPr>
              <w:pStyle w:val="CETBodytext"/>
            </w:pPr>
            <w:r>
              <w:t>145</w:t>
            </w:r>
          </w:p>
        </w:tc>
        <w:tc>
          <w:tcPr>
            <w:tcW w:w="1439" w:type="dxa"/>
            <w:shd w:val="clear" w:color="auto" w:fill="FFFFFF"/>
          </w:tcPr>
          <w:p w14:paraId="19794691" w14:textId="77777777" w:rsidR="001231EA" w:rsidRDefault="001231EA" w:rsidP="005F7F6E">
            <w:pPr>
              <w:pStyle w:val="CETBodytext"/>
            </w:pPr>
            <w:r>
              <w:t>0.97</w:t>
            </w:r>
          </w:p>
        </w:tc>
        <w:tc>
          <w:tcPr>
            <w:tcW w:w="1357" w:type="dxa"/>
            <w:shd w:val="clear" w:color="auto" w:fill="FFFFFF"/>
          </w:tcPr>
          <w:p w14:paraId="5C94F5A0" w14:textId="77777777" w:rsidR="001231EA" w:rsidRDefault="001231EA" w:rsidP="005F7F6E">
            <w:pPr>
              <w:pStyle w:val="CETBodytext"/>
            </w:pPr>
            <w:r>
              <w:t>0.57</w:t>
            </w:r>
          </w:p>
        </w:tc>
        <w:tc>
          <w:tcPr>
            <w:tcW w:w="1542" w:type="dxa"/>
            <w:shd w:val="clear" w:color="auto" w:fill="FFFFFF"/>
          </w:tcPr>
          <w:p w14:paraId="599FE9DE" w14:textId="77777777" w:rsidR="001231EA" w:rsidRDefault="001231EA" w:rsidP="005F7F6E">
            <w:pPr>
              <w:pStyle w:val="CETBodytext"/>
            </w:pPr>
            <w:r>
              <w:t>29.5</w:t>
            </w:r>
          </w:p>
        </w:tc>
        <w:tc>
          <w:tcPr>
            <w:tcW w:w="1634" w:type="dxa"/>
            <w:shd w:val="clear" w:color="auto" w:fill="FFFFFF"/>
          </w:tcPr>
          <w:p w14:paraId="66DBD551" w14:textId="77777777" w:rsidR="001231EA" w:rsidRPr="00586674" w:rsidRDefault="001231EA" w:rsidP="005F7F6E">
            <w:pPr>
              <w:pStyle w:val="CETBodytext"/>
            </w:pPr>
            <w:r>
              <w:t>115.5</w:t>
            </w:r>
          </w:p>
        </w:tc>
      </w:tr>
      <w:tr w:rsidR="001231EA" w:rsidRPr="00586674" w14:paraId="4B04D1EC" w14:textId="77777777" w:rsidTr="005F7F6E">
        <w:trPr>
          <w:trHeight w:val="272"/>
          <w:jc w:val="center"/>
        </w:trPr>
        <w:tc>
          <w:tcPr>
            <w:tcW w:w="1182" w:type="dxa"/>
            <w:shd w:val="clear" w:color="auto" w:fill="FFFFFF"/>
          </w:tcPr>
          <w:p w14:paraId="286DC4FF" w14:textId="77777777" w:rsidR="001231EA" w:rsidRPr="00586674" w:rsidRDefault="001231EA" w:rsidP="005F7F6E">
            <w:pPr>
              <w:pStyle w:val="CETBodytext"/>
            </w:pPr>
            <w:r w:rsidRPr="00586674">
              <w:t>4.0</w:t>
            </w:r>
          </w:p>
        </w:tc>
        <w:tc>
          <w:tcPr>
            <w:tcW w:w="1633" w:type="dxa"/>
            <w:shd w:val="clear" w:color="auto" w:fill="FFFFFF"/>
          </w:tcPr>
          <w:p w14:paraId="162B454E" w14:textId="77777777" w:rsidR="001231EA" w:rsidRPr="00586674" w:rsidRDefault="001231EA" w:rsidP="005F7F6E">
            <w:pPr>
              <w:pStyle w:val="CETBodytext"/>
            </w:pPr>
            <w:r>
              <w:t>142</w:t>
            </w:r>
          </w:p>
        </w:tc>
        <w:tc>
          <w:tcPr>
            <w:tcW w:w="1439" w:type="dxa"/>
            <w:shd w:val="clear" w:color="auto" w:fill="FFFFFF"/>
          </w:tcPr>
          <w:p w14:paraId="150E6C93" w14:textId="77777777" w:rsidR="001231EA" w:rsidRDefault="001231EA" w:rsidP="005F7F6E">
            <w:pPr>
              <w:pStyle w:val="CETBodytext"/>
            </w:pPr>
            <w:r>
              <w:t>0.98</w:t>
            </w:r>
          </w:p>
        </w:tc>
        <w:tc>
          <w:tcPr>
            <w:tcW w:w="1357" w:type="dxa"/>
            <w:shd w:val="clear" w:color="auto" w:fill="FFFFFF"/>
          </w:tcPr>
          <w:p w14:paraId="6567EF75" w14:textId="77777777" w:rsidR="001231EA" w:rsidRDefault="001231EA" w:rsidP="005F7F6E">
            <w:pPr>
              <w:pStyle w:val="CETBodytext"/>
            </w:pPr>
            <w:r>
              <w:t>0.60</w:t>
            </w:r>
          </w:p>
        </w:tc>
        <w:tc>
          <w:tcPr>
            <w:tcW w:w="1542" w:type="dxa"/>
            <w:shd w:val="clear" w:color="auto" w:fill="FFFFFF"/>
          </w:tcPr>
          <w:p w14:paraId="5F5A5436" w14:textId="77777777" w:rsidR="001231EA" w:rsidRDefault="001231EA" w:rsidP="005F7F6E">
            <w:pPr>
              <w:pStyle w:val="CETBodytext"/>
            </w:pPr>
            <w:r>
              <w:t>29.8</w:t>
            </w:r>
          </w:p>
        </w:tc>
        <w:tc>
          <w:tcPr>
            <w:tcW w:w="1634" w:type="dxa"/>
            <w:shd w:val="clear" w:color="auto" w:fill="FFFFFF"/>
          </w:tcPr>
          <w:p w14:paraId="275D8D5C" w14:textId="77777777" w:rsidR="001231EA" w:rsidRPr="00586674" w:rsidRDefault="001231EA" w:rsidP="005F7F6E">
            <w:pPr>
              <w:pStyle w:val="CETBodytext"/>
            </w:pPr>
            <w:r>
              <w:t>112.2</w:t>
            </w:r>
          </w:p>
        </w:tc>
      </w:tr>
      <w:tr w:rsidR="001231EA" w:rsidRPr="00586674" w14:paraId="6914F0A9" w14:textId="77777777" w:rsidTr="005F7F6E">
        <w:trPr>
          <w:trHeight w:val="272"/>
          <w:jc w:val="center"/>
        </w:trPr>
        <w:tc>
          <w:tcPr>
            <w:tcW w:w="1182" w:type="dxa"/>
            <w:tcBorders>
              <w:top w:val="nil"/>
              <w:bottom w:val="single" w:sz="12" w:space="0" w:color="008000"/>
            </w:tcBorders>
            <w:shd w:val="clear" w:color="auto" w:fill="FFFFFF"/>
          </w:tcPr>
          <w:p w14:paraId="12F619DD" w14:textId="77777777" w:rsidR="001231EA" w:rsidRPr="00586674" w:rsidRDefault="001231EA" w:rsidP="005F7F6E">
            <w:pPr>
              <w:pStyle w:val="CETBodytext"/>
            </w:pPr>
            <w:r w:rsidRPr="00586674">
              <w:t>5.0</w:t>
            </w:r>
          </w:p>
        </w:tc>
        <w:tc>
          <w:tcPr>
            <w:tcW w:w="1633" w:type="dxa"/>
            <w:tcBorders>
              <w:top w:val="nil"/>
              <w:bottom w:val="single" w:sz="12" w:space="0" w:color="008000"/>
            </w:tcBorders>
            <w:shd w:val="clear" w:color="auto" w:fill="FFFFFF"/>
          </w:tcPr>
          <w:p w14:paraId="064ADF92" w14:textId="77777777" w:rsidR="001231EA" w:rsidRPr="00586674" w:rsidRDefault="001231EA" w:rsidP="005F7F6E">
            <w:pPr>
              <w:pStyle w:val="CETBodytext"/>
            </w:pPr>
            <w:r>
              <w:t>139</w:t>
            </w:r>
          </w:p>
        </w:tc>
        <w:tc>
          <w:tcPr>
            <w:tcW w:w="1439" w:type="dxa"/>
            <w:tcBorders>
              <w:top w:val="nil"/>
              <w:bottom w:val="single" w:sz="12" w:space="0" w:color="008000"/>
            </w:tcBorders>
            <w:shd w:val="clear" w:color="auto" w:fill="FFFFFF"/>
          </w:tcPr>
          <w:p w14:paraId="016FA4EE" w14:textId="77777777" w:rsidR="001231EA" w:rsidRDefault="001231EA" w:rsidP="005F7F6E">
            <w:pPr>
              <w:pStyle w:val="CETBodytext"/>
            </w:pPr>
            <w:r>
              <w:t>0.99</w:t>
            </w:r>
          </w:p>
        </w:tc>
        <w:tc>
          <w:tcPr>
            <w:tcW w:w="1357" w:type="dxa"/>
            <w:tcBorders>
              <w:top w:val="nil"/>
              <w:bottom w:val="single" w:sz="12" w:space="0" w:color="008000"/>
            </w:tcBorders>
            <w:shd w:val="clear" w:color="auto" w:fill="FFFFFF"/>
          </w:tcPr>
          <w:p w14:paraId="3316FD7A" w14:textId="77777777" w:rsidR="001231EA" w:rsidRDefault="001231EA" w:rsidP="005F7F6E">
            <w:pPr>
              <w:pStyle w:val="CETBodytext"/>
            </w:pPr>
            <w:r>
              <w:t>0.61</w:t>
            </w:r>
          </w:p>
        </w:tc>
        <w:tc>
          <w:tcPr>
            <w:tcW w:w="1542" w:type="dxa"/>
            <w:tcBorders>
              <w:top w:val="nil"/>
              <w:bottom w:val="single" w:sz="12" w:space="0" w:color="008000"/>
            </w:tcBorders>
            <w:shd w:val="clear" w:color="auto" w:fill="FFFFFF"/>
          </w:tcPr>
          <w:p w14:paraId="140701F3" w14:textId="77777777" w:rsidR="001231EA" w:rsidRDefault="001231EA" w:rsidP="005F7F6E">
            <w:pPr>
              <w:pStyle w:val="CETBodytext"/>
            </w:pPr>
            <w:r>
              <w:t>29.2</w:t>
            </w:r>
          </w:p>
        </w:tc>
        <w:tc>
          <w:tcPr>
            <w:tcW w:w="1634" w:type="dxa"/>
            <w:tcBorders>
              <w:top w:val="nil"/>
              <w:bottom w:val="single" w:sz="12" w:space="0" w:color="008000"/>
            </w:tcBorders>
            <w:shd w:val="clear" w:color="auto" w:fill="FFFFFF"/>
          </w:tcPr>
          <w:p w14:paraId="6BE270F9" w14:textId="77777777" w:rsidR="001231EA" w:rsidRPr="00586674" w:rsidRDefault="001231EA" w:rsidP="005F7F6E">
            <w:pPr>
              <w:pStyle w:val="CETBodytext"/>
            </w:pPr>
            <w:r>
              <w:t>109.8</w:t>
            </w:r>
          </w:p>
        </w:tc>
      </w:tr>
    </w:tbl>
    <w:bookmarkEnd w:id="19"/>
    <w:p w14:paraId="636170B7" w14:textId="77777777" w:rsidR="001231EA" w:rsidRDefault="001231EA" w:rsidP="001231EA">
      <w:pPr>
        <w:pStyle w:val="CETHeading1"/>
      </w:pPr>
      <w:r>
        <w:t>Conclusions</w:t>
      </w:r>
    </w:p>
    <w:p w14:paraId="2C2DF6D8" w14:textId="77777777" w:rsidR="001231EA" w:rsidRPr="000A2E10" w:rsidRDefault="001231EA" w:rsidP="001231EA">
      <w:pPr>
        <w:pStyle w:val="CETBodytext"/>
      </w:pPr>
      <w:r>
        <w:t xml:space="preserve">In this work, anaerobic digestion was simulated at pressure higher than the atmospheric one, in the range 1.5-5 bar, in order to use the pressure of resulting biogas for the upgrading through membrane separation. Results show </w:t>
      </w:r>
      <w:bookmarkStart w:id="21" w:name="_GoBack"/>
      <w:bookmarkEnd w:id="21"/>
      <w:r>
        <w:t>that the higher the pressure the higher the CH</w:t>
      </w:r>
      <w:r w:rsidRPr="00601447">
        <w:rPr>
          <w:vertAlign w:val="subscript"/>
        </w:rPr>
        <w:t>4</w:t>
      </w:r>
      <w:r>
        <w:t xml:space="preserve"> concentration in the biogas stream for all temperatures investigated. This finding can be justified by Henry’s law under which CO</w:t>
      </w:r>
      <w:r w:rsidRPr="00A112C6">
        <w:rPr>
          <w:vertAlign w:val="subscript"/>
        </w:rPr>
        <w:t>2</w:t>
      </w:r>
      <w:r>
        <w:t xml:space="preserve"> solubility in liquid increases with greater value of its partial pressure in gas phase.</w:t>
      </w:r>
      <w:r w:rsidRPr="000A2E10">
        <w:t xml:space="preserve"> Produced biogas decreases with higher pressure values and increases with higher temperatures.</w:t>
      </w:r>
    </w:p>
    <w:p w14:paraId="7A63988D" w14:textId="77777777" w:rsidR="001231EA" w:rsidRDefault="001231EA" w:rsidP="001231EA">
      <w:pPr>
        <w:pStyle w:val="CETBodytext"/>
      </w:pPr>
      <w:r w:rsidRPr="000A2E10">
        <w:t>In addition, the effects of operating pressure on CH</w:t>
      </w:r>
      <w:r w:rsidRPr="000A2E10">
        <w:rPr>
          <w:vertAlign w:val="subscript"/>
        </w:rPr>
        <w:t>4</w:t>
      </w:r>
      <w:r w:rsidRPr="000A2E10">
        <w:t xml:space="preserve"> </w:t>
      </w:r>
      <w:r>
        <w:t>purity</w:t>
      </w:r>
      <w:r w:rsidRPr="000A2E10">
        <w:t xml:space="preserve"> </w:t>
      </w:r>
      <w:r>
        <w:t>of</w:t>
      </w:r>
      <w:r w:rsidRPr="000A2E10">
        <w:t xml:space="preserve"> retentate </w:t>
      </w:r>
      <w:r>
        <w:t>stream from</w:t>
      </w:r>
      <w:r w:rsidRPr="000A2E10">
        <w:t xml:space="preserve"> the</w:t>
      </w:r>
      <w:r w:rsidRPr="00A8651D">
        <w:t xml:space="preserve"> </w:t>
      </w:r>
      <w:r>
        <w:t>upgrading</w:t>
      </w:r>
      <w:r w:rsidRPr="00A8651D">
        <w:t xml:space="preserve"> process</w:t>
      </w:r>
      <w:r w:rsidRPr="00E44611">
        <w:t xml:space="preserve"> </w:t>
      </w:r>
      <w:r>
        <w:t>of the biogas obtained at 45°C, assuming CH</w:t>
      </w:r>
      <w:r w:rsidRPr="00C40476">
        <w:rPr>
          <w:vertAlign w:val="subscript"/>
        </w:rPr>
        <w:t>4</w:t>
      </w:r>
      <w:r>
        <w:t xml:space="preserve"> recovery equal to 30%, were investigated</w:t>
      </w:r>
      <w:r w:rsidRPr="00A8651D">
        <w:t xml:space="preserve">. As </w:t>
      </w:r>
      <w:r>
        <w:t>shown</w:t>
      </w:r>
      <w:r w:rsidRPr="00A8651D">
        <w:t>,</w:t>
      </w:r>
      <w:r>
        <w:t xml:space="preserve"> the</w:t>
      </w:r>
      <w:r w:rsidRPr="00A8651D">
        <w:t xml:space="preserve"> higher </w:t>
      </w:r>
      <w:r>
        <w:t xml:space="preserve">the </w:t>
      </w:r>
      <w:r w:rsidRPr="00A8651D">
        <w:t xml:space="preserve">pressure </w:t>
      </w:r>
      <w:r>
        <w:t>the higher the CH</w:t>
      </w:r>
      <w:r w:rsidRPr="007E183B">
        <w:rPr>
          <w:vertAlign w:val="subscript"/>
        </w:rPr>
        <w:t>4</w:t>
      </w:r>
      <w:r>
        <w:t xml:space="preserve"> purity, with values higher than</w:t>
      </w:r>
      <w:r w:rsidRPr="00A8651D">
        <w:t xml:space="preserve"> 95% at a pressure of </w:t>
      </w:r>
      <w:r>
        <w:t xml:space="preserve">3, </w:t>
      </w:r>
      <w:r w:rsidRPr="00A8651D">
        <w:t>4 and 5 bar</w:t>
      </w:r>
      <w:r w:rsidRPr="003A5316">
        <w:t xml:space="preserve">. Similarly, the higher </w:t>
      </w:r>
      <w:r>
        <w:t xml:space="preserve">the </w:t>
      </w:r>
      <w:r w:rsidRPr="003A5316">
        <w:t xml:space="preserve">pressure, the higher </w:t>
      </w:r>
      <w:r>
        <w:t xml:space="preserve">the </w:t>
      </w:r>
      <w:r w:rsidRPr="003A5316">
        <w:t>CH</w:t>
      </w:r>
      <w:r w:rsidRPr="003A5316">
        <w:rPr>
          <w:vertAlign w:val="subscript"/>
        </w:rPr>
        <w:t>4</w:t>
      </w:r>
      <w:r w:rsidRPr="003A5316">
        <w:t xml:space="preserve"> concentration in permeate </w:t>
      </w:r>
      <w:r>
        <w:t>stream</w:t>
      </w:r>
      <w:r w:rsidRPr="003A5316">
        <w:t xml:space="preserve">. </w:t>
      </w:r>
      <w:proofErr w:type="gramStart"/>
      <w:r w:rsidRPr="003A5316">
        <w:t>On the basis of</w:t>
      </w:r>
      <w:proofErr w:type="gramEnd"/>
      <w:r w:rsidRPr="003A5316">
        <w:t xml:space="preserve"> this finding, CH</w:t>
      </w:r>
      <w:r w:rsidRPr="003A5316">
        <w:rPr>
          <w:vertAlign w:val="subscript"/>
        </w:rPr>
        <w:t>4</w:t>
      </w:r>
      <w:r w:rsidRPr="003A5316">
        <w:t xml:space="preserve"> concentration in permeate flow is still relevant and it should be expected to use permeate as a feeding to CHP (combined heat and power) system in order to guarantee self-sustainability of whole process, and to avoid the climate-change methane emissions in the atmosphere.</w:t>
      </w:r>
    </w:p>
    <w:p w14:paraId="59E0627D" w14:textId="77777777" w:rsidR="001231EA" w:rsidRDefault="001231EA" w:rsidP="001231EA">
      <w:pPr>
        <w:pStyle w:val="CETReference"/>
      </w:pPr>
      <w:r>
        <w:t>References</w:t>
      </w:r>
    </w:p>
    <w:p w14:paraId="102F4CA0" w14:textId="77777777" w:rsidR="00B63C96" w:rsidRPr="00B63C96" w:rsidRDefault="00B63C96" w:rsidP="00B63C96">
      <w:pPr>
        <w:pStyle w:val="CETReferencetext"/>
      </w:pPr>
      <w:r w:rsidRPr="00B63C96">
        <w:t xml:space="preserve">Adekunle, K.F., </w:t>
      </w:r>
      <w:proofErr w:type="spellStart"/>
      <w:r w:rsidRPr="00B63C96">
        <w:t>Okolie</w:t>
      </w:r>
      <w:proofErr w:type="spellEnd"/>
      <w:r w:rsidRPr="00B63C96">
        <w:t>, J.A., 2015, A Review of Biochemical Process of Anaerobic Digestion, Advances in Bioscience and Biotechnology, 6, 205–212. DOI:10.4236/abb.2015.63020</w:t>
      </w:r>
    </w:p>
    <w:p w14:paraId="019B493B" w14:textId="77777777" w:rsidR="00B63C96" w:rsidRPr="00B63C96" w:rsidRDefault="00B63C96" w:rsidP="00B63C96">
      <w:pPr>
        <w:pStyle w:val="CETReferencetext"/>
      </w:pPr>
      <w:r w:rsidRPr="00B63C96">
        <w:t>Al-</w:t>
      </w:r>
      <w:proofErr w:type="spellStart"/>
      <w:r w:rsidRPr="00B63C96">
        <w:t>Rubaye</w:t>
      </w:r>
      <w:proofErr w:type="spellEnd"/>
      <w:r w:rsidRPr="00B63C96">
        <w:t xml:space="preserve">, H., </w:t>
      </w:r>
      <w:proofErr w:type="spellStart"/>
      <w:r w:rsidRPr="00B63C96">
        <w:t>Karambelkar</w:t>
      </w:r>
      <w:proofErr w:type="spellEnd"/>
      <w:r w:rsidRPr="00B63C96">
        <w:t xml:space="preserve">, S., </w:t>
      </w:r>
      <w:proofErr w:type="spellStart"/>
      <w:r w:rsidRPr="00B63C96">
        <w:t>Shivashankaraiah</w:t>
      </w:r>
      <w:proofErr w:type="spellEnd"/>
      <w:r w:rsidRPr="00B63C96">
        <w:t>, M.M., Smith, J.D., 2017, Process Simulation of Two-Stage Anaerobic Digestion for Methane Production, Biofuels, 1–11. DOI:10.1080/17597269.2017.1309854</w:t>
      </w:r>
    </w:p>
    <w:p w14:paraId="3D550B44" w14:textId="77777777" w:rsidR="00B63C96" w:rsidRPr="00B63C96" w:rsidRDefault="00B63C96" w:rsidP="00B63C96">
      <w:pPr>
        <w:pStyle w:val="CETReferencetext"/>
      </w:pPr>
      <w:r w:rsidRPr="00B63C96">
        <w:t xml:space="preserve">Al </w:t>
      </w:r>
      <w:proofErr w:type="spellStart"/>
      <w:r w:rsidRPr="00B63C96">
        <w:t>Seadi</w:t>
      </w:r>
      <w:proofErr w:type="spellEnd"/>
      <w:r w:rsidRPr="00B63C96">
        <w:t xml:space="preserve">, T., </w:t>
      </w:r>
      <w:proofErr w:type="spellStart"/>
      <w:r w:rsidRPr="00B63C96">
        <w:t>Rutz</w:t>
      </w:r>
      <w:proofErr w:type="spellEnd"/>
      <w:r w:rsidRPr="00B63C96">
        <w:t xml:space="preserve">, D., </w:t>
      </w:r>
      <w:proofErr w:type="spellStart"/>
      <w:r w:rsidRPr="00B63C96">
        <w:t>Prassl</w:t>
      </w:r>
      <w:proofErr w:type="spellEnd"/>
      <w:r w:rsidRPr="00B63C96">
        <w:t xml:space="preserve">, H., </w:t>
      </w:r>
      <w:proofErr w:type="spellStart"/>
      <w:r w:rsidRPr="00B63C96">
        <w:t>Köttner</w:t>
      </w:r>
      <w:proofErr w:type="spellEnd"/>
      <w:r w:rsidRPr="00B63C96">
        <w:t xml:space="preserve">, M., </w:t>
      </w:r>
      <w:proofErr w:type="spellStart"/>
      <w:r w:rsidRPr="00B63C96">
        <w:t>Finsterwalder</w:t>
      </w:r>
      <w:proofErr w:type="spellEnd"/>
      <w:r w:rsidRPr="00B63C96">
        <w:t xml:space="preserve">, T., Volk, S., Janssen, R., 2008, Advantages of biogas technologies, in: Biogas Handbook. University of Southern Denmark Esbjerg, Niels </w:t>
      </w:r>
      <w:proofErr w:type="spellStart"/>
      <w:r w:rsidRPr="00B63C96">
        <w:t>Bohrs</w:t>
      </w:r>
      <w:proofErr w:type="spellEnd"/>
      <w:r w:rsidRPr="00B63C96">
        <w:t xml:space="preserve"> </w:t>
      </w:r>
      <w:proofErr w:type="spellStart"/>
      <w:r w:rsidRPr="00B63C96">
        <w:t>Vej</w:t>
      </w:r>
      <w:proofErr w:type="spellEnd"/>
      <w:r w:rsidRPr="00B63C96">
        <w:t xml:space="preserve"> 9-10, DK-6700 Esbjerg, Denmark, pp. 10–14</w:t>
      </w:r>
    </w:p>
    <w:p w14:paraId="029DF757" w14:textId="77777777" w:rsidR="00B63C96" w:rsidRPr="00B63C96" w:rsidRDefault="00B63C96" w:rsidP="00B63C96">
      <w:pPr>
        <w:pStyle w:val="CETReferencetext"/>
      </w:pPr>
      <w:proofErr w:type="spellStart"/>
      <w:r w:rsidRPr="00B63C96">
        <w:t>Angelidaki</w:t>
      </w:r>
      <w:proofErr w:type="spellEnd"/>
      <w:r w:rsidRPr="00B63C96">
        <w:t xml:space="preserve">, I., </w:t>
      </w:r>
      <w:proofErr w:type="spellStart"/>
      <w:r w:rsidRPr="00B63C96">
        <w:t>Ellegaard</w:t>
      </w:r>
      <w:proofErr w:type="spellEnd"/>
      <w:r w:rsidRPr="00B63C96">
        <w:t xml:space="preserve">, L., </w:t>
      </w:r>
      <w:proofErr w:type="spellStart"/>
      <w:r w:rsidRPr="00B63C96">
        <w:t>Ahring</w:t>
      </w:r>
      <w:proofErr w:type="spellEnd"/>
      <w:r w:rsidRPr="00B63C96">
        <w:t>, B.K., 1999, A comprehensive model of anaerobic bioconversion of complex substrates to biogas, Biotechnology and Bioengineering, 63, 363–372. DOI:10.1002/(SICI)1097-0290(19990505)63:3&lt;</w:t>
      </w:r>
      <w:proofErr w:type="gramStart"/>
      <w:r w:rsidRPr="00B63C96">
        <w:t>363::</w:t>
      </w:r>
      <w:proofErr w:type="gramEnd"/>
      <w:r w:rsidRPr="00B63C96">
        <w:t>AID-BIT13&gt;3.0.CO;2-Z</w:t>
      </w:r>
    </w:p>
    <w:p w14:paraId="01267610" w14:textId="77777777" w:rsidR="00B63C96" w:rsidRPr="00B63C96" w:rsidRDefault="00B63C96" w:rsidP="00B63C96">
      <w:pPr>
        <w:pStyle w:val="CETReferencetext"/>
      </w:pPr>
      <w:proofErr w:type="spellStart"/>
      <w:r w:rsidRPr="00B63C96">
        <w:t>Angelidaki</w:t>
      </w:r>
      <w:proofErr w:type="spellEnd"/>
      <w:r w:rsidRPr="00B63C96">
        <w:t xml:space="preserve">, I., </w:t>
      </w:r>
      <w:proofErr w:type="spellStart"/>
      <w:r w:rsidRPr="00B63C96">
        <w:t>Treu</w:t>
      </w:r>
      <w:proofErr w:type="spellEnd"/>
      <w:r w:rsidRPr="00B63C96">
        <w:t xml:space="preserve">, L., </w:t>
      </w:r>
      <w:proofErr w:type="spellStart"/>
      <w:r w:rsidRPr="00B63C96">
        <w:t>Tsapekos</w:t>
      </w:r>
      <w:proofErr w:type="spellEnd"/>
      <w:r w:rsidRPr="00B63C96">
        <w:t xml:space="preserve">, P., Luo, G., </w:t>
      </w:r>
      <w:proofErr w:type="spellStart"/>
      <w:r w:rsidRPr="00B63C96">
        <w:t>Campanaro</w:t>
      </w:r>
      <w:proofErr w:type="spellEnd"/>
      <w:r w:rsidRPr="00B63C96">
        <w:t xml:space="preserve">, S., Wenzel, H., </w:t>
      </w:r>
      <w:proofErr w:type="spellStart"/>
      <w:r w:rsidRPr="00B63C96">
        <w:t>Kougias</w:t>
      </w:r>
      <w:proofErr w:type="spellEnd"/>
      <w:r w:rsidRPr="00B63C96">
        <w:t xml:space="preserve">, P.G., 2018, Biogas upgrading and utilization: Current status and perspectives, Biotechnology Advances, 36, 452–466. </w:t>
      </w:r>
      <w:proofErr w:type="gramStart"/>
      <w:r w:rsidRPr="00B63C96">
        <w:t>DOI:10.1016/j.biotechadv</w:t>
      </w:r>
      <w:proofErr w:type="gramEnd"/>
      <w:r w:rsidRPr="00B63C96">
        <w:t>.2018.01.011</w:t>
      </w:r>
    </w:p>
    <w:p w14:paraId="3B8BF2CC" w14:textId="77777777" w:rsidR="00B63C96" w:rsidRPr="00B63C96" w:rsidRDefault="00B63C96" w:rsidP="00B63C96">
      <w:pPr>
        <w:pStyle w:val="CETReferencetext"/>
      </w:pPr>
      <w:r w:rsidRPr="00B63C96">
        <w:t>Aspen Plus User Guide, 2000, Aspen Plus ® User Guide, Aspen Plus ® User Guide,</w:t>
      </w:r>
    </w:p>
    <w:p w14:paraId="02EE4251" w14:textId="77777777" w:rsidR="00B63C96" w:rsidRPr="00B63C96" w:rsidRDefault="00B63C96" w:rsidP="00B63C96">
      <w:pPr>
        <w:pStyle w:val="CETReferencetext"/>
      </w:pPr>
      <w:proofErr w:type="spellStart"/>
      <w:r w:rsidRPr="00B63C96">
        <w:t>Barbera</w:t>
      </w:r>
      <w:proofErr w:type="spellEnd"/>
      <w:r w:rsidRPr="00B63C96">
        <w:t xml:space="preserve">, E., </w:t>
      </w:r>
      <w:proofErr w:type="spellStart"/>
      <w:r w:rsidRPr="00B63C96">
        <w:t>Menegon</w:t>
      </w:r>
      <w:proofErr w:type="spellEnd"/>
      <w:r w:rsidRPr="00B63C96">
        <w:t xml:space="preserve">, S., </w:t>
      </w:r>
      <w:proofErr w:type="spellStart"/>
      <w:r w:rsidRPr="00B63C96">
        <w:t>Banzato</w:t>
      </w:r>
      <w:proofErr w:type="spellEnd"/>
      <w:r w:rsidRPr="00B63C96">
        <w:t xml:space="preserve">, D., </w:t>
      </w:r>
      <w:proofErr w:type="spellStart"/>
      <w:r w:rsidRPr="00B63C96">
        <w:t>D’Alpaos</w:t>
      </w:r>
      <w:proofErr w:type="spellEnd"/>
      <w:r w:rsidRPr="00B63C96">
        <w:t xml:space="preserve">, C., </w:t>
      </w:r>
      <w:proofErr w:type="spellStart"/>
      <w:r w:rsidRPr="00B63C96">
        <w:t>Bertucco</w:t>
      </w:r>
      <w:proofErr w:type="spellEnd"/>
      <w:r w:rsidRPr="00B63C96">
        <w:t xml:space="preserve">, A., 2019, From biogas to biomethane: A process simulation-based techno-economic comparison of different upgrading technologies in the Italian context, Renewable Energy, 135, 663–673. </w:t>
      </w:r>
      <w:proofErr w:type="gramStart"/>
      <w:r w:rsidRPr="00B63C96">
        <w:t>DOI:10.1016/j.renene</w:t>
      </w:r>
      <w:proofErr w:type="gramEnd"/>
      <w:r w:rsidRPr="00B63C96">
        <w:t>.2018.12.052</w:t>
      </w:r>
    </w:p>
    <w:p w14:paraId="0972C55E" w14:textId="77777777" w:rsidR="00B63C96" w:rsidRPr="00B63C96" w:rsidRDefault="00B63C96" w:rsidP="00B63C96">
      <w:pPr>
        <w:pStyle w:val="CETReferencetext"/>
      </w:pPr>
      <w:r w:rsidRPr="00B63C96">
        <w:t xml:space="preserve">Batstone, D.J., Keller, J., </w:t>
      </w:r>
      <w:proofErr w:type="spellStart"/>
      <w:r w:rsidRPr="00B63C96">
        <w:t>Angelidaki</w:t>
      </w:r>
      <w:proofErr w:type="spellEnd"/>
      <w:r w:rsidRPr="00B63C96">
        <w:t xml:space="preserve">, I., </w:t>
      </w:r>
      <w:proofErr w:type="spellStart"/>
      <w:r w:rsidRPr="00B63C96">
        <w:t>Kalyuzhnyi</w:t>
      </w:r>
      <w:proofErr w:type="spellEnd"/>
      <w:r w:rsidRPr="00B63C96">
        <w:t xml:space="preserve">, S., </w:t>
      </w:r>
      <w:proofErr w:type="spellStart"/>
      <w:r w:rsidRPr="00B63C96">
        <w:t>Pavlostathis</w:t>
      </w:r>
      <w:proofErr w:type="spellEnd"/>
      <w:r w:rsidRPr="00B63C96">
        <w:t xml:space="preserve">, S.G., </w:t>
      </w:r>
      <w:proofErr w:type="spellStart"/>
      <w:r w:rsidRPr="00B63C96">
        <w:t>Rozzi</w:t>
      </w:r>
      <w:proofErr w:type="spellEnd"/>
      <w:r w:rsidRPr="00B63C96">
        <w:t xml:space="preserve">, A., Sanders, W., Siegrist, H., </w:t>
      </w:r>
      <w:proofErr w:type="spellStart"/>
      <w:r w:rsidRPr="00B63C96">
        <w:t>Vavilin</w:t>
      </w:r>
      <w:proofErr w:type="spellEnd"/>
      <w:r w:rsidRPr="00B63C96">
        <w:t xml:space="preserve">, V., 2002, Anaerobic Digestion Model No. 1, Water Science and Technology, 45, 65–73. </w:t>
      </w:r>
      <w:proofErr w:type="spellStart"/>
      <w:r w:rsidRPr="00B63C96">
        <w:t>DOI:org</w:t>
      </w:r>
      <w:proofErr w:type="spellEnd"/>
      <w:r w:rsidRPr="00B63C96">
        <w:t>/10.2166/wst.2002.0292</w:t>
      </w:r>
    </w:p>
    <w:p w14:paraId="130A5383" w14:textId="77777777" w:rsidR="00B63C96" w:rsidRPr="00B63C96" w:rsidRDefault="00B63C96" w:rsidP="00B63C96">
      <w:pPr>
        <w:pStyle w:val="CETReferencetext"/>
      </w:pPr>
      <w:r w:rsidRPr="00B63C96">
        <w:t xml:space="preserve">Bonga, C.P.C., Lima, L.Y., </w:t>
      </w:r>
      <w:proofErr w:type="spellStart"/>
      <w:r w:rsidRPr="00B63C96">
        <w:t>Leea</w:t>
      </w:r>
      <w:proofErr w:type="spellEnd"/>
      <w:r w:rsidRPr="00B63C96">
        <w:t xml:space="preserve">, C.T., </w:t>
      </w:r>
      <w:proofErr w:type="spellStart"/>
      <w:r w:rsidRPr="00B63C96">
        <w:t>Hoa</w:t>
      </w:r>
      <w:proofErr w:type="spellEnd"/>
      <w:r w:rsidRPr="00B63C96">
        <w:t xml:space="preserve">, W.S., </w:t>
      </w:r>
      <w:proofErr w:type="spellStart"/>
      <w:r w:rsidRPr="00B63C96">
        <w:t>Klemešb</w:t>
      </w:r>
      <w:proofErr w:type="spellEnd"/>
      <w:r w:rsidRPr="00B63C96">
        <w:t xml:space="preserve">, J.J., 2017, The Kinetics for Mathematical Modelling on the Anaerobic Digestion of Organic Waste- A Review, </w:t>
      </w:r>
      <w:r w:rsidRPr="00B63C96">
        <w:t>Chemical Engineering Transactions</w:t>
      </w:r>
      <w:r w:rsidRPr="00B63C96">
        <w:t>, 61, 1667–1674. DOI:10.3303/CET1761276</w:t>
      </w:r>
    </w:p>
    <w:p w14:paraId="0E328114" w14:textId="77777777" w:rsidR="00B63C96" w:rsidRPr="00B63C96" w:rsidRDefault="00B63C96" w:rsidP="00B63C96">
      <w:pPr>
        <w:pStyle w:val="CETReferencetext"/>
      </w:pPr>
      <w:r w:rsidRPr="00B63C96">
        <w:t xml:space="preserve">Chen, Y., </w:t>
      </w:r>
      <w:proofErr w:type="spellStart"/>
      <w:r w:rsidRPr="00B63C96">
        <w:t>Rößler</w:t>
      </w:r>
      <w:proofErr w:type="spellEnd"/>
      <w:r w:rsidRPr="00B63C96">
        <w:t xml:space="preserve">, B., </w:t>
      </w:r>
      <w:proofErr w:type="spellStart"/>
      <w:r w:rsidRPr="00B63C96">
        <w:t>Zielonka</w:t>
      </w:r>
      <w:proofErr w:type="spellEnd"/>
      <w:r w:rsidRPr="00B63C96">
        <w:t xml:space="preserve">, S., </w:t>
      </w:r>
      <w:proofErr w:type="spellStart"/>
      <w:r w:rsidRPr="00B63C96">
        <w:t>Lemmer</w:t>
      </w:r>
      <w:proofErr w:type="spellEnd"/>
      <w:r w:rsidRPr="00B63C96">
        <w:t xml:space="preserve">, A., </w:t>
      </w:r>
      <w:proofErr w:type="spellStart"/>
      <w:r w:rsidRPr="00B63C96">
        <w:t>Wonneberger</w:t>
      </w:r>
      <w:proofErr w:type="spellEnd"/>
      <w:r w:rsidRPr="00B63C96">
        <w:t xml:space="preserve">, A.M., </w:t>
      </w:r>
      <w:proofErr w:type="spellStart"/>
      <w:r w:rsidRPr="00B63C96">
        <w:t>Jungbluth</w:t>
      </w:r>
      <w:proofErr w:type="spellEnd"/>
      <w:r w:rsidRPr="00B63C96">
        <w:t xml:space="preserve">, T., 2014, The pressure effects on two-phase anaerobic digestion, Applied Energy, 116, 409–415. </w:t>
      </w:r>
      <w:proofErr w:type="gramStart"/>
      <w:r w:rsidRPr="00B63C96">
        <w:t>DOI:10.1016/j.apenergy</w:t>
      </w:r>
      <w:proofErr w:type="gramEnd"/>
      <w:r w:rsidRPr="00B63C96">
        <w:t>.2013.11.012</w:t>
      </w:r>
    </w:p>
    <w:p w14:paraId="428EA535" w14:textId="77777777" w:rsidR="00B63C96" w:rsidRPr="00B63C96" w:rsidRDefault="00B63C96" w:rsidP="00B63C96">
      <w:pPr>
        <w:pStyle w:val="CETReferencetext"/>
      </w:pPr>
      <w:proofErr w:type="spellStart"/>
      <w:r w:rsidRPr="00B63C96">
        <w:t>Flagiello</w:t>
      </w:r>
      <w:proofErr w:type="spellEnd"/>
      <w:r w:rsidRPr="00B63C96">
        <w:t xml:space="preserve">, D., </w:t>
      </w:r>
      <w:proofErr w:type="spellStart"/>
      <w:r w:rsidRPr="00B63C96">
        <w:t>Erto</w:t>
      </w:r>
      <w:proofErr w:type="spellEnd"/>
      <w:r w:rsidRPr="00B63C96">
        <w:t xml:space="preserve">, A., Lancia, A., Di Natale, F., 2018, Experimental and modelling analysis of seawater scrubbers for sulphur dioxide removal from flue-gas, Fuel, 214, 254–263. </w:t>
      </w:r>
      <w:proofErr w:type="gramStart"/>
      <w:r w:rsidRPr="00B63C96">
        <w:t>DOI:10.1016/j.fuel</w:t>
      </w:r>
      <w:proofErr w:type="gramEnd"/>
      <w:r w:rsidRPr="00B63C96">
        <w:t>.2017.10.098</w:t>
      </w:r>
    </w:p>
    <w:p w14:paraId="7564C8A4" w14:textId="77777777" w:rsidR="00B63C96" w:rsidRPr="00B63C96" w:rsidRDefault="00B63C96" w:rsidP="00B63C96">
      <w:pPr>
        <w:pStyle w:val="CETReferencetext"/>
      </w:pPr>
      <w:r w:rsidRPr="00B63C96">
        <w:t>González, J., Sánchez, M.E., Gómez, X., 2018, Enhancing Anaerobic Digestion: The Effect of Carbon Conductive Materials, Journal of Carbon Research, 4, 1–19. DOI:10.3390/c4040059</w:t>
      </w:r>
    </w:p>
    <w:p w14:paraId="367230C4" w14:textId="77777777" w:rsidR="00B63C96" w:rsidRPr="00B63C96" w:rsidRDefault="00B63C96" w:rsidP="00B63C96">
      <w:pPr>
        <w:pStyle w:val="CETReferencetext"/>
      </w:pPr>
      <w:r w:rsidRPr="00B63C96">
        <w:t xml:space="preserve">Molino, A., </w:t>
      </w:r>
      <w:proofErr w:type="spellStart"/>
      <w:r w:rsidRPr="00B63C96">
        <w:t>Iovane</w:t>
      </w:r>
      <w:proofErr w:type="spellEnd"/>
      <w:r w:rsidRPr="00B63C96">
        <w:t xml:space="preserve">, P., </w:t>
      </w:r>
      <w:proofErr w:type="spellStart"/>
      <w:r w:rsidRPr="00B63C96">
        <w:t>Migliori</w:t>
      </w:r>
      <w:proofErr w:type="spellEnd"/>
      <w:r w:rsidRPr="00B63C96">
        <w:t>, M., 2016, Biomethane production by biogas with polymeric membrane module, in: Membrane Technologies for Biorefining. Woodhead Publishing, Cambridge, UK, pp. 465–482. DOI:10.1016/C2014-0-03660-X</w:t>
      </w:r>
    </w:p>
    <w:p w14:paraId="55C5AC57" w14:textId="77777777" w:rsidR="00B63C96" w:rsidRPr="00B63C96" w:rsidRDefault="00B63C96" w:rsidP="00B63C96">
      <w:pPr>
        <w:pStyle w:val="CETReferencetext"/>
      </w:pPr>
      <w:r w:rsidRPr="00B63C96">
        <w:t xml:space="preserve">Molino, A., </w:t>
      </w:r>
      <w:proofErr w:type="spellStart"/>
      <w:r w:rsidRPr="00B63C96">
        <w:t>Larocca</w:t>
      </w:r>
      <w:proofErr w:type="spellEnd"/>
      <w:r w:rsidRPr="00B63C96">
        <w:t xml:space="preserve">, V., </w:t>
      </w:r>
      <w:proofErr w:type="spellStart"/>
      <w:r w:rsidRPr="00B63C96">
        <w:t>Chianese</w:t>
      </w:r>
      <w:proofErr w:type="spellEnd"/>
      <w:r w:rsidRPr="00B63C96">
        <w:t xml:space="preserve">, S., </w:t>
      </w:r>
      <w:proofErr w:type="spellStart"/>
      <w:r w:rsidRPr="00B63C96">
        <w:t>Musmarra</w:t>
      </w:r>
      <w:proofErr w:type="spellEnd"/>
      <w:r w:rsidRPr="00B63C96">
        <w:t>, D., 2018, Biofuels production by biomass gasification: A review, Energies, 11, 1–31. DOI:10.3390/en11040811</w:t>
      </w:r>
    </w:p>
    <w:p w14:paraId="1B7156FB" w14:textId="77777777" w:rsidR="00B63C96" w:rsidRPr="00B63C96" w:rsidRDefault="00B63C96" w:rsidP="00B63C96">
      <w:pPr>
        <w:pStyle w:val="CETReferencetext"/>
        <w:rPr>
          <w:lang w:val="it-IT"/>
        </w:rPr>
      </w:pPr>
      <w:r w:rsidRPr="00B63C96">
        <w:rPr>
          <w:lang w:val="it-IT"/>
        </w:rPr>
        <w:t xml:space="preserve">Molino, A., Nanna, F., </w:t>
      </w:r>
      <w:proofErr w:type="spellStart"/>
      <w:r w:rsidRPr="00B63C96">
        <w:rPr>
          <w:lang w:val="it-IT"/>
        </w:rPr>
        <w:t>Iovane</w:t>
      </w:r>
      <w:proofErr w:type="spellEnd"/>
      <w:r w:rsidRPr="00B63C96">
        <w:rPr>
          <w:lang w:val="it-IT"/>
        </w:rPr>
        <w:t>, P., 2013,</w:t>
      </w:r>
      <w:r>
        <w:rPr>
          <w:lang w:val="it-IT"/>
        </w:rPr>
        <w:t xml:space="preserve"> T</w:t>
      </w:r>
      <w:r w:rsidRPr="00B63C96">
        <w:rPr>
          <w:lang w:val="it-IT"/>
        </w:rPr>
        <w:t>est sperimentali con membrane polimeriche per la purificazione del biogas da</w:t>
      </w:r>
      <w:r w:rsidRPr="00B63C96">
        <w:rPr>
          <w:lang w:val="it-IT"/>
        </w:rPr>
        <w:t xml:space="preserve"> CO</w:t>
      </w:r>
      <w:r w:rsidRPr="00B63C96">
        <w:rPr>
          <w:vertAlign w:val="subscript"/>
          <w:lang w:val="it-IT"/>
        </w:rPr>
        <w:t>2</w:t>
      </w:r>
      <w:r w:rsidRPr="00B63C96">
        <w:rPr>
          <w:lang w:val="it-IT"/>
        </w:rPr>
        <w:t xml:space="preserve"> </w:t>
      </w:r>
      <w:r>
        <w:rPr>
          <w:lang w:val="it-IT"/>
        </w:rPr>
        <w:t xml:space="preserve">e </w:t>
      </w:r>
      <w:r w:rsidRPr="00B63C96">
        <w:rPr>
          <w:lang w:val="it-IT"/>
        </w:rPr>
        <w:t>H</w:t>
      </w:r>
      <w:r w:rsidRPr="00B63C96">
        <w:rPr>
          <w:vertAlign w:val="subscript"/>
          <w:lang w:val="it-IT"/>
        </w:rPr>
        <w:t>2</w:t>
      </w:r>
      <w:r w:rsidRPr="00B63C96">
        <w:rPr>
          <w:lang w:val="it-IT"/>
        </w:rPr>
        <w:t>S</w:t>
      </w:r>
    </w:p>
    <w:p w14:paraId="662298B3" w14:textId="77777777" w:rsidR="00B63C96" w:rsidRPr="00B63C96" w:rsidRDefault="00B63C96" w:rsidP="00B63C96">
      <w:pPr>
        <w:pStyle w:val="CETReferencetext"/>
      </w:pPr>
      <w:r w:rsidRPr="00B63C96">
        <w:t xml:space="preserve">Oh, S.T., Martin, A.D., 2007, Thermodynamic equilibrium model in anaerobic digestion process, Biochemical Engineering Journal, 34, 256–266. </w:t>
      </w:r>
      <w:proofErr w:type="gramStart"/>
      <w:r w:rsidRPr="00B63C96">
        <w:t>DOI:10.1016/j.bej</w:t>
      </w:r>
      <w:proofErr w:type="gramEnd"/>
      <w:r w:rsidRPr="00B63C96">
        <w:t>.2006.12.011</w:t>
      </w:r>
    </w:p>
    <w:p w14:paraId="5848E9BC" w14:textId="77777777" w:rsidR="00B63C96" w:rsidRPr="00B63C96" w:rsidRDefault="00B63C96" w:rsidP="00B63C96">
      <w:pPr>
        <w:pStyle w:val="CETReferencetext"/>
      </w:pPr>
      <w:r w:rsidRPr="00B63C96">
        <w:t xml:space="preserve">Pellegrini, L.A., De Guido, G., </w:t>
      </w:r>
      <w:proofErr w:type="spellStart"/>
      <w:r w:rsidRPr="00B63C96">
        <w:t>Consonni</w:t>
      </w:r>
      <w:proofErr w:type="spellEnd"/>
      <w:r w:rsidRPr="00B63C96">
        <w:t xml:space="preserve">, S., </w:t>
      </w:r>
      <w:proofErr w:type="spellStart"/>
      <w:r w:rsidRPr="00B63C96">
        <w:t>Bortoluzzi</w:t>
      </w:r>
      <w:proofErr w:type="spellEnd"/>
      <w:r w:rsidRPr="00B63C96">
        <w:t xml:space="preserve">, G., </w:t>
      </w:r>
      <w:proofErr w:type="spellStart"/>
      <w:r w:rsidRPr="00B63C96">
        <w:t>Gatti</w:t>
      </w:r>
      <w:proofErr w:type="spellEnd"/>
      <w:r w:rsidRPr="00B63C96">
        <w:t xml:space="preserve">, M., 2015, From Biogas to Biomethane: How the Biogas Source Influences the Purification Costs, </w:t>
      </w:r>
      <w:r w:rsidRPr="00B63C96">
        <w:t>Chemical Engineering Transactions</w:t>
      </w:r>
      <w:r w:rsidRPr="00B63C96">
        <w:t>, 43, 409–414. DOI:10.3303/CET1543069</w:t>
      </w:r>
    </w:p>
    <w:p w14:paraId="003BC1EB" w14:textId="77777777" w:rsidR="00B63C96" w:rsidRPr="00B63C96" w:rsidRDefault="00B63C96" w:rsidP="00B63C96">
      <w:pPr>
        <w:pStyle w:val="CETReferencetext"/>
      </w:pPr>
      <w:r w:rsidRPr="00B63C96">
        <w:t xml:space="preserve">Rajendran, K., </w:t>
      </w:r>
      <w:proofErr w:type="spellStart"/>
      <w:r w:rsidRPr="00B63C96">
        <w:t>Kankanala</w:t>
      </w:r>
      <w:proofErr w:type="spellEnd"/>
      <w:r w:rsidRPr="00B63C96">
        <w:t xml:space="preserve">, H.R., Lundin, M., </w:t>
      </w:r>
      <w:proofErr w:type="spellStart"/>
      <w:r w:rsidRPr="00B63C96">
        <w:t>Taherzadeh</w:t>
      </w:r>
      <w:proofErr w:type="spellEnd"/>
      <w:r w:rsidRPr="00B63C96">
        <w:t xml:space="preserve">, M.J., 2014, A novel process simulation model (PSM) for anaerobic digestion using Aspen Plus, Bioresource Technology, 168, 7–13. </w:t>
      </w:r>
      <w:proofErr w:type="gramStart"/>
      <w:r w:rsidRPr="00B63C96">
        <w:t>DOI:10.1016/j.biortech</w:t>
      </w:r>
      <w:proofErr w:type="gramEnd"/>
      <w:r w:rsidRPr="00B63C96">
        <w:t>.2014.01.051</w:t>
      </w:r>
    </w:p>
    <w:p w14:paraId="0F8B0813" w14:textId="77777777" w:rsidR="00B63C96" w:rsidRPr="00B63C96" w:rsidRDefault="00B63C96" w:rsidP="00B63C96">
      <w:pPr>
        <w:pStyle w:val="CETReferencetext"/>
      </w:pPr>
      <w:r w:rsidRPr="00B63C96">
        <w:t xml:space="preserve">Tian, G., Yang, B., Dong, M., Zhu, R., Yin, F., Zhao, X., Wang, Y., Xiao, W., Wang, Q., Zhang, W., Cui, X., 2018, The effect of temperature on the microbial communities of peak biogas production in batch biogas reactors, Renewable Energy, 123, 15–25. </w:t>
      </w:r>
      <w:proofErr w:type="gramStart"/>
      <w:r w:rsidRPr="00B63C96">
        <w:t>DOI:10.1016/j.renene</w:t>
      </w:r>
      <w:proofErr w:type="gramEnd"/>
      <w:r w:rsidRPr="00B63C96">
        <w:t>.2018.01.119</w:t>
      </w:r>
    </w:p>
    <w:p w14:paraId="63C1811E" w14:textId="77777777" w:rsidR="00B63C96" w:rsidRPr="00B63C96" w:rsidRDefault="00B63C96" w:rsidP="00B63C96">
      <w:pPr>
        <w:pStyle w:val="CETReferencetext"/>
      </w:pPr>
      <w:proofErr w:type="spellStart"/>
      <w:r w:rsidRPr="00B63C96">
        <w:t>Wellinger</w:t>
      </w:r>
      <w:proofErr w:type="spellEnd"/>
      <w:r w:rsidRPr="00B63C96">
        <w:t>, A., Murphy, J., Baxter, D., 2013, Biogas upgrading to biomethane, in: The Biogas Handbook: Science, Production and Applications. Woodhead Publishing Limited, Cambridge, UK, pp. 342–378. DOI:10.1533/9780857097415</w:t>
      </w:r>
    </w:p>
    <w:p w14:paraId="1183374C" w14:textId="77777777" w:rsidR="00B63C96" w:rsidRPr="00B63C96" w:rsidRDefault="00B63C96" w:rsidP="00B63C96">
      <w:pPr>
        <w:pStyle w:val="CETReferencetext"/>
      </w:pPr>
    </w:p>
    <w:sectPr w:rsidR="00B63C96" w:rsidRPr="00B63C9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564FC" w14:textId="77777777" w:rsidR="00E26995" w:rsidRDefault="00E26995" w:rsidP="004F5E36">
      <w:r>
        <w:separator/>
      </w:r>
    </w:p>
  </w:endnote>
  <w:endnote w:type="continuationSeparator" w:id="0">
    <w:p w14:paraId="65DB50C2" w14:textId="77777777" w:rsidR="00E26995" w:rsidRDefault="00E269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7DCE5" w14:textId="77777777" w:rsidR="00E26995" w:rsidRDefault="00E26995" w:rsidP="004F5E36">
      <w:r>
        <w:separator/>
      </w:r>
    </w:p>
  </w:footnote>
  <w:footnote w:type="continuationSeparator" w:id="0">
    <w:p w14:paraId="116A3A39" w14:textId="77777777" w:rsidR="00E26995" w:rsidRDefault="00E2699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31EA"/>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224B4"/>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63C96"/>
    <w:rsid w:val="00B8686D"/>
    <w:rsid w:val="00BC30C9"/>
    <w:rsid w:val="00BE3E58"/>
    <w:rsid w:val="00C01616"/>
    <w:rsid w:val="00C0162B"/>
    <w:rsid w:val="00C345B1"/>
    <w:rsid w:val="00C40142"/>
    <w:rsid w:val="00C57182"/>
    <w:rsid w:val="00C57863"/>
    <w:rsid w:val="00C655FD"/>
    <w:rsid w:val="00C778F5"/>
    <w:rsid w:val="00C8035D"/>
    <w:rsid w:val="00C870A8"/>
    <w:rsid w:val="00C94434"/>
    <w:rsid w:val="00CA0D75"/>
    <w:rsid w:val="00CA1C95"/>
    <w:rsid w:val="00CA5A9C"/>
    <w:rsid w:val="00CD3517"/>
    <w:rsid w:val="00CD5A00"/>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26995"/>
    <w:rsid w:val="00E409A8"/>
    <w:rsid w:val="00E50C12"/>
    <w:rsid w:val="00E65B91"/>
    <w:rsid w:val="00E7209D"/>
    <w:rsid w:val="00E77223"/>
    <w:rsid w:val="00E8528B"/>
    <w:rsid w:val="00E85B94"/>
    <w:rsid w:val="00E978D0"/>
    <w:rsid w:val="00EA4613"/>
    <w:rsid w:val="00EA7F91"/>
    <w:rsid w:val="00EB1523"/>
    <w:rsid w:val="00EC0E49"/>
    <w:rsid w:val="00EE0131"/>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7104F"/>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1231EA"/>
    <w:rPr>
      <w:color w:val="808080"/>
    </w:rPr>
  </w:style>
  <w:style w:type="paragraph" w:styleId="Revisione">
    <w:name w:val="Revision"/>
    <w:hidden/>
    <w:uiPriority w:val="99"/>
    <w:semiHidden/>
    <w:rsid w:val="001231E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FB9B-EAE5-46FC-BF5D-A0CA6EE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10900</Words>
  <Characters>62133</Characters>
  <Application>Microsoft Office Word</Application>
  <DocSecurity>0</DocSecurity>
  <Lines>517</Lines>
  <Paragraphs>145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Carmen De Crescenzo</cp:lastModifiedBy>
  <cp:revision>2</cp:revision>
  <cp:lastPrinted>2015-05-12T18:31:00Z</cp:lastPrinted>
  <dcterms:created xsi:type="dcterms:W3CDTF">2019-04-15T08:47:00Z</dcterms:created>
  <dcterms:modified xsi:type="dcterms:W3CDTF">2019-04-15T08:47:00Z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http://www.zotero.org/styles/chicago-note-bibliography-16th-edition</vt:lpwstr>
  </property>
  <property fmtid="{D5CDD505-2E9C-101B-9397-08002B2CF9AE}" pid="7" name="Mendeley Recent Style Name 1_1">
    <vt:lpwstr>Chicago Manual of Style 16th edition (note)</vt:lpwstr>
  </property>
  <property fmtid="{D5CDD505-2E9C-101B-9397-08002B2CF9AE}" pid="8" name="Mendeley Recent Style Id 2_1">
    <vt:lpwstr>http://csl.mendeley.com/styles/536432551/elsevier-harvard-2</vt:lpwstr>
  </property>
  <property fmtid="{D5CDD505-2E9C-101B-9397-08002B2CF9AE}" pid="9" name="Mendeley Recent Style Name 2_1">
    <vt:lpwstr>Elsevier - Harvard (with titles) - Antonia Marzocchella</vt:lpwstr>
  </property>
  <property fmtid="{D5CDD505-2E9C-101B-9397-08002B2CF9AE}" pid="10" name="Mendeley Recent Style Id 3_1">
    <vt:lpwstr>http://csl.mendeley.com/styles/524393041/elsevier-harvard-2</vt:lpwstr>
  </property>
  <property fmtid="{D5CDD505-2E9C-101B-9397-08002B2CF9AE}" pid="11" name="Mendeley Recent Style Name 3_1">
    <vt:lpwstr>Elsevier - Harvard (with titles) - Antonia Marzocchella - Carmen De Crescenzo</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http://csl.mendeley.com/styles/495608691/journal-of-thermal-spray-technology</vt:lpwstr>
  </property>
  <property fmtid="{D5CDD505-2E9C-101B-9397-08002B2CF9AE}" pid="15" name="Mendeley Recent Style Name 5_1">
    <vt:lpwstr>Journal of Thermal Spray Technology - Carmen De Crescenzo</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http://www.zotero.org/styles/springer-socpsych-brackets</vt:lpwstr>
  </property>
  <property fmtid="{D5CDD505-2E9C-101B-9397-08002B2CF9AE}" pid="23" name="Mendeley Recent Style Name 9_1">
    <vt:lpwstr>Springer - SocPsych (numeric, brackets)</vt:lpwstr>
  </property>
  <property fmtid="{D5CDD505-2E9C-101B-9397-08002B2CF9AE}" pid="24" name="Mendeley Document_1">
    <vt:lpwstr>True</vt:lpwstr>
  </property>
  <property fmtid="{D5CDD505-2E9C-101B-9397-08002B2CF9AE}" pid="25" name="Mendeley Unique User Id_1">
    <vt:lpwstr>e8d9bf78-aa6b-37e2-8370-1ce6504d6e4a</vt:lpwstr>
  </property>
  <property fmtid="{D5CDD505-2E9C-101B-9397-08002B2CF9AE}" pid="26" name="Mendeley Citation Style_1">
    <vt:lpwstr>http://csl.mendeley.com/styles/524393041/elsevier-harvard-2</vt:lpwstr>
  </property>
</Properties>
</file>