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D3CFA" w14:paraId="4135B47A" w14:textId="77777777">
        <w:trPr>
          <w:trHeight w:val="852"/>
          <w:jc w:val="center"/>
        </w:trPr>
        <w:tc>
          <w:tcPr>
            <w:tcW w:w="6946" w:type="dxa"/>
            <w:vMerge w:val="restart"/>
            <w:tcBorders>
              <w:right w:val="single" w:sz="4" w:space="0" w:color="auto"/>
            </w:tcBorders>
          </w:tcPr>
          <w:p w14:paraId="6E70D972" w14:textId="77777777" w:rsidR="000A03B2" w:rsidRPr="004D3CFA" w:rsidRDefault="000A03B2" w:rsidP="00DE264A">
            <w:pPr>
              <w:tabs>
                <w:tab w:val="left" w:pos="-108"/>
              </w:tabs>
              <w:ind w:left="-108"/>
              <w:jc w:val="left"/>
              <w:rPr>
                <w:rFonts w:cs="Arial"/>
                <w:b/>
                <w:bCs/>
                <w:i/>
                <w:iCs/>
                <w:color w:val="000066"/>
                <w:sz w:val="12"/>
                <w:szCs w:val="12"/>
                <w:lang w:eastAsia="it-IT"/>
              </w:rPr>
            </w:pPr>
            <w:bookmarkStart w:id="0" w:name="_GoBack"/>
            <w:bookmarkEnd w:id="0"/>
            <w:r w:rsidRPr="004D3CFA">
              <w:rPr>
                <w:rFonts w:ascii="AdvP6960" w:hAnsi="AdvP6960" w:cs="AdvP6960"/>
                <w:noProof/>
                <w:color w:val="241F20"/>
                <w:szCs w:val="18"/>
                <w:lang w:val="it-IT" w:eastAsia="it-IT"/>
              </w:rPr>
              <w:drawing>
                <wp:inline distT="0" distB="0" distL="0" distR="0" wp14:anchorId="27141411" wp14:editId="485284A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D3CFA">
              <w:rPr>
                <w:rFonts w:ascii="AdvP6960" w:hAnsi="AdvP6960" w:cs="AdvP6960"/>
                <w:color w:val="241F20"/>
                <w:szCs w:val="18"/>
                <w:lang w:eastAsia="it-IT"/>
              </w:rPr>
              <w:t xml:space="preserve"> </w:t>
            </w:r>
            <w:r w:rsidRPr="004D3CFA">
              <w:rPr>
                <w:rFonts w:cs="Arial"/>
                <w:b/>
                <w:bCs/>
                <w:i/>
                <w:iCs/>
                <w:color w:val="000066"/>
                <w:sz w:val="24"/>
                <w:szCs w:val="24"/>
                <w:lang w:eastAsia="it-IT"/>
              </w:rPr>
              <w:t>CHEMICAL ENGINEERING</w:t>
            </w:r>
            <w:r w:rsidRPr="004D3CFA">
              <w:rPr>
                <w:rFonts w:cs="Arial"/>
                <w:b/>
                <w:bCs/>
                <w:i/>
                <w:iCs/>
                <w:color w:val="0033FF"/>
                <w:sz w:val="24"/>
                <w:szCs w:val="24"/>
                <w:lang w:eastAsia="it-IT"/>
              </w:rPr>
              <w:t xml:space="preserve"> </w:t>
            </w:r>
            <w:r w:rsidRPr="004D3CFA">
              <w:rPr>
                <w:rFonts w:cs="Arial"/>
                <w:b/>
                <w:bCs/>
                <w:i/>
                <w:iCs/>
                <w:color w:val="666666"/>
                <w:sz w:val="24"/>
                <w:szCs w:val="24"/>
                <w:lang w:eastAsia="it-IT"/>
              </w:rPr>
              <w:t>TRANSACTIONS</w:t>
            </w:r>
            <w:r w:rsidRPr="004D3CFA">
              <w:rPr>
                <w:color w:val="333333"/>
                <w:sz w:val="24"/>
                <w:szCs w:val="24"/>
                <w:lang w:eastAsia="it-IT"/>
              </w:rPr>
              <w:t xml:space="preserve"> </w:t>
            </w:r>
            <w:r w:rsidRPr="004D3CFA">
              <w:rPr>
                <w:rFonts w:cs="Arial"/>
                <w:b/>
                <w:bCs/>
                <w:i/>
                <w:iCs/>
                <w:color w:val="000066"/>
                <w:sz w:val="27"/>
                <w:szCs w:val="27"/>
                <w:lang w:eastAsia="it-IT"/>
              </w:rPr>
              <w:br/>
            </w:r>
          </w:p>
          <w:p w14:paraId="7A52CAD8" w14:textId="77777777" w:rsidR="000A03B2" w:rsidRPr="004D3CFA" w:rsidRDefault="00A76EFC" w:rsidP="009635B9">
            <w:pPr>
              <w:tabs>
                <w:tab w:val="left" w:pos="-108"/>
              </w:tabs>
              <w:ind w:left="-108"/>
              <w:rPr>
                <w:rFonts w:cs="Arial"/>
                <w:b/>
                <w:bCs/>
                <w:i/>
                <w:iCs/>
                <w:color w:val="000066"/>
                <w:sz w:val="22"/>
                <w:szCs w:val="22"/>
                <w:lang w:eastAsia="it-IT"/>
              </w:rPr>
            </w:pPr>
            <w:r w:rsidRPr="004D3CFA">
              <w:rPr>
                <w:rFonts w:cs="Arial"/>
                <w:b/>
                <w:bCs/>
                <w:i/>
                <w:iCs/>
                <w:color w:val="000066"/>
                <w:sz w:val="22"/>
                <w:szCs w:val="22"/>
                <w:lang w:eastAsia="it-IT"/>
              </w:rPr>
              <w:t xml:space="preserve">VOL. </w:t>
            </w:r>
            <w:r w:rsidR="007931FA" w:rsidRPr="004D3CFA">
              <w:rPr>
                <w:rFonts w:cs="Arial"/>
                <w:b/>
                <w:bCs/>
                <w:i/>
                <w:iCs/>
                <w:color w:val="000066"/>
                <w:sz w:val="22"/>
                <w:szCs w:val="22"/>
                <w:lang w:eastAsia="it-IT"/>
              </w:rPr>
              <w:t>7</w:t>
            </w:r>
            <w:r w:rsidR="009635B9" w:rsidRPr="004D3CFA">
              <w:rPr>
                <w:rFonts w:cs="Arial"/>
                <w:b/>
                <w:bCs/>
                <w:i/>
                <w:iCs/>
                <w:color w:val="000066"/>
                <w:sz w:val="22"/>
                <w:szCs w:val="22"/>
                <w:lang w:eastAsia="it-IT"/>
              </w:rPr>
              <w:t>6</w:t>
            </w:r>
            <w:r w:rsidR="00FA5F5F" w:rsidRPr="004D3CFA">
              <w:rPr>
                <w:rFonts w:cs="Arial"/>
                <w:b/>
                <w:bCs/>
                <w:i/>
                <w:iCs/>
                <w:color w:val="000066"/>
                <w:sz w:val="22"/>
                <w:szCs w:val="22"/>
                <w:lang w:eastAsia="it-IT"/>
              </w:rPr>
              <w:t>, 201</w:t>
            </w:r>
            <w:r w:rsidR="007931FA" w:rsidRPr="004D3C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53CB7FA" w14:textId="77777777" w:rsidR="000A03B2" w:rsidRPr="004D3CFA" w:rsidRDefault="000A03B2" w:rsidP="00CD5FE2">
            <w:pPr>
              <w:spacing w:line="140" w:lineRule="atLeast"/>
              <w:jc w:val="right"/>
              <w:rPr>
                <w:rFonts w:cs="Arial"/>
                <w:sz w:val="14"/>
                <w:szCs w:val="14"/>
              </w:rPr>
            </w:pPr>
            <w:r w:rsidRPr="004D3CFA">
              <w:rPr>
                <w:rFonts w:cs="Arial"/>
                <w:sz w:val="14"/>
                <w:szCs w:val="14"/>
              </w:rPr>
              <w:t>A publication of</w:t>
            </w:r>
          </w:p>
          <w:p w14:paraId="156AE73C" w14:textId="77777777" w:rsidR="000A03B2" w:rsidRPr="004D3CFA" w:rsidRDefault="000A03B2" w:rsidP="00CD5FE2">
            <w:pPr>
              <w:jc w:val="right"/>
            </w:pPr>
            <w:r w:rsidRPr="004D3CFA">
              <w:rPr>
                <w:noProof/>
                <w:lang w:val="it-IT" w:eastAsia="it-IT"/>
              </w:rPr>
              <w:drawing>
                <wp:inline distT="0" distB="0" distL="0" distR="0" wp14:anchorId="20B6CDA9" wp14:editId="1FFC969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D3CFA" w14:paraId="715B7496" w14:textId="77777777">
        <w:trPr>
          <w:trHeight w:val="567"/>
          <w:jc w:val="center"/>
        </w:trPr>
        <w:tc>
          <w:tcPr>
            <w:tcW w:w="6946" w:type="dxa"/>
            <w:vMerge/>
            <w:tcBorders>
              <w:right w:val="single" w:sz="4" w:space="0" w:color="auto"/>
            </w:tcBorders>
          </w:tcPr>
          <w:p w14:paraId="44597154" w14:textId="77777777" w:rsidR="000A03B2" w:rsidRPr="004D3CFA" w:rsidRDefault="000A03B2" w:rsidP="00CD5FE2">
            <w:pPr>
              <w:tabs>
                <w:tab w:val="left" w:pos="-108"/>
              </w:tabs>
            </w:pPr>
          </w:p>
        </w:tc>
        <w:tc>
          <w:tcPr>
            <w:tcW w:w="1843" w:type="dxa"/>
            <w:tcBorders>
              <w:left w:val="single" w:sz="4" w:space="0" w:color="auto"/>
              <w:bottom w:val="nil"/>
              <w:right w:val="single" w:sz="4" w:space="0" w:color="auto"/>
            </w:tcBorders>
          </w:tcPr>
          <w:p w14:paraId="365D8885" w14:textId="77777777" w:rsidR="000A03B2" w:rsidRPr="004D3CFA" w:rsidRDefault="000A03B2" w:rsidP="00CD5FE2">
            <w:pPr>
              <w:spacing w:line="140" w:lineRule="atLeast"/>
              <w:jc w:val="right"/>
              <w:rPr>
                <w:rFonts w:cs="Arial"/>
                <w:sz w:val="14"/>
                <w:szCs w:val="14"/>
              </w:rPr>
            </w:pPr>
            <w:r w:rsidRPr="004D3CFA">
              <w:rPr>
                <w:rFonts w:cs="Arial"/>
                <w:sz w:val="14"/>
                <w:szCs w:val="14"/>
              </w:rPr>
              <w:t>The Italian Association</w:t>
            </w:r>
          </w:p>
          <w:p w14:paraId="3D4B2A76" w14:textId="77777777" w:rsidR="000A03B2" w:rsidRPr="004D3CFA" w:rsidRDefault="000A03B2" w:rsidP="00CD5FE2">
            <w:pPr>
              <w:spacing w:line="140" w:lineRule="atLeast"/>
              <w:jc w:val="right"/>
              <w:rPr>
                <w:rFonts w:cs="Arial"/>
                <w:sz w:val="14"/>
                <w:szCs w:val="14"/>
              </w:rPr>
            </w:pPr>
            <w:r w:rsidRPr="004D3CFA">
              <w:rPr>
                <w:rFonts w:cs="Arial"/>
                <w:sz w:val="14"/>
                <w:szCs w:val="14"/>
              </w:rPr>
              <w:t>of Chemical Engineering</w:t>
            </w:r>
          </w:p>
          <w:p w14:paraId="07A8CA09" w14:textId="77777777" w:rsidR="000A03B2" w:rsidRPr="004D3CFA" w:rsidRDefault="000A03B2" w:rsidP="00162642">
            <w:pPr>
              <w:spacing w:line="140" w:lineRule="atLeast"/>
              <w:jc w:val="right"/>
              <w:rPr>
                <w:rFonts w:cs="Arial"/>
                <w:sz w:val="14"/>
                <w:szCs w:val="14"/>
              </w:rPr>
            </w:pPr>
            <w:r w:rsidRPr="004D3CFA">
              <w:rPr>
                <w:rFonts w:cs="Arial"/>
                <w:sz w:val="14"/>
                <w:szCs w:val="14"/>
              </w:rPr>
              <w:t xml:space="preserve">Online at </w:t>
            </w:r>
            <w:r w:rsidR="00162642" w:rsidRPr="004D3CFA">
              <w:rPr>
                <w:rFonts w:cs="Arial"/>
                <w:sz w:val="14"/>
                <w:szCs w:val="14"/>
              </w:rPr>
              <w:t>www.cetjournal.it</w:t>
            </w:r>
          </w:p>
        </w:tc>
      </w:tr>
      <w:tr w:rsidR="000A03B2" w:rsidRPr="004D3CFA" w14:paraId="38290D26" w14:textId="77777777">
        <w:trPr>
          <w:trHeight w:val="68"/>
          <w:jc w:val="center"/>
        </w:trPr>
        <w:tc>
          <w:tcPr>
            <w:tcW w:w="8789" w:type="dxa"/>
            <w:gridSpan w:val="2"/>
          </w:tcPr>
          <w:p w14:paraId="5C949CF8" w14:textId="77777777" w:rsidR="00300E56" w:rsidRPr="004D3CFA" w:rsidRDefault="00300E56" w:rsidP="003365E3">
            <w:pPr>
              <w:ind w:left="-107"/>
              <w:rPr>
                <w:lang w:val="it-IT"/>
              </w:rPr>
            </w:pPr>
            <w:r w:rsidRPr="004D3CFA">
              <w:rPr>
                <w:rFonts w:ascii="Tahoma" w:hAnsi="Tahoma" w:cs="Tahoma"/>
                <w:iCs/>
                <w:color w:val="333333"/>
                <w:sz w:val="14"/>
                <w:szCs w:val="14"/>
                <w:lang w:val="it-IT" w:eastAsia="it-IT"/>
              </w:rPr>
              <w:t>Guest Editors:</w:t>
            </w:r>
            <w:r w:rsidR="00904C62" w:rsidRPr="004D3CFA">
              <w:rPr>
                <w:rFonts w:ascii="Tahoma" w:hAnsi="Tahoma" w:cs="Tahoma"/>
                <w:iCs/>
                <w:color w:val="333333"/>
                <w:sz w:val="14"/>
                <w:szCs w:val="14"/>
                <w:lang w:val="it-IT" w:eastAsia="it-IT"/>
              </w:rPr>
              <w:t xml:space="preserve"> </w:t>
            </w:r>
            <w:r w:rsidR="009635B9" w:rsidRPr="004D3CFA">
              <w:rPr>
                <w:rFonts w:ascii="Tahoma" w:hAnsi="Tahoma" w:cs="Tahoma"/>
                <w:sz w:val="14"/>
                <w:szCs w:val="14"/>
                <w:lang w:val="it-IT"/>
              </w:rPr>
              <w:t>Sauro Pierucci,</w:t>
            </w:r>
            <w:r w:rsidR="003B60F3" w:rsidRPr="004D3CFA">
              <w:rPr>
                <w:rFonts w:ascii="Tahoma" w:hAnsi="Tahoma" w:cs="Tahoma"/>
                <w:sz w:val="14"/>
                <w:szCs w:val="14"/>
                <w:lang w:val="it-IT"/>
              </w:rPr>
              <w:t xml:space="preserve"> </w:t>
            </w:r>
            <w:r w:rsidR="00047D7F" w:rsidRPr="004D3CFA">
              <w:rPr>
                <w:rFonts w:ascii="Tahoma" w:hAnsi="Tahoma" w:cs="Tahoma"/>
                <w:sz w:val="14"/>
                <w:szCs w:val="14"/>
                <w:shd w:val="clear" w:color="auto" w:fill="FFFFFF"/>
                <w:lang w:val="it-IT"/>
              </w:rPr>
              <w:t>Jiří Jaromír Klemeš</w:t>
            </w:r>
            <w:r w:rsidR="00252C1A" w:rsidRPr="004D3CFA">
              <w:rPr>
                <w:rFonts w:ascii="Tahoma" w:hAnsi="Tahoma" w:cs="Tahoma"/>
                <w:sz w:val="14"/>
                <w:szCs w:val="14"/>
                <w:shd w:val="clear" w:color="auto" w:fill="FFFFFF"/>
                <w:lang w:val="it-IT"/>
              </w:rPr>
              <w:t>, Laura Piazza</w:t>
            </w:r>
          </w:p>
          <w:p w14:paraId="4C56C74F" w14:textId="77777777" w:rsidR="000A03B2" w:rsidRPr="004D3CFA" w:rsidRDefault="00FA5F5F" w:rsidP="00131FAB">
            <w:pPr>
              <w:tabs>
                <w:tab w:val="left" w:pos="-108"/>
              </w:tabs>
              <w:spacing w:line="140" w:lineRule="atLeast"/>
              <w:ind w:left="-107"/>
              <w:jc w:val="left"/>
            </w:pPr>
            <w:r w:rsidRPr="004D3CFA">
              <w:rPr>
                <w:rFonts w:ascii="Tahoma" w:hAnsi="Tahoma" w:cs="Tahoma"/>
                <w:iCs/>
                <w:color w:val="333333"/>
                <w:sz w:val="14"/>
                <w:szCs w:val="14"/>
                <w:lang w:eastAsia="it-IT"/>
              </w:rPr>
              <w:t>Copyright © 201</w:t>
            </w:r>
            <w:r w:rsidR="007931FA" w:rsidRPr="004D3CFA">
              <w:rPr>
                <w:rFonts w:ascii="Tahoma" w:hAnsi="Tahoma" w:cs="Tahoma"/>
                <w:iCs/>
                <w:color w:val="333333"/>
                <w:sz w:val="14"/>
                <w:szCs w:val="14"/>
                <w:lang w:eastAsia="it-IT"/>
              </w:rPr>
              <w:t>9</w:t>
            </w:r>
            <w:r w:rsidR="00904C62" w:rsidRPr="004D3CFA">
              <w:rPr>
                <w:rFonts w:ascii="Tahoma" w:hAnsi="Tahoma" w:cs="Tahoma"/>
                <w:iCs/>
                <w:color w:val="333333"/>
                <w:sz w:val="14"/>
                <w:szCs w:val="14"/>
                <w:lang w:eastAsia="it-IT"/>
              </w:rPr>
              <w:t>, AIDIC Servizi S.r.l.</w:t>
            </w:r>
            <w:r w:rsidR="00300E56" w:rsidRPr="004D3CFA">
              <w:rPr>
                <w:rFonts w:ascii="Tahoma" w:hAnsi="Tahoma" w:cs="Tahoma"/>
                <w:iCs/>
                <w:color w:val="333333"/>
                <w:sz w:val="14"/>
                <w:szCs w:val="14"/>
                <w:lang w:eastAsia="it-IT"/>
              </w:rPr>
              <w:br/>
            </w:r>
            <w:r w:rsidR="00300E56" w:rsidRPr="004D3CFA">
              <w:rPr>
                <w:rFonts w:ascii="Tahoma" w:hAnsi="Tahoma" w:cs="Tahoma"/>
                <w:b/>
                <w:iCs/>
                <w:color w:val="000000"/>
                <w:sz w:val="14"/>
                <w:szCs w:val="14"/>
                <w:lang w:eastAsia="it-IT"/>
              </w:rPr>
              <w:t>ISBN</w:t>
            </w:r>
            <w:r w:rsidR="00300E56" w:rsidRPr="004D3CFA">
              <w:rPr>
                <w:rFonts w:ascii="Tahoma" w:hAnsi="Tahoma" w:cs="Tahoma"/>
                <w:iCs/>
                <w:color w:val="000000"/>
                <w:sz w:val="14"/>
                <w:szCs w:val="14"/>
                <w:lang w:eastAsia="it-IT"/>
              </w:rPr>
              <w:t xml:space="preserve"> </w:t>
            </w:r>
            <w:r w:rsidR="008D32B9" w:rsidRPr="004D3CFA">
              <w:rPr>
                <w:rFonts w:ascii="Tahoma" w:hAnsi="Tahoma" w:cs="Tahoma"/>
                <w:sz w:val="14"/>
                <w:szCs w:val="14"/>
              </w:rPr>
              <w:t>978-88-95608-</w:t>
            </w:r>
            <w:r w:rsidR="009635B9" w:rsidRPr="004D3CFA">
              <w:rPr>
                <w:rFonts w:ascii="Tahoma" w:hAnsi="Tahoma" w:cs="Tahoma"/>
                <w:sz w:val="14"/>
                <w:szCs w:val="14"/>
              </w:rPr>
              <w:t>73</w:t>
            </w:r>
            <w:r w:rsidR="008D32B9" w:rsidRPr="004D3CFA">
              <w:rPr>
                <w:rFonts w:ascii="Tahoma" w:hAnsi="Tahoma" w:cs="Tahoma"/>
                <w:sz w:val="14"/>
                <w:szCs w:val="14"/>
              </w:rPr>
              <w:t>-</w:t>
            </w:r>
            <w:r w:rsidR="009635B9" w:rsidRPr="004D3CFA">
              <w:rPr>
                <w:rFonts w:ascii="Tahoma" w:hAnsi="Tahoma" w:cs="Tahoma"/>
                <w:sz w:val="14"/>
                <w:szCs w:val="14"/>
              </w:rPr>
              <w:t>0</w:t>
            </w:r>
            <w:r w:rsidR="00300E56" w:rsidRPr="004D3CFA">
              <w:rPr>
                <w:rFonts w:ascii="Tahoma" w:hAnsi="Tahoma" w:cs="Tahoma"/>
                <w:iCs/>
                <w:color w:val="333333"/>
                <w:sz w:val="14"/>
                <w:szCs w:val="14"/>
                <w:lang w:eastAsia="it-IT"/>
              </w:rPr>
              <w:t xml:space="preserve">; </w:t>
            </w:r>
            <w:r w:rsidR="00300E56" w:rsidRPr="004D3CFA">
              <w:rPr>
                <w:rFonts w:ascii="Tahoma" w:hAnsi="Tahoma" w:cs="Tahoma"/>
                <w:b/>
                <w:iCs/>
                <w:color w:val="333333"/>
                <w:sz w:val="14"/>
                <w:szCs w:val="14"/>
                <w:lang w:eastAsia="it-IT"/>
              </w:rPr>
              <w:t>ISSN</w:t>
            </w:r>
            <w:r w:rsidR="00300E56" w:rsidRPr="004D3CFA">
              <w:rPr>
                <w:rFonts w:ascii="Tahoma" w:hAnsi="Tahoma" w:cs="Tahoma"/>
                <w:iCs/>
                <w:color w:val="333333"/>
                <w:sz w:val="14"/>
                <w:szCs w:val="14"/>
                <w:lang w:eastAsia="it-IT"/>
              </w:rPr>
              <w:t xml:space="preserve"> 2283-9216</w:t>
            </w:r>
          </w:p>
        </w:tc>
      </w:tr>
    </w:tbl>
    <w:p w14:paraId="19EA306A" w14:textId="77777777" w:rsidR="000A03B2" w:rsidRPr="004D3CFA" w:rsidRDefault="000A03B2" w:rsidP="000A03B2">
      <w:pPr>
        <w:pStyle w:val="CETAuthors"/>
        <w:sectPr w:rsidR="000A03B2" w:rsidRPr="004D3CFA">
          <w:type w:val="continuous"/>
          <w:pgSz w:w="11906" w:h="16838" w:code="9"/>
          <w:pgMar w:top="1701" w:right="1418" w:bottom="1701" w:left="1701" w:header="1701" w:footer="0" w:gutter="0"/>
          <w:cols w:space="708"/>
          <w:titlePg/>
          <w:docGrid w:linePitch="360"/>
        </w:sectPr>
      </w:pPr>
    </w:p>
    <w:p w14:paraId="48502288" w14:textId="77777777" w:rsidR="00E978D0" w:rsidRPr="004D3CFA" w:rsidRDefault="00F307AF" w:rsidP="00E978D0">
      <w:pPr>
        <w:pStyle w:val="CETTitle"/>
      </w:pPr>
      <w:r w:rsidRPr="004D3CFA">
        <w:t xml:space="preserve">A Resilient </w:t>
      </w:r>
      <w:r w:rsidR="0059098E" w:rsidRPr="004D3CFA">
        <w:t>A</w:t>
      </w:r>
      <w:r w:rsidRPr="004D3CFA">
        <w:t>pproach to the Safety Management of Ageing and Obsolescence in Oil and Chemical Industries</w:t>
      </w:r>
    </w:p>
    <w:p w14:paraId="454994F2" w14:textId="77777777" w:rsidR="00E978D0" w:rsidRPr="004D3CFA" w:rsidRDefault="00A70859" w:rsidP="00AB5011">
      <w:pPr>
        <w:pStyle w:val="CETAuthors"/>
        <w:rPr>
          <w:lang w:val="it-IT"/>
        </w:rPr>
      </w:pPr>
      <w:r w:rsidRPr="004D3CFA">
        <w:rPr>
          <w:lang w:val="it-IT"/>
        </w:rPr>
        <w:t>Paolo Bragatto</w:t>
      </w:r>
      <w:r>
        <w:rPr>
          <w:vertAlign w:val="superscript"/>
          <w:lang w:val="it-IT"/>
        </w:rPr>
        <w:t>a</w:t>
      </w:r>
      <w:r w:rsidRPr="004D3CFA">
        <w:rPr>
          <w:vertAlign w:val="superscript"/>
          <w:lang w:val="it-IT"/>
        </w:rPr>
        <w:t>,</w:t>
      </w:r>
      <w:r w:rsidRPr="004D3CFA">
        <w:rPr>
          <w:lang w:val="it-IT"/>
        </w:rPr>
        <w:t>*</w:t>
      </w:r>
      <w:r w:rsidR="0013727B">
        <w:rPr>
          <w:lang w:val="it-IT"/>
        </w:rPr>
        <w:t>,</w:t>
      </w:r>
      <w:r>
        <w:rPr>
          <w:lang w:val="it-IT"/>
        </w:rPr>
        <w:t xml:space="preserve"> </w:t>
      </w:r>
      <w:r w:rsidR="00F307AF" w:rsidRPr="004D3CFA">
        <w:rPr>
          <w:lang w:val="it-IT"/>
        </w:rPr>
        <w:t>Maria Francesca Milazzo</w:t>
      </w:r>
      <w:r>
        <w:rPr>
          <w:vertAlign w:val="superscript"/>
          <w:lang w:val="it-IT"/>
        </w:rPr>
        <w:t>b</w:t>
      </w:r>
    </w:p>
    <w:p w14:paraId="32E3E414" w14:textId="77777777" w:rsidR="00E978D0" w:rsidRDefault="00A70859" w:rsidP="00E978D0">
      <w:pPr>
        <w:pStyle w:val="CETAddress"/>
        <w:rPr>
          <w:lang w:val="it-IT"/>
        </w:rPr>
      </w:pPr>
      <w:r w:rsidRPr="00A70859">
        <w:rPr>
          <w:vertAlign w:val="superscript"/>
          <w:lang w:val="it-IT"/>
        </w:rPr>
        <w:t>a</w:t>
      </w:r>
      <w:r w:rsidR="00CA2DC4" w:rsidRPr="004D3CFA">
        <w:rPr>
          <w:lang w:val="it-IT"/>
        </w:rPr>
        <w:t>Dipartimento Innovazioni Tecnologiche, INAIL, 00078 Monteporzio Catone, Roma (Italy)</w:t>
      </w:r>
    </w:p>
    <w:p w14:paraId="6BB196C6" w14:textId="77777777" w:rsidR="00A70859" w:rsidRPr="004D3CFA" w:rsidRDefault="00A70859" w:rsidP="00A70859">
      <w:pPr>
        <w:pStyle w:val="CETAddress"/>
        <w:rPr>
          <w:lang w:val="it-IT"/>
        </w:rPr>
      </w:pPr>
      <w:r>
        <w:rPr>
          <w:vertAlign w:val="superscript"/>
          <w:lang w:val="it-IT"/>
        </w:rPr>
        <w:t>b</w:t>
      </w:r>
      <w:r w:rsidRPr="004D3CFA">
        <w:rPr>
          <w:lang w:val="it-IT"/>
        </w:rPr>
        <w:t>Dipartimento di Ingegneria, Università di Messina, Contrada di Dio, 98166 Messina (Italy)</w:t>
      </w:r>
    </w:p>
    <w:p w14:paraId="16F21D06" w14:textId="77777777" w:rsidR="00E978D0" w:rsidRPr="004D3CFA" w:rsidRDefault="00AB5011" w:rsidP="00E978D0">
      <w:pPr>
        <w:pStyle w:val="CETemail"/>
      </w:pPr>
      <w:r w:rsidRPr="003F767E">
        <w:rPr>
          <w:lang w:val="it-IT"/>
        </w:rPr>
        <w:t xml:space="preserve"> </w:t>
      </w:r>
      <w:r w:rsidR="00A70859" w:rsidRPr="00A70859">
        <w:t>*</w:t>
      </w:r>
      <w:r w:rsidR="00CA2DC4" w:rsidRPr="004D3CFA">
        <w:t>p.bragatto@inail.it</w:t>
      </w:r>
    </w:p>
    <w:p w14:paraId="615022A7" w14:textId="1F8636D7" w:rsidR="006A49ED" w:rsidRPr="00DB0F65" w:rsidRDefault="006A49ED" w:rsidP="00600535">
      <w:pPr>
        <w:pStyle w:val="CETBodytext"/>
        <w:rPr>
          <w:lang w:val="en-GB"/>
        </w:rPr>
      </w:pPr>
      <w:r w:rsidRPr="004D3CFA">
        <w:rPr>
          <w:lang w:val="en-GB"/>
        </w:rPr>
        <w:t>Oil and chemical industries are subject to very strict legislations</w:t>
      </w:r>
      <w:r w:rsidR="00B57A22" w:rsidRPr="00B57A22">
        <w:rPr>
          <w:lang w:val="en-GB"/>
        </w:rPr>
        <w:t xml:space="preserve"> </w:t>
      </w:r>
      <w:r w:rsidR="00B57A22" w:rsidRPr="004D3CFA">
        <w:rPr>
          <w:lang w:val="en-GB"/>
        </w:rPr>
        <w:t>throughout Europe</w:t>
      </w:r>
      <w:r w:rsidRPr="004D3CFA">
        <w:rPr>
          <w:lang w:val="en-GB"/>
        </w:rPr>
        <w:t xml:space="preserve">, in particular </w:t>
      </w:r>
      <w:r w:rsidR="00F51678" w:rsidRPr="004D3CFA">
        <w:rPr>
          <w:lang w:val="en-GB"/>
        </w:rPr>
        <w:t>about the</w:t>
      </w:r>
      <w:r w:rsidRPr="004D3CFA">
        <w:rPr>
          <w:lang w:val="en-GB"/>
        </w:rPr>
        <w:t xml:space="preserve"> control of major accident hazards (Seveso Directive) and the integrated prevention and reduction of pollution (IPPC Directive). Further restrictions come from the </w:t>
      </w:r>
      <w:r w:rsidR="00947E89" w:rsidRPr="004D3CFA">
        <w:rPr>
          <w:lang w:val="en-GB"/>
        </w:rPr>
        <w:t xml:space="preserve">legislation </w:t>
      </w:r>
      <w:r w:rsidR="00B57A22">
        <w:rPr>
          <w:lang w:val="en-GB"/>
        </w:rPr>
        <w:t>about</w:t>
      </w:r>
      <w:r w:rsidR="00947E89" w:rsidRPr="004D3CFA">
        <w:rPr>
          <w:lang w:val="en-GB"/>
        </w:rPr>
        <w:t xml:space="preserve"> the </w:t>
      </w:r>
      <w:r w:rsidRPr="004D3CFA">
        <w:rPr>
          <w:lang w:val="en-GB"/>
        </w:rPr>
        <w:t xml:space="preserve">safety of </w:t>
      </w:r>
      <w:r w:rsidR="002D598B" w:rsidRPr="00DB0F65">
        <w:rPr>
          <w:lang w:val="en-GB"/>
        </w:rPr>
        <w:t>chemicals</w:t>
      </w:r>
      <w:r w:rsidR="002D598B" w:rsidRPr="004D3CFA" w:rsidDel="002D598B">
        <w:rPr>
          <w:lang w:val="en-GB"/>
        </w:rPr>
        <w:t xml:space="preserve"> </w:t>
      </w:r>
      <w:r w:rsidRPr="004D3CFA">
        <w:rPr>
          <w:lang w:val="en-GB"/>
        </w:rPr>
        <w:t xml:space="preserve">as well as from that concerning occupational safety and health. </w:t>
      </w:r>
      <w:r w:rsidR="005A1745" w:rsidRPr="00DB0F65">
        <w:rPr>
          <w:lang w:val="en-GB"/>
        </w:rPr>
        <w:t>A</w:t>
      </w:r>
      <w:r w:rsidRPr="00DB0F65">
        <w:rPr>
          <w:lang w:val="en-GB"/>
        </w:rPr>
        <w:t>geing of plants and equipment, due to corrosion and other phenomena, is currently a problem recognised by the Seveso Competent Authorities</w:t>
      </w:r>
      <w:r w:rsidR="00A70859">
        <w:rPr>
          <w:lang w:val="en-GB"/>
        </w:rPr>
        <w:t xml:space="preserve">, as well </w:t>
      </w:r>
      <w:r w:rsidR="00B57A22">
        <w:rPr>
          <w:lang w:val="en-GB"/>
        </w:rPr>
        <w:t>Natural Technological (</w:t>
      </w:r>
      <w:r w:rsidR="00A70859">
        <w:rPr>
          <w:lang w:val="en-GB"/>
        </w:rPr>
        <w:t>NaT</w:t>
      </w:r>
      <w:r w:rsidR="005A1745" w:rsidRPr="00DB0F65">
        <w:rPr>
          <w:lang w:val="en-GB"/>
        </w:rPr>
        <w:t>ech</w:t>
      </w:r>
      <w:r w:rsidR="00B57A22">
        <w:rPr>
          <w:lang w:val="en-GB"/>
        </w:rPr>
        <w:t>)</w:t>
      </w:r>
      <w:r w:rsidR="005A1745" w:rsidRPr="00DB0F65">
        <w:rPr>
          <w:lang w:val="en-GB"/>
        </w:rPr>
        <w:t xml:space="preserve"> risk and cybersecurity.</w:t>
      </w:r>
      <w:r w:rsidR="00B819E3" w:rsidRPr="00DB0F65">
        <w:rPr>
          <w:lang w:val="en-GB"/>
        </w:rPr>
        <w:t xml:space="preserve"> </w:t>
      </w:r>
      <w:r w:rsidR="00A70859" w:rsidRPr="00A70859">
        <w:rPr>
          <w:lang w:val="en-GB"/>
        </w:rPr>
        <w:t>Th</w:t>
      </w:r>
      <w:r w:rsidR="00B57A22">
        <w:rPr>
          <w:lang w:val="en-GB"/>
        </w:rPr>
        <w:t>is</w:t>
      </w:r>
      <w:r w:rsidR="00A70859" w:rsidRPr="00A70859">
        <w:rPr>
          <w:lang w:val="en-GB"/>
        </w:rPr>
        <w:t xml:space="preserve"> paper focuses on further critical issues emerging in Seveso industries</w:t>
      </w:r>
      <w:r w:rsidRPr="00A70859">
        <w:rPr>
          <w:lang w:val="en-GB"/>
        </w:rPr>
        <w:t>.</w:t>
      </w:r>
      <w:r w:rsidRPr="00DB0F65">
        <w:rPr>
          <w:lang w:val="en-GB"/>
        </w:rPr>
        <w:t xml:space="preserve"> Equipment ageing produces also long-term environmental effects, which should concern also IPPC regulations. Another problem is obsolescence. The regulatory framework that guides chemical and oil industries is becoming tighter</w:t>
      </w:r>
      <w:r w:rsidR="00437BA1" w:rsidRPr="00DB0F65">
        <w:rPr>
          <w:lang w:val="en-GB"/>
        </w:rPr>
        <w:t xml:space="preserve">, </w:t>
      </w:r>
      <w:r w:rsidR="0047339A" w:rsidRPr="00DB0F65">
        <w:rPr>
          <w:lang w:val="en-GB"/>
        </w:rPr>
        <w:t>hence</w:t>
      </w:r>
      <w:r w:rsidR="00437BA1" w:rsidRPr="00DB0F65">
        <w:rPr>
          <w:lang w:val="en-GB"/>
        </w:rPr>
        <w:t xml:space="preserve"> </w:t>
      </w:r>
      <w:r w:rsidR="0047339A" w:rsidRPr="00DB0F65">
        <w:rPr>
          <w:lang w:val="en-GB"/>
        </w:rPr>
        <w:t>establishments</w:t>
      </w:r>
      <w:r w:rsidRPr="00DB0F65">
        <w:rPr>
          <w:lang w:val="en-GB"/>
        </w:rPr>
        <w:t xml:space="preserve"> that are still in good condition could become unusable because the operator did not make in advance adequate changes to face the new context. </w:t>
      </w:r>
      <w:r w:rsidR="005A1745" w:rsidRPr="004D3CFA">
        <w:rPr>
          <w:lang w:val="en-GB"/>
        </w:rPr>
        <w:t xml:space="preserve">Ageing of staff and organization is a further emerging </w:t>
      </w:r>
      <w:r w:rsidR="005A1745" w:rsidRPr="00DB0F65">
        <w:rPr>
          <w:lang w:val="en-GB"/>
        </w:rPr>
        <w:t xml:space="preserve">issue. Market is becoming more and more competitive and financial context in many industries is becoming difficult. </w:t>
      </w:r>
      <w:r w:rsidR="005A1745" w:rsidRPr="004D3CFA">
        <w:rPr>
          <w:lang w:val="en-GB"/>
        </w:rPr>
        <w:t>Th</w:t>
      </w:r>
      <w:r w:rsidR="00B57A22">
        <w:rPr>
          <w:lang w:val="en-GB"/>
        </w:rPr>
        <w:t>is</w:t>
      </w:r>
      <w:r w:rsidR="005A1745" w:rsidRPr="004D3CFA">
        <w:rPr>
          <w:lang w:val="en-GB"/>
        </w:rPr>
        <w:t xml:space="preserve"> paper </w:t>
      </w:r>
      <w:r w:rsidR="005F60AA" w:rsidRPr="004D3CFA">
        <w:rPr>
          <w:lang w:val="en-GB"/>
        </w:rPr>
        <w:t xml:space="preserve">outlines a few </w:t>
      </w:r>
      <w:r w:rsidR="00B87340" w:rsidRPr="00DB0F65">
        <w:rPr>
          <w:lang w:val="en-GB"/>
        </w:rPr>
        <w:t xml:space="preserve">practical </w:t>
      </w:r>
      <w:r w:rsidR="005F60AA" w:rsidRPr="00DB0F65">
        <w:rPr>
          <w:lang w:val="en-GB"/>
        </w:rPr>
        <w:t>solutions</w:t>
      </w:r>
      <w:r w:rsidR="00B87340" w:rsidRPr="00DB0F65">
        <w:rPr>
          <w:lang w:val="en-GB"/>
        </w:rPr>
        <w:t>,</w:t>
      </w:r>
      <w:r w:rsidR="005F60AA" w:rsidRPr="00DB0F65">
        <w:rPr>
          <w:lang w:val="en-GB"/>
        </w:rPr>
        <w:t xml:space="preserve"> to face adequately </w:t>
      </w:r>
      <w:r w:rsidR="005A1745" w:rsidRPr="00DB0F65">
        <w:rPr>
          <w:lang w:val="en-GB"/>
        </w:rPr>
        <w:t>these emerging critical issue</w:t>
      </w:r>
      <w:r w:rsidR="005F60AA" w:rsidRPr="00DB0F65">
        <w:rPr>
          <w:lang w:val="en-GB"/>
        </w:rPr>
        <w:t>s</w:t>
      </w:r>
      <w:r w:rsidR="00B57A22">
        <w:rPr>
          <w:lang w:val="en-GB"/>
        </w:rPr>
        <w:t xml:space="preserve"> by using a dynamic model for risk management</w:t>
      </w:r>
      <w:r w:rsidR="005F60AA" w:rsidRPr="00DB0F65">
        <w:rPr>
          <w:lang w:val="en-GB"/>
        </w:rPr>
        <w:t xml:space="preserve">. </w:t>
      </w:r>
      <w:r w:rsidR="00B57A22">
        <w:rPr>
          <w:lang w:val="en-GB"/>
        </w:rPr>
        <w:t xml:space="preserve">A case-study, which is a </w:t>
      </w:r>
      <w:r w:rsidR="005F60AA" w:rsidRPr="00DB0F65">
        <w:rPr>
          <w:lang w:val="en-GB"/>
        </w:rPr>
        <w:t xml:space="preserve">chemical coastal depot, </w:t>
      </w:r>
      <w:r w:rsidR="00B57A22">
        <w:rPr>
          <w:lang w:val="en-GB"/>
        </w:rPr>
        <w:t xml:space="preserve">is presented </w:t>
      </w:r>
      <w:r w:rsidR="005F60AA" w:rsidRPr="00DB0F65">
        <w:rPr>
          <w:lang w:val="en-GB"/>
        </w:rPr>
        <w:t>to understand the effects of new t</w:t>
      </w:r>
      <w:r w:rsidR="002602D7">
        <w:rPr>
          <w:lang w:val="en-GB"/>
        </w:rPr>
        <w:t>h</w:t>
      </w:r>
      <w:r w:rsidR="005F60AA" w:rsidRPr="00DB0F65">
        <w:rPr>
          <w:lang w:val="en-GB"/>
        </w:rPr>
        <w:t xml:space="preserve">reats </w:t>
      </w:r>
      <w:r w:rsidR="00B57A22">
        <w:rPr>
          <w:lang w:val="en-GB"/>
        </w:rPr>
        <w:t>on</w:t>
      </w:r>
      <w:r w:rsidR="005F60AA" w:rsidRPr="00DB0F65">
        <w:rPr>
          <w:lang w:val="en-GB"/>
        </w:rPr>
        <w:t xml:space="preserve"> safety in a very specific sector. </w:t>
      </w:r>
      <w:r w:rsidR="00B87340" w:rsidRPr="00DB0F65">
        <w:rPr>
          <w:lang w:val="en-GB"/>
        </w:rPr>
        <w:t>The benefits of a dynamic risk assessment and management are discussed in the detail.</w:t>
      </w:r>
      <w:r w:rsidR="005F60AA" w:rsidRPr="00DB0F65">
        <w:rPr>
          <w:lang w:val="en-GB"/>
        </w:rPr>
        <w:t xml:space="preserve"> </w:t>
      </w:r>
    </w:p>
    <w:p w14:paraId="5A4E58B4" w14:textId="77777777" w:rsidR="00600535" w:rsidRPr="00DB0F65" w:rsidRDefault="00600535" w:rsidP="00600535">
      <w:pPr>
        <w:pStyle w:val="CETHeading1"/>
        <w:rPr>
          <w:lang w:val="en-GB"/>
        </w:rPr>
      </w:pPr>
      <w:r w:rsidRPr="00DB0F65">
        <w:rPr>
          <w:lang w:val="en-GB"/>
        </w:rPr>
        <w:t>Introduction</w:t>
      </w:r>
    </w:p>
    <w:p w14:paraId="0AADCAC9" w14:textId="77777777" w:rsidR="00840261" w:rsidRPr="00DB0F65" w:rsidRDefault="00840261" w:rsidP="00600535">
      <w:pPr>
        <w:pStyle w:val="CETBodytext"/>
        <w:rPr>
          <w:lang w:val="en-GB"/>
        </w:rPr>
      </w:pPr>
      <w:r w:rsidRPr="00DB0F65">
        <w:rPr>
          <w:lang w:val="en-GB"/>
        </w:rPr>
        <w:t>Industrial establishments are complex systems, as they are characterised by a combination of different technical and social subsystems that interact each other according to specific</w:t>
      </w:r>
      <w:r w:rsidR="00F85AE0" w:rsidRPr="00DB0F65">
        <w:rPr>
          <w:lang w:val="en-GB"/>
        </w:rPr>
        <w:t xml:space="preserve"> and,</w:t>
      </w:r>
      <w:r w:rsidRPr="00DB0F65">
        <w:rPr>
          <w:lang w:val="en-GB"/>
        </w:rPr>
        <w:t xml:space="preserve"> usually</w:t>
      </w:r>
      <w:r w:rsidR="00F85AE0" w:rsidRPr="00DB0F65">
        <w:rPr>
          <w:lang w:val="en-GB"/>
        </w:rPr>
        <w:t>,</w:t>
      </w:r>
      <w:r w:rsidRPr="00DB0F65">
        <w:rPr>
          <w:lang w:val="en-GB"/>
        </w:rPr>
        <w:t xml:space="preserve"> non-linear schemes. Complexity makes s</w:t>
      </w:r>
      <w:r w:rsidR="00F85AE0" w:rsidRPr="00DB0F65">
        <w:rPr>
          <w:lang w:val="en-GB"/>
        </w:rPr>
        <w:t>afety</w:t>
      </w:r>
      <w:r w:rsidRPr="00DB0F65">
        <w:rPr>
          <w:lang w:val="en-GB"/>
        </w:rPr>
        <w:t xml:space="preserve"> management dependent on the control of different factors, </w:t>
      </w:r>
      <w:r w:rsidR="00F85AE0" w:rsidRPr="00DB0F65">
        <w:rPr>
          <w:lang w:val="en-GB"/>
        </w:rPr>
        <w:t>therefore</w:t>
      </w:r>
      <w:r w:rsidR="00D955A0" w:rsidRPr="00DB0F65">
        <w:rPr>
          <w:lang w:val="en-GB"/>
        </w:rPr>
        <w:t>,</w:t>
      </w:r>
      <w:r w:rsidR="00F85AE0" w:rsidRPr="00DB0F65">
        <w:rPr>
          <w:lang w:val="en-GB"/>
        </w:rPr>
        <w:t xml:space="preserve"> in order to achieve an as effectively as possible </w:t>
      </w:r>
      <w:r w:rsidRPr="00DB0F65">
        <w:rPr>
          <w:lang w:val="en-GB"/>
        </w:rPr>
        <w:t>management</w:t>
      </w:r>
      <w:r w:rsidR="000601A0" w:rsidRPr="00DB0F65">
        <w:rPr>
          <w:lang w:val="en-GB"/>
        </w:rPr>
        <w:t>,</w:t>
      </w:r>
      <w:r w:rsidRPr="00DB0F65">
        <w:rPr>
          <w:lang w:val="en-GB"/>
        </w:rPr>
        <w:t xml:space="preserve"> a holistic approach</w:t>
      </w:r>
      <w:r w:rsidR="00F85AE0" w:rsidRPr="00DB0F65">
        <w:rPr>
          <w:lang w:val="en-GB"/>
        </w:rPr>
        <w:t xml:space="preserve"> is needed</w:t>
      </w:r>
      <w:r w:rsidRPr="00DB0F65">
        <w:rPr>
          <w:lang w:val="en-GB"/>
        </w:rPr>
        <w:t xml:space="preserve"> (Madni and Jackson, 2009). The main problem associated with complex systems is that the</w:t>
      </w:r>
      <w:r w:rsidR="00D955A0" w:rsidRPr="00DB0F65">
        <w:rPr>
          <w:lang w:val="en-GB"/>
        </w:rPr>
        <w:t>ir</w:t>
      </w:r>
      <w:r w:rsidRPr="00DB0F65">
        <w:rPr>
          <w:lang w:val="en-GB"/>
        </w:rPr>
        <w:t xml:space="preserve"> management is more articulated than the management of the sum of its part</w:t>
      </w:r>
      <w:r w:rsidR="00F85AE0" w:rsidRPr="00DB0F65">
        <w:rPr>
          <w:lang w:val="en-GB"/>
        </w:rPr>
        <w:t>s;</w:t>
      </w:r>
      <w:r w:rsidRPr="00DB0F65">
        <w:rPr>
          <w:lang w:val="en-GB"/>
        </w:rPr>
        <w:t xml:space="preserve"> in such a context</w:t>
      </w:r>
      <w:r w:rsidR="00F85AE0" w:rsidRPr="00DB0F65">
        <w:rPr>
          <w:lang w:val="en-GB"/>
        </w:rPr>
        <w:t>,</w:t>
      </w:r>
      <w:r w:rsidRPr="00DB0F65">
        <w:rPr>
          <w:lang w:val="en-GB"/>
        </w:rPr>
        <w:t xml:space="preserve"> incidents </w:t>
      </w:r>
      <w:r w:rsidR="00545931" w:rsidRPr="00DB0F65">
        <w:rPr>
          <w:lang w:val="en-GB"/>
        </w:rPr>
        <w:t>are originated</w:t>
      </w:r>
      <w:r w:rsidRPr="00DB0F65">
        <w:rPr>
          <w:lang w:val="en-GB"/>
        </w:rPr>
        <w:t xml:space="preserve"> due to lack of understanding of the complex interactions</w:t>
      </w:r>
      <w:r w:rsidR="00F16020" w:rsidRPr="00DB0F65">
        <w:rPr>
          <w:lang w:val="en-GB"/>
        </w:rPr>
        <w:t xml:space="preserve"> or to </w:t>
      </w:r>
      <w:r w:rsidR="00B57A22">
        <w:rPr>
          <w:lang w:val="en-GB"/>
        </w:rPr>
        <w:t xml:space="preserve">the </w:t>
      </w:r>
      <w:r w:rsidR="00F16020" w:rsidRPr="00DB0F65">
        <w:rPr>
          <w:lang w:val="en-GB"/>
        </w:rPr>
        <w:t xml:space="preserve">inability to deal with them </w:t>
      </w:r>
      <w:r w:rsidRPr="00DB0F65">
        <w:rPr>
          <w:lang w:val="en-GB"/>
        </w:rPr>
        <w:t>(Jian et al</w:t>
      </w:r>
      <w:r w:rsidR="00F85AE0" w:rsidRPr="00DB0F65">
        <w:rPr>
          <w:lang w:val="en-GB"/>
        </w:rPr>
        <w:t>.,</w:t>
      </w:r>
      <w:r w:rsidRPr="00DB0F65">
        <w:rPr>
          <w:lang w:val="en-GB"/>
        </w:rPr>
        <w:t xml:space="preserve"> 2018).</w:t>
      </w:r>
    </w:p>
    <w:p w14:paraId="484928E2" w14:textId="77777777" w:rsidR="00F85AE0" w:rsidRPr="00DB0F65" w:rsidRDefault="00F85AE0" w:rsidP="00600535">
      <w:pPr>
        <w:pStyle w:val="CETBodytext"/>
        <w:rPr>
          <w:lang w:val="en-GB"/>
        </w:rPr>
      </w:pPr>
      <w:r w:rsidRPr="00DB0F65">
        <w:rPr>
          <w:lang w:val="en-GB"/>
        </w:rPr>
        <w:t>Today</w:t>
      </w:r>
      <w:r w:rsidR="0046005C" w:rsidRPr="00DB0F65">
        <w:rPr>
          <w:lang w:val="en-GB"/>
        </w:rPr>
        <w:t>, an approach to the study of safety, based on resilience engineering, is</w:t>
      </w:r>
      <w:r w:rsidRPr="00DB0F65">
        <w:rPr>
          <w:lang w:val="en-GB"/>
        </w:rPr>
        <w:t xml:space="preserve"> increasingly spreading</w:t>
      </w:r>
      <w:r w:rsidR="00915C54" w:rsidRPr="00DB0F65">
        <w:rPr>
          <w:lang w:val="en-GB"/>
        </w:rPr>
        <w:t>; it</w:t>
      </w:r>
      <w:r w:rsidRPr="00DB0F65">
        <w:rPr>
          <w:lang w:val="en-GB"/>
        </w:rPr>
        <w:t xml:space="preserve"> analy</w:t>
      </w:r>
      <w:r w:rsidR="0046005C" w:rsidRPr="00DB0F65">
        <w:rPr>
          <w:lang w:val="en-GB"/>
        </w:rPr>
        <w:t>s</w:t>
      </w:r>
      <w:r w:rsidRPr="00DB0F65">
        <w:rPr>
          <w:lang w:val="en-GB"/>
        </w:rPr>
        <w:t>es events taking into account</w:t>
      </w:r>
      <w:r w:rsidR="00915C54" w:rsidRPr="00DB0F65">
        <w:rPr>
          <w:lang w:val="en-GB"/>
        </w:rPr>
        <w:t xml:space="preserve"> the</w:t>
      </w:r>
      <w:r w:rsidRPr="00DB0F65">
        <w:rPr>
          <w:lang w:val="en-GB"/>
        </w:rPr>
        <w:t xml:space="preserve"> </w:t>
      </w:r>
      <w:r w:rsidR="00915C54" w:rsidRPr="00DB0F65">
        <w:rPr>
          <w:lang w:val="en-GB"/>
        </w:rPr>
        <w:t xml:space="preserve">system’s </w:t>
      </w:r>
      <w:r w:rsidRPr="00DB0F65">
        <w:rPr>
          <w:lang w:val="en-GB"/>
        </w:rPr>
        <w:t xml:space="preserve">complexity and considering them </w:t>
      </w:r>
      <w:r w:rsidR="00A91536" w:rsidRPr="00DB0F65">
        <w:rPr>
          <w:lang w:val="en-GB"/>
        </w:rPr>
        <w:t xml:space="preserve">as </w:t>
      </w:r>
      <w:r w:rsidRPr="00DB0F65">
        <w:rPr>
          <w:lang w:val="en-GB"/>
        </w:rPr>
        <w:t xml:space="preserve">an emerging outcome of the interaction </w:t>
      </w:r>
      <w:r w:rsidR="0046005C" w:rsidRPr="00DB0F65">
        <w:rPr>
          <w:lang w:val="en-GB"/>
        </w:rPr>
        <w:t>among</w:t>
      </w:r>
      <w:r w:rsidRPr="00DB0F65">
        <w:rPr>
          <w:lang w:val="en-GB"/>
        </w:rPr>
        <w:t xml:space="preserve"> a large number of factors</w:t>
      </w:r>
      <w:r w:rsidR="00CC0A28" w:rsidRPr="00DB0F65">
        <w:rPr>
          <w:lang w:val="en-GB"/>
        </w:rPr>
        <w:t>.</w:t>
      </w:r>
      <w:r w:rsidR="00915C54" w:rsidRPr="00DB0F65">
        <w:rPr>
          <w:lang w:val="en-GB"/>
        </w:rPr>
        <w:t xml:space="preserve"> </w:t>
      </w:r>
      <w:r w:rsidRPr="00DB0F65">
        <w:rPr>
          <w:lang w:val="en-GB"/>
        </w:rPr>
        <w:t>Th</w:t>
      </w:r>
      <w:r w:rsidR="00915C54" w:rsidRPr="00DB0F65">
        <w:rPr>
          <w:lang w:val="en-GB"/>
        </w:rPr>
        <w:t>is</w:t>
      </w:r>
      <w:r w:rsidRPr="00DB0F65">
        <w:rPr>
          <w:lang w:val="en-GB"/>
        </w:rPr>
        <w:t xml:space="preserve"> approach shifts the </w:t>
      </w:r>
      <w:r w:rsidR="00F626B4" w:rsidRPr="00DB0F65">
        <w:rPr>
          <w:lang w:val="en-GB"/>
        </w:rPr>
        <w:t xml:space="preserve">general </w:t>
      </w:r>
      <w:r w:rsidRPr="00DB0F65">
        <w:rPr>
          <w:lang w:val="en-GB"/>
        </w:rPr>
        <w:t>focus</w:t>
      </w:r>
      <w:r w:rsidR="00F626B4" w:rsidRPr="00DB0F65">
        <w:rPr>
          <w:lang w:val="en-GB"/>
        </w:rPr>
        <w:t xml:space="preserve"> of </w:t>
      </w:r>
      <w:r w:rsidR="00915C54" w:rsidRPr="00DB0F65">
        <w:rPr>
          <w:lang w:val="en-GB"/>
        </w:rPr>
        <w:t xml:space="preserve">safety </w:t>
      </w:r>
      <w:r w:rsidR="00F626B4" w:rsidRPr="00DB0F65">
        <w:rPr>
          <w:lang w:val="en-GB"/>
        </w:rPr>
        <w:t>stud</w:t>
      </w:r>
      <w:r w:rsidR="00915C54" w:rsidRPr="00DB0F65">
        <w:rPr>
          <w:lang w:val="en-GB"/>
        </w:rPr>
        <w:t>ies</w:t>
      </w:r>
      <w:r w:rsidRPr="00DB0F65">
        <w:rPr>
          <w:lang w:val="en-GB"/>
        </w:rPr>
        <w:t xml:space="preserve"> from the analysis of </w:t>
      </w:r>
      <w:r w:rsidR="00F626B4" w:rsidRPr="00DB0F65">
        <w:rPr>
          <w:lang w:val="en-GB"/>
        </w:rPr>
        <w:t>failures</w:t>
      </w:r>
      <w:r w:rsidRPr="00DB0F65">
        <w:rPr>
          <w:lang w:val="en-GB"/>
        </w:rPr>
        <w:t xml:space="preserve"> to </w:t>
      </w:r>
      <w:r w:rsidR="00B57A22">
        <w:rPr>
          <w:lang w:val="en-GB"/>
        </w:rPr>
        <w:t xml:space="preserve">the investigation of </w:t>
      </w:r>
      <w:r w:rsidRPr="00DB0F65">
        <w:rPr>
          <w:lang w:val="en-GB"/>
        </w:rPr>
        <w:t xml:space="preserve">elements able to guarantee reliability, flexibility and, at the same time, stability of the system. </w:t>
      </w:r>
      <w:r w:rsidR="00912C27" w:rsidRPr="00DB0F65">
        <w:rPr>
          <w:lang w:val="en-GB"/>
        </w:rPr>
        <w:t>A</w:t>
      </w:r>
      <w:r w:rsidR="00915C54" w:rsidRPr="00DB0F65">
        <w:rPr>
          <w:lang w:val="en-GB"/>
        </w:rPr>
        <w:t>ttention</w:t>
      </w:r>
      <w:r w:rsidRPr="00DB0F65">
        <w:rPr>
          <w:lang w:val="en-GB"/>
        </w:rPr>
        <w:t xml:space="preserve"> </w:t>
      </w:r>
      <w:r w:rsidR="00912C27" w:rsidRPr="00DB0F65">
        <w:rPr>
          <w:lang w:val="en-GB"/>
        </w:rPr>
        <w:t>moves</w:t>
      </w:r>
      <w:r w:rsidRPr="00DB0F65">
        <w:rPr>
          <w:lang w:val="en-GB"/>
        </w:rPr>
        <w:t xml:space="preserve"> from the mere analysis of past events, such as the calculation of the number of accidents or the probabilities, to the prevention of critical events in a proactive way, or trying to anticipate their </w:t>
      </w:r>
      <w:r w:rsidR="00915C54" w:rsidRPr="00DB0F65">
        <w:rPr>
          <w:lang w:val="en-GB"/>
        </w:rPr>
        <w:t>occurrence</w:t>
      </w:r>
      <w:r w:rsidRPr="00DB0F65">
        <w:rPr>
          <w:lang w:val="en-GB"/>
        </w:rPr>
        <w:t>. Accidents are not considered as collapsing or malfunctioning of a system, but as changes in performance</w:t>
      </w:r>
      <w:r w:rsidR="00E43793" w:rsidRPr="00DB0F65">
        <w:rPr>
          <w:lang w:val="en-GB"/>
        </w:rPr>
        <w:t xml:space="preserve">, which must be analysed in </w:t>
      </w:r>
      <w:r w:rsidR="008D6323" w:rsidRPr="00DB0F65">
        <w:rPr>
          <w:lang w:val="en-GB"/>
        </w:rPr>
        <w:t>a dynamic way (</w:t>
      </w:r>
      <w:r w:rsidR="0068426A" w:rsidRPr="00DB0F65">
        <w:t>Paltrinieri &amp; Reniers, 2017</w:t>
      </w:r>
      <w:r w:rsidR="008D6323" w:rsidRPr="00DB0F65">
        <w:rPr>
          <w:lang w:val="en-GB"/>
        </w:rPr>
        <w:t>).</w:t>
      </w:r>
      <w:r w:rsidRPr="00DB0F65">
        <w:rPr>
          <w:lang w:val="en-GB"/>
        </w:rPr>
        <w:t xml:space="preserve"> </w:t>
      </w:r>
      <w:r w:rsidR="00C73BA8" w:rsidRPr="00DB0F65">
        <w:rPr>
          <w:lang w:val="en-GB"/>
        </w:rPr>
        <w:t>With respect</w:t>
      </w:r>
      <w:r w:rsidRPr="00DB0F65">
        <w:rPr>
          <w:lang w:val="en-GB"/>
        </w:rPr>
        <w:t xml:space="preserve"> to these considerations, chemical and oil industry deserves special attention as</w:t>
      </w:r>
      <w:r w:rsidR="004F629E" w:rsidRPr="00DB0F65">
        <w:rPr>
          <w:lang w:val="en-GB"/>
        </w:rPr>
        <w:t>,</w:t>
      </w:r>
      <w:r w:rsidRPr="00DB0F65">
        <w:rPr>
          <w:lang w:val="en-GB"/>
        </w:rPr>
        <w:t xml:space="preserve"> if on the one hand</w:t>
      </w:r>
      <w:r w:rsidR="004F629E" w:rsidRPr="00DB0F65">
        <w:rPr>
          <w:lang w:val="en-GB"/>
        </w:rPr>
        <w:t>,</w:t>
      </w:r>
      <w:r w:rsidRPr="00DB0F65">
        <w:rPr>
          <w:lang w:val="en-GB"/>
        </w:rPr>
        <w:t xml:space="preserve"> it is an indispensable part of modern society, given that it provides </w:t>
      </w:r>
      <w:r w:rsidR="00C73BA8" w:rsidRPr="00DB0F65">
        <w:rPr>
          <w:lang w:val="en-GB"/>
        </w:rPr>
        <w:t>essential</w:t>
      </w:r>
      <w:r w:rsidRPr="00DB0F65">
        <w:rPr>
          <w:lang w:val="en-GB"/>
        </w:rPr>
        <w:t xml:space="preserve"> products to the market, on the other hand</w:t>
      </w:r>
      <w:r w:rsidR="006E37C4" w:rsidRPr="00DB0F65">
        <w:rPr>
          <w:lang w:val="en-GB"/>
        </w:rPr>
        <w:t>,</w:t>
      </w:r>
      <w:r w:rsidRPr="00DB0F65">
        <w:rPr>
          <w:lang w:val="en-GB"/>
        </w:rPr>
        <w:t xml:space="preserve"> it can cause serious </w:t>
      </w:r>
      <w:r w:rsidR="006E37C4" w:rsidRPr="00DB0F65">
        <w:rPr>
          <w:lang w:val="en-GB"/>
        </w:rPr>
        <w:t>damage</w:t>
      </w:r>
      <w:r w:rsidRPr="00DB0F65">
        <w:rPr>
          <w:lang w:val="en-GB"/>
        </w:rPr>
        <w:t xml:space="preserve"> to people and </w:t>
      </w:r>
      <w:r w:rsidR="00C73BA8" w:rsidRPr="00DB0F65">
        <w:rPr>
          <w:lang w:val="en-GB"/>
        </w:rPr>
        <w:t xml:space="preserve">the </w:t>
      </w:r>
      <w:r w:rsidRPr="00DB0F65">
        <w:rPr>
          <w:lang w:val="en-GB"/>
        </w:rPr>
        <w:t>environment</w:t>
      </w:r>
      <w:r w:rsidR="006E37C4" w:rsidRPr="00DB0F65">
        <w:rPr>
          <w:lang w:val="en-GB"/>
        </w:rPr>
        <w:t>.</w:t>
      </w:r>
      <w:r w:rsidR="00DB0F65">
        <w:rPr>
          <w:lang w:val="en-GB"/>
        </w:rPr>
        <w:t xml:space="preserve"> </w:t>
      </w:r>
      <w:r w:rsidR="00F1786A" w:rsidRPr="004D3CFA">
        <w:rPr>
          <w:lang w:val="en-GB"/>
        </w:rPr>
        <w:t>T</w:t>
      </w:r>
      <w:r w:rsidRPr="004D3CFA">
        <w:rPr>
          <w:lang w:val="en-GB"/>
        </w:rPr>
        <w:t xml:space="preserve">he management of the safety </w:t>
      </w:r>
      <w:r w:rsidRPr="00DB0F65">
        <w:rPr>
          <w:lang w:val="en-GB"/>
        </w:rPr>
        <w:t xml:space="preserve">becomes an </w:t>
      </w:r>
      <w:r w:rsidRPr="00DB0F65">
        <w:rPr>
          <w:lang w:val="en-GB"/>
        </w:rPr>
        <w:lastRenderedPageBreak/>
        <w:t>important challenge to which social factors, technical factors, human and organi</w:t>
      </w:r>
      <w:r w:rsidR="00C73BA8" w:rsidRPr="00DB0F65">
        <w:rPr>
          <w:lang w:val="en-GB"/>
        </w:rPr>
        <w:t>s</w:t>
      </w:r>
      <w:r w:rsidRPr="00DB0F65">
        <w:rPr>
          <w:lang w:val="en-GB"/>
        </w:rPr>
        <w:t>ational factors, external factors</w:t>
      </w:r>
      <w:r w:rsidR="00C73BA8" w:rsidRPr="00DB0F65">
        <w:rPr>
          <w:lang w:val="en-GB"/>
        </w:rPr>
        <w:t xml:space="preserve"> will contribute.</w:t>
      </w:r>
    </w:p>
    <w:p w14:paraId="39B231DB" w14:textId="70D218CD" w:rsidR="00EA6359" w:rsidRDefault="00B02A14" w:rsidP="00EA6359">
      <w:pPr>
        <w:pStyle w:val="CETBodytext"/>
      </w:pPr>
      <w:r w:rsidRPr="00DB0F65">
        <w:rPr>
          <w:lang w:val="en-GB"/>
        </w:rPr>
        <w:t xml:space="preserve">Across Europe, chemical and oil industry is subject to very stringent legislation, in particular </w:t>
      </w:r>
      <w:r w:rsidR="002D598B">
        <w:rPr>
          <w:lang w:val="en-GB"/>
        </w:rPr>
        <w:t xml:space="preserve">those </w:t>
      </w:r>
      <w:r w:rsidRPr="00DB0F65">
        <w:rPr>
          <w:lang w:val="en-GB"/>
        </w:rPr>
        <w:t>control</w:t>
      </w:r>
      <w:r w:rsidR="002D598B">
        <w:rPr>
          <w:lang w:val="en-GB"/>
        </w:rPr>
        <w:t>ling</w:t>
      </w:r>
      <w:r w:rsidRPr="00DB0F65">
        <w:rPr>
          <w:lang w:val="en-GB"/>
        </w:rPr>
        <w:t xml:space="preserve"> major-accident hazards (Seveso Directive) and prevent</w:t>
      </w:r>
      <w:r w:rsidR="002D598B">
        <w:rPr>
          <w:lang w:val="en-GB"/>
        </w:rPr>
        <w:t>ing</w:t>
      </w:r>
      <w:r w:rsidRPr="00DB0F65">
        <w:rPr>
          <w:lang w:val="en-GB"/>
        </w:rPr>
        <w:t xml:space="preserve"> and reduc</w:t>
      </w:r>
      <w:r w:rsidR="002D598B">
        <w:rPr>
          <w:lang w:val="en-GB"/>
        </w:rPr>
        <w:t>ing</w:t>
      </w:r>
      <w:r w:rsidRPr="00DB0F65">
        <w:rPr>
          <w:lang w:val="en-GB"/>
        </w:rPr>
        <w:t xml:space="preserve"> pollution (IPPC); further restrictions come from the legislation </w:t>
      </w:r>
      <w:r w:rsidR="002D598B">
        <w:rPr>
          <w:lang w:val="en-GB"/>
        </w:rPr>
        <w:t>about</w:t>
      </w:r>
      <w:r w:rsidRPr="00DB0F65">
        <w:rPr>
          <w:lang w:val="en-GB"/>
        </w:rPr>
        <w:t xml:space="preserve"> safety of chemicals and occupational safety. Ageing of structures and equipment, due to corrosion and other deterioration phenomena, is currently a problem recognised by the competent authorities, which in recent years made a relevant effort in order to improve controls under the Seveso legislation (Milazzo &amp; Bragatto, 2019). However, other aspects are emerging, first of all ageing also produces long-term environmental effects concerning IPPC regulations. Another important issue is the obsolescence that is due to regulatory constraints becoming increasingly tight</w:t>
      </w:r>
      <w:r w:rsidR="00C27BB9" w:rsidRPr="00DB0F65">
        <w:rPr>
          <w:lang w:val="en-GB"/>
        </w:rPr>
        <w:t>; this causes that</w:t>
      </w:r>
      <w:r w:rsidRPr="00DB0F65">
        <w:rPr>
          <w:lang w:val="en-GB"/>
        </w:rPr>
        <w:t xml:space="preserve"> even a small change has the power to make </w:t>
      </w:r>
      <w:r w:rsidR="00276442" w:rsidRPr="00DB0F65">
        <w:rPr>
          <w:lang w:val="en-GB"/>
        </w:rPr>
        <w:t xml:space="preserve">systems </w:t>
      </w:r>
      <w:r w:rsidRPr="00DB0F65">
        <w:rPr>
          <w:lang w:val="en-GB"/>
        </w:rPr>
        <w:t>obsolete</w:t>
      </w:r>
      <w:r w:rsidR="00276442" w:rsidRPr="00DB0F65">
        <w:rPr>
          <w:lang w:val="en-GB"/>
        </w:rPr>
        <w:t xml:space="preserve"> </w:t>
      </w:r>
      <w:r w:rsidRPr="00DB0F65">
        <w:rPr>
          <w:lang w:val="en-GB"/>
        </w:rPr>
        <w:t>and</w:t>
      </w:r>
      <w:r w:rsidR="00C27BB9" w:rsidRPr="00DB0F65">
        <w:rPr>
          <w:lang w:val="en-GB"/>
        </w:rPr>
        <w:t>,</w:t>
      </w:r>
      <w:r w:rsidRPr="00DB0F65">
        <w:rPr>
          <w:lang w:val="en-GB"/>
        </w:rPr>
        <w:t xml:space="preserve"> therefore</w:t>
      </w:r>
      <w:r w:rsidR="00C27BB9" w:rsidRPr="00DB0F65">
        <w:rPr>
          <w:lang w:val="en-GB"/>
        </w:rPr>
        <w:t>,</w:t>
      </w:r>
      <w:r w:rsidRPr="00DB0F65">
        <w:rPr>
          <w:lang w:val="en-GB"/>
        </w:rPr>
        <w:t xml:space="preserve"> unusable</w:t>
      </w:r>
      <w:r w:rsidR="00276442" w:rsidRPr="00DB0F65">
        <w:rPr>
          <w:lang w:val="en-GB"/>
        </w:rPr>
        <w:t xml:space="preserve"> even if</w:t>
      </w:r>
      <w:r w:rsidRPr="00DB0F65">
        <w:rPr>
          <w:lang w:val="en-GB"/>
        </w:rPr>
        <w:t xml:space="preserve"> equipment </w:t>
      </w:r>
      <w:r w:rsidR="00276442" w:rsidRPr="00DB0F65">
        <w:rPr>
          <w:lang w:val="en-GB"/>
        </w:rPr>
        <w:t xml:space="preserve">is </w:t>
      </w:r>
      <w:r w:rsidRPr="00DB0F65">
        <w:rPr>
          <w:lang w:val="en-GB"/>
        </w:rPr>
        <w:t>still in good condition</w:t>
      </w:r>
      <w:r w:rsidR="0045683D" w:rsidRPr="00DB0F65">
        <w:rPr>
          <w:lang w:val="en-GB"/>
        </w:rPr>
        <w:t xml:space="preserve"> (</w:t>
      </w:r>
      <w:r w:rsidR="0045683D" w:rsidRPr="00DB0F65">
        <w:t>Gyenes and Wood, 2016</w:t>
      </w:r>
      <w:r w:rsidR="0045683D" w:rsidRPr="00DB0F65">
        <w:rPr>
          <w:lang w:val="en-GB"/>
        </w:rPr>
        <w:t>)</w:t>
      </w:r>
      <w:r w:rsidRPr="00DB0F65">
        <w:rPr>
          <w:lang w:val="en-GB"/>
        </w:rPr>
        <w:t>. Technological innovation offers incredible advantages, in particular to prevent uncontrolled releases, by monitoring deterioration phenomena,</w:t>
      </w:r>
      <w:r w:rsidR="00D2505F">
        <w:rPr>
          <w:lang w:val="en-GB"/>
        </w:rPr>
        <w:t xml:space="preserve"> detecting dangerous situations; but </w:t>
      </w:r>
      <w:r w:rsidR="00C27BB9" w:rsidRPr="00DB0F65">
        <w:rPr>
          <w:lang w:val="en-GB"/>
        </w:rPr>
        <w:t>are susceptible to</w:t>
      </w:r>
      <w:r w:rsidRPr="00DB0F65">
        <w:rPr>
          <w:lang w:val="en-GB"/>
        </w:rPr>
        <w:t xml:space="preserve"> </w:t>
      </w:r>
      <w:r w:rsidR="00C27BB9" w:rsidRPr="00DB0F65">
        <w:rPr>
          <w:lang w:val="en-GB"/>
        </w:rPr>
        <w:t>cyber-attacks</w:t>
      </w:r>
      <w:r w:rsidRPr="00DB0F65">
        <w:rPr>
          <w:lang w:val="en-GB"/>
        </w:rPr>
        <w:t xml:space="preserve">. </w:t>
      </w:r>
      <w:r w:rsidR="00C27BB9" w:rsidRPr="00DB0F65">
        <w:rPr>
          <w:lang w:val="en-GB"/>
        </w:rPr>
        <w:t>C</w:t>
      </w:r>
      <w:r w:rsidRPr="00DB0F65">
        <w:rPr>
          <w:lang w:val="en-GB"/>
        </w:rPr>
        <w:t xml:space="preserve">urrent management systems are </w:t>
      </w:r>
      <w:r w:rsidR="00C27BB9" w:rsidRPr="00DB0F65">
        <w:rPr>
          <w:lang w:val="en-GB"/>
        </w:rPr>
        <w:t xml:space="preserve">designed </w:t>
      </w:r>
      <w:r w:rsidRPr="00DB0F65">
        <w:rPr>
          <w:lang w:val="en-GB"/>
        </w:rPr>
        <w:t xml:space="preserve">to address one problem at a time and fail </w:t>
      </w:r>
      <w:r w:rsidR="00D305A5" w:rsidRPr="00DB0F65">
        <w:rPr>
          <w:lang w:val="en-GB"/>
        </w:rPr>
        <w:t>in</w:t>
      </w:r>
      <w:r w:rsidRPr="00DB0F65">
        <w:rPr>
          <w:lang w:val="en-GB"/>
        </w:rPr>
        <w:t xml:space="preserve"> respond</w:t>
      </w:r>
      <w:r w:rsidR="00D305A5" w:rsidRPr="00DB0F65">
        <w:rPr>
          <w:lang w:val="en-GB"/>
        </w:rPr>
        <w:t>ing all</w:t>
      </w:r>
      <w:r w:rsidRPr="00DB0F65">
        <w:rPr>
          <w:lang w:val="en-GB"/>
        </w:rPr>
        <w:t xml:space="preserve"> together. </w:t>
      </w:r>
      <w:r w:rsidR="00C27BB9" w:rsidRPr="00DB0F65">
        <w:rPr>
          <w:lang w:val="en-GB"/>
        </w:rPr>
        <w:tab/>
        <w:t>As a matter of fact, s</w:t>
      </w:r>
      <w:r w:rsidRPr="00DB0F65">
        <w:rPr>
          <w:lang w:val="en-GB"/>
        </w:rPr>
        <w:t xml:space="preserve">ome recent incidents are due to </w:t>
      </w:r>
      <w:r w:rsidR="002D598B">
        <w:rPr>
          <w:lang w:val="en-GB"/>
        </w:rPr>
        <w:t>this failure</w:t>
      </w:r>
      <w:r w:rsidR="00C27BB9" w:rsidRPr="00DB0F65">
        <w:rPr>
          <w:lang w:val="en-GB"/>
        </w:rPr>
        <w:t>. T</w:t>
      </w:r>
      <w:r w:rsidRPr="00DB0F65">
        <w:rPr>
          <w:lang w:val="en-GB"/>
        </w:rPr>
        <w:t>herefore</w:t>
      </w:r>
      <w:r w:rsidR="00C27BB9" w:rsidRPr="00DB0F65">
        <w:rPr>
          <w:lang w:val="en-GB"/>
        </w:rPr>
        <w:t>,</w:t>
      </w:r>
      <w:r w:rsidRPr="00DB0F65">
        <w:rPr>
          <w:lang w:val="en-GB"/>
        </w:rPr>
        <w:t xml:space="preserve"> the</w:t>
      </w:r>
      <w:r w:rsidR="002D598B">
        <w:rPr>
          <w:lang w:val="en-GB"/>
        </w:rPr>
        <w:t>re is a</w:t>
      </w:r>
      <w:r w:rsidRPr="00DB0F65">
        <w:rPr>
          <w:lang w:val="en-GB"/>
        </w:rPr>
        <w:t xml:space="preserve"> need to develop integrated systems that allow </w:t>
      </w:r>
      <w:r w:rsidR="00BB66F4" w:rsidRPr="00DB0F65">
        <w:rPr>
          <w:lang w:val="en-GB"/>
        </w:rPr>
        <w:t>resisting to</w:t>
      </w:r>
      <w:r w:rsidRPr="00DB0F65">
        <w:rPr>
          <w:lang w:val="en-GB"/>
        </w:rPr>
        <w:t xml:space="preserve"> different threats.</w:t>
      </w:r>
    </w:p>
    <w:p w14:paraId="2A16EAA7" w14:textId="77D93348" w:rsidR="00E43793" w:rsidRPr="00DB0F65" w:rsidRDefault="00E43793" w:rsidP="00600535">
      <w:pPr>
        <w:pStyle w:val="CETBodytext"/>
        <w:rPr>
          <w:lang w:val="en-GB"/>
        </w:rPr>
      </w:pPr>
      <w:r w:rsidRPr="00E154CE">
        <w:rPr>
          <w:lang w:val="en-GB"/>
        </w:rPr>
        <w:t>Th</w:t>
      </w:r>
      <w:r w:rsidR="002D598B" w:rsidRPr="00E154CE">
        <w:rPr>
          <w:lang w:val="en-GB"/>
        </w:rPr>
        <w:t>is</w:t>
      </w:r>
      <w:r w:rsidRPr="00E154CE">
        <w:rPr>
          <w:lang w:val="en-GB"/>
        </w:rPr>
        <w:t xml:space="preserve"> </w:t>
      </w:r>
      <w:r w:rsidR="00662ACB" w:rsidRPr="00E154CE">
        <w:rPr>
          <w:lang w:val="en-GB"/>
        </w:rPr>
        <w:t>present paper</w:t>
      </w:r>
      <w:r w:rsidRPr="00E154CE">
        <w:rPr>
          <w:lang w:val="en-GB"/>
        </w:rPr>
        <w:t xml:space="preserve"> </w:t>
      </w:r>
      <w:r w:rsidR="00B500F1" w:rsidRPr="00E154CE">
        <w:rPr>
          <w:lang w:val="en-GB"/>
        </w:rPr>
        <w:t>outline</w:t>
      </w:r>
      <w:r w:rsidR="002D598B" w:rsidRPr="00E154CE">
        <w:rPr>
          <w:lang w:val="en-GB"/>
        </w:rPr>
        <w:t>s</w:t>
      </w:r>
      <w:r w:rsidR="00B500F1" w:rsidRPr="00E154CE">
        <w:rPr>
          <w:lang w:val="en-GB"/>
        </w:rPr>
        <w:t xml:space="preserve"> </w:t>
      </w:r>
      <w:r w:rsidR="00662ACB" w:rsidRPr="00E154CE">
        <w:rPr>
          <w:lang w:val="en-GB"/>
        </w:rPr>
        <w:t>the</w:t>
      </w:r>
      <w:r w:rsidRPr="00E154CE">
        <w:rPr>
          <w:lang w:val="en-GB"/>
        </w:rPr>
        <w:t xml:space="preserve"> </w:t>
      </w:r>
      <w:r w:rsidR="00D2505F" w:rsidRPr="00E154CE">
        <w:rPr>
          <w:lang w:val="en-GB"/>
        </w:rPr>
        <w:t>treat</w:t>
      </w:r>
      <w:r w:rsidRPr="00E154CE">
        <w:rPr>
          <w:lang w:val="en-GB"/>
        </w:rPr>
        <w:t>s that</w:t>
      </w:r>
      <w:r w:rsidR="00662ACB" w:rsidRPr="00E154CE">
        <w:rPr>
          <w:lang w:val="en-GB"/>
        </w:rPr>
        <w:t>,</w:t>
      </w:r>
      <w:r w:rsidRPr="00E154CE">
        <w:rPr>
          <w:lang w:val="en-GB"/>
        </w:rPr>
        <w:t xml:space="preserve"> over </w:t>
      </w:r>
      <w:r w:rsidR="00BB66F4" w:rsidRPr="00E154CE">
        <w:rPr>
          <w:lang w:val="en-GB"/>
        </w:rPr>
        <w:t xml:space="preserve">the </w:t>
      </w:r>
      <w:r w:rsidRPr="00E154CE">
        <w:rPr>
          <w:lang w:val="en-GB"/>
        </w:rPr>
        <w:t>time</w:t>
      </w:r>
      <w:r w:rsidR="00662ACB" w:rsidRPr="00E154CE">
        <w:rPr>
          <w:lang w:val="en-GB"/>
        </w:rPr>
        <w:t>,</w:t>
      </w:r>
      <w:r w:rsidRPr="00E154CE">
        <w:rPr>
          <w:lang w:val="en-GB"/>
        </w:rPr>
        <w:t xml:space="preserve"> </w:t>
      </w:r>
      <w:r w:rsidR="00662ACB" w:rsidRPr="00E154CE">
        <w:rPr>
          <w:lang w:val="en-GB"/>
        </w:rPr>
        <w:t>can un</w:t>
      </w:r>
      <w:r w:rsidRPr="00E154CE">
        <w:rPr>
          <w:lang w:val="en-GB"/>
        </w:rPr>
        <w:t xml:space="preserve">dermine </w:t>
      </w:r>
      <w:r w:rsidR="00662ACB" w:rsidRPr="00E154CE">
        <w:rPr>
          <w:lang w:val="en-GB"/>
        </w:rPr>
        <w:t>the safety of</w:t>
      </w:r>
      <w:r w:rsidRPr="00E154CE">
        <w:rPr>
          <w:lang w:val="en-GB"/>
        </w:rPr>
        <w:t xml:space="preserve"> chemical or oil establishment</w:t>
      </w:r>
      <w:r w:rsidR="002D598B" w:rsidRPr="00E154CE">
        <w:rPr>
          <w:lang w:val="en-GB"/>
        </w:rPr>
        <w:t>s</w:t>
      </w:r>
      <w:r w:rsidR="00662ACB" w:rsidRPr="00E154CE">
        <w:rPr>
          <w:lang w:val="en-GB"/>
        </w:rPr>
        <w:t>.</w:t>
      </w:r>
      <w:r w:rsidRPr="00E154CE">
        <w:rPr>
          <w:lang w:val="en-GB"/>
        </w:rPr>
        <w:t xml:space="preserve"> </w:t>
      </w:r>
      <w:r w:rsidR="00662ACB" w:rsidRPr="00E154CE">
        <w:rPr>
          <w:lang w:val="en-GB"/>
        </w:rPr>
        <w:t xml:space="preserve">The </w:t>
      </w:r>
      <w:r w:rsidR="00940C98" w:rsidRPr="00E154CE">
        <w:rPr>
          <w:lang w:val="en-GB"/>
        </w:rPr>
        <w:t>goal</w:t>
      </w:r>
      <w:r w:rsidR="00662ACB" w:rsidRPr="00E154CE">
        <w:rPr>
          <w:lang w:val="en-GB"/>
        </w:rPr>
        <w:t xml:space="preserve"> is to understand quickly the changes and to develop dynamic models</w:t>
      </w:r>
      <w:r w:rsidR="00940C98" w:rsidRPr="00E154CE">
        <w:rPr>
          <w:lang w:val="en-GB"/>
        </w:rPr>
        <w:t xml:space="preserve"> </w:t>
      </w:r>
      <w:r w:rsidR="002D598B" w:rsidRPr="00E154CE">
        <w:rPr>
          <w:lang w:val="en-GB"/>
        </w:rPr>
        <w:t>in order</w:t>
      </w:r>
      <w:r w:rsidR="00940C98" w:rsidRPr="00E154CE">
        <w:rPr>
          <w:lang w:val="en-GB"/>
        </w:rPr>
        <w:t xml:space="preserve"> to face </w:t>
      </w:r>
      <w:r w:rsidR="002D598B" w:rsidRPr="00E154CE">
        <w:rPr>
          <w:lang w:val="en-GB"/>
        </w:rPr>
        <w:t>these threats</w:t>
      </w:r>
      <w:r w:rsidR="00D2505F" w:rsidRPr="00E154CE">
        <w:rPr>
          <w:lang w:val="en-GB"/>
        </w:rPr>
        <w:t>, prevent accidents and</w:t>
      </w:r>
      <w:r w:rsidR="002D598B" w:rsidRPr="00E154CE">
        <w:rPr>
          <w:lang w:val="en-GB"/>
        </w:rPr>
        <w:t xml:space="preserve"> also</w:t>
      </w:r>
      <w:r w:rsidR="00D2505F" w:rsidRPr="00E154CE">
        <w:rPr>
          <w:lang w:val="en-GB"/>
        </w:rPr>
        <w:t xml:space="preserve"> transform the treats in opportunities</w:t>
      </w:r>
      <w:r w:rsidR="00940C98" w:rsidRPr="00E154CE">
        <w:rPr>
          <w:lang w:val="en-GB"/>
        </w:rPr>
        <w:t>. Each</w:t>
      </w:r>
      <w:r w:rsidR="002D598B" w:rsidRPr="00E154CE">
        <w:rPr>
          <w:lang w:val="en-GB"/>
        </w:rPr>
        <w:t xml:space="preserve"> establishment</w:t>
      </w:r>
      <w:r w:rsidR="00940C98" w:rsidRPr="00E154CE">
        <w:rPr>
          <w:lang w:val="en-GB"/>
        </w:rPr>
        <w:t xml:space="preserve"> </w:t>
      </w:r>
      <w:r w:rsidR="00D2505F" w:rsidRPr="00E154CE">
        <w:rPr>
          <w:lang w:val="en-GB"/>
        </w:rPr>
        <w:t>types</w:t>
      </w:r>
      <w:r w:rsidR="00940C98" w:rsidRPr="00E154CE">
        <w:rPr>
          <w:lang w:val="en-GB"/>
        </w:rPr>
        <w:t xml:space="preserve">, </w:t>
      </w:r>
      <w:r w:rsidR="002D598B" w:rsidRPr="00E154CE">
        <w:rPr>
          <w:lang w:val="en-GB"/>
        </w:rPr>
        <w:t>obviously</w:t>
      </w:r>
      <w:r w:rsidR="00940C98" w:rsidRPr="00E154CE">
        <w:rPr>
          <w:lang w:val="en-GB"/>
        </w:rPr>
        <w:t xml:space="preserve">, is stressed by different dynamic factors, thus different models have to be developed. </w:t>
      </w:r>
      <w:r w:rsidR="00EA6359" w:rsidRPr="00E154CE">
        <w:rPr>
          <w:lang w:val="en-GB"/>
        </w:rPr>
        <w:t>The novelty of the proposed approach is the use</w:t>
      </w:r>
      <w:r w:rsidR="002D598B" w:rsidRPr="00E154CE">
        <w:rPr>
          <w:lang w:val="en-GB"/>
        </w:rPr>
        <w:t xml:space="preserve"> of the</w:t>
      </w:r>
      <w:r w:rsidR="00EA6359" w:rsidRPr="00E154CE">
        <w:rPr>
          <w:lang w:val="en-GB"/>
        </w:rPr>
        <w:t xml:space="preserve"> system dynamic concept to improve risk management in chemical</w:t>
      </w:r>
      <w:r w:rsidR="002D598B" w:rsidRPr="00E154CE">
        <w:rPr>
          <w:lang w:val="en-GB"/>
        </w:rPr>
        <w:t>/oil</w:t>
      </w:r>
      <w:r w:rsidR="00EA6359" w:rsidRPr="00E154CE">
        <w:rPr>
          <w:lang w:val="en-GB"/>
        </w:rPr>
        <w:t xml:space="preserve"> establishment</w:t>
      </w:r>
      <w:r w:rsidR="002D598B" w:rsidRPr="00E154CE">
        <w:rPr>
          <w:lang w:val="en-GB"/>
        </w:rPr>
        <w:t>s</w:t>
      </w:r>
      <w:r w:rsidR="00EA6359" w:rsidRPr="00E154CE">
        <w:rPr>
          <w:lang w:val="en-GB"/>
        </w:rPr>
        <w:t xml:space="preserve">. </w:t>
      </w:r>
      <w:r w:rsidR="00940C98" w:rsidRPr="00E154CE">
        <w:rPr>
          <w:lang w:val="en-GB"/>
        </w:rPr>
        <w:t>Th</w:t>
      </w:r>
      <w:r w:rsidR="002D598B" w:rsidRPr="00E154CE">
        <w:rPr>
          <w:lang w:val="en-GB"/>
        </w:rPr>
        <w:t>is article</w:t>
      </w:r>
      <w:r w:rsidR="00940C98" w:rsidRPr="00E154CE">
        <w:rPr>
          <w:lang w:val="en-GB"/>
        </w:rPr>
        <w:t xml:space="preserve"> discusses in the detail</w:t>
      </w:r>
      <w:r w:rsidR="00D2505F" w:rsidRPr="00E154CE">
        <w:rPr>
          <w:lang w:val="en-GB"/>
        </w:rPr>
        <w:t xml:space="preserve"> the case</w:t>
      </w:r>
      <w:r w:rsidR="00940C98" w:rsidRPr="00E154CE">
        <w:rPr>
          <w:lang w:val="en-GB"/>
        </w:rPr>
        <w:t xml:space="preserve"> of </w:t>
      </w:r>
      <w:r w:rsidR="00D2505F" w:rsidRPr="00E154CE">
        <w:rPr>
          <w:lang w:val="en-GB"/>
        </w:rPr>
        <w:t>coastal depots, which are representative</w:t>
      </w:r>
      <w:r w:rsidR="002D598B" w:rsidRPr="00E154CE">
        <w:rPr>
          <w:lang w:val="en-GB"/>
        </w:rPr>
        <w:t xml:space="preserve"> cases</w:t>
      </w:r>
      <w:r w:rsidR="00D2505F" w:rsidRPr="00E154CE">
        <w:rPr>
          <w:lang w:val="en-GB"/>
        </w:rPr>
        <w:t xml:space="preserve"> of quick changes that are</w:t>
      </w:r>
      <w:r w:rsidR="002D598B" w:rsidRPr="00E154CE">
        <w:rPr>
          <w:lang w:val="en-GB"/>
        </w:rPr>
        <w:t xml:space="preserve"> currently</w:t>
      </w:r>
      <w:r w:rsidR="00D2505F" w:rsidRPr="00E154CE">
        <w:rPr>
          <w:lang w:val="en-GB"/>
        </w:rPr>
        <w:t xml:space="preserve"> affecting chemical industry</w:t>
      </w:r>
      <w:r w:rsidR="00185C60" w:rsidRPr="00E154CE">
        <w:rPr>
          <w:lang w:val="en-GB"/>
        </w:rPr>
        <w:t>.</w:t>
      </w:r>
      <w:r w:rsidR="002D598B">
        <w:rPr>
          <w:lang w:val="en-GB"/>
        </w:rPr>
        <w:t xml:space="preserve"> </w:t>
      </w:r>
      <w:r w:rsidR="00EA6359">
        <w:rPr>
          <w:lang w:val="en-GB"/>
        </w:rPr>
        <w:t>The method</w:t>
      </w:r>
      <w:r w:rsidR="003F5DF6">
        <w:rPr>
          <w:lang w:val="en-GB"/>
        </w:rPr>
        <w:t xml:space="preserve">ology </w:t>
      </w:r>
      <w:r w:rsidR="00EA6359">
        <w:rPr>
          <w:lang w:val="en-GB"/>
        </w:rPr>
        <w:t>is</w:t>
      </w:r>
      <w:r w:rsidR="003F5DF6">
        <w:rPr>
          <w:lang w:val="en-GB"/>
        </w:rPr>
        <w:t xml:space="preserve"> presented</w:t>
      </w:r>
      <w:r w:rsidR="00EA6359">
        <w:rPr>
          <w:lang w:val="en-GB"/>
        </w:rPr>
        <w:t xml:space="preserve"> in section 2</w:t>
      </w:r>
      <w:r w:rsidR="0063796B">
        <w:rPr>
          <w:lang w:val="en-GB"/>
        </w:rPr>
        <w:t>; section 3 describes the case-study and</w:t>
      </w:r>
      <w:r w:rsidR="00EA6359">
        <w:rPr>
          <w:lang w:val="en-GB"/>
        </w:rPr>
        <w:t xml:space="preserve"> the dynamic model</w:t>
      </w:r>
      <w:r w:rsidR="0063796B">
        <w:rPr>
          <w:lang w:val="en-GB"/>
        </w:rPr>
        <w:t>;</w:t>
      </w:r>
      <w:r w:rsidR="00EA6359">
        <w:rPr>
          <w:lang w:val="en-GB"/>
        </w:rPr>
        <w:t xml:space="preserve"> results</w:t>
      </w:r>
      <w:r w:rsidR="0063796B">
        <w:rPr>
          <w:lang w:val="en-GB"/>
        </w:rPr>
        <w:t xml:space="preserve"> and conclusions are respectively given</w:t>
      </w:r>
      <w:r w:rsidR="00EA6359">
        <w:rPr>
          <w:lang w:val="en-GB"/>
        </w:rPr>
        <w:t xml:space="preserve"> in section 4 </w:t>
      </w:r>
      <w:r w:rsidR="0063796B">
        <w:rPr>
          <w:lang w:val="en-GB"/>
        </w:rPr>
        <w:t>and</w:t>
      </w:r>
      <w:r w:rsidR="00EA6359">
        <w:rPr>
          <w:lang w:val="en-GB"/>
        </w:rPr>
        <w:t xml:space="preserve"> 5.</w:t>
      </w:r>
    </w:p>
    <w:p w14:paraId="4C34DD30" w14:textId="77777777" w:rsidR="000F118D" w:rsidRPr="00DB0F65" w:rsidRDefault="00D2505F" w:rsidP="008D6323">
      <w:pPr>
        <w:pStyle w:val="CETHeading1"/>
        <w:rPr>
          <w:lang w:val="en-GB"/>
        </w:rPr>
      </w:pPr>
      <w:r>
        <w:rPr>
          <w:lang w:val="en-GB"/>
        </w:rPr>
        <w:t>Method</w:t>
      </w:r>
      <w:r w:rsidR="00EA6359">
        <w:rPr>
          <w:lang w:val="en-GB"/>
        </w:rPr>
        <w:t>o</w:t>
      </w:r>
      <w:r w:rsidR="003F5DF6">
        <w:rPr>
          <w:lang w:val="en-GB"/>
        </w:rPr>
        <w:t>lo</w:t>
      </w:r>
      <w:r w:rsidR="00EA6359">
        <w:rPr>
          <w:lang w:val="en-GB"/>
        </w:rPr>
        <w:t>gy</w:t>
      </w:r>
    </w:p>
    <w:p w14:paraId="23165015" w14:textId="61572C09" w:rsidR="00FD2028" w:rsidRPr="00DB0F65" w:rsidRDefault="00BB66F4" w:rsidP="00FD2028">
      <w:pPr>
        <w:pStyle w:val="CETBodytext"/>
        <w:rPr>
          <w:lang w:val="en-GB"/>
        </w:rPr>
      </w:pPr>
      <w:r w:rsidRPr="00DB0F65">
        <w:rPr>
          <w:lang w:val="en-GB"/>
        </w:rPr>
        <w:t>T</w:t>
      </w:r>
      <w:r w:rsidR="00EA6359">
        <w:rPr>
          <w:lang w:val="en-GB"/>
        </w:rPr>
        <w:t>he proposed methodology</w:t>
      </w:r>
      <w:r w:rsidRPr="00DB0F65">
        <w:rPr>
          <w:lang w:val="en-GB"/>
        </w:rPr>
        <w:t xml:space="preserve"> aim</w:t>
      </w:r>
      <w:r w:rsidR="00A3021C" w:rsidRPr="00DB0F65">
        <w:rPr>
          <w:lang w:val="en-GB"/>
        </w:rPr>
        <w:t xml:space="preserve">s answering a few basic questions: </w:t>
      </w:r>
      <w:r w:rsidRPr="00DB0F65">
        <w:rPr>
          <w:lang w:val="en-GB"/>
        </w:rPr>
        <w:t>W</w:t>
      </w:r>
      <w:r w:rsidR="00A3021C" w:rsidRPr="00DB0F65">
        <w:rPr>
          <w:lang w:val="en-GB"/>
        </w:rPr>
        <w:t>hat are major threats? How</w:t>
      </w:r>
      <w:r w:rsidR="00E0526D" w:rsidRPr="00DB0F65">
        <w:rPr>
          <w:lang w:val="en-GB"/>
        </w:rPr>
        <w:t xml:space="preserve"> may </w:t>
      </w:r>
      <w:r w:rsidR="00A3021C" w:rsidRPr="00DB0F65">
        <w:rPr>
          <w:lang w:val="en-GB"/>
        </w:rPr>
        <w:t>operators successfully identify, assess and analy</w:t>
      </w:r>
      <w:r w:rsidR="00E0526D" w:rsidRPr="00DB0F65">
        <w:rPr>
          <w:lang w:val="en-GB"/>
        </w:rPr>
        <w:t>s</w:t>
      </w:r>
      <w:r w:rsidR="00A3021C" w:rsidRPr="00DB0F65">
        <w:rPr>
          <w:lang w:val="en-GB"/>
        </w:rPr>
        <w:t xml:space="preserve">e them? What countermeasures may operators </w:t>
      </w:r>
      <w:r w:rsidR="00E0526D" w:rsidRPr="00DB0F65">
        <w:rPr>
          <w:lang w:val="en-GB"/>
        </w:rPr>
        <w:t xml:space="preserve">adopt </w:t>
      </w:r>
      <w:r w:rsidR="00A3021C" w:rsidRPr="00DB0F65">
        <w:rPr>
          <w:lang w:val="en-GB"/>
        </w:rPr>
        <w:t xml:space="preserve">to face </w:t>
      </w:r>
      <w:r w:rsidR="00814A97" w:rsidRPr="00DB0F65">
        <w:rPr>
          <w:lang w:val="en-GB"/>
        </w:rPr>
        <w:t xml:space="preserve">the </w:t>
      </w:r>
      <w:r w:rsidR="00E0526D" w:rsidRPr="00DB0F65">
        <w:rPr>
          <w:lang w:val="en-GB"/>
        </w:rPr>
        <w:t>threats?</w:t>
      </w:r>
      <w:r w:rsidR="00814A97" w:rsidRPr="00DB0F65">
        <w:rPr>
          <w:lang w:val="en-GB"/>
        </w:rPr>
        <w:t xml:space="preserve"> </w:t>
      </w:r>
      <w:r w:rsidR="00A3021C" w:rsidRPr="00DB0F65">
        <w:rPr>
          <w:lang w:val="en-GB"/>
        </w:rPr>
        <w:t xml:space="preserve">How </w:t>
      </w:r>
      <w:r w:rsidR="00E0526D" w:rsidRPr="00DB0F65">
        <w:rPr>
          <w:lang w:val="en-GB"/>
        </w:rPr>
        <w:t xml:space="preserve">may </w:t>
      </w:r>
      <w:r w:rsidR="00A3021C" w:rsidRPr="00DB0F65">
        <w:rPr>
          <w:lang w:val="en-GB"/>
        </w:rPr>
        <w:t xml:space="preserve">the control bodies verify the adequateness of </w:t>
      </w:r>
      <w:r w:rsidR="00814A97" w:rsidRPr="00DB0F65">
        <w:rPr>
          <w:lang w:val="en-GB"/>
        </w:rPr>
        <w:t xml:space="preserve">adopted </w:t>
      </w:r>
      <w:r w:rsidR="00A3021C" w:rsidRPr="00DB0F65">
        <w:rPr>
          <w:lang w:val="en-GB"/>
        </w:rPr>
        <w:t>countermeasure</w:t>
      </w:r>
      <w:r w:rsidR="00E0526D" w:rsidRPr="00DB0F65">
        <w:rPr>
          <w:lang w:val="en-GB"/>
        </w:rPr>
        <w:t>s</w:t>
      </w:r>
      <w:r w:rsidR="00814A97" w:rsidRPr="00DB0F65">
        <w:rPr>
          <w:lang w:val="en-GB"/>
        </w:rPr>
        <w:t>?</w:t>
      </w:r>
      <w:r w:rsidR="00A3021C" w:rsidRPr="00DB0F65">
        <w:rPr>
          <w:lang w:val="en-GB"/>
        </w:rPr>
        <w:t xml:space="preserve"> </w:t>
      </w:r>
      <w:r w:rsidR="00814A97" w:rsidRPr="00DB0F65">
        <w:rPr>
          <w:lang w:val="en-GB"/>
        </w:rPr>
        <w:t>Cyber</w:t>
      </w:r>
      <w:r w:rsidR="00E0526D" w:rsidRPr="00DB0F65">
        <w:rPr>
          <w:lang w:val="en-GB"/>
        </w:rPr>
        <w:t>-</w:t>
      </w:r>
      <w:r w:rsidR="00814A97" w:rsidRPr="00DB0F65">
        <w:rPr>
          <w:lang w:val="en-GB"/>
        </w:rPr>
        <w:t>attacks and Na</w:t>
      </w:r>
      <w:r w:rsidR="00E0526D" w:rsidRPr="00DB0F65">
        <w:rPr>
          <w:lang w:val="en-GB"/>
        </w:rPr>
        <w:t>T</w:t>
      </w:r>
      <w:r w:rsidR="00814A97" w:rsidRPr="00DB0F65">
        <w:rPr>
          <w:lang w:val="en-GB"/>
        </w:rPr>
        <w:t xml:space="preserve">ech </w:t>
      </w:r>
      <w:r w:rsidR="00B704FE" w:rsidRPr="00DB0F65">
        <w:rPr>
          <w:lang w:val="en-GB"/>
        </w:rPr>
        <w:t>(Natural Technological)</w:t>
      </w:r>
      <w:r w:rsidR="00814A97" w:rsidRPr="00DB0F65">
        <w:rPr>
          <w:lang w:val="en-GB"/>
        </w:rPr>
        <w:t xml:space="preserve"> </w:t>
      </w:r>
      <w:r w:rsidR="00B704FE" w:rsidRPr="00DB0F65">
        <w:rPr>
          <w:lang w:val="en-GB"/>
        </w:rPr>
        <w:t xml:space="preserve">events, </w:t>
      </w:r>
      <w:r w:rsidR="00814A97" w:rsidRPr="00DB0F65">
        <w:rPr>
          <w:lang w:val="en-GB"/>
        </w:rPr>
        <w:t>even though relevant for the matter of th</w:t>
      </w:r>
      <w:r w:rsidR="001B70D0">
        <w:rPr>
          <w:lang w:val="en-GB"/>
        </w:rPr>
        <w:t>is</w:t>
      </w:r>
      <w:r w:rsidR="00814A97" w:rsidRPr="00DB0F65">
        <w:rPr>
          <w:lang w:val="en-GB"/>
        </w:rPr>
        <w:t xml:space="preserve"> paper, have not been included in the discussion, as there are already many consolidated results, adopted in common practice.</w:t>
      </w:r>
    </w:p>
    <w:p w14:paraId="2A0B00B5" w14:textId="77777777" w:rsidR="00B500F1" w:rsidRPr="00DB0F65" w:rsidRDefault="00A3021C" w:rsidP="00B500F1">
      <w:pPr>
        <w:pStyle w:val="CETheadingx"/>
        <w:rPr>
          <w:lang w:val="en-GB"/>
        </w:rPr>
      </w:pPr>
      <w:r w:rsidRPr="00DB0F65">
        <w:rPr>
          <w:lang w:val="en-GB"/>
        </w:rPr>
        <w:t>M</w:t>
      </w:r>
      <w:r w:rsidR="00B500F1" w:rsidRPr="00DB0F65">
        <w:rPr>
          <w:lang w:val="en-GB"/>
        </w:rPr>
        <w:t>ajor t</w:t>
      </w:r>
      <w:r w:rsidRPr="00DB0F65">
        <w:rPr>
          <w:lang w:val="en-GB"/>
        </w:rPr>
        <w:t>h</w:t>
      </w:r>
      <w:r w:rsidR="00B500F1" w:rsidRPr="00DB0F65">
        <w:rPr>
          <w:lang w:val="en-GB"/>
        </w:rPr>
        <w:t>reats</w:t>
      </w:r>
      <w:r w:rsidR="00814A97" w:rsidRPr="00DB0F65">
        <w:rPr>
          <w:lang w:val="en-GB"/>
        </w:rPr>
        <w:t xml:space="preserve"> and effects’ assessment</w:t>
      </w:r>
    </w:p>
    <w:p w14:paraId="0326F9BF" w14:textId="42DE98F8" w:rsidR="00FA7476" w:rsidRPr="00DB0F65" w:rsidRDefault="00EC0F6E" w:rsidP="00FA7476">
      <w:pPr>
        <w:pStyle w:val="CETBodytext"/>
        <w:rPr>
          <w:lang w:val="en-GB"/>
        </w:rPr>
      </w:pPr>
      <w:r w:rsidRPr="00DB0F65">
        <w:rPr>
          <w:lang w:val="en-GB"/>
        </w:rPr>
        <w:t xml:space="preserve">Two </w:t>
      </w:r>
      <w:r w:rsidR="004A336F" w:rsidRPr="00DB0F65">
        <w:rPr>
          <w:lang w:val="en-GB"/>
        </w:rPr>
        <w:t xml:space="preserve">pillars of </w:t>
      </w:r>
      <w:r w:rsidR="00F1786A" w:rsidRPr="00DB0F65">
        <w:rPr>
          <w:lang w:val="en-GB"/>
        </w:rPr>
        <w:t xml:space="preserve">the </w:t>
      </w:r>
      <w:r w:rsidR="004A336F" w:rsidRPr="00DB0F65">
        <w:rPr>
          <w:lang w:val="en-GB"/>
        </w:rPr>
        <w:t xml:space="preserve">Seveso </w:t>
      </w:r>
      <w:r w:rsidR="006030C9" w:rsidRPr="00DB0F65">
        <w:rPr>
          <w:lang w:val="en-GB"/>
        </w:rPr>
        <w:t>Directive are</w:t>
      </w:r>
      <w:r w:rsidR="00F1786A" w:rsidRPr="00DB0F65">
        <w:rPr>
          <w:lang w:val="en-GB"/>
        </w:rPr>
        <w:t xml:space="preserve"> the</w:t>
      </w:r>
      <w:r w:rsidR="004A336F" w:rsidRPr="00DB0F65">
        <w:rPr>
          <w:lang w:val="en-GB"/>
        </w:rPr>
        <w:t xml:space="preserve"> </w:t>
      </w:r>
      <w:r w:rsidR="00814A97" w:rsidRPr="00DB0F65">
        <w:rPr>
          <w:lang w:val="en-GB"/>
        </w:rPr>
        <w:t xml:space="preserve">Risk Analysis </w:t>
      </w:r>
      <w:r w:rsidR="00AA467A" w:rsidRPr="00DB0F65">
        <w:rPr>
          <w:lang w:val="en-GB"/>
        </w:rPr>
        <w:t>(</w:t>
      </w:r>
      <w:r w:rsidR="00814A97" w:rsidRPr="00DB0F65">
        <w:rPr>
          <w:lang w:val="en-GB"/>
        </w:rPr>
        <w:t>RA</w:t>
      </w:r>
      <w:r w:rsidR="00AA467A" w:rsidRPr="00DB0F65">
        <w:rPr>
          <w:lang w:val="en-GB"/>
        </w:rPr>
        <w:t>)</w:t>
      </w:r>
      <w:r w:rsidR="004A336F" w:rsidRPr="00DB0F65">
        <w:rPr>
          <w:lang w:val="en-GB"/>
        </w:rPr>
        <w:t xml:space="preserve">, contained in the Safety Report of the establishment, and the </w:t>
      </w:r>
      <w:r w:rsidR="00814A97" w:rsidRPr="00DB0F65">
        <w:rPr>
          <w:lang w:val="en-GB"/>
        </w:rPr>
        <w:t xml:space="preserve">Safety Management System </w:t>
      </w:r>
      <w:r w:rsidR="00AA467A" w:rsidRPr="00DB0F65">
        <w:rPr>
          <w:lang w:val="en-GB"/>
        </w:rPr>
        <w:t>(</w:t>
      </w:r>
      <w:r w:rsidR="00814A97" w:rsidRPr="00DB0F65">
        <w:rPr>
          <w:lang w:val="en-GB"/>
        </w:rPr>
        <w:t>SMS</w:t>
      </w:r>
      <w:r w:rsidR="00AA467A" w:rsidRPr="00DB0F65">
        <w:rPr>
          <w:lang w:val="en-GB"/>
        </w:rPr>
        <w:t>)</w:t>
      </w:r>
      <w:r w:rsidR="004A336F" w:rsidRPr="00DB0F65">
        <w:rPr>
          <w:lang w:val="en-GB"/>
        </w:rPr>
        <w:t>,</w:t>
      </w:r>
      <w:r w:rsidR="006030C9" w:rsidRPr="00DB0F65">
        <w:rPr>
          <w:lang w:val="en-GB"/>
        </w:rPr>
        <w:t xml:space="preserve"> including </w:t>
      </w:r>
      <w:r w:rsidR="004A336F" w:rsidRPr="00DB0F65">
        <w:rPr>
          <w:lang w:val="en-GB"/>
        </w:rPr>
        <w:t xml:space="preserve">procedures for </w:t>
      </w:r>
      <w:r w:rsidR="00E154CE">
        <w:rPr>
          <w:lang w:val="en-GB"/>
        </w:rPr>
        <w:t xml:space="preserve">the </w:t>
      </w:r>
      <w:r w:rsidR="004A336F" w:rsidRPr="00DB0F65">
        <w:rPr>
          <w:lang w:val="en-GB"/>
        </w:rPr>
        <w:t>prevention</w:t>
      </w:r>
      <w:r w:rsidR="00E154CE">
        <w:rPr>
          <w:lang w:val="en-GB"/>
        </w:rPr>
        <w:t xml:space="preserve"> of</w:t>
      </w:r>
      <w:r w:rsidR="00E154CE" w:rsidRPr="00E154CE">
        <w:rPr>
          <w:lang w:val="en-GB"/>
        </w:rPr>
        <w:t xml:space="preserve"> </w:t>
      </w:r>
      <w:r w:rsidR="00E154CE">
        <w:rPr>
          <w:lang w:val="en-GB"/>
        </w:rPr>
        <w:t>accidents</w:t>
      </w:r>
      <w:r w:rsidR="000A51E2" w:rsidRPr="00DB0F65">
        <w:rPr>
          <w:lang w:val="en-GB"/>
        </w:rPr>
        <w:t xml:space="preserve">. </w:t>
      </w:r>
      <w:r w:rsidR="004A336F" w:rsidRPr="00DB0F65">
        <w:rPr>
          <w:lang w:val="en-GB"/>
        </w:rPr>
        <w:t xml:space="preserve">Risk analysis is usually based on HazOp combined with FTA and/or ETA and is updated every </w:t>
      </w:r>
      <w:r w:rsidR="000A51E2" w:rsidRPr="00DB0F65">
        <w:rPr>
          <w:lang w:val="en-GB"/>
        </w:rPr>
        <w:t>five</w:t>
      </w:r>
      <w:r w:rsidR="004A336F" w:rsidRPr="00DB0F65">
        <w:rPr>
          <w:lang w:val="en-GB"/>
        </w:rPr>
        <w:t xml:space="preserve"> years; procedures are instead reviewed every </w:t>
      </w:r>
      <w:r w:rsidR="000A51E2" w:rsidRPr="00DB0F65">
        <w:rPr>
          <w:lang w:val="en-GB"/>
        </w:rPr>
        <w:t>two</w:t>
      </w:r>
      <w:r w:rsidR="004A336F" w:rsidRPr="00DB0F65">
        <w:rPr>
          <w:lang w:val="en-GB"/>
        </w:rPr>
        <w:t xml:space="preserve"> years, based on accidents, near misses</w:t>
      </w:r>
      <w:r w:rsidRPr="00DB0F65">
        <w:rPr>
          <w:lang w:val="en-GB"/>
        </w:rPr>
        <w:t xml:space="preserve"> and</w:t>
      </w:r>
      <w:r w:rsidR="00E154CE">
        <w:rPr>
          <w:lang w:val="en-GB"/>
        </w:rPr>
        <w:t xml:space="preserve"> </w:t>
      </w:r>
      <w:r w:rsidR="004A336F" w:rsidRPr="00DB0F65">
        <w:rPr>
          <w:lang w:val="en-GB"/>
        </w:rPr>
        <w:t>non-conformities detected during audits and inspections by authorities.</w:t>
      </w:r>
      <w:r w:rsidR="00C415D0" w:rsidRPr="00DB0F65">
        <w:rPr>
          <w:lang w:val="en-GB"/>
        </w:rPr>
        <w:t xml:space="preserve"> </w:t>
      </w:r>
      <w:r w:rsidR="004A336F" w:rsidRPr="00DB0F65">
        <w:rPr>
          <w:lang w:val="en-GB"/>
        </w:rPr>
        <w:t xml:space="preserve">Several </w:t>
      </w:r>
      <w:r w:rsidR="00FA7476" w:rsidRPr="00DB0F65">
        <w:rPr>
          <w:lang w:val="en-GB"/>
        </w:rPr>
        <w:t xml:space="preserve">external </w:t>
      </w:r>
      <w:r w:rsidR="004A336F" w:rsidRPr="00DB0F65">
        <w:rPr>
          <w:lang w:val="en-GB"/>
        </w:rPr>
        <w:t>factors</w:t>
      </w:r>
      <w:r w:rsidR="0069176A" w:rsidRPr="00DB0F65">
        <w:rPr>
          <w:lang w:val="en-GB"/>
        </w:rPr>
        <w:t xml:space="preserve"> (t</w:t>
      </w:r>
      <w:r w:rsidR="002602D7">
        <w:rPr>
          <w:lang w:val="en-GB"/>
        </w:rPr>
        <w:t>h</w:t>
      </w:r>
      <w:r w:rsidR="0069176A" w:rsidRPr="00DB0F65">
        <w:rPr>
          <w:lang w:val="en-GB"/>
        </w:rPr>
        <w:t>reats)</w:t>
      </w:r>
      <w:r w:rsidR="004A336F" w:rsidRPr="00DB0F65">
        <w:rPr>
          <w:lang w:val="en-GB"/>
        </w:rPr>
        <w:t xml:space="preserve"> can undermine these two pillars over</w:t>
      </w:r>
      <w:r w:rsidR="000A51E2" w:rsidRPr="00DB0F65">
        <w:rPr>
          <w:lang w:val="en-GB"/>
        </w:rPr>
        <w:t xml:space="preserve"> the</w:t>
      </w:r>
      <w:r w:rsidR="004A336F" w:rsidRPr="00DB0F65">
        <w:rPr>
          <w:lang w:val="en-GB"/>
        </w:rPr>
        <w:t xml:space="preserve"> time. </w:t>
      </w:r>
      <w:r w:rsidR="000A51E2" w:rsidRPr="00DB0F65">
        <w:rPr>
          <w:lang w:val="en-GB"/>
        </w:rPr>
        <w:t>The</w:t>
      </w:r>
      <w:r w:rsidR="00FA7476" w:rsidRPr="00DB0F65">
        <w:rPr>
          <w:lang w:val="en-GB"/>
        </w:rPr>
        <w:t xml:space="preserve"> model allows timely assess</w:t>
      </w:r>
      <w:r w:rsidR="000A51E2" w:rsidRPr="00DB0F65">
        <w:rPr>
          <w:lang w:val="en-GB"/>
        </w:rPr>
        <w:t>ing</w:t>
      </w:r>
      <w:r w:rsidR="00FA7476" w:rsidRPr="00DB0F65">
        <w:rPr>
          <w:lang w:val="en-GB"/>
        </w:rPr>
        <w:t xml:space="preserve"> risks deriving from these factors. Based on these evaluations, specific procedures will be developed aiming at the adaptation of the system to different contexts. Destabilising factors</w:t>
      </w:r>
      <w:r w:rsidR="00FE68F7" w:rsidRPr="00DB0F65">
        <w:rPr>
          <w:lang w:val="en-GB"/>
        </w:rPr>
        <w:t xml:space="preserve"> </w:t>
      </w:r>
      <w:r w:rsidR="00FA7476" w:rsidRPr="00DB0F65">
        <w:rPr>
          <w:lang w:val="en-GB"/>
        </w:rPr>
        <w:t>are listed below</w:t>
      </w:r>
      <w:r w:rsidR="00771FAB" w:rsidRPr="00DB0F65">
        <w:rPr>
          <w:lang w:val="en-GB"/>
        </w:rPr>
        <w:t xml:space="preserve"> with their </w:t>
      </w:r>
      <w:r w:rsidR="00F04CBA" w:rsidRPr="00DB0F65">
        <w:rPr>
          <w:lang w:val="en-GB"/>
        </w:rPr>
        <w:t>effects on risk analysis and safety management system</w:t>
      </w:r>
      <w:r w:rsidR="00A219E2" w:rsidRPr="00DB0F65">
        <w:rPr>
          <w:lang w:val="en-GB"/>
        </w:rPr>
        <w:t>:</w:t>
      </w:r>
    </w:p>
    <w:p w14:paraId="0947CDA3" w14:textId="77777777" w:rsidR="00A219E2" w:rsidRPr="00DB0F65" w:rsidRDefault="00A219E2" w:rsidP="000A51E2">
      <w:pPr>
        <w:pStyle w:val="Paragrafoelenco"/>
        <w:numPr>
          <w:ilvl w:val="0"/>
          <w:numId w:val="22"/>
        </w:numPr>
        <w:ind w:left="426" w:hanging="284"/>
      </w:pPr>
      <w:r w:rsidRPr="00DB0F65">
        <w:rPr>
          <w:i/>
        </w:rPr>
        <w:t>Ageing</w:t>
      </w:r>
      <w:r w:rsidRPr="00DB0F65">
        <w:t>: Deterioration of</w:t>
      </w:r>
      <w:r w:rsidR="003A215D" w:rsidRPr="00DB0F65">
        <w:t xml:space="preserve"> </w:t>
      </w:r>
      <w:r w:rsidRPr="00DB0F65">
        <w:t xml:space="preserve">equipment and structures </w:t>
      </w:r>
      <w:r w:rsidR="000A17D1" w:rsidRPr="00DB0F65">
        <w:t xml:space="preserve">is </w:t>
      </w:r>
      <w:r w:rsidRPr="00DB0F65">
        <w:t>due to physical and chemical mechanisms (in some case also biological).</w:t>
      </w:r>
      <w:r w:rsidR="00896E1A" w:rsidRPr="00DB0F65">
        <w:t xml:space="preserve"> </w:t>
      </w:r>
      <w:r w:rsidR="003A215D" w:rsidRPr="00DB0F65">
        <w:t>It</w:t>
      </w:r>
      <w:r w:rsidR="00896E1A" w:rsidRPr="00DB0F65">
        <w:t xml:space="preserve"> gradually increases </w:t>
      </w:r>
      <w:r w:rsidR="003A215D" w:rsidRPr="00DB0F65">
        <w:t xml:space="preserve">failure </w:t>
      </w:r>
      <w:r w:rsidR="00896E1A" w:rsidRPr="00DB0F65">
        <w:t>probabilit</w:t>
      </w:r>
      <w:r w:rsidR="00D93EE5" w:rsidRPr="00DB0F65">
        <w:t>ies</w:t>
      </w:r>
      <w:r w:rsidR="00896E1A" w:rsidRPr="00DB0F65">
        <w:t xml:space="preserve">. A method verifying the adequacy of ageing management </w:t>
      </w:r>
      <w:r w:rsidR="003A215D" w:rsidRPr="00DB0F65">
        <w:t>plans at Seveso establishments h</w:t>
      </w:r>
      <w:r w:rsidR="00896E1A" w:rsidRPr="00DB0F65">
        <w:t xml:space="preserve">as </w:t>
      </w:r>
      <w:r w:rsidR="003A215D" w:rsidRPr="00DB0F65">
        <w:t xml:space="preserve">been </w:t>
      </w:r>
      <w:r w:rsidR="00896E1A" w:rsidRPr="00DB0F65">
        <w:t>developed (</w:t>
      </w:r>
      <w:r w:rsidR="00F463C9" w:rsidRPr="00DB0F65">
        <w:t>Bragatto et al., 2018</w:t>
      </w:r>
      <w:r w:rsidR="00896E1A" w:rsidRPr="00DB0F65">
        <w:t>).</w:t>
      </w:r>
      <w:r w:rsidR="003F68EF" w:rsidRPr="00DB0F65">
        <w:t xml:space="preserve"> RA should be updated because non-credible events could become credible in less than five years</w:t>
      </w:r>
      <w:r w:rsidR="00771FAB" w:rsidRPr="00DB0F65">
        <w:t xml:space="preserve">. </w:t>
      </w:r>
      <w:r w:rsidR="00D93EE5" w:rsidRPr="00DB0F65">
        <w:t>I</w:t>
      </w:r>
      <w:r w:rsidR="003F68EF" w:rsidRPr="00DB0F65">
        <w:t>ncreases of risk are not compensated</w:t>
      </w:r>
      <w:r w:rsidR="00771FAB" w:rsidRPr="00DB0F65">
        <w:t xml:space="preserve"> and i</w:t>
      </w:r>
      <w:r w:rsidR="003F68EF" w:rsidRPr="00DB0F65">
        <w:t>nspections need to be improved.</w:t>
      </w:r>
    </w:p>
    <w:p w14:paraId="22A89101" w14:textId="709F2753" w:rsidR="00AB4622" w:rsidRPr="00DB0F65" w:rsidRDefault="00E10A5A" w:rsidP="000A51E2">
      <w:pPr>
        <w:pStyle w:val="Paragrafoelenco"/>
        <w:numPr>
          <w:ilvl w:val="0"/>
          <w:numId w:val="22"/>
        </w:numPr>
        <w:ind w:left="426" w:hanging="284"/>
      </w:pPr>
      <w:r w:rsidRPr="00DB0F65">
        <w:rPr>
          <w:i/>
        </w:rPr>
        <w:t>Technical o</w:t>
      </w:r>
      <w:r w:rsidR="00AB4622" w:rsidRPr="00DB0F65">
        <w:rPr>
          <w:i/>
        </w:rPr>
        <w:t>bsolescence</w:t>
      </w:r>
      <w:r w:rsidR="00AB4622" w:rsidRPr="00DB0F65">
        <w:t xml:space="preserve">: </w:t>
      </w:r>
      <w:r w:rsidR="00D93EE5" w:rsidRPr="00DB0F65">
        <w:t>S</w:t>
      </w:r>
      <w:r w:rsidR="00D700DC" w:rsidRPr="00DB0F65">
        <w:t xml:space="preserve">ystems becomes unusable at a given time and must be adjusted or replaced. </w:t>
      </w:r>
      <w:r w:rsidR="003A215D" w:rsidRPr="00DB0F65">
        <w:t>O</w:t>
      </w:r>
      <w:r w:rsidR="00D700DC" w:rsidRPr="00DB0F65">
        <w:t>bsolescence impact on the risk level</w:t>
      </w:r>
      <w:r w:rsidR="00E154CE">
        <w:t>,</w:t>
      </w:r>
      <w:r w:rsidR="00D700DC" w:rsidRPr="00DB0F65">
        <w:t xml:space="preserve"> </w:t>
      </w:r>
      <w:r w:rsidR="003A215D" w:rsidRPr="00DB0F65">
        <w:t>in case of failures of safety critical systems</w:t>
      </w:r>
      <w:r w:rsidR="00E154CE">
        <w:t>;</w:t>
      </w:r>
      <w:r w:rsidR="00771FAB" w:rsidRPr="00DB0F65">
        <w:t xml:space="preserve"> thus, risk must be recalculated for points with foreseeable criticalities</w:t>
      </w:r>
      <w:r w:rsidR="002F021A" w:rsidRPr="00DB0F65">
        <w:t>. Procedures</w:t>
      </w:r>
      <w:r w:rsidR="00896E1A" w:rsidRPr="00DB0F65">
        <w:t xml:space="preserve"> </w:t>
      </w:r>
      <w:r w:rsidR="002F021A" w:rsidRPr="00DB0F65">
        <w:t>could</w:t>
      </w:r>
      <w:r w:rsidR="00896E1A" w:rsidRPr="00DB0F65">
        <w:t xml:space="preserve"> not </w:t>
      </w:r>
      <w:r w:rsidR="002F021A" w:rsidRPr="00DB0F65">
        <w:t xml:space="preserve">be </w:t>
      </w:r>
      <w:r w:rsidR="00896E1A" w:rsidRPr="00DB0F65">
        <w:t xml:space="preserve">compliant with </w:t>
      </w:r>
      <w:r w:rsidR="00771FAB" w:rsidRPr="00DB0F65">
        <w:t xml:space="preserve">emerging </w:t>
      </w:r>
      <w:r w:rsidR="00746F46" w:rsidRPr="00DB0F65">
        <w:t>technical standard</w:t>
      </w:r>
      <w:r w:rsidR="00771FAB" w:rsidRPr="00DB0F65">
        <w:t>s</w:t>
      </w:r>
      <w:r w:rsidR="00D700DC" w:rsidRPr="00DB0F65">
        <w:t>.</w:t>
      </w:r>
    </w:p>
    <w:p w14:paraId="37CF92F8" w14:textId="39AE6646" w:rsidR="004B067A" w:rsidRPr="00F305C6" w:rsidRDefault="00653EE2" w:rsidP="000A51E2">
      <w:pPr>
        <w:pStyle w:val="Paragrafoelenco"/>
        <w:numPr>
          <w:ilvl w:val="0"/>
          <w:numId w:val="22"/>
        </w:numPr>
        <w:ind w:left="426" w:hanging="284"/>
      </w:pPr>
      <w:r w:rsidRPr="00F305C6">
        <w:rPr>
          <w:i/>
        </w:rPr>
        <w:t>Regulatory Changes</w:t>
      </w:r>
      <w:r w:rsidR="004B067A" w:rsidRPr="00F305C6">
        <w:t xml:space="preserve">: </w:t>
      </w:r>
      <w:r w:rsidR="00D93EE5" w:rsidRPr="00F305C6">
        <w:t>A</w:t>
      </w:r>
      <w:r w:rsidR="00F04CBA" w:rsidRPr="00F305C6">
        <w:t xml:space="preserve"> certain material/activ</w:t>
      </w:r>
      <w:r w:rsidRPr="00F305C6">
        <w:t>ity/product</w:t>
      </w:r>
      <w:r w:rsidR="00F04CBA" w:rsidRPr="00F305C6">
        <w:t xml:space="preserve"> is excluded from a local/regiona</w:t>
      </w:r>
      <w:r w:rsidR="007E388E" w:rsidRPr="00F305C6">
        <w:t>l</w:t>
      </w:r>
      <w:r w:rsidR="00F04CBA" w:rsidRPr="00F305C6">
        <w:t>/</w:t>
      </w:r>
      <w:r w:rsidR="00926EA1" w:rsidRPr="00F305C6">
        <w:t>national/</w:t>
      </w:r>
      <w:r w:rsidR="00E154CE" w:rsidRPr="00F305C6">
        <w:t xml:space="preserve"> </w:t>
      </w:r>
      <w:r w:rsidR="00F04CBA" w:rsidRPr="00F305C6">
        <w:t xml:space="preserve">community </w:t>
      </w:r>
      <w:r w:rsidR="00746F46" w:rsidRPr="00F305C6">
        <w:t>regulation</w:t>
      </w:r>
      <w:r w:rsidRPr="00F305C6">
        <w:t>, typically due to environmental issues</w:t>
      </w:r>
      <w:r w:rsidR="00F04CBA" w:rsidRPr="00F305C6">
        <w:t xml:space="preserve">. </w:t>
      </w:r>
      <w:r w:rsidR="00D93EE5" w:rsidRPr="00F305C6">
        <w:t>T</w:t>
      </w:r>
      <w:r w:rsidRPr="00F305C6">
        <w:t>hes</w:t>
      </w:r>
      <w:r w:rsidR="00746F46" w:rsidRPr="00F305C6">
        <w:t xml:space="preserve">e </w:t>
      </w:r>
      <w:r w:rsidRPr="00F305C6">
        <w:t xml:space="preserve">regulatory </w:t>
      </w:r>
      <w:r w:rsidR="00F04CBA" w:rsidRPr="00F305C6">
        <w:t>changes</w:t>
      </w:r>
      <w:r w:rsidRPr="00F305C6">
        <w:t xml:space="preserve"> induce rapid </w:t>
      </w:r>
      <w:r w:rsidRPr="00F305C6">
        <w:lastRenderedPageBreak/>
        <w:t>changes in processes and in procedure</w:t>
      </w:r>
      <w:r w:rsidR="00440845" w:rsidRPr="00F305C6">
        <w:t>s. They are</w:t>
      </w:r>
      <w:r w:rsidRPr="00F305C6">
        <w:t xml:space="preserve"> </w:t>
      </w:r>
      <w:r w:rsidR="00440845" w:rsidRPr="00F305C6">
        <w:t xml:space="preserve">aimed at the compliance, but </w:t>
      </w:r>
      <w:r w:rsidRPr="00F305C6">
        <w:t xml:space="preserve">could </w:t>
      </w:r>
      <w:r w:rsidR="00440845" w:rsidRPr="00F305C6">
        <w:t>induce new risks</w:t>
      </w:r>
      <w:r w:rsidRPr="00F305C6">
        <w:t>.</w:t>
      </w:r>
    </w:p>
    <w:p w14:paraId="314606DA" w14:textId="41903DCD" w:rsidR="00F03147" w:rsidRPr="00F305C6" w:rsidRDefault="00F03147" w:rsidP="000A51E2">
      <w:pPr>
        <w:pStyle w:val="Paragrafoelenco"/>
        <w:numPr>
          <w:ilvl w:val="0"/>
          <w:numId w:val="22"/>
        </w:numPr>
        <w:ind w:left="426" w:hanging="284"/>
      </w:pPr>
      <w:r w:rsidRPr="00F305C6">
        <w:rPr>
          <w:i/>
        </w:rPr>
        <w:t xml:space="preserve">Ageing of </w:t>
      </w:r>
      <w:r w:rsidR="002F021A" w:rsidRPr="00F305C6">
        <w:rPr>
          <w:i/>
        </w:rPr>
        <w:t>organisation</w:t>
      </w:r>
      <w:r w:rsidRPr="00F305C6">
        <w:t xml:space="preserve">: </w:t>
      </w:r>
      <w:r w:rsidR="00653EE2" w:rsidRPr="00F305C6">
        <w:t>E</w:t>
      </w:r>
      <w:r w:rsidR="002335FD" w:rsidRPr="00F305C6">
        <w:t xml:space="preserve">xperience </w:t>
      </w:r>
      <w:r w:rsidR="00F92D83" w:rsidRPr="00F305C6">
        <w:t xml:space="preserve">is a valuable resource and must be kept </w:t>
      </w:r>
      <w:r w:rsidR="00440845" w:rsidRPr="00F305C6">
        <w:t xml:space="preserve">and </w:t>
      </w:r>
      <w:r w:rsidR="00F92D83" w:rsidRPr="00F305C6">
        <w:t xml:space="preserve">managed in the </w:t>
      </w:r>
      <w:r w:rsidR="00F305C6" w:rsidRPr="00F305C6">
        <w:t xml:space="preserve">natural personal </w:t>
      </w:r>
      <w:r w:rsidR="00F92D83" w:rsidRPr="00F305C6">
        <w:t>turnover</w:t>
      </w:r>
      <w:r w:rsidR="002335FD" w:rsidRPr="00F305C6">
        <w:t>.</w:t>
      </w:r>
      <w:r w:rsidR="003B13C2" w:rsidRPr="00F305C6">
        <w:t xml:space="preserve"> </w:t>
      </w:r>
      <w:r w:rsidR="00F92D83" w:rsidRPr="00F305C6">
        <w:t xml:space="preserve">Cut of personnel, retirement </w:t>
      </w:r>
      <w:r w:rsidR="00F305C6" w:rsidRPr="00F305C6">
        <w:t>and</w:t>
      </w:r>
      <w:r w:rsidR="00F92D83" w:rsidRPr="00F305C6">
        <w:t xml:space="preserve"> </w:t>
      </w:r>
      <w:r w:rsidR="00440845" w:rsidRPr="00F305C6">
        <w:t>outsourcing of important activities impoverish the internal knowledge and jeopardize safety.</w:t>
      </w:r>
    </w:p>
    <w:p w14:paraId="6681B7C1" w14:textId="559FB2C5" w:rsidR="004B067A" w:rsidRPr="00DB0F65" w:rsidRDefault="00AA1C28" w:rsidP="000A51E2">
      <w:pPr>
        <w:pStyle w:val="Paragrafoelenco"/>
        <w:numPr>
          <w:ilvl w:val="0"/>
          <w:numId w:val="22"/>
        </w:numPr>
        <w:ind w:left="426" w:hanging="284"/>
      </w:pPr>
      <w:r w:rsidRPr="00DB0F65">
        <w:rPr>
          <w:i/>
        </w:rPr>
        <w:t>Market</w:t>
      </w:r>
      <w:r w:rsidRPr="00DB0F65">
        <w:t xml:space="preserve">: </w:t>
      </w:r>
      <w:r w:rsidR="00DA7D8E" w:rsidRPr="00DB0F65">
        <w:t>M</w:t>
      </w:r>
      <w:r w:rsidRPr="00DB0F65">
        <w:t>arket changes impose rapid adjustments</w:t>
      </w:r>
      <w:r w:rsidR="00DA7D8E" w:rsidRPr="00DB0F65">
        <w:t xml:space="preserve"> of</w:t>
      </w:r>
      <w:r w:rsidR="00F305C6">
        <w:t xml:space="preserve"> the</w:t>
      </w:r>
      <w:r w:rsidR="00DA7D8E" w:rsidRPr="00DB0F65">
        <w:t xml:space="preserve"> production</w:t>
      </w:r>
      <w:r w:rsidRPr="00DB0F65">
        <w:t>, even faster than technical and legislative changes</w:t>
      </w:r>
      <w:r w:rsidR="00F70E3E" w:rsidRPr="00DB0F65">
        <w:t>. Changes</w:t>
      </w:r>
      <w:r w:rsidR="00F305C6">
        <w:t xml:space="preserve"> that are</w:t>
      </w:r>
      <w:r w:rsidR="00F70E3E" w:rsidRPr="00DB0F65">
        <w:t xml:space="preserve"> relevant to safety must be analysed to predict economic </w:t>
      </w:r>
      <w:r w:rsidR="00F305C6" w:rsidRPr="00DB0F65">
        <w:t>fluctuations</w:t>
      </w:r>
      <w:r w:rsidR="00F70E3E" w:rsidRPr="00DB0F65">
        <w:t xml:space="preserve"> and update risk analysis and procedures, with respect to points of foreseeable consequences.</w:t>
      </w:r>
    </w:p>
    <w:p w14:paraId="197349CC" w14:textId="2423A3A1" w:rsidR="00F70E3E" w:rsidRPr="00F305C6" w:rsidRDefault="00F70E3E" w:rsidP="000A51E2">
      <w:pPr>
        <w:pStyle w:val="Paragrafoelenco"/>
        <w:numPr>
          <w:ilvl w:val="0"/>
          <w:numId w:val="22"/>
        </w:numPr>
        <w:ind w:left="426" w:hanging="284"/>
      </w:pPr>
      <w:r w:rsidRPr="00F305C6">
        <w:rPr>
          <w:i/>
        </w:rPr>
        <w:t>Community:</w:t>
      </w:r>
      <w:r w:rsidR="00670EF1" w:rsidRPr="00F305C6">
        <w:t xml:space="preserve"> </w:t>
      </w:r>
      <w:r w:rsidR="009D1ACF" w:rsidRPr="00F305C6">
        <w:t>T</w:t>
      </w:r>
      <w:r w:rsidR="00440845" w:rsidRPr="00F305C6">
        <w:t xml:space="preserve">he </w:t>
      </w:r>
      <w:r w:rsidR="008820A1" w:rsidRPr="00F305C6">
        <w:t>consequence</w:t>
      </w:r>
      <w:r w:rsidR="00440845" w:rsidRPr="00F305C6">
        <w:t>s</w:t>
      </w:r>
      <w:r w:rsidR="008820A1" w:rsidRPr="00F305C6">
        <w:t xml:space="preserve"> </w:t>
      </w:r>
      <w:r w:rsidR="00440845" w:rsidRPr="00F305C6">
        <w:t xml:space="preserve">of </w:t>
      </w:r>
      <w:r w:rsidR="008820A1" w:rsidRPr="00F305C6">
        <w:t>external</w:t>
      </w:r>
      <w:r w:rsidR="00440845" w:rsidRPr="00F305C6">
        <w:t xml:space="preserve"> releases of hazardous materials</w:t>
      </w:r>
      <w:r w:rsidR="009D1ACF" w:rsidRPr="00F305C6">
        <w:t xml:space="preserve"> are related to the external context</w:t>
      </w:r>
      <w:r w:rsidR="00670EF1" w:rsidRPr="00F305C6">
        <w:t>. There are regulations about land-use around establishment</w:t>
      </w:r>
      <w:r w:rsidR="00F305C6" w:rsidRPr="00F305C6">
        <w:t>s</w:t>
      </w:r>
      <w:r w:rsidR="00670EF1" w:rsidRPr="00F305C6">
        <w:t xml:space="preserve">, but </w:t>
      </w:r>
      <w:r w:rsidR="00F305C6" w:rsidRPr="00F305C6">
        <w:t xml:space="preserve">anyway </w:t>
      </w:r>
      <w:r w:rsidR="009D1ACF" w:rsidRPr="00F305C6">
        <w:t xml:space="preserve">the </w:t>
      </w:r>
      <w:r w:rsidR="00F305C6" w:rsidRPr="00F305C6">
        <w:t>external context</w:t>
      </w:r>
      <w:r w:rsidR="009D1ACF" w:rsidRPr="00F305C6">
        <w:t xml:space="preserve"> change</w:t>
      </w:r>
      <w:r w:rsidR="00F305C6" w:rsidRPr="00F305C6">
        <w:t>s</w:t>
      </w:r>
      <w:r w:rsidR="009D1ACF" w:rsidRPr="00F305C6">
        <w:t xml:space="preserve"> very quickly. If </w:t>
      </w:r>
      <w:r w:rsidR="00F305C6" w:rsidRPr="00F305C6">
        <w:t>it</w:t>
      </w:r>
      <w:r w:rsidR="009D1ACF" w:rsidRPr="00F305C6">
        <w:t xml:space="preserve"> is not monitored, the emergency preparedness could become inadequate and the risk for </w:t>
      </w:r>
      <w:r w:rsidR="00F305C6">
        <w:t>t</w:t>
      </w:r>
      <w:r w:rsidR="00F305C6" w:rsidRPr="00F305C6">
        <w:t xml:space="preserve">he </w:t>
      </w:r>
      <w:r w:rsidR="009D1ACF" w:rsidRPr="00F305C6">
        <w:t>society could</w:t>
      </w:r>
      <w:r w:rsidR="00C0649C" w:rsidRPr="00F305C6">
        <w:t xml:space="preserve"> increase, even if industrial activities are always the same.</w:t>
      </w:r>
    </w:p>
    <w:p w14:paraId="76E2D30D" w14:textId="5AB65A50" w:rsidR="00670EF1" w:rsidRPr="00DB0F65" w:rsidRDefault="00670EF1" w:rsidP="000A51E2">
      <w:pPr>
        <w:pStyle w:val="Paragrafoelenco"/>
        <w:numPr>
          <w:ilvl w:val="0"/>
          <w:numId w:val="22"/>
        </w:numPr>
        <w:ind w:left="426" w:hanging="284"/>
      </w:pPr>
      <w:r w:rsidRPr="00DB0F65">
        <w:rPr>
          <w:i/>
        </w:rPr>
        <w:t>Environment:</w:t>
      </w:r>
      <w:r w:rsidRPr="00DB0F65">
        <w:t xml:space="preserve"> </w:t>
      </w:r>
      <w:r w:rsidR="00850D5E" w:rsidRPr="00DB0F65">
        <w:t>It</w:t>
      </w:r>
      <w:r w:rsidRPr="00DB0F65">
        <w:t xml:space="preserve"> refers to variations </w:t>
      </w:r>
      <w:r w:rsidR="00F305C6">
        <w:t xml:space="preserve">in </w:t>
      </w:r>
      <w:r w:rsidRPr="00DB0F65">
        <w:t xml:space="preserve">the environmental context, </w:t>
      </w:r>
      <w:r w:rsidR="00DA7D8E" w:rsidRPr="00DB0F65">
        <w:t>i.e.</w:t>
      </w:r>
      <w:r w:rsidRPr="00DB0F65">
        <w:t xml:space="preserve"> microclimat</w:t>
      </w:r>
      <w:r w:rsidR="00DA7D8E" w:rsidRPr="00DB0F65">
        <w:t>e</w:t>
      </w:r>
      <w:r w:rsidRPr="00DB0F65">
        <w:t xml:space="preserve">, </w:t>
      </w:r>
      <w:r w:rsidR="00771FAB" w:rsidRPr="00DB0F65">
        <w:t>RA</w:t>
      </w:r>
      <w:r w:rsidR="00B20DA6">
        <w:t xml:space="preserve"> and</w:t>
      </w:r>
      <w:r w:rsidR="00771FAB" w:rsidRPr="00DB0F65">
        <w:t xml:space="preserve"> </w:t>
      </w:r>
      <w:r w:rsidR="00B20DA6" w:rsidRPr="00DB0F65">
        <w:t>emergency plans</w:t>
      </w:r>
      <w:r w:rsidR="00B20DA6">
        <w:t xml:space="preserve"> </w:t>
      </w:r>
      <w:r w:rsidR="00F305C6">
        <w:t>has to be up</w:t>
      </w:r>
      <w:r w:rsidR="00B20DA6">
        <w:t xml:space="preserve">dated </w:t>
      </w:r>
      <w:r w:rsidR="00771FAB" w:rsidRPr="00DB0F65">
        <w:t>with respect to the points of foreseeable consequences.</w:t>
      </w:r>
    </w:p>
    <w:p w14:paraId="76C77F8C" w14:textId="20B38E4C" w:rsidR="0069176A" w:rsidRPr="00DB0F65" w:rsidRDefault="00CD0DAE" w:rsidP="000A51E2">
      <w:pPr>
        <w:pStyle w:val="Paragrafoelenco"/>
        <w:numPr>
          <w:ilvl w:val="0"/>
          <w:numId w:val="22"/>
        </w:numPr>
        <w:ind w:left="426" w:hanging="284"/>
      </w:pPr>
      <w:r w:rsidRPr="00DB0F65">
        <w:rPr>
          <w:i/>
        </w:rPr>
        <w:t>Finance:</w:t>
      </w:r>
      <w:r w:rsidRPr="00DB0F65">
        <w:t xml:space="preserve"> </w:t>
      </w:r>
      <w:r w:rsidR="00F53516" w:rsidRPr="00DB0F65">
        <w:t>T</w:t>
      </w:r>
      <w:r w:rsidR="00850D5E" w:rsidRPr="00DB0F65">
        <w:t xml:space="preserve">o better respond to </w:t>
      </w:r>
      <w:r w:rsidR="00DA7D8E" w:rsidRPr="00DB0F65">
        <w:t xml:space="preserve">changes </w:t>
      </w:r>
      <w:r w:rsidR="00B20DA6">
        <w:t>in</w:t>
      </w:r>
      <w:r w:rsidR="00DA7D8E" w:rsidRPr="00DB0F65">
        <w:t xml:space="preserve"> the economic-financial context</w:t>
      </w:r>
      <w:r w:rsidR="00850D5E" w:rsidRPr="00DB0F65">
        <w:t xml:space="preserve">, companies operate </w:t>
      </w:r>
      <w:r w:rsidR="00AC13D6" w:rsidRPr="00DB0F65">
        <w:t>different</w:t>
      </w:r>
      <w:r w:rsidR="00850D5E" w:rsidRPr="00DB0F65">
        <w:t xml:space="preserve"> financial actions, including</w:t>
      </w:r>
      <w:r w:rsidR="00B20DA6">
        <w:t xml:space="preserve"> the</w:t>
      </w:r>
      <w:r w:rsidR="00850D5E" w:rsidRPr="00DB0F65">
        <w:t xml:space="preserve"> entire sales </w:t>
      </w:r>
      <w:r w:rsidR="00AC13D6" w:rsidRPr="00DB0F65">
        <w:t>or of some</w:t>
      </w:r>
      <w:r w:rsidR="00850D5E" w:rsidRPr="00DB0F65">
        <w:t xml:space="preserve"> divisions, mergers, etc. These affect the organi</w:t>
      </w:r>
      <w:r w:rsidR="00AC13D6" w:rsidRPr="00DB0F65">
        <w:t>s</w:t>
      </w:r>
      <w:r w:rsidR="00850D5E" w:rsidRPr="00DB0F65">
        <w:t>ation of resources and policies</w:t>
      </w:r>
      <w:r w:rsidR="00AC13D6" w:rsidRPr="00DB0F65">
        <w:t xml:space="preserve">, therefore, </w:t>
      </w:r>
      <w:r w:rsidR="00850D5E" w:rsidRPr="00DB0F65">
        <w:t>procedures accompany</w:t>
      </w:r>
      <w:r w:rsidR="00405CD1" w:rsidRPr="00DB0F65">
        <w:t xml:space="preserve">ing </w:t>
      </w:r>
      <w:r w:rsidR="00850D5E" w:rsidRPr="00DB0F65">
        <w:t>the transition phase</w:t>
      </w:r>
      <w:r w:rsidR="00AC13D6" w:rsidRPr="00DB0F65">
        <w:t xml:space="preserve"> </w:t>
      </w:r>
      <w:r w:rsidR="00405CD1" w:rsidRPr="00DB0F65">
        <w:t>are needed.</w:t>
      </w:r>
    </w:p>
    <w:p w14:paraId="5E75185E" w14:textId="77777777" w:rsidR="00B05817" w:rsidRPr="002061D3" w:rsidRDefault="003E7560" w:rsidP="00B05817">
      <w:pPr>
        <w:pStyle w:val="CETheadingx"/>
      </w:pPr>
      <w:r w:rsidRPr="002061D3">
        <w:t>Evaluation</w:t>
      </w:r>
      <w:r w:rsidR="00B05817" w:rsidRPr="002061D3">
        <w:t xml:space="preserve"> criteria</w:t>
      </w:r>
    </w:p>
    <w:p w14:paraId="4D34A763" w14:textId="65E66725" w:rsidR="00727326" w:rsidRPr="00DB0F65" w:rsidRDefault="00301D2A" w:rsidP="00523162">
      <w:pPr>
        <w:pStyle w:val="CETBodytext"/>
      </w:pPr>
      <w:r w:rsidRPr="002061D3">
        <w:t>To</w:t>
      </w:r>
      <w:r w:rsidR="003E7560" w:rsidRPr="002061D3">
        <w:t xml:space="preserve"> understand</w:t>
      </w:r>
      <w:r w:rsidR="00814A97" w:rsidRPr="002061D3">
        <w:t xml:space="preserve"> the importance of the different threats</w:t>
      </w:r>
      <w:r w:rsidR="00DA7D8E" w:rsidRPr="002061D3">
        <w:t>,</w:t>
      </w:r>
      <w:r w:rsidR="00286925" w:rsidRPr="002061D3">
        <w:t xml:space="preserve"> </w:t>
      </w:r>
      <w:r w:rsidR="008D64AE" w:rsidRPr="002061D3">
        <w:t xml:space="preserve">immediate and delayed </w:t>
      </w:r>
      <w:r w:rsidR="00286925" w:rsidRPr="002061D3">
        <w:t>effects must be</w:t>
      </w:r>
      <w:r w:rsidR="0017767B" w:rsidRPr="002061D3">
        <w:t xml:space="preserve"> </w:t>
      </w:r>
      <w:r w:rsidR="002061D3">
        <w:t>discussed</w:t>
      </w:r>
      <w:r w:rsidR="0017767B" w:rsidRPr="002061D3">
        <w:t xml:space="preserve">. </w:t>
      </w:r>
      <w:r w:rsidR="002061D3">
        <w:t xml:space="preserve">Three </w:t>
      </w:r>
      <w:r w:rsidR="003E7560" w:rsidRPr="002061D3">
        <w:t xml:space="preserve">qualitative prioritization </w:t>
      </w:r>
      <w:r w:rsidR="002061D3" w:rsidRPr="002061D3">
        <w:t>criteria</w:t>
      </w:r>
      <w:r w:rsidR="003E7560" w:rsidRPr="002061D3">
        <w:t xml:space="preserve">, </w:t>
      </w:r>
      <w:r w:rsidR="00185C60" w:rsidRPr="002061D3">
        <w:t xml:space="preserve">freely </w:t>
      </w:r>
      <w:r w:rsidR="003E7560" w:rsidRPr="002061D3">
        <w:t>derived on Yodo &amp; al. (2016)</w:t>
      </w:r>
      <w:r w:rsidR="002061D3">
        <w:t>,</w:t>
      </w:r>
      <w:r w:rsidR="003E7560" w:rsidRPr="002061D3">
        <w:t xml:space="preserve"> ha</w:t>
      </w:r>
      <w:r w:rsidR="002061D3">
        <w:t>ve</w:t>
      </w:r>
      <w:r w:rsidR="003E7560" w:rsidRPr="002061D3">
        <w:t xml:space="preserve"> been used</w:t>
      </w:r>
      <w:r w:rsidR="003E7560">
        <w:t xml:space="preserve">. </w:t>
      </w:r>
      <w:r w:rsidR="0017767B" w:rsidRPr="00DB0F65">
        <w:t xml:space="preserve">The vulnerability of the system </w:t>
      </w:r>
      <w:r w:rsidR="008D64AE" w:rsidRPr="00DB0F65">
        <w:t>to the</w:t>
      </w:r>
      <w:r w:rsidR="0017767B" w:rsidRPr="00DB0F65">
        <w:t xml:space="preserve"> threat</w:t>
      </w:r>
      <w:r w:rsidR="00523162" w:rsidRPr="00DB0F65">
        <w:t>s is the first criterion</w:t>
      </w:r>
      <w:r w:rsidR="0017767B" w:rsidRPr="00DB0F65">
        <w:t xml:space="preserve"> to</w:t>
      </w:r>
      <w:r w:rsidR="00185C60">
        <w:t xml:space="preserve"> estimate</w:t>
      </w:r>
      <w:r w:rsidR="0017767B" w:rsidRPr="00DB0F65">
        <w:t xml:space="preserve"> them</w:t>
      </w:r>
      <w:r w:rsidR="008D64AE" w:rsidRPr="00DB0F65">
        <w:t>. T</w:t>
      </w:r>
      <w:r w:rsidR="0017767B" w:rsidRPr="00DB0F65">
        <w:t xml:space="preserve">he predictability </w:t>
      </w:r>
      <w:r w:rsidR="008D64AE" w:rsidRPr="00DB0F65">
        <w:t xml:space="preserve">of threats </w:t>
      </w:r>
      <w:r w:rsidR="0017767B" w:rsidRPr="00DB0F65">
        <w:t xml:space="preserve">has </w:t>
      </w:r>
      <w:r w:rsidR="008D64AE" w:rsidRPr="00DB0F65">
        <w:t xml:space="preserve">also </w:t>
      </w:r>
      <w:r w:rsidR="0017767B" w:rsidRPr="00DB0F65">
        <w:t>to be considered</w:t>
      </w:r>
      <w:r w:rsidR="008D64AE" w:rsidRPr="00DB0F65">
        <w:t xml:space="preserve"> because</w:t>
      </w:r>
      <w:r w:rsidRPr="00DB0F65">
        <w:t>,</w:t>
      </w:r>
      <w:r w:rsidR="0017767B" w:rsidRPr="00DB0F65">
        <w:t xml:space="preserve"> </w:t>
      </w:r>
      <w:r w:rsidR="008D64AE" w:rsidRPr="00DB0F65">
        <w:t>i</w:t>
      </w:r>
      <w:r w:rsidR="0017767B" w:rsidRPr="00DB0F65">
        <w:t xml:space="preserve">f the operators have the capability of foresight </w:t>
      </w:r>
      <w:r w:rsidR="008D64AE" w:rsidRPr="00DB0F65">
        <w:t>them</w:t>
      </w:r>
      <w:r w:rsidR="0017767B" w:rsidRPr="00DB0F65">
        <w:t xml:space="preserve">, </w:t>
      </w:r>
      <w:r w:rsidR="002061D3">
        <w:t>t</w:t>
      </w:r>
      <w:r w:rsidR="00185C60">
        <w:t>he</w:t>
      </w:r>
      <w:r w:rsidR="002061D3">
        <w:t>y</w:t>
      </w:r>
      <w:r w:rsidR="00992F04" w:rsidRPr="00DB0F65">
        <w:t xml:space="preserve"> </w:t>
      </w:r>
      <w:r w:rsidR="00523162" w:rsidRPr="00DB0F65">
        <w:t>may</w:t>
      </w:r>
      <w:r w:rsidR="008D64AE" w:rsidRPr="00DB0F65">
        <w:t xml:space="preserve"> also</w:t>
      </w:r>
      <w:r w:rsidR="00523162" w:rsidRPr="00DB0F65">
        <w:t xml:space="preserve"> </w:t>
      </w:r>
      <w:r w:rsidR="002061D3" w:rsidRPr="00DB0F65">
        <w:t xml:space="preserve">in some way </w:t>
      </w:r>
      <w:r w:rsidR="0017767B" w:rsidRPr="00DB0F65">
        <w:t>control</w:t>
      </w:r>
      <w:r w:rsidR="002061D3" w:rsidRPr="002061D3">
        <w:t xml:space="preserve"> </w:t>
      </w:r>
      <w:r w:rsidR="002061D3" w:rsidRPr="00DB0F65">
        <w:t>the</w:t>
      </w:r>
      <w:r w:rsidR="002061D3">
        <w:t>se</w:t>
      </w:r>
      <w:r w:rsidR="00523162" w:rsidRPr="00DB0F65">
        <w:t>. The third criterion is the recoverability</w:t>
      </w:r>
      <w:r w:rsidR="00DD70C7" w:rsidRPr="00DB0F65">
        <w:t>, which relates to</w:t>
      </w:r>
      <w:r w:rsidR="00523162" w:rsidRPr="00DB0F65">
        <w:t xml:space="preserve"> countermeasures to reduce the effects and to recover </w:t>
      </w:r>
      <w:r w:rsidRPr="00DB0F65">
        <w:t xml:space="preserve">the system </w:t>
      </w:r>
      <w:r w:rsidR="00DD70C7" w:rsidRPr="00DB0F65">
        <w:t xml:space="preserve">from damage </w:t>
      </w:r>
      <w:r w:rsidR="00523162" w:rsidRPr="00DB0F65">
        <w:t>at an early stage</w:t>
      </w:r>
      <w:r w:rsidR="00727326" w:rsidRPr="00DB0F65">
        <w:t xml:space="preserve">. </w:t>
      </w:r>
      <w:r w:rsidRPr="00DB0F65">
        <w:t>E</w:t>
      </w:r>
      <w:r w:rsidR="00B05817" w:rsidRPr="00DB0F65">
        <w:t xml:space="preserve">ach threat </w:t>
      </w:r>
      <w:r w:rsidRPr="00DB0F65">
        <w:t>is</w:t>
      </w:r>
      <w:r w:rsidR="00B05817" w:rsidRPr="00DB0F65">
        <w:t xml:space="preserve"> </w:t>
      </w:r>
      <w:r w:rsidR="003E7560">
        <w:t>evaluated</w:t>
      </w:r>
      <w:r w:rsidR="0086774C" w:rsidRPr="00DB0F65">
        <w:t xml:space="preserve"> </w:t>
      </w:r>
      <w:r w:rsidRPr="00DB0F65">
        <w:t xml:space="preserve">by </w:t>
      </w:r>
      <w:r w:rsidR="002602D7">
        <w:t>means of a score</w:t>
      </w:r>
      <w:r w:rsidR="00DB0F65">
        <w:t xml:space="preserve"> with </w:t>
      </w:r>
      <w:r w:rsidR="00435960" w:rsidRPr="00DB0F65">
        <w:t>three digits</w:t>
      </w:r>
      <w:r w:rsidR="00DB0F65">
        <w:t xml:space="preserve"> ranging </w:t>
      </w:r>
      <w:r w:rsidR="0086774C" w:rsidRPr="00DB0F65">
        <w:t xml:space="preserve">from A to D, with </w:t>
      </w:r>
      <w:r w:rsidR="00435960" w:rsidRPr="00DB0F65">
        <w:t xml:space="preserve">A </w:t>
      </w:r>
      <w:r w:rsidR="0086774C" w:rsidRPr="00DB0F65">
        <w:t>as</w:t>
      </w:r>
      <w:r w:rsidR="00435960" w:rsidRPr="00DB0F65">
        <w:t xml:space="preserve"> the worst case </w:t>
      </w:r>
      <w:r w:rsidR="0086774C" w:rsidRPr="00DB0F65">
        <w:t xml:space="preserve">and </w:t>
      </w:r>
      <w:r w:rsidR="00435960" w:rsidRPr="00DB0F65">
        <w:t xml:space="preserve">D </w:t>
      </w:r>
      <w:r w:rsidR="0086774C" w:rsidRPr="00DB0F65">
        <w:t xml:space="preserve">as </w:t>
      </w:r>
      <w:r w:rsidR="00435960" w:rsidRPr="00DB0F65">
        <w:t xml:space="preserve">the best </w:t>
      </w:r>
      <w:r w:rsidR="0086774C" w:rsidRPr="00DB0F65">
        <w:t>one</w:t>
      </w:r>
      <w:r w:rsidR="00435960" w:rsidRPr="00DB0F65">
        <w:t>.</w:t>
      </w:r>
    </w:p>
    <w:p w14:paraId="7806679D" w14:textId="77777777" w:rsidR="005667FC" w:rsidRPr="00DB0F65" w:rsidRDefault="00565572" w:rsidP="009E5CE3">
      <w:pPr>
        <w:pStyle w:val="CETheadingx"/>
        <w:rPr>
          <w:rStyle w:val="CETheadingxCarattere"/>
          <w:b/>
        </w:rPr>
      </w:pPr>
      <w:r w:rsidRPr="00DB0F65">
        <w:rPr>
          <w:rStyle w:val="CETheadingxCarattere"/>
          <w:b/>
        </w:rPr>
        <w:t>Management of major t</w:t>
      </w:r>
      <w:r w:rsidR="006E379B" w:rsidRPr="00DB0F65">
        <w:rPr>
          <w:rStyle w:val="CETheadingxCarattere"/>
          <w:b/>
        </w:rPr>
        <w:t>hreats</w:t>
      </w:r>
    </w:p>
    <w:p w14:paraId="28C1EC65" w14:textId="530FD7C6" w:rsidR="00F224B7" w:rsidRPr="00DB0F65" w:rsidRDefault="00440C91" w:rsidP="00440C91">
      <w:pPr>
        <w:pStyle w:val="CETBodytext"/>
      </w:pPr>
      <w:r w:rsidRPr="00DB0F65">
        <w:t>For each threat</w:t>
      </w:r>
      <w:r w:rsidR="00761FEE" w:rsidRPr="00DB0F65">
        <w:t>,</w:t>
      </w:r>
      <w:r w:rsidRPr="00DB0F65">
        <w:t xml:space="preserve"> the operators </w:t>
      </w:r>
      <w:r w:rsidR="005B393F" w:rsidRPr="00DB0F65">
        <w:t>can</w:t>
      </w:r>
      <w:r w:rsidRPr="00DB0F65">
        <w:t xml:space="preserve"> improv</w:t>
      </w:r>
      <w:r w:rsidR="005B393F" w:rsidRPr="00DB0F65">
        <w:t>e</w:t>
      </w:r>
      <w:r w:rsidRPr="00DB0F65">
        <w:t xml:space="preserve"> </w:t>
      </w:r>
      <w:r w:rsidR="00E7665A" w:rsidRPr="00DB0F65">
        <w:t>risk</w:t>
      </w:r>
      <w:r w:rsidRPr="00DB0F65">
        <w:t xml:space="preserve"> a</w:t>
      </w:r>
      <w:r w:rsidR="00E7665A" w:rsidRPr="00DB0F65">
        <w:t>nalysis</w:t>
      </w:r>
      <w:r w:rsidRPr="00DB0F65">
        <w:t xml:space="preserve"> and </w:t>
      </w:r>
      <w:r w:rsidR="00E7665A" w:rsidRPr="00DB0F65">
        <w:t xml:space="preserve">safety </w:t>
      </w:r>
      <w:r w:rsidRPr="00DB0F65">
        <w:t>management</w:t>
      </w:r>
      <w:r w:rsidR="00522EC0">
        <w:t>;</w:t>
      </w:r>
      <w:r w:rsidR="00E7665A" w:rsidRPr="00DB0F65">
        <w:t xml:space="preserve"> even c</w:t>
      </w:r>
      <w:r w:rsidR="00937DB9" w:rsidRPr="00DB0F65">
        <w:t xml:space="preserve">ontrol bodies and authorities </w:t>
      </w:r>
      <w:r w:rsidR="00E7665A" w:rsidRPr="00DB0F65">
        <w:t xml:space="preserve">could </w:t>
      </w:r>
      <w:r w:rsidR="00937DB9" w:rsidRPr="00DB0F65">
        <w:t xml:space="preserve">improve their </w:t>
      </w:r>
      <w:r w:rsidR="00E7665A" w:rsidRPr="00DB0F65">
        <w:t xml:space="preserve">methods for </w:t>
      </w:r>
      <w:r w:rsidR="00522EC0">
        <w:t xml:space="preserve">the </w:t>
      </w:r>
      <w:r w:rsidR="00937DB9" w:rsidRPr="00DB0F65">
        <w:t>verification and check</w:t>
      </w:r>
      <w:r w:rsidR="00E7665A" w:rsidRPr="00DB0F65">
        <w:t xml:space="preserve"> in order </w:t>
      </w:r>
      <w:r w:rsidR="00937DB9" w:rsidRPr="00DB0F65">
        <w:t xml:space="preserve">to increase the awareness </w:t>
      </w:r>
      <w:r w:rsidR="00E7665A" w:rsidRPr="00DB0F65">
        <w:t>towards the</w:t>
      </w:r>
      <w:r w:rsidR="00937DB9" w:rsidRPr="00DB0F65">
        <w:t xml:space="preserve"> threats. T</w:t>
      </w:r>
      <w:r w:rsidRPr="00DB0F65">
        <w:t xml:space="preserve">able </w:t>
      </w:r>
      <w:r w:rsidR="00C415D0" w:rsidRPr="00DB0F65">
        <w:t>1</w:t>
      </w:r>
      <w:r w:rsidRPr="00DB0F65">
        <w:t xml:space="preserve"> </w:t>
      </w:r>
      <w:r w:rsidR="00937DB9" w:rsidRPr="00DB0F65">
        <w:t xml:space="preserve">lists </w:t>
      </w:r>
      <w:r w:rsidR="00565572" w:rsidRPr="00DB0F65">
        <w:t>po</w:t>
      </w:r>
      <w:r w:rsidR="00E7665A" w:rsidRPr="00DB0F65">
        <w:t>tential</w:t>
      </w:r>
      <w:r w:rsidR="00565572" w:rsidRPr="00DB0F65">
        <w:t xml:space="preserve"> improvements in current practice</w:t>
      </w:r>
      <w:r w:rsidR="00301D2A" w:rsidRPr="00DB0F65">
        <w:t>s</w:t>
      </w:r>
      <w:r w:rsidR="00565572" w:rsidRPr="00DB0F65">
        <w:t>.</w:t>
      </w:r>
    </w:p>
    <w:p w14:paraId="3296A9FF" w14:textId="77777777" w:rsidR="00C415D0" w:rsidRPr="00DB0F65" w:rsidRDefault="00C415D0" w:rsidP="00C415D0">
      <w:pPr>
        <w:pStyle w:val="CETTabletitle"/>
      </w:pPr>
      <w:r w:rsidRPr="00DB0F65">
        <w:t>Table 1. Improvements to face major threats in Seveso Industries.</w:t>
      </w:r>
    </w:p>
    <w:tbl>
      <w:tblPr>
        <w:tblStyle w:val="Grigliatabella"/>
        <w:tblW w:w="8931" w:type="dxa"/>
        <w:tblLayout w:type="fixed"/>
        <w:tblLook w:val="04A0" w:firstRow="1" w:lastRow="0" w:firstColumn="1" w:lastColumn="0" w:noHBand="0" w:noVBand="1"/>
      </w:tblPr>
      <w:tblGrid>
        <w:gridCol w:w="1418"/>
        <w:gridCol w:w="5103"/>
        <w:gridCol w:w="2410"/>
      </w:tblGrid>
      <w:tr w:rsidR="00C415D0" w:rsidRPr="00DB0F65" w14:paraId="20BC7825" w14:textId="77777777" w:rsidTr="002B073C">
        <w:tc>
          <w:tcPr>
            <w:tcW w:w="1418" w:type="dxa"/>
            <w:tcBorders>
              <w:top w:val="single" w:sz="12" w:space="0" w:color="00B050"/>
              <w:left w:val="nil"/>
              <w:bottom w:val="single" w:sz="4" w:space="0" w:color="00B050"/>
              <w:right w:val="nil"/>
            </w:tcBorders>
          </w:tcPr>
          <w:p w14:paraId="5904642B" w14:textId="77777777" w:rsidR="00C415D0" w:rsidRPr="00DB0F65" w:rsidRDefault="00C415D0" w:rsidP="002B073C">
            <w:pPr>
              <w:pStyle w:val="CETBodytext"/>
              <w:rPr>
                <w:lang w:val="en-GB"/>
              </w:rPr>
            </w:pPr>
            <w:r w:rsidRPr="00DB0F65">
              <w:rPr>
                <w:lang w:val="en-GB"/>
              </w:rPr>
              <w:t>Threat</w:t>
            </w:r>
          </w:p>
        </w:tc>
        <w:tc>
          <w:tcPr>
            <w:tcW w:w="5103" w:type="dxa"/>
            <w:tcBorders>
              <w:top w:val="single" w:sz="12" w:space="0" w:color="00B050"/>
              <w:left w:val="nil"/>
              <w:bottom w:val="single" w:sz="4" w:space="0" w:color="00B050"/>
              <w:right w:val="nil"/>
            </w:tcBorders>
          </w:tcPr>
          <w:p w14:paraId="188398DF" w14:textId="77777777" w:rsidR="00C415D0" w:rsidRPr="00DB0F65" w:rsidRDefault="00C415D0" w:rsidP="002B073C">
            <w:pPr>
              <w:pStyle w:val="CETBodytext"/>
              <w:rPr>
                <w:lang w:val="en-GB"/>
              </w:rPr>
            </w:pPr>
            <w:r w:rsidRPr="00DB0F65">
              <w:rPr>
                <w:lang w:val="en-GB"/>
              </w:rPr>
              <w:t>Improvements by Plant Operators</w:t>
            </w:r>
          </w:p>
        </w:tc>
        <w:tc>
          <w:tcPr>
            <w:tcW w:w="2410" w:type="dxa"/>
            <w:tcBorders>
              <w:top w:val="single" w:sz="12" w:space="0" w:color="00B050"/>
              <w:left w:val="nil"/>
              <w:bottom w:val="single" w:sz="4" w:space="0" w:color="00B050"/>
              <w:right w:val="nil"/>
            </w:tcBorders>
          </w:tcPr>
          <w:p w14:paraId="0B8C4EEC" w14:textId="77777777" w:rsidR="00C415D0" w:rsidRPr="00DB0F65" w:rsidRDefault="00C415D0" w:rsidP="002B073C">
            <w:pPr>
              <w:pStyle w:val="CETBodytext"/>
              <w:jc w:val="left"/>
              <w:rPr>
                <w:lang w:val="en-GB"/>
              </w:rPr>
            </w:pPr>
            <w:r w:rsidRPr="00DB0F65">
              <w:rPr>
                <w:lang w:val="en-GB"/>
              </w:rPr>
              <w:t>Improvement by Control Bodies</w:t>
            </w:r>
          </w:p>
        </w:tc>
      </w:tr>
      <w:tr w:rsidR="00C415D0" w:rsidRPr="00DB0F65" w14:paraId="3CD4A4BE" w14:textId="77777777" w:rsidTr="002B073C">
        <w:tc>
          <w:tcPr>
            <w:tcW w:w="1418" w:type="dxa"/>
            <w:tcBorders>
              <w:top w:val="single" w:sz="4" w:space="0" w:color="00B050"/>
              <w:left w:val="nil"/>
              <w:bottom w:val="nil"/>
              <w:right w:val="nil"/>
            </w:tcBorders>
          </w:tcPr>
          <w:p w14:paraId="7959F70F" w14:textId="77777777" w:rsidR="00C415D0" w:rsidRPr="00522EC0" w:rsidRDefault="00C415D0" w:rsidP="002B073C">
            <w:pPr>
              <w:pStyle w:val="CETBodytext"/>
              <w:jc w:val="left"/>
              <w:rPr>
                <w:i/>
                <w:lang w:val="en-GB"/>
              </w:rPr>
            </w:pPr>
            <w:r w:rsidRPr="00522EC0">
              <w:rPr>
                <w:i/>
                <w:lang w:val="en-GB"/>
              </w:rPr>
              <w:t>1-Ageing</w:t>
            </w:r>
          </w:p>
        </w:tc>
        <w:tc>
          <w:tcPr>
            <w:tcW w:w="5103" w:type="dxa"/>
            <w:tcBorders>
              <w:top w:val="single" w:sz="4" w:space="0" w:color="00B050"/>
              <w:left w:val="nil"/>
              <w:bottom w:val="nil"/>
              <w:right w:val="nil"/>
            </w:tcBorders>
            <w:vAlign w:val="center"/>
          </w:tcPr>
          <w:p w14:paraId="0B67EF91" w14:textId="77777777" w:rsidR="00C415D0" w:rsidRPr="00DB0F65" w:rsidRDefault="00C415D0" w:rsidP="002B073C">
            <w:pPr>
              <w:pStyle w:val="CETBodytext"/>
              <w:ind w:left="36" w:right="-111"/>
              <w:jc w:val="left"/>
              <w:rPr>
                <w:sz w:val="6"/>
                <w:szCs w:val="6"/>
              </w:rPr>
            </w:pPr>
            <w:r w:rsidRPr="00DB0F65">
              <w:t xml:space="preserve">Fault Tree Analysis: Dynamic update of failure rates based on real data and human error. RBI analysis: Recalculation of the failure probability with corrective factors. </w:t>
            </w:r>
          </w:p>
          <w:p w14:paraId="2D5E3D8E" w14:textId="77777777" w:rsidR="00C415D0" w:rsidRPr="00DB0F65" w:rsidRDefault="00C415D0" w:rsidP="002B073C">
            <w:pPr>
              <w:pStyle w:val="CETBodytext"/>
              <w:ind w:left="36" w:right="-111"/>
              <w:jc w:val="left"/>
              <w:rPr>
                <w:sz w:val="6"/>
                <w:szCs w:val="6"/>
              </w:rPr>
            </w:pPr>
          </w:p>
        </w:tc>
        <w:tc>
          <w:tcPr>
            <w:tcW w:w="2410" w:type="dxa"/>
            <w:tcBorders>
              <w:top w:val="single" w:sz="4" w:space="0" w:color="00B050"/>
              <w:left w:val="nil"/>
              <w:bottom w:val="nil"/>
              <w:right w:val="nil"/>
            </w:tcBorders>
          </w:tcPr>
          <w:p w14:paraId="136C4D0D" w14:textId="77777777" w:rsidR="00C415D0" w:rsidRPr="00DB0F65" w:rsidRDefault="00C415D0" w:rsidP="002B073C">
            <w:pPr>
              <w:pStyle w:val="CETBodytext"/>
              <w:ind w:right="-111"/>
              <w:jc w:val="left"/>
            </w:pPr>
            <w:r w:rsidRPr="00DB0F65">
              <w:t>Index Methods for quick assessment (e.g. Fishbone Method)</w:t>
            </w:r>
          </w:p>
        </w:tc>
      </w:tr>
      <w:tr w:rsidR="00C415D0" w:rsidRPr="00DB0F65" w14:paraId="6856224B" w14:textId="77777777" w:rsidTr="002B073C">
        <w:tc>
          <w:tcPr>
            <w:tcW w:w="1418" w:type="dxa"/>
            <w:tcBorders>
              <w:top w:val="nil"/>
              <w:left w:val="nil"/>
              <w:bottom w:val="nil"/>
              <w:right w:val="nil"/>
            </w:tcBorders>
          </w:tcPr>
          <w:p w14:paraId="44C0EFA1" w14:textId="77777777" w:rsidR="00C415D0" w:rsidRPr="00522EC0" w:rsidRDefault="00C415D0" w:rsidP="002B073C">
            <w:pPr>
              <w:pStyle w:val="CETBodytext"/>
              <w:jc w:val="left"/>
              <w:rPr>
                <w:i/>
                <w:lang w:val="en-GB"/>
              </w:rPr>
            </w:pPr>
            <w:r w:rsidRPr="00522EC0">
              <w:rPr>
                <w:i/>
                <w:lang w:val="en-GB"/>
              </w:rPr>
              <w:t>2-Technical Obsolescence</w:t>
            </w:r>
          </w:p>
        </w:tc>
        <w:tc>
          <w:tcPr>
            <w:tcW w:w="5103" w:type="dxa"/>
            <w:tcBorders>
              <w:top w:val="nil"/>
              <w:left w:val="nil"/>
              <w:bottom w:val="nil"/>
              <w:right w:val="nil"/>
            </w:tcBorders>
            <w:vAlign w:val="center"/>
          </w:tcPr>
          <w:p w14:paraId="38B5CED4" w14:textId="77777777" w:rsidR="00C415D0" w:rsidRPr="00DB0F65" w:rsidRDefault="00C415D0" w:rsidP="002B073C">
            <w:pPr>
              <w:pStyle w:val="CETBodytext"/>
              <w:tabs>
                <w:tab w:val="clear" w:pos="7100"/>
              </w:tabs>
              <w:ind w:right="-111"/>
              <w:jc w:val="left"/>
              <w:rPr>
                <w:sz w:val="6"/>
                <w:szCs w:val="6"/>
              </w:rPr>
            </w:pPr>
            <w:r w:rsidRPr="00DB0F65">
              <w:t>HAZID: Identification of dependencies of failure probability on programmable instrumentation interfaced with other systems.</w:t>
            </w:r>
          </w:p>
          <w:p w14:paraId="31CC5E9A" w14:textId="77777777" w:rsidR="00C415D0" w:rsidRPr="00DB0F65" w:rsidRDefault="00C415D0" w:rsidP="002B073C">
            <w:pPr>
              <w:pStyle w:val="CETBodytext"/>
              <w:tabs>
                <w:tab w:val="clear" w:pos="7100"/>
              </w:tabs>
              <w:ind w:right="-111"/>
              <w:jc w:val="left"/>
              <w:rPr>
                <w:sz w:val="6"/>
                <w:szCs w:val="6"/>
              </w:rPr>
            </w:pPr>
          </w:p>
        </w:tc>
        <w:tc>
          <w:tcPr>
            <w:tcW w:w="2410" w:type="dxa"/>
            <w:tcBorders>
              <w:top w:val="nil"/>
              <w:left w:val="nil"/>
              <w:bottom w:val="nil"/>
              <w:right w:val="nil"/>
            </w:tcBorders>
          </w:tcPr>
          <w:p w14:paraId="08560DA5" w14:textId="77777777" w:rsidR="00C415D0" w:rsidRPr="00DB0F65" w:rsidRDefault="00C415D0" w:rsidP="002B073C">
            <w:pPr>
              <w:pStyle w:val="CETBodytext"/>
              <w:tabs>
                <w:tab w:val="clear" w:pos="7100"/>
              </w:tabs>
              <w:ind w:right="-111"/>
              <w:jc w:val="left"/>
            </w:pPr>
            <w:r w:rsidRPr="00DB0F65">
              <w:t>Instruments Verifications</w:t>
            </w:r>
          </w:p>
        </w:tc>
      </w:tr>
      <w:tr w:rsidR="00C415D0" w:rsidRPr="00DB0F65" w14:paraId="73189A14" w14:textId="77777777" w:rsidTr="002B073C">
        <w:tc>
          <w:tcPr>
            <w:tcW w:w="1418" w:type="dxa"/>
            <w:tcBorders>
              <w:top w:val="nil"/>
              <w:left w:val="nil"/>
              <w:bottom w:val="nil"/>
              <w:right w:val="nil"/>
            </w:tcBorders>
          </w:tcPr>
          <w:p w14:paraId="4B6E8FA8" w14:textId="77777777" w:rsidR="00C415D0" w:rsidRPr="00522EC0" w:rsidRDefault="00C415D0" w:rsidP="00E738F6">
            <w:pPr>
              <w:pStyle w:val="CETBodytext"/>
              <w:jc w:val="left"/>
              <w:rPr>
                <w:i/>
                <w:lang w:val="en-GB"/>
              </w:rPr>
            </w:pPr>
            <w:r w:rsidRPr="00522EC0">
              <w:rPr>
                <w:i/>
                <w:lang w:val="en-GB"/>
              </w:rPr>
              <w:t xml:space="preserve">3-Regulatory </w:t>
            </w:r>
            <w:r w:rsidR="00E738F6" w:rsidRPr="00522EC0">
              <w:rPr>
                <w:i/>
                <w:lang w:val="en-GB"/>
              </w:rPr>
              <w:t>Changes</w:t>
            </w:r>
          </w:p>
        </w:tc>
        <w:tc>
          <w:tcPr>
            <w:tcW w:w="5103" w:type="dxa"/>
            <w:tcBorders>
              <w:top w:val="nil"/>
              <w:left w:val="nil"/>
              <w:bottom w:val="nil"/>
              <w:right w:val="nil"/>
            </w:tcBorders>
            <w:vAlign w:val="center"/>
          </w:tcPr>
          <w:p w14:paraId="6B89F5E6" w14:textId="77777777" w:rsidR="00C415D0" w:rsidRPr="00DB0F65" w:rsidRDefault="00C415D0" w:rsidP="002B073C">
            <w:pPr>
              <w:pStyle w:val="CETBodytext"/>
              <w:tabs>
                <w:tab w:val="clear" w:pos="7100"/>
              </w:tabs>
              <w:ind w:left="36" w:right="-111"/>
              <w:jc w:val="left"/>
              <w:rPr>
                <w:sz w:val="6"/>
                <w:szCs w:val="6"/>
              </w:rPr>
            </w:pPr>
            <w:r w:rsidRPr="00DB0F65">
              <w:t>HAZID: Identification of technical systems subject to regulations that may change over the time</w:t>
            </w:r>
          </w:p>
          <w:p w14:paraId="26AB588A" w14:textId="77777777" w:rsidR="00C415D0" w:rsidRPr="00DB0F65" w:rsidRDefault="00C415D0" w:rsidP="002B073C">
            <w:pPr>
              <w:pStyle w:val="CETBodytext"/>
              <w:tabs>
                <w:tab w:val="clear" w:pos="7100"/>
              </w:tabs>
              <w:ind w:left="36" w:right="-111"/>
              <w:jc w:val="left"/>
              <w:rPr>
                <w:sz w:val="6"/>
                <w:szCs w:val="6"/>
              </w:rPr>
            </w:pPr>
          </w:p>
        </w:tc>
        <w:tc>
          <w:tcPr>
            <w:tcW w:w="2410" w:type="dxa"/>
            <w:tcBorders>
              <w:top w:val="nil"/>
              <w:left w:val="nil"/>
              <w:bottom w:val="nil"/>
              <w:right w:val="nil"/>
            </w:tcBorders>
          </w:tcPr>
          <w:p w14:paraId="167073D6" w14:textId="77777777" w:rsidR="00C415D0" w:rsidRPr="00DB0F65" w:rsidRDefault="00C415D0" w:rsidP="002B073C">
            <w:pPr>
              <w:pStyle w:val="CETBodytext"/>
              <w:tabs>
                <w:tab w:val="clear" w:pos="7100"/>
              </w:tabs>
              <w:ind w:right="-111"/>
              <w:jc w:val="left"/>
            </w:pPr>
            <w:r w:rsidRPr="00DB0F65">
              <w:t>Regulatory Checks</w:t>
            </w:r>
          </w:p>
        </w:tc>
      </w:tr>
      <w:tr w:rsidR="00C415D0" w:rsidRPr="00DB0F65" w14:paraId="4D518EBE" w14:textId="77777777" w:rsidTr="002B073C">
        <w:tc>
          <w:tcPr>
            <w:tcW w:w="1418" w:type="dxa"/>
            <w:tcBorders>
              <w:top w:val="nil"/>
              <w:left w:val="nil"/>
              <w:bottom w:val="nil"/>
              <w:right w:val="nil"/>
            </w:tcBorders>
          </w:tcPr>
          <w:p w14:paraId="11DBDA18" w14:textId="77777777" w:rsidR="00C415D0" w:rsidRPr="00522EC0" w:rsidRDefault="00C415D0" w:rsidP="00E738F6">
            <w:pPr>
              <w:pStyle w:val="CETBodytext"/>
              <w:jc w:val="left"/>
              <w:rPr>
                <w:i/>
                <w:lang w:val="en-GB"/>
              </w:rPr>
            </w:pPr>
            <w:r w:rsidRPr="00522EC0">
              <w:rPr>
                <w:i/>
                <w:lang w:val="en-GB"/>
              </w:rPr>
              <w:t>4-Ageing</w:t>
            </w:r>
            <w:r w:rsidR="00E738F6" w:rsidRPr="00522EC0">
              <w:rPr>
                <w:i/>
                <w:lang w:val="en-GB"/>
              </w:rPr>
              <w:t xml:space="preserve"> of</w:t>
            </w:r>
            <w:r w:rsidRPr="00522EC0">
              <w:rPr>
                <w:i/>
                <w:lang w:val="en-GB"/>
              </w:rPr>
              <w:t xml:space="preserve"> organisation</w:t>
            </w:r>
          </w:p>
        </w:tc>
        <w:tc>
          <w:tcPr>
            <w:tcW w:w="5103" w:type="dxa"/>
            <w:tcBorders>
              <w:top w:val="nil"/>
              <w:left w:val="nil"/>
              <w:bottom w:val="nil"/>
              <w:right w:val="nil"/>
            </w:tcBorders>
            <w:vAlign w:val="center"/>
          </w:tcPr>
          <w:p w14:paraId="3A4A82B1" w14:textId="77777777" w:rsidR="00C415D0" w:rsidRPr="00DB0F65" w:rsidRDefault="00C415D0" w:rsidP="002B073C">
            <w:pPr>
              <w:pStyle w:val="CETBodytext"/>
              <w:ind w:left="36" w:right="-111"/>
              <w:jc w:val="left"/>
              <w:rPr>
                <w:sz w:val="6"/>
                <w:szCs w:val="6"/>
              </w:rPr>
            </w:pPr>
            <w:r w:rsidRPr="00DB0F65">
              <w:t>Fault Tree Analysis: Dynamic update human error. Consequence Analysis: Dynamic update of response times based on actions contrasting ageing and results of tests.</w:t>
            </w:r>
          </w:p>
          <w:p w14:paraId="57848E13" w14:textId="77777777" w:rsidR="00C415D0" w:rsidRPr="00DB0F65" w:rsidRDefault="00C415D0" w:rsidP="002B073C">
            <w:pPr>
              <w:pStyle w:val="CETBodytext"/>
              <w:ind w:left="36" w:right="-111"/>
              <w:jc w:val="left"/>
              <w:rPr>
                <w:sz w:val="6"/>
                <w:szCs w:val="6"/>
              </w:rPr>
            </w:pPr>
          </w:p>
        </w:tc>
        <w:tc>
          <w:tcPr>
            <w:tcW w:w="2410" w:type="dxa"/>
            <w:tcBorders>
              <w:top w:val="nil"/>
              <w:left w:val="nil"/>
              <w:bottom w:val="nil"/>
              <w:right w:val="nil"/>
            </w:tcBorders>
          </w:tcPr>
          <w:p w14:paraId="134B5D93" w14:textId="77777777" w:rsidR="00C415D0" w:rsidRPr="00DB0F65" w:rsidRDefault="00C415D0" w:rsidP="002B073C">
            <w:pPr>
              <w:pStyle w:val="CETBodytext"/>
              <w:ind w:right="-111"/>
              <w:jc w:val="left"/>
            </w:pPr>
            <w:r w:rsidRPr="00DB0F65">
              <w:t>Workers’ Interviews. Emergency exercise</w:t>
            </w:r>
          </w:p>
        </w:tc>
      </w:tr>
      <w:tr w:rsidR="00C415D0" w:rsidRPr="00DB0F65" w14:paraId="14890D9D" w14:textId="77777777" w:rsidTr="002B073C">
        <w:tc>
          <w:tcPr>
            <w:tcW w:w="1418" w:type="dxa"/>
            <w:tcBorders>
              <w:top w:val="nil"/>
              <w:left w:val="nil"/>
              <w:bottom w:val="nil"/>
              <w:right w:val="nil"/>
            </w:tcBorders>
          </w:tcPr>
          <w:p w14:paraId="4CDDEDA8" w14:textId="77777777" w:rsidR="00C415D0" w:rsidRPr="00DB0F65" w:rsidRDefault="00C415D0" w:rsidP="002B073C">
            <w:pPr>
              <w:pStyle w:val="CETBodytext"/>
              <w:jc w:val="left"/>
              <w:rPr>
                <w:i/>
                <w:lang w:val="en-GB"/>
              </w:rPr>
            </w:pPr>
            <w:r w:rsidRPr="00DB0F65">
              <w:rPr>
                <w:i/>
                <w:lang w:val="en-GB"/>
              </w:rPr>
              <w:t>5-Market</w:t>
            </w:r>
          </w:p>
        </w:tc>
        <w:tc>
          <w:tcPr>
            <w:tcW w:w="5103" w:type="dxa"/>
            <w:tcBorders>
              <w:top w:val="nil"/>
              <w:left w:val="nil"/>
              <w:bottom w:val="nil"/>
              <w:right w:val="nil"/>
            </w:tcBorders>
            <w:vAlign w:val="center"/>
          </w:tcPr>
          <w:p w14:paraId="78F32FAD" w14:textId="77777777" w:rsidR="00C415D0" w:rsidRPr="00DB0F65" w:rsidRDefault="00C415D0" w:rsidP="002B073C">
            <w:pPr>
              <w:pStyle w:val="CETBodytext"/>
              <w:ind w:left="36" w:right="-111"/>
              <w:jc w:val="left"/>
              <w:rPr>
                <w:sz w:val="6"/>
                <w:szCs w:val="6"/>
              </w:rPr>
            </w:pPr>
            <w:r w:rsidRPr="00DB0F65">
              <w:t>HAZID: Identification of hazards for each new product or material due to market changes. Resilience assessment: Use of advanced methods (e.g. system dynamic simulations)</w:t>
            </w:r>
          </w:p>
          <w:p w14:paraId="24790466" w14:textId="77777777" w:rsidR="00C415D0" w:rsidRPr="00DB0F65" w:rsidRDefault="00C415D0" w:rsidP="002B073C">
            <w:pPr>
              <w:pStyle w:val="CETBodytext"/>
              <w:ind w:left="36" w:right="-111"/>
              <w:jc w:val="left"/>
              <w:rPr>
                <w:sz w:val="6"/>
                <w:szCs w:val="6"/>
              </w:rPr>
            </w:pPr>
          </w:p>
        </w:tc>
        <w:tc>
          <w:tcPr>
            <w:tcW w:w="2410" w:type="dxa"/>
            <w:tcBorders>
              <w:top w:val="nil"/>
              <w:left w:val="nil"/>
              <w:bottom w:val="nil"/>
              <w:right w:val="nil"/>
            </w:tcBorders>
          </w:tcPr>
          <w:p w14:paraId="51AA7CF8" w14:textId="77777777" w:rsidR="00C415D0" w:rsidRPr="00DB0F65" w:rsidRDefault="00C415D0" w:rsidP="002B073C">
            <w:pPr>
              <w:pStyle w:val="CETBodytext"/>
              <w:ind w:right="-111"/>
              <w:jc w:val="left"/>
            </w:pPr>
            <w:r w:rsidRPr="00DB0F65">
              <w:t>Stress Simulation</w:t>
            </w:r>
          </w:p>
        </w:tc>
      </w:tr>
      <w:tr w:rsidR="00C415D0" w:rsidRPr="00DB0F65" w14:paraId="47031F2B" w14:textId="77777777" w:rsidTr="002B073C">
        <w:tc>
          <w:tcPr>
            <w:tcW w:w="1418" w:type="dxa"/>
            <w:tcBorders>
              <w:top w:val="nil"/>
              <w:left w:val="nil"/>
              <w:bottom w:val="nil"/>
              <w:right w:val="nil"/>
            </w:tcBorders>
          </w:tcPr>
          <w:p w14:paraId="68DBF981" w14:textId="77777777" w:rsidR="00C415D0" w:rsidRPr="00DB0F65" w:rsidRDefault="00C415D0" w:rsidP="002B073C">
            <w:pPr>
              <w:pStyle w:val="CETBodytext"/>
              <w:jc w:val="left"/>
              <w:rPr>
                <w:i/>
                <w:lang w:val="en-GB"/>
              </w:rPr>
            </w:pPr>
            <w:r w:rsidRPr="00DB0F65">
              <w:rPr>
                <w:i/>
                <w:lang w:val="en-GB"/>
              </w:rPr>
              <w:t xml:space="preserve">6-Community </w:t>
            </w:r>
          </w:p>
        </w:tc>
        <w:tc>
          <w:tcPr>
            <w:tcW w:w="5103" w:type="dxa"/>
            <w:tcBorders>
              <w:top w:val="nil"/>
              <w:left w:val="nil"/>
              <w:bottom w:val="nil"/>
              <w:right w:val="nil"/>
            </w:tcBorders>
            <w:vAlign w:val="center"/>
          </w:tcPr>
          <w:p w14:paraId="59FFAFEA" w14:textId="77777777" w:rsidR="00C415D0" w:rsidRPr="00DB0F65" w:rsidRDefault="00C415D0" w:rsidP="002B073C">
            <w:pPr>
              <w:pStyle w:val="CETBodytext"/>
              <w:ind w:left="36" w:right="-111"/>
              <w:jc w:val="left"/>
              <w:rPr>
                <w:sz w:val="6"/>
                <w:szCs w:val="6"/>
              </w:rPr>
            </w:pPr>
            <w:r w:rsidRPr="00DB0F65">
              <w:t>Consequence analysis: Dynamic update of scenarios. Update of external emergency planning and territorial plans.</w:t>
            </w:r>
          </w:p>
          <w:p w14:paraId="410C8CFC" w14:textId="77777777" w:rsidR="00C415D0" w:rsidRPr="00DB0F65" w:rsidRDefault="00C415D0" w:rsidP="002B073C">
            <w:pPr>
              <w:pStyle w:val="CETBodytext"/>
              <w:ind w:left="36" w:right="-111"/>
              <w:jc w:val="left"/>
              <w:rPr>
                <w:sz w:val="6"/>
                <w:szCs w:val="6"/>
              </w:rPr>
            </w:pPr>
          </w:p>
        </w:tc>
        <w:tc>
          <w:tcPr>
            <w:tcW w:w="2410" w:type="dxa"/>
            <w:tcBorders>
              <w:top w:val="nil"/>
              <w:left w:val="nil"/>
              <w:bottom w:val="nil"/>
              <w:right w:val="nil"/>
            </w:tcBorders>
          </w:tcPr>
          <w:p w14:paraId="19896562" w14:textId="77777777" w:rsidR="00C415D0" w:rsidRPr="00DB0F65" w:rsidRDefault="00C415D0" w:rsidP="002B073C">
            <w:pPr>
              <w:pStyle w:val="CETBodytext"/>
              <w:ind w:right="-111"/>
              <w:jc w:val="left"/>
            </w:pPr>
            <w:r w:rsidRPr="00DB0F65">
              <w:t>External Emergency exercise</w:t>
            </w:r>
          </w:p>
        </w:tc>
      </w:tr>
      <w:tr w:rsidR="00C415D0" w:rsidRPr="00DB0F65" w14:paraId="72AAE9AC" w14:textId="77777777" w:rsidTr="002B073C">
        <w:tc>
          <w:tcPr>
            <w:tcW w:w="1418" w:type="dxa"/>
            <w:tcBorders>
              <w:top w:val="nil"/>
              <w:left w:val="nil"/>
              <w:bottom w:val="nil"/>
              <w:right w:val="nil"/>
            </w:tcBorders>
          </w:tcPr>
          <w:p w14:paraId="5DCF81CC" w14:textId="77777777" w:rsidR="00C415D0" w:rsidRPr="00DB0F65" w:rsidRDefault="00C415D0" w:rsidP="002B073C">
            <w:pPr>
              <w:pStyle w:val="CETBodytext"/>
              <w:jc w:val="left"/>
              <w:rPr>
                <w:i/>
                <w:lang w:val="en-GB"/>
              </w:rPr>
            </w:pPr>
            <w:r w:rsidRPr="00DB0F65">
              <w:rPr>
                <w:i/>
                <w:lang w:val="en-GB"/>
              </w:rPr>
              <w:t>7-Environment</w:t>
            </w:r>
          </w:p>
        </w:tc>
        <w:tc>
          <w:tcPr>
            <w:tcW w:w="5103" w:type="dxa"/>
            <w:tcBorders>
              <w:top w:val="nil"/>
              <w:left w:val="nil"/>
              <w:bottom w:val="nil"/>
              <w:right w:val="nil"/>
            </w:tcBorders>
            <w:vAlign w:val="center"/>
          </w:tcPr>
          <w:p w14:paraId="7CB34C64" w14:textId="77777777" w:rsidR="00C415D0" w:rsidRPr="00DB0F65" w:rsidRDefault="00C415D0" w:rsidP="002B073C">
            <w:pPr>
              <w:pStyle w:val="CETBodytext"/>
              <w:ind w:left="36" w:right="-111"/>
              <w:jc w:val="left"/>
              <w:rPr>
                <w:sz w:val="6"/>
                <w:szCs w:val="6"/>
              </w:rPr>
            </w:pPr>
            <w:r w:rsidRPr="00DB0F65">
              <w:t>Consequence analysis: Analysis of long-term environmental effects of small releases of hazardous substances, even if without immediate consequences.</w:t>
            </w:r>
          </w:p>
          <w:p w14:paraId="05869E01" w14:textId="77777777" w:rsidR="00C415D0" w:rsidRPr="00DB0F65" w:rsidRDefault="00C415D0" w:rsidP="002B073C">
            <w:pPr>
              <w:pStyle w:val="CETBodytext"/>
              <w:ind w:left="36" w:right="-111"/>
              <w:jc w:val="left"/>
              <w:rPr>
                <w:sz w:val="6"/>
                <w:szCs w:val="6"/>
              </w:rPr>
            </w:pPr>
          </w:p>
        </w:tc>
        <w:tc>
          <w:tcPr>
            <w:tcW w:w="2410" w:type="dxa"/>
            <w:tcBorders>
              <w:top w:val="nil"/>
              <w:left w:val="nil"/>
              <w:bottom w:val="nil"/>
              <w:right w:val="nil"/>
            </w:tcBorders>
          </w:tcPr>
          <w:p w14:paraId="186841A4" w14:textId="77777777" w:rsidR="00C415D0" w:rsidRPr="00DB0F65" w:rsidRDefault="00C415D0" w:rsidP="002B073C">
            <w:pPr>
              <w:pStyle w:val="CETBodytext"/>
              <w:ind w:right="-111"/>
              <w:jc w:val="left"/>
            </w:pPr>
            <w:r w:rsidRPr="00DB0F65">
              <w:t>Shared inspections Environment &amp; Safety Authorities</w:t>
            </w:r>
          </w:p>
        </w:tc>
      </w:tr>
      <w:tr w:rsidR="00C415D0" w:rsidRPr="00DB0F65" w14:paraId="37BFA2B2" w14:textId="77777777" w:rsidTr="002B073C">
        <w:tc>
          <w:tcPr>
            <w:tcW w:w="1418" w:type="dxa"/>
            <w:tcBorders>
              <w:top w:val="nil"/>
              <w:left w:val="nil"/>
              <w:bottom w:val="single" w:sz="12" w:space="0" w:color="00B050"/>
              <w:right w:val="nil"/>
            </w:tcBorders>
          </w:tcPr>
          <w:p w14:paraId="21D3550F" w14:textId="77777777" w:rsidR="00C415D0" w:rsidRPr="00DB0F65" w:rsidRDefault="00C415D0" w:rsidP="002B073C">
            <w:pPr>
              <w:pStyle w:val="CETBodytext"/>
              <w:jc w:val="left"/>
              <w:rPr>
                <w:i/>
                <w:lang w:val="en-GB"/>
              </w:rPr>
            </w:pPr>
            <w:r w:rsidRPr="00DB0F65">
              <w:rPr>
                <w:i/>
                <w:lang w:val="en-GB"/>
              </w:rPr>
              <w:t>8-Finance</w:t>
            </w:r>
          </w:p>
        </w:tc>
        <w:tc>
          <w:tcPr>
            <w:tcW w:w="5103" w:type="dxa"/>
            <w:tcBorders>
              <w:top w:val="nil"/>
              <w:left w:val="nil"/>
              <w:bottom w:val="single" w:sz="12" w:space="0" w:color="00B050"/>
              <w:right w:val="nil"/>
            </w:tcBorders>
            <w:vAlign w:val="center"/>
          </w:tcPr>
          <w:p w14:paraId="4372F7BE" w14:textId="21D59EE6" w:rsidR="00C415D0" w:rsidRPr="00DB0F65" w:rsidRDefault="00C415D0" w:rsidP="002B073C">
            <w:pPr>
              <w:pStyle w:val="CETBodytext"/>
              <w:ind w:left="36" w:right="-111"/>
              <w:jc w:val="left"/>
              <w:rPr>
                <w:sz w:val="6"/>
                <w:szCs w:val="6"/>
              </w:rPr>
            </w:pPr>
            <w:r w:rsidRPr="00DB0F65">
              <w:t>RA: Use of available resources, analysis of effects (</w:t>
            </w:r>
            <w:r w:rsidR="00522EC0" w:rsidRPr="00DB0F65">
              <w:t>min</w:t>
            </w:r>
            <w:r w:rsidR="00522EC0">
              <w:t>imum</w:t>
            </w:r>
            <w:r w:rsidRPr="00DB0F65">
              <w:t xml:space="preserve"> and max</w:t>
            </w:r>
            <w:r w:rsidR="00522EC0">
              <w:t>imum</w:t>
            </w:r>
            <w:r w:rsidRPr="00DB0F65">
              <w:t>) of the decrease in resources. Resilience assessment: Use of advanced methods (e.g. system dynamic simulations)</w:t>
            </w:r>
          </w:p>
        </w:tc>
        <w:tc>
          <w:tcPr>
            <w:tcW w:w="2410" w:type="dxa"/>
            <w:tcBorders>
              <w:top w:val="nil"/>
              <w:left w:val="nil"/>
              <w:bottom w:val="single" w:sz="12" w:space="0" w:color="00B050"/>
              <w:right w:val="nil"/>
            </w:tcBorders>
          </w:tcPr>
          <w:p w14:paraId="2C96FEF4" w14:textId="77777777" w:rsidR="00C415D0" w:rsidRPr="00DB0F65" w:rsidRDefault="00C415D0" w:rsidP="002B073C">
            <w:pPr>
              <w:pStyle w:val="CETBodytext"/>
              <w:ind w:right="-111"/>
              <w:jc w:val="left"/>
            </w:pPr>
            <w:r w:rsidRPr="00DB0F65">
              <w:t>Stress Simulations</w:t>
            </w:r>
          </w:p>
        </w:tc>
      </w:tr>
    </w:tbl>
    <w:p w14:paraId="4DD14827" w14:textId="77777777" w:rsidR="00C415D0" w:rsidRPr="00DB0F65" w:rsidRDefault="00C415D0" w:rsidP="00B819E3">
      <w:pPr>
        <w:pStyle w:val="CETBodytext"/>
        <w:rPr>
          <w:lang w:val="en-GB"/>
        </w:rPr>
      </w:pPr>
    </w:p>
    <w:p w14:paraId="70C9D090" w14:textId="77777777" w:rsidR="007D57D6" w:rsidRPr="00522EC0" w:rsidRDefault="007D57D6" w:rsidP="007D57D6">
      <w:pPr>
        <w:pStyle w:val="CETheadingx"/>
      </w:pPr>
      <w:r w:rsidRPr="00522EC0">
        <w:t>System Dynamic</w:t>
      </w:r>
    </w:p>
    <w:p w14:paraId="095320B2" w14:textId="4BB81E41" w:rsidR="008820A1" w:rsidRPr="00DB0F65" w:rsidRDefault="008820A1" w:rsidP="008820A1">
      <w:pPr>
        <w:pStyle w:val="CETBodytext"/>
      </w:pPr>
      <w:r w:rsidRPr="00522EC0">
        <w:rPr>
          <w:lang w:val="en-GB"/>
        </w:rPr>
        <w:t>To understand</w:t>
      </w:r>
      <w:r w:rsidR="00A8440D" w:rsidRPr="00522EC0">
        <w:rPr>
          <w:lang w:val="en-GB"/>
        </w:rPr>
        <w:t xml:space="preserve"> potential</w:t>
      </w:r>
      <w:r w:rsidRPr="00522EC0">
        <w:rPr>
          <w:lang w:val="en-GB"/>
        </w:rPr>
        <w:t xml:space="preserve"> impacts (both direct and indirect) of the threats and, then, </w:t>
      </w:r>
      <w:r w:rsidR="00522EC0">
        <w:rPr>
          <w:lang w:val="en-GB"/>
        </w:rPr>
        <w:t xml:space="preserve">to </w:t>
      </w:r>
      <w:r w:rsidRPr="00522EC0">
        <w:rPr>
          <w:lang w:val="en-GB"/>
        </w:rPr>
        <w:t xml:space="preserve">analyse the system behaviour, a </w:t>
      </w:r>
      <w:r w:rsidRPr="00522EC0">
        <w:rPr>
          <w:i/>
          <w:lang w:val="en-GB"/>
        </w:rPr>
        <w:t>causal loop</w:t>
      </w:r>
      <w:r w:rsidRPr="00522EC0">
        <w:rPr>
          <w:lang w:val="en-GB"/>
        </w:rPr>
        <w:t xml:space="preserve"> can be drawn. A </w:t>
      </w:r>
      <w:r w:rsidRPr="00522EC0">
        <w:rPr>
          <w:i/>
          <w:lang w:val="en-GB"/>
        </w:rPr>
        <w:t>causal loop</w:t>
      </w:r>
      <w:r w:rsidRPr="00522EC0">
        <w:rPr>
          <w:lang w:val="en-GB"/>
        </w:rPr>
        <w:t xml:space="preserve"> is a sequence of events (actions, information, objects, people), in which an event is the causes of another event, which in turn is the cause of the first-mentioned e</w:t>
      </w:r>
      <w:r w:rsidR="0037653C" w:rsidRPr="00522EC0">
        <w:rPr>
          <w:lang w:val="en-GB"/>
        </w:rPr>
        <w:t>vent</w:t>
      </w:r>
      <w:r w:rsidRPr="00522EC0">
        <w:rPr>
          <w:lang w:val="en-GB"/>
        </w:rPr>
        <w:t>.</w:t>
      </w:r>
      <w:r w:rsidR="007D57D6" w:rsidRPr="00522EC0">
        <w:rPr>
          <w:lang w:val="en-GB"/>
        </w:rPr>
        <w:t xml:space="preserve"> This representation technique</w:t>
      </w:r>
      <w:r w:rsidR="00AF1031">
        <w:rPr>
          <w:lang w:val="en-GB"/>
        </w:rPr>
        <w:t xml:space="preserve"> (</w:t>
      </w:r>
      <w:r w:rsidR="007D57D6" w:rsidRPr="00522EC0">
        <w:rPr>
          <w:lang w:val="en-GB"/>
        </w:rPr>
        <w:t>well known in economics</w:t>
      </w:r>
      <w:r w:rsidR="00AF1031">
        <w:rPr>
          <w:lang w:val="en-GB"/>
        </w:rPr>
        <w:t>)</w:t>
      </w:r>
      <w:r w:rsidR="007D57D6" w:rsidRPr="00522EC0">
        <w:rPr>
          <w:lang w:val="en-GB"/>
        </w:rPr>
        <w:t xml:space="preserve"> may be valuable to understand emerging and increasing risks and to find the leverages to control them</w:t>
      </w:r>
      <w:r w:rsidR="00A8440D" w:rsidRPr="00522EC0">
        <w:rPr>
          <w:lang w:val="en-GB"/>
        </w:rPr>
        <w:t xml:space="preserve"> and prevent accidents.</w:t>
      </w:r>
      <w:r w:rsidR="0037653C" w:rsidRPr="00522EC0">
        <w:rPr>
          <w:lang w:val="en-GB"/>
        </w:rPr>
        <w:t xml:space="preserve"> It may give dynamism to the conventional risk assessment techniques, as discussed by Vallerotonda </w:t>
      </w:r>
      <w:r w:rsidR="00AF1031">
        <w:rPr>
          <w:lang w:val="en-GB"/>
        </w:rPr>
        <w:t>et</w:t>
      </w:r>
      <w:r w:rsidR="0037653C" w:rsidRPr="00522EC0">
        <w:rPr>
          <w:lang w:val="en-GB"/>
        </w:rPr>
        <w:t xml:space="preserve"> al. (2018).</w:t>
      </w:r>
    </w:p>
    <w:p w14:paraId="551A1438" w14:textId="77777777" w:rsidR="00301D2A" w:rsidRPr="00DB0F65" w:rsidRDefault="00301D2A" w:rsidP="00301D2A">
      <w:pPr>
        <w:pStyle w:val="CETHeading1"/>
      </w:pPr>
      <w:r w:rsidRPr="00DB0F65">
        <w:t>C</w:t>
      </w:r>
      <w:r w:rsidR="007D57D6">
        <w:t>oastal Depots: a c</w:t>
      </w:r>
      <w:r w:rsidRPr="00DB0F65">
        <w:t>ase-study</w:t>
      </w:r>
      <w:r w:rsidR="007D57D6">
        <w:t xml:space="preserve"> </w:t>
      </w:r>
    </w:p>
    <w:p w14:paraId="64869417" w14:textId="01B3E409" w:rsidR="00301D2A" w:rsidRDefault="00301D2A" w:rsidP="00301D2A">
      <w:pPr>
        <w:pStyle w:val="CETBodytext"/>
        <w:rPr>
          <w:lang w:val="en-GB"/>
        </w:rPr>
      </w:pPr>
      <w:r w:rsidRPr="00DB0F65">
        <w:rPr>
          <w:lang w:val="en-GB"/>
        </w:rPr>
        <w:t xml:space="preserve">The transport and storage of chemicals is essential for both chemical industries and others. Major chemicals’ producers supply a large number of end-users mainly by ship. At major ports, there are depots featuring liquid storage tanks of different size and type. </w:t>
      </w:r>
      <w:r w:rsidR="00385C31">
        <w:rPr>
          <w:lang w:val="en-GB"/>
        </w:rPr>
        <w:t>In Italy,</w:t>
      </w:r>
      <w:r w:rsidR="00EC0F6E" w:rsidRPr="00DB0F65">
        <w:rPr>
          <w:lang w:val="en-GB"/>
        </w:rPr>
        <w:t xml:space="preserve"> there are</w:t>
      </w:r>
      <w:r w:rsidR="00385C31">
        <w:rPr>
          <w:lang w:val="en-GB"/>
        </w:rPr>
        <w:t xml:space="preserve"> about</w:t>
      </w:r>
      <w:r w:rsidR="00EC0F6E" w:rsidRPr="00DB0F65">
        <w:rPr>
          <w:lang w:val="en-GB"/>
        </w:rPr>
        <w:t xml:space="preserve"> twenty depots of this type, with an overall capacity of 4 10</w:t>
      </w:r>
      <w:r w:rsidR="00EC0F6E" w:rsidRPr="00DB0F65">
        <w:rPr>
          <w:vertAlign w:val="superscript"/>
          <w:lang w:val="en-GB"/>
        </w:rPr>
        <w:t>5</w:t>
      </w:r>
      <w:r w:rsidR="00EC0F6E" w:rsidRPr="00DB0F65">
        <w:rPr>
          <w:lang w:val="en-GB"/>
        </w:rPr>
        <w:t xml:space="preserve"> cubic </w:t>
      </w:r>
      <w:commentRangeStart w:id="1"/>
      <w:r w:rsidR="00EC0F6E" w:rsidRPr="00DB0F65">
        <w:rPr>
          <w:lang w:val="en-GB"/>
        </w:rPr>
        <w:t>meters; not included petrol depots and depots connected to industrial plants</w:t>
      </w:r>
      <w:r w:rsidR="00A70859">
        <w:rPr>
          <w:lang w:val="en-GB"/>
        </w:rPr>
        <w:t xml:space="preserve"> </w:t>
      </w:r>
      <w:commentRangeEnd w:id="1"/>
      <w:r w:rsidR="002F3F7B">
        <w:rPr>
          <w:rStyle w:val="Rimandocommento"/>
          <w:lang w:val="en-GB"/>
        </w:rPr>
        <w:commentReference w:id="1"/>
      </w:r>
      <w:r w:rsidR="00A70859">
        <w:rPr>
          <w:lang w:val="en-GB"/>
        </w:rPr>
        <w:t>(Assocostieri</w:t>
      </w:r>
      <w:r w:rsidR="002F3F7B">
        <w:rPr>
          <w:lang w:val="en-GB"/>
        </w:rPr>
        <w:t>,</w:t>
      </w:r>
      <w:r w:rsidR="00A70859">
        <w:rPr>
          <w:lang w:val="en-GB"/>
        </w:rPr>
        <w:t xml:space="preserve"> 2014)</w:t>
      </w:r>
      <w:r w:rsidR="00EC0F6E" w:rsidRPr="00DB0F65">
        <w:rPr>
          <w:lang w:val="en-GB"/>
        </w:rPr>
        <w:t>.</w:t>
      </w:r>
      <w:r w:rsidR="00EC0F6E" w:rsidRPr="004D3CFA">
        <w:rPr>
          <w:lang w:val="en-GB"/>
        </w:rPr>
        <w:t xml:space="preserve"> </w:t>
      </w:r>
      <w:r w:rsidRPr="004D3CFA">
        <w:rPr>
          <w:lang w:val="en-GB"/>
        </w:rPr>
        <w:t xml:space="preserve">Tanks typically are vertical above ground vessel at atmospheric pressure, these may have </w:t>
      </w:r>
      <w:r w:rsidRPr="00DB0F65">
        <w:rPr>
          <w:lang w:val="en-GB"/>
        </w:rPr>
        <w:t xml:space="preserve">fixed or floating roof. Tanker ships unload materials, which can be hazardous or not. The final user is the owner of the unloaded material; whereas the depot operator, on behalf of the final user, is in charge to keep safely the tank and, when required, to deliver </w:t>
      </w:r>
      <w:r w:rsidR="00890DAD">
        <w:rPr>
          <w:lang w:val="en-GB"/>
        </w:rPr>
        <w:t xml:space="preserve">the contents </w:t>
      </w:r>
      <w:r w:rsidRPr="00DB0F65">
        <w:rPr>
          <w:lang w:val="en-GB"/>
        </w:rPr>
        <w:t>by tanker truck or tanker ferry. Contaminations and losses are in charge of the depot operator. Exchanges between plant operator (end-user) and depot operator are ruled by a framework agreement, which lasts for a number of years. The depot operator shall use different tanks for different materials. The use of a tank may be changed, provided emptying and remediation, to avoid any undesired contaminations. Empty tanks shall be kept blanketed with nitrogen and can be use</w:t>
      </w:r>
      <w:r w:rsidR="00A2618F" w:rsidRPr="00DB0F65">
        <w:rPr>
          <w:lang w:val="en-GB"/>
        </w:rPr>
        <w:t>d</w:t>
      </w:r>
      <w:r w:rsidRPr="00DB0F65">
        <w:rPr>
          <w:lang w:val="en-GB"/>
        </w:rPr>
        <w:t xml:space="preserve"> to unload ships or displace materials from other filled tanks, in the event of maintenance or emergency operations. This establishment is quite simple, as the main activity is to keep safe a number of chemicals. Losses due to the sudden rupture of containment systems (tanks and pipes) are considered unlike, because of the quality of steel used according construction codes. Losses due to overfilling are controlled by means of level gauges, connected to blocking systems. Hazardous activities are ship unloading, material displacement and truck loading (these are mentioned in order of increasing hazardousness). The most hazardous operation is the decontamination of tanks, as in most case a manual intervention may be required. During manual operations, in the case of flammable materials, having low vapour pressure, there is the hazard of formation of an explosive mixture in air, and consequently an explosion could occur</w:t>
      </w:r>
      <w:r w:rsidR="004319DF">
        <w:rPr>
          <w:lang w:val="en-GB"/>
        </w:rPr>
        <w:t xml:space="preserve"> and</w:t>
      </w:r>
      <w:r w:rsidR="004319DF" w:rsidRPr="00DB0F65">
        <w:rPr>
          <w:lang w:val="en-GB"/>
        </w:rPr>
        <w:t>, in case of toxic materials</w:t>
      </w:r>
      <w:r w:rsidRPr="00DB0F65">
        <w:rPr>
          <w:lang w:val="en-GB"/>
        </w:rPr>
        <w:t xml:space="preserve">, </w:t>
      </w:r>
      <w:r w:rsidR="004319DF">
        <w:rPr>
          <w:lang w:val="en-GB"/>
        </w:rPr>
        <w:t>a</w:t>
      </w:r>
      <w:r w:rsidRPr="00DB0F65">
        <w:rPr>
          <w:lang w:val="en-GB"/>
        </w:rPr>
        <w:t xml:space="preserve"> toxic exposure for workers</w:t>
      </w:r>
      <w:r w:rsidR="004319DF">
        <w:rPr>
          <w:lang w:val="en-GB"/>
        </w:rPr>
        <w:t xml:space="preserve"> could be expected</w:t>
      </w:r>
      <w:r w:rsidRPr="00DB0F65">
        <w:rPr>
          <w:lang w:val="en-GB"/>
        </w:rPr>
        <w:t>. Until few years ago, the profit of these activities provide</w:t>
      </w:r>
      <w:r w:rsidR="004319DF">
        <w:rPr>
          <w:lang w:val="en-GB"/>
        </w:rPr>
        <w:t>d</w:t>
      </w:r>
      <w:r w:rsidRPr="00DB0F65">
        <w:rPr>
          <w:lang w:val="en-GB"/>
        </w:rPr>
        <w:t xml:space="preserve"> adequate resources to control risk, unfortunately, in recent years many facts are weakening this sector.</w:t>
      </w:r>
    </w:p>
    <w:p w14:paraId="3A4D20EF" w14:textId="6FFC855B" w:rsidR="005D62A6" w:rsidRPr="00DB0F65" w:rsidRDefault="005D62A6" w:rsidP="005D62A6">
      <w:pPr>
        <w:pStyle w:val="CETBodytext"/>
        <w:rPr>
          <w:lang w:val="en-GB"/>
        </w:rPr>
      </w:pPr>
      <w:r w:rsidRPr="00DB0F65">
        <w:rPr>
          <w:lang w:val="en-GB"/>
        </w:rPr>
        <w:t>Threats are listed in Table 2. Their combination is the root cause of a major accident happened in 2018 at a</w:t>
      </w:r>
      <w:r>
        <w:rPr>
          <w:lang w:val="en-GB"/>
        </w:rPr>
        <w:t>n Italian</w:t>
      </w:r>
      <w:r w:rsidRPr="00DB0F65">
        <w:rPr>
          <w:lang w:val="en-GB"/>
        </w:rPr>
        <w:t xml:space="preserve"> chemical depot</w:t>
      </w:r>
      <w:r w:rsidRPr="004D3CFA">
        <w:rPr>
          <w:lang w:val="en-GB"/>
        </w:rPr>
        <w:t xml:space="preserve">. During the decontamination of a tank, two contractors used a portable hose to suck residual products </w:t>
      </w:r>
      <w:r w:rsidRPr="00DB0F65">
        <w:rPr>
          <w:lang w:val="en-GB"/>
        </w:rPr>
        <w:t>from the concavities of the bottom, as the automatic emptying system was not efficient because of the bottom deformation.</w:t>
      </w:r>
      <w:r>
        <w:rPr>
          <w:lang w:val="en-GB"/>
        </w:rPr>
        <w:t xml:space="preserve"> A</w:t>
      </w:r>
      <w:r w:rsidRPr="00DB0F65">
        <w:rPr>
          <w:lang w:val="en-GB"/>
        </w:rPr>
        <w:t>s described</w:t>
      </w:r>
      <w:r>
        <w:rPr>
          <w:lang w:val="en-GB"/>
        </w:rPr>
        <w:t>, c</w:t>
      </w:r>
      <w:r w:rsidRPr="00DB0F65">
        <w:rPr>
          <w:lang w:val="en-GB"/>
        </w:rPr>
        <w:t xml:space="preserve">hanges in market increased the number of hazardous operations; equipment ageing caused deformations and, consequently, the need of interventions of the operators. Personnel reduction forced to outsource operations. No consequences were recorded outside of the establishment, but in other sites the distance from crowded roads is short that external effects are highly probable. For a better understanding of the impact (both direct and indirect) of the threats, a causal loop has been outlined (see Figure 1). </w:t>
      </w:r>
    </w:p>
    <w:p w14:paraId="19EC17D7" w14:textId="77777777" w:rsidR="00A14FD9" w:rsidRPr="00DB0F65" w:rsidRDefault="00103298" w:rsidP="003F68EF">
      <w:pPr>
        <w:pStyle w:val="CETTabletitle"/>
      </w:pPr>
      <w:r w:rsidRPr="00DB0F65">
        <w:t>Tab</w:t>
      </w:r>
      <w:r w:rsidR="004520F5" w:rsidRPr="00DB0F65">
        <w:t>le</w:t>
      </w:r>
      <w:r w:rsidRPr="00DB0F65">
        <w:t xml:space="preserve"> </w:t>
      </w:r>
      <w:r w:rsidR="00C415D0" w:rsidRPr="00DB0F65">
        <w:t>2</w:t>
      </w:r>
      <w:r w:rsidRPr="00DB0F65">
        <w:t xml:space="preserve">. Threats </w:t>
      </w:r>
      <w:r w:rsidR="00B819E3" w:rsidRPr="00DB0F65">
        <w:t>and effects at</w:t>
      </w:r>
      <w:r w:rsidRPr="00DB0F65">
        <w:t xml:space="preserve"> </w:t>
      </w:r>
      <w:r w:rsidR="0013710A" w:rsidRPr="00DB0F65">
        <w:t>depots</w:t>
      </w:r>
      <w:r w:rsidRPr="00DB0F65">
        <w:t xml:space="preserve"> of </w:t>
      </w:r>
      <w:r w:rsidR="0013710A" w:rsidRPr="00DB0F65">
        <w:t>h</w:t>
      </w:r>
      <w:r w:rsidRPr="00DB0F65">
        <w:t xml:space="preserve">azardous </w:t>
      </w:r>
      <w:r w:rsidR="0013710A" w:rsidRPr="00DB0F65">
        <w:t>l</w:t>
      </w:r>
      <w:r w:rsidRPr="00DB0F65">
        <w:t>iquid.</w:t>
      </w:r>
    </w:p>
    <w:tbl>
      <w:tblPr>
        <w:tblStyle w:val="Grigliatabella"/>
        <w:tblW w:w="8784" w:type="dxa"/>
        <w:tblLayout w:type="fixed"/>
        <w:tblLook w:val="04A0" w:firstRow="1" w:lastRow="0" w:firstColumn="1" w:lastColumn="0" w:noHBand="0" w:noVBand="1"/>
      </w:tblPr>
      <w:tblGrid>
        <w:gridCol w:w="1276"/>
        <w:gridCol w:w="7508"/>
      </w:tblGrid>
      <w:tr w:rsidR="00103298" w:rsidRPr="00DB0F65" w14:paraId="460E9142" w14:textId="77777777" w:rsidTr="00653FBB">
        <w:tc>
          <w:tcPr>
            <w:tcW w:w="1276" w:type="dxa"/>
            <w:tcBorders>
              <w:top w:val="single" w:sz="12" w:space="0" w:color="00B050"/>
              <w:left w:val="nil"/>
              <w:bottom w:val="single" w:sz="4" w:space="0" w:color="00B050"/>
              <w:right w:val="nil"/>
            </w:tcBorders>
          </w:tcPr>
          <w:p w14:paraId="115B52A6" w14:textId="77777777" w:rsidR="00103298" w:rsidRPr="00DB0F65" w:rsidRDefault="00103298" w:rsidP="00435960">
            <w:pPr>
              <w:pStyle w:val="CETBodytext"/>
              <w:tabs>
                <w:tab w:val="clear" w:pos="7100"/>
              </w:tabs>
              <w:ind w:left="-114"/>
              <w:rPr>
                <w:i/>
                <w:lang w:val="en-GB"/>
              </w:rPr>
            </w:pPr>
            <w:r w:rsidRPr="00DB0F65">
              <w:rPr>
                <w:i/>
                <w:lang w:val="en-GB"/>
              </w:rPr>
              <w:t>Threats</w:t>
            </w:r>
          </w:p>
        </w:tc>
        <w:tc>
          <w:tcPr>
            <w:tcW w:w="7508" w:type="dxa"/>
            <w:tcBorders>
              <w:top w:val="single" w:sz="12" w:space="0" w:color="00B050"/>
              <w:left w:val="nil"/>
              <w:bottom w:val="single" w:sz="4" w:space="0" w:color="00B050"/>
              <w:right w:val="nil"/>
            </w:tcBorders>
          </w:tcPr>
          <w:p w14:paraId="777E5EFA" w14:textId="77777777" w:rsidR="00103298" w:rsidRPr="00DB0F65" w:rsidRDefault="00B819E3" w:rsidP="0011741B">
            <w:pPr>
              <w:pStyle w:val="CETBodytext"/>
              <w:tabs>
                <w:tab w:val="clear" w:pos="7100"/>
              </w:tabs>
              <w:rPr>
                <w:lang w:val="en-GB"/>
              </w:rPr>
            </w:pPr>
            <w:r w:rsidRPr="00DB0F65">
              <w:rPr>
                <w:lang w:val="en-GB"/>
              </w:rPr>
              <w:t>Effects</w:t>
            </w:r>
          </w:p>
        </w:tc>
      </w:tr>
      <w:tr w:rsidR="00A14FD9" w:rsidRPr="00DB0F65" w14:paraId="5D247611" w14:textId="77777777" w:rsidTr="00653FBB">
        <w:tc>
          <w:tcPr>
            <w:tcW w:w="1276" w:type="dxa"/>
            <w:tcBorders>
              <w:top w:val="single" w:sz="4" w:space="0" w:color="00B050"/>
              <w:left w:val="nil"/>
              <w:bottom w:val="nil"/>
              <w:right w:val="nil"/>
            </w:tcBorders>
          </w:tcPr>
          <w:p w14:paraId="37E7754E" w14:textId="77777777" w:rsidR="00A14FD9" w:rsidRPr="00DB0F65" w:rsidRDefault="00103298" w:rsidP="00653FBB">
            <w:pPr>
              <w:pStyle w:val="CETBodytext"/>
              <w:tabs>
                <w:tab w:val="clear" w:pos="7100"/>
              </w:tabs>
              <w:ind w:left="-114"/>
              <w:jc w:val="left"/>
              <w:rPr>
                <w:i/>
                <w:lang w:val="en-GB"/>
              </w:rPr>
            </w:pPr>
            <w:r w:rsidRPr="00DB0F65">
              <w:rPr>
                <w:i/>
                <w:lang w:val="en-GB"/>
              </w:rPr>
              <w:t>1-</w:t>
            </w:r>
            <w:r w:rsidR="00A14FD9" w:rsidRPr="00DB0F65">
              <w:rPr>
                <w:i/>
                <w:lang w:val="en-GB"/>
              </w:rPr>
              <w:t xml:space="preserve"> Ageing</w:t>
            </w:r>
          </w:p>
        </w:tc>
        <w:tc>
          <w:tcPr>
            <w:tcW w:w="7508" w:type="dxa"/>
            <w:tcBorders>
              <w:top w:val="single" w:sz="4" w:space="0" w:color="00B050"/>
              <w:left w:val="nil"/>
              <w:bottom w:val="nil"/>
              <w:right w:val="nil"/>
            </w:tcBorders>
          </w:tcPr>
          <w:p w14:paraId="458C137E" w14:textId="77777777" w:rsidR="00A14FD9" w:rsidRPr="004D3CFA" w:rsidRDefault="00A14FD9" w:rsidP="0011741B">
            <w:pPr>
              <w:pStyle w:val="CETBodytext"/>
              <w:tabs>
                <w:tab w:val="clear" w:pos="7100"/>
              </w:tabs>
              <w:rPr>
                <w:sz w:val="6"/>
                <w:szCs w:val="6"/>
                <w:lang w:val="en-GB"/>
              </w:rPr>
            </w:pPr>
            <w:r w:rsidRPr="00DB0F65">
              <w:rPr>
                <w:lang w:val="en-GB"/>
              </w:rPr>
              <w:t>The s</w:t>
            </w:r>
            <w:r w:rsidR="006531EC" w:rsidRPr="00DB0F65">
              <w:rPr>
                <w:lang w:val="en-GB"/>
              </w:rPr>
              <w:t>equence</w:t>
            </w:r>
            <w:r w:rsidRPr="00DB0F65">
              <w:rPr>
                <w:lang w:val="en-GB"/>
              </w:rPr>
              <w:t xml:space="preserve"> of </w:t>
            </w:r>
            <w:r w:rsidR="006531EC" w:rsidRPr="00DB0F65">
              <w:rPr>
                <w:lang w:val="en-GB"/>
              </w:rPr>
              <w:t>emptying</w:t>
            </w:r>
            <w:r w:rsidR="00543474" w:rsidRPr="00DB0F65">
              <w:rPr>
                <w:lang w:val="en-GB"/>
              </w:rPr>
              <w:t>/</w:t>
            </w:r>
            <w:r w:rsidRPr="00DB0F65">
              <w:rPr>
                <w:lang w:val="en-GB"/>
              </w:rPr>
              <w:t xml:space="preserve">filling </w:t>
            </w:r>
            <w:r w:rsidR="001512EE" w:rsidRPr="00DB0F65">
              <w:rPr>
                <w:lang w:val="en-GB"/>
              </w:rPr>
              <w:t xml:space="preserve">operations </w:t>
            </w:r>
            <w:r w:rsidRPr="00DB0F65">
              <w:rPr>
                <w:lang w:val="en-GB"/>
              </w:rPr>
              <w:t xml:space="preserve">stresses the tank. </w:t>
            </w:r>
            <w:r w:rsidR="00543474" w:rsidRPr="00DB0F65">
              <w:rPr>
                <w:lang w:val="en-GB"/>
              </w:rPr>
              <w:t>In particular, t</w:t>
            </w:r>
            <w:r w:rsidRPr="00DB0F65">
              <w:rPr>
                <w:lang w:val="en-GB"/>
              </w:rPr>
              <w:t xml:space="preserve">ank bottom is </w:t>
            </w:r>
            <w:r w:rsidR="001512EE" w:rsidRPr="00DB0F65">
              <w:rPr>
                <w:lang w:val="en-GB"/>
              </w:rPr>
              <w:t xml:space="preserve">placed </w:t>
            </w:r>
            <w:r w:rsidRPr="00DB0F65">
              <w:rPr>
                <w:lang w:val="en-GB"/>
              </w:rPr>
              <w:t>over a gravel</w:t>
            </w:r>
            <w:r w:rsidR="001512EE" w:rsidRPr="00DB0F65">
              <w:rPr>
                <w:lang w:val="en-GB"/>
              </w:rPr>
              <w:t xml:space="preserve"> layer</w:t>
            </w:r>
            <w:r w:rsidR="00543474" w:rsidRPr="00DB0F65">
              <w:rPr>
                <w:lang w:val="en-GB"/>
              </w:rPr>
              <w:t xml:space="preserve">, which modifies its </w:t>
            </w:r>
            <w:r w:rsidR="001512EE" w:rsidRPr="00DB0F65">
              <w:rPr>
                <w:lang w:val="en-GB"/>
              </w:rPr>
              <w:t>shape due to adaptations</w:t>
            </w:r>
            <w:r w:rsidRPr="00DB0F65">
              <w:rPr>
                <w:lang w:val="en-GB"/>
              </w:rPr>
              <w:t xml:space="preserve">, </w:t>
            </w:r>
            <w:r w:rsidR="001512EE" w:rsidRPr="00DB0F65">
              <w:rPr>
                <w:lang w:val="en-GB"/>
              </w:rPr>
              <w:t>this</w:t>
            </w:r>
            <w:r w:rsidRPr="00DB0F65">
              <w:rPr>
                <w:lang w:val="en-GB"/>
              </w:rPr>
              <w:t xml:space="preserve"> compromise</w:t>
            </w:r>
            <w:r w:rsidR="001512EE" w:rsidRPr="00DB0F65">
              <w:rPr>
                <w:lang w:val="en-GB"/>
              </w:rPr>
              <w:t>s</w:t>
            </w:r>
            <w:r w:rsidRPr="00DB0F65">
              <w:rPr>
                <w:lang w:val="en-GB"/>
              </w:rPr>
              <w:t xml:space="preserve"> </w:t>
            </w:r>
            <w:r w:rsidR="001512EE" w:rsidRPr="00DB0F65">
              <w:rPr>
                <w:lang w:val="en-GB"/>
              </w:rPr>
              <w:t xml:space="preserve">its </w:t>
            </w:r>
            <w:r w:rsidRPr="00DB0F65">
              <w:rPr>
                <w:lang w:val="en-GB"/>
              </w:rPr>
              <w:t>symmetry and regularity. The service time of most tank</w:t>
            </w:r>
            <w:r w:rsidR="00653FBB" w:rsidRPr="00DB0F65">
              <w:rPr>
                <w:lang w:val="en-GB"/>
              </w:rPr>
              <w:t>s</w:t>
            </w:r>
            <w:r w:rsidRPr="00DB0F65">
              <w:rPr>
                <w:lang w:val="en-GB"/>
              </w:rPr>
              <w:t xml:space="preserve"> does not exceed the expected lifetime and leakage with consequent </w:t>
            </w:r>
            <w:r w:rsidR="00653FBB" w:rsidRPr="00DB0F65">
              <w:rPr>
                <w:lang w:val="en-GB"/>
              </w:rPr>
              <w:t>contamination</w:t>
            </w:r>
            <w:r w:rsidRPr="00DB0F65">
              <w:rPr>
                <w:lang w:val="en-GB"/>
              </w:rPr>
              <w:t xml:space="preserve"> are still unusual, even though possible.</w:t>
            </w:r>
            <w:r w:rsidR="00EC0F6E" w:rsidRPr="00DB0F65">
              <w:rPr>
                <w:lang w:val="en-GB"/>
              </w:rPr>
              <w:t xml:space="preserve"> Deterioration mechanisms for tanks include atmospheric a</w:t>
            </w:r>
            <w:r w:rsidR="00A70859">
              <w:rPr>
                <w:lang w:val="en-GB"/>
              </w:rPr>
              <w:t>nd soil corrosion, which at the</w:t>
            </w:r>
            <w:r w:rsidR="00EC0F6E" w:rsidRPr="00DB0F65">
              <w:rPr>
                <w:lang w:val="en-GB"/>
              </w:rPr>
              <w:t xml:space="preserve"> end may cause passing cracks in the bottom, with consequent minor leakages.</w:t>
            </w:r>
          </w:p>
          <w:p w14:paraId="29D4A0AA" w14:textId="77777777" w:rsidR="001512EE" w:rsidRPr="00DB0F65" w:rsidRDefault="001512EE" w:rsidP="0011741B">
            <w:pPr>
              <w:pStyle w:val="CETBodytext"/>
              <w:tabs>
                <w:tab w:val="clear" w:pos="7100"/>
              </w:tabs>
              <w:rPr>
                <w:sz w:val="6"/>
                <w:szCs w:val="6"/>
                <w:lang w:val="en-GB"/>
              </w:rPr>
            </w:pPr>
          </w:p>
        </w:tc>
      </w:tr>
      <w:tr w:rsidR="001E3C38" w:rsidRPr="00DB0F65" w14:paraId="47F500C9" w14:textId="77777777" w:rsidTr="00F720B0">
        <w:tc>
          <w:tcPr>
            <w:tcW w:w="1276" w:type="dxa"/>
            <w:tcBorders>
              <w:top w:val="nil"/>
              <w:left w:val="nil"/>
              <w:bottom w:val="nil"/>
              <w:right w:val="nil"/>
            </w:tcBorders>
          </w:tcPr>
          <w:p w14:paraId="5AD261FC" w14:textId="77777777" w:rsidR="001E3C38" w:rsidRPr="00DB0F65" w:rsidRDefault="001E3C38" w:rsidP="00F720B0">
            <w:pPr>
              <w:pStyle w:val="CETBodytext"/>
              <w:tabs>
                <w:tab w:val="clear" w:pos="7100"/>
              </w:tabs>
              <w:ind w:left="-114"/>
              <w:jc w:val="left"/>
              <w:rPr>
                <w:i/>
                <w:lang w:val="en-GB"/>
              </w:rPr>
            </w:pPr>
            <w:r w:rsidRPr="00DB0F65">
              <w:rPr>
                <w:i/>
                <w:lang w:val="en-GB"/>
              </w:rPr>
              <w:t>2-Technical Obsolescence</w:t>
            </w:r>
          </w:p>
        </w:tc>
        <w:tc>
          <w:tcPr>
            <w:tcW w:w="7508" w:type="dxa"/>
            <w:tcBorders>
              <w:top w:val="nil"/>
              <w:left w:val="nil"/>
              <w:bottom w:val="nil"/>
              <w:right w:val="nil"/>
            </w:tcBorders>
          </w:tcPr>
          <w:p w14:paraId="5405EB65" w14:textId="77777777" w:rsidR="001E3C38" w:rsidRPr="00DB0F65" w:rsidRDefault="001E3C38" w:rsidP="00F720B0">
            <w:pPr>
              <w:pStyle w:val="CETBodytext"/>
              <w:tabs>
                <w:tab w:val="clear" w:pos="7100"/>
              </w:tabs>
              <w:rPr>
                <w:sz w:val="6"/>
                <w:szCs w:val="6"/>
                <w:lang w:val="en-GB"/>
              </w:rPr>
            </w:pPr>
            <w:r w:rsidRPr="00DB0F65">
              <w:rPr>
                <w:lang w:val="en-GB"/>
              </w:rPr>
              <w:t xml:space="preserve">Technologies, implemented in sensors and communication systems, dramatically increased in the last years. These </w:t>
            </w:r>
            <w:r w:rsidR="00EC0F6E" w:rsidRPr="00DB0F65">
              <w:rPr>
                <w:lang w:val="en-GB"/>
              </w:rPr>
              <w:t xml:space="preserve">include level gauges </w:t>
            </w:r>
            <w:r w:rsidRPr="00DB0F65">
              <w:rPr>
                <w:lang w:val="en-GB"/>
              </w:rPr>
              <w:t xml:space="preserve">to prevent overfilling and </w:t>
            </w:r>
            <w:r w:rsidR="00EC0F6E" w:rsidRPr="00DB0F65">
              <w:rPr>
                <w:lang w:val="en-GB"/>
              </w:rPr>
              <w:t xml:space="preserve">gas detector to </w:t>
            </w:r>
            <w:r w:rsidRPr="00DB0F65">
              <w:rPr>
                <w:lang w:val="en-GB"/>
              </w:rPr>
              <w:t xml:space="preserve">control vapour leakages. Minor incidents due obsolete or inadequate </w:t>
            </w:r>
            <w:r w:rsidR="00EC0F6E" w:rsidRPr="00DB0F65">
              <w:rPr>
                <w:lang w:val="en-GB"/>
              </w:rPr>
              <w:t xml:space="preserve">level gauges </w:t>
            </w:r>
            <w:r w:rsidRPr="00DB0F65">
              <w:rPr>
                <w:lang w:val="en-GB"/>
              </w:rPr>
              <w:t xml:space="preserve">are </w:t>
            </w:r>
            <w:r w:rsidR="00EC0F6E" w:rsidRPr="00DB0F65">
              <w:rPr>
                <w:lang w:val="en-GB"/>
              </w:rPr>
              <w:t xml:space="preserve">discussed by </w:t>
            </w:r>
            <w:r w:rsidR="00A565D9" w:rsidRPr="00DB0F65">
              <w:rPr>
                <w:lang w:val="en-GB"/>
              </w:rPr>
              <w:t>Ansaldi et al.</w:t>
            </w:r>
            <w:r w:rsidR="00EC0F6E" w:rsidRPr="00DB0F65">
              <w:rPr>
                <w:lang w:val="en-GB"/>
              </w:rPr>
              <w:t xml:space="preserve"> (</w:t>
            </w:r>
            <w:r w:rsidR="00A565D9" w:rsidRPr="00DB0F65">
              <w:rPr>
                <w:lang w:val="en-GB"/>
              </w:rPr>
              <w:t>2016)</w:t>
            </w:r>
            <w:r w:rsidRPr="00DB0F65">
              <w:rPr>
                <w:lang w:val="en-GB"/>
              </w:rPr>
              <w:t>. Costs to definitely overcome the technological gap is currently not affordable, posing additional risks.</w:t>
            </w:r>
          </w:p>
          <w:p w14:paraId="02245C49" w14:textId="77777777" w:rsidR="001E3C38" w:rsidRPr="00DB0F65" w:rsidRDefault="001E3C38" w:rsidP="00F720B0">
            <w:pPr>
              <w:pStyle w:val="CETBodytext"/>
              <w:tabs>
                <w:tab w:val="clear" w:pos="7100"/>
              </w:tabs>
              <w:rPr>
                <w:sz w:val="6"/>
                <w:szCs w:val="6"/>
                <w:lang w:val="en-GB"/>
              </w:rPr>
            </w:pPr>
          </w:p>
        </w:tc>
      </w:tr>
      <w:tr w:rsidR="00C22CBD" w:rsidRPr="00DB0F65" w14:paraId="5D1C2B68" w14:textId="77777777" w:rsidTr="00B173BF">
        <w:tc>
          <w:tcPr>
            <w:tcW w:w="1276" w:type="dxa"/>
            <w:tcBorders>
              <w:top w:val="nil"/>
              <w:left w:val="nil"/>
              <w:bottom w:val="nil"/>
              <w:right w:val="nil"/>
            </w:tcBorders>
          </w:tcPr>
          <w:p w14:paraId="1D2BF591" w14:textId="77777777" w:rsidR="00C22CBD" w:rsidRPr="00DB0F65" w:rsidRDefault="00C22CBD" w:rsidP="0037653C">
            <w:pPr>
              <w:pStyle w:val="CETBodytext"/>
              <w:tabs>
                <w:tab w:val="clear" w:pos="7100"/>
              </w:tabs>
              <w:ind w:left="-114"/>
              <w:jc w:val="left"/>
              <w:rPr>
                <w:i/>
                <w:lang w:val="en-GB"/>
              </w:rPr>
            </w:pPr>
            <w:r w:rsidRPr="00DB0F65">
              <w:rPr>
                <w:i/>
                <w:lang w:val="en-GB"/>
              </w:rPr>
              <w:t xml:space="preserve">3-Regulatory </w:t>
            </w:r>
            <w:r w:rsidR="0037653C">
              <w:rPr>
                <w:i/>
                <w:lang w:val="en-GB"/>
              </w:rPr>
              <w:t>Changes</w:t>
            </w:r>
          </w:p>
        </w:tc>
        <w:tc>
          <w:tcPr>
            <w:tcW w:w="7508" w:type="dxa"/>
            <w:tcBorders>
              <w:top w:val="nil"/>
              <w:left w:val="nil"/>
              <w:bottom w:val="nil"/>
              <w:right w:val="nil"/>
            </w:tcBorders>
          </w:tcPr>
          <w:p w14:paraId="3A787E4A" w14:textId="77777777" w:rsidR="00C22CBD" w:rsidRPr="00DB0F65" w:rsidRDefault="00C22CBD" w:rsidP="00B173BF">
            <w:pPr>
              <w:pStyle w:val="CETBodytext"/>
              <w:tabs>
                <w:tab w:val="clear" w:pos="7100"/>
              </w:tabs>
              <w:rPr>
                <w:sz w:val="6"/>
                <w:szCs w:val="6"/>
                <w:lang w:val="en-GB"/>
              </w:rPr>
            </w:pPr>
            <w:r w:rsidRPr="00DB0F65">
              <w:rPr>
                <w:lang w:val="en-GB"/>
              </w:rPr>
              <w:t xml:space="preserve">Quality standards are becoming higher, driven by very strict regulations. </w:t>
            </w:r>
            <w:r w:rsidR="00434738" w:rsidRPr="00DB0F65">
              <w:rPr>
                <w:lang w:val="en-GB"/>
              </w:rPr>
              <w:t>As an example</w:t>
            </w:r>
            <w:r w:rsidRPr="00DB0F65">
              <w:rPr>
                <w:lang w:val="en-GB"/>
              </w:rPr>
              <w:t>, identical substance</w:t>
            </w:r>
            <w:r w:rsidR="00434738" w:rsidRPr="00DB0F65">
              <w:rPr>
                <w:lang w:val="en-GB"/>
              </w:rPr>
              <w:t>s</w:t>
            </w:r>
            <w:r w:rsidR="00AB119E" w:rsidRPr="00DB0F65">
              <w:rPr>
                <w:lang w:val="en-GB"/>
              </w:rPr>
              <w:t>, having different origin,</w:t>
            </w:r>
            <w:r w:rsidRPr="00DB0F65">
              <w:rPr>
                <w:lang w:val="en-GB"/>
              </w:rPr>
              <w:t xml:space="preserve"> cannot be mixed. Even the test protocol</w:t>
            </w:r>
            <w:r w:rsidR="00AB119E" w:rsidRPr="00DB0F65">
              <w:rPr>
                <w:lang w:val="en-GB"/>
              </w:rPr>
              <w:t>s</w:t>
            </w:r>
            <w:r w:rsidRPr="00DB0F65">
              <w:rPr>
                <w:lang w:val="en-GB"/>
              </w:rPr>
              <w:t xml:space="preserve"> after any </w:t>
            </w:r>
            <w:r w:rsidR="00AB119E" w:rsidRPr="00DB0F65">
              <w:rPr>
                <w:lang w:val="en-GB"/>
              </w:rPr>
              <w:t>remediation are demanding additional requirements</w:t>
            </w:r>
            <w:r w:rsidRPr="00DB0F65">
              <w:rPr>
                <w:lang w:val="en-GB"/>
              </w:rPr>
              <w:t>.</w:t>
            </w:r>
          </w:p>
          <w:p w14:paraId="3B91A2B7" w14:textId="77777777" w:rsidR="00C22CBD" w:rsidRPr="00DB0F65" w:rsidRDefault="00C22CBD" w:rsidP="00B173BF">
            <w:pPr>
              <w:pStyle w:val="CETBodytext"/>
              <w:tabs>
                <w:tab w:val="clear" w:pos="7100"/>
              </w:tabs>
              <w:rPr>
                <w:sz w:val="6"/>
                <w:szCs w:val="6"/>
                <w:lang w:val="en-GB"/>
              </w:rPr>
            </w:pPr>
          </w:p>
        </w:tc>
      </w:tr>
      <w:tr w:rsidR="00A14FD9" w:rsidRPr="00DB0F65" w14:paraId="2D883242" w14:textId="77777777" w:rsidTr="00653FBB">
        <w:tc>
          <w:tcPr>
            <w:tcW w:w="1276" w:type="dxa"/>
            <w:tcBorders>
              <w:top w:val="nil"/>
              <w:left w:val="nil"/>
              <w:bottom w:val="nil"/>
              <w:right w:val="nil"/>
            </w:tcBorders>
          </w:tcPr>
          <w:p w14:paraId="1CBA2853" w14:textId="77777777" w:rsidR="00A14FD9" w:rsidRPr="00DB0F65" w:rsidRDefault="00653FBB" w:rsidP="0037653C">
            <w:pPr>
              <w:pStyle w:val="CETBodytext"/>
              <w:tabs>
                <w:tab w:val="clear" w:pos="7100"/>
              </w:tabs>
              <w:ind w:left="-114"/>
              <w:jc w:val="left"/>
              <w:rPr>
                <w:i/>
                <w:lang w:val="en-GB"/>
              </w:rPr>
            </w:pPr>
            <w:r w:rsidRPr="00DB0F65">
              <w:rPr>
                <w:i/>
                <w:lang w:val="en-GB"/>
              </w:rPr>
              <w:t>4-Ageing organisation</w:t>
            </w:r>
          </w:p>
        </w:tc>
        <w:tc>
          <w:tcPr>
            <w:tcW w:w="7508" w:type="dxa"/>
            <w:tcBorders>
              <w:top w:val="nil"/>
              <w:left w:val="nil"/>
              <w:bottom w:val="nil"/>
              <w:right w:val="nil"/>
            </w:tcBorders>
          </w:tcPr>
          <w:p w14:paraId="2CA9AF14" w14:textId="77777777" w:rsidR="00A14FD9" w:rsidRPr="00DB0F65" w:rsidRDefault="00A14FD9" w:rsidP="0011741B">
            <w:pPr>
              <w:pStyle w:val="CETBodytext"/>
              <w:tabs>
                <w:tab w:val="clear" w:pos="7100"/>
              </w:tabs>
              <w:rPr>
                <w:sz w:val="6"/>
                <w:szCs w:val="6"/>
                <w:lang w:val="en-GB"/>
              </w:rPr>
            </w:pPr>
            <w:r w:rsidRPr="00DB0F65">
              <w:rPr>
                <w:lang w:val="en-GB"/>
              </w:rPr>
              <w:t>The reduced profit hinder</w:t>
            </w:r>
            <w:r w:rsidR="00653FBB" w:rsidRPr="00DB0F65">
              <w:rPr>
                <w:lang w:val="en-GB"/>
              </w:rPr>
              <w:t>s</w:t>
            </w:r>
            <w:r w:rsidRPr="00DB0F65">
              <w:rPr>
                <w:lang w:val="en-GB"/>
              </w:rPr>
              <w:t xml:space="preserve"> the personnel </w:t>
            </w:r>
            <w:r w:rsidR="00653FBB" w:rsidRPr="00DB0F65">
              <w:rPr>
                <w:lang w:val="en-GB"/>
              </w:rPr>
              <w:t>turnover;</w:t>
            </w:r>
            <w:r w:rsidRPr="00DB0F65">
              <w:rPr>
                <w:lang w:val="en-GB"/>
              </w:rPr>
              <w:t xml:space="preserve"> </w:t>
            </w:r>
            <w:r w:rsidR="00653FBB" w:rsidRPr="00DB0F65">
              <w:rPr>
                <w:lang w:val="en-GB"/>
              </w:rPr>
              <w:t xml:space="preserve">thus, </w:t>
            </w:r>
            <w:r w:rsidRPr="00DB0F65">
              <w:rPr>
                <w:lang w:val="en-GB"/>
              </w:rPr>
              <w:t xml:space="preserve">the average age is increasing. </w:t>
            </w:r>
            <w:r w:rsidR="00653FBB" w:rsidRPr="00DB0F65">
              <w:rPr>
                <w:lang w:val="en-GB"/>
              </w:rPr>
              <w:t>T</w:t>
            </w:r>
            <w:r w:rsidRPr="00DB0F65">
              <w:rPr>
                <w:lang w:val="en-GB"/>
              </w:rPr>
              <w:t>o reduce cost</w:t>
            </w:r>
            <w:r w:rsidR="00653FBB" w:rsidRPr="00DB0F65">
              <w:rPr>
                <w:lang w:val="en-GB"/>
              </w:rPr>
              <w:t>s,</w:t>
            </w:r>
            <w:r w:rsidRPr="00DB0F65">
              <w:rPr>
                <w:lang w:val="en-GB"/>
              </w:rPr>
              <w:t xml:space="preserve"> maintenance activities are outsourced</w:t>
            </w:r>
            <w:r w:rsidR="00653FBB" w:rsidRPr="00DB0F65">
              <w:rPr>
                <w:lang w:val="en-GB"/>
              </w:rPr>
              <w:t xml:space="preserve"> as well as</w:t>
            </w:r>
            <w:r w:rsidRPr="00DB0F65">
              <w:rPr>
                <w:lang w:val="en-GB"/>
              </w:rPr>
              <w:t xml:space="preserve"> </w:t>
            </w:r>
            <w:r w:rsidR="00653FBB" w:rsidRPr="00DB0F65">
              <w:rPr>
                <w:lang w:val="en-GB"/>
              </w:rPr>
              <w:t xml:space="preserve">decontamination of </w:t>
            </w:r>
            <w:r w:rsidRPr="00DB0F65">
              <w:rPr>
                <w:lang w:val="en-GB"/>
              </w:rPr>
              <w:t>tank</w:t>
            </w:r>
            <w:r w:rsidR="00653FBB" w:rsidRPr="00DB0F65">
              <w:rPr>
                <w:lang w:val="en-GB"/>
              </w:rPr>
              <w:t>s</w:t>
            </w:r>
            <w:r w:rsidR="00AB119E" w:rsidRPr="00DB0F65">
              <w:rPr>
                <w:lang w:val="en-GB"/>
              </w:rPr>
              <w:t xml:space="preserve"> and other activities</w:t>
            </w:r>
            <w:r w:rsidRPr="00DB0F65">
              <w:rPr>
                <w:lang w:val="en-GB"/>
              </w:rPr>
              <w:t>.</w:t>
            </w:r>
          </w:p>
          <w:p w14:paraId="04AE4B37" w14:textId="77777777" w:rsidR="00653FBB" w:rsidRPr="00DB0F65" w:rsidRDefault="00653FBB" w:rsidP="0011741B">
            <w:pPr>
              <w:pStyle w:val="CETBodytext"/>
              <w:tabs>
                <w:tab w:val="clear" w:pos="7100"/>
              </w:tabs>
              <w:rPr>
                <w:sz w:val="6"/>
                <w:szCs w:val="6"/>
                <w:lang w:val="en-GB"/>
              </w:rPr>
            </w:pPr>
          </w:p>
        </w:tc>
      </w:tr>
      <w:tr w:rsidR="00A14FD9" w:rsidRPr="00DB0F65" w14:paraId="78372212" w14:textId="77777777" w:rsidTr="00653FBB">
        <w:tc>
          <w:tcPr>
            <w:tcW w:w="1276" w:type="dxa"/>
            <w:tcBorders>
              <w:top w:val="nil"/>
              <w:left w:val="nil"/>
              <w:bottom w:val="nil"/>
              <w:right w:val="nil"/>
            </w:tcBorders>
          </w:tcPr>
          <w:p w14:paraId="5CFCC712" w14:textId="77777777" w:rsidR="00A14FD9" w:rsidRPr="00DB0F65" w:rsidRDefault="00103298" w:rsidP="00653FBB">
            <w:pPr>
              <w:pStyle w:val="CETBodytext"/>
              <w:tabs>
                <w:tab w:val="clear" w:pos="7100"/>
              </w:tabs>
              <w:ind w:left="-114"/>
              <w:jc w:val="left"/>
              <w:rPr>
                <w:i/>
                <w:lang w:val="en-GB"/>
              </w:rPr>
            </w:pPr>
            <w:r w:rsidRPr="00DB0F65">
              <w:rPr>
                <w:i/>
                <w:lang w:val="en-GB"/>
              </w:rPr>
              <w:t>5-</w:t>
            </w:r>
            <w:r w:rsidR="00A14FD9" w:rsidRPr="00DB0F65">
              <w:rPr>
                <w:i/>
                <w:lang w:val="en-GB"/>
              </w:rPr>
              <w:t>Market</w:t>
            </w:r>
          </w:p>
        </w:tc>
        <w:tc>
          <w:tcPr>
            <w:tcW w:w="7508" w:type="dxa"/>
            <w:tcBorders>
              <w:top w:val="nil"/>
              <w:left w:val="nil"/>
              <w:bottom w:val="nil"/>
              <w:right w:val="nil"/>
            </w:tcBorders>
          </w:tcPr>
          <w:p w14:paraId="686DE71C" w14:textId="77777777" w:rsidR="00A14FD9" w:rsidRPr="00DB0F65" w:rsidRDefault="00AB119E" w:rsidP="00543474">
            <w:pPr>
              <w:pStyle w:val="CETBodytext"/>
              <w:tabs>
                <w:tab w:val="clear" w:pos="7100"/>
              </w:tabs>
              <w:rPr>
                <w:sz w:val="6"/>
                <w:szCs w:val="6"/>
                <w:lang w:val="en-GB"/>
              </w:rPr>
            </w:pPr>
            <w:r w:rsidRPr="00DB0F65">
              <w:rPr>
                <w:lang w:val="en-GB"/>
              </w:rPr>
              <w:t>M</w:t>
            </w:r>
            <w:r w:rsidR="00A14FD9" w:rsidRPr="00DB0F65">
              <w:rPr>
                <w:lang w:val="en-GB"/>
              </w:rPr>
              <w:t xml:space="preserve">arket is </w:t>
            </w:r>
            <w:r w:rsidRPr="00DB0F65">
              <w:rPr>
                <w:lang w:val="en-GB"/>
              </w:rPr>
              <w:t>becoming more</w:t>
            </w:r>
            <w:r w:rsidR="00A14FD9" w:rsidRPr="00DB0F65">
              <w:rPr>
                <w:lang w:val="en-GB"/>
              </w:rPr>
              <w:t xml:space="preserve"> aggressive</w:t>
            </w:r>
            <w:r w:rsidR="00543474" w:rsidRPr="00DB0F65">
              <w:rPr>
                <w:lang w:val="en-GB"/>
              </w:rPr>
              <w:t xml:space="preserve"> and</w:t>
            </w:r>
            <w:r w:rsidRPr="00DB0F65">
              <w:rPr>
                <w:lang w:val="en-GB"/>
              </w:rPr>
              <w:t xml:space="preserve"> end-</w:t>
            </w:r>
            <w:r w:rsidR="00A14FD9" w:rsidRPr="00DB0F65">
              <w:rPr>
                <w:lang w:val="en-GB"/>
              </w:rPr>
              <w:t>users do not sign long term framework agreement and are ready to change logistic partner even for a very little difference in fees.</w:t>
            </w:r>
          </w:p>
          <w:p w14:paraId="5B481AC0" w14:textId="77777777" w:rsidR="00C34639" w:rsidRPr="00DB0F65" w:rsidRDefault="00C34639" w:rsidP="0011741B">
            <w:pPr>
              <w:pStyle w:val="CETBodytext"/>
              <w:tabs>
                <w:tab w:val="clear" w:pos="7100"/>
              </w:tabs>
              <w:jc w:val="left"/>
              <w:rPr>
                <w:sz w:val="6"/>
                <w:szCs w:val="6"/>
                <w:lang w:val="en-GB"/>
              </w:rPr>
            </w:pPr>
          </w:p>
        </w:tc>
      </w:tr>
      <w:tr w:rsidR="00C34639" w:rsidRPr="00DB0F65" w14:paraId="228634CF" w14:textId="77777777" w:rsidTr="00E92041">
        <w:tc>
          <w:tcPr>
            <w:tcW w:w="1276" w:type="dxa"/>
            <w:tcBorders>
              <w:top w:val="nil"/>
              <w:left w:val="nil"/>
              <w:bottom w:val="nil"/>
              <w:right w:val="nil"/>
            </w:tcBorders>
          </w:tcPr>
          <w:p w14:paraId="76230313" w14:textId="77777777" w:rsidR="00C34639" w:rsidRPr="00DB0F65" w:rsidRDefault="00C34639" w:rsidP="00E92041">
            <w:pPr>
              <w:pStyle w:val="CETBodytext"/>
              <w:tabs>
                <w:tab w:val="clear" w:pos="7100"/>
              </w:tabs>
              <w:ind w:left="-114"/>
              <w:jc w:val="left"/>
              <w:rPr>
                <w:i/>
                <w:lang w:val="en-GB"/>
              </w:rPr>
            </w:pPr>
            <w:r w:rsidRPr="00DB0F65">
              <w:rPr>
                <w:i/>
                <w:lang w:val="en-GB"/>
              </w:rPr>
              <w:t>6-Community</w:t>
            </w:r>
          </w:p>
        </w:tc>
        <w:tc>
          <w:tcPr>
            <w:tcW w:w="7508" w:type="dxa"/>
            <w:tcBorders>
              <w:top w:val="nil"/>
              <w:left w:val="nil"/>
              <w:bottom w:val="nil"/>
              <w:right w:val="nil"/>
            </w:tcBorders>
          </w:tcPr>
          <w:p w14:paraId="3839D787" w14:textId="77777777" w:rsidR="00C34639" w:rsidRPr="00DB0F65" w:rsidRDefault="00C34639" w:rsidP="00543474">
            <w:pPr>
              <w:pStyle w:val="CETBodytext"/>
              <w:tabs>
                <w:tab w:val="clear" w:pos="7100"/>
              </w:tabs>
              <w:rPr>
                <w:sz w:val="6"/>
                <w:szCs w:val="6"/>
                <w:lang w:val="en-GB"/>
              </w:rPr>
            </w:pPr>
            <w:r w:rsidRPr="00DB0F65">
              <w:rPr>
                <w:lang w:val="en-GB"/>
              </w:rPr>
              <w:t>Depots are always constrained between the harbour and the city. Urban intensification is a policy, aimed at better exploiting all areas inside the city, instead of expanding indefinitely its boundaries. This implies more people in the potential damage areas</w:t>
            </w:r>
            <w:r w:rsidR="00E91492" w:rsidRPr="00DB0F65">
              <w:rPr>
                <w:lang w:val="en-GB"/>
              </w:rPr>
              <w:t>.</w:t>
            </w:r>
          </w:p>
          <w:p w14:paraId="1E0E37FA" w14:textId="77777777" w:rsidR="00E91492" w:rsidRPr="00DB0F65" w:rsidRDefault="00E91492" w:rsidP="00E92041">
            <w:pPr>
              <w:pStyle w:val="CETBodytext"/>
              <w:tabs>
                <w:tab w:val="clear" w:pos="7100"/>
              </w:tabs>
              <w:jc w:val="left"/>
              <w:rPr>
                <w:sz w:val="6"/>
                <w:szCs w:val="6"/>
                <w:lang w:val="en-GB"/>
              </w:rPr>
            </w:pPr>
          </w:p>
        </w:tc>
      </w:tr>
      <w:tr w:rsidR="00E91492" w:rsidRPr="00DB0F65" w14:paraId="4848300F" w14:textId="77777777" w:rsidTr="00E92041">
        <w:tc>
          <w:tcPr>
            <w:tcW w:w="1276" w:type="dxa"/>
            <w:tcBorders>
              <w:top w:val="nil"/>
              <w:left w:val="nil"/>
              <w:bottom w:val="nil"/>
              <w:right w:val="nil"/>
            </w:tcBorders>
          </w:tcPr>
          <w:p w14:paraId="11A4AB84" w14:textId="77777777" w:rsidR="00E91492" w:rsidRPr="00DB0F65" w:rsidRDefault="00E91492" w:rsidP="00E92041">
            <w:pPr>
              <w:pStyle w:val="CETBodytext"/>
              <w:tabs>
                <w:tab w:val="clear" w:pos="7100"/>
              </w:tabs>
              <w:ind w:left="-114"/>
              <w:jc w:val="left"/>
              <w:rPr>
                <w:i/>
                <w:lang w:val="en-GB"/>
              </w:rPr>
            </w:pPr>
            <w:r w:rsidRPr="00DB0F65">
              <w:rPr>
                <w:i/>
                <w:lang w:val="en-GB"/>
              </w:rPr>
              <w:t>7-Environment</w:t>
            </w:r>
          </w:p>
        </w:tc>
        <w:tc>
          <w:tcPr>
            <w:tcW w:w="7508" w:type="dxa"/>
            <w:tcBorders>
              <w:top w:val="nil"/>
              <w:left w:val="nil"/>
              <w:bottom w:val="nil"/>
              <w:right w:val="nil"/>
            </w:tcBorders>
          </w:tcPr>
          <w:p w14:paraId="755490E9" w14:textId="7F34B708" w:rsidR="00E91492" w:rsidRPr="00DB0F65" w:rsidRDefault="00F42A1F" w:rsidP="00E92041">
            <w:pPr>
              <w:pStyle w:val="CETBodytext"/>
              <w:tabs>
                <w:tab w:val="clear" w:pos="7100"/>
              </w:tabs>
              <w:jc w:val="left"/>
              <w:rPr>
                <w:sz w:val="6"/>
                <w:szCs w:val="6"/>
                <w:lang w:val="en-GB"/>
              </w:rPr>
            </w:pPr>
            <w:r w:rsidRPr="00DB0F65">
              <w:rPr>
                <w:lang w:val="en-GB"/>
              </w:rPr>
              <w:t xml:space="preserve">Soil pollution may be caused by minor leakages from the bottom, due to equipment ageing, and by occasional losses in loading operation. This is an emerging issue, for both the increasing attention of </w:t>
            </w:r>
            <w:r w:rsidR="005D62A6">
              <w:rPr>
                <w:lang w:val="en-GB"/>
              </w:rPr>
              <w:t>a</w:t>
            </w:r>
            <w:r w:rsidRPr="00DB0F65">
              <w:rPr>
                <w:lang w:val="en-GB"/>
              </w:rPr>
              <w:t>uthorities on soil pollution and the equipment ageing, as discussed in point 1</w:t>
            </w:r>
            <w:r w:rsidR="005D62A6">
              <w:rPr>
                <w:lang w:val="en-GB"/>
              </w:rPr>
              <w:t xml:space="preserve"> of this</w:t>
            </w:r>
            <w:r w:rsidRPr="00DB0F65">
              <w:rPr>
                <w:lang w:val="en-GB"/>
              </w:rPr>
              <w:t xml:space="preserve"> table.</w:t>
            </w:r>
          </w:p>
        </w:tc>
      </w:tr>
      <w:tr w:rsidR="00A14FD9" w:rsidRPr="00DB0F65" w14:paraId="6DC43687" w14:textId="77777777" w:rsidTr="00653FBB">
        <w:tc>
          <w:tcPr>
            <w:tcW w:w="1276" w:type="dxa"/>
            <w:tcBorders>
              <w:top w:val="nil"/>
              <w:left w:val="nil"/>
              <w:bottom w:val="single" w:sz="12" w:space="0" w:color="00B050"/>
              <w:right w:val="nil"/>
            </w:tcBorders>
          </w:tcPr>
          <w:p w14:paraId="14687B34" w14:textId="77777777" w:rsidR="00A14FD9" w:rsidRPr="00DB0F65" w:rsidRDefault="00A14FD9" w:rsidP="00653FBB">
            <w:pPr>
              <w:pStyle w:val="CETBodytext"/>
              <w:tabs>
                <w:tab w:val="clear" w:pos="7100"/>
              </w:tabs>
              <w:ind w:left="-114"/>
              <w:jc w:val="left"/>
              <w:rPr>
                <w:lang w:val="en-GB"/>
              </w:rPr>
            </w:pPr>
            <w:r w:rsidRPr="00DB0F65">
              <w:rPr>
                <w:i/>
                <w:lang w:val="en-GB"/>
              </w:rPr>
              <w:t>8</w:t>
            </w:r>
            <w:r w:rsidR="00E91492" w:rsidRPr="00DB0F65">
              <w:rPr>
                <w:i/>
                <w:lang w:val="en-GB"/>
              </w:rPr>
              <w:t>-Finance</w:t>
            </w:r>
          </w:p>
        </w:tc>
        <w:tc>
          <w:tcPr>
            <w:tcW w:w="7508" w:type="dxa"/>
            <w:tcBorders>
              <w:top w:val="nil"/>
              <w:left w:val="nil"/>
              <w:bottom w:val="single" w:sz="12" w:space="0" w:color="00B050"/>
              <w:right w:val="nil"/>
            </w:tcBorders>
          </w:tcPr>
          <w:p w14:paraId="074B45DF" w14:textId="245EA0B3" w:rsidR="00A14FD9" w:rsidRPr="00DB0F65" w:rsidRDefault="00F42A1F" w:rsidP="00B9770A">
            <w:pPr>
              <w:pStyle w:val="CETBodytext"/>
              <w:tabs>
                <w:tab w:val="clear" w:pos="7100"/>
              </w:tabs>
              <w:rPr>
                <w:lang w:val="en-GB"/>
              </w:rPr>
            </w:pPr>
            <w:r w:rsidRPr="00DB0F65">
              <w:rPr>
                <w:lang w:val="en-GB"/>
              </w:rPr>
              <w:t xml:space="preserve">Chemical </w:t>
            </w:r>
            <w:r w:rsidR="005D62A6">
              <w:rPr>
                <w:lang w:val="en-GB"/>
              </w:rPr>
              <w:t>l</w:t>
            </w:r>
            <w:r w:rsidRPr="00DB0F65">
              <w:rPr>
                <w:lang w:val="en-GB"/>
              </w:rPr>
              <w:t>ogistic is still a niche market and the interest of big financial group</w:t>
            </w:r>
            <w:r w:rsidR="00B9770A" w:rsidRPr="00DB0F65">
              <w:rPr>
                <w:lang w:val="en-GB"/>
              </w:rPr>
              <w:t xml:space="preserve"> is low</w:t>
            </w:r>
            <w:r w:rsidRPr="00DB0F65">
              <w:rPr>
                <w:lang w:val="en-GB"/>
              </w:rPr>
              <w:t>. Financial weakness, anyway, implies reduced resources and poor investments.</w:t>
            </w:r>
          </w:p>
        </w:tc>
      </w:tr>
    </w:tbl>
    <w:p w14:paraId="1B6CD3EE" w14:textId="77777777" w:rsidR="008820A1" w:rsidRPr="00DB0F65" w:rsidRDefault="008820A1" w:rsidP="008820A1">
      <w:pPr>
        <w:pStyle w:val="CETBodytext"/>
        <w:rPr>
          <w:lang w:val="en-GB"/>
        </w:rPr>
      </w:pPr>
    </w:p>
    <w:p w14:paraId="76284419" w14:textId="77777777" w:rsidR="00A2618F" w:rsidRPr="00DB0F65" w:rsidRDefault="00A2618F" w:rsidP="008820A1">
      <w:pPr>
        <w:pStyle w:val="CETBodytext"/>
        <w:rPr>
          <w:lang w:val="en-GB"/>
        </w:rPr>
      </w:pPr>
    </w:p>
    <w:p w14:paraId="01C97370" w14:textId="115BDEDA" w:rsidR="008820A1" w:rsidRPr="004D3CFA" w:rsidRDefault="0067044A" w:rsidP="00DB0F65">
      <w:pPr>
        <w:pStyle w:val="CETBodytext"/>
        <w:jc w:val="left"/>
        <w:rPr>
          <w:lang w:val="en-GB"/>
        </w:rPr>
      </w:pPr>
      <w:r w:rsidRPr="004D3CFA">
        <w:rPr>
          <w:noProof/>
          <w:lang w:val="it-IT" w:eastAsia="it-IT"/>
        </w:rPr>
        <w:drawing>
          <wp:inline distT="0" distB="0" distL="0" distR="0" wp14:anchorId="38295880" wp14:editId="2534EAD6">
            <wp:extent cx="5313872" cy="2647858"/>
            <wp:effectExtent l="0" t="0" r="1270" b="635"/>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2"/>
                    <a:stretch>
                      <a:fillRect/>
                    </a:stretch>
                  </pic:blipFill>
                  <pic:spPr>
                    <a:xfrm>
                      <a:off x="0" y="0"/>
                      <a:ext cx="5371067" cy="2676358"/>
                    </a:xfrm>
                    <a:prstGeom prst="rect">
                      <a:avLst/>
                    </a:prstGeom>
                  </pic:spPr>
                </pic:pic>
              </a:graphicData>
            </a:graphic>
          </wp:inline>
        </w:drawing>
      </w:r>
    </w:p>
    <w:p w14:paraId="285E4902" w14:textId="77777777" w:rsidR="008820A1" w:rsidRPr="00DB0F65" w:rsidRDefault="008820A1" w:rsidP="008820A1">
      <w:pPr>
        <w:pStyle w:val="CETCaption"/>
      </w:pPr>
      <w:r w:rsidRPr="004D3CFA">
        <w:t>Figure 1. Causal Loop.</w:t>
      </w:r>
      <w:r w:rsidR="007F6A1D" w:rsidRPr="004D3CFA">
        <w:t xml:space="preserve"> T</w:t>
      </w:r>
      <w:r w:rsidR="002602D7">
        <w:t>h</w:t>
      </w:r>
      <w:r w:rsidR="007F6A1D" w:rsidRPr="004D3CFA">
        <w:t>reats are filled in yellow. Undesired consequences are in red.</w:t>
      </w:r>
    </w:p>
    <w:p w14:paraId="4423A9D8" w14:textId="77777777" w:rsidR="00494403" w:rsidRPr="00DB0F65" w:rsidRDefault="00494403" w:rsidP="00494403">
      <w:pPr>
        <w:pStyle w:val="CETHeading1"/>
      </w:pPr>
      <w:r w:rsidRPr="00DB0F65">
        <w:t>Results</w:t>
      </w:r>
    </w:p>
    <w:p w14:paraId="2737A554" w14:textId="225DE26E" w:rsidR="00065F76" w:rsidRPr="00DB0F65" w:rsidRDefault="0013710A" w:rsidP="00065F76">
      <w:pPr>
        <w:pStyle w:val="CETBodytext"/>
        <w:rPr>
          <w:lang w:val="en-GB"/>
        </w:rPr>
      </w:pPr>
      <w:r w:rsidRPr="00DB0F65">
        <w:rPr>
          <w:lang w:val="en-GB"/>
        </w:rPr>
        <w:t>First</w:t>
      </w:r>
      <w:r w:rsidR="00DE2EAE">
        <w:rPr>
          <w:lang w:val="en-GB"/>
        </w:rPr>
        <w:t>ly</w:t>
      </w:r>
      <w:r w:rsidR="00764B08" w:rsidRPr="00DB0F65">
        <w:rPr>
          <w:lang w:val="en-GB"/>
        </w:rPr>
        <w:t>,</w:t>
      </w:r>
      <w:r w:rsidRPr="00DB0F65">
        <w:rPr>
          <w:lang w:val="en-GB"/>
        </w:rPr>
        <w:t xml:space="preserve"> threats have been </w:t>
      </w:r>
      <w:r w:rsidR="009A3EDA" w:rsidRPr="00DB0F65">
        <w:rPr>
          <w:lang w:val="en-GB"/>
        </w:rPr>
        <w:t>classified according to the criteria proposed in Section 2.2</w:t>
      </w:r>
      <w:r w:rsidR="00065F76" w:rsidRPr="00DB0F65">
        <w:rPr>
          <w:lang w:val="en-GB"/>
        </w:rPr>
        <w:t xml:space="preserve"> and by using expert judgments</w:t>
      </w:r>
      <w:r w:rsidR="009A3EDA" w:rsidRPr="00DB0F65">
        <w:rPr>
          <w:lang w:val="en-GB"/>
        </w:rPr>
        <w:t>.</w:t>
      </w:r>
      <w:r w:rsidRPr="00DB0F65">
        <w:rPr>
          <w:lang w:val="en-GB"/>
        </w:rPr>
        <w:t xml:space="preserve"> </w:t>
      </w:r>
      <w:r w:rsidR="009A3EDA" w:rsidRPr="00DB0F65">
        <w:rPr>
          <w:lang w:val="en-GB"/>
        </w:rPr>
        <w:t>Results are s</w:t>
      </w:r>
      <w:r w:rsidR="00065F76" w:rsidRPr="00DB0F65">
        <w:rPr>
          <w:lang w:val="en-GB"/>
        </w:rPr>
        <w:t xml:space="preserve">hown in Table </w:t>
      </w:r>
      <w:r w:rsidR="00C415D0" w:rsidRPr="00DB0F65">
        <w:rPr>
          <w:lang w:val="en-GB"/>
        </w:rPr>
        <w:t>3</w:t>
      </w:r>
      <w:r w:rsidR="00065F76" w:rsidRPr="00DB0F65">
        <w:rPr>
          <w:lang w:val="en-GB"/>
        </w:rPr>
        <w:t>. The first digit represents the severity of consequences, the second one the uncertainties in foresight and the third one the difficulties to mitigate risks.</w:t>
      </w:r>
      <w:r w:rsidR="006B3CB2" w:rsidRPr="00DB0F65">
        <w:rPr>
          <w:lang w:val="en-GB"/>
        </w:rPr>
        <w:t xml:space="preserve"> In general, in</w:t>
      </w:r>
      <w:r w:rsidR="006B3CB2" w:rsidRPr="00DB0F65">
        <w:t xml:space="preserve"> depots of hazardous liquids</w:t>
      </w:r>
      <w:r w:rsidR="006B3CB2" w:rsidRPr="00DB0F65">
        <w:rPr>
          <w:lang w:val="en-GB"/>
        </w:rPr>
        <w:t xml:space="preserve">, </w:t>
      </w:r>
      <w:r w:rsidR="00065F76" w:rsidRPr="00DB0F65">
        <w:rPr>
          <w:lang w:val="en-GB"/>
        </w:rPr>
        <w:t>destabilis</w:t>
      </w:r>
      <w:r w:rsidR="006B3CB2" w:rsidRPr="00DB0F65">
        <w:rPr>
          <w:lang w:val="en-GB"/>
        </w:rPr>
        <w:t xml:space="preserve">ation </w:t>
      </w:r>
      <w:r w:rsidR="00065F76" w:rsidRPr="00DB0F65">
        <w:rPr>
          <w:lang w:val="en-GB"/>
        </w:rPr>
        <w:t xml:space="preserve">come from the aggressive market, the demanding regulation and the financial weakness. </w:t>
      </w:r>
      <w:r w:rsidR="00764B08" w:rsidRPr="00DB0F65">
        <w:rPr>
          <w:lang w:val="en-GB"/>
        </w:rPr>
        <w:t xml:space="preserve">Financial </w:t>
      </w:r>
      <w:r w:rsidR="00065F76" w:rsidRPr="00DB0F65">
        <w:rPr>
          <w:lang w:val="en-GB"/>
        </w:rPr>
        <w:t>weakness</w:t>
      </w:r>
      <w:r w:rsidR="00764B08" w:rsidRPr="00DB0F65">
        <w:rPr>
          <w:lang w:val="en-GB"/>
        </w:rPr>
        <w:t xml:space="preserve"> stress</w:t>
      </w:r>
      <w:r w:rsidR="00A10B53">
        <w:rPr>
          <w:lang w:val="en-GB"/>
        </w:rPr>
        <w:t>es</w:t>
      </w:r>
      <w:r w:rsidR="00764B08" w:rsidRPr="00DB0F65">
        <w:rPr>
          <w:lang w:val="en-GB"/>
        </w:rPr>
        <w:t xml:space="preserve"> the effect of ageing</w:t>
      </w:r>
      <w:r w:rsidR="0067044A" w:rsidRPr="00DB0F65">
        <w:rPr>
          <w:lang w:val="en-GB"/>
        </w:rPr>
        <w:t xml:space="preserve"> </w:t>
      </w:r>
      <w:r w:rsidR="002602D7">
        <w:rPr>
          <w:lang w:val="en-GB"/>
        </w:rPr>
        <w:t>and obsolescenc</w:t>
      </w:r>
      <w:r w:rsidR="00764B08" w:rsidRPr="00DB0F65">
        <w:rPr>
          <w:lang w:val="en-GB"/>
        </w:rPr>
        <w:t>e</w:t>
      </w:r>
      <w:r w:rsidR="0067044A" w:rsidRPr="00DB0F65">
        <w:rPr>
          <w:lang w:val="en-GB"/>
        </w:rPr>
        <w:t xml:space="preserve"> </w:t>
      </w:r>
    </w:p>
    <w:p w14:paraId="1CCE4389" w14:textId="77777777" w:rsidR="00924704" w:rsidRPr="00DB0F65" w:rsidRDefault="00924704" w:rsidP="003F68EF">
      <w:pPr>
        <w:pStyle w:val="CETTabletitle"/>
      </w:pPr>
      <w:r w:rsidRPr="00DB0F65">
        <w:t xml:space="preserve">Table </w:t>
      </w:r>
      <w:r w:rsidR="00C415D0" w:rsidRPr="00DB0F65">
        <w:t>3</w:t>
      </w:r>
      <w:r w:rsidRPr="00DB0F65">
        <w:t xml:space="preserve"> Score </w:t>
      </w:r>
      <w:r w:rsidR="006B3CB2" w:rsidRPr="00DB0F65">
        <w:t>for</w:t>
      </w:r>
      <w:r w:rsidR="0085697B" w:rsidRPr="00DB0F65">
        <w:t xml:space="preserve"> the</w:t>
      </w:r>
      <w:r w:rsidR="006B3CB2" w:rsidRPr="00DB0F65">
        <w:t xml:space="preserve"> </w:t>
      </w:r>
      <w:r w:rsidRPr="00DB0F65">
        <w:t xml:space="preserve">threats </w:t>
      </w:r>
      <w:r w:rsidR="006B3CB2" w:rsidRPr="00DB0F65">
        <w:t>associated to the case-study.</w:t>
      </w:r>
    </w:p>
    <w:tbl>
      <w:tblPr>
        <w:tblStyle w:val="Grigliatabella"/>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2126"/>
        <w:gridCol w:w="993"/>
        <w:gridCol w:w="1842"/>
        <w:gridCol w:w="162"/>
        <w:gridCol w:w="687"/>
      </w:tblGrid>
      <w:tr w:rsidR="001B26F5" w:rsidRPr="00DB0F65" w14:paraId="750A6779" w14:textId="77777777" w:rsidTr="0065240C">
        <w:tc>
          <w:tcPr>
            <w:tcW w:w="1985" w:type="dxa"/>
            <w:tcBorders>
              <w:top w:val="single" w:sz="12" w:space="0" w:color="00B050"/>
              <w:bottom w:val="single" w:sz="4" w:space="0" w:color="00B050"/>
              <w:right w:val="nil"/>
            </w:tcBorders>
          </w:tcPr>
          <w:p w14:paraId="3001A534" w14:textId="77777777" w:rsidR="00924704" w:rsidRPr="00DB0F65" w:rsidRDefault="00924704" w:rsidP="00924704">
            <w:pPr>
              <w:pStyle w:val="CETBodytext"/>
              <w:rPr>
                <w:lang w:val="en-GB"/>
              </w:rPr>
            </w:pPr>
            <w:r w:rsidRPr="00DB0F65">
              <w:rPr>
                <w:lang w:val="en-GB"/>
              </w:rPr>
              <w:t>Threat</w:t>
            </w:r>
          </w:p>
        </w:tc>
        <w:tc>
          <w:tcPr>
            <w:tcW w:w="992" w:type="dxa"/>
            <w:tcBorders>
              <w:top w:val="single" w:sz="12" w:space="0" w:color="00B050"/>
              <w:left w:val="nil"/>
              <w:bottom w:val="single" w:sz="4" w:space="0" w:color="00B050"/>
              <w:right w:val="nil"/>
            </w:tcBorders>
          </w:tcPr>
          <w:p w14:paraId="4A2B8BD7" w14:textId="77777777" w:rsidR="00924704" w:rsidRPr="00DB0F65" w:rsidRDefault="00924704" w:rsidP="006B3CB2">
            <w:pPr>
              <w:pStyle w:val="CETBodytext"/>
              <w:jc w:val="center"/>
              <w:rPr>
                <w:lang w:val="en-GB"/>
              </w:rPr>
            </w:pPr>
            <w:r w:rsidRPr="00DB0F65">
              <w:rPr>
                <w:lang w:val="en-GB"/>
              </w:rPr>
              <w:t>Score</w:t>
            </w:r>
          </w:p>
        </w:tc>
        <w:tc>
          <w:tcPr>
            <w:tcW w:w="2126" w:type="dxa"/>
            <w:tcBorders>
              <w:top w:val="single" w:sz="12" w:space="0" w:color="00B050"/>
              <w:left w:val="nil"/>
              <w:bottom w:val="single" w:sz="4" w:space="0" w:color="00B050"/>
              <w:right w:val="nil"/>
            </w:tcBorders>
          </w:tcPr>
          <w:p w14:paraId="03A089AE" w14:textId="77777777" w:rsidR="00924704" w:rsidRPr="00DB0F65" w:rsidRDefault="00924704" w:rsidP="009E5CE3">
            <w:pPr>
              <w:pStyle w:val="CETBodytext"/>
              <w:rPr>
                <w:lang w:val="en-GB"/>
              </w:rPr>
            </w:pPr>
            <w:r w:rsidRPr="00DB0F65">
              <w:rPr>
                <w:lang w:val="en-GB"/>
              </w:rPr>
              <w:t>Threat</w:t>
            </w:r>
          </w:p>
        </w:tc>
        <w:tc>
          <w:tcPr>
            <w:tcW w:w="993" w:type="dxa"/>
            <w:tcBorders>
              <w:top w:val="single" w:sz="12" w:space="0" w:color="00B050"/>
              <w:left w:val="nil"/>
              <w:bottom w:val="single" w:sz="4" w:space="0" w:color="00B050"/>
              <w:right w:val="nil"/>
            </w:tcBorders>
          </w:tcPr>
          <w:p w14:paraId="40CE9221" w14:textId="77777777" w:rsidR="00924704" w:rsidRPr="00DB0F65" w:rsidRDefault="001B26F5" w:rsidP="006B3CB2">
            <w:pPr>
              <w:pStyle w:val="CETBodytext"/>
              <w:jc w:val="center"/>
              <w:rPr>
                <w:lang w:val="en-GB"/>
              </w:rPr>
            </w:pPr>
            <w:r w:rsidRPr="00DB0F65">
              <w:rPr>
                <w:lang w:val="en-GB"/>
              </w:rPr>
              <w:t>S</w:t>
            </w:r>
            <w:r w:rsidR="00924704" w:rsidRPr="00DB0F65">
              <w:rPr>
                <w:lang w:val="en-GB"/>
              </w:rPr>
              <w:t>core</w:t>
            </w:r>
          </w:p>
        </w:tc>
        <w:tc>
          <w:tcPr>
            <w:tcW w:w="1842" w:type="dxa"/>
            <w:tcBorders>
              <w:top w:val="single" w:sz="12" w:space="0" w:color="00B050"/>
              <w:left w:val="nil"/>
              <w:bottom w:val="single" w:sz="4" w:space="0" w:color="00B050"/>
              <w:right w:val="nil"/>
            </w:tcBorders>
          </w:tcPr>
          <w:p w14:paraId="4FC8E57D" w14:textId="77777777" w:rsidR="00924704" w:rsidRPr="00DB0F65" w:rsidRDefault="00924704" w:rsidP="009E5CE3">
            <w:pPr>
              <w:pStyle w:val="CETBodytext"/>
              <w:rPr>
                <w:lang w:val="en-GB"/>
              </w:rPr>
            </w:pPr>
            <w:r w:rsidRPr="00DB0F65">
              <w:rPr>
                <w:lang w:val="en-GB"/>
              </w:rPr>
              <w:t>Threat</w:t>
            </w:r>
          </w:p>
        </w:tc>
        <w:tc>
          <w:tcPr>
            <w:tcW w:w="849" w:type="dxa"/>
            <w:gridSpan w:val="2"/>
            <w:tcBorders>
              <w:top w:val="single" w:sz="12" w:space="0" w:color="00B050"/>
              <w:left w:val="nil"/>
              <w:bottom w:val="single" w:sz="4" w:space="0" w:color="00B050"/>
            </w:tcBorders>
          </w:tcPr>
          <w:p w14:paraId="6918BCA8" w14:textId="77777777" w:rsidR="00924704" w:rsidRPr="00DB0F65" w:rsidRDefault="00924704" w:rsidP="006B3CB2">
            <w:pPr>
              <w:pStyle w:val="CETBodytext"/>
              <w:jc w:val="center"/>
              <w:rPr>
                <w:lang w:val="en-GB"/>
              </w:rPr>
            </w:pPr>
            <w:r w:rsidRPr="00DB0F65">
              <w:rPr>
                <w:lang w:val="en-GB"/>
              </w:rPr>
              <w:t>Score</w:t>
            </w:r>
          </w:p>
        </w:tc>
      </w:tr>
      <w:tr w:rsidR="001B26F5" w:rsidRPr="00DB0F65" w14:paraId="3A27F582" w14:textId="77777777" w:rsidTr="0065240C">
        <w:tc>
          <w:tcPr>
            <w:tcW w:w="1985" w:type="dxa"/>
            <w:tcBorders>
              <w:top w:val="single" w:sz="4" w:space="0" w:color="00B050"/>
              <w:bottom w:val="nil"/>
              <w:right w:val="nil"/>
            </w:tcBorders>
          </w:tcPr>
          <w:p w14:paraId="2B30831F" w14:textId="77777777" w:rsidR="001B26F5" w:rsidRPr="00DB0F65" w:rsidRDefault="001B26F5" w:rsidP="001B26F5">
            <w:pPr>
              <w:pStyle w:val="CETBodytext"/>
              <w:rPr>
                <w:i/>
                <w:lang w:val="en-GB"/>
              </w:rPr>
            </w:pPr>
            <w:r w:rsidRPr="00DB0F65">
              <w:rPr>
                <w:i/>
                <w:lang w:val="en-GB"/>
              </w:rPr>
              <w:t>1-Ageing</w:t>
            </w:r>
          </w:p>
        </w:tc>
        <w:tc>
          <w:tcPr>
            <w:tcW w:w="992" w:type="dxa"/>
            <w:tcBorders>
              <w:top w:val="single" w:sz="4" w:space="0" w:color="00B050"/>
              <w:left w:val="nil"/>
              <w:bottom w:val="nil"/>
              <w:right w:val="nil"/>
            </w:tcBorders>
          </w:tcPr>
          <w:p w14:paraId="7F2300F8" w14:textId="77777777" w:rsidR="001B26F5" w:rsidRPr="00DB0F65" w:rsidRDefault="00764B08" w:rsidP="00764B08">
            <w:pPr>
              <w:pStyle w:val="CETBodytext"/>
              <w:jc w:val="center"/>
              <w:rPr>
                <w:lang w:val="en-GB"/>
              </w:rPr>
            </w:pPr>
            <w:r w:rsidRPr="00DB0F65">
              <w:rPr>
                <w:lang w:val="en-GB"/>
              </w:rPr>
              <w:t>ABC</w:t>
            </w:r>
          </w:p>
        </w:tc>
        <w:tc>
          <w:tcPr>
            <w:tcW w:w="2126" w:type="dxa"/>
            <w:tcBorders>
              <w:top w:val="single" w:sz="4" w:space="0" w:color="00B050"/>
              <w:left w:val="nil"/>
              <w:bottom w:val="nil"/>
              <w:right w:val="nil"/>
            </w:tcBorders>
          </w:tcPr>
          <w:p w14:paraId="7CE91995" w14:textId="06C46DDB" w:rsidR="001B26F5" w:rsidRPr="00DB0F65" w:rsidRDefault="001B26F5" w:rsidP="001B26F5">
            <w:pPr>
              <w:pStyle w:val="CETBodytext"/>
              <w:jc w:val="left"/>
              <w:rPr>
                <w:i/>
                <w:sz w:val="6"/>
                <w:szCs w:val="6"/>
                <w:lang w:val="en-GB"/>
              </w:rPr>
            </w:pPr>
            <w:r w:rsidRPr="00DB0F65">
              <w:rPr>
                <w:i/>
                <w:lang w:val="en-GB"/>
              </w:rPr>
              <w:t xml:space="preserve">4-Ageing </w:t>
            </w:r>
            <w:r w:rsidR="00DE2EAE">
              <w:rPr>
                <w:i/>
                <w:lang w:val="en-GB"/>
              </w:rPr>
              <w:t>O</w:t>
            </w:r>
            <w:r w:rsidRPr="00DB0F65">
              <w:rPr>
                <w:i/>
                <w:lang w:val="en-GB"/>
              </w:rPr>
              <w:t>rganisation</w:t>
            </w:r>
          </w:p>
          <w:p w14:paraId="15877420" w14:textId="77777777" w:rsidR="001B26F5" w:rsidRPr="00DB0F65" w:rsidRDefault="001B26F5" w:rsidP="001B26F5">
            <w:pPr>
              <w:pStyle w:val="CETBodytext"/>
              <w:jc w:val="left"/>
              <w:rPr>
                <w:sz w:val="6"/>
                <w:szCs w:val="6"/>
                <w:lang w:val="en-GB"/>
              </w:rPr>
            </w:pPr>
          </w:p>
        </w:tc>
        <w:tc>
          <w:tcPr>
            <w:tcW w:w="993" w:type="dxa"/>
            <w:tcBorders>
              <w:top w:val="single" w:sz="4" w:space="0" w:color="00B050"/>
              <w:left w:val="nil"/>
              <w:bottom w:val="nil"/>
              <w:right w:val="nil"/>
            </w:tcBorders>
          </w:tcPr>
          <w:p w14:paraId="087EA102" w14:textId="77777777" w:rsidR="001B26F5" w:rsidRPr="00DB0F65" w:rsidRDefault="00764B08" w:rsidP="001B26F5">
            <w:pPr>
              <w:pStyle w:val="CETBodytext"/>
              <w:jc w:val="center"/>
              <w:rPr>
                <w:lang w:val="en-GB"/>
              </w:rPr>
            </w:pPr>
            <w:r w:rsidRPr="00DB0F65">
              <w:rPr>
                <w:lang w:val="en-GB"/>
              </w:rPr>
              <w:t>A</w:t>
            </w:r>
            <w:r w:rsidR="001B26F5" w:rsidRPr="00DB0F65">
              <w:rPr>
                <w:lang w:val="en-GB"/>
              </w:rPr>
              <w:t>CC</w:t>
            </w:r>
          </w:p>
        </w:tc>
        <w:tc>
          <w:tcPr>
            <w:tcW w:w="1842" w:type="dxa"/>
            <w:tcBorders>
              <w:top w:val="single" w:sz="4" w:space="0" w:color="00B050"/>
              <w:left w:val="nil"/>
              <w:bottom w:val="nil"/>
              <w:right w:val="nil"/>
            </w:tcBorders>
          </w:tcPr>
          <w:p w14:paraId="7CF371BC" w14:textId="77777777" w:rsidR="001B26F5" w:rsidRPr="00DB0F65" w:rsidRDefault="001B26F5" w:rsidP="001B26F5">
            <w:pPr>
              <w:pStyle w:val="CETBodytext"/>
              <w:rPr>
                <w:i/>
                <w:lang w:val="en-GB"/>
              </w:rPr>
            </w:pPr>
            <w:r w:rsidRPr="00DB0F65">
              <w:rPr>
                <w:i/>
                <w:lang w:val="en-GB"/>
              </w:rPr>
              <w:t>7-Environment</w:t>
            </w:r>
          </w:p>
        </w:tc>
        <w:tc>
          <w:tcPr>
            <w:tcW w:w="849" w:type="dxa"/>
            <w:gridSpan w:val="2"/>
            <w:tcBorders>
              <w:top w:val="single" w:sz="4" w:space="0" w:color="00B050"/>
              <w:left w:val="nil"/>
              <w:bottom w:val="nil"/>
            </w:tcBorders>
          </w:tcPr>
          <w:p w14:paraId="225F395A" w14:textId="77777777" w:rsidR="001B26F5" w:rsidRPr="00DB0F65" w:rsidRDefault="001B26F5" w:rsidP="001B26F5">
            <w:pPr>
              <w:pStyle w:val="CETBodytext"/>
              <w:jc w:val="center"/>
              <w:rPr>
                <w:lang w:val="en-GB"/>
              </w:rPr>
            </w:pPr>
            <w:r w:rsidRPr="00DB0F65">
              <w:rPr>
                <w:lang w:val="en-GB"/>
              </w:rPr>
              <w:t>CCC</w:t>
            </w:r>
          </w:p>
        </w:tc>
      </w:tr>
      <w:tr w:rsidR="001B26F5" w:rsidRPr="00DB0F65" w14:paraId="69E6B505" w14:textId="77777777" w:rsidTr="0065240C">
        <w:tc>
          <w:tcPr>
            <w:tcW w:w="1985" w:type="dxa"/>
            <w:tcBorders>
              <w:top w:val="nil"/>
              <w:bottom w:val="nil"/>
              <w:right w:val="nil"/>
            </w:tcBorders>
          </w:tcPr>
          <w:p w14:paraId="2A023E77" w14:textId="5B926D55" w:rsidR="001B26F5" w:rsidRPr="00DB0F65" w:rsidRDefault="001B26F5" w:rsidP="001B26F5">
            <w:pPr>
              <w:pStyle w:val="CETBodytext"/>
              <w:rPr>
                <w:i/>
                <w:sz w:val="6"/>
                <w:szCs w:val="6"/>
                <w:lang w:val="en-GB"/>
              </w:rPr>
            </w:pPr>
            <w:r w:rsidRPr="00DB0F65">
              <w:rPr>
                <w:i/>
                <w:lang w:val="en-GB"/>
              </w:rPr>
              <w:t>2-Technical</w:t>
            </w:r>
            <w:r w:rsidR="00185C60">
              <w:rPr>
                <w:i/>
                <w:lang w:val="en-GB"/>
              </w:rPr>
              <w:t xml:space="preserve"> </w:t>
            </w:r>
            <w:r w:rsidR="00DE2EAE">
              <w:rPr>
                <w:i/>
                <w:lang w:val="en-GB"/>
              </w:rPr>
              <w:t>O</w:t>
            </w:r>
            <w:r w:rsidR="00185C60">
              <w:rPr>
                <w:i/>
                <w:lang w:val="en-GB"/>
              </w:rPr>
              <w:t>bsol</w:t>
            </w:r>
            <w:r w:rsidR="00DE2EAE">
              <w:rPr>
                <w:i/>
                <w:lang w:val="en-GB"/>
              </w:rPr>
              <w:t>escence</w:t>
            </w:r>
          </w:p>
          <w:p w14:paraId="33232496" w14:textId="77777777" w:rsidR="001B26F5" w:rsidRPr="00DB0F65" w:rsidRDefault="001B26F5" w:rsidP="001B26F5">
            <w:pPr>
              <w:pStyle w:val="CETBodytext"/>
              <w:rPr>
                <w:i/>
                <w:sz w:val="6"/>
                <w:szCs w:val="6"/>
                <w:lang w:val="en-GB"/>
              </w:rPr>
            </w:pPr>
          </w:p>
        </w:tc>
        <w:tc>
          <w:tcPr>
            <w:tcW w:w="992" w:type="dxa"/>
            <w:tcBorders>
              <w:top w:val="nil"/>
              <w:left w:val="nil"/>
              <w:bottom w:val="nil"/>
              <w:right w:val="nil"/>
            </w:tcBorders>
          </w:tcPr>
          <w:p w14:paraId="663F61A9" w14:textId="77777777" w:rsidR="001B26F5" w:rsidRPr="00DB0F65" w:rsidRDefault="00764B08" w:rsidP="00764B08">
            <w:pPr>
              <w:pStyle w:val="CETBodytext"/>
              <w:jc w:val="center"/>
              <w:rPr>
                <w:lang w:val="en-GB"/>
              </w:rPr>
            </w:pPr>
            <w:r w:rsidRPr="00DB0F65">
              <w:rPr>
                <w:lang w:val="en-GB"/>
              </w:rPr>
              <w:t>ACC</w:t>
            </w:r>
          </w:p>
        </w:tc>
        <w:tc>
          <w:tcPr>
            <w:tcW w:w="2126" w:type="dxa"/>
            <w:tcBorders>
              <w:top w:val="nil"/>
              <w:left w:val="nil"/>
              <w:bottom w:val="nil"/>
              <w:right w:val="nil"/>
            </w:tcBorders>
          </w:tcPr>
          <w:p w14:paraId="28928210" w14:textId="77777777" w:rsidR="001B26F5" w:rsidRPr="00DB0F65" w:rsidRDefault="001B26F5" w:rsidP="001B26F5">
            <w:pPr>
              <w:pStyle w:val="CETBodytext"/>
              <w:rPr>
                <w:i/>
                <w:lang w:val="en-GB"/>
              </w:rPr>
            </w:pPr>
            <w:r w:rsidRPr="00DB0F65">
              <w:rPr>
                <w:i/>
                <w:lang w:val="en-GB"/>
              </w:rPr>
              <w:t>5-Market</w:t>
            </w:r>
          </w:p>
        </w:tc>
        <w:tc>
          <w:tcPr>
            <w:tcW w:w="993" w:type="dxa"/>
            <w:tcBorders>
              <w:top w:val="nil"/>
              <w:left w:val="nil"/>
              <w:bottom w:val="nil"/>
              <w:right w:val="nil"/>
            </w:tcBorders>
          </w:tcPr>
          <w:p w14:paraId="17946859" w14:textId="77777777" w:rsidR="001B26F5" w:rsidRPr="00DB0F65" w:rsidRDefault="00764B08" w:rsidP="00764B08">
            <w:pPr>
              <w:pStyle w:val="CETBodytext"/>
              <w:jc w:val="center"/>
              <w:rPr>
                <w:lang w:val="en-GB"/>
              </w:rPr>
            </w:pPr>
            <w:r w:rsidRPr="00DB0F65">
              <w:rPr>
                <w:lang w:val="en-GB"/>
              </w:rPr>
              <w:t>AAB</w:t>
            </w:r>
          </w:p>
        </w:tc>
        <w:tc>
          <w:tcPr>
            <w:tcW w:w="1842" w:type="dxa"/>
            <w:tcBorders>
              <w:top w:val="nil"/>
              <w:left w:val="nil"/>
              <w:bottom w:val="nil"/>
              <w:right w:val="nil"/>
            </w:tcBorders>
          </w:tcPr>
          <w:p w14:paraId="3373CB37" w14:textId="77777777" w:rsidR="001B26F5" w:rsidRPr="00DB0F65" w:rsidRDefault="001B26F5" w:rsidP="001B26F5">
            <w:pPr>
              <w:pStyle w:val="CETBodytext"/>
              <w:rPr>
                <w:i/>
                <w:lang w:val="en-GB"/>
              </w:rPr>
            </w:pPr>
            <w:r w:rsidRPr="00DB0F65">
              <w:rPr>
                <w:i/>
                <w:lang w:val="en-GB"/>
              </w:rPr>
              <w:t>8-Finance</w:t>
            </w:r>
          </w:p>
        </w:tc>
        <w:tc>
          <w:tcPr>
            <w:tcW w:w="849" w:type="dxa"/>
            <w:gridSpan w:val="2"/>
            <w:tcBorders>
              <w:top w:val="nil"/>
              <w:left w:val="nil"/>
              <w:bottom w:val="nil"/>
            </w:tcBorders>
          </w:tcPr>
          <w:p w14:paraId="7C47CF40" w14:textId="77777777" w:rsidR="001B26F5" w:rsidRPr="00DB0F65" w:rsidRDefault="001B26F5" w:rsidP="001B26F5">
            <w:pPr>
              <w:pStyle w:val="CETBodytext"/>
              <w:jc w:val="center"/>
              <w:rPr>
                <w:lang w:val="en-GB"/>
              </w:rPr>
            </w:pPr>
            <w:r w:rsidRPr="00DB0F65">
              <w:rPr>
                <w:lang w:val="en-GB"/>
              </w:rPr>
              <w:t>A</w:t>
            </w:r>
            <w:r w:rsidR="0067044A" w:rsidRPr="00DB0F65">
              <w:rPr>
                <w:lang w:val="en-GB"/>
              </w:rPr>
              <w:t>B</w:t>
            </w:r>
            <w:r w:rsidRPr="00DB0F65">
              <w:rPr>
                <w:lang w:val="en-GB"/>
              </w:rPr>
              <w:t>C</w:t>
            </w:r>
          </w:p>
        </w:tc>
      </w:tr>
      <w:tr w:rsidR="001B26F5" w:rsidRPr="00DB0F65" w14:paraId="333C3503" w14:textId="77777777" w:rsidTr="0065240C">
        <w:tc>
          <w:tcPr>
            <w:tcW w:w="1985" w:type="dxa"/>
            <w:tcBorders>
              <w:top w:val="nil"/>
              <w:bottom w:val="single" w:sz="12" w:space="0" w:color="00B050"/>
              <w:right w:val="nil"/>
            </w:tcBorders>
          </w:tcPr>
          <w:p w14:paraId="52BB7AE0" w14:textId="77777777" w:rsidR="001B26F5" w:rsidRPr="00DB0F65" w:rsidRDefault="001B26F5" w:rsidP="00185C60">
            <w:pPr>
              <w:pStyle w:val="CETBodytext"/>
              <w:rPr>
                <w:i/>
                <w:lang w:val="en-GB"/>
              </w:rPr>
            </w:pPr>
            <w:r w:rsidRPr="00DB0F65">
              <w:rPr>
                <w:i/>
                <w:lang w:val="en-GB"/>
              </w:rPr>
              <w:t>3-Regulatory</w:t>
            </w:r>
          </w:p>
        </w:tc>
        <w:tc>
          <w:tcPr>
            <w:tcW w:w="992" w:type="dxa"/>
            <w:tcBorders>
              <w:top w:val="nil"/>
              <w:left w:val="nil"/>
              <w:bottom w:val="single" w:sz="12" w:space="0" w:color="00B050"/>
              <w:right w:val="nil"/>
            </w:tcBorders>
          </w:tcPr>
          <w:p w14:paraId="7D65B917" w14:textId="77777777" w:rsidR="001B26F5" w:rsidRPr="00DB0F65" w:rsidRDefault="00764B08" w:rsidP="001B26F5">
            <w:pPr>
              <w:pStyle w:val="CETBodytext"/>
              <w:jc w:val="center"/>
              <w:rPr>
                <w:lang w:val="en-GB"/>
              </w:rPr>
            </w:pPr>
            <w:r w:rsidRPr="00DB0F65">
              <w:rPr>
                <w:lang w:val="en-GB"/>
              </w:rPr>
              <w:t>B</w:t>
            </w:r>
            <w:r w:rsidR="001B26F5" w:rsidRPr="00DB0F65">
              <w:rPr>
                <w:lang w:val="en-GB"/>
              </w:rPr>
              <w:t>BB</w:t>
            </w:r>
          </w:p>
        </w:tc>
        <w:tc>
          <w:tcPr>
            <w:tcW w:w="2126" w:type="dxa"/>
            <w:tcBorders>
              <w:top w:val="nil"/>
              <w:left w:val="nil"/>
              <w:bottom w:val="single" w:sz="12" w:space="0" w:color="00B050"/>
              <w:right w:val="nil"/>
            </w:tcBorders>
          </w:tcPr>
          <w:p w14:paraId="427A9FC4" w14:textId="77777777" w:rsidR="001B26F5" w:rsidRPr="00DB0F65" w:rsidRDefault="001B26F5" w:rsidP="001B26F5">
            <w:pPr>
              <w:pStyle w:val="CETBodytext"/>
              <w:rPr>
                <w:i/>
                <w:lang w:val="en-GB"/>
              </w:rPr>
            </w:pPr>
            <w:r w:rsidRPr="00DB0F65">
              <w:rPr>
                <w:i/>
                <w:lang w:val="en-GB"/>
              </w:rPr>
              <w:t>6-Community</w:t>
            </w:r>
          </w:p>
        </w:tc>
        <w:tc>
          <w:tcPr>
            <w:tcW w:w="993" w:type="dxa"/>
            <w:tcBorders>
              <w:top w:val="nil"/>
              <w:left w:val="nil"/>
              <w:bottom w:val="single" w:sz="12" w:space="0" w:color="00B050"/>
              <w:right w:val="nil"/>
            </w:tcBorders>
          </w:tcPr>
          <w:p w14:paraId="754FF825" w14:textId="77777777" w:rsidR="001B26F5" w:rsidRPr="00DB0F65" w:rsidRDefault="001B26F5" w:rsidP="001B26F5">
            <w:pPr>
              <w:pStyle w:val="CETBodytext"/>
              <w:jc w:val="center"/>
              <w:rPr>
                <w:lang w:val="en-GB"/>
              </w:rPr>
            </w:pPr>
            <w:r w:rsidRPr="00DB0F65">
              <w:rPr>
                <w:lang w:val="en-GB"/>
              </w:rPr>
              <w:t>CCC</w:t>
            </w:r>
          </w:p>
        </w:tc>
        <w:tc>
          <w:tcPr>
            <w:tcW w:w="2004" w:type="dxa"/>
            <w:gridSpan w:val="2"/>
            <w:tcBorders>
              <w:top w:val="nil"/>
              <w:left w:val="nil"/>
              <w:bottom w:val="single" w:sz="12" w:space="0" w:color="00B050"/>
              <w:right w:val="nil"/>
            </w:tcBorders>
          </w:tcPr>
          <w:p w14:paraId="17EF8A65" w14:textId="77777777" w:rsidR="001B26F5" w:rsidRPr="00DB0F65" w:rsidRDefault="001B26F5" w:rsidP="001B26F5">
            <w:pPr>
              <w:pStyle w:val="CETBodytext"/>
              <w:rPr>
                <w:lang w:val="en-GB"/>
              </w:rPr>
            </w:pPr>
          </w:p>
        </w:tc>
        <w:tc>
          <w:tcPr>
            <w:tcW w:w="687" w:type="dxa"/>
            <w:tcBorders>
              <w:top w:val="nil"/>
              <w:left w:val="nil"/>
              <w:bottom w:val="single" w:sz="12" w:space="0" w:color="00B050"/>
            </w:tcBorders>
          </w:tcPr>
          <w:p w14:paraId="5B9D0E58" w14:textId="77777777" w:rsidR="001B26F5" w:rsidRPr="00DB0F65" w:rsidRDefault="001B26F5" w:rsidP="001B26F5">
            <w:pPr>
              <w:pStyle w:val="CETBodytext"/>
              <w:jc w:val="center"/>
              <w:rPr>
                <w:lang w:val="en-GB"/>
              </w:rPr>
            </w:pPr>
          </w:p>
        </w:tc>
      </w:tr>
    </w:tbl>
    <w:p w14:paraId="27CA9546" w14:textId="77777777" w:rsidR="008D057E" w:rsidRPr="00DB0F65" w:rsidRDefault="008D057E" w:rsidP="009E5CE3">
      <w:pPr>
        <w:pStyle w:val="CETBodytext"/>
        <w:rPr>
          <w:lang w:val="en-GB"/>
        </w:rPr>
      </w:pPr>
    </w:p>
    <w:p w14:paraId="21CD6876" w14:textId="1345363A" w:rsidR="009B63EA" w:rsidRPr="00DB0F65" w:rsidRDefault="009B63EA" w:rsidP="009B63EA">
      <w:pPr>
        <w:pStyle w:val="CETBodytext"/>
        <w:rPr>
          <w:lang w:val="en-GB"/>
        </w:rPr>
      </w:pPr>
      <w:r w:rsidRPr="00DB0F65">
        <w:rPr>
          <w:lang w:val="en-GB"/>
        </w:rPr>
        <w:t xml:space="preserve">The operator cannot fight against </w:t>
      </w:r>
      <w:r w:rsidR="003F68EF" w:rsidRPr="00DB0F65">
        <w:rPr>
          <w:lang w:val="en-GB"/>
        </w:rPr>
        <w:t xml:space="preserve">the threat derived from </w:t>
      </w:r>
      <w:r w:rsidRPr="00DB0F65">
        <w:rPr>
          <w:lang w:val="en-GB"/>
        </w:rPr>
        <w:t>finance</w:t>
      </w:r>
      <w:r w:rsidR="003F68EF" w:rsidRPr="00DB0F65">
        <w:rPr>
          <w:lang w:val="en-GB"/>
        </w:rPr>
        <w:t xml:space="preserve"> changes</w:t>
      </w:r>
      <w:r w:rsidRPr="00DB0F65">
        <w:rPr>
          <w:lang w:val="en-GB"/>
        </w:rPr>
        <w:t xml:space="preserve">, but they have the capability to control equipment ageing, instrument obsolescence and personnel ageing, which are related to major driving forces. To face these </w:t>
      </w:r>
      <w:r w:rsidR="003F68EF" w:rsidRPr="00DB0F65">
        <w:rPr>
          <w:lang w:val="en-GB"/>
        </w:rPr>
        <w:t>phenomena</w:t>
      </w:r>
      <w:r w:rsidRPr="00DB0F65">
        <w:rPr>
          <w:lang w:val="en-GB"/>
        </w:rPr>
        <w:t>, as well other changes, it is essential to have a dynamic management of risk.</w:t>
      </w:r>
      <w:r w:rsidR="0067044A" w:rsidRPr="00DB0F65">
        <w:rPr>
          <w:lang w:val="en-GB"/>
        </w:rPr>
        <w:t xml:space="preserve"> It include</w:t>
      </w:r>
      <w:r w:rsidR="00DE2EAE">
        <w:rPr>
          <w:lang w:val="en-GB"/>
        </w:rPr>
        <w:t>s</w:t>
      </w:r>
      <w:r w:rsidR="0067044A" w:rsidRPr="00DB0F65">
        <w:rPr>
          <w:lang w:val="en-GB"/>
        </w:rPr>
        <w:t xml:space="preserve"> the adoption of tools for the dynamic risk assessment (e.g. system dynamics) as well as dynamic procedure as discussed in section 2.</w:t>
      </w:r>
      <w:r w:rsidRPr="00DB0F65">
        <w:rPr>
          <w:lang w:val="en-GB"/>
        </w:rPr>
        <w:t xml:space="preserve"> </w:t>
      </w:r>
      <w:r w:rsidR="003F68EF" w:rsidRPr="00DB0F65">
        <w:rPr>
          <w:lang w:val="en-GB"/>
        </w:rPr>
        <w:t xml:space="preserve">Figure 2 shows </w:t>
      </w:r>
      <w:r w:rsidRPr="00DB0F65">
        <w:rPr>
          <w:lang w:val="en-GB"/>
        </w:rPr>
        <w:t xml:space="preserve">that this </w:t>
      </w:r>
      <w:r w:rsidR="0067044A" w:rsidRPr="00DB0F65">
        <w:rPr>
          <w:lang w:val="en-GB"/>
        </w:rPr>
        <w:t xml:space="preserve">“dynamic risk management” </w:t>
      </w:r>
      <w:r w:rsidRPr="00DB0F65">
        <w:rPr>
          <w:lang w:val="en-GB"/>
        </w:rPr>
        <w:t>could benefit this sector</w:t>
      </w:r>
      <w:r w:rsidR="0067044A" w:rsidRPr="004D3CFA">
        <w:rPr>
          <w:lang w:val="en-GB"/>
        </w:rPr>
        <w:t xml:space="preserve">, </w:t>
      </w:r>
      <w:r w:rsidR="00DE2EAE">
        <w:rPr>
          <w:lang w:val="en-GB"/>
        </w:rPr>
        <w:t xml:space="preserve">by </w:t>
      </w:r>
      <w:r w:rsidR="0067044A" w:rsidRPr="004D3CFA">
        <w:rPr>
          <w:lang w:val="en-GB"/>
        </w:rPr>
        <w:t>counteracting emerging t</w:t>
      </w:r>
      <w:r w:rsidR="002602D7">
        <w:rPr>
          <w:lang w:val="en-GB"/>
        </w:rPr>
        <w:t>h</w:t>
      </w:r>
      <w:r w:rsidR="0067044A" w:rsidRPr="004D3CFA">
        <w:rPr>
          <w:lang w:val="en-GB"/>
        </w:rPr>
        <w:t>reats</w:t>
      </w:r>
      <w:r w:rsidR="00DE2EAE">
        <w:rPr>
          <w:lang w:val="en-GB"/>
        </w:rPr>
        <w:t>.</w:t>
      </w:r>
    </w:p>
    <w:p w14:paraId="602D3C06" w14:textId="77777777" w:rsidR="00D835AE" w:rsidRPr="00DB0F65" w:rsidRDefault="00D835AE" w:rsidP="009B63EA">
      <w:pPr>
        <w:pStyle w:val="CETBodytext"/>
        <w:rPr>
          <w:lang w:val="en-GB"/>
        </w:rPr>
      </w:pPr>
    </w:p>
    <w:p w14:paraId="4264A51F" w14:textId="77777777" w:rsidR="003F68EF" w:rsidRPr="004D3CFA" w:rsidRDefault="007F6A1D" w:rsidP="009B63EA">
      <w:pPr>
        <w:pStyle w:val="CETBodytext"/>
        <w:rPr>
          <w:lang w:val="en-GB"/>
        </w:rPr>
      </w:pPr>
      <w:r w:rsidRPr="00DB0F65">
        <w:rPr>
          <w:noProof/>
          <w:lang w:val="en-GB" w:eastAsia="it-IT"/>
        </w:rPr>
        <w:t xml:space="preserve"> </w:t>
      </w:r>
      <w:r w:rsidR="007F7111" w:rsidRPr="007F7111">
        <w:rPr>
          <w:noProof/>
          <w:lang w:val="it-IT" w:eastAsia="it-IT"/>
        </w:rPr>
        <w:drawing>
          <wp:inline distT="0" distB="0" distL="0" distR="0" wp14:anchorId="7A21E064" wp14:editId="00AA5591">
            <wp:extent cx="5459722" cy="2700068"/>
            <wp:effectExtent l="0" t="0" r="8255" b="5080"/>
            <wp:docPr id="237"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magine 236"/>
                    <pic:cNvPicPr>
                      <a:picLocks noChangeAspect="1"/>
                    </pic:cNvPicPr>
                  </pic:nvPicPr>
                  <pic:blipFill>
                    <a:blip r:embed="rId13"/>
                    <a:stretch>
                      <a:fillRect/>
                    </a:stretch>
                  </pic:blipFill>
                  <pic:spPr>
                    <a:xfrm>
                      <a:off x="0" y="0"/>
                      <a:ext cx="5478027" cy="2709121"/>
                    </a:xfrm>
                    <a:prstGeom prst="rect">
                      <a:avLst/>
                    </a:prstGeom>
                  </pic:spPr>
                </pic:pic>
              </a:graphicData>
            </a:graphic>
          </wp:inline>
        </w:drawing>
      </w:r>
    </w:p>
    <w:p w14:paraId="2A1F622A" w14:textId="77777777" w:rsidR="003F68EF" w:rsidRPr="004D3CFA" w:rsidRDefault="003F68EF" w:rsidP="003F68EF">
      <w:pPr>
        <w:pStyle w:val="CETCaption"/>
      </w:pPr>
      <w:r w:rsidRPr="004D3CFA">
        <w:t>Figure 2. Dynamic safety management system.</w:t>
      </w:r>
      <w:r w:rsidR="0067044A" w:rsidRPr="004D3CFA">
        <w:t xml:space="preserve"> High</w:t>
      </w:r>
      <w:r w:rsidR="002602D7">
        <w:t>er</w:t>
      </w:r>
      <w:r w:rsidR="0067044A" w:rsidRPr="004D3CFA">
        <w:t xml:space="preserve"> priority t</w:t>
      </w:r>
      <w:r w:rsidR="002602D7">
        <w:t>h</w:t>
      </w:r>
      <w:r w:rsidR="0067044A" w:rsidRPr="004D3CFA">
        <w:t>reats darkened.</w:t>
      </w:r>
    </w:p>
    <w:p w14:paraId="1105BF2D" w14:textId="77777777" w:rsidR="00600535" w:rsidRPr="00DB0F65" w:rsidRDefault="00600535" w:rsidP="00600535">
      <w:pPr>
        <w:pStyle w:val="CETHeading1"/>
        <w:rPr>
          <w:lang w:val="en-GB"/>
        </w:rPr>
      </w:pPr>
      <w:r w:rsidRPr="00DB0F65">
        <w:rPr>
          <w:lang w:val="en-GB"/>
        </w:rPr>
        <w:t>Conclusions</w:t>
      </w:r>
    </w:p>
    <w:p w14:paraId="2483D3A0" w14:textId="3FFABBCA" w:rsidR="00A56705" w:rsidRPr="00DB0F65" w:rsidRDefault="008868E4" w:rsidP="00EA3D39">
      <w:pPr>
        <w:pStyle w:val="CETBodytext"/>
        <w:rPr>
          <w:lang w:val="en-GB"/>
        </w:rPr>
      </w:pPr>
      <w:r>
        <w:rPr>
          <w:lang w:val="en-GB"/>
        </w:rPr>
        <w:t>T</w:t>
      </w:r>
      <w:r w:rsidR="00A56705" w:rsidRPr="00DB0F65">
        <w:rPr>
          <w:lang w:val="en-GB"/>
        </w:rPr>
        <w:t>he model allows integrating various management systems, with respect to various types of threats, and thus creating a holistic vision and approach to safety management. However, research needs further developments, which emerged from the application to the case study. First of all, the model would acquire added value from the combination of the analysis with dynamic simulations of the various phenomena; further enhancement would result from the extension of the field of application of the method, which is currently limited to the analysis of ag</w:t>
      </w:r>
      <w:r w:rsidR="00EE3CAD" w:rsidRPr="00DB0F65">
        <w:rPr>
          <w:lang w:val="en-GB"/>
        </w:rPr>
        <w:t>e</w:t>
      </w:r>
      <w:r w:rsidR="00A56705" w:rsidRPr="00DB0F65">
        <w:rPr>
          <w:lang w:val="en-GB"/>
        </w:rPr>
        <w:t>ing and obsolescence of primary containment equipment and associated piping. The application to more complex case-studies</w:t>
      </w:r>
      <w:r w:rsidR="00A70859">
        <w:rPr>
          <w:lang w:val="en-GB"/>
        </w:rPr>
        <w:t xml:space="preserve"> </w:t>
      </w:r>
      <w:r w:rsidR="00A56705" w:rsidRPr="00DB0F65">
        <w:rPr>
          <w:lang w:val="en-GB"/>
        </w:rPr>
        <w:t>will certainly provide other elements to improve the model.</w:t>
      </w:r>
    </w:p>
    <w:p w14:paraId="705A7664" w14:textId="77777777" w:rsidR="00600535" w:rsidRPr="008868E4" w:rsidRDefault="00600535" w:rsidP="00600535">
      <w:pPr>
        <w:pStyle w:val="CETReference"/>
      </w:pPr>
      <w:r w:rsidRPr="008868E4">
        <w:t>References</w:t>
      </w:r>
    </w:p>
    <w:p w14:paraId="597CCF4A" w14:textId="77777777" w:rsidR="00A565D9" w:rsidRPr="002602D7" w:rsidRDefault="00A565D9" w:rsidP="002602D7">
      <w:pPr>
        <w:pStyle w:val="CETReferencetext"/>
      </w:pPr>
      <w:r w:rsidRPr="002602D7">
        <w:rPr>
          <w:rFonts w:eastAsiaTheme="minorHAnsi"/>
        </w:rPr>
        <w:t>Ansaldi S., Agnello P., Bragatto P., 2016, Incidents triggered by failures of level sensors, Chemical Engineering Transactions, 53, 223-228.</w:t>
      </w:r>
    </w:p>
    <w:p w14:paraId="2429388E" w14:textId="77777777" w:rsidR="00A70859" w:rsidRPr="00A70859" w:rsidRDefault="00A70859" w:rsidP="00A70859">
      <w:pPr>
        <w:pStyle w:val="CETReferencetext"/>
        <w:rPr>
          <w:lang w:val="it-IT"/>
        </w:rPr>
      </w:pPr>
      <w:r w:rsidRPr="00A70859">
        <w:rPr>
          <w:lang w:val="it-IT"/>
        </w:rPr>
        <w:t xml:space="preserve">Assocostieri, </w:t>
      </w:r>
      <w:r>
        <w:rPr>
          <w:lang w:val="it-IT"/>
        </w:rPr>
        <w:t xml:space="preserve">Impianti e Depositi Chimici 2014 </w:t>
      </w:r>
      <w:hyperlink r:id="rId14" w:history="1">
        <w:r w:rsidRPr="00FD4552">
          <w:rPr>
            <w:rStyle w:val="Collegamentoipertestuale"/>
            <w:lang w:val="it-IT"/>
          </w:rPr>
          <w:t>http://censimento.assocostieri.it/censimento2014/chimici.aspx</w:t>
        </w:r>
      </w:hyperlink>
    </w:p>
    <w:p w14:paraId="5C6B5DED" w14:textId="77777777" w:rsidR="00445168" w:rsidRPr="002602D7" w:rsidRDefault="00445168" w:rsidP="00A70859">
      <w:pPr>
        <w:pStyle w:val="CETReferencetext"/>
      </w:pPr>
      <w:r w:rsidRPr="002602D7">
        <w:t>Bra</w:t>
      </w:r>
      <w:r w:rsidR="00F463C9" w:rsidRPr="002602D7">
        <w:t>ga</w:t>
      </w:r>
      <w:r w:rsidRPr="002602D7">
        <w:t xml:space="preserve">tto P., Delle Site C., Milazzo M.F., 2018, </w:t>
      </w:r>
      <w:r w:rsidR="00F463C9" w:rsidRPr="002602D7">
        <w:t>Audit of ageing management in plants at major accident hazard</w:t>
      </w:r>
      <w:r w:rsidRPr="002602D7">
        <w:t>,</w:t>
      </w:r>
      <w:r w:rsidR="00F463C9" w:rsidRPr="002602D7">
        <w:t xml:space="preserve"> </w:t>
      </w:r>
      <w:r w:rsidRPr="002602D7">
        <w:t>2017 2nd International Conference on System Reliability and Safety, ICSRS 2017, 2018-January, 400-404</w:t>
      </w:r>
      <w:r w:rsidR="00F463C9" w:rsidRPr="002602D7">
        <w:t>.</w:t>
      </w:r>
    </w:p>
    <w:p w14:paraId="1DFF2BBC" w14:textId="77777777" w:rsidR="0045683D" w:rsidRPr="002602D7" w:rsidRDefault="0045683D" w:rsidP="002602D7">
      <w:pPr>
        <w:pStyle w:val="CETReferencetext"/>
      </w:pPr>
      <w:r w:rsidRPr="002602D7">
        <w:t>Gyenes Z., Wood M.H., 2016, Lessons Learned from Major Accidents Relating to Ageing of Chemical Plants, Chemical Engineering Transactions, 48, 733–738.</w:t>
      </w:r>
    </w:p>
    <w:p w14:paraId="613D8E95" w14:textId="77777777" w:rsidR="00337F36" w:rsidRPr="002602D7" w:rsidRDefault="00337F36" w:rsidP="002602D7">
      <w:pPr>
        <w:pStyle w:val="CETReferencetext"/>
      </w:pPr>
      <w:r w:rsidRPr="002602D7">
        <w:t>Jain P., Pasman H.J., Waldram S., Pistikopoulos E.N., Mannan M.S., 2018, Process Resilience Analysis Framework (PRAF): A systems approach for improved ris</w:t>
      </w:r>
      <w:r w:rsidR="003E7560">
        <w:t>k and safety management, J.</w:t>
      </w:r>
      <w:r w:rsidRPr="002602D7">
        <w:t xml:space="preserve"> of Loss Prev</w:t>
      </w:r>
      <w:r w:rsidR="003E7560">
        <w:t>ention</w:t>
      </w:r>
      <w:r w:rsidRPr="002602D7">
        <w:t>, 53, 61–73.</w:t>
      </w:r>
    </w:p>
    <w:p w14:paraId="1193C851" w14:textId="77777777" w:rsidR="00941D6D" w:rsidRPr="002602D7" w:rsidRDefault="00941D6D" w:rsidP="002602D7">
      <w:pPr>
        <w:pStyle w:val="CETReferencetext"/>
      </w:pPr>
      <w:r w:rsidRPr="002602D7">
        <w:t>Madni A.M., Jackson S., 2009</w:t>
      </w:r>
      <w:r w:rsidR="00337F36" w:rsidRPr="002602D7">
        <w:t>,</w:t>
      </w:r>
      <w:r w:rsidRPr="002602D7">
        <w:t xml:space="preserve"> Towards a Conceptual Framework for Resilience Engineering</w:t>
      </w:r>
      <w:r w:rsidR="00337F36" w:rsidRPr="002602D7">
        <w:t>,</w:t>
      </w:r>
      <w:r w:rsidRPr="002602D7">
        <w:t xml:space="preserve"> IEEE Systems Journal, 3(2), 181</w:t>
      </w:r>
      <w:r w:rsidR="00337F36" w:rsidRPr="002602D7">
        <w:t>–</w:t>
      </w:r>
      <w:r w:rsidRPr="002602D7">
        <w:t>191.</w:t>
      </w:r>
    </w:p>
    <w:p w14:paraId="6D788B43" w14:textId="77777777" w:rsidR="00337F36" w:rsidRPr="00DE2EAE" w:rsidRDefault="00337F36" w:rsidP="002602D7">
      <w:pPr>
        <w:pStyle w:val="CETReferencetext"/>
      </w:pPr>
      <w:r w:rsidRPr="00DE2EAE">
        <w:t>Mila</w:t>
      </w:r>
      <w:r w:rsidRPr="0065240C">
        <w:t xml:space="preserve">zzo M.F., Bragatto P., 2019, </w:t>
      </w:r>
      <w:r w:rsidR="0068426A" w:rsidRPr="0065240C">
        <w:t>A framework addressing a safe ageing management in complex industrial sites: The Italian experience in «Seveso» establishments</w:t>
      </w:r>
      <w:r w:rsidRPr="0065240C">
        <w:t>, Journal of Loss Prevention</w:t>
      </w:r>
      <w:r w:rsidR="003E7560" w:rsidRPr="0065240C">
        <w:t>, 58, 70-81</w:t>
      </w:r>
      <w:r w:rsidR="0068426A" w:rsidRPr="0065240C">
        <w:t>.</w:t>
      </w:r>
    </w:p>
    <w:p w14:paraId="44838040" w14:textId="77777777" w:rsidR="00B221C3" w:rsidRPr="00DE2EAE" w:rsidRDefault="0068426A" w:rsidP="002602D7">
      <w:pPr>
        <w:pStyle w:val="CETReferencetext"/>
      </w:pPr>
      <w:r w:rsidRPr="00DE2EAE">
        <w:t>Paltrinieri N., Reniers G., 2017, Dynamic risk analysis for Sev</w:t>
      </w:r>
      <w:r w:rsidR="003E7560" w:rsidRPr="00DE2EAE">
        <w:t xml:space="preserve">eso sites, J. </w:t>
      </w:r>
      <w:r w:rsidRPr="00DE2EAE">
        <w:t>of Loss Prevention, 49, 111–119.</w:t>
      </w:r>
    </w:p>
    <w:p w14:paraId="03DBFB49" w14:textId="613DFF3F" w:rsidR="0037653C" w:rsidRPr="00DE2EAE" w:rsidRDefault="0037653C" w:rsidP="0037653C">
      <w:pPr>
        <w:pStyle w:val="PreformattatoHTML"/>
        <w:ind w:left="284" w:hanging="284"/>
        <w:rPr>
          <w:rFonts w:ascii="Arial" w:hAnsi="Arial" w:cs="Times New Roman"/>
        </w:rPr>
      </w:pPr>
      <w:r w:rsidRPr="0065240C">
        <w:rPr>
          <w:rFonts w:ascii="Arial" w:hAnsi="Arial" w:cs="Times New Roman"/>
        </w:rPr>
        <w:t>Vallerotonda, R., Leva, A., Ansaldi, S.M.</w:t>
      </w:r>
      <w:r w:rsidR="00DE2EAE">
        <w:rPr>
          <w:rFonts w:ascii="Arial" w:hAnsi="Arial" w:cs="Times New Roman"/>
        </w:rPr>
        <w:t>,</w:t>
      </w:r>
      <w:r w:rsidRPr="0065240C">
        <w:rPr>
          <w:rFonts w:ascii="Arial" w:hAnsi="Arial" w:cs="Times New Roman"/>
        </w:rPr>
        <w:t xml:space="preserve"> 2018</w:t>
      </w:r>
      <w:r w:rsidR="00DE2EAE">
        <w:rPr>
          <w:rFonts w:ascii="Arial" w:hAnsi="Arial" w:cs="Times New Roman"/>
        </w:rPr>
        <w:t>,</w:t>
      </w:r>
      <w:r w:rsidRPr="0065240C">
        <w:rPr>
          <w:rFonts w:ascii="Arial" w:hAnsi="Arial" w:cs="Times New Roman"/>
        </w:rPr>
        <w:t xml:space="preserve"> Modeling and training: How system dynamics is usable in OSH and MAH frameworks</w:t>
      </w:r>
      <w:r w:rsidR="00DE2EAE">
        <w:rPr>
          <w:rFonts w:ascii="Arial" w:hAnsi="Arial" w:cs="Times New Roman"/>
        </w:rPr>
        <w:t>,</w:t>
      </w:r>
      <w:r w:rsidRPr="0065240C">
        <w:rPr>
          <w:rFonts w:ascii="Arial" w:hAnsi="Arial" w:cs="Times New Roman"/>
        </w:rPr>
        <w:t xml:space="preserve"> Chemical Engineering Transactions, 67, 325-330.</w:t>
      </w:r>
    </w:p>
    <w:p w14:paraId="2943BF71" w14:textId="46A6DF6A" w:rsidR="003E7560" w:rsidRPr="002602D7" w:rsidRDefault="003E7560" w:rsidP="003E7560">
      <w:pPr>
        <w:pStyle w:val="CETReferencetext"/>
      </w:pPr>
      <w:r w:rsidRPr="0065240C">
        <w:t>Yodo, N., Wang, P.</w:t>
      </w:r>
      <w:r w:rsidR="00DE2EAE">
        <w:t>, 2016,</w:t>
      </w:r>
      <w:r w:rsidRPr="0065240C">
        <w:t xml:space="preserve"> Engineering resilience quantification and system design implications: A literature survey</w:t>
      </w:r>
      <w:r w:rsidR="00DE2EAE">
        <w:t xml:space="preserve">, </w:t>
      </w:r>
      <w:r w:rsidRPr="0065240C">
        <w:t>Journal of Mechanical Design, Transactions of the ASME, 138(11)</w:t>
      </w:r>
      <w:r w:rsidR="00DE2EAE">
        <w:t>.</w:t>
      </w:r>
    </w:p>
    <w:sectPr w:rsidR="003E7560" w:rsidRPr="002602D7" w:rsidSect="0077098D">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isk" w:date="2019-04-12T23:32:00Z" w:initials="R">
    <w:p w14:paraId="4CC7DC0A" w14:textId="77777777" w:rsidR="002F3F7B" w:rsidRPr="002F3F7B" w:rsidRDefault="002F3F7B">
      <w:pPr>
        <w:pStyle w:val="Testocommento"/>
        <w:rPr>
          <w:lang w:val="it-IT"/>
        </w:rPr>
      </w:pPr>
      <w:r>
        <w:rPr>
          <w:rStyle w:val="Rimandocommento"/>
        </w:rPr>
        <w:annotationRef/>
      </w:r>
      <w:r w:rsidRPr="002F3F7B">
        <w:rPr>
          <w:lang w:val="it-IT"/>
        </w:rPr>
        <w:t>Non mi è chiara questa f</w:t>
      </w:r>
      <w:r>
        <w:rPr>
          <w:lang w:val="it-IT"/>
        </w:rPr>
        <w:t>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7DC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7DC0A" w16cid:durableId="205B9E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B1A2C" w14:textId="77777777" w:rsidR="00DA5D52" w:rsidRDefault="00DA5D52" w:rsidP="004F5E36">
      <w:r>
        <w:separator/>
      </w:r>
    </w:p>
  </w:endnote>
  <w:endnote w:type="continuationSeparator" w:id="0">
    <w:p w14:paraId="7EEC8AF6" w14:textId="77777777" w:rsidR="00DA5D52" w:rsidRDefault="00DA5D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E0A8F" w14:textId="77777777" w:rsidR="00DA5D52" w:rsidRDefault="00DA5D52" w:rsidP="004F5E36">
      <w:r>
        <w:separator/>
      </w:r>
    </w:p>
  </w:footnote>
  <w:footnote w:type="continuationSeparator" w:id="0">
    <w:p w14:paraId="06877EF6" w14:textId="77777777" w:rsidR="00DA5D52" w:rsidRDefault="00DA5D5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4EA7A4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960995"/>
    <w:multiLevelType w:val="hybridMultilevel"/>
    <w:tmpl w:val="93164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995608"/>
    <w:multiLevelType w:val="hybridMultilevel"/>
    <w:tmpl w:val="60421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2"/>
  </w:num>
  <w:num w:numId="23">
    <w:abstractNumId w:val="10"/>
  </w:num>
  <w:num w:numId="24">
    <w:abstractNumId w:val="10"/>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sk">
    <w15:presenceInfo w15:providerId="None" w15:userId="Ri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0FCE"/>
    <w:rsid w:val="0003148D"/>
    <w:rsid w:val="000351B4"/>
    <w:rsid w:val="00047D7F"/>
    <w:rsid w:val="00051566"/>
    <w:rsid w:val="000601A0"/>
    <w:rsid w:val="00062A9A"/>
    <w:rsid w:val="00065058"/>
    <w:rsid w:val="0006528C"/>
    <w:rsid w:val="00065F76"/>
    <w:rsid w:val="00086C39"/>
    <w:rsid w:val="00091BEE"/>
    <w:rsid w:val="000A03B2"/>
    <w:rsid w:val="000A17D1"/>
    <w:rsid w:val="000A3B79"/>
    <w:rsid w:val="000A51E2"/>
    <w:rsid w:val="000B537E"/>
    <w:rsid w:val="000C2B7C"/>
    <w:rsid w:val="000D34BE"/>
    <w:rsid w:val="000E102F"/>
    <w:rsid w:val="000E36F1"/>
    <w:rsid w:val="000E3A73"/>
    <w:rsid w:val="000E414A"/>
    <w:rsid w:val="000E71F0"/>
    <w:rsid w:val="000F093C"/>
    <w:rsid w:val="000F118D"/>
    <w:rsid w:val="000F16BD"/>
    <w:rsid w:val="000F787B"/>
    <w:rsid w:val="00103298"/>
    <w:rsid w:val="0012091F"/>
    <w:rsid w:val="00126BC2"/>
    <w:rsid w:val="001308B6"/>
    <w:rsid w:val="0013121F"/>
    <w:rsid w:val="00131FAB"/>
    <w:rsid w:val="00131FE6"/>
    <w:rsid w:val="0013263F"/>
    <w:rsid w:val="00134DE4"/>
    <w:rsid w:val="0013710A"/>
    <w:rsid w:val="0013727B"/>
    <w:rsid w:val="0014034D"/>
    <w:rsid w:val="00150E59"/>
    <w:rsid w:val="001512EE"/>
    <w:rsid w:val="0015192F"/>
    <w:rsid w:val="00152DE3"/>
    <w:rsid w:val="001563B7"/>
    <w:rsid w:val="00162642"/>
    <w:rsid w:val="00164CF9"/>
    <w:rsid w:val="0017767B"/>
    <w:rsid w:val="00184AD6"/>
    <w:rsid w:val="00185C60"/>
    <w:rsid w:val="001A7541"/>
    <w:rsid w:val="001A79C5"/>
    <w:rsid w:val="001B0349"/>
    <w:rsid w:val="001B201E"/>
    <w:rsid w:val="001B26F5"/>
    <w:rsid w:val="001B65C1"/>
    <w:rsid w:val="001B70D0"/>
    <w:rsid w:val="001C684B"/>
    <w:rsid w:val="001D421D"/>
    <w:rsid w:val="001D53FC"/>
    <w:rsid w:val="001E3C38"/>
    <w:rsid w:val="001E61DF"/>
    <w:rsid w:val="001F42A5"/>
    <w:rsid w:val="001F7B9D"/>
    <w:rsid w:val="002061D3"/>
    <w:rsid w:val="00207F11"/>
    <w:rsid w:val="00220E03"/>
    <w:rsid w:val="002224B4"/>
    <w:rsid w:val="00226D58"/>
    <w:rsid w:val="002335FD"/>
    <w:rsid w:val="002447EF"/>
    <w:rsid w:val="00245553"/>
    <w:rsid w:val="00251550"/>
    <w:rsid w:val="00252C1A"/>
    <w:rsid w:val="002602D7"/>
    <w:rsid w:val="00263B05"/>
    <w:rsid w:val="0027221A"/>
    <w:rsid w:val="00275B61"/>
    <w:rsid w:val="00276442"/>
    <w:rsid w:val="00282656"/>
    <w:rsid w:val="00286925"/>
    <w:rsid w:val="00296B83"/>
    <w:rsid w:val="002B78CE"/>
    <w:rsid w:val="002C2FB6"/>
    <w:rsid w:val="002D0B21"/>
    <w:rsid w:val="002D140E"/>
    <w:rsid w:val="002D598B"/>
    <w:rsid w:val="002D5BCD"/>
    <w:rsid w:val="002E6FAA"/>
    <w:rsid w:val="002F021A"/>
    <w:rsid w:val="002F3F7B"/>
    <w:rsid w:val="003009B7"/>
    <w:rsid w:val="00300E56"/>
    <w:rsid w:val="00301D2A"/>
    <w:rsid w:val="0030469C"/>
    <w:rsid w:val="00305D37"/>
    <w:rsid w:val="00306F6E"/>
    <w:rsid w:val="003103C7"/>
    <w:rsid w:val="00312EBE"/>
    <w:rsid w:val="00321CA6"/>
    <w:rsid w:val="00334C09"/>
    <w:rsid w:val="003365E3"/>
    <w:rsid w:val="00337F36"/>
    <w:rsid w:val="003723D4"/>
    <w:rsid w:val="0037653C"/>
    <w:rsid w:val="00384CC8"/>
    <w:rsid w:val="0038564E"/>
    <w:rsid w:val="00385C31"/>
    <w:rsid w:val="003871FD"/>
    <w:rsid w:val="003A1E30"/>
    <w:rsid w:val="003A215D"/>
    <w:rsid w:val="003A7D1C"/>
    <w:rsid w:val="003B13C2"/>
    <w:rsid w:val="003B304B"/>
    <w:rsid w:val="003B3146"/>
    <w:rsid w:val="003B60F3"/>
    <w:rsid w:val="003C3A96"/>
    <w:rsid w:val="003E7560"/>
    <w:rsid w:val="003F015E"/>
    <w:rsid w:val="003F5DF6"/>
    <w:rsid w:val="003F68EF"/>
    <w:rsid w:val="003F767E"/>
    <w:rsid w:val="00400414"/>
    <w:rsid w:val="00400FFD"/>
    <w:rsid w:val="00405CD1"/>
    <w:rsid w:val="0041446B"/>
    <w:rsid w:val="00415326"/>
    <w:rsid w:val="00415E1E"/>
    <w:rsid w:val="0041729A"/>
    <w:rsid w:val="00421D0B"/>
    <w:rsid w:val="004319DF"/>
    <w:rsid w:val="00432EB4"/>
    <w:rsid w:val="00434738"/>
    <w:rsid w:val="00435960"/>
    <w:rsid w:val="00437BA1"/>
    <w:rsid w:val="00440845"/>
    <w:rsid w:val="00440C91"/>
    <w:rsid w:val="0044329C"/>
    <w:rsid w:val="00445168"/>
    <w:rsid w:val="004520F5"/>
    <w:rsid w:val="00452A4D"/>
    <w:rsid w:val="0045683D"/>
    <w:rsid w:val="004577FE"/>
    <w:rsid w:val="00457B9C"/>
    <w:rsid w:val="0046005C"/>
    <w:rsid w:val="0046164A"/>
    <w:rsid w:val="004628D2"/>
    <w:rsid w:val="00462DCD"/>
    <w:rsid w:val="004648AD"/>
    <w:rsid w:val="004654CE"/>
    <w:rsid w:val="004703A9"/>
    <w:rsid w:val="0047339A"/>
    <w:rsid w:val="004760DE"/>
    <w:rsid w:val="00494403"/>
    <w:rsid w:val="00495466"/>
    <w:rsid w:val="004A004E"/>
    <w:rsid w:val="004A24CF"/>
    <w:rsid w:val="004A336F"/>
    <w:rsid w:val="004B067A"/>
    <w:rsid w:val="004B6721"/>
    <w:rsid w:val="004C3D1D"/>
    <w:rsid w:val="004C7913"/>
    <w:rsid w:val="004D3CFA"/>
    <w:rsid w:val="004D7350"/>
    <w:rsid w:val="004E4DD6"/>
    <w:rsid w:val="004F5E36"/>
    <w:rsid w:val="004F629E"/>
    <w:rsid w:val="00501262"/>
    <w:rsid w:val="0050543D"/>
    <w:rsid w:val="00507B47"/>
    <w:rsid w:val="00507CC9"/>
    <w:rsid w:val="005113F6"/>
    <w:rsid w:val="005119A5"/>
    <w:rsid w:val="00522EC0"/>
    <w:rsid w:val="00523162"/>
    <w:rsid w:val="005278B7"/>
    <w:rsid w:val="005303D0"/>
    <w:rsid w:val="005306EE"/>
    <w:rsid w:val="00532016"/>
    <w:rsid w:val="00532D55"/>
    <w:rsid w:val="005346C8"/>
    <w:rsid w:val="00543474"/>
    <w:rsid w:val="00543E7D"/>
    <w:rsid w:val="00545931"/>
    <w:rsid w:val="00546B05"/>
    <w:rsid w:val="00547A68"/>
    <w:rsid w:val="005531C9"/>
    <w:rsid w:val="00565572"/>
    <w:rsid w:val="005667FC"/>
    <w:rsid w:val="00583173"/>
    <w:rsid w:val="0059098E"/>
    <w:rsid w:val="005A02AF"/>
    <w:rsid w:val="005A1745"/>
    <w:rsid w:val="005B2110"/>
    <w:rsid w:val="005B393F"/>
    <w:rsid w:val="005B61E6"/>
    <w:rsid w:val="005C456F"/>
    <w:rsid w:val="005C77E1"/>
    <w:rsid w:val="005D417C"/>
    <w:rsid w:val="005D62A6"/>
    <w:rsid w:val="005D6A2F"/>
    <w:rsid w:val="005E1A82"/>
    <w:rsid w:val="005E794C"/>
    <w:rsid w:val="005F0A28"/>
    <w:rsid w:val="005F0E5E"/>
    <w:rsid w:val="005F5C30"/>
    <w:rsid w:val="005F60AA"/>
    <w:rsid w:val="00600535"/>
    <w:rsid w:val="00602126"/>
    <w:rsid w:val="006030C9"/>
    <w:rsid w:val="00607B97"/>
    <w:rsid w:val="00610CD6"/>
    <w:rsid w:val="00620DEE"/>
    <w:rsid w:val="00621F92"/>
    <w:rsid w:val="00625639"/>
    <w:rsid w:val="00626337"/>
    <w:rsid w:val="00631B33"/>
    <w:rsid w:val="0063796B"/>
    <w:rsid w:val="00637ADA"/>
    <w:rsid w:val="00637F3F"/>
    <w:rsid w:val="0064184D"/>
    <w:rsid w:val="006422CC"/>
    <w:rsid w:val="00650EE2"/>
    <w:rsid w:val="0065240C"/>
    <w:rsid w:val="006531EC"/>
    <w:rsid w:val="00653EE2"/>
    <w:rsid w:val="00653FBB"/>
    <w:rsid w:val="006550AC"/>
    <w:rsid w:val="00660E3E"/>
    <w:rsid w:val="00662ACB"/>
    <w:rsid w:val="00662E74"/>
    <w:rsid w:val="0067044A"/>
    <w:rsid w:val="00670EF1"/>
    <w:rsid w:val="0067524B"/>
    <w:rsid w:val="00680C23"/>
    <w:rsid w:val="0068426A"/>
    <w:rsid w:val="0069176A"/>
    <w:rsid w:val="00693766"/>
    <w:rsid w:val="006A3281"/>
    <w:rsid w:val="006A49ED"/>
    <w:rsid w:val="006B16AA"/>
    <w:rsid w:val="006B3CB2"/>
    <w:rsid w:val="006B400A"/>
    <w:rsid w:val="006B4888"/>
    <w:rsid w:val="006C2E45"/>
    <w:rsid w:val="006C359C"/>
    <w:rsid w:val="006C5579"/>
    <w:rsid w:val="006D6CAD"/>
    <w:rsid w:val="006E379B"/>
    <w:rsid w:val="006E37C4"/>
    <w:rsid w:val="006E737D"/>
    <w:rsid w:val="006F7CC0"/>
    <w:rsid w:val="0070195D"/>
    <w:rsid w:val="00717FAF"/>
    <w:rsid w:val="00720A24"/>
    <w:rsid w:val="00727326"/>
    <w:rsid w:val="00732386"/>
    <w:rsid w:val="00742AE2"/>
    <w:rsid w:val="007447F3"/>
    <w:rsid w:val="00746F46"/>
    <w:rsid w:val="007520B9"/>
    <w:rsid w:val="0075418A"/>
    <w:rsid w:val="0075499F"/>
    <w:rsid w:val="00761FEE"/>
    <w:rsid w:val="00764B08"/>
    <w:rsid w:val="007661C8"/>
    <w:rsid w:val="0077098D"/>
    <w:rsid w:val="00771FAB"/>
    <w:rsid w:val="007931FA"/>
    <w:rsid w:val="007A7BBA"/>
    <w:rsid w:val="007B07BE"/>
    <w:rsid w:val="007B0C50"/>
    <w:rsid w:val="007B101D"/>
    <w:rsid w:val="007C1A43"/>
    <w:rsid w:val="007D2A25"/>
    <w:rsid w:val="007D57D6"/>
    <w:rsid w:val="007E1DC6"/>
    <w:rsid w:val="007E2752"/>
    <w:rsid w:val="007E388E"/>
    <w:rsid w:val="007F6A1D"/>
    <w:rsid w:val="007F7111"/>
    <w:rsid w:val="00801F0B"/>
    <w:rsid w:val="00813288"/>
    <w:rsid w:val="00814A97"/>
    <w:rsid w:val="008161A3"/>
    <w:rsid w:val="008168FC"/>
    <w:rsid w:val="00830996"/>
    <w:rsid w:val="008345F1"/>
    <w:rsid w:val="00840261"/>
    <w:rsid w:val="00850D5E"/>
    <w:rsid w:val="0085697B"/>
    <w:rsid w:val="008632C6"/>
    <w:rsid w:val="00865B07"/>
    <w:rsid w:val="008667EA"/>
    <w:rsid w:val="0086774C"/>
    <w:rsid w:val="0087637F"/>
    <w:rsid w:val="008820A1"/>
    <w:rsid w:val="008868E4"/>
    <w:rsid w:val="008904B9"/>
    <w:rsid w:val="0089060A"/>
    <w:rsid w:val="00890DAD"/>
    <w:rsid w:val="00892AD5"/>
    <w:rsid w:val="00896E1A"/>
    <w:rsid w:val="008A1512"/>
    <w:rsid w:val="008B2384"/>
    <w:rsid w:val="008C4F70"/>
    <w:rsid w:val="008C78C1"/>
    <w:rsid w:val="008D057E"/>
    <w:rsid w:val="008D32B9"/>
    <w:rsid w:val="008D433B"/>
    <w:rsid w:val="008D6323"/>
    <w:rsid w:val="008D64AE"/>
    <w:rsid w:val="008E0EAA"/>
    <w:rsid w:val="008E566E"/>
    <w:rsid w:val="008E7465"/>
    <w:rsid w:val="008F3C53"/>
    <w:rsid w:val="0090161A"/>
    <w:rsid w:val="00901EB6"/>
    <w:rsid w:val="00904C62"/>
    <w:rsid w:val="00907E6D"/>
    <w:rsid w:val="00912C27"/>
    <w:rsid w:val="00915C54"/>
    <w:rsid w:val="00924704"/>
    <w:rsid w:val="00924DAC"/>
    <w:rsid w:val="00926EA1"/>
    <w:rsid w:val="00927058"/>
    <w:rsid w:val="00935CE5"/>
    <w:rsid w:val="00937DB9"/>
    <w:rsid w:val="00940C98"/>
    <w:rsid w:val="00941D6D"/>
    <w:rsid w:val="009450CE"/>
    <w:rsid w:val="00947179"/>
    <w:rsid w:val="00947E89"/>
    <w:rsid w:val="0095164B"/>
    <w:rsid w:val="00954090"/>
    <w:rsid w:val="009573E7"/>
    <w:rsid w:val="009635B9"/>
    <w:rsid w:val="00963E05"/>
    <w:rsid w:val="00967D54"/>
    <w:rsid w:val="0098097C"/>
    <w:rsid w:val="00992F04"/>
    <w:rsid w:val="00996483"/>
    <w:rsid w:val="00996F5A"/>
    <w:rsid w:val="009A0A3E"/>
    <w:rsid w:val="009A3EDA"/>
    <w:rsid w:val="009B041A"/>
    <w:rsid w:val="009B63EA"/>
    <w:rsid w:val="009C7C86"/>
    <w:rsid w:val="009D1ACF"/>
    <w:rsid w:val="009D2FF7"/>
    <w:rsid w:val="009E5CE3"/>
    <w:rsid w:val="009E7884"/>
    <w:rsid w:val="009E788A"/>
    <w:rsid w:val="009F0E08"/>
    <w:rsid w:val="009F2FB4"/>
    <w:rsid w:val="009F7989"/>
    <w:rsid w:val="00A10B53"/>
    <w:rsid w:val="00A12664"/>
    <w:rsid w:val="00A14FD9"/>
    <w:rsid w:val="00A1763D"/>
    <w:rsid w:val="00A17CEC"/>
    <w:rsid w:val="00A219E2"/>
    <w:rsid w:val="00A2618F"/>
    <w:rsid w:val="00A26BFD"/>
    <w:rsid w:val="00A27EF0"/>
    <w:rsid w:val="00A3021C"/>
    <w:rsid w:val="00A50B20"/>
    <w:rsid w:val="00A51390"/>
    <w:rsid w:val="00A565D9"/>
    <w:rsid w:val="00A56705"/>
    <w:rsid w:val="00A60D13"/>
    <w:rsid w:val="00A70859"/>
    <w:rsid w:val="00A72745"/>
    <w:rsid w:val="00A76EFC"/>
    <w:rsid w:val="00A8440D"/>
    <w:rsid w:val="00A91010"/>
    <w:rsid w:val="00A91536"/>
    <w:rsid w:val="00A93F4C"/>
    <w:rsid w:val="00A9680C"/>
    <w:rsid w:val="00A97F29"/>
    <w:rsid w:val="00AA1C28"/>
    <w:rsid w:val="00AA467A"/>
    <w:rsid w:val="00AA702E"/>
    <w:rsid w:val="00AB0964"/>
    <w:rsid w:val="00AB119E"/>
    <w:rsid w:val="00AB4622"/>
    <w:rsid w:val="00AB5011"/>
    <w:rsid w:val="00AC13D6"/>
    <w:rsid w:val="00AC392D"/>
    <w:rsid w:val="00AC65D1"/>
    <w:rsid w:val="00AC7368"/>
    <w:rsid w:val="00AD16B9"/>
    <w:rsid w:val="00AD5B09"/>
    <w:rsid w:val="00AE377D"/>
    <w:rsid w:val="00AE7400"/>
    <w:rsid w:val="00AE791A"/>
    <w:rsid w:val="00AF1031"/>
    <w:rsid w:val="00AF54E0"/>
    <w:rsid w:val="00B02A14"/>
    <w:rsid w:val="00B05817"/>
    <w:rsid w:val="00B17FBD"/>
    <w:rsid w:val="00B204F4"/>
    <w:rsid w:val="00B20DA6"/>
    <w:rsid w:val="00B221C3"/>
    <w:rsid w:val="00B315A6"/>
    <w:rsid w:val="00B31813"/>
    <w:rsid w:val="00B33365"/>
    <w:rsid w:val="00B500F1"/>
    <w:rsid w:val="00B50935"/>
    <w:rsid w:val="00B57A22"/>
    <w:rsid w:val="00B57B36"/>
    <w:rsid w:val="00B704FE"/>
    <w:rsid w:val="00B73A0D"/>
    <w:rsid w:val="00B76E40"/>
    <w:rsid w:val="00B819E3"/>
    <w:rsid w:val="00B82B76"/>
    <w:rsid w:val="00B8686D"/>
    <w:rsid w:val="00B87340"/>
    <w:rsid w:val="00B96DEA"/>
    <w:rsid w:val="00B9770A"/>
    <w:rsid w:val="00BA27FD"/>
    <w:rsid w:val="00BB66F4"/>
    <w:rsid w:val="00BC30C9"/>
    <w:rsid w:val="00BE3E58"/>
    <w:rsid w:val="00BE6925"/>
    <w:rsid w:val="00BE7281"/>
    <w:rsid w:val="00BF0E6D"/>
    <w:rsid w:val="00BF2600"/>
    <w:rsid w:val="00BF35ED"/>
    <w:rsid w:val="00C01616"/>
    <w:rsid w:val="00C0162B"/>
    <w:rsid w:val="00C0649C"/>
    <w:rsid w:val="00C07BDA"/>
    <w:rsid w:val="00C15533"/>
    <w:rsid w:val="00C22CBD"/>
    <w:rsid w:val="00C27BB9"/>
    <w:rsid w:val="00C345B1"/>
    <w:rsid w:val="00C34639"/>
    <w:rsid w:val="00C40142"/>
    <w:rsid w:val="00C415D0"/>
    <w:rsid w:val="00C57182"/>
    <w:rsid w:val="00C57863"/>
    <w:rsid w:val="00C655FD"/>
    <w:rsid w:val="00C65CC5"/>
    <w:rsid w:val="00C73BA8"/>
    <w:rsid w:val="00C870A8"/>
    <w:rsid w:val="00C91C53"/>
    <w:rsid w:val="00C94434"/>
    <w:rsid w:val="00C95EBB"/>
    <w:rsid w:val="00C97FD5"/>
    <w:rsid w:val="00CA0D75"/>
    <w:rsid w:val="00CA1C95"/>
    <w:rsid w:val="00CA2DC4"/>
    <w:rsid w:val="00CA5A9C"/>
    <w:rsid w:val="00CB13E7"/>
    <w:rsid w:val="00CC0A28"/>
    <w:rsid w:val="00CC1633"/>
    <w:rsid w:val="00CC19E8"/>
    <w:rsid w:val="00CD0DAE"/>
    <w:rsid w:val="00CD3517"/>
    <w:rsid w:val="00CD5A00"/>
    <w:rsid w:val="00CD5FE2"/>
    <w:rsid w:val="00CE50CE"/>
    <w:rsid w:val="00CE7C68"/>
    <w:rsid w:val="00D02B4C"/>
    <w:rsid w:val="00D040C4"/>
    <w:rsid w:val="00D1330A"/>
    <w:rsid w:val="00D15C5C"/>
    <w:rsid w:val="00D2505F"/>
    <w:rsid w:val="00D25395"/>
    <w:rsid w:val="00D305A5"/>
    <w:rsid w:val="00D44729"/>
    <w:rsid w:val="00D51A13"/>
    <w:rsid w:val="00D52A64"/>
    <w:rsid w:val="00D57C84"/>
    <w:rsid w:val="00D6057D"/>
    <w:rsid w:val="00D700DC"/>
    <w:rsid w:val="00D835AE"/>
    <w:rsid w:val="00D83837"/>
    <w:rsid w:val="00D84576"/>
    <w:rsid w:val="00D86F49"/>
    <w:rsid w:val="00D93EE5"/>
    <w:rsid w:val="00D955A0"/>
    <w:rsid w:val="00DA1399"/>
    <w:rsid w:val="00DA24C6"/>
    <w:rsid w:val="00DA4D7B"/>
    <w:rsid w:val="00DA5D52"/>
    <w:rsid w:val="00DA7D8E"/>
    <w:rsid w:val="00DB0F65"/>
    <w:rsid w:val="00DD3A0F"/>
    <w:rsid w:val="00DD70C7"/>
    <w:rsid w:val="00DE264A"/>
    <w:rsid w:val="00DE2EAE"/>
    <w:rsid w:val="00DE3E91"/>
    <w:rsid w:val="00E02D18"/>
    <w:rsid w:val="00E041E7"/>
    <w:rsid w:val="00E0526D"/>
    <w:rsid w:val="00E10387"/>
    <w:rsid w:val="00E10A5A"/>
    <w:rsid w:val="00E12F7A"/>
    <w:rsid w:val="00E14976"/>
    <w:rsid w:val="00E154CE"/>
    <w:rsid w:val="00E23CA1"/>
    <w:rsid w:val="00E2694C"/>
    <w:rsid w:val="00E26995"/>
    <w:rsid w:val="00E409A8"/>
    <w:rsid w:val="00E43793"/>
    <w:rsid w:val="00E50C12"/>
    <w:rsid w:val="00E65B91"/>
    <w:rsid w:val="00E65E56"/>
    <w:rsid w:val="00E7209D"/>
    <w:rsid w:val="00E738F6"/>
    <w:rsid w:val="00E7665A"/>
    <w:rsid w:val="00E77223"/>
    <w:rsid w:val="00E8528B"/>
    <w:rsid w:val="00E85B94"/>
    <w:rsid w:val="00E91492"/>
    <w:rsid w:val="00E978D0"/>
    <w:rsid w:val="00EA3D39"/>
    <w:rsid w:val="00EA4613"/>
    <w:rsid w:val="00EA6359"/>
    <w:rsid w:val="00EA7F91"/>
    <w:rsid w:val="00EB1523"/>
    <w:rsid w:val="00EC0E49"/>
    <w:rsid w:val="00EC0F6E"/>
    <w:rsid w:val="00EC5EBA"/>
    <w:rsid w:val="00EE0131"/>
    <w:rsid w:val="00EE3CAD"/>
    <w:rsid w:val="00EF21C2"/>
    <w:rsid w:val="00F02E3B"/>
    <w:rsid w:val="00F03147"/>
    <w:rsid w:val="00F04CBA"/>
    <w:rsid w:val="00F05FFE"/>
    <w:rsid w:val="00F10B11"/>
    <w:rsid w:val="00F11A6B"/>
    <w:rsid w:val="00F155B2"/>
    <w:rsid w:val="00F16020"/>
    <w:rsid w:val="00F1786A"/>
    <w:rsid w:val="00F224B7"/>
    <w:rsid w:val="00F305C6"/>
    <w:rsid w:val="00F307AF"/>
    <w:rsid w:val="00F30C64"/>
    <w:rsid w:val="00F32CDB"/>
    <w:rsid w:val="00F42A1F"/>
    <w:rsid w:val="00F463C9"/>
    <w:rsid w:val="00F51678"/>
    <w:rsid w:val="00F53516"/>
    <w:rsid w:val="00F626B4"/>
    <w:rsid w:val="00F63A70"/>
    <w:rsid w:val="00F70E3E"/>
    <w:rsid w:val="00F85AE0"/>
    <w:rsid w:val="00F92D83"/>
    <w:rsid w:val="00FA21D0"/>
    <w:rsid w:val="00FA5F5F"/>
    <w:rsid w:val="00FA7476"/>
    <w:rsid w:val="00FB730C"/>
    <w:rsid w:val="00FC1335"/>
    <w:rsid w:val="00FC2695"/>
    <w:rsid w:val="00FC33BD"/>
    <w:rsid w:val="00FC3E03"/>
    <w:rsid w:val="00FC3FC1"/>
    <w:rsid w:val="00FD2028"/>
    <w:rsid w:val="00FE68F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79018"/>
  <w15:docId w15:val="{E7691A98-DFD9-4D3E-B7FA-A8A2684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E5CE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E5CE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zionenonrisolta1">
    <w:name w:val="Menzione non risolta1"/>
    <w:basedOn w:val="Carpredefinitoparagrafo"/>
    <w:uiPriority w:val="99"/>
    <w:semiHidden/>
    <w:unhideWhenUsed/>
    <w:rsid w:val="00CC0A28"/>
    <w:rPr>
      <w:color w:val="605E5C"/>
      <w:shd w:val="clear" w:color="auto" w:fill="E1DFDD"/>
    </w:rPr>
  </w:style>
  <w:style w:type="paragraph" w:styleId="Paragrafoelenco">
    <w:name w:val="List Paragraph"/>
    <w:basedOn w:val="Normale"/>
    <w:uiPriority w:val="34"/>
    <w:rsid w:val="00A219E2"/>
    <w:pPr>
      <w:ind w:left="720"/>
      <w:contextualSpacing/>
    </w:pPr>
  </w:style>
  <w:style w:type="character" w:customStyle="1" w:styleId="Menzionenonrisolta2">
    <w:name w:val="Menzione non risolta2"/>
    <w:basedOn w:val="Carpredefinitoparagrafo"/>
    <w:uiPriority w:val="99"/>
    <w:semiHidden/>
    <w:unhideWhenUsed/>
    <w:rsid w:val="00A565D9"/>
    <w:rPr>
      <w:color w:val="605E5C"/>
      <w:shd w:val="clear" w:color="auto" w:fill="E1DFDD"/>
    </w:rPr>
  </w:style>
  <w:style w:type="character" w:styleId="Collegamentovisitato">
    <w:name w:val="FollowedHyperlink"/>
    <w:basedOn w:val="Carpredefinitoparagrafo"/>
    <w:uiPriority w:val="99"/>
    <w:semiHidden/>
    <w:unhideWhenUsed/>
    <w:rsid w:val="00A565D9"/>
    <w:rPr>
      <w:color w:val="800080" w:themeColor="followedHyperlink"/>
      <w:u w:val="single"/>
    </w:rPr>
  </w:style>
  <w:style w:type="character" w:styleId="Rimandonotaapidipagina">
    <w:name w:val="footnote reference"/>
    <w:basedOn w:val="Carpredefinitoparagrafo"/>
    <w:uiPriority w:val="99"/>
    <w:semiHidden/>
    <w:unhideWhenUsed/>
    <w:rsid w:val="00F42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3085">
      <w:bodyDiv w:val="1"/>
      <w:marLeft w:val="0"/>
      <w:marRight w:val="0"/>
      <w:marTop w:val="0"/>
      <w:marBottom w:val="0"/>
      <w:divBdr>
        <w:top w:val="none" w:sz="0" w:space="0" w:color="auto"/>
        <w:left w:val="none" w:sz="0" w:space="0" w:color="auto"/>
        <w:bottom w:val="none" w:sz="0" w:space="0" w:color="auto"/>
        <w:right w:val="none" w:sz="0" w:space="0" w:color="auto"/>
      </w:divBdr>
      <w:divsChild>
        <w:div w:id="1486436036">
          <w:marLeft w:val="0"/>
          <w:marRight w:val="0"/>
          <w:marTop w:val="0"/>
          <w:marBottom w:val="0"/>
          <w:divBdr>
            <w:top w:val="none" w:sz="0" w:space="0" w:color="auto"/>
            <w:left w:val="none" w:sz="0" w:space="0" w:color="auto"/>
            <w:bottom w:val="none" w:sz="0" w:space="0" w:color="auto"/>
            <w:right w:val="none" w:sz="0" w:space="0" w:color="auto"/>
          </w:divBdr>
          <w:divsChild>
            <w:div w:id="1188328131">
              <w:marLeft w:val="0"/>
              <w:marRight w:val="0"/>
              <w:marTop w:val="0"/>
              <w:marBottom w:val="0"/>
              <w:divBdr>
                <w:top w:val="none" w:sz="0" w:space="0" w:color="auto"/>
                <w:left w:val="none" w:sz="0" w:space="0" w:color="auto"/>
                <w:bottom w:val="none" w:sz="0" w:space="0" w:color="auto"/>
                <w:right w:val="none" w:sz="0" w:space="0" w:color="auto"/>
              </w:divBdr>
              <w:divsChild>
                <w:div w:id="985819849">
                  <w:marLeft w:val="0"/>
                  <w:marRight w:val="0"/>
                  <w:marTop w:val="0"/>
                  <w:marBottom w:val="0"/>
                  <w:divBdr>
                    <w:top w:val="none" w:sz="0" w:space="0" w:color="auto"/>
                    <w:left w:val="none" w:sz="0" w:space="0" w:color="auto"/>
                    <w:bottom w:val="none" w:sz="0" w:space="0" w:color="auto"/>
                    <w:right w:val="none" w:sz="0" w:space="0" w:color="auto"/>
                  </w:divBdr>
                  <w:divsChild>
                    <w:div w:id="1444836278">
                      <w:marLeft w:val="0"/>
                      <w:marRight w:val="0"/>
                      <w:marTop w:val="0"/>
                      <w:marBottom w:val="0"/>
                      <w:divBdr>
                        <w:top w:val="none" w:sz="0" w:space="0" w:color="auto"/>
                        <w:left w:val="none" w:sz="0" w:space="0" w:color="auto"/>
                        <w:bottom w:val="none" w:sz="0" w:space="0" w:color="auto"/>
                        <w:right w:val="none" w:sz="0" w:space="0" w:color="auto"/>
                      </w:divBdr>
                      <w:divsChild>
                        <w:div w:id="26685400">
                          <w:marLeft w:val="0"/>
                          <w:marRight w:val="0"/>
                          <w:marTop w:val="0"/>
                          <w:marBottom w:val="0"/>
                          <w:divBdr>
                            <w:top w:val="none" w:sz="0" w:space="0" w:color="auto"/>
                            <w:left w:val="none" w:sz="0" w:space="0" w:color="auto"/>
                            <w:bottom w:val="none" w:sz="0" w:space="0" w:color="auto"/>
                            <w:right w:val="none" w:sz="0" w:space="0" w:color="auto"/>
                          </w:divBdr>
                        </w:div>
                        <w:div w:id="1748729307">
                          <w:marLeft w:val="0"/>
                          <w:marRight w:val="0"/>
                          <w:marTop w:val="0"/>
                          <w:marBottom w:val="0"/>
                          <w:divBdr>
                            <w:top w:val="none" w:sz="0" w:space="0" w:color="auto"/>
                            <w:left w:val="none" w:sz="0" w:space="0" w:color="auto"/>
                            <w:bottom w:val="none" w:sz="0" w:space="0" w:color="auto"/>
                            <w:right w:val="none" w:sz="0" w:space="0" w:color="auto"/>
                          </w:divBdr>
                          <w:divsChild>
                            <w:div w:id="438259019">
                              <w:marLeft w:val="0"/>
                              <w:marRight w:val="300"/>
                              <w:marTop w:val="180"/>
                              <w:marBottom w:val="0"/>
                              <w:divBdr>
                                <w:top w:val="none" w:sz="0" w:space="0" w:color="auto"/>
                                <w:left w:val="none" w:sz="0" w:space="0" w:color="auto"/>
                                <w:bottom w:val="none" w:sz="0" w:space="0" w:color="auto"/>
                                <w:right w:val="none" w:sz="0" w:space="0" w:color="auto"/>
                              </w:divBdr>
                              <w:divsChild>
                                <w:div w:id="20672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28058">
          <w:marLeft w:val="0"/>
          <w:marRight w:val="0"/>
          <w:marTop w:val="0"/>
          <w:marBottom w:val="0"/>
          <w:divBdr>
            <w:top w:val="none" w:sz="0" w:space="0" w:color="auto"/>
            <w:left w:val="none" w:sz="0" w:space="0" w:color="auto"/>
            <w:bottom w:val="none" w:sz="0" w:space="0" w:color="auto"/>
            <w:right w:val="none" w:sz="0" w:space="0" w:color="auto"/>
          </w:divBdr>
          <w:divsChild>
            <w:div w:id="980112623">
              <w:marLeft w:val="0"/>
              <w:marRight w:val="0"/>
              <w:marTop w:val="0"/>
              <w:marBottom w:val="0"/>
              <w:divBdr>
                <w:top w:val="none" w:sz="0" w:space="0" w:color="auto"/>
                <w:left w:val="none" w:sz="0" w:space="0" w:color="auto"/>
                <w:bottom w:val="none" w:sz="0" w:space="0" w:color="auto"/>
                <w:right w:val="none" w:sz="0" w:space="0" w:color="auto"/>
              </w:divBdr>
              <w:divsChild>
                <w:div w:id="1982541432">
                  <w:marLeft w:val="0"/>
                  <w:marRight w:val="0"/>
                  <w:marTop w:val="0"/>
                  <w:marBottom w:val="0"/>
                  <w:divBdr>
                    <w:top w:val="none" w:sz="0" w:space="0" w:color="auto"/>
                    <w:left w:val="none" w:sz="0" w:space="0" w:color="auto"/>
                    <w:bottom w:val="none" w:sz="0" w:space="0" w:color="auto"/>
                    <w:right w:val="none" w:sz="0" w:space="0" w:color="auto"/>
                  </w:divBdr>
                  <w:divsChild>
                    <w:div w:id="357586546">
                      <w:marLeft w:val="0"/>
                      <w:marRight w:val="0"/>
                      <w:marTop w:val="0"/>
                      <w:marBottom w:val="0"/>
                      <w:divBdr>
                        <w:top w:val="none" w:sz="0" w:space="0" w:color="auto"/>
                        <w:left w:val="none" w:sz="0" w:space="0" w:color="auto"/>
                        <w:bottom w:val="none" w:sz="0" w:space="0" w:color="auto"/>
                        <w:right w:val="none" w:sz="0" w:space="0" w:color="auto"/>
                      </w:divBdr>
                      <w:divsChild>
                        <w:div w:id="5182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589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78972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670">
      <w:bodyDiv w:val="1"/>
      <w:marLeft w:val="0"/>
      <w:marRight w:val="0"/>
      <w:marTop w:val="0"/>
      <w:marBottom w:val="0"/>
      <w:divBdr>
        <w:top w:val="none" w:sz="0" w:space="0" w:color="auto"/>
        <w:left w:val="none" w:sz="0" w:space="0" w:color="auto"/>
        <w:bottom w:val="none" w:sz="0" w:space="0" w:color="auto"/>
        <w:right w:val="none" w:sz="0" w:space="0" w:color="auto"/>
      </w:divBdr>
    </w:div>
    <w:div w:id="1173568487">
      <w:bodyDiv w:val="1"/>
      <w:marLeft w:val="0"/>
      <w:marRight w:val="0"/>
      <w:marTop w:val="0"/>
      <w:marBottom w:val="0"/>
      <w:divBdr>
        <w:top w:val="none" w:sz="0" w:space="0" w:color="auto"/>
        <w:left w:val="none" w:sz="0" w:space="0" w:color="auto"/>
        <w:bottom w:val="none" w:sz="0" w:space="0" w:color="auto"/>
        <w:right w:val="none" w:sz="0" w:space="0" w:color="auto"/>
      </w:divBdr>
      <w:divsChild>
        <w:div w:id="1008756252">
          <w:marLeft w:val="0"/>
          <w:marRight w:val="0"/>
          <w:marTop w:val="0"/>
          <w:marBottom w:val="0"/>
          <w:divBdr>
            <w:top w:val="none" w:sz="0" w:space="0" w:color="auto"/>
            <w:left w:val="none" w:sz="0" w:space="0" w:color="auto"/>
            <w:bottom w:val="none" w:sz="0" w:space="0" w:color="auto"/>
            <w:right w:val="none" w:sz="0" w:space="0" w:color="auto"/>
          </w:divBdr>
          <w:divsChild>
            <w:div w:id="1738624047">
              <w:marLeft w:val="0"/>
              <w:marRight w:val="0"/>
              <w:marTop w:val="0"/>
              <w:marBottom w:val="0"/>
              <w:divBdr>
                <w:top w:val="none" w:sz="0" w:space="0" w:color="auto"/>
                <w:left w:val="none" w:sz="0" w:space="0" w:color="auto"/>
                <w:bottom w:val="none" w:sz="0" w:space="0" w:color="auto"/>
                <w:right w:val="none" w:sz="0" w:space="0" w:color="auto"/>
              </w:divBdr>
              <w:divsChild>
                <w:div w:id="485440992">
                  <w:marLeft w:val="0"/>
                  <w:marRight w:val="0"/>
                  <w:marTop w:val="0"/>
                  <w:marBottom w:val="0"/>
                  <w:divBdr>
                    <w:top w:val="none" w:sz="0" w:space="0" w:color="auto"/>
                    <w:left w:val="none" w:sz="0" w:space="0" w:color="auto"/>
                    <w:bottom w:val="none" w:sz="0" w:space="0" w:color="auto"/>
                    <w:right w:val="none" w:sz="0" w:space="0" w:color="auto"/>
                  </w:divBdr>
                  <w:divsChild>
                    <w:div w:id="1975255431">
                      <w:marLeft w:val="0"/>
                      <w:marRight w:val="0"/>
                      <w:marTop w:val="0"/>
                      <w:marBottom w:val="0"/>
                      <w:divBdr>
                        <w:top w:val="none" w:sz="0" w:space="0" w:color="auto"/>
                        <w:left w:val="none" w:sz="0" w:space="0" w:color="auto"/>
                        <w:bottom w:val="none" w:sz="0" w:space="0" w:color="auto"/>
                        <w:right w:val="none" w:sz="0" w:space="0" w:color="auto"/>
                      </w:divBdr>
                      <w:divsChild>
                        <w:div w:id="1305508836">
                          <w:marLeft w:val="0"/>
                          <w:marRight w:val="0"/>
                          <w:marTop w:val="0"/>
                          <w:marBottom w:val="0"/>
                          <w:divBdr>
                            <w:top w:val="none" w:sz="0" w:space="0" w:color="auto"/>
                            <w:left w:val="none" w:sz="0" w:space="0" w:color="auto"/>
                            <w:bottom w:val="none" w:sz="0" w:space="0" w:color="auto"/>
                            <w:right w:val="none" w:sz="0" w:space="0" w:color="auto"/>
                          </w:divBdr>
                          <w:divsChild>
                            <w:div w:id="915826444">
                              <w:marLeft w:val="0"/>
                              <w:marRight w:val="300"/>
                              <w:marTop w:val="180"/>
                              <w:marBottom w:val="0"/>
                              <w:divBdr>
                                <w:top w:val="none" w:sz="0" w:space="0" w:color="auto"/>
                                <w:left w:val="none" w:sz="0" w:space="0" w:color="auto"/>
                                <w:bottom w:val="none" w:sz="0" w:space="0" w:color="auto"/>
                                <w:right w:val="none" w:sz="0" w:space="0" w:color="auto"/>
                              </w:divBdr>
                              <w:divsChild>
                                <w:div w:id="15731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15086">
          <w:marLeft w:val="0"/>
          <w:marRight w:val="0"/>
          <w:marTop w:val="0"/>
          <w:marBottom w:val="0"/>
          <w:divBdr>
            <w:top w:val="none" w:sz="0" w:space="0" w:color="auto"/>
            <w:left w:val="none" w:sz="0" w:space="0" w:color="auto"/>
            <w:bottom w:val="none" w:sz="0" w:space="0" w:color="auto"/>
            <w:right w:val="none" w:sz="0" w:space="0" w:color="auto"/>
          </w:divBdr>
          <w:divsChild>
            <w:div w:id="453060070">
              <w:marLeft w:val="0"/>
              <w:marRight w:val="0"/>
              <w:marTop w:val="0"/>
              <w:marBottom w:val="0"/>
              <w:divBdr>
                <w:top w:val="none" w:sz="0" w:space="0" w:color="auto"/>
                <w:left w:val="none" w:sz="0" w:space="0" w:color="auto"/>
                <w:bottom w:val="none" w:sz="0" w:space="0" w:color="auto"/>
                <w:right w:val="none" w:sz="0" w:space="0" w:color="auto"/>
              </w:divBdr>
              <w:divsChild>
                <w:div w:id="337316238">
                  <w:marLeft w:val="0"/>
                  <w:marRight w:val="0"/>
                  <w:marTop w:val="0"/>
                  <w:marBottom w:val="0"/>
                  <w:divBdr>
                    <w:top w:val="none" w:sz="0" w:space="0" w:color="auto"/>
                    <w:left w:val="none" w:sz="0" w:space="0" w:color="auto"/>
                    <w:bottom w:val="none" w:sz="0" w:space="0" w:color="auto"/>
                    <w:right w:val="none" w:sz="0" w:space="0" w:color="auto"/>
                  </w:divBdr>
                  <w:divsChild>
                    <w:div w:id="1259410484">
                      <w:marLeft w:val="0"/>
                      <w:marRight w:val="0"/>
                      <w:marTop w:val="0"/>
                      <w:marBottom w:val="0"/>
                      <w:divBdr>
                        <w:top w:val="none" w:sz="0" w:space="0" w:color="auto"/>
                        <w:left w:val="none" w:sz="0" w:space="0" w:color="auto"/>
                        <w:bottom w:val="none" w:sz="0" w:space="0" w:color="auto"/>
                        <w:right w:val="none" w:sz="0" w:space="0" w:color="auto"/>
                      </w:divBdr>
                      <w:divsChild>
                        <w:div w:id="18055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8917">
      <w:bodyDiv w:val="1"/>
      <w:marLeft w:val="0"/>
      <w:marRight w:val="0"/>
      <w:marTop w:val="0"/>
      <w:marBottom w:val="0"/>
      <w:divBdr>
        <w:top w:val="none" w:sz="0" w:space="0" w:color="auto"/>
        <w:left w:val="none" w:sz="0" w:space="0" w:color="auto"/>
        <w:bottom w:val="none" w:sz="0" w:space="0" w:color="auto"/>
        <w:right w:val="none" w:sz="0" w:space="0" w:color="auto"/>
      </w:divBdr>
      <w:divsChild>
        <w:div w:id="1365323739">
          <w:marLeft w:val="0"/>
          <w:marRight w:val="0"/>
          <w:marTop w:val="0"/>
          <w:marBottom w:val="0"/>
          <w:divBdr>
            <w:top w:val="none" w:sz="0" w:space="0" w:color="auto"/>
            <w:left w:val="none" w:sz="0" w:space="0" w:color="auto"/>
            <w:bottom w:val="none" w:sz="0" w:space="0" w:color="auto"/>
            <w:right w:val="none" w:sz="0" w:space="0" w:color="auto"/>
          </w:divBdr>
        </w:div>
      </w:divsChild>
    </w:div>
    <w:div w:id="189997437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ensimento.assocostieri.it/censimento2014/chimic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301C-B2D4-4C4E-8D2A-521F4A05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3571</Words>
  <Characters>20357</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Bragatto Paolo Angelo</cp:lastModifiedBy>
  <cp:revision>2</cp:revision>
  <cp:lastPrinted>2019-01-31T09:59:00Z</cp:lastPrinted>
  <dcterms:created xsi:type="dcterms:W3CDTF">2019-04-13T19:41:00Z</dcterms:created>
  <dcterms:modified xsi:type="dcterms:W3CDTF">2019-04-13T19:41:00Z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