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5B3C14" w:rsidRPr="00B57B36" w14:paraId="737A20C6" w14:textId="77777777" w:rsidTr="003D4339">
        <w:trPr>
          <w:trHeight w:val="852"/>
          <w:jc w:val="center"/>
        </w:trPr>
        <w:tc>
          <w:tcPr>
            <w:tcW w:w="6946" w:type="dxa"/>
            <w:vMerge w:val="restart"/>
            <w:tcBorders>
              <w:right w:val="single" w:sz="4" w:space="0" w:color="auto"/>
            </w:tcBorders>
          </w:tcPr>
          <w:p w14:paraId="3CC850C3" w14:textId="77777777" w:rsidR="005B3C14" w:rsidRPr="00B57B36" w:rsidRDefault="005B3C14" w:rsidP="003D4339">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6F1DC390" wp14:editId="63E450B0">
                  <wp:extent cx="640080" cy="373380"/>
                  <wp:effectExtent l="0" t="0" r="7620" b="762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BCF0DFF" w14:textId="77777777" w:rsidR="005B3C14" w:rsidRPr="00B57B36" w:rsidRDefault="005B3C14" w:rsidP="003D433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14:paraId="0158E295" w14:textId="77777777" w:rsidR="005B3C14" w:rsidRPr="00B57B36" w:rsidRDefault="005B3C14" w:rsidP="003D4339">
            <w:pPr>
              <w:spacing w:line="140" w:lineRule="atLeast"/>
              <w:jc w:val="right"/>
              <w:rPr>
                <w:rFonts w:cs="Arial"/>
                <w:sz w:val="14"/>
                <w:szCs w:val="14"/>
              </w:rPr>
            </w:pPr>
            <w:r w:rsidRPr="00B57B36">
              <w:rPr>
                <w:rFonts w:cs="Arial"/>
                <w:sz w:val="14"/>
                <w:szCs w:val="14"/>
              </w:rPr>
              <w:t>A publication of</w:t>
            </w:r>
          </w:p>
          <w:p w14:paraId="49F913D1" w14:textId="77777777" w:rsidR="005B3C14" w:rsidRPr="00B57B36" w:rsidRDefault="005B3C14" w:rsidP="003D4339">
            <w:pPr>
              <w:jc w:val="right"/>
            </w:pPr>
            <w:r w:rsidRPr="00B57B36">
              <w:rPr>
                <w:noProof/>
                <w:lang w:val="it-IT" w:eastAsia="it-IT"/>
              </w:rPr>
              <w:drawing>
                <wp:inline distT="0" distB="0" distL="0" distR="0" wp14:anchorId="48F86700" wp14:editId="7C943686">
                  <wp:extent cx="670560" cy="358140"/>
                  <wp:effectExtent l="0" t="0" r="0" b="381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5B3C14" w:rsidRPr="003669A8" w14:paraId="4FCB7BE6" w14:textId="77777777" w:rsidTr="003D4339">
        <w:trPr>
          <w:trHeight w:val="567"/>
          <w:jc w:val="center"/>
        </w:trPr>
        <w:tc>
          <w:tcPr>
            <w:tcW w:w="6946" w:type="dxa"/>
            <w:vMerge/>
            <w:tcBorders>
              <w:right w:val="single" w:sz="4" w:space="0" w:color="auto"/>
            </w:tcBorders>
          </w:tcPr>
          <w:p w14:paraId="2F484E28" w14:textId="77777777" w:rsidR="005B3C14" w:rsidRPr="00B57B36" w:rsidRDefault="005B3C14" w:rsidP="003D4339">
            <w:pPr>
              <w:tabs>
                <w:tab w:val="left" w:pos="-108"/>
              </w:tabs>
            </w:pPr>
          </w:p>
        </w:tc>
        <w:tc>
          <w:tcPr>
            <w:tcW w:w="1843" w:type="dxa"/>
            <w:tcBorders>
              <w:left w:val="single" w:sz="4" w:space="0" w:color="auto"/>
              <w:bottom w:val="nil"/>
              <w:right w:val="single" w:sz="4" w:space="0" w:color="auto"/>
            </w:tcBorders>
          </w:tcPr>
          <w:p w14:paraId="03EB22AF" w14:textId="77777777" w:rsidR="005B3C14" w:rsidRPr="00B57B36" w:rsidRDefault="005B3C14" w:rsidP="003D4339">
            <w:pPr>
              <w:spacing w:line="140" w:lineRule="atLeast"/>
              <w:jc w:val="right"/>
              <w:rPr>
                <w:rFonts w:cs="Arial"/>
                <w:sz w:val="14"/>
                <w:szCs w:val="14"/>
              </w:rPr>
            </w:pPr>
            <w:r w:rsidRPr="00B57B36">
              <w:rPr>
                <w:rFonts w:cs="Arial"/>
                <w:sz w:val="14"/>
                <w:szCs w:val="14"/>
              </w:rPr>
              <w:t>The Italian Association</w:t>
            </w:r>
          </w:p>
          <w:p w14:paraId="6E9E585B" w14:textId="77777777" w:rsidR="005B3C14" w:rsidRPr="00B57B36" w:rsidRDefault="005B3C14" w:rsidP="003D4339">
            <w:pPr>
              <w:spacing w:line="140" w:lineRule="atLeast"/>
              <w:jc w:val="right"/>
              <w:rPr>
                <w:rFonts w:cs="Arial"/>
                <w:sz w:val="14"/>
                <w:szCs w:val="14"/>
              </w:rPr>
            </w:pPr>
            <w:r w:rsidRPr="00B57B36">
              <w:rPr>
                <w:rFonts w:cs="Arial"/>
                <w:sz w:val="14"/>
                <w:szCs w:val="14"/>
              </w:rPr>
              <w:t>of Chemical Engineering</w:t>
            </w:r>
          </w:p>
          <w:p w14:paraId="4BB09185" w14:textId="77777777" w:rsidR="005B3C14" w:rsidRPr="009126A1" w:rsidRDefault="005B3C14" w:rsidP="003D4339">
            <w:pPr>
              <w:spacing w:line="140" w:lineRule="atLeast"/>
              <w:jc w:val="right"/>
              <w:rPr>
                <w:rFonts w:cs="Arial"/>
                <w:sz w:val="14"/>
                <w:szCs w:val="14"/>
                <w:lang w:val="nb-NO"/>
              </w:rPr>
            </w:pPr>
            <w:r w:rsidRPr="009126A1">
              <w:rPr>
                <w:rFonts w:cs="Arial"/>
                <w:sz w:val="14"/>
                <w:szCs w:val="14"/>
                <w:lang w:val="nb-NO"/>
              </w:rPr>
              <w:t>Online at www.aidic.it/cet</w:t>
            </w:r>
          </w:p>
        </w:tc>
      </w:tr>
      <w:tr w:rsidR="005B3C14" w:rsidRPr="00B57B36" w14:paraId="7179F7A1" w14:textId="77777777" w:rsidTr="003D4339">
        <w:trPr>
          <w:trHeight w:val="68"/>
          <w:jc w:val="center"/>
        </w:trPr>
        <w:tc>
          <w:tcPr>
            <w:tcW w:w="8789" w:type="dxa"/>
            <w:gridSpan w:val="2"/>
          </w:tcPr>
          <w:p w14:paraId="4C5D0590" w14:textId="77777777" w:rsidR="005B3C14" w:rsidRPr="00252C1A" w:rsidRDefault="005B3C14" w:rsidP="003D4339">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14:paraId="27AB4B71" w14:textId="77777777" w:rsidR="005B3C14" w:rsidRPr="00B57B36" w:rsidRDefault="005B3C14" w:rsidP="003D4339">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4750EB6" w14:textId="77777777" w:rsidR="000A03B2" w:rsidRPr="001B7656" w:rsidRDefault="000A03B2" w:rsidP="000A03B2">
      <w:pPr>
        <w:pStyle w:val="CETAuthors"/>
        <w:sectPr w:rsidR="000A03B2" w:rsidRPr="001B7656" w:rsidSect="00CD5FE2">
          <w:type w:val="continuous"/>
          <w:pgSz w:w="11906" w:h="16838" w:code="9"/>
          <w:pgMar w:top="1701" w:right="1418" w:bottom="1701" w:left="1701" w:header="1701" w:footer="0" w:gutter="0"/>
          <w:cols w:space="708"/>
          <w:titlePg/>
          <w:docGrid w:linePitch="360"/>
        </w:sectPr>
      </w:pPr>
    </w:p>
    <w:p w14:paraId="69C226E5" w14:textId="4793AD2D" w:rsidR="00E978D0" w:rsidRPr="001B7656" w:rsidRDefault="00167BF8" w:rsidP="00E978D0">
      <w:pPr>
        <w:pStyle w:val="CETTitle"/>
      </w:pPr>
      <w:r w:rsidRPr="001B7656">
        <w:t>The Influence of H</w:t>
      </w:r>
      <w:r w:rsidRPr="00B868C5">
        <w:rPr>
          <w:vertAlign w:val="subscript"/>
        </w:rPr>
        <w:t>2</w:t>
      </w:r>
      <w:r w:rsidRPr="001B7656">
        <w:t xml:space="preserve"> Safety Research on Relevant Risk Assessment</w:t>
      </w:r>
    </w:p>
    <w:p w14:paraId="585B03AB" w14:textId="77777777" w:rsidR="00E978D0" w:rsidRPr="009E5772" w:rsidRDefault="00167BF8" w:rsidP="009D11B4">
      <w:pPr>
        <w:pStyle w:val="CETAuthors"/>
        <w:rPr>
          <w:lang w:val="it-IT"/>
        </w:rPr>
      </w:pPr>
      <w:r w:rsidRPr="009E5772">
        <w:rPr>
          <w:lang w:val="it-IT"/>
        </w:rPr>
        <w:t>Federico Ustolin*</w:t>
      </w:r>
      <w:r w:rsidR="00600535" w:rsidRPr="009E5772">
        <w:rPr>
          <w:lang w:val="it-IT"/>
        </w:rPr>
        <w:t>,</w:t>
      </w:r>
      <w:r w:rsidRPr="009E5772">
        <w:rPr>
          <w:lang w:val="it-IT"/>
        </w:rPr>
        <w:t xml:space="preserve"> Guozheng Song,</w:t>
      </w:r>
      <w:r w:rsidR="00600535" w:rsidRPr="009E5772">
        <w:rPr>
          <w:lang w:val="it-IT"/>
        </w:rPr>
        <w:t xml:space="preserve"> </w:t>
      </w:r>
      <w:r w:rsidR="009D11B4" w:rsidRPr="009E5772">
        <w:rPr>
          <w:lang w:val="it-IT"/>
        </w:rPr>
        <w:t>Nicola Paltrinier</w:t>
      </w:r>
      <w:r w:rsidRPr="009E5772">
        <w:rPr>
          <w:lang w:val="it-IT"/>
        </w:rPr>
        <w:t>i</w:t>
      </w:r>
    </w:p>
    <w:p w14:paraId="36A8A737" w14:textId="77777777" w:rsidR="009D11B4" w:rsidRPr="001B7656" w:rsidRDefault="00167BF8" w:rsidP="00167BF8">
      <w:pPr>
        <w:pStyle w:val="CETAddress"/>
      </w:pPr>
      <w:r w:rsidRPr="001B7656">
        <w:t>Department of Mechanical and Industrial Engineering, Norwegian University of Science and Technology NTNU, S.P. Andersens veg 5, 7031 Trondheim, Norway</w:t>
      </w:r>
    </w:p>
    <w:p w14:paraId="7F23B8A0" w14:textId="77777777" w:rsidR="00167BF8" w:rsidRPr="001F11DE" w:rsidRDefault="00B14FF0" w:rsidP="00167BF8">
      <w:pPr>
        <w:pStyle w:val="CETemail"/>
      </w:pPr>
      <w:r w:rsidRPr="001F11DE">
        <w:t>*</w:t>
      </w:r>
      <w:r w:rsidR="00AB5011" w:rsidRPr="001F11DE">
        <w:t xml:space="preserve"> </w:t>
      </w:r>
      <w:r w:rsidR="00167BF8" w:rsidRPr="001F11DE">
        <w:t>federico.ustolin@ntnu.no</w:t>
      </w:r>
    </w:p>
    <w:p w14:paraId="1A4343E5" w14:textId="3C4D6B3C" w:rsidR="00DA24C6" w:rsidRPr="001F11DE" w:rsidRDefault="00167BF8" w:rsidP="00167BF8">
      <w:pPr>
        <w:pStyle w:val="CETBodytext"/>
        <w:rPr>
          <w:lang w:val="en-GB"/>
        </w:rPr>
      </w:pPr>
      <w:r w:rsidRPr="001F11DE">
        <w:rPr>
          <w:lang w:val="en-GB"/>
        </w:rPr>
        <w:t>Hydrogen is a valuable option of clean fuel to keep the global temperature rise below 2°C. However, one of the main barriers in its transport and use is to ensure safety levels that are comparable with traditional fuels. In particular, potential liquid hydrogen accidents may not be fully understood (yet) and excluded by relevant risk assessment. For instance, as hydrogen is cryogenically liquefied to increase its energy density during transport, Boiling Liquid Expanding Vapor Explosions (BLEVE) is a potential and critical event that is important addressing in the hazard identification phase. Two past BLEVE accidents involving liquid hydrogen support such thesis. For this reason, results from consequence analysis of hydrogen BLEVE will not only improve the understanding of the related physical phenomenon, but also influence future risk assessment studies. This study aims to show the extent of consequence analysis influence on overall quantitative risk assessment of hydrogen technologies and propose a systematic approach for integration of posterior results. The Dynamic Procedure for Atypical Scenario Identification (DyPASI) is used for this purpose. The work specifically focuses on consequence models that are originally developed for other substances and adapted for liquid hydrogen. Particular attention is given to the parameters affecting the magnitude of the accident, as currently investigated by a number of research projects on hydrogen safety worldwide. A representative example of consequence analysis for liquid hydrogen release is used in this study. Critical conditions identified by the numerical simulation models are identified and considered for subsequent update of the overall system risk assessment.</w:t>
      </w:r>
    </w:p>
    <w:p w14:paraId="21905E5E" w14:textId="77777777" w:rsidR="00B00558" w:rsidRPr="001F11DE" w:rsidRDefault="00B00558" w:rsidP="00B00558">
      <w:pPr>
        <w:pStyle w:val="CETHeading1"/>
      </w:pPr>
      <w:r w:rsidRPr="001F11DE">
        <w:t>Introduction</w:t>
      </w:r>
    </w:p>
    <w:p w14:paraId="09113CB6" w14:textId="0BC6DB52" w:rsidR="00A45C1E" w:rsidRPr="001B7656" w:rsidRDefault="00F36C56" w:rsidP="00F36C56">
      <w:pPr>
        <w:pStyle w:val="CETBodytext"/>
        <w:rPr>
          <w:lang w:val="en-GB"/>
        </w:rPr>
      </w:pPr>
      <w:bookmarkStart w:id="0" w:name="_Hlk533162286"/>
      <w:bookmarkStart w:id="1" w:name="_Hlk533162578"/>
      <w:r w:rsidRPr="001B7656">
        <w:rPr>
          <w:lang w:val="en-GB"/>
        </w:rPr>
        <w:t xml:space="preserve">Hydrogen is considered a clean fuel and could </w:t>
      </w:r>
      <w:r w:rsidR="009E5772">
        <w:rPr>
          <w:lang w:val="en-GB"/>
        </w:rPr>
        <w:t>replac</w:t>
      </w:r>
      <w:r w:rsidRPr="001B7656">
        <w:rPr>
          <w:lang w:val="en-GB"/>
        </w:rPr>
        <w:t>e the fossil fuels in order to reduce the environmental pollution. Potentially, its combustion produces only water and heat if the flame temperature is controlled or a catalyst burner is adopted</w:t>
      </w:r>
      <w:r w:rsidR="009E5772">
        <w:rPr>
          <w:lang w:val="en-GB"/>
        </w:rPr>
        <w:t>.</w:t>
      </w:r>
      <w:r w:rsidRPr="001B7656">
        <w:rPr>
          <w:lang w:val="en-GB"/>
        </w:rPr>
        <w:t xml:space="preserve"> Moreover, hydrogen has a specific energy value (120 MJ/kg</w:t>
      </w:r>
      <w:r w:rsidR="00AD5103">
        <w:rPr>
          <w:lang w:val="en-GB"/>
        </w:rPr>
        <w:t xml:space="preserve"> </w:t>
      </w:r>
      <w:r w:rsidR="006A0F71">
        <w:rPr>
          <w:lang w:val="en-GB"/>
        </w:rPr>
        <w:fldChar w:fldCharType="begin" w:fldLock="1"/>
      </w:r>
      <w:r w:rsidR="006A0F71">
        <w:rPr>
          <w:lang w:val="en-GB"/>
        </w:rPr>
        <w:instrText>ADDIN CSL_CITATION {"citationItems":[{"id":"ITEM-1","itemData":{"ISBN":"9783893365302","author":[{"dropping-particle":"","family":"Verfondern","given":"Karl","non-dropping-particle":"","parse-names":false,"suffix":""}],"id":"ITEM-1","issued":{"date-parts":[["2008"]]},"publisher":"Forschungszentrum Jülich GmbH","title":"Safety Considerations on Liquid Hydrogen","type":"report"},"uris":["http://www.mendeley.com/documents/?uuid=047927f4-4b0b-44a6-b8c6-57dee4f14840"]}],"mendeley":{"formattedCitation":"(Verfondern, 2008)","plainTextFormattedCitation":"(Verfondern, 2008)","previouslyFormattedCitation":"(Verfondern, 2008)"},"properties":{"noteIndex":0},"schema":"https://github.com/citation-style-language/schema/raw/master/csl-citation.json"}</w:instrText>
      </w:r>
      <w:r w:rsidR="006A0F71">
        <w:rPr>
          <w:lang w:val="en-GB"/>
        </w:rPr>
        <w:fldChar w:fldCharType="separate"/>
      </w:r>
      <w:r w:rsidR="006A0F71" w:rsidRPr="006A0F71">
        <w:rPr>
          <w:noProof/>
          <w:lang w:val="en-GB"/>
        </w:rPr>
        <w:t>(Verfondern, 2008)</w:t>
      </w:r>
      <w:r w:rsidR="006A0F71">
        <w:rPr>
          <w:lang w:val="en-GB"/>
        </w:rPr>
        <w:fldChar w:fldCharType="end"/>
      </w:r>
      <w:r w:rsidRPr="001B7656">
        <w:rPr>
          <w:lang w:val="en-GB"/>
        </w:rPr>
        <w:t xml:space="preserve">) higher than other </w:t>
      </w:r>
      <w:r w:rsidR="002C585F">
        <w:rPr>
          <w:lang w:val="en-GB"/>
        </w:rPr>
        <w:t>commercial</w:t>
      </w:r>
      <w:r w:rsidRPr="001B7656">
        <w:rPr>
          <w:lang w:val="en-GB"/>
        </w:rPr>
        <w:t xml:space="preserve"> fuel</w:t>
      </w:r>
      <w:r w:rsidR="002C585F">
        <w:rPr>
          <w:lang w:val="en-GB"/>
        </w:rPr>
        <w:t>s</w:t>
      </w:r>
      <w:r w:rsidRPr="001B7656">
        <w:rPr>
          <w:lang w:val="en-GB"/>
        </w:rPr>
        <w:t xml:space="preserve"> such as gasoline or natural gas.</w:t>
      </w:r>
      <w:r w:rsidR="009022E4">
        <w:rPr>
          <w:lang w:val="en-GB"/>
        </w:rPr>
        <w:t xml:space="preserve"> </w:t>
      </w:r>
      <w:r w:rsidRPr="001B7656">
        <w:rPr>
          <w:lang w:val="en-GB"/>
        </w:rPr>
        <w:t>Despite these and other advantages, hydrogen is</w:t>
      </w:r>
      <w:r w:rsidR="00653E0E" w:rsidRPr="001B7656">
        <w:rPr>
          <w:lang w:val="en-GB"/>
        </w:rPr>
        <w:t xml:space="preserve"> considered a dangerous fuel mainly due to its</w:t>
      </w:r>
      <w:r w:rsidRPr="001B7656">
        <w:rPr>
          <w:lang w:val="en-GB"/>
        </w:rPr>
        <w:t xml:space="preserve"> flammab</w:t>
      </w:r>
      <w:r w:rsidR="00653E0E" w:rsidRPr="001B7656">
        <w:rPr>
          <w:lang w:val="en-GB"/>
        </w:rPr>
        <w:t>ility</w:t>
      </w:r>
      <w:r w:rsidRPr="001B7656">
        <w:rPr>
          <w:lang w:val="en-GB"/>
        </w:rPr>
        <w:t xml:space="preserve"> </w:t>
      </w:r>
      <w:r w:rsidR="00653E0E" w:rsidRPr="001B7656">
        <w:rPr>
          <w:lang w:val="en-GB"/>
        </w:rPr>
        <w:t>and</w:t>
      </w:r>
      <w:r w:rsidRPr="001B7656">
        <w:rPr>
          <w:lang w:val="en-GB"/>
        </w:rPr>
        <w:t xml:space="preserve"> low ignition energy (0.0</w:t>
      </w:r>
      <w:r w:rsidR="006A0F71">
        <w:rPr>
          <w:lang w:val="en-GB"/>
        </w:rPr>
        <w:t>17</w:t>
      </w:r>
      <w:r w:rsidRPr="001B7656">
        <w:rPr>
          <w:lang w:val="en-GB"/>
        </w:rPr>
        <w:t xml:space="preserve"> mJ</w:t>
      </w:r>
      <w:r w:rsidR="006A0F71">
        <w:rPr>
          <w:lang w:val="en-GB"/>
        </w:rPr>
        <w:t xml:space="preserve"> in air </w:t>
      </w:r>
      <w:r w:rsidR="006A0F71">
        <w:rPr>
          <w:lang w:val="en-GB"/>
        </w:rPr>
        <w:fldChar w:fldCharType="begin" w:fldLock="1"/>
      </w:r>
      <w:r w:rsidR="006A0F71">
        <w:rPr>
          <w:lang w:val="en-GB"/>
        </w:rPr>
        <w:instrText>ADDIN CSL_CITATION {"citationItems":[{"id":"ITEM-1","itemData":{"DOI":"10.1016/J.ELSTAT.2006.07.004","ISSN":"0304-3886","abstract":"The minimum ignition energy (MIE) of hydrogen–air mixture is measured using capacitive spark discharge. First, the effect of humidity on MIE is studied. It is shown that the MIE is approximately constant when the relative humidity increases from 0% to 90% at room temperature. This indicates that humidity has no significant influence on MIE. Next, the effect of spark duration on MIE is studied. The spark duration is increased by connecting a series resistor to the spark circuit. It is shown that the MIE is approximately constant when the spark duration is varied from 5ns to 1ms.","author":[{"dropping-particle":"","family":"Ono","given":"Ryo","non-dropping-particle":"","parse-names":false,"suffix":""},{"dropping-particle":"","family":"Nifuku","given":"Masaharu","non-dropping-particle":"","parse-names":false,"suffix":""},{"dropping-particle":"","family":"Fujiwara","given":"Shuzo","non-dropping-particle":"","parse-names":false,"suffix":""},{"dropping-particle":"","family":"Horiguchi","given":"Sadashige","non-dropping-particle":"","parse-names":false,"suffix":""},{"dropping-particle":"","family":"Oda","given":"Tetsuji","non-dropping-particle":"","parse-names":false,"suffix":""}],"container-title":"Journal of Electrostatics","id":"ITEM-1","issue":"2","issued":{"date-parts":[["2007","2","1"]]},"page":"87-93","publisher":"Elsevier","title":"Minimum ignition energy of hydrogen–air mixture: Effects of humidity and spark duration","type":"article-journal","volume":"65"},"uris":["http://www.mendeley.com/documents/?uuid=47498f3b-a785-3147-97ac-ad878b1d3b95"]}],"mendeley":{"formattedCitation":"(Ono et al., 2007)","plainTextFormattedCitation":"(Ono et al., 2007)","previouslyFormattedCitation":"(Ono et al., 2007)"},"properties":{"noteIndex":0},"schema":"https://github.com/citation-style-language/schema/raw/master/csl-citation.json"}</w:instrText>
      </w:r>
      <w:r w:rsidR="006A0F71">
        <w:rPr>
          <w:lang w:val="en-GB"/>
        </w:rPr>
        <w:fldChar w:fldCharType="separate"/>
      </w:r>
      <w:r w:rsidR="006A0F71" w:rsidRPr="006A0F71">
        <w:rPr>
          <w:noProof/>
          <w:lang w:val="en-GB"/>
        </w:rPr>
        <w:t>(Ono et al., 2007)</w:t>
      </w:r>
      <w:r w:rsidR="006A0F71">
        <w:rPr>
          <w:lang w:val="en-GB"/>
        </w:rPr>
        <w:fldChar w:fldCharType="end"/>
      </w:r>
      <w:r w:rsidRPr="001B7656">
        <w:rPr>
          <w:lang w:val="en-GB"/>
        </w:rPr>
        <w:t>). Hence, when the transportation and utilization of hydrogen is taken into account, the safety aspects should not be neglected. Furthermore, hydrogen has a low density at atmospheric conditions (0.08</w:t>
      </w:r>
      <w:r w:rsidR="006A0F71">
        <w:rPr>
          <w:lang w:val="en-GB"/>
        </w:rPr>
        <w:t>38</w:t>
      </w:r>
      <w:r w:rsidRPr="001B7656">
        <w:rPr>
          <w:lang w:val="en-GB"/>
        </w:rPr>
        <w:t xml:space="preserve"> kg/m</w:t>
      </w:r>
      <w:r w:rsidRPr="001B7656">
        <w:rPr>
          <w:vertAlign w:val="superscript"/>
          <w:lang w:val="en-GB"/>
        </w:rPr>
        <w:t>3</w:t>
      </w:r>
      <w:r w:rsidR="006A0F71">
        <w:rPr>
          <w:lang w:val="en-GB"/>
        </w:rPr>
        <w:t xml:space="preserve"> at 293 K, 101.3 kPa </w:t>
      </w:r>
      <w:r w:rsidR="006A0F71">
        <w:rPr>
          <w:lang w:val="en-GB"/>
        </w:rPr>
        <w:fldChar w:fldCharType="begin" w:fldLock="1"/>
      </w:r>
      <w:r w:rsidR="00221D36">
        <w:rPr>
          <w:lang w:val="en-GB"/>
        </w:rPr>
        <w:instrText>ADDIN CSL_CITATION {"citationItems":[{"id":"ITEM-1","itemData":{"author":[{"dropping-particle":"","family":"McCarty","given":"R","non-dropping-particle":"","parse-names":false,"suffix":""},{"dropping-particle":"","family":"Hord","given":"J","non-dropping-particle":"","parse-names":false,"suffix":""},{"dropping-particle":"","family":"Roder","given":"H","non-dropping-particle":"","parse-names":false,"suffix":""}],"edition":"NBS Monogr","id":"ITEM-1","issued":{"date-parts":[["1981"]]},"publisher":"National Bureau of Standards","publisher-place":"Boulder, Colorado","title":"Selected Properties of Hydrogen (Engineering Design Data)","type":"book"},"uris":["http://www.mendeley.com/documents/?uuid=c630a0e9-9ef4-4d19-a1ab-5dcf08dd711e"]}],"mendeley":{"formattedCitation":"(McCarty et al., 1981)","plainTextFormattedCitation":"(McCarty et al., 1981)","previouslyFormattedCitation":"(McCarty et al., 1981)"},"properties":{"noteIndex":0},"schema":"https://github.com/citation-style-language/schema/raw/master/csl-citation.json"}</w:instrText>
      </w:r>
      <w:r w:rsidR="006A0F71">
        <w:rPr>
          <w:lang w:val="en-GB"/>
        </w:rPr>
        <w:fldChar w:fldCharType="separate"/>
      </w:r>
      <w:r w:rsidR="006A0F71" w:rsidRPr="006A0F71">
        <w:rPr>
          <w:noProof/>
          <w:lang w:val="en-GB"/>
        </w:rPr>
        <w:t>(McCarty et al., 1981)</w:t>
      </w:r>
      <w:r w:rsidR="006A0F71">
        <w:rPr>
          <w:lang w:val="en-GB"/>
        </w:rPr>
        <w:fldChar w:fldCharType="end"/>
      </w:r>
      <w:r w:rsidR="006A0F71">
        <w:rPr>
          <w:lang w:val="en-GB"/>
        </w:rPr>
        <w:t>)</w:t>
      </w:r>
      <w:r w:rsidRPr="001B7656">
        <w:rPr>
          <w:lang w:val="en-GB"/>
        </w:rPr>
        <w:t xml:space="preserve"> compared with other fuels. Liquefaction increases the</w:t>
      </w:r>
      <w:r w:rsidR="009E5772">
        <w:rPr>
          <w:lang w:val="en-GB"/>
        </w:rPr>
        <w:t xml:space="preserve"> hydrogen</w:t>
      </w:r>
      <w:r w:rsidRPr="001B7656">
        <w:rPr>
          <w:lang w:val="en-GB"/>
        </w:rPr>
        <w:t xml:space="preserve"> density (70.9 kg/m</w:t>
      </w:r>
      <w:r w:rsidRPr="001B7656">
        <w:rPr>
          <w:vertAlign w:val="superscript"/>
          <w:lang w:val="en-GB"/>
        </w:rPr>
        <w:t>3</w:t>
      </w:r>
      <w:r w:rsidRPr="001B7656">
        <w:rPr>
          <w:lang w:val="en-GB"/>
        </w:rPr>
        <w:t xml:space="preserve"> at </w:t>
      </w:r>
      <w:r w:rsidR="006A0F71">
        <w:rPr>
          <w:lang w:val="en-GB"/>
        </w:rPr>
        <w:t xml:space="preserve">20.4 K, </w:t>
      </w:r>
      <w:r w:rsidRPr="001B7656">
        <w:rPr>
          <w:lang w:val="en-GB"/>
        </w:rPr>
        <w:t>1</w:t>
      </w:r>
      <w:r w:rsidR="006A0F71">
        <w:rPr>
          <w:lang w:val="en-GB"/>
        </w:rPr>
        <w:t xml:space="preserve">01.3 kPa </w:t>
      </w:r>
      <w:r w:rsidR="006A0F71">
        <w:rPr>
          <w:lang w:val="en-GB"/>
        </w:rPr>
        <w:fldChar w:fldCharType="begin" w:fldLock="1"/>
      </w:r>
      <w:r w:rsidR="006A0F71">
        <w:rPr>
          <w:lang w:val="en-GB"/>
        </w:rPr>
        <w:instrText>ADDIN CSL_CITATION {"citationItems":[{"id":"ITEM-1","itemData":{"URL":"https://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rsidR="006A0F71">
        <w:rPr>
          <w:lang w:val="en-GB"/>
        </w:rPr>
        <w:fldChar w:fldCharType="separate"/>
      </w:r>
      <w:r w:rsidR="006A0F71" w:rsidRPr="006A0F71">
        <w:rPr>
          <w:noProof/>
          <w:lang w:val="en-GB"/>
        </w:rPr>
        <w:t>(NIST, 2019)</w:t>
      </w:r>
      <w:r w:rsidR="006A0F71">
        <w:rPr>
          <w:lang w:val="en-GB"/>
        </w:rPr>
        <w:fldChar w:fldCharType="end"/>
      </w:r>
      <w:r w:rsidRPr="001B7656">
        <w:rPr>
          <w:lang w:val="en-GB"/>
        </w:rPr>
        <w:t>) and that is why liquid hydrogen (LH</w:t>
      </w:r>
      <w:r w:rsidRPr="001B7656">
        <w:rPr>
          <w:vertAlign w:val="subscript"/>
          <w:lang w:val="en-GB"/>
        </w:rPr>
        <w:t>2</w:t>
      </w:r>
      <w:r w:rsidRPr="001B7656">
        <w:rPr>
          <w:lang w:val="en-GB"/>
        </w:rPr>
        <w:t>) can be considered both for storage and transportation.</w:t>
      </w:r>
      <w:r w:rsidR="00E96993" w:rsidRPr="001B7656">
        <w:rPr>
          <w:lang w:val="en-GB"/>
        </w:rPr>
        <w:t xml:space="preserve"> For example,</w:t>
      </w:r>
      <w:r w:rsidRPr="001B7656">
        <w:rPr>
          <w:lang w:val="en-GB"/>
        </w:rPr>
        <w:t xml:space="preserve"> </w:t>
      </w:r>
      <w:r w:rsidR="00E96993" w:rsidRPr="001B7656">
        <w:rPr>
          <w:lang w:val="en-GB"/>
        </w:rPr>
        <w:t>i</w:t>
      </w:r>
      <w:r w:rsidRPr="001B7656">
        <w:rPr>
          <w:lang w:val="en-GB"/>
        </w:rPr>
        <w:t>n the case of road transportation, a truck with a tube trailer of compressed gaseous hydrogen can be filled with 300-400 kg of hydrogen at 200-250 bar, while a truck with a vacuum insulated tank can hold up to 3.5 tons of LH</w:t>
      </w:r>
      <w:r w:rsidRPr="001B7656">
        <w:rPr>
          <w:vertAlign w:val="subscript"/>
          <w:lang w:val="en-GB"/>
        </w:rPr>
        <w:t>2</w:t>
      </w:r>
      <w:r w:rsidRPr="001B7656">
        <w:rPr>
          <w:lang w:val="en-GB"/>
        </w:rPr>
        <w:t xml:space="preserve"> </w:t>
      </w:r>
      <w:r w:rsidR="002C4F0D">
        <w:rPr>
          <w:lang w:val="en-GB"/>
        </w:rPr>
        <w:fldChar w:fldCharType="begin" w:fldLock="1"/>
      </w:r>
      <w:r w:rsidR="00FD01B9">
        <w:rPr>
          <w:lang w:val="en-GB"/>
        </w:rPr>
        <w:instrText>ADDIN CSL_CITATION {"citationItems":[{"id":"ITEM-1","itemData":{"author":[{"dropping-particle":"","family":"Pritchard","given":"D K","non-dropping-particle":"","parse-names":false,"suffix":""},{"dropping-particle":"","family":"Rattigan","given":"W M","non-dropping-particle":"","parse-names":false,"suffix":""}],"id":"ITEM-1","issued":{"date-parts":[["2010"]]},"title":"Hazards of liquid hydrogen RR769 Position paper","type":"report"},"uris":["http://www.mendeley.com/documents/?uuid=512f2fa5-ea1b-47d1-8bfb-d35e4e8da2ad"]}],"mendeley":{"formattedCitation":"(Pritchard and Rattigan, 2010)","plainTextFormattedCitation":"(Pritchard and Rattigan, 2010)","previouslyFormattedCitation":"(Pritchard and Rattigan, 2010)"},"properties":{"noteIndex":0},"schema":"https://github.com/citation-style-language/schema/raw/master/csl-citation.json"}</w:instrText>
      </w:r>
      <w:r w:rsidR="002C4F0D">
        <w:rPr>
          <w:lang w:val="en-GB"/>
        </w:rPr>
        <w:fldChar w:fldCharType="separate"/>
      </w:r>
      <w:r w:rsidR="002C4F0D" w:rsidRPr="002C4F0D">
        <w:rPr>
          <w:noProof/>
          <w:lang w:val="en-GB"/>
        </w:rPr>
        <w:t>(Pritchard and Rattigan, 2010)</w:t>
      </w:r>
      <w:r w:rsidR="002C4F0D">
        <w:rPr>
          <w:lang w:val="en-GB"/>
        </w:rPr>
        <w:fldChar w:fldCharType="end"/>
      </w:r>
      <w:r w:rsidRPr="001B7656">
        <w:rPr>
          <w:lang w:val="en-GB"/>
        </w:rPr>
        <w:t>. On the other hand, when LH</w:t>
      </w:r>
      <w:r w:rsidRPr="001B7656">
        <w:rPr>
          <w:vertAlign w:val="subscript"/>
          <w:lang w:val="en-GB"/>
        </w:rPr>
        <w:t>2</w:t>
      </w:r>
      <w:r w:rsidRPr="001B7656">
        <w:rPr>
          <w:lang w:val="en-GB"/>
        </w:rPr>
        <w:t xml:space="preserve"> is used, different potential accidents and hazards must to be considered. Some of these have not been fully understood or forecasted yet.</w:t>
      </w:r>
    </w:p>
    <w:p w14:paraId="58C20959" w14:textId="11BC4ABE" w:rsidR="00A45C1E" w:rsidRPr="001B7656" w:rsidRDefault="00114703" w:rsidP="00F36C56">
      <w:pPr>
        <w:pStyle w:val="CETBodytext"/>
        <w:rPr>
          <w:lang w:val="en-GB"/>
        </w:rPr>
      </w:pPr>
      <w:r w:rsidRPr="001B7656">
        <w:rPr>
          <w:lang w:val="en-GB"/>
        </w:rPr>
        <w:t xml:space="preserve">Boiling Liquid Expanding Vapour Explosion (BLEVE) and Rapid Phase Transition (RPT) are </w:t>
      </w:r>
      <w:r w:rsidR="00A45C1E" w:rsidRPr="001B7656">
        <w:rPr>
          <w:lang w:val="en-GB"/>
        </w:rPr>
        <w:t>two</w:t>
      </w:r>
      <w:r w:rsidRPr="001B7656">
        <w:rPr>
          <w:lang w:val="en-GB"/>
        </w:rPr>
        <w:t xml:space="preserve"> physical explosions as consequence of a loss of containment</w:t>
      </w:r>
      <w:r w:rsidR="00D4361C" w:rsidRPr="001B7656">
        <w:rPr>
          <w:lang w:val="en-GB"/>
        </w:rPr>
        <w:t xml:space="preserve"> and these are two atypical accidental scenarios.</w:t>
      </w:r>
      <w:r w:rsidRPr="001B7656">
        <w:rPr>
          <w:lang w:val="en-GB"/>
        </w:rPr>
        <w:t xml:space="preserve"> BLEVE</w:t>
      </w:r>
      <w:r w:rsidR="00A45C1E" w:rsidRPr="001B7656">
        <w:rPr>
          <w:lang w:val="en-GB"/>
        </w:rPr>
        <w:t xml:space="preserve"> is a very well-known phenomenon for different substances such as water, propane, Liquefied Petroleum Gas (LPG) and Liquefied Natural Gas (LNG). It can</w:t>
      </w:r>
      <w:r w:rsidRPr="001B7656">
        <w:rPr>
          <w:lang w:val="en-GB"/>
        </w:rPr>
        <w:t xml:space="preserve"> happen immediately after a catastrophic rupture of </w:t>
      </w:r>
      <w:r w:rsidRPr="001B7656">
        <w:rPr>
          <w:i/>
          <w:lang w:val="en-GB"/>
        </w:rPr>
        <w:t>“a vessel</w:t>
      </w:r>
      <w:r w:rsidRPr="001B7656">
        <w:rPr>
          <w:lang w:val="en-GB"/>
        </w:rPr>
        <w:t xml:space="preserve"> </w:t>
      </w:r>
      <w:r w:rsidRPr="001B7656">
        <w:rPr>
          <w:i/>
          <w:lang w:val="en-GB"/>
        </w:rPr>
        <w:lastRenderedPageBreak/>
        <w:t>containing a liquid (or liquid plus vapour) at a temperature significantly above its boiling point at atmospheric pressure”</w:t>
      </w:r>
      <w:r w:rsidR="00170D97">
        <w:rPr>
          <w:lang w:val="en-GB"/>
        </w:rPr>
        <w:t xml:space="preserve"> </w:t>
      </w:r>
      <w:r w:rsidR="00170D97">
        <w:rPr>
          <w:lang w:val="en-GB"/>
        </w:rPr>
        <w:fldChar w:fldCharType="begin" w:fldLock="1"/>
      </w:r>
      <w:r w:rsidR="00170D97">
        <w:rPr>
          <w:lang w:val="en-GB"/>
        </w:rPr>
        <w:instrText>ADDIN CSL_CITATION {"citationItems":[{"id":"ITEM-1","itemData":{"DOI":"10.1016/j.jlp.2015.12.001","author":[{"dropping-particle":"","family":"Casal","given":"Joaquim","non-dropping-particle":"","parse-names":false,"suffix":""},{"dropping-particle":"","family":"Hemmatian","given":"B.","non-dropping-particle":"","parse-names":false,"suffix":""},{"dropping-particle":"","family":"Planas","given":"E.","non-dropping-particle":"","parse-names":false,"suffix":""}],"container-title":"Journal of Loss Prevention in the Process Industries","id":"ITEM-1","issued":{"date-parts":[["2016"]]},"page":"81","title":"On BLEVE definition, the significance of superheat limit temperature (Tsl) and LNG BLEVE's","type":"article-journal","volume":"40"},"uris":["http://www.mendeley.com/documents/?uuid=72c0af50-6446-4901-908a-422e8bf8f948"]}],"mendeley":{"formattedCitation":"(Casal et al., 2016)","plainTextFormattedCitation":"(Casal et al., 2016)","previouslyFormattedCitation":"(Casal et al., 2016)"},"properties":{"noteIndex":0},"schema":"https://github.com/citation-style-language/schema/raw/master/csl-citation.json"}</w:instrText>
      </w:r>
      <w:r w:rsidR="00170D97">
        <w:rPr>
          <w:lang w:val="en-GB"/>
        </w:rPr>
        <w:fldChar w:fldCharType="separate"/>
      </w:r>
      <w:r w:rsidR="00170D97" w:rsidRPr="00170D97">
        <w:rPr>
          <w:noProof/>
          <w:lang w:val="en-GB"/>
        </w:rPr>
        <w:t>(Casal et al., 2016)</w:t>
      </w:r>
      <w:r w:rsidR="00170D97">
        <w:rPr>
          <w:lang w:val="en-GB"/>
        </w:rPr>
        <w:fldChar w:fldCharType="end"/>
      </w:r>
      <w:r w:rsidRPr="001B7656">
        <w:rPr>
          <w:lang w:val="en-GB"/>
        </w:rPr>
        <w:t xml:space="preserve">. </w:t>
      </w:r>
      <w:r w:rsidR="00A45C1E" w:rsidRPr="001B7656">
        <w:rPr>
          <w:lang w:val="en-GB"/>
        </w:rPr>
        <w:t xml:space="preserve">While </w:t>
      </w:r>
      <w:r w:rsidRPr="001B7656">
        <w:rPr>
          <w:lang w:val="en-GB"/>
        </w:rPr>
        <w:t xml:space="preserve">RPT can occur </w:t>
      </w:r>
      <w:r w:rsidR="00A45C1E" w:rsidRPr="001B7656">
        <w:rPr>
          <w:lang w:val="en-GB"/>
        </w:rPr>
        <w:t>if</w:t>
      </w:r>
      <w:r w:rsidRPr="001B7656">
        <w:rPr>
          <w:lang w:val="en-GB"/>
        </w:rPr>
        <w:t xml:space="preserve"> L</w:t>
      </w:r>
      <w:r w:rsidR="00A45C1E" w:rsidRPr="001B7656">
        <w:rPr>
          <w:lang w:val="en-GB"/>
        </w:rPr>
        <w:t xml:space="preserve">iquefied </w:t>
      </w:r>
      <w:r w:rsidRPr="001B7656">
        <w:rPr>
          <w:lang w:val="en-GB"/>
        </w:rPr>
        <w:t>N</w:t>
      </w:r>
      <w:r w:rsidR="00A45C1E" w:rsidRPr="001B7656">
        <w:rPr>
          <w:lang w:val="en-GB"/>
        </w:rPr>
        <w:t xml:space="preserve">atural </w:t>
      </w:r>
      <w:r w:rsidRPr="001B7656">
        <w:rPr>
          <w:lang w:val="en-GB"/>
        </w:rPr>
        <w:t>G</w:t>
      </w:r>
      <w:r w:rsidR="00A45C1E" w:rsidRPr="001B7656">
        <w:rPr>
          <w:lang w:val="en-GB"/>
        </w:rPr>
        <w:t>as (LNG)</w:t>
      </w:r>
      <w:r w:rsidRPr="001B7656">
        <w:rPr>
          <w:lang w:val="en-GB"/>
        </w:rPr>
        <w:t xml:space="preserve"> is spilled on</w:t>
      </w:r>
      <w:r w:rsidR="00A45C1E" w:rsidRPr="001B7656">
        <w:rPr>
          <w:lang w:val="en-GB"/>
        </w:rPr>
        <w:t>to</w:t>
      </w:r>
      <w:r w:rsidRPr="001B7656">
        <w:rPr>
          <w:lang w:val="en-GB"/>
        </w:rPr>
        <w:t xml:space="preserve"> water</w:t>
      </w:r>
      <w:r w:rsidR="00A45C1E" w:rsidRPr="001B7656">
        <w:rPr>
          <w:lang w:val="en-GB"/>
        </w:rPr>
        <w:t xml:space="preserve"> </w:t>
      </w:r>
      <w:r w:rsidR="00DD75F4" w:rsidRPr="001B7656">
        <w:rPr>
          <w:i/>
          <w:lang w:val="en-GB"/>
        </w:rPr>
        <w:t>“</w:t>
      </w:r>
      <w:r w:rsidR="00A45C1E" w:rsidRPr="001B7656">
        <w:rPr>
          <w:i/>
          <w:lang w:val="en-GB"/>
        </w:rPr>
        <w:t>due to the sudden boiling or phase change from liquid to vapor</w:t>
      </w:r>
      <w:r w:rsidR="00DD75F4" w:rsidRPr="001B7656">
        <w:rPr>
          <w:i/>
          <w:lang w:val="en-GB"/>
        </w:rPr>
        <w:t>, usually in a way that the LNG penetrates into and mixes well with water”</w:t>
      </w:r>
      <w:r w:rsidR="00DD75F4" w:rsidRPr="001B7656">
        <w:rPr>
          <w:lang w:val="en-GB"/>
        </w:rPr>
        <w:t xml:space="preserve"> </w:t>
      </w:r>
      <w:r w:rsidR="00FD01B9">
        <w:rPr>
          <w:lang w:val="en-GB"/>
        </w:rPr>
        <w:fldChar w:fldCharType="begin" w:fldLock="1"/>
      </w:r>
      <w:r w:rsidR="00FD01B9">
        <w:rPr>
          <w:lang w:val="en-GB"/>
        </w:rPr>
        <w:instrText>ADDIN CSL_CITATION {"citationItems":[{"id":"ITEM-1","itemData":{"ISBN":"9780470317648","author":[{"dropping-particle":"","family":"Woodward","given":"John","non-dropping-particle":"","parse-names":false,"suffix":""},{"dropping-particle":"","family":"Pitblado","given":"Robin","non-dropping-particle":"","parse-names":false,"suffix":""}],"editor":[{"dropping-particle":"","family":"AIChE","given":"","non-dropping-particle":"","parse-names":false,"suffix":""}],"id":"ITEM-1","issued":{"date-parts":[["2010"]]},"number-of-pages":"392","publisher":"John Wiley &amp; Sons","publisher-place":"New Jersey","title":"LNG Risk Based Safety","type":"book"},"uris":["http://www.mendeley.com/documents/?uuid=2dfb7610-0eab-4390-bedf-a214204aa097"]}],"mendeley":{"formattedCitation":"(Woodward and Pitblado, 2010)","plainTextFormattedCitation":"(Woodward and Pitblado, 2010)","previouslyFormattedCitation":"(Woodward and Pitblado, 2010)"},"properties":{"noteIndex":0},"schema":"https://github.com/citation-style-language/schema/raw/master/csl-citation.json"}</w:instrText>
      </w:r>
      <w:r w:rsidR="00FD01B9">
        <w:rPr>
          <w:lang w:val="en-GB"/>
        </w:rPr>
        <w:fldChar w:fldCharType="separate"/>
      </w:r>
      <w:r w:rsidR="00FD01B9" w:rsidRPr="00FD01B9">
        <w:rPr>
          <w:noProof/>
          <w:lang w:val="en-GB"/>
        </w:rPr>
        <w:t>(Woodward and Pitblado, 2010)</w:t>
      </w:r>
      <w:r w:rsidR="00FD01B9">
        <w:rPr>
          <w:lang w:val="en-GB"/>
        </w:rPr>
        <w:fldChar w:fldCharType="end"/>
      </w:r>
      <w:r w:rsidR="00DD75F4" w:rsidRPr="001B7656">
        <w:rPr>
          <w:lang w:val="en-GB"/>
        </w:rPr>
        <w:t>. In the case of LH</w:t>
      </w:r>
      <w:r w:rsidR="00DD75F4" w:rsidRPr="001B7656">
        <w:rPr>
          <w:vertAlign w:val="subscript"/>
          <w:lang w:val="en-GB"/>
        </w:rPr>
        <w:t>2</w:t>
      </w:r>
      <w:r w:rsidR="00DD75F4" w:rsidRPr="001B7656">
        <w:rPr>
          <w:lang w:val="en-GB"/>
        </w:rPr>
        <w:t xml:space="preserve">, it is not yet clear if and under which conditions these phenomena can happen, and </w:t>
      </w:r>
      <w:r w:rsidR="00871ADB">
        <w:rPr>
          <w:lang w:val="en-GB"/>
        </w:rPr>
        <w:t>which</w:t>
      </w:r>
      <w:r w:rsidR="00DD75F4" w:rsidRPr="001B7656">
        <w:rPr>
          <w:lang w:val="en-GB"/>
        </w:rPr>
        <w:t xml:space="preserve"> is t</w:t>
      </w:r>
      <w:r w:rsidR="00871ADB">
        <w:rPr>
          <w:lang w:val="en-GB"/>
        </w:rPr>
        <w:t>he</w:t>
      </w:r>
      <w:r w:rsidR="00DD75F4" w:rsidRPr="001B7656">
        <w:rPr>
          <w:lang w:val="en-GB"/>
        </w:rPr>
        <w:t xml:space="preserve"> </w:t>
      </w:r>
      <w:r w:rsidR="00871ADB">
        <w:rPr>
          <w:lang w:val="en-GB"/>
        </w:rPr>
        <w:t xml:space="preserve">intensity of </w:t>
      </w:r>
      <w:r w:rsidR="00DD75F4" w:rsidRPr="001B7656">
        <w:rPr>
          <w:lang w:val="en-GB"/>
        </w:rPr>
        <w:t>the consequences.</w:t>
      </w:r>
    </w:p>
    <w:p w14:paraId="366551B5" w14:textId="44EB0164" w:rsidR="00A45C1E" w:rsidRPr="001B7656" w:rsidRDefault="00114703" w:rsidP="00F36C56">
      <w:pPr>
        <w:pStyle w:val="CETBodytext"/>
        <w:rPr>
          <w:lang w:val="en-GB"/>
        </w:rPr>
      </w:pPr>
      <w:r w:rsidRPr="001B7656">
        <w:rPr>
          <w:lang w:val="en-GB"/>
        </w:rPr>
        <w:t xml:space="preserve">Several projects on hydrogen safety have been performed in </w:t>
      </w:r>
      <w:r w:rsidR="00672CE1">
        <w:rPr>
          <w:lang w:val="en-GB"/>
        </w:rPr>
        <w:t xml:space="preserve">the </w:t>
      </w:r>
      <w:r w:rsidRPr="001B7656">
        <w:rPr>
          <w:lang w:val="en-GB"/>
        </w:rPr>
        <w:t>last decades.</w:t>
      </w:r>
      <w:r w:rsidR="00DD75F4" w:rsidRPr="001B7656">
        <w:rPr>
          <w:lang w:val="en-GB"/>
        </w:rPr>
        <w:t xml:space="preserve"> </w:t>
      </w:r>
      <w:r w:rsidR="00672CE1">
        <w:rPr>
          <w:lang w:val="en-GB"/>
        </w:rPr>
        <w:t>However, s</w:t>
      </w:r>
      <w:r w:rsidR="00DD75F4" w:rsidRPr="001B7656">
        <w:rPr>
          <w:lang w:val="en-GB"/>
        </w:rPr>
        <w:t xml:space="preserve">ome of these studies did not consider </w:t>
      </w:r>
      <w:r w:rsidR="00ED79B1" w:rsidRPr="001B7656">
        <w:rPr>
          <w:lang w:val="en-GB"/>
        </w:rPr>
        <w:t>BLEVE and RPT,</w:t>
      </w:r>
      <w:r w:rsidR="00DD75F4" w:rsidRPr="001B7656">
        <w:rPr>
          <w:lang w:val="en-GB"/>
        </w:rPr>
        <w:t xml:space="preserve"> such as</w:t>
      </w:r>
      <w:r w:rsidR="00672CE1">
        <w:rPr>
          <w:lang w:val="en-GB"/>
        </w:rPr>
        <w:t xml:space="preserve"> the</w:t>
      </w:r>
      <w:r w:rsidR="00DD75F4" w:rsidRPr="001B7656">
        <w:rPr>
          <w:lang w:val="en-GB"/>
        </w:rPr>
        <w:t xml:space="preserve"> HyRAM tool </w:t>
      </w:r>
      <w:r w:rsidR="00FD01B9">
        <w:rPr>
          <w:lang w:val="en-GB"/>
        </w:rPr>
        <w:fldChar w:fldCharType="begin" w:fldLock="1"/>
      </w:r>
      <w:r w:rsidR="0032479E">
        <w:rPr>
          <w:lang w:val="en-GB"/>
        </w:rPr>
        <w:instrText>ADDIN CSL_CITATION {"citationItems":[{"id":"ITEM-1","itemData":{"DOI":"10.1016/j.ijhydene.2016.07.002","ISSN":"0360-3199","author":[{"dropping-particle":"","family":"Groth","given":"Katrina M","non-dropping-particle":"","parse-names":false,"suffix":""},{"dropping-particle":"","family":"Hecht","given":"Ethan S","non-dropping-particle":"","parse-names":false,"suffix":""}],"container-title":"International Journal of Hydrogen Energy","id":"ITEM-1","issue":"11","issued":{"date-parts":[["2017"]]},"page":"7485-7493","publisher":"Elsevier Ltd","title":"HyRAM: A methodology and toolkit for quantitative risk assessment of hydrogen systems","type":"article-journal","volume":"42"},"uris":["http://www.mendeley.com/documents/?uuid=2fe89b0e-9a1a-46f1-9d43-336725419bc3"]}],"mendeley":{"formattedCitation":"(Groth and Hecht, 2017)","manualFormatting":"(Groth and Hecht, 2017)","plainTextFormattedCitation":"(Groth and Hecht, 2017)","previouslyFormattedCitation":"(Groth and Hecht, 2017)"},"properties":{"noteIndex":0},"schema":"https://github.com/citation-style-language/schema/raw/master/csl-citation.json"}</w:instrText>
      </w:r>
      <w:r w:rsidR="00FD01B9">
        <w:rPr>
          <w:lang w:val="en-GB"/>
        </w:rPr>
        <w:fldChar w:fldCharType="separate"/>
      </w:r>
      <w:r w:rsidR="00FD01B9" w:rsidRPr="00FD01B9">
        <w:rPr>
          <w:noProof/>
          <w:lang w:val="en-GB"/>
        </w:rPr>
        <w:t>(Groth and Hecht, 201</w:t>
      </w:r>
      <w:r w:rsidR="00871ADB">
        <w:rPr>
          <w:noProof/>
          <w:lang w:val="en-GB"/>
        </w:rPr>
        <w:t>7</w:t>
      </w:r>
      <w:r w:rsidR="00FD01B9" w:rsidRPr="00FD01B9">
        <w:rPr>
          <w:noProof/>
          <w:lang w:val="en-GB"/>
        </w:rPr>
        <w:t>)</w:t>
      </w:r>
      <w:r w:rsidR="00FD01B9">
        <w:rPr>
          <w:lang w:val="en-GB"/>
        </w:rPr>
        <w:fldChar w:fldCharType="end"/>
      </w:r>
      <w:r w:rsidR="00DD75F4" w:rsidRPr="001B7656">
        <w:rPr>
          <w:lang w:val="en-GB"/>
        </w:rPr>
        <w:t xml:space="preserve">. Although, it does not mean </w:t>
      </w:r>
      <w:r w:rsidR="00091700" w:rsidRPr="001B7656">
        <w:rPr>
          <w:lang w:val="en-GB"/>
        </w:rPr>
        <w:t>these phenomena cannot happen for LH</w:t>
      </w:r>
      <w:r w:rsidR="00091700" w:rsidRPr="001B7656">
        <w:rPr>
          <w:vertAlign w:val="subscript"/>
          <w:lang w:val="en-GB"/>
        </w:rPr>
        <w:t>2</w:t>
      </w:r>
      <w:r w:rsidR="00091700" w:rsidRPr="001B7656">
        <w:rPr>
          <w:lang w:val="en-GB"/>
        </w:rPr>
        <w:t>. In fact,</w:t>
      </w:r>
      <w:r w:rsidRPr="001B7656">
        <w:rPr>
          <w:lang w:val="en-GB"/>
        </w:rPr>
        <w:t xml:space="preserve"> </w:t>
      </w:r>
      <w:r w:rsidR="00672CE1">
        <w:rPr>
          <w:lang w:val="en-GB"/>
        </w:rPr>
        <w:t xml:space="preserve">the </w:t>
      </w:r>
      <w:r w:rsidR="00091700" w:rsidRPr="001B7656">
        <w:rPr>
          <w:lang w:val="en-GB"/>
        </w:rPr>
        <w:t xml:space="preserve">IDEALHY project </w:t>
      </w:r>
      <w:r w:rsidRPr="001B7656">
        <w:rPr>
          <w:lang w:val="en-GB"/>
        </w:rPr>
        <w:t>ha</w:t>
      </w:r>
      <w:r w:rsidR="00672CE1">
        <w:rPr>
          <w:lang w:val="en-GB"/>
        </w:rPr>
        <w:t>s</w:t>
      </w:r>
      <w:r w:rsidRPr="001B7656">
        <w:rPr>
          <w:lang w:val="en-GB"/>
        </w:rPr>
        <w:t xml:space="preserve"> been focused on</w:t>
      </w:r>
      <w:r w:rsidR="00091700" w:rsidRPr="001B7656">
        <w:rPr>
          <w:lang w:val="en-GB"/>
        </w:rPr>
        <w:t xml:space="preserve"> the</w:t>
      </w:r>
      <w:r w:rsidRPr="001B7656">
        <w:rPr>
          <w:lang w:val="en-GB"/>
        </w:rPr>
        <w:t xml:space="preserve"> LH</w:t>
      </w:r>
      <w:r w:rsidRPr="001B7656">
        <w:rPr>
          <w:vertAlign w:val="subscript"/>
          <w:lang w:val="en-GB"/>
        </w:rPr>
        <w:t>2</w:t>
      </w:r>
      <w:r w:rsidRPr="001B7656">
        <w:rPr>
          <w:lang w:val="en-GB"/>
        </w:rPr>
        <w:t xml:space="preserve"> </w:t>
      </w:r>
      <w:r w:rsidR="00091700" w:rsidRPr="001B7656">
        <w:rPr>
          <w:lang w:val="en-GB"/>
        </w:rPr>
        <w:t>risk assessment, considering BLEVE a</w:t>
      </w:r>
      <w:r w:rsidR="001E52CA" w:rsidRPr="001B7656">
        <w:rPr>
          <w:lang w:val="en-GB"/>
        </w:rPr>
        <w:t>m</w:t>
      </w:r>
      <w:r w:rsidR="00091700" w:rsidRPr="001B7656">
        <w:rPr>
          <w:lang w:val="en-GB"/>
        </w:rPr>
        <w:t xml:space="preserve">ong </w:t>
      </w:r>
      <w:r w:rsidR="00672CE1">
        <w:rPr>
          <w:lang w:val="en-GB"/>
        </w:rPr>
        <w:t>the potential</w:t>
      </w:r>
      <w:r w:rsidR="00672CE1" w:rsidRPr="001B7656">
        <w:rPr>
          <w:lang w:val="en-GB"/>
        </w:rPr>
        <w:t xml:space="preserve"> </w:t>
      </w:r>
      <w:r w:rsidR="00091700" w:rsidRPr="001B7656">
        <w:rPr>
          <w:lang w:val="en-GB"/>
        </w:rPr>
        <w:t xml:space="preserve">consequences </w:t>
      </w:r>
      <w:r w:rsidR="007E1788">
        <w:rPr>
          <w:lang w:val="en-GB"/>
        </w:rPr>
        <w:fldChar w:fldCharType="begin" w:fldLock="1"/>
      </w:r>
      <w:r w:rsidR="007E1788">
        <w:rPr>
          <w:lang w:val="en-GB"/>
        </w:rPr>
        <w:instrText>ADDIN CSL_CITATION {"citationItems":[{"id":"ITEM-1","itemData":{"abstract":"The objectives of the IDEALHY project, which receives funding from the European Union’s 7th Framework Programme (FP7/2007-2013) for the Fuel Cells and Hydrogen Joint Technology Initiative under grant agreement No. 278177, are to design a novel process that will significantly increase the efficiency of hydrogen liquefaction and be capable of delivering liquid hydrogen at a rate that is an order of magnitude greater than current plants. The liquid hydrogen could then be delivered to refueling stations in road tankers. As part of the project, the safety management of the new large scale process and the transportation of liquid hydrogen by road tanker into urban areas are being considered. Effective safety management requires that the hazards are identified and well understood. This paper describes the scope of the safety work within IDEALHY and presents the output of the work completed so far. Initially, a review of available experimental data on the hazards posed by releases of liquid hydrogen was undertaken, which identified that, generally, there is a dearth of data relevant to liquid hydrogen releases. Subsequently, HAZIDs have been completed for the new liquefaction process, storage of liquid hydrogen and its transportation by road. This included a review of incidents relevant to these activities. The principal causes of the incidents have been analysed. Finally, the remaining safety work for the IDEALHY project is outlined.","author":[{"dropping-particle":"","family":"Lowesmith","given":"Barbara Joan","non-dropping-particle":"","parse-names":false,"suffix":""},{"dropping-particle":"","family":"Hankinson","given":"Geoffrey","non-dropping-particle":"","parse-names":false,"suffix":""},{"dropping-particle":"","family":"Chynoweth","given":"Sarah","non-dropping-particle":"","parse-names":false,"suffix":""}],"container-title":"International Conference on Hydrogen Safety","id":"ITEM-1","issued":{"date-parts":[["2013"]]},"publisher-place":"Brussels, Belgium","title":"Safety Issues of the Liquefaction, Storage and Transportation of Liquid Hydrogen: Studies in the IDEALHY Project","type":"paper-conference"},"uris":["http://www.mendeley.com/documents/?uuid=8adf2463-2d1c-4dc7-b23a-1d7cb201ba9d"]}],"mendeley":{"formattedCitation":"(Lowesmith et al., 2013)","plainTextFormattedCitation":"(Lowesmith et al., 2013)","previouslyFormattedCitation":"(Lowesmith et al., 2013)"},"properties":{"noteIndex":0},"schema":"https://github.com/citation-style-language/schema/raw/master/csl-citation.json"}</w:instrText>
      </w:r>
      <w:r w:rsidR="007E1788">
        <w:rPr>
          <w:lang w:val="en-GB"/>
        </w:rPr>
        <w:fldChar w:fldCharType="separate"/>
      </w:r>
      <w:r w:rsidR="007E1788" w:rsidRPr="007E1788">
        <w:rPr>
          <w:noProof/>
          <w:lang w:val="en-GB"/>
        </w:rPr>
        <w:t>(Lowesmith et al., 2013)</w:t>
      </w:r>
      <w:r w:rsidR="007E1788">
        <w:rPr>
          <w:lang w:val="en-GB"/>
        </w:rPr>
        <w:fldChar w:fldCharType="end"/>
      </w:r>
      <w:r w:rsidRPr="001B7656">
        <w:rPr>
          <w:lang w:val="en-GB"/>
        </w:rPr>
        <w:t>.</w:t>
      </w:r>
      <w:r w:rsidR="001E52CA" w:rsidRPr="001B7656">
        <w:rPr>
          <w:lang w:val="en-GB"/>
        </w:rPr>
        <w:t xml:space="preserve"> </w:t>
      </w:r>
      <w:r w:rsidR="000B3BF3">
        <w:rPr>
          <w:lang w:val="en-GB"/>
        </w:rPr>
        <w:t>I</w:t>
      </w:r>
      <w:r w:rsidR="000B3BF3" w:rsidRPr="001B7656">
        <w:rPr>
          <w:lang w:val="en-GB"/>
        </w:rPr>
        <w:t>n a recent JRC report on hydrogen safety</w:t>
      </w:r>
      <w:r w:rsidR="000B3BF3">
        <w:rPr>
          <w:lang w:val="en-GB"/>
        </w:rPr>
        <w:t>, it has been concluded that</w:t>
      </w:r>
      <w:r w:rsidR="000B3BF3" w:rsidRPr="001B7656">
        <w:rPr>
          <w:lang w:val="en-GB"/>
        </w:rPr>
        <w:t xml:space="preserve"> knowledge gaps</w:t>
      </w:r>
      <w:r w:rsidR="000B3BF3">
        <w:rPr>
          <w:lang w:val="en-GB"/>
        </w:rPr>
        <w:t xml:space="preserve"> still exist</w:t>
      </w:r>
      <w:r w:rsidR="000B3BF3" w:rsidRPr="001B7656">
        <w:rPr>
          <w:lang w:val="en-GB"/>
        </w:rPr>
        <w:t xml:space="preserve"> in</w:t>
      </w:r>
      <w:r w:rsidR="000B3BF3">
        <w:rPr>
          <w:lang w:val="en-GB"/>
        </w:rPr>
        <w:t xml:space="preserve"> hydrogen</w:t>
      </w:r>
      <w:r w:rsidR="000B3BF3" w:rsidRPr="001B7656">
        <w:rPr>
          <w:lang w:val="en-GB"/>
        </w:rPr>
        <w:t xml:space="preserve"> BLEVE/fire resistance among all the other considered areas</w:t>
      </w:r>
      <w:r w:rsidR="000B3BF3">
        <w:rPr>
          <w:lang w:val="en-GB"/>
        </w:rPr>
        <w:t xml:space="preserve"> </w:t>
      </w:r>
      <w:r w:rsidR="000B3BF3">
        <w:rPr>
          <w:lang w:val="en-GB"/>
        </w:rPr>
        <w:fldChar w:fldCharType="begin" w:fldLock="1"/>
      </w:r>
      <w:r w:rsidR="000B3BF3">
        <w:rPr>
          <w:lang w:val="en-GB"/>
        </w:rPr>
        <w:instrText>ADDIN CSL_CITATION {"citationItems":[{"id":"ITEM-1","itemData":{"DOI":"10.2760/77730","ISBN":"9789279809750","author":[{"dropping-particle":"","family":"Azkarate","given":"I.","non-dropping-particle":"","parse-names":false,"suffix":""},{"dropping-particle":"","family":"Barthélémy","given":"H.","non-dropping-particle":"","parse-names":false,"suffix":""},{"dropping-particle":"","family":"Hooker","given":"P.","non-dropping-particle":"","parse-names":false,"suffix":""},{"dropping-particle":"","family":"Jordan","given":"T.","non-dropping-particle":"","parse-names":false,"suffix":""},{"dropping-particle":"","family":"Keller","given":"J.","non-dropping-particle":"","parse-names":false,"suffix":""},{"dropping-particle":"","family":"Markert","given":"F.","non-dropping-particle":"","parse-names":false,"suffix":""},{"dropping-particle":"","family":"Steen","given":"M.","non-dropping-particle":"","parse-names":false,"suffix":""},{"dropping-particle":"","family":"Tchouvelev","given":"A.","non-dropping-particle":"","parse-names":false,"suffix":""}],"container-title":"JRC Conference and Workshop Report","id":"ITEM-1","issued":{"date-parts":[["2018"]]},"publisher-place":"Petten, Netherlands","title":"Research Priority Workshop on Hydrogen Safety","type":"report"},"uris":["http://www.mendeley.com/documents/?uuid=85e00143-d99a-4df9-b6f6-acd24c084f03"]}],"mendeley":{"formattedCitation":"(Azkarate et al., 2018)","plainTextFormattedCitation":"(Azkarate et al., 2018)","previouslyFormattedCitation":"(Azkarate et al., 2018)"},"properties":{"noteIndex":0},"schema":"https://github.com/citation-style-language/schema/raw/master/csl-citation.json"}</w:instrText>
      </w:r>
      <w:r w:rsidR="000B3BF3">
        <w:rPr>
          <w:lang w:val="en-GB"/>
        </w:rPr>
        <w:fldChar w:fldCharType="separate"/>
      </w:r>
      <w:r w:rsidR="000B3BF3" w:rsidRPr="007E1788">
        <w:rPr>
          <w:noProof/>
          <w:lang w:val="en-GB"/>
        </w:rPr>
        <w:t>(Azkarate et al., 2018)</w:t>
      </w:r>
      <w:r w:rsidR="000B3BF3">
        <w:rPr>
          <w:lang w:val="en-GB"/>
        </w:rPr>
        <w:fldChar w:fldCharType="end"/>
      </w:r>
      <w:r w:rsidR="000B3BF3" w:rsidRPr="001B7656">
        <w:rPr>
          <w:lang w:val="en-GB"/>
        </w:rPr>
        <w:t>.</w:t>
      </w:r>
      <w:r w:rsidR="000B3BF3" w:rsidRPr="000B3BF3">
        <w:rPr>
          <w:lang w:val="en-GB"/>
        </w:rPr>
        <w:t xml:space="preserve"> </w:t>
      </w:r>
      <w:r w:rsidR="000B3BF3">
        <w:rPr>
          <w:lang w:val="en-GB"/>
        </w:rPr>
        <w:t xml:space="preserve">Moreover, </w:t>
      </w:r>
      <w:r w:rsidR="000B3BF3" w:rsidRPr="001B7656">
        <w:rPr>
          <w:lang w:val="en-GB"/>
        </w:rPr>
        <w:t>LH</w:t>
      </w:r>
      <w:r w:rsidR="000B3BF3" w:rsidRPr="001B7656">
        <w:rPr>
          <w:vertAlign w:val="subscript"/>
          <w:lang w:val="en-GB"/>
        </w:rPr>
        <w:t>2</w:t>
      </w:r>
      <w:r w:rsidR="000B3BF3" w:rsidRPr="001B7656">
        <w:rPr>
          <w:lang w:val="en-GB"/>
        </w:rPr>
        <w:t xml:space="preserve"> RPT has been theoretically predicted in </w:t>
      </w:r>
      <w:r w:rsidR="000B3BF3">
        <w:rPr>
          <w:lang w:val="en-GB"/>
        </w:rPr>
        <w:t xml:space="preserve">a </w:t>
      </w:r>
      <w:r w:rsidR="000B3BF3" w:rsidRPr="001B7656">
        <w:rPr>
          <w:lang w:val="en-GB"/>
        </w:rPr>
        <w:t xml:space="preserve">few studies such as in </w:t>
      </w:r>
      <w:r w:rsidR="000B3BF3">
        <w:rPr>
          <w:lang w:val="en-GB"/>
        </w:rPr>
        <w:fldChar w:fldCharType="begin" w:fldLock="1"/>
      </w:r>
      <w:r w:rsidR="000B3BF3">
        <w:rPr>
          <w:lang w:val="en-GB"/>
        </w:rPr>
        <w:instrText>ADDIN CSL_CITATION {"citationItems":[{"id":"ITEM-1","itemData":{"DOI":"10.1016/S0360-3199(96)00204-2","ISSN":"03603199","abstract":"The investigation of cryogenic pool spreading and vaporization as the initial step in an accident sequence with the spillage of liquefied hydrogen (LH2) is an essential part of a safety assessment to valuate the risks of hydrogen. Experiments have been conducted to examine the transient LH2 pool spreading behavior on a liquid (water) and solid (aluminum) ground. In a parallel effort, a computer model, LAuV, based on the shallow-layer differential equations has been developed to simulate the pool spreading and vaporization of a spilled cryogen under various conditions taking account of concomitant phenomena such as ice formation on the water surface. The objective of this paper is a description of the LH2 pool spreading test results as well as the performance of the LAuV calculation model. Furthermore a prediction of the consequences of the spill of a tanker truck load for different cryogens is given. The results represent pertinent information as source term for the subsequent analysis steps of dispersion and, in the case of ignition, combustion of the evolved gas cloud.","author":[{"dropping-particle":"","family":"Verfondern","given":"K","non-dropping-particle":"","parse-names":false,"suffix":""},{"dropping-particle":"","family":"Dienhart","given":"B","non-dropping-particle":"","parse-names":false,"suffix":""}],"container-title":"International Journal of Hydrogen Energy","id":"ITEM-1","issue":"7","issued":{"date-parts":[["1997"]]},"page":"649-660","title":"Experimental and theoretical investigation of liquid hydrogen pool spreading and vaporization","type":"article-journal","volume":"22"},"uris":["http://www.mendeley.com/documents/?uuid=568f5173-2a7a-4a8a-bba4-af20fdee1a1a"]}],"mendeley":{"formattedCitation":"(Verfondern and Dienhart, 1997)","plainTextFormattedCitation":"(Verfondern and Dienhart, 1997)","previouslyFormattedCitation":"(Verfondern and Dienhart, 1997)"},"properties":{"noteIndex":0},"schema":"https://github.com/citation-style-language/schema/raw/master/csl-citation.json"}</w:instrText>
      </w:r>
      <w:r w:rsidR="000B3BF3">
        <w:rPr>
          <w:lang w:val="en-GB"/>
        </w:rPr>
        <w:fldChar w:fldCharType="separate"/>
      </w:r>
      <w:r w:rsidR="000B3BF3" w:rsidRPr="005B4243">
        <w:rPr>
          <w:noProof/>
          <w:lang w:val="en-GB"/>
        </w:rPr>
        <w:t>(Verfondern and Dienhart, 1997)</w:t>
      </w:r>
      <w:r w:rsidR="000B3BF3">
        <w:rPr>
          <w:lang w:val="en-GB"/>
        </w:rPr>
        <w:fldChar w:fldCharType="end"/>
      </w:r>
      <w:r w:rsidR="000B3BF3" w:rsidRPr="001B7656">
        <w:rPr>
          <w:lang w:val="en-GB"/>
        </w:rPr>
        <w:t>.</w:t>
      </w:r>
      <w:r w:rsidR="000B3BF3">
        <w:rPr>
          <w:lang w:val="en-GB"/>
        </w:rPr>
        <w:t xml:space="preserve"> This</w:t>
      </w:r>
      <w:r w:rsidR="001E52CA" w:rsidRPr="001B7656">
        <w:rPr>
          <w:lang w:val="en-GB"/>
        </w:rPr>
        <w:t xml:space="preserve"> study</w:t>
      </w:r>
      <w:r w:rsidR="000B3BF3">
        <w:rPr>
          <w:lang w:val="en-GB"/>
        </w:rPr>
        <w:t xml:space="preserve"> identifies</w:t>
      </w:r>
      <w:r w:rsidR="001E52CA" w:rsidRPr="001B7656">
        <w:rPr>
          <w:lang w:val="en-GB"/>
        </w:rPr>
        <w:t xml:space="preserve"> two past LH</w:t>
      </w:r>
      <w:r w:rsidR="001E52CA" w:rsidRPr="001B7656">
        <w:rPr>
          <w:vertAlign w:val="subscript"/>
          <w:lang w:val="en-GB"/>
        </w:rPr>
        <w:t>2</w:t>
      </w:r>
      <w:r w:rsidR="001E52CA" w:rsidRPr="001B7656">
        <w:rPr>
          <w:lang w:val="en-GB"/>
        </w:rPr>
        <w:t xml:space="preserve"> BLEVE accidents. </w:t>
      </w:r>
      <w:r w:rsidR="000B3BF3">
        <w:rPr>
          <w:lang w:val="en-GB"/>
        </w:rPr>
        <w:t>On the other hand, RPT</w:t>
      </w:r>
      <w:r w:rsidR="003609E2" w:rsidRPr="001B7656">
        <w:rPr>
          <w:lang w:val="en-GB"/>
        </w:rPr>
        <w:t xml:space="preserve"> never happened for LH</w:t>
      </w:r>
      <w:r w:rsidR="003609E2" w:rsidRPr="001B7656">
        <w:rPr>
          <w:vertAlign w:val="subscript"/>
          <w:lang w:val="en-GB"/>
        </w:rPr>
        <w:t>2</w:t>
      </w:r>
      <w:r w:rsidR="00585F50" w:rsidRPr="001B7656">
        <w:rPr>
          <w:lang w:val="en-GB"/>
        </w:rPr>
        <w:t>.</w:t>
      </w:r>
      <w:r w:rsidR="003609E2" w:rsidRPr="001B7656">
        <w:rPr>
          <w:lang w:val="en-GB"/>
        </w:rPr>
        <w:t xml:space="preserve"> </w:t>
      </w:r>
    </w:p>
    <w:p w14:paraId="270AC309" w14:textId="66FFB761" w:rsidR="00A45C1E" w:rsidRPr="001B7656" w:rsidRDefault="00F36C56" w:rsidP="00F36C56">
      <w:pPr>
        <w:pStyle w:val="CETBodytext"/>
        <w:rPr>
          <w:lang w:val="en-GB"/>
        </w:rPr>
      </w:pPr>
      <w:r w:rsidRPr="001B7656">
        <w:rPr>
          <w:lang w:val="en-GB"/>
        </w:rPr>
        <w:t xml:space="preserve">The presented study is </w:t>
      </w:r>
      <w:r w:rsidR="000B3BF3">
        <w:rPr>
          <w:lang w:val="en-GB"/>
        </w:rPr>
        <w:t xml:space="preserve">a preliminary introduction to </w:t>
      </w:r>
      <w:r w:rsidRPr="001B7656">
        <w:rPr>
          <w:lang w:val="en-GB"/>
        </w:rPr>
        <w:t>the “Safe Hydrogen Fuel Handling and Use for Efficient Implementation” (SH</w:t>
      </w:r>
      <w:r w:rsidRPr="001B7656">
        <w:rPr>
          <w:vertAlign w:val="subscript"/>
          <w:lang w:val="en-GB"/>
        </w:rPr>
        <w:t>2</w:t>
      </w:r>
      <w:r w:rsidRPr="001B7656">
        <w:rPr>
          <w:lang w:val="en-GB"/>
        </w:rPr>
        <w:t xml:space="preserve">IFT) project. This is a Norwegian project coordinated by </w:t>
      </w:r>
      <w:r w:rsidR="000B3BF3">
        <w:rPr>
          <w:lang w:val="en-GB"/>
        </w:rPr>
        <w:t xml:space="preserve">the research institute SINTEF, </w:t>
      </w:r>
      <w:r w:rsidRPr="001B7656">
        <w:rPr>
          <w:lang w:val="en-GB"/>
        </w:rPr>
        <w:t>in which the safety aspects of both liquid and gaseous hydrogen are studied.</w:t>
      </w:r>
      <w:r w:rsidR="004A1957" w:rsidRPr="001B7656">
        <w:rPr>
          <w:lang w:val="en-GB"/>
        </w:rPr>
        <w:t xml:space="preserve"> In the case of </w:t>
      </w:r>
      <w:r w:rsidR="000E0855" w:rsidRPr="001B7656">
        <w:rPr>
          <w:lang w:val="en-GB"/>
        </w:rPr>
        <w:t xml:space="preserve">the </w:t>
      </w:r>
      <w:r w:rsidR="004A1957" w:rsidRPr="001B7656">
        <w:rPr>
          <w:lang w:val="en-GB"/>
        </w:rPr>
        <w:t>LH</w:t>
      </w:r>
      <w:r w:rsidR="004A1957" w:rsidRPr="001B7656">
        <w:rPr>
          <w:vertAlign w:val="subscript"/>
          <w:lang w:val="en-GB"/>
        </w:rPr>
        <w:t>2</w:t>
      </w:r>
      <w:r w:rsidR="004A1957" w:rsidRPr="001B7656">
        <w:rPr>
          <w:lang w:val="en-GB"/>
        </w:rPr>
        <w:t>, BLEVE and RPT will be analysed carrying out experimental tests and developing models both to forecast the formation and estimate the consequences.</w:t>
      </w:r>
    </w:p>
    <w:p w14:paraId="5AEDDA68" w14:textId="4A3854A0" w:rsidR="00F36C56" w:rsidRPr="001F11DE" w:rsidRDefault="00BE3F50" w:rsidP="00F36C56">
      <w:pPr>
        <w:pStyle w:val="CETBodytext"/>
        <w:rPr>
          <w:lang w:val="en-GB"/>
        </w:rPr>
      </w:pPr>
      <w:r w:rsidRPr="001B7656">
        <w:rPr>
          <w:lang w:val="en-GB"/>
        </w:rPr>
        <w:t xml:space="preserve">The aim of this work is to </w:t>
      </w:r>
      <w:r w:rsidR="000B3BF3">
        <w:rPr>
          <w:lang w:val="en-GB"/>
        </w:rPr>
        <w:t>integrate</w:t>
      </w:r>
      <w:r w:rsidR="000B3BF3" w:rsidRPr="001B7656">
        <w:rPr>
          <w:lang w:val="en-GB"/>
        </w:rPr>
        <w:t xml:space="preserve"> </w:t>
      </w:r>
      <w:r w:rsidR="004802E5" w:rsidRPr="001B7656">
        <w:rPr>
          <w:lang w:val="en-GB"/>
        </w:rPr>
        <w:t>atypical accidental scenarios</w:t>
      </w:r>
      <w:r w:rsidR="000B3BF3">
        <w:rPr>
          <w:lang w:val="en-GB"/>
        </w:rPr>
        <w:t xml:space="preserve">, such as </w:t>
      </w:r>
      <w:r w:rsidRPr="001B7656">
        <w:rPr>
          <w:lang w:val="en-GB"/>
        </w:rPr>
        <w:t>LH</w:t>
      </w:r>
      <w:r w:rsidRPr="001B7656">
        <w:rPr>
          <w:vertAlign w:val="subscript"/>
          <w:lang w:val="en-GB"/>
        </w:rPr>
        <w:t>2</w:t>
      </w:r>
      <w:r w:rsidRPr="001B7656">
        <w:rPr>
          <w:lang w:val="en-GB"/>
        </w:rPr>
        <w:t xml:space="preserve"> </w:t>
      </w:r>
      <w:r w:rsidR="00F36C56" w:rsidRPr="001B7656">
        <w:rPr>
          <w:lang w:val="en-GB"/>
        </w:rPr>
        <w:t>BLEVE</w:t>
      </w:r>
      <w:r w:rsidR="000B3BF3">
        <w:rPr>
          <w:lang w:val="en-GB"/>
        </w:rPr>
        <w:t xml:space="preserve">, into the standard </w:t>
      </w:r>
      <w:r w:rsidR="00E11647">
        <w:rPr>
          <w:lang w:val="en-GB"/>
        </w:rPr>
        <w:t>risk assessment of</w:t>
      </w:r>
      <w:r w:rsidR="00E11647" w:rsidRPr="001B7656">
        <w:rPr>
          <w:lang w:val="en-GB"/>
        </w:rPr>
        <w:t xml:space="preserve"> LH</w:t>
      </w:r>
      <w:r w:rsidR="00E11647" w:rsidRPr="001B7656">
        <w:rPr>
          <w:vertAlign w:val="subscript"/>
          <w:lang w:val="en-GB"/>
        </w:rPr>
        <w:t>2</w:t>
      </w:r>
      <w:r w:rsidR="00E11647" w:rsidRPr="001B7656">
        <w:rPr>
          <w:lang w:val="en-GB"/>
        </w:rPr>
        <w:t xml:space="preserve"> technologies</w:t>
      </w:r>
      <w:r w:rsidR="00F36C56" w:rsidRPr="001B7656">
        <w:rPr>
          <w:lang w:val="en-GB"/>
        </w:rPr>
        <w:t>.</w:t>
      </w:r>
      <w:r w:rsidRPr="001B7656">
        <w:rPr>
          <w:lang w:val="en-GB"/>
        </w:rPr>
        <w:t xml:space="preserve"> </w:t>
      </w:r>
      <w:r w:rsidR="00E11647">
        <w:rPr>
          <w:lang w:val="en-GB"/>
        </w:rPr>
        <w:t xml:space="preserve">The DyPASI technique was used to update the hazard identification phase, </w:t>
      </w:r>
      <w:r w:rsidR="00E11647" w:rsidRPr="001F11DE">
        <w:rPr>
          <w:lang w:val="en-GB"/>
        </w:rPr>
        <w:t>while relevant operational conditions of the LH</w:t>
      </w:r>
      <w:r w:rsidR="00E11647" w:rsidRPr="001F11DE">
        <w:rPr>
          <w:vertAlign w:val="subscript"/>
          <w:lang w:val="en-GB"/>
        </w:rPr>
        <w:t>2</w:t>
      </w:r>
      <w:r w:rsidR="00E11647" w:rsidRPr="001F11DE">
        <w:rPr>
          <w:lang w:val="en-GB"/>
        </w:rPr>
        <w:t xml:space="preserve"> tank were considered as preliminary input to</w:t>
      </w:r>
      <w:r w:rsidR="00F36C56" w:rsidRPr="001F11DE">
        <w:rPr>
          <w:lang w:val="en-GB"/>
        </w:rPr>
        <w:t xml:space="preserve"> the</w:t>
      </w:r>
      <w:r w:rsidR="00D018A0" w:rsidRPr="001F11DE">
        <w:rPr>
          <w:lang w:val="en-GB"/>
        </w:rPr>
        <w:t xml:space="preserve"> </w:t>
      </w:r>
      <w:r w:rsidR="00F36C56" w:rsidRPr="001F11DE">
        <w:rPr>
          <w:lang w:val="en-GB"/>
        </w:rPr>
        <w:t>consequence analysis</w:t>
      </w:r>
      <w:r w:rsidR="00E11647" w:rsidRPr="001F11DE">
        <w:rPr>
          <w:lang w:val="en-GB"/>
        </w:rPr>
        <w:t xml:space="preserve"> phase</w:t>
      </w:r>
      <w:r w:rsidRPr="001F11DE">
        <w:rPr>
          <w:lang w:val="en-GB"/>
        </w:rPr>
        <w:t>.</w:t>
      </w:r>
      <w:r w:rsidR="00E11647" w:rsidRPr="001F11DE">
        <w:rPr>
          <w:lang w:val="en-GB"/>
        </w:rPr>
        <w:t xml:space="preserve"> </w:t>
      </w:r>
      <w:r w:rsidR="006A0F71" w:rsidRPr="001F11DE">
        <w:rPr>
          <w:lang w:val="en-GB"/>
        </w:rPr>
        <w:t>Furthermore, all the results obtained in this study will be confirmed during the SH</w:t>
      </w:r>
      <w:r w:rsidR="006A0F71" w:rsidRPr="001F11DE">
        <w:rPr>
          <w:vertAlign w:val="subscript"/>
          <w:lang w:val="en-GB"/>
        </w:rPr>
        <w:t>2</w:t>
      </w:r>
      <w:r w:rsidR="006A0F71" w:rsidRPr="001F11DE">
        <w:rPr>
          <w:lang w:val="en-GB"/>
        </w:rPr>
        <w:t>IFT project.</w:t>
      </w:r>
    </w:p>
    <w:p w14:paraId="6BBF7E55" w14:textId="2896148A" w:rsidR="00A667C1" w:rsidRPr="001F11DE" w:rsidRDefault="00F36C56" w:rsidP="00167BF8">
      <w:pPr>
        <w:pStyle w:val="CETBodytext"/>
        <w:rPr>
          <w:lang w:val="en-GB"/>
        </w:rPr>
      </w:pPr>
      <w:r w:rsidRPr="001F11DE">
        <w:rPr>
          <w:lang w:val="en-GB"/>
        </w:rPr>
        <w:t>In Section 2, the methodology utilized in this work has been described</w:t>
      </w:r>
      <w:r w:rsidR="000854CF" w:rsidRPr="001F11DE">
        <w:rPr>
          <w:lang w:val="en-GB"/>
        </w:rPr>
        <w:t xml:space="preserve"> and i</w:t>
      </w:r>
      <w:r w:rsidRPr="001F11DE">
        <w:rPr>
          <w:lang w:val="en-GB"/>
        </w:rPr>
        <w:t>n Section 3, the results of the consequence analysis have been reported</w:t>
      </w:r>
      <w:bookmarkEnd w:id="0"/>
      <w:bookmarkEnd w:id="1"/>
      <w:r w:rsidR="00BE3F50" w:rsidRPr="001F11DE">
        <w:rPr>
          <w:lang w:val="en-GB"/>
        </w:rPr>
        <w:t>.</w:t>
      </w:r>
    </w:p>
    <w:p w14:paraId="45119BBF" w14:textId="671A805F" w:rsidR="00FF5CCF" w:rsidRPr="001B7656" w:rsidRDefault="00167BF8" w:rsidP="00FF5CCF">
      <w:pPr>
        <w:pStyle w:val="CETHeading1"/>
      </w:pPr>
      <w:r w:rsidRPr="001B7656">
        <w:t>Methodology</w:t>
      </w:r>
    </w:p>
    <w:p w14:paraId="7EBB9CF1" w14:textId="06D94945" w:rsidR="006667BE" w:rsidRPr="001B7656" w:rsidRDefault="006667BE" w:rsidP="009D1AA2">
      <w:pPr>
        <w:pStyle w:val="CETBodytext"/>
        <w:rPr>
          <w:lang w:val="en-GB"/>
        </w:rPr>
      </w:pPr>
      <w:r w:rsidRPr="001B7656">
        <w:rPr>
          <w:lang w:val="en-GB"/>
        </w:rPr>
        <w:t>In this study, DyPASI has been applied to LH</w:t>
      </w:r>
      <w:r w:rsidRPr="001B7656">
        <w:rPr>
          <w:vertAlign w:val="subscript"/>
          <w:lang w:val="en-GB"/>
        </w:rPr>
        <w:t>2</w:t>
      </w:r>
      <w:r w:rsidRPr="001B7656">
        <w:rPr>
          <w:lang w:val="en-GB"/>
        </w:rPr>
        <w:t xml:space="preserve"> technologies following the methodology used in </w:t>
      </w:r>
      <w:r w:rsidR="00170D97">
        <w:rPr>
          <w:lang w:val="en-GB"/>
        </w:rPr>
        <w:fldChar w:fldCharType="begin" w:fldLock="1"/>
      </w:r>
      <w:r w:rsidR="00376941">
        <w:rPr>
          <w:lang w:val="en-GB"/>
        </w:rPr>
        <w:instrText>ADDIN CSL_CITATION {"citationItems":[{"id":"ITEM-1","itemData":{"DOI":"10.1016/j.ress.2014.12.006","author":[{"dropping-particle":"","family":"Paltrinieri","given":"Nicola","non-dropping-particle":"","parse-names":false,"suffix":""},{"dropping-particle":"","family":"Tugnoli","given":"Alessandro","non-dropping-particle":"","parse-names":false,"suffix":""},{"dropping-particle":"","family":"Cozzani","given":"Valerio","non-dropping-particle":"","parse-names":false,"suffix":""}],"container-title":"Reliability Engineering and System Safety","id":"ITEM-1","issued":{"date-parts":[["2015"]]},"page":"18-28","title":"Hazard identification for innovative LNG regasification technologies","type":"article-journal","volume":"137"},"uris":["http://www.mendeley.com/documents/?uuid=9bce1da9-2fd8-4f15-8b04-329d61d72cc3"]}],"mendeley":{"formattedCitation":"(Paltrinieri et al., 2015)","plainTextFormattedCitation":"(Paltrinieri et al., 2015)","previouslyFormattedCitation":"(Paltrinieri et al., 2015)"},"properties":{"noteIndex":0},"schema":"https://github.com/citation-style-language/schema/raw/master/csl-citation.json"}</w:instrText>
      </w:r>
      <w:r w:rsidR="00170D97">
        <w:rPr>
          <w:lang w:val="en-GB"/>
        </w:rPr>
        <w:fldChar w:fldCharType="separate"/>
      </w:r>
      <w:r w:rsidR="00170D97" w:rsidRPr="00170D97">
        <w:rPr>
          <w:noProof/>
          <w:lang w:val="en-GB"/>
        </w:rPr>
        <w:t>(Paltrinieri et al., 2015)</w:t>
      </w:r>
      <w:r w:rsidR="00170D97">
        <w:rPr>
          <w:lang w:val="en-GB"/>
        </w:rPr>
        <w:fldChar w:fldCharType="end"/>
      </w:r>
      <w:r w:rsidRPr="001B7656">
        <w:rPr>
          <w:lang w:val="en-GB"/>
        </w:rPr>
        <w:t>.</w:t>
      </w:r>
      <w:r w:rsidR="009D1AA2" w:rsidRPr="001B7656">
        <w:rPr>
          <w:lang w:val="en-GB"/>
        </w:rPr>
        <w:t xml:space="preserve"> </w:t>
      </w:r>
      <w:r w:rsidRPr="001B7656">
        <w:rPr>
          <w:lang w:val="en-GB"/>
        </w:rPr>
        <w:t>In the following, DyPASI and its procedure are briefly described.</w:t>
      </w:r>
      <w:r w:rsidR="00EC6F9D" w:rsidRPr="001B7656">
        <w:rPr>
          <w:lang w:val="en-GB"/>
        </w:rPr>
        <w:t xml:space="preserve"> Furthermore, the methodology adopted to carry out the LH</w:t>
      </w:r>
      <w:r w:rsidR="00EC6F9D" w:rsidRPr="001B7656">
        <w:rPr>
          <w:vertAlign w:val="subscript"/>
          <w:lang w:val="en-GB"/>
        </w:rPr>
        <w:t>2</w:t>
      </w:r>
      <w:r w:rsidR="00EC6F9D" w:rsidRPr="001B7656">
        <w:rPr>
          <w:lang w:val="en-GB"/>
        </w:rPr>
        <w:t xml:space="preserve"> BLEVE consequence analysis has been reported.</w:t>
      </w:r>
    </w:p>
    <w:p w14:paraId="5C9C0EAA" w14:textId="01FF65FF" w:rsidR="000052A8" w:rsidRDefault="00114703" w:rsidP="00114703">
      <w:pPr>
        <w:pStyle w:val="CETheadingx"/>
        <w:rPr>
          <w:lang w:val="en-GB"/>
        </w:rPr>
      </w:pPr>
      <w:r w:rsidRPr="001B7656">
        <w:rPr>
          <w:lang w:val="en-GB"/>
        </w:rPr>
        <w:t>Application of DyPASI technique to LH</w:t>
      </w:r>
      <w:r w:rsidRPr="001B7656">
        <w:rPr>
          <w:vertAlign w:val="subscript"/>
          <w:lang w:val="en-GB"/>
        </w:rPr>
        <w:t>2</w:t>
      </w:r>
      <w:r w:rsidRPr="001B7656">
        <w:rPr>
          <w:lang w:val="en-GB"/>
        </w:rPr>
        <w:t xml:space="preserve"> technologies</w:t>
      </w:r>
    </w:p>
    <w:p w14:paraId="238F96C5" w14:textId="0DB75CA5" w:rsidR="006A0F71" w:rsidRPr="00D37EF2" w:rsidRDefault="006A0F71" w:rsidP="006A0F71">
      <w:pPr>
        <w:pStyle w:val="CETBodytext"/>
        <w:rPr>
          <w:lang w:val="en-GB"/>
        </w:rPr>
      </w:pPr>
      <w:r w:rsidRPr="00D37EF2">
        <w:rPr>
          <w:lang w:val="en-GB"/>
        </w:rPr>
        <w:t xml:space="preserve">In </w:t>
      </w:r>
      <w:r w:rsidRPr="00D37EF2">
        <w:rPr>
          <w:i/>
          <w:lang w:val="en-GB"/>
        </w:rPr>
        <w:fldChar w:fldCharType="begin"/>
      </w:r>
      <w:r w:rsidRPr="00D37EF2">
        <w:rPr>
          <w:i/>
          <w:lang w:val="en-GB"/>
        </w:rPr>
        <w:instrText xml:space="preserve"> REF _Ref536198838 \h  \* MERGEFORMAT </w:instrText>
      </w:r>
      <w:r w:rsidRPr="00D37EF2">
        <w:rPr>
          <w:i/>
          <w:lang w:val="en-GB"/>
        </w:rPr>
      </w:r>
      <w:r w:rsidRPr="00D37EF2">
        <w:rPr>
          <w:i/>
          <w:lang w:val="en-GB"/>
        </w:rPr>
        <w:fldChar w:fldCharType="separate"/>
      </w:r>
      <w:r w:rsidRPr="00D37EF2">
        <w:rPr>
          <w:rStyle w:val="CETCaptionCarattere"/>
          <w:i w:val="0"/>
          <w:sz w:val="18"/>
          <w:szCs w:val="18"/>
        </w:rPr>
        <w:t>Figure 1</w:t>
      </w:r>
      <w:r w:rsidRPr="00D37EF2">
        <w:rPr>
          <w:i/>
          <w:lang w:val="en-GB"/>
        </w:rPr>
        <w:fldChar w:fldCharType="end"/>
      </w:r>
      <w:r w:rsidRPr="00D37EF2">
        <w:rPr>
          <w:lang w:val="en-GB"/>
        </w:rPr>
        <w:t>, the phases described in the introduction have been schematized. Looking at this scheme, it is noticeable that to apply the DyPASI technique, other tools such as MIMAH (Methodology for the Identification of Major Accident Hazards) and MIRAS (Methodology for the Identification of Reference Accident Scenarios) are needed. As said before, the results obtained in this study will be confirmed during the SH</w:t>
      </w:r>
      <w:r w:rsidRPr="00D37EF2">
        <w:rPr>
          <w:vertAlign w:val="subscript"/>
          <w:lang w:val="en-GB"/>
        </w:rPr>
        <w:t>2</w:t>
      </w:r>
      <w:r w:rsidRPr="00D37EF2">
        <w:rPr>
          <w:lang w:val="en-GB"/>
        </w:rPr>
        <w:t>IFT project (dashed lines).</w:t>
      </w:r>
    </w:p>
    <w:p w14:paraId="03E41A6C" w14:textId="77777777" w:rsidR="006A0F71" w:rsidRPr="00D37EF2" w:rsidRDefault="006A0F71" w:rsidP="006A0F71">
      <w:pPr>
        <w:pStyle w:val="CETBodytext"/>
        <w:rPr>
          <w:lang w:val="en-GB"/>
        </w:rPr>
      </w:pPr>
      <w:r w:rsidRPr="00D37EF2">
        <w:rPr>
          <w:noProof/>
          <w:lang w:val="it-IT" w:eastAsia="it-IT"/>
        </w:rPr>
        <w:drawing>
          <wp:inline distT="0" distB="0" distL="0" distR="0" wp14:anchorId="1B6265EF" wp14:editId="28ED554C">
            <wp:extent cx="3804659" cy="18720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4659" cy="1872000"/>
                    </a:xfrm>
                    <a:prstGeom prst="rect">
                      <a:avLst/>
                    </a:prstGeom>
                    <a:noFill/>
                    <a:ln>
                      <a:noFill/>
                    </a:ln>
                  </pic:spPr>
                </pic:pic>
              </a:graphicData>
            </a:graphic>
          </wp:inline>
        </w:drawing>
      </w:r>
    </w:p>
    <w:p w14:paraId="50B5535C" w14:textId="10D60820" w:rsidR="006A0F71" w:rsidRPr="006A0F71" w:rsidRDefault="006A0F71" w:rsidP="006A0F71">
      <w:pPr>
        <w:pStyle w:val="CETCaption"/>
        <w:rPr>
          <w:i w:val="0"/>
        </w:rPr>
      </w:pPr>
      <w:bookmarkStart w:id="2" w:name="_Ref536198838"/>
      <w:r w:rsidRPr="00D37EF2">
        <w:rPr>
          <w:rStyle w:val="CETCaptionCarattere"/>
          <w:i/>
          <w:sz w:val="18"/>
          <w:szCs w:val="18"/>
        </w:rPr>
        <w:t xml:space="preserve">Figure </w:t>
      </w:r>
      <w:r w:rsidRPr="00D37EF2">
        <w:rPr>
          <w:rStyle w:val="CETCaptionCarattere"/>
          <w:i/>
          <w:sz w:val="18"/>
          <w:szCs w:val="18"/>
        </w:rPr>
        <w:fldChar w:fldCharType="begin"/>
      </w:r>
      <w:r w:rsidRPr="00D37EF2">
        <w:rPr>
          <w:rStyle w:val="CETCaptionCarattere"/>
          <w:i/>
          <w:sz w:val="18"/>
          <w:szCs w:val="18"/>
        </w:rPr>
        <w:instrText xml:space="preserve"> SEQ Figure \* ARABIC </w:instrText>
      </w:r>
      <w:r w:rsidRPr="00D37EF2">
        <w:rPr>
          <w:rStyle w:val="CETCaptionCarattere"/>
          <w:i/>
          <w:sz w:val="18"/>
          <w:szCs w:val="18"/>
        </w:rPr>
        <w:fldChar w:fldCharType="separate"/>
      </w:r>
      <w:r w:rsidRPr="00D37EF2">
        <w:rPr>
          <w:rStyle w:val="CETCaptionCarattere"/>
          <w:i/>
          <w:noProof/>
          <w:sz w:val="18"/>
          <w:szCs w:val="18"/>
        </w:rPr>
        <w:t>1</w:t>
      </w:r>
      <w:r w:rsidRPr="00D37EF2">
        <w:rPr>
          <w:rStyle w:val="CETCaptionCarattere"/>
          <w:i/>
          <w:sz w:val="18"/>
          <w:szCs w:val="18"/>
        </w:rPr>
        <w:fldChar w:fldCharType="end"/>
      </w:r>
      <w:bookmarkEnd w:id="2"/>
      <w:r w:rsidRPr="00D37EF2">
        <w:rPr>
          <w:rStyle w:val="CETCaptionCarattere"/>
          <w:i/>
          <w:sz w:val="18"/>
          <w:szCs w:val="18"/>
        </w:rPr>
        <w:t>: Scheme of the phases followed in this study. Dashed line indicates the results will be confirmed during the SH</w:t>
      </w:r>
      <w:r w:rsidRPr="00D37EF2">
        <w:rPr>
          <w:rStyle w:val="CETCaptionCarattere"/>
          <w:i/>
          <w:sz w:val="18"/>
          <w:szCs w:val="18"/>
          <w:vertAlign w:val="subscript"/>
        </w:rPr>
        <w:t>2</w:t>
      </w:r>
      <w:r w:rsidRPr="00D37EF2">
        <w:rPr>
          <w:rStyle w:val="CETCaptionCarattere"/>
          <w:i/>
          <w:sz w:val="18"/>
          <w:szCs w:val="18"/>
        </w:rPr>
        <w:t>IFT project</w:t>
      </w:r>
    </w:p>
    <w:p w14:paraId="270A50C6" w14:textId="02FA3131" w:rsidR="001F4767" w:rsidRDefault="006667BE" w:rsidP="006C0A27">
      <w:pPr>
        <w:pStyle w:val="CETBodytext"/>
        <w:rPr>
          <w:lang w:val="en-GB"/>
        </w:rPr>
      </w:pPr>
      <w:r w:rsidRPr="001B7656">
        <w:rPr>
          <w:lang w:val="en-GB"/>
        </w:rPr>
        <w:t>DyPASI is a hazard identification technique usually coupled with a Dynamic Risk Assessment (DRA)</w:t>
      </w:r>
      <w:r w:rsidR="00EC6F9D" w:rsidRPr="001B7656">
        <w:rPr>
          <w:lang w:val="en-GB"/>
        </w:rPr>
        <w:t xml:space="preserve"> </w:t>
      </w:r>
      <w:r w:rsidR="003C1978">
        <w:rPr>
          <w:lang w:val="en-GB"/>
        </w:rPr>
        <w:t>in order</w:t>
      </w:r>
      <w:r w:rsidR="00EC6F9D" w:rsidRPr="001B7656">
        <w:rPr>
          <w:lang w:val="en-GB"/>
        </w:rPr>
        <w:t xml:space="preserve"> to update </w:t>
      </w:r>
      <w:r w:rsidR="003C1978">
        <w:rPr>
          <w:lang w:val="en-GB"/>
        </w:rPr>
        <w:t>it</w:t>
      </w:r>
      <w:r w:rsidR="00EC6F9D" w:rsidRPr="001B7656">
        <w:rPr>
          <w:lang w:val="en-GB"/>
        </w:rPr>
        <w:t xml:space="preserve"> taking</w:t>
      </w:r>
      <w:r w:rsidRPr="001B7656">
        <w:rPr>
          <w:lang w:val="en-GB"/>
        </w:rPr>
        <w:t xml:space="preserve"> into account atypical accidental scenarios which are not considered by traditional hazard identification processes</w:t>
      </w:r>
      <w:r w:rsidR="00170D97">
        <w:rPr>
          <w:lang w:val="en-GB"/>
        </w:rPr>
        <w:t xml:space="preserve"> </w:t>
      </w:r>
      <w:r w:rsidR="00170D97" w:rsidRPr="001F11DE">
        <w:rPr>
          <w:lang w:val="en-GB"/>
        </w:rPr>
        <w:fldChar w:fldCharType="begin" w:fldLock="1"/>
      </w:r>
      <w:r w:rsidR="00170D97" w:rsidRPr="001F11DE">
        <w:rPr>
          <w:lang w:val="en-GB"/>
        </w:rPr>
        <w:instrText>ADDIN CSL_CITATION {"citationItems":[{"id":"ITEM-1","itemData":{"DOI":"10.1016/j.ssci.2016.06.002","ISBN":"0925-7535","ISSN":"18791042","abstract":"The objective of this review is to analyse the progress of Risk Assessment during the last decades and to offer an overview on its recent advancements and possible future direction for chemical and process industries. Despite the general approach of Quantitative Risk Assessment (QRA) is unchanged since its origin in the early 1980s, QRA has continuously evolved in different forms and its fields of application have enlarged significantly beyond process safety, where it has always been traditionally developed and used for chemical process industries. Now risk assessment techniques play a fundamental role in process design, implementation of safety systems, inspection and maintenance planning as well as operation management. Eventually risk assessment has become an essential tool for the development, continued operation and expansion of process installations. On the other hand, QRA limitations, such as its inability to update the risk picture, led to the development of several recent dynamic risk assessment approaches, whose methodological and applicative contributions are presented in this paper. This demonstrates that risk assessment is in continuous development; nevertheless, it still shows many challenges to face: the way forward is improving its preciseness and its capability to be dynamically updated, that it will be useful to support real-time decision-making.","author":[{"dropping-particle":"","family":"Paltrinieri","given":"Nicola","non-dropping-particle":"","parse-names":false,"suffix":""},{"dropping-particle":"","family":"Villa","given":"Valeria","non-dropping-particle":"","parse-names":false,"suffix":""},{"dropping-particle":"","family":"Khan","given":"Faisal","non-dropping-particle":"","parse-names":false,"suffix":""},{"dropping-particle":"","family":"Cozzani","given":"Valerio","non-dropping-particle":"","parse-names":false,"suffix":""}],"container-title":"Safety Science","id":"ITEM-1","issued":{"date-parts":[["2016"]]},"page":"77-93","publisher":"Elsevier Ltd","title":"Towards dynamic risk analysis: A review of the risk assessment approach and its limitations in the chemical process industry","type":"article-journal","volume":"89"},"uris":["http://www.mendeley.com/documents/?uuid=873ae077-9764-4732-9376-d60f0b53b1a5"]}],"mendeley":{"formattedCitation":"(Paltrinieri et al., 2016)","plainTextFormattedCitation":"(Paltrinieri et al., 2016)","previouslyFormattedCitation":"(Paltrinieri et al., 2016)"},"properties":{"noteIndex":0},"schema":"https://github.com/citation-style-language/schema/raw/master/csl-citation.json"}</w:instrText>
      </w:r>
      <w:r w:rsidR="00170D97" w:rsidRPr="001F11DE">
        <w:rPr>
          <w:lang w:val="en-GB"/>
        </w:rPr>
        <w:fldChar w:fldCharType="separate"/>
      </w:r>
      <w:r w:rsidR="00170D97" w:rsidRPr="001F11DE">
        <w:rPr>
          <w:noProof/>
          <w:lang w:val="en-GB"/>
        </w:rPr>
        <w:t>(Paltrinieri et al., 2016)</w:t>
      </w:r>
      <w:r w:rsidR="00170D97" w:rsidRPr="001F11DE">
        <w:rPr>
          <w:lang w:val="en-GB"/>
        </w:rPr>
        <w:fldChar w:fldCharType="end"/>
      </w:r>
      <w:r w:rsidRPr="001F11DE">
        <w:rPr>
          <w:lang w:val="en-GB"/>
        </w:rPr>
        <w:t>.</w:t>
      </w:r>
      <w:r w:rsidR="00221D36" w:rsidRPr="001F11DE">
        <w:rPr>
          <w:lang w:val="en-GB"/>
        </w:rPr>
        <w:t xml:space="preserve"> For example in </w:t>
      </w:r>
      <w:r w:rsidR="00221D36" w:rsidRPr="001F11DE">
        <w:rPr>
          <w:lang w:val="en-GB"/>
        </w:rPr>
        <w:fldChar w:fldCharType="begin" w:fldLock="1"/>
      </w:r>
      <w:r w:rsidR="00221D36" w:rsidRPr="001F11DE">
        <w:rPr>
          <w:lang w:val="en-GB"/>
        </w:rPr>
        <w:instrText>ADDIN CSL_CITATION {"citationItems":[{"id":"ITEM-1","itemData":{"DOI":"10.3303/CET1867124","ISBN":"9788895608648","author":[{"dropping-particle":"","family":"Russo","given":"Paola","non-dropping-particle":"","parse-names":false,"suffix":""},{"dropping-particle":"","family":"Marco","given":"Alessandra","non-dropping-particle":"De","parse-names":false,"suffix":""},{"dropping-particle":"","family":"Mazzaro","given":"Michele","non-dropping-particle":"","parse-names":false,"suffix":""},{"dropping-particle":"","family":"Capobianco","given":"Luigi","non-dropping-particle":"","parse-names":false,"suffix":""}],"container-title":"Chemical Engineering Transactions","id":"ITEM-1","issued":{"date-parts":[["2018"]]},"page":"739-744","title":"Quantitative Risk Assessment on a Hydrogen Refuelling Station","type":"article-journal","volume":"67"},"uris":["http://www.mendeley.com/documents/?uuid=70fde423-81f3-496e-9feb-9d1d1ce1e56f"]}],"mendeley":{"formattedCitation":"(Russo et al., 2018)","plainTextFormattedCitation":"(Russo et al., 2018)"},"properties":{"noteIndex":0},"schema":"https://github.com/citation-style-language/schema/raw/master/csl-citation.json"}</w:instrText>
      </w:r>
      <w:r w:rsidR="00221D36" w:rsidRPr="001F11DE">
        <w:rPr>
          <w:lang w:val="en-GB"/>
        </w:rPr>
        <w:fldChar w:fldCharType="separate"/>
      </w:r>
      <w:r w:rsidR="00221D36" w:rsidRPr="001F11DE">
        <w:rPr>
          <w:noProof/>
          <w:lang w:val="en-GB"/>
        </w:rPr>
        <w:t>(Russo et al., 2018)</w:t>
      </w:r>
      <w:r w:rsidR="00221D36" w:rsidRPr="001F11DE">
        <w:rPr>
          <w:lang w:val="en-GB"/>
        </w:rPr>
        <w:fldChar w:fldCharType="end"/>
      </w:r>
      <w:r w:rsidR="00221D36" w:rsidRPr="001F11DE">
        <w:rPr>
          <w:lang w:val="en-GB"/>
        </w:rPr>
        <w:t>, the explosion scenario has not been considered for the storage unit of the hydrogen refuelling station.</w:t>
      </w:r>
      <w:r w:rsidR="003C1978" w:rsidRPr="001F11DE">
        <w:rPr>
          <w:lang w:val="en-GB"/>
        </w:rPr>
        <w:t xml:space="preserve"> </w:t>
      </w:r>
      <w:r w:rsidR="00D76497" w:rsidRPr="001F11DE">
        <w:rPr>
          <w:lang w:val="en-GB"/>
        </w:rPr>
        <w:t xml:space="preserve">MIMAH </w:t>
      </w:r>
      <w:r w:rsidR="00A77562" w:rsidRPr="001F11DE">
        <w:rPr>
          <w:lang w:val="en-GB"/>
        </w:rPr>
        <w:t>methodology</w:t>
      </w:r>
      <w:r w:rsidR="00D76497" w:rsidRPr="001F11DE">
        <w:rPr>
          <w:lang w:val="en-GB"/>
        </w:rPr>
        <w:t xml:space="preserve"> has been used to develop the conventional bow-tie diagram utilized as input of the first DyPASI</w:t>
      </w:r>
      <w:r w:rsidR="00D76497" w:rsidRPr="001B7656">
        <w:rPr>
          <w:lang w:val="en-GB"/>
        </w:rPr>
        <w:t xml:space="preserve"> step</w:t>
      </w:r>
      <w:r w:rsidR="001E7A4F">
        <w:rPr>
          <w:lang w:val="en-GB"/>
        </w:rPr>
        <w:t xml:space="preserve"> </w:t>
      </w:r>
      <w:r w:rsidR="001E7A4F">
        <w:rPr>
          <w:lang w:val="en-GB"/>
        </w:rPr>
        <w:fldChar w:fldCharType="begin" w:fldLock="1"/>
      </w:r>
      <w:r w:rsidR="001E7A4F">
        <w:rPr>
          <w:lang w:val="en-GB"/>
        </w:rPr>
        <w:instrText>ADDIN CSL_CITATION {"citationItems":[{"id":"ITEM-1","itemData":{"DOI":"10.1016/j.ress.2004.11.003","ISSN":"09518320","abstract":"In the frame of the ESREL special session on ARAMIS project, this paper aims at presenting the work carried out in the first Work Package, devoted to the definition of accident scenarios. This topic is a key-point in risk assessment, and serves as basis for the whole risk quantification. A first part of the work aims at building a Methodology for the Identification of Major Accident Hazards (MIMAH), which is carried out with the development of generic fault and event trees based on a typology of equipment and substances. This work is coupled with an historical analysis of accidents. In a second part, influence of safety devices and policies will be considered, in order to build a Methodology for the Identification of Reference Accident Scenarios (MIRAS). This last one will take into account safety systems and lead to obtain more realistic scenarios. © 2004 Elsevier Ltd. All rights reserved.","author":[{"dropping-particle":"","family":"Delvosalle","given":"C.","non-dropping-particle":"","parse-names":false,"suffix":""},{"dropping-particle":"","family":"Fiévez","given":"C.","non-dropping-particle":"","parse-names":false,"suffix":""},{"dropping-particle":"","family":"Pipart","given":"A.","non-dropping-particle":"","parse-names":false,"suffix":""},{"dropping-particle":"","family":"Fabrega","given":"J. Casal","non-dropping-particle":"","parse-names":false,"suffix":""},{"dropping-particle":"","family":"Planas","given":"E.","non-dropping-particle":"","parse-names":false,"suffix":""},{"dropping-particle":"","family":"Christou","given":"M.","non-dropping-particle":"","parse-names":false,"suffix":""},{"dropping-particle":"","family":"Mushtaq","given":"F.","non-dropping-particle":"","parse-names":false,"suffix":""}],"container-title":"Reliability Engineering and System Safety","id":"ITEM-1","issue":"2-3","issued":{"date-parts":[["2005"]]},"page":"238-246","title":"Identification of reference accident scenarios in SEVESO establishments","type":"article-journal","volume":"90"},"uris":["http://www.mendeley.com/documents/?uuid=76efbd04-5a02-44fc-94ce-349cd01cca27"]}],"mendeley":{"formattedCitation":"(Delvosalle et al., 2005)","plainTextFormattedCitation":"(Delvosalle et al., 2005)","previouslyFormattedCitation":"(Delvosalle et al., 2005)"},"properties":{"noteIndex":0},"schema":"https://github.com/citation-style-language/schema/raw/master/csl-citation.json"}</w:instrText>
      </w:r>
      <w:r w:rsidR="001E7A4F">
        <w:rPr>
          <w:lang w:val="en-GB"/>
        </w:rPr>
        <w:fldChar w:fldCharType="separate"/>
      </w:r>
      <w:r w:rsidR="001E7A4F" w:rsidRPr="001E7A4F">
        <w:rPr>
          <w:noProof/>
          <w:lang w:val="en-GB"/>
        </w:rPr>
        <w:t>(Delvosalle et al., 2005)</w:t>
      </w:r>
      <w:r w:rsidR="001E7A4F">
        <w:rPr>
          <w:lang w:val="en-GB"/>
        </w:rPr>
        <w:fldChar w:fldCharType="end"/>
      </w:r>
      <w:r w:rsidR="00D76497" w:rsidRPr="001B7656">
        <w:rPr>
          <w:lang w:val="en-GB"/>
        </w:rPr>
        <w:t>.</w:t>
      </w:r>
      <w:r w:rsidR="00D76497">
        <w:rPr>
          <w:lang w:val="en-GB"/>
        </w:rPr>
        <w:t xml:space="preserve"> </w:t>
      </w:r>
      <w:r w:rsidR="00D76497" w:rsidRPr="0061117E">
        <w:rPr>
          <w:lang w:val="en-GB"/>
        </w:rPr>
        <w:t xml:space="preserve">DyPASI procedure is structured in different steps and these are </w:t>
      </w:r>
      <w:r w:rsidR="00D76497">
        <w:rPr>
          <w:lang w:val="en-GB"/>
        </w:rPr>
        <w:t>described</w:t>
      </w:r>
      <w:r w:rsidR="00D76497" w:rsidRPr="0061117E">
        <w:rPr>
          <w:lang w:val="en-GB"/>
        </w:rPr>
        <w:t xml:space="preserve"> in </w:t>
      </w:r>
      <w:r w:rsidR="00D76497" w:rsidRPr="0061117E">
        <w:rPr>
          <w:b/>
          <w:lang w:val="en-GB"/>
        </w:rPr>
        <w:fldChar w:fldCharType="begin"/>
      </w:r>
      <w:r w:rsidR="00D76497" w:rsidRPr="0061117E">
        <w:rPr>
          <w:lang w:val="en-GB"/>
        </w:rPr>
        <w:instrText xml:space="preserve"> REF _Ref533687717 \h </w:instrText>
      </w:r>
      <w:r w:rsidR="00D76497">
        <w:rPr>
          <w:lang w:val="en-GB"/>
        </w:rPr>
        <w:instrText xml:space="preserve"> \* MERGEFORMAT </w:instrText>
      </w:r>
      <w:r w:rsidR="00D76497" w:rsidRPr="0061117E">
        <w:rPr>
          <w:b/>
          <w:lang w:val="en-GB"/>
        </w:rPr>
      </w:r>
      <w:r w:rsidR="00D76497" w:rsidRPr="0061117E">
        <w:rPr>
          <w:b/>
          <w:lang w:val="en-GB"/>
        </w:rPr>
        <w:fldChar w:fldCharType="separate"/>
      </w:r>
      <w:r w:rsidR="00844DAD" w:rsidRPr="00844DAD">
        <w:rPr>
          <w:lang w:val="en-GB"/>
        </w:rPr>
        <w:t>Table 1</w:t>
      </w:r>
      <w:r w:rsidR="00D76497" w:rsidRPr="0061117E">
        <w:rPr>
          <w:b/>
          <w:lang w:val="en-GB"/>
        </w:rPr>
        <w:fldChar w:fldCharType="end"/>
      </w:r>
      <w:r w:rsidR="00D76497" w:rsidRPr="0061117E">
        <w:rPr>
          <w:lang w:val="en-GB"/>
        </w:rPr>
        <w:t>.</w:t>
      </w:r>
      <w:r w:rsidR="006C0A27">
        <w:rPr>
          <w:lang w:val="en-GB"/>
        </w:rPr>
        <w:t xml:space="preserve"> MIRAS </w:t>
      </w:r>
      <w:r w:rsidR="00A77562">
        <w:rPr>
          <w:lang w:val="en-GB"/>
        </w:rPr>
        <w:t>methodology</w:t>
      </w:r>
      <w:r w:rsidR="00367FE1">
        <w:rPr>
          <w:lang w:val="en-GB"/>
        </w:rPr>
        <w:t xml:space="preserve"> </w:t>
      </w:r>
      <w:r w:rsidR="006C0A27">
        <w:rPr>
          <w:lang w:val="en-GB"/>
        </w:rPr>
        <w:t xml:space="preserve">has been </w:t>
      </w:r>
    </w:p>
    <w:p w14:paraId="13DB56F1" w14:textId="23FB01ED" w:rsidR="003C1978" w:rsidRPr="007773ED" w:rsidRDefault="006C0A27" w:rsidP="006C0A27">
      <w:pPr>
        <w:pStyle w:val="CETBodytext"/>
        <w:rPr>
          <w:lang w:val="nb-NO"/>
        </w:rPr>
      </w:pPr>
      <w:r>
        <w:rPr>
          <w:lang w:val="en-GB"/>
        </w:rPr>
        <w:t xml:space="preserve">used to </w:t>
      </w:r>
      <w:r w:rsidR="00D76497">
        <w:rPr>
          <w:lang w:val="en-GB"/>
        </w:rPr>
        <w:t>define</w:t>
      </w:r>
      <w:r>
        <w:rPr>
          <w:lang w:val="en-GB"/>
        </w:rPr>
        <w:t xml:space="preserve"> the safety barriers</w:t>
      </w:r>
      <w:r w:rsidR="00D76497">
        <w:rPr>
          <w:lang w:val="en-GB"/>
        </w:rPr>
        <w:t xml:space="preserve"> for the atypical scenarios </w:t>
      </w:r>
      <w:r w:rsidR="00792269">
        <w:rPr>
          <w:lang w:val="en-GB"/>
        </w:rPr>
        <w:t xml:space="preserve">in the </w:t>
      </w:r>
      <w:r>
        <w:rPr>
          <w:lang w:val="en-GB"/>
        </w:rPr>
        <w:t>step 4</w:t>
      </w:r>
      <w:r w:rsidR="00F85FFB">
        <w:rPr>
          <w:lang w:val="en-GB"/>
        </w:rPr>
        <w:t xml:space="preserve"> of DyPASI</w:t>
      </w:r>
      <w:r w:rsidR="00792269">
        <w:rPr>
          <w:lang w:val="en-GB"/>
        </w:rPr>
        <w:t xml:space="preserve"> </w:t>
      </w:r>
      <w:r w:rsidR="001E7A4F">
        <w:rPr>
          <w:lang w:val="en-GB"/>
        </w:rPr>
        <w:fldChar w:fldCharType="begin" w:fldLock="1"/>
      </w:r>
      <w:r w:rsidR="006A0F71">
        <w:rPr>
          <w:lang w:val="en-GB"/>
        </w:rPr>
        <w:instrText>ADDIN CSL_CITATION {"citationItems":[{"id":"ITEM-1","itemData":{"DOI":"10.1016/j.jhazmat.2005.07.005","ISBN":"0304-3894","ISSN":"03043894","PMID":"16126337","abstract":"In the frame of the Accidental Risk Assessment Methodology for Industries (ARAMIS) project, this paper aims at presenting the work carried out in the part of the project devoted to the definition of accident scenarios. This topic is a key-point in risk assessment and serves as basis for the whole risk quantification. The first result of the work is the building of a methodology for the identification of major accident hazards (MIMAH), which is carried out with the development of generic fault and event trees based on a typology of equipment and substances. The term \"major accidents\" must be understood as the worst accidents likely to occur on the equipment, assuming that no safety systems are installed. A second methodology, called methodology for the identification of reference accident scenarios (MIRAS) takes into account the influence of safety systems on both the frequencies and possible consequences of accidents. This methodology leads to identify more realistic accident scenarios. The reference accident scenarios are chosen with the help of a tool called \"risk matrix\", crossing the frequency and the consequences of accidents. This paper presents both methodologies and an application on an ethylene oxide storage. © 2005 Elsevier B.V. All rights reserved.","author":[{"dropping-particle":"","family":"Delvosalle","given":"Christian","non-dropping-particle":"","parse-names":false,"suffix":""},{"dropping-particle":"","family":"Fievez","given":"Cécile","non-dropping-particle":"","parse-names":false,"suffix":""},{"dropping-particle":"","family":"Pipart","given":"Aurore","non-dropping-particle":"","parse-names":false,"suffix":""},{"dropping-particle":"","family":"Debray","given":"Bruno","non-dropping-particle":"","parse-names":false,"suffix":""}],"container-title":"Journal of Hazardous Materials","id":"ITEM-1","issue":"3 SPEC. ISS.","issued":{"date-parts":[["2006"]]},"page":"200-219","title":"ARAMIS project: A comprehensive methodology for the identification of reference accident scenarios in process industries","type":"article-journal","volume":"130"},"uris":["http://www.mendeley.com/documents/?uuid=ff6fc397-1fd9-4dd6-ad82-e13272ccb465"]}],"mendeley":{"formattedCitation":"(Delvosalle et al., 2006b)","plainTextFormattedCitation":"(Delvosalle et al., 2006b)","previouslyFormattedCitation":"(Delvosalle et al., 2006b)"},"properties":{"noteIndex":0},"schema":"https://github.com/citation-style-language/schema/raw/master/csl-citation.json"}</w:instrText>
      </w:r>
      <w:r w:rsidR="001E7A4F">
        <w:rPr>
          <w:lang w:val="en-GB"/>
        </w:rPr>
        <w:fldChar w:fldCharType="separate"/>
      </w:r>
      <w:r w:rsidR="001E7A4F" w:rsidRPr="000D168E">
        <w:rPr>
          <w:noProof/>
        </w:rPr>
        <w:t>(Delvosalle et al., 2006b)</w:t>
      </w:r>
      <w:r w:rsidR="001E7A4F">
        <w:rPr>
          <w:lang w:val="en-GB"/>
        </w:rPr>
        <w:fldChar w:fldCharType="end"/>
      </w:r>
      <w:r w:rsidR="00F85FFB" w:rsidRPr="000D168E">
        <w:t xml:space="preserve">, </w:t>
      </w:r>
      <w:r w:rsidR="001E7A4F">
        <w:rPr>
          <w:lang w:val="en-GB"/>
        </w:rPr>
        <w:fldChar w:fldCharType="begin" w:fldLock="1"/>
      </w:r>
      <w:r w:rsidR="006A0F71">
        <w:instrText>ADDIN CSL_CITATION {"citationItems":[{"id":"ITEM-1","itemData":{"DOI":"10.1080/13669870500419529","ISBN":"1366-9877","ISSN":"13669877","abstract":"ARAMIS (Accidental Risk Assessment Methodology for IndustrieS) is an European project aiming to build up a new integrated risk assessment method that will be used as a supportive tool to speed up the harmonized implementation of Seveso II Directive. A part of ARAMIS is devoted to the identification of accident scenarios in process industries. First, a Methodology for the Identification of Major Accident Hazards (MIMAH) is defined. According to a bow-tie approach, the major accidents are identified through generic fault and event trees. The term \"Major Accidents must be understood as the worst accidents likely to occur on an installation, assuming that no safety systems are installed. Second, a Methodology for the Identification of Reference Accident Scenarios (MIRAS) studies the influence of safety systems placed on the branches of generic trees. The deep study of causes of accidents, probability levels, safety systems effectiveness and safety management efficiency allows us to define Reference Accident Scenarios, representing the real hazardous potential of the installation. This approach is intended to give an acute estimation of the risk level and to promote the implementation of safety systems. Test cases were carried out in five companies across Europe in order to validate the application of ARAMIS.","author":[{"dropping-particle":"","family":"Delvosalle","given":"Christian","non-dropping-particle":"","parse-names":false,"suffix":""},{"dropping-particle":"","family":"Fiévez","given":"Cécile","non-dropping-particle":"","parse-names":false,"suffix":""},{"dropping-particle":"","family":"Pipart","given":"Aurore","non-dropping-particle":"","parse-names":false,"suffix":""}],"container-title":"Journal of Risk Research","id":"ITEM-1","issue":"5","issued":{"date-parts":[["2006"]]},"page":"583-600","title":"ARAMIS project: Reference accident scenarios definition in SEVESO establishment","type":"article-journal","volume":"9"},"uris":["http://www.mendeley.com/documents/?uuid=24020f2e-e77f-4166-925f-88e0dbf40895"]}],"mendeley":{"formattedCitation":"(Delvosalle et al., 2006a)","plainTextFormattedCitation":"(Delvosalle et al., 2006a)","previouslyFormattedCitation":"(Delvosalle et al., 2006a)"},"properties":{"noteIndex":0},"schema":"https://github.com/citation-style-language/schema/raw/master/csl-citation.json"}</w:instrText>
      </w:r>
      <w:r w:rsidR="001E7A4F">
        <w:rPr>
          <w:lang w:val="en-GB"/>
        </w:rPr>
        <w:fldChar w:fldCharType="separate"/>
      </w:r>
      <w:r w:rsidR="001E7A4F" w:rsidRPr="007773ED">
        <w:rPr>
          <w:noProof/>
          <w:lang w:val="nb-NO"/>
        </w:rPr>
        <w:t>(Delvosalle et al., 2006a)</w:t>
      </w:r>
      <w:r w:rsidR="001E7A4F">
        <w:rPr>
          <w:lang w:val="en-GB"/>
        </w:rPr>
        <w:fldChar w:fldCharType="end"/>
      </w:r>
      <w:r w:rsidRPr="007773ED">
        <w:rPr>
          <w:lang w:val="nb-NO"/>
        </w:rPr>
        <w:t>.</w:t>
      </w:r>
    </w:p>
    <w:p w14:paraId="2BDE5728" w14:textId="37312D50" w:rsidR="000052A8" w:rsidRPr="000D168E" w:rsidRDefault="000052A8" w:rsidP="000052A8">
      <w:pPr>
        <w:pStyle w:val="CETTabletitle"/>
        <w:rPr>
          <w:lang w:val="en-US"/>
        </w:rPr>
      </w:pPr>
      <w:bookmarkStart w:id="3" w:name="_Ref533687717"/>
      <w:r w:rsidRPr="000D168E">
        <w:rPr>
          <w:lang w:val="en-US"/>
        </w:rPr>
        <w:lastRenderedPageBreak/>
        <w:t xml:space="preserve">Table </w:t>
      </w:r>
      <w:r w:rsidRPr="001B7656">
        <w:fldChar w:fldCharType="begin"/>
      </w:r>
      <w:r w:rsidRPr="000D168E">
        <w:rPr>
          <w:lang w:val="en-US"/>
        </w:rPr>
        <w:instrText xml:space="preserve"> SEQ Table \* ARABIC </w:instrText>
      </w:r>
      <w:r w:rsidRPr="001B7656">
        <w:fldChar w:fldCharType="separate"/>
      </w:r>
      <w:r w:rsidR="00844DAD">
        <w:rPr>
          <w:noProof/>
          <w:lang w:val="en-US"/>
        </w:rPr>
        <w:t>1</w:t>
      </w:r>
      <w:r w:rsidRPr="001B7656">
        <w:fldChar w:fldCharType="end"/>
      </w:r>
      <w:bookmarkEnd w:id="3"/>
      <w:r w:rsidRPr="000D168E">
        <w:rPr>
          <w:lang w:val="en-US"/>
        </w:rPr>
        <w:t xml:space="preserve">: </w:t>
      </w:r>
      <w:r w:rsidR="002D1BBE" w:rsidRPr="000D168E">
        <w:rPr>
          <w:lang w:val="en-US"/>
        </w:rPr>
        <w:t>DyPASI procedure steps</w:t>
      </w:r>
      <w:r w:rsidR="00170D97" w:rsidRPr="000D168E">
        <w:rPr>
          <w:lang w:val="en-US"/>
        </w:rPr>
        <w:t xml:space="preserve">, </w:t>
      </w:r>
      <w:r w:rsidR="002D1BBE" w:rsidRPr="000D168E">
        <w:rPr>
          <w:lang w:val="en-US"/>
        </w:rPr>
        <w:t xml:space="preserve">adapted from </w:t>
      </w:r>
      <w:r w:rsidR="00170D97">
        <w:fldChar w:fldCharType="begin" w:fldLock="1"/>
      </w:r>
      <w:r w:rsidR="006A0F71">
        <w:rPr>
          <w:lang w:val="en-US"/>
        </w:rPr>
        <w:instrText>ADDIN CSL_CITATION {"citationItems":[{"id":"ITEM-1","itemData":{"DOI":"10.1016/j.ress.2014.12.006","author":[{"dropping-particle":"","family":"Paltrinieri","given":"Nicola","non-dropping-particle":"","parse-names":false,"suffix":""},{"dropping-particle":"","family":"Tugnoli","given":"Alessandro","non-dropping-particle":"","parse-names":false,"suffix":""},{"dropping-particle":"","family":"Cozzani","given":"Valerio","non-dropping-particle":"","parse-names":false,"suffix":""}],"container-title":"Reliability Engineering and System Safety","id":"ITEM-1","issued":{"date-parts":[["2015"]]},"page":"18-28","title":"Hazard identification for innovative LNG regasification technologies","type":"article-journal","volume":"137"},"uris":["http://www.mendeley.com/documents/?uuid=9bce1da9-2fd8-4f15-8b04-329d61d72cc3"]}],"mendeley":{"formattedCitation":"(Paltrinieri et al., 2015)","manualFormatting":"(Paltrinieri et al. (2015)","plainTextFormattedCitation":"(Paltrinieri et al., 2015)","previouslyFormattedCitation":"(Paltrinieri et al., 2015)"},"properties":{"noteIndex":0},"schema":"https://github.com/citation-style-language/schema/raw/master/csl-citation.json"}</w:instrText>
      </w:r>
      <w:r w:rsidR="00170D97">
        <w:fldChar w:fldCharType="separate"/>
      </w:r>
      <w:r w:rsidR="00170D97" w:rsidRPr="00B22768">
        <w:rPr>
          <w:noProof/>
          <w:color w:val="FF0000"/>
          <w:lang w:val="en-US"/>
        </w:rPr>
        <w:t>(</w:t>
      </w:r>
      <w:r w:rsidR="00170D97" w:rsidRPr="000D168E">
        <w:rPr>
          <w:noProof/>
          <w:lang w:val="en-US"/>
        </w:rPr>
        <w:t xml:space="preserve">Paltrinieri et al. </w:t>
      </w:r>
      <w:r w:rsidR="00B22768" w:rsidRPr="00B22768">
        <w:rPr>
          <w:noProof/>
          <w:color w:val="0070C0"/>
          <w:lang w:val="en-US"/>
        </w:rPr>
        <w:t>(</w:t>
      </w:r>
      <w:r w:rsidR="00170D97" w:rsidRPr="000D168E">
        <w:rPr>
          <w:noProof/>
          <w:lang w:val="en-US"/>
        </w:rPr>
        <w:t>2015)</w:t>
      </w:r>
      <w:r w:rsidR="00170D97">
        <w:fldChar w:fldCharType="end"/>
      </w:r>
    </w:p>
    <w:tbl>
      <w:tblPr>
        <w:tblW w:w="87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24"/>
        <w:gridCol w:w="2551"/>
        <w:gridCol w:w="1701"/>
        <w:gridCol w:w="3855"/>
      </w:tblGrid>
      <w:tr w:rsidR="0055429B" w:rsidRPr="001B7656" w14:paraId="2307C045" w14:textId="77777777" w:rsidTr="0055429B">
        <w:tc>
          <w:tcPr>
            <w:tcW w:w="624" w:type="dxa"/>
            <w:tcBorders>
              <w:top w:val="single" w:sz="12" w:space="0" w:color="008000"/>
              <w:bottom w:val="single" w:sz="6" w:space="0" w:color="008000"/>
            </w:tcBorders>
            <w:shd w:val="clear" w:color="auto" w:fill="FFFFFF"/>
          </w:tcPr>
          <w:p w14:paraId="0BC25AF2" w14:textId="18B8ED49" w:rsidR="002D1BBE" w:rsidRPr="001B7656" w:rsidRDefault="002D1BBE" w:rsidP="006F70A9">
            <w:pPr>
              <w:pStyle w:val="CETBodytext"/>
              <w:rPr>
                <w:lang w:val="en-GB"/>
              </w:rPr>
            </w:pPr>
            <w:r w:rsidRPr="001B7656">
              <w:rPr>
                <w:lang w:val="en-GB"/>
              </w:rPr>
              <w:t>Step</w:t>
            </w:r>
          </w:p>
        </w:tc>
        <w:tc>
          <w:tcPr>
            <w:tcW w:w="2551" w:type="dxa"/>
            <w:tcBorders>
              <w:top w:val="single" w:sz="12" w:space="0" w:color="008000"/>
              <w:bottom w:val="single" w:sz="6" w:space="0" w:color="008000"/>
            </w:tcBorders>
            <w:shd w:val="clear" w:color="auto" w:fill="FFFFFF"/>
          </w:tcPr>
          <w:p w14:paraId="3A27BF58" w14:textId="59AB279A" w:rsidR="002D1BBE" w:rsidRPr="001B7656" w:rsidRDefault="002D1BBE" w:rsidP="006F70A9">
            <w:pPr>
              <w:pStyle w:val="CETBodytext"/>
              <w:rPr>
                <w:lang w:val="en-GB"/>
              </w:rPr>
            </w:pPr>
            <w:r w:rsidRPr="001B7656">
              <w:rPr>
                <w:lang w:val="en-GB"/>
              </w:rPr>
              <w:t>Input</w:t>
            </w:r>
          </w:p>
        </w:tc>
        <w:tc>
          <w:tcPr>
            <w:tcW w:w="1701" w:type="dxa"/>
            <w:tcBorders>
              <w:top w:val="single" w:sz="12" w:space="0" w:color="008000"/>
              <w:bottom w:val="single" w:sz="6" w:space="0" w:color="008000"/>
            </w:tcBorders>
            <w:shd w:val="clear" w:color="auto" w:fill="FFFFFF"/>
          </w:tcPr>
          <w:p w14:paraId="21E46D1C" w14:textId="601D841A" w:rsidR="002D1BBE" w:rsidRPr="001B7656" w:rsidRDefault="002D1BBE" w:rsidP="006F70A9">
            <w:pPr>
              <w:pStyle w:val="CETBodytext"/>
              <w:rPr>
                <w:lang w:val="en-GB"/>
              </w:rPr>
            </w:pPr>
            <w:r w:rsidRPr="001B7656">
              <w:rPr>
                <w:lang w:val="en-GB"/>
              </w:rPr>
              <w:t>Output</w:t>
            </w:r>
          </w:p>
        </w:tc>
        <w:tc>
          <w:tcPr>
            <w:tcW w:w="3855" w:type="dxa"/>
            <w:tcBorders>
              <w:top w:val="single" w:sz="12" w:space="0" w:color="008000"/>
              <w:bottom w:val="single" w:sz="6" w:space="0" w:color="008000"/>
            </w:tcBorders>
            <w:shd w:val="clear" w:color="auto" w:fill="FFFFFF"/>
          </w:tcPr>
          <w:p w14:paraId="090D75F8" w14:textId="01EDDE83" w:rsidR="002D1BBE" w:rsidRPr="001B7656" w:rsidRDefault="002D1BBE" w:rsidP="006F70A9">
            <w:pPr>
              <w:pStyle w:val="CETBodytext"/>
              <w:ind w:right="-1"/>
              <w:rPr>
                <w:rFonts w:cs="Arial"/>
                <w:szCs w:val="18"/>
                <w:lang w:val="en-GB"/>
              </w:rPr>
            </w:pPr>
            <w:r w:rsidRPr="001B7656">
              <w:rPr>
                <w:rFonts w:cs="Arial"/>
                <w:szCs w:val="18"/>
                <w:lang w:val="en-GB"/>
              </w:rPr>
              <w:t>Description</w:t>
            </w:r>
          </w:p>
        </w:tc>
      </w:tr>
      <w:tr w:rsidR="0055429B" w:rsidRPr="001B7656" w14:paraId="28293F8A" w14:textId="77777777" w:rsidTr="0055429B">
        <w:tc>
          <w:tcPr>
            <w:tcW w:w="624" w:type="dxa"/>
            <w:shd w:val="clear" w:color="auto" w:fill="FFFFFF"/>
          </w:tcPr>
          <w:p w14:paraId="7B67D913" w14:textId="04801394" w:rsidR="002D1BBE" w:rsidRPr="001B7656" w:rsidRDefault="002D1BBE" w:rsidP="006F70A9">
            <w:pPr>
              <w:pStyle w:val="CETBodytext"/>
              <w:rPr>
                <w:lang w:val="en-GB"/>
              </w:rPr>
            </w:pPr>
            <w:r w:rsidRPr="001B7656">
              <w:rPr>
                <w:lang w:val="en-GB"/>
              </w:rPr>
              <w:t>0</w:t>
            </w:r>
          </w:p>
        </w:tc>
        <w:tc>
          <w:tcPr>
            <w:tcW w:w="2551" w:type="dxa"/>
            <w:shd w:val="clear" w:color="auto" w:fill="FFFFFF"/>
          </w:tcPr>
          <w:p w14:paraId="59FFAF14" w14:textId="2EFA90EF" w:rsidR="002D1BBE" w:rsidRPr="001B7656" w:rsidRDefault="002D1BBE" w:rsidP="002D1BBE">
            <w:pPr>
              <w:pStyle w:val="CETBodytext"/>
              <w:jc w:val="left"/>
              <w:rPr>
                <w:lang w:val="en-GB"/>
              </w:rPr>
            </w:pPr>
            <w:r w:rsidRPr="001B7656">
              <w:rPr>
                <w:lang w:val="en-GB"/>
              </w:rPr>
              <w:t>Input to conventional bow-tie technique</w:t>
            </w:r>
          </w:p>
        </w:tc>
        <w:tc>
          <w:tcPr>
            <w:tcW w:w="1701" w:type="dxa"/>
            <w:shd w:val="clear" w:color="auto" w:fill="FFFFFF"/>
          </w:tcPr>
          <w:p w14:paraId="40EC71CD" w14:textId="71ECC03F" w:rsidR="002D1BBE" w:rsidRPr="001B7656" w:rsidRDefault="002D1BBE" w:rsidP="002D1BBE">
            <w:pPr>
              <w:pStyle w:val="CETBodytext"/>
              <w:jc w:val="left"/>
              <w:rPr>
                <w:lang w:val="en-GB"/>
              </w:rPr>
            </w:pPr>
            <w:r w:rsidRPr="001B7656">
              <w:rPr>
                <w:lang w:val="en-GB"/>
              </w:rPr>
              <w:t>Generic bow-ties describing potential accident scenarios</w:t>
            </w:r>
          </w:p>
        </w:tc>
        <w:tc>
          <w:tcPr>
            <w:tcW w:w="3855" w:type="dxa"/>
            <w:shd w:val="clear" w:color="auto" w:fill="FFFFFF"/>
          </w:tcPr>
          <w:p w14:paraId="49D68FA7" w14:textId="3617D1E9" w:rsidR="002D1BBE" w:rsidRPr="001B7656" w:rsidRDefault="002D1BBE" w:rsidP="002D1BBE">
            <w:pPr>
              <w:pStyle w:val="CETBodytext"/>
              <w:ind w:right="-1"/>
              <w:jc w:val="left"/>
              <w:rPr>
                <w:rFonts w:cs="Arial"/>
                <w:szCs w:val="18"/>
                <w:lang w:val="en-GB"/>
              </w:rPr>
            </w:pPr>
            <w:r w:rsidRPr="001B7656">
              <w:rPr>
                <w:rFonts w:cs="Arial"/>
                <w:szCs w:val="18"/>
                <w:lang w:val="en-GB"/>
              </w:rPr>
              <w:t xml:space="preserve">DyPASI needs a preliminary application of the </w:t>
            </w:r>
            <w:r w:rsidR="006667BE" w:rsidRPr="001B7656">
              <w:rPr>
                <w:rFonts w:cs="Arial"/>
                <w:szCs w:val="18"/>
                <w:lang w:val="en-GB"/>
              </w:rPr>
              <w:t>c</w:t>
            </w:r>
            <w:r w:rsidRPr="001B7656">
              <w:rPr>
                <w:rFonts w:cs="Arial"/>
                <w:szCs w:val="18"/>
                <w:lang w:val="en-GB"/>
              </w:rPr>
              <w:t>onventional bow-tie technique to identify relevant critical events</w:t>
            </w:r>
          </w:p>
        </w:tc>
      </w:tr>
      <w:tr w:rsidR="0055429B" w:rsidRPr="001B7656" w14:paraId="11AF43E2" w14:textId="77777777" w:rsidTr="0055429B">
        <w:tc>
          <w:tcPr>
            <w:tcW w:w="624" w:type="dxa"/>
            <w:shd w:val="clear" w:color="auto" w:fill="FFFFFF"/>
          </w:tcPr>
          <w:p w14:paraId="51775DC9" w14:textId="407BCEE9" w:rsidR="002D1BBE" w:rsidRPr="001B7656" w:rsidRDefault="002D1BBE" w:rsidP="006F70A9">
            <w:pPr>
              <w:pStyle w:val="CETBodytext"/>
              <w:rPr>
                <w:lang w:val="en-GB"/>
              </w:rPr>
            </w:pPr>
            <w:r w:rsidRPr="001B7656">
              <w:rPr>
                <w:lang w:val="en-GB"/>
              </w:rPr>
              <w:t>1</w:t>
            </w:r>
          </w:p>
        </w:tc>
        <w:tc>
          <w:tcPr>
            <w:tcW w:w="2551" w:type="dxa"/>
            <w:shd w:val="clear" w:color="auto" w:fill="FFFFFF"/>
          </w:tcPr>
          <w:p w14:paraId="5DB9FB86" w14:textId="41762C2E" w:rsidR="002D1BBE" w:rsidRPr="001B7656" w:rsidRDefault="002D1BBE" w:rsidP="002D1BBE">
            <w:pPr>
              <w:pStyle w:val="CETBodytext"/>
              <w:jc w:val="left"/>
              <w:rPr>
                <w:lang w:val="en-GB"/>
              </w:rPr>
            </w:pPr>
            <w:r w:rsidRPr="001B7656">
              <w:rPr>
                <w:lang w:val="en-GB"/>
              </w:rPr>
              <w:t>Information from accident databases</w:t>
            </w:r>
          </w:p>
          <w:p w14:paraId="6B55BAE3" w14:textId="59B20EC7" w:rsidR="002D1BBE" w:rsidRPr="001B7656" w:rsidRDefault="002D1BBE" w:rsidP="002D1BBE">
            <w:pPr>
              <w:pStyle w:val="CETBodytext"/>
              <w:jc w:val="left"/>
              <w:rPr>
                <w:lang w:val="en-GB"/>
              </w:rPr>
            </w:pPr>
            <w:r w:rsidRPr="001B7656">
              <w:rPr>
                <w:lang w:val="en-GB"/>
              </w:rPr>
              <w:t>and dedicated search systems</w:t>
            </w:r>
          </w:p>
        </w:tc>
        <w:tc>
          <w:tcPr>
            <w:tcW w:w="1701" w:type="dxa"/>
            <w:shd w:val="clear" w:color="auto" w:fill="FFFFFF"/>
          </w:tcPr>
          <w:p w14:paraId="52EF929F" w14:textId="1507F435" w:rsidR="002D1BBE" w:rsidRPr="001B7656" w:rsidRDefault="002D1BBE" w:rsidP="002D1BBE">
            <w:pPr>
              <w:pStyle w:val="CETBodytext"/>
              <w:jc w:val="left"/>
              <w:rPr>
                <w:lang w:val="en-GB"/>
              </w:rPr>
            </w:pPr>
            <w:r w:rsidRPr="001B7656">
              <w:rPr>
                <w:lang w:val="en-GB"/>
              </w:rPr>
              <w:t>Risk notions on undetected potential hazards</w:t>
            </w:r>
          </w:p>
        </w:tc>
        <w:tc>
          <w:tcPr>
            <w:tcW w:w="3855" w:type="dxa"/>
            <w:shd w:val="clear" w:color="auto" w:fill="FFFFFF"/>
          </w:tcPr>
          <w:p w14:paraId="4BD8B6DA" w14:textId="7D4484AC" w:rsidR="002D1BBE" w:rsidRPr="001B7656" w:rsidRDefault="002D1BBE" w:rsidP="002D1BBE">
            <w:pPr>
              <w:pStyle w:val="CETBodytext"/>
              <w:ind w:right="-1"/>
              <w:jc w:val="left"/>
              <w:rPr>
                <w:rFonts w:cs="Arial"/>
                <w:szCs w:val="18"/>
                <w:lang w:val="en-GB"/>
              </w:rPr>
            </w:pPr>
            <w:r w:rsidRPr="001B7656">
              <w:rPr>
                <w:rFonts w:cs="Arial"/>
                <w:szCs w:val="18"/>
                <w:lang w:val="en-GB"/>
              </w:rPr>
              <w:t>A search for relevant information concerning hazards that may have not been considered in conventional bow-tie development is performed</w:t>
            </w:r>
          </w:p>
        </w:tc>
      </w:tr>
      <w:tr w:rsidR="0055429B" w:rsidRPr="001B7656" w14:paraId="03293274" w14:textId="77777777" w:rsidTr="0055429B">
        <w:tc>
          <w:tcPr>
            <w:tcW w:w="624" w:type="dxa"/>
            <w:shd w:val="clear" w:color="auto" w:fill="FFFFFF"/>
          </w:tcPr>
          <w:p w14:paraId="0BCBFF95" w14:textId="68BD98AF" w:rsidR="002D1BBE" w:rsidRPr="001B7656" w:rsidRDefault="002D1BBE" w:rsidP="006F70A9">
            <w:pPr>
              <w:pStyle w:val="CETBodytext"/>
              <w:rPr>
                <w:lang w:val="en-GB"/>
              </w:rPr>
            </w:pPr>
            <w:r w:rsidRPr="001B7656">
              <w:rPr>
                <w:lang w:val="en-GB"/>
              </w:rPr>
              <w:t>2</w:t>
            </w:r>
          </w:p>
        </w:tc>
        <w:tc>
          <w:tcPr>
            <w:tcW w:w="2551" w:type="dxa"/>
            <w:shd w:val="clear" w:color="auto" w:fill="FFFFFF"/>
          </w:tcPr>
          <w:p w14:paraId="2C18BFBC" w14:textId="5A769F58" w:rsidR="002D1BBE" w:rsidRPr="001B7656" w:rsidRDefault="002D1BBE" w:rsidP="002D1BBE">
            <w:pPr>
              <w:pStyle w:val="CETBodytext"/>
              <w:jc w:val="left"/>
              <w:rPr>
                <w:lang w:val="en-GB"/>
              </w:rPr>
            </w:pPr>
            <w:r w:rsidRPr="001B7656">
              <w:rPr>
                <w:lang w:val="en-GB"/>
              </w:rPr>
              <w:t>Risk notions from step 1</w:t>
            </w:r>
          </w:p>
        </w:tc>
        <w:tc>
          <w:tcPr>
            <w:tcW w:w="1701" w:type="dxa"/>
            <w:shd w:val="clear" w:color="auto" w:fill="FFFFFF"/>
          </w:tcPr>
          <w:p w14:paraId="4C806983" w14:textId="3AB5BAA1" w:rsidR="002D1BBE" w:rsidRPr="001B7656" w:rsidRDefault="002D1BBE" w:rsidP="002D1BBE">
            <w:pPr>
              <w:pStyle w:val="CETBodytext"/>
              <w:jc w:val="left"/>
              <w:rPr>
                <w:lang w:val="en-GB"/>
              </w:rPr>
            </w:pPr>
            <w:r w:rsidRPr="001B7656">
              <w:rPr>
                <w:lang w:val="en-GB"/>
              </w:rPr>
              <w:t>Early warnings triggering further analysis</w:t>
            </w:r>
          </w:p>
        </w:tc>
        <w:tc>
          <w:tcPr>
            <w:tcW w:w="3855" w:type="dxa"/>
            <w:shd w:val="clear" w:color="auto" w:fill="FFFFFF"/>
          </w:tcPr>
          <w:p w14:paraId="755C94BD" w14:textId="6D17E162" w:rsidR="002D1BBE" w:rsidRPr="001B7656" w:rsidRDefault="002D1BBE" w:rsidP="002D1BBE">
            <w:pPr>
              <w:pStyle w:val="CETBodytext"/>
              <w:ind w:right="-1"/>
              <w:jc w:val="left"/>
              <w:rPr>
                <w:rFonts w:cs="Arial"/>
                <w:szCs w:val="18"/>
                <w:lang w:val="en-GB"/>
              </w:rPr>
            </w:pPr>
            <w:r w:rsidRPr="001B7656">
              <w:rPr>
                <w:rFonts w:cs="Arial"/>
                <w:szCs w:val="18"/>
                <w:lang w:val="en-GB"/>
              </w:rPr>
              <w:t>A determination is made as to whether the data are significant enough to trigger further action and proceed with risk assessment</w:t>
            </w:r>
          </w:p>
        </w:tc>
      </w:tr>
      <w:tr w:rsidR="0055429B" w:rsidRPr="001B7656" w14:paraId="575E62C2" w14:textId="77777777" w:rsidTr="0055429B">
        <w:tc>
          <w:tcPr>
            <w:tcW w:w="624" w:type="dxa"/>
            <w:shd w:val="clear" w:color="auto" w:fill="FFFFFF"/>
          </w:tcPr>
          <w:p w14:paraId="5E812DEF" w14:textId="4508C40C" w:rsidR="002D1BBE" w:rsidRPr="001B7656" w:rsidRDefault="002D1BBE" w:rsidP="006F70A9">
            <w:pPr>
              <w:pStyle w:val="CETBodytext"/>
              <w:rPr>
                <w:lang w:val="en-GB"/>
              </w:rPr>
            </w:pPr>
            <w:r w:rsidRPr="001B7656">
              <w:rPr>
                <w:lang w:val="en-GB"/>
              </w:rPr>
              <w:t>3</w:t>
            </w:r>
          </w:p>
        </w:tc>
        <w:tc>
          <w:tcPr>
            <w:tcW w:w="2551" w:type="dxa"/>
            <w:shd w:val="clear" w:color="auto" w:fill="FFFFFF"/>
          </w:tcPr>
          <w:p w14:paraId="1CCC0099" w14:textId="1E806ABB" w:rsidR="002D1BBE" w:rsidRPr="001B7656" w:rsidRDefault="002D1BBE" w:rsidP="002D1BBE">
            <w:pPr>
              <w:pStyle w:val="CETBodytext"/>
              <w:jc w:val="left"/>
              <w:rPr>
                <w:lang w:val="en-GB"/>
              </w:rPr>
            </w:pPr>
            <w:r w:rsidRPr="001B7656">
              <w:rPr>
                <w:lang w:val="en-GB"/>
              </w:rPr>
              <w:t>Bow-ties from step 0 and early warnings from step 2</w:t>
            </w:r>
          </w:p>
        </w:tc>
        <w:tc>
          <w:tcPr>
            <w:tcW w:w="1701" w:type="dxa"/>
            <w:shd w:val="clear" w:color="auto" w:fill="FFFFFF"/>
          </w:tcPr>
          <w:p w14:paraId="593F9EBC" w14:textId="5DFE9230" w:rsidR="002D1BBE" w:rsidRPr="001B7656" w:rsidRDefault="002D1BBE" w:rsidP="002D1BBE">
            <w:pPr>
              <w:pStyle w:val="CETBodytext"/>
              <w:jc w:val="left"/>
              <w:rPr>
                <w:lang w:val="en-GB"/>
              </w:rPr>
            </w:pPr>
            <w:r w:rsidRPr="001B7656">
              <w:rPr>
                <w:lang w:val="en-GB"/>
              </w:rPr>
              <w:t>Bow-tie diagrams considering also atypical scenarios</w:t>
            </w:r>
          </w:p>
        </w:tc>
        <w:tc>
          <w:tcPr>
            <w:tcW w:w="3855" w:type="dxa"/>
            <w:shd w:val="clear" w:color="auto" w:fill="FFFFFF"/>
          </w:tcPr>
          <w:p w14:paraId="78B97221" w14:textId="762EAD9C" w:rsidR="002D1BBE" w:rsidRPr="001B7656" w:rsidRDefault="002D1BBE" w:rsidP="002D1BBE">
            <w:pPr>
              <w:pStyle w:val="CETBodytext"/>
              <w:ind w:right="-1"/>
              <w:jc w:val="left"/>
              <w:rPr>
                <w:rFonts w:cs="Arial"/>
                <w:szCs w:val="18"/>
                <w:lang w:val="en-GB"/>
              </w:rPr>
            </w:pPr>
            <w:r w:rsidRPr="001B7656">
              <w:rPr>
                <w:rFonts w:cs="Arial"/>
                <w:szCs w:val="18"/>
                <w:lang w:val="en-GB"/>
              </w:rPr>
              <w:t>Atypical scenarios are isolated from the early warnings; cause–consequence chains are built and integrated into the generic bow-ties</w:t>
            </w:r>
          </w:p>
        </w:tc>
      </w:tr>
      <w:tr w:rsidR="0055429B" w:rsidRPr="001B7656" w14:paraId="7EA7E179" w14:textId="77777777" w:rsidTr="0055429B">
        <w:tc>
          <w:tcPr>
            <w:tcW w:w="624" w:type="dxa"/>
            <w:shd w:val="clear" w:color="auto" w:fill="FFFFFF"/>
          </w:tcPr>
          <w:p w14:paraId="5AFF8052" w14:textId="7C55DACB" w:rsidR="002D1BBE" w:rsidRPr="001B7656" w:rsidRDefault="002D1BBE" w:rsidP="006F70A9">
            <w:pPr>
              <w:pStyle w:val="CETBodytext"/>
              <w:rPr>
                <w:lang w:val="en-GB"/>
              </w:rPr>
            </w:pPr>
            <w:r w:rsidRPr="001B7656">
              <w:rPr>
                <w:lang w:val="en-GB"/>
              </w:rPr>
              <w:t>4</w:t>
            </w:r>
          </w:p>
        </w:tc>
        <w:tc>
          <w:tcPr>
            <w:tcW w:w="2551" w:type="dxa"/>
            <w:shd w:val="clear" w:color="auto" w:fill="FFFFFF"/>
          </w:tcPr>
          <w:p w14:paraId="16EAAD72" w14:textId="638B034E" w:rsidR="002D1BBE" w:rsidRPr="001B7656" w:rsidRDefault="002D1BBE" w:rsidP="002D1BBE">
            <w:pPr>
              <w:pStyle w:val="CETBodytext"/>
              <w:jc w:val="left"/>
              <w:rPr>
                <w:lang w:val="en-GB"/>
              </w:rPr>
            </w:pPr>
            <w:r w:rsidRPr="001B7656">
              <w:rPr>
                <w:lang w:val="en-GB"/>
              </w:rPr>
              <w:t>Integrated bow-ties from step 3</w:t>
            </w:r>
          </w:p>
        </w:tc>
        <w:tc>
          <w:tcPr>
            <w:tcW w:w="1701" w:type="dxa"/>
            <w:shd w:val="clear" w:color="auto" w:fill="FFFFFF"/>
          </w:tcPr>
          <w:p w14:paraId="440CB838" w14:textId="28BE050F" w:rsidR="002D1BBE" w:rsidRPr="001B7656" w:rsidRDefault="002D1BBE" w:rsidP="002D1BBE">
            <w:pPr>
              <w:pStyle w:val="CETBodytext"/>
              <w:jc w:val="left"/>
              <w:rPr>
                <w:lang w:val="en-GB"/>
              </w:rPr>
            </w:pPr>
            <w:r w:rsidRPr="001B7656">
              <w:rPr>
                <w:lang w:val="en-GB"/>
              </w:rPr>
              <w:t>Safety barriers for the atypical scenarios</w:t>
            </w:r>
          </w:p>
        </w:tc>
        <w:tc>
          <w:tcPr>
            <w:tcW w:w="3855" w:type="dxa"/>
            <w:shd w:val="clear" w:color="auto" w:fill="FFFFFF"/>
          </w:tcPr>
          <w:p w14:paraId="370412F6" w14:textId="297DFC01" w:rsidR="002D1BBE" w:rsidRPr="001B7656" w:rsidRDefault="002D1BBE" w:rsidP="002D1BBE">
            <w:pPr>
              <w:pStyle w:val="CETBodytext"/>
              <w:ind w:right="-1"/>
              <w:jc w:val="left"/>
              <w:rPr>
                <w:rFonts w:cs="Arial"/>
                <w:szCs w:val="18"/>
                <w:lang w:val="en-GB"/>
              </w:rPr>
            </w:pPr>
            <w:r w:rsidRPr="001B7656">
              <w:rPr>
                <w:rFonts w:cs="Arial"/>
                <w:szCs w:val="18"/>
                <w:lang w:val="en-GB"/>
              </w:rPr>
              <w:t>Safety measures are defined for the atypical scenarios identified</w:t>
            </w:r>
          </w:p>
        </w:tc>
      </w:tr>
    </w:tbl>
    <w:p w14:paraId="6A351E59" w14:textId="109A2A92" w:rsidR="00114703" w:rsidRPr="001B7656" w:rsidRDefault="00114703" w:rsidP="00114703">
      <w:pPr>
        <w:pStyle w:val="CETheadingx"/>
        <w:rPr>
          <w:lang w:val="en-GB"/>
        </w:rPr>
      </w:pPr>
      <w:r w:rsidRPr="001B7656">
        <w:rPr>
          <w:lang w:val="en-GB"/>
        </w:rPr>
        <w:t>LH</w:t>
      </w:r>
      <w:r w:rsidRPr="001B7656">
        <w:rPr>
          <w:vertAlign w:val="subscript"/>
          <w:lang w:val="en-GB"/>
        </w:rPr>
        <w:t>2</w:t>
      </w:r>
      <w:r w:rsidRPr="001B7656">
        <w:rPr>
          <w:lang w:val="en-GB"/>
        </w:rPr>
        <w:t xml:space="preserve"> BLEVE consequence analysis</w:t>
      </w:r>
    </w:p>
    <w:p w14:paraId="7E3892C7" w14:textId="3D3B9478" w:rsidR="0020622B" w:rsidRPr="001B7656" w:rsidRDefault="0020622B" w:rsidP="006667BE">
      <w:pPr>
        <w:pStyle w:val="CETBodytext"/>
        <w:rPr>
          <w:lang w:val="en-GB"/>
        </w:rPr>
      </w:pPr>
      <w:r w:rsidRPr="001B7656">
        <w:rPr>
          <w:lang w:val="en-GB"/>
        </w:rPr>
        <w:t>DyPASI technique can identify different kind of accidental scenarios</w:t>
      </w:r>
      <w:r w:rsidR="00490F9A">
        <w:rPr>
          <w:lang w:val="en-GB"/>
        </w:rPr>
        <w:t xml:space="preserve"> </w:t>
      </w:r>
      <w:r w:rsidR="00490F9A" w:rsidRPr="001B7656">
        <w:rPr>
          <w:lang w:val="en-GB"/>
        </w:rPr>
        <w:t>consequences</w:t>
      </w:r>
      <w:r w:rsidRPr="001B7656">
        <w:rPr>
          <w:lang w:val="en-GB"/>
        </w:rPr>
        <w:t xml:space="preserve"> but other tools</w:t>
      </w:r>
      <w:r w:rsidR="003C1978">
        <w:rPr>
          <w:lang w:val="en-GB"/>
        </w:rPr>
        <w:t xml:space="preserve"> are needed</w:t>
      </w:r>
      <w:r w:rsidRPr="001B7656">
        <w:rPr>
          <w:lang w:val="en-GB"/>
        </w:rPr>
        <w:t xml:space="preserve"> to estimate these consequences. Hence, a </w:t>
      </w:r>
      <w:r w:rsidR="00E11647">
        <w:rPr>
          <w:lang w:val="en-GB"/>
        </w:rPr>
        <w:t xml:space="preserve">study on </w:t>
      </w:r>
      <w:r w:rsidRPr="001B7656">
        <w:rPr>
          <w:lang w:val="en-GB"/>
        </w:rPr>
        <w:t>LH</w:t>
      </w:r>
      <w:r w:rsidRPr="001B7656">
        <w:rPr>
          <w:vertAlign w:val="subscript"/>
          <w:lang w:val="en-GB"/>
        </w:rPr>
        <w:t>2</w:t>
      </w:r>
      <w:r w:rsidRPr="001B7656">
        <w:rPr>
          <w:lang w:val="en-GB"/>
        </w:rPr>
        <w:t xml:space="preserve"> BLEVE consequence</w:t>
      </w:r>
      <w:r w:rsidR="00E11647">
        <w:rPr>
          <w:lang w:val="en-GB"/>
        </w:rPr>
        <w:t>s</w:t>
      </w:r>
      <w:r w:rsidRPr="001B7656">
        <w:rPr>
          <w:lang w:val="en-GB"/>
        </w:rPr>
        <w:t xml:space="preserve"> has been carried out.</w:t>
      </w:r>
    </w:p>
    <w:p w14:paraId="343C06C9" w14:textId="7A067737" w:rsidR="006667BE" w:rsidRPr="001B7656" w:rsidRDefault="006F70A9" w:rsidP="006667BE">
      <w:pPr>
        <w:pStyle w:val="CETBodytext"/>
        <w:rPr>
          <w:lang w:val="en-GB"/>
        </w:rPr>
      </w:pPr>
      <w:r w:rsidRPr="001B7656">
        <w:rPr>
          <w:lang w:val="en-GB"/>
        </w:rPr>
        <w:t>The BLEVE consequences are the overpressure of the blast wave, the missiles (debrides formed after the vessel rupture) that fly away owing the explosion and the thermal radiation</w:t>
      </w:r>
      <w:r w:rsidR="00F40DC9">
        <w:rPr>
          <w:lang w:val="en-GB"/>
        </w:rPr>
        <w:t>,</w:t>
      </w:r>
      <w:r w:rsidRPr="001B7656">
        <w:rPr>
          <w:lang w:val="en-GB"/>
        </w:rPr>
        <w:t xml:space="preserve"> if a fireball occur due to an ignition source outside the tank, such as fire</w:t>
      </w:r>
      <w:r w:rsidR="005B4243">
        <w:rPr>
          <w:lang w:val="en-GB"/>
        </w:rPr>
        <w:t xml:space="preserve"> </w:t>
      </w:r>
      <w:r w:rsidR="005B4243">
        <w:rPr>
          <w:lang w:val="en-GB"/>
        </w:rPr>
        <w:fldChar w:fldCharType="begin" w:fldLock="1"/>
      </w:r>
      <w:r w:rsidR="00170D97">
        <w:rPr>
          <w:lang w:val="en-GB"/>
        </w:rPr>
        <w:instrText>ADDIN CSL_CITATION {"citationItems":[{"id":"ITEM-1","itemData":{"author":[{"dropping-particle":"","family":"Casal","given":"Joaquim","non-dropping-particle":"","parse-names":false,"suffix":""}],"container-title":"Evaluation of the Effects and Consequences of Major Accidents in Industrial Plants","editor":[{"dropping-particle":"","family":"Casal","given":"Joaquim","non-dropping-particle":"","parse-names":false,"suffix":""}],"id":"ITEM-1","issued":{"date-parts":[["2008"]]},"page":"147-193","title":"BLEVEs and vessel explosions","type":"chapter"},"uris":["http://www.mendeley.com/documents/?uuid=b7298fa4-4b87-4247-9c69-3da70d00f7a1"]}],"mendeley":{"formattedCitation":"(Casal, 2008)","plainTextFormattedCitation":"(Casal, 2008)","previouslyFormattedCitation":"(Casal, 2008)"},"properties":{"noteIndex":0},"schema":"https://github.com/citation-style-language/schema/raw/master/csl-citation.json"}</w:instrText>
      </w:r>
      <w:r w:rsidR="005B4243">
        <w:rPr>
          <w:lang w:val="en-GB"/>
        </w:rPr>
        <w:fldChar w:fldCharType="separate"/>
      </w:r>
      <w:r w:rsidR="005B4243" w:rsidRPr="005B4243">
        <w:rPr>
          <w:noProof/>
          <w:lang w:val="en-GB"/>
        </w:rPr>
        <w:t>(Casal, 2008)</w:t>
      </w:r>
      <w:r w:rsidR="005B4243">
        <w:rPr>
          <w:lang w:val="en-GB"/>
        </w:rPr>
        <w:fldChar w:fldCharType="end"/>
      </w:r>
      <w:r w:rsidRPr="001B7656">
        <w:rPr>
          <w:lang w:val="en-GB"/>
        </w:rPr>
        <w:t xml:space="preserve">. </w:t>
      </w:r>
      <w:r w:rsidR="006667BE" w:rsidRPr="001B7656">
        <w:rPr>
          <w:lang w:val="en-GB"/>
        </w:rPr>
        <w:t xml:space="preserve">In this study, only the evaluation of the overpressure of the </w:t>
      </w:r>
      <w:r w:rsidR="0020622B" w:rsidRPr="001B7656">
        <w:rPr>
          <w:lang w:val="en-GB"/>
        </w:rPr>
        <w:t>blast wave</w:t>
      </w:r>
      <w:r w:rsidR="006667BE" w:rsidRPr="001B7656">
        <w:rPr>
          <w:lang w:val="en-GB"/>
        </w:rPr>
        <w:t xml:space="preserve"> ha</w:t>
      </w:r>
      <w:r w:rsidR="0020622B" w:rsidRPr="001B7656">
        <w:rPr>
          <w:lang w:val="en-GB"/>
        </w:rPr>
        <w:t>s</w:t>
      </w:r>
      <w:r w:rsidR="006667BE" w:rsidRPr="001B7656">
        <w:rPr>
          <w:lang w:val="en-GB"/>
        </w:rPr>
        <w:t xml:space="preserve"> been considered.</w:t>
      </w:r>
    </w:p>
    <w:p w14:paraId="7DDD26DB" w14:textId="3B4686E5" w:rsidR="006667BE" w:rsidRPr="001F11DE" w:rsidRDefault="006667BE" w:rsidP="006667BE">
      <w:pPr>
        <w:pStyle w:val="CETBodytext"/>
        <w:rPr>
          <w:lang w:val="en-GB"/>
        </w:rPr>
      </w:pPr>
      <w:r w:rsidRPr="001B7656">
        <w:rPr>
          <w:lang w:val="en-GB"/>
        </w:rPr>
        <w:t xml:space="preserve">The superheat limit temperature theory </w:t>
      </w:r>
      <w:r w:rsidR="00380768">
        <w:rPr>
          <w:lang w:val="en-GB"/>
        </w:rPr>
        <w:fldChar w:fldCharType="begin" w:fldLock="1"/>
      </w:r>
      <w:r w:rsidR="00F050B5">
        <w:rPr>
          <w:lang w:val="en-GB"/>
        </w:rPr>
        <w:instrText>ADDIN CSL_CITATION {"citationItems":[{"id":"ITEM-1","itemData":{"DOI":"10.1126/science.203.4386.1263","author":[{"dropping-particle":"","family":"Reid","given":"Robert","non-dropping-particle":"","parse-names":false,"suffix":""}],"container-title":"Science","id":"ITEM-1","issue":"4386","issued":{"date-parts":[["1979"]]},"page":"1263-1265","title":"Possible Mechanism for Pressurized-Liquid Tank Explosions or BLEVE's","type":"article-journal","volume":"203"},"uris":["http://www.mendeley.com/documents/?uuid=4375e1bd-bb7c-4864-a962-00a07a56bdf2"]}],"mendeley":{"formattedCitation":"(Reid, 1979)","plainTextFormattedCitation":"(Reid, 1979)","previouslyFormattedCitation":"(Reid, 1979)"},"properties":{"noteIndex":0},"schema":"https://github.com/citation-style-language/schema/raw/master/csl-citation.json"}</w:instrText>
      </w:r>
      <w:r w:rsidR="00380768">
        <w:rPr>
          <w:lang w:val="en-GB"/>
        </w:rPr>
        <w:fldChar w:fldCharType="separate"/>
      </w:r>
      <w:r w:rsidR="00380768" w:rsidRPr="00380768">
        <w:rPr>
          <w:noProof/>
          <w:lang w:val="en-GB"/>
        </w:rPr>
        <w:t>(Reid, 1979)</w:t>
      </w:r>
      <w:r w:rsidR="00380768">
        <w:rPr>
          <w:lang w:val="en-GB"/>
        </w:rPr>
        <w:fldChar w:fldCharType="end"/>
      </w:r>
      <w:r w:rsidRPr="001B7656">
        <w:rPr>
          <w:lang w:val="en-GB"/>
        </w:rPr>
        <w:t xml:space="preserve"> assumes that the liquid contained in the vessel must be superheated, otherwise the yield of the explosion cannot be compared with a BLEVE. To estimate the superheat </w:t>
      </w:r>
      <w:r w:rsidRPr="001F11DE">
        <w:rPr>
          <w:lang w:val="en-GB"/>
        </w:rPr>
        <w:t>temperature of a substance, several formulas have been developed by different authors. One of the most common equation used is the one proposed by Rei</w:t>
      </w:r>
      <w:r w:rsidR="00A642E4" w:rsidRPr="001F11DE">
        <w:rPr>
          <w:lang w:val="en-GB"/>
        </w:rPr>
        <w:t xml:space="preserve">d </w:t>
      </w:r>
      <w:r w:rsidR="00371529" w:rsidRPr="001F11DE">
        <w:rPr>
          <w:lang w:val="en-GB"/>
        </w:rPr>
        <w:fldChar w:fldCharType="begin" w:fldLock="1"/>
      </w:r>
      <w:r w:rsidR="00031201" w:rsidRPr="001F11DE">
        <w:rPr>
          <w:lang w:val="en-GB"/>
        </w:rPr>
        <w:instrText>ADDIN CSL_CITATION {"citationItems":[{"id":"ITEM-1","itemData":{"author":[{"dropping-particle":"","family":"Reid","given":"Robert","non-dropping-particle":"","parse-names":false,"suffix":""}],"container-title":"American Scientist","id":"ITEM-1","issued":{"date-parts":[["1976"]]},"page":"146-156","title":"Superheated Liquids","type":"article-journal","volume":"64"},"uris":["http://www.mendeley.com/documents/?uuid=7b6be113-38f7-4334-b406-6d7dd4441c68"]}],"mendeley":{"formattedCitation":"(Reid, 1976)","plainTextFormattedCitation":"(Reid, 1976)","previouslyFormattedCitation":"(Reid, 1976)"},"properties":{"noteIndex":0},"schema":"https://github.com/citation-style-language/schema/raw/master/csl-citation.json"}</w:instrText>
      </w:r>
      <w:r w:rsidR="00371529" w:rsidRPr="001F11DE">
        <w:rPr>
          <w:lang w:val="en-GB"/>
        </w:rPr>
        <w:fldChar w:fldCharType="separate"/>
      </w:r>
      <w:r w:rsidR="00371529" w:rsidRPr="001F11DE">
        <w:rPr>
          <w:noProof/>
          <w:lang w:val="en-GB"/>
        </w:rPr>
        <w:t>(Reid, 1976)</w:t>
      </w:r>
      <w:r w:rsidR="00371529" w:rsidRPr="001F11DE">
        <w:rPr>
          <w:lang w:val="en-GB"/>
        </w:rPr>
        <w:fldChar w:fldCharType="end"/>
      </w:r>
      <w:r w:rsidRPr="001F11DE">
        <w:rPr>
          <w:lang w:val="en-GB"/>
        </w:rPr>
        <w:t>:</w:t>
      </w:r>
    </w:p>
    <w:tbl>
      <w:tblPr>
        <w:tblW w:w="5000" w:type="pct"/>
        <w:tblLook w:val="04A0" w:firstRow="1" w:lastRow="0" w:firstColumn="1" w:lastColumn="0" w:noHBand="0" w:noVBand="1"/>
      </w:tblPr>
      <w:tblGrid>
        <w:gridCol w:w="7983"/>
        <w:gridCol w:w="804"/>
      </w:tblGrid>
      <w:tr w:rsidR="006667BE" w:rsidRPr="001B7656" w14:paraId="69349DA3" w14:textId="77777777" w:rsidTr="006F70A9">
        <w:tc>
          <w:tcPr>
            <w:tcW w:w="7983" w:type="dxa"/>
            <w:shd w:val="clear" w:color="auto" w:fill="auto"/>
            <w:vAlign w:val="center"/>
          </w:tcPr>
          <w:p w14:paraId="28289798" w14:textId="438B1694" w:rsidR="006667BE" w:rsidRPr="001F11DE" w:rsidRDefault="00A32857" w:rsidP="006F70A9">
            <w:pPr>
              <w:pStyle w:val="CETEquation"/>
              <w:rPr>
                <w:rFonts w:cs="Arial"/>
              </w:rPr>
            </w:pPr>
            <m:oMathPara>
              <m:oMathParaPr>
                <m:jc m:val="left"/>
              </m:oMathParaPr>
              <m:oMath>
                <m:sSub>
                  <m:sSubPr>
                    <m:ctrlPr>
                      <w:rPr>
                        <w:rFonts w:ascii="Cambria Math" w:hAnsi="Cambria Math" w:cs="Arial"/>
                        <w:i/>
                      </w:rPr>
                    </m:ctrlPr>
                  </m:sSubPr>
                  <m:e>
                    <m:r>
                      <w:rPr>
                        <w:rFonts w:ascii="Cambria Math" w:hAnsi="Cambria Math" w:cs="Arial"/>
                      </w:rPr>
                      <m:t>T</m:t>
                    </m:r>
                  </m:e>
                  <m:sub>
                    <m:r>
                      <w:rPr>
                        <w:rFonts w:ascii="Cambria Math" w:hAnsi="Cambria Math" w:cs="Arial"/>
                      </w:rPr>
                      <m:t>shl</m:t>
                    </m:r>
                  </m:sub>
                </m:sSub>
                <m:r>
                  <w:rPr>
                    <w:rFonts w:ascii="Cambria Math" w:hAnsi="Cambria Math" w:cs="Arial"/>
                  </w:rPr>
                  <m:t>=0.895∙</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=29.66 K</m:t>
                </m:r>
              </m:oMath>
            </m:oMathPara>
          </w:p>
        </w:tc>
        <w:tc>
          <w:tcPr>
            <w:tcW w:w="804" w:type="dxa"/>
            <w:shd w:val="clear" w:color="auto" w:fill="auto"/>
            <w:vAlign w:val="center"/>
          </w:tcPr>
          <w:p w14:paraId="384C7BC2" w14:textId="6E021E3F" w:rsidR="006667BE" w:rsidRPr="001B7656" w:rsidRDefault="006667BE" w:rsidP="00605FA2">
            <w:pPr>
              <w:pStyle w:val="CETEquation"/>
              <w:jc w:val="right"/>
            </w:pPr>
            <w:bookmarkStart w:id="4" w:name="_Ref533164013"/>
            <w:r w:rsidRPr="001F11DE">
              <w:t>(</w:t>
            </w:r>
            <w:r w:rsidRPr="001F11DE">
              <w:fldChar w:fldCharType="begin"/>
            </w:r>
            <w:r w:rsidRPr="001F11DE">
              <w:instrText xml:space="preserve"> SEQ ( \* ARABIC </w:instrText>
            </w:r>
            <w:r w:rsidRPr="001F11DE">
              <w:fldChar w:fldCharType="separate"/>
            </w:r>
            <w:r w:rsidR="00844DAD" w:rsidRPr="001F11DE">
              <w:rPr>
                <w:noProof/>
              </w:rPr>
              <w:t>1</w:t>
            </w:r>
            <w:r w:rsidRPr="001F11DE">
              <w:fldChar w:fldCharType="end"/>
            </w:r>
            <w:r w:rsidRPr="001F11DE">
              <w:t>)</w:t>
            </w:r>
            <w:bookmarkEnd w:id="4"/>
          </w:p>
        </w:tc>
      </w:tr>
    </w:tbl>
    <w:p w14:paraId="4F90BF02" w14:textId="1E5BB326" w:rsidR="00167BF8" w:rsidRPr="001B7656" w:rsidRDefault="006667BE" w:rsidP="00167BF8">
      <w:pPr>
        <w:pStyle w:val="CETBodytext"/>
        <w:rPr>
          <w:lang w:val="en-GB"/>
        </w:rPr>
      </w:pPr>
      <w:r w:rsidRPr="001B7656">
        <w:rPr>
          <w:lang w:val="en-GB"/>
        </w:rPr>
        <w:t>Eq</w:t>
      </w:r>
      <w:r w:rsidRPr="001B7656">
        <w:rPr>
          <w:highlight w:val="yellow"/>
          <w:lang w:val="en-GB"/>
        </w:rPr>
        <w:fldChar w:fldCharType="begin"/>
      </w:r>
      <w:r w:rsidRPr="001B7656">
        <w:rPr>
          <w:lang w:val="en-GB"/>
        </w:rPr>
        <w:instrText xml:space="preserve"> REF _Ref533164013 \h </w:instrText>
      </w:r>
      <w:r w:rsidRPr="001B7656">
        <w:rPr>
          <w:highlight w:val="yellow"/>
          <w:lang w:val="en-GB"/>
        </w:rPr>
      </w:r>
      <w:r w:rsidRPr="001B7656">
        <w:rPr>
          <w:highlight w:val="yellow"/>
          <w:lang w:val="en-GB"/>
        </w:rPr>
        <w:fldChar w:fldCharType="separate"/>
      </w:r>
      <w:r w:rsidR="00844DAD" w:rsidRPr="001B7656">
        <w:t>(</w:t>
      </w:r>
      <w:r w:rsidR="00844DAD">
        <w:rPr>
          <w:noProof/>
        </w:rPr>
        <w:t>1</w:t>
      </w:r>
      <w:r w:rsidR="00844DAD" w:rsidRPr="001B7656">
        <w:t>)</w:t>
      </w:r>
      <w:r w:rsidRPr="001B7656">
        <w:rPr>
          <w:highlight w:val="yellow"/>
          <w:lang w:val="en-GB"/>
        </w:rPr>
        <w:fldChar w:fldCharType="end"/>
      </w:r>
      <w:r w:rsidRPr="001B7656">
        <w:rPr>
          <w:lang w:val="en-GB"/>
        </w:rPr>
        <w:t xml:space="preserve"> is a simple formula that depends only on the critical temperature. According to Eq</w:t>
      </w:r>
      <w:r w:rsidRPr="001B7656">
        <w:rPr>
          <w:highlight w:val="yellow"/>
          <w:lang w:val="en-GB"/>
        </w:rPr>
        <w:fldChar w:fldCharType="begin"/>
      </w:r>
      <w:r w:rsidRPr="001B7656">
        <w:rPr>
          <w:lang w:val="en-GB"/>
        </w:rPr>
        <w:instrText xml:space="preserve"> REF _Ref533164013 \h </w:instrText>
      </w:r>
      <w:r w:rsidRPr="001B7656">
        <w:rPr>
          <w:highlight w:val="yellow"/>
          <w:lang w:val="en-GB"/>
        </w:rPr>
      </w:r>
      <w:r w:rsidRPr="001B7656">
        <w:rPr>
          <w:highlight w:val="yellow"/>
          <w:lang w:val="en-GB"/>
        </w:rPr>
        <w:fldChar w:fldCharType="separate"/>
      </w:r>
      <w:r w:rsidR="00844DAD" w:rsidRPr="001B7656">
        <w:t>(</w:t>
      </w:r>
      <w:r w:rsidR="00844DAD">
        <w:rPr>
          <w:noProof/>
        </w:rPr>
        <w:t>1</w:t>
      </w:r>
      <w:r w:rsidR="00844DAD" w:rsidRPr="001B7656">
        <w:t>)</w:t>
      </w:r>
      <w:r w:rsidRPr="001B7656">
        <w:rPr>
          <w:highlight w:val="yellow"/>
          <w:lang w:val="en-GB"/>
        </w:rPr>
        <w:fldChar w:fldCharType="end"/>
      </w:r>
      <w:r w:rsidRPr="001B7656">
        <w:rPr>
          <w:lang w:val="en-GB"/>
        </w:rPr>
        <w:t>, the superheat temperature of hydrogen is 29.66 K. There are other methods to estimate the superheat temperature, but these are</w:t>
      </w:r>
      <w:r w:rsidR="00605FA2">
        <w:rPr>
          <w:lang w:val="en-GB"/>
        </w:rPr>
        <w:t xml:space="preserve"> more</w:t>
      </w:r>
      <w:r w:rsidRPr="001B7656">
        <w:rPr>
          <w:lang w:val="en-GB"/>
        </w:rPr>
        <w:t xml:space="preserve"> conservative. Casal et al. </w:t>
      </w:r>
      <w:r w:rsidR="005B4243">
        <w:rPr>
          <w:lang w:val="en-GB"/>
        </w:rPr>
        <w:fldChar w:fldCharType="begin" w:fldLock="1"/>
      </w:r>
      <w:r w:rsidR="00170D97">
        <w:rPr>
          <w:lang w:val="en-GB"/>
        </w:rPr>
        <w:instrText>ADDIN CSL_CITATION {"citationItems":[{"id":"ITEM-1","itemData":{"DOI":"10.1016/j.jlp.2015.12.001","author":[{"dropping-particle":"","family":"Casal","given":"Joaquim","non-dropping-particle":"","parse-names":false,"suffix":""},{"dropping-particle":"","family":"Hemmatian","given":"B.","non-dropping-particle":"","parse-names":false,"suffix":""},{"dropping-particle":"","family":"Planas","given":"E.","non-dropping-particle":"","parse-names":false,"suffix":""}],"container-title":"Journal of Loss Prevention in the Process Industries","id":"ITEM-1","issued":{"date-parts":[["2016"]]},"page":"81","title":"On BLEVE definition, the significance of superheat limit temperature (Tsl) and LNG BLEVE's","type":"article-journal","volume":"40"},"uris":["http://www.mendeley.com/documents/?uuid=72c0af50-6446-4901-908a-422e8bf8f948"]}],"mendeley":{"formattedCitation":"(Casal et al., 2016)","plainTextFormattedCitation":"(Casal et al., 2016)","previouslyFormattedCitation":"(Casal et al., 2016)"},"properties":{"noteIndex":0},"schema":"https://github.com/citation-style-language/schema/raw/master/csl-citation.json"}</w:instrText>
      </w:r>
      <w:r w:rsidR="005B4243">
        <w:rPr>
          <w:lang w:val="en-GB"/>
        </w:rPr>
        <w:fldChar w:fldCharType="separate"/>
      </w:r>
      <w:r w:rsidR="00170D97" w:rsidRPr="00170D97">
        <w:rPr>
          <w:noProof/>
          <w:lang w:val="en-GB"/>
        </w:rPr>
        <w:t>(Casal et al., 2016)</w:t>
      </w:r>
      <w:r w:rsidR="005B4243">
        <w:rPr>
          <w:lang w:val="en-GB"/>
        </w:rPr>
        <w:fldChar w:fldCharType="end"/>
      </w:r>
      <w:r w:rsidRPr="001B7656">
        <w:rPr>
          <w:lang w:val="en-GB"/>
        </w:rPr>
        <w:t xml:space="preserve"> explained that this theory is valid at small scale but not at large scale where there is always a non-homogeneous distribution of the heat in and around the vessel. Nevertheless, the superheat limit temperature is an important parameter </w:t>
      </w:r>
      <w:r w:rsidRPr="00605FA2">
        <w:rPr>
          <w:lang w:val="en-GB"/>
        </w:rPr>
        <w:t>because at this temperature the adiabatic energy transfer between the liquid and vapor interface is maximum</w:t>
      </w:r>
      <w:r w:rsidRPr="001B7656">
        <w:rPr>
          <w:lang w:val="en-GB"/>
        </w:rPr>
        <w:t xml:space="preserve"> </w:t>
      </w:r>
      <w:r w:rsidR="00031201">
        <w:rPr>
          <w:lang w:val="en-GB"/>
        </w:rPr>
        <w:fldChar w:fldCharType="begin" w:fldLock="1"/>
      </w:r>
      <w:r w:rsidR="008D79B3">
        <w:rPr>
          <w:lang w:val="en-GB"/>
        </w:rPr>
        <w:instrText>ADDIN CSL_CITATION {"citationItems":[{"id":"ITEM-1","itemData":{"DOI":"10.1016/j.jlp.2006.04.004","abstract":"Several methods proposed for calculating the value of the superheat limit temperature were analysed. The results obtained indicate that the procedures based on the thermodynamic stability approach introduce a significant uncertainty into the final values, depending on which equation of state is used. We propose a new approach based on the energy balance in the initial liquid mass just before the explosion. The temperature obtained using this method, Tsl−E, corresponds to the situation in which the energy transferred adiabatically between the cooling liquid and the vaporising liquid fractions is at its maximum. This leads to a minimum content of energy in the remaining liquid. Although these two approaches are equivalent—the procedures based on the thermodynamic stability approach use also the minimum energy state as a criterion—the new proposed method only uses the properties of the substance to obtain Tsl−E. Thus, Tsl−E represents the behaviour of each substance as a function of its molecular structure, while this influence is lost if a simple equation of state is used. Finally, some considerations are made on the limitations of the superheat limit temperature as a criterion for establishing whether an explosion is or is not a BLEVE.","author":[{"dropping-particle":"","family":"Salla","given":"J. M.","non-dropping-particle":"","parse-names":false,"suffix":""},{"dropping-particle":"","family":"Demichela","given":"M.","non-dropping-particle":"","parse-names":false,"suffix":""},{"dropping-particle":"","family":"Casal","given":"J.","non-dropping-particle":"","parse-names":false,"suffix":""}],"container-title":"Journal of Loss Prevention in the Process Industries","id":"ITEM-1","issue":"6","issued":{"date-parts":[["2006"]]},"page":"690-700","title":"BLEVE: A new approach to the superheat limit temperature","type":"article-journal","volume":"19"},"uris":["http://www.mendeley.com/documents/?uuid=a1e54fab-d673-46df-afda-33fc7791e6ad"]}],"mendeley":{"formattedCitation":"(Salla et al., 2006)","plainTextFormattedCitation":"(Salla et al., 2006)","previouslyFormattedCitation":"(Salla et al., 2006)"},"properties":{"noteIndex":0},"schema":"https://github.com/citation-style-language/schema/raw/master/csl-citation.json"}</w:instrText>
      </w:r>
      <w:r w:rsidR="00031201">
        <w:rPr>
          <w:lang w:val="en-GB"/>
        </w:rPr>
        <w:fldChar w:fldCharType="separate"/>
      </w:r>
      <w:r w:rsidR="00031201" w:rsidRPr="00031201">
        <w:rPr>
          <w:noProof/>
          <w:lang w:val="en-GB"/>
        </w:rPr>
        <w:t>(Salla et al., 2006)</w:t>
      </w:r>
      <w:r w:rsidR="00031201">
        <w:rPr>
          <w:lang w:val="en-GB"/>
        </w:rPr>
        <w:fldChar w:fldCharType="end"/>
      </w:r>
      <w:r w:rsidRPr="001B7656">
        <w:rPr>
          <w:lang w:val="en-GB"/>
        </w:rPr>
        <w:t>.</w:t>
      </w:r>
      <w:r w:rsidR="006F70A9" w:rsidRPr="001B7656">
        <w:rPr>
          <w:lang w:val="en-GB"/>
        </w:rPr>
        <w:t xml:space="preserve"> </w:t>
      </w:r>
      <w:r w:rsidRPr="001B7656">
        <w:rPr>
          <w:lang w:val="en-GB"/>
        </w:rPr>
        <w:t>In this study, the input</w:t>
      </w:r>
      <w:r w:rsidR="006E6DE1">
        <w:rPr>
          <w:lang w:val="en-GB"/>
        </w:rPr>
        <w:t>s</w:t>
      </w:r>
      <w:r w:rsidRPr="001B7656">
        <w:rPr>
          <w:lang w:val="en-GB"/>
        </w:rPr>
        <w:t xml:space="preserve"> for the estimation of the consequence analysis have been chosen in order to reach a temperature higher than 29.7 K inside the tank.</w:t>
      </w:r>
      <w:r w:rsidR="006F70A9" w:rsidRPr="001B7656">
        <w:rPr>
          <w:lang w:val="en-GB"/>
        </w:rPr>
        <w:t xml:space="preserve"> Furthermore, a correlation between the hydrogen mass</w:t>
      </w:r>
      <w:r w:rsidR="00246FBD" w:rsidRPr="001B7656">
        <w:rPr>
          <w:lang w:val="en-GB"/>
        </w:rPr>
        <w:t xml:space="preserve"> contained in the tank, its pressure</w:t>
      </w:r>
      <w:r w:rsidR="006F70A9" w:rsidRPr="001B7656">
        <w:rPr>
          <w:lang w:val="en-GB"/>
        </w:rPr>
        <w:t xml:space="preserve"> </w:t>
      </w:r>
      <w:r w:rsidR="00246FBD" w:rsidRPr="001B7656">
        <w:rPr>
          <w:lang w:val="en-GB"/>
        </w:rPr>
        <w:t>and the yield of the LH</w:t>
      </w:r>
      <w:r w:rsidR="00246FBD" w:rsidRPr="001B7656">
        <w:rPr>
          <w:vertAlign w:val="subscript"/>
          <w:lang w:val="en-GB"/>
        </w:rPr>
        <w:t>2</w:t>
      </w:r>
      <w:r w:rsidR="00246FBD" w:rsidRPr="001B7656">
        <w:rPr>
          <w:lang w:val="en-GB"/>
        </w:rPr>
        <w:t xml:space="preserve"> BLEVE has been </w:t>
      </w:r>
      <w:r w:rsidR="002B7586">
        <w:rPr>
          <w:lang w:val="en-GB"/>
        </w:rPr>
        <w:t>searched</w:t>
      </w:r>
      <w:r w:rsidR="00246FBD" w:rsidRPr="001B7656">
        <w:rPr>
          <w:lang w:val="en-GB"/>
        </w:rPr>
        <w:t xml:space="preserve">. </w:t>
      </w:r>
      <w:r w:rsidR="00167BF8" w:rsidRPr="001B7656">
        <w:rPr>
          <w:lang w:val="en-GB"/>
        </w:rPr>
        <w:t>The mass</w:t>
      </w:r>
      <w:r w:rsidR="00246FBD" w:rsidRPr="001B7656">
        <w:rPr>
          <w:lang w:val="en-GB"/>
        </w:rPr>
        <w:t xml:space="preserve"> and pressure</w:t>
      </w:r>
      <w:r w:rsidR="00167BF8" w:rsidRPr="001B7656">
        <w:rPr>
          <w:lang w:val="en-GB"/>
        </w:rPr>
        <w:t xml:space="preserve"> of hydrogen </w:t>
      </w:r>
      <w:r w:rsidR="00246FBD" w:rsidRPr="001B7656">
        <w:rPr>
          <w:lang w:val="en-GB"/>
        </w:rPr>
        <w:t>are</w:t>
      </w:r>
      <w:r w:rsidR="00167BF8" w:rsidRPr="001B7656">
        <w:rPr>
          <w:lang w:val="en-GB"/>
        </w:rPr>
        <w:t xml:space="preserve"> operational parameter</w:t>
      </w:r>
      <w:r w:rsidR="00246FBD" w:rsidRPr="001B7656">
        <w:rPr>
          <w:lang w:val="en-GB"/>
        </w:rPr>
        <w:t>s</w:t>
      </w:r>
      <w:r w:rsidR="001B7656" w:rsidRPr="001B7656">
        <w:rPr>
          <w:lang w:val="en-GB"/>
        </w:rPr>
        <w:t xml:space="preserve"> and</w:t>
      </w:r>
      <w:r w:rsidR="00F40DC9">
        <w:rPr>
          <w:lang w:val="en-GB"/>
        </w:rPr>
        <w:t>,</w:t>
      </w:r>
      <w:r w:rsidR="00167BF8" w:rsidRPr="001B7656">
        <w:rPr>
          <w:lang w:val="en-GB"/>
        </w:rPr>
        <w:t xml:space="preserve"> in the case of a storage facility</w:t>
      </w:r>
      <w:r w:rsidR="00F40DC9">
        <w:rPr>
          <w:lang w:val="en-GB"/>
        </w:rPr>
        <w:t>,</w:t>
      </w:r>
      <w:r w:rsidR="00167BF8" w:rsidRPr="001B7656">
        <w:rPr>
          <w:lang w:val="en-GB"/>
        </w:rPr>
        <w:t xml:space="preserve"> </w:t>
      </w:r>
      <w:r w:rsidR="001B7656" w:rsidRPr="001B7656">
        <w:rPr>
          <w:lang w:val="en-GB"/>
        </w:rPr>
        <w:t>they</w:t>
      </w:r>
      <w:r w:rsidR="00167BF8" w:rsidRPr="001B7656">
        <w:rPr>
          <w:lang w:val="en-GB"/>
        </w:rPr>
        <w:t xml:space="preserve"> c</w:t>
      </w:r>
      <w:r w:rsidR="001B7656" w:rsidRPr="001B7656">
        <w:rPr>
          <w:lang w:val="en-GB"/>
        </w:rPr>
        <w:t>an</w:t>
      </w:r>
      <w:r w:rsidR="00167BF8" w:rsidRPr="001B7656">
        <w:rPr>
          <w:lang w:val="en-GB"/>
        </w:rPr>
        <w:t xml:space="preserve"> vary </w:t>
      </w:r>
      <w:r w:rsidR="00F40DC9">
        <w:rPr>
          <w:lang w:val="en-GB"/>
        </w:rPr>
        <w:t>during the</w:t>
      </w:r>
      <w:r w:rsidR="00167BF8" w:rsidRPr="001B7656">
        <w:rPr>
          <w:lang w:val="en-GB"/>
        </w:rPr>
        <w:t xml:space="preserve"> day.</w:t>
      </w:r>
    </w:p>
    <w:p w14:paraId="7EFC9AA5" w14:textId="00E7CEE8" w:rsidR="00167BF8" w:rsidRPr="001B7656" w:rsidRDefault="00F40DC9" w:rsidP="00167BF8">
      <w:pPr>
        <w:pStyle w:val="CETBodytext"/>
        <w:rPr>
          <w:lang w:val="en-GB"/>
        </w:rPr>
      </w:pPr>
      <w:r>
        <w:rPr>
          <w:lang w:val="en-GB"/>
        </w:rPr>
        <w:t>A representative</w:t>
      </w:r>
      <w:r w:rsidRPr="001B7656">
        <w:rPr>
          <w:lang w:val="en-GB"/>
        </w:rPr>
        <w:t xml:space="preserve"> </w:t>
      </w:r>
      <w:r w:rsidR="00167BF8" w:rsidRPr="001B7656">
        <w:rPr>
          <w:lang w:val="en-GB"/>
        </w:rPr>
        <w:t xml:space="preserve">BLEVE consequence analysis has been carried out </w:t>
      </w:r>
      <w:r w:rsidR="001B7656" w:rsidRPr="001B7656">
        <w:rPr>
          <w:lang w:val="en-GB"/>
        </w:rPr>
        <w:t>using</w:t>
      </w:r>
      <w:r w:rsidR="00167BF8" w:rsidRPr="001B7656">
        <w:rPr>
          <w:lang w:val="en-GB"/>
        </w:rPr>
        <w:t xml:space="preserve"> the software PHAST 8.11 developed by DNV-GL. In this software</w:t>
      </w:r>
      <w:r>
        <w:rPr>
          <w:lang w:val="en-GB"/>
        </w:rPr>
        <w:t>, a</w:t>
      </w:r>
      <w:r w:rsidR="00167BF8" w:rsidRPr="001B7656">
        <w:rPr>
          <w:lang w:val="en-GB"/>
        </w:rPr>
        <w:t xml:space="preserve"> BLEVE is simulated as a standalone model, hence the simulation is not time-</w:t>
      </w:r>
      <w:r w:rsidR="001B7656" w:rsidRPr="001B7656">
        <w:rPr>
          <w:lang w:val="en-GB"/>
        </w:rPr>
        <w:t>dependent</w:t>
      </w:r>
      <w:r w:rsidR="00167BF8" w:rsidRPr="001B7656">
        <w:rPr>
          <w:lang w:val="en-GB"/>
        </w:rPr>
        <w:t>. The chosen tank has a volume of 1 m</w:t>
      </w:r>
      <w:r w:rsidR="00167BF8" w:rsidRPr="001B7656">
        <w:rPr>
          <w:vertAlign w:val="superscript"/>
          <w:lang w:val="en-GB"/>
        </w:rPr>
        <w:t>3</w:t>
      </w:r>
      <w:r w:rsidR="00167BF8" w:rsidRPr="001B7656">
        <w:rPr>
          <w:lang w:val="en-GB"/>
        </w:rPr>
        <w:t>, a cylindrical shape with a diameter of 1</w:t>
      </w:r>
      <w:r w:rsidR="001B7656">
        <w:rPr>
          <w:lang w:val="en-GB"/>
        </w:rPr>
        <w:t>.</w:t>
      </w:r>
      <w:r w:rsidR="00167BF8" w:rsidRPr="001B7656">
        <w:rPr>
          <w:lang w:val="en-GB"/>
        </w:rPr>
        <w:t>13 m and 1 m of length. The elevation of the tank is 1 m. The tank contains hydrogen in both phases, liquid and vapour. Three different pressures, 9, 11.9 and 3</w:t>
      </w:r>
      <w:r w:rsidR="008C3396">
        <w:rPr>
          <w:lang w:val="en-GB"/>
        </w:rPr>
        <w:t>1</w:t>
      </w:r>
      <w:r w:rsidR="00167BF8" w:rsidRPr="001B7656">
        <w:rPr>
          <w:lang w:val="en-GB"/>
        </w:rPr>
        <w:t>.2 bar gauge (bar</w:t>
      </w:r>
      <w:r w:rsidR="00167BF8" w:rsidRPr="001B7656">
        <w:rPr>
          <w:vertAlign w:val="subscript"/>
          <w:lang w:val="en-GB"/>
        </w:rPr>
        <w:t>g</w:t>
      </w:r>
      <w:r w:rsidR="00167BF8" w:rsidRPr="001B7656">
        <w:rPr>
          <w:lang w:val="en-GB"/>
        </w:rPr>
        <w:t>) have been chosen to simulate the BLEVE.</w:t>
      </w:r>
      <w:r w:rsidR="00333ED6">
        <w:rPr>
          <w:lang w:val="en-GB"/>
        </w:rPr>
        <w:t xml:space="preserve"> </w:t>
      </w:r>
      <w:r w:rsidR="00167BF8" w:rsidRPr="001B7656">
        <w:rPr>
          <w:lang w:val="en-GB"/>
        </w:rPr>
        <w:t>The first pressure, 9 bar</w:t>
      </w:r>
      <w:r w:rsidR="00167BF8" w:rsidRPr="001B7656">
        <w:rPr>
          <w:vertAlign w:val="subscript"/>
          <w:lang w:val="en-GB"/>
        </w:rPr>
        <w:t>g</w:t>
      </w:r>
      <w:r w:rsidR="00167BF8" w:rsidRPr="001B7656">
        <w:rPr>
          <w:lang w:val="en-GB"/>
        </w:rPr>
        <w:t>, is approx. 1.2</w:t>
      </w:r>
      <w:r w:rsidR="00333ED6">
        <w:rPr>
          <w:lang w:val="en-GB"/>
        </w:rPr>
        <w:t>1</w:t>
      </w:r>
      <w:r w:rsidR="00167BF8" w:rsidRPr="001B7656">
        <w:rPr>
          <w:lang w:val="en-GB"/>
        </w:rPr>
        <w:t xml:space="preserve"> times 7.4 bar</w:t>
      </w:r>
      <w:r w:rsidR="00167BF8" w:rsidRPr="001B7656">
        <w:rPr>
          <w:vertAlign w:val="subscript"/>
          <w:lang w:val="en-GB"/>
        </w:rPr>
        <w:t>g</w:t>
      </w:r>
      <w:r w:rsidR="00167BF8" w:rsidRPr="001B7656">
        <w:rPr>
          <w:lang w:val="en-GB"/>
        </w:rPr>
        <w:t>, that is the pressure at which the first pressure relief valve (PRV) of the LH</w:t>
      </w:r>
      <w:r w:rsidR="00167BF8" w:rsidRPr="001B7656">
        <w:rPr>
          <w:vertAlign w:val="subscript"/>
          <w:lang w:val="en-GB"/>
        </w:rPr>
        <w:t>2</w:t>
      </w:r>
      <w:r w:rsidR="00167BF8" w:rsidRPr="001B7656">
        <w:rPr>
          <w:lang w:val="en-GB"/>
        </w:rPr>
        <w:t xml:space="preserve"> vessel opens </w:t>
      </w:r>
      <w:r w:rsidR="00F050B5">
        <w:rPr>
          <w:lang w:val="en-GB"/>
        </w:rPr>
        <w:fldChar w:fldCharType="begin" w:fldLock="1"/>
      </w:r>
      <w:r w:rsidR="00371529">
        <w:rPr>
          <w:lang w:val="en-GB"/>
        </w:rPr>
        <w:instrText>ADDIN CSL_CITATION {"citationItems":[{"id":"ITEM-1","itemData":{"author":[{"dropping-particle":"","family":"Rybin","given":"H","non-dropping-particle":"","parse-names":false,"suffix":""},{"dropping-particle":"","family":"Krainz","given":"G","non-dropping-particle":"","parse-names":false,"suffix":""},{"dropping-particle":"","family":"Bartlok","given":"G","non-dropping-particle":"","parse-names":false,"suffix":""},{"dropping-particle":"","family":"Kratzer","given":"E","non-dropping-particle":"","parse-names":false,"suffix":""}],"container-title":"International Conference on Hydrogen Safety","id":"ITEM-1","issued":{"date-parts":[["2005"]]},"page":"12","title":"SAFETY DEMANDS FOR AUTOMOTIVE HYDROGEN STORAGE SYSTEMS","type":"paper-conference"},"uris":["http://www.mendeley.com/documents/?uuid=9e1acc6f-df92-405b-b17f-3e12a591035a"]}],"mendeley":{"formattedCitation":"(Rybin et al., 2005)","plainTextFormattedCitation":"(Rybin et al., 2005)","previouslyFormattedCitation":"(Rybin et al., 2005)"},"properties":{"noteIndex":0},"schema":"https://github.com/citation-style-language/schema/raw/master/csl-citation.json"}</w:instrText>
      </w:r>
      <w:r w:rsidR="00F050B5">
        <w:rPr>
          <w:lang w:val="en-GB"/>
        </w:rPr>
        <w:fldChar w:fldCharType="separate"/>
      </w:r>
      <w:r w:rsidR="00F050B5" w:rsidRPr="00F050B5">
        <w:rPr>
          <w:noProof/>
          <w:lang w:val="en-GB"/>
        </w:rPr>
        <w:t>(Rybin et al., 2005)</w:t>
      </w:r>
      <w:r w:rsidR="00F050B5">
        <w:rPr>
          <w:lang w:val="en-GB"/>
        </w:rPr>
        <w:fldChar w:fldCharType="end"/>
      </w:r>
      <w:r w:rsidR="00167BF8" w:rsidRPr="001B7656">
        <w:rPr>
          <w:lang w:val="en-GB"/>
        </w:rPr>
        <w:t>.</w:t>
      </w:r>
      <w:r w:rsidR="00333ED6">
        <w:rPr>
          <w:lang w:val="en-GB"/>
        </w:rPr>
        <w:t xml:space="preserve"> The same approach is suggested in</w:t>
      </w:r>
      <w:r w:rsidR="0032479E">
        <w:rPr>
          <w:lang w:val="en-GB"/>
        </w:rPr>
        <w:t xml:space="preserve"> </w:t>
      </w:r>
      <w:r w:rsidR="0032479E">
        <w:rPr>
          <w:lang w:val="en-GB"/>
        </w:rPr>
        <w:fldChar w:fldCharType="begin" w:fldLock="1"/>
      </w:r>
      <w:r w:rsidR="001E7A4F">
        <w:rPr>
          <w:lang w:val="en-GB"/>
        </w:rPr>
        <w:instrText>ADDIN CSL_CITATION {"citationItems":[{"id":"ITEM-1","itemData":{"author":[{"dropping-particle":"","family":"Uijt de Haag","given":"P","non-dropping-particle":"","parse-names":false,"suffix":""},{"dropping-particle":"","family":"Ale","given":"B","non-dropping-particle":"","parse-names":false,"suffix":""}],"id":"ITEM-1","issued":{"date-parts":[["2005"]]},"title":"\"Purple Book\", Guideline for quantitative risk assessment, CPR 18E","type":"report"},"uris":["http://www.mendeley.com/documents/?uuid=50577161-baa1-4b44-81c3-42b2a7c2d3d5"]}],"mendeley":{"formattedCitation":"(Uijt de Haag and Ale, 2005)","plainTextFormattedCitation":"(Uijt de Haag and Ale, 2005)","previouslyFormattedCitation":"(Uijt de Haag and Ale, 2005)"},"properties":{"noteIndex":0},"schema":"https://github.com/citation-style-language/schema/raw/master/csl-citation.json"}</w:instrText>
      </w:r>
      <w:r w:rsidR="0032479E">
        <w:rPr>
          <w:lang w:val="en-GB"/>
        </w:rPr>
        <w:fldChar w:fldCharType="separate"/>
      </w:r>
      <w:r w:rsidR="0032479E" w:rsidRPr="0032479E">
        <w:rPr>
          <w:noProof/>
          <w:lang w:val="en-GB"/>
        </w:rPr>
        <w:t>(Uijt de Haag and Ale, 2005)</w:t>
      </w:r>
      <w:r w:rsidR="0032479E">
        <w:rPr>
          <w:lang w:val="en-GB"/>
        </w:rPr>
        <w:fldChar w:fldCharType="end"/>
      </w:r>
      <w:r w:rsidR="00333ED6">
        <w:rPr>
          <w:lang w:val="en-GB"/>
        </w:rPr>
        <w:t>.</w:t>
      </w:r>
      <w:r w:rsidR="00167BF8" w:rsidRPr="001B7656">
        <w:rPr>
          <w:lang w:val="en-GB"/>
        </w:rPr>
        <w:t xml:space="preserve"> Then, the yield of</w:t>
      </w:r>
      <w:r w:rsidR="002B7586">
        <w:rPr>
          <w:lang w:val="en-GB"/>
        </w:rPr>
        <w:t xml:space="preserve"> the</w:t>
      </w:r>
      <w:r w:rsidR="00167BF8" w:rsidRPr="001B7656">
        <w:rPr>
          <w:lang w:val="en-GB"/>
        </w:rPr>
        <w:t xml:space="preserve"> BLEVE have been estimated when the vessel has a pressure of 11.9 bar</w:t>
      </w:r>
      <w:r w:rsidR="00167BF8" w:rsidRPr="001B7656">
        <w:rPr>
          <w:vertAlign w:val="subscript"/>
          <w:lang w:val="en-GB"/>
        </w:rPr>
        <w:t>g</w:t>
      </w:r>
      <w:r>
        <w:rPr>
          <w:lang w:val="en-GB"/>
        </w:rPr>
        <w:t>, which</w:t>
      </w:r>
      <w:r w:rsidR="00167BF8" w:rsidRPr="001B7656">
        <w:rPr>
          <w:lang w:val="en-GB"/>
        </w:rPr>
        <w:t xml:space="preserve"> is a value close to the </w:t>
      </w:r>
      <w:r w:rsidR="001B7656" w:rsidRPr="001B7656">
        <w:rPr>
          <w:lang w:val="en-GB"/>
        </w:rPr>
        <w:t xml:space="preserve">hydrogen </w:t>
      </w:r>
      <w:r w:rsidR="00167BF8" w:rsidRPr="001B7656">
        <w:rPr>
          <w:lang w:val="en-GB"/>
        </w:rPr>
        <w:t>critical pressure (12.96 bar). The burst pressure of the LH</w:t>
      </w:r>
      <w:r w:rsidR="00167BF8" w:rsidRPr="001B7656">
        <w:rPr>
          <w:vertAlign w:val="subscript"/>
          <w:lang w:val="en-GB"/>
        </w:rPr>
        <w:t>2</w:t>
      </w:r>
      <w:r w:rsidR="00167BF8" w:rsidRPr="001B7656">
        <w:rPr>
          <w:lang w:val="en-GB"/>
        </w:rPr>
        <w:t xml:space="preserve"> tank has been estimated to calculate the yield of the BLEVE in case of PRVs failure without fire engulfment of the tank</w:t>
      </w:r>
      <w:r w:rsidR="002B7586">
        <w:rPr>
          <w:lang w:val="en-GB"/>
        </w:rPr>
        <w:t xml:space="preserve"> (cold BLEVE)</w:t>
      </w:r>
      <w:r w:rsidR="00167BF8" w:rsidRPr="001B7656">
        <w:rPr>
          <w:lang w:val="en-GB"/>
        </w:rPr>
        <w:t xml:space="preserve">. In this case, the value of the pressure inside the tank before its rupture is the highest compared with </w:t>
      </w:r>
      <w:r w:rsidR="002B7586">
        <w:rPr>
          <w:lang w:val="en-GB"/>
        </w:rPr>
        <w:t>hot</w:t>
      </w:r>
      <w:r w:rsidR="00167BF8" w:rsidRPr="001B7656">
        <w:rPr>
          <w:lang w:val="en-GB"/>
        </w:rPr>
        <w:t xml:space="preserve"> BLEVE. When the tank is exposed to fire, the tank material is subjected to thermal stress and the estimated bursting pressure has a lower value than the </w:t>
      </w:r>
      <w:r w:rsidR="001B7656">
        <w:rPr>
          <w:lang w:val="en-GB"/>
        </w:rPr>
        <w:t>considered</w:t>
      </w:r>
      <w:r w:rsidR="00167BF8" w:rsidRPr="001B7656">
        <w:rPr>
          <w:lang w:val="en-GB"/>
        </w:rPr>
        <w:t xml:space="preserve"> case. To evaluate the bursting pressure, the tank wall</w:t>
      </w:r>
      <w:r w:rsidR="002B7586">
        <w:rPr>
          <w:lang w:val="en-GB"/>
        </w:rPr>
        <w:t xml:space="preserve"> </w:t>
      </w:r>
      <w:r w:rsidR="002B7586" w:rsidRPr="001B7656">
        <w:rPr>
          <w:lang w:val="en-GB"/>
        </w:rPr>
        <w:t>thickness</w:t>
      </w:r>
      <w:r w:rsidR="00167BF8" w:rsidRPr="001B7656">
        <w:rPr>
          <w:lang w:val="en-GB"/>
        </w:rPr>
        <w:t xml:space="preserve"> has been calculated following the ASME Boiler and Pressure Vessel Code (BPVC) Sec. VIII </w:t>
      </w:r>
      <w:r w:rsidR="007C0670">
        <w:rPr>
          <w:lang w:val="en-GB"/>
        </w:rPr>
        <w:fldChar w:fldCharType="begin" w:fldLock="1"/>
      </w:r>
      <w:r w:rsidR="008B5813">
        <w:rPr>
          <w:lang w:val="en-GB"/>
        </w:rPr>
        <w:instrText>ADDIN CSL_CITATION {"citationItems":[{"id":"ITEM-1","itemData":{"author":[{"dropping-particle":"","family":"ASME","given":"","non-dropping-particle":"","parse-names":false,"suffix":""}],"id":"ITEM-1","issued":{"date-parts":[["2001"]]},"title":"ASME Section VIII, Division 1, Pressure Vessel Code","type":"legislation"},"uris":["http://www.mendeley.com/documents/?uuid=2c8415d1-8cad-4ba7-bb2a-b506de2e07da"]}],"mendeley":{"formattedCitation":"(ASME, 2001)","plainTextFormattedCitation":"(ASME, 2001)","previouslyFormattedCitation":"(ASME, 2001)"},"properties":{"noteIndex":0},"schema":"https://github.com/citation-style-language/schema/raw/master/csl-citation.json"}</w:instrText>
      </w:r>
      <w:r w:rsidR="007C0670">
        <w:rPr>
          <w:lang w:val="en-GB"/>
        </w:rPr>
        <w:fldChar w:fldCharType="separate"/>
      </w:r>
      <w:r w:rsidR="007C0670" w:rsidRPr="007C0670">
        <w:rPr>
          <w:noProof/>
          <w:lang w:val="en-GB"/>
        </w:rPr>
        <w:t>(ASME, 2001)</w:t>
      </w:r>
      <w:r w:rsidR="007C0670">
        <w:rPr>
          <w:lang w:val="en-GB"/>
        </w:rPr>
        <w:fldChar w:fldCharType="end"/>
      </w:r>
      <w:r w:rsidR="00167BF8" w:rsidRPr="001B7656">
        <w:rPr>
          <w:lang w:val="en-GB"/>
        </w:rPr>
        <w:t>. This code is used to design also cryogenic vessels</w:t>
      </w:r>
      <w:r w:rsidR="001B7656">
        <w:rPr>
          <w:lang w:val="en-GB"/>
        </w:rPr>
        <w:t>.</w:t>
      </w:r>
      <w:r w:rsidR="00167BF8" w:rsidRPr="001B7656">
        <w:rPr>
          <w:lang w:val="en-GB"/>
        </w:rPr>
        <w:t xml:space="preserve"> </w:t>
      </w:r>
      <w:r w:rsidR="00807D5A" w:rsidRPr="001B7656">
        <w:rPr>
          <w:lang w:val="en-GB"/>
        </w:rPr>
        <w:t>Eq</w:t>
      </w:r>
      <w:r w:rsidR="00807D5A" w:rsidRPr="001B7656">
        <w:rPr>
          <w:lang w:val="en-GB"/>
        </w:rPr>
        <w:fldChar w:fldCharType="begin"/>
      </w:r>
      <w:r w:rsidR="00807D5A" w:rsidRPr="001B7656">
        <w:rPr>
          <w:lang w:val="en-GB"/>
        </w:rPr>
        <w:instrText xml:space="preserve"> REF _Ref533164056 \h </w:instrText>
      </w:r>
      <w:r w:rsidR="00807D5A" w:rsidRPr="001B7656">
        <w:rPr>
          <w:lang w:val="en-GB"/>
        </w:rPr>
      </w:r>
      <w:r w:rsidR="00807D5A" w:rsidRPr="001B7656">
        <w:rPr>
          <w:lang w:val="en-GB"/>
        </w:rPr>
        <w:fldChar w:fldCharType="separate"/>
      </w:r>
      <w:r w:rsidR="00844DAD" w:rsidRPr="001B7656">
        <w:t>(</w:t>
      </w:r>
      <w:r w:rsidR="00844DAD">
        <w:rPr>
          <w:rFonts w:cs="Arial"/>
          <w:noProof/>
        </w:rPr>
        <w:t>2</w:t>
      </w:r>
      <w:r w:rsidR="00844DAD" w:rsidRPr="001B7656">
        <w:t>)</w:t>
      </w:r>
      <w:r w:rsidR="00807D5A" w:rsidRPr="001B7656">
        <w:rPr>
          <w:lang w:val="en-GB"/>
        </w:rPr>
        <w:fldChar w:fldCharType="end"/>
      </w:r>
      <w:r w:rsidR="00167BF8" w:rsidRPr="001B7656">
        <w:rPr>
          <w:lang w:val="en-GB"/>
        </w:rPr>
        <w:t xml:space="preserve"> </w:t>
      </w:r>
      <w:r w:rsidR="001B7656">
        <w:rPr>
          <w:lang w:val="en-GB"/>
        </w:rPr>
        <w:t xml:space="preserve">is used </w:t>
      </w:r>
      <w:r w:rsidR="00167BF8" w:rsidRPr="001B7656">
        <w:rPr>
          <w:lang w:val="en-GB"/>
        </w:rPr>
        <w:t>to calculate the tank wall</w:t>
      </w:r>
      <w:r w:rsidR="002B7586">
        <w:rPr>
          <w:lang w:val="en-GB"/>
        </w:rPr>
        <w:t xml:space="preserve"> </w:t>
      </w:r>
      <w:r w:rsidR="002B7586" w:rsidRPr="001B7656">
        <w:rPr>
          <w:lang w:val="en-GB"/>
        </w:rPr>
        <w:t>thickness</w:t>
      </w:r>
      <w:r w:rsidR="00167BF8" w:rsidRPr="001B7656">
        <w:rPr>
          <w:lang w:val="en-GB"/>
        </w:rPr>
        <w:t xml:space="preserve">, </w:t>
      </w:r>
      <w:r w:rsidR="00167BF8" w:rsidRPr="001B7656">
        <w:rPr>
          <w:i/>
          <w:lang w:val="en-GB"/>
        </w:rPr>
        <w:t>t</w:t>
      </w:r>
      <w:r w:rsidR="00167BF8" w:rsidRPr="001B7656">
        <w:rPr>
          <w:lang w:val="en-GB"/>
        </w:rPr>
        <w:t>:</w:t>
      </w:r>
    </w:p>
    <w:tbl>
      <w:tblPr>
        <w:tblW w:w="5000" w:type="pct"/>
        <w:tblLook w:val="04A0" w:firstRow="1" w:lastRow="0" w:firstColumn="1" w:lastColumn="0" w:noHBand="0" w:noVBand="1"/>
      </w:tblPr>
      <w:tblGrid>
        <w:gridCol w:w="7983"/>
        <w:gridCol w:w="804"/>
      </w:tblGrid>
      <w:tr w:rsidR="00167BF8" w:rsidRPr="00D37EF2" w14:paraId="1F5DBD95" w14:textId="77777777" w:rsidTr="00167BF8">
        <w:tc>
          <w:tcPr>
            <w:tcW w:w="7983" w:type="dxa"/>
            <w:shd w:val="clear" w:color="auto" w:fill="auto"/>
            <w:vAlign w:val="center"/>
          </w:tcPr>
          <w:p w14:paraId="3BC5B3DD" w14:textId="77777777" w:rsidR="00167BF8" w:rsidRPr="00D37EF2" w:rsidRDefault="00167BF8" w:rsidP="006306AA">
            <w:pPr>
              <w:pStyle w:val="CETEquation"/>
              <w:keepNext/>
            </w:pPr>
            <m:oMathPara>
              <m:oMathParaPr>
                <m:jc m:val="left"/>
              </m:oMathParaPr>
              <m:oMath>
                <m:r>
                  <w:rPr>
                    <w:rFonts w:ascii="Cambria Math" w:hAnsi="Cambria Math" w:cs="Arial"/>
                  </w:rPr>
                  <m:t>t=</m:t>
                </m:r>
                <m:f>
                  <m:fPr>
                    <m:ctrlPr>
                      <w:rPr>
                        <w:rFonts w:ascii="Cambria Math" w:hAnsi="Cambria Math" w:cs="Arial"/>
                        <w:i/>
                      </w:rPr>
                    </m:ctrlPr>
                  </m:fPr>
                  <m:num>
                    <m:r>
                      <w:rPr>
                        <w:rFonts w:ascii="Cambria Math" w:hAnsi="Cambria Math" w:cs="Arial"/>
                      </w:rPr>
                      <m:t>P∙R</m:t>
                    </m:r>
                  </m:num>
                  <m:den>
                    <m:r>
                      <w:rPr>
                        <w:rFonts w:ascii="Cambria Math" w:hAnsi="Cambria Math" w:cs="Arial"/>
                      </w:rPr>
                      <m:t>σ∙e-6∙P</m:t>
                    </m:r>
                  </m:den>
                </m:f>
                <m:r>
                  <w:rPr>
                    <w:rFonts w:ascii="Cambria Math" w:hAnsi="Cambria Math" w:cs="Arial"/>
                  </w:rPr>
                  <m:t>=2.76 mm</m:t>
                </m:r>
              </m:oMath>
            </m:oMathPara>
          </w:p>
        </w:tc>
        <w:tc>
          <w:tcPr>
            <w:tcW w:w="804" w:type="dxa"/>
            <w:shd w:val="clear" w:color="auto" w:fill="auto"/>
            <w:vAlign w:val="center"/>
          </w:tcPr>
          <w:p w14:paraId="7254195B" w14:textId="500D7239" w:rsidR="00167BF8" w:rsidRPr="00D37EF2" w:rsidRDefault="00167BF8" w:rsidP="00DD5F5C">
            <w:pPr>
              <w:pStyle w:val="CETEquation"/>
              <w:jc w:val="right"/>
            </w:pPr>
            <w:bookmarkStart w:id="5" w:name="_Ref533164056"/>
            <w:r w:rsidRPr="00D37EF2">
              <w:t>(</w:t>
            </w:r>
            <w:r w:rsidR="006306AA" w:rsidRPr="00D37EF2">
              <w:rPr>
                <w:rFonts w:cs="Arial"/>
              </w:rPr>
              <w:fldChar w:fldCharType="begin"/>
            </w:r>
            <w:r w:rsidR="006306AA" w:rsidRPr="00D37EF2">
              <w:rPr>
                <w:rFonts w:cs="Arial"/>
              </w:rPr>
              <w:instrText xml:space="preserve"> SEQ ( \* ARABIC </w:instrText>
            </w:r>
            <w:r w:rsidR="006306AA" w:rsidRPr="00D37EF2">
              <w:rPr>
                <w:rFonts w:cs="Arial"/>
              </w:rPr>
              <w:fldChar w:fldCharType="separate"/>
            </w:r>
            <w:r w:rsidR="00844DAD" w:rsidRPr="00D37EF2">
              <w:rPr>
                <w:rFonts w:cs="Arial"/>
                <w:noProof/>
              </w:rPr>
              <w:t>2</w:t>
            </w:r>
            <w:r w:rsidR="006306AA" w:rsidRPr="00D37EF2">
              <w:rPr>
                <w:rFonts w:cs="Arial"/>
              </w:rPr>
              <w:fldChar w:fldCharType="end"/>
            </w:r>
            <w:r w:rsidRPr="00D37EF2">
              <w:t>)</w:t>
            </w:r>
            <w:bookmarkEnd w:id="5"/>
          </w:p>
        </w:tc>
      </w:tr>
    </w:tbl>
    <w:p w14:paraId="6A3ECAFA" w14:textId="0ACA28DD" w:rsidR="00167BF8" w:rsidRPr="00D37EF2" w:rsidRDefault="00167BF8" w:rsidP="00167BF8">
      <w:pPr>
        <w:pStyle w:val="CETBodytext"/>
        <w:rPr>
          <w:lang w:val="en-GB"/>
        </w:rPr>
      </w:pPr>
      <w:r w:rsidRPr="00D37EF2">
        <w:rPr>
          <w:lang w:val="en-GB"/>
        </w:rPr>
        <w:t xml:space="preserve">where </w:t>
      </w:r>
      <w:r w:rsidRPr="00D37EF2">
        <w:rPr>
          <w:i/>
          <w:lang w:val="en-GB"/>
        </w:rPr>
        <w:t>P</w:t>
      </w:r>
      <w:r w:rsidRPr="00D37EF2">
        <w:rPr>
          <w:lang w:val="en-GB"/>
        </w:rPr>
        <w:t xml:space="preserve"> is the design pressure of the tank (7.4 bar</w:t>
      </w:r>
      <w:r w:rsidRPr="00D37EF2">
        <w:rPr>
          <w:vertAlign w:val="subscript"/>
          <w:lang w:val="en-GB"/>
        </w:rPr>
        <w:t>g</w:t>
      </w:r>
      <w:r w:rsidRPr="00D37EF2">
        <w:rPr>
          <w:lang w:val="en-GB"/>
        </w:rPr>
        <w:t xml:space="preserve"> or 107 psi</w:t>
      </w:r>
      <w:r w:rsidRPr="00D37EF2">
        <w:rPr>
          <w:vertAlign w:val="subscript"/>
          <w:lang w:val="en-GB"/>
        </w:rPr>
        <w:t>g</w:t>
      </w:r>
      <w:r w:rsidRPr="00D37EF2">
        <w:rPr>
          <w:lang w:val="en-GB"/>
        </w:rPr>
        <w:t xml:space="preserve">) and </w:t>
      </w:r>
      <w:r w:rsidRPr="00D37EF2">
        <w:rPr>
          <w:i/>
          <w:lang w:val="en-GB"/>
        </w:rPr>
        <w:t>R</w:t>
      </w:r>
      <w:r w:rsidRPr="00D37EF2">
        <w:rPr>
          <w:lang w:val="en-GB"/>
        </w:rPr>
        <w:t xml:space="preserve"> its radius (500 mm), </w:t>
      </w:r>
      <w:r w:rsidRPr="00D37EF2">
        <w:rPr>
          <w:rFonts w:cs="Arial"/>
          <w:i/>
          <w:lang w:val="en-GB"/>
        </w:rPr>
        <w:t>σ</w:t>
      </w:r>
      <w:r w:rsidRPr="00D37EF2">
        <w:rPr>
          <w:lang w:val="en-GB"/>
        </w:rPr>
        <w:t xml:space="preserve"> is the allowable stress equal to 20,000 psi for the AISI Stainless Steel 304 </w:t>
      </w:r>
      <w:r w:rsidR="00AE62F8" w:rsidRPr="00D37EF2">
        <w:rPr>
          <w:lang w:val="en-GB"/>
        </w:rPr>
        <w:fldChar w:fldCharType="begin" w:fldLock="1"/>
      </w:r>
      <w:r w:rsidR="007C0670" w:rsidRPr="00D37EF2">
        <w:rPr>
          <w:lang w:val="en-GB"/>
        </w:rPr>
        <w:instrText>ADDIN CSL_CITATION {"citationItems":[{"id":"ITEM-1","itemData":{"author":[{"dropping-particle":"","family":"Rana","given":"Mahendra","non-dropping-particle":"","parse-names":false,"suffix":""},{"dropping-particle":"","family":"Barthelemy","given":"Hervé","non-dropping-particle":"","parse-names":false,"suffix":""}],"container-title":"ASME Pressure Vessels and Piping Conference 2003 (PVP2003)","id":"ITEM-1","issued":{"date-parts":[["2003"]]},"page":"1-10","publisher-place":"Cleveland Ohio, USA","title":"Development of ISO Standards for Cryogenic Vessels","type":"paper-conference"},"uris":["http://www.mendeley.com/documents/?uuid=41f104be-4863-4c88-b778-3f0d3e25da13"]}],"mendeley":{"formattedCitation":"(Rana and Barthelemy, 2003)","plainTextFormattedCitation":"(Rana and Barthelemy, 2003)","previouslyFormattedCitation":"(Rana and Barthelemy, 2003)"},"properties":{"noteIndex":0},"schema":"https://github.com/citation-style-language/schema/raw/master/csl-citation.json"}</w:instrText>
      </w:r>
      <w:r w:rsidR="00AE62F8" w:rsidRPr="00D37EF2">
        <w:rPr>
          <w:lang w:val="en-GB"/>
        </w:rPr>
        <w:fldChar w:fldCharType="separate"/>
      </w:r>
      <w:r w:rsidR="00AE62F8" w:rsidRPr="00D37EF2">
        <w:rPr>
          <w:noProof/>
          <w:lang w:val="en-GB"/>
        </w:rPr>
        <w:t>(Rana and Barthelemy, 2003)</w:t>
      </w:r>
      <w:r w:rsidR="00AE62F8" w:rsidRPr="00D37EF2">
        <w:rPr>
          <w:lang w:val="en-GB"/>
        </w:rPr>
        <w:fldChar w:fldCharType="end"/>
      </w:r>
      <w:r w:rsidRPr="00D37EF2">
        <w:rPr>
          <w:lang w:val="en-GB"/>
        </w:rPr>
        <w:t xml:space="preserve"> and </w:t>
      </w:r>
      <w:r w:rsidRPr="00D37EF2">
        <w:rPr>
          <w:i/>
          <w:lang w:val="en-GB"/>
        </w:rPr>
        <w:t>e</w:t>
      </w:r>
      <w:r w:rsidRPr="00D37EF2">
        <w:rPr>
          <w:lang w:val="en-GB"/>
        </w:rPr>
        <w:t xml:space="preserve"> is the weld joint efficiency factor considered 1. To estimate the burst pressure</w:t>
      </w:r>
      <w:r w:rsidR="007B05B7" w:rsidRPr="00D37EF2">
        <w:rPr>
          <w:lang w:val="en-GB"/>
        </w:rPr>
        <w:t xml:space="preserve"> </w:t>
      </w:r>
      <w:r w:rsidR="007B05B7" w:rsidRPr="00D37EF2">
        <w:rPr>
          <w:i/>
          <w:lang w:val="en-GB"/>
        </w:rPr>
        <w:t>P</w:t>
      </w:r>
      <w:r w:rsidRPr="00D37EF2">
        <w:rPr>
          <w:lang w:val="en-GB"/>
        </w:rPr>
        <w:t>, Eq</w:t>
      </w:r>
      <w:r w:rsidR="00807D5A" w:rsidRPr="00D37EF2">
        <w:rPr>
          <w:lang w:val="en-GB"/>
        </w:rPr>
        <w:fldChar w:fldCharType="begin"/>
      </w:r>
      <w:r w:rsidR="00807D5A" w:rsidRPr="00D37EF2">
        <w:rPr>
          <w:lang w:val="en-GB"/>
        </w:rPr>
        <w:instrText xml:space="preserve"> REF _Ref533164121 \h </w:instrText>
      </w:r>
      <w:r w:rsidR="00D37EF2">
        <w:rPr>
          <w:lang w:val="en-GB"/>
        </w:rPr>
        <w:instrText xml:space="preserve"> \* MERGEFORMAT </w:instrText>
      </w:r>
      <w:r w:rsidR="00807D5A" w:rsidRPr="00D37EF2">
        <w:rPr>
          <w:lang w:val="en-GB"/>
        </w:rPr>
      </w:r>
      <w:r w:rsidR="00807D5A" w:rsidRPr="00D37EF2">
        <w:rPr>
          <w:lang w:val="en-GB"/>
        </w:rPr>
        <w:fldChar w:fldCharType="separate"/>
      </w:r>
      <w:r w:rsidR="00844DAD" w:rsidRPr="00D37EF2">
        <w:t>(</w:t>
      </w:r>
      <w:r w:rsidR="00844DAD" w:rsidRPr="00D37EF2">
        <w:rPr>
          <w:noProof/>
        </w:rPr>
        <w:t>3</w:t>
      </w:r>
      <w:r w:rsidR="00844DAD" w:rsidRPr="00D37EF2">
        <w:t>)</w:t>
      </w:r>
      <w:r w:rsidR="00807D5A" w:rsidRPr="00D37EF2">
        <w:rPr>
          <w:lang w:val="en-GB"/>
        </w:rPr>
        <w:fldChar w:fldCharType="end"/>
      </w:r>
      <w:r w:rsidRPr="00D37EF2">
        <w:rPr>
          <w:lang w:val="en-GB"/>
        </w:rPr>
        <w:t xml:space="preserve"> has been used </w:t>
      </w:r>
      <w:r w:rsidR="005B4243" w:rsidRPr="00D37EF2">
        <w:rPr>
          <w:lang w:val="en-GB"/>
        </w:rPr>
        <w:fldChar w:fldCharType="begin" w:fldLock="1"/>
      </w:r>
      <w:r w:rsidR="00170D97" w:rsidRPr="00D37EF2">
        <w:rPr>
          <w:lang w:val="en-GB"/>
        </w:rPr>
        <w:instrText>ADDIN CSL_CITATION {"citationItems":[{"id":"ITEM-1","itemData":{"author":[{"dropping-particle":"","family":"Casal","given":"Joaquim","non-dropping-particle":"","parse-names":false,"suffix":""}],"container-title":"Evaluation of the Effects and Consequences of Major Accidents in Industrial Plants","editor":[{"dropping-particle":"","family":"Casal","given":"Joaquim","non-dropping-particle":"","parse-names":false,"suffix":""}],"id":"ITEM-1","issued":{"date-parts":[["2008"]]},"page":"147-193","title":"BLEVEs and vessel explosions","type":"chapter"},"uris":["http://www.mendeley.com/documents/?uuid=b7298fa4-4b87-4247-9c69-3da70d00f7a1"]}],"mendeley":{"formattedCitation":"(Casal, 2008)","plainTextFormattedCitation":"(Casal, 2008)","previouslyFormattedCitation":"(Casal, 2008)"},"properties":{"noteIndex":0},"schema":"https://github.com/citation-style-language/schema/raw/master/csl-citation.json"}</w:instrText>
      </w:r>
      <w:r w:rsidR="005B4243" w:rsidRPr="00D37EF2">
        <w:rPr>
          <w:lang w:val="en-GB"/>
        </w:rPr>
        <w:fldChar w:fldCharType="separate"/>
      </w:r>
      <w:r w:rsidR="005B4243" w:rsidRPr="00D37EF2">
        <w:rPr>
          <w:noProof/>
          <w:lang w:val="en-GB"/>
        </w:rPr>
        <w:t>(Casal, 2008)</w:t>
      </w:r>
      <w:r w:rsidR="005B4243" w:rsidRPr="00D37EF2">
        <w:rPr>
          <w:lang w:val="en-GB"/>
        </w:rPr>
        <w:fldChar w:fldCharType="end"/>
      </w:r>
      <w:r w:rsidRPr="00D37EF2">
        <w:rPr>
          <w:lang w:val="en-GB"/>
        </w:rPr>
        <w:t>:</w:t>
      </w:r>
    </w:p>
    <w:tbl>
      <w:tblPr>
        <w:tblW w:w="5000" w:type="pct"/>
        <w:tblLook w:val="04A0" w:firstRow="1" w:lastRow="0" w:firstColumn="1" w:lastColumn="0" w:noHBand="0" w:noVBand="1"/>
      </w:tblPr>
      <w:tblGrid>
        <w:gridCol w:w="7983"/>
        <w:gridCol w:w="804"/>
      </w:tblGrid>
      <w:tr w:rsidR="00F36C56" w:rsidRPr="001B7656" w14:paraId="3FEC43AD" w14:textId="77777777" w:rsidTr="00DD5F5C">
        <w:tc>
          <w:tcPr>
            <w:tcW w:w="7983" w:type="dxa"/>
            <w:shd w:val="clear" w:color="auto" w:fill="auto"/>
            <w:vAlign w:val="center"/>
          </w:tcPr>
          <w:p w14:paraId="05FDCE76" w14:textId="77777777" w:rsidR="00F36C56" w:rsidRPr="00D37EF2" w:rsidRDefault="00F36C56" w:rsidP="00DD5F5C">
            <w:pPr>
              <w:pStyle w:val="CETEquation"/>
              <w:rPr>
                <w:rFonts w:cs="Arial"/>
              </w:rPr>
            </w:pPr>
            <m:oMathPara>
              <m:oMathParaPr>
                <m:jc m:val="left"/>
              </m:oMathParaPr>
              <m:oMath>
                <m:r>
                  <w:rPr>
                    <w:rFonts w:ascii="Cambria Math" w:hAnsi="Cambria Math" w:cs="Arial"/>
                  </w:rPr>
                  <w:lastRenderedPageBreak/>
                  <m:t>P=</m:t>
                </m:r>
                <m:sSub>
                  <m:sSubPr>
                    <m:ctrlPr>
                      <w:rPr>
                        <w:rFonts w:ascii="Cambria Math" w:hAnsi="Cambria Math" w:cs="Arial"/>
                        <w:i/>
                      </w:rPr>
                    </m:ctrlPr>
                  </m:sSubPr>
                  <m:e>
                    <m:r>
                      <w:rPr>
                        <w:rFonts w:ascii="Cambria Math" w:hAnsi="Cambria Math" w:cs="Arial"/>
                      </w:rPr>
                      <m:t>P</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S</m:t>
                        </m:r>
                      </m:e>
                      <m:sub>
                        <m:r>
                          <w:rPr>
                            <w:rFonts w:ascii="Cambria Math" w:hAnsi="Cambria Math" w:cs="Arial"/>
                          </w:rPr>
                          <m:t>M</m:t>
                        </m:r>
                      </m:sub>
                    </m:sSub>
                    <m:r>
                      <w:rPr>
                        <w:rFonts w:ascii="Cambria Math" w:hAnsi="Cambria Math" w:cs="Arial"/>
                      </w:rPr>
                      <m:t>∙t</m:t>
                    </m:r>
                  </m:num>
                  <m:den>
                    <m:r>
                      <w:rPr>
                        <w:rFonts w:ascii="Cambria Math" w:hAnsi="Cambria Math" w:cs="Arial"/>
                      </w:rPr>
                      <m:t>R+0.6∙t</m:t>
                    </m:r>
                  </m:den>
                </m:f>
                <m:r>
                  <w:rPr>
                    <w:rFonts w:ascii="Cambria Math" w:hAnsi="Cambria Math" w:cs="Arial"/>
                  </w:rPr>
                  <m:t>=3.22 MPa=32.2 bar</m:t>
                </m:r>
              </m:oMath>
            </m:oMathPara>
          </w:p>
        </w:tc>
        <w:tc>
          <w:tcPr>
            <w:tcW w:w="804" w:type="dxa"/>
            <w:shd w:val="clear" w:color="auto" w:fill="auto"/>
            <w:vAlign w:val="center"/>
          </w:tcPr>
          <w:p w14:paraId="7A4B9050" w14:textId="5FBC192F" w:rsidR="00F36C56" w:rsidRPr="001B7656" w:rsidRDefault="00F36C56" w:rsidP="00807D5A">
            <w:pPr>
              <w:pStyle w:val="CETEquation"/>
              <w:jc w:val="right"/>
            </w:pPr>
            <w:bookmarkStart w:id="6" w:name="_Ref533164121"/>
            <w:r w:rsidRPr="00D37EF2">
              <w:t>(</w:t>
            </w:r>
            <w:r w:rsidR="00807D5A" w:rsidRPr="00D37EF2">
              <w:fldChar w:fldCharType="begin"/>
            </w:r>
            <w:r w:rsidR="00807D5A" w:rsidRPr="00D37EF2">
              <w:instrText xml:space="preserve"> SEQ ( \* ARABIC </w:instrText>
            </w:r>
            <w:r w:rsidR="00807D5A" w:rsidRPr="00D37EF2">
              <w:fldChar w:fldCharType="separate"/>
            </w:r>
            <w:r w:rsidR="00844DAD" w:rsidRPr="00D37EF2">
              <w:rPr>
                <w:noProof/>
              </w:rPr>
              <w:t>3</w:t>
            </w:r>
            <w:r w:rsidR="00807D5A" w:rsidRPr="00D37EF2">
              <w:fldChar w:fldCharType="end"/>
            </w:r>
            <w:r w:rsidRPr="00D37EF2">
              <w:t>)</w:t>
            </w:r>
            <w:bookmarkEnd w:id="6"/>
          </w:p>
        </w:tc>
      </w:tr>
    </w:tbl>
    <w:p w14:paraId="65ED0C00" w14:textId="7AB16146" w:rsidR="00F36C56" w:rsidRPr="001B7656" w:rsidRDefault="00F36C56" w:rsidP="00F36C56">
      <w:pPr>
        <w:pStyle w:val="CETBodytext"/>
        <w:rPr>
          <w:lang w:val="en-GB"/>
        </w:rPr>
      </w:pPr>
      <w:r w:rsidRPr="001B7656">
        <w:rPr>
          <w:lang w:val="en-GB"/>
        </w:rPr>
        <w:t>where P</w:t>
      </w:r>
      <w:r w:rsidRPr="001B7656">
        <w:rPr>
          <w:vertAlign w:val="subscript"/>
          <w:lang w:val="en-GB"/>
        </w:rPr>
        <w:t>0</w:t>
      </w:r>
      <w:r w:rsidRPr="001B7656">
        <w:rPr>
          <w:lang w:val="en-GB"/>
        </w:rPr>
        <w:t xml:space="preserve"> is the atmospheric pressure (0.1 MPa), S</w:t>
      </w:r>
      <w:r w:rsidRPr="001B7656">
        <w:rPr>
          <w:vertAlign w:val="subscript"/>
          <w:lang w:val="en-GB"/>
        </w:rPr>
        <w:t>M</w:t>
      </w:r>
      <w:r w:rsidRPr="001B7656">
        <w:rPr>
          <w:lang w:val="en-GB"/>
        </w:rPr>
        <w:t xml:space="preserve"> is the mechanical strength of the material with a value of 565 MPa</w:t>
      </w:r>
      <w:r w:rsidR="001B7656">
        <w:rPr>
          <w:lang w:val="en-GB"/>
        </w:rPr>
        <w:t xml:space="preserve"> always</w:t>
      </w:r>
      <w:r w:rsidRPr="001B7656">
        <w:rPr>
          <w:lang w:val="en-GB"/>
        </w:rPr>
        <w:t xml:space="preserve"> for AISI Stainless Steel 304 </w:t>
      </w:r>
      <w:r w:rsidR="005B4243">
        <w:rPr>
          <w:lang w:val="en-GB"/>
        </w:rPr>
        <w:fldChar w:fldCharType="begin" w:fldLock="1"/>
      </w:r>
      <w:r w:rsidR="00170D97">
        <w:rPr>
          <w:lang w:val="en-GB"/>
        </w:rPr>
        <w:instrText>ADDIN CSL_CITATION {"citationItems":[{"id":"ITEM-1","itemData":{"author":[{"dropping-particle":"","family":"Casal","given":"Joaquim","non-dropping-particle":"","parse-names":false,"suffix":""}],"container-title":"Evaluation of the Effects and Consequences of Major Accidents in Industrial Plants","editor":[{"dropping-particle":"","family":"Casal","given":"Joaquim","non-dropping-particle":"","parse-names":false,"suffix":""}],"id":"ITEM-1","issued":{"date-parts":[["2008"]]},"page":"147-193","title":"BLEVEs and vessel explosions","type":"chapter"},"uris":["http://www.mendeley.com/documents/?uuid=b7298fa4-4b87-4247-9c69-3da70d00f7a1"]}],"mendeley":{"formattedCitation":"(Casal, 2008)","plainTextFormattedCitation":"(Casal, 2008)","previouslyFormattedCitation":"(Casal, 2008)"},"properties":{"noteIndex":0},"schema":"https://github.com/citation-style-language/schema/raw/master/csl-citation.json"}</w:instrText>
      </w:r>
      <w:r w:rsidR="005B4243">
        <w:rPr>
          <w:lang w:val="en-GB"/>
        </w:rPr>
        <w:fldChar w:fldCharType="separate"/>
      </w:r>
      <w:r w:rsidR="005B4243" w:rsidRPr="005B4243">
        <w:rPr>
          <w:noProof/>
          <w:lang w:val="en-GB"/>
        </w:rPr>
        <w:t>(Casal, 2008)</w:t>
      </w:r>
      <w:r w:rsidR="005B4243">
        <w:rPr>
          <w:lang w:val="en-GB"/>
        </w:rPr>
        <w:fldChar w:fldCharType="end"/>
      </w:r>
      <w:r w:rsidRPr="001B7656">
        <w:rPr>
          <w:lang w:val="en-GB"/>
        </w:rPr>
        <w:t>. Eq(3)</w:t>
      </w:r>
      <w:r w:rsidR="00C1014A">
        <w:rPr>
          <w:lang w:val="en-GB"/>
        </w:rPr>
        <w:t xml:space="preserve"> has been used for LH</w:t>
      </w:r>
      <w:r w:rsidR="00C1014A" w:rsidRPr="00C1014A">
        <w:rPr>
          <w:vertAlign w:val="subscript"/>
          <w:lang w:val="en-GB"/>
        </w:rPr>
        <w:t>2</w:t>
      </w:r>
      <w:r w:rsidR="00C1014A">
        <w:rPr>
          <w:lang w:val="en-GB"/>
        </w:rPr>
        <w:t xml:space="preserve"> tank because it</w:t>
      </w:r>
      <w:r w:rsidRPr="001B7656">
        <w:rPr>
          <w:lang w:val="en-GB"/>
        </w:rPr>
        <w:t xml:space="preserve"> is </w:t>
      </w:r>
      <w:r w:rsidR="00C1014A">
        <w:rPr>
          <w:lang w:val="en-GB"/>
        </w:rPr>
        <w:t>applied</w:t>
      </w:r>
      <w:r w:rsidRPr="001B7656">
        <w:rPr>
          <w:lang w:val="en-GB"/>
        </w:rPr>
        <w:t xml:space="preserve"> for cylindrical vessels with the pressure (P – P</w:t>
      </w:r>
      <w:r w:rsidRPr="001B7656">
        <w:rPr>
          <w:vertAlign w:val="subscript"/>
          <w:lang w:val="en-GB"/>
        </w:rPr>
        <w:t>0</w:t>
      </w:r>
      <w:r w:rsidRPr="001B7656">
        <w:rPr>
          <w:lang w:val="en-GB"/>
        </w:rPr>
        <w:t>) lower than 0.385 times S</w:t>
      </w:r>
      <w:r w:rsidRPr="001B7656">
        <w:rPr>
          <w:vertAlign w:val="subscript"/>
          <w:lang w:val="en-GB"/>
        </w:rPr>
        <w:t>M</w:t>
      </w:r>
      <w:r w:rsidRPr="001B7656">
        <w:rPr>
          <w:lang w:val="en-GB"/>
        </w:rPr>
        <w:t xml:space="preserve"> </w:t>
      </w:r>
      <w:r w:rsidR="005B4243">
        <w:rPr>
          <w:lang w:val="en-GB"/>
        </w:rPr>
        <w:fldChar w:fldCharType="begin" w:fldLock="1"/>
      </w:r>
      <w:r w:rsidR="00170D97">
        <w:rPr>
          <w:lang w:val="en-GB"/>
        </w:rPr>
        <w:instrText>ADDIN CSL_CITATION {"citationItems":[{"id":"ITEM-1","itemData":{"author":[{"dropping-particle":"","family":"Casal","given":"Joaquim","non-dropping-particle":"","parse-names":false,"suffix":""}],"container-title":"Evaluation of the Effects and Consequences of Major Accidents in Industrial Plants","editor":[{"dropping-particle":"","family":"Casal","given":"Joaquim","non-dropping-particle":"","parse-names":false,"suffix":""}],"id":"ITEM-1","issued":{"date-parts":[["2008"]]},"page":"147-193","title":"BLEVEs and vessel explosions","type":"chapter"},"uris":["http://www.mendeley.com/documents/?uuid=b7298fa4-4b87-4247-9c69-3da70d00f7a1"]}],"mendeley":{"formattedCitation":"(Casal, 2008)","plainTextFormattedCitation":"(Casal, 2008)","previouslyFormattedCitation":"(Casal, 2008)"},"properties":{"noteIndex":0},"schema":"https://github.com/citation-style-language/schema/raw/master/csl-citation.json"}</w:instrText>
      </w:r>
      <w:r w:rsidR="005B4243">
        <w:rPr>
          <w:lang w:val="en-GB"/>
        </w:rPr>
        <w:fldChar w:fldCharType="separate"/>
      </w:r>
      <w:r w:rsidR="005B4243" w:rsidRPr="005B4243">
        <w:rPr>
          <w:noProof/>
          <w:lang w:val="en-GB"/>
        </w:rPr>
        <w:t>(Casal, 2008)</w:t>
      </w:r>
      <w:r w:rsidR="005B4243">
        <w:rPr>
          <w:lang w:val="en-GB"/>
        </w:rPr>
        <w:fldChar w:fldCharType="end"/>
      </w:r>
      <w:r w:rsidRPr="001B7656">
        <w:rPr>
          <w:lang w:val="en-GB"/>
        </w:rPr>
        <w:t>.</w:t>
      </w:r>
    </w:p>
    <w:p w14:paraId="51F25921" w14:textId="16D30ED0" w:rsidR="00F36C56" w:rsidRPr="001B7656" w:rsidRDefault="00F36C56" w:rsidP="00F36C56">
      <w:pPr>
        <w:pStyle w:val="CETBodytext"/>
        <w:rPr>
          <w:lang w:val="en-GB"/>
        </w:rPr>
      </w:pPr>
      <w:r w:rsidRPr="001B7656">
        <w:rPr>
          <w:lang w:val="en-GB"/>
        </w:rPr>
        <w:t>To simulate the BLEVE</w:t>
      </w:r>
      <w:r w:rsidR="005778F4">
        <w:rPr>
          <w:lang w:val="en-GB"/>
        </w:rPr>
        <w:t xml:space="preserve"> using</w:t>
      </w:r>
      <w:r w:rsidRPr="001B7656">
        <w:rPr>
          <w:lang w:val="en-GB"/>
        </w:rPr>
        <w:t xml:space="preserve"> PHAST</w:t>
      </w:r>
      <w:r w:rsidR="005778F4">
        <w:rPr>
          <w:lang w:val="en-GB"/>
        </w:rPr>
        <w:t>,</w:t>
      </w:r>
      <w:r w:rsidRPr="001B7656">
        <w:rPr>
          <w:lang w:val="en-GB"/>
        </w:rPr>
        <w:t xml:space="preserve"> it is possible to set the pressure inside the tank, the temperature of the substance and the bubble point. The mass of the substance contained inside the tank is not an input, hence, to </w:t>
      </w:r>
      <w:r w:rsidR="005778F4">
        <w:rPr>
          <w:lang w:val="en-GB"/>
        </w:rPr>
        <w:t>reach</w:t>
      </w:r>
      <w:r w:rsidRPr="001B7656">
        <w:rPr>
          <w:lang w:val="en-GB"/>
        </w:rPr>
        <w:t xml:space="preserve"> </w:t>
      </w:r>
      <w:r w:rsidR="005778F4">
        <w:rPr>
          <w:lang w:val="en-GB"/>
        </w:rPr>
        <w:t>its desire value</w:t>
      </w:r>
      <w:r w:rsidRPr="001B7656">
        <w:rPr>
          <w:lang w:val="en-GB"/>
        </w:rPr>
        <w:t xml:space="preserve"> the other conditions such as pressure, temperature and liquid </w:t>
      </w:r>
      <w:r w:rsidR="008C3396">
        <w:rPr>
          <w:lang w:val="en-GB"/>
        </w:rPr>
        <w:t xml:space="preserve">mole </w:t>
      </w:r>
      <w:r w:rsidRPr="001B7656">
        <w:rPr>
          <w:lang w:val="en-GB"/>
        </w:rPr>
        <w:t>fraction should be changed. When the substance is in the supercritical state, only the temperature can be varied</w:t>
      </w:r>
      <w:r w:rsidR="00D73DEE">
        <w:rPr>
          <w:lang w:val="en-GB"/>
        </w:rPr>
        <w:t xml:space="preserve"> </w:t>
      </w:r>
      <w:r w:rsidR="00D73DEE" w:rsidRPr="001B7656">
        <w:rPr>
          <w:lang w:val="en-GB"/>
        </w:rPr>
        <w:t xml:space="preserve">to set the mass at </w:t>
      </w:r>
      <w:r w:rsidR="00D73DEE">
        <w:rPr>
          <w:lang w:val="en-GB"/>
        </w:rPr>
        <w:t>fixed</w:t>
      </w:r>
      <w:r w:rsidR="00D73DEE" w:rsidRPr="001B7656">
        <w:rPr>
          <w:lang w:val="en-GB"/>
        </w:rPr>
        <w:t xml:space="preserve"> pressure</w:t>
      </w:r>
      <w:r w:rsidRPr="001B7656">
        <w:rPr>
          <w:lang w:val="en-GB"/>
        </w:rPr>
        <w:t>. When the pressure is 11.9 bar</w:t>
      </w:r>
      <w:r w:rsidRPr="001B7656">
        <w:rPr>
          <w:vertAlign w:val="subscript"/>
          <w:lang w:val="en-GB"/>
        </w:rPr>
        <w:t>g</w:t>
      </w:r>
      <w:r w:rsidRPr="001B7656">
        <w:rPr>
          <w:lang w:val="en-GB"/>
        </w:rPr>
        <w:t xml:space="preserve"> inside the tank, the minimum and maximum value</w:t>
      </w:r>
      <w:r w:rsidR="00D73DEE">
        <w:rPr>
          <w:lang w:val="en-GB"/>
        </w:rPr>
        <w:t>s</w:t>
      </w:r>
      <w:r w:rsidRPr="001B7656">
        <w:rPr>
          <w:lang w:val="en-GB"/>
        </w:rPr>
        <w:t xml:space="preserve"> of the mass that can be reach are almost 26 and 40 kg respectively, due to the density of the vapour and the liquid at </w:t>
      </w:r>
      <w:r w:rsidR="0055429B">
        <w:rPr>
          <w:lang w:val="en-GB"/>
        </w:rPr>
        <w:t>this pressure</w:t>
      </w:r>
      <w:r w:rsidRPr="001B7656">
        <w:rPr>
          <w:lang w:val="en-GB"/>
        </w:rPr>
        <w:t>. For th</w:t>
      </w:r>
      <w:r w:rsidR="0055429B">
        <w:rPr>
          <w:lang w:val="en-GB"/>
        </w:rPr>
        <w:t>is</w:t>
      </w:r>
      <w:r w:rsidRPr="001B7656">
        <w:rPr>
          <w:lang w:val="en-GB"/>
        </w:rPr>
        <w:t xml:space="preserve"> reason, 26, 30 and 40 kg have been chosen as values of the hydrogen mass contained in the tank. In </w:t>
      </w:r>
      <w:r w:rsidR="006306AA" w:rsidRPr="001B7656">
        <w:rPr>
          <w:highlight w:val="yellow"/>
          <w:lang w:val="en-GB"/>
        </w:rPr>
        <w:fldChar w:fldCharType="begin"/>
      </w:r>
      <w:r w:rsidR="006306AA" w:rsidRPr="001B7656">
        <w:rPr>
          <w:lang w:val="en-GB"/>
        </w:rPr>
        <w:instrText xml:space="preserve"> REF _Ref533163494 \h </w:instrText>
      </w:r>
      <w:r w:rsidR="006306AA" w:rsidRPr="001B7656">
        <w:rPr>
          <w:highlight w:val="yellow"/>
          <w:lang w:val="en-GB"/>
        </w:rPr>
      </w:r>
      <w:r w:rsidR="006306AA" w:rsidRPr="001B7656">
        <w:rPr>
          <w:highlight w:val="yellow"/>
          <w:lang w:val="en-GB"/>
        </w:rPr>
        <w:fldChar w:fldCharType="separate"/>
      </w:r>
      <w:r w:rsidR="00844DAD" w:rsidRPr="001B7656">
        <w:t xml:space="preserve">Table </w:t>
      </w:r>
      <w:r w:rsidR="00844DAD">
        <w:rPr>
          <w:noProof/>
        </w:rPr>
        <w:t>2</w:t>
      </w:r>
      <w:r w:rsidR="006306AA" w:rsidRPr="001B7656">
        <w:rPr>
          <w:highlight w:val="yellow"/>
          <w:lang w:val="en-GB"/>
        </w:rPr>
        <w:fldChar w:fldCharType="end"/>
      </w:r>
      <w:r w:rsidRPr="001B7656">
        <w:rPr>
          <w:lang w:val="en-GB"/>
        </w:rPr>
        <w:t>, the initial conditions of the different simulation have been collected.</w:t>
      </w:r>
    </w:p>
    <w:p w14:paraId="59522DDD" w14:textId="4BBF3380" w:rsidR="006306AA" w:rsidRPr="001B7656" w:rsidRDefault="006306AA" w:rsidP="006306AA">
      <w:pPr>
        <w:pStyle w:val="CETTabletitle"/>
      </w:pPr>
      <w:bookmarkStart w:id="7" w:name="_Ref533163494"/>
      <w:r w:rsidRPr="001B7656">
        <w:t xml:space="preserve">Table </w:t>
      </w:r>
      <w:r w:rsidRPr="001B7656">
        <w:fldChar w:fldCharType="begin"/>
      </w:r>
      <w:r w:rsidRPr="001B7656">
        <w:instrText xml:space="preserve"> SEQ Table \* ARABIC </w:instrText>
      </w:r>
      <w:r w:rsidRPr="001B7656">
        <w:fldChar w:fldCharType="separate"/>
      </w:r>
      <w:r w:rsidR="00844DAD">
        <w:rPr>
          <w:noProof/>
        </w:rPr>
        <w:t>2</w:t>
      </w:r>
      <w:r w:rsidRPr="001B7656">
        <w:fldChar w:fldCharType="end"/>
      </w:r>
      <w:bookmarkEnd w:id="7"/>
      <w:r w:rsidRPr="001B7656">
        <w:t>: Initial conditions of the different BLEVE consequence analysis scenarios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709"/>
        <w:gridCol w:w="1276"/>
        <w:gridCol w:w="1134"/>
        <w:gridCol w:w="1134"/>
      </w:tblGrid>
      <w:tr w:rsidR="00F36C56" w:rsidRPr="001B7656" w14:paraId="7CCF34AA" w14:textId="77777777" w:rsidTr="00DD5F5C">
        <w:tc>
          <w:tcPr>
            <w:tcW w:w="1134" w:type="dxa"/>
            <w:tcBorders>
              <w:top w:val="single" w:sz="12" w:space="0" w:color="008000"/>
              <w:bottom w:val="single" w:sz="6" w:space="0" w:color="008000"/>
            </w:tcBorders>
            <w:shd w:val="clear" w:color="auto" w:fill="FFFFFF"/>
          </w:tcPr>
          <w:p w14:paraId="40B6602F" w14:textId="77777777" w:rsidR="00F36C56" w:rsidRPr="001B7656" w:rsidRDefault="00F36C56" w:rsidP="00DD5F5C">
            <w:pPr>
              <w:pStyle w:val="CETBodytext"/>
              <w:rPr>
                <w:lang w:val="en-GB"/>
              </w:rPr>
            </w:pPr>
            <w:r w:rsidRPr="001B7656">
              <w:rPr>
                <w:lang w:val="en-GB"/>
              </w:rPr>
              <w:t>Pressure (bar</w:t>
            </w:r>
            <w:r w:rsidRPr="001B7656">
              <w:rPr>
                <w:vertAlign w:val="subscript"/>
                <w:lang w:val="en-GB"/>
              </w:rPr>
              <w:t>g</w:t>
            </w:r>
            <w:r w:rsidRPr="001B7656">
              <w:rPr>
                <w:lang w:val="en-GB"/>
              </w:rPr>
              <w:t>)</w:t>
            </w:r>
          </w:p>
        </w:tc>
        <w:tc>
          <w:tcPr>
            <w:tcW w:w="709" w:type="dxa"/>
            <w:tcBorders>
              <w:top w:val="single" w:sz="12" w:space="0" w:color="008000"/>
              <w:bottom w:val="single" w:sz="6" w:space="0" w:color="008000"/>
            </w:tcBorders>
            <w:shd w:val="clear" w:color="auto" w:fill="FFFFFF"/>
          </w:tcPr>
          <w:p w14:paraId="2F94D04E" w14:textId="77777777" w:rsidR="00F36C56" w:rsidRPr="001B7656" w:rsidRDefault="00F36C56" w:rsidP="00DD5F5C">
            <w:pPr>
              <w:pStyle w:val="CETBodytext"/>
              <w:rPr>
                <w:lang w:val="en-GB"/>
              </w:rPr>
            </w:pPr>
            <w:r w:rsidRPr="001B7656">
              <w:rPr>
                <w:lang w:val="en-GB"/>
              </w:rPr>
              <w:t>Mass (kg)</w:t>
            </w:r>
          </w:p>
        </w:tc>
        <w:tc>
          <w:tcPr>
            <w:tcW w:w="1276" w:type="dxa"/>
            <w:tcBorders>
              <w:top w:val="single" w:sz="12" w:space="0" w:color="008000"/>
              <w:bottom w:val="single" w:sz="6" w:space="0" w:color="008000"/>
            </w:tcBorders>
            <w:shd w:val="clear" w:color="auto" w:fill="FFFFFF"/>
          </w:tcPr>
          <w:p w14:paraId="7B080305" w14:textId="77777777" w:rsidR="00F36C56" w:rsidRPr="001B7656" w:rsidRDefault="00F36C56" w:rsidP="00DD5F5C">
            <w:pPr>
              <w:pStyle w:val="CETBodytext"/>
              <w:rPr>
                <w:lang w:val="en-GB"/>
              </w:rPr>
            </w:pPr>
            <w:r w:rsidRPr="001B7656">
              <w:rPr>
                <w:lang w:val="en-GB"/>
              </w:rPr>
              <w:t>Temperature (K)</w:t>
            </w:r>
          </w:p>
        </w:tc>
        <w:tc>
          <w:tcPr>
            <w:tcW w:w="1134" w:type="dxa"/>
            <w:tcBorders>
              <w:top w:val="single" w:sz="12" w:space="0" w:color="008000"/>
              <w:bottom w:val="single" w:sz="6" w:space="0" w:color="008000"/>
            </w:tcBorders>
            <w:shd w:val="clear" w:color="auto" w:fill="FFFFFF"/>
          </w:tcPr>
          <w:p w14:paraId="7D68C9FA" w14:textId="77777777" w:rsidR="00F36C56" w:rsidRPr="001B7656" w:rsidRDefault="00F36C56" w:rsidP="00DD5F5C">
            <w:pPr>
              <w:pStyle w:val="CETBodytext"/>
              <w:ind w:right="-1"/>
              <w:rPr>
                <w:rFonts w:cs="Arial"/>
                <w:szCs w:val="18"/>
                <w:lang w:val="en-GB"/>
              </w:rPr>
            </w:pPr>
            <w:r w:rsidRPr="001B7656">
              <w:rPr>
                <w:rFonts w:cs="Arial"/>
                <w:szCs w:val="18"/>
                <w:lang w:val="en-GB"/>
              </w:rPr>
              <w:t>Liquid mole</w:t>
            </w:r>
          </w:p>
          <w:p w14:paraId="38198311" w14:textId="77777777" w:rsidR="00F36C56" w:rsidRPr="001B7656" w:rsidRDefault="00F36C56" w:rsidP="00DD5F5C">
            <w:pPr>
              <w:pStyle w:val="CETBodytext"/>
              <w:ind w:right="-1"/>
              <w:rPr>
                <w:rFonts w:cs="Arial"/>
                <w:szCs w:val="18"/>
                <w:lang w:val="en-GB"/>
              </w:rPr>
            </w:pPr>
            <w:r w:rsidRPr="001B7656">
              <w:rPr>
                <w:rFonts w:cs="Arial"/>
                <w:szCs w:val="18"/>
                <w:lang w:val="en-GB"/>
              </w:rPr>
              <w:t>fraction</w:t>
            </w:r>
          </w:p>
        </w:tc>
        <w:tc>
          <w:tcPr>
            <w:tcW w:w="1134" w:type="dxa"/>
            <w:tcBorders>
              <w:top w:val="single" w:sz="12" w:space="0" w:color="008000"/>
              <w:bottom w:val="single" w:sz="6" w:space="0" w:color="008000"/>
            </w:tcBorders>
            <w:shd w:val="clear" w:color="auto" w:fill="FFFFFF"/>
          </w:tcPr>
          <w:p w14:paraId="45C5F7C5" w14:textId="77777777" w:rsidR="00F36C56" w:rsidRPr="001B7656" w:rsidRDefault="00F36C56" w:rsidP="00DD5F5C">
            <w:pPr>
              <w:pStyle w:val="CETBodytext"/>
              <w:ind w:right="-1"/>
              <w:rPr>
                <w:rFonts w:cs="Arial"/>
                <w:szCs w:val="18"/>
                <w:lang w:val="en-GB"/>
              </w:rPr>
            </w:pPr>
            <w:r w:rsidRPr="001B7656">
              <w:rPr>
                <w:rFonts w:cs="Arial"/>
                <w:szCs w:val="18"/>
                <w:lang w:val="en-GB"/>
              </w:rPr>
              <w:t>Liquid mass</w:t>
            </w:r>
          </w:p>
          <w:p w14:paraId="56BF1D2D" w14:textId="77777777" w:rsidR="00F36C56" w:rsidRPr="001B7656" w:rsidRDefault="00F36C56" w:rsidP="00DD5F5C">
            <w:pPr>
              <w:pStyle w:val="CETBodytext"/>
              <w:ind w:right="-1"/>
              <w:rPr>
                <w:rFonts w:cs="Arial"/>
                <w:szCs w:val="18"/>
                <w:lang w:val="en-GB"/>
              </w:rPr>
            </w:pPr>
            <w:r w:rsidRPr="001B7656">
              <w:rPr>
                <w:rFonts w:cs="Arial"/>
                <w:szCs w:val="18"/>
                <w:lang w:val="en-GB"/>
              </w:rPr>
              <w:t>fraction</w:t>
            </w:r>
          </w:p>
        </w:tc>
      </w:tr>
      <w:tr w:rsidR="00F36C56" w:rsidRPr="001B7656" w14:paraId="0FD5F09D" w14:textId="77777777" w:rsidTr="00DD5F5C">
        <w:tc>
          <w:tcPr>
            <w:tcW w:w="1134" w:type="dxa"/>
            <w:shd w:val="clear" w:color="auto" w:fill="FFFFFF"/>
          </w:tcPr>
          <w:p w14:paraId="34245E7C" w14:textId="77777777" w:rsidR="00F36C56" w:rsidRPr="001B7656" w:rsidRDefault="00F36C56" w:rsidP="00DD5F5C">
            <w:pPr>
              <w:pStyle w:val="CETBodytext"/>
              <w:rPr>
                <w:lang w:val="en-GB"/>
              </w:rPr>
            </w:pPr>
            <w:r w:rsidRPr="001B7656">
              <w:rPr>
                <w:lang w:val="en-GB"/>
              </w:rPr>
              <w:t>9</w:t>
            </w:r>
          </w:p>
        </w:tc>
        <w:tc>
          <w:tcPr>
            <w:tcW w:w="709" w:type="dxa"/>
            <w:shd w:val="clear" w:color="auto" w:fill="FFFFFF"/>
          </w:tcPr>
          <w:p w14:paraId="72499748" w14:textId="77777777" w:rsidR="00F36C56" w:rsidRPr="001B7656" w:rsidRDefault="00F36C56" w:rsidP="00DD5F5C">
            <w:pPr>
              <w:pStyle w:val="CETBodytext"/>
              <w:rPr>
                <w:lang w:val="en-GB"/>
              </w:rPr>
            </w:pPr>
            <w:r w:rsidRPr="001B7656">
              <w:rPr>
                <w:lang w:val="en-GB"/>
              </w:rPr>
              <w:t>26</w:t>
            </w:r>
          </w:p>
        </w:tc>
        <w:tc>
          <w:tcPr>
            <w:tcW w:w="1276" w:type="dxa"/>
            <w:shd w:val="clear" w:color="auto" w:fill="FFFFFF"/>
          </w:tcPr>
          <w:p w14:paraId="0C3D9600" w14:textId="77777777" w:rsidR="00F36C56" w:rsidRPr="001B7656" w:rsidRDefault="00F36C56" w:rsidP="00DD5F5C">
            <w:pPr>
              <w:pStyle w:val="CETBodytext"/>
              <w:rPr>
                <w:lang w:val="en-GB"/>
              </w:rPr>
            </w:pPr>
            <w:r w:rsidRPr="001B7656">
              <w:rPr>
                <w:lang w:val="en-GB"/>
              </w:rPr>
              <w:t>31.3</w:t>
            </w:r>
          </w:p>
        </w:tc>
        <w:tc>
          <w:tcPr>
            <w:tcW w:w="1134" w:type="dxa"/>
            <w:shd w:val="clear" w:color="auto" w:fill="FFFFFF"/>
          </w:tcPr>
          <w:p w14:paraId="31B046C2" w14:textId="77777777" w:rsidR="00F36C56" w:rsidRPr="001B7656" w:rsidRDefault="00F36C56" w:rsidP="00DD5F5C">
            <w:pPr>
              <w:pStyle w:val="CETBodytext"/>
              <w:ind w:right="-1"/>
              <w:rPr>
                <w:rFonts w:cs="Arial"/>
                <w:szCs w:val="18"/>
                <w:lang w:val="en-GB"/>
              </w:rPr>
            </w:pPr>
            <w:r w:rsidRPr="001B7656">
              <w:rPr>
                <w:rFonts w:cs="Arial"/>
                <w:szCs w:val="18"/>
                <w:lang w:val="en-GB"/>
              </w:rPr>
              <w:t>0.33</w:t>
            </w:r>
          </w:p>
        </w:tc>
        <w:tc>
          <w:tcPr>
            <w:tcW w:w="1134" w:type="dxa"/>
            <w:shd w:val="clear" w:color="auto" w:fill="FFFFFF"/>
          </w:tcPr>
          <w:p w14:paraId="52974243" w14:textId="77777777" w:rsidR="00F36C56" w:rsidRPr="001B7656" w:rsidRDefault="00F36C56" w:rsidP="00DD5F5C">
            <w:pPr>
              <w:pStyle w:val="CETBodytext"/>
              <w:ind w:right="-1"/>
              <w:rPr>
                <w:rFonts w:cs="Arial"/>
                <w:szCs w:val="18"/>
                <w:lang w:val="en-GB"/>
              </w:rPr>
            </w:pPr>
            <w:r w:rsidRPr="001B7656">
              <w:rPr>
                <w:rFonts w:cs="Arial"/>
                <w:szCs w:val="18"/>
                <w:lang w:val="en-GB"/>
              </w:rPr>
              <w:t>0.64</w:t>
            </w:r>
          </w:p>
        </w:tc>
      </w:tr>
      <w:tr w:rsidR="00F36C56" w:rsidRPr="001B7656" w14:paraId="5811C0BC" w14:textId="77777777" w:rsidTr="00DD5F5C">
        <w:tc>
          <w:tcPr>
            <w:tcW w:w="1134" w:type="dxa"/>
            <w:shd w:val="clear" w:color="auto" w:fill="FFFFFF"/>
          </w:tcPr>
          <w:p w14:paraId="1D7C7C92" w14:textId="77777777" w:rsidR="00F36C56" w:rsidRPr="001B7656" w:rsidRDefault="00F36C56" w:rsidP="00DD5F5C">
            <w:pPr>
              <w:pStyle w:val="CETBodytext"/>
              <w:rPr>
                <w:lang w:val="en-GB"/>
              </w:rPr>
            </w:pPr>
          </w:p>
        </w:tc>
        <w:tc>
          <w:tcPr>
            <w:tcW w:w="709" w:type="dxa"/>
            <w:shd w:val="clear" w:color="auto" w:fill="FFFFFF"/>
          </w:tcPr>
          <w:p w14:paraId="4BC3B618" w14:textId="77777777" w:rsidR="00F36C56" w:rsidRPr="001B7656" w:rsidRDefault="00F36C56" w:rsidP="00DD5F5C">
            <w:pPr>
              <w:pStyle w:val="CETBodytext"/>
              <w:rPr>
                <w:lang w:val="en-GB"/>
              </w:rPr>
            </w:pPr>
            <w:r w:rsidRPr="001B7656">
              <w:rPr>
                <w:lang w:val="en-GB"/>
              </w:rPr>
              <w:t>30</w:t>
            </w:r>
          </w:p>
        </w:tc>
        <w:tc>
          <w:tcPr>
            <w:tcW w:w="1276" w:type="dxa"/>
            <w:shd w:val="clear" w:color="auto" w:fill="FFFFFF"/>
          </w:tcPr>
          <w:p w14:paraId="2E2D9461" w14:textId="77777777" w:rsidR="00F36C56" w:rsidRPr="001B7656" w:rsidRDefault="00F36C56" w:rsidP="00DD5F5C">
            <w:pPr>
              <w:pStyle w:val="CETBodytext"/>
              <w:rPr>
                <w:lang w:val="en-GB"/>
              </w:rPr>
            </w:pPr>
          </w:p>
        </w:tc>
        <w:tc>
          <w:tcPr>
            <w:tcW w:w="1134" w:type="dxa"/>
            <w:shd w:val="clear" w:color="auto" w:fill="FFFFFF"/>
          </w:tcPr>
          <w:p w14:paraId="25A22907" w14:textId="77777777" w:rsidR="00F36C56" w:rsidRPr="001B7656" w:rsidRDefault="00F36C56" w:rsidP="00DD5F5C">
            <w:pPr>
              <w:pStyle w:val="CETBodytext"/>
              <w:ind w:right="-1"/>
              <w:rPr>
                <w:rFonts w:cs="Arial"/>
                <w:szCs w:val="18"/>
                <w:lang w:val="en-GB"/>
              </w:rPr>
            </w:pPr>
            <w:r w:rsidRPr="001B7656">
              <w:rPr>
                <w:rFonts w:cs="Arial"/>
                <w:szCs w:val="18"/>
                <w:lang w:val="en-GB"/>
              </w:rPr>
              <w:t>0.44</w:t>
            </w:r>
          </w:p>
        </w:tc>
        <w:tc>
          <w:tcPr>
            <w:tcW w:w="1134" w:type="dxa"/>
            <w:shd w:val="clear" w:color="auto" w:fill="FFFFFF"/>
          </w:tcPr>
          <w:p w14:paraId="590CB893" w14:textId="77777777" w:rsidR="00F36C56" w:rsidRPr="001B7656" w:rsidRDefault="00F36C56" w:rsidP="00DD5F5C">
            <w:pPr>
              <w:pStyle w:val="CETBodytext"/>
              <w:ind w:right="-1"/>
              <w:rPr>
                <w:rFonts w:cs="Arial"/>
                <w:szCs w:val="18"/>
                <w:lang w:val="en-GB"/>
              </w:rPr>
            </w:pPr>
            <w:r w:rsidRPr="001B7656">
              <w:rPr>
                <w:rFonts w:cs="Arial"/>
                <w:szCs w:val="18"/>
                <w:lang w:val="en-GB"/>
              </w:rPr>
              <w:t>0.74</w:t>
            </w:r>
          </w:p>
        </w:tc>
      </w:tr>
      <w:tr w:rsidR="00F36C56" w:rsidRPr="001B7656" w14:paraId="65618EBE" w14:textId="77777777" w:rsidTr="00DD5F5C">
        <w:tc>
          <w:tcPr>
            <w:tcW w:w="1134" w:type="dxa"/>
            <w:shd w:val="clear" w:color="auto" w:fill="FFFFFF"/>
          </w:tcPr>
          <w:p w14:paraId="3C1BC443" w14:textId="77777777" w:rsidR="00F36C56" w:rsidRPr="001B7656" w:rsidRDefault="00F36C56" w:rsidP="00DD5F5C">
            <w:pPr>
              <w:pStyle w:val="CETBodytext"/>
              <w:rPr>
                <w:lang w:val="en-GB"/>
              </w:rPr>
            </w:pPr>
          </w:p>
        </w:tc>
        <w:tc>
          <w:tcPr>
            <w:tcW w:w="709" w:type="dxa"/>
            <w:shd w:val="clear" w:color="auto" w:fill="FFFFFF"/>
          </w:tcPr>
          <w:p w14:paraId="104521A0" w14:textId="77777777" w:rsidR="00F36C56" w:rsidRPr="001B7656" w:rsidRDefault="00F36C56" w:rsidP="00DD5F5C">
            <w:pPr>
              <w:pStyle w:val="CETBodytext"/>
              <w:rPr>
                <w:lang w:val="en-GB"/>
              </w:rPr>
            </w:pPr>
            <w:r w:rsidRPr="001B7656">
              <w:rPr>
                <w:lang w:val="en-GB"/>
              </w:rPr>
              <w:t>40</w:t>
            </w:r>
          </w:p>
        </w:tc>
        <w:tc>
          <w:tcPr>
            <w:tcW w:w="1276" w:type="dxa"/>
            <w:shd w:val="clear" w:color="auto" w:fill="FFFFFF"/>
          </w:tcPr>
          <w:p w14:paraId="47279E16" w14:textId="77777777" w:rsidR="00F36C56" w:rsidRPr="001B7656" w:rsidRDefault="00F36C56" w:rsidP="00DD5F5C">
            <w:pPr>
              <w:pStyle w:val="CETBodytext"/>
              <w:rPr>
                <w:lang w:val="en-GB"/>
              </w:rPr>
            </w:pPr>
          </w:p>
        </w:tc>
        <w:tc>
          <w:tcPr>
            <w:tcW w:w="1134" w:type="dxa"/>
            <w:shd w:val="clear" w:color="auto" w:fill="FFFFFF"/>
          </w:tcPr>
          <w:p w14:paraId="55E89D37" w14:textId="77777777" w:rsidR="00F36C56" w:rsidRPr="001B7656" w:rsidRDefault="00F36C56" w:rsidP="00DD5F5C">
            <w:pPr>
              <w:pStyle w:val="CETBodytext"/>
              <w:ind w:right="-1"/>
              <w:rPr>
                <w:rFonts w:cs="Arial"/>
                <w:szCs w:val="18"/>
                <w:lang w:val="en-GB"/>
              </w:rPr>
            </w:pPr>
            <w:r w:rsidRPr="001B7656">
              <w:rPr>
                <w:rFonts w:cs="Arial"/>
                <w:szCs w:val="18"/>
                <w:lang w:val="en-GB"/>
              </w:rPr>
              <w:t>0.71</w:t>
            </w:r>
          </w:p>
        </w:tc>
        <w:tc>
          <w:tcPr>
            <w:tcW w:w="1134" w:type="dxa"/>
            <w:shd w:val="clear" w:color="auto" w:fill="FFFFFF"/>
          </w:tcPr>
          <w:p w14:paraId="57E41E0C" w14:textId="77777777" w:rsidR="00F36C56" w:rsidRPr="001B7656" w:rsidRDefault="00F36C56" w:rsidP="00DD5F5C">
            <w:pPr>
              <w:pStyle w:val="CETBodytext"/>
              <w:ind w:right="-1"/>
              <w:rPr>
                <w:rFonts w:cs="Arial"/>
                <w:szCs w:val="18"/>
                <w:lang w:val="en-GB"/>
              </w:rPr>
            </w:pPr>
            <w:r w:rsidRPr="001B7656">
              <w:rPr>
                <w:rFonts w:cs="Arial"/>
                <w:szCs w:val="18"/>
                <w:lang w:val="en-GB"/>
              </w:rPr>
              <w:t>0.90</w:t>
            </w:r>
          </w:p>
        </w:tc>
      </w:tr>
      <w:tr w:rsidR="00F36C56" w:rsidRPr="001B7656" w14:paraId="2783AE7B" w14:textId="77777777" w:rsidTr="00DD5F5C">
        <w:tc>
          <w:tcPr>
            <w:tcW w:w="1134" w:type="dxa"/>
            <w:shd w:val="clear" w:color="auto" w:fill="FFFFFF"/>
          </w:tcPr>
          <w:p w14:paraId="6AAE0DCD" w14:textId="77777777" w:rsidR="00F36C56" w:rsidRPr="001B7656" w:rsidRDefault="00F36C56" w:rsidP="00DD5F5C">
            <w:pPr>
              <w:pStyle w:val="CETBodytext"/>
              <w:rPr>
                <w:lang w:val="en-GB"/>
              </w:rPr>
            </w:pPr>
            <w:r w:rsidRPr="001B7656">
              <w:rPr>
                <w:lang w:val="en-GB"/>
              </w:rPr>
              <w:t>11.9</w:t>
            </w:r>
          </w:p>
        </w:tc>
        <w:tc>
          <w:tcPr>
            <w:tcW w:w="709" w:type="dxa"/>
            <w:shd w:val="clear" w:color="auto" w:fill="FFFFFF"/>
          </w:tcPr>
          <w:p w14:paraId="32545833" w14:textId="77777777" w:rsidR="00F36C56" w:rsidRPr="001B7656" w:rsidRDefault="00F36C56" w:rsidP="00DD5F5C">
            <w:pPr>
              <w:pStyle w:val="CETBodytext"/>
              <w:rPr>
                <w:lang w:val="en-GB"/>
              </w:rPr>
            </w:pPr>
            <w:r w:rsidRPr="001B7656">
              <w:rPr>
                <w:lang w:val="en-GB"/>
              </w:rPr>
              <w:t>26</w:t>
            </w:r>
          </w:p>
        </w:tc>
        <w:tc>
          <w:tcPr>
            <w:tcW w:w="1276" w:type="dxa"/>
            <w:shd w:val="clear" w:color="auto" w:fill="FFFFFF"/>
          </w:tcPr>
          <w:p w14:paraId="68C8777D" w14:textId="77777777" w:rsidR="00F36C56" w:rsidRPr="001B7656" w:rsidRDefault="00F36C56" w:rsidP="00DD5F5C">
            <w:pPr>
              <w:pStyle w:val="CETBodytext"/>
              <w:rPr>
                <w:lang w:val="en-GB"/>
              </w:rPr>
            </w:pPr>
            <w:r w:rsidRPr="001B7656">
              <w:rPr>
                <w:lang w:val="en-GB"/>
              </w:rPr>
              <w:t>33.0</w:t>
            </w:r>
          </w:p>
        </w:tc>
        <w:tc>
          <w:tcPr>
            <w:tcW w:w="1134" w:type="dxa"/>
            <w:shd w:val="clear" w:color="auto" w:fill="FFFFFF"/>
          </w:tcPr>
          <w:p w14:paraId="6D9CE3E1" w14:textId="77777777" w:rsidR="00F36C56" w:rsidRPr="001B7656" w:rsidRDefault="00F36C56" w:rsidP="00DD5F5C">
            <w:pPr>
              <w:pStyle w:val="CETBodytext"/>
              <w:ind w:right="-1"/>
              <w:rPr>
                <w:rFonts w:cs="Arial"/>
                <w:szCs w:val="18"/>
                <w:lang w:val="en-GB"/>
              </w:rPr>
            </w:pPr>
            <w:r w:rsidRPr="001B7656">
              <w:rPr>
                <w:rFonts w:cs="Arial"/>
                <w:szCs w:val="18"/>
                <w:lang w:val="en-GB"/>
              </w:rPr>
              <w:t>0.05</w:t>
            </w:r>
          </w:p>
        </w:tc>
        <w:tc>
          <w:tcPr>
            <w:tcW w:w="1134" w:type="dxa"/>
            <w:shd w:val="clear" w:color="auto" w:fill="FFFFFF"/>
          </w:tcPr>
          <w:p w14:paraId="36DF170A" w14:textId="77777777" w:rsidR="00F36C56" w:rsidRPr="001B7656" w:rsidRDefault="00F36C56" w:rsidP="00DD5F5C">
            <w:pPr>
              <w:pStyle w:val="CETBodytext"/>
              <w:ind w:right="-1"/>
              <w:rPr>
                <w:rFonts w:cs="Arial"/>
                <w:szCs w:val="18"/>
                <w:lang w:val="en-GB"/>
              </w:rPr>
            </w:pPr>
            <w:r w:rsidRPr="001B7656">
              <w:rPr>
                <w:rFonts w:cs="Arial"/>
                <w:szCs w:val="18"/>
                <w:lang w:val="en-GB"/>
              </w:rPr>
              <w:t>0.08</w:t>
            </w:r>
          </w:p>
        </w:tc>
      </w:tr>
      <w:tr w:rsidR="00F36C56" w:rsidRPr="001B7656" w14:paraId="0123E838" w14:textId="77777777" w:rsidTr="00DD5F5C">
        <w:tc>
          <w:tcPr>
            <w:tcW w:w="1134" w:type="dxa"/>
            <w:shd w:val="clear" w:color="auto" w:fill="FFFFFF"/>
          </w:tcPr>
          <w:p w14:paraId="01C961FB" w14:textId="77777777" w:rsidR="00F36C56" w:rsidRPr="001B7656" w:rsidRDefault="00F36C56" w:rsidP="00DD5F5C">
            <w:pPr>
              <w:pStyle w:val="CETBodytext"/>
              <w:rPr>
                <w:lang w:val="en-GB"/>
              </w:rPr>
            </w:pPr>
          </w:p>
        </w:tc>
        <w:tc>
          <w:tcPr>
            <w:tcW w:w="709" w:type="dxa"/>
            <w:shd w:val="clear" w:color="auto" w:fill="FFFFFF"/>
          </w:tcPr>
          <w:p w14:paraId="25C07DA0" w14:textId="77777777" w:rsidR="00F36C56" w:rsidRPr="001B7656" w:rsidRDefault="00F36C56" w:rsidP="00DD5F5C">
            <w:pPr>
              <w:pStyle w:val="CETBodytext"/>
              <w:rPr>
                <w:lang w:val="en-GB"/>
              </w:rPr>
            </w:pPr>
            <w:r w:rsidRPr="001B7656">
              <w:rPr>
                <w:lang w:val="en-GB"/>
              </w:rPr>
              <w:t>30</w:t>
            </w:r>
          </w:p>
        </w:tc>
        <w:tc>
          <w:tcPr>
            <w:tcW w:w="1276" w:type="dxa"/>
            <w:shd w:val="clear" w:color="auto" w:fill="FFFFFF"/>
          </w:tcPr>
          <w:p w14:paraId="64A039BE" w14:textId="77777777" w:rsidR="00F36C56" w:rsidRPr="001B7656" w:rsidRDefault="00F36C56" w:rsidP="00DD5F5C">
            <w:pPr>
              <w:pStyle w:val="CETBodytext"/>
              <w:rPr>
                <w:lang w:val="en-GB"/>
              </w:rPr>
            </w:pPr>
          </w:p>
        </w:tc>
        <w:tc>
          <w:tcPr>
            <w:tcW w:w="1134" w:type="dxa"/>
            <w:shd w:val="clear" w:color="auto" w:fill="FFFFFF"/>
          </w:tcPr>
          <w:p w14:paraId="71D41DF7" w14:textId="77777777" w:rsidR="00F36C56" w:rsidRPr="001B7656" w:rsidRDefault="00F36C56" w:rsidP="00DD5F5C">
            <w:pPr>
              <w:pStyle w:val="CETBodytext"/>
              <w:ind w:right="-1"/>
              <w:rPr>
                <w:rFonts w:cs="Arial"/>
                <w:szCs w:val="18"/>
                <w:lang w:val="en-GB"/>
              </w:rPr>
            </w:pPr>
            <w:r w:rsidRPr="001B7656">
              <w:rPr>
                <w:rFonts w:cs="Arial"/>
                <w:szCs w:val="18"/>
                <w:lang w:val="en-GB"/>
              </w:rPr>
              <w:t>0.35</w:t>
            </w:r>
          </w:p>
        </w:tc>
        <w:tc>
          <w:tcPr>
            <w:tcW w:w="1134" w:type="dxa"/>
            <w:shd w:val="clear" w:color="auto" w:fill="FFFFFF"/>
          </w:tcPr>
          <w:p w14:paraId="718E74CE" w14:textId="77777777" w:rsidR="00F36C56" w:rsidRPr="001B7656" w:rsidRDefault="00F36C56" w:rsidP="00DD5F5C">
            <w:pPr>
              <w:pStyle w:val="CETBodytext"/>
              <w:ind w:right="-1"/>
              <w:rPr>
                <w:rFonts w:cs="Arial"/>
                <w:szCs w:val="18"/>
                <w:lang w:val="en-GB"/>
              </w:rPr>
            </w:pPr>
            <w:r w:rsidRPr="001B7656">
              <w:rPr>
                <w:rFonts w:cs="Arial"/>
                <w:szCs w:val="18"/>
                <w:lang w:val="en-GB"/>
              </w:rPr>
              <w:t>0.46</w:t>
            </w:r>
          </w:p>
        </w:tc>
      </w:tr>
      <w:tr w:rsidR="00F36C56" w:rsidRPr="001B7656" w14:paraId="38FEEEDB" w14:textId="77777777" w:rsidTr="00DD5F5C">
        <w:tc>
          <w:tcPr>
            <w:tcW w:w="1134" w:type="dxa"/>
            <w:shd w:val="clear" w:color="auto" w:fill="FFFFFF"/>
          </w:tcPr>
          <w:p w14:paraId="599056AD" w14:textId="77777777" w:rsidR="00F36C56" w:rsidRPr="001B7656" w:rsidRDefault="00F36C56" w:rsidP="00DD5F5C">
            <w:pPr>
              <w:pStyle w:val="CETBodytext"/>
              <w:rPr>
                <w:lang w:val="en-GB"/>
              </w:rPr>
            </w:pPr>
          </w:p>
        </w:tc>
        <w:tc>
          <w:tcPr>
            <w:tcW w:w="709" w:type="dxa"/>
            <w:shd w:val="clear" w:color="auto" w:fill="FFFFFF"/>
          </w:tcPr>
          <w:p w14:paraId="115A1CBE" w14:textId="77777777" w:rsidR="00F36C56" w:rsidRPr="001B7656" w:rsidRDefault="00F36C56" w:rsidP="00DD5F5C">
            <w:pPr>
              <w:pStyle w:val="CETBodytext"/>
              <w:rPr>
                <w:lang w:val="en-GB"/>
              </w:rPr>
            </w:pPr>
            <w:r w:rsidRPr="001B7656">
              <w:rPr>
                <w:lang w:val="en-GB"/>
              </w:rPr>
              <w:t>40</w:t>
            </w:r>
          </w:p>
        </w:tc>
        <w:tc>
          <w:tcPr>
            <w:tcW w:w="1276" w:type="dxa"/>
            <w:shd w:val="clear" w:color="auto" w:fill="FFFFFF"/>
          </w:tcPr>
          <w:p w14:paraId="490D678F" w14:textId="77777777" w:rsidR="00F36C56" w:rsidRPr="001B7656" w:rsidRDefault="00F36C56" w:rsidP="00DD5F5C">
            <w:pPr>
              <w:pStyle w:val="CETBodytext"/>
              <w:rPr>
                <w:lang w:val="en-GB"/>
              </w:rPr>
            </w:pPr>
          </w:p>
        </w:tc>
        <w:tc>
          <w:tcPr>
            <w:tcW w:w="1134" w:type="dxa"/>
            <w:shd w:val="clear" w:color="auto" w:fill="FFFFFF"/>
          </w:tcPr>
          <w:p w14:paraId="224ABE2E" w14:textId="77777777" w:rsidR="00F36C56" w:rsidRPr="001B7656" w:rsidRDefault="00F36C56" w:rsidP="00DD5F5C">
            <w:pPr>
              <w:pStyle w:val="CETBodytext"/>
              <w:ind w:right="-1"/>
              <w:rPr>
                <w:rFonts w:cs="Arial"/>
                <w:szCs w:val="18"/>
                <w:lang w:val="en-GB"/>
              </w:rPr>
            </w:pPr>
            <w:r w:rsidRPr="001B7656">
              <w:rPr>
                <w:rFonts w:cs="Arial"/>
                <w:szCs w:val="18"/>
                <w:lang w:val="en-GB"/>
              </w:rPr>
              <w:t>0.97</w:t>
            </w:r>
          </w:p>
        </w:tc>
        <w:tc>
          <w:tcPr>
            <w:tcW w:w="1134" w:type="dxa"/>
            <w:shd w:val="clear" w:color="auto" w:fill="FFFFFF"/>
          </w:tcPr>
          <w:p w14:paraId="286EAD66" w14:textId="77777777" w:rsidR="00F36C56" w:rsidRPr="001B7656" w:rsidRDefault="00F36C56" w:rsidP="00DD5F5C">
            <w:pPr>
              <w:pStyle w:val="CETBodytext"/>
              <w:ind w:right="-1"/>
              <w:rPr>
                <w:rFonts w:cs="Arial"/>
                <w:szCs w:val="18"/>
                <w:lang w:val="en-GB"/>
              </w:rPr>
            </w:pPr>
            <w:r w:rsidRPr="001B7656">
              <w:rPr>
                <w:rFonts w:cs="Arial"/>
                <w:szCs w:val="18"/>
                <w:lang w:val="en-GB"/>
              </w:rPr>
              <w:t>0.98</w:t>
            </w:r>
          </w:p>
        </w:tc>
      </w:tr>
      <w:tr w:rsidR="00F36C56" w:rsidRPr="001B7656" w14:paraId="1B4216BC" w14:textId="77777777" w:rsidTr="00DD5F5C">
        <w:tc>
          <w:tcPr>
            <w:tcW w:w="1134" w:type="dxa"/>
            <w:shd w:val="clear" w:color="auto" w:fill="FFFFFF"/>
          </w:tcPr>
          <w:p w14:paraId="271E285E" w14:textId="592B0462" w:rsidR="00F36C56" w:rsidRPr="001B7656" w:rsidRDefault="00F36C56" w:rsidP="00DD5F5C">
            <w:pPr>
              <w:pStyle w:val="CETBodytext"/>
              <w:rPr>
                <w:lang w:val="en-GB"/>
              </w:rPr>
            </w:pPr>
            <w:r w:rsidRPr="001B7656">
              <w:rPr>
                <w:lang w:val="en-GB"/>
              </w:rPr>
              <w:t>3</w:t>
            </w:r>
            <w:r w:rsidR="002B7586">
              <w:rPr>
                <w:lang w:val="en-GB"/>
              </w:rPr>
              <w:t>1</w:t>
            </w:r>
            <w:r w:rsidRPr="001B7656">
              <w:rPr>
                <w:lang w:val="en-GB"/>
              </w:rPr>
              <w:t>.2</w:t>
            </w:r>
          </w:p>
        </w:tc>
        <w:tc>
          <w:tcPr>
            <w:tcW w:w="709" w:type="dxa"/>
            <w:shd w:val="clear" w:color="auto" w:fill="FFFFFF"/>
          </w:tcPr>
          <w:p w14:paraId="4AFF6BB3" w14:textId="77777777" w:rsidR="00F36C56" w:rsidRPr="001B7656" w:rsidRDefault="00F36C56" w:rsidP="00DD5F5C">
            <w:pPr>
              <w:pStyle w:val="CETBodytext"/>
              <w:rPr>
                <w:lang w:val="en-GB"/>
              </w:rPr>
            </w:pPr>
            <w:r w:rsidRPr="001B7656">
              <w:rPr>
                <w:lang w:val="en-GB"/>
              </w:rPr>
              <w:t>26</w:t>
            </w:r>
          </w:p>
        </w:tc>
        <w:tc>
          <w:tcPr>
            <w:tcW w:w="1276" w:type="dxa"/>
            <w:shd w:val="clear" w:color="auto" w:fill="FFFFFF"/>
          </w:tcPr>
          <w:p w14:paraId="43D38BCB" w14:textId="77777777" w:rsidR="00F36C56" w:rsidRPr="001B7656" w:rsidRDefault="00F36C56" w:rsidP="00DD5F5C">
            <w:pPr>
              <w:pStyle w:val="CETBodytext"/>
              <w:rPr>
                <w:lang w:val="en-GB"/>
              </w:rPr>
            </w:pPr>
            <w:r w:rsidRPr="001B7656">
              <w:rPr>
                <w:lang w:val="en-GB"/>
              </w:rPr>
              <w:t>43.0</w:t>
            </w:r>
          </w:p>
        </w:tc>
        <w:tc>
          <w:tcPr>
            <w:tcW w:w="1134" w:type="dxa"/>
            <w:shd w:val="clear" w:color="auto" w:fill="FFFFFF"/>
          </w:tcPr>
          <w:p w14:paraId="25A6B574" w14:textId="77777777" w:rsidR="00F36C56" w:rsidRPr="001B7656" w:rsidRDefault="00F36C56" w:rsidP="00DD5F5C">
            <w:pPr>
              <w:pStyle w:val="CETBodytext"/>
              <w:ind w:right="-1"/>
              <w:rPr>
                <w:rFonts w:cs="Arial"/>
                <w:szCs w:val="18"/>
                <w:lang w:val="en-GB"/>
              </w:rPr>
            </w:pPr>
            <w:r w:rsidRPr="001B7656">
              <w:rPr>
                <w:rFonts w:cs="Arial"/>
                <w:szCs w:val="18"/>
                <w:lang w:val="en-GB"/>
              </w:rPr>
              <w:t>0</w:t>
            </w:r>
          </w:p>
        </w:tc>
        <w:tc>
          <w:tcPr>
            <w:tcW w:w="1134" w:type="dxa"/>
            <w:shd w:val="clear" w:color="auto" w:fill="FFFFFF"/>
          </w:tcPr>
          <w:p w14:paraId="078BDA4B" w14:textId="77777777" w:rsidR="00F36C56" w:rsidRPr="001B7656" w:rsidRDefault="00F36C56" w:rsidP="00DD5F5C">
            <w:pPr>
              <w:pStyle w:val="CETBodytext"/>
              <w:ind w:right="-1"/>
              <w:rPr>
                <w:rFonts w:cs="Arial"/>
                <w:szCs w:val="18"/>
                <w:lang w:val="en-GB"/>
              </w:rPr>
            </w:pPr>
            <w:r w:rsidRPr="001B7656">
              <w:rPr>
                <w:rFonts w:cs="Arial"/>
                <w:szCs w:val="18"/>
                <w:lang w:val="en-GB"/>
              </w:rPr>
              <w:t>0</w:t>
            </w:r>
          </w:p>
        </w:tc>
      </w:tr>
      <w:tr w:rsidR="00F36C56" w:rsidRPr="001B7656" w14:paraId="1AA3A39A" w14:textId="77777777" w:rsidTr="00DD5F5C">
        <w:tc>
          <w:tcPr>
            <w:tcW w:w="1134" w:type="dxa"/>
            <w:shd w:val="clear" w:color="auto" w:fill="FFFFFF"/>
          </w:tcPr>
          <w:p w14:paraId="516EF992" w14:textId="77777777" w:rsidR="00F36C56" w:rsidRPr="001B7656" w:rsidRDefault="00F36C56" w:rsidP="00DD5F5C">
            <w:pPr>
              <w:pStyle w:val="CETBodytext"/>
              <w:rPr>
                <w:lang w:val="en-GB"/>
              </w:rPr>
            </w:pPr>
          </w:p>
        </w:tc>
        <w:tc>
          <w:tcPr>
            <w:tcW w:w="709" w:type="dxa"/>
            <w:shd w:val="clear" w:color="auto" w:fill="FFFFFF"/>
          </w:tcPr>
          <w:p w14:paraId="296936A0" w14:textId="77777777" w:rsidR="00F36C56" w:rsidRPr="001B7656" w:rsidRDefault="00F36C56" w:rsidP="00DD5F5C">
            <w:pPr>
              <w:pStyle w:val="CETBodytext"/>
              <w:rPr>
                <w:lang w:val="en-GB"/>
              </w:rPr>
            </w:pPr>
            <w:r w:rsidRPr="001B7656">
              <w:rPr>
                <w:lang w:val="en-GB"/>
              </w:rPr>
              <w:t>30</w:t>
            </w:r>
          </w:p>
        </w:tc>
        <w:tc>
          <w:tcPr>
            <w:tcW w:w="1276" w:type="dxa"/>
            <w:shd w:val="clear" w:color="auto" w:fill="FFFFFF"/>
          </w:tcPr>
          <w:p w14:paraId="446150C5" w14:textId="77777777" w:rsidR="00F36C56" w:rsidRPr="001B7656" w:rsidRDefault="00F36C56" w:rsidP="00DD5F5C">
            <w:pPr>
              <w:pStyle w:val="CETBodytext"/>
              <w:rPr>
                <w:lang w:val="en-GB"/>
              </w:rPr>
            </w:pPr>
            <w:r w:rsidRPr="001B7656">
              <w:rPr>
                <w:lang w:val="en-GB"/>
              </w:rPr>
              <w:t>40.7</w:t>
            </w:r>
          </w:p>
        </w:tc>
        <w:tc>
          <w:tcPr>
            <w:tcW w:w="1134" w:type="dxa"/>
            <w:shd w:val="clear" w:color="auto" w:fill="FFFFFF"/>
          </w:tcPr>
          <w:p w14:paraId="64647BB1" w14:textId="77777777" w:rsidR="00F36C56" w:rsidRPr="001B7656" w:rsidRDefault="00F36C56" w:rsidP="00DD5F5C">
            <w:pPr>
              <w:pStyle w:val="CETBodytext"/>
              <w:ind w:right="-1"/>
              <w:rPr>
                <w:rFonts w:cs="Arial"/>
                <w:szCs w:val="18"/>
                <w:lang w:val="en-GB"/>
              </w:rPr>
            </w:pPr>
            <w:r w:rsidRPr="001B7656">
              <w:rPr>
                <w:rFonts w:cs="Arial"/>
                <w:szCs w:val="18"/>
                <w:lang w:val="en-GB"/>
              </w:rPr>
              <w:t>0</w:t>
            </w:r>
          </w:p>
        </w:tc>
        <w:tc>
          <w:tcPr>
            <w:tcW w:w="1134" w:type="dxa"/>
            <w:shd w:val="clear" w:color="auto" w:fill="FFFFFF"/>
          </w:tcPr>
          <w:p w14:paraId="7DEA253D" w14:textId="77777777" w:rsidR="00F36C56" w:rsidRPr="001B7656" w:rsidRDefault="00F36C56" w:rsidP="00DD5F5C">
            <w:pPr>
              <w:pStyle w:val="CETBodytext"/>
              <w:ind w:right="-1"/>
              <w:rPr>
                <w:rFonts w:cs="Arial"/>
                <w:szCs w:val="18"/>
                <w:lang w:val="en-GB"/>
              </w:rPr>
            </w:pPr>
            <w:r w:rsidRPr="001B7656">
              <w:rPr>
                <w:rFonts w:cs="Arial"/>
                <w:szCs w:val="18"/>
                <w:lang w:val="en-GB"/>
              </w:rPr>
              <w:t>0</w:t>
            </w:r>
          </w:p>
        </w:tc>
      </w:tr>
      <w:tr w:rsidR="00F36C56" w:rsidRPr="001B7656" w14:paraId="06461A16" w14:textId="77777777" w:rsidTr="00DD5F5C">
        <w:tc>
          <w:tcPr>
            <w:tcW w:w="1134" w:type="dxa"/>
            <w:shd w:val="clear" w:color="auto" w:fill="FFFFFF"/>
          </w:tcPr>
          <w:p w14:paraId="12C809F7" w14:textId="77777777" w:rsidR="00F36C56" w:rsidRPr="001B7656" w:rsidRDefault="00F36C56" w:rsidP="00DD5F5C">
            <w:pPr>
              <w:pStyle w:val="CETBodytext"/>
              <w:ind w:right="-1"/>
              <w:rPr>
                <w:rFonts w:cs="Arial"/>
                <w:szCs w:val="18"/>
                <w:lang w:val="en-GB"/>
              </w:rPr>
            </w:pPr>
          </w:p>
        </w:tc>
        <w:tc>
          <w:tcPr>
            <w:tcW w:w="709" w:type="dxa"/>
            <w:shd w:val="clear" w:color="auto" w:fill="FFFFFF"/>
          </w:tcPr>
          <w:p w14:paraId="1F32F2FE" w14:textId="77777777" w:rsidR="00F36C56" w:rsidRPr="001B7656" w:rsidRDefault="00F36C56" w:rsidP="00DD5F5C">
            <w:pPr>
              <w:pStyle w:val="CETBodytext"/>
              <w:ind w:right="-1"/>
              <w:rPr>
                <w:rFonts w:cs="Arial"/>
                <w:szCs w:val="18"/>
                <w:lang w:val="en-GB"/>
              </w:rPr>
            </w:pPr>
            <w:r w:rsidRPr="001B7656">
              <w:rPr>
                <w:lang w:val="en-GB"/>
              </w:rPr>
              <w:t>40</w:t>
            </w:r>
          </w:p>
        </w:tc>
        <w:tc>
          <w:tcPr>
            <w:tcW w:w="1276" w:type="dxa"/>
            <w:shd w:val="clear" w:color="auto" w:fill="FFFFFF"/>
          </w:tcPr>
          <w:p w14:paraId="00A0BED6" w14:textId="77777777" w:rsidR="00F36C56" w:rsidRPr="001B7656" w:rsidRDefault="00F36C56" w:rsidP="00DD5F5C">
            <w:pPr>
              <w:pStyle w:val="CETBodytext"/>
              <w:ind w:right="-1"/>
              <w:rPr>
                <w:rFonts w:cs="Arial"/>
                <w:szCs w:val="18"/>
                <w:lang w:val="en-GB"/>
              </w:rPr>
            </w:pPr>
            <w:r w:rsidRPr="001B7656">
              <w:rPr>
                <w:rFonts w:cs="Arial"/>
                <w:szCs w:val="18"/>
                <w:lang w:val="en-GB"/>
              </w:rPr>
              <w:t>36.7</w:t>
            </w:r>
          </w:p>
        </w:tc>
        <w:tc>
          <w:tcPr>
            <w:tcW w:w="1134" w:type="dxa"/>
            <w:shd w:val="clear" w:color="auto" w:fill="FFFFFF"/>
          </w:tcPr>
          <w:p w14:paraId="31C5D2F0" w14:textId="77777777" w:rsidR="00F36C56" w:rsidRPr="001B7656" w:rsidRDefault="00F36C56" w:rsidP="00DD5F5C">
            <w:pPr>
              <w:pStyle w:val="CETBodytext"/>
              <w:ind w:right="-1"/>
              <w:rPr>
                <w:rFonts w:cs="Arial"/>
                <w:szCs w:val="18"/>
                <w:lang w:val="en-GB"/>
              </w:rPr>
            </w:pPr>
            <w:r w:rsidRPr="001B7656">
              <w:rPr>
                <w:rFonts w:cs="Arial"/>
                <w:szCs w:val="18"/>
                <w:lang w:val="en-GB"/>
              </w:rPr>
              <w:t>0</w:t>
            </w:r>
          </w:p>
        </w:tc>
        <w:tc>
          <w:tcPr>
            <w:tcW w:w="1134" w:type="dxa"/>
            <w:shd w:val="clear" w:color="auto" w:fill="FFFFFF"/>
          </w:tcPr>
          <w:p w14:paraId="0D3A07B3" w14:textId="77777777" w:rsidR="00F36C56" w:rsidRPr="001B7656" w:rsidRDefault="00F36C56" w:rsidP="00DD5F5C">
            <w:pPr>
              <w:pStyle w:val="CETBodytext"/>
              <w:ind w:right="-1"/>
              <w:rPr>
                <w:rFonts w:cs="Arial"/>
                <w:szCs w:val="18"/>
                <w:lang w:val="en-GB"/>
              </w:rPr>
            </w:pPr>
            <w:r w:rsidRPr="001B7656">
              <w:rPr>
                <w:rFonts w:cs="Arial"/>
                <w:szCs w:val="18"/>
                <w:lang w:val="en-GB"/>
              </w:rPr>
              <w:t>0</w:t>
            </w:r>
          </w:p>
        </w:tc>
      </w:tr>
    </w:tbl>
    <w:p w14:paraId="6481E4A3" w14:textId="77777777" w:rsidR="007E666A" w:rsidRPr="001B7656" w:rsidRDefault="00F36C56" w:rsidP="00F36C56">
      <w:pPr>
        <w:pStyle w:val="CETHeading1"/>
      </w:pPr>
      <w:r w:rsidRPr="001B7656">
        <w:t>Results</w:t>
      </w:r>
    </w:p>
    <w:p w14:paraId="662D3A4C" w14:textId="0DF211B1" w:rsidR="00F36C56" w:rsidRPr="001B7656" w:rsidRDefault="00A4551A" w:rsidP="00F36C56">
      <w:pPr>
        <w:pStyle w:val="CETheadingx"/>
        <w:rPr>
          <w:lang w:val="en-GB"/>
        </w:rPr>
      </w:pPr>
      <w:r>
        <w:rPr>
          <w:lang w:val="en-GB"/>
        </w:rPr>
        <w:t>Results</w:t>
      </w:r>
      <w:r w:rsidR="00F36C56" w:rsidRPr="001B7656">
        <w:rPr>
          <w:lang w:val="en-GB"/>
        </w:rPr>
        <w:t xml:space="preserve"> of DyPASI</w:t>
      </w:r>
      <w:r>
        <w:rPr>
          <w:lang w:val="en-GB"/>
        </w:rPr>
        <w:t xml:space="preserve"> application</w:t>
      </w:r>
      <w:r w:rsidR="00CE4483">
        <w:rPr>
          <w:lang w:val="en-GB"/>
        </w:rPr>
        <w:t xml:space="preserve"> </w:t>
      </w:r>
      <w:r w:rsidR="00741E6B">
        <w:rPr>
          <w:lang w:val="en-GB"/>
        </w:rPr>
        <w:t>to</w:t>
      </w:r>
      <w:r w:rsidR="00CE4483">
        <w:rPr>
          <w:lang w:val="en-GB"/>
        </w:rPr>
        <w:t xml:space="preserve"> LH</w:t>
      </w:r>
      <w:r w:rsidR="00CE4483" w:rsidRPr="00CE4483">
        <w:rPr>
          <w:vertAlign w:val="subscript"/>
          <w:lang w:val="en-GB"/>
        </w:rPr>
        <w:t>2</w:t>
      </w:r>
      <w:r w:rsidR="00CE4483">
        <w:rPr>
          <w:lang w:val="en-GB"/>
        </w:rPr>
        <w:t xml:space="preserve"> technologies</w:t>
      </w:r>
    </w:p>
    <w:p w14:paraId="4EA11B17" w14:textId="1017467D" w:rsidR="001C04AC" w:rsidRDefault="00662D3E" w:rsidP="00EB048C">
      <w:pPr>
        <w:pStyle w:val="CETBodytext"/>
        <w:rPr>
          <w:lang w:val="en-GB"/>
        </w:rPr>
      </w:pPr>
      <w:r w:rsidRPr="00E57975">
        <w:rPr>
          <w:lang w:val="en-GB"/>
        </w:rPr>
        <w:t xml:space="preserve">In the original bow-tie diagram obtained with the MIMAH tool, </w:t>
      </w:r>
      <w:r w:rsidR="001C04AC">
        <w:rPr>
          <w:lang w:val="en-GB"/>
        </w:rPr>
        <w:t>the catastrophic rupture of the cryogenic tank has been chosen as</w:t>
      </w:r>
      <w:r w:rsidRPr="00E57975">
        <w:rPr>
          <w:lang w:val="en-GB"/>
        </w:rPr>
        <w:t xml:space="preserve"> critical event.</w:t>
      </w:r>
      <w:r w:rsidR="001C04AC">
        <w:rPr>
          <w:lang w:val="en-GB"/>
        </w:rPr>
        <w:t xml:space="preserve"> MIMAH</w:t>
      </w:r>
      <w:r w:rsidR="00107731">
        <w:rPr>
          <w:lang w:val="en-GB"/>
        </w:rPr>
        <w:t xml:space="preserve"> </w:t>
      </w:r>
      <w:r w:rsidR="001C04AC">
        <w:rPr>
          <w:lang w:val="en-GB"/>
        </w:rPr>
        <w:t xml:space="preserve">suggests generic </w:t>
      </w:r>
      <w:r w:rsidR="00F40DC9">
        <w:rPr>
          <w:lang w:val="en-GB"/>
        </w:rPr>
        <w:t xml:space="preserve">logic </w:t>
      </w:r>
      <w:r w:rsidR="001C04AC">
        <w:rPr>
          <w:lang w:val="en-GB"/>
        </w:rPr>
        <w:t>tree</w:t>
      </w:r>
      <w:r w:rsidR="00F40DC9">
        <w:rPr>
          <w:lang w:val="en-GB"/>
        </w:rPr>
        <w:t>s</w:t>
      </w:r>
      <w:r w:rsidR="001C04AC">
        <w:rPr>
          <w:lang w:val="en-GB"/>
        </w:rPr>
        <w:t xml:space="preserve"> to build the bow-tie diagram</w:t>
      </w:r>
      <w:r w:rsidR="00107731">
        <w:rPr>
          <w:lang w:val="en-GB"/>
        </w:rPr>
        <w:t>. This methodology considers BLEVE as a domino effect</w:t>
      </w:r>
      <w:r w:rsidR="00F40DC9">
        <w:rPr>
          <w:lang w:val="en-GB"/>
        </w:rPr>
        <w:t>, being</w:t>
      </w:r>
      <w:r w:rsidR="001C04AC">
        <w:rPr>
          <w:lang w:val="en-GB"/>
        </w:rPr>
        <w:t xml:space="preserve"> </w:t>
      </w:r>
      <w:r w:rsidR="005251D8">
        <w:rPr>
          <w:lang w:val="en-GB"/>
        </w:rPr>
        <w:t>the critical event</w:t>
      </w:r>
      <w:r w:rsidR="001C04AC">
        <w:rPr>
          <w:lang w:val="en-GB"/>
        </w:rPr>
        <w:t xml:space="preserve"> </w:t>
      </w:r>
      <w:r w:rsidR="005251D8">
        <w:rPr>
          <w:lang w:val="en-GB"/>
        </w:rPr>
        <w:t>of</w:t>
      </w:r>
      <w:r w:rsidR="001C04AC">
        <w:rPr>
          <w:lang w:val="en-GB"/>
        </w:rPr>
        <w:t xml:space="preserve"> a secondary event tree.</w:t>
      </w:r>
    </w:p>
    <w:p w14:paraId="77F7C6B4" w14:textId="5E328071" w:rsidR="005251D8" w:rsidRDefault="005251D8" w:rsidP="00EB048C">
      <w:pPr>
        <w:pStyle w:val="CETBodytext"/>
        <w:rPr>
          <w:lang w:val="en-GB"/>
        </w:rPr>
      </w:pPr>
      <w:r>
        <w:rPr>
          <w:lang w:val="en-GB"/>
        </w:rPr>
        <w:t xml:space="preserve">Applying DyPASI, with the available information regarding the two past BLEVE accidents, </w:t>
      </w:r>
      <w:r w:rsidR="005C3992">
        <w:rPr>
          <w:lang w:val="en-GB"/>
        </w:rPr>
        <w:t>this phenomenon</w:t>
      </w:r>
      <w:r>
        <w:rPr>
          <w:lang w:val="en-GB"/>
        </w:rPr>
        <w:t xml:space="preserve"> </w:t>
      </w:r>
      <w:r w:rsidR="00107731">
        <w:rPr>
          <w:lang w:val="en-GB"/>
        </w:rPr>
        <w:t>becomes an</w:t>
      </w:r>
      <w:r>
        <w:rPr>
          <w:lang w:val="en-GB"/>
        </w:rPr>
        <w:t xml:space="preserve"> event in the updated bow-tie diagram. Moreover, in the fault tree “improper </w:t>
      </w:r>
      <w:r w:rsidR="006A0F71">
        <w:rPr>
          <w:lang w:val="en-GB"/>
        </w:rPr>
        <w:t>firefighting</w:t>
      </w:r>
      <w:r>
        <w:rPr>
          <w:lang w:val="en-GB"/>
        </w:rPr>
        <w:t xml:space="preserve"> technique”</w:t>
      </w:r>
      <w:r w:rsidR="00E15B4C">
        <w:rPr>
          <w:lang w:val="en-GB"/>
        </w:rPr>
        <w:t xml:space="preserve"> </w:t>
      </w:r>
      <w:r w:rsidR="00F40DC9">
        <w:rPr>
          <w:lang w:val="en-GB"/>
        </w:rPr>
        <w:t xml:space="preserve">has been added </w:t>
      </w:r>
      <w:r w:rsidR="00E15B4C">
        <w:rPr>
          <w:lang w:val="en-GB"/>
        </w:rPr>
        <w:t>as an escalation factor, following the procedure used in the software BowTieXP. This escalation factor</w:t>
      </w:r>
      <w:r>
        <w:rPr>
          <w:lang w:val="en-GB"/>
        </w:rPr>
        <w:t xml:space="preserve"> </w:t>
      </w:r>
      <w:r w:rsidR="00E402E4">
        <w:rPr>
          <w:lang w:val="en-GB"/>
        </w:rPr>
        <w:t>trigger</w:t>
      </w:r>
      <w:r w:rsidR="00D11147">
        <w:rPr>
          <w:lang w:val="en-GB"/>
        </w:rPr>
        <w:t>s</w:t>
      </w:r>
      <w:r>
        <w:rPr>
          <w:lang w:val="en-GB"/>
        </w:rPr>
        <w:t xml:space="preserve"> the PRV failure</w:t>
      </w:r>
      <w:r w:rsidR="00D11147">
        <w:rPr>
          <w:lang w:val="en-GB"/>
        </w:rPr>
        <w:t xml:space="preserve">, leading to </w:t>
      </w:r>
      <w:r>
        <w:rPr>
          <w:lang w:val="en-GB"/>
        </w:rPr>
        <w:t>internal overpressure</w:t>
      </w:r>
      <w:r w:rsidR="00D55379">
        <w:rPr>
          <w:lang w:val="en-GB"/>
        </w:rPr>
        <w:t>.</w:t>
      </w:r>
    </w:p>
    <w:p w14:paraId="7C1E3A83" w14:textId="4E43B541" w:rsidR="005C3992" w:rsidRDefault="005251D8" w:rsidP="00EB048C">
      <w:pPr>
        <w:pStyle w:val="CETBodytext"/>
        <w:rPr>
          <w:lang w:val="en-GB"/>
        </w:rPr>
      </w:pPr>
      <w:r>
        <w:rPr>
          <w:lang w:val="en-GB"/>
        </w:rPr>
        <w:t>In the updated bow-tie diagram, t</w:t>
      </w:r>
      <w:r w:rsidR="00E15B4C">
        <w:rPr>
          <w:lang w:val="en-GB"/>
        </w:rPr>
        <w:t>hree</w:t>
      </w:r>
      <w:r>
        <w:rPr>
          <w:lang w:val="en-GB"/>
        </w:rPr>
        <w:t xml:space="preserve"> safety barriers have been added </w:t>
      </w:r>
      <w:r w:rsidR="005C3992">
        <w:rPr>
          <w:lang w:val="en-GB"/>
        </w:rPr>
        <w:t>using the</w:t>
      </w:r>
      <w:r>
        <w:rPr>
          <w:lang w:val="en-GB"/>
        </w:rPr>
        <w:t xml:space="preserve"> MIRAS </w:t>
      </w:r>
      <w:r w:rsidR="005C3992">
        <w:rPr>
          <w:lang w:val="en-GB"/>
        </w:rPr>
        <w:t>methodology</w:t>
      </w:r>
      <w:r>
        <w:rPr>
          <w:lang w:val="en-GB"/>
        </w:rPr>
        <w:t>. These safety barriers are the “training” of the fire fighters</w:t>
      </w:r>
      <w:r w:rsidR="00E402E4">
        <w:rPr>
          <w:lang w:val="en-GB"/>
        </w:rPr>
        <w:t xml:space="preserve"> and the “PRV” in order</w:t>
      </w:r>
      <w:r>
        <w:rPr>
          <w:lang w:val="en-GB"/>
        </w:rPr>
        <w:t xml:space="preserve"> to </w:t>
      </w:r>
      <w:r w:rsidR="00E15B4C">
        <w:rPr>
          <w:lang w:val="en-GB"/>
        </w:rPr>
        <w:t>prevent</w:t>
      </w:r>
      <w:r w:rsidR="00E402E4">
        <w:rPr>
          <w:lang w:val="en-GB"/>
        </w:rPr>
        <w:t xml:space="preserve"> the</w:t>
      </w:r>
      <w:r>
        <w:rPr>
          <w:lang w:val="en-GB"/>
        </w:rPr>
        <w:t xml:space="preserve"> PRV failures when </w:t>
      </w:r>
      <w:r w:rsidR="005C3992">
        <w:rPr>
          <w:lang w:val="en-GB"/>
        </w:rPr>
        <w:t>the LH</w:t>
      </w:r>
      <w:r w:rsidR="005C3992" w:rsidRPr="005251D8">
        <w:rPr>
          <w:vertAlign w:val="subscript"/>
          <w:lang w:val="en-GB"/>
        </w:rPr>
        <w:t>2</w:t>
      </w:r>
      <w:r w:rsidR="005C3992">
        <w:rPr>
          <w:lang w:val="en-GB"/>
        </w:rPr>
        <w:t xml:space="preserve"> tank is exposed to </w:t>
      </w:r>
      <w:r>
        <w:rPr>
          <w:lang w:val="en-GB"/>
        </w:rPr>
        <w:t>a fire</w:t>
      </w:r>
      <w:r w:rsidR="00E402E4">
        <w:rPr>
          <w:lang w:val="en-GB"/>
        </w:rPr>
        <w:t xml:space="preserve"> and the increase in overcompression inside the tank respectively.</w:t>
      </w:r>
      <w:r>
        <w:rPr>
          <w:lang w:val="en-GB"/>
        </w:rPr>
        <w:t xml:space="preserve"> The other safety barrier is the “blast walls”, usually utilized to mitigate the consequence of an explosion such as the overpressure of the blast wave. Only with the experimental tests that will carried out during the SH</w:t>
      </w:r>
      <w:r w:rsidRPr="00662D3E">
        <w:rPr>
          <w:vertAlign w:val="subscript"/>
          <w:lang w:val="en-GB"/>
        </w:rPr>
        <w:t>2</w:t>
      </w:r>
      <w:r>
        <w:rPr>
          <w:lang w:val="en-GB"/>
        </w:rPr>
        <w:t>IFT project, the effectiveness of these safety barriers will be estimated.</w:t>
      </w:r>
    </w:p>
    <w:p w14:paraId="57FB8267" w14:textId="6540662F" w:rsidR="005C3992" w:rsidRPr="002926AA" w:rsidRDefault="00C82784" w:rsidP="00EB048C">
      <w:pPr>
        <w:pStyle w:val="CETBodytext"/>
        <w:rPr>
          <w:lang w:val="en-GB"/>
        </w:rPr>
      </w:pPr>
      <w:r>
        <w:rPr>
          <w:lang w:val="en-GB"/>
        </w:rPr>
        <w:t xml:space="preserve">In </w:t>
      </w:r>
      <w:r w:rsidR="00E57975" w:rsidRPr="00E57975">
        <w:rPr>
          <w:lang w:val="en-GB"/>
        </w:rPr>
        <w:fldChar w:fldCharType="begin"/>
      </w:r>
      <w:r w:rsidR="00E57975" w:rsidRPr="00E57975">
        <w:rPr>
          <w:lang w:val="en-GB"/>
        </w:rPr>
        <w:instrText xml:space="preserve"> REF _Ref533164183 \h  \* MERGEFORMAT </w:instrText>
      </w:r>
      <w:r w:rsidR="00E57975" w:rsidRPr="00E57975">
        <w:rPr>
          <w:lang w:val="en-GB"/>
        </w:rPr>
      </w:r>
      <w:r w:rsidR="00E57975" w:rsidRPr="00E57975">
        <w:rPr>
          <w:lang w:val="en-GB"/>
        </w:rPr>
        <w:fldChar w:fldCharType="separate"/>
      </w:r>
      <w:r w:rsidR="00844DAD" w:rsidRPr="00844DAD">
        <w:t>Figure 2</w:t>
      </w:r>
      <w:r w:rsidR="00E57975" w:rsidRPr="00E57975">
        <w:rPr>
          <w:lang w:val="en-GB"/>
        </w:rPr>
        <w:fldChar w:fldCharType="end"/>
      </w:r>
      <w:r>
        <w:rPr>
          <w:lang w:val="en-GB"/>
        </w:rPr>
        <w:t>,</w:t>
      </w:r>
      <w:r w:rsidR="00E57975" w:rsidRPr="00E57975">
        <w:rPr>
          <w:lang w:val="en-GB"/>
        </w:rPr>
        <w:t xml:space="preserve"> the updated bow-tie diagram</w:t>
      </w:r>
      <w:r>
        <w:rPr>
          <w:lang w:val="en-GB"/>
        </w:rPr>
        <w:t xml:space="preserve"> is shown.</w:t>
      </w:r>
      <w:r w:rsidR="005C3992">
        <w:rPr>
          <w:lang w:val="en-GB"/>
        </w:rPr>
        <w:t xml:space="preserve"> The black branches form the bowtie diagram developed using the MIMAH methodology, while the blue branches have been integrated after the DyPASI application. The red boxes</w:t>
      </w:r>
      <w:r w:rsidR="00C0147E">
        <w:rPr>
          <w:lang w:val="en-GB"/>
        </w:rPr>
        <w:t xml:space="preserve"> in the figure</w:t>
      </w:r>
      <w:r w:rsidR="005C3992">
        <w:rPr>
          <w:lang w:val="en-GB"/>
        </w:rPr>
        <w:t xml:space="preserve"> are the safety barriers.</w:t>
      </w:r>
    </w:p>
    <w:p w14:paraId="097C1321" w14:textId="29314283" w:rsidR="0008150C" w:rsidRDefault="007773ED" w:rsidP="00EB048C">
      <w:pPr>
        <w:pStyle w:val="CETBodytext"/>
        <w:rPr>
          <w:lang w:val="en-GB"/>
        </w:rPr>
      </w:pPr>
      <w:r>
        <w:rPr>
          <w:noProof/>
          <w:lang w:val="it-IT" w:eastAsia="it-IT"/>
        </w:rPr>
        <w:lastRenderedPageBreak/>
        <w:drawing>
          <wp:inline distT="0" distB="0" distL="0" distR="0" wp14:anchorId="499F9575" wp14:editId="2DB3D5C6">
            <wp:extent cx="5543550" cy="3089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439" r="1912" b="25683"/>
                    <a:stretch/>
                  </pic:blipFill>
                  <pic:spPr bwMode="auto">
                    <a:xfrm>
                      <a:off x="0" y="0"/>
                      <a:ext cx="5544000" cy="3089386"/>
                    </a:xfrm>
                    <a:prstGeom prst="rect">
                      <a:avLst/>
                    </a:prstGeom>
                    <a:noFill/>
                    <a:ln>
                      <a:noFill/>
                    </a:ln>
                    <a:extLst>
                      <a:ext uri="{53640926-AAD7-44D8-BBD7-CCE9431645EC}">
                        <a14:shadowObscured xmlns:a14="http://schemas.microsoft.com/office/drawing/2010/main"/>
                      </a:ext>
                    </a:extLst>
                  </pic:spPr>
                </pic:pic>
              </a:graphicData>
            </a:graphic>
          </wp:inline>
        </w:drawing>
      </w:r>
    </w:p>
    <w:p w14:paraId="1A390013" w14:textId="4C9B54B5" w:rsidR="007B05B7" w:rsidRDefault="00807D5A" w:rsidP="007B05B7">
      <w:pPr>
        <w:pStyle w:val="CETBodytext"/>
        <w:rPr>
          <w:lang w:val="en-GB"/>
        </w:rPr>
      </w:pPr>
      <w:bookmarkStart w:id="8" w:name="_Ref533164183"/>
      <w:r w:rsidRPr="007B05B7">
        <w:rPr>
          <w:rStyle w:val="CETCaptionCarattere"/>
          <w:sz w:val="18"/>
          <w:szCs w:val="18"/>
        </w:rPr>
        <w:t xml:space="preserve">Figure </w:t>
      </w:r>
      <w:r w:rsidRPr="007B05B7">
        <w:rPr>
          <w:rStyle w:val="CETCaptionCarattere"/>
          <w:sz w:val="18"/>
          <w:szCs w:val="18"/>
        </w:rPr>
        <w:fldChar w:fldCharType="begin"/>
      </w:r>
      <w:r w:rsidRPr="007B05B7">
        <w:rPr>
          <w:rStyle w:val="CETCaptionCarattere"/>
          <w:sz w:val="18"/>
          <w:szCs w:val="18"/>
        </w:rPr>
        <w:instrText xml:space="preserve"> SEQ Figure \* ARABIC </w:instrText>
      </w:r>
      <w:r w:rsidRPr="007B05B7">
        <w:rPr>
          <w:rStyle w:val="CETCaptionCarattere"/>
          <w:sz w:val="18"/>
          <w:szCs w:val="18"/>
        </w:rPr>
        <w:fldChar w:fldCharType="separate"/>
      </w:r>
      <w:r w:rsidR="00844DAD">
        <w:rPr>
          <w:rStyle w:val="CETCaptionCarattere"/>
          <w:noProof/>
          <w:sz w:val="18"/>
          <w:szCs w:val="18"/>
        </w:rPr>
        <w:t>2</w:t>
      </w:r>
      <w:r w:rsidRPr="007B05B7">
        <w:rPr>
          <w:rStyle w:val="CETCaptionCarattere"/>
          <w:sz w:val="18"/>
          <w:szCs w:val="18"/>
        </w:rPr>
        <w:fldChar w:fldCharType="end"/>
      </w:r>
      <w:bookmarkEnd w:id="8"/>
      <w:r w:rsidRPr="007B05B7">
        <w:rPr>
          <w:rStyle w:val="CETCaptionCarattere"/>
          <w:sz w:val="18"/>
          <w:szCs w:val="18"/>
        </w:rPr>
        <w:t xml:space="preserve">: Bow-tie diagram updated with the DyPASI integrations (light blue dotted line) adapted from </w:t>
      </w:r>
      <w:r w:rsidR="00170D97">
        <w:rPr>
          <w:rStyle w:val="CETCaptionCarattere"/>
          <w:sz w:val="18"/>
          <w:szCs w:val="18"/>
        </w:rPr>
        <w:fldChar w:fldCharType="begin" w:fldLock="1"/>
      </w:r>
      <w:r w:rsidR="00170D97">
        <w:rPr>
          <w:rStyle w:val="CETCaptionCarattere"/>
          <w:sz w:val="18"/>
          <w:szCs w:val="18"/>
        </w:rPr>
        <w:instrText>ADDIN CSL_CITATION {"citationItems":[{"id":"ITEM-1","itemData":{"DOI":"10.1016/j.ress.2014.12.006","author":[{"dropping-particle":"","family":"Paltrinieri","given":"Nicola","non-dropping-particle":"","parse-names":false,"suffix":""},{"dropping-particle":"","family":"Tugnoli","given":"Alessandro","non-dropping-particle":"","parse-names":false,"suffix":""},{"dropping-particle":"","family":"Cozzani","given":"Valerio","non-dropping-particle":"","parse-names":false,"suffix":""}],"container-title":"Reliability Engineering and System Safety","id":"ITEM-1","issued":{"date-parts":[["2015"]]},"page":"18-28","title":"Hazard identification for innovative LNG regasification technologies","type":"article-journal","volume":"137"},"uris":["http://www.mendeley.com/documents/?uuid=9bce1da9-2fd8-4f15-8b04-329d61d72cc3"]}],"mendeley":{"formattedCitation":"(Paltrinieri et al., 2015)","plainTextFormattedCitation":"(Paltrinieri et al., 2015)","previouslyFormattedCitation":"(Paltrinieri et al., 2015)"},"properties":{"noteIndex":0},"schema":"https://github.com/citation-style-language/schema/raw/master/csl-citation.json"}</w:instrText>
      </w:r>
      <w:r w:rsidR="00170D97">
        <w:rPr>
          <w:rStyle w:val="CETCaptionCarattere"/>
          <w:sz w:val="18"/>
          <w:szCs w:val="18"/>
        </w:rPr>
        <w:fldChar w:fldCharType="separate"/>
      </w:r>
      <w:r w:rsidR="00170D97" w:rsidRPr="00170D97">
        <w:rPr>
          <w:rStyle w:val="CETCaptionCarattere"/>
          <w:noProof/>
          <w:sz w:val="18"/>
          <w:szCs w:val="18"/>
        </w:rPr>
        <w:t>(Paltrinieri et al., 2015)</w:t>
      </w:r>
      <w:r w:rsidR="00170D97">
        <w:rPr>
          <w:rStyle w:val="CETCaptionCarattere"/>
          <w:sz w:val="18"/>
          <w:szCs w:val="18"/>
        </w:rPr>
        <w:fldChar w:fldCharType="end"/>
      </w:r>
      <w:r w:rsidRPr="007B05B7">
        <w:rPr>
          <w:rStyle w:val="CETCaptionCarattere"/>
          <w:sz w:val="18"/>
          <w:szCs w:val="18"/>
        </w:rPr>
        <w:t>. Safety barriers in red boxes to avoid the critical event or to limit the consequences</w:t>
      </w:r>
    </w:p>
    <w:p w14:paraId="7CF154B9" w14:textId="77777777" w:rsidR="007B05B7" w:rsidRPr="007B05B7" w:rsidRDefault="007B05B7" w:rsidP="007B05B7">
      <w:pPr>
        <w:pStyle w:val="CETBodytext"/>
        <w:rPr>
          <w:lang w:val="en-GB"/>
        </w:rPr>
      </w:pPr>
    </w:p>
    <w:p w14:paraId="1FDA471C" w14:textId="43342FEC" w:rsidR="0010597D" w:rsidRPr="001B7656" w:rsidRDefault="0010597D" w:rsidP="0010597D">
      <w:pPr>
        <w:pStyle w:val="CETheadingx"/>
        <w:rPr>
          <w:lang w:val="en-GB"/>
        </w:rPr>
      </w:pPr>
      <w:r w:rsidRPr="001B7656">
        <w:rPr>
          <w:lang w:val="en-GB"/>
        </w:rPr>
        <w:t>LH</w:t>
      </w:r>
      <w:r w:rsidRPr="001B7656">
        <w:rPr>
          <w:vertAlign w:val="subscript"/>
          <w:lang w:val="en-GB"/>
        </w:rPr>
        <w:t>2</w:t>
      </w:r>
      <w:r w:rsidRPr="001B7656">
        <w:rPr>
          <w:lang w:val="en-GB"/>
        </w:rPr>
        <w:t xml:space="preserve"> BLEVE consequence analysis</w:t>
      </w:r>
      <w:r w:rsidR="00DA5258">
        <w:rPr>
          <w:lang w:val="en-GB"/>
        </w:rPr>
        <w:t xml:space="preserve"> results</w:t>
      </w:r>
    </w:p>
    <w:p w14:paraId="0766A033" w14:textId="2C1AAC16" w:rsidR="0010597D" w:rsidRPr="001B7656" w:rsidRDefault="0010597D" w:rsidP="0010597D">
      <w:pPr>
        <w:pStyle w:val="CETBodytext"/>
        <w:rPr>
          <w:lang w:val="en-GB"/>
        </w:rPr>
      </w:pPr>
      <w:r w:rsidRPr="001B7656">
        <w:rPr>
          <w:lang w:val="en-GB"/>
        </w:rPr>
        <w:t xml:space="preserve">The results of the BLEVE consequence analysis </w:t>
      </w:r>
      <w:r w:rsidR="00993410">
        <w:rPr>
          <w:lang w:val="en-GB"/>
        </w:rPr>
        <w:t>obtained</w:t>
      </w:r>
      <w:r w:rsidRPr="001B7656">
        <w:rPr>
          <w:lang w:val="en-GB"/>
        </w:rPr>
        <w:t xml:space="preserve"> </w:t>
      </w:r>
      <w:r w:rsidR="00993410">
        <w:rPr>
          <w:lang w:val="en-GB"/>
        </w:rPr>
        <w:t>with</w:t>
      </w:r>
      <w:r w:rsidRPr="001B7656">
        <w:rPr>
          <w:lang w:val="en-GB"/>
        </w:rPr>
        <w:t xml:space="preserve"> the PHAST</w:t>
      </w:r>
      <w:r w:rsidR="00993410">
        <w:rPr>
          <w:lang w:val="en-GB"/>
        </w:rPr>
        <w:t xml:space="preserve"> software</w:t>
      </w:r>
      <w:r w:rsidRPr="001B7656">
        <w:rPr>
          <w:lang w:val="en-GB"/>
        </w:rPr>
        <w:t xml:space="preserve"> are the overpressure of the blast wave at different distances and the overpressure radii. The latter indicates at which distance the overpressure has a value of 0.02068 bar</w:t>
      </w:r>
      <w:r w:rsidRPr="001B7656">
        <w:rPr>
          <w:vertAlign w:val="subscript"/>
          <w:lang w:val="en-GB"/>
        </w:rPr>
        <w:t>g</w:t>
      </w:r>
      <w:r w:rsidR="00D11147">
        <w:rPr>
          <w:lang w:val="en-GB"/>
        </w:rPr>
        <w:t>, which</w:t>
      </w:r>
      <w:r w:rsidRPr="001B7656">
        <w:rPr>
          <w:lang w:val="en-GB"/>
        </w:rPr>
        <w:t xml:space="preserve"> is the lowest value considered.</w:t>
      </w:r>
      <w:r w:rsidR="00E57975">
        <w:rPr>
          <w:lang w:val="en-GB"/>
        </w:rPr>
        <w:t xml:space="preserve"> </w:t>
      </w:r>
      <w:r w:rsidR="00244A14">
        <w:rPr>
          <w:lang w:val="en-GB"/>
        </w:rPr>
        <w:t>In t</w:t>
      </w:r>
      <w:r w:rsidRPr="001B7656">
        <w:rPr>
          <w:lang w:val="en-GB"/>
        </w:rPr>
        <w:t>h</w:t>
      </w:r>
      <w:r w:rsidR="00993410">
        <w:rPr>
          <w:lang w:val="en-GB"/>
        </w:rPr>
        <w:t>e presented</w:t>
      </w:r>
      <w:r w:rsidRPr="001B7656">
        <w:rPr>
          <w:lang w:val="en-GB"/>
        </w:rPr>
        <w:t xml:space="preserve"> study</w:t>
      </w:r>
      <w:r w:rsidR="00244A14">
        <w:rPr>
          <w:lang w:val="en-GB"/>
        </w:rPr>
        <w:t>,</w:t>
      </w:r>
      <w:r w:rsidRPr="001B7656">
        <w:rPr>
          <w:lang w:val="en-GB"/>
        </w:rPr>
        <w:t xml:space="preserve"> the same overpressure values considered by PHAST </w:t>
      </w:r>
      <w:r w:rsidR="004B23DD">
        <w:rPr>
          <w:lang w:val="en-GB"/>
        </w:rPr>
        <w:t>that</w:t>
      </w:r>
      <w:r w:rsidRPr="001B7656">
        <w:rPr>
          <w:lang w:val="en-GB"/>
        </w:rPr>
        <w:t xml:space="preserve"> correspond to 3, 2 and </w:t>
      </w:r>
      <w:r w:rsidR="008E719B">
        <w:rPr>
          <w:lang w:val="en-GB"/>
        </w:rPr>
        <w:t>0.</w:t>
      </w:r>
      <w:r w:rsidRPr="001B7656">
        <w:rPr>
          <w:lang w:val="en-GB"/>
        </w:rPr>
        <w:t>3 psi</w:t>
      </w:r>
      <w:r w:rsidR="004B23DD" w:rsidRPr="004B23DD">
        <w:rPr>
          <w:vertAlign w:val="subscript"/>
          <w:lang w:val="en-GB"/>
        </w:rPr>
        <w:t>g</w:t>
      </w:r>
      <w:r w:rsidR="004B23DD">
        <w:rPr>
          <w:lang w:val="en-GB"/>
        </w:rPr>
        <w:t xml:space="preserve"> (</w:t>
      </w:r>
      <w:r w:rsidR="008E719B" w:rsidRPr="001B7656">
        <w:rPr>
          <w:lang w:val="en-GB"/>
        </w:rPr>
        <w:t>0.2068</w:t>
      </w:r>
      <w:r w:rsidR="004B23DD" w:rsidRPr="001B7656">
        <w:rPr>
          <w:lang w:val="en-GB"/>
        </w:rPr>
        <w:t>, 0.1379,</w:t>
      </w:r>
      <w:r w:rsidR="008E719B">
        <w:rPr>
          <w:lang w:val="en-GB"/>
        </w:rPr>
        <w:t xml:space="preserve"> </w:t>
      </w:r>
      <w:r w:rsidR="008E719B" w:rsidRPr="001B7656">
        <w:rPr>
          <w:lang w:val="en-GB"/>
        </w:rPr>
        <w:t>0.0207</w:t>
      </w:r>
      <w:r w:rsidR="004B23DD" w:rsidRPr="001B7656">
        <w:rPr>
          <w:lang w:val="en-GB"/>
        </w:rPr>
        <w:t xml:space="preserve"> bar</w:t>
      </w:r>
      <w:r w:rsidR="004B23DD" w:rsidRPr="001B7656">
        <w:rPr>
          <w:vertAlign w:val="subscript"/>
          <w:lang w:val="en-GB"/>
        </w:rPr>
        <w:t>g</w:t>
      </w:r>
      <w:r w:rsidR="004B23DD">
        <w:rPr>
          <w:lang w:val="en-GB"/>
        </w:rPr>
        <w:t xml:space="preserve"> respectively)</w:t>
      </w:r>
      <w:r w:rsidR="00244A14">
        <w:rPr>
          <w:lang w:val="en-GB"/>
        </w:rPr>
        <w:t xml:space="preserve"> </w:t>
      </w:r>
      <w:r w:rsidR="00244A14" w:rsidRPr="001B7656">
        <w:rPr>
          <w:lang w:val="en-GB"/>
        </w:rPr>
        <w:t>ha</w:t>
      </w:r>
      <w:r w:rsidR="00244A14">
        <w:rPr>
          <w:lang w:val="en-GB"/>
        </w:rPr>
        <w:t>ve</w:t>
      </w:r>
      <w:r w:rsidR="00244A14" w:rsidRPr="001B7656">
        <w:rPr>
          <w:lang w:val="en-GB"/>
        </w:rPr>
        <w:t xml:space="preserve"> been </w:t>
      </w:r>
      <w:r w:rsidR="00244A14">
        <w:rPr>
          <w:lang w:val="en-GB"/>
        </w:rPr>
        <w:t>analysed</w:t>
      </w:r>
      <w:r w:rsidR="004B23DD">
        <w:rPr>
          <w:lang w:val="en-GB"/>
        </w:rPr>
        <w:t>.</w:t>
      </w:r>
      <w:r w:rsidRPr="001B7656">
        <w:rPr>
          <w:lang w:val="en-GB"/>
        </w:rPr>
        <w:t xml:space="preserve"> In the following, these values have been indicated as Overpressure 1, 2 and 3 respectively.</w:t>
      </w:r>
    </w:p>
    <w:p w14:paraId="071C8412" w14:textId="463A4116" w:rsidR="0010597D" w:rsidRPr="001B7656" w:rsidRDefault="0010597D" w:rsidP="0010597D">
      <w:pPr>
        <w:pStyle w:val="CETBodytext"/>
        <w:rPr>
          <w:lang w:val="en-GB"/>
        </w:rPr>
      </w:pPr>
      <w:r w:rsidRPr="001B7656">
        <w:rPr>
          <w:lang w:val="en-GB"/>
        </w:rPr>
        <w:t xml:space="preserve">In </w:t>
      </w:r>
      <w:r w:rsidRPr="001B7656">
        <w:rPr>
          <w:lang w:val="en-GB"/>
        </w:rPr>
        <w:fldChar w:fldCharType="begin"/>
      </w:r>
      <w:r w:rsidRPr="001B7656">
        <w:rPr>
          <w:lang w:val="en-GB"/>
        </w:rPr>
        <w:instrText xml:space="preserve"> REF _Ref533163604 \h </w:instrText>
      </w:r>
      <w:r w:rsidRPr="001B7656">
        <w:rPr>
          <w:lang w:val="en-GB"/>
        </w:rPr>
      </w:r>
      <w:r w:rsidRPr="001B7656">
        <w:rPr>
          <w:lang w:val="en-GB"/>
        </w:rPr>
        <w:fldChar w:fldCharType="separate"/>
      </w:r>
      <w:r w:rsidR="00844DAD" w:rsidRPr="001B7656">
        <w:t xml:space="preserve">Table </w:t>
      </w:r>
      <w:r w:rsidR="00844DAD">
        <w:rPr>
          <w:noProof/>
        </w:rPr>
        <w:t>3</w:t>
      </w:r>
      <w:r w:rsidRPr="001B7656">
        <w:rPr>
          <w:lang w:val="en-GB"/>
        </w:rPr>
        <w:fldChar w:fldCharType="end"/>
      </w:r>
      <w:r w:rsidRPr="001B7656">
        <w:rPr>
          <w:lang w:val="en-GB"/>
        </w:rPr>
        <w:t xml:space="preserve">, the results of the BLEVE consequence analysis have been collected. In particular, the </w:t>
      </w:r>
      <w:r w:rsidR="008E719B">
        <w:rPr>
          <w:lang w:val="en-GB"/>
        </w:rPr>
        <w:t xml:space="preserve">estimated </w:t>
      </w:r>
      <w:r w:rsidRPr="001B7656">
        <w:rPr>
          <w:lang w:val="en-GB"/>
        </w:rPr>
        <w:t>distance</w:t>
      </w:r>
      <w:r w:rsidR="008E719B">
        <w:rPr>
          <w:lang w:val="en-GB"/>
        </w:rPr>
        <w:t>s</w:t>
      </w:r>
      <w:r w:rsidRPr="001B7656">
        <w:rPr>
          <w:lang w:val="en-GB"/>
        </w:rPr>
        <w:t xml:space="preserve"> at which the 3 values of overpressure occurred</w:t>
      </w:r>
      <w:r w:rsidR="008E719B">
        <w:rPr>
          <w:lang w:val="en-GB"/>
        </w:rPr>
        <w:t xml:space="preserve"> have been reported.</w:t>
      </w:r>
    </w:p>
    <w:p w14:paraId="6C035B36" w14:textId="1E0CD07F" w:rsidR="0010597D" w:rsidRPr="001B7656" w:rsidRDefault="0010597D" w:rsidP="0010597D">
      <w:pPr>
        <w:pStyle w:val="CETTabletitle"/>
      </w:pPr>
      <w:bookmarkStart w:id="9" w:name="_Ref533163604"/>
      <w:r w:rsidRPr="001B7656">
        <w:t xml:space="preserve">Table </w:t>
      </w:r>
      <w:r w:rsidRPr="001B7656">
        <w:fldChar w:fldCharType="begin"/>
      </w:r>
      <w:r w:rsidRPr="001B7656">
        <w:instrText xml:space="preserve"> SEQ Table \* ARABIC </w:instrText>
      </w:r>
      <w:r w:rsidRPr="001B7656">
        <w:fldChar w:fldCharType="separate"/>
      </w:r>
      <w:r w:rsidR="00844DAD">
        <w:rPr>
          <w:noProof/>
        </w:rPr>
        <w:t>3</w:t>
      </w:r>
      <w:r w:rsidRPr="001B7656">
        <w:fldChar w:fldCharType="end"/>
      </w:r>
      <w:bookmarkEnd w:id="9"/>
      <w:r w:rsidRPr="001B7656">
        <w:t>: Results of the BLEVE consequence analysis at different conditions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567"/>
        <w:gridCol w:w="1843"/>
        <w:gridCol w:w="1843"/>
        <w:gridCol w:w="1701"/>
        <w:gridCol w:w="1417"/>
      </w:tblGrid>
      <w:tr w:rsidR="0010597D" w:rsidRPr="001B7656" w14:paraId="73759E03" w14:textId="77777777" w:rsidTr="00DD5F5C">
        <w:tc>
          <w:tcPr>
            <w:tcW w:w="1134" w:type="dxa"/>
            <w:tcBorders>
              <w:top w:val="single" w:sz="12" w:space="0" w:color="008000"/>
              <w:bottom w:val="single" w:sz="6" w:space="0" w:color="008000"/>
            </w:tcBorders>
            <w:shd w:val="clear" w:color="auto" w:fill="FFFFFF"/>
          </w:tcPr>
          <w:p w14:paraId="57CF1B0E" w14:textId="77777777" w:rsidR="0010597D" w:rsidRPr="001B7656" w:rsidRDefault="0010597D" w:rsidP="00DD5F5C">
            <w:pPr>
              <w:pStyle w:val="CETBodytext"/>
              <w:jc w:val="left"/>
              <w:rPr>
                <w:lang w:val="en-GB"/>
              </w:rPr>
            </w:pPr>
            <w:r w:rsidRPr="001B7656">
              <w:rPr>
                <w:lang w:val="en-GB"/>
              </w:rPr>
              <w:t>Pressure in the tank</w:t>
            </w:r>
          </w:p>
          <w:p w14:paraId="3F4DCC6A" w14:textId="77777777" w:rsidR="0010597D" w:rsidRPr="001B7656" w:rsidRDefault="0010597D" w:rsidP="00DD5F5C">
            <w:pPr>
              <w:pStyle w:val="CETBodytext"/>
              <w:jc w:val="left"/>
              <w:rPr>
                <w:lang w:val="en-GB"/>
              </w:rPr>
            </w:pPr>
            <w:r w:rsidRPr="001B7656">
              <w:rPr>
                <w:lang w:val="en-GB"/>
              </w:rPr>
              <w:t>(bar</w:t>
            </w:r>
            <w:r w:rsidRPr="001B7656">
              <w:rPr>
                <w:vertAlign w:val="subscript"/>
                <w:lang w:val="en-GB"/>
              </w:rPr>
              <w:t>g</w:t>
            </w:r>
            <w:r w:rsidRPr="001B7656">
              <w:rPr>
                <w:lang w:val="en-GB"/>
              </w:rPr>
              <w:t>)</w:t>
            </w:r>
          </w:p>
        </w:tc>
        <w:tc>
          <w:tcPr>
            <w:tcW w:w="567" w:type="dxa"/>
            <w:tcBorders>
              <w:top w:val="single" w:sz="12" w:space="0" w:color="008000"/>
              <w:bottom w:val="single" w:sz="6" w:space="0" w:color="008000"/>
            </w:tcBorders>
            <w:shd w:val="clear" w:color="auto" w:fill="FFFFFF"/>
          </w:tcPr>
          <w:p w14:paraId="26A7E0AA" w14:textId="77777777" w:rsidR="0010597D" w:rsidRPr="001B7656" w:rsidRDefault="0010597D" w:rsidP="00DD5F5C">
            <w:pPr>
              <w:pStyle w:val="CETBodytext"/>
              <w:rPr>
                <w:lang w:val="en-GB"/>
              </w:rPr>
            </w:pPr>
            <w:r w:rsidRPr="001B7656">
              <w:rPr>
                <w:lang w:val="en-GB"/>
              </w:rPr>
              <w:t>Mass (kg)</w:t>
            </w:r>
          </w:p>
        </w:tc>
        <w:tc>
          <w:tcPr>
            <w:tcW w:w="1843" w:type="dxa"/>
            <w:tcBorders>
              <w:top w:val="single" w:sz="12" w:space="0" w:color="008000"/>
              <w:bottom w:val="single" w:sz="6" w:space="0" w:color="008000"/>
            </w:tcBorders>
            <w:shd w:val="clear" w:color="auto" w:fill="FFFFFF"/>
          </w:tcPr>
          <w:p w14:paraId="1162B1A7" w14:textId="77777777" w:rsidR="0010597D" w:rsidRPr="001B7656" w:rsidRDefault="0010597D" w:rsidP="00DD5F5C">
            <w:pPr>
              <w:pStyle w:val="CETBodytext"/>
              <w:jc w:val="left"/>
              <w:rPr>
                <w:lang w:val="en-GB"/>
              </w:rPr>
            </w:pPr>
            <w:r w:rsidRPr="001B7656">
              <w:rPr>
                <w:lang w:val="en-GB"/>
              </w:rPr>
              <w:t>Distance downwind to Overpressure 1 (m)</w:t>
            </w:r>
          </w:p>
        </w:tc>
        <w:tc>
          <w:tcPr>
            <w:tcW w:w="1843" w:type="dxa"/>
            <w:tcBorders>
              <w:top w:val="single" w:sz="12" w:space="0" w:color="008000"/>
              <w:bottom w:val="single" w:sz="6" w:space="0" w:color="008000"/>
            </w:tcBorders>
            <w:shd w:val="clear" w:color="auto" w:fill="FFFFFF"/>
          </w:tcPr>
          <w:p w14:paraId="1246099F" w14:textId="77777777" w:rsidR="0010597D" w:rsidRPr="001B7656" w:rsidRDefault="0010597D" w:rsidP="00DD5F5C">
            <w:pPr>
              <w:pStyle w:val="CETBodytext"/>
              <w:ind w:right="-1"/>
              <w:jc w:val="left"/>
              <w:rPr>
                <w:rFonts w:cs="Arial"/>
                <w:szCs w:val="18"/>
                <w:lang w:val="en-GB"/>
              </w:rPr>
            </w:pPr>
            <w:r w:rsidRPr="001B7656">
              <w:rPr>
                <w:lang w:val="en-GB"/>
              </w:rPr>
              <w:t>Distance downwind to Overpressure 2 (m)</w:t>
            </w:r>
          </w:p>
        </w:tc>
        <w:tc>
          <w:tcPr>
            <w:tcW w:w="1701" w:type="dxa"/>
            <w:tcBorders>
              <w:top w:val="single" w:sz="12" w:space="0" w:color="008000"/>
              <w:bottom w:val="single" w:sz="6" w:space="0" w:color="008000"/>
            </w:tcBorders>
            <w:shd w:val="clear" w:color="auto" w:fill="FFFFFF"/>
          </w:tcPr>
          <w:p w14:paraId="23EBC3D9" w14:textId="77777777" w:rsidR="0010597D" w:rsidRPr="001B7656" w:rsidRDefault="0010597D" w:rsidP="00DD5F5C">
            <w:pPr>
              <w:pStyle w:val="CETBodytext"/>
              <w:ind w:right="-1"/>
              <w:jc w:val="left"/>
              <w:rPr>
                <w:rFonts w:cs="Arial"/>
                <w:szCs w:val="18"/>
                <w:lang w:val="en-GB"/>
              </w:rPr>
            </w:pPr>
            <w:r w:rsidRPr="001B7656">
              <w:rPr>
                <w:lang w:val="en-GB"/>
              </w:rPr>
              <w:t>Distance downwind to Overpressure 3 (m)</w:t>
            </w:r>
          </w:p>
        </w:tc>
        <w:tc>
          <w:tcPr>
            <w:tcW w:w="1417" w:type="dxa"/>
            <w:tcBorders>
              <w:top w:val="single" w:sz="12" w:space="0" w:color="008000"/>
              <w:bottom w:val="single" w:sz="6" w:space="0" w:color="008000"/>
            </w:tcBorders>
            <w:shd w:val="clear" w:color="auto" w:fill="FFFFFF"/>
          </w:tcPr>
          <w:p w14:paraId="26C52051" w14:textId="77777777" w:rsidR="0010597D" w:rsidRPr="001B7656" w:rsidRDefault="0010597D" w:rsidP="00DD5F5C">
            <w:pPr>
              <w:pStyle w:val="CETBodytext"/>
              <w:ind w:right="-1"/>
              <w:jc w:val="left"/>
              <w:rPr>
                <w:lang w:val="en-GB"/>
              </w:rPr>
            </w:pPr>
            <w:r w:rsidRPr="001B7656">
              <w:rPr>
                <w:lang w:val="en-GB"/>
              </w:rPr>
              <w:t>Increasing of the distance to Overpressure 1</w:t>
            </w:r>
          </w:p>
        </w:tc>
      </w:tr>
      <w:tr w:rsidR="0010597D" w:rsidRPr="001B7656" w14:paraId="073EFF78" w14:textId="77777777" w:rsidTr="00DD5F5C">
        <w:tc>
          <w:tcPr>
            <w:tcW w:w="1134" w:type="dxa"/>
            <w:shd w:val="clear" w:color="auto" w:fill="FFFFFF"/>
          </w:tcPr>
          <w:p w14:paraId="023BCA16" w14:textId="77777777" w:rsidR="0010597D" w:rsidRPr="001B7656" w:rsidRDefault="0010597D" w:rsidP="00DD5F5C">
            <w:pPr>
              <w:pStyle w:val="CETBodytext"/>
              <w:rPr>
                <w:lang w:val="en-GB"/>
              </w:rPr>
            </w:pPr>
            <w:r w:rsidRPr="001B7656">
              <w:rPr>
                <w:lang w:val="en-GB"/>
              </w:rPr>
              <w:t>9</w:t>
            </w:r>
          </w:p>
        </w:tc>
        <w:tc>
          <w:tcPr>
            <w:tcW w:w="567" w:type="dxa"/>
            <w:shd w:val="clear" w:color="auto" w:fill="FFFFFF"/>
          </w:tcPr>
          <w:p w14:paraId="4AC45E2C" w14:textId="77777777" w:rsidR="0010597D" w:rsidRPr="001B7656" w:rsidRDefault="0010597D" w:rsidP="00DD5F5C">
            <w:pPr>
              <w:pStyle w:val="CETBodytext"/>
              <w:rPr>
                <w:lang w:val="en-GB"/>
              </w:rPr>
            </w:pPr>
            <w:r w:rsidRPr="001B7656">
              <w:rPr>
                <w:lang w:val="en-GB"/>
              </w:rPr>
              <w:t>26</w:t>
            </w:r>
          </w:p>
        </w:tc>
        <w:tc>
          <w:tcPr>
            <w:tcW w:w="1843" w:type="dxa"/>
            <w:shd w:val="clear" w:color="auto" w:fill="FFFFFF"/>
          </w:tcPr>
          <w:p w14:paraId="6A5D8FF5" w14:textId="77777777" w:rsidR="0010597D" w:rsidRPr="001B7656" w:rsidRDefault="0010597D" w:rsidP="00DD5F5C">
            <w:pPr>
              <w:pStyle w:val="CETBodytext"/>
              <w:rPr>
                <w:lang w:val="en-GB"/>
              </w:rPr>
            </w:pPr>
            <w:r w:rsidRPr="001B7656">
              <w:rPr>
                <w:lang w:val="en-GB"/>
              </w:rPr>
              <w:t>7.65</w:t>
            </w:r>
          </w:p>
        </w:tc>
        <w:tc>
          <w:tcPr>
            <w:tcW w:w="1843" w:type="dxa"/>
            <w:shd w:val="clear" w:color="auto" w:fill="FFFFFF"/>
          </w:tcPr>
          <w:p w14:paraId="22688FE9" w14:textId="77777777" w:rsidR="0010597D" w:rsidRPr="001B7656" w:rsidRDefault="0010597D" w:rsidP="00DD5F5C">
            <w:pPr>
              <w:pStyle w:val="CETBodytext"/>
              <w:ind w:right="-1"/>
              <w:rPr>
                <w:rFonts w:cs="Arial"/>
                <w:szCs w:val="18"/>
                <w:lang w:val="en-GB"/>
              </w:rPr>
            </w:pPr>
            <w:r w:rsidRPr="001B7656">
              <w:rPr>
                <w:lang w:val="en-GB"/>
              </w:rPr>
              <w:t>10.15</w:t>
            </w:r>
          </w:p>
        </w:tc>
        <w:tc>
          <w:tcPr>
            <w:tcW w:w="1701" w:type="dxa"/>
            <w:shd w:val="clear" w:color="auto" w:fill="FFFFFF"/>
          </w:tcPr>
          <w:p w14:paraId="20659252" w14:textId="77777777" w:rsidR="0010597D" w:rsidRPr="001B7656" w:rsidRDefault="0010597D" w:rsidP="00DD5F5C">
            <w:pPr>
              <w:pStyle w:val="CETBodytext"/>
              <w:ind w:right="-1"/>
              <w:rPr>
                <w:rFonts w:cs="Arial"/>
                <w:szCs w:val="18"/>
                <w:lang w:val="en-GB"/>
              </w:rPr>
            </w:pPr>
            <w:r w:rsidRPr="001B7656">
              <w:rPr>
                <w:lang w:val="en-GB"/>
              </w:rPr>
              <w:t>40.25</w:t>
            </w:r>
          </w:p>
        </w:tc>
        <w:tc>
          <w:tcPr>
            <w:tcW w:w="1417" w:type="dxa"/>
            <w:shd w:val="clear" w:color="auto" w:fill="FFFFFF"/>
          </w:tcPr>
          <w:p w14:paraId="73AB21DD" w14:textId="77777777" w:rsidR="0010597D" w:rsidRPr="001B7656" w:rsidRDefault="0010597D" w:rsidP="00DD5F5C">
            <w:pPr>
              <w:pStyle w:val="CETBodytext"/>
              <w:ind w:right="-1"/>
              <w:rPr>
                <w:rFonts w:cs="Arial"/>
                <w:szCs w:val="18"/>
                <w:lang w:val="en-GB"/>
              </w:rPr>
            </w:pPr>
          </w:p>
        </w:tc>
      </w:tr>
      <w:tr w:rsidR="0010597D" w:rsidRPr="001B7656" w14:paraId="049370C8" w14:textId="77777777" w:rsidTr="00DD5F5C">
        <w:tc>
          <w:tcPr>
            <w:tcW w:w="1134" w:type="dxa"/>
            <w:shd w:val="clear" w:color="auto" w:fill="FFFFFF"/>
          </w:tcPr>
          <w:p w14:paraId="16DB4C87" w14:textId="77777777" w:rsidR="0010597D" w:rsidRPr="001B7656" w:rsidRDefault="0010597D" w:rsidP="00DD5F5C">
            <w:pPr>
              <w:pStyle w:val="CETBodytext"/>
              <w:rPr>
                <w:lang w:val="en-GB"/>
              </w:rPr>
            </w:pPr>
          </w:p>
        </w:tc>
        <w:tc>
          <w:tcPr>
            <w:tcW w:w="567" w:type="dxa"/>
            <w:shd w:val="clear" w:color="auto" w:fill="FFFFFF"/>
          </w:tcPr>
          <w:p w14:paraId="761397C7" w14:textId="77777777" w:rsidR="0010597D" w:rsidRPr="001B7656" w:rsidRDefault="0010597D" w:rsidP="00DD5F5C">
            <w:pPr>
              <w:pStyle w:val="CETBodytext"/>
              <w:rPr>
                <w:lang w:val="en-GB"/>
              </w:rPr>
            </w:pPr>
            <w:r w:rsidRPr="001B7656">
              <w:rPr>
                <w:lang w:val="en-GB"/>
              </w:rPr>
              <w:t>30</w:t>
            </w:r>
          </w:p>
        </w:tc>
        <w:tc>
          <w:tcPr>
            <w:tcW w:w="1843" w:type="dxa"/>
            <w:shd w:val="clear" w:color="auto" w:fill="FFFFFF"/>
          </w:tcPr>
          <w:p w14:paraId="68B2AB18" w14:textId="77777777" w:rsidR="0010597D" w:rsidRPr="001B7656" w:rsidRDefault="0010597D" w:rsidP="00DD5F5C">
            <w:pPr>
              <w:pStyle w:val="CETBodytext"/>
              <w:rPr>
                <w:lang w:val="en-GB"/>
              </w:rPr>
            </w:pPr>
            <w:r w:rsidRPr="001B7656">
              <w:rPr>
                <w:lang w:val="en-GB"/>
              </w:rPr>
              <w:t>7.90</w:t>
            </w:r>
          </w:p>
        </w:tc>
        <w:tc>
          <w:tcPr>
            <w:tcW w:w="1843" w:type="dxa"/>
            <w:shd w:val="clear" w:color="auto" w:fill="FFFFFF"/>
          </w:tcPr>
          <w:p w14:paraId="295AB706" w14:textId="77777777" w:rsidR="0010597D" w:rsidRPr="001B7656" w:rsidRDefault="0010597D" w:rsidP="00DD5F5C">
            <w:pPr>
              <w:pStyle w:val="CETBodytext"/>
              <w:ind w:right="-1"/>
              <w:rPr>
                <w:rFonts w:cs="Arial"/>
                <w:szCs w:val="18"/>
                <w:lang w:val="en-GB"/>
              </w:rPr>
            </w:pPr>
            <w:r w:rsidRPr="001B7656">
              <w:rPr>
                <w:lang w:val="en-GB"/>
              </w:rPr>
              <w:t>10.47</w:t>
            </w:r>
          </w:p>
        </w:tc>
        <w:tc>
          <w:tcPr>
            <w:tcW w:w="1701" w:type="dxa"/>
            <w:shd w:val="clear" w:color="auto" w:fill="FFFFFF"/>
          </w:tcPr>
          <w:p w14:paraId="182C2BF6" w14:textId="77777777" w:rsidR="0010597D" w:rsidRPr="001B7656" w:rsidRDefault="0010597D" w:rsidP="00DD5F5C">
            <w:pPr>
              <w:pStyle w:val="CETBodytext"/>
              <w:ind w:right="-1"/>
              <w:rPr>
                <w:rFonts w:cs="Arial"/>
                <w:szCs w:val="18"/>
                <w:lang w:val="en-GB"/>
              </w:rPr>
            </w:pPr>
            <w:r w:rsidRPr="001B7656">
              <w:rPr>
                <w:lang w:val="en-GB"/>
              </w:rPr>
              <w:t>41.55</w:t>
            </w:r>
          </w:p>
        </w:tc>
        <w:tc>
          <w:tcPr>
            <w:tcW w:w="1417" w:type="dxa"/>
            <w:shd w:val="clear" w:color="auto" w:fill="FFFFFF"/>
          </w:tcPr>
          <w:p w14:paraId="719F3A7B" w14:textId="77777777" w:rsidR="0010597D" w:rsidRPr="001B7656" w:rsidRDefault="0010597D" w:rsidP="00DD5F5C">
            <w:pPr>
              <w:pStyle w:val="CETBodytext"/>
              <w:ind w:right="-1"/>
              <w:rPr>
                <w:rFonts w:cs="Arial"/>
                <w:szCs w:val="18"/>
                <w:lang w:val="en-GB"/>
              </w:rPr>
            </w:pPr>
            <w:r w:rsidRPr="001B7656">
              <w:rPr>
                <w:rFonts w:cs="Arial"/>
                <w:szCs w:val="18"/>
                <w:lang w:val="en-GB"/>
              </w:rPr>
              <w:t>+3.2 %</w:t>
            </w:r>
          </w:p>
        </w:tc>
      </w:tr>
      <w:tr w:rsidR="0010597D" w:rsidRPr="001B7656" w14:paraId="0128726F" w14:textId="77777777" w:rsidTr="00DD5F5C">
        <w:tc>
          <w:tcPr>
            <w:tcW w:w="1134" w:type="dxa"/>
            <w:shd w:val="clear" w:color="auto" w:fill="FFFFFF"/>
          </w:tcPr>
          <w:p w14:paraId="275A51F2" w14:textId="77777777" w:rsidR="0010597D" w:rsidRPr="001B7656" w:rsidRDefault="0010597D" w:rsidP="00DD5F5C">
            <w:pPr>
              <w:pStyle w:val="CETBodytext"/>
              <w:rPr>
                <w:lang w:val="en-GB"/>
              </w:rPr>
            </w:pPr>
          </w:p>
        </w:tc>
        <w:tc>
          <w:tcPr>
            <w:tcW w:w="567" w:type="dxa"/>
            <w:shd w:val="clear" w:color="auto" w:fill="FFFFFF"/>
          </w:tcPr>
          <w:p w14:paraId="4F06679C" w14:textId="77777777" w:rsidR="0010597D" w:rsidRPr="001B7656" w:rsidRDefault="0010597D" w:rsidP="00DD5F5C">
            <w:pPr>
              <w:pStyle w:val="CETBodytext"/>
              <w:rPr>
                <w:lang w:val="en-GB"/>
              </w:rPr>
            </w:pPr>
            <w:r w:rsidRPr="001B7656">
              <w:rPr>
                <w:lang w:val="en-GB"/>
              </w:rPr>
              <w:t>40</w:t>
            </w:r>
          </w:p>
        </w:tc>
        <w:tc>
          <w:tcPr>
            <w:tcW w:w="1843" w:type="dxa"/>
            <w:shd w:val="clear" w:color="auto" w:fill="FFFFFF"/>
          </w:tcPr>
          <w:p w14:paraId="43C1BC70" w14:textId="77777777" w:rsidR="0010597D" w:rsidRPr="001B7656" w:rsidRDefault="0010597D" w:rsidP="00DD5F5C">
            <w:pPr>
              <w:pStyle w:val="CETBodytext"/>
              <w:rPr>
                <w:lang w:val="en-GB"/>
              </w:rPr>
            </w:pPr>
            <w:r w:rsidRPr="001B7656">
              <w:rPr>
                <w:lang w:val="en-GB"/>
              </w:rPr>
              <w:t>8.45</w:t>
            </w:r>
          </w:p>
        </w:tc>
        <w:tc>
          <w:tcPr>
            <w:tcW w:w="1843" w:type="dxa"/>
            <w:shd w:val="clear" w:color="auto" w:fill="FFFFFF"/>
          </w:tcPr>
          <w:p w14:paraId="7A66FCAF" w14:textId="77777777" w:rsidR="0010597D" w:rsidRPr="001B7656" w:rsidRDefault="0010597D" w:rsidP="00DD5F5C">
            <w:pPr>
              <w:pStyle w:val="CETBodytext"/>
              <w:ind w:right="-1"/>
              <w:rPr>
                <w:rFonts w:cs="Arial"/>
                <w:szCs w:val="18"/>
                <w:lang w:val="en-GB"/>
              </w:rPr>
            </w:pPr>
            <w:r w:rsidRPr="001B7656">
              <w:rPr>
                <w:lang w:val="en-GB"/>
              </w:rPr>
              <w:t>11.20</w:t>
            </w:r>
          </w:p>
        </w:tc>
        <w:tc>
          <w:tcPr>
            <w:tcW w:w="1701" w:type="dxa"/>
            <w:shd w:val="clear" w:color="auto" w:fill="FFFFFF"/>
          </w:tcPr>
          <w:p w14:paraId="5BF8CA45" w14:textId="77777777" w:rsidR="0010597D" w:rsidRPr="001B7656" w:rsidRDefault="0010597D" w:rsidP="00DD5F5C">
            <w:pPr>
              <w:pStyle w:val="CETBodytext"/>
              <w:ind w:right="-1"/>
              <w:rPr>
                <w:rFonts w:cs="Arial"/>
                <w:szCs w:val="18"/>
                <w:lang w:val="en-GB"/>
              </w:rPr>
            </w:pPr>
            <w:r w:rsidRPr="001B7656">
              <w:rPr>
                <w:lang w:val="en-GB"/>
              </w:rPr>
              <w:t>44.43</w:t>
            </w:r>
          </w:p>
        </w:tc>
        <w:tc>
          <w:tcPr>
            <w:tcW w:w="1417" w:type="dxa"/>
            <w:shd w:val="clear" w:color="auto" w:fill="FFFFFF"/>
          </w:tcPr>
          <w:p w14:paraId="7274AD47" w14:textId="77777777" w:rsidR="0010597D" w:rsidRPr="001B7656" w:rsidRDefault="0010597D" w:rsidP="00DD5F5C">
            <w:pPr>
              <w:pStyle w:val="CETBodytext"/>
              <w:ind w:right="-1"/>
              <w:rPr>
                <w:rFonts w:cs="Arial"/>
                <w:szCs w:val="18"/>
                <w:lang w:val="en-GB"/>
              </w:rPr>
            </w:pPr>
            <w:r w:rsidRPr="001B7656">
              <w:rPr>
                <w:rFonts w:cs="Arial"/>
                <w:szCs w:val="18"/>
                <w:lang w:val="en-GB"/>
              </w:rPr>
              <w:t>+10.4 %</w:t>
            </w:r>
          </w:p>
        </w:tc>
      </w:tr>
      <w:tr w:rsidR="0010597D" w:rsidRPr="001B7656" w14:paraId="62BE8CFA" w14:textId="77777777" w:rsidTr="00DD5F5C">
        <w:tc>
          <w:tcPr>
            <w:tcW w:w="1134" w:type="dxa"/>
            <w:shd w:val="clear" w:color="auto" w:fill="FFFFFF"/>
          </w:tcPr>
          <w:p w14:paraId="07BAC6B2" w14:textId="77777777" w:rsidR="0010597D" w:rsidRPr="001B7656" w:rsidRDefault="0010597D" w:rsidP="00DD5F5C">
            <w:pPr>
              <w:pStyle w:val="CETBodytext"/>
              <w:rPr>
                <w:lang w:val="en-GB"/>
              </w:rPr>
            </w:pPr>
            <w:r w:rsidRPr="001B7656">
              <w:rPr>
                <w:lang w:val="en-GB"/>
              </w:rPr>
              <w:t>11.9</w:t>
            </w:r>
          </w:p>
        </w:tc>
        <w:tc>
          <w:tcPr>
            <w:tcW w:w="567" w:type="dxa"/>
            <w:shd w:val="clear" w:color="auto" w:fill="FFFFFF"/>
          </w:tcPr>
          <w:p w14:paraId="23656140" w14:textId="77777777" w:rsidR="0010597D" w:rsidRPr="001B7656" w:rsidRDefault="0010597D" w:rsidP="00DD5F5C">
            <w:pPr>
              <w:pStyle w:val="CETBodytext"/>
              <w:rPr>
                <w:lang w:val="en-GB"/>
              </w:rPr>
            </w:pPr>
            <w:r w:rsidRPr="001B7656">
              <w:rPr>
                <w:lang w:val="en-GB"/>
              </w:rPr>
              <w:t>26</w:t>
            </w:r>
          </w:p>
        </w:tc>
        <w:tc>
          <w:tcPr>
            <w:tcW w:w="1843" w:type="dxa"/>
            <w:shd w:val="clear" w:color="auto" w:fill="FFFFFF"/>
          </w:tcPr>
          <w:p w14:paraId="03509747" w14:textId="77777777" w:rsidR="0010597D" w:rsidRPr="001B7656" w:rsidRDefault="0010597D" w:rsidP="00DD5F5C">
            <w:pPr>
              <w:pStyle w:val="CETBodytext"/>
              <w:rPr>
                <w:lang w:val="en-GB"/>
              </w:rPr>
            </w:pPr>
            <w:r w:rsidRPr="001B7656">
              <w:rPr>
                <w:lang w:val="en-GB"/>
              </w:rPr>
              <w:t>8.38</w:t>
            </w:r>
          </w:p>
        </w:tc>
        <w:tc>
          <w:tcPr>
            <w:tcW w:w="1843" w:type="dxa"/>
            <w:shd w:val="clear" w:color="auto" w:fill="FFFFFF"/>
          </w:tcPr>
          <w:p w14:paraId="45C83168" w14:textId="77777777" w:rsidR="0010597D" w:rsidRPr="001B7656" w:rsidRDefault="0010597D" w:rsidP="00DD5F5C">
            <w:pPr>
              <w:pStyle w:val="CETBodytext"/>
              <w:ind w:right="-1"/>
              <w:rPr>
                <w:rFonts w:cs="Arial"/>
                <w:szCs w:val="18"/>
                <w:lang w:val="en-GB"/>
              </w:rPr>
            </w:pPr>
            <w:r w:rsidRPr="001B7656">
              <w:rPr>
                <w:lang w:val="en-GB"/>
              </w:rPr>
              <w:t>11.02</w:t>
            </w:r>
          </w:p>
        </w:tc>
        <w:tc>
          <w:tcPr>
            <w:tcW w:w="1701" w:type="dxa"/>
            <w:shd w:val="clear" w:color="auto" w:fill="FFFFFF"/>
          </w:tcPr>
          <w:p w14:paraId="2C1C443B" w14:textId="77777777" w:rsidR="0010597D" w:rsidRPr="001B7656" w:rsidRDefault="0010597D" w:rsidP="00DD5F5C">
            <w:pPr>
              <w:pStyle w:val="CETBodytext"/>
              <w:ind w:right="-1"/>
              <w:rPr>
                <w:rFonts w:cs="Arial"/>
                <w:szCs w:val="18"/>
                <w:lang w:val="en-GB"/>
              </w:rPr>
            </w:pPr>
            <w:r w:rsidRPr="001B7656">
              <w:rPr>
                <w:lang w:val="en-GB"/>
              </w:rPr>
              <w:t>43.31</w:t>
            </w:r>
          </w:p>
        </w:tc>
        <w:tc>
          <w:tcPr>
            <w:tcW w:w="1417" w:type="dxa"/>
            <w:shd w:val="clear" w:color="auto" w:fill="FFFFFF"/>
          </w:tcPr>
          <w:p w14:paraId="53724B46" w14:textId="77777777" w:rsidR="0010597D" w:rsidRPr="001B7656" w:rsidRDefault="0010597D" w:rsidP="00DD5F5C">
            <w:pPr>
              <w:pStyle w:val="CETBodytext"/>
              <w:ind w:right="-1"/>
              <w:rPr>
                <w:rFonts w:cs="Arial"/>
                <w:szCs w:val="18"/>
                <w:lang w:val="en-GB"/>
              </w:rPr>
            </w:pPr>
          </w:p>
        </w:tc>
      </w:tr>
      <w:tr w:rsidR="0010597D" w:rsidRPr="001B7656" w14:paraId="17DA099B" w14:textId="77777777" w:rsidTr="00DD5F5C">
        <w:tc>
          <w:tcPr>
            <w:tcW w:w="1134" w:type="dxa"/>
            <w:shd w:val="clear" w:color="auto" w:fill="FFFFFF"/>
          </w:tcPr>
          <w:p w14:paraId="433336C6" w14:textId="77777777" w:rsidR="0010597D" w:rsidRPr="001B7656" w:rsidRDefault="0010597D" w:rsidP="00DD5F5C">
            <w:pPr>
              <w:pStyle w:val="CETBodytext"/>
              <w:rPr>
                <w:lang w:val="en-GB"/>
              </w:rPr>
            </w:pPr>
          </w:p>
        </w:tc>
        <w:tc>
          <w:tcPr>
            <w:tcW w:w="567" w:type="dxa"/>
            <w:shd w:val="clear" w:color="auto" w:fill="FFFFFF"/>
          </w:tcPr>
          <w:p w14:paraId="1EC92F9C" w14:textId="77777777" w:rsidR="0010597D" w:rsidRPr="001B7656" w:rsidRDefault="0010597D" w:rsidP="00DD5F5C">
            <w:pPr>
              <w:pStyle w:val="CETBodytext"/>
              <w:rPr>
                <w:lang w:val="en-GB"/>
              </w:rPr>
            </w:pPr>
            <w:r w:rsidRPr="001B7656">
              <w:rPr>
                <w:lang w:val="en-GB"/>
              </w:rPr>
              <w:t>30</w:t>
            </w:r>
          </w:p>
        </w:tc>
        <w:tc>
          <w:tcPr>
            <w:tcW w:w="1843" w:type="dxa"/>
            <w:shd w:val="clear" w:color="auto" w:fill="FFFFFF"/>
          </w:tcPr>
          <w:p w14:paraId="273439CE" w14:textId="77777777" w:rsidR="0010597D" w:rsidRPr="001B7656" w:rsidRDefault="0010597D" w:rsidP="00DD5F5C">
            <w:pPr>
              <w:pStyle w:val="CETBodytext"/>
              <w:rPr>
                <w:lang w:val="en-GB"/>
              </w:rPr>
            </w:pPr>
            <w:r w:rsidRPr="001B7656">
              <w:rPr>
                <w:lang w:val="en-GB"/>
              </w:rPr>
              <w:t>8.74</w:t>
            </w:r>
          </w:p>
        </w:tc>
        <w:tc>
          <w:tcPr>
            <w:tcW w:w="1843" w:type="dxa"/>
            <w:shd w:val="clear" w:color="auto" w:fill="FFFFFF"/>
          </w:tcPr>
          <w:p w14:paraId="199A6E47" w14:textId="77777777" w:rsidR="0010597D" w:rsidRPr="001B7656" w:rsidRDefault="0010597D" w:rsidP="00DD5F5C">
            <w:pPr>
              <w:pStyle w:val="CETBodytext"/>
              <w:ind w:right="-1"/>
              <w:rPr>
                <w:rFonts w:cs="Arial"/>
                <w:szCs w:val="18"/>
                <w:lang w:val="en-GB"/>
              </w:rPr>
            </w:pPr>
            <w:r w:rsidRPr="001B7656">
              <w:rPr>
                <w:lang w:val="en-GB"/>
              </w:rPr>
              <w:t>11.49</w:t>
            </w:r>
          </w:p>
        </w:tc>
        <w:tc>
          <w:tcPr>
            <w:tcW w:w="1701" w:type="dxa"/>
            <w:shd w:val="clear" w:color="auto" w:fill="FFFFFF"/>
          </w:tcPr>
          <w:p w14:paraId="5485567C" w14:textId="77777777" w:rsidR="0010597D" w:rsidRPr="001B7656" w:rsidRDefault="0010597D" w:rsidP="00DD5F5C">
            <w:pPr>
              <w:pStyle w:val="CETBodytext"/>
              <w:ind w:right="-1"/>
              <w:rPr>
                <w:rFonts w:cs="Arial"/>
                <w:szCs w:val="18"/>
                <w:lang w:val="en-GB"/>
              </w:rPr>
            </w:pPr>
            <w:r w:rsidRPr="001B7656">
              <w:rPr>
                <w:lang w:val="en-GB"/>
              </w:rPr>
              <w:t>45.14</w:t>
            </w:r>
          </w:p>
        </w:tc>
        <w:tc>
          <w:tcPr>
            <w:tcW w:w="1417" w:type="dxa"/>
            <w:shd w:val="clear" w:color="auto" w:fill="FFFFFF"/>
          </w:tcPr>
          <w:p w14:paraId="1A53B1D5" w14:textId="77777777" w:rsidR="0010597D" w:rsidRPr="001B7656" w:rsidRDefault="0010597D" w:rsidP="00DD5F5C">
            <w:pPr>
              <w:pStyle w:val="CETBodytext"/>
              <w:ind w:right="-1"/>
              <w:rPr>
                <w:rFonts w:cs="Arial"/>
                <w:szCs w:val="18"/>
                <w:lang w:val="en-GB"/>
              </w:rPr>
            </w:pPr>
            <w:r w:rsidRPr="001B7656">
              <w:rPr>
                <w:rFonts w:cs="Arial"/>
                <w:szCs w:val="18"/>
                <w:lang w:val="en-GB"/>
              </w:rPr>
              <w:t>+4.2 %</w:t>
            </w:r>
          </w:p>
        </w:tc>
      </w:tr>
      <w:tr w:rsidR="0010597D" w:rsidRPr="001B7656" w14:paraId="766B25B6" w14:textId="77777777" w:rsidTr="00DD5F5C">
        <w:tc>
          <w:tcPr>
            <w:tcW w:w="1134" w:type="dxa"/>
            <w:shd w:val="clear" w:color="auto" w:fill="FFFFFF"/>
          </w:tcPr>
          <w:p w14:paraId="22AF2EE4" w14:textId="77777777" w:rsidR="0010597D" w:rsidRPr="001B7656" w:rsidRDefault="0010597D" w:rsidP="00DD5F5C">
            <w:pPr>
              <w:pStyle w:val="CETBodytext"/>
              <w:rPr>
                <w:lang w:val="en-GB"/>
              </w:rPr>
            </w:pPr>
          </w:p>
        </w:tc>
        <w:tc>
          <w:tcPr>
            <w:tcW w:w="567" w:type="dxa"/>
            <w:shd w:val="clear" w:color="auto" w:fill="FFFFFF"/>
          </w:tcPr>
          <w:p w14:paraId="35A6A16B" w14:textId="77777777" w:rsidR="0010597D" w:rsidRPr="001B7656" w:rsidRDefault="0010597D" w:rsidP="00DD5F5C">
            <w:pPr>
              <w:pStyle w:val="CETBodytext"/>
              <w:rPr>
                <w:lang w:val="en-GB"/>
              </w:rPr>
            </w:pPr>
            <w:r w:rsidRPr="001B7656">
              <w:rPr>
                <w:lang w:val="en-GB"/>
              </w:rPr>
              <w:t>40</w:t>
            </w:r>
          </w:p>
        </w:tc>
        <w:tc>
          <w:tcPr>
            <w:tcW w:w="1843" w:type="dxa"/>
            <w:shd w:val="clear" w:color="auto" w:fill="FFFFFF"/>
          </w:tcPr>
          <w:p w14:paraId="548B4F60" w14:textId="77777777" w:rsidR="0010597D" w:rsidRPr="001B7656" w:rsidRDefault="0010597D" w:rsidP="00DD5F5C">
            <w:pPr>
              <w:pStyle w:val="CETBodytext"/>
              <w:rPr>
                <w:lang w:val="en-GB"/>
              </w:rPr>
            </w:pPr>
            <w:r w:rsidRPr="001B7656">
              <w:rPr>
                <w:lang w:val="en-GB"/>
              </w:rPr>
              <w:t>9.43</w:t>
            </w:r>
          </w:p>
        </w:tc>
        <w:tc>
          <w:tcPr>
            <w:tcW w:w="1843" w:type="dxa"/>
            <w:shd w:val="clear" w:color="auto" w:fill="FFFFFF"/>
          </w:tcPr>
          <w:p w14:paraId="7F70F6FB" w14:textId="77777777" w:rsidR="0010597D" w:rsidRPr="001B7656" w:rsidRDefault="0010597D" w:rsidP="00DD5F5C">
            <w:pPr>
              <w:pStyle w:val="CETBodytext"/>
              <w:ind w:right="-1"/>
              <w:rPr>
                <w:rFonts w:cs="Arial"/>
                <w:szCs w:val="18"/>
                <w:lang w:val="en-GB"/>
              </w:rPr>
            </w:pPr>
            <w:r w:rsidRPr="001B7656">
              <w:rPr>
                <w:lang w:val="en-GB"/>
              </w:rPr>
              <w:t>12.39</w:t>
            </w:r>
          </w:p>
        </w:tc>
        <w:tc>
          <w:tcPr>
            <w:tcW w:w="1701" w:type="dxa"/>
            <w:shd w:val="clear" w:color="auto" w:fill="FFFFFF"/>
          </w:tcPr>
          <w:p w14:paraId="2BBFE49C" w14:textId="77777777" w:rsidR="0010597D" w:rsidRPr="001B7656" w:rsidRDefault="0010597D" w:rsidP="00DD5F5C">
            <w:pPr>
              <w:pStyle w:val="CETBodytext"/>
              <w:ind w:right="-1"/>
              <w:rPr>
                <w:rFonts w:cs="Arial"/>
                <w:szCs w:val="18"/>
                <w:lang w:val="en-GB"/>
              </w:rPr>
            </w:pPr>
            <w:r w:rsidRPr="001B7656">
              <w:rPr>
                <w:lang w:val="en-GB"/>
              </w:rPr>
              <w:t>48.71</w:t>
            </w:r>
          </w:p>
        </w:tc>
        <w:tc>
          <w:tcPr>
            <w:tcW w:w="1417" w:type="dxa"/>
            <w:shd w:val="clear" w:color="auto" w:fill="FFFFFF"/>
          </w:tcPr>
          <w:p w14:paraId="7BB1FE06" w14:textId="77777777" w:rsidR="0010597D" w:rsidRPr="001B7656" w:rsidRDefault="0010597D" w:rsidP="00DD5F5C">
            <w:pPr>
              <w:pStyle w:val="CETBodytext"/>
              <w:ind w:right="-1"/>
              <w:rPr>
                <w:rFonts w:cs="Arial"/>
                <w:szCs w:val="18"/>
                <w:lang w:val="en-GB"/>
              </w:rPr>
            </w:pPr>
            <w:r w:rsidRPr="001B7656">
              <w:rPr>
                <w:rFonts w:cs="Arial"/>
                <w:szCs w:val="18"/>
                <w:lang w:val="en-GB"/>
              </w:rPr>
              <w:t>+12.4 %</w:t>
            </w:r>
          </w:p>
        </w:tc>
      </w:tr>
      <w:tr w:rsidR="0025004A" w:rsidRPr="001B7656" w14:paraId="2C89C002" w14:textId="77777777" w:rsidTr="00DD5F5C">
        <w:tc>
          <w:tcPr>
            <w:tcW w:w="1134" w:type="dxa"/>
            <w:shd w:val="clear" w:color="auto" w:fill="FFFFFF"/>
          </w:tcPr>
          <w:p w14:paraId="0792A8F0" w14:textId="72A23B07" w:rsidR="0025004A" w:rsidRPr="001B7656" w:rsidRDefault="0025004A" w:rsidP="0025004A">
            <w:pPr>
              <w:pStyle w:val="CETBodytext"/>
              <w:rPr>
                <w:lang w:val="en-GB"/>
              </w:rPr>
            </w:pPr>
            <w:r w:rsidRPr="001B7656">
              <w:rPr>
                <w:lang w:val="en-GB"/>
              </w:rPr>
              <w:t>3</w:t>
            </w:r>
            <w:r>
              <w:rPr>
                <w:lang w:val="en-GB"/>
              </w:rPr>
              <w:t>1</w:t>
            </w:r>
            <w:r w:rsidRPr="001B7656">
              <w:rPr>
                <w:lang w:val="en-GB"/>
              </w:rPr>
              <w:t>.2</w:t>
            </w:r>
          </w:p>
        </w:tc>
        <w:tc>
          <w:tcPr>
            <w:tcW w:w="567" w:type="dxa"/>
            <w:shd w:val="clear" w:color="auto" w:fill="FFFFFF"/>
          </w:tcPr>
          <w:p w14:paraId="2067AF5E" w14:textId="77777777" w:rsidR="0025004A" w:rsidRPr="001B7656" w:rsidRDefault="0025004A" w:rsidP="0025004A">
            <w:pPr>
              <w:pStyle w:val="CETBodytext"/>
              <w:rPr>
                <w:lang w:val="en-GB"/>
              </w:rPr>
            </w:pPr>
            <w:r w:rsidRPr="001B7656">
              <w:rPr>
                <w:lang w:val="en-GB"/>
              </w:rPr>
              <w:t>26</w:t>
            </w:r>
          </w:p>
        </w:tc>
        <w:tc>
          <w:tcPr>
            <w:tcW w:w="1843" w:type="dxa"/>
            <w:shd w:val="clear" w:color="auto" w:fill="FFFFFF"/>
          </w:tcPr>
          <w:p w14:paraId="44BF7B1F" w14:textId="5DB105C4" w:rsidR="0025004A" w:rsidRPr="001B7656" w:rsidRDefault="0025004A" w:rsidP="0025004A">
            <w:pPr>
              <w:pStyle w:val="CETBodytext"/>
              <w:rPr>
                <w:lang w:val="en-GB"/>
              </w:rPr>
            </w:pPr>
            <w:r w:rsidRPr="001B7656">
              <w:rPr>
                <w:lang w:val="en-GB"/>
              </w:rPr>
              <w:t>9.64</w:t>
            </w:r>
          </w:p>
        </w:tc>
        <w:tc>
          <w:tcPr>
            <w:tcW w:w="1843" w:type="dxa"/>
            <w:shd w:val="clear" w:color="auto" w:fill="FFFFFF"/>
          </w:tcPr>
          <w:p w14:paraId="00E3232A" w14:textId="6B370A6A" w:rsidR="0025004A" w:rsidRPr="001B7656" w:rsidRDefault="0025004A" w:rsidP="0025004A">
            <w:pPr>
              <w:pStyle w:val="CETBodytext"/>
              <w:ind w:right="-1"/>
              <w:rPr>
                <w:rFonts w:cs="Arial"/>
                <w:szCs w:val="18"/>
                <w:lang w:val="en-GB"/>
              </w:rPr>
            </w:pPr>
            <w:r w:rsidRPr="001B7656">
              <w:rPr>
                <w:lang w:val="en-GB"/>
              </w:rPr>
              <w:t>12.60</w:t>
            </w:r>
          </w:p>
        </w:tc>
        <w:tc>
          <w:tcPr>
            <w:tcW w:w="1701" w:type="dxa"/>
            <w:shd w:val="clear" w:color="auto" w:fill="FFFFFF"/>
          </w:tcPr>
          <w:p w14:paraId="24C8C000" w14:textId="39977906" w:rsidR="0025004A" w:rsidRPr="001B7656" w:rsidRDefault="0025004A" w:rsidP="0025004A">
            <w:pPr>
              <w:pStyle w:val="CETBodytext"/>
              <w:ind w:right="-1"/>
              <w:rPr>
                <w:rFonts w:cs="Arial"/>
                <w:szCs w:val="18"/>
                <w:lang w:val="en-GB"/>
              </w:rPr>
            </w:pPr>
            <w:r w:rsidRPr="001B7656">
              <w:rPr>
                <w:lang w:val="en-GB"/>
              </w:rPr>
              <w:t>48.20</w:t>
            </w:r>
          </w:p>
        </w:tc>
        <w:tc>
          <w:tcPr>
            <w:tcW w:w="1417" w:type="dxa"/>
            <w:shd w:val="clear" w:color="auto" w:fill="FFFFFF"/>
          </w:tcPr>
          <w:p w14:paraId="447A8D41" w14:textId="77777777" w:rsidR="0025004A" w:rsidRPr="001B7656" w:rsidRDefault="0025004A" w:rsidP="0025004A">
            <w:pPr>
              <w:pStyle w:val="CETBodytext"/>
              <w:ind w:right="-1"/>
              <w:rPr>
                <w:rFonts w:cs="Arial"/>
                <w:szCs w:val="18"/>
                <w:lang w:val="en-GB"/>
              </w:rPr>
            </w:pPr>
          </w:p>
        </w:tc>
      </w:tr>
      <w:tr w:rsidR="0025004A" w:rsidRPr="001B7656" w14:paraId="7D16EE38" w14:textId="77777777" w:rsidTr="00DD5F5C">
        <w:tc>
          <w:tcPr>
            <w:tcW w:w="1134" w:type="dxa"/>
            <w:shd w:val="clear" w:color="auto" w:fill="FFFFFF"/>
          </w:tcPr>
          <w:p w14:paraId="3B97D02A" w14:textId="77777777" w:rsidR="0025004A" w:rsidRPr="001B7656" w:rsidRDefault="0025004A" w:rsidP="0025004A">
            <w:pPr>
              <w:pStyle w:val="CETBodytext"/>
              <w:rPr>
                <w:lang w:val="en-GB"/>
              </w:rPr>
            </w:pPr>
          </w:p>
        </w:tc>
        <w:tc>
          <w:tcPr>
            <w:tcW w:w="567" w:type="dxa"/>
            <w:shd w:val="clear" w:color="auto" w:fill="FFFFFF"/>
          </w:tcPr>
          <w:p w14:paraId="4A19A104" w14:textId="77777777" w:rsidR="0025004A" w:rsidRPr="001B7656" w:rsidRDefault="0025004A" w:rsidP="0025004A">
            <w:pPr>
              <w:pStyle w:val="CETBodytext"/>
              <w:rPr>
                <w:lang w:val="en-GB"/>
              </w:rPr>
            </w:pPr>
            <w:r w:rsidRPr="001B7656">
              <w:rPr>
                <w:lang w:val="en-GB"/>
              </w:rPr>
              <w:t>30</w:t>
            </w:r>
          </w:p>
        </w:tc>
        <w:tc>
          <w:tcPr>
            <w:tcW w:w="1843" w:type="dxa"/>
            <w:shd w:val="clear" w:color="auto" w:fill="FFFFFF"/>
          </w:tcPr>
          <w:p w14:paraId="5442F46A" w14:textId="77777777" w:rsidR="0025004A" w:rsidRPr="001B7656" w:rsidRDefault="0025004A" w:rsidP="0025004A">
            <w:pPr>
              <w:pStyle w:val="CETBodytext"/>
              <w:rPr>
                <w:lang w:val="en-GB"/>
              </w:rPr>
            </w:pPr>
            <w:r w:rsidRPr="001B7656">
              <w:rPr>
                <w:lang w:val="en-GB"/>
              </w:rPr>
              <w:t>9.74</w:t>
            </w:r>
          </w:p>
        </w:tc>
        <w:tc>
          <w:tcPr>
            <w:tcW w:w="1843" w:type="dxa"/>
            <w:shd w:val="clear" w:color="auto" w:fill="FFFFFF"/>
          </w:tcPr>
          <w:p w14:paraId="27A757CF" w14:textId="77777777" w:rsidR="0025004A" w:rsidRPr="001B7656" w:rsidRDefault="0025004A" w:rsidP="0025004A">
            <w:pPr>
              <w:pStyle w:val="CETBodytext"/>
              <w:ind w:right="-1"/>
              <w:rPr>
                <w:rFonts w:cs="Arial"/>
                <w:szCs w:val="18"/>
                <w:lang w:val="en-GB"/>
              </w:rPr>
            </w:pPr>
            <w:r w:rsidRPr="001B7656">
              <w:rPr>
                <w:lang w:val="en-GB"/>
              </w:rPr>
              <w:t>12.75</w:t>
            </w:r>
          </w:p>
        </w:tc>
        <w:tc>
          <w:tcPr>
            <w:tcW w:w="1701" w:type="dxa"/>
            <w:shd w:val="clear" w:color="auto" w:fill="FFFFFF"/>
          </w:tcPr>
          <w:p w14:paraId="59E056BF" w14:textId="77777777" w:rsidR="0025004A" w:rsidRPr="001B7656" w:rsidRDefault="0025004A" w:rsidP="0025004A">
            <w:pPr>
              <w:pStyle w:val="CETBodytext"/>
              <w:ind w:right="-1"/>
              <w:rPr>
                <w:rFonts w:cs="Arial"/>
                <w:szCs w:val="18"/>
                <w:lang w:val="en-GB"/>
              </w:rPr>
            </w:pPr>
            <w:r w:rsidRPr="001B7656">
              <w:rPr>
                <w:lang w:val="en-GB"/>
              </w:rPr>
              <w:t>48.74</w:t>
            </w:r>
          </w:p>
        </w:tc>
        <w:tc>
          <w:tcPr>
            <w:tcW w:w="1417" w:type="dxa"/>
            <w:shd w:val="clear" w:color="auto" w:fill="FFFFFF"/>
          </w:tcPr>
          <w:p w14:paraId="0E6CC038" w14:textId="77777777" w:rsidR="0025004A" w:rsidRPr="001B7656" w:rsidRDefault="0025004A" w:rsidP="0025004A">
            <w:pPr>
              <w:pStyle w:val="CETBodytext"/>
              <w:ind w:right="-1"/>
              <w:rPr>
                <w:rFonts w:cs="Arial"/>
                <w:szCs w:val="18"/>
                <w:lang w:val="en-GB"/>
              </w:rPr>
            </w:pPr>
            <w:r w:rsidRPr="001B7656">
              <w:rPr>
                <w:rFonts w:cs="Arial"/>
                <w:szCs w:val="18"/>
                <w:lang w:val="en-GB"/>
              </w:rPr>
              <w:t>+1.1 %</w:t>
            </w:r>
          </w:p>
        </w:tc>
      </w:tr>
      <w:tr w:rsidR="0025004A" w:rsidRPr="001B7656" w14:paraId="2EBFC211" w14:textId="77777777" w:rsidTr="00DD5F5C">
        <w:tc>
          <w:tcPr>
            <w:tcW w:w="1134" w:type="dxa"/>
            <w:shd w:val="clear" w:color="auto" w:fill="FFFFFF"/>
          </w:tcPr>
          <w:p w14:paraId="73BDDE4A" w14:textId="77777777" w:rsidR="0025004A" w:rsidRPr="001B7656" w:rsidRDefault="0025004A" w:rsidP="0025004A">
            <w:pPr>
              <w:pStyle w:val="CETBodytext"/>
              <w:ind w:right="-1"/>
              <w:rPr>
                <w:rFonts w:cs="Arial"/>
                <w:szCs w:val="18"/>
                <w:lang w:val="en-GB"/>
              </w:rPr>
            </w:pPr>
          </w:p>
        </w:tc>
        <w:tc>
          <w:tcPr>
            <w:tcW w:w="567" w:type="dxa"/>
            <w:shd w:val="clear" w:color="auto" w:fill="FFFFFF"/>
          </w:tcPr>
          <w:p w14:paraId="5605B824" w14:textId="77777777" w:rsidR="0025004A" w:rsidRPr="001B7656" w:rsidRDefault="0025004A" w:rsidP="0025004A">
            <w:pPr>
              <w:pStyle w:val="CETBodytext"/>
              <w:ind w:right="-1"/>
              <w:rPr>
                <w:rFonts w:cs="Arial"/>
                <w:szCs w:val="18"/>
                <w:lang w:val="en-GB"/>
              </w:rPr>
            </w:pPr>
            <w:r w:rsidRPr="001B7656">
              <w:rPr>
                <w:lang w:val="en-GB"/>
              </w:rPr>
              <w:t>40</w:t>
            </w:r>
          </w:p>
        </w:tc>
        <w:tc>
          <w:tcPr>
            <w:tcW w:w="1843" w:type="dxa"/>
            <w:shd w:val="clear" w:color="auto" w:fill="FFFFFF"/>
          </w:tcPr>
          <w:p w14:paraId="34760F47" w14:textId="4667DB27" w:rsidR="0025004A" w:rsidRPr="001B7656" w:rsidRDefault="0025004A" w:rsidP="0025004A">
            <w:pPr>
              <w:pStyle w:val="CETBodytext"/>
              <w:ind w:right="-1"/>
              <w:rPr>
                <w:rFonts w:cs="Arial"/>
                <w:szCs w:val="18"/>
                <w:lang w:val="en-GB"/>
              </w:rPr>
            </w:pPr>
            <w:r w:rsidRPr="001B7656">
              <w:rPr>
                <w:lang w:val="en-GB"/>
              </w:rPr>
              <w:t>9.85</w:t>
            </w:r>
          </w:p>
        </w:tc>
        <w:tc>
          <w:tcPr>
            <w:tcW w:w="1843" w:type="dxa"/>
            <w:shd w:val="clear" w:color="auto" w:fill="FFFFFF"/>
          </w:tcPr>
          <w:p w14:paraId="3034D43C" w14:textId="194F431C" w:rsidR="0025004A" w:rsidRPr="001B7656" w:rsidRDefault="0025004A" w:rsidP="0025004A">
            <w:pPr>
              <w:pStyle w:val="CETBodytext"/>
              <w:ind w:right="-1"/>
              <w:rPr>
                <w:rFonts w:cs="Arial"/>
                <w:szCs w:val="18"/>
                <w:lang w:val="en-GB"/>
              </w:rPr>
            </w:pPr>
            <w:r w:rsidRPr="001B7656">
              <w:rPr>
                <w:lang w:val="en-GB"/>
              </w:rPr>
              <w:t>12.88</w:t>
            </w:r>
          </w:p>
        </w:tc>
        <w:tc>
          <w:tcPr>
            <w:tcW w:w="1701" w:type="dxa"/>
            <w:shd w:val="clear" w:color="auto" w:fill="FFFFFF"/>
          </w:tcPr>
          <w:p w14:paraId="75BED989" w14:textId="10CE37C8" w:rsidR="0025004A" w:rsidRPr="001B7656" w:rsidRDefault="0025004A" w:rsidP="0025004A">
            <w:pPr>
              <w:pStyle w:val="CETBodytext"/>
              <w:ind w:right="-1"/>
              <w:rPr>
                <w:rFonts w:cs="Arial"/>
                <w:szCs w:val="18"/>
                <w:lang w:val="en-GB"/>
              </w:rPr>
            </w:pPr>
            <w:r w:rsidRPr="001B7656">
              <w:rPr>
                <w:lang w:val="en-GB"/>
              </w:rPr>
              <w:t>49.27</w:t>
            </w:r>
          </w:p>
        </w:tc>
        <w:tc>
          <w:tcPr>
            <w:tcW w:w="1417" w:type="dxa"/>
            <w:shd w:val="clear" w:color="auto" w:fill="FFFFFF"/>
          </w:tcPr>
          <w:p w14:paraId="35AC5182" w14:textId="77777777" w:rsidR="0025004A" w:rsidRPr="001B7656" w:rsidRDefault="0025004A" w:rsidP="0025004A">
            <w:pPr>
              <w:pStyle w:val="CETBodytext"/>
              <w:ind w:right="-1"/>
              <w:rPr>
                <w:rFonts w:cs="Arial"/>
                <w:szCs w:val="18"/>
                <w:lang w:val="en-GB"/>
              </w:rPr>
            </w:pPr>
            <w:r w:rsidRPr="001B7656">
              <w:rPr>
                <w:rFonts w:cs="Arial"/>
                <w:szCs w:val="18"/>
                <w:lang w:val="en-GB"/>
              </w:rPr>
              <w:t>+2.2 %</w:t>
            </w:r>
          </w:p>
        </w:tc>
      </w:tr>
    </w:tbl>
    <w:p w14:paraId="0D84D7DA" w14:textId="77777777" w:rsidR="0010597D" w:rsidRPr="001B7656" w:rsidRDefault="0010597D" w:rsidP="0010597D">
      <w:pPr>
        <w:pStyle w:val="CETBodytext"/>
        <w:rPr>
          <w:lang w:val="en-GB"/>
        </w:rPr>
      </w:pPr>
    </w:p>
    <w:p w14:paraId="4F8C4DEE" w14:textId="73914BD0" w:rsidR="0010597D" w:rsidRDefault="0010597D" w:rsidP="008E719B">
      <w:pPr>
        <w:pStyle w:val="CETBodytext"/>
        <w:rPr>
          <w:lang w:val="en-GB"/>
        </w:rPr>
      </w:pPr>
      <w:r w:rsidRPr="001B7656">
        <w:rPr>
          <w:lang w:val="en-GB"/>
        </w:rPr>
        <w:t xml:space="preserve">As expected, when the hydrogen mass contained inside the vessel increases, the distance to overpressure increases as well. It is possible to note that the increase of mass influence more the </w:t>
      </w:r>
      <w:r w:rsidR="008E719B">
        <w:rPr>
          <w:lang w:val="en-GB"/>
        </w:rPr>
        <w:t>distance</w:t>
      </w:r>
      <w:r w:rsidRPr="001B7656">
        <w:rPr>
          <w:lang w:val="en-GB"/>
        </w:rPr>
        <w:t xml:space="preserve"> when the tank pressure is 11.8 bar</w:t>
      </w:r>
      <w:r w:rsidRPr="001B7656">
        <w:rPr>
          <w:vertAlign w:val="subscript"/>
          <w:lang w:val="en-GB"/>
        </w:rPr>
        <w:t>g</w:t>
      </w:r>
      <w:r w:rsidR="008E719B" w:rsidRPr="008E719B">
        <w:rPr>
          <w:lang w:val="en-GB"/>
        </w:rPr>
        <w:t xml:space="preserve"> </w:t>
      </w:r>
      <w:r w:rsidR="008E719B" w:rsidRPr="001B7656">
        <w:rPr>
          <w:lang w:val="en-GB"/>
        </w:rPr>
        <w:t>(+12.4 %)</w:t>
      </w:r>
      <w:r w:rsidR="008E719B">
        <w:rPr>
          <w:lang w:val="en-GB"/>
        </w:rPr>
        <w:t>.</w:t>
      </w:r>
      <w:r w:rsidRPr="001B7656">
        <w:rPr>
          <w:lang w:val="en-GB"/>
        </w:rPr>
        <w:t xml:space="preserve"> Instead, when the hydrogen is in supercritical conditions, the mass has a weak influence on the results of the consequence analysis. The </w:t>
      </w:r>
      <w:r w:rsidR="00F33983" w:rsidRPr="001B7656">
        <w:rPr>
          <w:lang w:val="en-GB"/>
        </w:rPr>
        <w:t>worst-case</w:t>
      </w:r>
      <w:r w:rsidRPr="001B7656">
        <w:rPr>
          <w:lang w:val="en-GB"/>
        </w:rPr>
        <w:t xml:space="preserve"> scenario is the third</w:t>
      </w:r>
      <w:r w:rsidR="00440E3E">
        <w:rPr>
          <w:lang w:val="en-GB"/>
        </w:rPr>
        <w:t xml:space="preserve"> one</w:t>
      </w:r>
      <w:r w:rsidRPr="001B7656">
        <w:rPr>
          <w:lang w:val="en-GB"/>
        </w:rPr>
        <w:t xml:space="preserve">, when the tank pressure is </w:t>
      </w:r>
      <w:r w:rsidR="008E719B">
        <w:rPr>
          <w:lang w:val="en-GB"/>
        </w:rPr>
        <w:t>31.2 bar</w:t>
      </w:r>
      <w:r w:rsidR="008E719B" w:rsidRPr="008E719B">
        <w:rPr>
          <w:vertAlign w:val="subscript"/>
          <w:lang w:val="en-GB"/>
        </w:rPr>
        <w:t>g</w:t>
      </w:r>
      <w:r w:rsidRPr="001B7656">
        <w:rPr>
          <w:lang w:val="en-GB"/>
        </w:rPr>
        <w:t>, equal to the estimated bursting pressure of the tank.</w:t>
      </w:r>
    </w:p>
    <w:p w14:paraId="5F62262E" w14:textId="3E48D974" w:rsidR="00BE18F3" w:rsidRDefault="00BE18F3" w:rsidP="008E719B">
      <w:pPr>
        <w:pStyle w:val="CETBodytext"/>
        <w:rPr>
          <w:lang w:val="en-GB"/>
        </w:rPr>
      </w:pPr>
      <w:r>
        <w:rPr>
          <w:lang w:val="en-GB"/>
        </w:rPr>
        <w:t>For the considered cases, it seems that the tank pressure has a higher influence than the hydrogen mass on the consequence results.</w:t>
      </w:r>
      <w:r w:rsidR="008615D3">
        <w:rPr>
          <w:lang w:val="en-GB"/>
        </w:rPr>
        <w:t xml:space="preserve"> Comparing the same amount of hydrogen (26 kg) increasing the pressure from 9 to 31.2 bar</w:t>
      </w:r>
      <w:r w:rsidR="008615D3" w:rsidRPr="008615D3">
        <w:rPr>
          <w:vertAlign w:val="subscript"/>
          <w:lang w:val="en-GB"/>
        </w:rPr>
        <w:t>g</w:t>
      </w:r>
      <w:r w:rsidR="008615D3">
        <w:rPr>
          <w:lang w:val="en-GB"/>
        </w:rPr>
        <w:t>, the distance to overpressure increase up to 19.8 %.</w:t>
      </w:r>
    </w:p>
    <w:p w14:paraId="0BCAFD0D" w14:textId="1094975C" w:rsidR="006D035A" w:rsidRPr="001B7656" w:rsidRDefault="006D035A" w:rsidP="008E719B">
      <w:pPr>
        <w:pStyle w:val="CETBodytext"/>
        <w:rPr>
          <w:lang w:val="en-GB"/>
        </w:rPr>
      </w:pPr>
      <w:r>
        <w:rPr>
          <w:lang w:val="en-GB"/>
        </w:rPr>
        <w:t xml:space="preserve">These results will </w:t>
      </w:r>
      <w:r w:rsidR="00416300">
        <w:rPr>
          <w:lang w:val="en-GB"/>
        </w:rPr>
        <w:t xml:space="preserve">be confirmed </w:t>
      </w:r>
      <w:r w:rsidR="00C0147E">
        <w:rPr>
          <w:lang w:val="en-GB"/>
        </w:rPr>
        <w:t>during</w:t>
      </w:r>
      <w:r w:rsidR="00416300">
        <w:rPr>
          <w:lang w:val="en-GB"/>
        </w:rPr>
        <w:t xml:space="preserve"> the SH</w:t>
      </w:r>
      <w:r w:rsidR="00416300" w:rsidRPr="00416300">
        <w:rPr>
          <w:vertAlign w:val="subscript"/>
          <w:lang w:val="en-GB"/>
        </w:rPr>
        <w:t>2</w:t>
      </w:r>
      <w:r w:rsidR="00416300">
        <w:rPr>
          <w:lang w:val="en-GB"/>
        </w:rPr>
        <w:t xml:space="preserve">IFT project when the experimental tests will be carried out </w:t>
      </w:r>
      <w:r w:rsidR="00C0147E">
        <w:rPr>
          <w:lang w:val="en-GB"/>
        </w:rPr>
        <w:t>to validate</w:t>
      </w:r>
      <w:r w:rsidR="00416300">
        <w:rPr>
          <w:lang w:val="en-GB"/>
        </w:rPr>
        <w:t xml:space="preserve"> </w:t>
      </w:r>
      <w:r w:rsidR="00440E3E">
        <w:rPr>
          <w:lang w:val="en-GB"/>
        </w:rPr>
        <w:t>this model</w:t>
      </w:r>
      <w:r w:rsidR="00416300">
        <w:rPr>
          <w:lang w:val="en-GB"/>
        </w:rPr>
        <w:t>.</w:t>
      </w:r>
    </w:p>
    <w:p w14:paraId="54969593" w14:textId="7B08EA9F" w:rsidR="00600535" w:rsidRDefault="00600535" w:rsidP="00B00558">
      <w:pPr>
        <w:pStyle w:val="CETHeading1"/>
      </w:pPr>
      <w:r w:rsidRPr="001B7656">
        <w:lastRenderedPageBreak/>
        <w:t>Conclusions</w:t>
      </w:r>
    </w:p>
    <w:p w14:paraId="54171019" w14:textId="7A722D6B" w:rsidR="00E87A15" w:rsidRPr="00D60986" w:rsidRDefault="009E302E" w:rsidP="00D60986">
      <w:pPr>
        <w:pStyle w:val="CETBodytext"/>
        <w:rPr>
          <w:lang w:val="en-GB"/>
        </w:rPr>
      </w:pPr>
      <w:r w:rsidRPr="00553895">
        <w:rPr>
          <w:lang w:val="en-GB"/>
        </w:rPr>
        <w:t>Usually, BLEVE is considered as a domino effect and not as a direct consequence of a critical event such as a catastrophic rupture. In this study, an atypical accidental scenario, such as LH</w:t>
      </w:r>
      <w:r w:rsidRPr="00553895">
        <w:rPr>
          <w:vertAlign w:val="subscript"/>
          <w:lang w:val="en-GB"/>
        </w:rPr>
        <w:t>2</w:t>
      </w:r>
      <w:r w:rsidRPr="00553895">
        <w:rPr>
          <w:lang w:val="en-GB"/>
        </w:rPr>
        <w:t xml:space="preserve"> BLEVE, has been integrated into the standard risk assessment of LH</w:t>
      </w:r>
      <w:r w:rsidRPr="00553895">
        <w:rPr>
          <w:vertAlign w:val="subscript"/>
          <w:lang w:val="en-GB"/>
        </w:rPr>
        <w:t>2</w:t>
      </w:r>
      <w:r w:rsidRPr="00553895">
        <w:rPr>
          <w:lang w:val="en-GB"/>
        </w:rPr>
        <w:t xml:space="preserve"> technologies. </w:t>
      </w:r>
      <w:r w:rsidR="00D11147" w:rsidRPr="00553895">
        <w:rPr>
          <w:lang w:val="en-GB"/>
        </w:rPr>
        <w:t>This allowed defining</w:t>
      </w:r>
      <w:r w:rsidR="005D261B" w:rsidRPr="00553895">
        <w:rPr>
          <w:lang w:val="en-GB"/>
        </w:rPr>
        <w:t xml:space="preserve"> appropriate safety barriers to avoid, control, limit or prevent causes and consequences</w:t>
      </w:r>
      <w:r w:rsidR="001C5C3D" w:rsidRPr="00553895">
        <w:rPr>
          <w:lang w:val="en-GB"/>
        </w:rPr>
        <w:t xml:space="preserve"> of the critical events</w:t>
      </w:r>
      <w:r w:rsidR="008B0A38" w:rsidRPr="00553895">
        <w:rPr>
          <w:lang w:val="en-GB"/>
        </w:rPr>
        <w:t xml:space="preserve"> are suggested</w:t>
      </w:r>
      <w:r w:rsidR="005D261B" w:rsidRPr="00553895">
        <w:rPr>
          <w:lang w:val="en-GB"/>
        </w:rPr>
        <w:t xml:space="preserve">. </w:t>
      </w:r>
      <w:r w:rsidR="00D11147" w:rsidRPr="00553895">
        <w:rPr>
          <w:lang w:val="en-GB"/>
        </w:rPr>
        <w:t>Moreover, a preliminary</w:t>
      </w:r>
      <w:r w:rsidR="005D261B" w:rsidRPr="00553895">
        <w:rPr>
          <w:lang w:val="en-GB"/>
        </w:rPr>
        <w:t xml:space="preserve"> consequence analysis has been carried out. The results of this analysis showed there is a correlation between the hydrogen mass contained in the vessel</w:t>
      </w:r>
      <w:r w:rsidR="008B0A38" w:rsidRPr="00553895">
        <w:rPr>
          <w:lang w:val="en-GB"/>
        </w:rPr>
        <w:t>, its pressure</w:t>
      </w:r>
      <w:r w:rsidR="005D261B" w:rsidRPr="00553895">
        <w:rPr>
          <w:lang w:val="en-GB"/>
        </w:rPr>
        <w:t xml:space="preserve"> and the distance to </w:t>
      </w:r>
      <w:r w:rsidR="001C0B19" w:rsidRPr="00553895">
        <w:rPr>
          <w:lang w:val="en-GB"/>
        </w:rPr>
        <w:t xml:space="preserve">BLEVE </w:t>
      </w:r>
      <w:r w:rsidR="005D261B" w:rsidRPr="00553895">
        <w:rPr>
          <w:lang w:val="en-GB"/>
        </w:rPr>
        <w:t xml:space="preserve">overpressure. </w:t>
      </w:r>
      <w:r w:rsidR="00D11147" w:rsidRPr="00553895">
        <w:rPr>
          <w:lang w:val="en-GB"/>
        </w:rPr>
        <w:t>This will represent the very first basis to design robust safety barriers.</w:t>
      </w:r>
      <w:r w:rsidRPr="00553895">
        <w:rPr>
          <w:lang w:val="en-GB"/>
        </w:rPr>
        <w:t xml:space="preserve"> A more accurate consequence analysis should be </w:t>
      </w:r>
      <w:r w:rsidR="00AB7CC9" w:rsidRPr="00553895">
        <w:rPr>
          <w:lang w:val="en-GB"/>
        </w:rPr>
        <w:t>carried out, employing and adapting for LH</w:t>
      </w:r>
      <w:r w:rsidR="00AB7CC9" w:rsidRPr="00553895">
        <w:rPr>
          <w:vertAlign w:val="subscript"/>
          <w:lang w:val="en-GB"/>
        </w:rPr>
        <w:t>2</w:t>
      </w:r>
      <w:r w:rsidR="00AB7CC9" w:rsidRPr="00553895">
        <w:rPr>
          <w:lang w:val="en-GB"/>
        </w:rPr>
        <w:t xml:space="preserve"> different models validated for other substances.</w:t>
      </w:r>
      <w:r w:rsidR="00D11147" w:rsidRPr="00553895">
        <w:rPr>
          <w:lang w:val="en-GB"/>
        </w:rPr>
        <w:t xml:space="preserve"> </w:t>
      </w:r>
      <w:r w:rsidR="00E87A15" w:rsidRPr="00553895">
        <w:rPr>
          <w:lang w:val="en-GB"/>
        </w:rPr>
        <w:t>The</w:t>
      </w:r>
      <w:r w:rsidR="007D28C0" w:rsidRPr="00553895">
        <w:rPr>
          <w:lang w:val="en-GB"/>
        </w:rPr>
        <w:t xml:space="preserve"> suggested</w:t>
      </w:r>
      <w:r w:rsidR="00E87A15" w:rsidRPr="00553895">
        <w:rPr>
          <w:lang w:val="en-GB"/>
        </w:rPr>
        <w:t xml:space="preserve"> safety barriers and the results of the BLEVE consequence analysis will be confirmed and validated by the experimental tests that will be carried out </w:t>
      </w:r>
      <w:r w:rsidR="00147D49" w:rsidRPr="00553895">
        <w:rPr>
          <w:lang w:val="en-GB"/>
        </w:rPr>
        <w:t>during</w:t>
      </w:r>
      <w:r w:rsidR="00E87A15" w:rsidRPr="00553895">
        <w:rPr>
          <w:lang w:val="en-GB"/>
        </w:rPr>
        <w:t xml:space="preserve"> the SH</w:t>
      </w:r>
      <w:r w:rsidR="00E87A15" w:rsidRPr="00553895">
        <w:rPr>
          <w:vertAlign w:val="subscript"/>
          <w:lang w:val="en-GB"/>
        </w:rPr>
        <w:t>2</w:t>
      </w:r>
      <w:r w:rsidR="00E87A15" w:rsidRPr="00553895">
        <w:rPr>
          <w:lang w:val="en-GB"/>
        </w:rPr>
        <w:t>IFT project.</w:t>
      </w:r>
    </w:p>
    <w:p w14:paraId="2FF51ABF" w14:textId="77777777" w:rsidR="00600535" w:rsidRPr="001B7656" w:rsidRDefault="00600535" w:rsidP="00600535">
      <w:pPr>
        <w:pStyle w:val="CETAcknowledgementstitle"/>
      </w:pPr>
      <w:r w:rsidRPr="001B7656">
        <w:t>Acknowledgments</w:t>
      </w:r>
    </w:p>
    <w:p w14:paraId="690FCBE7" w14:textId="0BB049D1" w:rsidR="00600535" w:rsidRPr="000D168E" w:rsidRDefault="006667BE" w:rsidP="009769B8">
      <w:pPr>
        <w:pStyle w:val="CETBodytext"/>
        <w:rPr>
          <w:lang w:val="fr-FR"/>
        </w:rPr>
      </w:pPr>
      <w:r w:rsidRPr="001B7656">
        <w:rPr>
          <w:lang w:val="en-GB"/>
        </w:rPr>
        <w:t>This study is part of the SH</w:t>
      </w:r>
      <w:r w:rsidRPr="001B7656">
        <w:rPr>
          <w:vertAlign w:val="subscript"/>
          <w:lang w:val="en-GB"/>
        </w:rPr>
        <w:t>2</w:t>
      </w:r>
      <w:r w:rsidRPr="001B7656">
        <w:rPr>
          <w:lang w:val="en-GB"/>
        </w:rPr>
        <w:t xml:space="preserve">IFT (Safe Hydrogen Fuel Handling and Use for Efficient Implementation) project. </w:t>
      </w:r>
      <w:r w:rsidRPr="000D168E">
        <w:rPr>
          <w:lang w:val="fr-FR"/>
        </w:rPr>
        <w:t xml:space="preserve">Grant </w:t>
      </w:r>
      <w:r w:rsidRPr="00A01947">
        <w:rPr>
          <w:lang w:val="fr-FR"/>
        </w:rPr>
        <w:t>number</w:t>
      </w:r>
      <w:r w:rsidRPr="000D168E">
        <w:rPr>
          <w:lang w:val="fr-FR"/>
        </w:rPr>
        <w:t>: 280964/E20.</w:t>
      </w:r>
    </w:p>
    <w:p w14:paraId="1E0E57CE" w14:textId="6761D2DA" w:rsidR="002C4F0D" w:rsidRPr="001F11DE" w:rsidRDefault="00600535" w:rsidP="002C4F0D">
      <w:pPr>
        <w:pStyle w:val="CETReference"/>
        <w:rPr>
          <w:b w:val="0"/>
        </w:rPr>
      </w:pPr>
      <w:r w:rsidRPr="001F11DE">
        <w:t>References</w:t>
      </w:r>
    </w:p>
    <w:p w14:paraId="4F06A63D" w14:textId="723ED0CB" w:rsidR="00221D36" w:rsidRPr="00A01947" w:rsidRDefault="002C4F0D" w:rsidP="00221D36">
      <w:pPr>
        <w:widowControl w:val="0"/>
        <w:autoSpaceDE w:val="0"/>
        <w:autoSpaceDN w:val="0"/>
        <w:adjustRightInd w:val="0"/>
        <w:spacing w:line="240" w:lineRule="auto"/>
        <w:ind w:left="480" w:hanging="480"/>
        <w:rPr>
          <w:rFonts w:cs="Arial"/>
          <w:noProof/>
          <w:szCs w:val="24"/>
          <w:lang w:val="fr-FR"/>
        </w:rPr>
      </w:pPr>
      <w:r>
        <w:fldChar w:fldCharType="begin" w:fldLock="1"/>
      </w:r>
      <w:r w:rsidRPr="000D168E">
        <w:rPr>
          <w:lang w:val="fr-FR"/>
        </w:rPr>
        <w:instrText xml:space="preserve">ADDIN Mendeley Bibliography CSL_BIBLIOGRAPHY </w:instrText>
      </w:r>
      <w:r>
        <w:fldChar w:fldCharType="separate"/>
      </w:r>
      <w:r w:rsidR="00221D36" w:rsidRPr="00A01947">
        <w:rPr>
          <w:rFonts w:cs="Arial"/>
          <w:noProof/>
          <w:szCs w:val="24"/>
          <w:lang w:val="fr-FR"/>
        </w:rPr>
        <w:t>ASME, 2001. ASME Section VIII, Division 1, Pressure Vessel Code.</w:t>
      </w:r>
    </w:p>
    <w:p w14:paraId="4D244EB2"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AA2AE9">
        <w:rPr>
          <w:rFonts w:cs="Arial"/>
          <w:noProof/>
          <w:szCs w:val="24"/>
        </w:rPr>
        <w:t xml:space="preserve">Azkarate, I., Barthélémy, H., Hooker, P., Jordan, T., Keller, J., Markert, F., Steen, M., Tchouvelev, A., 2018. </w:t>
      </w:r>
      <w:r w:rsidRPr="00221D36">
        <w:rPr>
          <w:rFonts w:cs="Arial"/>
          <w:noProof/>
          <w:szCs w:val="24"/>
        </w:rPr>
        <w:t>Research Priority Workshop on Hydrogen Safety, JRC Conference and Workshop Report. Petten, Netherlands. https://doi.org/10.2760/77730</w:t>
      </w:r>
    </w:p>
    <w:p w14:paraId="04EBE905"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Casal, J., 2008. BLEVEs and vessel explosions, in: Casal, J. (Ed.), Evaluation of the Effects and Consequences of Major Accidents in Industrial Plants. pp. 147–193.</w:t>
      </w:r>
    </w:p>
    <w:p w14:paraId="69571CEF"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A01947">
        <w:rPr>
          <w:rFonts w:cs="Arial"/>
          <w:noProof/>
          <w:szCs w:val="24"/>
          <w:lang w:val="es-ES"/>
        </w:rPr>
        <w:t xml:space="preserve">Casal, J., Hemmatian, B., Planas, E., 2016. </w:t>
      </w:r>
      <w:r w:rsidRPr="00221D36">
        <w:rPr>
          <w:rFonts w:cs="Arial"/>
          <w:noProof/>
          <w:szCs w:val="24"/>
        </w:rPr>
        <w:t>On BLEVE definition, the significance of superheat limit temperature (Tsl) and LNG BLEVE’s. J. Loss Prev. Process Ind. 40, 81. https://doi.org/10.1016/j.jlp.2015.12.001</w:t>
      </w:r>
    </w:p>
    <w:p w14:paraId="4DFDFEE6"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Delvosalle, C., Fiévez, C., Pipart, A., 2006a. ARAMIS project: Reference accident scenarios definition in SEVESO establishment. J. Risk Res. 9, 583–600. https://doi.org/10.1080/13669870500419529</w:t>
      </w:r>
    </w:p>
    <w:p w14:paraId="2428A3FC"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Delvosalle, C., Fievez, C., Pipart, A., Debray, B., 2006b. ARAMIS project: A comprehensive methodology for the identification of reference accident scenarios in process industries. J. Hazard. Mater. 130, 200–219. https://doi.org/10.1016/j.jhazmat.2005.07.005</w:t>
      </w:r>
    </w:p>
    <w:p w14:paraId="4627B9A3"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Delvosalle, C., Fiévez, C., Pipart, A., Fabrega, J.C., Planas, E., Christou, M., Mushtaq, F., 2005. Identification of reference accident scenarios in SEVESO establishments. Reliab. Eng. Syst. Saf. 90, 238–246. https://doi.org/10.1016/j.ress.2004.11.003</w:t>
      </w:r>
    </w:p>
    <w:p w14:paraId="7D0979CD"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A01947">
        <w:rPr>
          <w:rFonts w:cs="Arial"/>
          <w:noProof/>
          <w:szCs w:val="24"/>
          <w:lang w:val="de-DE"/>
        </w:rPr>
        <w:t xml:space="preserve">Groth, K.M., Hecht, E.S., 2017. </w:t>
      </w:r>
      <w:r w:rsidRPr="00221D36">
        <w:rPr>
          <w:rFonts w:cs="Arial"/>
          <w:noProof/>
          <w:szCs w:val="24"/>
        </w:rPr>
        <w:t>HyRAM: A methodology and toolkit for quantitative risk assessment of hydrogen systems. Int. J. Hydrogen Energy 42, 7485–7493. https://doi.org/10.1016/j.ijhydene.2016.07.002</w:t>
      </w:r>
    </w:p>
    <w:p w14:paraId="6F92BAA3"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Lowesmith, B.J., Hankinson, G., Chynoweth, S., 2013. Safety Issues of the Liquefaction, Storage and Transportation of Liquid Hydrogen: Studies in the IDEALHY Project, in: International Conference on Hydrogen Safety. Brussels, Belgium.</w:t>
      </w:r>
    </w:p>
    <w:p w14:paraId="6B0EE125"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McCarty, R., Hord, J., Roder, H., 1981. Selected Properties of Hydrogen (Engineering Design Data), NBS Monogr. ed. National Bureau of Standards, Boulder, Colorado.</w:t>
      </w:r>
    </w:p>
    <w:p w14:paraId="34E031DE"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NIST, 2019. NIST Chemistry WebBook [WWW Document]. URL https://webbook.nist.gov/ (accessed 3.19.19).</w:t>
      </w:r>
    </w:p>
    <w:p w14:paraId="17E5DB02" w14:textId="77777777" w:rsidR="00221D36" w:rsidRPr="006C08FC" w:rsidRDefault="00221D36" w:rsidP="00221D36">
      <w:pPr>
        <w:widowControl w:val="0"/>
        <w:autoSpaceDE w:val="0"/>
        <w:autoSpaceDN w:val="0"/>
        <w:adjustRightInd w:val="0"/>
        <w:spacing w:line="240" w:lineRule="auto"/>
        <w:ind w:left="480" w:hanging="480"/>
        <w:rPr>
          <w:rFonts w:cs="Arial"/>
          <w:noProof/>
          <w:szCs w:val="24"/>
          <w:lang w:val="it-IT"/>
        </w:rPr>
      </w:pPr>
      <w:r w:rsidRPr="00AA2AE9">
        <w:rPr>
          <w:rFonts w:cs="Arial"/>
          <w:noProof/>
          <w:szCs w:val="24"/>
          <w:lang w:val="it-IT"/>
        </w:rPr>
        <w:t xml:space="preserve">Ono, R., Nifuku, M., Fujiwara, S., Horiguchi, S., Oda, T., 2007. </w:t>
      </w:r>
      <w:r w:rsidRPr="00221D36">
        <w:rPr>
          <w:rFonts w:cs="Arial"/>
          <w:noProof/>
          <w:szCs w:val="24"/>
        </w:rPr>
        <w:t xml:space="preserve">Minimum ignition energy of hydrogen–air mixture: Effects of humidity and spark duration. </w:t>
      </w:r>
      <w:r w:rsidRPr="006C08FC">
        <w:rPr>
          <w:rFonts w:cs="Arial"/>
          <w:noProof/>
          <w:szCs w:val="24"/>
          <w:lang w:val="it-IT"/>
        </w:rPr>
        <w:t>J. Electrostat. 65, 87–93. https://doi.org/10.1016/J.ELSTAT.2006.07.004</w:t>
      </w:r>
    </w:p>
    <w:p w14:paraId="680F8888" w14:textId="77777777" w:rsidR="00221D36" w:rsidRPr="00AA2AE9" w:rsidRDefault="00221D36" w:rsidP="00221D36">
      <w:pPr>
        <w:widowControl w:val="0"/>
        <w:autoSpaceDE w:val="0"/>
        <w:autoSpaceDN w:val="0"/>
        <w:adjustRightInd w:val="0"/>
        <w:spacing w:line="240" w:lineRule="auto"/>
        <w:ind w:left="480" w:hanging="480"/>
        <w:rPr>
          <w:rFonts w:cs="Arial"/>
          <w:noProof/>
          <w:szCs w:val="24"/>
          <w:lang w:val="en-US"/>
        </w:rPr>
      </w:pPr>
      <w:r w:rsidRPr="006C08FC">
        <w:rPr>
          <w:rFonts w:cs="Arial"/>
          <w:noProof/>
          <w:szCs w:val="24"/>
          <w:lang w:val="it-IT"/>
        </w:rPr>
        <w:t xml:space="preserve">Paltrinieri, N., Tugnoli, A., Cozzani, V., 2015. </w:t>
      </w:r>
      <w:r w:rsidRPr="00AA2AE9">
        <w:rPr>
          <w:rFonts w:cs="Arial"/>
          <w:noProof/>
          <w:szCs w:val="24"/>
          <w:lang w:val="en-US"/>
        </w:rPr>
        <w:t>Hazard identification for innovative LNG regasification technologies. Reliab. Eng. Syst. Saf. 137, 18–28. https://doi.org/10.1016/j.ress.2014.12.006</w:t>
      </w:r>
    </w:p>
    <w:p w14:paraId="36F5BB13"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AA2AE9">
        <w:rPr>
          <w:rFonts w:cs="Arial"/>
          <w:noProof/>
          <w:szCs w:val="24"/>
          <w:lang w:val="en-US"/>
        </w:rPr>
        <w:t xml:space="preserve">Paltrinieri, N., Villa, V., Khan, F., Cozzani, V., 2016. </w:t>
      </w:r>
      <w:r w:rsidRPr="00221D36">
        <w:rPr>
          <w:rFonts w:cs="Arial"/>
          <w:noProof/>
          <w:szCs w:val="24"/>
        </w:rPr>
        <w:t>Towards dynamic risk analysis: A review of the risk assessment approach and its limitations in the chemical process industry. Saf. Sci. 89, 77–93. https://doi.org/10.1016/j.ssci.2016.06.002</w:t>
      </w:r>
    </w:p>
    <w:p w14:paraId="0C169070"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Pritchard, D.K., Rattigan, W.M., 2010. Hazards of liquid hydrogen RR769 Position paper.</w:t>
      </w:r>
    </w:p>
    <w:p w14:paraId="58AFC592"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Rana, M., Barthelemy, H., 2003. Development of ISO Standards for Cryogenic Vessels, in: ASME Pressure Vessels and Piping Conference 2003 (PVP2003). Cleveland Ohio, USA, pp. 1–10.</w:t>
      </w:r>
    </w:p>
    <w:p w14:paraId="6A3B444F"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Reid, R., 1979. Possible Mechanism for Pressurized-Liquid Tank Explosions or BLEVE’s. Science (80-. ). 203, 1263–1265. https://doi.org/10.1126/science.203.4386.1263</w:t>
      </w:r>
    </w:p>
    <w:p w14:paraId="7EB87578"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221D36">
        <w:rPr>
          <w:rFonts w:cs="Arial"/>
          <w:noProof/>
          <w:szCs w:val="24"/>
        </w:rPr>
        <w:t>Reid, R., 1976. Superheated Liquids. Am. Sci. 64, 146–156.</w:t>
      </w:r>
    </w:p>
    <w:p w14:paraId="057F7695" w14:textId="77777777" w:rsidR="00221D36" w:rsidRPr="00A01947" w:rsidRDefault="00221D36" w:rsidP="00221D36">
      <w:pPr>
        <w:widowControl w:val="0"/>
        <w:autoSpaceDE w:val="0"/>
        <w:autoSpaceDN w:val="0"/>
        <w:adjustRightInd w:val="0"/>
        <w:spacing w:line="240" w:lineRule="auto"/>
        <w:ind w:left="480" w:hanging="480"/>
        <w:rPr>
          <w:rFonts w:cs="Arial"/>
          <w:noProof/>
          <w:szCs w:val="24"/>
          <w:lang w:val="de-DE"/>
        </w:rPr>
      </w:pPr>
      <w:r w:rsidRPr="006C08FC">
        <w:rPr>
          <w:rFonts w:cs="Arial"/>
          <w:noProof/>
          <w:szCs w:val="24"/>
          <w:lang w:val="it-IT"/>
        </w:rPr>
        <w:t xml:space="preserve">Russo, P., De Marco, A., Mazzaro, M., Capobianco, L., 2018. </w:t>
      </w:r>
      <w:r w:rsidRPr="00221D36">
        <w:rPr>
          <w:rFonts w:cs="Arial"/>
          <w:noProof/>
          <w:szCs w:val="24"/>
        </w:rPr>
        <w:t xml:space="preserve">Quantitative Risk Assessment on a Hydrogen Refuelling Station. </w:t>
      </w:r>
      <w:r w:rsidRPr="00AA2AE9">
        <w:rPr>
          <w:rFonts w:cs="Arial"/>
          <w:noProof/>
          <w:szCs w:val="24"/>
          <w:lang w:val="nb-NO"/>
        </w:rPr>
        <w:t xml:space="preserve">Chem. Eng. </w:t>
      </w:r>
      <w:r w:rsidRPr="00A01947">
        <w:rPr>
          <w:rFonts w:cs="Arial"/>
          <w:noProof/>
          <w:szCs w:val="24"/>
          <w:lang w:val="de-DE"/>
        </w:rPr>
        <w:t>Trans. 67, 739–744. https://doi.org/10.3303/CET1867124</w:t>
      </w:r>
    </w:p>
    <w:p w14:paraId="05F4DA85"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A01947">
        <w:rPr>
          <w:rFonts w:cs="Arial"/>
          <w:noProof/>
          <w:szCs w:val="24"/>
          <w:lang w:val="de-DE"/>
        </w:rPr>
        <w:t xml:space="preserve">Rybin, H., Krainz, G., Bartlok, G., Kratzer, E., 2005. </w:t>
      </w:r>
      <w:r w:rsidRPr="00221D36">
        <w:rPr>
          <w:rFonts w:cs="Arial"/>
          <w:noProof/>
          <w:szCs w:val="24"/>
        </w:rPr>
        <w:t>SAFETY DEMANDS FOR AUTOMOTIVE HYDROGEN STORAGE SYSTEMS, in: International Conference on Hydrogen Safety. p. 12.</w:t>
      </w:r>
    </w:p>
    <w:p w14:paraId="1D6FD020"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6C08FC">
        <w:rPr>
          <w:rFonts w:cs="Arial"/>
          <w:noProof/>
          <w:szCs w:val="24"/>
          <w:lang w:val="it-IT"/>
        </w:rPr>
        <w:t xml:space="preserve">Salla, J.M., Demichela, M., Casal, J., 2006. </w:t>
      </w:r>
      <w:r w:rsidRPr="00221D36">
        <w:rPr>
          <w:rFonts w:cs="Arial"/>
          <w:noProof/>
          <w:szCs w:val="24"/>
        </w:rPr>
        <w:t>BLEVE: A new approach to the superheat limit temperature. J. Loss Prev. Process Ind. 19, 690–700. https://doi.org/10.1016/j.jlp.2006.04.004</w:t>
      </w:r>
    </w:p>
    <w:p w14:paraId="65900AC1" w14:textId="77777777" w:rsidR="00221D36" w:rsidRPr="00221D36" w:rsidRDefault="00221D36" w:rsidP="00221D36">
      <w:pPr>
        <w:widowControl w:val="0"/>
        <w:autoSpaceDE w:val="0"/>
        <w:autoSpaceDN w:val="0"/>
        <w:adjustRightInd w:val="0"/>
        <w:spacing w:line="240" w:lineRule="auto"/>
        <w:ind w:left="480" w:hanging="480"/>
        <w:rPr>
          <w:rFonts w:cs="Arial"/>
          <w:noProof/>
          <w:szCs w:val="24"/>
        </w:rPr>
      </w:pPr>
      <w:r w:rsidRPr="006C08FC">
        <w:rPr>
          <w:rFonts w:cs="Arial"/>
          <w:noProof/>
          <w:szCs w:val="24"/>
          <w:lang w:val="nb-NO"/>
        </w:rPr>
        <w:t xml:space="preserve">Uijt de Haag, P., Ale, B., 2005. </w:t>
      </w:r>
      <w:r w:rsidRPr="00221D36">
        <w:rPr>
          <w:rFonts w:cs="Arial"/>
          <w:noProof/>
          <w:szCs w:val="24"/>
        </w:rPr>
        <w:t>“Purple Book”, Guideline for quantitative risk assessment, CPR 18E.</w:t>
      </w:r>
    </w:p>
    <w:p w14:paraId="61F9719E" w14:textId="77777777" w:rsidR="00221D36" w:rsidRPr="00A01947" w:rsidRDefault="00221D36" w:rsidP="00221D36">
      <w:pPr>
        <w:widowControl w:val="0"/>
        <w:autoSpaceDE w:val="0"/>
        <w:autoSpaceDN w:val="0"/>
        <w:adjustRightInd w:val="0"/>
        <w:spacing w:line="240" w:lineRule="auto"/>
        <w:ind w:left="480" w:hanging="480"/>
        <w:rPr>
          <w:rFonts w:cs="Arial"/>
          <w:noProof/>
          <w:szCs w:val="24"/>
          <w:lang w:val="de-DE"/>
        </w:rPr>
      </w:pPr>
      <w:r w:rsidRPr="00221D36">
        <w:rPr>
          <w:rFonts w:cs="Arial"/>
          <w:noProof/>
          <w:szCs w:val="24"/>
        </w:rPr>
        <w:t xml:space="preserve">Verfondern, K., 2008. Safety Considerations on Liquid Hydrogen. </w:t>
      </w:r>
      <w:r w:rsidRPr="00A01947">
        <w:rPr>
          <w:rFonts w:cs="Arial"/>
          <w:noProof/>
          <w:szCs w:val="24"/>
          <w:lang w:val="de-DE"/>
        </w:rPr>
        <w:t>Forschungszentrum Jülich GmbH.</w:t>
      </w:r>
    </w:p>
    <w:p w14:paraId="39889CA1" w14:textId="77777777" w:rsidR="00221D36" w:rsidRPr="00AA2AE9" w:rsidRDefault="00221D36" w:rsidP="00221D36">
      <w:pPr>
        <w:widowControl w:val="0"/>
        <w:autoSpaceDE w:val="0"/>
        <w:autoSpaceDN w:val="0"/>
        <w:adjustRightInd w:val="0"/>
        <w:spacing w:line="240" w:lineRule="auto"/>
        <w:ind w:left="480" w:hanging="480"/>
        <w:rPr>
          <w:rFonts w:cs="Arial"/>
          <w:noProof/>
          <w:szCs w:val="24"/>
          <w:lang w:val="nb-NO"/>
        </w:rPr>
      </w:pPr>
      <w:r w:rsidRPr="00A01947">
        <w:rPr>
          <w:rFonts w:cs="Arial"/>
          <w:noProof/>
          <w:szCs w:val="24"/>
          <w:lang w:val="de-DE"/>
        </w:rPr>
        <w:t xml:space="preserve">Verfondern, K., Dienhart, B., 1997. </w:t>
      </w:r>
      <w:r w:rsidRPr="00221D36">
        <w:rPr>
          <w:rFonts w:cs="Arial"/>
          <w:noProof/>
          <w:szCs w:val="24"/>
        </w:rPr>
        <w:t xml:space="preserve">Experimental and theoretical investigation of liquid hydrogen pool spreading and vaporization. </w:t>
      </w:r>
      <w:r w:rsidRPr="00AA2AE9">
        <w:rPr>
          <w:rFonts w:cs="Arial"/>
          <w:noProof/>
          <w:szCs w:val="24"/>
          <w:lang w:val="nb-NO"/>
        </w:rPr>
        <w:t>Int. J. Hydrogen Energy 22, 649–660. https://doi.org/10.1016/S0360-3199(96)00204-2</w:t>
      </w:r>
    </w:p>
    <w:p w14:paraId="09752EFB" w14:textId="7D80E862" w:rsidR="005863DE" w:rsidRPr="001B7656" w:rsidRDefault="00221D36" w:rsidP="002C0766">
      <w:pPr>
        <w:widowControl w:val="0"/>
        <w:autoSpaceDE w:val="0"/>
        <w:autoSpaceDN w:val="0"/>
        <w:adjustRightInd w:val="0"/>
        <w:spacing w:line="240" w:lineRule="auto"/>
        <w:ind w:left="480" w:hanging="480"/>
      </w:pPr>
      <w:r w:rsidRPr="00AA2AE9">
        <w:rPr>
          <w:rFonts w:cs="Arial"/>
          <w:noProof/>
          <w:szCs w:val="24"/>
          <w:lang w:val="nb-NO"/>
        </w:rPr>
        <w:t xml:space="preserve">Woodward, J., Pitblado, R., 2010. </w:t>
      </w:r>
      <w:r w:rsidRPr="00221D36">
        <w:rPr>
          <w:rFonts w:cs="Arial"/>
          <w:noProof/>
          <w:szCs w:val="24"/>
        </w:rPr>
        <w:t>LNG Risk Based Safety. John Wiley &amp; Sons, New Jersey.</w:t>
      </w:r>
      <w:r w:rsidR="002C4F0D">
        <w:fldChar w:fldCharType="end"/>
      </w:r>
      <w:bookmarkStart w:id="10" w:name="_GoBack"/>
      <w:bookmarkEnd w:id="10"/>
    </w:p>
    <w:sectPr w:rsidR="005863DE" w:rsidRPr="001B7656" w:rsidSect="002C0766">
      <w:type w:val="continuous"/>
      <w:pgSz w:w="11906" w:h="16838" w:code="9"/>
      <w:pgMar w:top="1701" w:right="1418" w:bottom="709"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8BAB" w14:textId="77777777" w:rsidR="00A32857" w:rsidRDefault="00A32857" w:rsidP="004F5E36">
      <w:r>
        <w:separator/>
      </w:r>
    </w:p>
  </w:endnote>
  <w:endnote w:type="continuationSeparator" w:id="0">
    <w:p w14:paraId="07CD7939" w14:textId="77777777" w:rsidR="00A32857" w:rsidRDefault="00A328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652C7" w14:textId="77777777" w:rsidR="00A32857" w:rsidRDefault="00A32857" w:rsidP="004F5E36">
      <w:r>
        <w:separator/>
      </w:r>
    </w:p>
  </w:footnote>
  <w:footnote w:type="continuationSeparator" w:id="0">
    <w:p w14:paraId="04BBD157" w14:textId="77777777" w:rsidR="00A32857" w:rsidRDefault="00A328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rPr>
        <w:rFonts w:cs="Times New Roman"/>
      </w:r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rPr>
        <w:rFonts w:cs="Times New Roman"/>
      </w:r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rPr>
        <w:rFonts w:cs="Times New Roman"/>
      </w:r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984017"/>
    <w:multiLevelType w:val="hybridMultilevel"/>
    <w:tmpl w:val="3266C19C"/>
    <w:lvl w:ilvl="0" w:tplc="B524BD1A">
      <w:start w:val="1"/>
      <w:numFmt w:val="bullet"/>
      <w:lvlText w:val="-"/>
      <w:lvlJc w:val="left"/>
      <w:pPr>
        <w:ind w:left="644" w:hanging="360"/>
      </w:pPr>
      <w:rPr>
        <w:rFonts w:ascii="Times New Roman" w:eastAsia="Times New Roman" w:hAnsi="Times New Roman" w:hint="default"/>
      </w:rPr>
    </w:lvl>
    <w:lvl w:ilvl="1" w:tplc="04140003" w:tentative="1">
      <w:start w:val="1"/>
      <w:numFmt w:val="bullet"/>
      <w:lvlText w:val="o"/>
      <w:lvlJc w:val="left"/>
      <w:pPr>
        <w:ind w:left="1364" w:hanging="360"/>
      </w:pPr>
      <w:rPr>
        <w:rFonts w:ascii="Courier New" w:hAnsi="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1" w15:restartNumberingAfterBreak="0">
    <w:nsid w:val="141A6BD1"/>
    <w:multiLevelType w:val="hybridMultilevel"/>
    <w:tmpl w:val="E31EA3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438217E"/>
    <w:multiLevelType w:val="multilevel"/>
    <w:tmpl w:val="45B6CAB6"/>
    <w:lvl w:ilvl="0">
      <w:start w:val="1"/>
      <w:numFmt w:val="decimal"/>
      <w:suff w:val="space"/>
      <w:lvlText w:val="Chapter %1"/>
      <w:lvlJc w:val="left"/>
      <w:rPr>
        <w:rFonts w:cs="Times New Roman" w:hint="default"/>
      </w:rPr>
    </w:lvl>
    <w:lvl w:ilvl="1">
      <w:start w:val="1"/>
      <w:numFmt w:val="decimal"/>
      <w:pStyle w:val="CETHeading1"/>
      <w:suff w:val="space"/>
      <w:lvlText w:val="%2."/>
      <w:lvlJc w:val="left"/>
      <w:rPr>
        <w:rFonts w:cs="Times New Roman" w:hint="default"/>
      </w:rPr>
    </w:lvl>
    <w:lvl w:ilvl="2">
      <w:start w:val="1"/>
      <w:numFmt w:val="decimal"/>
      <w:pStyle w:val="CETheadingx"/>
      <w:suff w:val="space"/>
      <w:lvlText w:val="%2.%3"/>
      <w:lvlJc w:val="left"/>
      <w:rPr>
        <w:rFonts w:cs="Times New Roman" w:hint="default"/>
      </w:rPr>
    </w:lvl>
    <w:lvl w:ilvl="3">
      <w:start w:val="1"/>
      <w:numFmt w:val="decimal"/>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9D5C04"/>
    <w:multiLevelType w:val="hybridMultilevel"/>
    <w:tmpl w:val="FD506BCA"/>
    <w:lvl w:ilvl="0" w:tplc="F5B851C8">
      <w:start w:val="1"/>
      <w:numFmt w:val="decimal"/>
      <w:lvlText w:val="%1."/>
      <w:lvlJc w:val="left"/>
      <w:pPr>
        <w:ind w:left="869" w:hanging="585"/>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15:restartNumberingAfterBreak="0">
    <w:nsid w:val="48424D0F"/>
    <w:multiLevelType w:val="hybridMultilevel"/>
    <w:tmpl w:val="0E96C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CD01495"/>
    <w:multiLevelType w:val="hybridMultilevel"/>
    <w:tmpl w:val="BBDEC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rPr>
        <w:rFonts w:cs="Times New Roman" w:hint="default"/>
      </w:rPr>
    </w:lvl>
    <w:lvl w:ilvl="1">
      <w:start w:val="1"/>
      <w:numFmt w:val="decimal"/>
      <w:suff w:val="space"/>
      <w:lvlText w:val="%2."/>
      <w:lvlJc w:val="left"/>
      <w:rPr>
        <w:rFonts w:cs="Times New Roman" w:hint="default"/>
      </w:rPr>
    </w:lvl>
    <w:lvl w:ilvl="2">
      <w:start w:val="1"/>
      <w:numFmt w:val="decimal"/>
      <w:suff w:val="space"/>
      <w:lvlText w:val="%2.%3."/>
      <w:lvlJc w:val="left"/>
      <w:rPr>
        <w:rFonts w:cs="Times New Roman" w:hint="default"/>
      </w:rPr>
    </w:lvl>
    <w:lvl w:ilvl="3">
      <w:start w:val="1"/>
      <w:numFmt w:val="decimal"/>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377311"/>
    <w:multiLevelType w:val="hybridMultilevel"/>
    <w:tmpl w:val="F3AA8106"/>
    <w:lvl w:ilvl="0" w:tplc="8CECA9A0">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7C04611"/>
    <w:multiLevelType w:val="hybridMultilevel"/>
    <w:tmpl w:val="06928D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 w:numId="23">
    <w:abstractNumId w:val="15"/>
  </w:num>
  <w:num w:numId="24">
    <w:abstractNumId w:val="22"/>
  </w:num>
  <w:num w:numId="25">
    <w:abstractNumId w:val="24"/>
  </w:num>
  <w:num w:numId="26">
    <w:abstractNumId w:val="23"/>
  </w:num>
  <w:num w:numId="27">
    <w:abstractNumId w:val="13"/>
  </w:num>
  <w:num w:numId="28">
    <w:abstractNumId w:val="15"/>
    <w:lvlOverride w:ilvl="0">
      <w:startOverride w:val="1"/>
    </w:lvlOverride>
  </w:num>
  <w:num w:numId="29">
    <w:abstractNumId w:val="20"/>
  </w:num>
  <w:num w:numId="30">
    <w:abstractNumId w:val="19"/>
  </w:num>
  <w:num w:numId="31">
    <w:abstractNumId w:val="16"/>
  </w:num>
  <w:num w:numId="32">
    <w:abstractNumId w:val="25"/>
  </w:num>
  <w:num w:numId="33">
    <w:abstractNumId w:val="11"/>
  </w:num>
  <w:num w:numId="34">
    <w:abstractNumId w:val="14"/>
  </w:num>
  <w:num w:numId="35">
    <w:abstractNumId w:val="10"/>
  </w:num>
  <w:num w:numId="36">
    <w:abstractNumId w:val="12"/>
  </w:num>
  <w:num w:numId="37">
    <w:abstractNumId w:val="12"/>
  </w:num>
  <w:num w:numId="38">
    <w:abstractNumId w:val="17"/>
  </w:num>
  <w:num w:numId="39">
    <w:abstractNumId w:val="1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A8"/>
    <w:rsid w:val="000052FB"/>
    <w:rsid w:val="00007FFE"/>
    <w:rsid w:val="00010C1F"/>
    <w:rsid w:val="000117CB"/>
    <w:rsid w:val="0001781A"/>
    <w:rsid w:val="00030F20"/>
    <w:rsid w:val="00031201"/>
    <w:rsid w:val="0003148D"/>
    <w:rsid w:val="00042B81"/>
    <w:rsid w:val="00051566"/>
    <w:rsid w:val="00054F74"/>
    <w:rsid w:val="00062A9A"/>
    <w:rsid w:val="00065058"/>
    <w:rsid w:val="00075FA8"/>
    <w:rsid w:val="0008150C"/>
    <w:rsid w:val="000854CF"/>
    <w:rsid w:val="00086AAC"/>
    <w:rsid w:val="00086C39"/>
    <w:rsid w:val="00090D5A"/>
    <w:rsid w:val="00091700"/>
    <w:rsid w:val="000A03B2"/>
    <w:rsid w:val="000A7049"/>
    <w:rsid w:val="000B3BF3"/>
    <w:rsid w:val="000B571F"/>
    <w:rsid w:val="000D168E"/>
    <w:rsid w:val="000D34BE"/>
    <w:rsid w:val="000E0855"/>
    <w:rsid w:val="000E0A97"/>
    <w:rsid w:val="000E102F"/>
    <w:rsid w:val="000E36F1"/>
    <w:rsid w:val="000E3A73"/>
    <w:rsid w:val="000E414A"/>
    <w:rsid w:val="000F093C"/>
    <w:rsid w:val="000F787B"/>
    <w:rsid w:val="0010597D"/>
    <w:rsid w:val="00107731"/>
    <w:rsid w:val="00111DA5"/>
    <w:rsid w:val="00114703"/>
    <w:rsid w:val="0012091F"/>
    <w:rsid w:val="00121508"/>
    <w:rsid w:val="00122CE1"/>
    <w:rsid w:val="00124E8F"/>
    <w:rsid w:val="00126BC2"/>
    <w:rsid w:val="001308B6"/>
    <w:rsid w:val="0013121F"/>
    <w:rsid w:val="00131FE6"/>
    <w:rsid w:val="0013263F"/>
    <w:rsid w:val="00132C06"/>
    <w:rsid w:val="00134DE4"/>
    <w:rsid w:val="0014034D"/>
    <w:rsid w:val="00147D49"/>
    <w:rsid w:val="00150E59"/>
    <w:rsid w:val="00152DE3"/>
    <w:rsid w:val="00164CF9"/>
    <w:rsid w:val="00167BF8"/>
    <w:rsid w:val="00170D97"/>
    <w:rsid w:val="00176688"/>
    <w:rsid w:val="00184AD6"/>
    <w:rsid w:val="001916E4"/>
    <w:rsid w:val="001A1A06"/>
    <w:rsid w:val="001B0349"/>
    <w:rsid w:val="001B6049"/>
    <w:rsid w:val="001B65C1"/>
    <w:rsid w:val="001B7656"/>
    <w:rsid w:val="001C04AC"/>
    <w:rsid w:val="001C0B0D"/>
    <w:rsid w:val="001C0B19"/>
    <w:rsid w:val="001C10F6"/>
    <w:rsid w:val="001C2331"/>
    <w:rsid w:val="001C5C3D"/>
    <w:rsid w:val="001C684B"/>
    <w:rsid w:val="001D53FC"/>
    <w:rsid w:val="001E52CA"/>
    <w:rsid w:val="001E7A4F"/>
    <w:rsid w:val="001F11DE"/>
    <w:rsid w:val="001F42A5"/>
    <w:rsid w:val="001F4767"/>
    <w:rsid w:val="001F7B9D"/>
    <w:rsid w:val="0020622B"/>
    <w:rsid w:val="00220EFA"/>
    <w:rsid w:val="00221D36"/>
    <w:rsid w:val="002224B4"/>
    <w:rsid w:val="002366F7"/>
    <w:rsid w:val="002447EF"/>
    <w:rsid w:val="00244A14"/>
    <w:rsid w:val="00246FBD"/>
    <w:rsid w:val="0025004A"/>
    <w:rsid w:val="00251550"/>
    <w:rsid w:val="00260AB4"/>
    <w:rsid w:val="00263B05"/>
    <w:rsid w:val="0027221A"/>
    <w:rsid w:val="00275B61"/>
    <w:rsid w:val="002800D4"/>
    <w:rsid w:val="00282656"/>
    <w:rsid w:val="00287004"/>
    <w:rsid w:val="00287BDE"/>
    <w:rsid w:val="00291176"/>
    <w:rsid w:val="00291440"/>
    <w:rsid w:val="002926AA"/>
    <w:rsid w:val="00296B83"/>
    <w:rsid w:val="002B67A8"/>
    <w:rsid w:val="002B7586"/>
    <w:rsid w:val="002B78CE"/>
    <w:rsid w:val="002C0766"/>
    <w:rsid w:val="002C0BE5"/>
    <w:rsid w:val="002C2FB6"/>
    <w:rsid w:val="002C4F0D"/>
    <w:rsid w:val="002C585F"/>
    <w:rsid w:val="002D1BBE"/>
    <w:rsid w:val="002D72F9"/>
    <w:rsid w:val="002E48D6"/>
    <w:rsid w:val="003009B7"/>
    <w:rsid w:val="00300E56"/>
    <w:rsid w:val="0030469C"/>
    <w:rsid w:val="00307794"/>
    <w:rsid w:val="00321CA6"/>
    <w:rsid w:val="0032479E"/>
    <w:rsid w:val="00325029"/>
    <w:rsid w:val="00326C95"/>
    <w:rsid w:val="00333413"/>
    <w:rsid w:val="00333ED6"/>
    <w:rsid w:val="00334C09"/>
    <w:rsid w:val="003513DC"/>
    <w:rsid w:val="003570EE"/>
    <w:rsid w:val="0036005C"/>
    <w:rsid w:val="003609E2"/>
    <w:rsid w:val="003669A8"/>
    <w:rsid w:val="00367FE1"/>
    <w:rsid w:val="00371529"/>
    <w:rsid w:val="003723D4"/>
    <w:rsid w:val="0037536E"/>
    <w:rsid w:val="00376941"/>
    <w:rsid w:val="00380768"/>
    <w:rsid w:val="00383F4B"/>
    <w:rsid w:val="00384CC8"/>
    <w:rsid w:val="003871FD"/>
    <w:rsid w:val="003A0FA0"/>
    <w:rsid w:val="003A1E30"/>
    <w:rsid w:val="003A7D1C"/>
    <w:rsid w:val="003B304B"/>
    <w:rsid w:val="003B3146"/>
    <w:rsid w:val="003C1978"/>
    <w:rsid w:val="003F015E"/>
    <w:rsid w:val="003F1C09"/>
    <w:rsid w:val="00400414"/>
    <w:rsid w:val="00413427"/>
    <w:rsid w:val="0041446B"/>
    <w:rsid w:val="00416300"/>
    <w:rsid w:val="00417AF5"/>
    <w:rsid w:val="0043194A"/>
    <w:rsid w:val="00440E3E"/>
    <w:rsid w:val="0044329C"/>
    <w:rsid w:val="004570D1"/>
    <w:rsid w:val="004577FE"/>
    <w:rsid w:val="00457B9C"/>
    <w:rsid w:val="0046164A"/>
    <w:rsid w:val="004626DD"/>
    <w:rsid w:val="004628D2"/>
    <w:rsid w:val="00462DCD"/>
    <w:rsid w:val="004648AD"/>
    <w:rsid w:val="004703A9"/>
    <w:rsid w:val="00470E10"/>
    <w:rsid w:val="004760DE"/>
    <w:rsid w:val="004802E5"/>
    <w:rsid w:val="00490367"/>
    <w:rsid w:val="00490F9A"/>
    <w:rsid w:val="004A004E"/>
    <w:rsid w:val="004A1957"/>
    <w:rsid w:val="004A24CF"/>
    <w:rsid w:val="004B23DD"/>
    <w:rsid w:val="004C3D1D"/>
    <w:rsid w:val="004C46C3"/>
    <w:rsid w:val="004C7913"/>
    <w:rsid w:val="004E4758"/>
    <w:rsid w:val="004E4DD6"/>
    <w:rsid w:val="004F5E36"/>
    <w:rsid w:val="005061FD"/>
    <w:rsid w:val="00507B47"/>
    <w:rsid w:val="00507CC9"/>
    <w:rsid w:val="005119A5"/>
    <w:rsid w:val="005251D8"/>
    <w:rsid w:val="005278B7"/>
    <w:rsid w:val="00530790"/>
    <w:rsid w:val="00532016"/>
    <w:rsid w:val="005346C8"/>
    <w:rsid w:val="00542C59"/>
    <w:rsid w:val="00543E7D"/>
    <w:rsid w:val="00547A68"/>
    <w:rsid w:val="00551C19"/>
    <w:rsid w:val="005531C9"/>
    <w:rsid w:val="00553895"/>
    <w:rsid w:val="0055429B"/>
    <w:rsid w:val="005605F8"/>
    <w:rsid w:val="00575C13"/>
    <w:rsid w:val="005778F4"/>
    <w:rsid w:val="00583403"/>
    <w:rsid w:val="00585F50"/>
    <w:rsid w:val="005863DE"/>
    <w:rsid w:val="005B20F8"/>
    <w:rsid w:val="005B2110"/>
    <w:rsid w:val="005B3C14"/>
    <w:rsid w:val="005B4243"/>
    <w:rsid w:val="005B61E6"/>
    <w:rsid w:val="005C3788"/>
    <w:rsid w:val="005C3992"/>
    <w:rsid w:val="005C77E1"/>
    <w:rsid w:val="005D261B"/>
    <w:rsid w:val="005D6A2F"/>
    <w:rsid w:val="005E1A82"/>
    <w:rsid w:val="005E21FF"/>
    <w:rsid w:val="005E794C"/>
    <w:rsid w:val="005F0A28"/>
    <w:rsid w:val="005F0E5E"/>
    <w:rsid w:val="00600535"/>
    <w:rsid w:val="00601F99"/>
    <w:rsid w:val="0060352F"/>
    <w:rsid w:val="00605FA2"/>
    <w:rsid w:val="00610CD6"/>
    <w:rsid w:val="0061117E"/>
    <w:rsid w:val="00620C11"/>
    <w:rsid w:val="00620DEE"/>
    <w:rsid w:val="00621F92"/>
    <w:rsid w:val="00625639"/>
    <w:rsid w:val="006306AA"/>
    <w:rsid w:val="00631B33"/>
    <w:rsid w:val="0064184D"/>
    <w:rsid w:val="00653E0E"/>
    <w:rsid w:val="00660E3E"/>
    <w:rsid w:val="00662D3E"/>
    <w:rsid w:val="00662E74"/>
    <w:rsid w:val="00665AF1"/>
    <w:rsid w:val="006667BE"/>
    <w:rsid w:val="00672CE1"/>
    <w:rsid w:val="00680C23"/>
    <w:rsid w:val="00690C24"/>
    <w:rsid w:val="00693766"/>
    <w:rsid w:val="006A0F71"/>
    <w:rsid w:val="006A1A45"/>
    <w:rsid w:val="006A3281"/>
    <w:rsid w:val="006A5F9F"/>
    <w:rsid w:val="006A69F6"/>
    <w:rsid w:val="006B4888"/>
    <w:rsid w:val="006C08FC"/>
    <w:rsid w:val="006C0A27"/>
    <w:rsid w:val="006C2E45"/>
    <w:rsid w:val="006C359C"/>
    <w:rsid w:val="006C5579"/>
    <w:rsid w:val="006C72F2"/>
    <w:rsid w:val="006D035A"/>
    <w:rsid w:val="006D11CF"/>
    <w:rsid w:val="006E6DE1"/>
    <w:rsid w:val="006E737D"/>
    <w:rsid w:val="006F70A9"/>
    <w:rsid w:val="00720A24"/>
    <w:rsid w:val="00732386"/>
    <w:rsid w:val="00741E6B"/>
    <w:rsid w:val="007447F3"/>
    <w:rsid w:val="0075236F"/>
    <w:rsid w:val="0075499F"/>
    <w:rsid w:val="007608AC"/>
    <w:rsid w:val="007661C8"/>
    <w:rsid w:val="0077098D"/>
    <w:rsid w:val="007761BB"/>
    <w:rsid w:val="007773ED"/>
    <w:rsid w:val="00786346"/>
    <w:rsid w:val="00790DC2"/>
    <w:rsid w:val="00792269"/>
    <w:rsid w:val="00795CA6"/>
    <w:rsid w:val="00796DB6"/>
    <w:rsid w:val="00797267"/>
    <w:rsid w:val="007A32AB"/>
    <w:rsid w:val="007A3A18"/>
    <w:rsid w:val="007A5881"/>
    <w:rsid w:val="007A7BBA"/>
    <w:rsid w:val="007B05B7"/>
    <w:rsid w:val="007B0C50"/>
    <w:rsid w:val="007B2615"/>
    <w:rsid w:val="007C0670"/>
    <w:rsid w:val="007C1A43"/>
    <w:rsid w:val="007D2266"/>
    <w:rsid w:val="007D28C0"/>
    <w:rsid w:val="007D49B4"/>
    <w:rsid w:val="007E1788"/>
    <w:rsid w:val="007E666A"/>
    <w:rsid w:val="007F4E24"/>
    <w:rsid w:val="007F5CA7"/>
    <w:rsid w:val="00807D5A"/>
    <w:rsid w:val="00813288"/>
    <w:rsid w:val="008168FC"/>
    <w:rsid w:val="00830996"/>
    <w:rsid w:val="008345F1"/>
    <w:rsid w:val="00844DAD"/>
    <w:rsid w:val="008615D3"/>
    <w:rsid w:val="00865B07"/>
    <w:rsid w:val="008667EA"/>
    <w:rsid w:val="00871ADB"/>
    <w:rsid w:val="00873D70"/>
    <w:rsid w:val="00875CC3"/>
    <w:rsid w:val="0087637F"/>
    <w:rsid w:val="00882A16"/>
    <w:rsid w:val="00892AD5"/>
    <w:rsid w:val="008A1512"/>
    <w:rsid w:val="008A51A5"/>
    <w:rsid w:val="008B0A38"/>
    <w:rsid w:val="008B5813"/>
    <w:rsid w:val="008C3396"/>
    <w:rsid w:val="008D433B"/>
    <w:rsid w:val="008D79B3"/>
    <w:rsid w:val="008E566E"/>
    <w:rsid w:val="008E5C25"/>
    <w:rsid w:val="008E719B"/>
    <w:rsid w:val="008F3359"/>
    <w:rsid w:val="008F4455"/>
    <w:rsid w:val="0090161A"/>
    <w:rsid w:val="00901EB6"/>
    <w:rsid w:val="009022E4"/>
    <w:rsid w:val="0090423C"/>
    <w:rsid w:val="00904C62"/>
    <w:rsid w:val="00924DAC"/>
    <w:rsid w:val="00927058"/>
    <w:rsid w:val="009450CE"/>
    <w:rsid w:val="00945E8D"/>
    <w:rsid w:val="00947179"/>
    <w:rsid w:val="0095164B"/>
    <w:rsid w:val="00952FC8"/>
    <w:rsid w:val="00954090"/>
    <w:rsid w:val="009573E7"/>
    <w:rsid w:val="0095796C"/>
    <w:rsid w:val="00963E05"/>
    <w:rsid w:val="00964D9F"/>
    <w:rsid w:val="00967D54"/>
    <w:rsid w:val="00971AF4"/>
    <w:rsid w:val="009769B8"/>
    <w:rsid w:val="009923F2"/>
    <w:rsid w:val="00993410"/>
    <w:rsid w:val="00996483"/>
    <w:rsid w:val="00996F5A"/>
    <w:rsid w:val="009A7567"/>
    <w:rsid w:val="009B041A"/>
    <w:rsid w:val="009B7893"/>
    <w:rsid w:val="009C7C86"/>
    <w:rsid w:val="009D11B4"/>
    <w:rsid w:val="009D1AA2"/>
    <w:rsid w:val="009D2FF7"/>
    <w:rsid w:val="009E302E"/>
    <w:rsid w:val="009E5772"/>
    <w:rsid w:val="009E7884"/>
    <w:rsid w:val="009E788A"/>
    <w:rsid w:val="009F0611"/>
    <w:rsid w:val="009F0E08"/>
    <w:rsid w:val="009F4459"/>
    <w:rsid w:val="009F683B"/>
    <w:rsid w:val="00A01947"/>
    <w:rsid w:val="00A07235"/>
    <w:rsid w:val="00A1763D"/>
    <w:rsid w:val="00A17CEC"/>
    <w:rsid w:val="00A23433"/>
    <w:rsid w:val="00A27EF0"/>
    <w:rsid w:val="00A32857"/>
    <w:rsid w:val="00A338C5"/>
    <w:rsid w:val="00A3710D"/>
    <w:rsid w:val="00A37C53"/>
    <w:rsid w:val="00A419D7"/>
    <w:rsid w:val="00A4551A"/>
    <w:rsid w:val="00A45C1E"/>
    <w:rsid w:val="00A50B20"/>
    <w:rsid w:val="00A51390"/>
    <w:rsid w:val="00A60D13"/>
    <w:rsid w:val="00A642E4"/>
    <w:rsid w:val="00A667C1"/>
    <w:rsid w:val="00A7244C"/>
    <w:rsid w:val="00A72745"/>
    <w:rsid w:val="00A76EFC"/>
    <w:rsid w:val="00A77562"/>
    <w:rsid w:val="00A91010"/>
    <w:rsid w:val="00A9288A"/>
    <w:rsid w:val="00A962D2"/>
    <w:rsid w:val="00A97F29"/>
    <w:rsid w:val="00AA2AE9"/>
    <w:rsid w:val="00AA3BFF"/>
    <w:rsid w:val="00AA702E"/>
    <w:rsid w:val="00AB0964"/>
    <w:rsid w:val="00AB5011"/>
    <w:rsid w:val="00AB7CC9"/>
    <w:rsid w:val="00AC7368"/>
    <w:rsid w:val="00AD16B9"/>
    <w:rsid w:val="00AD5103"/>
    <w:rsid w:val="00AD5905"/>
    <w:rsid w:val="00AD5964"/>
    <w:rsid w:val="00AE0024"/>
    <w:rsid w:val="00AE0CFB"/>
    <w:rsid w:val="00AE377D"/>
    <w:rsid w:val="00AE4D97"/>
    <w:rsid w:val="00AE62F8"/>
    <w:rsid w:val="00B00558"/>
    <w:rsid w:val="00B14FF0"/>
    <w:rsid w:val="00B17FBD"/>
    <w:rsid w:val="00B22768"/>
    <w:rsid w:val="00B315A6"/>
    <w:rsid w:val="00B31813"/>
    <w:rsid w:val="00B31831"/>
    <w:rsid w:val="00B31D57"/>
    <w:rsid w:val="00B33365"/>
    <w:rsid w:val="00B41F10"/>
    <w:rsid w:val="00B57B36"/>
    <w:rsid w:val="00B63C61"/>
    <w:rsid w:val="00B8686D"/>
    <w:rsid w:val="00B868C5"/>
    <w:rsid w:val="00BA1924"/>
    <w:rsid w:val="00BC30C9"/>
    <w:rsid w:val="00BC4502"/>
    <w:rsid w:val="00BD046F"/>
    <w:rsid w:val="00BD512B"/>
    <w:rsid w:val="00BE18F3"/>
    <w:rsid w:val="00BE3E58"/>
    <w:rsid w:val="00BE3F50"/>
    <w:rsid w:val="00C0147E"/>
    <w:rsid w:val="00C01616"/>
    <w:rsid w:val="00C0162B"/>
    <w:rsid w:val="00C1014A"/>
    <w:rsid w:val="00C24C34"/>
    <w:rsid w:val="00C345B1"/>
    <w:rsid w:val="00C40142"/>
    <w:rsid w:val="00C435B9"/>
    <w:rsid w:val="00C5452C"/>
    <w:rsid w:val="00C57182"/>
    <w:rsid w:val="00C57863"/>
    <w:rsid w:val="00C57DFE"/>
    <w:rsid w:val="00C655FD"/>
    <w:rsid w:val="00C82784"/>
    <w:rsid w:val="00C870A8"/>
    <w:rsid w:val="00C94125"/>
    <w:rsid w:val="00C94434"/>
    <w:rsid w:val="00CA0D75"/>
    <w:rsid w:val="00CA1C95"/>
    <w:rsid w:val="00CA30AA"/>
    <w:rsid w:val="00CA4CB7"/>
    <w:rsid w:val="00CA5A9C"/>
    <w:rsid w:val="00CC60BD"/>
    <w:rsid w:val="00CD5562"/>
    <w:rsid w:val="00CD5FE2"/>
    <w:rsid w:val="00CE2B47"/>
    <w:rsid w:val="00CE4483"/>
    <w:rsid w:val="00CE7C68"/>
    <w:rsid w:val="00D018A0"/>
    <w:rsid w:val="00D02B4C"/>
    <w:rsid w:val="00D040C4"/>
    <w:rsid w:val="00D11147"/>
    <w:rsid w:val="00D122D7"/>
    <w:rsid w:val="00D12C74"/>
    <w:rsid w:val="00D13E99"/>
    <w:rsid w:val="00D2597E"/>
    <w:rsid w:val="00D349F9"/>
    <w:rsid w:val="00D36B7B"/>
    <w:rsid w:val="00D37EF2"/>
    <w:rsid w:val="00D42CC6"/>
    <w:rsid w:val="00D4361C"/>
    <w:rsid w:val="00D50BD2"/>
    <w:rsid w:val="00D55379"/>
    <w:rsid w:val="00D57C84"/>
    <w:rsid w:val="00D6057D"/>
    <w:rsid w:val="00D60986"/>
    <w:rsid w:val="00D6256A"/>
    <w:rsid w:val="00D65DEF"/>
    <w:rsid w:val="00D676D6"/>
    <w:rsid w:val="00D73DEE"/>
    <w:rsid w:val="00D76497"/>
    <w:rsid w:val="00D82B93"/>
    <w:rsid w:val="00D83554"/>
    <w:rsid w:val="00D84576"/>
    <w:rsid w:val="00D8668D"/>
    <w:rsid w:val="00D9141B"/>
    <w:rsid w:val="00D92FCA"/>
    <w:rsid w:val="00DA1399"/>
    <w:rsid w:val="00DA24C6"/>
    <w:rsid w:val="00DA4D7B"/>
    <w:rsid w:val="00DA5258"/>
    <w:rsid w:val="00DA5E70"/>
    <w:rsid w:val="00DA7809"/>
    <w:rsid w:val="00DA7BA0"/>
    <w:rsid w:val="00DD5F5C"/>
    <w:rsid w:val="00DD75F4"/>
    <w:rsid w:val="00DE264A"/>
    <w:rsid w:val="00DE35B1"/>
    <w:rsid w:val="00DF672B"/>
    <w:rsid w:val="00E02D18"/>
    <w:rsid w:val="00E041E7"/>
    <w:rsid w:val="00E06198"/>
    <w:rsid w:val="00E11647"/>
    <w:rsid w:val="00E15B4C"/>
    <w:rsid w:val="00E23CA1"/>
    <w:rsid w:val="00E24D96"/>
    <w:rsid w:val="00E2571A"/>
    <w:rsid w:val="00E402E4"/>
    <w:rsid w:val="00E409A8"/>
    <w:rsid w:val="00E43FEE"/>
    <w:rsid w:val="00E50C12"/>
    <w:rsid w:val="00E57975"/>
    <w:rsid w:val="00E65B91"/>
    <w:rsid w:val="00E7209D"/>
    <w:rsid w:val="00E77223"/>
    <w:rsid w:val="00E8528B"/>
    <w:rsid w:val="00E85B94"/>
    <w:rsid w:val="00E87A15"/>
    <w:rsid w:val="00E91083"/>
    <w:rsid w:val="00E96993"/>
    <w:rsid w:val="00E978D0"/>
    <w:rsid w:val="00EA4613"/>
    <w:rsid w:val="00EA7CA1"/>
    <w:rsid w:val="00EA7F91"/>
    <w:rsid w:val="00EB048C"/>
    <w:rsid w:val="00EB1523"/>
    <w:rsid w:val="00EC0116"/>
    <w:rsid w:val="00EC0E49"/>
    <w:rsid w:val="00EC6F9D"/>
    <w:rsid w:val="00ED79B1"/>
    <w:rsid w:val="00EE0131"/>
    <w:rsid w:val="00EF2394"/>
    <w:rsid w:val="00EF2CB8"/>
    <w:rsid w:val="00F00BB2"/>
    <w:rsid w:val="00F02C8E"/>
    <w:rsid w:val="00F050B5"/>
    <w:rsid w:val="00F06237"/>
    <w:rsid w:val="00F06880"/>
    <w:rsid w:val="00F16F18"/>
    <w:rsid w:val="00F2715A"/>
    <w:rsid w:val="00F3030E"/>
    <w:rsid w:val="00F30C64"/>
    <w:rsid w:val="00F32CDB"/>
    <w:rsid w:val="00F33983"/>
    <w:rsid w:val="00F36C56"/>
    <w:rsid w:val="00F40DC9"/>
    <w:rsid w:val="00F606A2"/>
    <w:rsid w:val="00F63A70"/>
    <w:rsid w:val="00F7529B"/>
    <w:rsid w:val="00F83FB9"/>
    <w:rsid w:val="00F85FFB"/>
    <w:rsid w:val="00F91C29"/>
    <w:rsid w:val="00FA1995"/>
    <w:rsid w:val="00FA21D0"/>
    <w:rsid w:val="00FA5F5F"/>
    <w:rsid w:val="00FB730C"/>
    <w:rsid w:val="00FC2695"/>
    <w:rsid w:val="00FC3E03"/>
    <w:rsid w:val="00FC3FC1"/>
    <w:rsid w:val="00FD01B9"/>
    <w:rsid w:val="00FD0584"/>
    <w:rsid w:val="00FD6BAB"/>
    <w:rsid w:val="00FF5CC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623B12"/>
  <w14:defaultImageDpi w14:val="0"/>
  <w15:docId w15:val="{4970342A-6F80-44E2-BC82-32FC8EFC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F5E36"/>
    <w:rPr>
      <w:rFonts w:ascii="Arial" w:hAnsi="Arial" w:cs="Times New Roman"/>
      <w:b/>
      <w:sz w:val="20"/>
      <w:szCs w:val="20"/>
      <w:lang w:val="en-GB" w:eastAsia="x-none"/>
    </w:rPr>
  </w:style>
  <w:style w:type="character" w:customStyle="1" w:styleId="Titolo2Carattere">
    <w:name w:val="Titolo 2 Carattere"/>
    <w:basedOn w:val="Carpredefinitoparagrafo"/>
    <w:link w:val="Titolo2"/>
    <w:uiPriority w:val="9"/>
    <w:semiHidden/>
    <w:locked/>
    <w:rsid w:val="0003148D"/>
    <w:rPr>
      <w:rFonts w:asciiTheme="majorHAnsi" w:eastAsiaTheme="majorEastAsia" w:hAnsiTheme="majorHAnsi" w:cs="Times New Roman"/>
      <w:b/>
      <w:bCs/>
      <w:color w:val="4F81BD" w:themeColor="accent1"/>
      <w:sz w:val="26"/>
      <w:szCs w:val="26"/>
    </w:rPr>
  </w:style>
  <w:style w:type="character" w:customStyle="1" w:styleId="Titolo3Carattere">
    <w:name w:val="Titolo 3 Carattere"/>
    <w:basedOn w:val="Carpredefinitoparagrafo"/>
    <w:link w:val="Titolo3"/>
    <w:uiPriority w:val="9"/>
    <w:semiHidden/>
    <w:locked/>
    <w:rsid w:val="0003148D"/>
    <w:rPr>
      <w:rFonts w:asciiTheme="majorHAnsi" w:eastAsiaTheme="majorEastAsia" w:hAnsiTheme="majorHAnsi" w:cs="Times New Roman"/>
      <w:b/>
      <w:bCs/>
      <w:color w:val="4F81BD" w:themeColor="accent1"/>
    </w:rPr>
  </w:style>
  <w:style w:type="character" w:customStyle="1" w:styleId="Titolo4Carattere">
    <w:name w:val="Titolo 4 Carattere"/>
    <w:basedOn w:val="Carpredefinitoparagrafo"/>
    <w:link w:val="Titolo4"/>
    <w:uiPriority w:val="9"/>
    <w:semiHidden/>
    <w:locked/>
    <w:rsid w:val="0003148D"/>
    <w:rPr>
      <w:rFonts w:asciiTheme="majorHAnsi" w:eastAsiaTheme="majorEastAsia" w:hAnsiTheme="majorHAnsi" w:cs="Times New Roman"/>
      <w:b/>
      <w:bCs/>
      <w:i/>
      <w:iCs/>
      <w:color w:val="4F81BD" w:themeColor="accent1"/>
    </w:rPr>
  </w:style>
  <w:style w:type="character" w:customStyle="1" w:styleId="Titolo5Carattere">
    <w:name w:val="Titolo 5 Carattere"/>
    <w:basedOn w:val="Carpredefinitoparagrafo"/>
    <w:link w:val="Titolo5"/>
    <w:uiPriority w:val="9"/>
    <w:semiHidden/>
    <w:locked/>
    <w:rsid w:val="0003148D"/>
    <w:rPr>
      <w:rFonts w:asciiTheme="majorHAnsi" w:eastAsiaTheme="majorEastAsia" w:hAnsiTheme="majorHAnsi" w:cs="Times New Roman"/>
      <w:color w:val="243F60" w:themeColor="accent1" w:themeShade="7F"/>
    </w:rPr>
  </w:style>
  <w:style w:type="character" w:customStyle="1" w:styleId="Titolo6Carattere">
    <w:name w:val="Titolo 6 Carattere"/>
    <w:basedOn w:val="Carpredefinitoparagrafo"/>
    <w:link w:val="Titolo6"/>
    <w:uiPriority w:val="9"/>
    <w:semiHidden/>
    <w:locked/>
    <w:rsid w:val="0003148D"/>
    <w:rPr>
      <w:rFonts w:asciiTheme="majorHAnsi" w:eastAsiaTheme="majorEastAsia" w:hAnsiTheme="majorHAnsi" w:cs="Times New Roman"/>
      <w:i/>
      <w:iCs/>
      <w:color w:val="243F60" w:themeColor="accent1" w:themeShade="7F"/>
    </w:rPr>
  </w:style>
  <w:style w:type="character" w:customStyle="1" w:styleId="Titolo7Carattere">
    <w:name w:val="Titolo 7 Carattere"/>
    <w:basedOn w:val="Carpredefinitoparagrafo"/>
    <w:link w:val="Titolo7"/>
    <w:uiPriority w:val="9"/>
    <w:semiHidden/>
    <w:locked/>
    <w:rsid w:val="0003148D"/>
    <w:rPr>
      <w:rFonts w:asciiTheme="majorHAnsi" w:eastAsiaTheme="majorEastAsia" w:hAnsiTheme="majorHAnsi" w:cs="Times New Roman"/>
      <w:i/>
      <w:iCs/>
      <w:color w:val="404040" w:themeColor="text1" w:themeTint="BF"/>
    </w:rPr>
  </w:style>
  <w:style w:type="character" w:customStyle="1" w:styleId="Titolo8Carattere">
    <w:name w:val="Titolo 8 Carattere"/>
    <w:basedOn w:val="Carpredefinitoparagrafo"/>
    <w:link w:val="Titolo8"/>
    <w:uiPriority w:val="9"/>
    <w:semiHidden/>
    <w:locked/>
    <w:rsid w:val="0003148D"/>
    <w:rPr>
      <w:rFonts w:asciiTheme="majorHAnsi" w:eastAsiaTheme="majorEastAsia" w:hAnsiTheme="majorHAnsi" w:cs="Times New Roman"/>
      <w:color w:val="404040" w:themeColor="text1" w:themeTint="BF"/>
      <w:sz w:val="20"/>
      <w:szCs w:val="20"/>
    </w:rPr>
  </w:style>
  <w:style w:type="character" w:customStyle="1" w:styleId="Titolo9Carattere">
    <w:name w:val="Titolo 9 Carattere"/>
    <w:basedOn w:val="Carpredefinitoparagrafo"/>
    <w:link w:val="Titolo9"/>
    <w:uiPriority w:val="9"/>
    <w:semiHidden/>
    <w:locked/>
    <w:rsid w:val="0003148D"/>
    <w:rPr>
      <w:rFonts w:asciiTheme="majorHAnsi" w:eastAsiaTheme="majorEastAsia" w:hAnsiTheme="majorHAnsi" w:cs="Times New Roman"/>
      <w:i/>
      <w:iCs/>
      <w:color w:val="404040" w:themeColor="text1" w:themeTint="BF"/>
      <w:sz w:val="20"/>
      <w:szCs w:val="20"/>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hAnsi="Arial" w:cs="Times New Roman"/>
      <w:sz w:val="32"/>
      <w:szCs w:val="20"/>
      <w:lang w:val="en-GB"/>
    </w:rPr>
  </w:style>
  <w:style w:type="character" w:customStyle="1" w:styleId="CETAuthorsCarattere">
    <w:name w:val="CET Authors Carattere"/>
    <w:link w:val="CETAuthors"/>
    <w:locked/>
    <w:rsid w:val="009E788A"/>
    <w:rPr>
      <w:rFonts w:ascii="Arial" w:hAnsi="Arial"/>
      <w:noProof/>
      <w:sz w:val="20"/>
      <w:lang w:val="en-GB"/>
    </w:rPr>
  </w:style>
  <w:style w:type="character" w:customStyle="1" w:styleId="CETTitleCarattere">
    <w:name w:val="CET Title Carattere"/>
    <w:link w:val="CETTitle"/>
    <w:locked/>
    <w:rsid w:val="00FB730C"/>
    <w:rPr>
      <w:rFonts w:ascii="Arial" w:hAnsi="Arial"/>
      <w:sz w:val="20"/>
      <w:lang w:val="en-GB" w:eastAsia="x-none"/>
    </w:rPr>
  </w:style>
  <w:style w:type="paragraph" w:customStyle="1" w:styleId="CETHeading1">
    <w:name w:val="CET Heading1"/>
    <w:next w:val="CETBodytext"/>
    <w:qFormat/>
    <w:rsid w:val="00B00558"/>
    <w:pPr>
      <w:keepNext/>
      <w:numPr>
        <w:ilvl w:val="1"/>
        <w:numId w:val="11"/>
      </w:numPr>
      <w:suppressAutoHyphens/>
      <w:spacing w:before="240" w:after="120" w:line="240" w:lineRule="auto"/>
    </w:pPr>
    <w:rPr>
      <w:rFonts w:ascii="Arial" w:hAnsi="Arial" w:cs="Times New Roman"/>
      <w:b/>
      <w:sz w:val="20"/>
      <w:szCs w:val="20"/>
      <w:lang w:val="en-GB"/>
    </w:rPr>
  </w:style>
  <w:style w:type="paragraph" w:customStyle="1" w:styleId="CETBodytext">
    <w:name w:val="CET Body text"/>
    <w:link w:val="CETBodytextCarattere"/>
    <w:qFormat/>
    <w:rsid w:val="000E414A"/>
    <w:pPr>
      <w:tabs>
        <w:tab w:val="right" w:pos="7100"/>
      </w:tabs>
      <w:spacing w:after="0" w:line="264" w:lineRule="auto"/>
      <w:jc w:val="both"/>
    </w:pPr>
    <w:rPr>
      <w:rFonts w:ascii="Arial"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1"/>
      </w:numPr>
      <w:suppressAutoHyphens/>
      <w:spacing w:before="120" w:after="120" w:line="240" w:lineRule="auto"/>
    </w:pPr>
    <w:rPr>
      <w:rFonts w:ascii="Arial"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hAnsi="Arial" w:cs="Times New Roman"/>
      <w:noProof/>
      <w:sz w:val="16"/>
      <w:szCs w:val="20"/>
      <w:lang w:val="en-GB"/>
    </w:rPr>
  </w:style>
  <w:style w:type="table" w:styleId="Tabellasemplice1">
    <w:name w:val="Table Simple 1"/>
    <w:basedOn w:val="Tabellanormale"/>
    <w:semiHidden/>
    <w:rsid w:val="000E414A"/>
    <w:pPr>
      <w:numPr>
        <w:ilvl w:val="3"/>
        <w:numId w:val="11"/>
      </w:numPr>
      <w:spacing w:after="0" w:line="264" w:lineRule="auto"/>
      <w:jc w:val="both"/>
    </w:pPr>
    <w:rPr>
      <w:rFonts w:ascii="Times New Roman" w:hAnsi="Times New Roman" w:cs="Times New Roman"/>
      <w:sz w:val="20"/>
      <w:szCs w:val="20"/>
      <w:lang w:eastAsia="it-I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locked/>
    <w:rsid w:val="000E414A"/>
    <w:rPr>
      <w:rFonts w:ascii="Arial" w:hAnsi="Arial"/>
      <w:sz w:val="20"/>
      <w:lang w:val="en-US" w:eastAsia="x-none"/>
    </w:rPr>
  </w:style>
  <w:style w:type="paragraph" w:customStyle="1" w:styleId="CETReference">
    <w:name w:val="CET Reference"/>
    <w:qFormat/>
    <w:rsid w:val="00FC2695"/>
    <w:pPr>
      <w:spacing w:before="200" w:after="120" w:line="240" w:lineRule="auto"/>
    </w:pPr>
    <w:rPr>
      <w:rFonts w:ascii="Arial"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hAnsi="Arial" w:cs="Times New Roman"/>
      <w:i/>
      <w:sz w:val="18"/>
      <w:szCs w:val="20"/>
      <w:lang w:val="en-GB"/>
    </w:rPr>
  </w:style>
  <w:style w:type="character" w:customStyle="1" w:styleId="CETheadingxCarattere">
    <w:name w:val="CET headingx Carattere"/>
    <w:link w:val="CETheadingx"/>
    <w:locked/>
    <w:rsid w:val="00FA5F5F"/>
    <w:rPr>
      <w:rFonts w:ascii="Arial" w:hAnsi="Arial" w:cs="Times New Roman"/>
      <w:b/>
      <w:sz w:val="18"/>
      <w:szCs w:val="20"/>
      <w:lang w:val="en-US"/>
    </w:rPr>
  </w:style>
  <w:style w:type="character" w:customStyle="1" w:styleId="CETCaptionCarattere">
    <w:name w:val="CET Caption Carattere"/>
    <w:link w:val="CETCaption"/>
    <w:locked/>
    <w:rsid w:val="009E788A"/>
    <w:rPr>
      <w:rFonts w:ascii="Arial" w:hAnsi="Arial"/>
      <w:i/>
      <w:sz w:val="20"/>
      <w:lang w:val="en-GB" w:eastAsia="x-none"/>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rFonts w:cs="Times New Roman"/>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locked/>
    <w:rsid w:val="0003148D"/>
    <w:rPr>
      <w:rFonts w:cs="Times New Roman"/>
    </w:rPr>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03148D"/>
    <w:rPr>
      <w:rFonts w:cs="Times New Roman"/>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locked/>
    <w:rsid w:val="0003148D"/>
    <w:rPr>
      <w:rFonts w:cs="Times New Roman"/>
    </w:rPr>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locked/>
    <w:rsid w:val="0003148D"/>
    <w:rPr>
      <w:rFonts w:cs="Times New Roman"/>
    </w:rPr>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locked/>
    <w:rsid w:val="0003148D"/>
    <w:rPr>
      <w:rFonts w:cs="Times New Roman"/>
    </w:rPr>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locked/>
    <w:rsid w:val="0003148D"/>
    <w:rPr>
      <w:rFonts w:cs="Times New Roman"/>
    </w:rPr>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locked/>
    <w:rsid w:val="0003148D"/>
    <w:rPr>
      <w:rFonts w:cs="Times New Roman"/>
    </w:rPr>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locked/>
    <w:rsid w:val="0003148D"/>
    <w:rPr>
      <w:rFonts w:cs="Times New Roman"/>
    </w:rPr>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locked/>
    <w:rsid w:val="0003148D"/>
    <w:rPr>
      <w:rFonts w:cs="Times New Roman"/>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sz w:val="24"/>
      <w:szCs w:val="24"/>
    </w:rPr>
  </w:style>
  <w:style w:type="character" w:customStyle="1" w:styleId="IntestazionemessaggioCarattere">
    <w:name w:val="Intestazione messaggio Carattere"/>
    <w:basedOn w:val="Carpredefinitoparagrafo"/>
    <w:link w:val="Intestazionemessaggio"/>
    <w:uiPriority w:val="99"/>
    <w:semiHidden/>
    <w:locked/>
    <w:rsid w:val="0003148D"/>
    <w:rPr>
      <w:rFonts w:asciiTheme="majorHAnsi" w:eastAsiaTheme="majorEastAsia" w:hAnsiTheme="majorHAnsi" w:cs="Times New Roman"/>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locked/>
    <w:rsid w:val="0003148D"/>
    <w:rPr>
      <w:rFonts w:cs="Times New Roman"/>
    </w:rPr>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locked/>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12"/>
      </w:numPr>
      <w:contextualSpacing/>
    </w:pPr>
  </w:style>
  <w:style w:type="paragraph" w:styleId="Numeroelenco2">
    <w:name w:val="List Number 2"/>
    <w:basedOn w:val="Normale"/>
    <w:uiPriority w:val="99"/>
    <w:semiHidden/>
    <w:unhideWhenUsed/>
    <w:rsid w:val="0003148D"/>
    <w:pPr>
      <w:numPr>
        <w:numId w:val="13"/>
      </w:numPr>
      <w:contextualSpacing/>
    </w:pPr>
  </w:style>
  <w:style w:type="paragraph" w:styleId="Numeroelenco3">
    <w:name w:val="List Number 3"/>
    <w:basedOn w:val="Normale"/>
    <w:uiPriority w:val="99"/>
    <w:semiHidden/>
    <w:unhideWhenUsed/>
    <w:rsid w:val="0003148D"/>
    <w:pPr>
      <w:numPr>
        <w:numId w:val="14"/>
      </w:numPr>
      <w:contextualSpacing/>
    </w:pPr>
  </w:style>
  <w:style w:type="paragraph" w:styleId="Numeroelenco4">
    <w:name w:val="List Number 4"/>
    <w:basedOn w:val="Normale"/>
    <w:uiPriority w:val="99"/>
    <w:semiHidden/>
    <w:unhideWhenUsed/>
    <w:rsid w:val="0003148D"/>
    <w:pPr>
      <w:numPr>
        <w:numId w:val="15"/>
      </w:numPr>
      <w:contextualSpacing/>
    </w:pPr>
  </w:style>
  <w:style w:type="paragraph" w:styleId="Numeroelenco5">
    <w:name w:val="List Number 5"/>
    <w:basedOn w:val="Normale"/>
    <w:uiPriority w:val="99"/>
    <w:semiHidden/>
    <w:unhideWhenUsed/>
    <w:rsid w:val="0003148D"/>
    <w:pPr>
      <w:numPr>
        <w:numId w:val="1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locked/>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locked/>
    <w:rsid w:val="0003148D"/>
    <w:rPr>
      <w:rFonts w:cs="Times New Roman"/>
    </w:rPr>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03148D"/>
    <w:rPr>
      <w:rFonts w:cs="Times New Roman"/>
    </w:rPr>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locked/>
    <w:rsid w:val="0003148D"/>
    <w:rPr>
      <w:rFonts w:cs="Times New Roman"/>
    </w:rPr>
  </w:style>
  <w:style w:type="paragraph" w:styleId="Puntoelenco">
    <w:name w:val="List Bullet"/>
    <w:basedOn w:val="Normale"/>
    <w:uiPriority w:val="99"/>
    <w:semiHidden/>
    <w:unhideWhenUsed/>
    <w:rsid w:val="0003148D"/>
    <w:pPr>
      <w:numPr>
        <w:numId w:val="17"/>
      </w:numPr>
      <w:contextualSpacing/>
    </w:pPr>
  </w:style>
  <w:style w:type="paragraph" w:styleId="Puntoelenco2">
    <w:name w:val="List Bullet 2"/>
    <w:basedOn w:val="Normale"/>
    <w:uiPriority w:val="99"/>
    <w:semiHidden/>
    <w:unhideWhenUsed/>
    <w:rsid w:val="0003148D"/>
    <w:pPr>
      <w:numPr>
        <w:numId w:val="18"/>
      </w:numPr>
      <w:contextualSpacing/>
    </w:pPr>
  </w:style>
  <w:style w:type="paragraph" w:styleId="Puntoelenco3">
    <w:name w:val="List Bullet 3"/>
    <w:basedOn w:val="Normale"/>
    <w:uiPriority w:val="99"/>
    <w:semiHidden/>
    <w:unhideWhenUsed/>
    <w:rsid w:val="0003148D"/>
    <w:pPr>
      <w:numPr>
        <w:numId w:val="19"/>
      </w:numPr>
      <w:contextualSpacing/>
    </w:pPr>
  </w:style>
  <w:style w:type="paragraph" w:styleId="Puntoelenco4">
    <w:name w:val="List Bullet 4"/>
    <w:basedOn w:val="Normale"/>
    <w:uiPriority w:val="99"/>
    <w:semiHidden/>
    <w:unhideWhenUsed/>
    <w:rsid w:val="0003148D"/>
    <w:pPr>
      <w:numPr>
        <w:numId w:val="20"/>
      </w:numPr>
      <w:contextualSpacing/>
    </w:pPr>
  </w:style>
  <w:style w:type="paragraph" w:styleId="Puntoelenco5">
    <w:name w:val="List Bullet 5"/>
    <w:basedOn w:val="Normale"/>
    <w:uiPriority w:val="99"/>
    <w:semiHidden/>
    <w:unhideWhenUsed/>
    <w:rsid w:val="0003148D"/>
    <w:pPr>
      <w:numPr>
        <w:numId w:val="2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03148D"/>
    <w:rPr>
      <w:rFonts w:cs="Times New Roman"/>
    </w:rPr>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03148D"/>
    <w:rPr>
      <w:rFonts w:cs="Times New Roman"/>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locked/>
    <w:rsid w:val="0003148D"/>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locked/>
    <w:rsid w:val="0003148D"/>
    <w:rPr>
      <w:rFonts w:cs="Times New Roman"/>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locked/>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locked/>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locked/>
    <w:rsid w:val="0003148D"/>
    <w:rPr>
      <w:rFonts w:cs="Times New Roman"/>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locked/>
    <w:rsid w:val="0003148D"/>
    <w:rPr>
      <w:rFonts w:cs="Times New Roman"/>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hAnsi="Arial" w:cs="Times New Roman"/>
      <w:noProof/>
      <w:sz w:val="16"/>
      <w:szCs w:val="20"/>
      <w:lang w:val="en-GB"/>
    </w:rPr>
  </w:style>
  <w:style w:type="character" w:customStyle="1" w:styleId="CETAddressCarattere">
    <w:name w:val="CET Address Carattere"/>
    <w:basedOn w:val="Carpredefinitoparagrafo"/>
    <w:link w:val="CETAddress"/>
    <w:locked/>
    <w:rsid w:val="009E788A"/>
    <w:rPr>
      <w:rFonts w:ascii="Arial" w:hAnsi="Arial" w:cs="Times New Roman"/>
      <w:noProof/>
      <w:sz w:val="20"/>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23"/>
      </w:numPr>
      <w:spacing w:after="0" w:line="264" w:lineRule="auto"/>
    </w:pPr>
    <w:rPr>
      <w:rFonts w:ascii="Arial" w:hAnsi="Arial" w:cs="Times New Roman"/>
      <w:sz w:val="18"/>
      <w:szCs w:val="20"/>
      <w:lang w:val="en-GB"/>
    </w:rPr>
  </w:style>
  <w:style w:type="paragraph" w:customStyle="1" w:styleId="CETnumbering1">
    <w:name w:val="CET numbering (1"/>
    <w:aliases w:val="2..)"/>
    <w:rsid w:val="00B57B36"/>
    <w:pPr>
      <w:numPr>
        <w:numId w:val="24"/>
      </w:numPr>
      <w:spacing w:after="0" w:line="264" w:lineRule="auto"/>
      <w:ind w:left="340" w:hanging="227"/>
    </w:pPr>
    <w:rPr>
      <w:rFonts w:ascii="Arial" w:hAnsi="Arial" w:cs="Times New Roman"/>
      <w:sz w:val="18"/>
      <w:szCs w:val="20"/>
      <w:lang w:val="en-US"/>
    </w:rPr>
  </w:style>
  <w:style w:type="paragraph" w:customStyle="1" w:styleId="CETnumberinga">
    <w:name w:val="CET numbering (a"/>
    <w:aliases w:val="b,..)"/>
    <w:rsid w:val="00B57B36"/>
    <w:pPr>
      <w:numPr>
        <w:numId w:val="25"/>
      </w:numPr>
      <w:spacing w:after="0" w:line="264" w:lineRule="auto"/>
    </w:pPr>
    <w:rPr>
      <w:rFonts w:ascii="Arial"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5278B7"/>
    <w:rPr>
      <w:rFonts w:ascii="Arial" w:hAnsi="Arial" w:cs="Times New Roman"/>
      <w:sz w:val="20"/>
      <w:szCs w:val="20"/>
      <w:lang w:val="en-GB" w:eastAsia="x-none"/>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5278B7"/>
    <w:rPr>
      <w:rFonts w:ascii="Arial" w:hAnsi="Arial" w:cs="Times New Roman"/>
      <w:sz w:val="20"/>
      <w:szCs w:val="20"/>
      <w:lang w:val="en-GB" w:eastAsia="x-none"/>
    </w:rPr>
  </w:style>
  <w:style w:type="table" w:styleId="Grigliatabella">
    <w:name w:val="Table Grid"/>
    <w:basedOn w:val="Tabellanormale"/>
    <w:uiPriority w:val="39"/>
    <w:rsid w:val="00660E3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rFonts w:cs="Times New Roman"/>
      <w:color w:val="0000FF" w:themeColor="hyperlink"/>
      <w:u w:val="single"/>
    </w:rPr>
  </w:style>
  <w:style w:type="character" w:customStyle="1" w:styleId="eudoraheader">
    <w:name w:val="eudoraheader"/>
    <w:basedOn w:val="Carpredefinitoparagrafo"/>
    <w:rsid w:val="00904C62"/>
    <w:rPr>
      <w:rFonts w:cs="Times New Roman"/>
    </w:rPr>
  </w:style>
  <w:style w:type="paragraph" w:customStyle="1" w:styleId="CETListbullets">
    <w:name w:val="CET List bullets"/>
    <w:qFormat/>
    <w:rsid w:val="004577FE"/>
    <w:pPr>
      <w:spacing w:after="0" w:line="264" w:lineRule="auto"/>
      <w:ind w:left="340" w:hanging="227"/>
      <w:jc w:val="both"/>
    </w:pPr>
    <w:rPr>
      <w:rFonts w:ascii="Arial"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locked/>
    <w:rsid w:val="000F787B"/>
    <w:rPr>
      <w:rFonts w:ascii="Arial" w:hAnsi="Arial" w:cs="Times New Roman"/>
      <w:b/>
      <w:sz w:val="18"/>
      <w:szCs w:val="20"/>
      <w:lang w:val="en-US"/>
    </w:rPr>
  </w:style>
  <w:style w:type="paragraph" w:customStyle="1" w:styleId="DocumentNumber">
    <w:name w:val="Document Number"/>
    <w:basedOn w:val="Normale"/>
    <w:next w:val="Rientrocorpodeltesto"/>
    <w:rsid w:val="006C72F2"/>
    <w:pPr>
      <w:tabs>
        <w:tab w:val="clear" w:pos="7100"/>
      </w:tabs>
      <w:suppressAutoHyphens/>
      <w:overflowPunct w:val="0"/>
      <w:autoSpaceDE w:val="0"/>
      <w:autoSpaceDN w:val="0"/>
      <w:adjustRightInd w:val="0"/>
      <w:spacing w:before="900" w:line="240" w:lineRule="auto"/>
      <w:jc w:val="right"/>
      <w:textAlignment w:val="baseline"/>
    </w:pPr>
    <w:rPr>
      <w:b/>
      <w:kern w:val="14"/>
      <w:sz w:val="36"/>
      <w:lang w:val="en-US"/>
    </w:rPr>
  </w:style>
  <w:style w:type="paragraph" w:customStyle="1" w:styleId="Figure">
    <w:name w:val="Figure"/>
    <w:basedOn w:val="Normale"/>
    <w:next w:val="Figurecaption"/>
    <w:rsid w:val="006C72F2"/>
    <w:pPr>
      <w:tabs>
        <w:tab w:val="clear" w:pos="7100"/>
      </w:tabs>
      <w:overflowPunct w:val="0"/>
      <w:autoSpaceDE w:val="0"/>
      <w:autoSpaceDN w:val="0"/>
      <w:adjustRightInd w:val="0"/>
      <w:spacing w:line="240" w:lineRule="auto"/>
      <w:textAlignment w:val="baseline"/>
    </w:pPr>
    <w:rPr>
      <w:rFonts w:ascii="Times New Roman" w:hAnsi="Times New Roman"/>
      <w:sz w:val="24"/>
      <w:lang w:val="en-US"/>
    </w:rPr>
  </w:style>
  <w:style w:type="paragraph" w:customStyle="1" w:styleId="Figurecaption">
    <w:name w:val="Figure caption"/>
    <w:basedOn w:val="Normale"/>
    <w:next w:val="Normale"/>
    <w:rsid w:val="006C72F2"/>
    <w:pPr>
      <w:tabs>
        <w:tab w:val="clear" w:pos="7100"/>
      </w:tabs>
      <w:overflowPunct w:val="0"/>
      <w:autoSpaceDE w:val="0"/>
      <w:autoSpaceDN w:val="0"/>
      <w:adjustRightInd w:val="0"/>
      <w:spacing w:line="220" w:lineRule="exact"/>
      <w:textAlignment w:val="baseline"/>
    </w:pPr>
    <w:rPr>
      <w:rFonts w:ascii="Times New Roman" w:hAnsi="Times New Roman"/>
      <w:sz w:val="20"/>
      <w:lang w:val="en-US"/>
    </w:rPr>
  </w:style>
  <w:style w:type="paragraph" w:customStyle="1" w:styleId="TextHeading1">
    <w:name w:val="Text Heading 1"/>
    <w:basedOn w:val="Normale"/>
    <w:next w:val="Rientrocorpodeltesto"/>
    <w:rsid w:val="00B14FF0"/>
    <w:pPr>
      <w:keepNext/>
      <w:tabs>
        <w:tab w:val="clear" w:pos="7100"/>
      </w:tabs>
      <w:suppressAutoHyphens/>
      <w:overflowPunct w:val="0"/>
      <w:autoSpaceDE w:val="0"/>
      <w:autoSpaceDN w:val="0"/>
      <w:adjustRightInd w:val="0"/>
      <w:spacing w:before="240" w:line="240" w:lineRule="auto"/>
      <w:textAlignment w:val="baseline"/>
    </w:pPr>
    <w:rPr>
      <w:b/>
      <w:caps/>
      <w:kern w:val="14"/>
      <w:sz w:val="20"/>
      <w:lang w:val="en-US"/>
    </w:rPr>
  </w:style>
  <w:style w:type="paragraph" w:customStyle="1" w:styleId="TextHeading2">
    <w:name w:val="Text Heading 2"/>
    <w:basedOn w:val="Normale"/>
    <w:next w:val="Rientrocorpodeltesto"/>
    <w:rsid w:val="00B14FF0"/>
    <w:pPr>
      <w:keepNext/>
      <w:tabs>
        <w:tab w:val="clear" w:pos="7100"/>
      </w:tabs>
      <w:suppressAutoHyphens/>
      <w:overflowPunct w:val="0"/>
      <w:autoSpaceDE w:val="0"/>
      <w:autoSpaceDN w:val="0"/>
      <w:adjustRightInd w:val="0"/>
      <w:spacing w:before="240" w:line="240" w:lineRule="auto"/>
      <w:textAlignment w:val="baseline"/>
    </w:pPr>
    <w:rPr>
      <w:b/>
      <w:kern w:val="14"/>
      <w:sz w:val="20"/>
      <w:u w:val="single"/>
      <w:lang w:val="en-US"/>
    </w:rPr>
  </w:style>
  <w:style w:type="paragraph" w:customStyle="1" w:styleId="TextHeading3">
    <w:name w:val="Text Heading 3"/>
    <w:basedOn w:val="Normale"/>
    <w:next w:val="Rientrocorpodeltesto"/>
    <w:rsid w:val="004570D1"/>
    <w:pPr>
      <w:tabs>
        <w:tab w:val="clear" w:pos="7100"/>
      </w:tabs>
      <w:suppressAutoHyphens/>
      <w:overflowPunct w:val="0"/>
      <w:autoSpaceDE w:val="0"/>
      <w:autoSpaceDN w:val="0"/>
      <w:adjustRightInd w:val="0"/>
      <w:spacing w:before="240" w:line="240" w:lineRule="auto"/>
      <w:ind w:left="360"/>
      <w:textAlignment w:val="baseline"/>
    </w:pPr>
    <w:rPr>
      <w:b/>
      <w:kern w:val="14"/>
      <w:sz w:val="20"/>
      <w:u w:val="single"/>
      <w:lang w:val="en-US"/>
    </w:rPr>
  </w:style>
  <w:style w:type="paragraph" w:customStyle="1" w:styleId="Formula">
    <w:name w:val="Formula"/>
    <w:basedOn w:val="Normale"/>
    <w:next w:val="Normale"/>
    <w:rsid w:val="004570D1"/>
    <w:pPr>
      <w:tabs>
        <w:tab w:val="clear" w:pos="7100"/>
        <w:tab w:val="right" w:pos="5103"/>
      </w:tabs>
      <w:overflowPunct w:val="0"/>
      <w:autoSpaceDE w:val="0"/>
      <w:autoSpaceDN w:val="0"/>
      <w:adjustRightInd w:val="0"/>
      <w:spacing w:before="120" w:after="120" w:line="240" w:lineRule="auto"/>
      <w:jc w:val="left"/>
      <w:textAlignment w:val="baseline"/>
    </w:pPr>
    <w:rPr>
      <w:rFonts w:ascii="Times New Roman" w:hAnsi="Times New Roman"/>
      <w:sz w:val="24"/>
      <w:lang w:val="en-US"/>
    </w:rPr>
  </w:style>
  <w:style w:type="paragraph" w:customStyle="1" w:styleId="Tabletext">
    <w:name w:val="Table text"/>
    <w:basedOn w:val="Normale"/>
    <w:rsid w:val="004570D1"/>
    <w:pPr>
      <w:tabs>
        <w:tab w:val="clear" w:pos="7100"/>
      </w:tabs>
      <w:overflowPunct w:val="0"/>
      <w:autoSpaceDE w:val="0"/>
      <w:autoSpaceDN w:val="0"/>
      <w:adjustRightInd w:val="0"/>
      <w:spacing w:line="220" w:lineRule="exact"/>
      <w:jc w:val="left"/>
      <w:textAlignment w:val="baseline"/>
    </w:pPr>
    <w:rPr>
      <w:rFonts w:ascii="Times New Roman" w:hAnsi="Times New Roman"/>
      <w:sz w:val="20"/>
      <w:lang w:val="en-US"/>
    </w:rPr>
  </w:style>
  <w:style w:type="character" w:customStyle="1" w:styleId="UnresolvedMention1">
    <w:name w:val="Unresolved Mention1"/>
    <w:basedOn w:val="Carpredefinitoparagrafo"/>
    <w:uiPriority w:val="99"/>
    <w:semiHidden/>
    <w:unhideWhenUsed/>
    <w:rsid w:val="00167BF8"/>
    <w:rPr>
      <w:color w:val="605E5C"/>
      <w:shd w:val="clear" w:color="auto" w:fill="E1DFDD"/>
    </w:rPr>
  </w:style>
  <w:style w:type="paragraph" w:styleId="Revisione">
    <w:name w:val="Revision"/>
    <w:hidden/>
    <w:uiPriority w:val="99"/>
    <w:semiHidden/>
    <w:rsid w:val="007B2615"/>
    <w:pPr>
      <w:spacing w:after="0" w:line="240" w:lineRule="auto"/>
    </w:pPr>
    <w:rPr>
      <w:rFonts w:ascii="Arial"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11902">
      <w:marLeft w:val="0"/>
      <w:marRight w:val="0"/>
      <w:marTop w:val="0"/>
      <w:marBottom w:val="0"/>
      <w:divBdr>
        <w:top w:val="none" w:sz="0" w:space="0" w:color="auto"/>
        <w:left w:val="none" w:sz="0" w:space="0" w:color="auto"/>
        <w:bottom w:val="none" w:sz="0" w:space="0" w:color="auto"/>
        <w:right w:val="none" w:sz="0" w:space="0" w:color="auto"/>
      </w:divBdr>
      <w:divsChild>
        <w:div w:id="1420711907">
          <w:marLeft w:val="0"/>
          <w:marRight w:val="0"/>
          <w:marTop w:val="0"/>
          <w:marBottom w:val="0"/>
          <w:divBdr>
            <w:top w:val="none" w:sz="0" w:space="0" w:color="auto"/>
            <w:left w:val="none" w:sz="0" w:space="0" w:color="auto"/>
            <w:bottom w:val="none" w:sz="0" w:space="0" w:color="auto"/>
            <w:right w:val="none" w:sz="0" w:space="0" w:color="auto"/>
          </w:divBdr>
          <w:divsChild>
            <w:div w:id="14207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904">
      <w:marLeft w:val="0"/>
      <w:marRight w:val="0"/>
      <w:marTop w:val="0"/>
      <w:marBottom w:val="0"/>
      <w:divBdr>
        <w:top w:val="none" w:sz="0" w:space="0" w:color="auto"/>
        <w:left w:val="none" w:sz="0" w:space="0" w:color="auto"/>
        <w:bottom w:val="none" w:sz="0" w:space="0" w:color="auto"/>
        <w:right w:val="none" w:sz="0" w:space="0" w:color="auto"/>
      </w:divBdr>
      <w:divsChild>
        <w:div w:id="1420711903">
          <w:marLeft w:val="0"/>
          <w:marRight w:val="0"/>
          <w:marTop w:val="0"/>
          <w:marBottom w:val="0"/>
          <w:divBdr>
            <w:top w:val="none" w:sz="0" w:space="0" w:color="auto"/>
            <w:left w:val="none" w:sz="0" w:space="0" w:color="auto"/>
            <w:bottom w:val="none" w:sz="0" w:space="0" w:color="auto"/>
            <w:right w:val="none" w:sz="0" w:space="0" w:color="auto"/>
          </w:divBdr>
          <w:divsChild>
            <w:div w:id="14207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906">
      <w:marLeft w:val="0"/>
      <w:marRight w:val="0"/>
      <w:marTop w:val="0"/>
      <w:marBottom w:val="0"/>
      <w:divBdr>
        <w:top w:val="none" w:sz="0" w:space="0" w:color="auto"/>
        <w:left w:val="none" w:sz="0" w:space="0" w:color="auto"/>
        <w:bottom w:val="none" w:sz="0" w:space="0" w:color="auto"/>
        <w:right w:val="none" w:sz="0" w:space="0" w:color="auto"/>
      </w:divBdr>
      <w:divsChild>
        <w:div w:id="1420711909">
          <w:marLeft w:val="0"/>
          <w:marRight w:val="0"/>
          <w:marTop w:val="0"/>
          <w:marBottom w:val="0"/>
          <w:divBdr>
            <w:top w:val="none" w:sz="0" w:space="0" w:color="auto"/>
            <w:left w:val="none" w:sz="0" w:space="0" w:color="auto"/>
            <w:bottom w:val="none" w:sz="0" w:space="0" w:color="auto"/>
            <w:right w:val="none" w:sz="0" w:space="0" w:color="auto"/>
          </w:divBdr>
          <w:divsChild>
            <w:div w:id="14207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917A-4F48-4FB7-BD1E-1AF63384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9661</Words>
  <Characters>57779</Characters>
  <Application>Microsoft Office Word</Application>
  <DocSecurity>0</DocSecurity>
  <Lines>4814</Lines>
  <Paragraphs>1983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elisa pisati</cp:lastModifiedBy>
  <cp:revision>10</cp:revision>
  <cp:lastPrinted>2019-02-05T13:23:00Z</cp:lastPrinted>
  <dcterms:created xsi:type="dcterms:W3CDTF">2019-04-13T02:22:00Z</dcterms:created>
  <dcterms:modified xsi:type="dcterms:W3CDTF">2019-04-18T11:32:00Z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258a91d0-a7fa-3af2-acc5-0f648b33b4e5</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http://www.zotero.org/styles/safety-science</vt:lpwstr>
  </property>
  <property fmtid="{D5CDD505-2E9C-101B-9397-08002B2CF9AE}" pid="25" name="Mendeley Recent Style Name 9_1">
    <vt:lpwstr>Safety Science</vt:lpwstr>
  </property>
  <property fmtid="{D5CDD505-2E9C-101B-9397-08002B2CF9AE}" pid="26" name="Mendeley Citation Style_1">
    <vt:lpwstr>http://www.zotero.org/styles/safety-science</vt:lpwstr>
  </property>
</Properties>
</file>