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7D276029" w14:textId="77777777">
        <w:trPr>
          <w:trHeight w:val="852"/>
          <w:jc w:val="center"/>
        </w:trPr>
        <w:tc>
          <w:tcPr>
            <w:tcW w:w="6946" w:type="dxa"/>
            <w:vMerge w:val="restart"/>
            <w:tcBorders>
              <w:right w:val="single" w:sz="4" w:space="0" w:color="auto"/>
            </w:tcBorders>
          </w:tcPr>
          <w:p w14:paraId="2F205C3D" w14:textId="77777777" w:rsidR="000A03B2" w:rsidRPr="00B57B36" w:rsidRDefault="000A03B2" w:rsidP="00DE264A">
            <w:pPr>
              <w:tabs>
                <w:tab w:val="left" w:pos="-108"/>
              </w:tabs>
              <w:ind w:left="-108"/>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69D0E2D4" wp14:editId="0D9ABC01">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lang w:eastAsia="it-IT"/>
              </w:rPr>
              <w:t>CHEMICAL ENGINEERING</w:t>
            </w:r>
            <w:r w:rsidRPr="00B57B36">
              <w:rPr>
                <w:rFonts w:cs="Arial"/>
                <w:b/>
                <w:bCs/>
                <w:i/>
                <w:iCs/>
                <w:color w:val="0033FF"/>
                <w:lang w:eastAsia="it-IT"/>
              </w:rPr>
              <w:t xml:space="preserve"> </w:t>
            </w:r>
            <w:r w:rsidRPr="00B57B36">
              <w:rPr>
                <w:rFonts w:cs="Arial"/>
                <w:b/>
                <w:bCs/>
                <w:i/>
                <w:iCs/>
                <w:color w:val="666666"/>
                <w:lang w:eastAsia="it-IT"/>
              </w:rPr>
              <w:t>TRANSACTIONS</w:t>
            </w:r>
            <w:r w:rsidRPr="00B57B36">
              <w:rPr>
                <w:color w:val="333333"/>
                <w:lang w:eastAsia="it-IT"/>
              </w:rPr>
              <w:t xml:space="preserve"> </w:t>
            </w:r>
            <w:r w:rsidRPr="00B57B36">
              <w:rPr>
                <w:rFonts w:cs="Arial"/>
                <w:b/>
                <w:bCs/>
                <w:i/>
                <w:iCs/>
                <w:color w:val="000066"/>
                <w:sz w:val="27"/>
                <w:szCs w:val="27"/>
                <w:lang w:eastAsia="it-IT"/>
              </w:rPr>
              <w:br/>
            </w:r>
          </w:p>
          <w:p w14:paraId="077F534D"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AAB5ADC"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AC97200" w14:textId="77777777" w:rsidR="000A03B2" w:rsidRPr="00B57B36" w:rsidRDefault="000A03B2" w:rsidP="00CD5FE2">
            <w:pPr>
              <w:jc w:val="right"/>
            </w:pPr>
            <w:r w:rsidRPr="00B57B36">
              <w:rPr>
                <w:noProof/>
                <w:lang w:val="it-IT" w:eastAsia="it-IT"/>
              </w:rPr>
              <w:drawing>
                <wp:inline distT="0" distB="0" distL="0" distR="0" wp14:anchorId="042B35CD" wp14:editId="08BBBF3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2AA871AF" w14:textId="77777777">
        <w:trPr>
          <w:trHeight w:val="567"/>
          <w:jc w:val="center"/>
        </w:trPr>
        <w:tc>
          <w:tcPr>
            <w:tcW w:w="6946" w:type="dxa"/>
            <w:vMerge/>
            <w:tcBorders>
              <w:right w:val="single" w:sz="4" w:space="0" w:color="auto"/>
            </w:tcBorders>
          </w:tcPr>
          <w:p w14:paraId="6AA0EFE4"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B1FE65B"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51D4F37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18C33B4"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5CE42638" w14:textId="77777777">
        <w:trPr>
          <w:trHeight w:val="68"/>
          <w:jc w:val="center"/>
        </w:trPr>
        <w:tc>
          <w:tcPr>
            <w:tcW w:w="8789" w:type="dxa"/>
            <w:gridSpan w:val="2"/>
          </w:tcPr>
          <w:p w14:paraId="1B1E12A1"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BBD6BF9" w14:textId="77777777" w:rsidR="000A03B2" w:rsidRPr="00B57B36" w:rsidRDefault="00FA5F5F" w:rsidP="00131FAB">
            <w:pPr>
              <w:tabs>
                <w:tab w:val="left" w:pos="-108"/>
              </w:tabs>
              <w:spacing w:line="140" w:lineRule="atLeast"/>
              <w:ind w:left="-107"/>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79B0870"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19F7F36" w14:textId="762D1739" w:rsidR="00E978D0" w:rsidRPr="00B57B36" w:rsidRDefault="0027227A" w:rsidP="00E978D0">
      <w:pPr>
        <w:pStyle w:val="CETTitle"/>
      </w:pPr>
      <w:r>
        <w:lastRenderedPageBreak/>
        <w:t xml:space="preserve">Influence of </w:t>
      </w:r>
      <w:r w:rsidR="008C778F">
        <w:t>Cross-</w:t>
      </w:r>
      <w:r w:rsidR="008C778F" w:rsidRPr="003C4DBE">
        <w:t>Sectional Geometry o</w:t>
      </w:r>
      <w:r w:rsidRPr="003C4DBE">
        <w:t xml:space="preserve">n Mixing </w:t>
      </w:r>
      <w:r w:rsidR="00B6057A" w:rsidRPr="003C4DBE">
        <w:t>i</w:t>
      </w:r>
      <w:r w:rsidRPr="003C4DBE">
        <w:t xml:space="preserve">n </w:t>
      </w:r>
      <w:r w:rsidR="00B6057A" w:rsidRPr="003C4DBE">
        <w:t>a</w:t>
      </w:r>
      <w:r w:rsidRPr="003C4DBE">
        <w:t xml:space="preserve"> T-Shaped Micro-Junction</w:t>
      </w:r>
    </w:p>
    <w:p w14:paraId="6EE0223E" w14:textId="14866261" w:rsidR="00E978D0" w:rsidRPr="0027227A" w:rsidRDefault="0027227A" w:rsidP="00AB5011">
      <w:pPr>
        <w:pStyle w:val="CETAuthors"/>
        <w:rPr>
          <w:lang w:val="it-IT"/>
        </w:rPr>
      </w:pPr>
      <w:r w:rsidRPr="0027227A">
        <w:rPr>
          <w:lang w:val="it-IT"/>
        </w:rPr>
        <w:t>Alessandro Mariotti</w:t>
      </w:r>
      <w:r w:rsidR="00600535" w:rsidRPr="0027227A">
        <w:rPr>
          <w:lang w:val="it-IT"/>
        </w:rPr>
        <w:t xml:space="preserve">, </w:t>
      </w:r>
      <w:r w:rsidRPr="0027227A">
        <w:rPr>
          <w:lang w:val="it-IT"/>
        </w:rPr>
        <w:t>Michele Lanzetta</w:t>
      </w:r>
      <w:r w:rsidR="00600535" w:rsidRPr="0027227A">
        <w:rPr>
          <w:lang w:val="it-IT"/>
        </w:rPr>
        <w:t xml:space="preserve">, </w:t>
      </w:r>
      <w:r w:rsidRPr="0027227A">
        <w:rPr>
          <w:lang w:val="it-IT"/>
        </w:rPr>
        <w:t>Gino Dini, Andrea Rossi, Elisabetta Brunazzi, Roberto Mauri, Chiara Galletti</w:t>
      </w:r>
      <w:r w:rsidR="00995DF9" w:rsidRPr="0027227A">
        <w:rPr>
          <w:lang w:val="it-IT"/>
        </w:rPr>
        <w:t>*</w:t>
      </w:r>
    </w:p>
    <w:p w14:paraId="21C619C5" w14:textId="3B9A08FD" w:rsidR="00E978D0" w:rsidRPr="008C3680" w:rsidRDefault="00E978D0" w:rsidP="00995DF9">
      <w:pPr>
        <w:pStyle w:val="CETAddress"/>
        <w:rPr>
          <w:lang w:val="it-IT"/>
        </w:rPr>
      </w:pPr>
      <w:r w:rsidRPr="00995DF9">
        <w:rPr>
          <w:vertAlign w:val="superscript"/>
          <w:lang w:val="it-IT"/>
        </w:rPr>
        <w:t>a</w:t>
      </w:r>
      <w:r w:rsidR="00995DF9" w:rsidRPr="00995DF9">
        <w:rPr>
          <w:lang w:val="it-IT"/>
        </w:rPr>
        <w:t xml:space="preserve">Dipartimento di Ingegneria Civile e Industriale, Università di Pisa, Largo Lucio Lazzarino 2, 56122 Pisa, Italy. </w:t>
      </w:r>
    </w:p>
    <w:p w14:paraId="47D76EEF" w14:textId="03E23DE5" w:rsidR="00E978D0" w:rsidRPr="00B57B36" w:rsidRDefault="00995DF9" w:rsidP="00E978D0">
      <w:pPr>
        <w:pStyle w:val="CETemail"/>
      </w:pPr>
      <w:r>
        <w:t>chiara</w:t>
      </w:r>
      <w:r w:rsidR="00600535" w:rsidRPr="00B57B36">
        <w:t>.</w:t>
      </w:r>
      <w:r>
        <w:t>galletti</w:t>
      </w:r>
      <w:r w:rsidR="00600535" w:rsidRPr="00B57B36">
        <w:t>@</w:t>
      </w:r>
      <w:r>
        <w:t>unipi.it</w:t>
      </w:r>
      <w:r w:rsidR="00600535" w:rsidRPr="00B57B36">
        <w:t xml:space="preserve"> </w:t>
      </w:r>
    </w:p>
    <w:p w14:paraId="3E738883" w14:textId="5C9F4C0C" w:rsidR="00600535" w:rsidRPr="00B57B36" w:rsidRDefault="00876A78" w:rsidP="003717C0">
      <w:pPr>
        <w:pStyle w:val="CETBodytext"/>
        <w:rPr>
          <w:lang w:val="en-GB"/>
        </w:rPr>
      </w:pPr>
      <w:bookmarkStart w:id="1" w:name="_Hlk495475023"/>
      <w:r>
        <w:rPr>
          <w:lang w:val="en-GB"/>
        </w:rPr>
        <w:t xml:space="preserve">Microfluidics is gaining increasing interest in the field of chemical engineering, as miniaturization </w:t>
      </w:r>
      <w:r w:rsidR="003717C0">
        <w:rPr>
          <w:lang w:val="en-GB"/>
        </w:rPr>
        <w:t>may lead to a significant intensification of</w:t>
      </w:r>
      <w:r>
        <w:rPr>
          <w:lang w:val="en-GB"/>
        </w:rPr>
        <w:t xml:space="preserve"> chemical processes</w:t>
      </w:r>
      <w:r w:rsidR="003717C0">
        <w:rPr>
          <w:lang w:val="en-GB"/>
        </w:rPr>
        <w:t>. Since the flow is laminar, achieving a good mixing of reactants is one of the main challenges. The simplest geometry is constituted by a T-shaped mixer in which the two inlets join perp</w:t>
      </w:r>
      <w:r w:rsidR="000E0E82">
        <w:rPr>
          <w:lang w:val="en-GB"/>
        </w:rPr>
        <w:t>endicularly the mixing channel.</w:t>
      </w:r>
      <w:r w:rsidR="003717C0">
        <w:rPr>
          <w:lang w:val="en-GB"/>
        </w:rPr>
        <w:t xml:space="preserve"> The inlet cross section is usually square while the mixing channel</w:t>
      </w:r>
      <w:r w:rsidR="0074213C">
        <w:rPr>
          <w:lang w:val="en-GB"/>
        </w:rPr>
        <w:t xml:space="preserve"> cross-</w:t>
      </w:r>
      <w:r w:rsidR="003717C0">
        <w:rPr>
          <w:lang w:val="en-GB"/>
        </w:rPr>
        <w:t xml:space="preserve">section is a rectangle </w:t>
      </w:r>
      <w:r w:rsidR="003717C0" w:rsidRPr="00206770">
        <w:rPr>
          <w:lang w:val="en-GB"/>
        </w:rPr>
        <w:t>as straight walls facilitate experimental and modelling analysi</w:t>
      </w:r>
      <w:r w:rsidR="003717C0">
        <w:rPr>
          <w:lang w:val="en-GB"/>
        </w:rPr>
        <w:t xml:space="preserve">s. </w:t>
      </w:r>
      <w:r w:rsidR="003717C0" w:rsidRPr="00206770">
        <w:rPr>
          <w:lang w:val="en-GB"/>
        </w:rPr>
        <w:t xml:space="preserve">The present work, on the contrary, is aimed at investigating </w:t>
      </w:r>
      <w:r w:rsidR="003717C0">
        <w:rPr>
          <w:lang w:val="en-GB"/>
        </w:rPr>
        <w:t xml:space="preserve">through Computational Fluid Dynamics </w:t>
      </w:r>
      <w:r w:rsidR="003717C0" w:rsidRPr="00206770">
        <w:rPr>
          <w:lang w:val="en-GB"/>
        </w:rPr>
        <w:t>the effect of a cross-section with lateral inclined walls,</w:t>
      </w:r>
      <w:r w:rsidR="003717C0">
        <w:rPr>
          <w:lang w:val="en-GB"/>
        </w:rPr>
        <w:t xml:space="preserve"> to emulate </w:t>
      </w:r>
      <w:r w:rsidR="008A6352">
        <w:rPr>
          <w:lang w:val="en-GB"/>
        </w:rPr>
        <w:t xml:space="preserve">a microfabrication technology based on </w:t>
      </w:r>
      <w:r w:rsidR="003717C0">
        <w:rPr>
          <w:lang w:val="en-GB"/>
        </w:rPr>
        <w:t>laser machining</w:t>
      </w:r>
      <w:r w:rsidR="00BA6436">
        <w:rPr>
          <w:lang w:val="en-GB"/>
        </w:rPr>
        <w:t xml:space="preserve">. </w:t>
      </w:r>
      <w:r w:rsidR="003717C0">
        <w:rPr>
          <w:lang w:val="en-GB"/>
        </w:rPr>
        <w:t xml:space="preserve">The </w:t>
      </w:r>
      <w:r w:rsidR="00BA6436">
        <w:rPr>
          <w:lang w:val="en-GB"/>
        </w:rPr>
        <w:t xml:space="preserve">presence of inclined walls </w:t>
      </w:r>
      <w:r w:rsidR="00E23D4C">
        <w:rPr>
          <w:lang w:val="en-GB"/>
        </w:rPr>
        <w:t>i</w:t>
      </w:r>
      <w:r w:rsidR="00BA6436">
        <w:rPr>
          <w:lang w:val="en-GB"/>
        </w:rPr>
        <w:t>s found to hamper mixing at high Reynolds numbers as the flow i</w:t>
      </w:r>
      <w:r w:rsidR="006F0D0A">
        <w:rPr>
          <w:lang w:val="en-GB"/>
        </w:rPr>
        <w:t>s</w:t>
      </w:r>
      <w:r w:rsidR="00BA6436">
        <w:rPr>
          <w:lang w:val="en-GB"/>
        </w:rPr>
        <w:t xml:space="preserve"> unable to break </w:t>
      </w:r>
      <w:r w:rsidR="009E0064">
        <w:rPr>
          <w:lang w:val="en-GB"/>
        </w:rPr>
        <w:t>the</w:t>
      </w:r>
      <w:r w:rsidR="00BA6436">
        <w:rPr>
          <w:lang w:val="en-GB"/>
        </w:rPr>
        <w:t xml:space="preserve"> mirror symmetry </w:t>
      </w:r>
      <w:r w:rsidR="009E0064">
        <w:rPr>
          <w:lang w:val="en-GB"/>
        </w:rPr>
        <w:t>and thus to undergo</w:t>
      </w:r>
      <w:r w:rsidR="00BA6436">
        <w:rPr>
          <w:lang w:val="en-GB"/>
        </w:rPr>
        <w:t xml:space="preserve"> the </w:t>
      </w:r>
      <w:r w:rsidR="0074213C">
        <w:rPr>
          <w:lang w:val="en-GB"/>
        </w:rPr>
        <w:t>engulfment regime. However</w:t>
      </w:r>
      <w:r w:rsidR="00BA6436">
        <w:rPr>
          <w:lang w:val="en-GB"/>
        </w:rPr>
        <w:t>,</w:t>
      </w:r>
      <w:r w:rsidR="0074213C">
        <w:rPr>
          <w:lang w:val="en-GB"/>
        </w:rPr>
        <w:t xml:space="preserve"> at low Reynold numbers the mixing is improved because the vortex regime presents a lower degree of symmetry with respect to that of T-mixers with straight walls. </w:t>
      </w:r>
    </w:p>
    <w:bookmarkEnd w:id="1"/>
    <w:p w14:paraId="53D4ED78" w14:textId="77777777" w:rsidR="00600535" w:rsidRPr="00B57B36" w:rsidRDefault="00600535" w:rsidP="00600535">
      <w:pPr>
        <w:pStyle w:val="CETHeading1"/>
        <w:rPr>
          <w:lang w:val="en-GB"/>
        </w:rPr>
      </w:pPr>
      <w:r w:rsidRPr="00B57B36">
        <w:rPr>
          <w:lang w:val="en-GB"/>
        </w:rPr>
        <w:t>Introduction</w:t>
      </w:r>
    </w:p>
    <w:p w14:paraId="63EEFBAA" w14:textId="5E5C1076" w:rsidR="00995DF9" w:rsidRPr="00CC1099" w:rsidRDefault="00995DF9" w:rsidP="00995DF9">
      <w:pPr>
        <w:pStyle w:val="CETBodytext"/>
        <w:rPr>
          <w:lang w:val="en-GB"/>
        </w:rPr>
      </w:pPr>
      <w:r w:rsidRPr="00995DF9">
        <w:rPr>
          <w:lang w:val="en-GB"/>
        </w:rPr>
        <w:t>Micro</w:t>
      </w:r>
      <w:r w:rsidR="002A0FF8">
        <w:rPr>
          <w:lang w:val="en-GB"/>
        </w:rPr>
        <w:t>-</w:t>
      </w:r>
      <w:r w:rsidRPr="00995DF9">
        <w:rPr>
          <w:lang w:val="en-GB"/>
        </w:rPr>
        <w:t>reactor technology is gaining increasing interest for a wide range of application</w:t>
      </w:r>
      <w:r w:rsidR="00CC1099">
        <w:rPr>
          <w:lang w:val="en-GB"/>
        </w:rPr>
        <w:t>s</w:t>
      </w:r>
      <w:r w:rsidRPr="00995DF9">
        <w:rPr>
          <w:lang w:val="en-GB"/>
        </w:rPr>
        <w:t xml:space="preserve">, including the intensification of </w:t>
      </w:r>
      <w:r w:rsidRPr="00CC1099">
        <w:rPr>
          <w:lang w:val="en-GB"/>
        </w:rPr>
        <w:t xml:space="preserve">chemical reactions for the pharmaceutical and fine chemical industries as well as the production of micro-particles. The main </w:t>
      </w:r>
      <w:r w:rsidR="007B5430" w:rsidRPr="00CC1099">
        <w:rPr>
          <w:lang w:val="en-GB"/>
        </w:rPr>
        <w:t>reason</w:t>
      </w:r>
      <w:r w:rsidRPr="00CC1099">
        <w:rPr>
          <w:lang w:val="en-GB"/>
        </w:rPr>
        <w:t xml:space="preserve"> </w:t>
      </w:r>
      <w:r w:rsidR="007B5430" w:rsidRPr="00CC1099">
        <w:rPr>
          <w:lang w:val="en-GB"/>
        </w:rPr>
        <w:t>for preferring micro</w:t>
      </w:r>
      <w:r w:rsidR="00E23D4C">
        <w:rPr>
          <w:lang w:val="en-GB"/>
        </w:rPr>
        <w:t>-</w:t>
      </w:r>
      <w:r w:rsidR="007B5430" w:rsidRPr="00CC1099">
        <w:rPr>
          <w:lang w:val="en-GB"/>
        </w:rPr>
        <w:t>reactors to conventional batch reactors is</w:t>
      </w:r>
      <w:r w:rsidRPr="00CC1099">
        <w:rPr>
          <w:lang w:val="en-GB"/>
        </w:rPr>
        <w:t xml:space="preserve"> the excellent control over operating conditions that micro-devices offer due to the laminar regime and enhanced heat transfer.  This</w:t>
      </w:r>
      <w:r w:rsidR="007B5430" w:rsidRPr="00CC1099">
        <w:rPr>
          <w:lang w:val="en-GB"/>
        </w:rPr>
        <w:t xml:space="preserve">, </w:t>
      </w:r>
      <w:r w:rsidRPr="00CC1099">
        <w:rPr>
          <w:lang w:val="en-GB"/>
        </w:rPr>
        <w:t>for instance</w:t>
      </w:r>
      <w:r w:rsidR="007B5430" w:rsidRPr="00CC1099">
        <w:rPr>
          <w:lang w:val="en-GB"/>
        </w:rPr>
        <w:t>,</w:t>
      </w:r>
      <w:r w:rsidRPr="00CC1099">
        <w:rPr>
          <w:lang w:val="en-GB"/>
        </w:rPr>
        <w:t xml:space="preserve"> makes possible to handle highly exothermic or dangerous reactions without the need of any dilution that would be required in conventional batch stirred vessels.</w:t>
      </w:r>
    </w:p>
    <w:p w14:paraId="7CDD2A54" w14:textId="27ADFCE7" w:rsidR="00206770" w:rsidRDefault="00206770" w:rsidP="00995DF9">
      <w:pPr>
        <w:pStyle w:val="CETBodytext"/>
        <w:rPr>
          <w:lang w:val="en-GB"/>
        </w:rPr>
      </w:pPr>
      <w:r w:rsidRPr="00206770">
        <w:rPr>
          <w:lang w:val="en-GB"/>
        </w:rPr>
        <w:t>The increase</w:t>
      </w:r>
      <w:r w:rsidR="0018134F">
        <w:rPr>
          <w:lang w:val="en-GB"/>
        </w:rPr>
        <w:t>d</w:t>
      </w:r>
      <w:r w:rsidRPr="00206770">
        <w:rPr>
          <w:lang w:val="en-GB"/>
        </w:rPr>
        <w:t xml:space="preserve"> interest in this field is also demonstrated by the large number of polymer microfabrication technologies established over the recent years and divided in two categories</w:t>
      </w:r>
      <w:r w:rsidR="00021F32">
        <w:rPr>
          <w:lang w:val="en-GB"/>
        </w:rPr>
        <w:t>, i.e.</w:t>
      </w:r>
      <w:r w:rsidRPr="00206770">
        <w:rPr>
          <w:lang w:val="en-GB"/>
        </w:rPr>
        <w:t xml:space="preserve"> additive and subtractive </w:t>
      </w:r>
      <w:r w:rsidR="00021F32">
        <w:rPr>
          <w:lang w:val="en-GB"/>
        </w:rPr>
        <w:t>ones. The additive technology represents</w:t>
      </w:r>
      <w:r w:rsidRPr="00206770">
        <w:rPr>
          <w:lang w:val="en-GB"/>
        </w:rPr>
        <w:t xml:space="preserve"> a very promising approach, but it is affected by some critical issues related, in particular, to the quite low a</w:t>
      </w:r>
      <w:r w:rsidR="00021F32">
        <w:rPr>
          <w:lang w:val="en-GB"/>
        </w:rPr>
        <w:t>chievable resolution. The subtractive technology</w:t>
      </w:r>
      <w:r w:rsidRPr="00206770">
        <w:rPr>
          <w:lang w:val="en-GB"/>
        </w:rPr>
        <w:t>, such as chemical etching process or traditional milling, allows to obtain more accurate micro-channels. In this last category, laser machining is emerging as an efficient way of fabrication, not only for the speed of the process itself, but also for the high flexibility in micro-reactor design and for an easy control and repeatability of the cross-section geometry.</w:t>
      </w:r>
    </w:p>
    <w:p w14:paraId="583940DE" w14:textId="2509A30A" w:rsidR="00995DF9" w:rsidRPr="00CC1099" w:rsidRDefault="00995DF9" w:rsidP="00995DF9">
      <w:pPr>
        <w:pStyle w:val="CETBodytext"/>
        <w:rPr>
          <w:lang w:val="en-GB"/>
        </w:rPr>
      </w:pPr>
      <w:r w:rsidRPr="00CC1099">
        <w:rPr>
          <w:lang w:val="en-GB"/>
        </w:rPr>
        <w:t xml:space="preserve">One of the main challenges in micro-devices is to achieve a good mixing of reactants. This is also fundamental in micro-particle formation processes as those based on the solvent/anti-solvent </w:t>
      </w:r>
      <w:r w:rsidR="00021F32">
        <w:rPr>
          <w:lang w:val="en-GB"/>
        </w:rPr>
        <w:t>method</w:t>
      </w:r>
      <w:r w:rsidRPr="00CC1099">
        <w:rPr>
          <w:lang w:val="en-GB"/>
        </w:rPr>
        <w:t xml:space="preserve">. The main problem is that the flow </w:t>
      </w:r>
      <w:r w:rsidR="00CF3731" w:rsidRPr="00CC1099">
        <w:rPr>
          <w:lang w:val="en-GB"/>
        </w:rPr>
        <w:t xml:space="preserve">field </w:t>
      </w:r>
      <w:r w:rsidRPr="00CC1099">
        <w:rPr>
          <w:lang w:val="en-GB"/>
        </w:rPr>
        <w:t xml:space="preserve">is laminar; hence mixing should be improved by means of proper mixing enhancement techniques, that can be either active or passive. Active methods involve external energy sources (i.e. ultrasound, pressure disturbance, etc.), while passive methods are based on a clever design of the mixer aimed at breaking the flow symmetries.    </w:t>
      </w:r>
    </w:p>
    <w:p w14:paraId="277A6455" w14:textId="40618E7A" w:rsidR="00995DF9" w:rsidRPr="00CC1099" w:rsidRDefault="00995DF9" w:rsidP="00995DF9">
      <w:pPr>
        <w:pStyle w:val="CETBodytext"/>
        <w:rPr>
          <w:lang w:val="en-GB"/>
        </w:rPr>
      </w:pPr>
      <w:r w:rsidRPr="00CC1099">
        <w:rPr>
          <w:lang w:val="en-GB"/>
        </w:rPr>
        <w:t>To this purpose, a large variety of geometries has been proposed so far, always keeping in mind that the geometry should be also simple to fabricate</w:t>
      </w:r>
      <w:r w:rsidR="00D47197">
        <w:rPr>
          <w:lang w:val="en-GB"/>
        </w:rPr>
        <w:t xml:space="preserve"> (Rou</w:t>
      </w:r>
      <w:r w:rsidR="00DF6DD0">
        <w:rPr>
          <w:lang w:val="en-GB"/>
        </w:rPr>
        <w:t>d</w:t>
      </w:r>
      <w:r w:rsidR="00D47197">
        <w:rPr>
          <w:lang w:val="en-GB"/>
        </w:rPr>
        <w:t>gar et al., 2012)</w:t>
      </w:r>
      <w:r w:rsidRPr="00CC1099">
        <w:rPr>
          <w:lang w:val="en-GB"/>
        </w:rPr>
        <w:t>.  The simplest mixer is a T-shaped one, in which the inlets join the mixing cha</w:t>
      </w:r>
      <w:r w:rsidR="002A0FF8" w:rsidRPr="00CC1099">
        <w:rPr>
          <w:lang w:val="en-GB"/>
        </w:rPr>
        <w:t>nnel through T-shaped branches.</w:t>
      </w:r>
      <w:r w:rsidRPr="00CC1099">
        <w:rPr>
          <w:lang w:val="en-GB"/>
        </w:rPr>
        <w:t xml:space="preserve">  Despite this very simple geometry, the flow </w:t>
      </w:r>
      <w:r w:rsidR="00CF3731" w:rsidRPr="00CC1099">
        <w:rPr>
          <w:lang w:val="en-GB"/>
        </w:rPr>
        <w:t xml:space="preserve">field </w:t>
      </w:r>
      <w:r w:rsidRPr="00CC1099">
        <w:rPr>
          <w:lang w:val="en-GB"/>
        </w:rPr>
        <w:t xml:space="preserve">is </w:t>
      </w:r>
      <w:r w:rsidR="00CF3731" w:rsidRPr="00CC1099">
        <w:rPr>
          <w:lang w:val="en-GB"/>
        </w:rPr>
        <w:t xml:space="preserve">surprisingly </w:t>
      </w:r>
      <w:r w:rsidRPr="00CC1099">
        <w:rPr>
          <w:lang w:val="en-GB"/>
        </w:rPr>
        <w:t>complex, even presenting flow instabili</w:t>
      </w:r>
      <w:r w:rsidR="000E4673">
        <w:rPr>
          <w:lang w:val="en-GB"/>
        </w:rPr>
        <w:t xml:space="preserve">ties that may improve or dampen </w:t>
      </w:r>
      <w:r w:rsidRPr="00CC1099">
        <w:rPr>
          <w:lang w:val="en-GB"/>
        </w:rPr>
        <w:t xml:space="preserve">mixing (Mariotti et al., </w:t>
      </w:r>
      <w:r w:rsidR="002A0FF8" w:rsidRPr="00CC1099">
        <w:rPr>
          <w:lang w:val="en-GB"/>
        </w:rPr>
        <w:t>2018</w:t>
      </w:r>
      <w:r w:rsidRPr="00CC1099">
        <w:rPr>
          <w:lang w:val="en-GB"/>
        </w:rPr>
        <w:t>).  For instance, w</w:t>
      </w:r>
      <w:r w:rsidR="00386936">
        <w:rPr>
          <w:lang w:val="en-GB"/>
        </w:rPr>
        <w:t>hen the two inlets of a T-mixer with square inlet cross-sections</w:t>
      </w:r>
      <w:r w:rsidRPr="00CC1099">
        <w:rPr>
          <w:lang w:val="en-GB"/>
        </w:rPr>
        <w:t xml:space="preserve"> </w:t>
      </w:r>
      <w:r w:rsidR="00386936">
        <w:rPr>
          <w:lang w:val="en-GB"/>
        </w:rPr>
        <w:t>are</w:t>
      </w:r>
      <w:r w:rsidRPr="00CC1099">
        <w:rPr>
          <w:lang w:val="en-GB"/>
        </w:rPr>
        <w:t xml:space="preserve"> fed </w:t>
      </w:r>
      <w:r w:rsidRPr="00CC1099">
        <w:rPr>
          <w:lang w:val="en-GB"/>
        </w:rPr>
        <w:lastRenderedPageBreak/>
        <w:t>with water</w:t>
      </w:r>
      <w:r w:rsidR="00386936">
        <w:rPr>
          <w:lang w:val="en-GB"/>
        </w:rPr>
        <w:t xml:space="preserve"> at </w:t>
      </w:r>
      <w:r w:rsidRPr="00CC1099">
        <w:rPr>
          <w:lang w:val="en-GB"/>
        </w:rPr>
        <w:t>the same flow rates, different flow regimes may be present</w:t>
      </w:r>
      <w:r w:rsidR="00CF3731" w:rsidRPr="00CC1099">
        <w:rPr>
          <w:lang w:val="en-GB"/>
        </w:rPr>
        <w:t xml:space="preserve">, depending of the Reynolds number, </w:t>
      </w:r>
      <w:r w:rsidR="00CF3731" w:rsidRPr="00CC1099">
        <w:rPr>
          <w:i/>
          <w:lang w:val="en-GB"/>
        </w:rPr>
        <w:t>Re</w:t>
      </w:r>
      <w:r w:rsidRPr="00CC1099">
        <w:rPr>
          <w:lang w:val="en-GB"/>
        </w:rPr>
        <w:t xml:space="preserve">.  In particular, it was shown that the inlet streams remain separated up to a critical </w:t>
      </w:r>
      <w:r w:rsidRPr="00CC1099">
        <w:rPr>
          <w:i/>
          <w:lang w:val="en-GB"/>
        </w:rPr>
        <w:t>Re</w:t>
      </w:r>
      <w:r w:rsidR="00CF3731" w:rsidRPr="00CC1099">
        <w:rPr>
          <w:lang w:val="en-GB"/>
        </w:rPr>
        <w:t xml:space="preserve">, </w:t>
      </w:r>
      <w:r w:rsidRPr="00CC1099">
        <w:rPr>
          <w:lang w:val="en-GB"/>
        </w:rPr>
        <w:t>corresponding to the transition from a vortex flow regime</w:t>
      </w:r>
      <w:r w:rsidR="00CF3731" w:rsidRPr="00CC1099">
        <w:rPr>
          <w:lang w:val="en-GB"/>
        </w:rPr>
        <w:t>,</w:t>
      </w:r>
      <w:r w:rsidRPr="00CC1099">
        <w:rPr>
          <w:lang w:val="en-GB"/>
        </w:rPr>
        <w:t xml:space="preserve"> which is characterized by symmetric features with respect to the mixer mid</w:t>
      </w:r>
      <w:r w:rsidR="002952F8" w:rsidRPr="00CC1099">
        <w:rPr>
          <w:lang w:val="en-GB"/>
        </w:rPr>
        <w:t>-</w:t>
      </w:r>
      <w:r w:rsidRPr="00CC1099">
        <w:rPr>
          <w:lang w:val="en-GB"/>
        </w:rPr>
        <w:t>plane, to an engulfment flow regime, which is able to provide a large increase of the degree of mixing</w:t>
      </w:r>
      <w:r w:rsidR="00386936" w:rsidRPr="00386936">
        <w:rPr>
          <w:lang w:val="en-GB"/>
        </w:rPr>
        <w:t xml:space="preserve"> </w:t>
      </w:r>
      <w:r w:rsidR="00386936" w:rsidRPr="00CC1099">
        <w:rPr>
          <w:lang w:val="en-GB"/>
        </w:rPr>
        <w:t>thanks to its large asymmetry</w:t>
      </w:r>
      <w:r w:rsidRPr="00CC1099">
        <w:rPr>
          <w:lang w:val="en-GB"/>
        </w:rPr>
        <w:t xml:space="preserve">. Then, by further increasing </w:t>
      </w:r>
      <w:r w:rsidRPr="00CC1099">
        <w:rPr>
          <w:i/>
          <w:lang w:val="en-GB"/>
        </w:rPr>
        <w:t>Re</w:t>
      </w:r>
      <w:r w:rsidRPr="00CC1099">
        <w:rPr>
          <w:lang w:val="en-GB"/>
        </w:rPr>
        <w:t>, the flow becomes unsteady and time-periodic, still preserving asymmetric features</w:t>
      </w:r>
      <w:r w:rsidR="00CF3731" w:rsidRPr="00CC1099">
        <w:rPr>
          <w:lang w:val="en-GB"/>
        </w:rPr>
        <w:t>, so that t</w:t>
      </w:r>
      <w:r w:rsidRPr="00CC1099">
        <w:rPr>
          <w:lang w:val="en-GB"/>
        </w:rPr>
        <w:t>he</w:t>
      </w:r>
      <w:r w:rsidR="00CF3731" w:rsidRPr="00CC1099">
        <w:rPr>
          <w:lang w:val="en-GB"/>
        </w:rPr>
        <w:t>se</w:t>
      </w:r>
      <w:r w:rsidRPr="00CC1099">
        <w:rPr>
          <w:lang w:val="en-GB"/>
        </w:rPr>
        <w:t xml:space="preserve"> instabilities strongly improve mixing. However, and unexpectedly, with </w:t>
      </w:r>
      <w:r w:rsidR="00CF3731" w:rsidRPr="00CC1099">
        <w:rPr>
          <w:lang w:val="en-GB"/>
        </w:rPr>
        <w:t xml:space="preserve">a </w:t>
      </w:r>
      <w:r w:rsidRPr="00CC1099">
        <w:rPr>
          <w:lang w:val="en-GB"/>
        </w:rPr>
        <w:t xml:space="preserve">further increase of </w:t>
      </w:r>
      <w:r w:rsidRPr="00CC1099">
        <w:rPr>
          <w:i/>
          <w:lang w:val="en-GB"/>
        </w:rPr>
        <w:t>Re</w:t>
      </w:r>
      <w:r w:rsidRPr="00CC1099">
        <w:rPr>
          <w:lang w:val="en-GB"/>
        </w:rPr>
        <w:t>, the flow undergoes a rapid transition leading to a time-periodic motion with a large degree of symmetry</w:t>
      </w:r>
      <w:r w:rsidR="00CF3731" w:rsidRPr="00CC1099">
        <w:rPr>
          <w:lang w:val="en-GB"/>
        </w:rPr>
        <w:t xml:space="preserve">, </w:t>
      </w:r>
      <w:r w:rsidRPr="00CC1099">
        <w:rPr>
          <w:lang w:val="en-GB"/>
        </w:rPr>
        <w:t xml:space="preserve">which strongly hampers the mixing </w:t>
      </w:r>
      <w:r w:rsidR="002A0FF8" w:rsidRPr="00CC1099">
        <w:rPr>
          <w:lang w:val="en-GB"/>
        </w:rPr>
        <w:t xml:space="preserve">of the inlet streams. Finally, </w:t>
      </w:r>
      <w:r w:rsidR="00CF3731" w:rsidRPr="00CC1099">
        <w:rPr>
          <w:lang w:val="en-GB"/>
        </w:rPr>
        <w:t>by an additional increase of the flo</w:t>
      </w:r>
      <w:r w:rsidR="000270B3">
        <w:rPr>
          <w:lang w:val="en-GB"/>
        </w:rPr>
        <w:t>w</w:t>
      </w:r>
      <w:r w:rsidR="00CF3731" w:rsidRPr="00CC1099">
        <w:rPr>
          <w:lang w:val="en-GB"/>
        </w:rPr>
        <w:t xml:space="preserve"> rate, </w:t>
      </w:r>
      <w:r w:rsidRPr="00CC1099">
        <w:rPr>
          <w:lang w:val="en-GB"/>
        </w:rPr>
        <w:t>the flow become</w:t>
      </w:r>
      <w:r w:rsidR="000270B3">
        <w:rPr>
          <w:lang w:val="en-GB"/>
        </w:rPr>
        <w:t>s</w:t>
      </w:r>
      <w:r w:rsidRPr="00CC1099">
        <w:rPr>
          <w:lang w:val="en-GB"/>
        </w:rPr>
        <w:t xml:space="preserve"> chaotic. </w:t>
      </w:r>
    </w:p>
    <w:p w14:paraId="0AD4CDEF" w14:textId="61B9C370" w:rsidR="00206770" w:rsidRPr="00206770" w:rsidRDefault="00995DF9" w:rsidP="00206770">
      <w:pPr>
        <w:pStyle w:val="CETBodytext"/>
        <w:rPr>
          <w:lang w:val="en-GB"/>
        </w:rPr>
      </w:pPr>
      <w:r w:rsidRPr="00CC1099">
        <w:rPr>
          <w:lang w:val="en-GB"/>
        </w:rPr>
        <w:t xml:space="preserve">The aforementioned results have been observed both experimentally and numerically, </w:t>
      </w:r>
      <w:r w:rsidR="00CF3731" w:rsidRPr="00CC1099">
        <w:t>thus determining</w:t>
      </w:r>
      <w:r w:rsidR="00CF3731" w:rsidRPr="00CC1099">
        <w:rPr>
          <w:lang w:val="en-GB"/>
        </w:rPr>
        <w:t xml:space="preserve"> </w:t>
      </w:r>
      <w:r w:rsidRPr="00CC1099">
        <w:rPr>
          <w:lang w:val="en-GB"/>
        </w:rPr>
        <w:t>the effect</w:t>
      </w:r>
      <w:r w:rsidR="00D765AA" w:rsidRPr="00CC1099">
        <w:rPr>
          <w:lang w:val="en-GB"/>
        </w:rPr>
        <w:t>s</w:t>
      </w:r>
      <w:r w:rsidRPr="00CC1099">
        <w:rPr>
          <w:lang w:val="en-GB"/>
        </w:rPr>
        <w:t xml:space="preserve"> of </w:t>
      </w:r>
      <w:r w:rsidR="00D765AA" w:rsidRPr="00CC1099">
        <w:t>the</w:t>
      </w:r>
      <w:r w:rsidR="00D765AA" w:rsidRPr="00CC1099">
        <w:rPr>
          <w:lang w:val="en-GB"/>
        </w:rPr>
        <w:t xml:space="preserve"> </w:t>
      </w:r>
      <w:r w:rsidRPr="00CC1099">
        <w:rPr>
          <w:lang w:val="en-GB"/>
        </w:rPr>
        <w:t>mixing channel aspect ratio (Andreussi et al</w:t>
      </w:r>
      <w:r w:rsidR="007E5E47">
        <w:rPr>
          <w:lang w:val="en-GB"/>
        </w:rPr>
        <w:t>.</w:t>
      </w:r>
      <w:r w:rsidR="002A0FF8" w:rsidRPr="00CC1099">
        <w:rPr>
          <w:lang w:val="en-GB"/>
        </w:rPr>
        <w:t>, 2015</w:t>
      </w:r>
      <w:r w:rsidRPr="00CC1099">
        <w:rPr>
          <w:lang w:val="en-GB"/>
        </w:rPr>
        <w:t>)</w:t>
      </w:r>
      <w:r w:rsidR="000270B3">
        <w:rPr>
          <w:lang w:val="en-GB"/>
        </w:rPr>
        <w:t>, the inclination angle of the inlet channels (Mariotti et al., 2019)</w:t>
      </w:r>
      <w:r w:rsidRPr="00CC1099">
        <w:rPr>
          <w:lang w:val="en-GB"/>
        </w:rPr>
        <w:t xml:space="preserve"> or </w:t>
      </w:r>
      <w:r w:rsidR="00D765AA" w:rsidRPr="00CC1099">
        <w:t>the</w:t>
      </w:r>
      <w:r w:rsidR="00D765AA" w:rsidRPr="00CC1099">
        <w:rPr>
          <w:lang w:val="en-GB"/>
        </w:rPr>
        <w:t xml:space="preserve"> </w:t>
      </w:r>
      <w:r w:rsidRPr="00CC1099">
        <w:rPr>
          <w:lang w:val="en-GB"/>
        </w:rPr>
        <w:t>fluid properties</w:t>
      </w:r>
      <w:r w:rsidR="002A0FF8" w:rsidRPr="00CC1099">
        <w:rPr>
          <w:lang w:val="en-GB"/>
        </w:rPr>
        <w:t xml:space="preserve"> (</w:t>
      </w:r>
      <w:r w:rsidR="00CA4E5D">
        <w:rPr>
          <w:lang w:val="en-GB"/>
        </w:rPr>
        <w:t xml:space="preserve">Orsi et al., 2013; </w:t>
      </w:r>
      <w:r w:rsidR="008423E7" w:rsidRPr="00CC1099">
        <w:rPr>
          <w:lang w:val="en-GB"/>
        </w:rPr>
        <w:t>Galletti</w:t>
      </w:r>
      <w:r w:rsidR="008423E7">
        <w:rPr>
          <w:lang w:val="en-GB"/>
        </w:rPr>
        <w:t xml:space="preserve"> et al., 2015</w:t>
      </w:r>
      <w:r w:rsidR="00D47197">
        <w:rPr>
          <w:lang w:val="en-GB"/>
        </w:rPr>
        <w:t>; Galletti et al., 2017</w:t>
      </w:r>
      <w:r w:rsidR="008423E7">
        <w:rPr>
          <w:lang w:val="en-GB"/>
        </w:rPr>
        <w:t>)</w:t>
      </w:r>
      <w:r w:rsidRPr="00995DF9">
        <w:rPr>
          <w:lang w:val="en-GB"/>
        </w:rPr>
        <w:t xml:space="preserve">.  </w:t>
      </w:r>
      <w:r w:rsidR="00206770" w:rsidRPr="00206770">
        <w:rPr>
          <w:lang w:val="en-GB"/>
        </w:rPr>
        <w:t>Most of the past investigations have assumed that both inlet and mixing channel cross-sections are either square or rectangular, as straight walls facilitate experimental and modelling analysis.</w:t>
      </w:r>
    </w:p>
    <w:p w14:paraId="029297D2" w14:textId="1F049C99" w:rsidR="002A46E1" w:rsidRPr="002A46E1" w:rsidRDefault="00206770" w:rsidP="002A46E1">
      <w:pPr>
        <w:pStyle w:val="CETReferencetext"/>
        <w:ind w:left="0" w:firstLine="0"/>
        <w:rPr>
          <w:lang w:val="en-US"/>
        </w:rPr>
      </w:pPr>
      <w:r w:rsidRPr="00206770">
        <w:t xml:space="preserve">The present work, on the contrary, is aimed at investigating the effect of a cross-section with </w:t>
      </w:r>
      <w:r w:rsidR="002A46E1">
        <w:t xml:space="preserve">lateral inclined </w:t>
      </w:r>
      <w:r w:rsidRPr="00206770">
        <w:t xml:space="preserve">walls, easy to </w:t>
      </w:r>
      <w:r w:rsidR="009027B8">
        <w:t xml:space="preserve">be </w:t>
      </w:r>
      <w:r w:rsidRPr="00206770">
        <w:t>obtain</w:t>
      </w:r>
      <w:r w:rsidR="009027B8">
        <w:t>ed</w:t>
      </w:r>
      <w:r w:rsidRPr="00206770">
        <w:t xml:space="preserve"> on a </w:t>
      </w:r>
      <w:r w:rsidR="00021F32">
        <w:t>polymethilmetacrilate (</w:t>
      </w:r>
      <w:r w:rsidRPr="00206770">
        <w:t>PMMA</w:t>
      </w:r>
      <w:r w:rsidR="00021F32">
        <w:t>)</w:t>
      </w:r>
      <w:r w:rsidRPr="00206770">
        <w:t xml:space="preserve"> substrate by using a CO</w:t>
      </w:r>
      <w:r w:rsidRPr="004A3BB1">
        <w:rPr>
          <w:vertAlign w:val="subscript"/>
        </w:rPr>
        <w:t>2</w:t>
      </w:r>
      <w:r w:rsidRPr="00206770">
        <w:t xml:space="preserve"> laser subtraction process, as</w:t>
      </w:r>
      <w:r w:rsidR="004A3BB1">
        <w:t xml:space="preserve"> demonstrated in Romoli et al. (2007, 2011)</w:t>
      </w:r>
      <w:r w:rsidRPr="00206770">
        <w:t xml:space="preserve"> where a theoretical model for the prediction of the cross-section geometry </w:t>
      </w:r>
      <w:r w:rsidR="00355000">
        <w:t>as a</w:t>
      </w:r>
      <w:r w:rsidRPr="00206770">
        <w:t xml:space="preserve"> function of the process par</w:t>
      </w:r>
      <w:r>
        <w:t xml:space="preserve">ameters </w:t>
      </w:r>
      <w:r w:rsidR="00355000">
        <w:t>was</w:t>
      </w:r>
      <w:r>
        <w:t xml:space="preserve"> also proposed.</w:t>
      </w:r>
      <w:r w:rsidR="002A46E1" w:rsidRPr="002A46E1">
        <w:rPr>
          <w:lang w:val="en-US"/>
        </w:rPr>
        <w:t xml:space="preserve"> The extension to harder materials (ceramics) for improved durability and contamination resistance is dealt in </w:t>
      </w:r>
      <w:r w:rsidR="002A46E1">
        <w:rPr>
          <w:lang w:val="en-US"/>
        </w:rPr>
        <w:t>Dalle Mura et al. (2018).</w:t>
      </w:r>
    </w:p>
    <w:p w14:paraId="75BB4842" w14:textId="4089489B" w:rsidR="002952F8" w:rsidRPr="002952F8" w:rsidRDefault="00E23579" w:rsidP="00600535">
      <w:pPr>
        <w:pStyle w:val="CETHeading1"/>
        <w:tabs>
          <w:tab w:val="clear" w:pos="360"/>
          <w:tab w:val="right" w:pos="7100"/>
        </w:tabs>
        <w:jc w:val="both"/>
        <w:rPr>
          <w:lang w:val="en-GB"/>
        </w:rPr>
      </w:pPr>
      <w:r>
        <w:rPr>
          <w:lang w:val="en-GB"/>
        </w:rPr>
        <w:t xml:space="preserve">Fabrication </w:t>
      </w:r>
    </w:p>
    <w:p w14:paraId="391597A0" w14:textId="146D3122" w:rsidR="00206770" w:rsidRDefault="00206770" w:rsidP="00206770">
      <w:pPr>
        <w:pStyle w:val="Paragrafoelenco"/>
        <w:ind w:left="0"/>
        <w:rPr>
          <w:noProof/>
          <w:lang w:eastAsia="it-IT"/>
        </w:rPr>
      </w:pPr>
      <w:r>
        <w:t>The fabrication procedure to obtain the cross-section is illustrated in Figure 1. It mainly consists of two phases: a cutting phase (Figure 1b)</w:t>
      </w:r>
      <w:r w:rsidRPr="00E65E09">
        <w:rPr>
          <w:noProof/>
          <w:lang w:eastAsia="it-IT"/>
        </w:rPr>
        <w:t>, where the PMMA layer is cut by the laser beam (vaporization affects both P</w:t>
      </w:r>
      <w:r w:rsidR="00355000">
        <w:rPr>
          <w:noProof/>
          <w:lang w:eastAsia="it-IT"/>
        </w:rPr>
        <w:t>MMA layer and sacrifical layer) and then</w:t>
      </w:r>
      <w:r w:rsidRPr="00E65E09">
        <w:rPr>
          <w:noProof/>
          <w:lang w:eastAsia="it-IT"/>
        </w:rPr>
        <w:t xml:space="preserve"> a bonding phase (Fig</w:t>
      </w:r>
      <w:r>
        <w:rPr>
          <w:noProof/>
          <w:lang w:eastAsia="it-IT"/>
        </w:rPr>
        <w:t>ure 1</w:t>
      </w:r>
      <w:r w:rsidRPr="00E65E09">
        <w:rPr>
          <w:noProof/>
          <w:lang w:eastAsia="it-IT"/>
        </w:rPr>
        <w:t>c), using a combination of pressure and heating in order to set the layer temperature just over the glass transition value.</w:t>
      </w:r>
      <w:r w:rsidR="00355000">
        <w:rPr>
          <w:noProof/>
          <w:lang w:eastAsia="it-IT"/>
        </w:rPr>
        <w:t xml:space="preserve"> </w:t>
      </w:r>
      <w:r w:rsidR="00DF1FE8" w:rsidRPr="00DF1FE8">
        <w:rPr>
          <w:noProof/>
          <w:lang w:eastAsia="it-IT"/>
        </w:rPr>
        <w:t>Fig</w:t>
      </w:r>
      <w:r w:rsidR="00DF1FE8">
        <w:rPr>
          <w:noProof/>
          <w:lang w:eastAsia="it-IT"/>
        </w:rPr>
        <w:t xml:space="preserve">ure </w:t>
      </w:r>
      <w:r w:rsidR="00DF1FE8" w:rsidRPr="00DF1FE8">
        <w:rPr>
          <w:noProof/>
          <w:lang w:eastAsia="it-IT"/>
        </w:rPr>
        <w:t xml:space="preserve">2 shows the cross-section obtained by one pass of laser beam and the corresponding trapezoidal cross-section adopted in the present study. The process parameters can be set using the model </w:t>
      </w:r>
      <w:r w:rsidR="00021F32">
        <w:rPr>
          <w:noProof/>
          <w:lang w:eastAsia="it-IT"/>
        </w:rPr>
        <w:t>of</w:t>
      </w:r>
      <w:r w:rsidR="00DF1FE8" w:rsidRPr="00DF1FE8">
        <w:rPr>
          <w:noProof/>
          <w:lang w:eastAsia="it-IT"/>
        </w:rPr>
        <w:t xml:space="preserve"> Romoli et al. (2007,</w:t>
      </w:r>
      <w:r w:rsidR="00DF1FE8">
        <w:rPr>
          <w:noProof/>
          <w:lang w:eastAsia="it-IT"/>
        </w:rPr>
        <w:t xml:space="preserve"> </w:t>
      </w:r>
      <w:r w:rsidR="00DF1FE8" w:rsidRPr="00DF1FE8">
        <w:rPr>
          <w:noProof/>
          <w:lang w:eastAsia="it-IT"/>
        </w:rPr>
        <w:t xml:space="preserve">2011). Table 1 reports the values of width </w:t>
      </w:r>
      <w:r w:rsidR="00DF1FE8" w:rsidRPr="00DF1FE8">
        <w:rPr>
          <w:i/>
          <w:noProof/>
          <w:lang w:eastAsia="it-IT"/>
        </w:rPr>
        <w:t>W</w:t>
      </w:r>
      <w:r w:rsidR="00DF1FE8" w:rsidRPr="00DF1FE8">
        <w:rPr>
          <w:noProof/>
          <w:lang w:eastAsia="it-IT"/>
        </w:rPr>
        <w:t xml:space="preserve"> and depth </w:t>
      </w:r>
      <w:r w:rsidR="00DF1FE8" w:rsidRPr="00DF1FE8">
        <w:rPr>
          <w:i/>
          <w:noProof/>
          <w:lang w:eastAsia="it-IT"/>
        </w:rPr>
        <w:t>D</w:t>
      </w:r>
      <w:r w:rsidR="00DF1FE8" w:rsidRPr="00DF1FE8">
        <w:rPr>
          <w:noProof/>
          <w:lang w:eastAsia="it-IT"/>
        </w:rPr>
        <w:t xml:space="preserve"> obtained accordi</w:t>
      </w:r>
      <w:r w:rsidR="00DF1FE8">
        <w:rPr>
          <w:noProof/>
          <w:lang w:eastAsia="it-IT"/>
        </w:rPr>
        <w:t>ng to the laser energy density</w:t>
      </w:r>
      <w:r w:rsidR="00DF1FE8" w:rsidRPr="00DF1FE8">
        <w:rPr>
          <w:noProof/>
          <w:lang w:eastAsia="it-IT"/>
        </w:rPr>
        <w:t xml:space="preserve">; the final channel height </w:t>
      </w:r>
      <w:r w:rsidR="00DF1FE8" w:rsidRPr="00DF1FE8">
        <w:rPr>
          <w:i/>
          <w:noProof/>
          <w:lang w:eastAsia="it-IT"/>
        </w:rPr>
        <w:t>h</w:t>
      </w:r>
      <w:r w:rsidR="00DF1FE8" w:rsidRPr="00DF1FE8">
        <w:rPr>
          <w:noProof/>
          <w:lang w:eastAsia="it-IT"/>
        </w:rPr>
        <w:t xml:space="preserve"> is obiviously less than </w:t>
      </w:r>
      <w:r w:rsidR="00DF1FE8" w:rsidRPr="00DF1FE8">
        <w:rPr>
          <w:i/>
          <w:noProof/>
          <w:lang w:eastAsia="it-IT"/>
        </w:rPr>
        <w:t>D</w:t>
      </w:r>
      <w:r w:rsidR="00DF1FE8" w:rsidRPr="00DF1FE8">
        <w:rPr>
          <w:noProof/>
          <w:lang w:eastAsia="it-IT"/>
        </w:rPr>
        <w:t xml:space="preserve"> and corresponds to the thickness of the central layer </w:t>
      </w:r>
      <w:r w:rsidR="00DF1FE8">
        <w:rPr>
          <w:noProof/>
          <w:lang w:eastAsia="it-IT"/>
        </w:rPr>
        <w:t>at the end of the bonding phase.</w:t>
      </w:r>
    </w:p>
    <w:p w14:paraId="0C66A41A" w14:textId="56846111" w:rsidR="00206770" w:rsidRPr="002A46E1" w:rsidRDefault="002A46E1" w:rsidP="002A46E1">
      <w:pPr>
        <w:pStyle w:val="CETBodytext"/>
        <w:rPr>
          <w:rFonts w:ascii="Times New Roman" w:hAnsi="Times New Roman"/>
          <w:sz w:val="24"/>
        </w:rPr>
      </w:pPr>
      <w:r>
        <w:rPr>
          <w:shd w:val="clear" w:color="auto" w:fill="FFFFFF"/>
        </w:rPr>
        <w:t>Combinations of CO</w:t>
      </w:r>
      <w:r w:rsidRPr="002A46E1">
        <w:rPr>
          <w:shd w:val="clear" w:color="auto" w:fill="FFFFFF"/>
          <w:vertAlign w:val="subscript"/>
        </w:rPr>
        <w:t>2</w:t>
      </w:r>
      <w:r>
        <w:rPr>
          <w:shd w:val="clear" w:color="auto" w:fill="FFFFFF"/>
        </w:rPr>
        <w:t xml:space="preserve"> laser spot sizes and scanning speeds are able to produce walls with different inclinations and aspect ratios, as an approximation of </w:t>
      </w:r>
      <w:r w:rsidR="00F64E0E">
        <w:rPr>
          <w:shd w:val="clear" w:color="auto" w:fill="FFFFFF"/>
        </w:rPr>
        <w:t>Gaussian</w:t>
      </w:r>
      <w:r>
        <w:rPr>
          <w:shd w:val="clear" w:color="auto" w:fill="FFFFFF"/>
        </w:rPr>
        <w:t xml:space="preserve"> like and elliptical profiles obtained respectively on PMMA and zirconia. As for the mass manufacturing of micro-reactors, experiments at 20 W have shown a material removal rate respectively of 5 and 7.8 mm</w:t>
      </w:r>
      <w:r w:rsidRPr="002A46E1">
        <w:rPr>
          <w:shd w:val="clear" w:color="auto" w:fill="FFFFFF"/>
          <w:vertAlign w:val="superscript"/>
        </w:rPr>
        <w:t>3</w:t>
      </w:r>
      <w:r>
        <w:rPr>
          <w:shd w:val="clear" w:color="auto" w:fill="FFFFFF"/>
        </w:rPr>
        <w:t>/s, with a linear speed of 20 mm/s.</w:t>
      </w:r>
    </w:p>
    <w:p w14:paraId="61DF6E3D" w14:textId="2AD4EF53" w:rsidR="00206770" w:rsidRDefault="002A46E1" w:rsidP="002A46E1">
      <w:pPr>
        <w:jc w:val="center"/>
      </w:pPr>
      <w:r>
        <w:rPr>
          <w:noProof/>
          <w:lang w:val="it-IT" w:eastAsia="it-IT"/>
        </w:rPr>
        <w:drawing>
          <wp:inline distT="0" distB="0" distL="0" distR="0" wp14:anchorId="45EE1918" wp14:editId="2FC37A30">
            <wp:extent cx="4752000" cy="1300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2-15 at 08.40.25.pn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10401"/>
                    <a:stretch/>
                  </pic:blipFill>
                  <pic:spPr bwMode="auto">
                    <a:xfrm>
                      <a:off x="0" y="0"/>
                      <a:ext cx="4752000" cy="1300058"/>
                    </a:xfrm>
                    <a:prstGeom prst="rect">
                      <a:avLst/>
                    </a:prstGeom>
                    <a:ln>
                      <a:noFill/>
                    </a:ln>
                    <a:extLst>
                      <a:ext uri="{53640926-AAD7-44D8-BBD7-CCE9431645EC}">
                        <a14:shadowObscured xmlns:a14="http://schemas.microsoft.com/office/drawing/2010/main"/>
                      </a:ext>
                    </a:extLst>
                  </pic:spPr>
                </pic:pic>
              </a:graphicData>
            </a:graphic>
          </wp:inline>
        </w:drawing>
      </w:r>
    </w:p>
    <w:p w14:paraId="79FB9884" w14:textId="4DC6FC33" w:rsidR="00206770" w:rsidRDefault="00625EA8" w:rsidP="002A46E1">
      <w:pPr>
        <w:pStyle w:val="Paragrafoelenco"/>
        <w:ind w:left="0"/>
        <w:rPr>
          <w:i/>
        </w:rPr>
      </w:pPr>
      <w:r>
        <w:rPr>
          <w:i/>
        </w:rPr>
        <w:t xml:space="preserve">Figure1: </w:t>
      </w:r>
      <w:r w:rsidR="00206770" w:rsidRPr="00A82B50">
        <w:rPr>
          <w:i/>
        </w:rPr>
        <w:t>Micro-channel fabrication: a) starting configuration; b) laser cutting phase; c) thermal bonding phase.</w:t>
      </w:r>
    </w:p>
    <w:p w14:paraId="3C02A963" w14:textId="77777777" w:rsidR="00625EA8" w:rsidRPr="002A46E1" w:rsidRDefault="00625EA8" w:rsidP="002A46E1">
      <w:pPr>
        <w:pStyle w:val="Paragrafoelenco"/>
        <w:ind w:left="0"/>
        <w:rPr>
          <w:i/>
        </w:rPr>
      </w:pPr>
    </w:p>
    <w:p w14:paraId="6BCC64E1" w14:textId="0B8429E0" w:rsidR="00206770" w:rsidRDefault="000B7102" w:rsidP="00CB5664">
      <w:pPr>
        <w:jc w:val="center"/>
      </w:pPr>
      <w:r>
        <w:rPr>
          <w:noProof/>
          <w:lang w:val="it-IT" w:eastAsia="it-IT"/>
        </w:rPr>
        <w:drawing>
          <wp:inline distT="0" distB="0" distL="0" distR="0" wp14:anchorId="220D2909" wp14:editId="791AFD1F">
            <wp:extent cx="3420000" cy="1500019"/>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 Shot 2019-02-14 at 10.53.16.pn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3420000" cy="1500019"/>
                    </a:xfrm>
                    <a:prstGeom prst="rect">
                      <a:avLst/>
                    </a:prstGeom>
                  </pic:spPr>
                </pic:pic>
              </a:graphicData>
            </a:graphic>
          </wp:inline>
        </w:drawing>
      </w:r>
    </w:p>
    <w:p w14:paraId="21363963" w14:textId="78EA70EE" w:rsidR="000B7102" w:rsidRDefault="00F64E0E" w:rsidP="000B7102">
      <w:pPr>
        <w:pStyle w:val="CETCaption"/>
      </w:pPr>
      <w:r>
        <w:t xml:space="preserve">Figure </w:t>
      </w:r>
      <w:r w:rsidR="00206770">
        <w:t>2</w:t>
      </w:r>
      <w:r w:rsidR="00625EA8">
        <w:t xml:space="preserve">: </w:t>
      </w:r>
      <w:r w:rsidR="00206770">
        <w:t xml:space="preserve"> a) Micro-channel cross-section obtained with one pass of laser beam; b) trapezoidal section analysed in the present case.</w:t>
      </w:r>
    </w:p>
    <w:p w14:paraId="384456DE" w14:textId="77777777" w:rsidR="000B7102" w:rsidRPr="00034C2B" w:rsidRDefault="000B7102" w:rsidP="000B7102">
      <w:pPr>
        <w:pStyle w:val="CETTabletitle"/>
      </w:pPr>
      <w:r w:rsidRPr="00034C2B">
        <w:t xml:space="preserve">Table 1: </w:t>
      </w:r>
      <w:r w:rsidRPr="000B7102">
        <w:t>Mean values of width W and depth D obtained on PMMA layer using a CO</w:t>
      </w:r>
      <w:r w:rsidRPr="000B7102">
        <w:rPr>
          <w:vertAlign w:val="subscript"/>
        </w:rPr>
        <w:t>2</w:t>
      </w:r>
      <w:r w:rsidRPr="000B7102">
        <w:t xml:space="preserve"> laser.</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6"/>
        <w:gridCol w:w="992"/>
        <w:gridCol w:w="985"/>
      </w:tblGrid>
      <w:tr w:rsidR="000B7102" w:rsidRPr="00034C2B" w14:paraId="149D023F" w14:textId="77777777" w:rsidTr="000B7102">
        <w:trPr>
          <w:trHeight w:val="221"/>
          <w:jc w:val="center"/>
        </w:trPr>
        <w:tc>
          <w:tcPr>
            <w:tcW w:w="996" w:type="dxa"/>
            <w:tcBorders>
              <w:top w:val="single" w:sz="12" w:space="0" w:color="008000"/>
              <w:bottom w:val="single" w:sz="6" w:space="0" w:color="008000"/>
            </w:tcBorders>
            <w:shd w:val="clear" w:color="auto" w:fill="auto"/>
          </w:tcPr>
          <w:p w14:paraId="30C55C90" w14:textId="77777777" w:rsidR="000B7102" w:rsidRPr="00034C2B" w:rsidRDefault="000B7102" w:rsidP="002F0E99">
            <w:pPr>
              <w:pStyle w:val="CETBodytext"/>
              <w:jc w:val="center"/>
              <w:rPr>
                <w:lang w:val="en-GB"/>
              </w:rPr>
            </w:pPr>
            <w:r>
              <w:rPr>
                <w:rFonts w:ascii="Symbol" w:hAnsi="Symbol"/>
              </w:rPr>
              <w:t></w:t>
            </w:r>
            <w:r w:rsidRPr="00110519">
              <w:t xml:space="preserve"> [J/m]</w:t>
            </w:r>
          </w:p>
        </w:tc>
        <w:tc>
          <w:tcPr>
            <w:tcW w:w="992" w:type="dxa"/>
            <w:tcBorders>
              <w:top w:val="single" w:sz="12" w:space="0" w:color="008000"/>
              <w:bottom w:val="single" w:sz="6" w:space="0" w:color="008000"/>
            </w:tcBorders>
            <w:shd w:val="clear" w:color="auto" w:fill="FFFFFF"/>
          </w:tcPr>
          <w:p w14:paraId="1E7CD8F4" w14:textId="77777777" w:rsidR="000B7102" w:rsidRPr="00034C2B" w:rsidRDefault="000B7102" w:rsidP="002F0E99">
            <w:pPr>
              <w:pStyle w:val="CETBodytext"/>
              <w:jc w:val="center"/>
              <w:rPr>
                <w:lang w:val="en-GB"/>
              </w:rPr>
            </w:pPr>
            <w:r>
              <w:t>W [</w:t>
            </w:r>
            <w:r>
              <w:rPr>
                <w:rFonts w:ascii="Symbol" w:hAnsi="Symbol"/>
              </w:rPr>
              <w:t></w:t>
            </w:r>
            <w:r w:rsidRPr="00110519">
              <w:t>m]</w:t>
            </w:r>
          </w:p>
        </w:tc>
        <w:tc>
          <w:tcPr>
            <w:tcW w:w="985" w:type="dxa"/>
            <w:tcBorders>
              <w:top w:val="single" w:sz="12" w:space="0" w:color="008000"/>
              <w:bottom w:val="single" w:sz="6" w:space="0" w:color="008000"/>
            </w:tcBorders>
            <w:shd w:val="clear" w:color="auto" w:fill="FFFFFF"/>
          </w:tcPr>
          <w:p w14:paraId="369BDDE9" w14:textId="77777777" w:rsidR="000B7102" w:rsidRPr="00034C2B" w:rsidRDefault="000B7102" w:rsidP="002F0E99">
            <w:pPr>
              <w:pStyle w:val="CETBodytext"/>
              <w:jc w:val="center"/>
              <w:rPr>
                <w:lang w:val="en-GB"/>
              </w:rPr>
            </w:pPr>
            <w:r>
              <w:t>D [</w:t>
            </w:r>
            <w:r>
              <w:rPr>
                <w:rFonts w:ascii="Symbol" w:hAnsi="Symbol"/>
              </w:rPr>
              <w:t></w:t>
            </w:r>
            <w:r w:rsidRPr="00110519">
              <w:t>m]</w:t>
            </w:r>
          </w:p>
        </w:tc>
      </w:tr>
      <w:tr w:rsidR="000B7102" w:rsidRPr="00034C2B" w14:paraId="503B0395" w14:textId="77777777" w:rsidTr="000B7102">
        <w:trPr>
          <w:trHeight w:val="242"/>
          <w:jc w:val="center"/>
        </w:trPr>
        <w:tc>
          <w:tcPr>
            <w:tcW w:w="996" w:type="dxa"/>
            <w:shd w:val="clear" w:color="auto" w:fill="FFFFFF"/>
          </w:tcPr>
          <w:p w14:paraId="666BF31E" w14:textId="77777777" w:rsidR="000B7102" w:rsidRPr="00034C2B" w:rsidRDefault="000B7102" w:rsidP="002F0E99">
            <w:pPr>
              <w:pStyle w:val="CETBodytext"/>
              <w:jc w:val="center"/>
              <w:rPr>
                <w:lang w:val="en-GB"/>
              </w:rPr>
            </w:pPr>
            <w:r w:rsidRPr="00110519">
              <w:t>200</w:t>
            </w:r>
          </w:p>
        </w:tc>
        <w:tc>
          <w:tcPr>
            <w:tcW w:w="992" w:type="dxa"/>
            <w:shd w:val="clear" w:color="auto" w:fill="FFFFFF"/>
          </w:tcPr>
          <w:p w14:paraId="565AA3A2" w14:textId="77777777" w:rsidR="000B7102" w:rsidRPr="00034C2B" w:rsidRDefault="000B7102" w:rsidP="002F0E99">
            <w:pPr>
              <w:pStyle w:val="CETBodytext"/>
              <w:jc w:val="center"/>
              <w:rPr>
                <w:lang w:val="en-GB"/>
              </w:rPr>
            </w:pPr>
            <w:r w:rsidRPr="00110519">
              <w:t>410</w:t>
            </w:r>
          </w:p>
        </w:tc>
        <w:tc>
          <w:tcPr>
            <w:tcW w:w="985" w:type="dxa"/>
            <w:shd w:val="clear" w:color="auto" w:fill="FFFFFF"/>
          </w:tcPr>
          <w:p w14:paraId="6E44609B" w14:textId="77777777" w:rsidR="000B7102" w:rsidRPr="00034C2B" w:rsidRDefault="000B7102" w:rsidP="002F0E99">
            <w:pPr>
              <w:pStyle w:val="CETBodytext"/>
              <w:jc w:val="center"/>
              <w:rPr>
                <w:lang w:val="en-GB"/>
              </w:rPr>
            </w:pPr>
            <w:r w:rsidRPr="00110519">
              <w:t>250</w:t>
            </w:r>
          </w:p>
        </w:tc>
      </w:tr>
      <w:tr w:rsidR="000B7102" w:rsidRPr="00034C2B" w14:paraId="592AA0F0" w14:textId="77777777" w:rsidTr="000B7102">
        <w:trPr>
          <w:trHeight w:val="243"/>
          <w:jc w:val="center"/>
        </w:trPr>
        <w:tc>
          <w:tcPr>
            <w:tcW w:w="996" w:type="dxa"/>
            <w:shd w:val="clear" w:color="auto" w:fill="FFFFFF"/>
          </w:tcPr>
          <w:p w14:paraId="03054CEA" w14:textId="77777777" w:rsidR="000B7102" w:rsidRPr="00034C2B" w:rsidRDefault="000B7102" w:rsidP="002F0E99">
            <w:pPr>
              <w:pStyle w:val="CETBodytext"/>
              <w:jc w:val="center"/>
              <w:rPr>
                <w:lang w:val="en-GB"/>
              </w:rPr>
            </w:pPr>
            <w:r w:rsidRPr="00110519">
              <w:t>250</w:t>
            </w:r>
          </w:p>
        </w:tc>
        <w:tc>
          <w:tcPr>
            <w:tcW w:w="992" w:type="dxa"/>
            <w:shd w:val="clear" w:color="auto" w:fill="FFFFFF"/>
          </w:tcPr>
          <w:p w14:paraId="7D64620E" w14:textId="77777777" w:rsidR="000B7102" w:rsidRPr="00034C2B" w:rsidRDefault="000B7102" w:rsidP="002F0E99">
            <w:pPr>
              <w:pStyle w:val="CETBodytext"/>
              <w:jc w:val="center"/>
              <w:rPr>
                <w:lang w:val="en-GB"/>
              </w:rPr>
            </w:pPr>
            <w:r w:rsidRPr="00110519">
              <w:t>440</w:t>
            </w:r>
          </w:p>
        </w:tc>
        <w:tc>
          <w:tcPr>
            <w:tcW w:w="985" w:type="dxa"/>
            <w:shd w:val="clear" w:color="auto" w:fill="FFFFFF"/>
          </w:tcPr>
          <w:p w14:paraId="0F12A402" w14:textId="77777777" w:rsidR="000B7102" w:rsidRPr="00034C2B" w:rsidRDefault="000B7102" w:rsidP="002F0E99">
            <w:pPr>
              <w:pStyle w:val="CETBodytext"/>
              <w:jc w:val="center"/>
              <w:rPr>
                <w:lang w:val="en-GB"/>
              </w:rPr>
            </w:pPr>
            <w:r w:rsidRPr="00110519">
              <w:t>300</w:t>
            </w:r>
          </w:p>
        </w:tc>
      </w:tr>
      <w:tr w:rsidR="000B7102" w:rsidRPr="00034C2B" w14:paraId="75073DE1" w14:textId="77777777" w:rsidTr="000B7102">
        <w:trPr>
          <w:trHeight w:val="158"/>
          <w:jc w:val="center"/>
        </w:trPr>
        <w:tc>
          <w:tcPr>
            <w:tcW w:w="996" w:type="dxa"/>
            <w:shd w:val="clear" w:color="auto" w:fill="FFFFFF"/>
          </w:tcPr>
          <w:p w14:paraId="536D0A94" w14:textId="77777777" w:rsidR="000B7102" w:rsidRPr="00034C2B" w:rsidRDefault="000B7102" w:rsidP="002F0E99">
            <w:pPr>
              <w:pStyle w:val="CETBodytext"/>
              <w:jc w:val="center"/>
              <w:rPr>
                <w:lang w:val="en-GB"/>
              </w:rPr>
            </w:pPr>
            <w:r w:rsidRPr="00110519">
              <w:t>300</w:t>
            </w:r>
          </w:p>
        </w:tc>
        <w:tc>
          <w:tcPr>
            <w:tcW w:w="992" w:type="dxa"/>
            <w:shd w:val="clear" w:color="auto" w:fill="FFFFFF"/>
          </w:tcPr>
          <w:p w14:paraId="193B9F1E" w14:textId="77777777" w:rsidR="000B7102" w:rsidRPr="00034C2B" w:rsidRDefault="000B7102" w:rsidP="002F0E99">
            <w:pPr>
              <w:pStyle w:val="CETBodytext"/>
              <w:jc w:val="center"/>
              <w:rPr>
                <w:lang w:val="en-GB"/>
              </w:rPr>
            </w:pPr>
            <w:r w:rsidRPr="00110519">
              <w:t>470</w:t>
            </w:r>
          </w:p>
        </w:tc>
        <w:tc>
          <w:tcPr>
            <w:tcW w:w="985" w:type="dxa"/>
            <w:shd w:val="clear" w:color="auto" w:fill="FFFFFF"/>
          </w:tcPr>
          <w:p w14:paraId="1F540317" w14:textId="77777777" w:rsidR="000B7102" w:rsidRPr="00034C2B" w:rsidRDefault="000B7102" w:rsidP="002F0E99">
            <w:pPr>
              <w:pStyle w:val="CETBodytext"/>
              <w:jc w:val="center"/>
              <w:rPr>
                <w:lang w:val="en-GB"/>
              </w:rPr>
            </w:pPr>
            <w:r w:rsidRPr="00110519">
              <w:t>360</w:t>
            </w:r>
          </w:p>
        </w:tc>
      </w:tr>
      <w:tr w:rsidR="000B7102" w:rsidRPr="00034C2B" w14:paraId="6EA272C1" w14:textId="77777777" w:rsidTr="000B7102">
        <w:trPr>
          <w:trHeight w:val="211"/>
          <w:jc w:val="center"/>
        </w:trPr>
        <w:tc>
          <w:tcPr>
            <w:tcW w:w="996" w:type="dxa"/>
            <w:shd w:val="clear" w:color="auto" w:fill="FFFFFF"/>
          </w:tcPr>
          <w:p w14:paraId="31DDC73E" w14:textId="77777777" w:rsidR="000B7102" w:rsidRPr="00034C2B" w:rsidRDefault="000B7102" w:rsidP="002F0E99">
            <w:pPr>
              <w:pStyle w:val="CETBodytext"/>
              <w:jc w:val="center"/>
              <w:rPr>
                <w:lang w:val="en-GB"/>
              </w:rPr>
            </w:pPr>
            <w:r w:rsidRPr="00110519">
              <w:t>350</w:t>
            </w:r>
          </w:p>
        </w:tc>
        <w:tc>
          <w:tcPr>
            <w:tcW w:w="992" w:type="dxa"/>
            <w:shd w:val="clear" w:color="auto" w:fill="FFFFFF"/>
          </w:tcPr>
          <w:p w14:paraId="24315B95" w14:textId="77777777" w:rsidR="000B7102" w:rsidRPr="00034C2B" w:rsidRDefault="000B7102" w:rsidP="002F0E99">
            <w:pPr>
              <w:pStyle w:val="CETBodytext"/>
              <w:jc w:val="center"/>
              <w:rPr>
                <w:lang w:val="en-GB"/>
              </w:rPr>
            </w:pPr>
            <w:r w:rsidRPr="00110519">
              <w:t>490</w:t>
            </w:r>
          </w:p>
        </w:tc>
        <w:tc>
          <w:tcPr>
            <w:tcW w:w="985" w:type="dxa"/>
            <w:shd w:val="clear" w:color="auto" w:fill="FFFFFF"/>
          </w:tcPr>
          <w:p w14:paraId="1493369A" w14:textId="77777777" w:rsidR="000B7102" w:rsidRPr="00034C2B" w:rsidRDefault="000B7102" w:rsidP="002F0E99">
            <w:pPr>
              <w:pStyle w:val="CETBodytext"/>
              <w:jc w:val="center"/>
              <w:rPr>
                <w:lang w:val="en-GB"/>
              </w:rPr>
            </w:pPr>
            <w:r w:rsidRPr="00110519">
              <w:t>410</w:t>
            </w:r>
          </w:p>
        </w:tc>
      </w:tr>
      <w:tr w:rsidR="000B7102" w:rsidRPr="00034C2B" w14:paraId="690D4F8C" w14:textId="77777777" w:rsidTr="000B7102">
        <w:trPr>
          <w:trHeight w:val="228"/>
          <w:jc w:val="center"/>
        </w:trPr>
        <w:tc>
          <w:tcPr>
            <w:tcW w:w="996" w:type="dxa"/>
            <w:tcBorders>
              <w:bottom w:val="single" w:sz="12" w:space="0" w:color="008000"/>
            </w:tcBorders>
            <w:shd w:val="clear" w:color="auto" w:fill="FFFFFF"/>
          </w:tcPr>
          <w:p w14:paraId="69195AE2" w14:textId="77777777" w:rsidR="000B7102" w:rsidRPr="00034C2B" w:rsidRDefault="000B7102" w:rsidP="002F0E99">
            <w:pPr>
              <w:pStyle w:val="CETBodytext"/>
              <w:ind w:right="-1"/>
              <w:jc w:val="center"/>
              <w:rPr>
                <w:rFonts w:cs="Arial"/>
                <w:szCs w:val="18"/>
                <w:lang w:val="en-GB"/>
              </w:rPr>
            </w:pPr>
            <w:r w:rsidRPr="00110519">
              <w:t>400</w:t>
            </w:r>
          </w:p>
        </w:tc>
        <w:tc>
          <w:tcPr>
            <w:tcW w:w="992" w:type="dxa"/>
            <w:tcBorders>
              <w:bottom w:val="single" w:sz="12" w:space="0" w:color="008000"/>
            </w:tcBorders>
            <w:shd w:val="clear" w:color="auto" w:fill="FFFFFF"/>
          </w:tcPr>
          <w:p w14:paraId="0CC08B36" w14:textId="77777777" w:rsidR="000B7102" w:rsidRPr="00034C2B" w:rsidRDefault="000B7102" w:rsidP="002F0E99">
            <w:pPr>
              <w:pStyle w:val="CETBodytext"/>
              <w:ind w:right="-1"/>
              <w:jc w:val="center"/>
              <w:rPr>
                <w:rFonts w:cs="Arial"/>
                <w:szCs w:val="18"/>
                <w:lang w:val="en-GB"/>
              </w:rPr>
            </w:pPr>
            <w:r w:rsidRPr="00110519">
              <w:t>500</w:t>
            </w:r>
          </w:p>
        </w:tc>
        <w:tc>
          <w:tcPr>
            <w:tcW w:w="985" w:type="dxa"/>
            <w:tcBorders>
              <w:bottom w:val="single" w:sz="12" w:space="0" w:color="008000"/>
            </w:tcBorders>
            <w:shd w:val="clear" w:color="auto" w:fill="FFFFFF"/>
          </w:tcPr>
          <w:p w14:paraId="51A95ACD" w14:textId="77777777" w:rsidR="000B7102" w:rsidRPr="00034C2B" w:rsidRDefault="000B7102" w:rsidP="002F0E99">
            <w:pPr>
              <w:pStyle w:val="CETBodytext"/>
              <w:ind w:right="-1"/>
              <w:jc w:val="center"/>
              <w:rPr>
                <w:rFonts w:cs="Arial"/>
                <w:szCs w:val="18"/>
                <w:lang w:val="en-GB"/>
              </w:rPr>
            </w:pPr>
            <w:r w:rsidRPr="00110519">
              <w:t>500</w:t>
            </w:r>
          </w:p>
        </w:tc>
      </w:tr>
    </w:tbl>
    <w:p w14:paraId="4D78FBB4" w14:textId="58B4692A" w:rsidR="00F86576" w:rsidRPr="00F86576" w:rsidRDefault="00F86576" w:rsidP="00F86576">
      <w:pPr>
        <w:pStyle w:val="CETHeading1"/>
        <w:tabs>
          <w:tab w:val="clear" w:pos="360"/>
          <w:tab w:val="right" w:pos="7100"/>
        </w:tabs>
        <w:jc w:val="both"/>
        <w:rPr>
          <w:lang w:val="en-GB"/>
        </w:rPr>
      </w:pPr>
      <w:r>
        <w:rPr>
          <w:lang w:val="en-GB"/>
        </w:rPr>
        <w:t xml:space="preserve">T-mixer geometry and operating conditions </w:t>
      </w:r>
    </w:p>
    <w:p w14:paraId="678406FE" w14:textId="34E58927" w:rsidR="00E23579" w:rsidRPr="002A46E1" w:rsidRDefault="00876104" w:rsidP="00CB5664">
      <w:pPr>
        <w:pStyle w:val="CETBodytext"/>
      </w:pPr>
      <w:r w:rsidRPr="00152797">
        <w:t xml:space="preserve">The investigated mixer has a T-shape with a </w:t>
      </w:r>
      <w:r w:rsidR="002A680C" w:rsidRPr="00152797">
        <w:t>trapezoidal cross-section</w:t>
      </w:r>
      <w:r w:rsidR="000B7102">
        <w:t xml:space="preserve"> and</w:t>
      </w:r>
      <w:r w:rsidR="00F86576" w:rsidRPr="00152797">
        <w:t xml:space="preserve"> is </w:t>
      </w:r>
      <w:r w:rsidR="000B7102">
        <w:t>shown</w:t>
      </w:r>
      <w:r w:rsidR="00F86576" w:rsidRPr="00152797">
        <w:t xml:space="preserve"> in Fig</w:t>
      </w:r>
      <w:r w:rsidR="00152797">
        <w:t>ure</w:t>
      </w:r>
      <w:r w:rsidR="00F86576" w:rsidRPr="00152797">
        <w:t xml:space="preserve"> 3 along with </w:t>
      </w:r>
      <w:r w:rsidR="00D765AA" w:rsidRPr="00152797">
        <w:t xml:space="preserve">its </w:t>
      </w:r>
      <w:r w:rsidR="00F86576" w:rsidRPr="00152797">
        <w:t xml:space="preserve">main </w:t>
      </w:r>
      <w:r w:rsidR="00F86576" w:rsidRPr="002A46E1">
        <w:t>dimensions. The mixer was built in order to have the same inclination (25°) of the inlet and mixing channel walls</w:t>
      </w:r>
      <w:r w:rsidR="00DF17B2" w:rsidRPr="002A46E1">
        <w:t>, and</w:t>
      </w:r>
      <w:r w:rsidR="00F86576" w:rsidRPr="002A46E1">
        <w:t xml:space="preserve"> to have a mixing channel cross-section area which is double the inlet one</w:t>
      </w:r>
      <w:r w:rsidR="002D1E11" w:rsidRPr="002A46E1">
        <w:t>s (the two inlet channels are identical)</w:t>
      </w:r>
      <w:r w:rsidR="00F86576" w:rsidRPr="002A46E1">
        <w:t>. In this manner, no acceleration effects are present, i.e. the mean fluid velocity in the two inlets</w:t>
      </w:r>
      <w:r w:rsidR="002D1E11" w:rsidRPr="002A46E1">
        <w:t xml:space="preserve">, </w:t>
      </w:r>
      <w:r w:rsidR="002D1E11" w:rsidRPr="002E39DC">
        <w:rPr>
          <w:i/>
        </w:rPr>
        <w:t>U</w:t>
      </w:r>
      <w:r w:rsidR="002D1E11" w:rsidRPr="002A46E1">
        <w:t>,</w:t>
      </w:r>
      <w:r w:rsidR="00F86576" w:rsidRPr="002A46E1">
        <w:t xml:space="preserve"> is the same as the mean fluid velocity in the outlet.  The hydraulic diameter of the inlet channels was chosen to be </w:t>
      </w:r>
      <w:r w:rsidR="00F86576" w:rsidRPr="000B7102">
        <w:rPr>
          <w:i/>
        </w:rPr>
        <w:t>d</w:t>
      </w:r>
      <w:r w:rsidR="00F86576" w:rsidRPr="000B7102">
        <w:rPr>
          <w:i/>
          <w:vertAlign w:val="subscript"/>
        </w:rPr>
        <w:t>h,i</w:t>
      </w:r>
      <w:r w:rsidR="00F86576" w:rsidRPr="002A46E1">
        <w:t xml:space="preserve">=100 </w:t>
      </w:r>
      <w:r w:rsidR="00F86576" w:rsidRPr="002A46E1">
        <w:rPr>
          <w:rFonts w:ascii="Symbol" w:hAnsi="Symbol"/>
        </w:rPr>
        <w:t></w:t>
      </w:r>
      <w:r w:rsidR="00F86576" w:rsidRPr="002A46E1">
        <w:t xml:space="preserve">m; hence the hydraulic diameter of the mixing channel is </w:t>
      </w:r>
      <w:r w:rsidR="00F86576" w:rsidRPr="002E39DC">
        <w:rPr>
          <w:i/>
        </w:rPr>
        <w:t>d</w:t>
      </w:r>
      <w:r w:rsidR="00B15EA9">
        <w:rPr>
          <w:i/>
          <w:vertAlign w:val="subscript"/>
        </w:rPr>
        <w:t>h</w:t>
      </w:r>
      <w:r w:rsidR="00625EA8">
        <w:rPr>
          <w:i/>
          <w:vertAlign w:val="subscript"/>
        </w:rPr>
        <w:t xml:space="preserve"> </w:t>
      </w:r>
      <w:r w:rsidR="00F86576" w:rsidRPr="002A46E1">
        <w:t xml:space="preserve">=141 </w:t>
      </w:r>
      <w:r w:rsidR="00F86576" w:rsidRPr="002A46E1">
        <w:rPr>
          <w:rFonts w:ascii="Symbol" w:hAnsi="Symbol"/>
        </w:rPr>
        <w:t></w:t>
      </w:r>
      <w:r w:rsidR="00F86576" w:rsidRPr="002A46E1">
        <w:t xml:space="preserve">m. The length of the inlet channels is </w:t>
      </w:r>
      <w:r w:rsidR="00F86576" w:rsidRPr="002E39DC">
        <w:rPr>
          <w:i/>
        </w:rPr>
        <w:t>L</w:t>
      </w:r>
      <w:r w:rsidR="00F86576" w:rsidRPr="002E39DC">
        <w:rPr>
          <w:i/>
          <w:vertAlign w:val="subscript"/>
        </w:rPr>
        <w:t>i</w:t>
      </w:r>
      <w:r w:rsidR="00625EA8">
        <w:rPr>
          <w:i/>
          <w:vertAlign w:val="subscript"/>
        </w:rPr>
        <w:t xml:space="preserve"> </w:t>
      </w:r>
      <w:r w:rsidR="00F86576" w:rsidRPr="002A46E1">
        <w:t>=</w:t>
      </w:r>
      <w:r w:rsidR="00625EA8">
        <w:t xml:space="preserve"> </w:t>
      </w:r>
      <w:r w:rsidR="00F86576" w:rsidRPr="002A46E1">
        <w:t>20</w:t>
      </w:r>
      <w:r w:rsidR="00F86576" w:rsidRPr="000B7102">
        <w:rPr>
          <w:i/>
        </w:rPr>
        <w:t>d</w:t>
      </w:r>
      <w:r w:rsidR="00F86576" w:rsidRPr="000B7102">
        <w:rPr>
          <w:i/>
          <w:vertAlign w:val="subscript"/>
        </w:rPr>
        <w:t>h,</w:t>
      </w:r>
      <w:r w:rsidRPr="000B7102">
        <w:rPr>
          <w:i/>
          <w:vertAlign w:val="subscript"/>
        </w:rPr>
        <w:t>i</w:t>
      </w:r>
      <w:r w:rsidR="00F86576" w:rsidRPr="002A46E1">
        <w:t xml:space="preserve"> in order to allow the flow to </w:t>
      </w:r>
      <w:r w:rsidR="002D1E11" w:rsidRPr="002A46E1">
        <w:t xml:space="preserve">be </w:t>
      </w:r>
      <w:r w:rsidR="00F86576" w:rsidRPr="002A46E1">
        <w:t xml:space="preserve">fully developed </w:t>
      </w:r>
      <w:r w:rsidR="002D1E11" w:rsidRPr="002A46E1">
        <w:t xml:space="preserve">at </w:t>
      </w:r>
      <w:r w:rsidR="00F86576" w:rsidRPr="002A46E1">
        <w:t xml:space="preserve">the confluence of the two </w:t>
      </w:r>
      <w:r w:rsidR="002D1E11" w:rsidRPr="002A46E1">
        <w:t xml:space="preserve">inlet </w:t>
      </w:r>
      <w:r w:rsidR="00F86576" w:rsidRPr="002A46E1">
        <w:t>streams</w:t>
      </w:r>
      <w:r w:rsidR="001256D3">
        <w:t xml:space="preserve">, </w:t>
      </w:r>
      <w:r w:rsidR="00F86576" w:rsidRPr="002A46E1">
        <w:t xml:space="preserve">while the length of the mixing channel is </w:t>
      </w:r>
      <w:r w:rsidR="00F86576" w:rsidRPr="002E39DC">
        <w:rPr>
          <w:i/>
        </w:rPr>
        <w:t>L</w:t>
      </w:r>
      <w:r w:rsidR="00625EA8">
        <w:rPr>
          <w:i/>
        </w:rPr>
        <w:t xml:space="preserve"> </w:t>
      </w:r>
      <w:r w:rsidR="00F86576" w:rsidRPr="002A46E1">
        <w:t>=</w:t>
      </w:r>
      <w:r w:rsidR="00625EA8">
        <w:t xml:space="preserve"> </w:t>
      </w:r>
      <w:r w:rsidR="00F86576" w:rsidRPr="002A46E1">
        <w:t>30</w:t>
      </w:r>
      <w:r w:rsidR="00F86576" w:rsidRPr="002E39DC">
        <w:rPr>
          <w:i/>
        </w:rPr>
        <w:t>d</w:t>
      </w:r>
      <w:r w:rsidR="00F86576" w:rsidRPr="002E39DC">
        <w:rPr>
          <w:i/>
          <w:vertAlign w:val="subscript"/>
        </w:rPr>
        <w:t>h</w:t>
      </w:r>
      <w:r w:rsidR="00F86576" w:rsidRPr="002A46E1">
        <w:t>. The T-mixer is fed with water at ambient conditions and equal flow rates from the two inlets. The Reynolds number is defined using the average veloci</w:t>
      </w:r>
      <w:r w:rsidR="000B7102">
        <w:t>ty and the hydraulic diameter of</w:t>
      </w:r>
      <w:r w:rsidR="00F86576" w:rsidRPr="002A46E1">
        <w:t xml:space="preserve"> the mixing channel, i</w:t>
      </w:r>
      <w:r w:rsidR="002D1E11" w:rsidRPr="002A46E1">
        <w:t>.</w:t>
      </w:r>
      <w:r w:rsidR="00F86576" w:rsidRPr="002A46E1">
        <w:t>e.</w:t>
      </w:r>
      <w:r w:rsidR="002A46E1">
        <w:t>,</w:t>
      </w:r>
      <w:r w:rsidR="002D1E11" w:rsidRPr="002A46E1">
        <w:t xml:space="preserve"> </w:t>
      </w:r>
      <m:oMath>
        <m:r>
          <w:rPr>
            <w:rFonts w:ascii="Cambria Math" w:eastAsia="Cambria Math" w:hAnsi="Cambria Math"/>
            <w:lang w:val="en-GB"/>
          </w:rPr>
          <m:t>Re=</m:t>
        </m:r>
        <m:f>
          <m:fPr>
            <m:type m:val="lin"/>
            <m:ctrlPr>
              <w:rPr>
                <w:rFonts w:ascii="Cambria Math" w:eastAsia="Cambria Math" w:hAnsi="Cambria Math"/>
                <w:bCs/>
                <w:i/>
                <w:iCs/>
                <w:lang w:val="en-GB"/>
              </w:rPr>
            </m:ctrlPr>
          </m:fPr>
          <m:num>
            <m:sSub>
              <m:sSubPr>
                <m:ctrlPr>
                  <w:rPr>
                    <w:rFonts w:ascii="Cambria Math" w:eastAsia="Cambria Math" w:hAnsi="Cambria Math"/>
                    <w:i/>
                    <w:lang w:val="en-GB"/>
                  </w:rPr>
                </m:ctrlPr>
              </m:sSubPr>
              <m:e>
                <m:r>
                  <w:rPr>
                    <w:rFonts w:ascii="Cambria Math" w:eastAsia="Cambria Math" w:hAnsi="Cambria Math"/>
                    <w:lang w:val="en-GB"/>
                  </w:rPr>
                  <m:t>d</m:t>
                </m:r>
              </m:e>
              <m:sub>
                <m:r>
                  <w:rPr>
                    <w:rFonts w:ascii="Cambria Math" w:eastAsia="Cambria Math" w:hAnsi="Cambria Math"/>
                    <w:lang w:val="en-GB"/>
                  </w:rPr>
                  <m:t>h</m:t>
                </m:r>
              </m:sub>
            </m:sSub>
            <m:r>
              <w:rPr>
                <w:rFonts w:ascii="Cambria Math" w:eastAsia="Cambria Math" w:hAnsi="Cambria Math"/>
                <w:lang w:val="en-GB"/>
              </w:rPr>
              <m:t>U</m:t>
            </m:r>
          </m:num>
          <m:den>
            <m:r>
              <w:rPr>
                <w:rFonts w:ascii="Cambria Math" w:eastAsia="Cambria Math" w:hAnsi="Cambria Math"/>
                <w:lang w:val="en-GB"/>
              </w:rPr>
              <m:t>ν=</m:t>
            </m:r>
          </m:den>
        </m:f>
      </m:oMath>
      <w:r w:rsidR="002D1E11" w:rsidRPr="002E39DC">
        <w:rPr>
          <w:rFonts w:ascii="Symbol" w:hAnsi="Symbol"/>
          <w:i/>
        </w:rPr>
        <w:t></w:t>
      </w:r>
      <w:r w:rsidR="002D1E11" w:rsidRPr="002A46E1">
        <w:rPr>
          <w:rFonts w:ascii="Times New Roman" w:hAnsi="Times New Roman"/>
        </w:rPr>
        <w:t xml:space="preserve"> </w:t>
      </w:r>
      <w:r w:rsidR="002D1E11" w:rsidRPr="002A46E1">
        <w:rPr>
          <w:rFonts w:cs="Arial"/>
        </w:rPr>
        <w:t xml:space="preserve">where </w:t>
      </w:r>
      <w:r w:rsidR="002D1E11" w:rsidRPr="002E39DC">
        <w:rPr>
          <w:rFonts w:ascii="Symbol" w:hAnsi="Symbol"/>
          <w:i/>
        </w:rPr>
        <w:sym w:font="Symbol" w:char="F06E"/>
      </w:r>
      <w:r w:rsidR="002D1E11" w:rsidRPr="002A46E1">
        <w:rPr>
          <w:rFonts w:cs="Arial"/>
        </w:rPr>
        <w:t xml:space="preserve"> is the kinematic viscosity of the fluid.</w:t>
      </w:r>
    </w:p>
    <w:p w14:paraId="5BC61EDC" w14:textId="34945D4C" w:rsidR="007B147A" w:rsidRDefault="00D57982" w:rsidP="007B147A">
      <w:pPr>
        <w:pStyle w:val="CETCaption"/>
        <w:jc w:val="center"/>
      </w:pPr>
      <w:r>
        <w:rPr>
          <w:noProof/>
          <w:lang w:val="it-IT" w:eastAsia="it-IT"/>
        </w:rPr>
        <w:drawing>
          <wp:inline distT="0" distB="0" distL="0" distR="0" wp14:anchorId="3ACBF6DD" wp14:editId="5BFD4C25">
            <wp:extent cx="5040000" cy="1201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pezoidal.png"/>
                    <pic:cNvPicPr/>
                  </pic:nvPicPr>
                  <pic:blipFill rotWithShape="1">
                    <a:blip r:embed="rId14">
                      <a:extLst>
                        <a:ext uri="{28A0092B-C50C-407E-A947-70E740481C1C}">
                          <a14:useLocalDpi xmlns:a14="http://schemas.microsoft.com/office/drawing/2010/main" val="0"/>
                        </a:ext>
                      </a:extLst>
                    </a:blip>
                    <a:srcRect t="1493" b="56168"/>
                    <a:stretch/>
                  </pic:blipFill>
                  <pic:spPr bwMode="auto">
                    <a:xfrm>
                      <a:off x="0" y="0"/>
                      <a:ext cx="5040000" cy="1201850"/>
                    </a:xfrm>
                    <a:prstGeom prst="rect">
                      <a:avLst/>
                    </a:prstGeom>
                    <a:ln>
                      <a:noFill/>
                    </a:ln>
                    <a:extLst>
                      <a:ext uri="{53640926-AAD7-44D8-BBD7-CCE9431645EC}">
                        <a14:shadowObscured xmlns:a14="http://schemas.microsoft.com/office/drawing/2010/main"/>
                      </a:ext>
                    </a:extLst>
                  </pic:spPr>
                </pic:pic>
              </a:graphicData>
            </a:graphic>
          </wp:inline>
        </w:drawing>
      </w:r>
    </w:p>
    <w:p w14:paraId="4F0D24ED" w14:textId="1B25A59D" w:rsidR="00E23579" w:rsidRPr="00B57B36" w:rsidRDefault="007B147A" w:rsidP="007B147A">
      <w:pPr>
        <w:pStyle w:val="CETCaption"/>
      </w:pPr>
      <w:r w:rsidRPr="00B57B36">
        <w:t xml:space="preserve">Figure </w:t>
      </w:r>
      <w:r>
        <w:t>3</w:t>
      </w:r>
      <w:r w:rsidRPr="00B57B36">
        <w:t xml:space="preserve">: </w:t>
      </w:r>
      <w:r>
        <w:t>T-mixer geometry.</w:t>
      </w:r>
    </w:p>
    <w:p w14:paraId="471CA3E8" w14:textId="687BA41C" w:rsidR="00600535" w:rsidRPr="00B57B36" w:rsidRDefault="00995DF9" w:rsidP="00600535">
      <w:pPr>
        <w:pStyle w:val="CETHeading1"/>
        <w:rPr>
          <w:lang w:val="en-GB"/>
        </w:rPr>
      </w:pPr>
      <w:r>
        <w:rPr>
          <w:lang w:val="en-GB"/>
        </w:rPr>
        <w:t>Numerical model</w:t>
      </w:r>
    </w:p>
    <w:p w14:paraId="22CA0B4A" w14:textId="51DF75FC" w:rsidR="00995DF9" w:rsidRPr="000B7948" w:rsidRDefault="00995DF9" w:rsidP="00CB5664">
      <w:pPr>
        <w:pStyle w:val="CETBodytext"/>
        <w:rPr>
          <w:rFonts w:cs="Arial"/>
          <w:b/>
        </w:rPr>
      </w:pPr>
      <w:r w:rsidRPr="002A0FF8">
        <w:t xml:space="preserve">Steady-state Navier-Stokes equations for an incompressible fluid were solved with the code </w:t>
      </w:r>
      <w:r w:rsidRPr="000B7948">
        <w:rPr>
          <w:rFonts w:cs="Arial"/>
        </w:rPr>
        <w:t>ANSYS</w:t>
      </w:r>
      <w:r w:rsidR="00625EA8">
        <w:rPr>
          <w:rFonts w:cs="Arial"/>
        </w:rPr>
        <w:t>®</w:t>
      </w:r>
      <w:r w:rsidRPr="000B7948">
        <w:rPr>
          <w:rFonts w:cs="Arial"/>
        </w:rPr>
        <w:t xml:space="preserve"> Fluent</w:t>
      </w:r>
      <w:r w:rsidR="00F86576" w:rsidRPr="000B7948">
        <w:rPr>
          <w:rFonts w:cs="Arial"/>
        </w:rPr>
        <w:t xml:space="preserve"> v18</w:t>
      </w:r>
      <w:r w:rsidRPr="000B7948">
        <w:rPr>
          <w:rFonts w:cs="Arial"/>
        </w:rPr>
        <w:t>.</w:t>
      </w:r>
      <w:r w:rsidR="00F86576" w:rsidRPr="000B7948">
        <w:rPr>
          <w:rFonts w:cs="Arial"/>
        </w:rPr>
        <w:t xml:space="preserve">  The non</w:t>
      </w:r>
      <w:r w:rsidR="009B673C" w:rsidRPr="000B7948">
        <w:rPr>
          <w:rFonts w:cs="Arial"/>
        </w:rPr>
        <w:t>-</w:t>
      </w:r>
      <w:r w:rsidR="00F86576" w:rsidRPr="000B7948">
        <w:rPr>
          <w:rFonts w:cs="Arial"/>
        </w:rPr>
        <w:t xml:space="preserve">dimensional </w:t>
      </w:r>
      <w:r w:rsidR="009B673C" w:rsidRPr="000B7948">
        <w:rPr>
          <w:rFonts w:cs="Arial"/>
        </w:rPr>
        <w:t>form o</w:t>
      </w:r>
      <w:r w:rsidR="00F86576" w:rsidRPr="000B7948">
        <w:rPr>
          <w:rFonts w:cs="Arial"/>
        </w:rPr>
        <w:t>f</w:t>
      </w:r>
      <w:r w:rsidR="009B673C" w:rsidRPr="000B7948">
        <w:rPr>
          <w:rFonts w:cs="Arial"/>
        </w:rPr>
        <w:t xml:space="preserve"> t</w:t>
      </w:r>
      <w:r w:rsidR="00F86576" w:rsidRPr="000B7948">
        <w:rPr>
          <w:rFonts w:cs="Arial"/>
        </w:rPr>
        <w:t>h</w:t>
      </w:r>
      <w:r w:rsidR="009B673C" w:rsidRPr="000B7948">
        <w:rPr>
          <w:rFonts w:cs="Arial"/>
        </w:rPr>
        <w:t>e</w:t>
      </w:r>
      <w:r w:rsidR="00F86576" w:rsidRPr="000B7948">
        <w:rPr>
          <w:rFonts w:cs="Arial"/>
        </w:rPr>
        <w:t xml:space="preserve"> equation is</w:t>
      </w:r>
      <w:r w:rsidR="000B7102" w:rsidRPr="000B7948">
        <w:rPr>
          <w:rFonts w:cs="Arial"/>
          <w:b/>
        </w:rPr>
        <w:t>:</w:t>
      </w:r>
      <w:r w:rsidR="00F86576" w:rsidRPr="000B7948">
        <w:rPr>
          <w:rFonts w:cs="Arial"/>
        </w:rPr>
        <w:t xml:space="preserve"> </w:t>
      </w:r>
      <w:r w:rsidRPr="000B7948">
        <w:rPr>
          <w:rFonts w:cs="Arial"/>
        </w:rPr>
        <w:t xml:space="preserve"> </w:t>
      </w:r>
    </w:p>
    <w:tbl>
      <w:tblPr>
        <w:tblW w:w="5000" w:type="pct"/>
        <w:tblLook w:val="04A0" w:firstRow="1" w:lastRow="0" w:firstColumn="1" w:lastColumn="0" w:noHBand="0" w:noVBand="1"/>
      </w:tblPr>
      <w:tblGrid>
        <w:gridCol w:w="8178"/>
        <w:gridCol w:w="825"/>
      </w:tblGrid>
      <w:tr w:rsidR="00071568" w:rsidRPr="00B57B36" w14:paraId="3BF87C3C" w14:textId="77777777" w:rsidTr="00071568">
        <w:tc>
          <w:tcPr>
            <w:tcW w:w="7982" w:type="dxa"/>
            <w:shd w:val="clear" w:color="auto" w:fill="auto"/>
            <w:vAlign w:val="center"/>
          </w:tcPr>
          <w:p w14:paraId="408B5F14" w14:textId="5E6B50B8" w:rsidR="00071568" w:rsidRPr="00071568" w:rsidRDefault="00071568" w:rsidP="00411FEB">
            <w:pPr>
              <w:pStyle w:val="CETEquation"/>
            </w:pPr>
            <m:oMathPara>
              <m:oMathParaPr>
                <m:jc m:val="left"/>
              </m:oMathParaPr>
              <m:oMath>
                <m:r>
                  <m:rPr>
                    <m:sty m:val="p"/>
                  </m:rPr>
                  <w:rPr>
                    <w:rFonts w:ascii="Cambria Math" w:eastAsia="Cambria Math" w:hAnsi="Cambria Math"/>
                  </w:rPr>
                  <m:t>∇</m:t>
                </m:r>
                <m:r>
                  <w:rPr>
                    <w:rFonts w:ascii="Cambria Math" w:eastAsia="Cambria Math" w:hAnsi="Cambria Math"/>
                  </w:rPr>
                  <m:t>∙</m:t>
                </m:r>
                <m:r>
                  <m:rPr>
                    <m:sty m:val="bi"/>
                  </m:rPr>
                  <w:rPr>
                    <w:rFonts w:ascii="Cambria Math" w:eastAsia="Cambria Math" w:hAnsi="Cambria Math"/>
                  </w:rPr>
                  <m:t>u</m:t>
                </m:r>
                <m:r>
                  <w:rPr>
                    <w:rFonts w:ascii="Cambria Math" w:eastAsia="Cambria Math" w:hAnsi="Cambria Math"/>
                  </w:rPr>
                  <m:t>=0</m:t>
                </m:r>
              </m:oMath>
            </m:oMathPara>
          </w:p>
        </w:tc>
        <w:tc>
          <w:tcPr>
            <w:tcW w:w="805" w:type="dxa"/>
            <w:shd w:val="clear" w:color="auto" w:fill="auto"/>
            <w:vAlign w:val="center"/>
          </w:tcPr>
          <w:p w14:paraId="3DCB513E" w14:textId="77777777" w:rsidR="00071568" w:rsidRPr="00B57B36" w:rsidRDefault="00071568" w:rsidP="00411FEB">
            <w:pPr>
              <w:pStyle w:val="CETEquation"/>
              <w:jc w:val="right"/>
            </w:pPr>
            <w:r w:rsidRPr="00B57B36">
              <w:t>(1)</w:t>
            </w:r>
          </w:p>
        </w:tc>
      </w:tr>
      <w:tr w:rsidR="00071568" w:rsidRPr="00B57B36" w14:paraId="58D96E9F" w14:textId="77777777" w:rsidTr="00071568">
        <w:tc>
          <w:tcPr>
            <w:tcW w:w="7982" w:type="dxa"/>
            <w:shd w:val="clear" w:color="auto" w:fill="auto"/>
            <w:vAlign w:val="center"/>
          </w:tcPr>
          <w:p w14:paraId="56A50D29" w14:textId="67E69A81" w:rsidR="00071568" w:rsidRPr="00071568" w:rsidRDefault="00071568" w:rsidP="00411FEB">
            <w:pPr>
              <w:pStyle w:val="CETEquation"/>
              <w:rPr>
                <w:rFonts w:ascii="Cambria Math" w:eastAsia="Cambria Math" w:hAnsi="Cambria Math"/>
                <w:oMath/>
              </w:rPr>
            </w:pPr>
            <m:oMathPara>
              <m:oMathParaPr>
                <m:jc m:val="left"/>
              </m:oMathParaPr>
              <m:oMath>
                <m:r>
                  <m:rPr>
                    <m:sty m:val="bi"/>
                  </m:rPr>
                  <w:rPr>
                    <w:rFonts w:ascii="Cambria Math" w:eastAsia="Cambria Math" w:hAnsi="Cambria Math"/>
                  </w:rPr>
                  <m:t>u</m:t>
                </m:r>
                <m:r>
                  <m:rPr>
                    <m:sty m:val="p"/>
                  </m:rPr>
                  <w:rPr>
                    <w:rFonts w:ascii="Cambria Math" w:eastAsia="Cambria Math" w:hAnsi="Cambria Math"/>
                  </w:rPr>
                  <m:t>∙∇</m:t>
                </m:r>
                <m:r>
                  <m:rPr>
                    <m:sty m:val="bi"/>
                  </m:rPr>
                  <w:rPr>
                    <w:rFonts w:ascii="Cambria Math" w:eastAsia="Cambria Math" w:hAnsi="Cambria Math"/>
                  </w:rPr>
                  <m:t>u</m:t>
                </m:r>
                <m:r>
                  <m:rPr>
                    <m:sty m:val="p"/>
                  </m:rPr>
                  <w:rPr>
                    <w:rFonts w:ascii="Cambria Math" w:eastAsia="Cambria Math" w:hAnsi="Cambria Math"/>
                  </w:rPr>
                  <m:t>=-∇</m:t>
                </m:r>
                <m:r>
                  <w:rPr>
                    <w:rFonts w:ascii="Cambria Math" w:eastAsia="Cambria Math" w:hAnsi="Cambria Math"/>
                  </w:rPr>
                  <m:t>P</m:t>
                </m:r>
                <m:r>
                  <m:rPr>
                    <m:sty m:val="bi"/>
                  </m:rPr>
                  <w:rPr>
                    <w:rFonts w:ascii="Cambria Math" w:eastAsia="Cambria Math" w:hAnsi="Cambria Math"/>
                  </w:rPr>
                  <m:t>+</m:t>
                </m:r>
                <m:f>
                  <m:fPr>
                    <m:ctrlPr>
                      <w:rPr>
                        <w:rFonts w:ascii="Cambria Math" w:eastAsia="Cambria Math" w:hAnsi="Cambria Math"/>
                        <w:bCs/>
                        <w:i/>
                        <w:iCs/>
                      </w:rPr>
                    </m:ctrlPr>
                  </m:fPr>
                  <m:num>
                    <m:r>
                      <w:rPr>
                        <w:rFonts w:ascii="Cambria Math" w:eastAsia="Cambria Math" w:hAnsi="Cambria Math"/>
                      </w:rPr>
                      <m:t>1</m:t>
                    </m:r>
                  </m:num>
                  <m:den>
                    <m:r>
                      <w:rPr>
                        <w:rFonts w:ascii="Cambria Math" w:eastAsia="Cambria Math" w:hAnsi="Cambria Math"/>
                      </w:rPr>
                      <m:t>Re</m:t>
                    </m:r>
                  </m:den>
                </m:f>
                <m:sSup>
                  <m:sSupPr>
                    <m:ctrlPr>
                      <w:rPr>
                        <w:rFonts w:ascii="Cambria Math" w:eastAsia="Cambria Math" w:hAnsi="Cambria Math"/>
                      </w:rPr>
                    </m:ctrlPr>
                  </m:sSupPr>
                  <m:e>
                    <m:r>
                      <m:rPr>
                        <m:sty m:val="p"/>
                      </m:rPr>
                      <w:rPr>
                        <w:rFonts w:ascii="Cambria Math" w:eastAsia="Cambria Math" w:hAnsi="Cambria Math"/>
                      </w:rPr>
                      <m:t>∇</m:t>
                    </m:r>
                  </m:e>
                  <m:sup>
                    <m:r>
                      <w:rPr>
                        <w:rFonts w:ascii="Cambria Math" w:eastAsia="Cambria Math" w:hAnsi="Cambria Math"/>
                      </w:rPr>
                      <m:t>2</m:t>
                    </m:r>
                  </m:sup>
                </m:sSup>
                <m:r>
                  <m:rPr>
                    <m:sty m:val="bi"/>
                  </m:rPr>
                  <w:rPr>
                    <w:rFonts w:ascii="Cambria Math" w:eastAsia="Cambria Math" w:hAnsi="Cambria Math"/>
                  </w:rPr>
                  <m:t>u</m:t>
                </m:r>
              </m:oMath>
            </m:oMathPara>
          </w:p>
        </w:tc>
        <w:tc>
          <w:tcPr>
            <w:tcW w:w="805" w:type="dxa"/>
            <w:shd w:val="clear" w:color="auto" w:fill="auto"/>
            <w:vAlign w:val="center"/>
          </w:tcPr>
          <w:p w14:paraId="14F6BDBB" w14:textId="77985D9C" w:rsidR="00071568" w:rsidRPr="00B57B36" w:rsidRDefault="00071568" w:rsidP="00071568">
            <w:pPr>
              <w:pStyle w:val="CETEquation"/>
              <w:jc w:val="right"/>
            </w:pPr>
            <w:r w:rsidRPr="00B57B36">
              <w:t>(</w:t>
            </w:r>
            <w:r>
              <w:t>2</w:t>
            </w:r>
            <w:r w:rsidRPr="00B57B36">
              <w:t>)</w:t>
            </w:r>
          </w:p>
        </w:tc>
      </w:tr>
    </w:tbl>
    <w:p w14:paraId="50C2536E" w14:textId="68FC7D27" w:rsidR="009B673C" w:rsidRPr="00D57982" w:rsidRDefault="009B673C" w:rsidP="00CB5664">
      <w:pPr>
        <w:pStyle w:val="CETBodytext"/>
        <w:rPr>
          <w:rFonts w:cs="Arial"/>
          <w:b/>
        </w:rPr>
      </w:pPr>
      <w:r w:rsidRPr="000B7948">
        <w:rPr>
          <w:rFonts w:cs="Arial"/>
        </w:rPr>
        <w:t xml:space="preserve">where length, velocities and time are normalized with the mixing channel hydraulic diameter </w:t>
      </w:r>
      <w:r w:rsidRPr="000B7948">
        <w:rPr>
          <w:rFonts w:cs="Arial"/>
          <w:i/>
        </w:rPr>
        <w:t>d</w:t>
      </w:r>
      <w:r w:rsidRPr="000B7948">
        <w:rPr>
          <w:rFonts w:cs="Arial"/>
          <w:i/>
          <w:vertAlign w:val="subscript"/>
        </w:rPr>
        <w:t>h</w:t>
      </w:r>
      <w:r w:rsidR="00876104" w:rsidRPr="000B7948">
        <w:rPr>
          <w:rFonts w:cs="Arial"/>
        </w:rPr>
        <w:t xml:space="preserve"> and</w:t>
      </w:r>
      <w:r w:rsidRPr="000B7948">
        <w:rPr>
          <w:rFonts w:cs="Arial"/>
        </w:rPr>
        <w:t xml:space="preserve"> the inlet bulk velocity </w:t>
      </w:r>
      <w:r w:rsidRPr="000B7948">
        <w:rPr>
          <w:rFonts w:cs="Arial"/>
          <w:i/>
        </w:rPr>
        <w:t>U</w:t>
      </w:r>
      <w:r w:rsidRPr="000B7948">
        <w:rPr>
          <w:rFonts w:cs="Arial"/>
        </w:rPr>
        <w:t xml:space="preserve">. </w:t>
      </w:r>
      <w:r w:rsidRPr="000B7948">
        <w:rPr>
          <w:rFonts w:cs="Arial"/>
          <w:i/>
        </w:rPr>
        <w:t>P</w:t>
      </w:r>
      <w:r w:rsidRPr="000B7948">
        <w:rPr>
          <w:rFonts w:cs="Arial"/>
        </w:rPr>
        <w:t xml:space="preserve"> is the modified non-dimensional pressure. </w:t>
      </w:r>
      <w:r w:rsidRPr="000B7948">
        <w:rPr>
          <w:rFonts w:eastAsia="Cambria Math" w:cs="Arial"/>
        </w:rPr>
        <w:t xml:space="preserve"> </w:t>
      </w:r>
      <w:r w:rsidRPr="000B7948">
        <w:rPr>
          <w:rFonts w:cs="Arial"/>
        </w:rPr>
        <w:t>These equations are coupled with a</w:t>
      </w:r>
      <w:r w:rsidRPr="00071568">
        <w:rPr>
          <w:rFonts w:cs="Arial"/>
        </w:rPr>
        <w:t xml:space="preserve"> </w:t>
      </w:r>
      <w:r w:rsidR="000B7102" w:rsidRPr="00071568">
        <w:rPr>
          <w:rFonts w:cs="Arial"/>
        </w:rPr>
        <w:t>transport</w:t>
      </w:r>
      <w:r w:rsidR="002D1E11" w:rsidRPr="00071568">
        <w:rPr>
          <w:rFonts w:cs="Arial"/>
        </w:rPr>
        <w:t xml:space="preserve"> </w:t>
      </w:r>
      <w:r w:rsidRPr="000B7948">
        <w:rPr>
          <w:rFonts w:cs="Arial"/>
        </w:rPr>
        <w:t>equation for a conservative scalar representing a dye, to distinguish between the two inlet water streams</w:t>
      </w:r>
      <w:r w:rsidR="001256D3" w:rsidRPr="000B7948">
        <w:rPr>
          <w:rFonts w:cs="Arial"/>
        </w:rPr>
        <w:t>:</w:t>
      </w:r>
      <w:r w:rsidR="002D1E11" w:rsidRPr="000B7948">
        <w:rPr>
          <w:rFonts w:cs="Arial"/>
        </w:rPr>
        <w:t xml:space="preserve"> </w:t>
      </w:r>
      <w:r w:rsidR="00D57982">
        <w:tab/>
      </w:r>
    </w:p>
    <w:tbl>
      <w:tblPr>
        <w:tblW w:w="5000" w:type="pct"/>
        <w:tblLook w:val="04A0" w:firstRow="1" w:lastRow="0" w:firstColumn="1" w:lastColumn="0" w:noHBand="0" w:noVBand="1"/>
      </w:tblPr>
      <w:tblGrid>
        <w:gridCol w:w="8178"/>
        <w:gridCol w:w="825"/>
      </w:tblGrid>
      <w:tr w:rsidR="00071568" w:rsidRPr="00B57B36" w14:paraId="476373F8" w14:textId="77777777" w:rsidTr="00411FEB">
        <w:tc>
          <w:tcPr>
            <w:tcW w:w="7982" w:type="dxa"/>
            <w:shd w:val="clear" w:color="auto" w:fill="auto"/>
            <w:vAlign w:val="center"/>
          </w:tcPr>
          <w:p w14:paraId="405AE1DC" w14:textId="2DF9DBB8" w:rsidR="00071568" w:rsidRPr="00DC00AF" w:rsidRDefault="00071568" w:rsidP="00071568">
            <w:pPr>
              <w:pStyle w:val="CETEquation"/>
              <w:rPr>
                <w:rFonts w:ascii="Cambria Math" w:eastAsia="Cambria Math" w:hAnsi="Cambria Math" w:cs="Arial"/>
                <w:oMath/>
              </w:rPr>
            </w:pPr>
            <m:oMathPara>
              <m:oMathParaPr>
                <m:jc m:val="left"/>
              </m:oMathParaPr>
              <m:oMath>
                <m:r>
                  <m:rPr>
                    <m:sty m:val="bi"/>
                  </m:rPr>
                  <w:rPr>
                    <w:rFonts w:ascii="Cambria Math" w:eastAsia="Cambria Math" w:hAnsi="Cambria Math" w:cs="Arial"/>
                  </w:rPr>
                  <m:t>u</m:t>
                </m:r>
                <m:r>
                  <m:rPr>
                    <m:sty m:val="p"/>
                  </m:rPr>
                  <w:rPr>
                    <w:rFonts w:ascii="Cambria Math" w:eastAsia="Cambria Math" w:hAnsi="Cambria Math" w:cs="Arial"/>
                  </w:rPr>
                  <m:t>∙∇</m:t>
                </m:r>
                <m:r>
                  <w:rPr>
                    <w:rFonts w:ascii="Cambria Math" w:eastAsia="Cambria Math" w:hAnsi="Cambria Math" w:cs="Arial"/>
                  </w:rPr>
                  <m:t>ϕ</m:t>
                </m:r>
                <m:r>
                  <m:rPr>
                    <m:sty m:val="p"/>
                  </m:rPr>
                  <w:rPr>
                    <w:rFonts w:ascii="Cambria Math" w:eastAsia="Cambria Math" w:hAnsi="Cambria Math" w:cs="Arial"/>
                  </w:rPr>
                  <m:t>=</m:t>
                </m:r>
                <m:f>
                  <m:fPr>
                    <m:ctrlPr>
                      <w:rPr>
                        <w:rFonts w:ascii="Cambria Math" w:eastAsia="Cambria Math" w:hAnsi="Cambria Math" w:cs="Arial"/>
                        <w:bCs/>
                        <w:i/>
                        <w:iCs/>
                      </w:rPr>
                    </m:ctrlPr>
                  </m:fPr>
                  <m:num>
                    <m:r>
                      <w:rPr>
                        <w:rFonts w:ascii="Cambria Math" w:eastAsia="Cambria Math" w:hAnsi="Cambria Math" w:cs="Arial"/>
                      </w:rPr>
                      <m:t>1</m:t>
                    </m:r>
                  </m:num>
                  <m:den>
                    <m:r>
                      <w:rPr>
                        <w:rFonts w:ascii="Cambria Math" w:eastAsia="Cambria Math" w:hAnsi="Cambria Math" w:cs="Arial"/>
                      </w:rPr>
                      <m:t>Pe</m:t>
                    </m:r>
                  </m:den>
                </m:f>
                <m:sSup>
                  <m:sSupPr>
                    <m:ctrlPr>
                      <w:rPr>
                        <w:rFonts w:ascii="Cambria Math" w:eastAsia="Cambria Math" w:hAnsi="Cambria Math" w:cs="Arial"/>
                      </w:rPr>
                    </m:ctrlPr>
                  </m:sSupPr>
                  <m:e>
                    <m:r>
                      <m:rPr>
                        <m:sty m:val="p"/>
                      </m:rPr>
                      <w:rPr>
                        <w:rFonts w:ascii="Cambria Math" w:eastAsia="Cambria Math" w:hAnsi="Cambria Math" w:cs="Arial"/>
                      </w:rPr>
                      <m:t>∇</m:t>
                    </m:r>
                  </m:e>
                  <m:sup>
                    <m:r>
                      <w:rPr>
                        <w:rFonts w:ascii="Cambria Math" w:eastAsia="Cambria Math" w:hAnsi="Cambria Math" w:cs="Arial"/>
                      </w:rPr>
                      <m:t>2</m:t>
                    </m:r>
                  </m:sup>
                </m:sSup>
                <m:r>
                  <w:rPr>
                    <w:rFonts w:ascii="Cambria Math" w:eastAsia="Cambria Math" w:hAnsi="Cambria Math" w:cs="Arial"/>
                  </w:rPr>
                  <m:t>ϕ</m:t>
                </m:r>
              </m:oMath>
            </m:oMathPara>
          </w:p>
        </w:tc>
        <w:tc>
          <w:tcPr>
            <w:tcW w:w="805" w:type="dxa"/>
            <w:shd w:val="clear" w:color="auto" w:fill="auto"/>
            <w:vAlign w:val="center"/>
          </w:tcPr>
          <w:p w14:paraId="79979607" w14:textId="2C51A0F3" w:rsidR="00071568" w:rsidRPr="00B57B36" w:rsidRDefault="00071568" w:rsidP="00071568">
            <w:pPr>
              <w:pStyle w:val="CETEquation"/>
              <w:jc w:val="right"/>
            </w:pPr>
            <w:r w:rsidRPr="00B57B36">
              <w:t>(</w:t>
            </w:r>
            <w:r>
              <w:t>3</w:t>
            </w:r>
            <w:r w:rsidRPr="00B57B36">
              <w:t>)</w:t>
            </w:r>
          </w:p>
        </w:tc>
      </w:tr>
    </w:tbl>
    <w:p w14:paraId="0EAECE0D" w14:textId="0C3ED20A" w:rsidR="007B147A" w:rsidRPr="00876104" w:rsidRDefault="009B673C" w:rsidP="00CB5664">
      <w:pPr>
        <w:pStyle w:val="CETBodytext"/>
        <w:rPr>
          <w:b/>
        </w:rPr>
      </w:pPr>
      <w:r>
        <w:t xml:space="preserve">Here </w:t>
      </w:r>
      <w:r w:rsidRPr="00DF17B2">
        <w:rPr>
          <w:i/>
        </w:rPr>
        <w:t xml:space="preserve">ϕ </w:t>
      </w:r>
      <w:r w:rsidRPr="009B673C">
        <w:t xml:space="preserve">is the dye </w:t>
      </w:r>
      <w:r w:rsidRPr="002A46E1">
        <w:t xml:space="preserve">mass fraction </w:t>
      </w:r>
      <w:r w:rsidRPr="00CB5664">
        <w:t xml:space="preserve">and </w:t>
      </w:r>
      <m:oMath>
        <m:r>
          <w:rPr>
            <w:rFonts w:ascii="Cambria Math" w:eastAsia="Cambria Math" w:hAnsi="Cambria Math"/>
            <w:lang w:val="en-GB"/>
          </w:rPr>
          <m:t>Pe=</m:t>
        </m:r>
        <m:f>
          <m:fPr>
            <m:type m:val="lin"/>
            <m:ctrlPr>
              <w:rPr>
                <w:rFonts w:ascii="Cambria Math" w:eastAsia="Cambria Math" w:hAnsi="Cambria Math"/>
                <w:bCs/>
                <w:i/>
                <w:iCs/>
              </w:rPr>
            </m:ctrlPr>
          </m:fPr>
          <m:num>
            <m:r>
              <w:rPr>
                <w:rFonts w:ascii="Cambria Math" w:eastAsia="Cambria Math" w:hAnsi="Cambria Math"/>
              </w:rPr>
              <m:t>U</m:t>
            </m:r>
            <m:sSub>
              <m:sSubPr>
                <m:ctrlPr>
                  <w:rPr>
                    <w:rFonts w:ascii="Cambria Math" w:eastAsia="Cambria Math" w:hAnsi="Cambria Math"/>
                    <w:bCs/>
                    <w:i/>
                    <w:iCs/>
                  </w:rPr>
                </m:ctrlPr>
              </m:sSubPr>
              <m:e>
                <m:r>
                  <w:rPr>
                    <w:rFonts w:ascii="Cambria Math" w:eastAsia="Cambria Math" w:hAnsi="Cambria Math"/>
                  </w:rPr>
                  <m:t>d</m:t>
                </m:r>
              </m:e>
              <m:sub>
                <m:r>
                  <w:rPr>
                    <w:rFonts w:ascii="Cambria Math" w:eastAsia="Cambria Math" w:hAnsi="Cambria Math"/>
                  </w:rPr>
                  <m:t>h</m:t>
                </m:r>
              </m:sub>
            </m:sSub>
          </m:num>
          <m:den>
            <m:r>
              <w:rPr>
                <w:rFonts w:ascii="Cambria Math" w:eastAsia="Cambria Math" w:hAnsi="Cambria Math"/>
              </w:rPr>
              <m:t>D</m:t>
            </m:r>
          </m:den>
        </m:f>
      </m:oMath>
      <w:r w:rsidR="00071568" w:rsidRPr="00CB5664">
        <w:t xml:space="preserve"> </w:t>
      </w:r>
      <w:r w:rsidRPr="00CB5664">
        <w:t>is the Peclet number,</w:t>
      </w:r>
      <w:r w:rsidR="007B147A" w:rsidRPr="00CB5664">
        <w:t xml:space="preserve"> </w:t>
      </w:r>
      <w:r w:rsidRPr="00CB5664">
        <w:t>w</w:t>
      </w:r>
      <w:r w:rsidR="007B147A" w:rsidRPr="00CB5664">
        <w:t xml:space="preserve">here </w:t>
      </w:r>
      <m:oMath>
        <m:r>
          <w:rPr>
            <w:rFonts w:ascii="Cambria Math" w:eastAsia="Cambria Math" w:hAnsi="Cambria Math"/>
          </w:rPr>
          <m:t>D</m:t>
        </m:r>
      </m:oMath>
      <w:r w:rsidR="007B147A" w:rsidRPr="00CB5664">
        <w:t xml:space="preserve"> is the dye molecular </w:t>
      </w:r>
      <w:r w:rsidR="00625EA8">
        <w:t>diffusivity. Since</w:t>
      </w:r>
      <w:r w:rsidR="00FA00C1" w:rsidRPr="00CB5664">
        <w:t xml:space="preserve"> </w:t>
      </w:r>
      <w:r w:rsidRPr="00CB5664">
        <w:t xml:space="preserve">liquids </w:t>
      </w:r>
      <w:r w:rsidR="00FA00C1" w:rsidRPr="00CB5664">
        <w:t xml:space="preserve">present a very large </w:t>
      </w:r>
      <w:r w:rsidRPr="00CB5664">
        <w:t>Schmidt number</w:t>
      </w:r>
      <w:r w:rsidR="00FA00C1" w:rsidRPr="00CB5664">
        <w:t>,</w:t>
      </w:r>
      <w:r w:rsidRPr="00CB5664">
        <w:t xml:space="preserve"> i.e.</w:t>
      </w:r>
      <w:r w:rsidR="007B147A" w:rsidRPr="00CB5664">
        <w:t xml:space="preserve"> </w:t>
      </w:r>
      <m:oMath>
        <m:r>
          <w:rPr>
            <w:rFonts w:ascii="Cambria Math" w:eastAsia="Cambria Math" w:hAnsi="Cambria Math"/>
            <w:lang w:val="en-GB"/>
          </w:rPr>
          <m:t>Sc=</m:t>
        </m:r>
        <m:f>
          <m:fPr>
            <m:type m:val="lin"/>
            <m:ctrlPr>
              <w:rPr>
                <w:rFonts w:ascii="Cambria Math" w:eastAsia="Cambria Math" w:hAnsi="Cambria Math"/>
                <w:bCs/>
                <w:i/>
                <w:iCs/>
                <w:lang w:val="en-GB"/>
              </w:rPr>
            </m:ctrlPr>
          </m:fPr>
          <m:num>
            <m:r>
              <w:rPr>
                <w:rFonts w:ascii="Cambria Math" w:eastAsia="Cambria Math" w:hAnsi="Cambria Math"/>
                <w:lang w:val="en-GB"/>
              </w:rPr>
              <m:t>ν</m:t>
            </m:r>
          </m:num>
          <m:den>
            <m:r>
              <w:rPr>
                <w:rFonts w:ascii="Cambria Math" w:eastAsia="Cambria Math" w:hAnsi="Cambria Math"/>
                <w:lang w:val="en-GB"/>
              </w:rPr>
              <m:t>D=</m:t>
            </m:r>
          </m:den>
        </m:f>
        <m:r>
          <m:rPr>
            <m:scr m:val="script"/>
          </m:rPr>
          <w:rPr>
            <w:rFonts w:ascii="Cambria Math" w:eastAsia="Cambria Math" w:hAnsi="Cambria Math"/>
            <w:lang w:val="en-GB"/>
          </w:rPr>
          <m:t>O</m:t>
        </m:r>
        <m:d>
          <m:dPr>
            <m:ctrlPr>
              <w:rPr>
                <w:rFonts w:ascii="Cambria Math" w:eastAsia="Cambria Math" w:hAnsi="Cambria Math"/>
                <w:bCs/>
                <w:i/>
                <w:iCs/>
                <w:lang w:val="en-GB"/>
              </w:rPr>
            </m:ctrlPr>
          </m:dPr>
          <m:e>
            <m:sSup>
              <m:sSupPr>
                <m:ctrlPr>
                  <w:rPr>
                    <w:rFonts w:ascii="Cambria Math" w:eastAsia="Cambria Math" w:hAnsi="Cambria Math"/>
                    <w:bCs/>
                    <w:i/>
                    <w:iCs/>
                    <w:lang w:val="en-GB"/>
                  </w:rPr>
                </m:ctrlPr>
              </m:sSupPr>
              <m:e>
                <m:r>
                  <w:rPr>
                    <w:rFonts w:ascii="Cambria Math" w:eastAsia="Cambria Math" w:hAnsi="Cambria Math"/>
                    <w:lang w:val="en-GB"/>
                  </w:rPr>
                  <m:t>10</m:t>
                </m:r>
              </m:e>
              <m:sup>
                <m:r>
                  <w:rPr>
                    <w:rFonts w:ascii="Cambria Math" w:eastAsia="Cambria Math" w:hAnsi="Cambria Math"/>
                    <w:lang w:val="en-GB"/>
                  </w:rPr>
                  <m:t>3</m:t>
                </m:r>
              </m:sup>
            </m:sSup>
            <m:r>
              <w:rPr>
                <w:rFonts w:ascii="Cambria Math" w:eastAsia="Cambria Math" w:hAnsi="Cambria Math"/>
                <w:lang w:val="en-GB"/>
              </w:rPr>
              <m:t>-</m:t>
            </m:r>
            <m:sSup>
              <m:sSupPr>
                <m:ctrlPr>
                  <w:rPr>
                    <w:rFonts w:ascii="Cambria Math" w:eastAsia="Cambria Math" w:hAnsi="Cambria Math"/>
                    <w:bCs/>
                    <w:i/>
                    <w:iCs/>
                    <w:lang w:val="en-GB"/>
                  </w:rPr>
                </m:ctrlPr>
              </m:sSupPr>
              <m:e>
                <m:r>
                  <w:rPr>
                    <w:rFonts w:ascii="Cambria Math" w:eastAsia="Cambria Math" w:hAnsi="Cambria Math"/>
                    <w:lang w:val="en-GB"/>
                  </w:rPr>
                  <m:t>10</m:t>
                </m:r>
              </m:e>
              <m:sup>
                <m:r>
                  <w:rPr>
                    <w:rFonts w:ascii="Cambria Math" w:eastAsia="Cambria Math" w:hAnsi="Cambria Math"/>
                    <w:lang w:val="en-GB"/>
                  </w:rPr>
                  <m:t>4</m:t>
                </m:r>
              </m:sup>
            </m:sSup>
          </m:e>
        </m:d>
      </m:oMath>
      <w:r w:rsidR="00096B7F">
        <w:t xml:space="preserve"> and </w:t>
      </w:r>
      <w:r w:rsidR="00625EA8">
        <w:t>in</w:t>
      </w:r>
      <w:r w:rsidR="00625EA8" w:rsidRPr="00CB5664">
        <w:t xml:space="preserve"> the present</w:t>
      </w:r>
      <w:r w:rsidR="00625EA8">
        <w:t xml:space="preserve"> case</w:t>
      </w:r>
      <w:r w:rsidR="00625EA8" w:rsidRPr="00CB5664">
        <w:t xml:space="preserve"> </w:t>
      </w:r>
      <m:oMath>
        <m:r>
          <w:rPr>
            <w:rFonts w:ascii="Cambria Math" w:eastAsia="Cambria Math" w:hAnsi="Cambria Math"/>
            <w:lang w:val="en-GB"/>
          </w:rPr>
          <m:t>Re=</m:t>
        </m:r>
        <m:r>
          <m:rPr>
            <m:scr m:val="script"/>
          </m:rPr>
          <w:rPr>
            <w:rFonts w:ascii="Cambria Math" w:eastAsia="Cambria Math" w:hAnsi="Cambria Math"/>
            <w:lang w:val="en-GB"/>
          </w:rPr>
          <m:t>O</m:t>
        </m:r>
        <m:d>
          <m:dPr>
            <m:ctrlPr>
              <w:rPr>
                <w:rFonts w:ascii="Cambria Math" w:eastAsia="Cambria Math" w:hAnsi="Cambria Math"/>
                <w:bCs/>
                <w:i/>
                <w:iCs/>
                <w:lang w:val="en-GB"/>
              </w:rPr>
            </m:ctrlPr>
          </m:dPr>
          <m:e>
            <m:sSup>
              <m:sSupPr>
                <m:ctrlPr>
                  <w:rPr>
                    <w:rFonts w:ascii="Cambria Math" w:eastAsia="Cambria Math" w:hAnsi="Cambria Math"/>
                    <w:bCs/>
                    <w:i/>
                    <w:iCs/>
                    <w:lang w:val="en-GB"/>
                  </w:rPr>
                </m:ctrlPr>
              </m:sSupPr>
              <m:e>
                <m:r>
                  <w:rPr>
                    <w:rFonts w:ascii="Cambria Math" w:eastAsia="Cambria Math" w:hAnsi="Cambria Math"/>
                    <w:lang w:val="en-GB"/>
                  </w:rPr>
                  <m:t>10</m:t>
                </m:r>
              </m:e>
              <m:sup>
                <m:r>
                  <w:rPr>
                    <w:rFonts w:ascii="Cambria Math" w:eastAsia="Cambria Math" w:hAnsi="Cambria Math"/>
                    <w:lang w:val="en-GB"/>
                  </w:rPr>
                  <m:t>2</m:t>
                </m:r>
              </m:sup>
            </m:sSup>
          </m:e>
        </m:d>
      </m:oMath>
      <w:r w:rsidR="00625EA8">
        <w:t xml:space="preserve">, </w:t>
      </w:r>
      <w:r w:rsidR="00096B7F">
        <w:t>th</w:t>
      </w:r>
      <w:r w:rsidR="00625EA8">
        <w:t>e resulting Peclet number</w:t>
      </w:r>
      <w:r w:rsidRPr="00CB5664">
        <w:t xml:space="preserve"> </w:t>
      </w:r>
      <m:oMath>
        <m:r>
          <w:rPr>
            <w:rFonts w:ascii="Cambria Math" w:eastAsia="Cambria Math" w:hAnsi="Cambria Math"/>
            <w:lang w:val="en-GB"/>
          </w:rPr>
          <m:t>Pe=ReSc=</m:t>
        </m:r>
        <m:r>
          <m:rPr>
            <m:scr m:val="script"/>
          </m:rPr>
          <w:rPr>
            <w:rFonts w:ascii="Cambria Math" w:eastAsia="Cambria Math" w:hAnsi="Cambria Math"/>
            <w:lang w:val="en-GB"/>
          </w:rPr>
          <m:t>O</m:t>
        </m:r>
        <m:d>
          <m:dPr>
            <m:ctrlPr>
              <w:rPr>
                <w:rFonts w:ascii="Cambria Math" w:eastAsia="Cambria Math" w:hAnsi="Cambria Math"/>
                <w:bCs/>
                <w:i/>
                <w:iCs/>
                <w:lang w:val="en-GB"/>
              </w:rPr>
            </m:ctrlPr>
          </m:dPr>
          <m:e>
            <m:sSup>
              <m:sSupPr>
                <m:ctrlPr>
                  <w:rPr>
                    <w:rFonts w:ascii="Cambria Math" w:eastAsia="Cambria Math" w:hAnsi="Cambria Math"/>
                    <w:bCs/>
                    <w:i/>
                    <w:iCs/>
                    <w:lang w:val="en-GB"/>
                  </w:rPr>
                </m:ctrlPr>
              </m:sSupPr>
              <m:e>
                <m:sSup>
                  <m:sSupPr>
                    <m:ctrlPr>
                      <w:rPr>
                        <w:rFonts w:ascii="Cambria Math" w:eastAsia="Cambria Math" w:hAnsi="Cambria Math"/>
                        <w:bCs/>
                        <w:i/>
                        <w:iCs/>
                        <w:lang w:val="en-GB"/>
                      </w:rPr>
                    </m:ctrlPr>
                  </m:sSupPr>
                  <m:e>
                    <m:r>
                      <w:rPr>
                        <w:rFonts w:ascii="Cambria Math" w:eastAsia="Cambria Math" w:hAnsi="Cambria Math"/>
                        <w:lang w:val="en-GB"/>
                      </w:rPr>
                      <m:t>10</m:t>
                    </m:r>
                  </m:e>
                  <m:sup>
                    <m:r>
                      <w:rPr>
                        <w:rFonts w:ascii="Cambria Math" w:eastAsia="Cambria Math" w:hAnsi="Cambria Math"/>
                        <w:lang w:val="en-GB"/>
                      </w:rPr>
                      <m:t>5</m:t>
                    </m:r>
                  </m:sup>
                </m:sSup>
                <m:r>
                  <w:rPr>
                    <w:rFonts w:ascii="Cambria Math" w:eastAsia="Cambria Math" w:hAnsi="Cambria Math"/>
                    <w:lang w:val="en-GB"/>
                  </w:rPr>
                  <m:t>-10</m:t>
                </m:r>
              </m:e>
              <m:sup>
                <m:r>
                  <w:rPr>
                    <w:rFonts w:ascii="Cambria Math" w:eastAsia="Cambria Math" w:hAnsi="Cambria Math"/>
                    <w:lang w:val="en-GB"/>
                  </w:rPr>
                  <m:t>6</m:t>
                </m:r>
              </m:sup>
            </m:sSup>
          </m:e>
        </m:d>
      </m:oMath>
      <w:r w:rsidR="00096B7F">
        <w:t xml:space="preserve"> </w:t>
      </w:r>
      <w:r w:rsidR="00D47197" w:rsidRPr="00CB5664">
        <w:t>(Galletti et al., 2019)</w:t>
      </w:r>
      <w:r w:rsidRPr="00CB5664">
        <w:t>.</w:t>
      </w:r>
      <w:r w:rsidR="00FA00C1" w:rsidRPr="00CB5664">
        <w:t xml:space="preserve"> </w:t>
      </w:r>
      <w:r w:rsidR="00995DF9" w:rsidRPr="00CB5664">
        <w:t xml:space="preserve">A block structured grid was generated </w:t>
      </w:r>
      <w:r w:rsidR="00FA00C1" w:rsidRPr="00CB5664">
        <w:t xml:space="preserve">using </w:t>
      </w:r>
      <w:r w:rsidR="00995DF9" w:rsidRPr="00CB5664">
        <w:t xml:space="preserve">the </w:t>
      </w:r>
      <w:r w:rsidR="00FA00C1" w:rsidRPr="00CB5664">
        <w:t xml:space="preserve">ICEM </w:t>
      </w:r>
      <w:r w:rsidR="00995DF9" w:rsidRPr="00CB5664">
        <w:t>software</w:t>
      </w:r>
      <w:r w:rsidR="00625EA8">
        <w:t xml:space="preserve"> by ANSYS®</w:t>
      </w:r>
      <w:r w:rsidR="00995DF9" w:rsidRPr="00CB5664">
        <w:t>. The grid consisted of 700k elements</w:t>
      </w:r>
      <w:r w:rsidR="007B147A" w:rsidRPr="00CB5664">
        <w:t xml:space="preserve"> and resulted from a</w:t>
      </w:r>
      <w:r w:rsidR="00995DF9" w:rsidRPr="00CB5664">
        <w:t xml:space="preserve"> grid independency study</w:t>
      </w:r>
      <w:r w:rsidR="007B147A" w:rsidRPr="00CB5664">
        <w:t xml:space="preserve">, </w:t>
      </w:r>
      <w:r w:rsidR="00995DF9" w:rsidRPr="00CB5664">
        <w:t xml:space="preserve">carried out using a </w:t>
      </w:r>
      <w:r w:rsidR="007B147A" w:rsidRPr="00CB5664">
        <w:t xml:space="preserve">number of cells from 200k to 1M. </w:t>
      </w:r>
      <w:r w:rsidR="00876104" w:rsidRPr="00CB5664">
        <w:t>Uniform velocities</w:t>
      </w:r>
      <w:r w:rsidR="00995DF9" w:rsidRPr="00CB5664">
        <w:t xml:space="preserve"> were set at the two inlets</w:t>
      </w:r>
      <w:r w:rsidR="000B7102" w:rsidRPr="00CB5664">
        <w:t>;</w:t>
      </w:r>
      <w:r w:rsidR="00DF17B2" w:rsidRPr="00CB5664">
        <w:t xml:space="preserve"> t</w:t>
      </w:r>
      <w:r w:rsidR="00995DF9" w:rsidRPr="00CB5664">
        <w:t xml:space="preserve">his boundary condition </w:t>
      </w:r>
      <w:r w:rsidR="002A0FF8" w:rsidRPr="00CB5664">
        <w:t>does</w:t>
      </w:r>
      <w:r w:rsidR="00995DF9" w:rsidRPr="00CB5664">
        <w:t xml:space="preserve"> not affect results as the inlet channels are long enough to allow</w:t>
      </w:r>
      <w:r w:rsidR="007B147A" w:rsidRPr="00CB5664">
        <w:t xml:space="preserve"> </w:t>
      </w:r>
      <w:r w:rsidR="00995DF9" w:rsidRPr="00CB5664">
        <w:t>the full development of the flow</w:t>
      </w:r>
      <w:r w:rsidR="001256D3" w:rsidRPr="00CB5664">
        <w:t xml:space="preserve"> (Galletti et al., 2012)</w:t>
      </w:r>
      <w:r w:rsidR="00995DF9" w:rsidRPr="00CB5664">
        <w:t xml:space="preserve">. </w:t>
      </w:r>
      <w:r w:rsidR="000B7102" w:rsidRPr="00CB5664">
        <w:t>No slip conditions were set at the walls, while a</w:t>
      </w:r>
      <w:r w:rsidR="00FA00C1" w:rsidRPr="00CB5664">
        <w:t xml:space="preserve"> </w:t>
      </w:r>
      <w:r w:rsidR="00995DF9" w:rsidRPr="00CB5664">
        <w:t>pressure</w:t>
      </w:r>
      <w:r w:rsidR="000B7102" w:rsidRPr="00CB5664">
        <w:t xml:space="preserve"> condition</w:t>
      </w:r>
      <w:r w:rsidR="00995DF9" w:rsidRPr="00CB5664">
        <w:t xml:space="preserve"> was</w:t>
      </w:r>
      <w:r w:rsidR="007B147A" w:rsidRPr="00CB5664">
        <w:t xml:space="preserve"> set at the outlet. </w:t>
      </w:r>
      <w:r w:rsidR="00C351B9" w:rsidRPr="00CB5664">
        <w:t>A</w:t>
      </w:r>
      <w:r w:rsidR="00FA00C1" w:rsidRPr="00CB5664">
        <w:t xml:space="preserve"> </w:t>
      </w:r>
      <w:r w:rsidR="00995DF9" w:rsidRPr="00CB5664">
        <w:t xml:space="preserve">second order discretization scheme was adopted </w:t>
      </w:r>
      <w:r w:rsidR="007B147A" w:rsidRPr="00CB5664">
        <w:t xml:space="preserve">using the </w:t>
      </w:r>
      <w:r w:rsidR="00995DF9" w:rsidRPr="00CB5664">
        <w:t>SIMPLE algorithm to treat the pressure-</w:t>
      </w:r>
      <w:r w:rsidR="007B147A" w:rsidRPr="00CB5664">
        <w:t>velocity</w:t>
      </w:r>
      <w:r w:rsidR="00995DF9" w:rsidRPr="00CB5664">
        <w:t xml:space="preserve"> coupling</w:t>
      </w:r>
      <w:r w:rsidR="007B147A" w:rsidRPr="007B147A">
        <w:t>.</w:t>
      </w:r>
      <w:r w:rsidR="00CB5664">
        <w:rPr>
          <w:b/>
        </w:rPr>
        <w:t xml:space="preserve"> </w:t>
      </w:r>
      <w:r w:rsidR="00CB5664" w:rsidRPr="00CB5664">
        <w:t>The numerical approach has been successfully validated against experimental flow visualizations and benchmarked also with other numerical models (i.e. using spectral element codes) for a T-mixer with square inlet</w:t>
      </w:r>
      <w:r w:rsidR="00625EA8">
        <w:t xml:space="preserve"> cross-sections</w:t>
      </w:r>
      <w:r w:rsidR="00CB5664" w:rsidRPr="00CB5664">
        <w:t xml:space="preserve"> (Mariotti et al., 2018; Galletti et al., 2019).</w:t>
      </w:r>
      <w:r w:rsidR="00CB5664">
        <w:rPr>
          <w:b/>
        </w:rPr>
        <w:t xml:space="preserve"> </w:t>
      </w:r>
    </w:p>
    <w:p w14:paraId="1796FBF5" w14:textId="783BB1B2" w:rsidR="00995DF9" w:rsidRDefault="007B147A" w:rsidP="000B7948">
      <w:pPr>
        <w:pStyle w:val="CETHeading1"/>
        <w:rPr>
          <w:lang w:val="en-GB"/>
        </w:rPr>
      </w:pPr>
      <w:r>
        <w:rPr>
          <w:lang w:val="en-GB"/>
        </w:rPr>
        <w:t>Results</w:t>
      </w:r>
    </w:p>
    <w:p w14:paraId="787E8E4D" w14:textId="7D544123" w:rsidR="003C4DBE" w:rsidRDefault="007B147A" w:rsidP="00CB5664">
      <w:pPr>
        <w:pStyle w:val="CETBodytext"/>
        <w:rPr>
          <w:lang w:val="en-GB"/>
        </w:rPr>
      </w:pPr>
      <w:r>
        <w:rPr>
          <w:lang w:val="en-GB"/>
        </w:rPr>
        <w:t>The dye distribution</w:t>
      </w:r>
      <w:r w:rsidR="004D243A">
        <w:rPr>
          <w:lang w:val="en-GB"/>
        </w:rPr>
        <w:t>s</w:t>
      </w:r>
      <w:r>
        <w:rPr>
          <w:lang w:val="en-GB"/>
        </w:rPr>
        <w:t xml:space="preserve"> obtained at different </w:t>
      </w:r>
      <w:r w:rsidR="004B2751">
        <w:rPr>
          <w:lang w:val="en-GB"/>
        </w:rPr>
        <w:t>Reynolds</w:t>
      </w:r>
      <w:r>
        <w:rPr>
          <w:lang w:val="en-GB"/>
        </w:rPr>
        <w:t xml:space="preserve"> </w:t>
      </w:r>
      <w:r w:rsidRPr="00122187">
        <w:rPr>
          <w:lang w:val="en-GB"/>
        </w:rPr>
        <w:t xml:space="preserve">numbers in </w:t>
      </w:r>
      <w:r w:rsidR="004B2751" w:rsidRPr="00122187">
        <w:rPr>
          <w:lang w:val="en-GB"/>
        </w:rPr>
        <w:t>the mixing channel</w:t>
      </w:r>
      <w:r w:rsidRPr="00122187">
        <w:rPr>
          <w:lang w:val="en-GB"/>
        </w:rPr>
        <w:t xml:space="preserve"> cross</w:t>
      </w:r>
      <w:r w:rsidR="00257BF0" w:rsidRPr="00122187">
        <w:rPr>
          <w:lang w:val="en-GB"/>
        </w:rPr>
        <w:t>-sections</w:t>
      </w:r>
      <w:r w:rsidRPr="00122187">
        <w:rPr>
          <w:lang w:val="en-GB"/>
        </w:rPr>
        <w:t xml:space="preserve"> </w:t>
      </w:r>
      <w:r w:rsidR="00876104" w:rsidRPr="00122187">
        <w:rPr>
          <w:lang w:val="en-GB"/>
        </w:rPr>
        <w:t xml:space="preserve">at a distance </w:t>
      </w:r>
      <w:r w:rsidR="00625EA8">
        <w:rPr>
          <w:lang w:val="en-GB"/>
        </w:rPr>
        <w:t xml:space="preserve"> </w:t>
      </w:r>
      <w:r w:rsidR="00876104" w:rsidRPr="002E39DC">
        <w:rPr>
          <w:i/>
          <w:lang w:val="en-GB"/>
        </w:rPr>
        <w:t>y</w:t>
      </w:r>
      <w:r w:rsidR="00625EA8">
        <w:rPr>
          <w:i/>
          <w:lang w:val="en-GB"/>
        </w:rPr>
        <w:t xml:space="preserve"> </w:t>
      </w:r>
      <w:r w:rsidR="00876104" w:rsidRPr="00122187">
        <w:rPr>
          <w:lang w:val="en-GB"/>
        </w:rPr>
        <w:t>=</w:t>
      </w:r>
      <w:r w:rsidR="004B2751" w:rsidRPr="00122187">
        <w:rPr>
          <w:lang w:val="en-GB"/>
        </w:rPr>
        <w:t>10</w:t>
      </w:r>
      <w:r w:rsidR="004B2751" w:rsidRPr="002E39DC">
        <w:rPr>
          <w:i/>
          <w:lang w:val="en-GB"/>
        </w:rPr>
        <w:t>d</w:t>
      </w:r>
      <w:r w:rsidR="004B2751" w:rsidRPr="002E39DC">
        <w:rPr>
          <w:i/>
          <w:vertAlign w:val="subscript"/>
          <w:lang w:val="en-GB"/>
        </w:rPr>
        <w:t>h</w:t>
      </w:r>
      <w:r w:rsidR="004B2751" w:rsidRPr="00122187">
        <w:rPr>
          <w:lang w:val="en-GB"/>
        </w:rPr>
        <w:t xml:space="preserve"> from the confluence</w:t>
      </w:r>
      <w:r w:rsidR="00122187">
        <w:rPr>
          <w:lang w:val="en-GB"/>
        </w:rPr>
        <w:t xml:space="preserve"> region</w:t>
      </w:r>
      <w:r w:rsidRPr="00122187">
        <w:rPr>
          <w:lang w:val="en-GB"/>
        </w:rPr>
        <w:t xml:space="preserve"> are shown in Figure </w:t>
      </w:r>
      <w:r w:rsidR="004B2751" w:rsidRPr="00122187">
        <w:rPr>
          <w:lang w:val="en-GB"/>
        </w:rPr>
        <w:t>4</w:t>
      </w:r>
      <w:r w:rsidR="00257BF0" w:rsidRPr="00122187">
        <w:rPr>
          <w:lang w:val="en-GB"/>
        </w:rPr>
        <w:t xml:space="preserve"> and compared with those obtained in a </w:t>
      </w:r>
      <w:r w:rsidR="00122187">
        <w:rPr>
          <w:lang w:val="en-GB"/>
        </w:rPr>
        <w:t>T-mixer with square inlet cross-</w:t>
      </w:r>
      <w:r w:rsidR="00257BF0" w:rsidRPr="00122187">
        <w:rPr>
          <w:lang w:val="en-GB"/>
        </w:rPr>
        <w:t>sections (</w:t>
      </w:r>
      <w:r w:rsidR="00122187">
        <w:rPr>
          <w:lang w:val="en-GB"/>
        </w:rPr>
        <w:t xml:space="preserve">i.e. </w:t>
      </w:r>
      <w:r w:rsidR="00877021">
        <w:rPr>
          <w:lang w:val="en-GB"/>
        </w:rPr>
        <w:t>not inclined walls</w:t>
      </w:r>
      <w:r w:rsidR="00122187">
        <w:rPr>
          <w:lang w:val="en-GB"/>
        </w:rPr>
        <w:t xml:space="preserve">, </w:t>
      </w:r>
      <w:r w:rsidR="00257BF0" w:rsidRPr="00122187">
        <w:rPr>
          <w:lang w:val="en-GB"/>
        </w:rPr>
        <w:t xml:space="preserve">see </w:t>
      </w:r>
      <w:r w:rsidR="009C3F8B" w:rsidRPr="00122187">
        <w:rPr>
          <w:lang w:val="en-GB"/>
        </w:rPr>
        <w:t>Mariotti et al</w:t>
      </w:r>
      <w:r w:rsidR="005D3530" w:rsidRPr="00122187">
        <w:rPr>
          <w:lang w:val="en-GB"/>
        </w:rPr>
        <w:t>.</w:t>
      </w:r>
      <w:r w:rsidR="009C3F8B" w:rsidRPr="00122187">
        <w:rPr>
          <w:lang w:val="en-GB"/>
        </w:rPr>
        <w:t xml:space="preserve">, 2018).  At </w:t>
      </w:r>
      <w:r w:rsidR="009C3F8B" w:rsidRPr="002E39DC">
        <w:rPr>
          <w:i/>
          <w:lang w:val="en-GB"/>
        </w:rPr>
        <w:t>Re</w:t>
      </w:r>
      <w:r w:rsidR="009C3F8B" w:rsidRPr="00122187">
        <w:rPr>
          <w:lang w:val="en-GB"/>
        </w:rPr>
        <w:t xml:space="preserve"> = 100 the flow in the mixer with square inlet cross-sections </w:t>
      </w:r>
      <w:r w:rsidR="000A5A33">
        <w:rPr>
          <w:lang w:val="en-GB"/>
        </w:rPr>
        <w:t>is</w:t>
      </w:r>
      <w:r w:rsidR="009C3F8B" w:rsidRPr="00122187">
        <w:rPr>
          <w:lang w:val="en-GB"/>
        </w:rPr>
        <w:t xml:space="preserve"> segregate</w:t>
      </w:r>
      <w:r w:rsidR="00FA00C1" w:rsidRPr="00122187">
        <w:rPr>
          <w:lang w:val="en-GB"/>
        </w:rPr>
        <w:t>d</w:t>
      </w:r>
      <w:r w:rsidR="009C3F8B" w:rsidRPr="00122187">
        <w:rPr>
          <w:lang w:val="en-GB"/>
        </w:rPr>
        <w:t xml:space="preserve">, with </w:t>
      </w:r>
      <w:r w:rsidR="00FA00C1" w:rsidRPr="00122187">
        <w:rPr>
          <w:lang w:val="en-GB"/>
        </w:rPr>
        <w:t xml:space="preserve">almost no </w:t>
      </w:r>
      <w:r w:rsidR="005D3530" w:rsidRPr="00122187">
        <w:rPr>
          <w:lang w:val="en-GB"/>
        </w:rPr>
        <w:t>degree of mixing (Figure 4d</w:t>
      </w:r>
      <w:r w:rsidR="009C3F8B" w:rsidRPr="00122187">
        <w:rPr>
          <w:lang w:val="en-GB"/>
        </w:rPr>
        <w:t xml:space="preserve">). </w:t>
      </w:r>
      <w:r w:rsidR="000A5A33">
        <w:rPr>
          <w:lang w:val="en-GB"/>
        </w:rPr>
        <w:t>The</w:t>
      </w:r>
      <w:r w:rsidR="009C3F8B" w:rsidRPr="00122187">
        <w:rPr>
          <w:lang w:val="en-GB"/>
        </w:rPr>
        <w:t xml:space="preserve"> T-mixer</w:t>
      </w:r>
      <w:r w:rsidR="005D3530" w:rsidRPr="00122187">
        <w:rPr>
          <w:lang w:val="en-GB"/>
        </w:rPr>
        <w:t xml:space="preserve"> with trapezoidal cross-section</w:t>
      </w:r>
      <w:r w:rsidR="00625EA8">
        <w:rPr>
          <w:lang w:val="en-GB"/>
        </w:rPr>
        <w:t>s</w:t>
      </w:r>
      <w:r w:rsidR="009C3F8B" w:rsidRPr="00122187">
        <w:rPr>
          <w:lang w:val="en-GB"/>
        </w:rPr>
        <w:t xml:space="preserve"> shows </w:t>
      </w:r>
      <w:r w:rsidR="000A5A33">
        <w:rPr>
          <w:lang w:val="en-GB"/>
        </w:rPr>
        <w:t xml:space="preserve">also </w:t>
      </w:r>
      <w:r w:rsidR="009C3F8B" w:rsidRPr="00122187">
        <w:rPr>
          <w:lang w:val="en-GB"/>
        </w:rPr>
        <w:t>a segregated flow, albeit some degree of m</w:t>
      </w:r>
      <w:r w:rsidR="005D3530" w:rsidRPr="00122187">
        <w:rPr>
          <w:lang w:val="en-GB"/>
        </w:rPr>
        <w:t>ixing can be observed (Figure 4a</w:t>
      </w:r>
      <w:r w:rsidR="009C3F8B" w:rsidRPr="00122187">
        <w:rPr>
          <w:lang w:val="en-GB"/>
        </w:rPr>
        <w:t xml:space="preserve">).  </w:t>
      </w:r>
      <w:r w:rsidR="004D243A">
        <w:rPr>
          <w:lang w:val="en-GB"/>
        </w:rPr>
        <w:t xml:space="preserve">By </w:t>
      </w:r>
      <w:r w:rsidR="009C3F8B" w:rsidRPr="00122187">
        <w:rPr>
          <w:lang w:val="en-GB"/>
        </w:rPr>
        <w:t>increasing</w:t>
      </w:r>
      <w:r w:rsidR="00877021">
        <w:rPr>
          <w:lang w:val="en-GB"/>
        </w:rPr>
        <w:t xml:space="preserve"> the flow rate, the flow in the T-mixer with </w:t>
      </w:r>
      <w:r w:rsidR="00877021" w:rsidRPr="00122187">
        <w:rPr>
          <w:lang w:val="en-GB"/>
        </w:rPr>
        <w:t xml:space="preserve">square inlet cross-sections </w:t>
      </w:r>
      <w:r w:rsidR="009C3F8B" w:rsidRPr="00122187">
        <w:rPr>
          <w:lang w:val="en-GB"/>
        </w:rPr>
        <w:t xml:space="preserve">undergoes a transition to the </w:t>
      </w:r>
      <w:r w:rsidR="00877021">
        <w:rPr>
          <w:lang w:val="en-GB"/>
        </w:rPr>
        <w:t>engulfment regime, leading to a sudden</w:t>
      </w:r>
      <w:r w:rsidR="009C3F8B" w:rsidRPr="00122187">
        <w:rPr>
          <w:lang w:val="en-GB"/>
        </w:rPr>
        <w:t xml:space="preserve"> increase of </w:t>
      </w:r>
      <w:r w:rsidR="00FA00C1" w:rsidRPr="00122187">
        <w:rPr>
          <w:lang w:val="en-GB"/>
        </w:rPr>
        <w:t xml:space="preserve">the </w:t>
      </w:r>
      <w:r w:rsidR="005D3530" w:rsidRPr="00122187">
        <w:rPr>
          <w:lang w:val="en-GB"/>
        </w:rPr>
        <w:t>degree of mixing (see Figure 4e</w:t>
      </w:r>
      <w:r w:rsidR="009C3F8B" w:rsidRPr="00122187">
        <w:rPr>
          <w:lang w:val="en-GB"/>
        </w:rPr>
        <w:t xml:space="preserve"> at </w:t>
      </w:r>
      <w:r w:rsidR="009C3F8B" w:rsidRPr="002E39DC">
        <w:rPr>
          <w:i/>
          <w:lang w:val="en-GB"/>
        </w:rPr>
        <w:t>Re</w:t>
      </w:r>
      <w:r w:rsidR="00877021">
        <w:rPr>
          <w:i/>
          <w:lang w:val="en-GB"/>
        </w:rPr>
        <w:t xml:space="preserve"> </w:t>
      </w:r>
      <w:r w:rsidR="005D3530" w:rsidRPr="00122187">
        <w:rPr>
          <w:lang w:val="en-GB"/>
        </w:rPr>
        <w:t>=</w:t>
      </w:r>
      <w:r w:rsidR="00877021">
        <w:rPr>
          <w:lang w:val="en-GB"/>
        </w:rPr>
        <w:t xml:space="preserve"> </w:t>
      </w:r>
      <w:r w:rsidR="005D3530" w:rsidRPr="00122187">
        <w:rPr>
          <w:lang w:val="en-GB"/>
        </w:rPr>
        <w:t>20</w:t>
      </w:r>
      <w:r w:rsidR="009C3F8B" w:rsidRPr="00122187">
        <w:rPr>
          <w:lang w:val="en-GB"/>
        </w:rPr>
        <w:t>0).  Conversely the flow in the T-mixer with trapezoidal cross</w:t>
      </w:r>
      <w:r w:rsidR="00877021">
        <w:rPr>
          <w:lang w:val="en-GB"/>
        </w:rPr>
        <w:t>-sections</w:t>
      </w:r>
      <w:r w:rsidR="009C3F8B" w:rsidRPr="00122187">
        <w:rPr>
          <w:lang w:val="en-GB"/>
        </w:rPr>
        <w:t xml:space="preserve"> appears to </w:t>
      </w:r>
      <w:r w:rsidR="00FA00C1" w:rsidRPr="00122187">
        <w:rPr>
          <w:lang w:val="en-GB"/>
        </w:rPr>
        <w:t xml:space="preserve">remain </w:t>
      </w:r>
      <w:r w:rsidR="009C3F8B" w:rsidRPr="00122187">
        <w:rPr>
          <w:lang w:val="en-GB"/>
        </w:rPr>
        <w:t>segregated, although presenting some mixing</w:t>
      </w:r>
      <w:r w:rsidR="005D3530" w:rsidRPr="00122187">
        <w:rPr>
          <w:lang w:val="en-GB"/>
        </w:rPr>
        <w:t xml:space="preserve"> </w:t>
      </w:r>
      <w:r w:rsidR="000A235B" w:rsidRPr="00122187">
        <w:rPr>
          <w:lang w:val="en-GB"/>
        </w:rPr>
        <w:t>(see Figure 4b</w:t>
      </w:r>
      <w:r w:rsidR="005D3530" w:rsidRPr="00122187">
        <w:rPr>
          <w:lang w:val="en-GB"/>
        </w:rPr>
        <w:t xml:space="preserve"> at </w:t>
      </w:r>
      <w:r w:rsidR="005D3530" w:rsidRPr="002E39DC">
        <w:rPr>
          <w:i/>
          <w:lang w:val="en-GB"/>
        </w:rPr>
        <w:t>Re</w:t>
      </w:r>
      <w:r w:rsidR="00877021">
        <w:rPr>
          <w:i/>
          <w:lang w:val="en-GB"/>
        </w:rPr>
        <w:t xml:space="preserve"> </w:t>
      </w:r>
      <w:r w:rsidR="005D3530" w:rsidRPr="00122187">
        <w:rPr>
          <w:lang w:val="en-GB"/>
        </w:rPr>
        <w:t>=</w:t>
      </w:r>
      <w:r w:rsidR="00877021">
        <w:rPr>
          <w:lang w:val="en-GB"/>
        </w:rPr>
        <w:t xml:space="preserve"> </w:t>
      </w:r>
      <w:r w:rsidR="005D3530" w:rsidRPr="00122187">
        <w:rPr>
          <w:lang w:val="en-GB"/>
        </w:rPr>
        <w:t>200</w:t>
      </w:r>
      <w:r w:rsidR="000A235B" w:rsidRPr="00122187">
        <w:rPr>
          <w:lang w:val="en-GB"/>
        </w:rPr>
        <w:t xml:space="preserve"> and Figure 4c at </w:t>
      </w:r>
      <w:r w:rsidR="000A235B" w:rsidRPr="002E39DC">
        <w:rPr>
          <w:i/>
          <w:lang w:val="en-GB"/>
        </w:rPr>
        <w:t>Re</w:t>
      </w:r>
      <w:r w:rsidR="00877021">
        <w:rPr>
          <w:i/>
          <w:lang w:val="en-GB"/>
        </w:rPr>
        <w:t xml:space="preserve"> </w:t>
      </w:r>
      <w:r w:rsidR="000A235B" w:rsidRPr="00122187">
        <w:rPr>
          <w:lang w:val="en-GB"/>
        </w:rPr>
        <w:t>=</w:t>
      </w:r>
      <w:r w:rsidR="00877021">
        <w:rPr>
          <w:lang w:val="en-GB"/>
        </w:rPr>
        <w:t xml:space="preserve">  </w:t>
      </w:r>
      <w:r w:rsidR="000A235B" w:rsidRPr="00122187">
        <w:rPr>
          <w:lang w:val="en-GB"/>
        </w:rPr>
        <w:t>300)</w:t>
      </w:r>
      <w:r w:rsidR="009C3F8B" w:rsidRPr="00122187">
        <w:rPr>
          <w:lang w:val="en-GB"/>
        </w:rPr>
        <w:t xml:space="preserve">. The </w:t>
      </w:r>
      <w:r w:rsidR="000A235B" w:rsidRPr="00122187">
        <w:rPr>
          <w:lang w:val="en-GB"/>
        </w:rPr>
        <w:t xml:space="preserve">corresponding </w:t>
      </w:r>
      <w:r w:rsidR="00613658">
        <w:rPr>
          <w:lang w:val="en-GB"/>
        </w:rPr>
        <w:t xml:space="preserve">in-plane </w:t>
      </w:r>
      <w:r w:rsidR="009F0369" w:rsidRPr="00122187">
        <w:rPr>
          <w:lang w:val="en-GB"/>
        </w:rPr>
        <w:t>velocity</w:t>
      </w:r>
      <w:r w:rsidR="000A235B" w:rsidRPr="00122187">
        <w:rPr>
          <w:lang w:val="en-GB"/>
        </w:rPr>
        <w:t xml:space="preserve"> </w:t>
      </w:r>
      <w:r w:rsidR="00877021">
        <w:rPr>
          <w:lang w:val="en-GB"/>
        </w:rPr>
        <w:t xml:space="preserve">vectors and </w:t>
      </w:r>
      <w:r w:rsidR="00613658">
        <w:rPr>
          <w:lang w:val="en-GB"/>
        </w:rPr>
        <w:t>normal</w:t>
      </w:r>
      <w:r w:rsidR="00877021">
        <w:rPr>
          <w:lang w:val="en-GB"/>
        </w:rPr>
        <w:t xml:space="preserve"> vorticity</w:t>
      </w:r>
      <w:r w:rsidR="000A235B" w:rsidRPr="00122187">
        <w:rPr>
          <w:lang w:val="en-GB"/>
        </w:rPr>
        <w:t xml:space="preserve"> </w:t>
      </w:r>
      <w:r w:rsidR="000A5A33">
        <w:rPr>
          <w:lang w:val="en-GB"/>
        </w:rPr>
        <w:t xml:space="preserve">in the </w:t>
      </w:r>
      <w:r w:rsidR="00877021">
        <w:rPr>
          <w:lang w:val="en-GB"/>
        </w:rPr>
        <w:t xml:space="preserve">same </w:t>
      </w:r>
      <w:r w:rsidR="000A5A33">
        <w:rPr>
          <w:lang w:val="en-GB"/>
        </w:rPr>
        <w:t xml:space="preserve">mixing channel </w:t>
      </w:r>
      <w:r w:rsidR="000A235B" w:rsidRPr="00122187">
        <w:rPr>
          <w:lang w:val="en-GB"/>
        </w:rPr>
        <w:t>cross-section are shown in Figure 5</w:t>
      </w:r>
      <w:r w:rsidR="000A5A33">
        <w:rPr>
          <w:lang w:val="en-GB"/>
        </w:rPr>
        <w:t xml:space="preserve">. At </w:t>
      </w:r>
      <w:r w:rsidR="000A5A33" w:rsidRPr="002E39DC">
        <w:rPr>
          <w:i/>
          <w:lang w:val="en-GB"/>
        </w:rPr>
        <w:t>Re</w:t>
      </w:r>
      <w:r w:rsidR="00625EA8">
        <w:rPr>
          <w:i/>
          <w:lang w:val="en-GB"/>
        </w:rPr>
        <w:t xml:space="preserve"> </w:t>
      </w:r>
      <w:r w:rsidR="000A5A33">
        <w:rPr>
          <w:lang w:val="en-GB"/>
        </w:rPr>
        <w:t>=</w:t>
      </w:r>
      <w:r w:rsidR="00625EA8">
        <w:rPr>
          <w:lang w:val="en-GB"/>
        </w:rPr>
        <w:t xml:space="preserve"> </w:t>
      </w:r>
      <w:r w:rsidR="000A5A33">
        <w:rPr>
          <w:lang w:val="en-GB"/>
        </w:rPr>
        <w:t>100</w:t>
      </w:r>
      <w:r w:rsidR="00613658">
        <w:rPr>
          <w:lang w:val="en-GB"/>
        </w:rPr>
        <w:t xml:space="preserve"> for the</w:t>
      </w:r>
      <w:r w:rsidR="00613658" w:rsidRPr="00613658">
        <w:rPr>
          <w:lang w:val="en-GB"/>
        </w:rPr>
        <w:t xml:space="preserve"> </w:t>
      </w:r>
      <w:r w:rsidR="00613658">
        <w:rPr>
          <w:lang w:val="en-GB"/>
        </w:rPr>
        <w:t>T-mixer with square inlet cross-</w:t>
      </w:r>
      <w:r w:rsidR="00613658" w:rsidRPr="00122187">
        <w:rPr>
          <w:lang w:val="en-GB"/>
        </w:rPr>
        <w:t>sections</w:t>
      </w:r>
      <w:r w:rsidR="00613658">
        <w:rPr>
          <w:lang w:val="en-GB"/>
        </w:rPr>
        <w:t>,</w:t>
      </w:r>
      <w:r w:rsidR="000A5A33">
        <w:rPr>
          <w:lang w:val="en-GB"/>
        </w:rPr>
        <w:t xml:space="preserve"> </w:t>
      </w:r>
      <w:r w:rsidR="00613658">
        <w:rPr>
          <w:lang w:val="en-GB"/>
        </w:rPr>
        <w:t xml:space="preserve">they indicate the presence of two pairs of two weak counter-rotating vortices of equal strengths (see Figure 5d), thus exhibiting a double mirror symmetry. </w:t>
      </w:r>
      <w:r w:rsidR="000A5A33">
        <w:rPr>
          <w:lang w:val="en-GB"/>
        </w:rPr>
        <w:t xml:space="preserve">Instead, the flow in the mixer with trapezoidal cross-sections presents </w:t>
      </w:r>
      <w:r w:rsidR="00613658">
        <w:rPr>
          <w:lang w:val="en-GB"/>
        </w:rPr>
        <w:t xml:space="preserve">only two stronger counter-rotating vortices with </w:t>
      </w:r>
      <w:r w:rsidR="000A5A33">
        <w:rPr>
          <w:lang w:val="en-GB"/>
        </w:rPr>
        <w:t xml:space="preserve">a single mirror symmetry. </w:t>
      </w:r>
      <w:r w:rsidR="00ED17C7">
        <w:rPr>
          <w:lang w:val="en-GB"/>
        </w:rPr>
        <w:t>F</w:t>
      </w:r>
      <w:r w:rsidR="000A5A33">
        <w:rPr>
          <w:lang w:val="en-GB"/>
        </w:rPr>
        <w:t xml:space="preserve">urther increasing </w:t>
      </w:r>
      <w:r w:rsidR="000A5A33" w:rsidRPr="00ED17C7">
        <w:rPr>
          <w:i/>
          <w:lang w:val="en-GB"/>
        </w:rPr>
        <w:t>Re</w:t>
      </w:r>
      <w:r w:rsidR="000A5A33">
        <w:rPr>
          <w:lang w:val="en-GB"/>
        </w:rPr>
        <w:t xml:space="preserve">, the </w:t>
      </w:r>
      <w:r w:rsidR="009C3F8B" w:rsidRPr="00122187">
        <w:rPr>
          <w:lang w:val="en-GB"/>
        </w:rPr>
        <w:t xml:space="preserve">flow </w:t>
      </w:r>
      <w:r w:rsidR="000A5A33">
        <w:rPr>
          <w:lang w:val="en-GB"/>
        </w:rPr>
        <w:t>i</w:t>
      </w:r>
      <w:r w:rsidR="00ED17C7">
        <w:rPr>
          <w:lang w:val="en-GB"/>
        </w:rPr>
        <w:t>n</w:t>
      </w:r>
      <w:r w:rsidR="000A5A33">
        <w:rPr>
          <w:lang w:val="en-GB"/>
        </w:rPr>
        <w:t xml:space="preserve"> </w:t>
      </w:r>
      <w:r w:rsidR="00ED17C7">
        <w:rPr>
          <w:lang w:val="en-GB"/>
        </w:rPr>
        <w:t xml:space="preserve">such </w:t>
      </w:r>
      <w:r w:rsidR="000A5A33">
        <w:rPr>
          <w:lang w:val="en-GB"/>
        </w:rPr>
        <w:t xml:space="preserve">mixer </w:t>
      </w:r>
      <w:r w:rsidR="009C3F8B" w:rsidRPr="00122187">
        <w:rPr>
          <w:lang w:val="en-GB"/>
        </w:rPr>
        <w:t xml:space="preserve">is unable to break </w:t>
      </w:r>
      <w:r w:rsidR="000A5A33">
        <w:rPr>
          <w:lang w:val="en-GB"/>
        </w:rPr>
        <w:t>this</w:t>
      </w:r>
      <w:r w:rsidR="009C3F8B" w:rsidRPr="00122187">
        <w:rPr>
          <w:lang w:val="en-GB"/>
        </w:rPr>
        <w:t xml:space="preserve"> </w:t>
      </w:r>
      <w:r w:rsidR="009F0369" w:rsidRPr="00122187">
        <w:rPr>
          <w:lang w:val="en-GB"/>
        </w:rPr>
        <w:t>mirror symmetry with re</w:t>
      </w:r>
      <w:r w:rsidR="009C3F8B" w:rsidRPr="00122187">
        <w:rPr>
          <w:lang w:val="en-GB"/>
        </w:rPr>
        <w:t>s</w:t>
      </w:r>
      <w:r w:rsidR="009F0369" w:rsidRPr="00122187">
        <w:rPr>
          <w:lang w:val="en-GB"/>
        </w:rPr>
        <w:t>p</w:t>
      </w:r>
      <w:r w:rsidR="009C3F8B" w:rsidRPr="00122187">
        <w:rPr>
          <w:lang w:val="en-GB"/>
        </w:rPr>
        <w:t xml:space="preserve">ect to the </w:t>
      </w:r>
      <w:r w:rsidR="00DF17B2" w:rsidRPr="00122187">
        <w:rPr>
          <w:lang w:val="en-GB"/>
        </w:rPr>
        <w:t xml:space="preserve">channel </w:t>
      </w:r>
      <w:r w:rsidR="009C3F8B" w:rsidRPr="00122187">
        <w:rPr>
          <w:lang w:val="en-GB"/>
        </w:rPr>
        <w:t>mid</w:t>
      </w:r>
      <w:r w:rsidR="00C104AE" w:rsidRPr="00122187">
        <w:rPr>
          <w:lang w:val="en-GB"/>
        </w:rPr>
        <w:t>-</w:t>
      </w:r>
      <w:r w:rsidR="009C3F8B" w:rsidRPr="00122187">
        <w:rPr>
          <w:lang w:val="en-GB"/>
        </w:rPr>
        <w:t>plane</w:t>
      </w:r>
      <w:r w:rsidR="000A5A33">
        <w:rPr>
          <w:lang w:val="en-GB"/>
        </w:rPr>
        <w:t xml:space="preserve"> (see Figure 5b at </w:t>
      </w:r>
      <w:r w:rsidR="000A5A33" w:rsidRPr="002E39DC">
        <w:rPr>
          <w:i/>
          <w:lang w:val="en-GB"/>
        </w:rPr>
        <w:t>Re</w:t>
      </w:r>
      <w:r w:rsidR="000A5A33">
        <w:rPr>
          <w:lang w:val="en-GB"/>
        </w:rPr>
        <w:t xml:space="preserve">=200 and Figure 5c at </w:t>
      </w:r>
      <w:r w:rsidR="000A5A33" w:rsidRPr="002E39DC">
        <w:rPr>
          <w:i/>
          <w:lang w:val="en-GB"/>
        </w:rPr>
        <w:t>Re</w:t>
      </w:r>
      <w:r w:rsidR="000A5A33">
        <w:rPr>
          <w:lang w:val="en-GB"/>
        </w:rPr>
        <w:t xml:space="preserve">=300). </w:t>
      </w:r>
      <w:r w:rsidR="000A5A33" w:rsidRPr="00122187">
        <w:rPr>
          <w:lang w:val="en-GB"/>
        </w:rPr>
        <w:t xml:space="preserve"> </w:t>
      </w:r>
      <w:r w:rsidR="000A5A33">
        <w:rPr>
          <w:lang w:val="en-GB"/>
        </w:rPr>
        <w:t xml:space="preserve">Conversely, the flow at </w:t>
      </w:r>
      <w:r w:rsidR="000A5A33" w:rsidRPr="002E39DC">
        <w:rPr>
          <w:i/>
          <w:lang w:val="en-GB"/>
        </w:rPr>
        <w:t>Re</w:t>
      </w:r>
      <w:r w:rsidR="000A5A33">
        <w:rPr>
          <w:lang w:val="en-GB"/>
        </w:rPr>
        <w:t>=200 in the mixer with square inlet cross-section</w:t>
      </w:r>
      <w:r w:rsidR="00613658">
        <w:rPr>
          <w:lang w:val="en-GB"/>
        </w:rPr>
        <w:t>s</w:t>
      </w:r>
      <w:r w:rsidR="000A5A33">
        <w:rPr>
          <w:lang w:val="en-GB"/>
        </w:rPr>
        <w:t xml:space="preserve"> </w:t>
      </w:r>
      <w:r w:rsidR="00613658">
        <w:rPr>
          <w:lang w:val="en-GB"/>
        </w:rPr>
        <w:t>clearly presents a</w:t>
      </w:r>
      <w:r w:rsidR="000A5A33">
        <w:rPr>
          <w:lang w:val="en-GB"/>
        </w:rPr>
        <w:t xml:space="preserve"> break</w:t>
      </w:r>
      <w:r w:rsidR="00613658">
        <w:rPr>
          <w:lang w:val="en-GB"/>
        </w:rPr>
        <w:t>ing</w:t>
      </w:r>
      <w:r w:rsidR="000A5A33">
        <w:rPr>
          <w:lang w:val="en-GB"/>
        </w:rPr>
        <w:t xml:space="preserve"> of the flow symmetry (Figure 5e)</w:t>
      </w:r>
      <w:r w:rsidR="00613658">
        <w:rPr>
          <w:lang w:val="en-GB"/>
        </w:rPr>
        <w:t>, resulting in two strong co-rotating vortices</w:t>
      </w:r>
      <w:r w:rsidR="000A5A33">
        <w:rPr>
          <w:lang w:val="en-GB"/>
        </w:rPr>
        <w:t xml:space="preserve">. </w:t>
      </w:r>
    </w:p>
    <w:p w14:paraId="671B5B61" w14:textId="176CE54B" w:rsidR="00613658" w:rsidRDefault="00613658" w:rsidP="00CB5664">
      <w:pPr>
        <w:pStyle w:val="CETBodytext"/>
      </w:pPr>
      <w:r w:rsidRPr="00CB5664">
        <w:t>A better understanding of the mixing process can be achieved through the visualization of vortical structures in the mixer as reported in Figure 6. These v</w:t>
      </w:r>
      <w:r>
        <w:t>o</w:t>
      </w:r>
      <w:r w:rsidRPr="00CB5664">
        <w:t xml:space="preserve">rtical structures are identified through the </w:t>
      </w:r>
      <w:r w:rsidRPr="00DC00AF">
        <w:rPr>
          <w:rFonts w:ascii="Symbol" w:hAnsi="Symbol"/>
          <w:i/>
        </w:rPr>
        <w:t></w:t>
      </w:r>
      <w:r w:rsidRPr="00DC00AF">
        <w:rPr>
          <w:i/>
          <w:vertAlign w:val="subscript"/>
        </w:rPr>
        <w:t>2</w:t>
      </w:r>
      <w:r w:rsidRPr="00CB5664">
        <w:t>-criterion (Jeong and Hussain, 1995</w:t>
      </w:r>
      <w:r>
        <w:t>), which</w:t>
      </w:r>
      <w:r w:rsidRPr="00CB5664">
        <w:t xml:space="preserve"> defines a vortex as a connected fluid region where the second largest eigenvalue of the symmetric tensor </w:t>
      </w:r>
      <m:oMath>
        <m:r>
          <m:rPr>
            <m:sty m:val="bi"/>
          </m:rPr>
          <w:rPr>
            <w:rFonts w:ascii="Cambria Math" w:hAnsi="Cambria Math"/>
          </w:rPr>
          <m:t>L</m:t>
        </m:r>
        <m:r>
          <w:rPr>
            <w:rFonts w:ascii="Cambria Math" w:hAnsi="Cambria Math"/>
          </w:rPr>
          <m:t>=</m:t>
        </m:r>
        <m:r>
          <m:rPr>
            <m:sty m:val="bi"/>
          </m:rPr>
          <w:rPr>
            <w:rFonts w:ascii="Cambria Math" w:hAnsi="Cambria Math"/>
          </w:rPr>
          <m:t>S</m:t>
        </m:r>
        <m:r>
          <w:rPr>
            <w:rFonts w:ascii="Cambria Math" w:hAnsi="Cambria Math"/>
          </w:rPr>
          <m:t>⋅</m:t>
        </m:r>
        <m:r>
          <m:rPr>
            <m:sty m:val="bi"/>
          </m:rPr>
          <w:rPr>
            <w:rFonts w:ascii="Cambria Math" w:hAnsi="Cambria Math"/>
          </w:rPr>
          <m:t>S</m:t>
        </m:r>
        <m:r>
          <w:rPr>
            <w:rFonts w:ascii="Cambria Math" w:hAnsi="Cambria Math"/>
          </w:rPr>
          <m:t>+</m:t>
        </m:r>
        <m:r>
          <m:rPr>
            <m:sty m:val="bi"/>
          </m:rPr>
          <w:rPr>
            <w:rFonts w:ascii="Cambria Math" w:hAnsi="Cambria Math"/>
          </w:rPr>
          <m:t>A</m:t>
        </m:r>
        <m:r>
          <w:rPr>
            <w:rFonts w:ascii="Cambria Math" w:hAnsi="Cambria Math"/>
          </w:rPr>
          <m:t>⋅</m:t>
        </m:r>
        <m:r>
          <m:rPr>
            <m:sty m:val="bi"/>
          </m:rPr>
          <w:rPr>
            <w:rFonts w:ascii="Cambria Math" w:hAnsi="Cambria Math"/>
          </w:rPr>
          <m:t>A</m:t>
        </m:r>
      </m:oMath>
      <w:r w:rsidRPr="00CB5664">
        <w:t xml:space="preserve"> is negative. Here, </w:t>
      </w:r>
      <m:oMath>
        <m:r>
          <m:rPr>
            <m:sty m:val="bi"/>
          </m:rPr>
          <w:rPr>
            <w:rFonts w:ascii="Cambria Math" w:hAnsi="Cambria Math"/>
          </w:rPr>
          <m:t>S</m:t>
        </m:r>
      </m:oMath>
      <w:r w:rsidRPr="00CB5664">
        <w:t xml:space="preserve"> and </w:t>
      </w:r>
      <m:oMath>
        <m:r>
          <m:rPr>
            <m:sty m:val="bi"/>
          </m:rPr>
          <w:rPr>
            <w:rFonts w:ascii="Cambria Math" w:hAnsi="Cambria Math"/>
          </w:rPr>
          <m:t>A</m:t>
        </m:r>
      </m:oMath>
      <w:r w:rsidRPr="00CB5664">
        <w:t xml:space="preserve"> are the symmetric and anti-symmetric parts of the velocity gradient, i.e. the strain rate and vorticity tensors, respectively.</w:t>
      </w:r>
      <w:r w:rsidRPr="002E39DC">
        <w:t xml:space="preserve"> </w:t>
      </w:r>
    </w:p>
    <w:p w14:paraId="7ED8ED31" w14:textId="407B6779" w:rsidR="00662245" w:rsidRPr="00036C67" w:rsidRDefault="00036C67" w:rsidP="00662245">
      <w:pPr>
        <w:pStyle w:val="CETBodytextItalic"/>
        <w:jc w:val="center"/>
        <w:rPr>
          <w:i w:val="0"/>
        </w:rPr>
      </w:pPr>
      <w:r w:rsidRPr="00036C67">
        <w:rPr>
          <w:i w:val="0"/>
        </w:rPr>
        <w:t>(a)</w:t>
      </w:r>
      <w:r w:rsidRPr="00036C67">
        <w:rPr>
          <w:i w:val="0"/>
          <w:noProof/>
          <w:lang w:val="it-IT" w:eastAsia="it-IT"/>
        </w:rPr>
        <w:drawing>
          <wp:inline distT="0" distB="0" distL="0" distR="0" wp14:anchorId="09186EDB" wp14:editId="60ECC3E3">
            <wp:extent cx="1692000" cy="752708"/>
            <wp:effectExtent l="0" t="0" r="10160" b="9525"/>
            <wp:docPr id="3" name="Picture 3" descr="Re_%20(nessun%20oggetto)/Re100_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_%20(nessun%20oggetto)/Re100_scal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000" cy="752708"/>
                    </a:xfrm>
                    <a:prstGeom prst="rect">
                      <a:avLst/>
                    </a:prstGeom>
                    <a:noFill/>
                    <a:ln>
                      <a:noFill/>
                    </a:ln>
                  </pic:spPr>
                </pic:pic>
              </a:graphicData>
            </a:graphic>
          </wp:inline>
        </w:drawing>
      </w:r>
      <w:r w:rsidRPr="00036C67">
        <w:rPr>
          <w:i w:val="0"/>
        </w:rPr>
        <w:t>(b)</w:t>
      </w:r>
      <w:r w:rsidRPr="00036C67">
        <w:rPr>
          <w:i w:val="0"/>
          <w:noProof/>
          <w:lang w:val="it-IT" w:eastAsia="it-IT"/>
        </w:rPr>
        <w:drawing>
          <wp:inline distT="0" distB="0" distL="0" distR="0" wp14:anchorId="6160322E" wp14:editId="24E1CE4D">
            <wp:extent cx="1692000" cy="752708"/>
            <wp:effectExtent l="0" t="0" r="10160" b="9525"/>
            <wp:docPr id="7" name="Picture 7" descr="Re_%20(nessun%20oggetto)/Re200_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_%20(nessun%20oggetto)/Re200_scal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000" cy="752708"/>
                    </a:xfrm>
                    <a:prstGeom prst="rect">
                      <a:avLst/>
                    </a:prstGeom>
                    <a:noFill/>
                    <a:ln>
                      <a:noFill/>
                    </a:ln>
                  </pic:spPr>
                </pic:pic>
              </a:graphicData>
            </a:graphic>
          </wp:inline>
        </w:drawing>
      </w:r>
      <w:r w:rsidRPr="00036C67">
        <w:rPr>
          <w:i w:val="0"/>
        </w:rPr>
        <w:t>(c)</w:t>
      </w:r>
      <w:r w:rsidRPr="00036C67">
        <w:rPr>
          <w:i w:val="0"/>
          <w:noProof/>
          <w:lang w:val="it-IT" w:eastAsia="it-IT"/>
        </w:rPr>
        <w:drawing>
          <wp:inline distT="0" distB="0" distL="0" distR="0" wp14:anchorId="6C86DA53" wp14:editId="0890251D">
            <wp:extent cx="1692000" cy="752708"/>
            <wp:effectExtent l="0" t="0" r="10160" b="9525"/>
            <wp:docPr id="13" name="Picture 13" descr="Re_%20(nessun%20oggetto)/Re300_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_%20(nessun%20oggetto)/Re300_scal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000" cy="752708"/>
                    </a:xfrm>
                    <a:prstGeom prst="rect">
                      <a:avLst/>
                    </a:prstGeom>
                    <a:noFill/>
                    <a:ln>
                      <a:noFill/>
                    </a:ln>
                  </pic:spPr>
                </pic:pic>
              </a:graphicData>
            </a:graphic>
          </wp:inline>
        </w:drawing>
      </w:r>
    </w:p>
    <w:p w14:paraId="1CEC809C" w14:textId="138FE7C0" w:rsidR="00036C67" w:rsidRPr="00036C67" w:rsidRDefault="00036C67" w:rsidP="00036C67">
      <w:pPr>
        <w:pStyle w:val="CETBodytextItalic"/>
        <w:jc w:val="left"/>
        <w:rPr>
          <w:i w:val="0"/>
        </w:rPr>
      </w:pPr>
      <w:r w:rsidRPr="00036C67">
        <w:rPr>
          <w:i w:val="0"/>
        </w:rPr>
        <w:t>(d)</w:t>
      </w:r>
      <w:r w:rsidRPr="00036C67">
        <w:rPr>
          <w:i w:val="0"/>
          <w:noProof/>
          <w:lang w:val="it-IT" w:eastAsia="it-IT"/>
        </w:rPr>
        <w:drawing>
          <wp:inline distT="0" distB="0" distL="0" distR="0" wp14:anchorId="743E0E63" wp14:editId="75C2A85F">
            <wp:extent cx="1692000" cy="752707"/>
            <wp:effectExtent l="0" t="0" r="10160" b="9525"/>
            <wp:docPr id="14" name="Picture 14" descr="Re_%20(nessun%20oggetto)/T_Re100_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_%20(nessun%20oggetto)/T_Re100_scal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r w:rsidRPr="00036C67">
        <w:rPr>
          <w:i w:val="0"/>
        </w:rPr>
        <w:t>(e)</w:t>
      </w:r>
      <w:r w:rsidRPr="00036C67">
        <w:rPr>
          <w:i w:val="0"/>
          <w:noProof/>
          <w:lang w:val="it-IT" w:eastAsia="it-IT"/>
        </w:rPr>
        <w:drawing>
          <wp:inline distT="0" distB="0" distL="0" distR="0" wp14:anchorId="3E7CBA45" wp14:editId="3EEB1657">
            <wp:extent cx="1692000" cy="752707"/>
            <wp:effectExtent l="0" t="0" r="10160" b="9525"/>
            <wp:docPr id="15" name="Picture 15" descr="Re_%20(nessun%20oggetto)/T_Re200_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_%20(nessun%20oggetto)/T_Re200_scal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p>
    <w:p w14:paraId="6292B41B" w14:textId="6CA8BA17" w:rsidR="00662245" w:rsidRDefault="00662245" w:rsidP="00662245">
      <w:pPr>
        <w:pStyle w:val="CETCaption"/>
      </w:pPr>
      <w:r w:rsidRPr="00B57B36">
        <w:t xml:space="preserve">Figure </w:t>
      </w:r>
      <w:r>
        <w:t>4</w:t>
      </w:r>
      <w:r w:rsidRPr="00B57B36">
        <w:t xml:space="preserve">: </w:t>
      </w:r>
      <w:r w:rsidRPr="007B147A">
        <w:t>Dye distribution</w:t>
      </w:r>
      <w:r>
        <w:t xml:space="preserve"> (red=dye, blue=no dye)</w:t>
      </w:r>
      <w:r w:rsidRPr="007B147A">
        <w:t xml:space="preserve"> in the m</w:t>
      </w:r>
      <w:r>
        <w:t>ixing channel cross-section at y</w:t>
      </w:r>
      <w:r w:rsidRPr="007B147A">
        <w:t>/d</w:t>
      </w:r>
      <w:r w:rsidRPr="009A4E8F">
        <w:rPr>
          <w:vertAlign w:val="subscript"/>
        </w:rPr>
        <w:t>h</w:t>
      </w:r>
      <w:r w:rsidRPr="007B147A">
        <w:t xml:space="preserve">=10 obtained </w:t>
      </w:r>
      <w:r w:rsidR="00036C67">
        <w:t xml:space="preserve">for </w:t>
      </w:r>
      <w:r>
        <w:t>the T-mixers with</w:t>
      </w:r>
      <w:r w:rsidRPr="007B147A">
        <w:t xml:space="preserve"> (a,b,c)</w:t>
      </w:r>
      <w:r>
        <w:t xml:space="preserve"> trapezoidal and (d,e</w:t>
      </w:r>
      <w:r w:rsidRPr="007B147A">
        <w:t xml:space="preserve">) </w:t>
      </w:r>
      <w:r>
        <w:t>square inlet</w:t>
      </w:r>
      <w:r w:rsidRPr="007B147A">
        <w:t xml:space="preserve"> cross-sections at: (a</w:t>
      </w:r>
      <w:r>
        <w:t>,d</w:t>
      </w:r>
      <w:r w:rsidRPr="007B147A">
        <w:t>) Re=100; (b</w:t>
      </w:r>
      <w:r>
        <w:t>,e) Re=20</w:t>
      </w:r>
      <w:r w:rsidRPr="007B147A">
        <w:t>0; (c</w:t>
      </w:r>
      <w:r>
        <w:t>) Re=3</w:t>
      </w:r>
      <w:r w:rsidRPr="007B147A">
        <w:t>00.</w:t>
      </w:r>
    </w:p>
    <w:p w14:paraId="31145D21" w14:textId="482C58F8" w:rsidR="00662245" w:rsidRDefault="00036C67" w:rsidP="00662245">
      <w:pPr>
        <w:pStyle w:val="CETAcknowledgementstitle"/>
        <w:jc w:val="center"/>
        <w:rPr>
          <w:b w:val="0"/>
          <w:noProof/>
          <w:lang w:val="en-US"/>
        </w:rPr>
      </w:pPr>
      <w:r w:rsidRPr="00036C67">
        <w:rPr>
          <w:b w:val="0"/>
          <w:noProof/>
          <w:lang w:val="en-US"/>
        </w:rPr>
        <w:t>(a)</w:t>
      </w:r>
      <w:r>
        <w:rPr>
          <w:b w:val="0"/>
          <w:noProof/>
          <w:lang w:val="it-IT" w:eastAsia="it-IT"/>
        </w:rPr>
        <w:drawing>
          <wp:inline distT="0" distB="0" distL="0" distR="0" wp14:anchorId="1708C455" wp14:editId="6538EF7A">
            <wp:extent cx="1692000" cy="752707"/>
            <wp:effectExtent l="0" t="0" r="10160" b="9525"/>
            <wp:docPr id="16" name="Picture 16" descr="Re_%20(nessun%20oggetto)/Re100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_%20(nessun%20oggetto)/Re100_vecto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r>
        <w:rPr>
          <w:b w:val="0"/>
          <w:noProof/>
          <w:lang w:val="en-US"/>
        </w:rPr>
        <w:t>(b)</w:t>
      </w:r>
      <w:r>
        <w:rPr>
          <w:b w:val="0"/>
          <w:noProof/>
          <w:lang w:val="it-IT" w:eastAsia="it-IT"/>
        </w:rPr>
        <w:drawing>
          <wp:inline distT="0" distB="0" distL="0" distR="0" wp14:anchorId="77D50483" wp14:editId="27CB42CD">
            <wp:extent cx="1692000" cy="752707"/>
            <wp:effectExtent l="0" t="0" r="10160" b="9525"/>
            <wp:docPr id="17" name="Picture 17" descr="Re_%20(nessun%20oggetto)/Re200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_%20(nessun%20oggetto)/Re200_vecto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r>
        <w:rPr>
          <w:b w:val="0"/>
          <w:noProof/>
          <w:lang w:val="en-US"/>
        </w:rPr>
        <w:t>(c)</w:t>
      </w:r>
      <w:r>
        <w:rPr>
          <w:b w:val="0"/>
          <w:noProof/>
          <w:lang w:val="it-IT" w:eastAsia="it-IT"/>
        </w:rPr>
        <w:drawing>
          <wp:inline distT="0" distB="0" distL="0" distR="0" wp14:anchorId="0F1479D8" wp14:editId="4A68C46A">
            <wp:extent cx="1692000" cy="752707"/>
            <wp:effectExtent l="0" t="0" r="10160" b="9525"/>
            <wp:docPr id="18" name="Picture 18" descr="Re_%20(nessun%20oggetto)/Re300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_%20(nessun%20oggetto)/Re300_vecto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p>
    <w:p w14:paraId="3043EF4D" w14:textId="2088B51B" w:rsidR="00036C67" w:rsidRPr="00036C67" w:rsidRDefault="00036C67" w:rsidP="00036C67">
      <w:pPr>
        <w:pStyle w:val="CETBodytext"/>
      </w:pPr>
      <w:r>
        <w:t>(d)</w:t>
      </w:r>
      <w:r>
        <w:rPr>
          <w:noProof/>
          <w:lang w:val="it-IT" w:eastAsia="it-IT"/>
        </w:rPr>
        <w:drawing>
          <wp:inline distT="0" distB="0" distL="0" distR="0" wp14:anchorId="70AEEA86" wp14:editId="74CFDAB4">
            <wp:extent cx="1692000" cy="752707"/>
            <wp:effectExtent l="0" t="0" r="10160" b="9525"/>
            <wp:docPr id="19" name="Picture 19" descr="Re_%20(nessun%20oggetto)/T_Re100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_%20(nessun%20oggetto)/T_Re100_vect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r>
        <w:t>(e)</w:t>
      </w:r>
      <w:r>
        <w:rPr>
          <w:noProof/>
          <w:lang w:val="it-IT" w:eastAsia="it-IT"/>
        </w:rPr>
        <w:drawing>
          <wp:inline distT="0" distB="0" distL="0" distR="0" wp14:anchorId="440C7643" wp14:editId="64C592E9">
            <wp:extent cx="1692000" cy="752707"/>
            <wp:effectExtent l="0" t="0" r="10160" b="9525"/>
            <wp:docPr id="20" name="Picture 20" descr="Re_%20(nessun%20oggetto)/T_Re200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_%20(nessun%20oggetto)/T_Re200_vecto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2000" cy="752707"/>
                    </a:xfrm>
                    <a:prstGeom prst="rect">
                      <a:avLst/>
                    </a:prstGeom>
                    <a:noFill/>
                    <a:ln>
                      <a:noFill/>
                    </a:ln>
                  </pic:spPr>
                </pic:pic>
              </a:graphicData>
            </a:graphic>
          </wp:inline>
        </w:drawing>
      </w:r>
    </w:p>
    <w:p w14:paraId="75459559" w14:textId="41619945" w:rsidR="00662245" w:rsidRDefault="00662245" w:rsidP="00662245">
      <w:pPr>
        <w:pStyle w:val="CETCaption"/>
      </w:pPr>
      <w:r w:rsidRPr="00B57B36">
        <w:t xml:space="preserve">Figure </w:t>
      </w:r>
      <w:r>
        <w:t>5</w:t>
      </w:r>
      <w:r w:rsidRPr="00402E17">
        <w:t xml:space="preserve">: </w:t>
      </w:r>
      <w:r w:rsidR="00036C67">
        <w:t>I</w:t>
      </w:r>
      <w:r>
        <w:t xml:space="preserve">n-plane </w:t>
      </w:r>
      <w:r w:rsidR="00036C67">
        <w:t xml:space="preserve">velocity </w:t>
      </w:r>
      <w:r>
        <w:t>vecto</w:t>
      </w:r>
      <w:r w:rsidRPr="00402E17">
        <w:t>rs</w:t>
      </w:r>
      <w:r w:rsidR="00036C67">
        <w:t xml:space="preserve"> and normal vorticity distribution (1/s) </w:t>
      </w:r>
      <w:r w:rsidR="00036C67" w:rsidRPr="007B147A">
        <w:t>in the m</w:t>
      </w:r>
      <w:r w:rsidR="00036C67">
        <w:t>ixing channel cross-section at y</w:t>
      </w:r>
      <w:r w:rsidR="00036C67" w:rsidRPr="007B147A">
        <w:t>/d</w:t>
      </w:r>
      <w:r w:rsidR="00036C67" w:rsidRPr="009A4E8F">
        <w:rPr>
          <w:vertAlign w:val="subscript"/>
        </w:rPr>
        <w:t>h</w:t>
      </w:r>
      <w:r w:rsidR="00036C67">
        <w:t>=10</w:t>
      </w:r>
      <w:r w:rsidRPr="007B147A">
        <w:t xml:space="preserve"> obtained</w:t>
      </w:r>
      <w:r w:rsidR="00036C67">
        <w:t xml:space="preserve"> for </w:t>
      </w:r>
      <w:r>
        <w:t>the T-mixers with</w:t>
      </w:r>
      <w:r w:rsidRPr="007B147A">
        <w:t xml:space="preserve"> (a,b,c)</w:t>
      </w:r>
      <w:r>
        <w:t xml:space="preserve"> trapezoidal and (d,e</w:t>
      </w:r>
      <w:r w:rsidRPr="007B147A">
        <w:t xml:space="preserve">) </w:t>
      </w:r>
      <w:r>
        <w:t>square inlet</w:t>
      </w:r>
      <w:r w:rsidRPr="007B147A">
        <w:t xml:space="preserve"> cross-sections at: (a</w:t>
      </w:r>
      <w:r>
        <w:t>,d</w:t>
      </w:r>
      <w:r w:rsidRPr="007B147A">
        <w:t>) Re=100; (b</w:t>
      </w:r>
      <w:r>
        <w:t>,e) Re=20</w:t>
      </w:r>
      <w:r w:rsidRPr="007B147A">
        <w:t>0; (c</w:t>
      </w:r>
      <w:r>
        <w:t>) Re=3</w:t>
      </w:r>
      <w:r w:rsidRPr="007B147A">
        <w:t>00.</w:t>
      </w:r>
    </w:p>
    <w:p w14:paraId="7C7547C0" w14:textId="4FBA17A0" w:rsidR="00A41A75" w:rsidRPr="002E39DC" w:rsidRDefault="00613658" w:rsidP="004A3BB1">
      <w:pPr>
        <w:pStyle w:val="CETBodytext"/>
      </w:pPr>
      <w:r w:rsidRPr="00662245">
        <w:t xml:space="preserve">Figure 6a shows 3 views (including front and top views) of the vortical structures in the T-mixer with trapezoidal cross-sections at </w:t>
      </w:r>
      <w:r w:rsidRPr="00613658">
        <w:rPr>
          <w:i/>
        </w:rPr>
        <w:t>Re</w:t>
      </w:r>
      <w:r w:rsidR="00DC00AF">
        <w:rPr>
          <w:i/>
        </w:rPr>
        <w:t xml:space="preserve"> </w:t>
      </w:r>
      <w:r w:rsidRPr="00662245">
        <w:t>=</w:t>
      </w:r>
      <w:r w:rsidR="00DC00AF">
        <w:t xml:space="preserve"> </w:t>
      </w:r>
      <w:r w:rsidRPr="00662245">
        <w:t xml:space="preserve">100, while in Figure 6d the vortical structures in the T-mixer with square inlets are reported for sake of comparison.  For more details about the flow </w:t>
      </w:r>
      <w:r w:rsidR="00DC00AF" w:rsidRPr="00662245">
        <w:t>behavior</w:t>
      </w:r>
      <w:r w:rsidRPr="00662245">
        <w:t xml:space="preserve"> in the T-mixer with square inlets, please see Mariotti et al. (2018).  </w:t>
      </w:r>
      <w:r w:rsidR="00716636" w:rsidRPr="002E39DC">
        <w:t xml:space="preserve">The flow at </w:t>
      </w:r>
      <w:r w:rsidR="002E39DC" w:rsidRPr="002E39DC">
        <w:rPr>
          <w:i/>
        </w:rPr>
        <w:t>Re</w:t>
      </w:r>
      <w:r>
        <w:rPr>
          <w:i/>
        </w:rPr>
        <w:t xml:space="preserve"> </w:t>
      </w:r>
      <w:r w:rsidR="00716636" w:rsidRPr="002E39DC">
        <w:t>=</w:t>
      </w:r>
      <w:r w:rsidR="00DC00AF">
        <w:t xml:space="preserve"> </w:t>
      </w:r>
      <w:r w:rsidR="00716636" w:rsidRPr="002E39DC">
        <w:t>100 in this latter</w:t>
      </w:r>
      <w:r w:rsidR="00876104" w:rsidRPr="002E39DC">
        <w:t xml:space="preserve"> mixer </w:t>
      </w:r>
      <w:r w:rsidR="003F2078" w:rsidRPr="002E39DC">
        <w:t xml:space="preserve">is </w:t>
      </w:r>
      <w:r w:rsidR="000A235B" w:rsidRPr="002E39DC">
        <w:t>characterized</w:t>
      </w:r>
      <w:r w:rsidR="003F2078" w:rsidRPr="002E39DC">
        <w:t xml:space="preserve"> by a double pair of counter</w:t>
      </w:r>
      <w:r w:rsidR="00876104" w:rsidRPr="002E39DC">
        <w:t>-rotating vo</w:t>
      </w:r>
      <w:r w:rsidR="003F2078" w:rsidRPr="002E39DC">
        <w:t xml:space="preserve">rtices, leading to four legs </w:t>
      </w:r>
      <w:r w:rsidR="00B67E83" w:rsidRPr="002E39DC">
        <w:t xml:space="preserve">of equal strength </w:t>
      </w:r>
      <w:r w:rsidR="003F2078" w:rsidRPr="002E39DC">
        <w:t>in the mixing channel</w:t>
      </w:r>
      <w:r w:rsidR="00C104AE" w:rsidRPr="002E39DC">
        <w:t xml:space="preserve"> (vortex regime)</w:t>
      </w:r>
      <w:r w:rsidR="003F2078" w:rsidRPr="002E39DC">
        <w:t>. Instead, the T-mixer with trapezoidal cross-section</w:t>
      </w:r>
      <w:r w:rsidR="00876104" w:rsidRPr="002E39DC">
        <w:t>s</w:t>
      </w:r>
      <w:r w:rsidR="003F2078" w:rsidRPr="002E39DC">
        <w:t xml:space="preserve"> pres</w:t>
      </w:r>
      <w:r w:rsidR="002C260A">
        <w:t>ents two strong and two weak</w:t>
      </w:r>
      <w:r w:rsidR="003F2078" w:rsidRPr="002E39DC">
        <w:t xml:space="preserve"> legs, still p</w:t>
      </w:r>
      <w:r w:rsidR="00B67E83" w:rsidRPr="002E39DC">
        <w:t>r</w:t>
      </w:r>
      <w:r w:rsidR="003F2078" w:rsidRPr="002E39DC">
        <w:t xml:space="preserve">eserving the mirror symmetry with respect to the </w:t>
      </w:r>
      <w:r w:rsidR="00C104AE" w:rsidRPr="002E39DC">
        <w:t>channel mid-</w:t>
      </w:r>
      <w:r w:rsidR="003F2078" w:rsidRPr="002E39DC">
        <w:t>plane</w:t>
      </w:r>
      <w:r w:rsidR="00DC00AF">
        <w:t>. Only the two strongest</w:t>
      </w:r>
      <w:r w:rsidR="002C260A">
        <w:t xml:space="preserve"> legs survive in the mixing channel, leading to the normal vorticity distribution of </w:t>
      </w:r>
      <w:r w:rsidR="002C260A">
        <w:rPr>
          <w:lang w:val="en-GB"/>
        </w:rPr>
        <w:t>Figure 5a at</w:t>
      </w:r>
      <w:r w:rsidR="002C260A">
        <w:t xml:space="preserve"> </w:t>
      </w:r>
      <w:r w:rsidR="002C260A" w:rsidRPr="002E39DC">
        <w:rPr>
          <w:i/>
          <w:lang w:val="en-GB"/>
        </w:rPr>
        <w:t>y</w:t>
      </w:r>
      <w:r w:rsidR="00DC00AF">
        <w:rPr>
          <w:i/>
          <w:lang w:val="en-GB"/>
        </w:rPr>
        <w:t xml:space="preserve"> </w:t>
      </w:r>
      <w:r w:rsidR="002C260A" w:rsidRPr="00122187">
        <w:rPr>
          <w:lang w:val="en-GB"/>
        </w:rPr>
        <w:t>=</w:t>
      </w:r>
      <w:r w:rsidR="00DC00AF">
        <w:rPr>
          <w:lang w:val="en-GB"/>
        </w:rPr>
        <w:t xml:space="preserve"> </w:t>
      </w:r>
      <w:r w:rsidR="002C260A" w:rsidRPr="00122187">
        <w:rPr>
          <w:lang w:val="en-GB"/>
        </w:rPr>
        <w:t>10</w:t>
      </w:r>
      <w:r w:rsidR="002C260A" w:rsidRPr="002E39DC">
        <w:rPr>
          <w:i/>
          <w:lang w:val="en-GB"/>
        </w:rPr>
        <w:t>d</w:t>
      </w:r>
      <w:r w:rsidR="002C260A" w:rsidRPr="002E39DC">
        <w:rPr>
          <w:i/>
          <w:vertAlign w:val="subscript"/>
          <w:lang w:val="en-GB"/>
        </w:rPr>
        <w:t>h</w:t>
      </w:r>
      <w:r w:rsidR="002C260A">
        <w:rPr>
          <w:lang w:val="en-GB"/>
        </w:rPr>
        <w:t xml:space="preserve">. </w:t>
      </w:r>
      <w:r w:rsidR="002C260A">
        <w:t xml:space="preserve"> </w:t>
      </w:r>
      <w:r w:rsidR="003F2078" w:rsidRPr="002E39DC">
        <w:t xml:space="preserve">At </w:t>
      </w:r>
      <w:r w:rsidR="002E39DC" w:rsidRPr="002E39DC">
        <w:rPr>
          <w:i/>
        </w:rPr>
        <w:t>Re</w:t>
      </w:r>
      <w:r w:rsidR="00DC00AF">
        <w:rPr>
          <w:i/>
        </w:rPr>
        <w:t xml:space="preserve"> </w:t>
      </w:r>
      <w:r w:rsidR="003F2078" w:rsidRPr="002E39DC">
        <w:t>=</w:t>
      </w:r>
      <w:r w:rsidR="00DC00AF">
        <w:t xml:space="preserve"> </w:t>
      </w:r>
      <w:r w:rsidR="003F2078" w:rsidRPr="002E39DC">
        <w:t>200 the T-mixer with square inlet</w:t>
      </w:r>
      <w:r w:rsidR="002C260A">
        <w:t xml:space="preserve"> cross-section</w:t>
      </w:r>
      <w:r w:rsidR="003F2078" w:rsidRPr="002E39DC">
        <w:t>s shows a tilting of the vortical structures at the top the mixer,</w:t>
      </w:r>
      <w:r w:rsidR="00DC00AF">
        <w:t xml:space="preserve"> which leads</w:t>
      </w:r>
      <w:r w:rsidR="003F2078" w:rsidRPr="002E39DC">
        <w:t xml:space="preserve"> t</w:t>
      </w:r>
      <w:r w:rsidR="00DC00AF">
        <w:t xml:space="preserve">o the formation of two strong </w:t>
      </w:r>
      <w:r w:rsidR="003F2078" w:rsidRPr="002E39DC">
        <w:t xml:space="preserve">and </w:t>
      </w:r>
      <w:r w:rsidR="00B67E83" w:rsidRPr="002E39DC">
        <w:t xml:space="preserve">two </w:t>
      </w:r>
      <w:r w:rsidR="00DC00AF">
        <w:t>weak</w:t>
      </w:r>
      <w:r w:rsidR="003F2078" w:rsidRPr="002E39DC">
        <w:t xml:space="preserve"> co-rotating legs in the mixing channel, with only the strongest legs surviving in the channel</w:t>
      </w:r>
      <w:r w:rsidR="00DC00AF">
        <w:t>. T</w:t>
      </w:r>
      <w:r w:rsidR="003F2078" w:rsidRPr="002E39DC">
        <w:t>he mirror symmetry is lost</w:t>
      </w:r>
      <w:r w:rsidR="00A41A75" w:rsidRPr="002E39DC">
        <w:t xml:space="preserve"> (</w:t>
      </w:r>
      <w:r w:rsidR="006B488F" w:rsidRPr="002E39DC">
        <w:t xml:space="preserve">see </w:t>
      </w:r>
      <w:r w:rsidR="00A41A75" w:rsidRPr="002E39DC">
        <w:t>Figure 6</w:t>
      </w:r>
      <w:r w:rsidR="00E72578" w:rsidRPr="002E39DC">
        <w:t>e</w:t>
      </w:r>
      <w:r w:rsidR="00A41A75" w:rsidRPr="002E39DC">
        <w:t>)</w:t>
      </w:r>
      <w:r w:rsidR="003F2078" w:rsidRPr="002E39DC">
        <w:t xml:space="preserve">. </w:t>
      </w:r>
      <w:r w:rsidR="006B488F" w:rsidRPr="002E39DC">
        <w:t xml:space="preserve"> This is the engulfment regime and is characterized by a strong in</w:t>
      </w:r>
      <w:r w:rsidR="002C260A">
        <w:t>crease of mixing.</w:t>
      </w:r>
      <w:r w:rsidR="006B488F" w:rsidRPr="002E39DC">
        <w:t xml:space="preserve"> </w:t>
      </w:r>
      <w:r w:rsidR="003F2078" w:rsidRPr="002E39DC">
        <w:t>Instead, the T-mixer with trapezoidal cross-section</w:t>
      </w:r>
      <w:r w:rsidR="002C260A">
        <w:t>s</w:t>
      </w:r>
      <w:r w:rsidR="003F2078" w:rsidRPr="002E39DC">
        <w:t xml:space="preserve"> </w:t>
      </w:r>
      <w:r w:rsidR="00E72578" w:rsidRPr="002E39DC">
        <w:t>is unable to break the</w:t>
      </w:r>
      <w:r w:rsidR="003F2078" w:rsidRPr="002E39DC">
        <w:t xml:space="preserve"> mirror symmetry</w:t>
      </w:r>
      <w:r w:rsidR="00A41A75" w:rsidRPr="002E39DC">
        <w:t xml:space="preserve"> (Figure 6</w:t>
      </w:r>
      <w:r w:rsidR="00E72578" w:rsidRPr="002E39DC">
        <w:t>b</w:t>
      </w:r>
      <w:r w:rsidR="00A41A75" w:rsidRPr="002E39DC">
        <w:t>)</w:t>
      </w:r>
      <w:r w:rsidR="00E72578" w:rsidRPr="002E39DC">
        <w:t xml:space="preserve">, so that the mixing process is hampered. </w:t>
      </w:r>
      <w:r w:rsidR="003F2078" w:rsidRPr="002E39DC">
        <w:t xml:space="preserve"> </w:t>
      </w:r>
      <w:r w:rsidR="00B67E83" w:rsidRPr="002E39DC">
        <w:t xml:space="preserve">A further </w:t>
      </w:r>
      <w:r w:rsidR="003F2078" w:rsidRPr="002E39DC">
        <w:t xml:space="preserve">increase of </w:t>
      </w:r>
      <w:r w:rsidR="00E72578" w:rsidRPr="002E39DC">
        <w:t xml:space="preserve">the Reynolds number </w:t>
      </w:r>
      <w:r w:rsidR="00A41A75" w:rsidRPr="002E39DC">
        <w:t xml:space="preserve">up to </w:t>
      </w:r>
      <w:r w:rsidR="002E39DC" w:rsidRPr="002E39DC">
        <w:rPr>
          <w:i/>
        </w:rPr>
        <w:t>Re</w:t>
      </w:r>
      <w:r w:rsidR="002C260A">
        <w:rPr>
          <w:i/>
        </w:rPr>
        <w:t xml:space="preserve"> </w:t>
      </w:r>
      <w:r w:rsidR="00A41A75" w:rsidRPr="002E39DC">
        <w:t>=</w:t>
      </w:r>
      <w:r w:rsidR="002C260A">
        <w:t xml:space="preserve"> </w:t>
      </w:r>
      <w:r w:rsidR="00A41A75" w:rsidRPr="002E39DC">
        <w:t xml:space="preserve">300 </w:t>
      </w:r>
      <w:r w:rsidR="003F2078" w:rsidRPr="002E39DC">
        <w:t xml:space="preserve">leads </w:t>
      </w:r>
      <w:r w:rsidR="003C4E09">
        <w:t>to some swirling of the strongest</w:t>
      </w:r>
      <w:r w:rsidR="003F2078" w:rsidRPr="002E39DC">
        <w:t xml:space="preserve"> legs</w:t>
      </w:r>
      <w:r w:rsidR="00B67E83" w:rsidRPr="002E39DC">
        <w:t xml:space="preserve">, </w:t>
      </w:r>
      <w:r w:rsidR="00876104" w:rsidRPr="002E39DC">
        <w:t>an</w:t>
      </w:r>
      <w:r w:rsidR="00E72578" w:rsidRPr="002E39DC">
        <w:t>d</w:t>
      </w:r>
      <w:r w:rsidR="00876104" w:rsidRPr="002E39DC">
        <w:t xml:space="preserve"> thus </w:t>
      </w:r>
      <w:r w:rsidR="00B67E83" w:rsidRPr="002E39DC">
        <w:t>to a minor increase of the degree of mixing</w:t>
      </w:r>
      <w:r w:rsidR="00A41A75" w:rsidRPr="002E39DC">
        <w:t xml:space="preserve">. </w:t>
      </w:r>
      <w:r w:rsidR="000A5A33" w:rsidRPr="002E39DC">
        <w:t xml:space="preserve">Please note that in Figures 4-6 the case </w:t>
      </w:r>
      <w:r w:rsidR="002E39DC" w:rsidRPr="002E39DC">
        <w:rPr>
          <w:i/>
        </w:rPr>
        <w:t>Re</w:t>
      </w:r>
      <w:r w:rsidR="00877021">
        <w:rPr>
          <w:i/>
        </w:rPr>
        <w:t xml:space="preserve"> </w:t>
      </w:r>
      <w:r w:rsidR="000A5A33" w:rsidRPr="002E39DC">
        <w:t>=</w:t>
      </w:r>
      <w:r w:rsidR="00877021">
        <w:t xml:space="preserve"> </w:t>
      </w:r>
      <w:r w:rsidR="000A5A33" w:rsidRPr="002E39DC">
        <w:t>300</w:t>
      </w:r>
      <w:r w:rsidR="00A41A75" w:rsidRPr="002E39DC">
        <w:t xml:space="preserve"> </w:t>
      </w:r>
      <w:r w:rsidR="000A5A33" w:rsidRPr="002E39DC">
        <w:t>is</w:t>
      </w:r>
      <w:r w:rsidR="00A41A75" w:rsidRPr="002E39DC">
        <w:t xml:space="preserve"> not reported </w:t>
      </w:r>
      <w:r w:rsidR="00744D2D" w:rsidRPr="002E39DC">
        <w:t xml:space="preserve">for the T-mixer with square inlet cross-sections </w:t>
      </w:r>
      <w:r w:rsidR="00A41A75" w:rsidRPr="002E39DC">
        <w:t xml:space="preserve">as </w:t>
      </w:r>
      <w:r w:rsidR="00662245">
        <w:t xml:space="preserve">for </w:t>
      </w:r>
      <w:r w:rsidR="000A5A33" w:rsidRPr="002E39DC">
        <w:t>such Reynolds number</w:t>
      </w:r>
      <w:r w:rsidR="00A41A75" w:rsidRPr="002E39DC">
        <w:t xml:space="preserve"> the flow is unsteady and time-periodic (</w:t>
      </w:r>
      <w:r w:rsidR="00877021">
        <w:t>Salvetti et al., 2018</w:t>
      </w:r>
      <w:r w:rsidR="00A41A75" w:rsidRPr="002E39DC">
        <w:t xml:space="preserve">). Instead, for the </w:t>
      </w:r>
      <w:r w:rsidR="003C4E09">
        <w:t xml:space="preserve">T-mixer with </w:t>
      </w:r>
      <w:r w:rsidR="00A41A75" w:rsidRPr="002E39DC">
        <w:t>trapezoidal cross-section</w:t>
      </w:r>
      <w:r w:rsidR="003C4E09">
        <w:t>s</w:t>
      </w:r>
      <w:r w:rsidR="00A41A75" w:rsidRPr="002E39DC">
        <w:t xml:space="preserve"> the flow becomes unsteady at approximately </w:t>
      </w:r>
      <w:r w:rsidR="002E39DC" w:rsidRPr="002E39DC">
        <w:rPr>
          <w:i/>
        </w:rPr>
        <w:t>Re</w:t>
      </w:r>
      <w:r w:rsidR="002C260A">
        <w:rPr>
          <w:i/>
        </w:rPr>
        <w:t xml:space="preserve"> </w:t>
      </w:r>
      <w:r w:rsidR="00A41A75" w:rsidRPr="002E39DC">
        <w:t>=</w:t>
      </w:r>
      <w:r w:rsidR="002C260A">
        <w:t xml:space="preserve"> </w:t>
      </w:r>
      <w:r w:rsidR="00A41A75" w:rsidRPr="002E39DC">
        <w:t>325.</w:t>
      </w:r>
    </w:p>
    <w:p w14:paraId="009AFC69" w14:textId="7CF6AED3" w:rsidR="00662245" w:rsidRDefault="00E72578" w:rsidP="007B147A">
      <w:pPr>
        <w:pStyle w:val="CETBodytext"/>
        <w:rPr>
          <w:lang w:val="en-GB"/>
        </w:rPr>
      </w:pPr>
      <w:r>
        <w:rPr>
          <w:lang w:val="en-GB"/>
        </w:rPr>
        <w:t xml:space="preserve">The degree of mixing </w:t>
      </w:r>
      <w:r w:rsidR="007E5E47" w:rsidRPr="001256D3">
        <w:rPr>
          <w:rFonts w:ascii="Symbol" w:hAnsi="Symbol"/>
          <w:i/>
          <w:lang w:val="en-GB"/>
        </w:rPr>
        <w:t></w:t>
      </w:r>
      <w:r w:rsidR="007E5E47" w:rsidRPr="001256D3">
        <w:rPr>
          <w:rFonts w:asciiTheme="minorHAnsi" w:hAnsiTheme="minorHAnsi"/>
          <w:i/>
          <w:vertAlign w:val="subscript"/>
          <w:lang w:val="en-GB"/>
        </w:rPr>
        <w:t>m</w:t>
      </w:r>
      <w:r w:rsidR="007E5E47">
        <w:rPr>
          <w:rFonts w:asciiTheme="minorHAnsi" w:hAnsiTheme="minorHAnsi"/>
          <w:vertAlign w:val="subscript"/>
          <w:lang w:val="en-GB"/>
        </w:rPr>
        <w:t xml:space="preserve"> </w:t>
      </w:r>
      <w:r>
        <w:rPr>
          <w:lang w:val="en-GB"/>
        </w:rPr>
        <w:t xml:space="preserve">is </w:t>
      </w:r>
      <w:r w:rsidR="007E5E47">
        <w:rPr>
          <w:lang w:val="en-GB"/>
        </w:rPr>
        <w:t xml:space="preserve">estimated for the mixer with inclined walls </w:t>
      </w:r>
      <w:r w:rsidR="00A15FFE">
        <w:rPr>
          <w:lang w:val="en-GB"/>
        </w:rPr>
        <w:t xml:space="preserve">using the cup-mixing average (Galletti et al. </w:t>
      </w:r>
      <w:r w:rsidR="007E5E47">
        <w:rPr>
          <w:lang w:val="en-GB"/>
        </w:rPr>
        <w:t xml:space="preserve">2015) and is </w:t>
      </w:r>
      <w:r w:rsidR="004A3BB1">
        <w:rPr>
          <w:lang w:val="en-GB"/>
        </w:rPr>
        <w:t xml:space="preserve">compared to that of a T-mixer with </w:t>
      </w:r>
      <w:r w:rsidR="002C260A">
        <w:rPr>
          <w:lang w:val="en-GB"/>
        </w:rPr>
        <w:t>square inlet cross-sections</w:t>
      </w:r>
      <w:r w:rsidR="004A3BB1">
        <w:rPr>
          <w:lang w:val="en-GB"/>
        </w:rPr>
        <w:t xml:space="preserve"> </w:t>
      </w:r>
      <w:r>
        <w:rPr>
          <w:lang w:val="en-GB"/>
        </w:rPr>
        <w:t xml:space="preserve">in </w:t>
      </w:r>
      <w:r w:rsidR="007E5E47">
        <w:rPr>
          <w:lang w:val="en-GB"/>
        </w:rPr>
        <w:t>Figure 7. The</w:t>
      </w:r>
      <w:r w:rsidR="002C260A">
        <w:rPr>
          <w:lang w:val="en-GB"/>
        </w:rPr>
        <w:t xml:space="preserve"> latter</w:t>
      </w:r>
      <w:r w:rsidR="007E5E47">
        <w:rPr>
          <w:lang w:val="en-GB"/>
        </w:rPr>
        <w:t xml:space="preserve"> T-</w:t>
      </w:r>
      <w:r w:rsidR="004A3BB1">
        <w:rPr>
          <w:lang w:val="en-GB"/>
        </w:rPr>
        <w:t xml:space="preserve">mixer shows a sudden increase </w:t>
      </w:r>
      <w:r w:rsidR="007E5E47">
        <w:rPr>
          <w:lang w:val="en-GB"/>
        </w:rPr>
        <w:t xml:space="preserve">of </w:t>
      </w:r>
      <w:r w:rsidR="007E5E47" w:rsidRPr="002C260A">
        <w:rPr>
          <w:rFonts w:ascii="Symbol" w:hAnsi="Symbol"/>
          <w:i/>
          <w:lang w:val="en-GB"/>
        </w:rPr>
        <w:t></w:t>
      </w:r>
      <w:r w:rsidR="007E5E47" w:rsidRPr="002C260A">
        <w:rPr>
          <w:rFonts w:asciiTheme="minorHAnsi" w:hAnsiTheme="minorHAnsi"/>
          <w:i/>
          <w:vertAlign w:val="subscript"/>
          <w:lang w:val="en-GB"/>
        </w:rPr>
        <w:t>m</w:t>
      </w:r>
      <w:r w:rsidR="007E5E47">
        <w:rPr>
          <w:rFonts w:asciiTheme="minorHAnsi" w:hAnsiTheme="minorHAnsi"/>
          <w:vertAlign w:val="subscript"/>
          <w:lang w:val="en-GB"/>
        </w:rPr>
        <w:t xml:space="preserve"> </w:t>
      </w:r>
      <w:r w:rsidR="004A3BB1">
        <w:rPr>
          <w:lang w:val="en-GB"/>
        </w:rPr>
        <w:t>at the onset of the engulfment regime,</w:t>
      </w:r>
      <w:r w:rsidR="007E5E47">
        <w:rPr>
          <w:lang w:val="en-GB"/>
        </w:rPr>
        <w:t xml:space="preserve"> which, </w:t>
      </w:r>
      <w:r w:rsidR="004A3BB1">
        <w:rPr>
          <w:lang w:val="en-GB"/>
        </w:rPr>
        <w:t xml:space="preserve">occurs at approximately </w:t>
      </w:r>
      <w:r w:rsidR="004A3BB1" w:rsidRPr="004A3BB1">
        <w:rPr>
          <w:i/>
          <w:lang w:val="en-GB"/>
        </w:rPr>
        <w:t>Re</w:t>
      </w:r>
      <w:r w:rsidR="003C4E09">
        <w:rPr>
          <w:i/>
          <w:lang w:val="en-GB"/>
        </w:rPr>
        <w:t xml:space="preserve"> </w:t>
      </w:r>
      <w:r w:rsidR="004A3BB1">
        <w:rPr>
          <w:lang w:val="en-GB"/>
        </w:rPr>
        <w:t>=</w:t>
      </w:r>
      <w:r w:rsidR="003C4E09">
        <w:rPr>
          <w:lang w:val="en-GB"/>
        </w:rPr>
        <w:t xml:space="preserve"> </w:t>
      </w:r>
      <w:r w:rsidR="004A3BB1">
        <w:rPr>
          <w:lang w:val="en-GB"/>
        </w:rPr>
        <w:t xml:space="preserve">145. The mixer with inclined walls, instead, shows a gradual increase of the degree of mixing. At </w:t>
      </w:r>
      <w:r w:rsidR="002E39DC" w:rsidRPr="002E39DC">
        <w:rPr>
          <w:i/>
          <w:lang w:val="en-GB"/>
        </w:rPr>
        <w:t>Re</w:t>
      </w:r>
      <w:r w:rsidR="003C4E09">
        <w:rPr>
          <w:i/>
          <w:lang w:val="en-GB"/>
        </w:rPr>
        <w:t xml:space="preserve"> </w:t>
      </w:r>
      <w:r w:rsidR="004A3BB1">
        <w:rPr>
          <w:lang w:val="en-GB"/>
        </w:rPr>
        <w:t>=</w:t>
      </w:r>
      <w:r w:rsidR="003C4E09">
        <w:rPr>
          <w:lang w:val="en-GB"/>
        </w:rPr>
        <w:t xml:space="preserve"> </w:t>
      </w:r>
      <w:r w:rsidR="004A3BB1">
        <w:rPr>
          <w:lang w:val="en-GB"/>
        </w:rPr>
        <w:t xml:space="preserve">50, the degree of mixing </w:t>
      </w:r>
      <w:r w:rsidR="00F55EB6">
        <w:rPr>
          <w:lang w:val="en-GB"/>
        </w:rPr>
        <w:t xml:space="preserve">is </w:t>
      </w:r>
      <w:r w:rsidR="004A3BB1">
        <w:rPr>
          <w:lang w:val="en-GB"/>
        </w:rPr>
        <w:t xml:space="preserve">of about </w:t>
      </w:r>
      <w:r w:rsidR="007E5E47" w:rsidRPr="001256D3">
        <w:rPr>
          <w:rFonts w:ascii="Symbol" w:hAnsi="Symbol"/>
          <w:i/>
          <w:lang w:val="en-GB"/>
        </w:rPr>
        <w:t></w:t>
      </w:r>
      <w:r w:rsidR="007E5E47" w:rsidRPr="001256D3">
        <w:rPr>
          <w:rFonts w:asciiTheme="minorHAnsi" w:hAnsiTheme="minorHAnsi"/>
          <w:i/>
          <w:vertAlign w:val="subscript"/>
          <w:lang w:val="en-GB"/>
        </w:rPr>
        <w:t>m</w:t>
      </w:r>
      <w:r w:rsidR="007E5E47">
        <w:rPr>
          <w:rFonts w:asciiTheme="minorHAnsi" w:hAnsiTheme="minorHAnsi"/>
          <w:vertAlign w:val="subscript"/>
          <w:lang w:val="en-GB"/>
        </w:rPr>
        <w:t xml:space="preserve"> </w:t>
      </w:r>
      <w:r w:rsidR="007E5E47" w:rsidRPr="007E5E47">
        <w:rPr>
          <w:rFonts w:asciiTheme="minorHAnsi" w:hAnsiTheme="minorHAnsi"/>
          <w:lang w:val="en-GB"/>
        </w:rPr>
        <w:t>=</w:t>
      </w:r>
      <w:r w:rsidR="004A3BB1">
        <w:rPr>
          <w:lang w:val="en-GB"/>
        </w:rPr>
        <w:t xml:space="preserve">8%, thus significant larger than that of the T-mixer </w:t>
      </w:r>
      <w:r w:rsidR="002C260A">
        <w:rPr>
          <w:lang w:val="en-GB"/>
        </w:rPr>
        <w:t xml:space="preserve">with square inlet cross-sections </w:t>
      </w:r>
      <w:r w:rsidR="007E5E47">
        <w:rPr>
          <w:lang w:val="en-GB"/>
        </w:rPr>
        <w:t xml:space="preserve">(approximately </w:t>
      </w:r>
      <w:r w:rsidR="007E5E47" w:rsidRPr="001256D3">
        <w:rPr>
          <w:rFonts w:ascii="Symbol" w:hAnsi="Symbol"/>
          <w:i/>
          <w:lang w:val="en-GB"/>
        </w:rPr>
        <w:t></w:t>
      </w:r>
      <w:r w:rsidR="007E5E47" w:rsidRPr="001256D3">
        <w:rPr>
          <w:rFonts w:asciiTheme="minorHAnsi" w:hAnsiTheme="minorHAnsi"/>
          <w:i/>
          <w:vertAlign w:val="subscript"/>
          <w:lang w:val="en-GB"/>
        </w:rPr>
        <w:t>m</w:t>
      </w:r>
      <w:r w:rsidR="007E5E47">
        <w:rPr>
          <w:rFonts w:asciiTheme="minorHAnsi" w:hAnsiTheme="minorHAnsi"/>
          <w:vertAlign w:val="subscript"/>
          <w:lang w:val="en-GB"/>
        </w:rPr>
        <w:t xml:space="preserve"> </w:t>
      </w:r>
      <w:r w:rsidR="007E5E47" w:rsidRPr="007E5E47">
        <w:rPr>
          <w:rFonts w:asciiTheme="minorHAnsi" w:hAnsiTheme="minorHAnsi"/>
          <w:lang w:val="en-GB"/>
        </w:rPr>
        <w:t>=</w:t>
      </w:r>
      <w:r w:rsidR="007E5E47">
        <w:rPr>
          <w:lang w:val="en-GB"/>
        </w:rPr>
        <w:t>1.5%)</w:t>
      </w:r>
      <w:r w:rsidR="004A3BB1">
        <w:rPr>
          <w:lang w:val="en-GB"/>
        </w:rPr>
        <w:t xml:space="preserve">. </w:t>
      </w:r>
      <w:r w:rsidR="002C260A">
        <w:rPr>
          <w:lang w:val="en-GB"/>
        </w:rPr>
        <w:t>Subsequently the degree of mixing</w:t>
      </w:r>
      <w:r w:rsidR="003C4E09">
        <w:rPr>
          <w:lang w:val="en-GB"/>
        </w:rPr>
        <w:t xml:space="preserve"> in case of inclined walls</w:t>
      </w:r>
      <w:r w:rsidR="002C260A">
        <w:rPr>
          <w:lang w:val="en-GB"/>
        </w:rPr>
        <w:t xml:space="preserve"> slowly increases</w:t>
      </w:r>
      <w:r w:rsidR="003C4E09">
        <w:rPr>
          <w:lang w:val="en-GB"/>
        </w:rPr>
        <w:t xml:space="preserve"> due to the swirling of the vertical legs in the mixing channel,</w:t>
      </w:r>
      <w:r w:rsidR="002C260A">
        <w:rPr>
          <w:lang w:val="en-GB"/>
        </w:rPr>
        <w:t xml:space="preserve"> but remains considerably smaller than the one achieved for the T-mixer with square inlet cross-sections in the engulfment regime.  </w:t>
      </w:r>
    </w:p>
    <w:p w14:paraId="1A1AFE21" w14:textId="77777777" w:rsidR="00200D7A" w:rsidRPr="00B57B36" w:rsidRDefault="00200D7A" w:rsidP="00200D7A">
      <w:pPr>
        <w:pStyle w:val="CETHeading1"/>
        <w:rPr>
          <w:lang w:val="en-GB"/>
        </w:rPr>
      </w:pPr>
      <w:r>
        <w:rPr>
          <w:lang w:val="en-GB"/>
        </w:rPr>
        <w:t>Conclusions</w:t>
      </w:r>
    </w:p>
    <w:p w14:paraId="5B926434" w14:textId="7088081D" w:rsidR="00200D7A" w:rsidRDefault="00200D7A" w:rsidP="00200D7A">
      <w:pPr>
        <w:pStyle w:val="CETBodytext"/>
        <w:rPr>
          <w:lang w:val="en-GB"/>
        </w:rPr>
      </w:pPr>
      <w:r>
        <w:rPr>
          <w:lang w:val="en-GB"/>
        </w:rPr>
        <w:t>The mixing process in a T-shaped mixer with inclined side walls has been investigated through CFD, in order to emulate laser machining, which represents a promising subtractive microfabrication technology. Inclined side walls hamper the bifurcation leading to the engulfment regime, deeply analysed in T-mixers with straight walls.</w:t>
      </w:r>
    </w:p>
    <w:p w14:paraId="5E190328" w14:textId="11291655" w:rsidR="00662245" w:rsidRPr="00662245" w:rsidRDefault="00662245" w:rsidP="005B77B6">
      <w:pPr>
        <w:pStyle w:val="CETBodytext"/>
        <w:jc w:val="left"/>
        <w:rPr>
          <w:rStyle w:val="CETCaptionCarattere"/>
        </w:rPr>
      </w:pPr>
      <w:r>
        <w:rPr>
          <w:noProof/>
          <w:lang w:val="it-IT" w:eastAsia="it-IT"/>
        </w:rPr>
        <w:drawing>
          <wp:inline distT="0" distB="0" distL="0" distR="0" wp14:anchorId="3B5C1B7F" wp14:editId="08E04CB7">
            <wp:extent cx="5200650" cy="340377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creen Shot 2019-02-14 at 12.28.04.png"/>
                    <pic:cNvPicPr/>
                  </pic:nvPicPr>
                  <pic:blipFill>
                    <a:blip r:embed="rId25">
                      <a:extLst>
                        <a:ext uri="{28A0092B-C50C-407E-A947-70E740481C1C}">
                          <a14:useLocalDpi xmlns:a14="http://schemas.microsoft.com/office/drawing/2010/main" val="0"/>
                        </a:ext>
                      </a:extLst>
                    </a:blip>
                    <a:stretch>
                      <a:fillRect/>
                    </a:stretch>
                  </pic:blipFill>
                  <pic:spPr>
                    <a:xfrm>
                      <a:off x="0" y="0"/>
                      <a:ext cx="5201337" cy="3404220"/>
                    </a:xfrm>
                    <a:prstGeom prst="rect">
                      <a:avLst/>
                    </a:prstGeom>
                  </pic:spPr>
                </pic:pic>
              </a:graphicData>
            </a:graphic>
          </wp:inline>
        </w:drawing>
      </w:r>
      <w:r w:rsidR="00B15EA9">
        <w:rPr>
          <w:rStyle w:val="CETCaptionCarattere"/>
        </w:rPr>
        <w:tab/>
      </w:r>
      <w:r w:rsidRPr="00662245">
        <w:rPr>
          <w:rStyle w:val="CETCaptionCarattere"/>
        </w:rPr>
        <w:t xml:space="preserve">Figure 6: Vortical structures as identified by the </w:t>
      </w:r>
      <w:r w:rsidRPr="00B15EA9">
        <w:rPr>
          <w:rStyle w:val="CETCaptionCarattere"/>
          <w:rFonts w:ascii="Symbol" w:hAnsi="Symbol"/>
        </w:rPr>
        <w:t></w:t>
      </w:r>
      <w:r w:rsidRPr="00B15EA9">
        <w:rPr>
          <w:rStyle w:val="CETCaptionCarattere"/>
          <w:vertAlign w:val="subscript"/>
        </w:rPr>
        <w:t>2</w:t>
      </w:r>
      <w:r w:rsidRPr="00662245">
        <w:rPr>
          <w:rStyle w:val="CETCaptionCarattere"/>
        </w:rPr>
        <w:t>-criterion for different Reynolds number: (a,d) Re</w:t>
      </w:r>
      <w:r w:rsidR="00A751F8">
        <w:rPr>
          <w:rStyle w:val="CETCaptionCarattere"/>
        </w:rPr>
        <w:t xml:space="preserve"> </w:t>
      </w:r>
      <w:r w:rsidRPr="00662245">
        <w:rPr>
          <w:rStyle w:val="CETCaptionCarattere"/>
        </w:rPr>
        <w:t>=</w:t>
      </w:r>
      <w:r w:rsidR="00A751F8">
        <w:rPr>
          <w:rStyle w:val="CETCaptionCarattere"/>
        </w:rPr>
        <w:t xml:space="preserve"> </w:t>
      </w:r>
      <w:r w:rsidRPr="00662245">
        <w:rPr>
          <w:rStyle w:val="CETCaptionCarattere"/>
        </w:rPr>
        <w:t>100; (b,e) Re=200: (e) Re=300. T-mixer with (a,b,c) trapezoidal and (d,e) square inlet cross-sections.</w:t>
      </w:r>
    </w:p>
    <w:p w14:paraId="340BE221" w14:textId="77777777" w:rsidR="00A15FFE" w:rsidRDefault="00A15FFE" w:rsidP="00A15FFE">
      <w:pPr>
        <w:pStyle w:val="CETBodytext"/>
        <w:jc w:val="center"/>
        <w:rPr>
          <w:lang w:val="en-GB"/>
        </w:rPr>
      </w:pPr>
      <w:r>
        <w:rPr>
          <w:noProof/>
          <w:lang w:val="it-IT" w:eastAsia="it-IT"/>
        </w:rPr>
        <w:drawing>
          <wp:inline distT="0" distB="0" distL="0" distR="0" wp14:anchorId="54F3F332" wp14:editId="332C4E27">
            <wp:extent cx="2880000" cy="2188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xing_trap.png"/>
                    <pic:cNvPicPr/>
                  </pic:nvPicPr>
                  <pic:blipFill>
                    <a:blip r:embed="rId26">
                      <a:extLst>
                        <a:ext uri="{28A0092B-C50C-407E-A947-70E740481C1C}">
                          <a14:useLocalDpi xmlns:a14="http://schemas.microsoft.com/office/drawing/2010/main" val="0"/>
                        </a:ext>
                      </a:extLst>
                    </a:blip>
                    <a:stretch>
                      <a:fillRect/>
                    </a:stretch>
                  </pic:blipFill>
                  <pic:spPr>
                    <a:xfrm>
                      <a:off x="0" y="0"/>
                      <a:ext cx="2880000" cy="2188767"/>
                    </a:xfrm>
                    <a:prstGeom prst="rect">
                      <a:avLst/>
                    </a:prstGeom>
                  </pic:spPr>
                </pic:pic>
              </a:graphicData>
            </a:graphic>
          </wp:inline>
        </w:drawing>
      </w:r>
    </w:p>
    <w:p w14:paraId="1C8BA37E" w14:textId="685A157D" w:rsidR="00A15FFE" w:rsidRDefault="00A15FFE" w:rsidP="005B77B6">
      <w:pPr>
        <w:pStyle w:val="CETCaption"/>
        <w:spacing w:before="0"/>
      </w:pPr>
      <w:r w:rsidRPr="006B488F">
        <w:t xml:space="preserve">Figure </w:t>
      </w:r>
      <w:r>
        <w:t>7</w:t>
      </w:r>
      <w:r w:rsidRPr="006B488F">
        <w:t xml:space="preserve">: </w:t>
      </w:r>
      <w:r>
        <w:t>Degree of mixing as a function of the Reynolds number</w:t>
      </w:r>
      <w:r w:rsidRPr="006B488F">
        <w:t>.</w:t>
      </w:r>
    </w:p>
    <w:p w14:paraId="2AE5B112" w14:textId="06575253" w:rsidR="00A41A75" w:rsidRPr="00A15FFE" w:rsidRDefault="003C4DBE" w:rsidP="004A3BB1">
      <w:pPr>
        <w:pStyle w:val="CETBodytext"/>
        <w:rPr>
          <w:lang w:val="en-GB"/>
        </w:rPr>
      </w:pPr>
      <w:r>
        <w:rPr>
          <w:lang w:val="en-GB"/>
        </w:rPr>
        <w:t>However, at low Reynolds number</w:t>
      </w:r>
      <w:r w:rsidR="00A15FFE">
        <w:rPr>
          <w:lang w:val="en-GB"/>
        </w:rPr>
        <w:t>s</w:t>
      </w:r>
      <w:r>
        <w:rPr>
          <w:lang w:val="en-GB"/>
        </w:rPr>
        <w:t xml:space="preserve"> the performance is superior because the vortical structures in the mixing channels have different strengths</w:t>
      </w:r>
      <w:r w:rsidR="004A3BB1">
        <w:rPr>
          <w:lang w:val="en-GB"/>
        </w:rPr>
        <w:t xml:space="preserve"> </w:t>
      </w:r>
      <w:r w:rsidR="00A15FFE">
        <w:rPr>
          <w:lang w:val="en-GB"/>
        </w:rPr>
        <w:t>and thus exhibit a</w:t>
      </w:r>
      <w:r w:rsidR="004A3BB1">
        <w:rPr>
          <w:lang w:val="en-GB"/>
        </w:rPr>
        <w:t xml:space="preserve"> low degree of symmetry</w:t>
      </w:r>
      <w:r w:rsidR="00DC2106">
        <w:rPr>
          <w:lang w:val="en-GB"/>
        </w:rPr>
        <w:t>.</w:t>
      </w:r>
      <w:r w:rsidR="003001C7">
        <w:rPr>
          <w:lang w:val="en-GB"/>
        </w:rPr>
        <w:t xml:space="preserve"> </w:t>
      </w:r>
      <w:r w:rsidR="00BA1B97">
        <w:rPr>
          <w:lang w:val="en-GB"/>
        </w:rPr>
        <w:t>F</w:t>
      </w:r>
      <w:r w:rsidR="00BA1B97" w:rsidRPr="00BA1B97">
        <w:rPr>
          <w:lang w:val="en-GB"/>
        </w:rPr>
        <w:t>uture work is required to evaluate the sensitivity</w:t>
      </w:r>
      <w:r w:rsidR="002A46E1">
        <w:rPr>
          <w:lang w:val="en-GB"/>
        </w:rPr>
        <w:t xml:space="preserve"> of the</w:t>
      </w:r>
      <w:r w:rsidR="002A46E1" w:rsidRPr="00BA1B97">
        <w:rPr>
          <w:lang w:val="en-GB"/>
        </w:rPr>
        <w:t xml:space="preserve"> degree of mixing </w:t>
      </w:r>
      <w:r w:rsidR="00BA1B97" w:rsidRPr="00BA1B97">
        <w:rPr>
          <w:lang w:val="en-GB"/>
        </w:rPr>
        <w:t>o</w:t>
      </w:r>
      <w:r w:rsidR="002A46E1">
        <w:rPr>
          <w:lang w:val="en-GB"/>
        </w:rPr>
        <w:t>n</w:t>
      </w:r>
      <w:r w:rsidR="00BA1B97" w:rsidRPr="00BA1B97">
        <w:rPr>
          <w:lang w:val="en-GB"/>
        </w:rPr>
        <w:t xml:space="preserve"> the morphological adherence (e.g. </w:t>
      </w:r>
      <w:r w:rsidR="002A46E1">
        <w:rPr>
          <w:lang w:val="en-GB"/>
        </w:rPr>
        <w:t>edge sharpness, dimensions).</w:t>
      </w:r>
    </w:p>
    <w:p w14:paraId="24E9A952" w14:textId="77777777" w:rsidR="00600535" w:rsidRPr="00B57B36" w:rsidRDefault="00600535" w:rsidP="00CB5664">
      <w:pPr>
        <w:pStyle w:val="CETAcknowledgementstitle"/>
      </w:pPr>
      <w:r w:rsidRPr="00B57B36">
        <w:t>Acknowledgments</w:t>
      </w:r>
    </w:p>
    <w:p w14:paraId="331182DC" w14:textId="427043CA" w:rsidR="00600535" w:rsidRPr="00B57B36" w:rsidRDefault="004B2751" w:rsidP="004B2751">
      <w:pPr>
        <w:pStyle w:val="CETBodytext"/>
        <w:rPr>
          <w:lang w:val="en-GB"/>
        </w:rPr>
      </w:pPr>
      <w:r w:rsidRPr="004B2751">
        <w:rPr>
          <w:lang w:val="en-GB"/>
        </w:rPr>
        <w:t>This work was supported by Uni</w:t>
      </w:r>
      <w:r w:rsidR="00A15FFE">
        <w:rPr>
          <w:lang w:val="en-GB"/>
        </w:rPr>
        <w:t xml:space="preserve">versity of Pisa, </w:t>
      </w:r>
      <w:r>
        <w:rPr>
          <w:lang w:val="en-GB"/>
        </w:rPr>
        <w:t>Italy</w:t>
      </w:r>
      <w:r w:rsidR="00A15FFE">
        <w:rPr>
          <w:lang w:val="en-GB"/>
        </w:rPr>
        <w:t>,</w:t>
      </w:r>
      <w:r>
        <w:rPr>
          <w:lang w:val="en-GB"/>
        </w:rPr>
        <w:t xml:space="preserve"> through </w:t>
      </w:r>
      <w:r w:rsidRPr="004B2751">
        <w:t>the “Progetti di Ricerca di Ateneo PRA 2017–2018” funding program.</w:t>
      </w:r>
      <w:r>
        <w:rPr>
          <w:lang w:val="en-GB"/>
        </w:rPr>
        <w:t xml:space="preserve"> </w:t>
      </w:r>
      <w:r w:rsidRPr="004B2751">
        <w:rPr>
          <w:lang w:val="en-GB"/>
        </w:rPr>
        <w:t xml:space="preserve">The authors wish to thank </w:t>
      </w:r>
      <w:r>
        <w:rPr>
          <w:lang w:val="en-GB"/>
        </w:rPr>
        <w:t>E</w:t>
      </w:r>
      <w:r w:rsidR="00A15FFE">
        <w:rPr>
          <w:lang w:val="en-GB"/>
        </w:rPr>
        <w:t>leonora Landi and Alberto Rossi for their numerical simulations.</w:t>
      </w:r>
      <w:r>
        <w:rPr>
          <w:lang w:val="en-GB"/>
        </w:rPr>
        <w:t xml:space="preserve"> </w:t>
      </w:r>
    </w:p>
    <w:p w14:paraId="63D5A00A" w14:textId="7BC1D8C4" w:rsidR="006343B6" w:rsidRPr="00B57B36" w:rsidRDefault="00600535" w:rsidP="00CB5664">
      <w:pPr>
        <w:pStyle w:val="CETReference"/>
      </w:pPr>
      <w:r w:rsidRPr="00B57B36">
        <w:t>References</w:t>
      </w:r>
    </w:p>
    <w:p w14:paraId="36986C75" w14:textId="6434EA09" w:rsidR="004B2751" w:rsidRPr="004B2751" w:rsidRDefault="00DF6DD0" w:rsidP="004B2751">
      <w:pPr>
        <w:pStyle w:val="CETReferencetext"/>
        <w:rPr>
          <w:lang w:val="en-US"/>
        </w:rPr>
      </w:pPr>
      <w:r>
        <w:rPr>
          <w:lang w:val="en-US"/>
        </w:rPr>
        <w:t>Andreussi T., Galletti C., Mauri R., Camarri S., Salvetti</w:t>
      </w:r>
      <w:r w:rsidR="004B2751" w:rsidRPr="004B2751">
        <w:rPr>
          <w:lang w:val="en-US"/>
        </w:rPr>
        <w:t xml:space="preserve"> M.V., 2015, Flow regimes in T-shaped micro-mixers </w:t>
      </w:r>
      <w:r w:rsidR="004B2751">
        <w:t>Computers and Chemical Engineering, 76, 150-159.</w:t>
      </w:r>
    </w:p>
    <w:p w14:paraId="43545E05" w14:textId="1CB30140" w:rsidR="002A46E1" w:rsidRPr="009E0064" w:rsidRDefault="00DF6DD0" w:rsidP="002A46E1">
      <w:pPr>
        <w:pStyle w:val="CETReferencetext"/>
        <w:rPr>
          <w:lang w:val="en-US"/>
        </w:rPr>
      </w:pPr>
      <w:r>
        <w:rPr>
          <w:lang w:val="it-IT"/>
        </w:rPr>
        <w:t>Dalle Mura M., Dini G., Lanzetta M., Rossi</w:t>
      </w:r>
      <w:r w:rsidR="002A46E1" w:rsidRPr="002A46E1">
        <w:rPr>
          <w:lang w:val="it-IT"/>
        </w:rPr>
        <w:t xml:space="preserve"> A.</w:t>
      </w:r>
      <w:r>
        <w:rPr>
          <w:lang w:val="it-IT"/>
        </w:rPr>
        <w:t>,</w:t>
      </w:r>
      <w:r w:rsidR="002A46E1" w:rsidRPr="002A46E1">
        <w:rPr>
          <w:lang w:val="it-IT"/>
        </w:rPr>
        <w:t xml:space="preserve"> 2018. </w:t>
      </w:r>
      <w:r w:rsidR="002A46E1" w:rsidRPr="002A46E1">
        <w:rPr>
          <w:lang w:val="en-US"/>
        </w:rPr>
        <w:t xml:space="preserve">An Experimental Analysis of Laser Machining for Dental Implants. </w:t>
      </w:r>
      <w:r w:rsidR="002A46E1" w:rsidRPr="009E0064">
        <w:rPr>
          <w:lang w:val="en-US"/>
        </w:rPr>
        <w:t>Procedia CIRP, 67, 356-361.</w:t>
      </w:r>
    </w:p>
    <w:p w14:paraId="4208BF35" w14:textId="78F129C8" w:rsidR="001E0B89" w:rsidRDefault="00DF6DD0" w:rsidP="001E0B89">
      <w:pPr>
        <w:pStyle w:val="CETReferencetext"/>
        <w:rPr>
          <w:lang w:val="en-US"/>
        </w:rPr>
      </w:pPr>
      <w:r w:rsidRPr="00DF6DD0">
        <w:rPr>
          <w:lang w:val="en-US"/>
        </w:rPr>
        <w:t>Galletti C., Roudgar M., Brunazzi E., Mauri</w:t>
      </w:r>
      <w:r w:rsidR="001E0B89" w:rsidRPr="00DF6DD0">
        <w:rPr>
          <w:lang w:val="en-US"/>
        </w:rPr>
        <w:t xml:space="preserve"> R., 2012</w:t>
      </w:r>
      <w:r w:rsidRPr="00DF6DD0">
        <w:rPr>
          <w:lang w:val="en-US"/>
        </w:rPr>
        <w:t>,</w:t>
      </w:r>
      <w:r w:rsidR="001E0B89" w:rsidRPr="00DF6DD0">
        <w:rPr>
          <w:lang w:val="en-US"/>
        </w:rPr>
        <w:t xml:space="preserve"> </w:t>
      </w:r>
      <w:r w:rsidR="001E0B89" w:rsidRPr="001E0B89">
        <w:rPr>
          <w:lang w:val="en-US"/>
        </w:rPr>
        <w:t>Effect of inlet conditions on the engulfment pattern in a T-shaped micro-mixer</w:t>
      </w:r>
      <w:r w:rsidR="001E0B89">
        <w:rPr>
          <w:lang w:val="en-US"/>
        </w:rPr>
        <w:t>, Chemical Engineering Journal</w:t>
      </w:r>
      <w:r>
        <w:rPr>
          <w:lang w:val="en-US"/>
        </w:rPr>
        <w:t>,</w:t>
      </w:r>
      <w:r w:rsidR="001E0B89" w:rsidRPr="001E0B89">
        <w:rPr>
          <w:lang w:val="en-US"/>
        </w:rPr>
        <w:t xml:space="preserve"> 185-186, 300-313.</w:t>
      </w:r>
    </w:p>
    <w:p w14:paraId="68F0A4B3" w14:textId="766478CC" w:rsidR="000E4673" w:rsidRDefault="00DF6DD0" w:rsidP="000E4673">
      <w:pPr>
        <w:pStyle w:val="CETReferencetext"/>
        <w:rPr>
          <w:lang w:val="en-US"/>
        </w:rPr>
      </w:pPr>
      <w:r>
        <w:rPr>
          <w:lang w:val="en-US"/>
        </w:rPr>
        <w:t>Galletti C., Arcolini G., Brunazzi</w:t>
      </w:r>
      <w:r w:rsidR="00071568">
        <w:rPr>
          <w:lang w:val="en-US"/>
        </w:rPr>
        <w:t xml:space="preserve"> E., Mauri</w:t>
      </w:r>
      <w:r w:rsidR="000E4673" w:rsidRPr="000E4673">
        <w:rPr>
          <w:lang w:val="en-US"/>
        </w:rPr>
        <w:t xml:space="preserve"> R., 201</w:t>
      </w:r>
      <w:r w:rsidR="000E4673">
        <w:rPr>
          <w:lang w:val="en-US"/>
        </w:rPr>
        <w:t xml:space="preserve">5, </w:t>
      </w:r>
      <w:r w:rsidR="000E4673" w:rsidRPr="000E4673">
        <w:rPr>
          <w:lang w:val="en-US"/>
        </w:rPr>
        <w:t>Mixing of binary fluids with composition-dependent viscosity in a T-shaped micro-device</w:t>
      </w:r>
      <w:r w:rsidR="000E4673">
        <w:rPr>
          <w:lang w:val="en-US"/>
        </w:rPr>
        <w:t xml:space="preserve">, </w:t>
      </w:r>
      <w:r w:rsidR="000E4673" w:rsidRPr="000E4673">
        <w:rPr>
          <w:lang w:val="en-US"/>
        </w:rPr>
        <w:t>Chemical Engineering Scienc</w:t>
      </w:r>
      <w:r w:rsidR="000E4673">
        <w:rPr>
          <w:lang w:val="en-US"/>
        </w:rPr>
        <w:t>e</w:t>
      </w:r>
      <w:r>
        <w:rPr>
          <w:lang w:val="en-US"/>
        </w:rPr>
        <w:t>,</w:t>
      </w:r>
      <w:r w:rsidR="000E4673" w:rsidRPr="000E4673">
        <w:rPr>
          <w:lang w:val="en-US"/>
        </w:rPr>
        <w:t xml:space="preserve"> 123, 300-310.</w:t>
      </w:r>
    </w:p>
    <w:p w14:paraId="3FB15602" w14:textId="69079DAE" w:rsidR="001E0B89" w:rsidRPr="004B2751" w:rsidRDefault="00DF6DD0" w:rsidP="001E0B89">
      <w:pPr>
        <w:pStyle w:val="CETReferencetext"/>
        <w:rPr>
          <w:lang w:val="en-US"/>
        </w:rPr>
      </w:pPr>
      <w:r>
        <w:rPr>
          <w:lang w:val="en-US"/>
        </w:rPr>
        <w:t>Galletti C., Brunazzi E., Mauri</w:t>
      </w:r>
      <w:r w:rsidR="001E0B89" w:rsidRPr="001E0B89">
        <w:rPr>
          <w:lang w:val="en-US"/>
        </w:rPr>
        <w:t xml:space="preserve"> R., 2017</w:t>
      </w:r>
      <w:r w:rsidR="001E0B89">
        <w:rPr>
          <w:lang w:val="en-US"/>
        </w:rPr>
        <w:t xml:space="preserve">, </w:t>
      </w:r>
      <w:r w:rsidR="001E0B89" w:rsidRPr="001E0B89">
        <w:rPr>
          <w:lang w:val="en-US"/>
        </w:rPr>
        <w:t>Unsteady mixing of binary liquid mixtures with composition-dependent viscosity</w:t>
      </w:r>
      <w:r w:rsidR="001E0B89">
        <w:rPr>
          <w:lang w:val="en-US"/>
        </w:rPr>
        <w:t>, Chemical Engineering Science</w:t>
      </w:r>
      <w:r>
        <w:rPr>
          <w:lang w:val="en-US"/>
        </w:rPr>
        <w:t>,</w:t>
      </w:r>
      <w:r w:rsidR="001E0B89">
        <w:rPr>
          <w:lang w:val="en-US"/>
        </w:rPr>
        <w:t xml:space="preserve"> 164, </w:t>
      </w:r>
      <w:r w:rsidR="001E0B89" w:rsidRPr="001E0B89">
        <w:rPr>
          <w:lang w:val="en-US"/>
        </w:rPr>
        <w:t>333-343.</w:t>
      </w:r>
    </w:p>
    <w:p w14:paraId="3CE56C50" w14:textId="1E16F82E" w:rsidR="006B4888" w:rsidRDefault="00DF6DD0" w:rsidP="004B2751">
      <w:pPr>
        <w:pStyle w:val="CETReferencetext"/>
      </w:pPr>
      <w:r>
        <w:rPr>
          <w:lang w:val="en-US"/>
        </w:rPr>
        <w:t>Galletti C., Mariotti</w:t>
      </w:r>
      <w:r w:rsidR="004B2751" w:rsidRPr="004B2751">
        <w:rPr>
          <w:lang w:val="en-US"/>
        </w:rPr>
        <w:t xml:space="preserve"> A., Sic</w:t>
      </w:r>
      <w:r>
        <w:rPr>
          <w:lang w:val="en-US"/>
        </w:rPr>
        <w:t>onolfi L., Mauri R., Brunazzi</w:t>
      </w:r>
      <w:r w:rsidR="004B2751" w:rsidRPr="004B2751">
        <w:rPr>
          <w:lang w:val="en-US"/>
        </w:rPr>
        <w:t xml:space="preserve"> E., 2019, </w:t>
      </w:r>
      <w:r w:rsidR="004B2751">
        <w:t xml:space="preserve">Numerical investigation of flow regimes in T-shaped micromixers: Benchmark between finite volume and spectral element methods, Canadian </w:t>
      </w:r>
      <w:r w:rsidR="00071568">
        <w:t>Journal of Chemical Engineering,</w:t>
      </w:r>
      <w:r w:rsidR="004B2751">
        <w:t xml:space="preserve"> 97, 528-541.</w:t>
      </w:r>
    </w:p>
    <w:p w14:paraId="2BEC7818" w14:textId="3DDD254D" w:rsidR="002E0159" w:rsidRDefault="00DF6DD0" w:rsidP="002E0159">
      <w:pPr>
        <w:pStyle w:val="CETReferencetext"/>
      </w:pPr>
      <w:r>
        <w:t>Jeong</w:t>
      </w:r>
      <w:r w:rsidR="00071568">
        <w:t xml:space="preserve"> J., Hussain</w:t>
      </w:r>
      <w:r w:rsidR="002E0159">
        <w:t xml:space="preserve"> F., 1995, On the identification of a vortex, Journal of Fluid Mechanics 285, 69–94.</w:t>
      </w:r>
    </w:p>
    <w:p w14:paraId="799E37DE" w14:textId="077B1F87" w:rsidR="001E0B89" w:rsidRPr="001E0B89" w:rsidRDefault="00DF6DD0" w:rsidP="001E0B89">
      <w:pPr>
        <w:pStyle w:val="CETReferencetext"/>
        <w:rPr>
          <w:lang w:val="en-US"/>
        </w:rPr>
      </w:pPr>
      <w:r>
        <w:rPr>
          <w:lang w:val="en-US"/>
        </w:rPr>
        <w:t>Orsi</w:t>
      </w:r>
      <w:r w:rsidR="00071568">
        <w:rPr>
          <w:lang w:val="en-US"/>
        </w:rPr>
        <w:t xml:space="preserve"> G., Galletti C., Brunazzi</w:t>
      </w:r>
      <w:r w:rsidR="001E0B89" w:rsidRPr="001E0B89">
        <w:rPr>
          <w:lang w:val="en-US"/>
        </w:rPr>
        <w:t xml:space="preserve"> E., Mauri, R., 2013, </w:t>
      </w:r>
      <w:r w:rsidR="001E0B89">
        <w:t>Mixing of two miscible liquids in T-shaped microdevices</w:t>
      </w:r>
      <w:r w:rsidR="001E0B89">
        <w:rPr>
          <w:lang w:val="en-US"/>
        </w:rPr>
        <w:t xml:space="preserve">, </w:t>
      </w:r>
      <w:r w:rsidR="001E0B89">
        <w:t>Chemical Engineering Transactions</w:t>
      </w:r>
      <w:r w:rsidR="00071568">
        <w:t>,</w:t>
      </w:r>
      <w:r w:rsidR="001E0B89">
        <w:t xml:space="preserve"> 32, 1471-1476.</w:t>
      </w:r>
    </w:p>
    <w:p w14:paraId="22512063" w14:textId="364C09A9" w:rsidR="001E0B89" w:rsidRPr="001E0B89" w:rsidRDefault="00DF6DD0" w:rsidP="001E0B89">
      <w:pPr>
        <w:pStyle w:val="CETReferencetext"/>
        <w:rPr>
          <w:lang w:val="en-US"/>
        </w:rPr>
      </w:pPr>
      <w:r>
        <w:rPr>
          <w:lang w:val="en-US"/>
        </w:rPr>
        <w:t>Roudgar</w:t>
      </w:r>
      <w:r w:rsidR="00071568">
        <w:rPr>
          <w:lang w:val="en-US"/>
        </w:rPr>
        <w:t xml:space="preserve"> M., Brunazzi E., Galletti C., Mauri</w:t>
      </w:r>
      <w:r w:rsidR="001E0B89" w:rsidRPr="001E0B89">
        <w:rPr>
          <w:lang w:val="en-US"/>
        </w:rPr>
        <w:t xml:space="preserve"> R., 2012, </w:t>
      </w:r>
      <w:r w:rsidR="001E0B89">
        <w:t>Numerical Study of Split T-Micromixers</w:t>
      </w:r>
      <w:r w:rsidR="001E0B89" w:rsidRPr="001E0B89">
        <w:rPr>
          <w:lang w:val="en-US"/>
        </w:rPr>
        <w:t xml:space="preserve">, </w:t>
      </w:r>
      <w:r w:rsidR="001E0B89">
        <w:t>Chemical Engineering and Technology</w:t>
      </w:r>
      <w:r>
        <w:t>,</w:t>
      </w:r>
      <w:r w:rsidR="001E0B89">
        <w:t xml:space="preserve"> 35, 1291-1299.</w:t>
      </w:r>
    </w:p>
    <w:p w14:paraId="1CFB9B03" w14:textId="43AD3240" w:rsidR="002E0159" w:rsidRPr="002E0159" w:rsidRDefault="00DF6DD0" w:rsidP="002E0159">
      <w:pPr>
        <w:pStyle w:val="CETReferencetext"/>
      </w:pPr>
      <w:r>
        <w:t>Mariotti</w:t>
      </w:r>
      <w:r w:rsidR="00071568">
        <w:t xml:space="preserve"> A., Galletti</w:t>
      </w:r>
      <w:r w:rsidR="004B2751" w:rsidRPr="004B2751">
        <w:t xml:space="preserve"> C., Maur</w:t>
      </w:r>
      <w:r w:rsidR="00071568">
        <w:t>i R., Salvetti M.V., Brunazzi</w:t>
      </w:r>
      <w:r w:rsidR="004B2751" w:rsidRPr="004B2751">
        <w:t xml:space="preserve"> E., 2018</w:t>
      </w:r>
      <w:r w:rsidR="004B2751">
        <w:t>, Steady and unsteady regi</w:t>
      </w:r>
      <w:r w:rsidR="00A15FFE">
        <w:t>mes in a T-shaped micro-mixer: s</w:t>
      </w:r>
      <w:r w:rsidR="004B2751">
        <w:t>ynergic experimental and numerical investigation, Chemica</w:t>
      </w:r>
      <w:r w:rsidR="001E4E7C">
        <w:t>l Engineering Journal, 341, 414-</w:t>
      </w:r>
      <w:r w:rsidR="004B2751">
        <w:t>431.</w:t>
      </w:r>
    </w:p>
    <w:p w14:paraId="29C8053D" w14:textId="5B675E4F" w:rsidR="002E0159" w:rsidRPr="00071568" w:rsidRDefault="00DF6DD0" w:rsidP="002E0159">
      <w:pPr>
        <w:pStyle w:val="CETReferencetext"/>
      </w:pPr>
      <w:r>
        <w:rPr>
          <w:lang w:val="en-US"/>
        </w:rPr>
        <w:t>Mariotti</w:t>
      </w:r>
      <w:r w:rsidR="00071568">
        <w:rPr>
          <w:lang w:val="en-US"/>
        </w:rPr>
        <w:t xml:space="preserve"> A., Galletti C., Brunazzi</w:t>
      </w:r>
      <w:r w:rsidR="002E0159" w:rsidRPr="002E0159">
        <w:rPr>
          <w:lang w:val="en-US"/>
        </w:rPr>
        <w:t xml:space="preserve"> E., Salvetti, M.V., 2019, Steady flow regimes and mixing performance in arrow-shaped micro-mixers, Physical</w:t>
      </w:r>
      <w:r w:rsidR="002E0159">
        <w:rPr>
          <w:lang w:val="en-US"/>
        </w:rPr>
        <w:t xml:space="preserve"> Review</w:t>
      </w:r>
      <w:r w:rsidR="002E0159" w:rsidRPr="002E0159">
        <w:rPr>
          <w:lang w:val="en-US"/>
        </w:rPr>
        <w:t xml:space="preserve"> Fluids</w:t>
      </w:r>
      <w:r w:rsidR="002E0159">
        <w:rPr>
          <w:lang w:val="en-US"/>
        </w:rPr>
        <w:t xml:space="preserve">, </w:t>
      </w:r>
      <w:r w:rsidR="00071568">
        <w:rPr>
          <w:lang w:val="en-US"/>
        </w:rPr>
        <w:t xml:space="preserve">4, </w:t>
      </w:r>
      <w:r w:rsidR="00071568" w:rsidRPr="00071568">
        <w:rPr>
          <w:lang w:val="en-US"/>
        </w:rPr>
        <w:t>034201</w:t>
      </w:r>
      <w:r w:rsidR="00071568">
        <w:rPr>
          <w:lang w:val="en-US"/>
        </w:rPr>
        <w:t>.</w:t>
      </w:r>
    </w:p>
    <w:p w14:paraId="44A6C851" w14:textId="5F4AEF32" w:rsidR="00206770" w:rsidRDefault="00DF6DD0" w:rsidP="00206770">
      <w:pPr>
        <w:pStyle w:val="CETReferencetext"/>
        <w:rPr>
          <w:lang w:val="en-US"/>
        </w:rPr>
      </w:pPr>
      <w:r>
        <w:rPr>
          <w:lang w:val="en-US"/>
        </w:rPr>
        <w:t>Romoli</w:t>
      </w:r>
      <w:r w:rsidR="00071568">
        <w:rPr>
          <w:lang w:val="en-US"/>
        </w:rPr>
        <w:t xml:space="preserve"> L., Tantussi</w:t>
      </w:r>
      <w:r w:rsidR="007A333C" w:rsidRPr="007A333C">
        <w:rPr>
          <w:lang w:val="en-US"/>
        </w:rPr>
        <w:t xml:space="preserve"> G., </w:t>
      </w:r>
      <w:r w:rsidR="00071568">
        <w:rPr>
          <w:lang w:val="en-US"/>
        </w:rPr>
        <w:t>Dini</w:t>
      </w:r>
      <w:r w:rsidR="007A333C" w:rsidRPr="007A333C">
        <w:rPr>
          <w:lang w:val="en-US"/>
        </w:rPr>
        <w:t xml:space="preserve"> G, 2011, Experimental approach to the laser machining of PMMA substrates for the fab</w:t>
      </w:r>
      <w:r w:rsidR="007A333C">
        <w:rPr>
          <w:lang w:val="en-US"/>
        </w:rPr>
        <w:t>rication of microfluidic device,</w:t>
      </w:r>
      <w:r w:rsidR="007A333C" w:rsidRPr="007A333C">
        <w:rPr>
          <w:lang w:val="en-US"/>
        </w:rPr>
        <w:t xml:space="preserve"> Optics a</w:t>
      </w:r>
      <w:r w:rsidR="00071568">
        <w:rPr>
          <w:lang w:val="en-US"/>
        </w:rPr>
        <w:t>nd Lasers in Engineering, 49</w:t>
      </w:r>
      <w:r w:rsidR="007A333C" w:rsidRPr="007A333C">
        <w:rPr>
          <w:lang w:val="en-US"/>
        </w:rPr>
        <w:t>, 419-427.</w:t>
      </w:r>
    </w:p>
    <w:p w14:paraId="48792017" w14:textId="7A797432" w:rsidR="004628D2" w:rsidRDefault="00DF6DD0" w:rsidP="00310842">
      <w:pPr>
        <w:pStyle w:val="CETReferencetext"/>
        <w:rPr>
          <w:lang w:val="en-US"/>
        </w:rPr>
      </w:pPr>
      <w:r>
        <w:rPr>
          <w:lang w:val="en-US"/>
        </w:rPr>
        <w:t>Romoli</w:t>
      </w:r>
      <w:r w:rsidR="00071568">
        <w:rPr>
          <w:lang w:val="en-US"/>
        </w:rPr>
        <w:t xml:space="preserve"> L., Tantussi G., Dini</w:t>
      </w:r>
      <w:r w:rsidR="00206770">
        <w:rPr>
          <w:lang w:val="en-US"/>
        </w:rPr>
        <w:t xml:space="preserve"> G, 2007</w:t>
      </w:r>
      <w:r w:rsidR="00206770" w:rsidRPr="007A333C">
        <w:rPr>
          <w:lang w:val="en-US"/>
        </w:rPr>
        <w:t xml:space="preserve">, </w:t>
      </w:r>
      <w:r w:rsidR="00206770" w:rsidRPr="00B9761E">
        <w:rPr>
          <w:lang w:val="en-US"/>
        </w:rPr>
        <w:t>Layered Laser Vaporization of PMMA Manufacturing 3D Mould Cavities</w:t>
      </w:r>
      <w:r w:rsidR="00206770">
        <w:rPr>
          <w:lang w:val="en-US"/>
        </w:rPr>
        <w:t>,</w:t>
      </w:r>
      <w:r w:rsidR="00206770" w:rsidRPr="007A333C">
        <w:rPr>
          <w:lang w:val="en-US"/>
        </w:rPr>
        <w:t xml:space="preserve"> </w:t>
      </w:r>
      <w:r w:rsidR="00071568">
        <w:rPr>
          <w:lang w:val="en-US"/>
        </w:rPr>
        <w:t xml:space="preserve">Annals of the CIRP, 56, </w:t>
      </w:r>
      <w:r w:rsidR="00206770">
        <w:rPr>
          <w:lang w:val="en-US"/>
        </w:rPr>
        <w:t>209-212</w:t>
      </w:r>
      <w:r w:rsidR="00206770" w:rsidRPr="007A333C">
        <w:rPr>
          <w:lang w:val="en-US"/>
        </w:rPr>
        <w:t>.</w:t>
      </w:r>
    </w:p>
    <w:p w14:paraId="694C0454" w14:textId="22952132" w:rsidR="00877021" w:rsidRPr="00310842" w:rsidRDefault="00877021" w:rsidP="00877021">
      <w:pPr>
        <w:pStyle w:val="CETReferencetext"/>
        <w:rPr>
          <w:lang w:val="en-US"/>
        </w:rPr>
      </w:pPr>
      <w:r w:rsidRPr="00877021">
        <w:rPr>
          <w:lang w:val="en-US"/>
        </w:rPr>
        <w:t>Salvetti M.V., Mariotti A., Galletti  C., Brunazzi  E., 2018, Experimental and numerical analyses of unsteady flow regimes and mixing in a micro T-mixer</w:t>
      </w:r>
      <w:r>
        <w:rPr>
          <w:lang w:val="en-US"/>
        </w:rPr>
        <w:t>, In Proceedings of the FEDSM 2018,</w:t>
      </w:r>
      <w:r w:rsidRPr="00877021">
        <w:rPr>
          <w:lang w:val="en-US"/>
        </w:rPr>
        <w:t xml:space="preserve"> American Society of Mechanical Engineers, Fluids Engine</w:t>
      </w:r>
      <w:r>
        <w:rPr>
          <w:lang w:val="en-US"/>
        </w:rPr>
        <w:t xml:space="preserve">ering Division, </w:t>
      </w:r>
      <w:r w:rsidRPr="00877021">
        <w:rPr>
          <w:lang w:val="en-US"/>
        </w:rPr>
        <w:t xml:space="preserve">3, </w:t>
      </w:r>
      <w:r>
        <w:rPr>
          <w:lang w:val="en-US"/>
        </w:rPr>
        <w:t>141102</w:t>
      </w:r>
      <w:r w:rsidRPr="00877021">
        <w:rPr>
          <w:lang w:val="en-US"/>
        </w:rPr>
        <w:t>.</w:t>
      </w:r>
    </w:p>
    <w:sectPr w:rsidR="00877021" w:rsidRPr="0031084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4035C" w14:textId="77777777" w:rsidR="000024AE" w:rsidRDefault="000024AE" w:rsidP="004F5E36">
      <w:r>
        <w:separator/>
      </w:r>
    </w:p>
  </w:endnote>
  <w:endnote w:type="continuationSeparator" w:id="0">
    <w:p w14:paraId="4E03C508" w14:textId="77777777" w:rsidR="000024AE" w:rsidRDefault="000024A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998F5" w14:textId="77777777" w:rsidR="000024AE" w:rsidRDefault="000024AE" w:rsidP="004F5E36">
      <w:r>
        <w:separator/>
      </w:r>
    </w:p>
  </w:footnote>
  <w:footnote w:type="continuationSeparator" w:id="0">
    <w:p w14:paraId="1FFF9AFD" w14:textId="77777777" w:rsidR="000024AE" w:rsidRDefault="000024AE"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1844"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4AE"/>
    <w:rsid w:val="000027C0"/>
    <w:rsid w:val="000052FB"/>
    <w:rsid w:val="00010F40"/>
    <w:rsid w:val="000117CB"/>
    <w:rsid w:val="00021F32"/>
    <w:rsid w:val="000270B3"/>
    <w:rsid w:val="0003148D"/>
    <w:rsid w:val="00036C67"/>
    <w:rsid w:val="00047D7F"/>
    <w:rsid w:val="00051566"/>
    <w:rsid w:val="00062A9A"/>
    <w:rsid w:val="00065058"/>
    <w:rsid w:val="00071568"/>
    <w:rsid w:val="00086C39"/>
    <w:rsid w:val="00096B7F"/>
    <w:rsid w:val="000A03B2"/>
    <w:rsid w:val="000A235B"/>
    <w:rsid w:val="000A3B79"/>
    <w:rsid w:val="000A5A33"/>
    <w:rsid w:val="000B7102"/>
    <w:rsid w:val="000B7948"/>
    <w:rsid w:val="000D34BE"/>
    <w:rsid w:val="000E0E82"/>
    <w:rsid w:val="000E102F"/>
    <w:rsid w:val="000E36F1"/>
    <w:rsid w:val="000E3A73"/>
    <w:rsid w:val="000E414A"/>
    <w:rsid w:val="000E4673"/>
    <w:rsid w:val="000F093C"/>
    <w:rsid w:val="000F16BD"/>
    <w:rsid w:val="000F787B"/>
    <w:rsid w:val="0012091F"/>
    <w:rsid w:val="00122187"/>
    <w:rsid w:val="001256D3"/>
    <w:rsid w:val="00126BC2"/>
    <w:rsid w:val="001308B6"/>
    <w:rsid w:val="0013121F"/>
    <w:rsid w:val="00131FAB"/>
    <w:rsid w:val="00131FE6"/>
    <w:rsid w:val="0013263F"/>
    <w:rsid w:val="00134DE4"/>
    <w:rsid w:val="0014034D"/>
    <w:rsid w:val="00150E59"/>
    <w:rsid w:val="00152797"/>
    <w:rsid w:val="00152DE3"/>
    <w:rsid w:val="00162642"/>
    <w:rsid w:val="00164CF9"/>
    <w:rsid w:val="0018134F"/>
    <w:rsid w:val="00184AD6"/>
    <w:rsid w:val="001A7BB7"/>
    <w:rsid w:val="001B0349"/>
    <w:rsid w:val="001B65C1"/>
    <w:rsid w:val="001C684B"/>
    <w:rsid w:val="001D53FC"/>
    <w:rsid w:val="001E0B89"/>
    <w:rsid w:val="001E4E7C"/>
    <w:rsid w:val="001F42A5"/>
    <w:rsid w:val="001F7B9D"/>
    <w:rsid w:val="00200D7A"/>
    <w:rsid w:val="00206770"/>
    <w:rsid w:val="002224B4"/>
    <w:rsid w:val="002447EF"/>
    <w:rsid w:val="00251550"/>
    <w:rsid w:val="00252C1A"/>
    <w:rsid w:val="0025312A"/>
    <w:rsid w:val="00257BF0"/>
    <w:rsid w:val="00263B05"/>
    <w:rsid w:val="0027221A"/>
    <w:rsid w:val="0027227A"/>
    <w:rsid w:val="00275B61"/>
    <w:rsid w:val="00276D40"/>
    <w:rsid w:val="00282656"/>
    <w:rsid w:val="002952F8"/>
    <w:rsid w:val="00296B83"/>
    <w:rsid w:val="002A0FF8"/>
    <w:rsid w:val="002A46E1"/>
    <w:rsid w:val="002A680C"/>
    <w:rsid w:val="002B78CE"/>
    <w:rsid w:val="002C260A"/>
    <w:rsid w:val="002C2FB6"/>
    <w:rsid w:val="002D1E11"/>
    <w:rsid w:val="002D5BCD"/>
    <w:rsid w:val="002E0159"/>
    <w:rsid w:val="002E39DC"/>
    <w:rsid w:val="003001C7"/>
    <w:rsid w:val="003009B7"/>
    <w:rsid w:val="00300E56"/>
    <w:rsid w:val="0030469C"/>
    <w:rsid w:val="00310842"/>
    <w:rsid w:val="00321CA6"/>
    <w:rsid w:val="00334C09"/>
    <w:rsid w:val="003365E3"/>
    <w:rsid w:val="00355000"/>
    <w:rsid w:val="003717C0"/>
    <w:rsid w:val="003723D4"/>
    <w:rsid w:val="00384CC8"/>
    <w:rsid w:val="00386936"/>
    <w:rsid w:val="003871FD"/>
    <w:rsid w:val="003A1E30"/>
    <w:rsid w:val="003A7D1C"/>
    <w:rsid w:val="003B304B"/>
    <w:rsid w:val="003B3146"/>
    <w:rsid w:val="003B60F3"/>
    <w:rsid w:val="003B773B"/>
    <w:rsid w:val="003C4DBE"/>
    <w:rsid w:val="003C4E09"/>
    <w:rsid w:val="003D0817"/>
    <w:rsid w:val="003F015E"/>
    <w:rsid w:val="003F2078"/>
    <w:rsid w:val="003F3B4D"/>
    <w:rsid w:val="00400414"/>
    <w:rsid w:val="00402E17"/>
    <w:rsid w:val="00412207"/>
    <w:rsid w:val="0041446B"/>
    <w:rsid w:val="0044329C"/>
    <w:rsid w:val="004577FE"/>
    <w:rsid w:val="00457B9C"/>
    <w:rsid w:val="0046164A"/>
    <w:rsid w:val="004628D2"/>
    <w:rsid w:val="00462DCD"/>
    <w:rsid w:val="004648AD"/>
    <w:rsid w:val="004703A9"/>
    <w:rsid w:val="004760DE"/>
    <w:rsid w:val="00476F8F"/>
    <w:rsid w:val="004A004E"/>
    <w:rsid w:val="004A2241"/>
    <w:rsid w:val="004A24CF"/>
    <w:rsid w:val="004A3BB1"/>
    <w:rsid w:val="004B2751"/>
    <w:rsid w:val="004B6721"/>
    <w:rsid w:val="004C3D1D"/>
    <w:rsid w:val="004C7913"/>
    <w:rsid w:val="004D243A"/>
    <w:rsid w:val="004E4DD6"/>
    <w:rsid w:val="004F5E36"/>
    <w:rsid w:val="00507B47"/>
    <w:rsid w:val="00507CC9"/>
    <w:rsid w:val="005119A5"/>
    <w:rsid w:val="005278B7"/>
    <w:rsid w:val="00532016"/>
    <w:rsid w:val="005346C8"/>
    <w:rsid w:val="00543E7D"/>
    <w:rsid w:val="00546B05"/>
    <w:rsid w:val="00547A68"/>
    <w:rsid w:val="005531C9"/>
    <w:rsid w:val="005B2110"/>
    <w:rsid w:val="005B61E6"/>
    <w:rsid w:val="005B77B6"/>
    <w:rsid w:val="005C16ED"/>
    <w:rsid w:val="005C77E1"/>
    <w:rsid w:val="005D3530"/>
    <w:rsid w:val="005D6A2F"/>
    <w:rsid w:val="005E1A82"/>
    <w:rsid w:val="005E794C"/>
    <w:rsid w:val="005F0A28"/>
    <w:rsid w:val="005F0E5E"/>
    <w:rsid w:val="00600535"/>
    <w:rsid w:val="00610CD6"/>
    <w:rsid w:val="00613658"/>
    <w:rsid w:val="00616C13"/>
    <w:rsid w:val="00620DEE"/>
    <w:rsid w:val="00621F92"/>
    <w:rsid w:val="00625639"/>
    <w:rsid w:val="00625EA8"/>
    <w:rsid w:val="00631B33"/>
    <w:rsid w:val="006343B6"/>
    <w:rsid w:val="0064184D"/>
    <w:rsid w:val="006422CC"/>
    <w:rsid w:val="00660E3E"/>
    <w:rsid w:val="00662245"/>
    <w:rsid w:val="00662E74"/>
    <w:rsid w:val="006771EB"/>
    <w:rsid w:val="00680C23"/>
    <w:rsid w:val="00693766"/>
    <w:rsid w:val="006A3281"/>
    <w:rsid w:val="006B4888"/>
    <w:rsid w:val="006B488F"/>
    <w:rsid w:val="006B6CD4"/>
    <w:rsid w:val="006C2E45"/>
    <w:rsid w:val="006C359C"/>
    <w:rsid w:val="006C5579"/>
    <w:rsid w:val="006E737D"/>
    <w:rsid w:val="006F0D0A"/>
    <w:rsid w:val="0070195D"/>
    <w:rsid w:val="00716636"/>
    <w:rsid w:val="00720A24"/>
    <w:rsid w:val="00732386"/>
    <w:rsid w:val="0074213C"/>
    <w:rsid w:val="007447F3"/>
    <w:rsid w:val="00744D2D"/>
    <w:rsid w:val="0075499F"/>
    <w:rsid w:val="007661C8"/>
    <w:rsid w:val="0077065E"/>
    <w:rsid w:val="0077098D"/>
    <w:rsid w:val="007930B3"/>
    <w:rsid w:val="007931FA"/>
    <w:rsid w:val="007A333C"/>
    <w:rsid w:val="007A7BBA"/>
    <w:rsid w:val="007B0C50"/>
    <w:rsid w:val="007B147A"/>
    <w:rsid w:val="007B4E03"/>
    <w:rsid w:val="007B5430"/>
    <w:rsid w:val="007C1A43"/>
    <w:rsid w:val="007D0299"/>
    <w:rsid w:val="007E1DC6"/>
    <w:rsid w:val="007E5E47"/>
    <w:rsid w:val="00813288"/>
    <w:rsid w:val="008168FC"/>
    <w:rsid w:val="00817798"/>
    <w:rsid w:val="0082378F"/>
    <w:rsid w:val="00830996"/>
    <w:rsid w:val="008345F1"/>
    <w:rsid w:val="008423E7"/>
    <w:rsid w:val="00865B07"/>
    <w:rsid w:val="008667EA"/>
    <w:rsid w:val="00876104"/>
    <w:rsid w:val="0087637F"/>
    <w:rsid w:val="00876A78"/>
    <w:rsid w:val="00877021"/>
    <w:rsid w:val="008904B9"/>
    <w:rsid w:val="00892AD5"/>
    <w:rsid w:val="008A1512"/>
    <w:rsid w:val="008A6352"/>
    <w:rsid w:val="008C3680"/>
    <w:rsid w:val="008C778F"/>
    <w:rsid w:val="008C78C1"/>
    <w:rsid w:val="008D32B9"/>
    <w:rsid w:val="008D433B"/>
    <w:rsid w:val="008E566E"/>
    <w:rsid w:val="0090161A"/>
    <w:rsid w:val="00901EB6"/>
    <w:rsid w:val="009027B8"/>
    <w:rsid w:val="00904C62"/>
    <w:rsid w:val="00924DAC"/>
    <w:rsid w:val="00926E30"/>
    <w:rsid w:val="00927058"/>
    <w:rsid w:val="009450CE"/>
    <w:rsid w:val="00947179"/>
    <w:rsid w:val="0095164B"/>
    <w:rsid w:val="00954090"/>
    <w:rsid w:val="009573E7"/>
    <w:rsid w:val="009635B9"/>
    <w:rsid w:val="00963E05"/>
    <w:rsid w:val="00965A0C"/>
    <w:rsid w:val="00967D54"/>
    <w:rsid w:val="00995DF9"/>
    <w:rsid w:val="00996483"/>
    <w:rsid w:val="00996F5A"/>
    <w:rsid w:val="009A0A3E"/>
    <w:rsid w:val="009A4E8F"/>
    <w:rsid w:val="009B041A"/>
    <w:rsid w:val="009B673C"/>
    <w:rsid w:val="009C3F8B"/>
    <w:rsid w:val="009C7C86"/>
    <w:rsid w:val="009D2FF7"/>
    <w:rsid w:val="009E0064"/>
    <w:rsid w:val="009E7884"/>
    <w:rsid w:val="009E788A"/>
    <w:rsid w:val="009F0369"/>
    <w:rsid w:val="009F0E08"/>
    <w:rsid w:val="00A0582C"/>
    <w:rsid w:val="00A15FFE"/>
    <w:rsid w:val="00A1763D"/>
    <w:rsid w:val="00A17CEC"/>
    <w:rsid w:val="00A27EF0"/>
    <w:rsid w:val="00A31508"/>
    <w:rsid w:val="00A37876"/>
    <w:rsid w:val="00A41A75"/>
    <w:rsid w:val="00A45860"/>
    <w:rsid w:val="00A50B20"/>
    <w:rsid w:val="00A51390"/>
    <w:rsid w:val="00A60D13"/>
    <w:rsid w:val="00A72745"/>
    <w:rsid w:val="00A751F8"/>
    <w:rsid w:val="00A76EFC"/>
    <w:rsid w:val="00A82B50"/>
    <w:rsid w:val="00A85E21"/>
    <w:rsid w:val="00A91010"/>
    <w:rsid w:val="00A97F29"/>
    <w:rsid w:val="00AA702E"/>
    <w:rsid w:val="00AB0964"/>
    <w:rsid w:val="00AB1394"/>
    <w:rsid w:val="00AB3997"/>
    <w:rsid w:val="00AB5011"/>
    <w:rsid w:val="00AC7368"/>
    <w:rsid w:val="00AD16B9"/>
    <w:rsid w:val="00AD6EF1"/>
    <w:rsid w:val="00AE33C6"/>
    <w:rsid w:val="00AE377D"/>
    <w:rsid w:val="00B05957"/>
    <w:rsid w:val="00B15EA9"/>
    <w:rsid w:val="00B17FBD"/>
    <w:rsid w:val="00B315A6"/>
    <w:rsid w:val="00B31813"/>
    <w:rsid w:val="00B33365"/>
    <w:rsid w:val="00B45E14"/>
    <w:rsid w:val="00B57B36"/>
    <w:rsid w:val="00B6057A"/>
    <w:rsid w:val="00B67E83"/>
    <w:rsid w:val="00B8686D"/>
    <w:rsid w:val="00BA1B97"/>
    <w:rsid w:val="00BA6436"/>
    <w:rsid w:val="00BC30C9"/>
    <w:rsid w:val="00BE3E58"/>
    <w:rsid w:val="00C01616"/>
    <w:rsid w:val="00C0162B"/>
    <w:rsid w:val="00C104AE"/>
    <w:rsid w:val="00C345B1"/>
    <w:rsid w:val="00C351B9"/>
    <w:rsid w:val="00C40142"/>
    <w:rsid w:val="00C472CA"/>
    <w:rsid w:val="00C47C23"/>
    <w:rsid w:val="00C57182"/>
    <w:rsid w:val="00C57863"/>
    <w:rsid w:val="00C655FD"/>
    <w:rsid w:val="00C77121"/>
    <w:rsid w:val="00C870A8"/>
    <w:rsid w:val="00C94434"/>
    <w:rsid w:val="00CA0D75"/>
    <w:rsid w:val="00CA1C95"/>
    <w:rsid w:val="00CA4A48"/>
    <w:rsid w:val="00CA4E5D"/>
    <w:rsid w:val="00CA5A9C"/>
    <w:rsid w:val="00CB5664"/>
    <w:rsid w:val="00CC1099"/>
    <w:rsid w:val="00CD3517"/>
    <w:rsid w:val="00CD5A00"/>
    <w:rsid w:val="00CD5FE2"/>
    <w:rsid w:val="00CE7C68"/>
    <w:rsid w:val="00CF3731"/>
    <w:rsid w:val="00D02B4C"/>
    <w:rsid w:val="00D040C4"/>
    <w:rsid w:val="00D15110"/>
    <w:rsid w:val="00D47197"/>
    <w:rsid w:val="00D57982"/>
    <w:rsid w:val="00D57C84"/>
    <w:rsid w:val="00D6057D"/>
    <w:rsid w:val="00D765AA"/>
    <w:rsid w:val="00D84576"/>
    <w:rsid w:val="00D86AA5"/>
    <w:rsid w:val="00DA1399"/>
    <w:rsid w:val="00DA24C6"/>
    <w:rsid w:val="00DA4D7B"/>
    <w:rsid w:val="00DC00AF"/>
    <w:rsid w:val="00DC2106"/>
    <w:rsid w:val="00DE264A"/>
    <w:rsid w:val="00DF17B2"/>
    <w:rsid w:val="00DF1FE8"/>
    <w:rsid w:val="00DF6DD0"/>
    <w:rsid w:val="00E02D18"/>
    <w:rsid w:val="00E041E7"/>
    <w:rsid w:val="00E23579"/>
    <w:rsid w:val="00E23CA1"/>
    <w:rsid w:val="00E23D4C"/>
    <w:rsid w:val="00E26995"/>
    <w:rsid w:val="00E409A8"/>
    <w:rsid w:val="00E50C12"/>
    <w:rsid w:val="00E65B91"/>
    <w:rsid w:val="00E7209D"/>
    <w:rsid w:val="00E72578"/>
    <w:rsid w:val="00E77223"/>
    <w:rsid w:val="00E82545"/>
    <w:rsid w:val="00E8528B"/>
    <w:rsid w:val="00E85B94"/>
    <w:rsid w:val="00E978D0"/>
    <w:rsid w:val="00EA4613"/>
    <w:rsid w:val="00EA7F91"/>
    <w:rsid w:val="00EB1523"/>
    <w:rsid w:val="00EC0E49"/>
    <w:rsid w:val="00ED17C7"/>
    <w:rsid w:val="00EE0131"/>
    <w:rsid w:val="00F155B2"/>
    <w:rsid w:val="00F30C64"/>
    <w:rsid w:val="00F32CDB"/>
    <w:rsid w:val="00F55EB6"/>
    <w:rsid w:val="00F63A70"/>
    <w:rsid w:val="00F64E0E"/>
    <w:rsid w:val="00F86576"/>
    <w:rsid w:val="00FA00C1"/>
    <w:rsid w:val="00FA21D0"/>
    <w:rsid w:val="00FA5F5F"/>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4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qFormat/>
    <w:rsid w:val="002A46E1"/>
    <w:pPr>
      <w:spacing w:after="0" w:line="240" w:lineRule="auto"/>
    </w:pPr>
    <w:rPr>
      <w:rFonts w:ascii="Times New Roman" w:hAnsi="Times New Roman" w:cs="Times New Roman"/>
      <w:sz w:val="24"/>
      <w:szCs w:val="24"/>
      <w:lang w:val="en-US"/>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eastAsia="Times New Roman" w:hAnsi="Tahoma" w:cs="Tahoma"/>
      <w:sz w:val="16"/>
      <w:szCs w:val="16"/>
      <w:lang w:val="en-GB"/>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eastAsia="Times New Roman" w:hAnsi="Arial"/>
      <w:sz w:val="18"/>
      <w:szCs w:val="20"/>
      <w:lang w:val="en-GB"/>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eastAsia="Times New Roman" w:hAnsi="Arial"/>
      <w:sz w:val="16"/>
      <w:szCs w:val="16"/>
      <w:lang w:val="en-GB"/>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eastAsia="Times New Roman" w:hAnsi="Arial"/>
      <w:sz w:val="18"/>
      <w:szCs w:val="20"/>
      <w:lang w:val="en-GB"/>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tabs>
        <w:tab w:val="right" w:pos="7100"/>
      </w:tabs>
      <w:jc w:val="both"/>
    </w:pPr>
    <w:rPr>
      <w:rFonts w:ascii="Arial" w:eastAsia="Times New Roman" w:hAnsi="Arial"/>
      <w:b/>
      <w:bCs/>
      <w:color w:val="4F81BD" w:themeColor="accent1"/>
      <w:sz w:val="18"/>
      <w:szCs w:val="18"/>
      <w:lang w:val="en-GB"/>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eastAsia="Times New Roman" w:hAnsi="Arial"/>
      <w:sz w:val="18"/>
      <w:szCs w:val="20"/>
      <w:lang w:val="en-GB"/>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eastAsia="Times New Roman" w:hAnsi="Arial"/>
      <w:sz w:val="18"/>
      <w:szCs w:val="20"/>
      <w:lang w:val="en-GB"/>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eastAsia="Times New Roman" w:hAnsi="Arial"/>
      <w:sz w:val="18"/>
      <w:szCs w:val="20"/>
      <w:lang w:val="en-GB"/>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eastAsia="Times New Roman" w:hAnsi="Arial"/>
      <w:sz w:val="18"/>
      <w:szCs w:val="20"/>
      <w:lang w:val="en-GB"/>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eastAsia="Times New Roman" w:hAnsi="Arial"/>
      <w:sz w:val="18"/>
      <w:szCs w:val="20"/>
      <w:lang w:val="en-GB"/>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eastAsia="Times New Roman" w:hAnsi="Arial"/>
      <w:sz w:val="18"/>
      <w:szCs w:val="20"/>
      <w:lang w:val="en-GB"/>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eastAsia="Times New Roman" w:hAnsi="Arial"/>
      <w:sz w:val="18"/>
      <w:szCs w:val="20"/>
      <w:lang w:val="en-GB"/>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eastAsia="Times New Roman" w:hAnsi="Arial"/>
      <w:sz w:val="18"/>
      <w:szCs w:val="20"/>
      <w:lang w:val="en-GB"/>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eastAsia="Times New Roman" w:hAnsi="Arial"/>
      <w:sz w:val="18"/>
      <w:szCs w:val="20"/>
      <w:lang w:val="en-GB"/>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eastAsia="Times New Roman" w:hAnsi="Arial"/>
      <w:sz w:val="18"/>
      <w:szCs w:val="20"/>
      <w:lang w:val="en-GB"/>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eastAsia="Times New Roman" w:hAnsi="Arial"/>
      <w:sz w:val="18"/>
      <w:szCs w:val="20"/>
      <w:lang w:val="en-GB"/>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eastAsia="Times New Roman" w:hAnsi="Arial"/>
      <w:sz w:val="18"/>
      <w:szCs w:val="20"/>
      <w:lang w:val="en-GB"/>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eastAsia="Times New Roman" w:hAnsi="Arial"/>
      <w:sz w:val="18"/>
      <w:szCs w:val="20"/>
      <w:lang w:val="en-GB"/>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eastAsia="Times New Roman" w:hAnsi="Arial"/>
      <w:sz w:val="18"/>
      <w:szCs w:val="20"/>
      <w:lang w:val="en-GB"/>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eastAsia="Times New Roman" w:hAnsi="Arial"/>
      <w:sz w:val="18"/>
      <w:szCs w:val="20"/>
      <w:lang w:val="en-GB"/>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eastAsia="Times New Roman" w:hAnsi="Arial"/>
      <w:sz w:val="18"/>
      <w:szCs w:val="20"/>
      <w:lang w:val="en-GB"/>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eastAsia="Times New Roman" w:hAnsi="Arial"/>
      <w:sz w:val="18"/>
      <w:szCs w:val="20"/>
      <w:lang w:val="en-GB"/>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eastAsia="Times New Roman" w:hAnsi="Arial"/>
      <w:sz w:val="18"/>
      <w:szCs w:val="20"/>
      <w:lang w:val="en-GB"/>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eastAsia="Times New Roman" w:hAnsi="Arial"/>
      <w:sz w:val="18"/>
      <w:szCs w:val="20"/>
      <w:lang w:val="en-GB"/>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eastAsia="Times New Roman" w:hAnsi="Arial"/>
      <w:sz w:val="18"/>
      <w:szCs w:val="20"/>
      <w:lang w:val="en-GB"/>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eastAsia="Times New Roman" w:hAnsi="Arial"/>
      <w:sz w:val="18"/>
      <w:szCs w:val="20"/>
      <w:lang w:val="en-GB"/>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eastAsia="Times New Roman" w:hAnsi="Arial"/>
      <w:sz w:val="18"/>
      <w:szCs w:val="20"/>
      <w:lang w:val="en-GB"/>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eastAsia="Times New Roman" w:hAnsi="Arial"/>
      <w:i/>
      <w:iCs/>
      <w:sz w:val="18"/>
      <w:szCs w:val="20"/>
      <w:lang w:val="en-GB"/>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val="en-GB"/>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eastAsia="Times New Roman" w:hAnsi="Tahoma" w:cs="Tahoma"/>
      <w:sz w:val="16"/>
      <w:szCs w:val="16"/>
      <w:lang w:val="en-GB"/>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pPr>
      <w:tabs>
        <w:tab w:val="right" w:pos="7100"/>
      </w:tabs>
      <w:spacing w:line="264" w:lineRule="auto"/>
      <w:jc w:val="both"/>
    </w:pPr>
    <w:rPr>
      <w:rFonts w:ascii="Arial" w:eastAsia="Times New Roman" w:hAnsi="Arial"/>
      <w:lang w:val="en-GB"/>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eastAsia="Times New Roman" w:hAnsi="Arial"/>
      <w:sz w:val="18"/>
      <w:szCs w:val="20"/>
      <w:lang w:val="en-GB"/>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eastAsia="Times New Roman" w:hAnsi="Arial"/>
      <w:sz w:val="18"/>
      <w:szCs w:val="20"/>
      <w:lang w:val="en-GB"/>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eastAsia="Times New Roman" w:hAnsi="Arial"/>
      <w:sz w:val="18"/>
      <w:szCs w:val="20"/>
      <w:lang w:val="en-GB"/>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eastAsia="Times New Roman" w:hAnsi="Arial"/>
      <w:sz w:val="18"/>
      <w:szCs w:val="20"/>
      <w:lang w:val="en-GB"/>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eastAsia="Times New Roman" w:hAnsi="Arial"/>
      <w:sz w:val="18"/>
      <w:szCs w:val="20"/>
      <w:lang w:val="en-GB"/>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eastAsia="Times New Roman" w:hAnsi="Consolas" w:cs="Consolas"/>
      <w:sz w:val="18"/>
      <w:szCs w:val="20"/>
      <w:lang w:val="en-GB"/>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eastAsia="Times New Roman" w:hAnsi="Arial"/>
      <w:sz w:val="18"/>
      <w:szCs w:val="20"/>
      <w:lang w:val="en-GB"/>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eastAsia="Times New Roman" w:hAnsi="Arial"/>
      <w:sz w:val="18"/>
      <w:szCs w:val="20"/>
      <w:lang w:val="en-GB"/>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eastAsia="Times New Roman" w:hAnsi="Arial"/>
      <w:sz w:val="18"/>
      <w:szCs w:val="20"/>
      <w:lang w:val="en-GB"/>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eastAsia="Times New Roman" w:hAnsi="Arial"/>
      <w:sz w:val="18"/>
      <w:szCs w:val="20"/>
      <w:lang w:val="en-GB"/>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eastAsia="Times New Roman" w:hAnsi="Arial"/>
      <w:sz w:val="18"/>
      <w:szCs w:val="20"/>
      <w:lang w:val="en-GB"/>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eastAsia="Times New Roman" w:hAnsi="Arial"/>
      <w:sz w:val="18"/>
      <w:szCs w:val="20"/>
      <w:lang w:val="en-GB"/>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eastAsia="Times New Roman" w:hAnsi="Arial"/>
      <w:sz w:val="18"/>
      <w:szCs w:val="20"/>
      <w:lang w:val="en-GB"/>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eastAsia="Times New Roman" w:hAnsi="Arial"/>
      <w:sz w:val="16"/>
      <w:szCs w:val="16"/>
      <w:lang w:val="en-GB"/>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eastAsia="Times New Roman" w:hAnsi="Arial"/>
      <w:sz w:val="18"/>
      <w:szCs w:val="20"/>
      <w:lang w:val="en-GB"/>
    </w:rPr>
  </w:style>
  <w:style w:type="paragraph" w:styleId="Testocommento">
    <w:name w:val="annotation text"/>
    <w:basedOn w:val="Normale"/>
    <w:link w:val="TestocommentoCarattere"/>
    <w:uiPriority w:val="99"/>
    <w:unhideWhenUsed/>
    <w:rsid w:val="0003148D"/>
    <w:pPr>
      <w:tabs>
        <w:tab w:val="right" w:pos="7100"/>
      </w:tabs>
      <w:jc w:val="both"/>
    </w:pPr>
    <w:rPr>
      <w:rFonts w:ascii="Arial" w:eastAsia="Times New Roman" w:hAnsi="Arial"/>
      <w:sz w:val="18"/>
      <w:szCs w:val="20"/>
      <w:lang w:val="en-GB"/>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eastAsia="Times New Roman" w:hAnsi="Arial"/>
      <w:sz w:val="18"/>
      <w:szCs w:val="20"/>
      <w:lang w:val="en-GB"/>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eastAsia="Times New Roman" w:hAnsi="Arial"/>
      <w:sz w:val="18"/>
      <w:szCs w:val="20"/>
      <w:lang w:val="en-GB"/>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eastAsia="Times New Roman" w:hAnsi="Arial"/>
      <w:sz w:val="18"/>
      <w:szCs w:val="20"/>
      <w:lang w:val="en-GB"/>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eastAsia="Times New Roman" w:hAnsi="Arial"/>
      <w:sz w:val="18"/>
      <w:szCs w:val="20"/>
      <w:lang w:val="en-GB"/>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eastAsia="Times New Roman" w:hAnsi="Arial"/>
      <w:sz w:val="18"/>
      <w:szCs w:val="20"/>
      <w:lang w:val="en-GB"/>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eastAsia="Times New Roman" w:hAnsi="Arial"/>
      <w:sz w:val="18"/>
      <w:szCs w:val="20"/>
      <w:lang w:val="en-GB"/>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eastAsia="Times New Roman" w:hAnsi="Arial"/>
      <w:sz w:val="18"/>
      <w:szCs w:val="20"/>
      <w:lang w:val="en-GB"/>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eastAsia="Times New Roman" w:hAnsi="Arial"/>
      <w:sz w:val="18"/>
      <w:szCs w:val="20"/>
      <w:lang w:val="en-GB"/>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eastAsia="Times New Roman" w:hAnsi="Arial"/>
      <w:sz w:val="18"/>
      <w:szCs w:val="20"/>
      <w:lang w:val="en-GB"/>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eastAsia="Times New Roman" w:hAnsi="Consolas" w:cs="Consolas"/>
      <w:sz w:val="21"/>
      <w:szCs w:val="21"/>
      <w:lang w:val="en-GB"/>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eastAsia="Times New Roman" w:hAnsi="Arial"/>
      <w:sz w:val="18"/>
      <w:szCs w:val="20"/>
      <w:lang w:val="en-GB"/>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eastAsia="Times New Roman" w:hAnsi="Arial"/>
      <w:sz w:val="18"/>
      <w:szCs w:val="20"/>
      <w:lang w:val="en-GB"/>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Citazione">
    <w:name w:val="Quote"/>
    <w:basedOn w:val="Normale"/>
    <w:next w:val="Normale"/>
    <w:link w:val="CitazioneCarattere"/>
    <w:uiPriority w:val="29"/>
    <w:qFormat/>
    <w:rsid w:val="007930B3"/>
    <w:pPr>
      <w:spacing w:before="200" w:after="160" w:line="264" w:lineRule="auto"/>
      <w:ind w:left="864" w:right="864"/>
      <w:jc w:val="center"/>
    </w:pPr>
    <w:rPr>
      <w:rFonts w:ascii="Arial" w:hAnsi="Arial" w:cstheme="minorBidi"/>
      <w:i/>
      <w:iCs/>
      <w:color w:val="404040" w:themeColor="text1" w:themeTint="BF"/>
      <w:sz w:val="18"/>
    </w:rPr>
  </w:style>
  <w:style w:type="character" w:customStyle="1" w:styleId="CitazioneCarattere">
    <w:name w:val="Citazione Carattere"/>
    <w:basedOn w:val="Carpredefinitoparagrafo"/>
    <w:link w:val="Citazione"/>
    <w:uiPriority w:val="29"/>
    <w:rsid w:val="007930B3"/>
    <w:rPr>
      <w:rFonts w:ascii="Arial" w:hAnsi="Arial"/>
      <w:i/>
      <w:iCs/>
      <w:color w:val="404040" w:themeColor="text1" w:themeTint="BF"/>
      <w:sz w:val="18"/>
      <w:szCs w:val="24"/>
      <w:lang w:val="en-US"/>
    </w:rPr>
  </w:style>
  <w:style w:type="paragraph" w:styleId="Paragrafoelenco">
    <w:name w:val="List Paragraph"/>
    <w:basedOn w:val="Normale"/>
    <w:uiPriority w:val="34"/>
    <w:rsid w:val="00206770"/>
    <w:pPr>
      <w:tabs>
        <w:tab w:val="right" w:pos="7100"/>
      </w:tabs>
      <w:spacing w:line="264" w:lineRule="auto"/>
      <w:ind w:left="720"/>
      <w:contextualSpacing/>
      <w:jc w:val="both"/>
    </w:pPr>
    <w:rPr>
      <w:rFonts w:ascii="Arial" w:eastAsia="Times New Roman" w:hAnsi="Arial"/>
      <w:sz w:val="18"/>
      <w:szCs w:val="20"/>
      <w:lang w:val="en-GB"/>
    </w:rPr>
  </w:style>
  <w:style w:type="character" w:styleId="Testosegnaposto">
    <w:name w:val="Placeholder Text"/>
    <w:basedOn w:val="Carpredefinitoparagrafo"/>
    <w:uiPriority w:val="99"/>
    <w:semiHidden/>
    <w:rsid w:val="002E39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qFormat/>
    <w:rsid w:val="002A46E1"/>
    <w:pPr>
      <w:spacing w:after="0" w:line="240" w:lineRule="auto"/>
    </w:pPr>
    <w:rPr>
      <w:rFonts w:ascii="Times New Roman" w:hAnsi="Times New Roman" w:cs="Times New Roman"/>
      <w:sz w:val="24"/>
      <w:szCs w:val="24"/>
      <w:lang w:val="en-US"/>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eastAsia="Times New Roman" w:hAnsi="Tahoma" w:cs="Tahoma"/>
      <w:sz w:val="16"/>
      <w:szCs w:val="16"/>
      <w:lang w:val="en-GB"/>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eastAsia="Times New Roman" w:hAnsi="Arial"/>
      <w:sz w:val="18"/>
      <w:szCs w:val="20"/>
      <w:lang w:val="en-GB"/>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eastAsia="Times New Roman" w:hAnsi="Arial"/>
      <w:sz w:val="16"/>
      <w:szCs w:val="16"/>
      <w:lang w:val="en-GB"/>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eastAsia="Times New Roman" w:hAnsi="Arial"/>
      <w:sz w:val="18"/>
      <w:szCs w:val="20"/>
      <w:lang w:val="en-GB"/>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tabs>
        <w:tab w:val="right" w:pos="7100"/>
      </w:tabs>
      <w:jc w:val="both"/>
    </w:pPr>
    <w:rPr>
      <w:rFonts w:ascii="Arial" w:eastAsia="Times New Roman" w:hAnsi="Arial"/>
      <w:b/>
      <w:bCs/>
      <w:color w:val="4F81BD" w:themeColor="accent1"/>
      <w:sz w:val="18"/>
      <w:szCs w:val="18"/>
      <w:lang w:val="en-GB"/>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eastAsia="Times New Roman" w:hAnsi="Arial"/>
      <w:sz w:val="18"/>
      <w:szCs w:val="20"/>
      <w:lang w:val="en-GB"/>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eastAsia="Times New Roman" w:hAnsi="Arial"/>
      <w:sz w:val="18"/>
      <w:szCs w:val="20"/>
      <w:lang w:val="en-GB"/>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eastAsia="Times New Roman" w:hAnsi="Arial"/>
      <w:sz w:val="18"/>
      <w:szCs w:val="20"/>
      <w:lang w:val="en-GB"/>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eastAsia="Times New Roman" w:hAnsi="Arial"/>
      <w:sz w:val="18"/>
      <w:szCs w:val="20"/>
      <w:lang w:val="en-GB"/>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eastAsia="Times New Roman" w:hAnsi="Arial"/>
      <w:sz w:val="18"/>
      <w:szCs w:val="20"/>
      <w:lang w:val="en-GB"/>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eastAsia="Times New Roman" w:hAnsi="Arial"/>
      <w:sz w:val="18"/>
      <w:szCs w:val="20"/>
      <w:lang w:val="en-GB"/>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eastAsia="Times New Roman" w:hAnsi="Arial"/>
      <w:sz w:val="18"/>
      <w:szCs w:val="20"/>
      <w:lang w:val="en-GB"/>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eastAsia="Times New Roman" w:hAnsi="Arial"/>
      <w:sz w:val="18"/>
      <w:szCs w:val="20"/>
      <w:lang w:val="en-GB"/>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eastAsia="Times New Roman" w:hAnsi="Arial"/>
      <w:sz w:val="18"/>
      <w:szCs w:val="20"/>
      <w:lang w:val="en-GB"/>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eastAsia="Times New Roman" w:hAnsi="Arial"/>
      <w:sz w:val="18"/>
      <w:szCs w:val="20"/>
      <w:lang w:val="en-GB"/>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eastAsia="Times New Roman" w:hAnsi="Arial"/>
      <w:sz w:val="18"/>
      <w:szCs w:val="20"/>
      <w:lang w:val="en-GB"/>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eastAsia="Times New Roman" w:hAnsi="Arial"/>
      <w:sz w:val="18"/>
      <w:szCs w:val="20"/>
      <w:lang w:val="en-GB"/>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eastAsia="Times New Roman" w:hAnsi="Arial"/>
      <w:sz w:val="18"/>
      <w:szCs w:val="20"/>
      <w:lang w:val="en-GB"/>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eastAsia="Times New Roman" w:hAnsi="Arial"/>
      <w:sz w:val="18"/>
      <w:szCs w:val="20"/>
      <w:lang w:val="en-GB"/>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eastAsia="Times New Roman" w:hAnsi="Arial"/>
      <w:sz w:val="18"/>
      <w:szCs w:val="20"/>
      <w:lang w:val="en-GB"/>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eastAsia="Times New Roman" w:hAnsi="Arial"/>
      <w:sz w:val="18"/>
      <w:szCs w:val="20"/>
      <w:lang w:val="en-GB"/>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eastAsia="Times New Roman" w:hAnsi="Arial"/>
      <w:sz w:val="18"/>
      <w:szCs w:val="20"/>
      <w:lang w:val="en-GB"/>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eastAsia="Times New Roman" w:hAnsi="Arial"/>
      <w:sz w:val="18"/>
      <w:szCs w:val="20"/>
      <w:lang w:val="en-GB"/>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eastAsia="Times New Roman" w:hAnsi="Arial"/>
      <w:sz w:val="18"/>
      <w:szCs w:val="20"/>
      <w:lang w:val="en-GB"/>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eastAsia="Times New Roman" w:hAnsi="Arial"/>
      <w:sz w:val="18"/>
      <w:szCs w:val="20"/>
      <w:lang w:val="en-GB"/>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eastAsia="Times New Roman" w:hAnsi="Arial"/>
      <w:sz w:val="18"/>
      <w:szCs w:val="20"/>
      <w:lang w:val="en-GB"/>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eastAsia="Times New Roman" w:hAnsi="Arial"/>
      <w:sz w:val="18"/>
      <w:szCs w:val="20"/>
      <w:lang w:val="en-GB"/>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eastAsia="Times New Roman" w:hAnsi="Arial"/>
      <w:sz w:val="18"/>
      <w:szCs w:val="20"/>
      <w:lang w:val="en-GB"/>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eastAsia="Times New Roman" w:hAnsi="Arial"/>
      <w:i/>
      <w:iCs/>
      <w:sz w:val="18"/>
      <w:szCs w:val="20"/>
      <w:lang w:val="en-GB"/>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val="en-GB"/>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eastAsia="Times New Roman" w:hAnsi="Tahoma" w:cs="Tahoma"/>
      <w:sz w:val="16"/>
      <w:szCs w:val="16"/>
      <w:lang w:val="en-GB"/>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pPr>
      <w:tabs>
        <w:tab w:val="right" w:pos="7100"/>
      </w:tabs>
      <w:spacing w:line="264" w:lineRule="auto"/>
      <w:jc w:val="both"/>
    </w:pPr>
    <w:rPr>
      <w:rFonts w:ascii="Arial" w:eastAsia="Times New Roman" w:hAnsi="Arial"/>
      <w:lang w:val="en-GB"/>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eastAsia="Times New Roman" w:hAnsi="Arial"/>
      <w:sz w:val="18"/>
      <w:szCs w:val="20"/>
      <w:lang w:val="en-GB"/>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eastAsia="Times New Roman" w:hAnsi="Arial"/>
      <w:sz w:val="18"/>
      <w:szCs w:val="20"/>
      <w:lang w:val="en-GB"/>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eastAsia="Times New Roman" w:hAnsi="Arial"/>
      <w:sz w:val="18"/>
      <w:szCs w:val="20"/>
      <w:lang w:val="en-GB"/>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eastAsia="Times New Roman" w:hAnsi="Arial"/>
      <w:sz w:val="18"/>
      <w:szCs w:val="20"/>
      <w:lang w:val="en-GB"/>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eastAsia="Times New Roman" w:hAnsi="Arial"/>
      <w:sz w:val="18"/>
      <w:szCs w:val="20"/>
      <w:lang w:val="en-GB"/>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eastAsia="Times New Roman" w:hAnsi="Consolas" w:cs="Consolas"/>
      <w:sz w:val="18"/>
      <w:szCs w:val="20"/>
      <w:lang w:val="en-GB"/>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eastAsia="Times New Roman" w:hAnsi="Arial"/>
      <w:sz w:val="18"/>
      <w:szCs w:val="20"/>
      <w:lang w:val="en-GB"/>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eastAsia="Times New Roman" w:hAnsi="Arial"/>
      <w:sz w:val="18"/>
      <w:szCs w:val="20"/>
      <w:lang w:val="en-GB"/>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eastAsia="Times New Roman" w:hAnsi="Arial"/>
      <w:sz w:val="18"/>
      <w:szCs w:val="20"/>
      <w:lang w:val="en-GB"/>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eastAsia="Times New Roman" w:hAnsi="Arial"/>
      <w:sz w:val="18"/>
      <w:szCs w:val="20"/>
      <w:lang w:val="en-GB"/>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eastAsia="Times New Roman" w:hAnsi="Arial"/>
      <w:sz w:val="18"/>
      <w:szCs w:val="20"/>
      <w:lang w:val="en-GB"/>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eastAsia="Times New Roman" w:hAnsi="Arial"/>
      <w:sz w:val="18"/>
      <w:szCs w:val="20"/>
      <w:lang w:val="en-GB"/>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eastAsia="Times New Roman" w:hAnsi="Arial"/>
      <w:sz w:val="18"/>
      <w:szCs w:val="20"/>
      <w:lang w:val="en-GB"/>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eastAsia="Times New Roman" w:hAnsi="Arial"/>
      <w:sz w:val="16"/>
      <w:szCs w:val="16"/>
      <w:lang w:val="en-GB"/>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eastAsia="Times New Roman" w:hAnsi="Arial"/>
      <w:sz w:val="18"/>
      <w:szCs w:val="20"/>
      <w:lang w:val="en-GB"/>
    </w:rPr>
  </w:style>
  <w:style w:type="paragraph" w:styleId="Testocommento">
    <w:name w:val="annotation text"/>
    <w:basedOn w:val="Normale"/>
    <w:link w:val="TestocommentoCarattere"/>
    <w:uiPriority w:val="99"/>
    <w:unhideWhenUsed/>
    <w:rsid w:val="0003148D"/>
    <w:pPr>
      <w:tabs>
        <w:tab w:val="right" w:pos="7100"/>
      </w:tabs>
      <w:jc w:val="both"/>
    </w:pPr>
    <w:rPr>
      <w:rFonts w:ascii="Arial" w:eastAsia="Times New Roman" w:hAnsi="Arial"/>
      <w:sz w:val="18"/>
      <w:szCs w:val="20"/>
      <w:lang w:val="en-GB"/>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eastAsia="Times New Roman" w:hAnsi="Arial"/>
      <w:sz w:val="18"/>
      <w:szCs w:val="20"/>
      <w:lang w:val="en-GB"/>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eastAsia="Times New Roman" w:hAnsi="Arial"/>
      <w:sz w:val="18"/>
      <w:szCs w:val="20"/>
      <w:lang w:val="en-GB"/>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eastAsia="Times New Roman" w:hAnsi="Arial"/>
      <w:sz w:val="18"/>
      <w:szCs w:val="20"/>
      <w:lang w:val="en-GB"/>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eastAsia="Times New Roman" w:hAnsi="Arial"/>
      <w:sz w:val="18"/>
      <w:szCs w:val="20"/>
      <w:lang w:val="en-GB"/>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eastAsia="Times New Roman" w:hAnsi="Arial"/>
      <w:sz w:val="18"/>
      <w:szCs w:val="20"/>
      <w:lang w:val="en-GB"/>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eastAsia="Times New Roman" w:hAnsi="Arial"/>
      <w:sz w:val="18"/>
      <w:szCs w:val="20"/>
      <w:lang w:val="en-GB"/>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eastAsia="Times New Roman" w:hAnsi="Arial"/>
      <w:sz w:val="18"/>
      <w:szCs w:val="20"/>
      <w:lang w:val="en-GB"/>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eastAsia="Times New Roman" w:hAnsi="Arial"/>
      <w:sz w:val="18"/>
      <w:szCs w:val="20"/>
      <w:lang w:val="en-GB"/>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eastAsia="Times New Roman" w:hAnsi="Arial"/>
      <w:sz w:val="18"/>
      <w:szCs w:val="20"/>
      <w:lang w:val="en-GB"/>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eastAsia="Times New Roman" w:hAnsi="Consolas" w:cs="Consolas"/>
      <w:sz w:val="21"/>
      <w:szCs w:val="21"/>
      <w:lang w:val="en-GB"/>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tabs>
        <w:tab w:val="right" w:pos="7100"/>
      </w:tabs>
      <w:jc w:val="both"/>
    </w:pPr>
    <w:rPr>
      <w:rFonts w:ascii="Arial" w:eastAsia="Times New Roman" w:hAnsi="Arial"/>
      <w:sz w:val="18"/>
      <w:szCs w:val="20"/>
      <w:lang w:val="en-GB"/>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eastAsia="Times New Roman" w:hAnsi="Arial"/>
      <w:sz w:val="18"/>
      <w:szCs w:val="20"/>
      <w:lang w:val="en-GB"/>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eastAsia="Times New Roman" w:hAnsi="Arial"/>
      <w:sz w:val="18"/>
      <w:szCs w:val="20"/>
      <w:lang w:val="en-GB"/>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Citazione">
    <w:name w:val="Quote"/>
    <w:basedOn w:val="Normale"/>
    <w:next w:val="Normale"/>
    <w:link w:val="CitazioneCarattere"/>
    <w:uiPriority w:val="29"/>
    <w:qFormat/>
    <w:rsid w:val="007930B3"/>
    <w:pPr>
      <w:spacing w:before="200" w:after="160" w:line="264" w:lineRule="auto"/>
      <w:ind w:left="864" w:right="864"/>
      <w:jc w:val="center"/>
    </w:pPr>
    <w:rPr>
      <w:rFonts w:ascii="Arial" w:hAnsi="Arial" w:cstheme="minorBidi"/>
      <w:i/>
      <w:iCs/>
      <w:color w:val="404040" w:themeColor="text1" w:themeTint="BF"/>
      <w:sz w:val="18"/>
    </w:rPr>
  </w:style>
  <w:style w:type="character" w:customStyle="1" w:styleId="CitazioneCarattere">
    <w:name w:val="Citazione Carattere"/>
    <w:basedOn w:val="Carpredefinitoparagrafo"/>
    <w:link w:val="Citazione"/>
    <w:uiPriority w:val="29"/>
    <w:rsid w:val="007930B3"/>
    <w:rPr>
      <w:rFonts w:ascii="Arial" w:hAnsi="Arial"/>
      <w:i/>
      <w:iCs/>
      <w:color w:val="404040" w:themeColor="text1" w:themeTint="BF"/>
      <w:sz w:val="18"/>
      <w:szCs w:val="24"/>
      <w:lang w:val="en-US"/>
    </w:rPr>
  </w:style>
  <w:style w:type="paragraph" w:styleId="Paragrafoelenco">
    <w:name w:val="List Paragraph"/>
    <w:basedOn w:val="Normale"/>
    <w:uiPriority w:val="34"/>
    <w:rsid w:val="00206770"/>
    <w:pPr>
      <w:tabs>
        <w:tab w:val="right" w:pos="7100"/>
      </w:tabs>
      <w:spacing w:line="264" w:lineRule="auto"/>
      <w:ind w:left="720"/>
      <w:contextualSpacing/>
      <w:jc w:val="both"/>
    </w:pPr>
    <w:rPr>
      <w:rFonts w:ascii="Arial" w:eastAsia="Times New Roman" w:hAnsi="Arial"/>
      <w:sz w:val="18"/>
      <w:szCs w:val="20"/>
      <w:lang w:val="en-GB"/>
    </w:rPr>
  </w:style>
  <w:style w:type="character" w:styleId="Testosegnaposto">
    <w:name w:val="Placeholder Text"/>
    <w:basedOn w:val="Carpredefinitoparagrafo"/>
    <w:uiPriority w:val="99"/>
    <w:semiHidden/>
    <w:rsid w:val="002E39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5482">
      <w:bodyDiv w:val="1"/>
      <w:marLeft w:val="0"/>
      <w:marRight w:val="0"/>
      <w:marTop w:val="0"/>
      <w:marBottom w:val="0"/>
      <w:divBdr>
        <w:top w:val="none" w:sz="0" w:space="0" w:color="auto"/>
        <w:left w:val="none" w:sz="0" w:space="0" w:color="auto"/>
        <w:bottom w:val="none" w:sz="0" w:space="0" w:color="auto"/>
        <w:right w:val="none" w:sz="0" w:space="0" w:color="auto"/>
      </w:divBdr>
    </w:div>
    <w:div w:id="394360506">
      <w:bodyDiv w:val="1"/>
      <w:marLeft w:val="0"/>
      <w:marRight w:val="0"/>
      <w:marTop w:val="0"/>
      <w:marBottom w:val="0"/>
      <w:divBdr>
        <w:top w:val="none" w:sz="0" w:space="0" w:color="auto"/>
        <w:left w:val="none" w:sz="0" w:space="0" w:color="auto"/>
        <w:bottom w:val="none" w:sz="0" w:space="0" w:color="auto"/>
        <w:right w:val="none" w:sz="0" w:space="0" w:color="auto"/>
      </w:divBdr>
    </w:div>
    <w:div w:id="572423894">
      <w:bodyDiv w:val="1"/>
      <w:marLeft w:val="0"/>
      <w:marRight w:val="0"/>
      <w:marTop w:val="0"/>
      <w:marBottom w:val="0"/>
      <w:divBdr>
        <w:top w:val="none" w:sz="0" w:space="0" w:color="auto"/>
        <w:left w:val="none" w:sz="0" w:space="0" w:color="auto"/>
        <w:bottom w:val="none" w:sz="0" w:space="0" w:color="auto"/>
        <w:right w:val="none" w:sz="0" w:space="0" w:color="auto"/>
      </w:divBdr>
    </w:div>
    <w:div w:id="697511714">
      <w:bodyDiv w:val="1"/>
      <w:marLeft w:val="0"/>
      <w:marRight w:val="0"/>
      <w:marTop w:val="0"/>
      <w:marBottom w:val="0"/>
      <w:divBdr>
        <w:top w:val="none" w:sz="0" w:space="0" w:color="auto"/>
        <w:left w:val="none" w:sz="0" w:space="0" w:color="auto"/>
        <w:bottom w:val="none" w:sz="0" w:space="0" w:color="auto"/>
        <w:right w:val="none" w:sz="0" w:space="0" w:color="auto"/>
      </w:divBdr>
    </w:div>
    <w:div w:id="762847005">
      <w:bodyDiv w:val="1"/>
      <w:marLeft w:val="0"/>
      <w:marRight w:val="0"/>
      <w:marTop w:val="0"/>
      <w:marBottom w:val="0"/>
      <w:divBdr>
        <w:top w:val="none" w:sz="0" w:space="0" w:color="auto"/>
        <w:left w:val="none" w:sz="0" w:space="0" w:color="auto"/>
        <w:bottom w:val="none" w:sz="0" w:space="0" w:color="auto"/>
        <w:right w:val="none" w:sz="0" w:space="0" w:color="auto"/>
      </w:divBdr>
      <w:divsChild>
        <w:div w:id="302589352">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31664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5464">
      <w:bodyDiv w:val="1"/>
      <w:marLeft w:val="0"/>
      <w:marRight w:val="0"/>
      <w:marTop w:val="0"/>
      <w:marBottom w:val="0"/>
      <w:divBdr>
        <w:top w:val="none" w:sz="0" w:space="0" w:color="auto"/>
        <w:left w:val="none" w:sz="0" w:space="0" w:color="auto"/>
        <w:bottom w:val="none" w:sz="0" w:space="0" w:color="auto"/>
        <w:right w:val="none" w:sz="0" w:space="0" w:color="auto"/>
      </w:divBdr>
    </w:div>
    <w:div w:id="1560896854">
      <w:bodyDiv w:val="1"/>
      <w:marLeft w:val="0"/>
      <w:marRight w:val="0"/>
      <w:marTop w:val="0"/>
      <w:marBottom w:val="0"/>
      <w:divBdr>
        <w:top w:val="none" w:sz="0" w:space="0" w:color="auto"/>
        <w:left w:val="none" w:sz="0" w:space="0" w:color="auto"/>
        <w:bottom w:val="none" w:sz="0" w:space="0" w:color="auto"/>
        <w:right w:val="none" w:sz="0" w:space="0" w:color="auto"/>
      </w:divBdr>
    </w:div>
    <w:div w:id="165606181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0814">
      <w:bodyDiv w:val="1"/>
      <w:marLeft w:val="0"/>
      <w:marRight w:val="0"/>
      <w:marTop w:val="0"/>
      <w:marBottom w:val="0"/>
      <w:divBdr>
        <w:top w:val="none" w:sz="0" w:space="0" w:color="auto"/>
        <w:left w:val="none" w:sz="0" w:space="0" w:color="auto"/>
        <w:bottom w:val="none" w:sz="0" w:space="0" w:color="auto"/>
        <w:right w:val="none" w:sz="0" w:space="0" w:color="auto"/>
      </w:divBdr>
    </w:div>
    <w:div w:id="1861971097">
      <w:bodyDiv w:val="1"/>
      <w:marLeft w:val="0"/>
      <w:marRight w:val="0"/>
      <w:marTop w:val="0"/>
      <w:marBottom w:val="0"/>
      <w:divBdr>
        <w:top w:val="none" w:sz="0" w:space="0" w:color="auto"/>
        <w:left w:val="none" w:sz="0" w:space="0" w:color="auto"/>
        <w:bottom w:val="none" w:sz="0" w:space="0" w:color="auto"/>
        <w:right w:val="none" w:sz="0" w:space="0" w:color="auto"/>
      </w:divBdr>
    </w:div>
    <w:div w:id="1956860972">
      <w:bodyDiv w:val="1"/>
      <w:marLeft w:val="0"/>
      <w:marRight w:val="0"/>
      <w:marTop w:val="0"/>
      <w:marBottom w:val="0"/>
      <w:divBdr>
        <w:top w:val="none" w:sz="0" w:space="0" w:color="auto"/>
        <w:left w:val="none" w:sz="0" w:space="0" w:color="auto"/>
        <w:bottom w:val="none" w:sz="0" w:space="0" w:color="auto"/>
        <w:right w:val="none" w:sz="0" w:space="0" w:color="auto"/>
      </w:divBdr>
    </w:div>
    <w:div w:id="204093443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94992-F193-475E-9B82-C81835CD5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3031</Words>
  <Characters>17277</Characters>
  <Application>Microsoft Office Word</Application>
  <DocSecurity>0</DocSecurity>
  <Lines>143</Lines>
  <Paragraphs>40</Paragraphs>
  <ScaleCrop>false</ScaleCrop>
  <HeadingPairs>
    <vt:vector size="6" baseType="variant">
      <vt:variant>
        <vt:lpstr>Titolo</vt:lpstr>
      </vt:variant>
      <vt:variant>
        <vt:i4>1</vt:i4>
      </vt:variant>
      <vt:variant>
        <vt:lpstr>Intestazioni</vt:lpstr>
      </vt:variant>
      <vt:variant>
        <vt:i4>1</vt:i4>
      </vt:variant>
      <vt:variant>
        <vt:lpstr>Title</vt:lpstr>
      </vt:variant>
      <vt:variant>
        <vt:i4>1</vt:i4>
      </vt:variant>
    </vt:vector>
  </HeadingPairs>
  <TitlesOfParts>
    <vt:vector size="3" baseType="lpstr">
      <vt:lpstr/>
      <vt:lpstr>Influence of Cross-Sectional Geometry on Mixing in a T-Shaped Micro-Junction</vt:lpstr>
      <vt:lpstr/>
    </vt:vector>
  </TitlesOfParts>
  <Company>Dipartimento CMIC - Politecnico di Milano</Company>
  <LinksUpToDate>false</LinksUpToDate>
  <CharactersWithSpaces>20268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brunazzi</cp:lastModifiedBy>
  <cp:revision>2</cp:revision>
  <cp:lastPrinted>2019-04-09T13:36:00Z</cp:lastPrinted>
  <dcterms:created xsi:type="dcterms:W3CDTF">2019-04-12T09:10:00Z</dcterms:created>
  <dcterms:modified xsi:type="dcterms:W3CDTF">2019-04-12T09:10:00Z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