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rsidTr="00DE264A">
        <w:trPr>
          <w:trHeight w:val="68"/>
          <w:jc w:val="center"/>
        </w:trPr>
        <w:tc>
          <w:tcPr>
            <w:tcW w:w="8789" w:type="dxa"/>
            <w:gridSpan w:val="2"/>
          </w:tcPr>
          <w:p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B255F0" w:rsidRDefault="008654A3" w:rsidP="008654A3">
      <w:pPr>
        <w:pStyle w:val="CETAddress"/>
        <w:spacing w:before="240"/>
        <w:jc w:val="center"/>
        <w:rPr>
          <w:noProof w:val="0"/>
          <w:sz w:val="32"/>
        </w:rPr>
      </w:pPr>
      <w:proofErr w:type="spellStart"/>
      <w:r>
        <w:rPr>
          <w:noProof w:val="0"/>
          <w:sz w:val="32"/>
        </w:rPr>
        <w:lastRenderedPageBreak/>
        <w:t>Modeling</w:t>
      </w:r>
      <w:proofErr w:type="spellEnd"/>
      <w:r>
        <w:rPr>
          <w:noProof w:val="0"/>
          <w:sz w:val="32"/>
        </w:rPr>
        <w:t xml:space="preserve"> a</w:t>
      </w:r>
      <w:r w:rsidRPr="008654A3">
        <w:rPr>
          <w:noProof w:val="0"/>
          <w:sz w:val="32"/>
        </w:rPr>
        <w:t>n</w:t>
      </w:r>
      <w:r>
        <w:rPr>
          <w:noProof w:val="0"/>
          <w:sz w:val="32"/>
        </w:rPr>
        <w:t>d Experimental Investigation of the Effect of Nitrogen Starvation and pH</w:t>
      </w:r>
      <w:bookmarkStart w:id="0" w:name="_GoBack"/>
      <w:bookmarkEnd w:id="0"/>
      <w:r>
        <w:rPr>
          <w:noProof w:val="0"/>
          <w:sz w:val="32"/>
        </w:rPr>
        <w:t xml:space="preserve"> Variation o</w:t>
      </w:r>
      <w:r w:rsidRPr="008654A3">
        <w:rPr>
          <w:noProof w:val="0"/>
          <w:sz w:val="32"/>
        </w:rPr>
        <w:t xml:space="preserve">n </w:t>
      </w:r>
      <w:r>
        <w:rPr>
          <w:noProof w:val="0"/>
          <w:sz w:val="32"/>
        </w:rPr>
        <w:t xml:space="preserve">the cultivation of the extremophile microalga </w:t>
      </w:r>
      <w:proofErr w:type="spellStart"/>
      <w:r w:rsidRPr="008654A3">
        <w:rPr>
          <w:i/>
          <w:noProof w:val="0"/>
          <w:sz w:val="32"/>
        </w:rPr>
        <w:t>Coccomyxa</w:t>
      </w:r>
      <w:proofErr w:type="spellEnd"/>
      <w:r w:rsidRPr="008654A3">
        <w:rPr>
          <w:i/>
          <w:noProof w:val="0"/>
          <w:sz w:val="32"/>
        </w:rPr>
        <w:t xml:space="preserve"> </w:t>
      </w:r>
      <w:proofErr w:type="spellStart"/>
      <w:r w:rsidRPr="008654A3">
        <w:rPr>
          <w:i/>
          <w:noProof w:val="0"/>
          <w:sz w:val="32"/>
        </w:rPr>
        <w:t>melkonianii</w:t>
      </w:r>
      <w:proofErr w:type="spellEnd"/>
      <w:r w:rsidRPr="008654A3">
        <w:rPr>
          <w:noProof w:val="0"/>
          <w:sz w:val="32"/>
        </w:rPr>
        <w:t xml:space="preserve"> S</w:t>
      </w:r>
      <w:r>
        <w:rPr>
          <w:noProof w:val="0"/>
          <w:sz w:val="32"/>
        </w:rPr>
        <w:t>CCA</w:t>
      </w:r>
      <w:r w:rsidRPr="008654A3">
        <w:rPr>
          <w:noProof w:val="0"/>
          <w:sz w:val="32"/>
        </w:rPr>
        <w:t>048</w:t>
      </w:r>
    </w:p>
    <w:p w:rsidR="00F80B94" w:rsidRPr="00715370" w:rsidRDefault="00F80B94" w:rsidP="00F80B94">
      <w:pPr>
        <w:pStyle w:val="CETAddress"/>
        <w:rPr>
          <w:sz w:val="24"/>
        </w:rPr>
      </w:pPr>
    </w:p>
    <w:p w:rsidR="00E978D0" w:rsidRPr="00715370" w:rsidRDefault="005C245A" w:rsidP="005844B8">
      <w:pPr>
        <w:pStyle w:val="CETAddress"/>
        <w:spacing w:after="120" w:line="264" w:lineRule="auto"/>
        <w:rPr>
          <w:sz w:val="24"/>
          <w:lang w:val="it-IT"/>
        </w:rPr>
      </w:pPr>
      <w:r w:rsidRPr="00715370">
        <w:rPr>
          <w:sz w:val="24"/>
          <w:lang w:val="it-IT"/>
        </w:rPr>
        <w:t>Santina Soru</w:t>
      </w:r>
      <w:r w:rsidR="00FE1126" w:rsidRPr="00715370">
        <w:rPr>
          <w:sz w:val="24"/>
          <w:vertAlign w:val="superscript"/>
          <w:lang w:val="it-IT"/>
        </w:rPr>
        <w:t>a</w:t>
      </w:r>
      <w:r w:rsidRPr="00715370">
        <w:rPr>
          <w:sz w:val="24"/>
          <w:lang w:val="it-IT"/>
        </w:rPr>
        <w:t>, Veronica Malavasi</w:t>
      </w:r>
      <w:r w:rsidR="00FE1126" w:rsidRPr="00715370">
        <w:rPr>
          <w:sz w:val="24"/>
          <w:vertAlign w:val="superscript"/>
          <w:lang w:val="it-IT"/>
        </w:rPr>
        <w:t>a</w:t>
      </w:r>
      <w:r w:rsidRPr="00715370">
        <w:rPr>
          <w:sz w:val="24"/>
          <w:lang w:val="it-IT"/>
        </w:rPr>
        <w:t>, Alessandro Concas</w:t>
      </w:r>
      <w:r w:rsidR="00FE1126" w:rsidRPr="00715370">
        <w:rPr>
          <w:sz w:val="24"/>
          <w:vertAlign w:val="superscript"/>
          <w:lang w:val="it-IT"/>
        </w:rPr>
        <w:t>b</w:t>
      </w:r>
      <w:r w:rsidRPr="00715370">
        <w:rPr>
          <w:sz w:val="24"/>
          <w:vertAlign w:val="superscript"/>
          <w:lang w:val="it-IT"/>
        </w:rPr>
        <w:t>*</w:t>
      </w:r>
      <w:r w:rsidRPr="00715370">
        <w:rPr>
          <w:sz w:val="24"/>
          <w:lang w:val="it-IT"/>
        </w:rPr>
        <w:t xml:space="preserve">, </w:t>
      </w:r>
      <w:r w:rsidR="007336DF" w:rsidRPr="007336DF">
        <w:rPr>
          <w:sz w:val="24"/>
          <w:lang w:val="it-IT"/>
        </w:rPr>
        <w:t>Pierluigi Caboni</w:t>
      </w:r>
      <w:r w:rsidR="007336DF" w:rsidRPr="007336DF">
        <w:rPr>
          <w:sz w:val="24"/>
          <w:vertAlign w:val="superscript"/>
          <w:lang w:val="it-IT"/>
        </w:rPr>
        <w:t>c</w:t>
      </w:r>
      <w:r w:rsidR="007336DF">
        <w:rPr>
          <w:sz w:val="24"/>
          <w:lang w:val="it-IT"/>
        </w:rPr>
        <w:t xml:space="preserve">, </w:t>
      </w:r>
      <w:r w:rsidRPr="00715370">
        <w:rPr>
          <w:sz w:val="24"/>
          <w:lang w:val="it-IT"/>
        </w:rPr>
        <w:t>Giacomo Cao</w:t>
      </w:r>
      <w:r w:rsidR="00FE1126" w:rsidRPr="00715370">
        <w:rPr>
          <w:sz w:val="24"/>
          <w:vertAlign w:val="superscript"/>
          <w:lang w:val="it-IT"/>
        </w:rPr>
        <w:t>a</w:t>
      </w:r>
      <w:r w:rsidRPr="00715370">
        <w:rPr>
          <w:sz w:val="24"/>
          <w:vertAlign w:val="superscript"/>
          <w:lang w:val="it-IT"/>
        </w:rPr>
        <w:t>,</w:t>
      </w:r>
      <w:r w:rsidR="007336DF">
        <w:rPr>
          <w:sz w:val="24"/>
          <w:vertAlign w:val="superscript"/>
          <w:lang w:val="it-IT"/>
        </w:rPr>
        <w:t>d</w:t>
      </w:r>
      <w:r w:rsidR="005844B8" w:rsidRPr="00715370">
        <w:rPr>
          <w:sz w:val="24"/>
          <w:lang w:val="it-IT"/>
        </w:rPr>
        <w:t xml:space="preserve"> </w:t>
      </w:r>
    </w:p>
    <w:p w:rsidR="005C245A" w:rsidRPr="00715370" w:rsidRDefault="00FE1126" w:rsidP="005844B8">
      <w:pPr>
        <w:pStyle w:val="CETAddress"/>
        <w:spacing w:before="120" w:line="264" w:lineRule="auto"/>
      </w:pPr>
      <w:r w:rsidRPr="00715370">
        <w:rPr>
          <w:vertAlign w:val="superscript"/>
        </w:rPr>
        <w:t xml:space="preserve">a </w:t>
      </w:r>
      <w:r w:rsidR="005C245A" w:rsidRPr="00715370">
        <w:t>Interdepartmental Center of Environmental Science and Engineering (CINSA), University of Cagliari, Via San Giorgio 12, 09124 Cagliari, Italy</w:t>
      </w:r>
    </w:p>
    <w:p w:rsidR="005C245A" w:rsidRDefault="00FE1126" w:rsidP="005C245A">
      <w:pPr>
        <w:pStyle w:val="CETAddress"/>
        <w:spacing w:line="264" w:lineRule="auto"/>
      </w:pPr>
      <w:r w:rsidRPr="00715370">
        <w:rPr>
          <w:vertAlign w:val="superscript"/>
        </w:rPr>
        <w:t xml:space="preserve">b </w:t>
      </w:r>
      <w:r w:rsidR="005C245A" w:rsidRPr="00715370">
        <w:t>Center for Advanced Studies, Research and Development in Sardinia (CRS4), Loc. Piscina Manna, Building 1, 09010 Pula (CA), Italy</w:t>
      </w:r>
    </w:p>
    <w:p w:rsidR="007336DF" w:rsidRPr="005518C5" w:rsidRDefault="007336DF" w:rsidP="007336DF">
      <w:pPr>
        <w:pStyle w:val="CETAddress"/>
        <w:spacing w:line="264" w:lineRule="auto"/>
      </w:pPr>
      <w:r w:rsidRPr="005518C5">
        <w:rPr>
          <w:vertAlign w:val="superscript"/>
        </w:rPr>
        <w:t xml:space="preserve">c </w:t>
      </w:r>
      <w:r w:rsidRPr="005518C5">
        <w:t>Department of Life and Environmental Sciences, University of Cagliari, Via Ospedale 72, 09124 Cagliari, Italy</w:t>
      </w:r>
    </w:p>
    <w:p w:rsidR="005C245A" w:rsidRPr="00715370" w:rsidRDefault="007336DF" w:rsidP="005C245A">
      <w:pPr>
        <w:pStyle w:val="CETAddress"/>
        <w:spacing w:line="264" w:lineRule="auto"/>
      </w:pPr>
      <w:r>
        <w:rPr>
          <w:vertAlign w:val="superscript"/>
        </w:rPr>
        <w:t>d</w:t>
      </w:r>
      <w:r w:rsidR="005C245A" w:rsidRPr="00715370">
        <w:rPr>
          <w:vertAlign w:val="superscript"/>
        </w:rPr>
        <w:t xml:space="preserve"> </w:t>
      </w:r>
      <w:r w:rsidR="005C245A" w:rsidRPr="00715370">
        <w:t>Department of Mechanical, Chemical and Materials Engineering, University of Cagliari, Piazza d’Armi, 09123 Cagliari, Italy</w:t>
      </w:r>
    </w:p>
    <w:p w:rsidR="00D0644A" w:rsidRPr="00715370" w:rsidRDefault="00D0644A" w:rsidP="005C245A">
      <w:pPr>
        <w:pStyle w:val="CETAddress"/>
        <w:spacing w:line="264" w:lineRule="auto"/>
        <w:rPr>
          <w:rStyle w:val="Collegamentoipertestuale"/>
          <w:color w:val="auto"/>
          <w:u w:val="none"/>
        </w:rPr>
      </w:pPr>
      <w:r w:rsidRPr="00715370">
        <w:t xml:space="preserve">* </w:t>
      </w:r>
      <w:hyperlink r:id="rId11" w:history="1">
        <w:r w:rsidR="0072370C" w:rsidRPr="00715370">
          <w:rPr>
            <w:rStyle w:val="Collegamentoipertestuale"/>
            <w:color w:val="auto"/>
          </w:rPr>
          <w:t>aconcas@crs4.it</w:t>
        </w:r>
      </w:hyperlink>
      <w:r w:rsidRPr="00715370">
        <w:rPr>
          <w:rStyle w:val="Collegamentoipertestuale"/>
          <w:color w:val="auto"/>
          <w:u w:val="none"/>
        </w:rPr>
        <w:t xml:space="preserve">; </w:t>
      </w:r>
    </w:p>
    <w:p w:rsidR="005C245A" w:rsidRPr="00715370" w:rsidRDefault="005C245A" w:rsidP="005C245A">
      <w:pPr>
        <w:pStyle w:val="CETAddress"/>
        <w:spacing w:line="264" w:lineRule="auto"/>
      </w:pPr>
    </w:p>
    <w:p w:rsidR="0072370C" w:rsidRPr="00715370" w:rsidRDefault="00A30AF8" w:rsidP="006A6852">
      <w:pPr>
        <w:pStyle w:val="CETListbullets"/>
        <w:ind w:left="0" w:firstLine="0"/>
      </w:pPr>
      <w:r w:rsidRPr="00715370">
        <w:t>T</w:t>
      </w:r>
      <w:r w:rsidR="0072370C" w:rsidRPr="00715370">
        <w:t xml:space="preserve">he effects of nitrogen concentration and pH on the growth </w:t>
      </w:r>
      <w:r w:rsidR="00CB1442" w:rsidRPr="00715370">
        <w:t xml:space="preserve">kinetics </w:t>
      </w:r>
      <w:r w:rsidR="0072370C" w:rsidRPr="00715370">
        <w:t xml:space="preserve">of the extremophile microalgal strain </w:t>
      </w:r>
      <w:proofErr w:type="spellStart"/>
      <w:r w:rsidR="0072370C" w:rsidRPr="00715370">
        <w:rPr>
          <w:i/>
        </w:rPr>
        <w:t>Coccomyxa</w:t>
      </w:r>
      <w:proofErr w:type="spellEnd"/>
      <w:r w:rsidR="0072370C" w:rsidRPr="00715370">
        <w:rPr>
          <w:i/>
        </w:rPr>
        <w:t xml:space="preserve"> </w:t>
      </w:r>
      <w:proofErr w:type="spellStart"/>
      <w:r w:rsidR="0072370C" w:rsidRPr="00715370">
        <w:rPr>
          <w:i/>
        </w:rPr>
        <w:t>melkonianii</w:t>
      </w:r>
      <w:proofErr w:type="spellEnd"/>
      <w:r w:rsidR="0072370C" w:rsidRPr="00715370">
        <w:rPr>
          <w:i/>
        </w:rPr>
        <w:t xml:space="preserve"> SCCA 048</w:t>
      </w:r>
      <w:r w:rsidR="0072370C" w:rsidRPr="00715370">
        <w:t xml:space="preserve"> in multiwell and batch photobioreactors</w:t>
      </w:r>
      <w:r w:rsidRPr="00715370">
        <w:t xml:space="preserve"> are </w:t>
      </w:r>
      <w:r w:rsidR="00005D7A" w:rsidRPr="00715370">
        <w:t xml:space="preserve">investigated </w:t>
      </w:r>
      <w:r w:rsidRPr="00715370">
        <w:t>in this work</w:t>
      </w:r>
      <w:r w:rsidR="0072370C" w:rsidRPr="00715370">
        <w:t xml:space="preserve">. </w:t>
      </w:r>
      <w:r w:rsidRPr="00715370">
        <w:t>Moreover, t</w:t>
      </w:r>
      <w:r w:rsidR="0072370C" w:rsidRPr="00715370">
        <w:t>he experimental results were successfully interpreted by a simple, mathematical model</w:t>
      </w:r>
      <w:r w:rsidRPr="00715370">
        <w:t xml:space="preserve"> which represents a starting point towards the development of </w:t>
      </w:r>
      <w:r w:rsidR="00830B3A" w:rsidRPr="00830B3A">
        <w:t>a suitable tool for the design</w:t>
      </w:r>
      <w:r w:rsidRPr="00715370">
        <w:t xml:space="preserve">, control, and optimization of large scale </w:t>
      </w:r>
      <w:r w:rsidR="00CB1442" w:rsidRPr="00715370">
        <w:t xml:space="preserve">photobioreactors where </w:t>
      </w:r>
      <w:r w:rsidR="00CB1442" w:rsidRPr="00715370">
        <w:rPr>
          <w:i/>
        </w:rPr>
        <w:t xml:space="preserve">C. </w:t>
      </w:r>
      <w:proofErr w:type="spellStart"/>
      <w:r w:rsidR="00CB1442" w:rsidRPr="00715370">
        <w:rPr>
          <w:i/>
        </w:rPr>
        <w:t>melkonianii</w:t>
      </w:r>
      <w:proofErr w:type="spellEnd"/>
      <w:r w:rsidR="00CB1442" w:rsidRPr="00715370">
        <w:t xml:space="preserve"> would be cultivated. </w:t>
      </w:r>
      <w:r w:rsidR="00CB1442" w:rsidRPr="00715370">
        <w:rPr>
          <w:szCs w:val="18"/>
        </w:rPr>
        <w:t xml:space="preserve">On the basis of </w:t>
      </w:r>
      <w:r w:rsidR="001B7881" w:rsidRPr="00715370">
        <w:rPr>
          <w:szCs w:val="18"/>
        </w:rPr>
        <w:t>fatty acids methyl esters (</w:t>
      </w:r>
      <w:r w:rsidR="00CB1442" w:rsidRPr="00715370">
        <w:rPr>
          <w:szCs w:val="18"/>
        </w:rPr>
        <w:t>FAMEs</w:t>
      </w:r>
      <w:r w:rsidR="001B7881" w:rsidRPr="00715370">
        <w:rPr>
          <w:szCs w:val="18"/>
        </w:rPr>
        <w:t>)</w:t>
      </w:r>
      <w:r w:rsidR="00CB1442" w:rsidRPr="00715370">
        <w:rPr>
          <w:szCs w:val="18"/>
        </w:rPr>
        <w:t xml:space="preserve"> profile, </w:t>
      </w:r>
      <w:r w:rsidR="00005D7A" w:rsidRPr="00715370">
        <w:rPr>
          <w:szCs w:val="18"/>
        </w:rPr>
        <w:t xml:space="preserve">potential </w:t>
      </w:r>
      <w:r w:rsidR="00CB1442" w:rsidRPr="00715370">
        <w:rPr>
          <w:szCs w:val="18"/>
        </w:rPr>
        <w:t xml:space="preserve">properties </w:t>
      </w:r>
      <w:r w:rsidR="00005D7A" w:rsidRPr="00715370">
        <w:rPr>
          <w:szCs w:val="18"/>
        </w:rPr>
        <w:t xml:space="preserve">of biodiesel </w:t>
      </w:r>
      <w:r w:rsidR="00CB1442" w:rsidRPr="00715370">
        <w:rPr>
          <w:szCs w:val="18"/>
        </w:rPr>
        <w:t>have been predicted through suitable software.</w:t>
      </w:r>
    </w:p>
    <w:p w:rsidR="00FE1126" w:rsidRPr="00715370" w:rsidRDefault="00600535" w:rsidP="006A6852">
      <w:pPr>
        <w:pStyle w:val="CETHeading1"/>
        <w:rPr>
          <w:lang w:val="en-GB"/>
        </w:rPr>
      </w:pPr>
      <w:r w:rsidRPr="00715370">
        <w:rPr>
          <w:lang w:val="en-GB"/>
        </w:rPr>
        <w:t>Introduction</w:t>
      </w:r>
    </w:p>
    <w:p w:rsidR="00F27F77" w:rsidRPr="00715370" w:rsidRDefault="00FE1126" w:rsidP="00F27F77">
      <w:pPr>
        <w:pStyle w:val="CETListbullets"/>
        <w:ind w:left="0" w:firstLine="0"/>
      </w:pPr>
      <w:r w:rsidRPr="00715370">
        <w:t xml:space="preserve">Extremophile microalgae have </w:t>
      </w:r>
      <w:r w:rsidR="009B3929" w:rsidRPr="00715370">
        <w:t xml:space="preserve">the </w:t>
      </w:r>
      <w:r w:rsidRPr="00715370">
        <w:t xml:space="preserve">ability to grow under specific extreme conditions that </w:t>
      </w:r>
      <w:r w:rsidR="00005D7A" w:rsidRPr="00715370">
        <w:t xml:space="preserve">might </w:t>
      </w:r>
      <w:r w:rsidR="001057DC" w:rsidRPr="00715370">
        <w:t>help reduc</w:t>
      </w:r>
      <w:r w:rsidR="00005D7A" w:rsidRPr="00715370">
        <w:t>ing</w:t>
      </w:r>
      <w:r w:rsidR="001057DC" w:rsidRPr="00715370">
        <w:t xml:space="preserve"> </w:t>
      </w:r>
      <w:r w:rsidRPr="00715370">
        <w:t xml:space="preserve">contamination by other </w:t>
      </w:r>
      <w:r w:rsidR="00353E07" w:rsidRPr="00715370">
        <w:t>microorganisms</w:t>
      </w:r>
      <w:r w:rsidRPr="00715370">
        <w:t xml:space="preserve">. </w:t>
      </w:r>
      <w:r w:rsidR="006B3BD2" w:rsidRPr="00715370">
        <w:t xml:space="preserve">Accordingly, these algae could </w:t>
      </w:r>
      <w:r w:rsidRPr="00715370">
        <w:t>be cultivated in open ponds with lower contamination risks and exploit the economic advantages of using open raceways (</w:t>
      </w:r>
      <w:proofErr w:type="spellStart"/>
      <w:r w:rsidRPr="00715370">
        <w:t>Soru</w:t>
      </w:r>
      <w:proofErr w:type="spellEnd"/>
      <w:r w:rsidRPr="00715370">
        <w:t xml:space="preserve"> </w:t>
      </w:r>
      <w:r w:rsidRPr="00715370">
        <w:rPr>
          <w:i/>
        </w:rPr>
        <w:t>et al.,</w:t>
      </w:r>
      <w:r w:rsidRPr="00715370">
        <w:t xml:space="preserve"> 2018</w:t>
      </w:r>
      <w:r w:rsidR="00543650" w:rsidRPr="00715370">
        <w:t>a</w:t>
      </w:r>
      <w:r w:rsidRPr="00715370">
        <w:t xml:space="preserve">). Under abiotic stress, microalgae undergo strong metabolic changes in their physiology, and biochemistry for survival (Bermejo </w:t>
      </w:r>
      <w:r w:rsidRPr="00715370">
        <w:rPr>
          <w:i/>
        </w:rPr>
        <w:t>et al.</w:t>
      </w:r>
      <w:r w:rsidRPr="00715370">
        <w:t xml:space="preserve">, 2018). Microalgae exposed to nutrient starvation, excess of salt, UVA (ultraviolet A) light, or metal toxicity, </w:t>
      </w:r>
      <w:r w:rsidR="00830B3A" w:rsidRPr="00830B3A">
        <w:t>show an increasing intracellular concentration of lipids,</w:t>
      </w:r>
      <w:r w:rsidR="00830B3A">
        <w:t xml:space="preserve"> </w:t>
      </w:r>
      <w:r w:rsidRPr="00715370">
        <w:t>carotene, and antioxidant enzymes</w:t>
      </w:r>
      <w:r w:rsidR="00543650" w:rsidRPr="00715370">
        <w:t xml:space="preserve"> </w:t>
      </w:r>
      <w:r w:rsidR="009B3929" w:rsidRPr="00715370">
        <w:t xml:space="preserve">(Bermejo </w:t>
      </w:r>
      <w:r w:rsidR="009B3929" w:rsidRPr="00715370">
        <w:rPr>
          <w:i/>
        </w:rPr>
        <w:t>et al.</w:t>
      </w:r>
      <w:r w:rsidR="009B3929" w:rsidRPr="00715370">
        <w:t>, 2018)</w:t>
      </w:r>
      <w:r w:rsidRPr="00715370">
        <w:t xml:space="preserve">. </w:t>
      </w:r>
      <w:proofErr w:type="spellStart"/>
      <w:r w:rsidR="00D35F31" w:rsidRPr="00715370">
        <w:rPr>
          <w:i/>
        </w:rPr>
        <w:t>Coccomyxa</w:t>
      </w:r>
      <w:proofErr w:type="spellEnd"/>
      <w:r w:rsidR="00D35F31" w:rsidRPr="00715370">
        <w:rPr>
          <w:i/>
        </w:rPr>
        <w:t xml:space="preserve"> </w:t>
      </w:r>
      <w:proofErr w:type="spellStart"/>
      <w:r w:rsidR="00D35F31" w:rsidRPr="00715370">
        <w:rPr>
          <w:i/>
        </w:rPr>
        <w:t>melkonianii</w:t>
      </w:r>
      <w:proofErr w:type="spellEnd"/>
      <w:r w:rsidR="00D35F31" w:rsidRPr="00715370">
        <w:t xml:space="preserve"> SCCA 048 is a novel heavy-metal-resistant microalga</w:t>
      </w:r>
      <w:r w:rsidR="00005D7A" w:rsidRPr="00715370">
        <w:t xml:space="preserve"> </w:t>
      </w:r>
      <w:r w:rsidR="00D35F31" w:rsidRPr="00715370">
        <w:t>(</w:t>
      </w:r>
      <w:proofErr w:type="spellStart"/>
      <w:r w:rsidR="00D35F31" w:rsidRPr="00715370">
        <w:t>Malavasi</w:t>
      </w:r>
      <w:proofErr w:type="spellEnd"/>
      <w:r w:rsidR="00D35F31" w:rsidRPr="00715370">
        <w:t xml:space="preserve"> </w:t>
      </w:r>
      <w:r w:rsidR="00D35F31" w:rsidRPr="00715370">
        <w:rPr>
          <w:i/>
        </w:rPr>
        <w:t>et al.</w:t>
      </w:r>
      <w:r w:rsidR="00D35F31" w:rsidRPr="00715370">
        <w:t>, 2016) belonging to the Sardinian Culture Collection of Algae (SCCA), and is currently under investigation in the framework of a regional COMISAR project</w:t>
      </w:r>
      <w:r w:rsidR="005518C5" w:rsidRPr="00715370">
        <w:t xml:space="preserve"> whose goal is to </w:t>
      </w:r>
      <w:r w:rsidR="00D35F31" w:rsidRPr="00715370">
        <w:t xml:space="preserve">identify promising </w:t>
      </w:r>
      <w:r w:rsidR="005518C5" w:rsidRPr="00715370">
        <w:t xml:space="preserve">strains </w:t>
      </w:r>
      <w:r w:rsidR="00D35F31" w:rsidRPr="00715370">
        <w:t>for the development of several technologies.</w:t>
      </w:r>
      <w:r w:rsidR="00005D7A" w:rsidRPr="00715370">
        <w:t xml:space="preserve"> </w:t>
      </w:r>
      <w:r w:rsidRPr="00715370">
        <w:t>This extremophile strain is currently under investigation to evaluate its ability to grow in culture media with different concentrations of</w:t>
      </w:r>
      <w:r w:rsidR="00543650" w:rsidRPr="00715370">
        <w:t xml:space="preserve"> heavy metals as</w:t>
      </w:r>
      <w:r w:rsidRPr="00715370">
        <w:t xml:space="preserve"> Iron </w:t>
      </w:r>
      <w:proofErr w:type="spellStart"/>
      <w:r w:rsidRPr="00715370">
        <w:t>Sulfate</w:t>
      </w:r>
      <w:proofErr w:type="spellEnd"/>
      <w:r w:rsidRPr="00715370">
        <w:t xml:space="preserve"> (FeSO</w:t>
      </w:r>
      <w:r w:rsidRPr="00715370">
        <w:rPr>
          <w:vertAlign w:val="subscript"/>
        </w:rPr>
        <w:t>4</w:t>
      </w:r>
      <w:r w:rsidRPr="00715370">
        <w:t>). In previous laboratory studies, this</w:t>
      </w:r>
      <w:r w:rsidR="00543650" w:rsidRPr="00715370">
        <w:t xml:space="preserve"> strain</w:t>
      </w:r>
      <w:r w:rsidRPr="00715370">
        <w:t xml:space="preserve"> has shown to grow well in the pH range 4.0–8.0, with an optimal value for its growth at pH 6.8 (</w:t>
      </w:r>
      <w:proofErr w:type="spellStart"/>
      <w:r w:rsidRPr="00715370">
        <w:t>Soru</w:t>
      </w:r>
      <w:proofErr w:type="spellEnd"/>
      <w:r w:rsidRPr="00715370">
        <w:t xml:space="preserve"> </w:t>
      </w:r>
      <w:r w:rsidRPr="00715370">
        <w:rPr>
          <w:i/>
        </w:rPr>
        <w:t>et al.</w:t>
      </w:r>
      <w:r w:rsidRPr="00715370">
        <w:t>, 2018</w:t>
      </w:r>
      <w:r w:rsidR="00543650" w:rsidRPr="00715370">
        <w:t>b</w:t>
      </w:r>
      <w:r w:rsidRPr="00715370">
        <w:t>).</w:t>
      </w:r>
      <w:r w:rsidR="00151700" w:rsidRPr="00715370">
        <w:t xml:space="preserve"> </w:t>
      </w:r>
      <w:r w:rsidRPr="00715370">
        <w:t xml:space="preserve">Under </w:t>
      </w:r>
      <w:r w:rsidR="0092196B" w:rsidRPr="00715370">
        <w:t>nitrogen manipulation</w:t>
      </w:r>
      <w:r w:rsidRPr="00715370">
        <w:t>, an increase in the total lipid content, including changes in the fatty acid methyl ester</w:t>
      </w:r>
      <w:r w:rsidR="009E3CA4" w:rsidRPr="00715370">
        <w:t>s</w:t>
      </w:r>
      <w:r w:rsidRPr="00715370">
        <w:t xml:space="preserve"> (FAME) profile, was observed (</w:t>
      </w:r>
      <w:proofErr w:type="spellStart"/>
      <w:r w:rsidRPr="00715370">
        <w:t>Soru</w:t>
      </w:r>
      <w:proofErr w:type="spellEnd"/>
      <w:r w:rsidRPr="00715370">
        <w:t xml:space="preserve"> </w:t>
      </w:r>
      <w:r w:rsidRPr="00715370">
        <w:rPr>
          <w:i/>
        </w:rPr>
        <w:t>et al.</w:t>
      </w:r>
      <w:r w:rsidRPr="00715370">
        <w:t>, 2018</w:t>
      </w:r>
      <w:r w:rsidR="0092196B" w:rsidRPr="00715370">
        <w:t>a</w:t>
      </w:r>
      <w:r w:rsidRPr="00715370">
        <w:t xml:space="preserve">). </w:t>
      </w:r>
      <w:r w:rsidR="00151700" w:rsidRPr="00715370">
        <w:t xml:space="preserve">Moreover, </w:t>
      </w:r>
      <w:proofErr w:type="spellStart"/>
      <w:r w:rsidR="00151700" w:rsidRPr="00715370">
        <w:t>Soru</w:t>
      </w:r>
      <w:proofErr w:type="spellEnd"/>
      <w:r w:rsidR="00151700" w:rsidRPr="00715370">
        <w:t xml:space="preserve"> </w:t>
      </w:r>
      <w:r w:rsidR="00151700" w:rsidRPr="00715370">
        <w:rPr>
          <w:i/>
        </w:rPr>
        <w:t>et al.</w:t>
      </w:r>
      <w:r w:rsidR="000A0783" w:rsidRPr="00715370">
        <w:rPr>
          <w:b/>
        </w:rPr>
        <w:t xml:space="preserve">, </w:t>
      </w:r>
      <w:r w:rsidR="00151700" w:rsidRPr="00715370">
        <w:t xml:space="preserve">(2018a) proposed a novel mathematical model of the growth of </w:t>
      </w:r>
      <w:r w:rsidR="00151700" w:rsidRPr="00715370">
        <w:rPr>
          <w:i/>
        </w:rPr>
        <w:t>C</w:t>
      </w:r>
      <w:r w:rsidR="001057DC" w:rsidRPr="00715370">
        <w:rPr>
          <w:i/>
        </w:rPr>
        <w:t xml:space="preserve">. </w:t>
      </w:r>
      <w:proofErr w:type="spellStart"/>
      <w:r w:rsidR="00151700" w:rsidRPr="00715370">
        <w:rPr>
          <w:i/>
        </w:rPr>
        <w:t>melkonianii</w:t>
      </w:r>
      <w:proofErr w:type="spellEnd"/>
      <w:r w:rsidR="00151700" w:rsidRPr="00715370">
        <w:t xml:space="preserve"> in batch photobioreactors. In this study, </w:t>
      </w:r>
      <w:r w:rsidR="00F85E3B">
        <w:t xml:space="preserve">the pH-dependent growth kinetics of </w:t>
      </w:r>
      <w:r w:rsidR="00F85E3B" w:rsidRPr="00FC0F15">
        <w:rPr>
          <w:i/>
        </w:rPr>
        <w:t xml:space="preserve">C. </w:t>
      </w:r>
      <w:proofErr w:type="spellStart"/>
      <w:r w:rsidR="00F85E3B" w:rsidRPr="00FC0F15">
        <w:rPr>
          <w:i/>
        </w:rPr>
        <w:t>melkonianii</w:t>
      </w:r>
      <w:proofErr w:type="spellEnd"/>
      <w:r w:rsidR="00F85E3B">
        <w:t xml:space="preserve"> obtained in multiwell devices has been compared with suitable batch experiments, with the aim of obtaining crucial </w:t>
      </w:r>
      <w:r w:rsidR="00151700" w:rsidRPr="00715370">
        <w:t>information about the profitability of the cultivation of this strain in large scale devices under extreme conditi</w:t>
      </w:r>
      <w:r w:rsidR="00005D7A" w:rsidRPr="00715370">
        <w:t xml:space="preserve">ons. Because lipid synthesis is </w:t>
      </w:r>
      <w:r w:rsidR="00151700" w:rsidRPr="00715370">
        <w:t>affected by nitrogen availability,</w:t>
      </w:r>
      <w:r w:rsidR="000D6C53">
        <w:t xml:space="preserve"> the nitrate-dependent growth kinetics in batch experiments was also investigated</w:t>
      </w:r>
      <w:r w:rsidR="00151700" w:rsidRPr="00715370">
        <w:t>. The lipids synthesized during growth in nitrogen replete and starvation condition, were quantitatively characterized and profiled in terms of fatty acids composition to verify whether valuable chemicals could be produced through this alga. Finally, on the basis FAMEs profile, a wide range of biodiesel fuel properties have been pred</w:t>
      </w:r>
      <w:r w:rsidR="006A6852" w:rsidRPr="00715370">
        <w:t>icted through suitable software and</w:t>
      </w:r>
      <w:r w:rsidR="00F27F77">
        <w:t xml:space="preserve"> </w:t>
      </w:r>
      <w:r w:rsidR="00F27F77" w:rsidRPr="00F27F77">
        <w:t>for the potential exploitation in the industrial system of Sardinia (Italy)</w:t>
      </w:r>
    </w:p>
    <w:p w:rsidR="00963001" w:rsidRPr="00715370" w:rsidRDefault="00963001" w:rsidP="00D96049">
      <w:pPr>
        <w:pStyle w:val="CETHeading1"/>
        <w:spacing w:before="0"/>
      </w:pPr>
      <w:r w:rsidRPr="00715370">
        <w:lastRenderedPageBreak/>
        <w:t>M</w:t>
      </w:r>
      <w:r w:rsidR="00491A52" w:rsidRPr="00715370">
        <w:t>a</w:t>
      </w:r>
      <w:r w:rsidRPr="00715370">
        <w:t xml:space="preserve">terials and methods </w:t>
      </w:r>
    </w:p>
    <w:p w:rsidR="00E702DD" w:rsidRPr="00715370" w:rsidRDefault="00E702DD" w:rsidP="00E702DD">
      <w:pPr>
        <w:pStyle w:val="CETBodytext"/>
      </w:pPr>
      <w:r w:rsidRPr="00715370">
        <w:t xml:space="preserve">The freshwater microalgal strain used in this work is </w:t>
      </w:r>
      <w:proofErr w:type="spellStart"/>
      <w:r w:rsidRPr="00715370">
        <w:rPr>
          <w:i/>
        </w:rPr>
        <w:t>Coccomyxa</w:t>
      </w:r>
      <w:proofErr w:type="spellEnd"/>
      <w:r w:rsidRPr="00715370">
        <w:rPr>
          <w:i/>
        </w:rPr>
        <w:t xml:space="preserve"> </w:t>
      </w:r>
      <w:proofErr w:type="spellStart"/>
      <w:r w:rsidRPr="00715370">
        <w:rPr>
          <w:i/>
        </w:rPr>
        <w:t>melkonianii</w:t>
      </w:r>
      <w:proofErr w:type="spellEnd"/>
      <w:r w:rsidR="00491A52" w:rsidRPr="00715370">
        <w:t xml:space="preserve"> SCCA 048</w:t>
      </w:r>
      <w:r w:rsidR="00286908" w:rsidRPr="00715370">
        <w:t>,</w:t>
      </w:r>
      <w:r w:rsidR="00491A52" w:rsidRPr="00715370">
        <w:t xml:space="preserve"> </w:t>
      </w:r>
      <w:r w:rsidRPr="00715370">
        <w:t xml:space="preserve">isolated from highly contaminated mine waters of river </w:t>
      </w:r>
      <w:proofErr w:type="spellStart"/>
      <w:r w:rsidRPr="00715370">
        <w:t>Irvi</w:t>
      </w:r>
      <w:proofErr w:type="spellEnd"/>
      <w:r w:rsidRPr="00715370">
        <w:t xml:space="preserve"> (SW Sardinia, Italy)</w:t>
      </w:r>
      <w:r w:rsidR="007D0F43" w:rsidRPr="00715370">
        <w:t xml:space="preserve"> (Malavasi </w:t>
      </w:r>
      <w:r w:rsidR="007D0F43" w:rsidRPr="00715370">
        <w:rPr>
          <w:i/>
        </w:rPr>
        <w:t>et al.</w:t>
      </w:r>
      <w:r w:rsidR="00286908" w:rsidRPr="00715370">
        <w:t>, 2016),</w:t>
      </w:r>
      <w:r w:rsidRPr="00715370">
        <w:t xml:space="preserve"> and maintained at the Sardinian Culture Collection of Algae (SCCA) under axenic conditions </w:t>
      </w:r>
      <w:r w:rsidR="007D0F43" w:rsidRPr="00715370">
        <w:t>(</w:t>
      </w:r>
      <w:proofErr w:type="spellStart"/>
      <w:r w:rsidR="007D0F43" w:rsidRPr="00715370">
        <w:t>Malavasi</w:t>
      </w:r>
      <w:proofErr w:type="spellEnd"/>
      <w:r w:rsidR="007D0F43" w:rsidRPr="00715370">
        <w:t xml:space="preserve"> and Cao</w:t>
      </w:r>
      <w:r w:rsidR="008A3143" w:rsidRPr="00715370">
        <w:t>,</w:t>
      </w:r>
      <w:r w:rsidR="007D0F43" w:rsidRPr="00715370">
        <w:t xml:space="preserve"> 2015). </w:t>
      </w:r>
      <w:r w:rsidRPr="00715370">
        <w:t>Preliminary 72 h growth test screenings were performed in 24-welled multiwell plates</w:t>
      </w:r>
      <w:r w:rsidR="00FE63AA" w:rsidRPr="00715370">
        <w:t xml:space="preserve"> by</w:t>
      </w:r>
      <w:r w:rsidRPr="00715370">
        <w:t xml:space="preserve"> imposing different </w:t>
      </w:r>
      <w:r w:rsidR="00286908" w:rsidRPr="00715370">
        <w:t xml:space="preserve">nitrate concentrations and </w:t>
      </w:r>
      <w:r w:rsidR="00FE63AA" w:rsidRPr="00715370">
        <w:t xml:space="preserve">different </w:t>
      </w:r>
      <w:r w:rsidRPr="00715370">
        <w:t>pH values</w:t>
      </w:r>
      <w:r w:rsidR="00FE63AA" w:rsidRPr="00715370">
        <w:t xml:space="preserve"> (</w:t>
      </w:r>
      <w:proofErr w:type="spellStart"/>
      <w:r w:rsidR="00FE63AA" w:rsidRPr="00715370">
        <w:t>Soru</w:t>
      </w:r>
      <w:proofErr w:type="spellEnd"/>
      <w:r w:rsidR="00FE63AA" w:rsidRPr="00715370">
        <w:t xml:space="preserve"> </w:t>
      </w:r>
      <w:r w:rsidR="00FE63AA" w:rsidRPr="00715370">
        <w:rPr>
          <w:i/>
        </w:rPr>
        <w:t>et al</w:t>
      </w:r>
      <w:r w:rsidR="00FE63AA" w:rsidRPr="00715370">
        <w:t>., 2018a)</w:t>
      </w:r>
      <w:r w:rsidR="00681090" w:rsidRPr="00715370">
        <w:t>.</w:t>
      </w:r>
      <w:r w:rsidRPr="00715370">
        <w:t xml:space="preserve"> </w:t>
      </w:r>
      <w:r w:rsidR="00681090" w:rsidRPr="00715370">
        <w:t>B</w:t>
      </w:r>
      <w:r w:rsidR="007D0F43" w:rsidRPr="00715370">
        <w:t xml:space="preserve">atch experiments </w:t>
      </w:r>
      <w:r w:rsidR="00491A52" w:rsidRPr="00715370">
        <w:t>were</w:t>
      </w:r>
      <w:r w:rsidR="00005D7A" w:rsidRPr="00715370">
        <w:t xml:space="preserve"> then</w:t>
      </w:r>
      <w:r w:rsidR="00491A52" w:rsidRPr="00715370">
        <w:t xml:space="preserve"> carried out </w:t>
      </w:r>
      <w:r w:rsidR="00FE63AA" w:rsidRPr="00715370">
        <w:t xml:space="preserve">in 2 L Pyrex bottles </w:t>
      </w:r>
      <w:r w:rsidR="00491A52" w:rsidRPr="00715370">
        <w:t xml:space="preserve">under </w:t>
      </w:r>
      <w:r w:rsidR="00005D7A" w:rsidRPr="00715370">
        <w:t xml:space="preserve">different </w:t>
      </w:r>
      <w:r w:rsidR="00491A52" w:rsidRPr="00715370">
        <w:t xml:space="preserve">nitrogen </w:t>
      </w:r>
      <w:r w:rsidR="00005D7A" w:rsidRPr="00715370">
        <w:t xml:space="preserve">concentrations </w:t>
      </w:r>
      <w:r w:rsidRPr="00715370">
        <w:t>(</w:t>
      </w:r>
      <w:proofErr w:type="spellStart"/>
      <w:r w:rsidRPr="00715370">
        <w:t>Soru</w:t>
      </w:r>
      <w:proofErr w:type="spellEnd"/>
      <w:r w:rsidRPr="00715370">
        <w:t xml:space="preserve"> </w:t>
      </w:r>
      <w:r w:rsidRPr="00715370">
        <w:rPr>
          <w:i/>
        </w:rPr>
        <w:t>et al</w:t>
      </w:r>
      <w:r w:rsidRPr="00715370">
        <w:t>., 2018a)</w:t>
      </w:r>
      <w:r w:rsidR="00FE63AA" w:rsidRPr="00715370">
        <w:t xml:space="preserve"> </w:t>
      </w:r>
      <w:r w:rsidR="00005D7A" w:rsidRPr="00715370">
        <w:t xml:space="preserve">as well as </w:t>
      </w:r>
      <w:r w:rsidR="00FE63AA" w:rsidRPr="00715370">
        <w:t>under</w:t>
      </w:r>
      <w:r w:rsidRPr="00715370">
        <w:t xml:space="preserve"> </w:t>
      </w:r>
      <w:r w:rsidR="00005D7A" w:rsidRPr="00715370">
        <w:t xml:space="preserve">specific pH values, </w:t>
      </w:r>
      <w:r w:rsidR="00FE63AA" w:rsidRPr="00715370">
        <w:t xml:space="preserve">i.e. </w:t>
      </w:r>
      <w:r w:rsidR="007D0F43" w:rsidRPr="00715370">
        <w:t>4.0, 6.8, and 8.0</w:t>
      </w:r>
      <w:r w:rsidR="00005D7A" w:rsidRPr="00715370">
        <w:t>, that were kept constant during the cultivation</w:t>
      </w:r>
      <w:r w:rsidR="007D0F43" w:rsidRPr="00715370">
        <w:t xml:space="preserve"> </w:t>
      </w:r>
      <w:r w:rsidRPr="00715370">
        <w:t>(</w:t>
      </w:r>
      <w:proofErr w:type="spellStart"/>
      <w:r w:rsidRPr="00715370">
        <w:t>Soru</w:t>
      </w:r>
      <w:proofErr w:type="spellEnd"/>
      <w:r w:rsidRPr="00715370">
        <w:t xml:space="preserve"> </w:t>
      </w:r>
      <w:r w:rsidRPr="00715370">
        <w:rPr>
          <w:i/>
        </w:rPr>
        <w:t>et al</w:t>
      </w:r>
      <w:r w:rsidRPr="00715370">
        <w:t>., 2018b</w:t>
      </w:r>
      <w:r w:rsidR="00491A52" w:rsidRPr="00715370">
        <w:t xml:space="preserve">). </w:t>
      </w:r>
      <w:r w:rsidR="001B7881" w:rsidRPr="00715370">
        <w:t>L</w:t>
      </w:r>
      <w:r w:rsidRPr="00715370">
        <w:t xml:space="preserve">ipid extraction </w:t>
      </w:r>
      <w:r w:rsidR="00005D7A" w:rsidRPr="00715370">
        <w:t xml:space="preserve">and analysis of fatty acids methyl esters </w:t>
      </w:r>
      <w:r w:rsidRPr="00715370">
        <w:t>w</w:t>
      </w:r>
      <w:r w:rsidR="00005D7A" w:rsidRPr="00715370">
        <w:t>ere</w:t>
      </w:r>
      <w:r w:rsidRPr="00715370">
        <w:t xml:space="preserve"> performed according to the method reported</w:t>
      </w:r>
      <w:r w:rsidR="00005D7A" w:rsidRPr="00715370">
        <w:t xml:space="preserve"> elsewhere </w:t>
      </w:r>
      <w:r w:rsidRPr="00715370">
        <w:t>(</w:t>
      </w:r>
      <w:proofErr w:type="spellStart"/>
      <w:r w:rsidR="00005D7A" w:rsidRPr="00715370">
        <w:t>Soru</w:t>
      </w:r>
      <w:proofErr w:type="spellEnd"/>
      <w:r w:rsidR="00005D7A" w:rsidRPr="00715370">
        <w:t xml:space="preserve"> </w:t>
      </w:r>
      <w:r w:rsidR="00005D7A" w:rsidRPr="00715370">
        <w:rPr>
          <w:i/>
        </w:rPr>
        <w:t>et al.</w:t>
      </w:r>
      <w:r w:rsidR="00005D7A" w:rsidRPr="00715370">
        <w:t>,</w:t>
      </w:r>
      <w:r w:rsidRPr="00715370">
        <w:t>2018a,</w:t>
      </w:r>
      <w:r w:rsidR="00005D7A" w:rsidRPr="00715370">
        <w:t xml:space="preserve"> </w:t>
      </w:r>
      <w:r w:rsidRPr="00715370">
        <w:t>b).</w:t>
      </w:r>
    </w:p>
    <w:p w:rsidR="00151700" w:rsidRPr="00715370" w:rsidRDefault="00151700" w:rsidP="006D1835">
      <w:pPr>
        <w:pStyle w:val="CETHeading1"/>
      </w:pPr>
      <w:r w:rsidRPr="00715370">
        <w:t>Mathematical model</w:t>
      </w:r>
    </w:p>
    <w:p w:rsidR="00C62D91" w:rsidRDefault="00693284" w:rsidP="00C62D91">
      <w:pPr>
        <w:rPr>
          <w:rFonts w:cs="Arial"/>
          <w:szCs w:val="18"/>
          <w:lang w:val="en-US"/>
        </w:rPr>
      </w:pPr>
      <w:r w:rsidRPr="00715370">
        <w:rPr>
          <w:rFonts w:cs="Arial"/>
          <w:szCs w:val="18"/>
          <w:lang w:val="en-US"/>
        </w:rPr>
        <w:t xml:space="preserve">The model is based on the consideration that </w:t>
      </w:r>
      <w:r w:rsidR="00491A52" w:rsidRPr="00715370">
        <w:rPr>
          <w:rFonts w:cs="Arial"/>
          <w:szCs w:val="18"/>
          <w:lang w:val="en-US"/>
        </w:rPr>
        <w:t xml:space="preserve">the </w:t>
      </w:r>
      <w:r w:rsidRPr="00715370">
        <w:rPr>
          <w:rFonts w:cs="Arial"/>
          <w:szCs w:val="18"/>
          <w:lang w:val="en-US"/>
        </w:rPr>
        <w:t>main limiting factors affecting microalgae growth during the experiments were nutrient</w:t>
      </w:r>
      <w:r w:rsidR="00B446B1" w:rsidRPr="00715370">
        <w:rPr>
          <w:rFonts w:cs="Arial"/>
          <w:szCs w:val="18"/>
          <w:lang w:val="en-US"/>
        </w:rPr>
        <w:t>s</w:t>
      </w:r>
      <w:r w:rsidRPr="00715370">
        <w:rPr>
          <w:rFonts w:cs="Arial"/>
          <w:szCs w:val="18"/>
          <w:lang w:val="en-US"/>
        </w:rPr>
        <w:t xml:space="preserve"> concentration, light intensity, and medium pH, respectively.</w:t>
      </w:r>
      <w:r w:rsidR="00C62D91">
        <w:rPr>
          <w:rFonts w:cs="Arial"/>
          <w:szCs w:val="18"/>
          <w:lang w:val="en-US"/>
        </w:rPr>
        <w:t xml:space="preserve"> </w:t>
      </w:r>
      <w:r w:rsidR="00C62D91" w:rsidRPr="00C62D91">
        <w:rPr>
          <w:rFonts w:cs="Arial"/>
          <w:szCs w:val="18"/>
          <w:lang w:val="en-US"/>
        </w:rPr>
        <w:t>Accordingly, the mass balance of microalgal biomass under batch conditions</w:t>
      </w:r>
      <w:r w:rsidR="00C62D91">
        <w:rPr>
          <w:rFonts w:cs="Arial"/>
          <w:szCs w:val="18"/>
          <w:lang w:val="en-US"/>
        </w:rPr>
        <w:t xml:space="preserve"> </w:t>
      </w:r>
      <w:r w:rsidR="00C62D91" w:rsidRPr="00C62D91">
        <w:rPr>
          <w:rFonts w:cs="Arial"/>
          <w:szCs w:val="18"/>
          <w:lang w:val="en-US"/>
        </w:rPr>
        <w:t>could be written as follows</w:t>
      </w:r>
    </w:p>
    <w:p w:rsidR="00693284" w:rsidRPr="00715370" w:rsidRDefault="00DA7118" w:rsidP="00DA7118">
      <w:pPr>
        <w:spacing w:before="120" w:after="120"/>
        <w:ind w:firstLine="357"/>
        <w:rPr>
          <w:rFonts w:cs="Arial"/>
          <w:szCs w:val="18"/>
          <w:lang w:val="en-US"/>
        </w:rPr>
      </w:pPr>
      <w:r w:rsidRPr="00715370">
        <w:rPr>
          <w:rFonts w:cs="Arial"/>
          <w:position w:val="-24"/>
          <w:szCs w:val="18"/>
          <w:lang w:val="en-US"/>
        </w:rPr>
        <w:object w:dxaOrig="53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5.4pt" o:ole="">
            <v:imagedata r:id="rId12" o:title=""/>
          </v:shape>
          <o:OLEObject Type="Embed" ProgID="Equation.DSMT4" ShapeID="_x0000_i1025" DrawAspect="Content" ObjectID="_1615378200" r:id="rId13"/>
        </w:object>
      </w:r>
      <w:r w:rsidR="00693284" w:rsidRPr="00715370">
        <w:rPr>
          <w:rFonts w:cs="Arial"/>
          <w:szCs w:val="18"/>
          <w:lang w:val="en-US"/>
        </w:rPr>
        <w:tab/>
      </w:r>
      <w:r w:rsidR="00693284" w:rsidRPr="00715370">
        <w:rPr>
          <w:rFonts w:cs="Arial"/>
          <w:szCs w:val="18"/>
          <w:lang w:val="en-US"/>
        </w:rPr>
        <w:tab/>
        <w:t>(1)</w:t>
      </w:r>
    </w:p>
    <w:p w:rsidR="00693284" w:rsidRPr="00715370" w:rsidRDefault="00693284" w:rsidP="00DA7118">
      <w:pPr>
        <w:rPr>
          <w:rFonts w:cs="Arial"/>
          <w:szCs w:val="18"/>
        </w:rPr>
      </w:pPr>
      <w:r w:rsidRPr="00715370">
        <w:rPr>
          <w:rFonts w:cs="Arial"/>
          <w:szCs w:val="18"/>
          <w:lang w:val="en-US"/>
        </w:rPr>
        <w:t xml:space="preserve">along with the initial condition </w:t>
      </w:r>
      <m:oMath>
        <m:sSub>
          <m:sSubPr>
            <m:ctrlPr>
              <w:rPr>
                <w:rFonts w:ascii="Cambria Math" w:hAnsi="Cambria Math" w:cs="Arial"/>
                <w:i/>
                <w:szCs w:val="18"/>
                <w:lang w:val="en-US"/>
              </w:rPr>
            </m:ctrlPr>
          </m:sSubPr>
          <m:e>
            <m:r>
              <w:rPr>
                <w:rFonts w:ascii="Cambria Math" w:hAnsi="Cambria Math" w:cs="Arial"/>
                <w:szCs w:val="18"/>
                <w:lang w:val="en-US"/>
              </w:rPr>
              <m:t>C</m:t>
            </m:r>
          </m:e>
          <m:sub>
            <m:r>
              <w:rPr>
                <w:rFonts w:ascii="Cambria Math" w:hAnsi="Cambria Math" w:cs="Arial"/>
                <w:szCs w:val="18"/>
                <w:lang w:val="en-US"/>
              </w:rPr>
              <m:t>x</m:t>
            </m:r>
          </m:sub>
        </m:sSub>
        <m:r>
          <w:rPr>
            <w:rFonts w:ascii="Cambria Math" w:hAnsi="Cambria Math" w:cs="Arial"/>
            <w:szCs w:val="18"/>
            <w:lang w:val="en-US"/>
          </w:rPr>
          <m:t>=</m:t>
        </m:r>
        <m:sSubSup>
          <m:sSubSupPr>
            <m:ctrlPr>
              <w:rPr>
                <w:rFonts w:ascii="Cambria Math" w:hAnsi="Cambria Math" w:cs="Arial"/>
                <w:i/>
                <w:szCs w:val="18"/>
                <w:lang w:val="en-US"/>
              </w:rPr>
            </m:ctrlPr>
          </m:sSubSupPr>
          <m:e>
            <m:r>
              <w:rPr>
                <w:rFonts w:ascii="Cambria Math" w:hAnsi="Cambria Math" w:cs="Arial"/>
                <w:szCs w:val="18"/>
                <w:lang w:val="en-US"/>
              </w:rPr>
              <m:t>C</m:t>
            </m:r>
          </m:e>
          <m:sub>
            <m:r>
              <w:rPr>
                <w:rFonts w:ascii="Cambria Math" w:hAnsi="Cambria Math" w:cs="Arial"/>
                <w:szCs w:val="18"/>
                <w:lang w:val="en-US"/>
              </w:rPr>
              <m:t>x</m:t>
            </m:r>
          </m:sub>
          <m:sup>
            <m:r>
              <w:rPr>
                <w:rFonts w:ascii="Cambria Math" w:hAnsi="Cambria Math" w:cs="Arial"/>
                <w:szCs w:val="18"/>
                <w:lang w:val="en-US"/>
              </w:rPr>
              <m:t>0</m:t>
            </m:r>
          </m:sup>
        </m:sSubSup>
      </m:oMath>
      <w:r w:rsidRPr="00715370">
        <w:rPr>
          <w:rFonts w:cs="Arial"/>
          <w:szCs w:val="18"/>
          <w:lang w:val="en-US"/>
        </w:rPr>
        <w:t xml:space="preserve">. The symbol </w:t>
      </w:r>
      <m:oMath>
        <m:sSub>
          <m:sSubPr>
            <m:ctrlPr>
              <w:rPr>
                <w:rFonts w:ascii="Cambria Math" w:hAnsi="Cambria Math" w:cs="Arial"/>
                <w:i/>
                <w:szCs w:val="18"/>
                <w:lang w:val="en-US"/>
              </w:rPr>
            </m:ctrlPr>
          </m:sSubPr>
          <m:e>
            <m:r>
              <w:rPr>
                <w:rFonts w:ascii="Cambria Math" w:hAnsi="Cambria Math" w:cs="Arial"/>
                <w:szCs w:val="18"/>
                <w:lang w:val="en-US"/>
              </w:rPr>
              <m:t>μ</m:t>
            </m:r>
          </m:e>
          <m:sub>
            <m:r>
              <w:rPr>
                <w:rFonts w:ascii="Cambria Math" w:hAnsi="Cambria Math" w:cs="Arial"/>
                <w:szCs w:val="18"/>
                <w:lang w:val="en-US"/>
              </w:rPr>
              <m:t>max</m:t>
            </m:r>
          </m:sub>
        </m:sSub>
        <m:d>
          <m:dPr>
            <m:ctrlPr>
              <w:rPr>
                <w:rFonts w:ascii="Cambria Math" w:hAnsi="Cambria Math" w:cs="Arial"/>
                <w:i/>
                <w:szCs w:val="18"/>
                <w:lang w:val="en-US"/>
              </w:rPr>
            </m:ctrlPr>
          </m:dPr>
          <m:e>
            <m:sSup>
              <m:sSupPr>
                <m:ctrlPr>
                  <w:rPr>
                    <w:rFonts w:ascii="Cambria Math" w:hAnsi="Cambria Math" w:cs="Arial"/>
                    <w:i/>
                    <w:szCs w:val="18"/>
                    <w:lang w:val="en-US"/>
                  </w:rPr>
                </m:ctrlPr>
              </m:sSupPr>
              <m:e>
                <m:r>
                  <w:rPr>
                    <w:rFonts w:ascii="Cambria Math" w:hAnsi="Cambria Math" w:cs="Arial"/>
                    <w:szCs w:val="18"/>
                    <w:lang w:val="en-US"/>
                  </w:rPr>
                  <m:t>h</m:t>
                </m:r>
              </m:e>
              <m:sup>
                <m:r>
                  <w:rPr>
                    <w:rFonts w:ascii="Cambria Math" w:hAnsi="Cambria Math" w:cs="Arial"/>
                    <w:szCs w:val="18"/>
                    <w:lang w:val="en-US"/>
                  </w:rPr>
                  <m:t>-1</m:t>
                </m:r>
              </m:sup>
            </m:sSup>
          </m:e>
        </m:d>
      </m:oMath>
      <w:r w:rsidRPr="00715370">
        <w:rPr>
          <w:rFonts w:cs="Arial"/>
          <w:szCs w:val="18"/>
          <w:lang w:val="en-US"/>
        </w:rPr>
        <w:t xml:space="preserve"> is the maximum specific growth rate, </w:t>
      </w:r>
      <m:oMath>
        <m:sSub>
          <m:sSubPr>
            <m:ctrlPr>
              <w:rPr>
                <w:rFonts w:ascii="Cambria Math" w:hAnsi="Cambria Math" w:cs="Arial"/>
                <w:i/>
                <w:szCs w:val="18"/>
                <w:lang w:val="en-US"/>
              </w:rPr>
            </m:ctrlPr>
          </m:sSubPr>
          <m:e>
            <m:r>
              <w:rPr>
                <w:rFonts w:ascii="Cambria Math" w:hAnsi="Cambria Math" w:cs="Arial"/>
                <w:szCs w:val="18"/>
                <w:lang w:val="en-US"/>
              </w:rPr>
              <m:t>C</m:t>
            </m:r>
          </m:e>
          <m:sub>
            <m:r>
              <w:rPr>
                <w:rFonts w:ascii="Cambria Math" w:hAnsi="Cambria Math" w:cs="Arial"/>
                <w:szCs w:val="18"/>
                <w:lang w:val="en-US"/>
              </w:rPr>
              <m:t xml:space="preserve">x </m:t>
            </m:r>
          </m:sub>
        </m:sSub>
        <m:d>
          <m:dPr>
            <m:ctrlPr>
              <w:rPr>
                <w:rFonts w:ascii="Cambria Math" w:hAnsi="Cambria Math" w:cs="Arial"/>
                <w:i/>
                <w:szCs w:val="18"/>
                <w:lang w:val="en-US"/>
              </w:rPr>
            </m:ctrlPr>
          </m:dPr>
          <m:e>
            <m:r>
              <w:rPr>
                <w:rFonts w:ascii="Cambria Math" w:hAnsi="Cambria Math" w:cs="Arial"/>
                <w:szCs w:val="18"/>
                <w:lang w:val="en-US"/>
              </w:rPr>
              <m:t>g</m:t>
            </m:r>
            <m:sSup>
              <m:sSupPr>
                <m:ctrlPr>
                  <w:rPr>
                    <w:rFonts w:ascii="Cambria Math" w:hAnsi="Cambria Math" w:cs="Arial"/>
                    <w:i/>
                    <w:szCs w:val="18"/>
                    <w:lang w:val="en-US"/>
                  </w:rPr>
                </m:ctrlPr>
              </m:sSupPr>
              <m:e>
                <m:r>
                  <w:rPr>
                    <w:rFonts w:ascii="Cambria Math" w:hAnsi="Cambria Math" w:cs="Arial"/>
                    <w:szCs w:val="18"/>
                    <w:lang w:val="en-US"/>
                  </w:rPr>
                  <m:t>L</m:t>
                </m:r>
              </m:e>
              <m:sup>
                <m:r>
                  <w:rPr>
                    <w:rFonts w:ascii="Cambria Math" w:hAnsi="Cambria Math" w:cs="Arial"/>
                    <w:szCs w:val="18"/>
                    <w:lang w:val="en-US"/>
                  </w:rPr>
                  <m:t>-1</m:t>
                </m:r>
              </m:sup>
            </m:sSup>
          </m:e>
        </m:d>
      </m:oMath>
      <w:r w:rsidRPr="00715370">
        <w:rPr>
          <w:rFonts w:cs="Arial"/>
          <w:szCs w:val="18"/>
          <w:lang w:val="en-US"/>
        </w:rPr>
        <w:t xml:space="preserve"> represents the microalgal biomass concentration and </w:t>
      </w:r>
      <m:oMath>
        <m:sSub>
          <m:sSubPr>
            <m:ctrlPr>
              <w:rPr>
                <w:rFonts w:ascii="Cambria Math" w:hAnsi="Cambria Math" w:cs="Arial"/>
                <w:i/>
                <w:szCs w:val="18"/>
                <w:lang w:val="en-US"/>
              </w:rPr>
            </m:ctrlPr>
          </m:sSubPr>
          <m:e>
            <m:r>
              <w:rPr>
                <w:rFonts w:ascii="Cambria Math" w:hAnsi="Cambria Math" w:cs="Arial"/>
                <w:szCs w:val="18"/>
                <w:lang w:val="en-US"/>
              </w:rPr>
              <m:t>μ</m:t>
            </m:r>
          </m:e>
          <m:sub>
            <m:r>
              <w:rPr>
                <w:rFonts w:ascii="Cambria Math" w:hAnsi="Cambria Math" w:cs="Arial"/>
                <w:szCs w:val="18"/>
                <w:lang w:val="en-US"/>
              </w:rPr>
              <m:t xml:space="preserve">d </m:t>
            </m:r>
          </m:sub>
        </m:sSub>
        <m:d>
          <m:dPr>
            <m:ctrlPr>
              <w:rPr>
                <w:rFonts w:ascii="Cambria Math" w:hAnsi="Cambria Math" w:cs="Arial"/>
                <w:i/>
                <w:szCs w:val="18"/>
                <w:lang w:val="en-US"/>
              </w:rPr>
            </m:ctrlPr>
          </m:dPr>
          <m:e>
            <m:sSup>
              <m:sSupPr>
                <m:ctrlPr>
                  <w:rPr>
                    <w:rFonts w:ascii="Cambria Math" w:hAnsi="Cambria Math" w:cs="Arial"/>
                    <w:i/>
                    <w:szCs w:val="18"/>
                    <w:lang w:val="en-US"/>
                  </w:rPr>
                </m:ctrlPr>
              </m:sSupPr>
              <m:e>
                <m:r>
                  <w:rPr>
                    <w:rFonts w:ascii="Cambria Math" w:hAnsi="Cambria Math" w:cs="Arial"/>
                    <w:szCs w:val="18"/>
                    <w:lang w:val="en-US"/>
                  </w:rPr>
                  <m:t>h</m:t>
                </m:r>
              </m:e>
              <m:sup>
                <m:r>
                  <w:rPr>
                    <w:rFonts w:ascii="Cambria Math" w:hAnsi="Cambria Math" w:cs="Arial"/>
                    <w:szCs w:val="18"/>
                    <w:lang w:val="en-US"/>
                  </w:rPr>
                  <m:t>-1</m:t>
                </m:r>
              </m:sup>
            </m:sSup>
          </m:e>
        </m:d>
      </m:oMath>
      <w:r w:rsidRPr="00715370">
        <w:rPr>
          <w:rFonts w:cs="Arial"/>
          <w:szCs w:val="18"/>
          <w:lang w:val="en-US"/>
        </w:rPr>
        <w:t xml:space="preserve"> is the mass loss rate, i.e. a term which takes into account for all the phenomena that can lead to the reduction of microalgae cell mass such as catabolic and respiratory losses, apoptosis, lysis, etc</w:t>
      </w:r>
      <w:r w:rsidR="00491A52" w:rsidRPr="00715370">
        <w:rPr>
          <w:rFonts w:cs="Arial"/>
          <w:szCs w:val="18"/>
          <w:lang w:val="en-US"/>
        </w:rPr>
        <w:t>.</w:t>
      </w:r>
      <w:r w:rsidR="00BB312C" w:rsidRPr="00715370">
        <w:rPr>
          <w:rFonts w:cs="Arial"/>
          <w:szCs w:val="18"/>
          <w:lang w:val="en-US"/>
        </w:rPr>
        <w:t xml:space="preserve"> (Concas </w:t>
      </w:r>
      <w:r w:rsidR="00BB312C" w:rsidRPr="00715370">
        <w:rPr>
          <w:rFonts w:cs="Arial"/>
          <w:i/>
          <w:szCs w:val="18"/>
          <w:lang w:val="en-US"/>
        </w:rPr>
        <w:t>et al</w:t>
      </w:r>
      <w:r w:rsidR="00BB312C" w:rsidRPr="00715370">
        <w:rPr>
          <w:rFonts w:cs="Arial"/>
          <w:szCs w:val="18"/>
          <w:lang w:val="en-US"/>
        </w:rPr>
        <w:t>., 2013)</w:t>
      </w:r>
      <w:r w:rsidRPr="00715370">
        <w:rPr>
          <w:rFonts w:cs="Arial"/>
          <w:szCs w:val="18"/>
          <w:lang w:val="en-US"/>
        </w:rPr>
        <w:t>. The terms</w:t>
      </w:r>
      <w:r w:rsidR="00DA7118" w:rsidRPr="00715370">
        <w:rPr>
          <w:rFonts w:cs="Arial"/>
          <w:szCs w:val="18"/>
          <w:lang w:val="en-US"/>
        </w:rPr>
        <w:t xml:space="preserve"> within parenthesis</w:t>
      </w:r>
      <w:r w:rsidRPr="00715370">
        <w:rPr>
          <w:rFonts w:cs="Arial"/>
          <w:szCs w:val="18"/>
          <w:lang w:val="en-US"/>
        </w:rPr>
        <w:t xml:space="preserve"> </w:t>
      </w:r>
      <w:r w:rsidR="00DA7118" w:rsidRPr="00715370">
        <w:rPr>
          <w:rFonts w:cs="Arial"/>
          <w:szCs w:val="18"/>
          <w:lang w:val="en-US"/>
        </w:rPr>
        <w:t>represent the functional dependence of the growth rate upon nitrogen concentration and light intensity while</w:t>
      </w:r>
      <w:r w:rsidRPr="00715370">
        <w:rPr>
          <w:rFonts w:cs="Arial"/>
          <w:szCs w:val="18"/>
          <w:lang w:val="en-US"/>
        </w:rPr>
        <w:t xml:space="preserve"> </w:t>
      </w:r>
      <m:oMath>
        <m:r>
          <w:rPr>
            <w:rFonts w:ascii="Cambria Math" w:hAnsi="Cambria Math" w:cs="Arial"/>
            <w:szCs w:val="18"/>
            <w:lang w:val="en-US"/>
          </w:rPr>
          <m:t>h</m:t>
        </m:r>
        <m:d>
          <m:dPr>
            <m:ctrlPr>
              <w:rPr>
                <w:rFonts w:ascii="Cambria Math" w:hAnsi="Cambria Math" w:cs="Arial"/>
                <w:i/>
                <w:szCs w:val="18"/>
                <w:lang w:val="en-US"/>
              </w:rPr>
            </m:ctrlPr>
          </m:dPr>
          <m:e>
            <m:r>
              <w:rPr>
                <w:rFonts w:ascii="Cambria Math" w:hAnsi="Cambria Math" w:cs="Arial"/>
                <w:szCs w:val="18"/>
                <w:lang w:val="en-US"/>
              </w:rPr>
              <m:t>pH</m:t>
            </m:r>
          </m:e>
        </m:d>
      </m:oMath>
      <w:r w:rsidRPr="00715370">
        <w:rPr>
          <w:rFonts w:cs="Arial"/>
          <w:szCs w:val="18"/>
          <w:lang w:val="en-US"/>
        </w:rPr>
        <w:t xml:space="preserve"> </w:t>
      </w:r>
      <w:r w:rsidR="00DA7118" w:rsidRPr="00715370">
        <w:rPr>
          <w:rFonts w:cs="Arial"/>
          <w:szCs w:val="18"/>
          <w:lang w:val="en-US"/>
        </w:rPr>
        <w:t xml:space="preserve">is a function describing the kinetic dependence upon </w:t>
      </w:r>
      <w:proofErr w:type="spellStart"/>
      <w:r w:rsidR="00DA7118" w:rsidRPr="00715370">
        <w:rPr>
          <w:rFonts w:cs="Arial"/>
          <w:szCs w:val="18"/>
          <w:lang w:val="en-US"/>
        </w:rPr>
        <w:t>pH.</w:t>
      </w:r>
      <w:proofErr w:type="spellEnd"/>
      <w:r w:rsidR="00DA7118" w:rsidRPr="00715370">
        <w:rPr>
          <w:rFonts w:cs="Arial"/>
          <w:szCs w:val="18"/>
          <w:lang w:val="en-US"/>
        </w:rPr>
        <w:t xml:space="preserve"> The symbol </w:t>
      </w:r>
      <m:oMath>
        <m:sSub>
          <m:sSubPr>
            <m:ctrlPr>
              <w:rPr>
                <w:rFonts w:ascii="Cambria Math" w:hAnsi="Cambria Math" w:cs="Arial"/>
                <w:i/>
                <w:szCs w:val="18"/>
                <w:lang w:val="en-US"/>
              </w:rPr>
            </m:ctrlPr>
          </m:sSubPr>
          <m:e>
            <m:r>
              <w:rPr>
                <w:rFonts w:ascii="Cambria Math" w:hAnsi="Cambria Math" w:cs="Arial"/>
                <w:szCs w:val="18"/>
                <w:lang w:val="en-US"/>
              </w:rPr>
              <m:t>K</m:t>
            </m:r>
          </m:e>
          <m:sub>
            <m:sSubSup>
              <m:sSubSupPr>
                <m:ctrlPr>
                  <w:rPr>
                    <w:rFonts w:ascii="Cambria Math" w:hAnsi="Cambria Math" w:cs="Arial"/>
                    <w:i/>
                    <w:szCs w:val="18"/>
                    <w:lang w:val="en-US"/>
                  </w:rPr>
                </m:ctrlPr>
              </m:sSubSupPr>
              <m:e>
                <m:r>
                  <w:rPr>
                    <w:rFonts w:ascii="Cambria Math" w:hAnsi="Cambria Math" w:cs="Arial"/>
                    <w:szCs w:val="18"/>
                    <w:lang w:val="en-US"/>
                  </w:rPr>
                  <m:t>NO</m:t>
                </m:r>
              </m:e>
              <m:sub>
                <m:r>
                  <w:rPr>
                    <w:rFonts w:ascii="Cambria Math" w:hAnsi="Cambria Math" w:cs="Arial"/>
                    <w:szCs w:val="18"/>
                    <w:lang w:val="en-US"/>
                  </w:rPr>
                  <m:t>3</m:t>
                </m:r>
              </m:sub>
              <m:sup>
                <m:r>
                  <w:rPr>
                    <w:rFonts w:ascii="Cambria Math" w:hAnsi="Cambria Math" w:cs="Arial"/>
                    <w:szCs w:val="18"/>
                    <w:lang w:val="en-US"/>
                  </w:rPr>
                  <m:t>-</m:t>
                </m:r>
              </m:sup>
            </m:sSubSup>
          </m:sub>
        </m:sSub>
        <m:d>
          <m:dPr>
            <m:ctrlPr>
              <w:rPr>
                <w:rFonts w:ascii="Cambria Math" w:hAnsi="Cambria Math" w:cs="Arial"/>
                <w:i/>
                <w:szCs w:val="18"/>
                <w:lang w:val="en-US"/>
              </w:rPr>
            </m:ctrlPr>
          </m:dPr>
          <m:e>
            <m:r>
              <w:rPr>
                <w:rFonts w:ascii="Cambria Math" w:hAnsi="Cambria Math" w:cs="Arial"/>
                <w:szCs w:val="18"/>
                <w:lang w:val="en-US"/>
              </w:rPr>
              <m:t>g</m:t>
            </m:r>
            <m:sSup>
              <m:sSupPr>
                <m:ctrlPr>
                  <w:rPr>
                    <w:rFonts w:ascii="Cambria Math" w:hAnsi="Cambria Math" w:cs="Arial"/>
                    <w:i/>
                    <w:szCs w:val="18"/>
                    <w:lang w:val="en-US"/>
                  </w:rPr>
                </m:ctrlPr>
              </m:sSupPr>
              <m:e>
                <m:r>
                  <w:rPr>
                    <w:rFonts w:ascii="Cambria Math" w:hAnsi="Cambria Math" w:cs="Arial"/>
                    <w:szCs w:val="18"/>
                    <w:lang w:val="en-US"/>
                  </w:rPr>
                  <m:t xml:space="preserve"> L</m:t>
                </m:r>
              </m:e>
              <m:sup>
                <m:r>
                  <w:rPr>
                    <w:rFonts w:ascii="Cambria Math" w:hAnsi="Cambria Math" w:cs="Arial"/>
                    <w:szCs w:val="18"/>
                    <w:lang w:val="en-US"/>
                  </w:rPr>
                  <m:t>-1</m:t>
                </m:r>
              </m:sup>
            </m:sSup>
          </m:e>
        </m:d>
      </m:oMath>
      <w:r w:rsidRPr="00715370">
        <w:rPr>
          <w:rFonts w:eastAsiaTheme="minorEastAsia" w:cs="Arial"/>
          <w:szCs w:val="18"/>
          <w:lang w:val="en-US"/>
        </w:rPr>
        <w:t xml:space="preserve"> </w:t>
      </w:r>
      <w:r w:rsidR="00DA7118" w:rsidRPr="00715370">
        <w:rPr>
          <w:rFonts w:eastAsiaTheme="minorEastAsia" w:cs="Arial"/>
          <w:szCs w:val="18"/>
          <w:lang w:val="en-US"/>
        </w:rPr>
        <w:t xml:space="preserve">represents the </w:t>
      </w:r>
      <w:r w:rsidRPr="00715370">
        <w:rPr>
          <w:rFonts w:eastAsiaTheme="minorEastAsia" w:cs="Arial"/>
          <w:szCs w:val="18"/>
          <w:lang w:val="en-US"/>
        </w:rPr>
        <w:t>half saturation constant for nitrate</w:t>
      </w:r>
      <w:r w:rsidR="0078055B" w:rsidRPr="00715370">
        <w:rPr>
          <w:rFonts w:eastAsiaTheme="minorEastAsia" w:cs="Arial"/>
          <w:szCs w:val="18"/>
          <w:lang w:val="en-US"/>
        </w:rPr>
        <w:t>,</w:t>
      </w:r>
      <w:r w:rsidR="00DA7118" w:rsidRPr="00715370">
        <w:rPr>
          <w:rFonts w:eastAsiaTheme="minorEastAsia" w:cs="Arial"/>
          <w:szCs w:val="18"/>
          <w:lang w:val="en-US"/>
        </w:rPr>
        <w:t xml:space="preserve"> </w:t>
      </w:r>
      <m:oMath>
        <m:sSub>
          <m:sSubPr>
            <m:ctrlPr>
              <w:rPr>
                <w:rFonts w:ascii="Cambria Math" w:hAnsi="Cambria Math" w:cs="Arial"/>
                <w:i/>
                <w:szCs w:val="18"/>
                <w:lang w:val="en-US"/>
              </w:rPr>
            </m:ctrlPr>
          </m:sSubPr>
          <m:e>
            <m:r>
              <w:rPr>
                <w:rFonts w:ascii="Cambria Math" w:hAnsi="Cambria Math" w:cs="Arial"/>
                <w:szCs w:val="18"/>
                <w:lang w:val="en-US"/>
              </w:rPr>
              <m:t>I</m:t>
            </m:r>
          </m:e>
          <m:sub>
            <m:r>
              <w:rPr>
                <w:rFonts w:ascii="Cambria Math" w:hAnsi="Cambria Math" w:cs="Arial"/>
                <w:szCs w:val="18"/>
                <w:lang w:val="en-US"/>
              </w:rPr>
              <m:t>K</m:t>
            </m:r>
          </m:sub>
        </m:sSub>
        <m:r>
          <w:rPr>
            <w:rFonts w:ascii="Cambria Math" w:hAnsi="Cambria Math" w:cs="Arial"/>
            <w:szCs w:val="18"/>
            <w:lang w:val="en-US"/>
          </w:rPr>
          <m:t xml:space="preserve"> (μE </m:t>
        </m:r>
        <m:sSup>
          <m:sSupPr>
            <m:ctrlPr>
              <w:rPr>
                <w:rFonts w:ascii="Cambria Math" w:hAnsi="Cambria Math" w:cs="Arial"/>
                <w:i/>
                <w:szCs w:val="18"/>
                <w:lang w:val="en-US"/>
              </w:rPr>
            </m:ctrlPr>
          </m:sSupPr>
          <m:e>
            <m:r>
              <w:rPr>
                <w:rFonts w:ascii="Cambria Math" w:hAnsi="Cambria Math" w:cs="Arial"/>
                <w:szCs w:val="18"/>
                <w:lang w:val="en-US"/>
              </w:rPr>
              <m:t>m</m:t>
            </m:r>
          </m:e>
          <m:sup>
            <m:r>
              <w:rPr>
                <w:rFonts w:ascii="Cambria Math" w:hAnsi="Cambria Math" w:cs="Arial"/>
                <w:szCs w:val="18"/>
                <w:lang w:val="en-US"/>
              </w:rPr>
              <m:t>-2</m:t>
            </m:r>
          </m:sup>
        </m:sSup>
        <m:sSup>
          <m:sSupPr>
            <m:ctrlPr>
              <w:rPr>
                <w:rFonts w:ascii="Cambria Math" w:hAnsi="Cambria Math" w:cs="Arial"/>
                <w:i/>
                <w:szCs w:val="18"/>
                <w:lang w:val="en-US"/>
              </w:rPr>
            </m:ctrlPr>
          </m:sSupPr>
          <m:e>
            <m:r>
              <w:rPr>
                <w:rFonts w:ascii="Cambria Math" w:hAnsi="Cambria Math" w:cs="Arial"/>
                <w:szCs w:val="18"/>
                <w:lang w:val="en-US"/>
              </w:rPr>
              <m:t>s</m:t>
            </m:r>
          </m:e>
          <m:sup>
            <m:r>
              <w:rPr>
                <w:rFonts w:ascii="Cambria Math" w:hAnsi="Cambria Math" w:cs="Arial"/>
                <w:szCs w:val="18"/>
                <w:lang w:val="en-US"/>
              </w:rPr>
              <m:t>-1</m:t>
            </m:r>
          </m:sup>
        </m:sSup>
        <m:r>
          <w:rPr>
            <w:rFonts w:ascii="Cambria Math" w:hAnsi="Cambria Math" w:cs="Arial"/>
            <w:szCs w:val="18"/>
            <w:lang w:val="en-US"/>
          </w:rPr>
          <m:t>)</m:t>
        </m:r>
      </m:oMath>
      <w:r w:rsidRPr="00715370">
        <w:rPr>
          <w:rFonts w:eastAsiaTheme="minorEastAsia" w:cs="Arial"/>
          <w:szCs w:val="18"/>
          <w:lang w:val="en-US"/>
        </w:rPr>
        <w:t xml:space="preserve"> </w:t>
      </w:r>
      <w:r w:rsidR="0078055B" w:rsidRPr="00715370">
        <w:rPr>
          <w:rFonts w:eastAsiaTheme="minorEastAsia" w:cs="Arial"/>
          <w:szCs w:val="18"/>
          <w:lang w:val="en-US"/>
        </w:rPr>
        <w:t xml:space="preserve">represents the </w:t>
      </w:r>
      <w:r w:rsidRPr="00715370">
        <w:rPr>
          <w:rFonts w:eastAsiaTheme="minorEastAsia" w:cs="Arial"/>
          <w:szCs w:val="18"/>
          <w:lang w:val="en-US"/>
        </w:rPr>
        <w:t>half saturation constant for light intensity</w:t>
      </w:r>
      <w:r w:rsidR="0078055B" w:rsidRPr="00715370">
        <w:rPr>
          <w:rFonts w:eastAsiaTheme="minorEastAsia" w:cs="Arial"/>
          <w:szCs w:val="18"/>
          <w:lang w:val="en-US"/>
        </w:rPr>
        <w:t>,</w:t>
      </w:r>
      <w:r w:rsidRPr="00715370">
        <w:rPr>
          <w:rFonts w:eastAsiaTheme="minorEastAsia" w:cs="Arial"/>
          <w:szCs w:val="18"/>
          <w:lang w:val="en-US"/>
        </w:rPr>
        <w:t xml:space="preserve"> </w:t>
      </w:r>
      <w:r w:rsidR="0078055B" w:rsidRPr="00715370">
        <w:rPr>
          <w:rFonts w:eastAsiaTheme="minorEastAsia" w:cs="Arial"/>
          <w:szCs w:val="18"/>
          <w:lang w:val="en-US"/>
        </w:rPr>
        <w:t>and</w:t>
      </w:r>
      <w:r w:rsidRPr="00715370">
        <w:rPr>
          <w:rFonts w:eastAsiaTheme="minorEastAsia" w:cs="Arial"/>
          <w:szCs w:val="18"/>
          <w:lang w:val="en-US"/>
        </w:rPr>
        <w:t xml:space="preserve"> </w:t>
      </w:r>
      <m:oMath>
        <m:r>
          <w:rPr>
            <w:rFonts w:ascii="Cambria Math" w:eastAsiaTheme="minorEastAsia" w:hAnsi="Cambria Math" w:cs="Arial"/>
            <w:szCs w:val="18"/>
            <w:lang w:val="en-US"/>
          </w:rPr>
          <m:t>n (/)</m:t>
        </m:r>
      </m:oMath>
      <w:r w:rsidRPr="00715370">
        <w:rPr>
          <w:rFonts w:eastAsiaTheme="minorEastAsia" w:cs="Arial"/>
          <w:szCs w:val="18"/>
          <w:lang w:val="en-US"/>
        </w:rPr>
        <w:t xml:space="preserve"> is a coefficient which allows to quantitatively simulate </w:t>
      </w:r>
      <w:r w:rsidRPr="00715370">
        <w:rPr>
          <w:rFonts w:cs="Arial"/>
          <w:szCs w:val="18"/>
          <w:lang w:val="en-US"/>
        </w:rPr>
        <w:t xml:space="preserve">photo-inhibition phenomena potentially affecting microalgae when growth takes place under too high levels of incident light intensities. Finally, </w:t>
      </w:r>
      <m:oMath>
        <m:sSub>
          <m:sSubPr>
            <m:ctrlPr>
              <w:rPr>
                <w:rFonts w:ascii="Cambria Math" w:hAnsi="Cambria Math" w:cs="Arial"/>
                <w:i/>
                <w:szCs w:val="18"/>
                <w:lang w:val="en-US"/>
              </w:rPr>
            </m:ctrlPr>
          </m:sSubPr>
          <m:e>
            <m:r>
              <w:rPr>
                <w:rFonts w:ascii="Cambria Math" w:hAnsi="Cambria Math" w:cs="Arial"/>
                <w:szCs w:val="18"/>
                <w:lang w:val="en-US"/>
              </w:rPr>
              <m:t>I</m:t>
            </m:r>
          </m:e>
          <m:sub>
            <m:r>
              <w:rPr>
                <w:rFonts w:ascii="Cambria Math" w:hAnsi="Cambria Math" w:cs="Arial"/>
                <w:szCs w:val="18"/>
                <w:lang w:val="en-US"/>
              </w:rPr>
              <m:t>av</m:t>
            </m:r>
          </m:sub>
        </m:sSub>
        <m:r>
          <w:rPr>
            <w:rFonts w:ascii="Cambria Math" w:hAnsi="Cambria Math" w:cs="Arial"/>
            <w:szCs w:val="18"/>
            <w:lang w:val="en-US"/>
          </w:rPr>
          <m:t xml:space="preserve"> </m:t>
        </m:r>
        <m:d>
          <m:dPr>
            <m:ctrlPr>
              <w:rPr>
                <w:rFonts w:ascii="Cambria Math" w:hAnsi="Cambria Math" w:cs="Arial"/>
                <w:i/>
                <w:szCs w:val="18"/>
                <w:lang w:val="en-US"/>
              </w:rPr>
            </m:ctrlPr>
          </m:dPr>
          <m:e>
            <m:r>
              <w:rPr>
                <w:rFonts w:ascii="Cambria Math" w:hAnsi="Cambria Math" w:cs="Arial"/>
                <w:szCs w:val="18"/>
                <w:lang w:val="en-US"/>
              </w:rPr>
              <m:t xml:space="preserve">μE </m:t>
            </m:r>
            <m:sSup>
              <m:sSupPr>
                <m:ctrlPr>
                  <w:rPr>
                    <w:rFonts w:ascii="Cambria Math" w:hAnsi="Cambria Math" w:cs="Arial"/>
                    <w:i/>
                    <w:szCs w:val="18"/>
                    <w:lang w:val="en-US"/>
                  </w:rPr>
                </m:ctrlPr>
              </m:sSupPr>
              <m:e>
                <m:r>
                  <w:rPr>
                    <w:rFonts w:ascii="Cambria Math" w:hAnsi="Cambria Math" w:cs="Arial"/>
                    <w:szCs w:val="18"/>
                    <w:lang w:val="en-US"/>
                  </w:rPr>
                  <m:t>m</m:t>
                </m:r>
              </m:e>
              <m:sup>
                <m:r>
                  <w:rPr>
                    <w:rFonts w:ascii="Cambria Math" w:hAnsi="Cambria Math" w:cs="Arial"/>
                    <w:szCs w:val="18"/>
                    <w:lang w:val="en-US"/>
                  </w:rPr>
                  <m:t>-2</m:t>
                </m:r>
              </m:sup>
            </m:sSup>
            <m:sSup>
              <m:sSupPr>
                <m:ctrlPr>
                  <w:rPr>
                    <w:rFonts w:ascii="Cambria Math" w:hAnsi="Cambria Math" w:cs="Arial"/>
                    <w:i/>
                    <w:szCs w:val="18"/>
                    <w:lang w:val="en-US"/>
                  </w:rPr>
                </m:ctrlPr>
              </m:sSupPr>
              <m:e>
                <m:r>
                  <w:rPr>
                    <w:rFonts w:ascii="Cambria Math" w:hAnsi="Cambria Math" w:cs="Arial"/>
                    <w:szCs w:val="18"/>
                    <w:lang w:val="en-US"/>
                  </w:rPr>
                  <m:t>s</m:t>
                </m:r>
              </m:e>
              <m:sup>
                <m:r>
                  <w:rPr>
                    <w:rFonts w:ascii="Cambria Math" w:hAnsi="Cambria Math" w:cs="Arial"/>
                    <w:szCs w:val="18"/>
                    <w:lang w:val="en-US"/>
                  </w:rPr>
                  <m:t>-1</m:t>
                </m:r>
              </m:sup>
            </m:sSup>
          </m:e>
        </m:d>
      </m:oMath>
      <w:r w:rsidRPr="00715370">
        <w:rPr>
          <w:rFonts w:eastAsiaTheme="minorEastAsia" w:cs="Arial"/>
          <w:szCs w:val="18"/>
          <w:lang w:val="en-US"/>
        </w:rPr>
        <w:t xml:space="preserve"> </w:t>
      </w:r>
      <w:r w:rsidRPr="00715370">
        <w:rPr>
          <w:rFonts w:cs="Arial"/>
          <w:szCs w:val="18"/>
          <w:lang w:val="en-US"/>
        </w:rPr>
        <w:t>represents the average photosynthetically active radiation</w:t>
      </w:r>
      <w:r w:rsidRPr="00715370">
        <w:rPr>
          <w:rFonts w:eastAsiaTheme="minorEastAsia" w:cs="Arial"/>
          <w:szCs w:val="18"/>
          <w:lang w:val="en-US"/>
        </w:rPr>
        <w:t xml:space="preserve"> within the growth media and was </w:t>
      </w:r>
      <w:r w:rsidRPr="00715370">
        <w:rPr>
          <w:rFonts w:cs="Arial"/>
          <w:szCs w:val="18"/>
          <w:lang w:val="en-US"/>
        </w:rPr>
        <w:t>calculated through the following expression recently proposed in the literature</w:t>
      </w:r>
      <w:r w:rsidR="00005D7A" w:rsidRPr="00715370">
        <w:rPr>
          <w:rFonts w:cs="Arial"/>
          <w:szCs w:val="18"/>
          <w:lang w:val="en-US"/>
        </w:rPr>
        <w:t xml:space="preserve"> (</w:t>
      </w:r>
      <w:proofErr w:type="spellStart"/>
      <w:r w:rsidR="00005D7A" w:rsidRPr="00715370">
        <w:rPr>
          <w:rFonts w:cs="Arial"/>
          <w:szCs w:val="18"/>
          <w:lang w:val="en-US"/>
        </w:rPr>
        <w:t>Soru</w:t>
      </w:r>
      <w:proofErr w:type="spellEnd"/>
      <w:r w:rsidR="00005D7A" w:rsidRPr="00715370">
        <w:rPr>
          <w:rFonts w:cs="Arial"/>
          <w:szCs w:val="18"/>
          <w:lang w:val="en-US"/>
        </w:rPr>
        <w:t xml:space="preserve"> </w:t>
      </w:r>
      <w:r w:rsidR="00005D7A" w:rsidRPr="00715370">
        <w:rPr>
          <w:rFonts w:cs="Arial"/>
          <w:i/>
          <w:szCs w:val="18"/>
          <w:lang w:val="en-US"/>
        </w:rPr>
        <w:t>et al.</w:t>
      </w:r>
      <w:r w:rsidR="00005D7A" w:rsidRPr="00715370">
        <w:rPr>
          <w:rFonts w:cs="Arial"/>
          <w:szCs w:val="18"/>
          <w:lang w:val="en-US"/>
        </w:rPr>
        <w:t>, 2018a)</w:t>
      </w:r>
      <w:r w:rsidR="00B446B1" w:rsidRPr="00715370">
        <w:rPr>
          <w:rFonts w:cs="Arial"/>
          <w:b/>
          <w:szCs w:val="18"/>
          <w:lang w:val="en-US"/>
        </w:rPr>
        <w:t>:</w:t>
      </w:r>
      <w:r w:rsidRPr="00715370">
        <w:rPr>
          <w:rFonts w:cs="Arial"/>
          <w:szCs w:val="18"/>
        </w:rPr>
        <w:t xml:space="preserve"> </w:t>
      </w:r>
    </w:p>
    <w:p w:rsidR="00693284" w:rsidRPr="00715370" w:rsidRDefault="00DA7118" w:rsidP="00DA7118">
      <w:pPr>
        <w:spacing w:before="120" w:after="120"/>
        <w:ind w:firstLine="357"/>
        <w:rPr>
          <w:rFonts w:cs="Arial"/>
          <w:szCs w:val="18"/>
          <w:lang w:val="en-US"/>
        </w:rPr>
      </w:pPr>
      <w:r w:rsidRPr="00715370">
        <w:rPr>
          <w:rFonts w:cs="Arial"/>
          <w:position w:val="-32"/>
          <w:szCs w:val="18"/>
          <w:lang w:val="en-US"/>
        </w:rPr>
        <w:object w:dxaOrig="5480" w:dyaOrig="740">
          <v:shape id="_x0000_i1026" type="#_x0000_t75" style="width:236.4pt;height:30.6pt" o:ole="">
            <v:imagedata r:id="rId14" o:title=""/>
          </v:shape>
          <o:OLEObject Type="Embed" ProgID="Equation.DSMT4" ShapeID="_x0000_i1026" DrawAspect="Content" ObjectID="_1615378201" r:id="rId15"/>
        </w:object>
      </w:r>
      <w:r w:rsidR="00693284" w:rsidRPr="00715370">
        <w:rPr>
          <w:rFonts w:cs="Arial"/>
          <w:szCs w:val="18"/>
          <w:lang w:val="en-US"/>
        </w:rPr>
        <w:tab/>
      </w:r>
      <w:r w:rsidR="00693284" w:rsidRPr="00715370">
        <w:rPr>
          <w:rFonts w:cs="Arial"/>
          <w:szCs w:val="18"/>
          <w:lang w:val="en-US"/>
        </w:rPr>
        <w:tab/>
        <w:t>(</w:t>
      </w:r>
      <w:r w:rsidRPr="00715370">
        <w:rPr>
          <w:rFonts w:cs="Arial"/>
          <w:szCs w:val="18"/>
          <w:lang w:val="en-US"/>
        </w:rPr>
        <w:t>2</w:t>
      </w:r>
      <w:r w:rsidR="00693284" w:rsidRPr="00715370">
        <w:rPr>
          <w:rFonts w:cs="Arial"/>
          <w:szCs w:val="18"/>
          <w:lang w:val="en-US"/>
        </w:rPr>
        <w:t>)</w:t>
      </w:r>
    </w:p>
    <w:p w:rsidR="00693284" w:rsidRPr="00715370" w:rsidRDefault="00693284" w:rsidP="00693284">
      <w:pPr>
        <w:rPr>
          <w:rFonts w:cs="Arial"/>
          <w:szCs w:val="18"/>
          <w:lang w:val="en-US"/>
        </w:rPr>
      </w:pPr>
      <w:r w:rsidRPr="00715370">
        <w:rPr>
          <w:rFonts w:cs="Arial"/>
          <w:szCs w:val="18"/>
        </w:rPr>
        <w:t xml:space="preserve">where </w:t>
      </w:r>
      <m:oMath>
        <m:r>
          <w:rPr>
            <w:rFonts w:ascii="Cambria Math" w:hAnsi="Cambria Math" w:cs="Arial"/>
            <w:szCs w:val="18"/>
            <w:lang w:val="en-US"/>
          </w:rPr>
          <m:t xml:space="preserve">R </m:t>
        </m:r>
        <m:d>
          <m:dPr>
            <m:ctrlPr>
              <w:rPr>
                <w:rFonts w:ascii="Cambria Math" w:hAnsi="Cambria Math" w:cs="Arial"/>
                <w:i/>
                <w:szCs w:val="18"/>
                <w:lang w:val="en-US"/>
              </w:rPr>
            </m:ctrlPr>
          </m:dPr>
          <m:e>
            <m:r>
              <w:rPr>
                <w:rFonts w:ascii="Cambria Math" w:hAnsi="Cambria Math" w:cs="Arial"/>
                <w:szCs w:val="18"/>
                <w:lang w:val="en-US"/>
              </w:rPr>
              <m:t>m</m:t>
            </m:r>
          </m:e>
        </m:d>
      </m:oMath>
      <w:r w:rsidR="00B020EC" w:rsidRPr="00715370">
        <w:rPr>
          <w:rFonts w:cs="Arial"/>
          <w:szCs w:val="18"/>
        </w:rPr>
        <w:t xml:space="preserve"> is the photobioreactor radius, </w:t>
      </w:r>
      <m:oMath>
        <m:sSub>
          <m:sSubPr>
            <m:ctrlPr>
              <w:rPr>
                <w:rFonts w:ascii="Cambria Math" w:hAnsi="Cambria Math" w:cs="Arial"/>
                <w:i/>
                <w:szCs w:val="18"/>
                <w:lang w:val="en-US"/>
              </w:rPr>
            </m:ctrlPr>
          </m:sSubPr>
          <m:e>
            <m:r>
              <w:rPr>
                <w:rFonts w:ascii="Cambria Math" w:hAnsi="Cambria Math" w:cs="Arial"/>
                <w:szCs w:val="18"/>
                <w:lang w:val="en-US"/>
              </w:rPr>
              <m:t>I</m:t>
            </m:r>
          </m:e>
          <m:sub>
            <m:r>
              <w:rPr>
                <w:rFonts w:ascii="Cambria Math" w:hAnsi="Cambria Math" w:cs="Arial"/>
                <w:szCs w:val="18"/>
                <w:lang w:val="en-US"/>
              </w:rPr>
              <m:t>0</m:t>
            </m:r>
          </m:sub>
        </m:sSub>
        <m:r>
          <w:rPr>
            <w:rFonts w:ascii="Cambria Math" w:hAnsi="Cambria Math" w:cs="Arial"/>
            <w:szCs w:val="18"/>
            <w:lang w:val="en-US"/>
          </w:rPr>
          <m:t xml:space="preserve"> </m:t>
        </m:r>
        <m:d>
          <m:dPr>
            <m:ctrlPr>
              <w:rPr>
                <w:rFonts w:ascii="Cambria Math" w:hAnsi="Cambria Math" w:cs="Arial"/>
                <w:i/>
                <w:szCs w:val="18"/>
                <w:lang w:val="en-US"/>
              </w:rPr>
            </m:ctrlPr>
          </m:dPr>
          <m:e>
            <m:r>
              <w:rPr>
                <w:rFonts w:ascii="Cambria Math" w:hAnsi="Cambria Math" w:cs="Arial"/>
                <w:szCs w:val="18"/>
                <w:lang w:val="en-US"/>
              </w:rPr>
              <m:t xml:space="preserve">μE </m:t>
            </m:r>
            <m:sSup>
              <m:sSupPr>
                <m:ctrlPr>
                  <w:rPr>
                    <w:rFonts w:ascii="Cambria Math" w:hAnsi="Cambria Math" w:cs="Arial"/>
                    <w:i/>
                    <w:szCs w:val="18"/>
                    <w:lang w:val="en-US"/>
                  </w:rPr>
                </m:ctrlPr>
              </m:sSupPr>
              <m:e>
                <m:r>
                  <w:rPr>
                    <w:rFonts w:ascii="Cambria Math" w:hAnsi="Cambria Math" w:cs="Arial"/>
                    <w:szCs w:val="18"/>
                    <w:lang w:val="en-US"/>
                  </w:rPr>
                  <m:t>m</m:t>
                </m:r>
              </m:e>
              <m:sup>
                <m:r>
                  <w:rPr>
                    <w:rFonts w:ascii="Cambria Math" w:hAnsi="Cambria Math" w:cs="Arial"/>
                    <w:szCs w:val="18"/>
                    <w:lang w:val="en-US"/>
                  </w:rPr>
                  <m:t>-2</m:t>
                </m:r>
              </m:sup>
            </m:sSup>
            <m:sSup>
              <m:sSupPr>
                <m:ctrlPr>
                  <w:rPr>
                    <w:rFonts w:ascii="Cambria Math" w:hAnsi="Cambria Math" w:cs="Arial"/>
                    <w:i/>
                    <w:szCs w:val="18"/>
                    <w:lang w:val="en-US"/>
                  </w:rPr>
                </m:ctrlPr>
              </m:sSupPr>
              <m:e>
                <m:r>
                  <w:rPr>
                    <w:rFonts w:ascii="Cambria Math" w:hAnsi="Cambria Math" w:cs="Arial"/>
                    <w:szCs w:val="18"/>
                    <w:lang w:val="en-US"/>
                  </w:rPr>
                  <m:t>s</m:t>
                </m:r>
              </m:e>
              <m:sup>
                <m:r>
                  <w:rPr>
                    <w:rFonts w:ascii="Cambria Math" w:hAnsi="Cambria Math" w:cs="Arial"/>
                    <w:szCs w:val="18"/>
                    <w:lang w:val="en-US"/>
                  </w:rPr>
                  <m:t>-1</m:t>
                </m:r>
              </m:sup>
            </m:sSup>
          </m:e>
        </m:d>
        <m:r>
          <w:rPr>
            <w:rFonts w:ascii="Cambria Math" w:hAnsi="Cambria Math" w:cs="Arial"/>
            <w:szCs w:val="18"/>
            <w:lang w:val="en-US"/>
          </w:rPr>
          <m:t xml:space="preserve"> </m:t>
        </m:r>
      </m:oMath>
      <w:r w:rsidRPr="00715370">
        <w:rPr>
          <w:rFonts w:eastAsiaTheme="minorEastAsia" w:cs="Arial"/>
          <w:szCs w:val="18"/>
          <w:lang w:val="en-US"/>
        </w:rPr>
        <w:t xml:space="preserve"> is the incident light intensity and </w:t>
      </w:r>
      <w:r w:rsidRPr="00715370">
        <w:rPr>
          <w:rFonts w:cs="Arial"/>
          <w:szCs w:val="18"/>
        </w:rPr>
        <w:br/>
      </w:r>
      <m:oMath>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C</m:t>
            </m:r>
          </m:sub>
        </m:sSub>
        <m:r>
          <w:rPr>
            <w:rFonts w:ascii="Cambria Math" w:hAnsi="Cambria Math" w:cs="Arial"/>
            <w:szCs w:val="18"/>
          </w:rPr>
          <m:t xml:space="preserve"> </m:t>
        </m:r>
        <m:d>
          <m:dPr>
            <m:ctrlPr>
              <w:rPr>
                <w:rFonts w:ascii="Cambria Math" w:hAnsi="Cambria Math" w:cs="Arial"/>
                <w:i/>
                <w:szCs w:val="18"/>
              </w:rPr>
            </m:ctrlPr>
          </m:dPr>
          <m:e>
            <m:r>
              <w:rPr>
                <w:rFonts w:ascii="Cambria Math" w:hAnsi="Cambria Math" w:cs="Arial"/>
                <w:szCs w:val="18"/>
              </w:rPr>
              <m:t xml:space="preserve">L </m:t>
            </m:r>
            <m:sSup>
              <m:sSupPr>
                <m:ctrlPr>
                  <w:rPr>
                    <w:rFonts w:ascii="Cambria Math" w:hAnsi="Cambria Math" w:cs="Arial"/>
                    <w:i/>
                    <w:szCs w:val="18"/>
                  </w:rPr>
                </m:ctrlPr>
              </m:sSupPr>
              <m:e>
                <m:r>
                  <w:rPr>
                    <w:rFonts w:ascii="Cambria Math" w:hAnsi="Cambria Math" w:cs="Arial"/>
                    <w:szCs w:val="18"/>
                  </w:rPr>
                  <m:t>g</m:t>
                </m:r>
              </m:e>
              <m:sup>
                <m:r>
                  <w:rPr>
                    <w:rFonts w:ascii="Cambria Math" w:hAnsi="Cambria Math" w:cs="Arial"/>
                    <w:szCs w:val="18"/>
                    <w:vertAlign w:val="superscript"/>
                  </w:rPr>
                  <m:t>-1</m:t>
                </m:r>
              </m:sup>
            </m:sSup>
            <m:r>
              <w:rPr>
                <w:rFonts w:ascii="Cambria Math" w:hAnsi="Cambria Math" w:cs="Arial"/>
                <w:szCs w:val="18"/>
              </w:rPr>
              <m:t xml:space="preserve"> </m:t>
            </m:r>
            <m:sSup>
              <m:sSupPr>
                <m:ctrlPr>
                  <w:rPr>
                    <w:rFonts w:ascii="Cambria Math" w:hAnsi="Cambria Math" w:cs="Arial"/>
                    <w:i/>
                    <w:szCs w:val="18"/>
                  </w:rPr>
                </m:ctrlPr>
              </m:sSupPr>
              <m:e>
                <m:r>
                  <w:rPr>
                    <w:rFonts w:ascii="Cambria Math" w:hAnsi="Cambria Math" w:cs="Arial"/>
                    <w:szCs w:val="18"/>
                  </w:rPr>
                  <m:t>m</m:t>
                </m:r>
              </m:e>
              <m:sup>
                <m:r>
                  <w:rPr>
                    <w:rFonts w:ascii="Cambria Math" w:hAnsi="Cambria Math" w:cs="Arial"/>
                    <w:szCs w:val="18"/>
                    <w:vertAlign w:val="superscript"/>
                  </w:rPr>
                  <m:t>-1</m:t>
                </m:r>
              </m:sup>
            </m:sSup>
            <m:ctrlPr>
              <w:rPr>
                <w:rFonts w:ascii="Cambria Math" w:hAnsi="Cambria Math" w:cs="Arial"/>
                <w:i/>
                <w:szCs w:val="18"/>
                <w:vertAlign w:val="superscript"/>
              </w:rPr>
            </m:ctrlPr>
          </m:e>
        </m:d>
      </m:oMath>
      <w:r w:rsidRPr="00715370">
        <w:rPr>
          <w:rFonts w:eastAsiaTheme="minorEastAsia" w:cs="Arial"/>
          <w:szCs w:val="18"/>
          <w:lang w:val="en-US"/>
        </w:rPr>
        <w:t xml:space="preserve"> is the optical extinction coefficient.</w:t>
      </w:r>
      <w:r w:rsidR="005844B8" w:rsidRPr="00715370">
        <w:rPr>
          <w:rFonts w:eastAsiaTheme="minorEastAsia" w:cs="Arial"/>
          <w:szCs w:val="18"/>
          <w:lang w:val="en-US"/>
        </w:rPr>
        <w:t xml:space="preserve"> The incident light intensity varied as a square wave function according to the mathematical relationship reported by Concas </w:t>
      </w:r>
      <w:r w:rsidR="005844B8" w:rsidRPr="00715370">
        <w:rPr>
          <w:rFonts w:eastAsiaTheme="minorEastAsia" w:cs="Arial"/>
          <w:i/>
          <w:szCs w:val="18"/>
          <w:lang w:val="en-US"/>
        </w:rPr>
        <w:t>et al.</w:t>
      </w:r>
      <w:r w:rsidR="005844B8" w:rsidRPr="00715370">
        <w:rPr>
          <w:rFonts w:eastAsiaTheme="minorEastAsia" w:cs="Arial"/>
          <w:b/>
          <w:szCs w:val="18"/>
          <w:lang w:val="en-US"/>
        </w:rPr>
        <w:t>,</w:t>
      </w:r>
      <w:r w:rsidR="005844B8" w:rsidRPr="00715370">
        <w:rPr>
          <w:rFonts w:eastAsiaTheme="minorEastAsia" w:cs="Arial"/>
          <w:szCs w:val="18"/>
          <w:lang w:val="en-US"/>
        </w:rPr>
        <w:t xml:space="preserve"> (2016</w:t>
      </w:r>
      <w:r w:rsidR="00305204" w:rsidRPr="00715370">
        <w:rPr>
          <w:rFonts w:eastAsiaTheme="minorEastAsia" w:cs="Arial"/>
          <w:szCs w:val="18"/>
          <w:lang w:val="en-US"/>
        </w:rPr>
        <w:t>a</w:t>
      </w:r>
      <w:r w:rsidR="005844B8" w:rsidRPr="00715370">
        <w:rPr>
          <w:rFonts w:eastAsiaTheme="minorEastAsia" w:cs="Arial"/>
          <w:szCs w:val="18"/>
          <w:lang w:val="en-US"/>
        </w:rPr>
        <w:t xml:space="preserve">). </w:t>
      </w:r>
      <w:r w:rsidR="00DA7118" w:rsidRPr="00715370">
        <w:rPr>
          <w:rFonts w:cs="Arial"/>
          <w:szCs w:val="18"/>
          <w:lang w:val="en-US"/>
        </w:rPr>
        <w:t>T</w:t>
      </w:r>
      <w:r w:rsidRPr="00715370">
        <w:rPr>
          <w:rFonts w:cs="Arial"/>
          <w:szCs w:val="18"/>
          <w:lang w:val="en-US"/>
        </w:rPr>
        <w:t xml:space="preserve">he dependence of growth rate on pH </w:t>
      </w:r>
      <w:r w:rsidR="00DA7118" w:rsidRPr="00715370">
        <w:rPr>
          <w:rFonts w:cs="Arial"/>
          <w:szCs w:val="18"/>
          <w:lang w:val="en-US"/>
        </w:rPr>
        <w:t xml:space="preserve">has been also taken in into account by </w:t>
      </w:r>
      <w:r w:rsidRPr="00715370">
        <w:rPr>
          <w:rFonts w:cs="Arial"/>
          <w:szCs w:val="18"/>
          <w:lang w:val="en-US"/>
        </w:rPr>
        <w:t xml:space="preserve">this model by </w:t>
      </w:r>
      <w:r w:rsidR="00DA7118" w:rsidRPr="00715370">
        <w:rPr>
          <w:rFonts w:cs="Arial"/>
          <w:szCs w:val="18"/>
          <w:lang w:val="en-US"/>
        </w:rPr>
        <w:t xml:space="preserve">through </w:t>
      </w:r>
      <w:r w:rsidRPr="00715370">
        <w:rPr>
          <w:rFonts w:cs="Arial"/>
          <w:szCs w:val="18"/>
          <w:lang w:val="en-US"/>
        </w:rPr>
        <w:t xml:space="preserve">the functional term </w:t>
      </w:r>
      <m:oMath>
        <m:r>
          <w:rPr>
            <w:rFonts w:ascii="Cambria Math" w:hAnsi="Cambria Math" w:cs="Arial"/>
            <w:szCs w:val="18"/>
            <w:lang w:val="en-US"/>
          </w:rPr>
          <m:t>h(pH)</m:t>
        </m:r>
      </m:oMath>
      <w:r w:rsidRPr="00715370">
        <w:rPr>
          <w:rFonts w:cs="Arial"/>
          <w:szCs w:val="18"/>
          <w:lang w:val="en-US"/>
        </w:rPr>
        <w:t xml:space="preserve">. The latter one </w:t>
      </w:r>
      <w:r w:rsidR="005844B8" w:rsidRPr="00715370">
        <w:rPr>
          <w:rFonts w:cs="Arial"/>
          <w:szCs w:val="18"/>
          <w:lang w:val="en-US"/>
        </w:rPr>
        <w:t>was</w:t>
      </w:r>
      <w:r w:rsidRPr="00715370">
        <w:rPr>
          <w:rFonts w:cs="Arial"/>
          <w:szCs w:val="18"/>
          <w:lang w:val="en-US"/>
        </w:rPr>
        <w:t xml:space="preserve"> obtained by simply rearranging the formulation proposed in the literature </w:t>
      </w:r>
      <w:r w:rsidR="00005D7A" w:rsidRPr="00715370">
        <w:rPr>
          <w:rFonts w:cs="Arial"/>
          <w:szCs w:val="18"/>
          <w:lang w:val="en-US"/>
        </w:rPr>
        <w:t xml:space="preserve">(Tan </w:t>
      </w:r>
      <w:r w:rsidR="00005D7A" w:rsidRPr="00715370">
        <w:rPr>
          <w:rFonts w:cs="Arial"/>
          <w:i/>
          <w:szCs w:val="18"/>
          <w:lang w:val="en-US"/>
        </w:rPr>
        <w:t>et al.</w:t>
      </w:r>
      <w:r w:rsidR="00005D7A" w:rsidRPr="00715370">
        <w:rPr>
          <w:rFonts w:cs="Arial"/>
          <w:szCs w:val="18"/>
          <w:lang w:val="en-US"/>
        </w:rPr>
        <w:t xml:space="preserve">, 1998) </w:t>
      </w:r>
      <w:r w:rsidRPr="00715370">
        <w:rPr>
          <w:rFonts w:cs="Arial"/>
          <w:szCs w:val="18"/>
        </w:rPr>
        <w:t xml:space="preserve">for generic microorganisms </w:t>
      </w:r>
      <w:r w:rsidRPr="00715370">
        <w:rPr>
          <w:rFonts w:cs="Arial"/>
          <w:szCs w:val="18"/>
          <w:lang w:val="en-US"/>
        </w:rPr>
        <w:t xml:space="preserve">so that the following dependence of growth rate on the molar concentration of protons was obtained: </w:t>
      </w:r>
    </w:p>
    <w:p w:rsidR="00693284" w:rsidRPr="00715370" w:rsidRDefault="00DA7118" w:rsidP="00DA7118">
      <w:pPr>
        <w:spacing w:before="120" w:after="120"/>
        <w:ind w:firstLine="357"/>
        <w:rPr>
          <w:rFonts w:cs="Arial"/>
          <w:szCs w:val="18"/>
          <w:lang w:val="en-US"/>
        </w:rPr>
      </w:pPr>
      <w:r w:rsidRPr="00715370">
        <w:rPr>
          <w:rFonts w:cs="Arial"/>
          <w:position w:val="-62"/>
          <w:szCs w:val="18"/>
          <w:lang w:val="en-US"/>
        </w:rPr>
        <w:object w:dxaOrig="5160" w:dyaOrig="1359">
          <v:shape id="_x0000_i1027" type="#_x0000_t75" style="width:222pt;height:57.6pt" o:ole="">
            <v:imagedata r:id="rId16" o:title=""/>
          </v:shape>
          <o:OLEObject Type="Embed" ProgID="Equation.DSMT4" ShapeID="_x0000_i1027" DrawAspect="Content" ObjectID="_1615378202" r:id="rId17"/>
        </w:object>
      </w:r>
      <w:r w:rsidR="00693284" w:rsidRPr="00715370">
        <w:rPr>
          <w:rFonts w:cs="Arial"/>
          <w:szCs w:val="18"/>
          <w:lang w:val="en-US"/>
        </w:rPr>
        <w:tab/>
      </w:r>
      <w:r w:rsidR="00693284" w:rsidRPr="00715370">
        <w:rPr>
          <w:rFonts w:cs="Arial"/>
          <w:szCs w:val="18"/>
          <w:lang w:val="en-US"/>
        </w:rPr>
        <w:tab/>
      </w:r>
      <w:r w:rsidRPr="00715370">
        <w:rPr>
          <w:rFonts w:cs="Arial"/>
          <w:szCs w:val="18"/>
          <w:lang w:val="en-US"/>
        </w:rPr>
        <w:t>(3</w:t>
      </w:r>
      <w:r w:rsidR="00693284" w:rsidRPr="00715370">
        <w:rPr>
          <w:rFonts w:cs="Arial"/>
          <w:szCs w:val="18"/>
          <w:lang w:val="en-US"/>
        </w:rPr>
        <w:t>)</w:t>
      </w:r>
    </w:p>
    <w:p w:rsidR="00C62D91" w:rsidRDefault="00693284" w:rsidP="00C62D91">
      <w:pPr>
        <w:rPr>
          <w:rFonts w:cs="Arial"/>
          <w:szCs w:val="18"/>
        </w:rPr>
      </w:pPr>
      <w:r w:rsidRPr="00715370">
        <w:rPr>
          <w:rFonts w:cs="Arial"/>
          <w:szCs w:val="18"/>
        </w:rPr>
        <w:t xml:space="preserve">where the symbol significance </w:t>
      </w:r>
      <w:r w:rsidR="00DA7118" w:rsidRPr="00715370">
        <w:rPr>
          <w:rFonts w:cs="Arial"/>
          <w:szCs w:val="18"/>
        </w:rPr>
        <w:t>refer to model param</w:t>
      </w:r>
      <w:r w:rsidR="009E5030" w:rsidRPr="00715370">
        <w:rPr>
          <w:rFonts w:cs="Arial"/>
          <w:szCs w:val="18"/>
        </w:rPr>
        <w:t>e</w:t>
      </w:r>
      <w:r w:rsidR="00DA7118" w:rsidRPr="00715370">
        <w:rPr>
          <w:rFonts w:cs="Arial"/>
          <w:szCs w:val="18"/>
        </w:rPr>
        <w:t xml:space="preserve">ters. </w:t>
      </w:r>
      <w:r w:rsidRPr="00715370">
        <w:rPr>
          <w:rFonts w:cs="Arial"/>
          <w:szCs w:val="18"/>
        </w:rPr>
        <w:t xml:space="preserve">Such formulation permits to simulate different kinds of kinetic responses of microorganism to pH changes and thus is well suited for a quantitative interpretation of the acidophilic and/or </w:t>
      </w:r>
      <w:proofErr w:type="spellStart"/>
      <w:r w:rsidRPr="00715370">
        <w:rPr>
          <w:rFonts w:cs="Arial"/>
          <w:szCs w:val="18"/>
        </w:rPr>
        <w:t>alkaliphilic</w:t>
      </w:r>
      <w:proofErr w:type="spellEnd"/>
      <w:r w:rsidRPr="00715370">
        <w:rPr>
          <w:rFonts w:cs="Arial"/>
          <w:szCs w:val="18"/>
        </w:rPr>
        <w:t xml:space="preserve"> behaviour of algae. Since the obtained model of microalgae growth depends upon the nitrate concentration in solution</w:t>
      </w:r>
      <w:r w:rsidR="0078055B" w:rsidRPr="00715370">
        <w:rPr>
          <w:rFonts w:cs="Arial"/>
          <w:szCs w:val="18"/>
        </w:rPr>
        <w:t>,</w:t>
      </w:r>
      <w:r w:rsidR="00C62D91">
        <w:rPr>
          <w:rFonts w:cs="Arial"/>
          <w:szCs w:val="18"/>
        </w:rPr>
        <w:t xml:space="preserve"> </w:t>
      </w:r>
      <w:r w:rsidR="00C62D91" w:rsidRPr="00C62D91">
        <w:rPr>
          <w:rFonts w:cs="Arial"/>
          <w:szCs w:val="18"/>
        </w:rPr>
        <w:t>the corresponding mass balance which allows one to quantitatively describe</w:t>
      </w:r>
      <w:r w:rsidR="00C62D91">
        <w:rPr>
          <w:rFonts w:cs="Arial"/>
          <w:szCs w:val="18"/>
        </w:rPr>
        <w:t xml:space="preserve"> </w:t>
      </w:r>
      <w:r w:rsidR="00C62D91" w:rsidRPr="00C62D91">
        <w:rPr>
          <w:rFonts w:cs="Arial"/>
          <w:szCs w:val="18"/>
        </w:rPr>
        <w:t>its time evolution in the bulk liquid phase of a batch photobioreactor (PBR)</w:t>
      </w:r>
      <w:r w:rsidR="00C62D91">
        <w:rPr>
          <w:rFonts w:cs="Arial"/>
          <w:szCs w:val="18"/>
        </w:rPr>
        <w:t xml:space="preserve"> </w:t>
      </w:r>
      <w:r w:rsidR="00C62D91" w:rsidRPr="00C62D91">
        <w:rPr>
          <w:rFonts w:cs="Arial"/>
          <w:szCs w:val="18"/>
        </w:rPr>
        <w:t>can be written as follows:</w:t>
      </w:r>
    </w:p>
    <w:p w:rsidR="00693284" w:rsidRPr="00715370" w:rsidRDefault="00DA7118" w:rsidP="00D96049">
      <w:pPr>
        <w:spacing w:before="120"/>
        <w:ind w:firstLine="357"/>
        <w:rPr>
          <w:rFonts w:cs="Arial"/>
          <w:szCs w:val="18"/>
          <w:lang w:val="en-US"/>
        </w:rPr>
      </w:pPr>
      <w:r w:rsidRPr="00715370">
        <w:rPr>
          <w:rFonts w:cs="Arial"/>
          <w:position w:val="-24"/>
          <w:szCs w:val="18"/>
          <w:lang w:val="en-US"/>
        </w:rPr>
        <w:object w:dxaOrig="1939" w:dyaOrig="700">
          <v:shape id="_x0000_i1028" type="#_x0000_t75" style="width:89.4pt;height:31.8pt" o:ole="">
            <v:imagedata r:id="rId18" o:title=""/>
          </v:shape>
          <o:OLEObject Type="Embed" ProgID="Equation.DSMT4" ShapeID="_x0000_i1028" DrawAspect="Content" ObjectID="_1615378203" r:id="rId19"/>
        </w:object>
      </w:r>
      <w:r w:rsidR="00693284" w:rsidRPr="00715370">
        <w:rPr>
          <w:rFonts w:cs="Arial"/>
          <w:szCs w:val="18"/>
          <w:lang w:val="en-US"/>
        </w:rPr>
        <w:tab/>
      </w:r>
      <w:r w:rsidR="00693284" w:rsidRPr="00715370">
        <w:rPr>
          <w:rFonts w:cs="Arial"/>
          <w:szCs w:val="18"/>
          <w:lang w:val="en-US"/>
        </w:rPr>
        <w:tab/>
      </w:r>
      <w:r w:rsidRPr="00715370">
        <w:rPr>
          <w:rFonts w:cs="Arial"/>
          <w:szCs w:val="18"/>
          <w:lang w:val="en-US"/>
        </w:rPr>
        <w:t>(4</w:t>
      </w:r>
      <w:r w:rsidR="00693284" w:rsidRPr="00715370">
        <w:rPr>
          <w:rFonts w:cs="Arial"/>
          <w:szCs w:val="18"/>
          <w:lang w:val="en-US"/>
        </w:rPr>
        <w:t>)</w:t>
      </w:r>
    </w:p>
    <w:p w:rsidR="00DA7118" w:rsidRPr="00715370" w:rsidRDefault="00693284" w:rsidP="00BB6236">
      <w:pPr>
        <w:rPr>
          <w:rFonts w:cs="Arial"/>
          <w:szCs w:val="18"/>
        </w:rPr>
      </w:pPr>
      <w:r w:rsidRPr="00715370">
        <w:rPr>
          <w:rFonts w:cs="Arial"/>
          <w:szCs w:val="18"/>
          <w:lang w:val="en-US"/>
        </w:rPr>
        <w:lastRenderedPageBreak/>
        <w:t>along with the initial condition</w:t>
      </w:r>
      <w:r w:rsidR="00DA7118" w:rsidRPr="00715370">
        <w:rPr>
          <w:rFonts w:cs="Arial"/>
          <w:szCs w:val="18"/>
          <w:lang w:val="en-US"/>
        </w:rPr>
        <w:t xml:space="preserve"> </w:t>
      </w:r>
      <m:oMath>
        <m:sSub>
          <m:sSubPr>
            <m:ctrlPr>
              <w:rPr>
                <w:rFonts w:ascii="Cambria Math" w:hAnsi="Cambria Math" w:cs="Arial"/>
                <w:i/>
                <w:szCs w:val="18"/>
                <w:lang w:val="en-US"/>
              </w:rPr>
            </m:ctrlPr>
          </m:sSubPr>
          <m:e>
            <m:r>
              <w:rPr>
                <w:rFonts w:ascii="Cambria Math" w:hAnsi="Cambria Math" w:cs="Arial"/>
                <w:szCs w:val="18"/>
                <w:lang w:val="en-US"/>
              </w:rPr>
              <m:t>C</m:t>
            </m:r>
          </m:e>
          <m:sub>
            <m:sSubSup>
              <m:sSubSupPr>
                <m:ctrlPr>
                  <w:rPr>
                    <w:rFonts w:ascii="Cambria Math" w:hAnsi="Cambria Math" w:cs="Arial"/>
                    <w:i/>
                    <w:szCs w:val="18"/>
                    <w:lang w:val="en-US"/>
                  </w:rPr>
                </m:ctrlPr>
              </m:sSubSupPr>
              <m:e>
                <m:r>
                  <w:rPr>
                    <w:rFonts w:ascii="Cambria Math" w:hAnsi="Cambria Math" w:cs="Arial"/>
                    <w:szCs w:val="18"/>
                    <w:lang w:val="en-US"/>
                  </w:rPr>
                  <m:t>NO</m:t>
                </m:r>
              </m:e>
              <m:sub>
                <m:r>
                  <w:rPr>
                    <w:rFonts w:ascii="Cambria Math" w:hAnsi="Cambria Math" w:cs="Arial"/>
                    <w:szCs w:val="18"/>
                    <w:lang w:val="en-US"/>
                  </w:rPr>
                  <m:t>3</m:t>
                </m:r>
              </m:sub>
              <m:sup>
                <m:r>
                  <w:rPr>
                    <w:rFonts w:ascii="Cambria Math" w:hAnsi="Cambria Math" w:cs="Arial"/>
                    <w:szCs w:val="18"/>
                    <w:lang w:val="en-US"/>
                  </w:rPr>
                  <m:t>-</m:t>
                </m:r>
              </m:sup>
            </m:sSubSup>
          </m:sub>
        </m:sSub>
        <m:r>
          <w:rPr>
            <w:rFonts w:ascii="Cambria Math" w:hAnsi="Cambria Math" w:cs="Arial"/>
            <w:szCs w:val="18"/>
            <w:lang w:val="en-US"/>
          </w:rPr>
          <m:t>=</m:t>
        </m:r>
        <m:sSubSup>
          <m:sSubSupPr>
            <m:ctrlPr>
              <w:rPr>
                <w:rFonts w:ascii="Cambria Math" w:hAnsi="Cambria Math" w:cs="Arial"/>
                <w:i/>
                <w:szCs w:val="18"/>
                <w:lang w:val="en-US"/>
              </w:rPr>
            </m:ctrlPr>
          </m:sSubSupPr>
          <m:e>
            <m:r>
              <w:rPr>
                <w:rFonts w:ascii="Cambria Math" w:hAnsi="Cambria Math" w:cs="Arial"/>
                <w:szCs w:val="18"/>
                <w:lang w:val="en-US"/>
              </w:rPr>
              <m:t>C</m:t>
            </m:r>
          </m:e>
          <m:sub>
            <m:sSubSup>
              <m:sSubSupPr>
                <m:ctrlPr>
                  <w:rPr>
                    <w:rFonts w:ascii="Cambria Math" w:hAnsi="Cambria Math" w:cs="Arial"/>
                    <w:i/>
                    <w:szCs w:val="18"/>
                    <w:lang w:val="en-US"/>
                  </w:rPr>
                </m:ctrlPr>
              </m:sSubSupPr>
              <m:e>
                <m:r>
                  <w:rPr>
                    <w:rFonts w:ascii="Cambria Math" w:hAnsi="Cambria Math" w:cs="Arial"/>
                    <w:szCs w:val="18"/>
                    <w:lang w:val="en-US"/>
                  </w:rPr>
                  <m:t>NO</m:t>
                </m:r>
              </m:e>
              <m:sub>
                <m:r>
                  <w:rPr>
                    <w:rFonts w:ascii="Cambria Math" w:hAnsi="Cambria Math" w:cs="Arial"/>
                    <w:szCs w:val="18"/>
                    <w:lang w:val="en-US"/>
                  </w:rPr>
                  <m:t>3</m:t>
                </m:r>
              </m:sub>
              <m:sup>
                <m:r>
                  <w:rPr>
                    <w:rFonts w:ascii="Cambria Math" w:hAnsi="Cambria Math" w:cs="Arial"/>
                    <w:szCs w:val="18"/>
                    <w:lang w:val="en-US"/>
                  </w:rPr>
                  <m:t>-</m:t>
                </m:r>
              </m:sup>
            </m:sSubSup>
          </m:sub>
          <m:sup>
            <m:r>
              <w:rPr>
                <w:rFonts w:ascii="Cambria Math" w:hAnsi="Cambria Math" w:cs="Arial"/>
                <w:szCs w:val="18"/>
                <w:lang w:val="en-US"/>
              </w:rPr>
              <m:t>0</m:t>
            </m:r>
          </m:sup>
        </m:sSubSup>
      </m:oMath>
      <w:r w:rsidR="00DA7118" w:rsidRPr="00715370">
        <w:rPr>
          <w:rFonts w:cs="Arial"/>
          <w:szCs w:val="18"/>
          <w:lang w:val="en-US"/>
        </w:rPr>
        <w:t xml:space="preserve">. </w:t>
      </w:r>
      <w:r w:rsidR="00DA7118" w:rsidRPr="00715370">
        <w:rPr>
          <w:rFonts w:cs="Arial"/>
          <w:szCs w:val="18"/>
        </w:rPr>
        <w:t xml:space="preserve">In Eq. (4) the symbol </w:t>
      </w:r>
      <m:oMath>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N</m:t>
            </m:r>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3</m:t>
                </m:r>
              </m:sub>
            </m:sSub>
          </m:sub>
        </m:sSub>
        <m:r>
          <w:rPr>
            <w:rFonts w:ascii="Cambria Math" w:hAnsi="Cambria Math" w:cs="Arial"/>
            <w:szCs w:val="18"/>
          </w:rPr>
          <m:t xml:space="preserve">(/) </m:t>
        </m:r>
      </m:oMath>
      <w:r w:rsidRPr="00715370">
        <w:rPr>
          <w:rFonts w:cs="Arial"/>
          <w:szCs w:val="18"/>
        </w:rPr>
        <w:t xml:space="preserve"> </w:t>
      </w:r>
      <w:r w:rsidR="00BB6236" w:rsidRPr="00715370">
        <w:rPr>
          <w:rFonts w:cs="Arial"/>
          <w:szCs w:val="18"/>
        </w:rPr>
        <w:t>is</w:t>
      </w:r>
      <w:r w:rsidR="00DA7118" w:rsidRPr="00715370">
        <w:rPr>
          <w:rFonts w:cs="Arial"/>
          <w:szCs w:val="18"/>
        </w:rPr>
        <w:t xml:space="preserve"> </w:t>
      </w:r>
      <w:r w:rsidRPr="00715370">
        <w:rPr>
          <w:rFonts w:cs="Arial"/>
          <w:szCs w:val="18"/>
        </w:rPr>
        <w:t xml:space="preserve">the so called yield for nitrate, i.e. the weight of nitrate consumed for unit weight of </w:t>
      </w:r>
      <w:proofErr w:type="spellStart"/>
      <w:r w:rsidRPr="00715370">
        <w:rPr>
          <w:rFonts w:cs="Arial"/>
          <w:szCs w:val="18"/>
        </w:rPr>
        <w:t>micro</w:t>
      </w:r>
      <w:r w:rsidR="00B446B1" w:rsidRPr="00715370">
        <w:rPr>
          <w:rFonts w:cs="Arial"/>
          <w:szCs w:val="18"/>
        </w:rPr>
        <w:t>a</w:t>
      </w:r>
      <w:r w:rsidRPr="00715370">
        <w:rPr>
          <w:rFonts w:cs="Arial"/>
          <w:szCs w:val="18"/>
        </w:rPr>
        <w:t>gal</w:t>
      </w:r>
      <w:proofErr w:type="spellEnd"/>
      <w:r w:rsidRPr="00715370">
        <w:rPr>
          <w:rFonts w:cs="Arial"/>
          <w:szCs w:val="18"/>
        </w:rPr>
        <w:t xml:space="preserve"> biomass produced. Finally, in order to simulate the</w:t>
      </w:r>
      <w:r w:rsidR="00DA7118" w:rsidRPr="00715370">
        <w:rPr>
          <w:rFonts w:cs="Arial"/>
          <w:szCs w:val="18"/>
        </w:rPr>
        <w:t xml:space="preserve"> evolution of lipid </w:t>
      </w: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L</m:t>
            </m:r>
          </m:sub>
        </m:sSub>
        <m:r>
          <w:rPr>
            <w:rFonts w:ascii="Cambria Math" w:hAnsi="Cambria Math" w:cs="Arial"/>
            <w:szCs w:val="18"/>
          </w:rPr>
          <m:t xml:space="preserve"> </m:t>
        </m:r>
        <m:d>
          <m:dPr>
            <m:ctrlPr>
              <w:rPr>
                <w:rFonts w:ascii="Cambria Math" w:hAnsi="Cambria Math" w:cs="Arial"/>
                <w:i/>
                <w:szCs w:val="18"/>
              </w:rPr>
            </m:ctrlPr>
          </m:dPr>
          <m:e>
            <m:r>
              <w:rPr>
                <w:rFonts w:ascii="Cambria Math" w:hAnsi="Cambria Math" w:cs="Arial"/>
                <w:szCs w:val="18"/>
              </w:rPr>
              <m:t xml:space="preserve">g </m:t>
            </m:r>
            <m:sSup>
              <m:sSupPr>
                <m:ctrlPr>
                  <w:rPr>
                    <w:rFonts w:ascii="Cambria Math" w:hAnsi="Cambria Math" w:cs="Arial"/>
                    <w:i/>
                    <w:szCs w:val="18"/>
                  </w:rPr>
                </m:ctrlPr>
              </m:sSupPr>
              <m:e>
                <m:r>
                  <w:rPr>
                    <w:rFonts w:ascii="Cambria Math" w:hAnsi="Cambria Math" w:cs="Arial"/>
                    <w:szCs w:val="18"/>
                  </w:rPr>
                  <m:t>L</m:t>
                </m:r>
              </m:e>
              <m:sup>
                <m:r>
                  <w:rPr>
                    <w:rFonts w:ascii="Cambria Math" w:hAnsi="Cambria Math" w:cs="Arial"/>
                    <w:szCs w:val="18"/>
                  </w:rPr>
                  <m:t>-1</m:t>
                </m:r>
              </m:sup>
            </m:sSup>
          </m:e>
        </m:d>
      </m:oMath>
      <w:r w:rsidR="00DA7118" w:rsidRPr="00715370">
        <w:rPr>
          <w:rFonts w:cs="Arial"/>
          <w:szCs w:val="18"/>
        </w:rPr>
        <w:t>, the</w:t>
      </w:r>
      <w:r w:rsidR="00D96049">
        <w:rPr>
          <w:rFonts w:cs="Arial"/>
          <w:szCs w:val="18"/>
        </w:rPr>
        <w:t xml:space="preserve"> corresponding</w:t>
      </w:r>
      <w:r w:rsidR="00DA7118" w:rsidRPr="00715370">
        <w:rPr>
          <w:rFonts w:cs="Arial"/>
          <w:szCs w:val="18"/>
        </w:rPr>
        <w:t xml:space="preserve"> mass balance recently </w:t>
      </w:r>
      <w:r w:rsidR="00207B42" w:rsidRPr="00715370">
        <w:rPr>
          <w:rFonts w:cs="Arial"/>
          <w:szCs w:val="18"/>
        </w:rPr>
        <w:t>proposed by</w:t>
      </w:r>
      <w:r w:rsidRPr="00715370">
        <w:rPr>
          <w:rFonts w:cs="Arial"/>
          <w:szCs w:val="18"/>
        </w:rPr>
        <w:t xml:space="preserve"> </w:t>
      </w:r>
      <w:proofErr w:type="spellStart"/>
      <w:r w:rsidR="00DA7118" w:rsidRPr="00715370">
        <w:rPr>
          <w:rFonts w:cs="Arial"/>
          <w:szCs w:val="18"/>
        </w:rPr>
        <w:t>Soru</w:t>
      </w:r>
      <w:proofErr w:type="spellEnd"/>
      <w:r w:rsidR="00DA7118" w:rsidRPr="00715370">
        <w:rPr>
          <w:rFonts w:cs="Arial"/>
          <w:szCs w:val="18"/>
        </w:rPr>
        <w:t xml:space="preserve"> </w:t>
      </w:r>
      <w:r w:rsidR="00DA7118" w:rsidRPr="00715370">
        <w:rPr>
          <w:rFonts w:cs="Arial"/>
          <w:i/>
          <w:szCs w:val="18"/>
        </w:rPr>
        <w:t>et al</w:t>
      </w:r>
      <w:r w:rsidR="00B446B1" w:rsidRPr="00715370">
        <w:rPr>
          <w:rFonts w:cs="Arial"/>
          <w:b/>
          <w:i/>
          <w:szCs w:val="18"/>
        </w:rPr>
        <w:t>.</w:t>
      </w:r>
      <w:r w:rsidR="00B446B1" w:rsidRPr="00715370">
        <w:rPr>
          <w:rFonts w:cs="Arial"/>
          <w:b/>
          <w:szCs w:val="18"/>
        </w:rPr>
        <w:t>,</w:t>
      </w:r>
      <w:r w:rsidR="00BB6236" w:rsidRPr="00715370">
        <w:rPr>
          <w:rFonts w:cs="Arial"/>
          <w:szCs w:val="18"/>
        </w:rPr>
        <w:t xml:space="preserve"> (2018</w:t>
      </w:r>
      <w:r w:rsidR="0028424F" w:rsidRPr="00715370">
        <w:rPr>
          <w:rFonts w:cs="Arial"/>
          <w:szCs w:val="18"/>
        </w:rPr>
        <w:t>a</w:t>
      </w:r>
      <w:r w:rsidR="00BB6236" w:rsidRPr="00715370">
        <w:rPr>
          <w:rFonts w:cs="Arial"/>
          <w:szCs w:val="18"/>
        </w:rPr>
        <w:t>) was adopted</w:t>
      </w:r>
      <w:r w:rsidR="001B7881" w:rsidRPr="00715370">
        <w:rPr>
          <w:rFonts w:cs="Arial"/>
          <w:szCs w:val="18"/>
        </w:rPr>
        <w:t>:</w:t>
      </w:r>
    </w:p>
    <w:p w:rsidR="00BB6236" w:rsidRPr="00715370" w:rsidRDefault="00BB6236" w:rsidP="00DA7118">
      <w:pPr>
        <w:ind w:firstLine="357"/>
        <w:rPr>
          <w:rFonts w:cs="Arial"/>
          <w:szCs w:val="18"/>
        </w:rPr>
      </w:pPr>
      <w:r w:rsidRPr="00715370">
        <w:rPr>
          <w:rFonts w:cs="Arial"/>
          <w:position w:val="-40"/>
          <w:szCs w:val="18"/>
          <w:lang w:val="en-US"/>
        </w:rPr>
        <w:object w:dxaOrig="5000" w:dyaOrig="920">
          <v:shape id="_x0000_i1029" type="#_x0000_t75" style="width:210pt;height:39pt" o:ole="">
            <v:imagedata r:id="rId20" o:title=""/>
          </v:shape>
          <o:OLEObject Type="Embed" ProgID="Equation.DSMT4" ShapeID="_x0000_i1029" DrawAspect="Content" ObjectID="_1615378204" r:id="rId21"/>
        </w:object>
      </w:r>
      <w:r w:rsidRPr="00715370">
        <w:rPr>
          <w:rFonts w:cs="Arial"/>
          <w:szCs w:val="18"/>
          <w:lang w:val="en-US"/>
        </w:rPr>
        <w:tab/>
      </w:r>
      <w:r w:rsidRPr="00715370">
        <w:rPr>
          <w:rFonts w:cs="Arial"/>
          <w:szCs w:val="18"/>
          <w:lang w:val="en-US"/>
        </w:rPr>
        <w:tab/>
        <w:t>(5)</w:t>
      </w:r>
    </w:p>
    <w:p w:rsidR="00693284" w:rsidRPr="00715370" w:rsidRDefault="00B446B1" w:rsidP="00BB6236">
      <w:pPr>
        <w:rPr>
          <w:rFonts w:cs="Arial"/>
          <w:szCs w:val="18"/>
          <w:lang w:val="en-US"/>
        </w:rPr>
      </w:pPr>
      <w:r w:rsidRPr="00715370">
        <w:rPr>
          <w:rFonts w:cs="Arial"/>
          <w:szCs w:val="18"/>
          <w:lang w:val="en-US"/>
        </w:rPr>
        <w:t>w</w:t>
      </w:r>
      <w:r w:rsidR="00BB6236" w:rsidRPr="00715370">
        <w:rPr>
          <w:rFonts w:cs="Arial"/>
          <w:szCs w:val="18"/>
          <w:lang w:val="en-US"/>
        </w:rPr>
        <w:t>here the</w:t>
      </w:r>
      <w:r w:rsidR="00693284" w:rsidRPr="00715370">
        <w:rPr>
          <w:rFonts w:cs="Arial"/>
          <w:szCs w:val="18"/>
          <w:lang w:val="en-US"/>
        </w:rPr>
        <w:t xml:space="preserve"> symbol </w:t>
      </w:r>
      <m:oMath>
        <m:sSub>
          <m:sSubPr>
            <m:ctrlPr>
              <w:rPr>
                <w:rFonts w:ascii="Cambria Math" w:hAnsi="Cambria Math" w:cs="Arial"/>
                <w:i/>
                <w:szCs w:val="18"/>
                <w:lang w:val="en-US"/>
              </w:rPr>
            </m:ctrlPr>
          </m:sSubPr>
          <m:e>
            <m:r>
              <w:rPr>
                <w:rFonts w:ascii="Cambria Math" w:hAnsi="Cambria Math" w:cs="Arial"/>
                <w:szCs w:val="18"/>
                <w:lang w:val="en-US"/>
              </w:rPr>
              <m:t>q</m:t>
            </m:r>
          </m:e>
          <m:sub>
            <m:r>
              <w:rPr>
                <w:rFonts w:ascii="Cambria Math" w:hAnsi="Cambria Math" w:cs="Arial"/>
                <w:szCs w:val="18"/>
                <w:lang w:val="en-US"/>
              </w:rPr>
              <m:t>L</m:t>
            </m:r>
          </m:sub>
        </m:sSub>
        <m:r>
          <w:rPr>
            <w:rFonts w:ascii="Cambria Math" w:hAnsi="Cambria Math" w:cs="Arial"/>
            <w:szCs w:val="18"/>
            <w:lang w:val="en-US"/>
          </w:rPr>
          <m:t xml:space="preserve"> (wt%)</m:t>
        </m:r>
      </m:oMath>
      <w:r w:rsidR="00693284" w:rsidRPr="00715370">
        <w:rPr>
          <w:rFonts w:eastAsiaTheme="minorEastAsia" w:cs="Arial"/>
          <w:szCs w:val="18"/>
          <w:lang w:val="en-US"/>
        </w:rPr>
        <w:t xml:space="preserve"> is the intracellular content of lipid and can be evaluated time by time through the relationship:</w:t>
      </w:r>
      <w:r w:rsidR="00BB6236" w:rsidRPr="00715370">
        <w:rPr>
          <w:rFonts w:eastAsiaTheme="minorEastAsia" w:cs="Arial"/>
          <w:szCs w:val="18"/>
          <w:lang w:val="en-US"/>
        </w:rPr>
        <w:t xml:space="preserve"> </w:t>
      </w:r>
      <m:oMath>
        <m:sSub>
          <m:sSubPr>
            <m:ctrlPr>
              <w:rPr>
                <w:rFonts w:ascii="Cambria Math" w:eastAsiaTheme="minorEastAsia" w:hAnsi="Cambria Math" w:cs="Arial"/>
                <w:i/>
                <w:szCs w:val="18"/>
                <w:lang w:val="en-US"/>
              </w:rPr>
            </m:ctrlPr>
          </m:sSubPr>
          <m:e>
            <m:r>
              <w:rPr>
                <w:rFonts w:ascii="Cambria Math" w:eastAsiaTheme="minorEastAsia" w:hAnsi="Cambria Math" w:cs="Arial"/>
                <w:szCs w:val="18"/>
                <w:lang w:val="en-US"/>
              </w:rPr>
              <m:t>q</m:t>
            </m:r>
          </m:e>
          <m:sub>
            <m:r>
              <w:rPr>
                <w:rFonts w:ascii="Cambria Math" w:eastAsiaTheme="minorEastAsia" w:hAnsi="Cambria Math" w:cs="Arial"/>
                <w:szCs w:val="18"/>
                <w:lang w:val="en-US"/>
              </w:rPr>
              <m:t>L</m:t>
            </m:r>
          </m:sub>
        </m:sSub>
        <m:r>
          <w:rPr>
            <w:rFonts w:ascii="Cambria Math" w:eastAsiaTheme="minorEastAsia" w:hAnsi="Cambria Math" w:cs="Arial"/>
            <w:szCs w:val="18"/>
            <w:lang w:val="en-US"/>
          </w:rPr>
          <m:t>=</m:t>
        </m:r>
        <m:sSub>
          <m:sSubPr>
            <m:ctrlPr>
              <w:rPr>
                <w:rFonts w:ascii="Cambria Math" w:eastAsiaTheme="minorEastAsia" w:hAnsi="Cambria Math" w:cs="Arial"/>
                <w:i/>
                <w:szCs w:val="18"/>
                <w:lang w:val="en-US"/>
              </w:rPr>
            </m:ctrlPr>
          </m:sSubPr>
          <m:e>
            <m:r>
              <w:rPr>
                <w:rFonts w:ascii="Cambria Math" w:eastAsiaTheme="minorEastAsia" w:hAnsi="Cambria Math" w:cs="Arial"/>
                <w:szCs w:val="18"/>
                <w:lang w:val="en-US"/>
              </w:rPr>
              <m:t>C</m:t>
            </m:r>
          </m:e>
          <m:sub>
            <m:r>
              <w:rPr>
                <w:rFonts w:ascii="Cambria Math" w:eastAsiaTheme="minorEastAsia" w:hAnsi="Cambria Math" w:cs="Arial"/>
                <w:szCs w:val="18"/>
                <w:lang w:val="en-US"/>
              </w:rPr>
              <m:t>L</m:t>
            </m:r>
          </m:sub>
        </m:sSub>
        <m:r>
          <w:rPr>
            <w:rFonts w:ascii="Cambria Math" w:eastAsiaTheme="minorEastAsia" w:hAnsi="Cambria Math" w:cs="Arial"/>
            <w:szCs w:val="18"/>
            <w:lang w:val="en-US"/>
          </w:rPr>
          <m:t>/</m:t>
        </m:r>
        <m:sSub>
          <m:sSubPr>
            <m:ctrlPr>
              <w:rPr>
                <w:rFonts w:ascii="Cambria Math" w:eastAsiaTheme="minorEastAsia" w:hAnsi="Cambria Math" w:cs="Arial"/>
                <w:i/>
                <w:szCs w:val="18"/>
                <w:lang w:val="en-US"/>
              </w:rPr>
            </m:ctrlPr>
          </m:sSubPr>
          <m:e>
            <m:r>
              <w:rPr>
                <w:rFonts w:ascii="Cambria Math" w:eastAsiaTheme="minorEastAsia" w:hAnsi="Cambria Math" w:cs="Arial"/>
                <w:szCs w:val="18"/>
                <w:lang w:val="en-US"/>
              </w:rPr>
              <m:t>C</m:t>
            </m:r>
          </m:e>
          <m:sub>
            <m:r>
              <w:rPr>
                <w:rFonts w:ascii="Cambria Math" w:eastAsiaTheme="minorEastAsia" w:hAnsi="Cambria Math" w:cs="Arial"/>
                <w:szCs w:val="18"/>
                <w:lang w:val="en-US"/>
              </w:rPr>
              <m:t>x</m:t>
            </m:r>
          </m:sub>
        </m:sSub>
      </m:oMath>
      <w:r w:rsidR="00BB6236" w:rsidRPr="00715370">
        <w:rPr>
          <w:rFonts w:eastAsiaTheme="minorEastAsia" w:cs="Arial"/>
          <w:szCs w:val="18"/>
          <w:lang w:val="en-US"/>
        </w:rPr>
        <w:t xml:space="preserve">. </w:t>
      </w:r>
      <w:r w:rsidR="006A7980">
        <w:rPr>
          <w:rFonts w:cs="Arial"/>
          <w:szCs w:val="18"/>
          <w:lang w:val="en-US"/>
        </w:rPr>
        <w:t>Besides</w:t>
      </w:r>
      <w:r w:rsidR="00BB6236" w:rsidRPr="00715370">
        <w:rPr>
          <w:rFonts w:cs="Arial"/>
          <w:szCs w:val="18"/>
          <w:lang w:val="en-US"/>
        </w:rPr>
        <w:t xml:space="preserve">, </w:t>
      </w:r>
      <m:oMath>
        <m:sSubSup>
          <m:sSubSupPr>
            <m:ctrlPr>
              <w:rPr>
                <w:rFonts w:ascii="Cambria Math" w:hAnsi="Cambria Math" w:cs="Arial"/>
                <w:i/>
                <w:szCs w:val="18"/>
              </w:rPr>
            </m:ctrlPr>
          </m:sSubSupPr>
          <m:e>
            <m:r>
              <w:rPr>
                <w:rFonts w:ascii="Cambria Math" w:hAnsi="Cambria Math" w:cs="Arial"/>
                <w:szCs w:val="18"/>
              </w:rPr>
              <m:t>q</m:t>
            </m:r>
          </m:e>
          <m:sub>
            <m:r>
              <w:rPr>
                <w:rFonts w:ascii="Cambria Math" w:hAnsi="Cambria Math" w:cs="Arial"/>
                <w:szCs w:val="18"/>
              </w:rPr>
              <m:t>L</m:t>
            </m:r>
          </m:sub>
          <m:sup>
            <m:r>
              <w:rPr>
                <w:rFonts w:ascii="Cambria Math" w:hAnsi="Cambria Math" w:cs="Arial"/>
                <w:szCs w:val="18"/>
              </w:rPr>
              <m:t>max</m:t>
            </m:r>
          </m:sup>
        </m:sSubSup>
        <m:r>
          <w:rPr>
            <w:rFonts w:ascii="Cambria Math" w:hAnsi="Cambria Math" w:cs="Arial"/>
            <w:szCs w:val="18"/>
          </w:rPr>
          <m:t>(wt%)</m:t>
        </m:r>
      </m:oMath>
      <w:r w:rsidR="00693284" w:rsidRPr="00715370">
        <w:rPr>
          <w:rFonts w:eastAsiaTheme="minorEastAsia" w:cs="Arial"/>
          <w:szCs w:val="18"/>
        </w:rPr>
        <w:t xml:space="preserve"> represents the maximum lipid accumulation within the cells</w:t>
      </w:r>
      <w:r w:rsidR="00BB6236" w:rsidRPr="00715370">
        <w:rPr>
          <w:rFonts w:eastAsiaTheme="minorEastAsia" w:cs="Arial"/>
          <w:szCs w:val="18"/>
        </w:rPr>
        <w:t xml:space="preserve"> while </w:t>
      </w:r>
      <m:oMath>
        <m:r>
          <w:rPr>
            <w:rFonts w:ascii="Cambria Math" w:eastAsiaTheme="minorEastAsia" w:hAnsi="Cambria Math" w:cs="Arial"/>
            <w:szCs w:val="18"/>
            <w:lang w:val="en-US"/>
          </w:rPr>
          <m:t>α</m:t>
        </m:r>
      </m:oMath>
      <w:r w:rsidR="00207B42" w:rsidRPr="00715370">
        <w:rPr>
          <w:rFonts w:eastAsiaTheme="minorEastAsia" w:cs="Arial"/>
          <w:szCs w:val="18"/>
        </w:rPr>
        <w:t xml:space="preserve"> </w:t>
      </w:r>
      <w:r w:rsidR="00BB6236" w:rsidRPr="00715370">
        <w:rPr>
          <w:rFonts w:eastAsiaTheme="minorEastAsia" w:cs="Arial"/>
          <w:szCs w:val="18"/>
        </w:rPr>
        <w:t xml:space="preserve">and </w:t>
      </w:r>
      <m:oMath>
        <m:sSub>
          <m:sSubPr>
            <m:ctrlPr>
              <w:rPr>
                <w:rFonts w:ascii="Cambria Math" w:eastAsiaTheme="minorEastAsia" w:hAnsi="Cambria Math" w:cs="Arial"/>
                <w:i/>
                <w:szCs w:val="18"/>
                <w:lang w:val="en-US"/>
              </w:rPr>
            </m:ctrlPr>
          </m:sSubPr>
          <m:e>
            <m:r>
              <w:rPr>
                <w:rFonts w:ascii="Cambria Math" w:eastAsiaTheme="minorEastAsia" w:hAnsi="Cambria Math" w:cs="Arial"/>
                <w:szCs w:val="18"/>
                <w:lang w:val="en-US"/>
              </w:rPr>
              <m:t>ψ</m:t>
            </m:r>
          </m:e>
          <m:sub>
            <m:r>
              <w:rPr>
                <w:rFonts w:ascii="Cambria Math" w:eastAsiaTheme="minorEastAsia" w:hAnsi="Cambria Math" w:cs="Arial"/>
                <w:szCs w:val="18"/>
                <w:lang w:val="en-US"/>
              </w:rPr>
              <m:t>0</m:t>
            </m:r>
          </m:sub>
        </m:sSub>
      </m:oMath>
      <w:r w:rsidR="00BB6236" w:rsidRPr="00715370">
        <w:rPr>
          <w:rFonts w:eastAsiaTheme="minorEastAsia" w:cs="Arial"/>
          <w:szCs w:val="18"/>
        </w:rPr>
        <w:t xml:space="preserve"> are model parameters. </w:t>
      </w:r>
      <w:r w:rsidR="00B020EC" w:rsidRPr="00715370">
        <w:rPr>
          <w:rFonts w:eastAsiaTheme="minorEastAsia" w:cs="Arial"/>
          <w:szCs w:val="18"/>
        </w:rPr>
        <w:t>The strategy adopted to evaluate model parameters is described in what follows. First, experiments were performed in multiwell device in order to assess the effect of nitrates</w:t>
      </w:r>
      <w:r w:rsidR="00BB312C" w:rsidRPr="00715370">
        <w:rPr>
          <w:rFonts w:eastAsiaTheme="minorEastAsia" w:cs="Arial"/>
          <w:szCs w:val="18"/>
        </w:rPr>
        <w:t xml:space="preserve"> and pH</w:t>
      </w:r>
      <w:r w:rsidR="00B020EC" w:rsidRPr="00715370">
        <w:rPr>
          <w:rFonts w:eastAsiaTheme="minorEastAsia" w:cs="Arial"/>
          <w:szCs w:val="18"/>
        </w:rPr>
        <w:t xml:space="preserve"> on the growth rate and the corresponding kinetic parameters</w:t>
      </w:r>
      <w:r w:rsidR="00BB312C" w:rsidRPr="00715370">
        <w:rPr>
          <w:rFonts w:eastAsiaTheme="minorEastAsia" w:cs="Arial"/>
          <w:szCs w:val="18"/>
        </w:rPr>
        <w:t xml:space="preserve"> of Monod’s and Tan’s (Eq. 3) kinetics respectively</w:t>
      </w:r>
      <w:r w:rsidR="00B020EC" w:rsidRPr="00715370">
        <w:rPr>
          <w:rFonts w:eastAsiaTheme="minorEastAsia" w:cs="Arial"/>
          <w:szCs w:val="18"/>
        </w:rPr>
        <w:t xml:space="preserve">. </w:t>
      </w:r>
      <w:r w:rsidR="00BB312C" w:rsidRPr="00715370">
        <w:rPr>
          <w:rFonts w:eastAsiaTheme="minorEastAsia" w:cs="Arial"/>
          <w:szCs w:val="18"/>
        </w:rPr>
        <w:t>S</w:t>
      </w:r>
      <w:r w:rsidR="00B020EC" w:rsidRPr="00715370">
        <w:rPr>
          <w:rFonts w:eastAsiaTheme="minorEastAsia" w:cs="Arial"/>
          <w:szCs w:val="18"/>
        </w:rPr>
        <w:t>ubsequently</w:t>
      </w:r>
      <w:r w:rsidR="00857208" w:rsidRPr="00715370">
        <w:rPr>
          <w:rFonts w:eastAsiaTheme="minorEastAsia" w:cs="Arial"/>
          <w:szCs w:val="18"/>
        </w:rPr>
        <w:t>,</w:t>
      </w:r>
      <w:r w:rsidR="00B020EC" w:rsidRPr="00715370">
        <w:rPr>
          <w:rFonts w:eastAsiaTheme="minorEastAsia" w:cs="Arial"/>
          <w:szCs w:val="18"/>
        </w:rPr>
        <w:t xml:space="preserve"> experiments performed in batch photobioreactors were interpreted through the model consisting of the ordinary differential </w:t>
      </w:r>
      <w:proofErr w:type="spellStart"/>
      <w:r w:rsidR="00B020EC" w:rsidRPr="00715370">
        <w:rPr>
          <w:rFonts w:eastAsiaTheme="minorEastAsia" w:cs="Arial"/>
          <w:szCs w:val="18"/>
        </w:rPr>
        <w:t>Eqs</w:t>
      </w:r>
      <w:proofErr w:type="spellEnd"/>
      <w:r w:rsidR="00B020EC" w:rsidRPr="00715370">
        <w:rPr>
          <w:rFonts w:eastAsiaTheme="minorEastAsia" w:cs="Arial"/>
          <w:szCs w:val="18"/>
        </w:rPr>
        <w:t xml:space="preserve"> (1), (</w:t>
      </w:r>
      <w:r w:rsidR="00BB312C" w:rsidRPr="00715370">
        <w:rPr>
          <w:rFonts w:eastAsiaTheme="minorEastAsia" w:cs="Arial"/>
          <w:szCs w:val="18"/>
        </w:rPr>
        <w:t>4</w:t>
      </w:r>
      <w:r w:rsidR="00B020EC" w:rsidRPr="00715370">
        <w:rPr>
          <w:rFonts w:eastAsiaTheme="minorEastAsia" w:cs="Arial"/>
          <w:szCs w:val="18"/>
        </w:rPr>
        <w:t>) and (5)</w:t>
      </w:r>
      <w:r w:rsidR="00BB312C" w:rsidRPr="00715370">
        <w:rPr>
          <w:rFonts w:eastAsiaTheme="minorEastAsia" w:cs="Arial"/>
          <w:szCs w:val="18"/>
        </w:rPr>
        <w:t xml:space="preserve"> while keeping fixed the above parameters and properly tuning the remaining ones. </w:t>
      </w:r>
    </w:p>
    <w:p w:rsidR="007806D0" w:rsidRPr="00715370" w:rsidRDefault="00151700" w:rsidP="007806D0">
      <w:pPr>
        <w:pStyle w:val="CETHeading1"/>
        <w:tabs>
          <w:tab w:val="right" w:pos="7100"/>
        </w:tabs>
        <w:spacing w:before="120" w:line="264" w:lineRule="auto"/>
        <w:jc w:val="both"/>
        <w:rPr>
          <w:lang w:val="en-GB"/>
        </w:rPr>
      </w:pPr>
      <w:r w:rsidRPr="00715370">
        <w:rPr>
          <w:lang w:val="en-GB"/>
        </w:rPr>
        <w:t>Results and discussion</w:t>
      </w:r>
    </w:p>
    <w:p w:rsidR="00C770F8" w:rsidRPr="00715370" w:rsidRDefault="008B5C16" w:rsidP="00C770F8">
      <w:pPr>
        <w:pStyle w:val="CETBodytext"/>
        <w:rPr>
          <w:rFonts w:eastAsiaTheme="minorEastAsia" w:cs="Arial"/>
          <w:szCs w:val="18"/>
          <w:lang w:val="en-GB"/>
        </w:rPr>
      </w:pPr>
      <w:r w:rsidRPr="00715370">
        <w:rPr>
          <w:rFonts w:eastAsiaTheme="minorEastAsia" w:cs="Arial"/>
          <w:szCs w:val="18"/>
          <w:lang w:val="en-GB"/>
        </w:rPr>
        <w:t>T</w:t>
      </w:r>
      <w:r w:rsidR="00C770F8" w:rsidRPr="00715370">
        <w:rPr>
          <w:rFonts w:eastAsiaTheme="minorEastAsia" w:cs="Arial"/>
          <w:szCs w:val="18"/>
          <w:lang w:val="en-GB"/>
        </w:rPr>
        <w:t>he effect</w:t>
      </w:r>
      <w:r w:rsidR="001B7881" w:rsidRPr="00715370">
        <w:rPr>
          <w:rFonts w:eastAsiaTheme="minorEastAsia" w:cs="Arial"/>
          <w:szCs w:val="18"/>
          <w:lang w:val="en-GB"/>
        </w:rPr>
        <w:t>s</w:t>
      </w:r>
      <w:r w:rsidR="00C770F8" w:rsidRPr="00715370">
        <w:rPr>
          <w:rFonts w:eastAsiaTheme="minorEastAsia" w:cs="Arial"/>
          <w:szCs w:val="18"/>
          <w:lang w:val="en-GB"/>
        </w:rPr>
        <w:t xml:space="preserve"> of nitrate concentration and </w:t>
      </w:r>
      <w:r w:rsidR="00277DB3" w:rsidRPr="00715370">
        <w:rPr>
          <w:rFonts w:eastAsiaTheme="minorEastAsia" w:cs="Arial"/>
          <w:szCs w:val="18"/>
          <w:lang w:val="en-GB"/>
        </w:rPr>
        <w:t xml:space="preserve">different </w:t>
      </w:r>
      <w:r w:rsidR="00C770F8" w:rsidRPr="00715370">
        <w:rPr>
          <w:rFonts w:eastAsiaTheme="minorEastAsia" w:cs="Arial"/>
          <w:szCs w:val="18"/>
          <w:lang w:val="en-GB"/>
        </w:rPr>
        <w:t xml:space="preserve">pH on </w:t>
      </w:r>
      <w:r w:rsidRPr="00715370">
        <w:rPr>
          <w:rFonts w:eastAsiaTheme="minorEastAsia" w:cs="Arial"/>
          <w:szCs w:val="18"/>
          <w:lang w:val="en-GB"/>
        </w:rPr>
        <w:t xml:space="preserve">the </w:t>
      </w:r>
      <w:r w:rsidR="00C770F8" w:rsidRPr="00715370">
        <w:rPr>
          <w:rFonts w:eastAsiaTheme="minorEastAsia" w:cs="Arial"/>
          <w:szCs w:val="18"/>
          <w:lang w:val="en-GB"/>
        </w:rPr>
        <w:t xml:space="preserve">growth kinetics of </w:t>
      </w:r>
      <w:r w:rsidR="00C770F8" w:rsidRPr="00715370">
        <w:rPr>
          <w:rFonts w:eastAsiaTheme="minorEastAsia" w:cs="Arial"/>
          <w:i/>
          <w:szCs w:val="18"/>
          <w:lang w:val="en-GB"/>
        </w:rPr>
        <w:t xml:space="preserve">C. </w:t>
      </w:r>
      <w:proofErr w:type="spellStart"/>
      <w:r w:rsidR="00C770F8" w:rsidRPr="00715370">
        <w:rPr>
          <w:rFonts w:eastAsiaTheme="minorEastAsia" w:cs="Arial"/>
          <w:i/>
          <w:szCs w:val="18"/>
          <w:lang w:val="en-GB"/>
        </w:rPr>
        <w:t>melkonianii</w:t>
      </w:r>
      <w:proofErr w:type="spellEnd"/>
      <w:r w:rsidR="00C770F8" w:rsidRPr="00715370">
        <w:rPr>
          <w:rFonts w:eastAsiaTheme="minorEastAsia" w:cs="Arial"/>
          <w:szCs w:val="18"/>
          <w:lang w:val="en-GB"/>
        </w:rPr>
        <w:t xml:space="preserve"> </w:t>
      </w:r>
      <w:r w:rsidR="00277DB3" w:rsidRPr="00715370">
        <w:rPr>
          <w:rFonts w:eastAsiaTheme="minorEastAsia" w:cs="Arial"/>
          <w:szCs w:val="18"/>
          <w:lang w:val="en-GB"/>
        </w:rPr>
        <w:t>cultivated in</w:t>
      </w:r>
      <w:r w:rsidR="00277DB3" w:rsidRPr="00715370">
        <w:rPr>
          <w:rFonts w:eastAsiaTheme="minorEastAsia" w:cs="Arial"/>
          <w:strike/>
          <w:szCs w:val="18"/>
          <w:lang w:val="en-GB"/>
        </w:rPr>
        <w:t xml:space="preserve"> </w:t>
      </w:r>
      <w:r w:rsidR="00277DB3" w:rsidRPr="00715370">
        <w:rPr>
          <w:rFonts w:eastAsiaTheme="minorEastAsia" w:cs="Arial"/>
          <w:szCs w:val="18"/>
          <w:lang w:val="en-GB"/>
        </w:rPr>
        <w:t>different</w:t>
      </w:r>
      <w:r w:rsidR="00C73A87" w:rsidRPr="00715370">
        <w:rPr>
          <w:rFonts w:eastAsiaTheme="minorEastAsia" w:cs="Arial"/>
          <w:b/>
          <w:szCs w:val="18"/>
          <w:lang w:val="en-GB"/>
        </w:rPr>
        <w:t xml:space="preserve"> </w:t>
      </w:r>
      <w:r w:rsidR="00277DB3" w:rsidRPr="00715370">
        <w:rPr>
          <w:rFonts w:eastAsiaTheme="minorEastAsia" w:cs="Arial"/>
          <w:szCs w:val="18"/>
          <w:lang w:val="en-GB"/>
        </w:rPr>
        <w:t xml:space="preserve">devices </w:t>
      </w:r>
      <w:r w:rsidR="00207B42" w:rsidRPr="00715370">
        <w:rPr>
          <w:rFonts w:eastAsiaTheme="minorEastAsia" w:cs="Arial"/>
          <w:szCs w:val="18"/>
          <w:lang w:val="en-GB"/>
        </w:rPr>
        <w:t>w</w:t>
      </w:r>
      <w:r w:rsidR="001B7881" w:rsidRPr="00715370">
        <w:rPr>
          <w:rFonts w:eastAsiaTheme="minorEastAsia" w:cs="Arial"/>
          <w:szCs w:val="18"/>
          <w:lang w:val="en-GB"/>
        </w:rPr>
        <w:t>ere</w:t>
      </w:r>
      <w:r w:rsidR="0028424F" w:rsidRPr="00715370">
        <w:rPr>
          <w:rFonts w:eastAsiaTheme="minorEastAsia" w:cs="Arial"/>
          <w:szCs w:val="18"/>
          <w:lang w:val="en-GB"/>
        </w:rPr>
        <w:t xml:space="preserve"> </w:t>
      </w:r>
      <w:r w:rsidR="001B7881" w:rsidRPr="00715370">
        <w:rPr>
          <w:rFonts w:eastAsiaTheme="minorEastAsia" w:cs="Arial"/>
          <w:szCs w:val="18"/>
          <w:lang w:val="en-GB"/>
        </w:rPr>
        <w:t>assessed</w:t>
      </w:r>
      <w:r w:rsidR="00C770F8" w:rsidRPr="00715370">
        <w:rPr>
          <w:rFonts w:eastAsiaTheme="minorEastAsia" w:cs="Arial"/>
          <w:szCs w:val="18"/>
          <w:lang w:val="en-GB"/>
        </w:rPr>
        <w:t xml:space="preserve">. </w:t>
      </w:r>
      <w:r w:rsidR="00F81BC7" w:rsidRPr="00715370">
        <w:rPr>
          <w:rFonts w:eastAsiaTheme="minorEastAsia" w:cs="Arial"/>
          <w:szCs w:val="18"/>
          <w:lang w:val="en-GB"/>
        </w:rPr>
        <w:t xml:space="preserve">The </w:t>
      </w:r>
      <w:r w:rsidR="00607ADB" w:rsidRPr="00715370">
        <w:rPr>
          <w:rFonts w:eastAsiaTheme="minorEastAsia" w:cs="Arial"/>
          <w:szCs w:val="18"/>
          <w:lang w:val="en-GB"/>
        </w:rPr>
        <w:t xml:space="preserve">resulting data of biomass concentration </w:t>
      </w:r>
      <w:r w:rsidR="00607ADB" w:rsidRPr="00715370">
        <w:rPr>
          <w:rFonts w:eastAsiaTheme="minorEastAsia" w:cs="Arial"/>
          <w:i/>
          <w:szCs w:val="18"/>
          <w:lang w:val="en-GB"/>
        </w:rPr>
        <w:t>Vs</w:t>
      </w:r>
      <w:r w:rsidR="00607ADB" w:rsidRPr="00715370">
        <w:rPr>
          <w:rFonts w:eastAsiaTheme="minorEastAsia" w:cs="Arial"/>
          <w:szCs w:val="18"/>
          <w:lang w:val="en-GB"/>
        </w:rPr>
        <w:t xml:space="preserve"> time were then used to evaluate growth rate as a function of [NO</w:t>
      </w:r>
      <w:r w:rsidR="00607ADB" w:rsidRPr="00715370">
        <w:rPr>
          <w:rFonts w:eastAsiaTheme="minorEastAsia" w:cs="Arial"/>
          <w:szCs w:val="18"/>
          <w:vertAlign w:val="subscript"/>
          <w:lang w:val="en-GB"/>
        </w:rPr>
        <w:t>3</w:t>
      </w:r>
      <w:r w:rsidR="00607ADB" w:rsidRPr="00715370">
        <w:rPr>
          <w:rFonts w:eastAsiaTheme="minorEastAsia" w:cs="Arial"/>
          <w:szCs w:val="18"/>
          <w:lang w:val="en-GB"/>
        </w:rPr>
        <w:t>] (cf. Fig</w:t>
      </w:r>
      <w:r w:rsidRPr="00715370">
        <w:rPr>
          <w:rFonts w:eastAsiaTheme="minorEastAsia" w:cs="Arial"/>
          <w:szCs w:val="18"/>
          <w:lang w:val="en-GB"/>
        </w:rPr>
        <w:t>.</w:t>
      </w:r>
      <w:r w:rsidR="00607ADB" w:rsidRPr="00715370">
        <w:rPr>
          <w:rFonts w:eastAsiaTheme="minorEastAsia" w:cs="Arial"/>
          <w:szCs w:val="18"/>
          <w:lang w:val="en-GB"/>
        </w:rPr>
        <w:t xml:space="preserve"> 1a) and pH (cf. Fig</w:t>
      </w:r>
      <w:r w:rsidRPr="00715370">
        <w:rPr>
          <w:rFonts w:eastAsiaTheme="minorEastAsia" w:cs="Arial"/>
          <w:szCs w:val="18"/>
          <w:lang w:val="en-GB"/>
        </w:rPr>
        <w:t>.</w:t>
      </w:r>
      <w:r w:rsidR="00607ADB" w:rsidRPr="00715370">
        <w:rPr>
          <w:rFonts w:eastAsiaTheme="minorEastAsia" w:cs="Arial"/>
          <w:szCs w:val="18"/>
          <w:lang w:val="en-GB"/>
        </w:rPr>
        <w:t xml:space="preserve"> </w:t>
      </w:r>
      <w:r w:rsidR="00380770" w:rsidRPr="00715370">
        <w:rPr>
          <w:rFonts w:eastAsiaTheme="minorEastAsia" w:cs="Arial"/>
          <w:b/>
          <w:szCs w:val="18"/>
          <w:lang w:val="en-GB"/>
        </w:rPr>
        <w:t>1</w:t>
      </w:r>
      <w:r w:rsidR="00607ADB" w:rsidRPr="00715370">
        <w:rPr>
          <w:rFonts w:eastAsiaTheme="minorEastAsia" w:cs="Arial"/>
          <w:szCs w:val="18"/>
          <w:lang w:val="en-GB"/>
        </w:rPr>
        <w:t xml:space="preserve">a) according to the equation </w:t>
      </w:r>
      <m:oMath>
        <m:r>
          <w:rPr>
            <w:rFonts w:ascii="Cambria Math" w:eastAsiaTheme="minorEastAsia" w:hAnsi="Cambria Math" w:cs="Arial"/>
            <w:szCs w:val="18"/>
            <w:lang w:val="en-GB"/>
          </w:rPr>
          <m:t>μ=Ln</m:t>
        </m:r>
        <m:d>
          <m:dPr>
            <m:ctrlPr>
              <w:rPr>
                <w:rFonts w:ascii="Cambria Math" w:eastAsiaTheme="minorEastAsia" w:hAnsi="Cambria Math" w:cs="Arial"/>
                <w:i/>
                <w:szCs w:val="18"/>
                <w:lang w:val="en-GB"/>
              </w:rPr>
            </m:ctrlPr>
          </m:dPr>
          <m:e>
            <m:f>
              <m:fPr>
                <m:type m:val="lin"/>
                <m:ctrlPr>
                  <w:rPr>
                    <w:rFonts w:ascii="Cambria Math" w:eastAsiaTheme="minorEastAsia" w:hAnsi="Cambria Math" w:cs="Arial"/>
                    <w:i/>
                    <w:szCs w:val="18"/>
                    <w:lang w:val="en-GB"/>
                  </w:rPr>
                </m:ctrlPr>
              </m:fPr>
              <m:num>
                <m:sSub>
                  <m:sSubPr>
                    <m:ctrlPr>
                      <w:rPr>
                        <w:rFonts w:ascii="Cambria Math" w:eastAsiaTheme="minorEastAsia" w:hAnsi="Cambria Math" w:cs="Arial"/>
                        <w:i/>
                        <w:szCs w:val="18"/>
                        <w:lang w:val="en-GB"/>
                      </w:rPr>
                    </m:ctrlPr>
                  </m:sSubPr>
                  <m:e>
                    <m:r>
                      <w:rPr>
                        <w:rFonts w:ascii="Cambria Math" w:eastAsiaTheme="minorEastAsia" w:hAnsi="Cambria Math" w:cs="Arial"/>
                        <w:szCs w:val="18"/>
                        <w:lang w:val="en-GB"/>
                      </w:rPr>
                      <m:t>C</m:t>
                    </m:r>
                  </m:e>
                  <m:sub>
                    <m:r>
                      <w:rPr>
                        <w:rFonts w:ascii="Cambria Math" w:eastAsiaTheme="minorEastAsia" w:hAnsi="Cambria Math" w:cs="Arial"/>
                        <w:szCs w:val="18"/>
                        <w:lang w:val="en-GB"/>
                      </w:rPr>
                      <m:t>x</m:t>
                    </m:r>
                  </m:sub>
                </m:sSub>
              </m:num>
              <m:den>
                <m:sSubSup>
                  <m:sSubSupPr>
                    <m:ctrlPr>
                      <w:rPr>
                        <w:rFonts w:ascii="Cambria Math" w:eastAsiaTheme="minorEastAsia" w:hAnsi="Cambria Math" w:cs="Arial"/>
                        <w:i/>
                        <w:szCs w:val="18"/>
                        <w:lang w:val="en-GB"/>
                      </w:rPr>
                    </m:ctrlPr>
                  </m:sSubSupPr>
                  <m:e>
                    <m:r>
                      <w:rPr>
                        <w:rFonts w:ascii="Cambria Math" w:eastAsiaTheme="minorEastAsia" w:hAnsi="Cambria Math" w:cs="Arial"/>
                        <w:szCs w:val="18"/>
                        <w:lang w:val="en-GB"/>
                      </w:rPr>
                      <m:t>C</m:t>
                    </m:r>
                  </m:e>
                  <m:sub>
                    <m:r>
                      <w:rPr>
                        <w:rFonts w:ascii="Cambria Math" w:eastAsiaTheme="minorEastAsia" w:hAnsi="Cambria Math" w:cs="Arial"/>
                        <w:szCs w:val="18"/>
                        <w:lang w:val="en-GB"/>
                      </w:rPr>
                      <m:t>x</m:t>
                    </m:r>
                  </m:sub>
                  <m:sup>
                    <m:r>
                      <w:rPr>
                        <w:rFonts w:ascii="Cambria Math" w:eastAsiaTheme="minorEastAsia" w:hAnsi="Cambria Math" w:cs="Arial"/>
                        <w:szCs w:val="18"/>
                        <w:lang w:val="en-GB"/>
                      </w:rPr>
                      <m:t>0</m:t>
                    </m:r>
                  </m:sup>
                </m:sSubSup>
              </m:den>
            </m:f>
          </m:e>
        </m:d>
      </m:oMath>
      <w:r w:rsidR="00607ADB" w:rsidRPr="00715370">
        <w:rPr>
          <w:rFonts w:eastAsiaTheme="minorEastAsia" w:cs="Arial"/>
          <w:szCs w:val="18"/>
          <w:lang w:val="en-GB"/>
        </w:rPr>
        <w:t xml:space="preserve">. </w:t>
      </w:r>
    </w:p>
    <w:p w:rsidR="00E2399B" w:rsidRPr="00715370" w:rsidRDefault="00EB1585" w:rsidP="00E2399B">
      <w:r w:rsidRPr="00715370">
        <w:object w:dxaOrig="4989" w:dyaOrig="4764">
          <v:shape id="_x0000_i1030" type="#_x0000_t75" style="width:207.6pt;height:198.6pt" o:ole="">
            <v:imagedata r:id="rId22" o:title=""/>
          </v:shape>
          <o:OLEObject Type="Embed" ProgID="Origin50.Graph" ShapeID="_x0000_i1030" DrawAspect="Content" ObjectID="_1615378205" r:id="rId23"/>
        </w:object>
      </w:r>
      <w:r w:rsidRPr="00715370">
        <w:object w:dxaOrig="5443" w:dyaOrig="4535">
          <v:shape id="_x0000_i1031" type="#_x0000_t75" style="width:213pt;height:186pt" o:ole="">
            <v:imagedata r:id="rId24" o:title="" croptop="4916f" cropleft="2048f" cropright="4778f"/>
          </v:shape>
          <o:OLEObject Type="Embed" ProgID="Origin50.Graph" ShapeID="_x0000_i1031" DrawAspect="Content" ObjectID="_1615378206" r:id="rId25"/>
        </w:object>
      </w:r>
    </w:p>
    <w:p w:rsidR="00E2399B" w:rsidRPr="00715370" w:rsidRDefault="00E2399B" w:rsidP="00E2399B">
      <w:pPr>
        <w:pStyle w:val="CETBodytext"/>
        <w:rPr>
          <w:i/>
          <w:lang w:val="en-GB"/>
        </w:rPr>
      </w:pPr>
      <w:r w:rsidRPr="00715370">
        <w:rPr>
          <w:i/>
        </w:rPr>
        <w:t xml:space="preserve">Figure 1. </w:t>
      </w:r>
      <w:r w:rsidRPr="00715370">
        <w:rPr>
          <w:i/>
          <w:lang w:val="en-GB"/>
        </w:rPr>
        <w:t xml:space="preserve">Evaluation of growth kinetics </w:t>
      </w:r>
      <w:r w:rsidR="002B658F" w:rsidRPr="00715370">
        <w:rPr>
          <w:i/>
          <w:lang w:val="en-GB"/>
        </w:rPr>
        <w:t>in multiw</w:t>
      </w:r>
      <w:r w:rsidR="00207B42" w:rsidRPr="00715370">
        <w:rPr>
          <w:i/>
          <w:lang w:val="en-GB"/>
        </w:rPr>
        <w:t>e</w:t>
      </w:r>
      <w:r w:rsidR="002B658F" w:rsidRPr="00715370">
        <w:rPr>
          <w:i/>
          <w:lang w:val="en-GB"/>
        </w:rPr>
        <w:t>l</w:t>
      </w:r>
      <w:r w:rsidR="00B66B6F" w:rsidRPr="00715370">
        <w:rPr>
          <w:i/>
          <w:lang w:val="en-GB"/>
        </w:rPr>
        <w:t>l</w:t>
      </w:r>
      <w:r w:rsidR="002B658F" w:rsidRPr="00715370">
        <w:rPr>
          <w:i/>
          <w:lang w:val="en-GB"/>
        </w:rPr>
        <w:t xml:space="preserve"> devices </w:t>
      </w:r>
      <w:r w:rsidRPr="00715370">
        <w:rPr>
          <w:i/>
          <w:lang w:val="en-GB"/>
        </w:rPr>
        <w:t xml:space="preserve">as function of </w:t>
      </w:r>
      <w:r w:rsidR="002B658F" w:rsidRPr="00715370">
        <w:rPr>
          <w:i/>
          <w:lang w:val="en-GB"/>
        </w:rPr>
        <w:t>n</w:t>
      </w:r>
      <w:r w:rsidRPr="00715370">
        <w:rPr>
          <w:i/>
          <w:lang w:val="en-GB"/>
        </w:rPr>
        <w:t>itrate (a)</w:t>
      </w:r>
      <w:r w:rsidR="002B658F" w:rsidRPr="00715370">
        <w:rPr>
          <w:i/>
          <w:lang w:val="en-GB"/>
        </w:rPr>
        <w:t xml:space="preserve"> and</w:t>
      </w:r>
      <w:r w:rsidRPr="00715370">
        <w:rPr>
          <w:i/>
          <w:lang w:val="en-GB"/>
        </w:rPr>
        <w:t xml:space="preserve"> pH (b)</w:t>
      </w:r>
      <w:r w:rsidR="002B658F" w:rsidRPr="00715370">
        <w:rPr>
          <w:i/>
          <w:lang w:val="en-GB"/>
        </w:rPr>
        <w:t>, respectively, and c</w:t>
      </w:r>
      <w:r w:rsidRPr="00715370">
        <w:rPr>
          <w:i/>
          <w:lang w:val="en-GB"/>
        </w:rPr>
        <w:t>omparison</w:t>
      </w:r>
      <w:r w:rsidR="00F81BC7" w:rsidRPr="00715370">
        <w:rPr>
          <w:i/>
          <w:lang w:val="en-GB"/>
        </w:rPr>
        <w:t xml:space="preserve"> </w:t>
      </w:r>
      <w:r w:rsidRPr="00715370">
        <w:rPr>
          <w:i/>
          <w:lang w:val="en-GB"/>
        </w:rPr>
        <w:t xml:space="preserve">with experimental results from batch photobioreactors </w:t>
      </w:r>
      <w:r w:rsidR="00F81BC7" w:rsidRPr="00715370">
        <w:rPr>
          <w:i/>
          <w:lang w:val="en-GB"/>
        </w:rPr>
        <w:t xml:space="preserve">in terms of </w:t>
      </w:r>
      <w:r w:rsidR="00F81BC7" w:rsidRPr="00715370">
        <w:rPr>
          <w:rFonts w:ascii="Symbol" w:hAnsi="Symbol"/>
          <w:i/>
          <w:lang w:val="en-GB"/>
        </w:rPr>
        <w:t></w:t>
      </w:r>
      <w:r w:rsidR="00F81BC7" w:rsidRPr="00715370">
        <w:rPr>
          <w:i/>
          <w:lang w:val="en-GB"/>
        </w:rPr>
        <w:t xml:space="preserve"> vs </w:t>
      </w:r>
      <w:r w:rsidRPr="00715370">
        <w:rPr>
          <w:i/>
          <w:lang w:val="en-GB"/>
        </w:rPr>
        <w:t xml:space="preserve">pH (c). </w:t>
      </w:r>
    </w:p>
    <w:p w:rsidR="00E2399B" w:rsidRPr="00715370" w:rsidRDefault="00E2399B" w:rsidP="00E2399B"/>
    <w:p w:rsidR="00B906D6" w:rsidRPr="00715370" w:rsidRDefault="00453E22" w:rsidP="00930515">
      <w:r w:rsidRPr="00715370">
        <w:t xml:space="preserve">The data </w:t>
      </w:r>
      <w:r w:rsidR="009E47D3" w:rsidRPr="00715370">
        <w:t xml:space="preserve">reported in </w:t>
      </w:r>
      <w:r w:rsidR="008B5C16" w:rsidRPr="00715370">
        <w:t>F</w:t>
      </w:r>
      <w:r w:rsidR="009E47D3" w:rsidRPr="00715370">
        <w:t>ig</w:t>
      </w:r>
      <w:r w:rsidR="008B5C16" w:rsidRPr="00715370">
        <w:t xml:space="preserve">. </w:t>
      </w:r>
      <w:r w:rsidR="009E47D3" w:rsidRPr="00715370">
        <w:t xml:space="preserve">1a </w:t>
      </w:r>
      <w:r w:rsidRPr="00715370">
        <w:t xml:space="preserve">were then fitted through the </w:t>
      </w:r>
      <w:r w:rsidR="009E47D3" w:rsidRPr="00715370">
        <w:t xml:space="preserve">Monod’s </w:t>
      </w:r>
      <w:r w:rsidRPr="00715370">
        <w:t xml:space="preserve">kinetics by </w:t>
      </w:r>
      <w:r w:rsidR="009E47D3" w:rsidRPr="00715370">
        <w:t xml:space="preserve">suitably tuning the </w:t>
      </w:r>
      <w:r w:rsidR="00857208" w:rsidRPr="00715370">
        <w:t>parameters</w:t>
      </w:r>
      <w:r w:rsidR="009E47D3" w:rsidRPr="00715370">
        <w:t xml:space="preserve"> </w:t>
      </w:r>
      <m:oMath>
        <m:sSub>
          <m:sSubPr>
            <m:ctrlPr>
              <w:rPr>
                <w:rFonts w:ascii="Cambria Math" w:hAnsi="Cambria Math" w:cs="Arial"/>
                <w:i/>
                <w:szCs w:val="18"/>
                <w:lang w:val="en-US"/>
              </w:rPr>
            </m:ctrlPr>
          </m:sSubPr>
          <m:e>
            <m:r>
              <w:rPr>
                <w:rFonts w:ascii="Cambria Math" w:hAnsi="Cambria Math" w:cs="Arial"/>
                <w:szCs w:val="18"/>
                <w:lang w:val="en-US"/>
              </w:rPr>
              <m:t>μ</m:t>
            </m:r>
          </m:e>
          <m:sub>
            <m:r>
              <w:rPr>
                <w:rFonts w:ascii="Cambria Math" w:hAnsi="Cambria Math" w:cs="Arial"/>
                <w:szCs w:val="18"/>
                <w:lang w:val="en-US"/>
              </w:rPr>
              <m:t>max</m:t>
            </m:r>
          </m:sub>
        </m:sSub>
        <m:r>
          <w:rPr>
            <w:rFonts w:ascii="Cambria Math" w:hAnsi="Cambria Math" w:cs="Arial"/>
            <w:szCs w:val="18"/>
            <w:lang w:val="en-US"/>
          </w:rPr>
          <m:t xml:space="preserve"> </m:t>
        </m:r>
      </m:oMath>
      <w:r w:rsidR="00C6495C" w:rsidRPr="00715370">
        <w:rPr>
          <w:szCs w:val="18"/>
          <w:lang w:val="en-US"/>
        </w:rPr>
        <w:t>and</w:t>
      </w:r>
      <w:r w:rsidR="009E47D3" w:rsidRPr="00715370">
        <w:t xml:space="preserve"> </w:t>
      </w:r>
      <m:oMath>
        <m:sSub>
          <m:sSubPr>
            <m:ctrlPr>
              <w:rPr>
                <w:rFonts w:ascii="Cambria Math" w:hAnsi="Cambria Math" w:cs="Arial"/>
                <w:i/>
                <w:szCs w:val="18"/>
                <w:lang w:val="en-US"/>
              </w:rPr>
            </m:ctrlPr>
          </m:sSubPr>
          <m:e>
            <m:r>
              <w:rPr>
                <w:rFonts w:ascii="Cambria Math" w:hAnsi="Cambria Math" w:cs="Arial"/>
                <w:szCs w:val="18"/>
                <w:lang w:val="en-US"/>
              </w:rPr>
              <m:t>K</m:t>
            </m:r>
          </m:e>
          <m:sub>
            <m:sSubSup>
              <m:sSubSupPr>
                <m:ctrlPr>
                  <w:rPr>
                    <w:rFonts w:ascii="Cambria Math" w:hAnsi="Cambria Math" w:cs="Arial"/>
                    <w:i/>
                    <w:szCs w:val="18"/>
                    <w:lang w:val="en-US"/>
                  </w:rPr>
                </m:ctrlPr>
              </m:sSubSupPr>
              <m:e>
                <m:r>
                  <w:rPr>
                    <w:rFonts w:ascii="Cambria Math" w:hAnsi="Cambria Math" w:cs="Arial"/>
                    <w:szCs w:val="18"/>
                    <w:lang w:val="en-US"/>
                  </w:rPr>
                  <m:t>NO</m:t>
                </m:r>
              </m:e>
              <m:sub>
                <m:r>
                  <w:rPr>
                    <w:rFonts w:ascii="Cambria Math" w:hAnsi="Cambria Math" w:cs="Arial"/>
                    <w:szCs w:val="18"/>
                    <w:lang w:val="en-US"/>
                  </w:rPr>
                  <m:t>3</m:t>
                </m:r>
              </m:sub>
              <m:sup>
                <m:r>
                  <w:rPr>
                    <w:rFonts w:ascii="Cambria Math" w:hAnsi="Cambria Math" w:cs="Arial"/>
                    <w:szCs w:val="18"/>
                    <w:lang w:val="en-US"/>
                  </w:rPr>
                  <m:t>-</m:t>
                </m:r>
              </m:sup>
            </m:sSubSup>
          </m:sub>
        </m:sSub>
      </m:oMath>
      <w:r w:rsidR="00857208" w:rsidRPr="00715370">
        <w:rPr>
          <w:szCs w:val="18"/>
          <w:lang w:val="en-US"/>
        </w:rPr>
        <w:t xml:space="preserve"> at the values of </w:t>
      </w:r>
      <w:r w:rsidR="00E10BC7" w:rsidRPr="00715370">
        <w:rPr>
          <w:szCs w:val="18"/>
          <w:lang w:val="en-US"/>
        </w:rPr>
        <w:t>3.75 x</w:t>
      </w:r>
      <w:r w:rsidR="004C6CDC" w:rsidRPr="00715370">
        <w:rPr>
          <w:szCs w:val="18"/>
          <w:lang w:val="en-US"/>
        </w:rPr>
        <w:t xml:space="preserve"> </w:t>
      </w:r>
      <w:r w:rsidR="00E10BC7" w:rsidRPr="00715370">
        <w:rPr>
          <w:szCs w:val="18"/>
          <w:lang w:val="en-US"/>
        </w:rPr>
        <w:t>10</w:t>
      </w:r>
      <w:r w:rsidR="00E10BC7" w:rsidRPr="00715370">
        <w:rPr>
          <w:szCs w:val="18"/>
          <w:vertAlign w:val="superscript"/>
          <w:lang w:val="en-US"/>
        </w:rPr>
        <w:t>-2</w:t>
      </w:r>
      <w:r w:rsidR="00E10BC7" w:rsidRPr="00715370">
        <w:rPr>
          <w:szCs w:val="18"/>
          <w:lang w:val="en-US"/>
        </w:rPr>
        <w:t xml:space="preserve"> (h</w:t>
      </w:r>
      <w:r w:rsidR="00E10BC7" w:rsidRPr="00715370">
        <w:rPr>
          <w:szCs w:val="18"/>
          <w:vertAlign w:val="superscript"/>
          <w:lang w:val="en-US"/>
        </w:rPr>
        <w:t>-1</w:t>
      </w:r>
      <w:r w:rsidR="00E10BC7" w:rsidRPr="00715370">
        <w:rPr>
          <w:szCs w:val="18"/>
          <w:lang w:val="en-US"/>
        </w:rPr>
        <w:t>) and 1.0 x 10</w:t>
      </w:r>
      <w:r w:rsidR="00E10BC7" w:rsidRPr="00715370">
        <w:rPr>
          <w:szCs w:val="18"/>
          <w:vertAlign w:val="superscript"/>
          <w:lang w:val="en-US"/>
        </w:rPr>
        <w:t>-5</w:t>
      </w:r>
      <w:r w:rsidR="00E10BC7" w:rsidRPr="00715370">
        <w:rPr>
          <w:szCs w:val="18"/>
          <w:lang w:val="en-US"/>
        </w:rPr>
        <w:t xml:space="preserve"> (g L</w:t>
      </w:r>
      <w:r w:rsidR="00E10BC7" w:rsidRPr="00715370">
        <w:rPr>
          <w:szCs w:val="18"/>
          <w:vertAlign w:val="superscript"/>
          <w:lang w:val="en-US"/>
        </w:rPr>
        <w:t>-1</w:t>
      </w:r>
      <w:r w:rsidR="00E10BC7" w:rsidRPr="00715370">
        <w:rPr>
          <w:szCs w:val="18"/>
          <w:lang w:val="en-US"/>
        </w:rPr>
        <w:t>)</w:t>
      </w:r>
      <w:r w:rsidR="004C6CDC" w:rsidRPr="00715370">
        <w:rPr>
          <w:szCs w:val="18"/>
          <w:lang w:val="en-US"/>
        </w:rPr>
        <w:t>. The d</w:t>
      </w:r>
      <w:r w:rsidR="009E47D3" w:rsidRPr="00715370">
        <w:rPr>
          <w:szCs w:val="18"/>
          <w:lang w:val="en-US"/>
        </w:rPr>
        <w:t>ata of Fig</w:t>
      </w:r>
      <w:r w:rsidR="008B5C16" w:rsidRPr="00715370">
        <w:rPr>
          <w:szCs w:val="18"/>
          <w:lang w:val="en-US"/>
        </w:rPr>
        <w:t xml:space="preserve">. </w:t>
      </w:r>
      <w:r w:rsidR="009E47D3" w:rsidRPr="00715370">
        <w:rPr>
          <w:szCs w:val="18"/>
          <w:lang w:val="en-US"/>
        </w:rPr>
        <w:t xml:space="preserve">1b were </w:t>
      </w:r>
      <w:r w:rsidR="008B5C16" w:rsidRPr="00715370">
        <w:rPr>
          <w:szCs w:val="18"/>
          <w:lang w:val="en-US"/>
        </w:rPr>
        <w:t xml:space="preserve">instead interpreted </w:t>
      </w:r>
      <w:r w:rsidR="009E47D3" w:rsidRPr="00715370">
        <w:rPr>
          <w:szCs w:val="18"/>
          <w:lang w:val="en-US"/>
        </w:rPr>
        <w:t xml:space="preserve">through </w:t>
      </w:r>
      <w:r w:rsidR="008B5C16" w:rsidRPr="00715370">
        <w:rPr>
          <w:szCs w:val="18"/>
          <w:lang w:val="en-US"/>
        </w:rPr>
        <w:t xml:space="preserve">the kinetics by Tan </w:t>
      </w:r>
      <w:r w:rsidR="008B5C16" w:rsidRPr="00715370">
        <w:rPr>
          <w:i/>
          <w:szCs w:val="18"/>
          <w:lang w:val="en-US"/>
        </w:rPr>
        <w:t>et al.</w:t>
      </w:r>
      <w:r w:rsidR="008B5C16" w:rsidRPr="00715370">
        <w:rPr>
          <w:szCs w:val="18"/>
          <w:lang w:val="en-US"/>
        </w:rPr>
        <w:t xml:space="preserve"> (1998) </w:t>
      </w:r>
      <w:r w:rsidR="005B0806">
        <w:rPr>
          <w:szCs w:val="18"/>
          <w:lang w:val="en-US"/>
        </w:rPr>
        <w:t xml:space="preserve">while </w:t>
      </w:r>
      <w:r w:rsidR="008B5C16" w:rsidRPr="00715370">
        <w:rPr>
          <w:szCs w:val="18"/>
          <w:lang w:val="en-US"/>
        </w:rPr>
        <w:t xml:space="preserve">keeping fixed the obtained value of </w:t>
      </w:r>
      <m:oMath>
        <m:sSub>
          <m:sSubPr>
            <m:ctrlPr>
              <w:rPr>
                <w:rFonts w:ascii="Cambria Math" w:hAnsi="Cambria Math" w:cs="Arial"/>
                <w:i/>
                <w:szCs w:val="18"/>
                <w:lang w:val="en-US"/>
              </w:rPr>
            </m:ctrlPr>
          </m:sSubPr>
          <m:e>
            <m:r>
              <w:rPr>
                <w:rFonts w:ascii="Cambria Math" w:hAnsi="Cambria Math" w:cs="Arial"/>
                <w:szCs w:val="18"/>
                <w:lang w:val="en-US"/>
              </w:rPr>
              <m:t>μ</m:t>
            </m:r>
          </m:e>
          <m:sub>
            <m:r>
              <w:rPr>
                <w:rFonts w:ascii="Cambria Math" w:hAnsi="Cambria Math" w:cs="Arial"/>
                <w:szCs w:val="18"/>
                <w:lang w:val="en-US"/>
              </w:rPr>
              <m:t>max</m:t>
            </m:r>
          </m:sub>
        </m:sSub>
      </m:oMath>
      <w:r w:rsidR="008B5C16" w:rsidRPr="00715370">
        <w:rPr>
          <w:szCs w:val="18"/>
          <w:lang w:val="en-US"/>
        </w:rPr>
        <w:t xml:space="preserve"> </w:t>
      </w:r>
      <w:r w:rsidR="00087B13" w:rsidRPr="00715370">
        <w:rPr>
          <w:szCs w:val="18"/>
          <w:lang w:val="en-US"/>
        </w:rPr>
        <w:t>and</w:t>
      </w:r>
      <w:r w:rsidR="009008C6" w:rsidRPr="00715370">
        <w:t xml:space="preserve"> </w:t>
      </w:r>
      <m:oMath>
        <m:sSub>
          <m:sSubPr>
            <m:ctrlPr>
              <w:rPr>
                <w:rFonts w:ascii="Cambria Math" w:hAnsi="Cambria Math" w:cs="Arial"/>
                <w:i/>
                <w:szCs w:val="18"/>
                <w:lang w:val="en-US"/>
              </w:rPr>
            </m:ctrlPr>
          </m:sSubPr>
          <m:e>
            <m:r>
              <w:rPr>
                <w:rFonts w:ascii="Cambria Math" w:hAnsi="Cambria Math" w:cs="Arial"/>
                <w:szCs w:val="18"/>
                <w:lang w:val="en-US"/>
              </w:rPr>
              <m:t>K</m:t>
            </m:r>
          </m:e>
          <m:sub>
            <m:sSubSup>
              <m:sSubSupPr>
                <m:ctrlPr>
                  <w:rPr>
                    <w:rFonts w:ascii="Cambria Math" w:hAnsi="Cambria Math" w:cs="Arial"/>
                    <w:i/>
                    <w:szCs w:val="18"/>
                    <w:lang w:val="en-US"/>
                  </w:rPr>
                </m:ctrlPr>
              </m:sSubSupPr>
              <m:e>
                <m:r>
                  <w:rPr>
                    <w:rFonts w:ascii="Cambria Math" w:hAnsi="Cambria Math" w:cs="Arial"/>
                    <w:szCs w:val="18"/>
                    <w:lang w:val="en-US"/>
                  </w:rPr>
                  <m:t>NO</m:t>
                </m:r>
              </m:e>
              <m:sub>
                <m:r>
                  <w:rPr>
                    <w:rFonts w:ascii="Cambria Math" w:hAnsi="Cambria Math" w:cs="Arial"/>
                    <w:szCs w:val="18"/>
                    <w:lang w:val="en-US"/>
                  </w:rPr>
                  <m:t>3</m:t>
                </m:r>
              </m:sub>
              <m:sup>
                <m:r>
                  <w:rPr>
                    <w:rFonts w:ascii="Cambria Math" w:hAnsi="Cambria Math" w:cs="Arial"/>
                    <w:szCs w:val="18"/>
                    <w:lang w:val="en-US"/>
                  </w:rPr>
                  <m:t>-</m:t>
                </m:r>
              </m:sup>
            </m:sSubSup>
          </m:sub>
        </m:sSub>
      </m:oMath>
      <w:r w:rsidR="009008C6" w:rsidRPr="00715370">
        <w:rPr>
          <w:szCs w:val="18"/>
          <w:lang w:val="en-US"/>
        </w:rPr>
        <w:t xml:space="preserve"> </w:t>
      </w:r>
      <w:r w:rsidR="005B0806">
        <w:rPr>
          <w:szCs w:val="18"/>
          <w:lang w:val="en-US"/>
        </w:rPr>
        <w:t>when</w:t>
      </w:r>
      <w:r w:rsidR="008B5C16" w:rsidRPr="00715370">
        <w:rPr>
          <w:szCs w:val="18"/>
          <w:lang w:val="en-US"/>
        </w:rPr>
        <w:t xml:space="preserve"> tuning the model parameters in Eq. (3). </w:t>
      </w:r>
      <w:r w:rsidR="00184891" w:rsidRPr="00715370">
        <w:rPr>
          <w:szCs w:val="18"/>
          <w:lang w:val="en-US"/>
        </w:rPr>
        <w:t xml:space="preserve">The </w:t>
      </w:r>
      <w:r w:rsidR="009008C6" w:rsidRPr="00715370">
        <w:rPr>
          <w:szCs w:val="18"/>
          <w:lang w:val="en-US"/>
        </w:rPr>
        <w:t xml:space="preserve">corresponding </w:t>
      </w:r>
      <w:r w:rsidR="00184891" w:rsidRPr="00715370">
        <w:rPr>
          <w:szCs w:val="18"/>
          <w:lang w:val="en-US"/>
        </w:rPr>
        <w:t>n</w:t>
      </w:r>
      <w:r w:rsidR="008B5C16" w:rsidRPr="00715370">
        <w:rPr>
          <w:szCs w:val="18"/>
          <w:lang w:val="en-US"/>
        </w:rPr>
        <w:t>umerical values are reported elsewhere (</w:t>
      </w:r>
      <w:proofErr w:type="spellStart"/>
      <w:r w:rsidR="008B5C16" w:rsidRPr="00715370">
        <w:rPr>
          <w:szCs w:val="18"/>
          <w:lang w:val="en-US"/>
        </w:rPr>
        <w:t>Soru</w:t>
      </w:r>
      <w:proofErr w:type="spellEnd"/>
      <w:r w:rsidR="008B5C16" w:rsidRPr="00715370">
        <w:rPr>
          <w:szCs w:val="18"/>
          <w:lang w:val="en-US"/>
        </w:rPr>
        <w:t xml:space="preserve"> </w:t>
      </w:r>
      <w:r w:rsidR="008B5C16" w:rsidRPr="00715370">
        <w:rPr>
          <w:i/>
          <w:szCs w:val="18"/>
          <w:lang w:val="en-US"/>
        </w:rPr>
        <w:t>et al</w:t>
      </w:r>
      <w:r w:rsidR="008B5C16" w:rsidRPr="00715370">
        <w:rPr>
          <w:szCs w:val="18"/>
          <w:lang w:val="en-US"/>
        </w:rPr>
        <w:t>., 2018</w:t>
      </w:r>
      <w:r w:rsidR="00563526" w:rsidRPr="00715370">
        <w:rPr>
          <w:szCs w:val="18"/>
          <w:lang w:val="en-US"/>
        </w:rPr>
        <w:t>a</w:t>
      </w:r>
      <w:r w:rsidR="008B5C16" w:rsidRPr="00715370">
        <w:rPr>
          <w:szCs w:val="18"/>
          <w:lang w:val="en-US"/>
        </w:rPr>
        <w:t>).</w:t>
      </w:r>
      <w:r w:rsidR="00857208" w:rsidRPr="00715370">
        <w:rPr>
          <w:szCs w:val="18"/>
          <w:lang w:val="en-US"/>
        </w:rPr>
        <w:t xml:space="preserve"> </w:t>
      </w:r>
      <w:r w:rsidR="00857208" w:rsidRPr="00715370">
        <w:t xml:space="preserve">In Fig. 1c, the pH-dependent growth rates of </w:t>
      </w:r>
      <w:r w:rsidR="00857208" w:rsidRPr="00715370">
        <w:rPr>
          <w:i/>
        </w:rPr>
        <w:t xml:space="preserve">C. </w:t>
      </w:r>
      <w:proofErr w:type="spellStart"/>
      <w:r w:rsidR="00857208" w:rsidRPr="00715370">
        <w:rPr>
          <w:i/>
        </w:rPr>
        <w:t>melkonianii</w:t>
      </w:r>
      <w:proofErr w:type="spellEnd"/>
      <w:r w:rsidR="00857208" w:rsidRPr="00715370">
        <w:t xml:space="preserve"> obtained in multiwell screening tests are compared with those obtained in larger batch PBRs when operating at constant values of </w:t>
      </w:r>
      <w:proofErr w:type="spellStart"/>
      <w:r w:rsidR="00857208" w:rsidRPr="00715370">
        <w:t>pH.</w:t>
      </w:r>
      <w:proofErr w:type="spellEnd"/>
      <w:r w:rsidR="00857208" w:rsidRPr="00715370">
        <w:t xml:space="preserve"> As it can be observed, the mu</w:t>
      </w:r>
      <w:r w:rsidR="008A3143" w:rsidRPr="00715370">
        <w:t>l</w:t>
      </w:r>
      <w:r w:rsidR="00857208" w:rsidRPr="00715370">
        <w:t>tiwell</w:t>
      </w:r>
      <w:r w:rsidR="00087B13" w:rsidRPr="00715370">
        <w:t xml:space="preserve"> results</w:t>
      </w:r>
      <w:r w:rsidR="00857208" w:rsidRPr="00715370">
        <w:t xml:space="preserve"> are quite well reproduced by the ones obtained in larger PBRs thus demonstrating the validity of the procedure to evaluate grow</w:t>
      </w:r>
      <w:r w:rsidR="002B658F" w:rsidRPr="00715370">
        <w:t xml:space="preserve">th kinetics as a function of </w:t>
      </w:r>
      <w:proofErr w:type="spellStart"/>
      <w:r w:rsidR="002B658F" w:rsidRPr="00715370">
        <w:t>pH</w:t>
      </w:r>
      <w:r w:rsidR="00AE1037" w:rsidRPr="00715370">
        <w:t>.</w:t>
      </w:r>
      <w:proofErr w:type="spellEnd"/>
      <w:r w:rsidR="00857208" w:rsidRPr="00715370">
        <w:t xml:space="preserve"> </w:t>
      </w:r>
      <w:r w:rsidR="00930515">
        <w:t xml:space="preserve">The validated parameter values allowed to fit the subsequent experiments performed in larger PBRs through the developed model. </w:t>
      </w:r>
      <w:r w:rsidR="00B906D6" w:rsidRPr="00715370">
        <w:t>I</w:t>
      </w:r>
      <w:r w:rsidR="002B658F" w:rsidRPr="00715370">
        <w:t>n fact, in order to investigate the effects of nitrogen manipulation strategies on the prolonged growth and the lipid production of this strain</w:t>
      </w:r>
      <w:r w:rsidR="001B7881" w:rsidRPr="00715370">
        <w:t>,</w:t>
      </w:r>
      <w:r w:rsidR="002B658F" w:rsidRPr="00715370">
        <w:t xml:space="preserve"> specific experiments were carried out by cultivating </w:t>
      </w:r>
      <w:r w:rsidR="002B658F" w:rsidRPr="00715370">
        <w:rPr>
          <w:i/>
        </w:rPr>
        <w:t xml:space="preserve">C. </w:t>
      </w:r>
      <w:proofErr w:type="spellStart"/>
      <w:r w:rsidR="002B658F" w:rsidRPr="00715370">
        <w:rPr>
          <w:i/>
        </w:rPr>
        <w:t>melkonianii</w:t>
      </w:r>
      <w:proofErr w:type="spellEnd"/>
      <w:r w:rsidR="002B658F" w:rsidRPr="00715370">
        <w:t xml:space="preserve"> in larger batch reactors where the initial concentration of dissolved nitrate was suitably changed</w:t>
      </w:r>
      <w:r w:rsidR="00AE1037" w:rsidRPr="00715370">
        <w:t xml:space="preserve"> (</w:t>
      </w:r>
      <w:proofErr w:type="spellStart"/>
      <w:r w:rsidR="00AE1037" w:rsidRPr="00715370">
        <w:t>Soru</w:t>
      </w:r>
      <w:proofErr w:type="spellEnd"/>
      <w:r w:rsidR="00AE1037" w:rsidRPr="00715370">
        <w:t xml:space="preserve"> </w:t>
      </w:r>
      <w:r w:rsidR="00AE1037" w:rsidRPr="00715370">
        <w:rPr>
          <w:i/>
        </w:rPr>
        <w:t>et al.</w:t>
      </w:r>
      <w:r w:rsidR="00AE1037" w:rsidRPr="00715370">
        <w:t>, 2018a)</w:t>
      </w:r>
      <w:r w:rsidR="002B658F" w:rsidRPr="00715370">
        <w:t>. In the base-case</w:t>
      </w:r>
      <w:r w:rsidR="005844B8" w:rsidRPr="00715370">
        <w:t>,</w:t>
      </w:r>
      <w:r w:rsidR="002B658F" w:rsidRPr="00715370">
        <w:t xml:space="preserve"> the growth and lipid accumulation kinetics were investigated using a nitrate concentration equal to 0.25 g L</w:t>
      </w:r>
      <w:r w:rsidR="002B658F" w:rsidRPr="00715370">
        <w:rPr>
          <w:vertAlign w:val="superscript"/>
        </w:rPr>
        <w:t>−1</w:t>
      </w:r>
      <w:r w:rsidR="002B658F" w:rsidRPr="00715370">
        <w:t xml:space="preserve">. The time evolution of nitrate concentration and pH were also monitored during this experiment. </w:t>
      </w:r>
      <w:r w:rsidR="00B906D6" w:rsidRPr="00715370">
        <w:t xml:space="preserve">In Fig. 2 the results obtained are </w:t>
      </w:r>
      <w:r w:rsidR="0051545E" w:rsidRPr="00715370">
        <w:t>shown</w:t>
      </w:r>
      <w:r w:rsidR="00B906D6" w:rsidRPr="00715370">
        <w:t>.</w:t>
      </w:r>
      <w:r w:rsidR="003E3A31" w:rsidRPr="00715370">
        <w:t xml:space="preserve"> </w:t>
      </w:r>
      <w:r w:rsidR="00A87F4A" w:rsidRPr="00715370">
        <w:t>T</w:t>
      </w:r>
      <w:r w:rsidR="003E3A31" w:rsidRPr="00715370">
        <w:t>he base case results</w:t>
      </w:r>
      <w:r w:rsidR="001B7881" w:rsidRPr="00715370">
        <w:t xml:space="preserve">, </w:t>
      </w:r>
      <w:r w:rsidR="00A87F4A" w:rsidRPr="00715370">
        <w:t xml:space="preserve">showed </w:t>
      </w:r>
      <w:r w:rsidR="003E3A31" w:rsidRPr="00715370">
        <w:t>that</w:t>
      </w:r>
      <w:r w:rsidR="003E3A31" w:rsidRPr="00715370">
        <w:rPr>
          <w:strike/>
        </w:rPr>
        <w:t>,</w:t>
      </w:r>
      <w:r w:rsidR="003E3A31" w:rsidRPr="00715370">
        <w:t xml:space="preserve"> pH increases from the initial value of 6.8 to a constant value of about 9.5 after about 25 days of cultivation (cf. </w:t>
      </w:r>
      <w:r w:rsidR="003E3A31" w:rsidRPr="00715370">
        <w:lastRenderedPageBreak/>
        <w:t xml:space="preserve">Figure 2a). </w:t>
      </w:r>
      <w:r w:rsidR="00A87F4A" w:rsidRPr="00715370">
        <w:t>F</w:t>
      </w:r>
      <w:r w:rsidR="003E3A31" w:rsidRPr="00715370">
        <w:t xml:space="preserve">rom Fig. 2b </w:t>
      </w:r>
      <w:r w:rsidR="00A87F4A" w:rsidRPr="00715370">
        <w:t xml:space="preserve">it can be observed </w:t>
      </w:r>
      <w:r w:rsidR="003E3A31" w:rsidRPr="00715370">
        <w:t xml:space="preserve">that after a short lag phase, the culture </w:t>
      </w:r>
      <w:r w:rsidR="00380770" w:rsidRPr="00715370">
        <w:t xml:space="preserve">started </w:t>
      </w:r>
      <w:r w:rsidR="003E3A31" w:rsidRPr="00715370">
        <w:t>growing almost exponentially for about 33 d (</w:t>
      </w:r>
      <w:r w:rsidR="003E3A31" w:rsidRPr="00715370">
        <w:rPr>
          <w:rFonts w:ascii="Cambria Math" w:hAnsi="Cambria Math" w:cs="Cambria Math"/>
        </w:rPr>
        <w:t>∼</w:t>
      </w:r>
      <w:r w:rsidR="003E3A31" w:rsidRPr="00715370">
        <w:t xml:space="preserve">800 h), when a decelerating growth </w:t>
      </w:r>
      <w:r w:rsidR="00380770" w:rsidRPr="00715370">
        <w:t xml:space="preserve">took </w:t>
      </w:r>
      <w:r w:rsidR="003E3A31" w:rsidRPr="00715370">
        <w:t>place.</w:t>
      </w:r>
      <w:r w:rsidR="001B7881" w:rsidRPr="00715370">
        <w:t xml:space="preserve"> After about 45 d (</w:t>
      </w:r>
      <w:r w:rsidR="001B7881" w:rsidRPr="00715370">
        <w:rPr>
          <w:rFonts w:ascii="Cambria Math" w:hAnsi="Cambria Math" w:cs="Cambria Math"/>
        </w:rPr>
        <w:t>∼</w:t>
      </w:r>
      <w:r w:rsidR="001B7881" w:rsidRPr="00715370">
        <w:t xml:space="preserve">1080 h) the culture achieved a stationary state when the biomass concentration </w:t>
      </w:r>
      <w:r w:rsidR="00380770" w:rsidRPr="00715370">
        <w:t xml:space="preserve">was </w:t>
      </w:r>
      <w:r w:rsidR="001B7881" w:rsidRPr="00715370">
        <w:t>about 1.4 g L</w:t>
      </w:r>
      <w:r w:rsidR="001B7881" w:rsidRPr="00715370">
        <w:rPr>
          <w:vertAlign w:val="superscript"/>
        </w:rPr>
        <w:t>−1</w:t>
      </w:r>
      <w:r w:rsidR="001B7881" w:rsidRPr="00715370">
        <w:t xml:space="preserve">. This behaviour </w:t>
      </w:r>
      <w:r w:rsidR="00380770" w:rsidRPr="00715370">
        <w:t xml:space="preserve">was </w:t>
      </w:r>
      <w:r w:rsidR="001B7881" w:rsidRPr="00715370">
        <w:t>the result of the corresponding lack of nitrogen in the solution.</w:t>
      </w:r>
    </w:p>
    <w:p w:rsidR="00B906D6" w:rsidRPr="00715370" w:rsidRDefault="00017CEE" w:rsidP="004006F0">
      <w:pPr>
        <w:spacing w:line="240" w:lineRule="auto"/>
      </w:pPr>
      <w:r w:rsidRPr="00715370">
        <w:object w:dxaOrig="5443" w:dyaOrig="4535">
          <v:shape id="_x0000_i1032" type="#_x0000_t75" style="width:206.4pt;height:170.4pt" o:ole="">
            <v:imagedata r:id="rId26" o:title="" croptop=".0625" cropbottom=".0625" cropleft="2048f" cropright="5461f"/>
          </v:shape>
          <o:OLEObject Type="Embed" ProgID="Origin50.Graph" ShapeID="_x0000_i1032" DrawAspect="Content" ObjectID="_1615378207" r:id="rId27"/>
        </w:object>
      </w:r>
      <w:r w:rsidR="00B906D6" w:rsidRPr="00715370">
        <w:t xml:space="preserve"> </w:t>
      </w:r>
      <w:r w:rsidRPr="00715370">
        <w:object w:dxaOrig="5443" w:dyaOrig="4535">
          <v:shape id="_x0000_i1033" type="#_x0000_t75" style="width:206.4pt;height:170.4pt" o:ole="">
            <v:imagedata r:id="rId28" o:title="" croptop=".0625" cropbottom=".0625" cropleft="2048f" cropright="5461f"/>
          </v:shape>
          <o:OLEObject Type="Embed" ProgID="Origin50.Graph" ShapeID="_x0000_i1033" DrawAspect="Content" ObjectID="_1615378208" r:id="rId29"/>
        </w:object>
      </w:r>
    </w:p>
    <w:p w:rsidR="00B906D6" w:rsidRPr="00715370" w:rsidRDefault="00017CEE" w:rsidP="004006F0">
      <w:pPr>
        <w:spacing w:line="240" w:lineRule="auto"/>
      </w:pPr>
      <w:r w:rsidRPr="00715370">
        <w:object w:dxaOrig="5443" w:dyaOrig="4535">
          <v:shape id="_x0000_i1034" type="#_x0000_t75" style="width:206.4pt;height:170.4pt" o:ole="">
            <v:imagedata r:id="rId30" o:title="" croptop=".0625" cropbottom=".0625" cropleft="2048f" cropright="5461f"/>
          </v:shape>
          <o:OLEObject Type="Embed" ProgID="Origin50.Graph" ShapeID="_x0000_i1034" DrawAspect="Content" ObjectID="_1615378209" r:id="rId31"/>
        </w:object>
      </w:r>
      <w:r w:rsidR="00B906D6" w:rsidRPr="00715370">
        <w:t xml:space="preserve"> </w:t>
      </w:r>
      <w:r w:rsidRPr="00715370">
        <w:object w:dxaOrig="5443" w:dyaOrig="4535">
          <v:shape id="_x0000_i1035" type="#_x0000_t75" style="width:206.4pt;height:170.4pt" o:ole="">
            <v:imagedata r:id="rId32" o:title="" croptop=".0625" cropbottom=".0625" cropleft="2048f" cropright="5461f"/>
          </v:shape>
          <o:OLEObject Type="Embed" ProgID="Origin50.Graph" ShapeID="_x0000_i1035" DrawAspect="Content" ObjectID="_1615378210" r:id="rId33"/>
        </w:object>
      </w:r>
    </w:p>
    <w:p w:rsidR="00B906D6" w:rsidRPr="00715370" w:rsidRDefault="00B906D6" w:rsidP="00B906D6">
      <w:pPr>
        <w:pStyle w:val="CETBodytext"/>
        <w:rPr>
          <w:i/>
          <w:lang w:val="en-GB"/>
        </w:rPr>
      </w:pPr>
      <w:r w:rsidRPr="00715370">
        <w:rPr>
          <w:i/>
          <w:lang w:val="en-GB"/>
        </w:rPr>
        <w:t xml:space="preserve">Figure 2. </w:t>
      </w:r>
      <w:r w:rsidR="00A87F4A" w:rsidRPr="00715370">
        <w:rPr>
          <w:i/>
          <w:lang w:val="en-GB"/>
        </w:rPr>
        <w:t>C</w:t>
      </w:r>
      <w:r w:rsidR="004C6CDC" w:rsidRPr="00715370">
        <w:rPr>
          <w:i/>
          <w:lang w:val="en-GB"/>
        </w:rPr>
        <w:t xml:space="preserve">omparison between </w:t>
      </w:r>
      <w:r w:rsidR="00A87F4A" w:rsidRPr="00715370">
        <w:rPr>
          <w:i/>
          <w:lang w:val="en-GB"/>
        </w:rPr>
        <w:t xml:space="preserve">experimental data and </w:t>
      </w:r>
      <w:r w:rsidR="004C6CDC" w:rsidRPr="00715370">
        <w:rPr>
          <w:i/>
          <w:lang w:val="en-GB"/>
        </w:rPr>
        <w:t xml:space="preserve">model results in terms of </w:t>
      </w:r>
      <w:r w:rsidR="00CA1898" w:rsidRPr="00715370">
        <w:rPr>
          <w:i/>
          <w:lang w:val="en-GB"/>
        </w:rPr>
        <w:t xml:space="preserve">pH evolution (a), </w:t>
      </w:r>
      <w:r w:rsidR="004C6CDC" w:rsidRPr="00715370">
        <w:rPr>
          <w:i/>
          <w:lang w:val="en-GB"/>
        </w:rPr>
        <w:t xml:space="preserve">total dry biomass concentration (b), dissolved </w:t>
      </w:r>
      <w:r w:rsidR="00A87F4A" w:rsidRPr="00715370">
        <w:rPr>
          <w:i/>
          <w:lang w:val="en-GB"/>
        </w:rPr>
        <w:t>nitrate</w:t>
      </w:r>
      <w:r w:rsidR="00CA1898" w:rsidRPr="00715370">
        <w:rPr>
          <w:i/>
          <w:lang w:val="en-GB"/>
        </w:rPr>
        <w:t xml:space="preserve"> </w:t>
      </w:r>
      <w:r w:rsidR="00A87F4A" w:rsidRPr="00715370">
        <w:rPr>
          <w:i/>
          <w:lang w:val="en-GB"/>
        </w:rPr>
        <w:t>concentration (c)</w:t>
      </w:r>
      <w:r w:rsidR="00CA1898" w:rsidRPr="00715370">
        <w:rPr>
          <w:i/>
          <w:lang w:val="en-GB"/>
        </w:rPr>
        <w:t>,</w:t>
      </w:r>
      <w:r w:rsidR="00A87F4A" w:rsidRPr="00715370">
        <w:rPr>
          <w:i/>
          <w:lang w:val="en-GB"/>
        </w:rPr>
        <w:t xml:space="preserve"> and </w:t>
      </w:r>
      <w:r w:rsidR="004C6CDC" w:rsidRPr="00715370">
        <w:rPr>
          <w:i/>
          <w:lang w:val="en-GB"/>
        </w:rPr>
        <w:t xml:space="preserve">lipid content (d) as a function of time during </w:t>
      </w:r>
      <w:r w:rsidR="008E7138" w:rsidRPr="00715370">
        <w:rPr>
          <w:i/>
          <w:lang w:val="en-GB"/>
        </w:rPr>
        <w:t xml:space="preserve">batch </w:t>
      </w:r>
      <w:r w:rsidR="004C6CDC" w:rsidRPr="00715370">
        <w:rPr>
          <w:i/>
          <w:lang w:val="en-GB"/>
        </w:rPr>
        <w:t>experiments with initial nitrate concentration of 0.25 g L</w:t>
      </w:r>
      <w:r w:rsidR="004C6CDC" w:rsidRPr="00715370">
        <w:rPr>
          <w:i/>
          <w:vertAlign w:val="superscript"/>
          <w:lang w:val="en-GB"/>
        </w:rPr>
        <w:t>-1</w:t>
      </w:r>
      <w:r w:rsidR="004C6CDC" w:rsidRPr="00715370">
        <w:rPr>
          <w:i/>
          <w:lang w:val="en-GB"/>
        </w:rPr>
        <w:t xml:space="preserve"> and 0.05 g L</w:t>
      </w:r>
      <w:r w:rsidR="004C6CDC" w:rsidRPr="00715370">
        <w:rPr>
          <w:i/>
          <w:vertAlign w:val="superscript"/>
          <w:lang w:val="en-GB"/>
        </w:rPr>
        <w:t>-1</w:t>
      </w:r>
      <w:r w:rsidR="004C6CDC" w:rsidRPr="00715370">
        <w:rPr>
          <w:i/>
          <w:lang w:val="en-GB"/>
        </w:rPr>
        <w:t>.</w:t>
      </w:r>
    </w:p>
    <w:p w:rsidR="00B906D6" w:rsidRPr="00715370" w:rsidRDefault="00B906D6" w:rsidP="002B658F"/>
    <w:p w:rsidR="004C6CDC" w:rsidRPr="00715370" w:rsidRDefault="00203D5D" w:rsidP="002B658F">
      <w:r w:rsidRPr="00715370">
        <w:t xml:space="preserve">In fact, as shown in Fig. 2c, </w:t>
      </w:r>
      <w:r w:rsidR="002B658F" w:rsidRPr="00715370">
        <w:t>nitrate concentration decrease</w:t>
      </w:r>
      <w:r w:rsidR="00AE1037" w:rsidRPr="00715370">
        <w:t>d</w:t>
      </w:r>
      <w:r w:rsidR="002B658F" w:rsidRPr="00715370">
        <w:t xml:space="preserve"> </w:t>
      </w:r>
      <w:r w:rsidRPr="00715370">
        <w:t>from the initial value of 0.25 g L</w:t>
      </w:r>
      <w:r w:rsidRPr="00715370">
        <w:rPr>
          <w:vertAlign w:val="superscript"/>
        </w:rPr>
        <w:t>-1</w:t>
      </w:r>
      <w:r w:rsidRPr="00715370">
        <w:t xml:space="preserve"> to 0 after about 1080 h </w:t>
      </w:r>
      <w:r w:rsidR="002B658F" w:rsidRPr="00715370">
        <w:t>as a result of algae uptake</w:t>
      </w:r>
      <w:r w:rsidRPr="00715370">
        <w:t xml:space="preserve">. </w:t>
      </w:r>
      <w:r w:rsidR="002B658F" w:rsidRPr="00715370">
        <w:t>The lipid content significantly increase</w:t>
      </w:r>
      <w:r w:rsidR="00AE1037" w:rsidRPr="00715370">
        <w:t>d</w:t>
      </w:r>
      <w:r w:rsidR="002B658F" w:rsidRPr="00715370">
        <w:t xml:space="preserve"> during the first cultivation days, achieving a value close to 17 %wt after only 12 d (</w:t>
      </w:r>
      <w:r w:rsidR="002B658F" w:rsidRPr="00715370">
        <w:rPr>
          <w:rFonts w:ascii="Cambria Math" w:hAnsi="Cambria Math" w:cs="Cambria Math"/>
        </w:rPr>
        <w:t>∼</w:t>
      </w:r>
      <w:r w:rsidR="002B658F" w:rsidRPr="00715370">
        <w:t xml:space="preserve">300 h) of cultivation. Subsequently, after a slight decrease, it </w:t>
      </w:r>
      <w:r w:rsidR="00380770" w:rsidRPr="00715370">
        <w:t xml:space="preserve">reached </w:t>
      </w:r>
      <w:r w:rsidR="002B658F" w:rsidRPr="00715370">
        <w:t>an almost constant value of about 15 %wt until total consumption of nitrogen occur</w:t>
      </w:r>
      <w:r w:rsidR="00AE1037" w:rsidRPr="00715370">
        <w:t>red</w:t>
      </w:r>
      <w:r w:rsidR="002B658F" w:rsidRPr="00715370">
        <w:t xml:space="preserve">, i.e. 1080 </w:t>
      </w:r>
      <w:r w:rsidR="00CA1898" w:rsidRPr="00715370">
        <w:t>h</w:t>
      </w:r>
      <w:r w:rsidR="002B658F" w:rsidRPr="00715370">
        <w:t>. Next, photosynthesis and growth bec</w:t>
      </w:r>
      <w:r w:rsidR="00AE1037" w:rsidRPr="00715370">
        <w:t>a</w:t>
      </w:r>
      <w:r w:rsidR="002B658F" w:rsidRPr="00715370">
        <w:t>me decoupled and thus lipids start</w:t>
      </w:r>
      <w:r w:rsidR="00AE1037" w:rsidRPr="00715370">
        <w:t>ed</w:t>
      </w:r>
      <w:r w:rsidR="002B658F" w:rsidRPr="00715370">
        <w:t xml:space="preserve"> to increase at a higher rate by reaching the value of about 22.5 %wt at the end of cultivation. </w:t>
      </w:r>
      <w:r w:rsidR="004C6CDC" w:rsidRPr="00715370">
        <w:t>In Figs 2b, 2c</w:t>
      </w:r>
      <w:r w:rsidR="00CA1898" w:rsidRPr="00715370">
        <w:t>,</w:t>
      </w:r>
      <w:r w:rsidR="004C6CDC" w:rsidRPr="00715370">
        <w:t xml:space="preserve"> and 2d the comparison between experimental data and model results is also shown. The pH values used in Eq. 3 </w:t>
      </w:r>
      <w:r w:rsidR="000A0613" w:rsidRPr="00715370">
        <w:t>for each cultivation time were</w:t>
      </w:r>
      <w:r w:rsidR="007A1B8D" w:rsidRPr="00715370">
        <w:t xml:space="preserve"> </w:t>
      </w:r>
      <w:r w:rsidR="004C6CDC" w:rsidRPr="00715370">
        <w:t>obtained by interpolating the corresponding experimental data, as shown in Fig</w:t>
      </w:r>
      <w:r w:rsidR="000A0613" w:rsidRPr="00715370">
        <w:t>. 2</w:t>
      </w:r>
      <w:r w:rsidR="004C6CDC" w:rsidRPr="00715370">
        <w:t xml:space="preserve">a. It should be noted that model parameters </w:t>
      </w:r>
      <w:r w:rsidR="00AE1037" w:rsidRPr="00715370">
        <w:t>were</w:t>
      </w:r>
      <w:r w:rsidR="004C6CDC" w:rsidRPr="00715370">
        <w:t xml:space="preserve"> taken from</w:t>
      </w:r>
      <w:r w:rsidR="00DE191E">
        <w:t xml:space="preserve"> the</w:t>
      </w:r>
      <w:r w:rsidR="004C6CDC" w:rsidRPr="00715370">
        <w:t xml:space="preserve"> literature</w:t>
      </w:r>
      <w:r w:rsidR="000A0613" w:rsidRPr="00715370">
        <w:t xml:space="preserve"> (</w:t>
      </w:r>
      <w:proofErr w:type="spellStart"/>
      <w:r w:rsidR="000A0613" w:rsidRPr="00715370">
        <w:t>Soru</w:t>
      </w:r>
      <w:proofErr w:type="spellEnd"/>
      <w:r w:rsidR="000A0613" w:rsidRPr="00715370">
        <w:t xml:space="preserve"> </w:t>
      </w:r>
      <w:r w:rsidR="000A0613" w:rsidRPr="00715370">
        <w:rPr>
          <w:i/>
        </w:rPr>
        <w:t>et al.</w:t>
      </w:r>
      <w:r w:rsidR="00CA1898" w:rsidRPr="00715370">
        <w:t>,</w:t>
      </w:r>
      <w:r w:rsidR="000A0613" w:rsidRPr="00715370">
        <w:t xml:space="preserve"> 2018a and references therein)</w:t>
      </w:r>
      <w:r w:rsidR="004C6CDC" w:rsidRPr="00715370">
        <w:t xml:space="preserve"> except for </w:t>
      </w:r>
      <m:oMath>
        <m:sSub>
          <m:sSubPr>
            <m:ctrlPr>
              <w:rPr>
                <w:rFonts w:ascii="Cambria Math" w:hAnsi="Cambria Math"/>
                <w:i/>
                <w:szCs w:val="18"/>
              </w:rPr>
            </m:ctrlPr>
          </m:sSubPr>
          <m:e>
            <m:r>
              <w:rPr>
                <w:rFonts w:ascii="Cambria Math" w:hAnsi="Cambria Math"/>
                <w:szCs w:val="18"/>
              </w:rPr>
              <m:t>ψ</m:t>
            </m:r>
          </m:e>
          <m:sub>
            <m:r>
              <w:rPr>
                <w:rFonts w:ascii="Cambria Math" w:hAnsi="Cambria Math"/>
                <w:szCs w:val="18"/>
              </w:rPr>
              <m:t>0</m:t>
            </m:r>
          </m:sub>
        </m:sSub>
        <m:r>
          <w:rPr>
            <w:rFonts w:ascii="Cambria Math" w:hAnsi="Cambria Math"/>
            <w:szCs w:val="18"/>
          </w:rPr>
          <m:t xml:space="preserve">, </m:t>
        </m:r>
        <m:r>
          <w:rPr>
            <w:rFonts w:ascii="Cambria Math" w:hAnsi="Cambria Math"/>
            <w:sz w:val="20"/>
          </w:rPr>
          <m:t xml:space="preserve">α, </m:t>
        </m:r>
        <m:sSub>
          <m:sSubPr>
            <m:ctrlPr>
              <w:rPr>
                <w:rFonts w:ascii="Cambria Math" w:hAnsi="Cambria Math"/>
                <w:i/>
                <w:sz w:val="20"/>
              </w:rPr>
            </m:ctrlPr>
          </m:sSubPr>
          <m:e>
            <m:r>
              <w:rPr>
                <w:rFonts w:ascii="Cambria Math" w:hAnsi="Cambria Math"/>
                <w:sz w:val="20"/>
              </w:rPr>
              <m:t>Y</m:t>
            </m:r>
          </m:e>
          <m:sub>
            <m:sSubSup>
              <m:sSubSupPr>
                <m:ctrlPr>
                  <w:rPr>
                    <w:rFonts w:ascii="Cambria Math" w:hAnsi="Cambria Math"/>
                    <w:i/>
                    <w:sz w:val="20"/>
                  </w:rPr>
                </m:ctrlPr>
              </m:sSubSupPr>
              <m:e>
                <m:r>
                  <w:rPr>
                    <w:rFonts w:ascii="Cambria Math" w:hAnsi="Cambria Math"/>
                    <w:sz w:val="20"/>
                  </w:rPr>
                  <m:t>NO</m:t>
                </m:r>
              </m:e>
              <m:sub>
                <m:r>
                  <w:rPr>
                    <w:rFonts w:ascii="Cambria Math" w:hAnsi="Cambria Math"/>
                    <w:sz w:val="20"/>
                  </w:rPr>
                  <m:t>3</m:t>
                </m:r>
              </m:sub>
              <m:sup>
                <m:r>
                  <w:rPr>
                    <w:rFonts w:ascii="Cambria Math" w:hAnsi="Cambria Math"/>
                    <w:sz w:val="20"/>
                  </w:rPr>
                  <m:t>-</m:t>
                </m:r>
              </m:sup>
            </m:sSubSup>
          </m:sub>
        </m:sSub>
      </m:oMath>
      <w:r w:rsidR="000A0613" w:rsidRPr="00715370">
        <w:rPr>
          <w:sz w:val="20"/>
        </w:rPr>
        <w:t xml:space="preserve"> and </w:t>
      </w:r>
      <m:oMath>
        <m:sSub>
          <m:sSubPr>
            <m:ctrlPr>
              <w:rPr>
                <w:rFonts w:ascii="Cambria Math" w:hAnsi="Cambria Math"/>
                <w:i/>
                <w:szCs w:val="18"/>
              </w:rPr>
            </m:ctrlPr>
          </m:sSubPr>
          <m:e>
            <m:r>
              <w:rPr>
                <w:rFonts w:ascii="Cambria Math" w:hAnsi="Cambria Math"/>
                <w:szCs w:val="18"/>
              </w:rPr>
              <m:t>I</m:t>
            </m:r>
          </m:e>
          <m:sub>
            <m:r>
              <w:rPr>
                <w:rFonts w:ascii="Cambria Math" w:hAnsi="Cambria Math"/>
                <w:szCs w:val="18"/>
              </w:rPr>
              <m:t>K</m:t>
            </m:r>
          </m:sub>
        </m:sSub>
      </m:oMath>
      <w:r w:rsidR="000A0613" w:rsidRPr="00715370">
        <w:t xml:space="preserve"> whose values were suitably </w:t>
      </w:r>
      <w:r w:rsidR="004C6CDC" w:rsidRPr="00715370">
        <w:t>tun</w:t>
      </w:r>
      <w:r w:rsidR="000A0613" w:rsidRPr="00715370">
        <w:t>ed</w:t>
      </w:r>
      <w:r w:rsidR="004C6CDC" w:rsidRPr="00715370">
        <w:t xml:space="preserve"> in order to </w:t>
      </w:r>
      <w:r w:rsidR="000A0613" w:rsidRPr="00715370">
        <w:t xml:space="preserve">fit </w:t>
      </w:r>
      <w:r w:rsidR="004C6CDC" w:rsidRPr="00715370">
        <w:t>the experimental data</w:t>
      </w:r>
      <w:r w:rsidR="000A0613" w:rsidRPr="00715370">
        <w:t xml:space="preserve">. </w:t>
      </w:r>
      <w:r w:rsidR="00896286" w:rsidRPr="00715370">
        <w:t>I</w:t>
      </w:r>
      <w:r w:rsidR="000A0613" w:rsidRPr="00715370">
        <w:t xml:space="preserve">t can be seen </w:t>
      </w:r>
      <w:r w:rsidR="00896286" w:rsidRPr="00715370">
        <w:t xml:space="preserve">that </w:t>
      </w:r>
      <w:r w:rsidR="007A1B8D" w:rsidRPr="00715370">
        <w:t>even if with some difference</w:t>
      </w:r>
      <w:r w:rsidR="000A0613" w:rsidRPr="00715370">
        <w:t>, the proposed model quantitatively</w:t>
      </w:r>
      <w:r w:rsidR="007A1B8D" w:rsidRPr="00715370">
        <w:t xml:space="preserve"> captures the experimental behaviour in terms of biomass </w:t>
      </w:r>
      <w:r w:rsidR="00AA34AB" w:rsidRPr="00715370">
        <w:t xml:space="preserve">and </w:t>
      </w:r>
      <w:r w:rsidR="007A1B8D" w:rsidRPr="00715370">
        <w:t xml:space="preserve">nitrogen </w:t>
      </w:r>
      <w:r w:rsidR="00AA34AB" w:rsidRPr="00715370">
        <w:t xml:space="preserve">evolution as well as </w:t>
      </w:r>
      <w:r w:rsidR="000A0613" w:rsidRPr="00715370">
        <w:t>lipid accumulation dynamics</w:t>
      </w:r>
      <w:r w:rsidR="00AA34AB" w:rsidRPr="00715370">
        <w:t xml:space="preserve">. </w:t>
      </w:r>
    </w:p>
    <w:p w:rsidR="00BC1CB4" w:rsidRPr="00715370" w:rsidRDefault="007A1B8D" w:rsidP="005518C5">
      <w:r w:rsidRPr="00715370">
        <w:t>In order to evaluate</w:t>
      </w:r>
      <w:r w:rsidR="00DE191E">
        <w:t xml:space="preserve"> the</w:t>
      </w:r>
      <w:r w:rsidRPr="00715370">
        <w:t xml:space="preserve"> predictive capability of the model, f</w:t>
      </w:r>
      <w:r w:rsidR="002B658F" w:rsidRPr="00715370">
        <w:t>urther experiments were performed using an initial concentration</w:t>
      </w:r>
      <w:r w:rsidRPr="00715370">
        <w:t xml:space="preserve"> of nitrate that was</w:t>
      </w:r>
      <w:r w:rsidR="002B658F" w:rsidRPr="00715370">
        <w:t xml:space="preserve"> reduced by five times (</w:t>
      </w:r>
      <w:r w:rsidRPr="00715370">
        <w:t>0.05 g L</w:t>
      </w:r>
      <w:r w:rsidRPr="00715370">
        <w:rPr>
          <w:vertAlign w:val="superscript"/>
        </w:rPr>
        <w:t>-1</w:t>
      </w:r>
      <w:r w:rsidR="002B658F" w:rsidRPr="00715370">
        <w:t>) with respect to the one of the base-case</w:t>
      </w:r>
      <w:r w:rsidRPr="00715370">
        <w:t xml:space="preserve">. </w:t>
      </w:r>
      <w:r w:rsidR="00896286" w:rsidRPr="00715370">
        <w:t>From Fig. 2a</w:t>
      </w:r>
      <w:r w:rsidR="000A7427" w:rsidRPr="00715370">
        <w:t xml:space="preserve"> it can be observed that pH achieve</w:t>
      </w:r>
      <w:r w:rsidR="00AE1037" w:rsidRPr="00715370">
        <w:t>d</w:t>
      </w:r>
      <w:r w:rsidR="00896286" w:rsidRPr="00715370">
        <w:t xml:space="preserve"> an almost constant value of 8 </w:t>
      </w:r>
      <w:r w:rsidR="000A7427" w:rsidRPr="00715370">
        <w:t>after about 240 h (10 d)</w:t>
      </w:r>
      <w:r w:rsidR="00AA34AB" w:rsidRPr="00715370">
        <w:t xml:space="preserve"> that is quite </w:t>
      </w:r>
      <w:r w:rsidR="000A7427" w:rsidRPr="00715370">
        <w:t xml:space="preserve">lower than the one attained </w:t>
      </w:r>
      <w:r w:rsidR="00DB0C95" w:rsidRPr="00715370">
        <w:t xml:space="preserve">in the base case </w:t>
      </w:r>
      <w:r w:rsidR="000A7427" w:rsidRPr="00715370">
        <w:t xml:space="preserve">experiment. This is </w:t>
      </w:r>
      <w:r w:rsidR="00896286" w:rsidRPr="00715370">
        <w:t xml:space="preserve">because under this operating condition </w:t>
      </w:r>
      <w:r w:rsidR="000A7427" w:rsidRPr="00715370">
        <w:t xml:space="preserve">microalgae growth </w:t>
      </w:r>
      <w:r w:rsidR="00C73A87" w:rsidRPr="00715370">
        <w:t xml:space="preserve">stopped </w:t>
      </w:r>
      <w:r w:rsidR="000A7427" w:rsidRPr="00715370">
        <w:t xml:space="preserve">after about 10 days </w:t>
      </w:r>
      <w:r w:rsidR="00896286" w:rsidRPr="00715370">
        <w:t xml:space="preserve">of cultivation </w:t>
      </w:r>
      <w:r w:rsidR="000A7427" w:rsidRPr="00715370">
        <w:t xml:space="preserve">when the biomass concentration </w:t>
      </w:r>
      <w:r w:rsidR="00DB0C95" w:rsidRPr="00715370">
        <w:t>achieve</w:t>
      </w:r>
      <w:r w:rsidR="00AE1037" w:rsidRPr="00715370">
        <w:t>d</w:t>
      </w:r>
      <w:r w:rsidR="00DB0C95" w:rsidRPr="00715370">
        <w:t xml:space="preserve"> the</w:t>
      </w:r>
      <w:r w:rsidR="000A7427" w:rsidRPr="00715370">
        <w:t xml:space="preserve"> value of about 0.4 g L</w:t>
      </w:r>
      <w:r w:rsidR="000A7427" w:rsidRPr="00715370">
        <w:rPr>
          <w:vertAlign w:val="superscript"/>
        </w:rPr>
        <w:t>-1</w:t>
      </w:r>
      <w:r w:rsidR="000A7427" w:rsidRPr="00715370">
        <w:t>. Accordingly, CO</w:t>
      </w:r>
      <w:r w:rsidR="000A7427" w:rsidRPr="00715370">
        <w:rPr>
          <w:vertAlign w:val="subscript"/>
        </w:rPr>
        <w:t>2</w:t>
      </w:r>
      <w:r w:rsidR="000A7427" w:rsidRPr="00715370">
        <w:t xml:space="preserve"> consumption </w:t>
      </w:r>
      <w:r w:rsidR="00AE1037" w:rsidRPr="00715370">
        <w:t>was</w:t>
      </w:r>
      <w:r w:rsidR="000A7427" w:rsidRPr="00715370">
        <w:t xml:space="preserve"> reduced and </w:t>
      </w:r>
      <w:r w:rsidR="00B40C5B" w:rsidRPr="00715370">
        <w:t>thus</w:t>
      </w:r>
      <w:r w:rsidR="000A7427" w:rsidRPr="00715370">
        <w:t xml:space="preserve"> </w:t>
      </w:r>
      <w:r w:rsidR="00B40C5B" w:rsidRPr="00715370">
        <w:t xml:space="preserve">the </w:t>
      </w:r>
      <w:r w:rsidR="000A7427" w:rsidRPr="00715370">
        <w:t xml:space="preserve">pH increase </w:t>
      </w:r>
      <w:r w:rsidR="00AE1037" w:rsidRPr="00715370">
        <w:t>was</w:t>
      </w:r>
      <w:r w:rsidR="000A7427" w:rsidRPr="00715370">
        <w:t xml:space="preserve"> inhibited.</w:t>
      </w:r>
      <w:r w:rsidR="008E02DF" w:rsidRPr="00715370">
        <w:t xml:space="preserve"> As </w:t>
      </w:r>
      <w:r w:rsidR="00896286" w:rsidRPr="00715370">
        <w:t xml:space="preserve">shown </w:t>
      </w:r>
      <w:r w:rsidR="008E02DF" w:rsidRPr="00715370">
        <w:t xml:space="preserve">from Fig. 2c, this early achievement of culture stability </w:t>
      </w:r>
      <w:r w:rsidR="00AE1037" w:rsidRPr="00715370">
        <w:t>was</w:t>
      </w:r>
      <w:r w:rsidR="008E02DF" w:rsidRPr="00715370">
        <w:t xml:space="preserve"> </w:t>
      </w:r>
      <w:r w:rsidR="00AE1037" w:rsidRPr="00715370">
        <w:t>caused</w:t>
      </w:r>
      <w:r w:rsidR="008E02DF" w:rsidRPr="00715370">
        <w:t xml:space="preserve"> </w:t>
      </w:r>
      <w:r w:rsidR="00AE1037" w:rsidRPr="00715370">
        <w:t>by</w:t>
      </w:r>
      <w:r w:rsidR="008E02DF" w:rsidRPr="00715370">
        <w:t xml:space="preserve"> the total consumption of nitrogen after </w:t>
      </w:r>
      <w:r w:rsidR="00896286" w:rsidRPr="00715370">
        <w:t xml:space="preserve">about </w:t>
      </w:r>
      <w:r w:rsidR="008E02DF" w:rsidRPr="00715370">
        <w:t xml:space="preserve">10 days. </w:t>
      </w:r>
      <w:r w:rsidR="00896286" w:rsidRPr="00715370">
        <w:t>T</w:t>
      </w:r>
      <w:r w:rsidR="008E02DF" w:rsidRPr="00715370">
        <w:t>he evolution of lipid show</w:t>
      </w:r>
      <w:r w:rsidR="00AE1037" w:rsidRPr="00715370">
        <w:t xml:space="preserve">ed </w:t>
      </w:r>
      <w:r w:rsidR="008E02DF" w:rsidRPr="00715370">
        <w:t xml:space="preserve">a growing trend for the entire </w:t>
      </w:r>
      <w:r w:rsidR="008E02DF" w:rsidRPr="00715370">
        <w:lastRenderedPageBreak/>
        <w:t>investigated period of time</w:t>
      </w:r>
      <w:r w:rsidR="00AA34AB" w:rsidRPr="00715370">
        <w:t xml:space="preserve">. </w:t>
      </w:r>
      <w:r w:rsidR="00E42919" w:rsidRPr="00715370">
        <w:t xml:space="preserve">During </w:t>
      </w:r>
      <w:r w:rsidR="00E47B5F" w:rsidRPr="00715370">
        <w:t xml:space="preserve">the first 15 days lipid accumulation </w:t>
      </w:r>
      <w:r w:rsidR="00B40C5B" w:rsidRPr="00715370">
        <w:t xml:space="preserve">dynamics </w:t>
      </w:r>
      <w:r w:rsidR="00C73A87" w:rsidRPr="00715370">
        <w:t xml:space="preserve">was </w:t>
      </w:r>
      <w:r w:rsidR="00E47B5F" w:rsidRPr="00715370">
        <w:t>almost similar to the one already observed under the base case conditions</w:t>
      </w:r>
      <w:r w:rsidR="00E42919" w:rsidRPr="00715370">
        <w:t>.</w:t>
      </w:r>
      <w:r w:rsidR="00E47B5F" w:rsidRPr="00715370">
        <w:t xml:space="preserve"> </w:t>
      </w:r>
      <w:r w:rsidR="005518C5" w:rsidRPr="00715370">
        <w:t xml:space="preserve">When </w:t>
      </w:r>
      <w:r w:rsidR="001B7881" w:rsidRPr="00715370">
        <w:t xml:space="preserve">nitrogen </w:t>
      </w:r>
      <w:r w:rsidR="00C73A87" w:rsidRPr="00715370">
        <w:t xml:space="preserve">was </w:t>
      </w:r>
      <w:r w:rsidR="005518C5" w:rsidRPr="00715370">
        <w:t>consumed</w:t>
      </w:r>
      <w:r w:rsidR="00E47B5F" w:rsidRPr="00715370">
        <w:t>, lipid concentration greatly augment</w:t>
      </w:r>
      <w:r w:rsidR="00AE1037" w:rsidRPr="00715370">
        <w:t>ed</w:t>
      </w:r>
      <w:r w:rsidR="00E47B5F" w:rsidRPr="00715370">
        <w:t xml:space="preserve"> reaching </w:t>
      </w:r>
      <w:r w:rsidR="00AE1037" w:rsidRPr="00715370">
        <w:t>the</w:t>
      </w:r>
      <w:r w:rsidR="00E47B5F" w:rsidRPr="00715370">
        <w:t xml:space="preserve"> value</w:t>
      </w:r>
      <w:r w:rsidR="00AE1037" w:rsidRPr="00715370">
        <w:t xml:space="preserve"> of ~40 %</w:t>
      </w:r>
      <w:proofErr w:type="spellStart"/>
      <w:r w:rsidR="00AE1037" w:rsidRPr="00715370">
        <w:t>wt</w:t>
      </w:r>
      <w:proofErr w:type="spellEnd"/>
      <w:r w:rsidR="00E47B5F" w:rsidRPr="00715370">
        <w:t xml:space="preserve"> at the end of cultivation. Such </w:t>
      </w:r>
      <w:r w:rsidR="00B40C5B" w:rsidRPr="00715370">
        <w:t>behaviour</w:t>
      </w:r>
      <w:r w:rsidR="00E47B5F" w:rsidRPr="00715370">
        <w:t xml:space="preserve"> is due to the fact that </w:t>
      </w:r>
      <w:r w:rsidR="001B7881" w:rsidRPr="00715370">
        <w:t>since m</w:t>
      </w:r>
      <w:r w:rsidR="00B40C5B" w:rsidRPr="00715370">
        <w:t xml:space="preserve">icroalgae </w:t>
      </w:r>
      <w:r w:rsidR="008E7138" w:rsidRPr="00715370">
        <w:t>stopped</w:t>
      </w:r>
      <w:r w:rsidR="00E47B5F" w:rsidRPr="00715370">
        <w:t xml:space="preserve"> growing due to the consumption of nitrogen,</w:t>
      </w:r>
      <w:r w:rsidR="00E42919" w:rsidRPr="00715370">
        <w:t xml:space="preserve"> </w:t>
      </w:r>
      <w:r w:rsidR="00E47B5F" w:rsidRPr="00715370">
        <w:t>all the</w:t>
      </w:r>
      <w:r w:rsidR="00B40C5B" w:rsidRPr="00715370">
        <w:t xml:space="preserve"> assimilated</w:t>
      </w:r>
      <w:r w:rsidR="00E47B5F" w:rsidRPr="00715370">
        <w:t xml:space="preserve"> carbon </w:t>
      </w:r>
      <w:r w:rsidR="008E7138" w:rsidRPr="00715370">
        <w:t>was</w:t>
      </w:r>
      <w:r w:rsidR="00B40C5B" w:rsidRPr="00715370">
        <w:t xml:space="preserve"> converted into lipids</w:t>
      </w:r>
      <w:r w:rsidR="00E47B5F" w:rsidRPr="00715370">
        <w:t xml:space="preserve"> rather than into </w:t>
      </w:r>
      <w:r w:rsidR="00B40C5B" w:rsidRPr="00715370">
        <w:t>proteins</w:t>
      </w:r>
      <w:r w:rsidR="005B4281" w:rsidRPr="00715370">
        <w:t xml:space="preserve"> (Concas </w:t>
      </w:r>
      <w:r w:rsidR="005B4281" w:rsidRPr="00715370">
        <w:rPr>
          <w:i/>
        </w:rPr>
        <w:t>et al.</w:t>
      </w:r>
      <w:r w:rsidR="005B4281" w:rsidRPr="00715370">
        <w:t>, 2017)</w:t>
      </w:r>
      <w:r w:rsidR="00B40C5B" w:rsidRPr="00715370">
        <w:t>. As it can be seen from the Figs</w:t>
      </w:r>
      <w:r w:rsidR="00E42919" w:rsidRPr="00715370">
        <w:t>.</w:t>
      </w:r>
      <w:r w:rsidR="00B40C5B" w:rsidRPr="00715370">
        <w:t xml:space="preserve"> </w:t>
      </w:r>
      <w:r w:rsidR="001B7881" w:rsidRPr="00715370">
        <w:t>4b-</w:t>
      </w:r>
      <w:r w:rsidR="00B40C5B" w:rsidRPr="00715370">
        <w:t xml:space="preserve">4d, the model well simulates these experimental results without adjusting any parameter thus demonstrating a good predictive capability. Accordingly, it might represent a useful tool to design, control and optimize the growth and lipid production </w:t>
      </w:r>
      <w:r w:rsidR="00B40C5B" w:rsidRPr="00715370">
        <w:rPr>
          <w:i/>
        </w:rPr>
        <w:t xml:space="preserve">of C. </w:t>
      </w:r>
      <w:proofErr w:type="spellStart"/>
      <w:r w:rsidR="00B40C5B" w:rsidRPr="00715370">
        <w:rPr>
          <w:i/>
        </w:rPr>
        <w:t>melkonianii</w:t>
      </w:r>
      <w:proofErr w:type="spellEnd"/>
      <w:r w:rsidR="00B40C5B" w:rsidRPr="00715370">
        <w:t xml:space="preserve"> in different devices.</w:t>
      </w:r>
      <w:r w:rsidR="005A2B41" w:rsidRPr="00715370">
        <w:t xml:space="preserve"> </w:t>
      </w:r>
      <w:proofErr w:type="spellStart"/>
      <w:r w:rsidR="005A2B41" w:rsidRPr="00715370">
        <w:t>togliere</w:t>
      </w:r>
      <w:proofErr w:type="spellEnd"/>
      <w:r w:rsidR="005A2B41" w:rsidRPr="00715370">
        <w:t xml:space="preserve"> </w:t>
      </w:r>
      <w:proofErr w:type="spellStart"/>
      <w:r w:rsidR="005A2B41" w:rsidRPr="00715370">
        <w:t>uno</w:t>
      </w:r>
      <w:proofErr w:type="spellEnd"/>
      <w:r w:rsidR="005A2B41" w:rsidRPr="00715370">
        <w:t xml:space="preserve"> </w:t>
      </w:r>
      <w:proofErr w:type="spellStart"/>
      <w:r w:rsidR="005A2B41" w:rsidRPr="00715370">
        <w:t>spazio</w:t>
      </w:r>
      <w:proofErr w:type="spellEnd"/>
      <w:r w:rsidR="005A2B41" w:rsidRPr="00715370">
        <w:t xml:space="preserve"> </w:t>
      </w:r>
      <w:r w:rsidR="00BC1CB4" w:rsidRPr="00715370">
        <w:t>In particular, by combining model outputs related to lipid productivity with the experimental results obtained from the analysis of FAME</w:t>
      </w:r>
      <w:r w:rsidR="00E42919" w:rsidRPr="00715370">
        <w:t>s</w:t>
      </w:r>
      <w:r w:rsidR="00BC1CB4" w:rsidRPr="00715370">
        <w:t xml:space="preserve"> reported by </w:t>
      </w:r>
      <w:proofErr w:type="spellStart"/>
      <w:r w:rsidR="00BC1CB4" w:rsidRPr="00715370">
        <w:t>Soru</w:t>
      </w:r>
      <w:proofErr w:type="spellEnd"/>
      <w:r w:rsidR="00BC1CB4" w:rsidRPr="00715370">
        <w:t xml:space="preserve"> </w:t>
      </w:r>
      <w:r w:rsidR="00BC1CB4" w:rsidRPr="00715370">
        <w:rPr>
          <w:i/>
        </w:rPr>
        <w:t>et al.</w:t>
      </w:r>
      <w:r w:rsidR="00BC1CB4" w:rsidRPr="00715370">
        <w:t>, (2018</w:t>
      </w:r>
      <w:r w:rsidR="008E7138" w:rsidRPr="00715370">
        <w:t>a</w:t>
      </w:r>
      <w:r w:rsidR="00BC1CB4" w:rsidRPr="00715370">
        <w:t xml:space="preserve">), it was possible </w:t>
      </w:r>
      <w:r w:rsidR="00E42919" w:rsidRPr="00715370">
        <w:t xml:space="preserve">to </w:t>
      </w:r>
      <w:r w:rsidR="00BC1CB4" w:rsidRPr="00715370">
        <w:t>evaluat</w:t>
      </w:r>
      <w:r w:rsidR="00E42919" w:rsidRPr="00715370">
        <w:t>e</w:t>
      </w:r>
      <w:r w:rsidR="00BC1CB4" w:rsidRPr="00715370">
        <w:t xml:space="preserve"> the productivity of the different fatty acids </w:t>
      </w:r>
      <w:r w:rsidR="00E42919" w:rsidRPr="00715370">
        <w:t>recover</w:t>
      </w:r>
      <w:r w:rsidR="008E7138" w:rsidRPr="00715370">
        <w:t>ed</w:t>
      </w:r>
      <w:r w:rsidR="00BC1CB4" w:rsidRPr="00715370">
        <w:t xml:space="preserve"> </w:t>
      </w:r>
      <w:r w:rsidR="008E7138" w:rsidRPr="00715370">
        <w:t xml:space="preserve">from </w:t>
      </w:r>
      <w:r w:rsidR="00BC1CB4" w:rsidRPr="00715370">
        <w:rPr>
          <w:i/>
        </w:rPr>
        <w:t xml:space="preserve">C. </w:t>
      </w:r>
      <w:proofErr w:type="spellStart"/>
      <w:r w:rsidR="00BC1CB4" w:rsidRPr="00715370">
        <w:rPr>
          <w:i/>
        </w:rPr>
        <w:t>melkonianii</w:t>
      </w:r>
      <w:proofErr w:type="spellEnd"/>
      <w:r w:rsidR="00BC1CB4" w:rsidRPr="00715370">
        <w:t xml:space="preserve"> </w:t>
      </w:r>
      <w:r w:rsidR="008E7138" w:rsidRPr="00715370">
        <w:t xml:space="preserve">cultivated </w:t>
      </w:r>
      <w:r w:rsidR="00BC1CB4" w:rsidRPr="00715370">
        <w:t xml:space="preserve">under the </w:t>
      </w:r>
      <w:r w:rsidR="00AC0AB8" w:rsidRPr="00715370">
        <w:t xml:space="preserve">abovementioned </w:t>
      </w:r>
      <w:r w:rsidR="00BC1CB4" w:rsidRPr="00715370">
        <w:t xml:space="preserve">operating conditions. The corresponding results are summarized in </w:t>
      </w:r>
      <w:r w:rsidR="004006F0" w:rsidRPr="00715370">
        <w:t>F</w:t>
      </w:r>
      <w:r w:rsidR="00BC1CB4" w:rsidRPr="00715370">
        <w:t>ig</w:t>
      </w:r>
      <w:r w:rsidR="004006F0" w:rsidRPr="00715370">
        <w:t xml:space="preserve">. </w:t>
      </w:r>
      <w:r w:rsidR="00BC1CB4" w:rsidRPr="00715370">
        <w:t xml:space="preserve">3. </w:t>
      </w:r>
    </w:p>
    <w:p w:rsidR="002279FC" w:rsidRPr="00715370" w:rsidRDefault="002279FC" w:rsidP="002279FC">
      <w:pPr>
        <w:pStyle w:val="CETBodytext"/>
        <w:spacing w:before="120"/>
        <w:jc w:val="left"/>
        <w:rPr>
          <w:lang w:val="en-GB"/>
        </w:rPr>
      </w:pPr>
      <w:r w:rsidRPr="00715370">
        <w:object w:dxaOrig="9978" w:dyaOrig="2724">
          <v:shape id="_x0000_i1036" type="#_x0000_t75" style="width:433.8pt;height:114pt;mso-position-horizontal:absolute" o:ole="">
            <v:imagedata r:id="rId34" o:title="" cropbottom="4093f" cropleft="745f" cropright="1117f"/>
          </v:shape>
          <o:OLEObject Type="Embed" ProgID="Origin50.Graph" ShapeID="_x0000_i1036" DrawAspect="Content" ObjectID="_1615378211" r:id="rId35"/>
        </w:object>
      </w:r>
      <w:r w:rsidRPr="00715370">
        <w:rPr>
          <w:i/>
        </w:rPr>
        <w:t>Figure 3. Evaluated productivity of fatty acids</w:t>
      </w:r>
    </w:p>
    <w:p w:rsidR="00963001" w:rsidRPr="00715370" w:rsidRDefault="00963001" w:rsidP="001C1CD3">
      <w:pPr>
        <w:pStyle w:val="CETBodytext"/>
        <w:rPr>
          <w:lang w:val="en-GB"/>
        </w:rPr>
      </w:pPr>
    </w:p>
    <w:p w:rsidR="00F540C1" w:rsidRPr="00715370" w:rsidRDefault="000376BC" w:rsidP="00E969A7">
      <w:pPr>
        <w:pStyle w:val="CETBodytext"/>
      </w:pPr>
      <w:r w:rsidRPr="00715370">
        <w:rPr>
          <w:lang w:val="en-GB"/>
        </w:rPr>
        <w:t>As it can be observed</w:t>
      </w:r>
      <w:r w:rsidR="00D85350" w:rsidRPr="00715370">
        <w:rPr>
          <w:lang w:val="en-GB"/>
        </w:rPr>
        <w:t>,</w:t>
      </w:r>
      <w:r w:rsidRPr="00715370">
        <w:rPr>
          <w:lang w:val="en-GB"/>
        </w:rPr>
        <w:t xml:space="preserve"> the productivities</w:t>
      </w:r>
      <w:r w:rsidR="00DE191E">
        <w:rPr>
          <w:lang w:val="en-GB"/>
        </w:rPr>
        <w:t xml:space="preserve"> </w:t>
      </w:r>
      <w:r w:rsidR="00DE191E" w:rsidRPr="00DE191E">
        <w:rPr>
          <w:lang w:val="en-GB"/>
        </w:rPr>
        <w:t>obtained by changing operating conditions were quite different for almost</w:t>
      </w:r>
      <w:r w:rsidR="00DE191E">
        <w:rPr>
          <w:lang w:val="en-GB"/>
        </w:rPr>
        <w:t xml:space="preserve"> </w:t>
      </w:r>
      <w:r w:rsidR="00DE191E" w:rsidRPr="00DE191E">
        <w:rPr>
          <w:lang w:val="en-GB"/>
        </w:rPr>
        <w:t>all the detected FAMEs</w:t>
      </w:r>
      <w:r w:rsidR="00D85350" w:rsidRPr="00715370">
        <w:rPr>
          <w:lang w:val="en-GB"/>
        </w:rPr>
        <w:t xml:space="preserve">. In </w:t>
      </w:r>
      <w:r w:rsidR="005518C5" w:rsidRPr="00715370">
        <w:rPr>
          <w:lang w:val="en-GB"/>
        </w:rPr>
        <w:t>particular,</w:t>
      </w:r>
      <w:r w:rsidR="00D85350" w:rsidRPr="00715370">
        <w:rPr>
          <w:lang w:val="en-GB"/>
        </w:rPr>
        <w:t xml:space="preserve"> </w:t>
      </w:r>
      <w:r w:rsidR="005518C5" w:rsidRPr="00715370">
        <w:rPr>
          <w:lang w:val="en-GB"/>
        </w:rPr>
        <w:t>t</w:t>
      </w:r>
      <w:r w:rsidR="00D85350" w:rsidRPr="00715370">
        <w:rPr>
          <w:lang w:val="en-GB"/>
        </w:rPr>
        <w:t xml:space="preserve">he BBM standard medium </w:t>
      </w:r>
      <w:r w:rsidR="00AC0AB8" w:rsidRPr="00715370">
        <w:rPr>
          <w:lang w:val="en-GB"/>
        </w:rPr>
        <w:t xml:space="preserve">yielded </w:t>
      </w:r>
      <w:r w:rsidR="00D85350" w:rsidRPr="00715370">
        <w:rPr>
          <w:lang w:val="en-GB"/>
        </w:rPr>
        <w:t xml:space="preserve">the highest productivities </w:t>
      </w:r>
      <w:r w:rsidR="00AC0AB8" w:rsidRPr="00715370">
        <w:rPr>
          <w:lang w:val="en-GB"/>
        </w:rPr>
        <w:t xml:space="preserve">of </w:t>
      </w:r>
      <w:r w:rsidR="00E969A7" w:rsidRPr="00715370">
        <w:rPr>
          <w:lang w:val="en-GB"/>
        </w:rPr>
        <w:t xml:space="preserve">C16:0 (palmitic), </w:t>
      </w:r>
      <w:r w:rsidR="00AC0AB8" w:rsidRPr="00715370">
        <w:rPr>
          <w:lang w:val="en-GB"/>
        </w:rPr>
        <w:t xml:space="preserve">C18:3 (linolenic), and </w:t>
      </w:r>
      <w:r w:rsidR="00D85350" w:rsidRPr="00715370">
        <w:rPr>
          <w:lang w:val="en-GB"/>
        </w:rPr>
        <w:t>C20:0 (</w:t>
      </w:r>
      <w:proofErr w:type="spellStart"/>
      <w:r w:rsidR="00D85350" w:rsidRPr="00715370">
        <w:rPr>
          <w:lang w:val="en-GB"/>
        </w:rPr>
        <w:t>arachidic</w:t>
      </w:r>
      <w:proofErr w:type="spellEnd"/>
      <w:r w:rsidR="00D85350" w:rsidRPr="00715370">
        <w:rPr>
          <w:lang w:val="en-GB"/>
        </w:rPr>
        <w:t>) acids.</w:t>
      </w:r>
      <w:r w:rsidR="005A2B41" w:rsidRPr="00715370">
        <w:rPr>
          <w:lang w:val="en-GB"/>
        </w:rPr>
        <w:t xml:space="preserve"> </w:t>
      </w:r>
      <w:r w:rsidR="005518C5" w:rsidRPr="00715370">
        <w:rPr>
          <w:lang w:val="en-GB"/>
        </w:rPr>
        <w:t>On the other hand, when using a</w:t>
      </w:r>
      <w:r w:rsidR="00D85350" w:rsidRPr="00715370">
        <w:rPr>
          <w:lang w:val="en-GB"/>
        </w:rPr>
        <w:t xml:space="preserve"> lower </w:t>
      </w:r>
      <w:r w:rsidR="00E969A7" w:rsidRPr="00715370">
        <w:rPr>
          <w:lang w:val="en-GB"/>
        </w:rPr>
        <w:t xml:space="preserve">initial </w:t>
      </w:r>
      <w:r w:rsidR="00D85350" w:rsidRPr="00715370">
        <w:rPr>
          <w:lang w:val="en-GB"/>
        </w:rPr>
        <w:t xml:space="preserve">concentration of nitrogen </w:t>
      </w:r>
      <w:r w:rsidR="008E7138" w:rsidRPr="00715370">
        <w:rPr>
          <w:lang w:val="en-GB"/>
        </w:rPr>
        <w:t xml:space="preserve">(1/5N-BBM) </w:t>
      </w:r>
      <w:r w:rsidR="00D85350" w:rsidRPr="00715370">
        <w:rPr>
          <w:lang w:val="en-GB"/>
        </w:rPr>
        <w:t xml:space="preserve">the </w:t>
      </w:r>
      <w:r w:rsidR="00AC0AB8" w:rsidRPr="00715370">
        <w:rPr>
          <w:lang w:val="en-GB"/>
        </w:rPr>
        <w:t xml:space="preserve">main </w:t>
      </w:r>
      <w:r w:rsidR="00D85350" w:rsidRPr="00715370">
        <w:rPr>
          <w:lang w:val="en-GB"/>
        </w:rPr>
        <w:t xml:space="preserve">FAMEs </w:t>
      </w:r>
      <w:r w:rsidR="00E969A7" w:rsidRPr="00715370">
        <w:rPr>
          <w:lang w:val="en-GB"/>
        </w:rPr>
        <w:t xml:space="preserve">produced </w:t>
      </w:r>
      <w:r w:rsidR="00AC0AB8" w:rsidRPr="00715370">
        <w:rPr>
          <w:lang w:val="en-GB"/>
        </w:rPr>
        <w:t xml:space="preserve">were C16:0 (palmitic), </w:t>
      </w:r>
      <w:r w:rsidR="00E969A7" w:rsidRPr="00715370">
        <w:rPr>
          <w:lang w:val="en-GB"/>
        </w:rPr>
        <w:t>C18:0 (stearic)</w:t>
      </w:r>
      <w:r w:rsidR="00AC0AB8" w:rsidRPr="00715370">
        <w:rPr>
          <w:lang w:val="en-GB"/>
        </w:rPr>
        <w:t>,</w:t>
      </w:r>
      <w:r w:rsidR="00E969A7" w:rsidRPr="00715370">
        <w:rPr>
          <w:lang w:val="en-GB"/>
        </w:rPr>
        <w:t xml:space="preserve"> </w:t>
      </w:r>
      <w:r w:rsidR="00AC0AB8" w:rsidRPr="00715370">
        <w:rPr>
          <w:lang w:val="en-GB"/>
        </w:rPr>
        <w:t>and C18:</w:t>
      </w:r>
      <w:r w:rsidR="00E969A7" w:rsidRPr="00715370">
        <w:rPr>
          <w:lang w:val="en-GB"/>
        </w:rPr>
        <w:t xml:space="preserve">1 (oleic). </w:t>
      </w:r>
      <w:r w:rsidR="00AC0AB8" w:rsidRPr="00715370">
        <w:rPr>
          <w:lang w:val="en-GB"/>
        </w:rPr>
        <w:t xml:space="preserve">An unusual high production of </w:t>
      </w:r>
      <w:r w:rsidR="00E969A7" w:rsidRPr="00715370">
        <w:rPr>
          <w:lang w:val="en-GB"/>
        </w:rPr>
        <w:t>C8:0 (</w:t>
      </w:r>
      <w:proofErr w:type="spellStart"/>
      <w:r w:rsidR="00E969A7" w:rsidRPr="00715370">
        <w:rPr>
          <w:lang w:val="en-GB"/>
        </w:rPr>
        <w:t>caprylic</w:t>
      </w:r>
      <w:proofErr w:type="spellEnd"/>
      <w:r w:rsidR="00E969A7" w:rsidRPr="00715370">
        <w:rPr>
          <w:lang w:val="en-GB"/>
        </w:rPr>
        <w:t xml:space="preserve">) acid </w:t>
      </w:r>
      <w:r w:rsidR="00AC0AB8" w:rsidRPr="00715370">
        <w:rPr>
          <w:lang w:val="en-GB"/>
        </w:rPr>
        <w:t xml:space="preserve">was </w:t>
      </w:r>
      <w:r w:rsidR="00E969A7" w:rsidRPr="00715370">
        <w:rPr>
          <w:lang w:val="en-GB"/>
        </w:rPr>
        <w:t xml:space="preserve">observed when using </w:t>
      </w:r>
      <w:r w:rsidR="008E7138" w:rsidRPr="00715370">
        <w:rPr>
          <w:lang w:val="en-GB"/>
        </w:rPr>
        <w:t xml:space="preserve">the </w:t>
      </w:r>
      <w:r w:rsidR="00E969A7" w:rsidRPr="00715370">
        <w:rPr>
          <w:lang w:val="en-GB"/>
        </w:rPr>
        <w:t>low</w:t>
      </w:r>
      <w:r w:rsidR="008E7138" w:rsidRPr="00715370">
        <w:rPr>
          <w:lang w:val="en-GB"/>
        </w:rPr>
        <w:t>er</w:t>
      </w:r>
      <w:r w:rsidR="00E969A7" w:rsidRPr="00715370">
        <w:rPr>
          <w:lang w:val="en-GB"/>
        </w:rPr>
        <w:t xml:space="preserve"> initial concentrations of nitrogen. </w:t>
      </w:r>
    </w:p>
    <w:p w:rsidR="005A28DA" w:rsidRPr="00715370" w:rsidRDefault="00F540C1" w:rsidP="00F540C1">
      <w:pPr>
        <w:pStyle w:val="CETBodytext"/>
        <w:rPr>
          <w:lang w:val="en-GB"/>
        </w:rPr>
      </w:pPr>
      <w:r w:rsidRPr="00715370">
        <w:rPr>
          <w:lang w:val="en-GB"/>
        </w:rPr>
        <w:t>The possibility of using the extracted lipids for producing biodiesel was evaluated on the basis of the FAMEs profile by taking advantage of the software Biodiesel Analyzer© Ver. 2.2</w:t>
      </w:r>
      <w:r w:rsidR="009A276B" w:rsidRPr="00715370">
        <w:rPr>
          <w:lang w:val="en-GB"/>
        </w:rPr>
        <w:t>,</w:t>
      </w:r>
      <w:r w:rsidR="00E969A7" w:rsidRPr="00715370">
        <w:rPr>
          <w:lang w:val="en-GB"/>
        </w:rPr>
        <w:t xml:space="preserve"> according to a procedure </w:t>
      </w:r>
      <w:r w:rsidR="009A276B" w:rsidRPr="00715370">
        <w:rPr>
          <w:lang w:val="en-GB"/>
        </w:rPr>
        <w:t>reported</w:t>
      </w:r>
      <w:r w:rsidR="00E969A7" w:rsidRPr="00715370">
        <w:rPr>
          <w:lang w:val="en-GB"/>
        </w:rPr>
        <w:t xml:space="preserve"> elsewhere</w:t>
      </w:r>
      <w:r w:rsidRPr="00715370">
        <w:rPr>
          <w:lang w:val="en-GB"/>
        </w:rPr>
        <w:t xml:space="preserve"> (</w:t>
      </w:r>
      <w:r w:rsidR="00E969A7" w:rsidRPr="00715370">
        <w:rPr>
          <w:lang w:val="en-GB"/>
        </w:rPr>
        <w:t xml:space="preserve">Concas </w:t>
      </w:r>
      <w:r w:rsidR="00E969A7" w:rsidRPr="00715370">
        <w:rPr>
          <w:i/>
          <w:lang w:val="en-GB"/>
        </w:rPr>
        <w:t>et al.</w:t>
      </w:r>
      <w:r w:rsidR="00E969A7" w:rsidRPr="00715370">
        <w:rPr>
          <w:lang w:val="en-GB"/>
        </w:rPr>
        <w:t xml:space="preserve">, </w:t>
      </w:r>
      <w:r w:rsidR="009A276B" w:rsidRPr="00715370">
        <w:rPr>
          <w:lang w:val="en-GB"/>
        </w:rPr>
        <w:t>2016</w:t>
      </w:r>
      <w:r w:rsidRPr="00715370">
        <w:rPr>
          <w:lang w:val="en-GB"/>
        </w:rPr>
        <w:t>). By means of suitable mathematical relationships, the latter one permits to evaluate the releva</w:t>
      </w:r>
      <w:r w:rsidR="00E969A7" w:rsidRPr="00715370">
        <w:rPr>
          <w:lang w:val="en-GB"/>
        </w:rPr>
        <w:t xml:space="preserve">nt characteristics of biodiesel </w:t>
      </w:r>
      <w:r w:rsidRPr="00715370">
        <w:rPr>
          <w:lang w:val="en-GB"/>
        </w:rPr>
        <w:t>which would be obtained fr</w:t>
      </w:r>
      <w:r w:rsidR="00F45725" w:rsidRPr="00715370">
        <w:rPr>
          <w:lang w:val="en-GB"/>
        </w:rPr>
        <w:t>om the concerned FAMEs mixture.</w:t>
      </w:r>
      <w:r w:rsidRPr="00715370">
        <w:rPr>
          <w:lang w:val="en-GB"/>
        </w:rPr>
        <w:t xml:space="preserve"> The obtained results are summarized in Table </w:t>
      </w:r>
      <w:r w:rsidR="008E7138" w:rsidRPr="00715370">
        <w:rPr>
          <w:lang w:val="en-GB"/>
        </w:rPr>
        <w:t>1</w:t>
      </w:r>
      <w:r w:rsidRPr="00715370">
        <w:rPr>
          <w:lang w:val="en-GB"/>
        </w:rPr>
        <w:t xml:space="preserve">. </w:t>
      </w:r>
    </w:p>
    <w:p w:rsidR="00EE67E2" w:rsidRPr="00715370" w:rsidRDefault="00EE67E2" w:rsidP="00F540C1">
      <w:pPr>
        <w:pStyle w:val="CETBodytext"/>
        <w:rPr>
          <w:lang w:val="en-GB"/>
        </w:rPr>
      </w:pPr>
    </w:p>
    <w:p w:rsidR="00EE67E2" w:rsidRPr="00715370" w:rsidRDefault="00EE67E2" w:rsidP="00EE67E2">
      <w:pPr>
        <w:pStyle w:val="CETBodytext"/>
        <w:rPr>
          <w:i/>
          <w:lang w:val="en-GB"/>
        </w:rPr>
      </w:pPr>
      <w:r w:rsidRPr="00715370">
        <w:rPr>
          <w:b/>
          <w:i/>
          <w:lang w:val="en-GB"/>
        </w:rPr>
        <w:t>Table 1.</w:t>
      </w:r>
      <w:r w:rsidRPr="00715370">
        <w:rPr>
          <w:i/>
          <w:lang w:val="en-GB"/>
        </w:rPr>
        <w:t xml:space="preserve"> Estimated values of the main parameters of the biodiesels obtainable from </w:t>
      </w:r>
      <w:proofErr w:type="spellStart"/>
      <w:r w:rsidRPr="00715370">
        <w:rPr>
          <w:i/>
          <w:lang w:val="en-GB"/>
        </w:rPr>
        <w:t>C</w:t>
      </w:r>
      <w:r w:rsidR="008E7138" w:rsidRPr="00715370">
        <w:rPr>
          <w:i/>
          <w:lang w:val="en-GB"/>
        </w:rPr>
        <w:t>occomyxa</w:t>
      </w:r>
      <w:proofErr w:type="spellEnd"/>
      <w:r w:rsidRPr="00715370">
        <w:rPr>
          <w:i/>
          <w:lang w:val="en-GB"/>
        </w:rPr>
        <w:t xml:space="preserve"> </w:t>
      </w:r>
      <w:proofErr w:type="spellStart"/>
      <w:r w:rsidRPr="00715370">
        <w:rPr>
          <w:i/>
          <w:lang w:val="en-GB"/>
        </w:rPr>
        <w:t>melkonianii</w:t>
      </w:r>
      <w:proofErr w:type="spellEnd"/>
      <w:r w:rsidRPr="00715370">
        <w:rPr>
          <w:i/>
          <w:lang w:val="en-GB"/>
        </w:rPr>
        <w:t xml:space="preserve"> </w:t>
      </w:r>
      <w:r w:rsidR="008E7138" w:rsidRPr="00715370">
        <w:rPr>
          <w:i/>
          <w:lang w:val="en-GB"/>
        </w:rPr>
        <w:t xml:space="preserve">SCCA 048 </w:t>
      </w:r>
      <w:r w:rsidRPr="00715370">
        <w:rPr>
          <w:i/>
          <w:lang w:val="en-GB"/>
        </w:rPr>
        <w:t>and comparison with the European standard for quality biodiesel</w:t>
      </w:r>
    </w:p>
    <w:tbl>
      <w:tblPr>
        <w:tblW w:w="5000" w:type="pct"/>
        <w:tblBorders>
          <w:top w:val="single" w:sz="4" w:space="0" w:color="auto"/>
          <w:bottom w:val="single" w:sz="4" w:space="0" w:color="auto"/>
          <w:insideV w:val="single" w:sz="4" w:space="0" w:color="auto"/>
        </w:tblBorders>
        <w:tblLook w:val="04A0" w:firstRow="1" w:lastRow="0" w:firstColumn="1" w:lastColumn="0" w:noHBand="0" w:noVBand="1"/>
      </w:tblPr>
      <w:tblGrid>
        <w:gridCol w:w="1530"/>
        <w:gridCol w:w="3184"/>
        <w:gridCol w:w="916"/>
        <w:gridCol w:w="1016"/>
        <w:gridCol w:w="1160"/>
        <w:gridCol w:w="1197"/>
      </w:tblGrid>
      <w:tr w:rsidR="00715370" w:rsidRPr="00715370" w:rsidTr="005237C1">
        <w:trPr>
          <w:trHeight w:val="255"/>
        </w:trPr>
        <w:tc>
          <w:tcPr>
            <w:tcW w:w="850" w:type="pct"/>
            <w:tcBorders>
              <w:top w:val="single" w:sz="12" w:space="0" w:color="009900"/>
              <w:bottom w:val="single" w:sz="4" w:space="0" w:color="009900"/>
              <w:right w:val="nil"/>
            </w:tcBorders>
            <w:shd w:val="clear" w:color="auto" w:fill="auto"/>
            <w:noWrap/>
            <w:vAlign w:val="center"/>
            <w:hideMark/>
          </w:tcPr>
          <w:p w:rsidR="00BD4D70" w:rsidRPr="00715370" w:rsidRDefault="00BD4D70" w:rsidP="00EE67E2">
            <w:pPr>
              <w:tabs>
                <w:tab w:val="clear" w:pos="7100"/>
              </w:tabs>
              <w:rPr>
                <w:rFonts w:cs="Arial"/>
                <w:b/>
                <w:bCs/>
                <w:szCs w:val="18"/>
                <w:lang w:val="en-US"/>
              </w:rPr>
            </w:pPr>
            <w:r w:rsidRPr="00715370">
              <w:rPr>
                <w:rFonts w:cs="Arial"/>
                <w:b/>
                <w:bCs/>
                <w:szCs w:val="18"/>
                <w:lang w:val="en-US"/>
              </w:rPr>
              <w:t>Symbol</w:t>
            </w:r>
          </w:p>
        </w:tc>
        <w:tc>
          <w:tcPr>
            <w:tcW w:w="1769" w:type="pct"/>
            <w:tcBorders>
              <w:top w:val="single" w:sz="12" w:space="0" w:color="009900"/>
              <w:left w:val="nil"/>
              <w:bottom w:val="single" w:sz="4" w:space="0" w:color="009900"/>
              <w:right w:val="nil"/>
            </w:tcBorders>
            <w:shd w:val="clear" w:color="auto" w:fill="auto"/>
            <w:noWrap/>
            <w:vAlign w:val="center"/>
            <w:hideMark/>
          </w:tcPr>
          <w:p w:rsidR="00BD4D70" w:rsidRPr="00715370" w:rsidRDefault="00BD4D70" w:rsidP="00EE67E2">
            <w:pPr>
              <w:tabs>
                <w:tab w:val="clear" w:pos="7100"/>
              </w:tabs>
              <w:rPr>
                <w:rFonts w:cs="Arial"/>
                <w:b/>
                <w:bCs/>
                <w:szCs w:val="18"/>
                <w:lang w:val="en-US"/>
              </w:rPr>
            </w:pPr>
            <w:r w:rsidRPr="00715370">
              <w:rPr>
                <w:rFonts w:cs="Arial"/>
                <w:b/>
                <w:bCs/>
                <w:szCs w:val="18"/>
                <w:lang w:val="en-US"/>
              </w:rPr>
              <w:t>Biodiesel Parameter</w:t>
            </w:r>
          </w:p>
        </w:tc>
        <w:tc>
          <w:tcPr>
            <w:tcW w:w="509" w:type="pct"/>
            <w:tcBorders>
              <w:top w:val="single" w:sz="12" w:space="0" w:color="009900"/>
              <w:left w:val="nil"/>
              <w:bottom w:val="single" w:sz="4" w:space="0" w:color="009900"/>
              <w:right w:val="nil"/>
            </w:tcBorders>
            <w:shd w:val="clear" w:color="auto" w:fill="auto"/>
            <w:noWrap/>
            <w:vAlign w:val="center"/>
            <w:hideMark/>
          </w:tcPr>
          <w:p w:rsidR="00BD4D70" w:rsidRPr="00715370" w:rsidRDefault="00BD4D70" w:rsidP="00EE67E2">
            <w:pPr>
              <w:tabs>
                <w:tab w:val="clear" w:pos="7100"/>
              </w:tabs>
              <w:rPr>
                <w:rFonts w:cs="Arial"/>
                <w:b/>
                <w:bCs/>
                <w:szCs w:val="18"/>
                <w:lang w:val="en-US"/>
              </w:rPr>
            </w:pPr>
            <w:r w:rsidRPr="00715370">
              <w:rPr>
                <w:rFonts w:cs="Arial"/>
                <w:b/>
                <w:bCs/>
                <w:szCs w:val="18"/>
                <w:lang w:val="en-US"/>
              </w:rPr>
              <w:t>Units</w:t>
            </w:r>
          </w:p>
        </w:tc>
        <w:tc>
          <w:tcPr>
            <w:tcW w:w="564" w:type="pct"/>
            <w:tcBorders>
              <w:top w:val="single" w:sz="12" w:space="0" w:color="009900"/>
              <w:left w:val="nil"/>
              <w:bottom w:val="single" w:sz="4" w:space="0" w:color="009900"/>
              <w:right w:val="nil"/>
            </w:tcBorders>
            <w:shd w:val="clear" w:color="auto" w:fill="auto"/>
            <w:noWrap/>
            <w:vAlign w:val="center"/>
            <w:hideMark/>
          </w:tcPr>
          <w:p w:rsidR="00BD4D70" w:rsidRPr="00715370" w:rsidRDefault="00BD4D70" w:rsidP="00EE67E2">
            <w:pPr>
              <w:tabs>
                <w:tab w:val="clear" w:pos="7100"/>
              </w:tabs>
              <w:rPr>
                <w:rFonts w:cs="Arial"/>
                <w:b/>
                <w:bCs/>
                <w:szCs w:val="18"/>
                <w:lang w:val="en-US"/>
              </w:rPr>
            </w:pPr>
            <w:r w:rsidRPr="00715370">
              <w:rPr>
                <w:rFonts w:cs="Arial"/>
                <w:b/>
                <w:bCs/>
                <w:szCs w:val="18"/>
                <w:lang w:val="en-US"/>
              </w:rPr>
              <w:t>BBM</w:t>
            </w:r>
          </w:p>
        </w:tc>
        <w:tc>
          <w:tcPr>
            <w:tcW w:w="644" w:type="pct"/>
            <w:tcBorders>
              <w:top w:val="single" w:sz="12" w:space="0" w:color="009900"/>
              <w:left w:val="nil"/>
              <w:bottom w:val="single" w:sz="4" w:space="0" w:color="009900"/>
              <w:right w:val="nil"/>
            </w:tcBorders>
            <w:vAlign w:val="center"/>
          </w:tcPr>
          <w:p w:rsidR="00BD4D70" w:rsidRPr="00715370" w:rsidRDefault="00BD4D70" w:rsidP="00EE67E2">
            <w:pPr>
              <w:tabs>
                <w:tab w:val="clear" w:pos="7100"/>
              </w:tabs>
              <w:rPr>
                <w:rFonts w:cs="Arial"/>
                <w:b/>
                <w:bCs/>
                <w:szCs w:val="18"/>
                <w:lang w:val="en-US"/>
              </w:rPr>
            </w:pPr>
            <w:r w:rsidRPr="00715370">
              <w:rPr>
                <w:rFonts w:cs="Arial"/>
                <w:b/>
                <w:bCs/>
                <w:szCs w:val="18"/>
                <w:lang w:val="en-US"/>
              </w:rPr>
              <w:t>1/5N</w:t>
            </w:r>
          </w:p>
        </w:tc>
        <w:tc>
          <w:tcPr>
            <w:tcW w:w="665" w:type="pct"/>
            <w:tcBorders>
              <w:top w:val="single" w:sz="12" w:space="0" w:color="009900"/>
              <w:left w:val="nil"/>
              <w:bottom w:val="single" w:sz="4" w:space="0" w:color="009900"/>
            </w:tcBorders>
            <w:shd w:val="clear" w:color="auto" w:fill="auto"/>
            <w:vAlign w:val="center"/>
            <w:hideMark/>
          </w:tcPr>
          <w:p w:rsidR="00BD4D70" w:rsidRPr="00715370" w:rsidRDefault="00BD4D70" w:rsidP="00EE67E2">
            <w:pPr>
              <w:tabs>
                <w:tab w:val="clear" w:pos="7100"/>
              </w:tabs>
              <w:rPr>
                <w:rFonts w:cs="Arial"/>
                <w:b/>
                <w:bCs/>
                <w:szCs w:val="18"/>
                <w:lang w:val="en-US"/>
              </w:rPr>
            </w:pPr>
            <w:r w:rsidRPr="00715370">
              <w:rPr>
                <w:rFonts w:cs="Arial"/>
                <w:b/>
                <w:bCs/>
                <w:szCs w:val="18"/>
                <w:lang w:val="en-US"/>
              </w:rPr>
              <w:t>EN 14214</w:t>
            </w:r>
            <w:r w:rsidRPr="00715370">
              <w:rPr>
                <w:rFonts w:cs="Arial"/>
                <w:b/>
                <w:bCs/>
                <w:szCs w:val="18"/>
                <w:lang w:val="en-US"/>
              </w:rPr>
              <w:br/>
              <w:t>limits</w:t>
            </w:r>
          </w:p>
        </w:tc>
      </w:tr>
      <w:tr w:rsidR="00715370" w:rsidRPr="00715370" w:rsidTr="005237C1">
        <w:trPr>
          <w:trHeight w:val="255"/>
        </w:trPr>
        <w:tc>
          <w:tcPr>
            <w:tcW w:w="850" w:type="pct"/>
            <w:tcBorders>
              <w:top w:val="single" w:sz="4" w:space="0" w:color="009900"/>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SFA</w:t>
            </w:r>
          </w:p>
        </w:tc>
        <w:tc>
          <w:tcPr>
            <w:tcW w:w="1769" w:type="pct"/>
            <w:tcBorders>
              <w:top w:val="single" w:sz="4" w:space="0" w:color="009900"/>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Saturated Fatty Acid</w:t>
            </w:r>
          </w:p>
        </w:tc>
        <w:tc>
          <w:tcPr>
            <w:tcW w:w="509" w:type="pct"/>
            <w:tcBorders>
              <w:top w:val="single" w:sz="4" w:space="0" w:color="009900"/>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top w:val="single" w:sz="4" w:space="0" w:color="009900"/>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63.900</w:t>
            </w:r>
          </w:p>
        </w:tc>
        <w:tc>
          <w:tcPr>
            <w:tcW w:w="644" w:type="pct"/>
            <w:tcBorders>
              <w:top w:val="single" w:sz="4" w:space="0" w:color="009900"/>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67.000</w:t>
            </w:r>
          </w:p>
        </w:tc>
        <w:tc>
          <w:tcPr>
            <w:tcW w:w="665" w:type="pct"/>
            <w:tcBorders>
              <w:top w:val="single" w:sz="4" w:space="0" w:color="009900"/>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PUFA&gt;1 D.B.*</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Poly Unsaturated Fatty Acid &gt;1</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27.960</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6.290</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tcPr>
          <w:p w:rsidR="00BD4D70" w:rsidRPr="00715370" w:rsidRDefault="00BD4D70" w:rsidP="00EE67E2">
            <w:pPr>
              <w:tabs>
                <w:tab w:val="clear" w:pos="7100"/>
              </w:tabs>
              <w:rPr>
                <w:rFonts w:cs="Arial"/>
                <w:szCs w:val="18"/>
                <w:lang w:val="en-US"/>
              </w:rPr>
            </w:pPr>
            <w:r w:rsidRPr="00715370">
              <w:rPr>
                <w:rFonts w:cs="Arial"/>
                <w:szCs w:val="18"/>
                <w:lang w:val="en-US"/>
              </w:rPr>
              <w:t>LAC18</w:t>
            </w:r>
          </w:p>
        </w:tc>
        <w:tc>
          <w:tcPr>
            <w:tcW w:w="1769" w:type="pct"/>
            <w:tcBorders>
              <w:left w:val="nil"/>
              <w:right w:val="nil"/>
            </w:tcBorders>
            <w:shd w:val="clear" w:color="auto" w:fill="auto"/>
            <w:noWrap/>
            <w:vAlign w:val="center"/>
          </w:tcPr>
          <w:p w:rsidR="00BD4D70" w:rsidRPr="00715370" w:rsidRDefault="00BD4D70" w:rsidP="00EE67E2">
            <w:pPr>
              <w:tabs>
                <w:tab w:val="clear" w:pos="7100"/>
              </w:tabs>
              <w:rPr>
                <w:rFonts w:cs="Arial"/>
                <w:szCs w:val="18"/>
                <w:lang w:val="en-US"/>
              </w:rPr>
            </w:pPr>
            <w:r w:rsidRPr="00715370">
              <w:rPr>
                <w:rFonts w:cs="Arial"/>
                <w:szCs w:val="18"/>
                <w:lang w:val="en-US"/>
              </w:rPr>
              <w:t>Linolenic acid content</w:t>
            </w:r>
          </w:p>
        </w:tc>
        <w:tc>
          <w:tcPr>
            <w:tcW w:w="509" w:type="pct"/>
            <w:tcBorders>
              <w:left w:val="nil"/>
              <w:right w:val="nil"/>
            </w:tcBorders>
            <w:shd w:val="clear" w:color="auto" w:fill="auto"/>
            <w:noWrap/>
            <w:vAlign w:val="center"/>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left w:val="nil"/>
              <w:right w:val="nil"/>
            </w:tcBorders>
            <w:shd w:val="clear" w:color="auto" w:fill="auto"/>
            <w:noWrap/>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15.770</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0.000</w:t>
            </w:r>
          </w:p>
        </w:tc>
        <w:tc>
          <w:tcPr>
            <w:tcW w:w="665" w:type="pct"/>
            <w:tcBorders>
              <w:left w:val="nil"/>
            </w:tcBorders>
            <w:shd w:val="clear" w:color="auto" w:fill="auto"/>
            <w:noWrap/>
            <w:vAlign w:val="center"/>
          </w:tcPr>
          <w:p w:rsidR="00BD4D70" w:rsidRPr="00715370" w:rsidRDefault="00BD4D70" w:rsidP="00EE67E2">
            <w:pPr>
              <w:tabs>
                <w:tab w:val="clear" w:pos="7100"/>
              </w:tabs>
              <w:rPr>
                <w:rFonts w:cs="Arial"/>
                <w:szCs w:val="18"/>
                <w:lang w:val="en-US"/>
              </w:rPr>
            </w:pPr>
            <w:r w:rsidRPr="00715370">
              <w:rPr>
                <w:rFonts w:cs="Arial"/>
                <w:szCs w:val="18"/>
                <w:lang w:val="en-US"/>
              </w:rPr>
              <w:t>12</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SV</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Saponification Value</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mg g</w:t>
            </w:r>
            <w:r w:rsidRPr="00715370">
              <w:rPr>
                <w:rFonts w:cs="Arial"/>
                <w:szCs w:val="18"/>
                <w:vertAlign w:val="superscript"/>
                <w:lang w:val="en-US"/>
              </w:rPr>
              <w:t>-1</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202.121</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190.226</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IV</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Iodine Value</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73.074</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22.364</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&lt; 120</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CN</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proofErr w:type="spellStart"/>
            <w:r w:rsidRPr="00715370">
              <w:rPr>
                <w:rFonts w:cs="Arial"/>
                <w:szCs w:val="18"/>
                <w:lang w:val="en-US"/>
              </w:rPr>
              <w:t>Cetane</w:t>
            </w:r>
            <w:proofErr w:type="spellEnd"/>
            <w:r w:rsidRPr="00715370">
              <w:rPr>
                <w:rFonts w:cs="Arial"/>
                <w:szCs w:val="18"/>
                <w:lang w:val="en-US"/>
              </w:rPr>
              <w:t xml:space="preserve"> number</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56.862</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69.960</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&gt; 51</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LCSF</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Long Chain Saturated Factor</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32.558</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19.458</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CP</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Cloud Point</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°C</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10.646</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7.990</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PP</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Pour Point</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°C</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4.736</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1.852</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OS</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Oxidation Stability</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hours</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6.808</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21.339</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&gt; 8</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HHV</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Higher Heating Value</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MJ kg</w:t>
            </w:r>
            <w:r w:rsidRPr="00715370">
              <w:rPr>
                <w:rFonts w:cs="Arial"/>
                <w:szCs w:val="18"/>
                <w:vertAlign w:val="superscript"/>
                <w:lang w:val="en-US"/>
              </w:rPr>
              <w:t>-1</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39.768</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33.328</w:t>
            </w:r>
          </w:p>
        </w:tc>
        <w:tc>
          <w:tcPr>
            <w:tcW w:w="665" w:type="pct"/>
            <w:tcBorders>
              <w:lef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w:t>
            </w:r>
          </w:p>
        </w:tc>
      </w:tr>
      <w:tr w:rsidR="00715370" w:rsidRPr="00715370" w:rsidTr="005237C1">
        <w:trPr>
          <w:trHeight w:val="255"/>
        </w:trPr>
        <w:tc>
          <w:tcPr>
            <w:tcW w:w="850" w:type="pct"/>
            <w:tcBorders>
              <w:right w:val="nil"/>
            </w:tcBorders>
            <w:shd w:val="clear" w:color="auto" w:fill="auto"/>
            <w:noWrap/>
            <w:vAlign w:val="center"/>
            <w:hideMark/>
          </w:tcPr>
          <w:p w:rsidR="00BD4D70" w:rsidRPr="00715370" w:rsidRDefault="00BD4D70" w:rsidP="00EE67E2">
            <w:pPr>
              <w:tabs>
                <w:tab w:val="clear" w:pos="7100"/>
              </w:tabs>
              <w:rPr>
                <w:rFonts w:ascii="Symbol" w:hAnsi="Symbol" w:cs="Arial"/>
                <w:szCs w:val="18"/>
                <w:lang w:val="en-US"/>
              </w:rPr>
            </w:pPr>
            <w:r w:rsidRPr="00715370">
              <w:rPr>
                <w:rFonts w:ascii="Symbol" w:hAnsi="Symbol" w:cs="Arial"/>
                <w:szCs w:val="18"/>
                <w:lang w:val="en-US"/>
              </w:rPr>
              <w:t></w:t>
            </w:r>
          </w:p>
        </w:tc>
        <w:tc>
          <w:tcPr>
            <w:tcW w:w="176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Kinematic Viscosity</w:t>
            </w:r>
          </w:p>
        </w:tc>
        <w:tc>
          <w:tcPr>
            <w:tcW w:w="509" w:type="pct"/>
            <w:tcBorders>
              <w:left w:val="nil"/>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mm²s</w:t>
            </w:r>
            <w:r w:rsidRPr="00715370">
              <w:rPr>
                <w:rFonts w:cs="Arial"/>
                <w:szCs w:val="18"/>
                <w:vertAlign w:val="superscript"/>
                <w:lang w:val="en-US"/>
              </w:rPr>
              <w:t>-1</w:t>
            </w:r>
          </w:p>
        </w:tc>
        <w:tc>
          <w:tcPr>
            <w:tcW w:w="564" w:type="pct"/>
            <w:tcBorders>
              <w:left w:val="nil"/>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4.122</w:t>
            </w:r>
          </w:p>
        </w:tc>
        <w:tc>
          <w:tcPr>
            <w:tcW w:w="644" w:type="pct"/>
            <w:tcBorders>
              <w:left w:val="nil"/>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3.040</w:t>
            </w:r>
          </w:p>
        </w:tc>
        <w:tc>
          <w:tcPr>
            <w:tcW w:w="665" w:type="pct"/>
            <w:tcBorders>
              <w:left w:val="nil"/>
            </w:tcBorders>
            <w:shd w:val="clear" w:color="auto" w:fill="auto"/>
            <w:noWrap/>
            <w:vAlign w:val="center"/>
            <w:hideMark/>
          </w:tcPr>
          <w:p w:rsidR="00BD4D70" w:rsidRPr="00715370" w:rsidRDefault="00BD4D70" w:rsidP="00DA0FAF">
            <w:pPr>
              <w:tabs>
                <w:tab w:val="clear" w:pos="7100"/>
              </w:tabs>
              <w:rPr>
                <w:rFonts w:cs="Arial"/>
                <w:szCs w:val="18"/>
                <w:lang w:val="en-US"/>
              </w:rPr>
            </w:pPr>
            <w:r w:rsidRPr="00715370">
              <w:rPr>
                <w:rFonts w:cs="Arial"/>
                <w:szCs w:val="18"/>
                <w:lang w:val="en-US"/>
              </w:rPr>
              <w:t>3.5</w:t>
            </w:r>
            <w:r w:rsidR="00DA0FAF">
              <w:rPr>
                <w:rFonts w:cs="Arial"/>
                <w:szCs w:val="18"/>
                <w:lang w:val="en-US"/>
              </w:rPr>
              <w:t xml:space="preserve"> </w:t>
            </w:r>
            <w:r w:rsidR="00DA0FAF">
              <w:rPr>
                <w:rFonts w:cs="Arial"/>
                <w:szCs w:val="18"/>
                <w:lang w:val="en-US"/>
              </w:rPr>
              <w:sym w:font="UniversalMath1 BT" w:char="F034"/>
            </w:r>
            <w:r w:rsidR="00DA0FAF">
              <w:rPr>
                <w:rFonts w:cs="Arial"/>
                <w:szCs w:val="18"/>
                <w:lang w:val="en-US"/>
              </w:rPr>
              <w:t xml:space="preserve"> </w:t>
            </w:r>
            <w:r w:rsidRPr="00715370">
              <w:rPr>
                <w:rFonts w:cs="Arial"/>
                <w:szCs w:val="18"/>
                <w:lang w:val="en-US"/>
              </w:rPr>
              <w:t>5.0</w:t>
            </w:r>
          </w:p>
        </w:tc>
      </w:tr>
      <w:tr w:rsidR="00DA0FAF" w:rsidRPr="00715370" w:rsidTr="005237C1">
        <w:trPr>
          <w:trHeight w:val="255"/>
        </w:trPr>
        <w:tc>
          <w:tcPr>
            <w:tcW w:w="850" w:type="pct"/>
            <w:tcBorders>
              <w:bottom w:val="single" w:sz="12" w:space="0" w:color="009900"/>
              <w:right w:val="nil"/>
            </w:tcBorders>
            <w:shd w:val="clear" w:color="auto" w:fill="auto"/>
            <w:noWrap/>
            <w:vAlign w:val="center"/>
            <w:hideMark/>
          </w:tcPr>
          <w:p w:rsidR="00BD4D70" w:rsidRPr="00715370" w:rsidRDefault="00BD4D70" w:rsidP="00EE67E2">
            <w:pPr>
              <w:tabs>
                <w:tab w:val="clear" w:pos="7100"/>
              </w:tabs>
              <w:rPr>
                <w:rFonts w:ascii="Symbol" w:hAnsi="Symbol" w:cs="Arial"/>
                <w:szCs w:val="18"/>
                <w:lang w:val="en-US"/>
              </w:rPr>
            </w:pPr>
            <w:r w:rsidRPr="00715370">
              <w:rPr>
                <w:rFonts w:ascii="Symbol" w:hAnsi="Symbol" w:cs="Arial"/>
                <w:szCs w:val="18"/>
                <w:lang w:val="en-US"/>
              </w:rPr>
              <w:t></w:t>
            </w:r>
          </w:p>
        </w:tc>
        <w:tc>
          <w:tcPr>
            <w:tcW w:w="1769" w:type="pct"/>
            <w:tcBorders>
              <w:left w:val="nil"/>
              <w:bottom w:val="single" w:sz="12" w:space="0" w:color="009900"/>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Density</w:t>
            </w:r>
          </w:p>
        </w:tc>
        <w:tc>
          <w:tcPr>
            <w:tcW w:w="509" w:type="pct"/>
            <w:tcBorders>
              <w:left w:val="nil"/>
              <w:bottom w:val="single" w:sz="12" w:space="0" w:color="009900"/>
              <w:right w:val="nil"/>
            </w:tcBorders>
            <w:shd w:val="clear" w:color="auto" w:fill="auto"/>
            <w:noWrap/>
            <w:vAlign w:val="center"/>
            <w:hideMark/>
          </w:tcPr>
          <w:p w:rsidR="00BD4D70" w:rsidRPr="00715370" w:rsidRDefault="00BD4D70" w:rsidP="00EE67E2">
            <w:pPr>
              <w:tabs>
                <w:tab w:val="clear" w:pos="7100"/>
              </w:tabs>
              <w:rPr>
                <w:rFonts w:cs="Arial"/>
                <w:szCs w:val="18"/>
                <w:lang w:val="en-US"/>
              </w:rPr>
            </w:pPr>
            <w:r w:rsidRPr="00715370">
              <w:rPr>
                <w:rFonts w:cs="Arial"/>
                <w:szCs w:val="18"/>
                <w:lang w:val="en-US"/>
              </w:rPr>
              <w:t>g cm</w:t>
            </w:r>
            <w:r w:rsidRPr="00715370">
              <w:rPr>
                <w:rFonts w:cs="Arial"/>
                <w:szCs w:val="18"/>
                <w:vertAlign w:val="superscript"/>
                <w:lang w:val="en-US"/>
              </w:rPr>
              <w:t>-3</w:t>
            </w:r>
          </w:p>
        </w:tc>
        <w:tc>
          <w:tcPr>
            <w:tcW w:w="564" w:type="pct"/>
            <w:tcBorders>
              <w:left w:val="nil"/>
              <w:bottom w:val="single" w:sz="12" w:space="0" w:color="009900"/>
              <w:right w:val="nil"/>
            </w:tcBorders>
            <w:shd w:val="clear" w:color="auto" w:fill="auto"/>
            <w:noWrap/>
            <w:vAlign w:val="center"/>
            <w:hideMark/>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0.878</w:t>
            </w:r>
          </w:p>
        </w:tc>
        <w:tc>
          <w:tcPr>
            <w:tcW w:w="644" w:type="pct"/>
            <w:tcBorders>
              <w:left w:val="nil"/>
              <w:bottom w:val="single" w:sz="12" w:space="0" w:color="009900"/>
              <w:right w:val="nil"/>
            </w:tcBorders>
            <w:vAlign w:val="center"/>
          </w:tcPr>
          <w:p w:rsidR="00BD4D70" w:rsidRPr="00715370" w:rsidRDefault="00BD4D70" w:rsidP="00EE67E2">
            <w:pPr>
              <w:tabs>
                <w:tab w:val="clear" w:pos="7100"/>
              </w:tabs>
              <w:rPr>
                <w:rFonts w:eastAsiaTheme="minorHAnsi" w:cs="Arial"/>
                <w:szCs w:val="18"/>
                <w:lang w:val="it-IT"/>
              </w:rPr>
            </w:pPr>
            <w:r w:rsidRPr="00715370">
              <w:rPr>
                <w:rFonts w:eastAsiaTheme="minorHAnsi" w:cs="Arial"/>
                <w:szCs w:val="18"/>
                <w:lang w:val="it-IT"/>
              </w:rPr>
              <w:t>0.743</w:t>
            </w:r>
          </w:p>
        </w:tc>
        <w:tc>
          <w:tcPr>
            <w:tcW w:w="665" w:type="pct"/>
            <w:tcBorders>
              <w:left w:val="nil"/>
              <w:bottom w:val="single" w:sz="12" w:space="0" w:color="009900"/>
            </w:tcBorders>
            <w:shd w:val="clear" w:color="auto" w:fill="auto"/>
            <w:noWrap/>
            <w:vAlign w:val="center"/>
            <w:hideMark/>
          </w:tcPr>
          <w:p w:rsidR="00BD4D70" w:rsidRPr="00715370" w:rsidRDefault="00BD4D70" w:rsidP="00DA0FAF">
            <w:pPr>
              <w:tabs>
                <w:tab w:val="clear" w:pos="7100"/>
              </w:tabs>
              <w:rPr>
                <w:rFonts w:cs="Arial"/>
                <w:szCs w:val="18"/>
                <w:lang w:val="en-US"/>
              </w:rPr>
            </w:pPr>
            <w:r w:rsidRPr="00715370">
              <w:rPr>
                <w:rFonts w:cs="Arial"/>
                <w:szCs w:val="18"/>
                <w:lang w:val="en-US"/>
              </w:rPr>
              <w:t>0.86</w:t>
            </w:r>
            <w:r w:rsidR="00DA0FAF">
              <w:rPr>
                <w:rFonts w:cs="Arial"/>
                <w:szCs w:val="18"/>
                <w:lang w:val="en-US"/>
              </w:rPr>
              <w:t xml:space="preserve"> </w:t>
            </w:r>
            <w:r w:rsidR="00DA0FAF">
              <w:rPr>
                <w:rFonts w:cs="Arial"/>
                <w:szCs w:val="18"/>
                <w:lang w:val="en-US"/>
              </w:rPr>
              <w:sym w:font="UniversalMath1 BT" w:char="F034"/>
            </w:r>
            <w:r w:rsidR="00DA0FAF">
              <w:rPr>
                <w:rFonts w:cs="Arial"/>
                <w:szCs w:val="18"/>
                <w:lang w:val="en-US"/>
              </w:rPr>
              <w:t xml:space="preserve"> </w:t>
            </w:r>
            <w:r w:rsidRPr="00715370">
              <w:rPr>
                <w:rFonts w:cs="Arial"/>
                <w:szCs w:val="18"/>
                <w:lang w:val="en-US"/>
              </w:rPr>
              <w:t>0.90</w:t>
            </w:r>
          </w:p>
        </w:tc>
      </w:tr>
    </w:tbl>
    <w:p w:rsidR="00DA0FAF" w:rsidRPr="00DA0FAF" w:rsidRDefault="00DA0FAF" w:rsidP="00DA0FAF">
      <w:pPr>
        <w:pStyle w:val="CETBodytext"/>
        <w:rPr>
          <w:lang w:val="en-GB"/>
        </w:rPr>
      </w:pPr>
      <w:r w:rsidRPr="00DA0FAF">
        <w:rPr>
          <w:lang w:val="en-GB"/>
        </w:rPr>
        <w:t>*   Double Bonds</w:t>
      </w:r>
    </w:p>
    <w:p w:rsidR="009A276B" w:rsidRPr="00DA0FAF" w:rsidRDefault="00DA0FAF" w:rsidP="00DA0FAF">
      <w:pPr>
        <w:pStyle w:val="CETBodytext"/>
        <w:rPr>
          <w:lang w:val="en-GB"/>
        </w:rPr>
      </w:pPr>
      <w:r w:rsidRPr="00DA0FAF">
        <w:rPr>
          <w:lang w:val="en-GB"/>
        </w:rPr>
        <w:t>** Limits are those by EN 590 standards for temperate zones</w:t>
      </w:r>
    </w:p>
    <w:p w:rsidR="005237C1" w:rsidRDefault="005237C1" w:rsidP="005237C1">
      <w:pPr>
        <w:pStyle w:val="CETBodytext"/>
        <w:rPr>
          <w:lang w:val="en-GB"/>
        </w:rPr>
      </w:pPr>
      <w:r w:rsidRPr="005237C1">
        <w:rPr>
          <w:lang w:val="en-GB"/>
        </w:rPr>
        <w:lastRenderedPageBreak/>
        <w:t>It should be noted that, while some parameters of the resulting biodiesel</w:t>
      </w:r>
      <w:r>
        <w:rPr>
          <w:lang w:val="en-GB"/>
        </w:rPr>
        <w:t xml:space="preserve"> </w:t>
      </w:r>
      <w:r w:rsidRPr="005237C1">
        <w:rPr>
          <w:lang w:val="en-GB"/>
        </w:rPr>
        <w:t>would comply with the range of values prescribed by the Europeans standard</w:t>
      </w:r>
      <w:r>
        <w:rPr>
          <w:lang w:val="en-GB"/>
        </w:rPr>
        <w:t xml:space="preserve"> </w:t>
      </w:r>
      <w:r w:rsidRPr="005237C1">
        <w:rPr>
          <w:lang w:val="en-GB"/>
        </w:rPr>
        <w:t>for quality biodiesel (EN 14214), some others are quite far</w:t>
      </w:r>
      <w:r>
        <w:rPr>
          <w:lang w:val="en-GB"/>
        </w:rPr>
        <w:t xml:space="preserve"> </w:t>
      </w:r>
      <w:r w:rsidRPr="005237C1">
        <w:rPr>
          <w:lang w:val="en-GB"/>
        </w:rPr>
        <w:t>from their</w:t>
      </w:r>
      <w:r>
        <w:rPr>
          <w:lang w:val="en-GB"/>
        </w:rPr>
        <w:t xml:space="preserve"> </w:t>
      </w:r>
      <w:r w:rsidRPr="005237C1">
        <w:rPr>
          <w:lang w:val="en-GB"/>
        </w:rPr>
        <w:t>optimal range.</w:t>
      </w:r>
      <w:r>
        <w:rPr>
          <w:lang w:val="en-GB"/>
        </w:rPr>
        <w:t xml:space="preserve"> </w:t>
      </w:r>
      <w:r w:rsidR="009A276B" w:rsidRPr="00715370">
        <w:rPr>
          <w:lang w:val="en-GB"/>
        </w:rPr>
        <w:t xml:space="preserve">In particular, </w:t>
      </w:r>
      <w:r w:rsidR="008E7138" w:rsidRPr="00715370">
        <w:rPr>
          <w:lang w:val="en-GB"/>
        </w:rPr>
        <w:t xml:space="preserve">BBM and 1/5N-BBM mixtures show a </w:t>
      </w:r>
      <w:r w:rsidR="009A276B" w:rsidRPr="00715370">
        <w:rPr>
          <w:lang w:val="en-GB"/>
        </w:rPr>
        <w:t>very high cold filter plugging point (CFPP)</w:t>
      </w:r>
      <w:r w:rsidR="00F45725" w:rsidRPr="00715370">
        <w:rPr>
          <w:lang w:val="en-GB"/>
        </w:rPr>
        <w:t>,</w:t>
      </w:r>
      <w:r w:rsidR="009A276B" w:rsidRPr="00715370">
        <w:rPr>
          <w:lang w:val="en-GB"/>
        </w:rPr>
        <w:t xml:space="preserve"> thus hindering the possibility of using the resulting biodiesel in compression ignition engines. </w:t>
      </w:r>
      <w:r w:rsidR="00F45725" w:rsidRPr="00715370">
        <w:rPr>
          <w:lang w:val="en-GB"/>
        </w:rPr>
        <w:t xml:space="preserve">The </w:t>
      </w:r>
      <w:r w:rsidR="009A276B" w:rsidRPr="00715370">
        <w:rPr>
          <w:lang w:val="en-GB"/>
        </w:rPr>
        <w:t>density and kinematic viscosity of biodiesels</w:t>
      </w:r>
      <w:r w:rsidR="00F45725" w:rsidRPr="00715370">
        <w:rPr>
          <w:lang w:val="en-GB"/>
        </w:rPr>
        <w:t xml:space="preserve"> obtained from 1/5N-BBM cultures </w:t>
      </w:r>
      <w:r w:rsidR="009A276B" w:rsidRPr="00715370">
        <w:rPr>
          <w:lang w:val="en-GB"/>
        </w:rPr>
        <w:t>is out of the corresponding optimal range</w:t>
      </w:r>
      <w:r w:rsidR="00F45725" w:rsidRPr="00715370">
        <w:rPr>
          <w:lang w:val="en-GB"/>
        </w:rPr>
        <w:t>.</w:t>
      </w:r>
      <w:r w:rsidR="009A276B" w:rsidRPr="00715370">
        <w:rPr>
          <w:lang w:val="en-GB"/>
        </w:rPr>
        <w:t xml:space="preserve"> </w:t>
      </w:r>
      <w:r w:rsidR="008E7138" w:rsidRPr="00715370">
        <w:rPr>
          <w:lang w:val="en-GB"/>
        </w:rPr>
        <w:t>T</w:t>
      </w:r>
      <w:r w:rsidR="009A276B" w:rsidRPr="00715370">
        <w:rPr>
          <w:lang w:val="en-GB"/>
        </w:rPr>
        <w:t xml:space="preserve">he BBM </w:t>
      </w:r>
      <w:r w:rsidR="00F45725" w:rsidRPr="00715370">
        <w:rPr>
          <w:lang w:val="en-GB"/>
        </w:rPr>
        <w:t xml:space="preserve">standard growth medium </w:t>
      </w:r>
      <w:r w:rsidR="009A276B" w:rsidRPr="00715370">
        <w:rPr>
          <w:lang w:val="en-GB"/>
        </w:rPr>
        <w:t xml:space="preserve">would </w:t>
      </w:r>
      <w:r w:rsidR="00F45725" w:rsidRPr="00715370">
        <w:rPr>
          <w:lang w:val="en-GB"/>
        </w:rPr>
        <w:t xml:space="preserve">be suitable to </w:t>
      </w:r>
      <w:r w:rsidR="009A276B" w:rsidRPr="00715370">
        <w:rPr>
          <w:lang w:val="en-GB"/>
        </w:rPr>
        <w:t xml:space="preserve">produce a biodiesel compliant with the European standard. In general, the obtained lipids </w:t>
      </w:r>
      <w:r w:rsidR="00F45725" w:rsidRPr="00715370">
        <w:rPr>
          <w:lang w:val="en-GB"/>
        </w:rPr>
        <w:t xml:space="preserve">are </w:t>
      </w:r>
      <w:r w:rsidR="009A276B" w:rsidRPr="00715370">
        <w:rPr>
          <w:lang w:val="en-GB"/>
        </w:rPr>
        <w:t xml:space="preserve">not </w:t>
      </w:r>
      <w:r w:rsidR="00972D08" w:rsidRPr="00715370">
        <w:rPr>
          <w:lang w:val="en-GB"/>
        </w:rPr>
        <w:t>appropriate</w:t>
      </w:r>
      <w:r w:rsidR="009A276B" w:rsidRPr="00715370">
        <w:rPr>
          <w:lang w:val="en-GB"/>
        </w:rPr>
        <w:t xml:space="preserve"> for producing biodiesel</w:t>
      </w:r>
      <w:r w:rsidR="005518C5" w:rsidRPr="00715370">
        <w:rPr>
          <w:lang w:val="en-GB"/>
        </w:rPr>
        <w:t xml:space="preserve">. However it might be converted into viable biodiesel through suitable pre-treatment such as hydrogenation or through blending with fossil diesel </w:t>
      </w:r>
      <w:r w:rsidR="009A276B" w:rsidRPr="00715370">
        <w:rPr>
          <w:lang w:val="en-GB"/>
        </w:rPr>
        <w:t>before the use in internal combustion engines. Ta</w:t>
      </w:r>
      <w:r w:rsidR="00972D08" w:rsidRPr="00715370">
        <w:rPr>
          <w:lang w:val="en-GB"/>
        </w:rPr>
        <w:t>ble</w:t>
      </w:r>
      <w:r w:rsidR="009A276B" w:rsidRPr="00715370">
        <w:rPr>
          <w:lang w:val="en-GB"/>
        </w:rPr>
        <w:t xml:space="preserve"> </w:t>
      </w:r>
      <w:r w:rsidR="00972D08" w:rsidRPr="00715370">
        <w:rPr>
          <w:lang w:val="en-GB"/>
        </w:rPr>
        <w:t xml:space="preserve">1 shows </w:t>
      </w:r>
      <w:r w:rsidR="009A276B" w:rsidRPr="00715370">
        <w:rPr>
          <w:lang w:val="en-GB"/>
        </w:rPr>
        <w:t xml:space="preserve">that a heating value similar or higher than that one of </w:t>
      </w:r>
      <w:proofErr w:type="spellStart"/>
      <w:r w:rsidR="009A276B" w:rsidRPr="00715370">
        <w:rPr>
          <w:lang w:val="en-GB"/>
        </w:rPr>
        <w:t>antracite</w:t>
      </w:r>
      <w:proofErr w:type="spellEnd"/>
      <w:r w:rsidR="009A276B" w:rsidRPr="00715370">
        <w:rPr>
          <w:lang w:val="en-GB"/>
        </w:rPr>
        <w:t xml:space="preserve"> (33 MJ/kg) has been achieved in all cases, thus </w:t>
      </w:r>
      <w:r w:rsidR="00972D08" w:rsidRPr="00715370">
        <w:rPr>
          <w:lang w:val="en-GB"/>
        </w:rPr>
        <w:t xml:space="preserve">allowing </w:t>
      </w:r>
      <w:r w:rsidR="009A276B" w:rsidRPr="00715370">
        <w:rPr>
          <w:lang w:val="en-GB"/>
        </w:rPr>
        <w:t>the use of this product for producing green energy.</w:t>
      </w:r>
      <w:r>
        <w:rPr>
          <w:lang w:val="en-GB"/>
        </w:rPr>
        <w:t xml:space="preserve"> </w:t>
      </w:r>
      <w:r w:rsidRPr="005237C1">
        <w:rPr>
          <w:lang w:val="en-GB"/>
        </w:rPr>
        <w:t xml:space="preserve">However, it seems that the best use of the lipids obtained from </w:t>
      </w:r>
      <w:r w:rsidRPr="005237C1">
        <w:rPr>
          <w:i/>
          <w:lang w:val="en-GB"/>
        </w:rPr>
        <w:t xml:space="preserve">C. </w:t>
      </w:r>
      <w:proofErr w:type="spellStart"/>
      <w:r w:rsidRPr="005237C1">
        <w:rPr>
          <w:i/>
          <w:lang w:val="en-GB"/>
        </w:rPr>
        <w:t>melkonianii</w:t>
      </w:r>
      <w:proofErr w:type="spellEnd"/>
      <w:r w:rsidRPr="005237C1">
        <w:rPr>
          <w:lang w:val="en-GB"/>
        </w:rPr>
        <w:t xml:space="preserve"> would be in the food and cosmetic sector considering the high</w:t>
      </w:r>
      <w:r>
        <w:rPr>
          <w:lang w:val="en-GB"/>
        </w:rPr>
        <w:t xml:space="preserve"> </w:t>
      </w:r>
      <w:r w:rsidRPr="005237C1">
        <w:rPr>
          <w:lang w:val="en-GB"/>
        </w:rPr>
        <w:t>oxidative stability of the obtained fatty acids which would facilitate their</w:t>
      </w:r>
      <w:r>
        <w:rPr>
          <w:lang w:val="en-GB"/>
        </w:rPr>
        <w:t xml:space="preserve"> </w:t>
      </w:r>
      <w:r w:rsidRPr="005237C1">
        <w:rPr>
          <w:lang w:val="en-GB"/>
        </w:rPr>
        <w:t>storage.</w:t>
      </w:r>
    </w:p>
    <w:p w:rsidR="00600535" w:rsidRPr="00715370" w:rsidRDefault="00600535" w:rsidP="00600535">
      <w:pPr>
        <w:pStyle w:val="CETHeading1"/>
        <w:rPr>
          <w:lang w:val="en-GB"/>
        </w:rPr>
      </w:pPr>
      <w:r w:rsidRPr="00715370">
        <w:rPr>
          <w:lang w:val="en-GB"/>
        </w:rPr>
        <w:t>Conclusions</w:t>
      </w:r>
    </w:p>
    <w:p w:rsidR="00933ED0" w:rsidRPr="00715370" w:rsidRDefault="008F49F7" w:rsidP="00B019EC">
      <w:pPr>
        <w:pStyle w:val="CETAcknowledgementstitle"/>
        <w:jc w:val="both"/>
        <w:rPr>
          <w:b w:val="0"/>
        </w:rPr>
      </w:pPr>
      <w:r w:rsidRPr="00715370">
        <w:rPr>
          <w:b w:val="0"/>
        </w:rPr>
        <w:t xml:space="preserve">The nitrogen and pH dependent </w:t>
      </w:r>
      <w:r w:rsidR="00972D08" w:rsidRPr="00715370">
        <w:rPr>
          <w:b w:val="0"/>
        </w:rPr>
        <w:t xml:space="preserve">growth </w:t>
      </w:r>
      <w:r w:rsidRPr="00715370">
        <w:rPr>
          <w:b w:val="0"/>
        </w:rPr>
        <w:t xml:space="preserve">kinetics of </w:t>
      </w:r>
      <w:proofErr w:type="spellStart"/>
      <w:r w:rsidRPr="00715370">
        <w:rPr>
          <w:b w:val="0"/>
          <w:i/>
        </w:rPr>
        <w:t>C</w:t>
      </w:r>
      <w:r w:rsidR="008E7138" w:rsidRPr="00715370">
        <w:rPr>
          <w:b w:val="0"/>
          <w:i/>
        </w:rPr>
        <w:t>occomyxa</w:t>
      </w:r>
      <w:proofErr w:type="spellEnd"/>
      <w:r w:rsidRPr="00715370">
        <w:rPr>
          <w:b w:val="0"/>
          <w:i/>
        </w:rPr>
        <w:t xml:space="preserve"> </w:t>
      </w:r>
      <w:proofErr w:type="spellStart"/>
      <w:r w:rsidRPr="00715370">
        <w:rPr>
          <w:b w:val="0"/>
          <w:i/>
        </w:rPr>
        <w:t>me</w:t>
      </w:r>
      <w:r w:rsidR="007F3B1D" w:rsidRPr="00715370">
        <w:rPr>
          <w:b w:val="0"/>
          <w:i/>
        </w:rPr>
        <w:t>l</w:t>
      </w:r>
      <w:r w:rsidRPr="00715370">
        <w:rPr>
          <w:b w:val="0"/>
          <w:i/>
        </w:rPr>
        <w:t>konianii</w:t>
      </w:r>
      <w:proofErr w:type="spellEnd"/>
      <w:r w:rsidRPr="00715370">
        <w:rPr>
          <w:b w:val="0"/>
        </w:rPr>
        <w:t xml:space="preserve"> </w:t>
      </w:r>
      <w:r w:rsidR="008E7138" w:rsidRPr="00715370">
        <w:rPr>
          <w:b w:val="0"/>
        </w:rPr>
        <w:t xml:space="preserve">SCCA 048 </w:t>
      </w:r>
      <w:r w:rsidRPr="00715370">
        <w:rPr>
          <w:b w:val="0"/>
        </w:rPr>
        <w:t xml:space="preserve">were evaluated through suitable experiments in multiwell. The obtained results, corroborated by </w:t>
      </w:r>
      <w:r w:rsidR="007F3B1D" w:rsidRPr="00715370">
        <w:rPr>
          <w:b w:val="0"/>
        </w:rPr>
        <w:t xml:space="preserve">further </w:t>
      </w:r>
      <w:r w:rsidRPr="00715370">
        <w:rPr>
          <w:b w:val="0"/>
        </w:rPr>
        <w:t>experiments performed in batch photobioreactors at constant pH, confirmed th</w:t>
      </w:r>
      <w:r w:rsidR="002165B0" w:rsidRPr="00715370">
        <w:rPr>
          <w:b w:val="0"/>
        </w:rPr>
        <w:t>e</w:t>
      </w:r>
      <w:r w:rsidRPr="00715370">
        <w:rPr>
          <w:b w:val="0"/>
        </w:rPr>
        <w:t xml:space="preserve"> </w:t>
      </w:r>
      <w:r w:rsidR="002165B0" w:rsidRPr="00715370">
        <w:rPr>
          <w:b w:val="0"/>
        </w:rPr>
        <w:t>reliability</w:t>
      </w:r>
      <w:r w:rsidR="00141CA8" w:rsidRPr="00715370">
        <w:rPr>
          <w:b w:val="0"/>
        </w:rPr>
        <w:t xml:space="preserve"> </w:t>
      </w:r>
      <w:r w:rsidR="002165B0" w:rsidRPr="00715370">
        <w:rPr>
          <w:b w:val="0"/>
        </w:rPr>
        <w:t>of multiwell screening test for the evaluation of growth kinetic parameters</w:t>
      </w:r>
      <w:r w:rsidRPr="00715370">
        <w:rPr>
          <w:b w:val="0"/>
        </w:rPr>
        <w:t xml:space="preserve">. </w:t>
      </w:r>
      <w:r w:rsidR="00972D08" w:rsidRPr="00715370">
        <w:rPr>
          <w:b w:val="0"/>
        </w:rPr>
        <w:t>T</w:t>
      </w:r>
      <w:r w:rsidRPr="00715370">
        <w:rPr>
          <w:b w:val="0"/>
        </w:rPr>
        <w:t xml:space="preserve">he effect of nitrogen concentration on the growth and lipid production was </w:t>
      </w:r>
      <w:r w:rsidR="00141CA8" w:rsidRPr="00715370">
        <w:rPr>
          <w:b w:val="0"/>
        </w:rPr>
        <w:t>investigated</w:t>
      </w:r>
      <w:r w:rsidRPr="00715370">
        <w:rPr>
          <w:b w:val="0"/>
        </w:rPr>
        <w:t xml:space="preserve"> </w:t>
      </w:r>
      <w:r w:rsidR="00141CA8" w:rsidRPr="00715370">
        <w:rPr>
          <w:b w:val="0"/>
        </w:rPr>
        <w:t xml:space="preserve">in </w:t>
      </w:r>
      <w:r w:rsidRPr="00715370">
        <w:rPr>
          <w:b w:val="0"/>
        </w:rPr>
        <w:t xml:space="preserve">larger </w:t>
      </w:r>
      <w:r w:rsidR="00AF3C6D" w:rsidRPr="00715370">
        <w:rPr>
          <w:b w:val="0"/>
        </w:rPr>
        <w:t>batch photobioreactors</w:t>
      </w:r>
      <w:r w:rsidR="00046EB3">
        <w:rPr>
          <w:b w:val="0"/>
        </w:rPr>
        <w:t xml:space="preserve">. </w:t>
      </w:r>
      <w:r w:rsidR="00046EB3" w:rsidRPr="00046EB3">
        <w:rPr>
          <w:b w:val="0"/>
        </w:rPr>
        <w:t>The obtained results showed that under nitrogen starvation conditions the</w:t>
      </w:r>
      <w:r w:rsidR="00046EB3">
        <w:rPr>
          <w:b w:val="0"/>
        </w:rPr>
        <w:t xml:space="preserve"> </w:t>
      </w:r>
      <w:r w:rsidR="00046EB3" w:rsidRPr="00046EB3">
        <w:rPr>
          <w:b w:val="0"/>
        </w:rPr>
        <w:t xml:space="preserve">lipid content of microalgae </w:t>
      </w:r>
      <w:r w:rsidR="00046EB3">
        <w:rPr>
          <w:b w:val="0"/>
        </w:rPr>
        <w:t>i</w:t>
      </w:r>
      <w:r w:rsidR="00046EB3" w:rsidRPr="00046EB3">
        <w:rPr>
          <w:b w:val="0"/>
        </w:rPr>
        <w:t>ncreased, while the achieved biomass</w:t>
      </w:r>
      <w:r w:rsidR="00046EB3">
        <w:rPr>
          <w:b w:val="0"/>
        </w:rPr>
        <w:t xml:space="preserve"> </w:t>
      </w:r>
      <w:r w:rsidR="00046EB3" w:rsidRPr="00046EB3">
        <w:rPr>
          <w:b w:val="0"/>
        </w:rPr>
        <w:t>concentration was very low.</w:t>
      </w:r>
      <w:r w:rsidR="00046EB3">
        <w:rPr>
          <w:b w:val="0"/>
        </w:rPr>
        <w:t xml:space="preserve"> </w:t>
      </w:r>
      <w:r w:rsidR="00046EB3" w:rsidRPr="00046EB3">
        <w:rPr>
          <w:b w:val="0"/>
        </w:rPr>
        <w:t>The best operating condition requires a</w:t>
      </w:r>
      <w:r w:rsidR="00046EB3">
        <w:rPr>
          <w:b w:val="0"/>
        </w:rPr>
        <w:t xml:space="preserve"> </w:t>
      </w:r>
      <w:r w:rsidR="00046EB3" w:rsidRPr="00046EB3">
        <w:rPr>
          <w:b w:val="0"/>
        </w:rPr>
        <w:t>sufficient concentration of nitrogen. These results were successfully</w:t>
      </w:r>
      <w:r w:rsidR="00046EB3">
        <w:rPr>
          <w:b w:val="0"/>
        </w:rPr>
        <w:t xml:space="preserve"> </w:t>
      </w:r>
      <w:r w:rsidR="00046EB3" w:rsidRPr="00046EB3">
        <w:rPr>
          <w:b w:val="0"/>
        </w:rPr>
        <w:t xml:space="preserve">simulated through a suitable </w:t>
      </w:r>
      <w:r w:rsidR="00046EB3">
        <w:rPr>
          <w:b w:val="0"/>
        </w:rPr>
        <w:t>m</w:t>
      </w:r>
      <w:r w:rsidR="00046EB3" w:rsidRPr="00046EB3">
        <w:rPr>
          <w:b w:val="0"/>
        </w:rPr>
        <w:t>athematical model which might allow developing</w:t>
      </w:r>
      <w:r w:rsidR="00046EB3">
        <w:rPr>
          <w:b w:val="0"/>
        </w:rPr>
        <w:t xml:space="preserve"> </w:t>
      </w:r>
      <w:r w:rsidR="00046EB3" w:rsidRPr="00046EB3">
        <w:rPr>
          <w:b w:val="0"/>
        </w:rPr>
        <w:t xml:space="preserve">specific optimization strategies for the scale-up of </w:t>
      </w:r>
      <w:r w:rsidR="00046EB3">
        <w:rPr>
          <w:b w:val="0"/>
        </w:rPr>
        <w:t>p</w:t>
      </w:r>
      <w:r w:rsidR="00046EB3" w:rsidRPr="00046EB3">
        <w:rPr>
          <w:b w:val="0"/>
        </w:rPr>
        <w:t>hotobioreactors.</w:t>
      </w:r>
      <w:r w:rsidR="00046EB3">
        <w:rPr>
          <w:b w:val="0"/>
        </w:rPr>
        <w:t xml:space="preserve"> </w:t>
      </w:r>
      <w:r w:rsidR="00AF3C6D" w:rsidRPr="00715370">
        <w:rPr>
          <w:b w:val="0"/>
        </w:rPr>
        <w:t xml:space="preserve">The FAMEs composition of lipids extracted from </w:t>
      </w:r>
      <w:r w:rsidR="007F3B1D" w:rsidRPr="00715370">
        <w:rPr>
          <w:b w:val="0"/>
          <w:i/>
        </w:rPr>
        <w:t xml:space="preserve">C. </w:t>
      </w:r>
      <w:proofErr w:type="spellStart"/>
      <w:r w:rsidR="007F3B1D" w:rsidRPr="00715370">
        <w:rPr>
          <w:b w:val="0"/>
          <w:i/>
        </w:rPr>
        <w:t>me</w:t>
      </w:r>
      <w:r w:rsidR="006B6442" w:rsidRPr="00715370">
        <w:rPr>
          <w:b w:val="0"/>
          <w:i/>
        </w:rPr>
        <w:t>l</w:t>
      </w:r>
      <w:r w:rsidR="007F3B1D" w:rsidRPr="00715370">
        <w:rPr>
          <w:b w:val="0"/>
          <w:i/>
        </w:rPr>
        <w:t>konianii</w:t>
      </w:r>
      <w:proofErr w:type="spellEnd"/>
      <w:r w:rsidR="007F3B1D" w:rsidRPr="00715370">
        <w:rPr>
          <w:b w:val="0"/>
        </w:rPr>
        <w:t xml:space="preserve"> </w:t>
      </w:r>
      <w:r w:rsidR="00AF3C6D" w:rsidRPr="00715370">
        <w:rPr>
          <w:b w:val="0"/>
        </w:rPr>
        <w:t>would permit the production of a biodiesel</w:t>
      </w:r>
      <w:r w:rsidR="007F3B1D" w:rsidRPr="00715370">
        <w:rPr>
          <w:b w:val="0"/>
        </w:rPr>
        <w:t xml:space="preserve"> only after a suitable pre-</w:t>
      </w:r>
      <w:r w:rsidR="00AF3C6D" w:rsidRPr="00715370">
        <w:rPr>
          <w:b w:val="0"/>
        </w:rPr>
        <w:t>treat</w:t>
      </w:r>
      <w:r w:rsidR="007F3B1D" w:rsidRPr="00715370">
        <w:rPr>
          <w:b w:val="0"/>
        </w:rPr>
        <w:t xml:space="preserve">ment or </w:t>
      </w:r>
      <w:r w:rsidR="00AF3C6D" w:rsidRPr="00715370">
        <w:rPr>
          <w:b w:val="0"/>
        </w:rPr>
        <w:t>blend</w:t>
      </w:r>
      <w:r w:rsidR="007F3B1D" w:rsidRPr="00715370">
        <w:rPr>
          <w:b w:val="0"/>
        </w:rPr>
        <w:t xml:space="preserve">ing. </w:t>
      </w:r>
    </w:p>
    <w:p w:rsidR="00600535" w:rsidRPr="00715370" w:rsidRDefault="00600535" w:rsidP="007A5304">
      <w:pPr>
        <w:pStyle w:val="CETAcknowledgementstitle"/>
        <w:spacing w:after="0"/>
      </w:pPr>
      <w:r w:rsidRPr="00715370">
        <w:t>Acknowledgments</w:t>
      </w:r>
    </w:p>
    <w:p w:rsidR="00B019EC" w:rsidRPr="00715370" w:rsidRDefault="00B019EC" w:rsidP="007A5304">
      <w:pPr>
        <w:pStyle w:val="CETReference"/>
        <w:spacing w:before="0"/>
        <w:rPr>
          <w:b w:val="0"/>
        </w:rPr>
      </w:pPr>
      <w:r w:rsidRPr="00715370">
        <w:rPr>
          <w:b w:val="0"/>
        </w:rPr>
        <w:t xml:space="preserve">The financial support of the COMISAR project (POR FESR 2014/2020 - </w:t>
      </w:r>
      <w:proofErr w:type="spellStart"/>
      <w:r w:rsidRPr="00715370">
        <w:rPr>
          <w:b w:val="0"/>
        </w:rPr>
        <w:t>Asse</w:t>
      </w:r>
      <w:proofErr w:type="spellEnd"/>
      <w:r w:rsidRPr="00715370">
        <w:rPr>
          <w:b w:val="0"/>
        </w:rPr>
        <w:t xml:space="preserve"> </w:t>
      </w:r>
      <w:proofErr w:type="spellStart"/>
      <w:r w:rsidRPr="00715370">
        <w:rPr>
          <w:b w:val="0"/>
        </w:rPr>
        <w:t>prioritario</w:t>
      </w:r>
      <w:proofErr w:type="spellEnd"/>
      <w:r w:rsidRPr="00715370">
        <w:rPr>
          <w:b w:val="0"/>
        </w:rPr>
        <w:t xml:space="preserve"> I “</w:t>
      </w:r>
      <w:proofErr w:type="spellStart"/>
      <w:r w:rsidRPr="00715370">
        <w:rPr>
          <w:b w:val="0"/>
        </w:rPr>
        <w:t>ricerca</w:t>
      </w:r>
      <w:proofErr w:type="spellEnd"/>
      <w:r w:rsidRPr="00715370">
        <w:rPr>
          <w:b w:val="0"/>
        </w:rPr>
        <w:t xml:space="preserve"> </w:t>
      </w:r>
      <w:proofErr w:type="spellStart"/>
      <w:r w:rsidRPr="00715370">
        <w:rPr>
          <w:b w:val="0"/>
        </w:rPr>
        <w:t>scientifica</w:t>
      </w:r>
      <w:proofErr w:type="spellEnd"/>
      <w:r w:rsidRPr="00715370">
        <w:rPr>
          <w:b w:val="0"/>
        </w:rPr>
        <w:t xml:space="preserve">, </w:t>
      </w:r>
      <w:proofErr w:type="spellStart"/>
      <w:r w:rsidRPr="00715370">
        <w:rPr>
          <w:b w:val="0"/>
        </w:rPr>
        <w:t>sviluppo</w:t>
      </w:r>
      <w:proofErr w:type="spellEnd"/>
      <w:r w:rsidRPr="00715370">
        <w:rPr>
          <w:b w:val="0"/>
        </w:rPr>
        <w:t xml:space="preserve"> </w:t>
      </w:r>
      <w:proofErr w:type="spellStart"/>
      <w:r w:rsidRPr="00715370">
        <w:rPr>
          <w:b w:val="0"/>
        </w:rPr>
        <w:t>tecnologico</w:t>
      </w:r>
      <w:proofErr w:type="spellEnd"/>
      <w:r w:rsidRPr="00715370">
        <w:rPr>
          <w:b w:val="0"/>
        </w:rPr>
        <w:t xml:space="preserve"> e </w:t>
      </w:r>
      <w:proofErr w:type="spellStart"/>
      <w:r w:rsidRPr="00715370">
        <w:rPr>
          <w:b w:val="0"/>
        </w:rPr>
        <w:t>innovazione</w:t>
      </w:r>
      <w:proofErr w:type="spellEnd"/>
      <w:r w:rsidRPr="00715370">
        <w:rPr>
          <w:b w:val="0"/>
        </w:rPr>
        <w:t xml:space="preserve">” </w:t>
      </w:r>
      <w:proofErr w:type="spellStart"/>
      <w:r w:rsidRPr="00715370">
        <w:rPr>
          <w:b w:val="0"/>
        </w:rPr>
        <w:t>Regione</w:t>
      </w:r>
      <w:proofErr w:type="spellEnd"/>
      <w:r w:rsidRPr="00715370">
        <w:rPr>
          <w:b w:val="0"/>
        </w:rPr>
        <w:t xml:space="preserve"> </w:t>
      </w:r>
      <w:proofErr w:type="spellStart"/>
      <w:r w:rsidRPr="00715370">
        <w:rPr>
          <w:b w:val="0"/>
        </w:rPr>
        <w:t>Autonoma</w:t>
      </w:r>
      <w:proofErr w:type="spellEnd"/>
      <w:r w:rsidRPr="00715370">
        <w:rPr>
          <w:b w:val="0"/>
        </w:rPr>
        <w:t xml:space="preserve"> </w:t>
      </w:r>
      <w:proofErr w:type="spellStart"/>
      <w:r w:rsidRPr="00715370">
        <w:rPr>
          <w:b w:val="0"/>
        </w:rPr>
        <w:t>della</w:t>
      </w:r>
      <w:proofErr w:type="spellEnd"/>
      <w:r w:rsidRPr="00715370">
        <w:rPr>
          <w:b w:val="0"/>
        </w:rPr>
        <w:t xml:space="preserve"> </w:t>
      </w:r>
      <w:proofErr w:type="spellStart"/>
      <w:r w:rsidRPr="00715370">
        <w:rPr>
          <w:b w:val="0"/>
        </w:rPr>
        <w:t>Sardegna</w:t>
      </w:r>
      <w:proofErr w:type="spellEnd"/>
      <w:r w:rsidRPr="00715370">
        <w:rPr>
          <w:b w:val="0"/>
        </w:rPr>
        <w:t xml:space="preserve">, Italy) is gratefully acknowledged. </w:t>
      </w:r>
    </w:p>
    <w:p w:rsidR="00600535" w:rsidRPr="00715370" w:rsidRDefault="00600535" w:rsidP="00B019EC">
      <w:pPr>
        <w:pStyle w:val="CETReference"/>
        <w:rPr>
          <w:lang w:val="en-US"/>
        </w:rPr>
      </w:pPr>
      <w:r w:rsidRPr="00715370">
        <w:rPr>
          <w:lang w:val="en-US"/>
        </w:rPr>
        <w:t>References</w:t>
      </w:r>
    </w:p>
    <w:p w:rsidR="008E18B2" w:rsidRPr="00715370" w:rsidRDefault="008E18B2" w:rsidP="00151700">
      <w:pPr>
        <w:pStyle w:val="CETReferencetext"/>
      </w:pPr>
      <w:r w:rsidRPr="00715370">
        <w:t>Bermejo E., Ruiz-</w:t>
      </w:r>
      <w:proofErr w:type="spellStart"/>
      <w:r w:rsidRPr="00715370">
        <w:t>Domínguez</w:t>
      </w:r>
      <w:proofErr w:type="spellEnd"/>
      <w:r w:rsidRPr="00715370">
        <w:t xml:space="preserve"> M.C., </w:t>
      </w:r>
      <w:proofErr w:type="spellStart"/>
      <w:r w:rsidRPr="00715370">
        <w:t>Cuaresma</w:t>
      </w:r>
      <w:proofErr w:type="spellEnd"/>
      <w:r w:rsidRPr="00715370">
        <w:t xml:space="preserve"> M., Vaquero I., Ramos-</w:t>
      </w:r>
      <w:proofErr w:type="spellStart"/>
      <w:r w:rsidRPr="00715370">
        <w:t>Merchante</w:t>
      </w:r>
      <w:proofErr w:type="spellEnd"/>
      <w:r w:rsidRPr="00715370">
        <w:t xml:space="preserve"> A., Vega J.M., </w:t>
      </w:r>
      <w:proofErr w:type="spellStart"/>
      <w:r w:rsidR="003277D2" w:rsidRPr="00715370">
        <w:t>Vílchez</w:t>
      </w:r>
      <w:proofErr w:type="spellEnd"/>
      <w:r w:rsidR="003277D2" w:rsidRPr="00715370">
        <w:t xml:space="preserve"> C., </w:t>
      </w:r>
      <w:proofErr w:type="spellStart"/>
      <w:r w:rsidR="003277D2" w:rsidRPr="00715370">
        <w:t>Garbayo</w:t>
      </w:r>
      <w:proofErr w:type="spellEnd"/>
      <w:r w:rsidR="003277D2" w:rsidRPr="00715370">
        <w:t xml:space="preserve"> I.,</w:t>
      </w:r>
      <w:r w:rsidRPr="00715370">
        <w:t xml:space="preserve"> </w:t>
      </w:r>
      <w:r w:rsidR="003277D2" w:rsidRPr="00715370">
        <w:t>2018,</w:t>
      </w:r>
      <w:r w:rsidRPr="00715370">
        <w:t xml:space="preserve"> Production of lutein, and polyunsaturated fatty acids by the acidophilic eukaryotic microalga </w:t>
      </w:r>
      <w:proofErr w:type="spellStart"/>
      <w:r w:rsidRPr="00715370">
        <w:t>Coccomyxa</w:t>
      </w:r>
      <w:proofErr w:type="spellEnd"/>
      <w:r w:rsidRPr="00715370">
        <w:t xml:space="preserve"> </w:t>
      </w:r>
      <w:proofErr w:type="spellStart"/>
      <w:r w:rsidRPr="00715370">
        <w:t>onubensis</w:t>
      </w:r>
      <w:proofErr w:type="spellEnd"/>
      <w:r w:rsidRPr="00715370">
        <w:t xml:space="preserve"> under abiotic stre</w:t>
      </w:r>
      <w:r w:rsidR="003277D2" w:rsidRPr="00715370">
        <w:t>ss by salt or ultraviolet light,</w:t>
      </w:r>
      <w:r w:rsidRPr="00715370">
        <w:t xml:space="preserve"> Journal of Bioscience and Bioengineering</w:t>
      </w:r>
      <w:r w:rsidR="003277D2" w:rsidRPr="00715370">
        <w:t>,</w:t>
      </w:r>
      <w:r w:rsidRPr="00715370">
        <w:t xml:space="preserve"> 125, 669–675.</w:t>
      </w:r>
    </w:p>
    <w:p w:rsidR="00233852" w:rsidRPr="00715370" w:rsidRDefault="00233852" w:rsidP="00233852">
      <w:pPr>
        <w:pStyle w:val="CETReferencetext"/>
      </w:pPr>
      <w:r w:rsidRPr="00715370">
        <w:t xml:space="preserve">Concas A., </w:t>
      </w:r>
      <w:proofErr w:type="spellStart"/>
      <w:r w:rsidRPr="00715370">
        <w:t>Pisu</w:t>
      </w:r>
      <w:proofErr w:type="spellEnd"/>
      <w:r w:rsidRPr="00715370">
        <w:t xml:space="preserve"> M., Cao G., 2</w:t>
      </w:r>
      <w:r w:rsidR="00B501C6" w:rsidRPr="00715370">
        <w:t xml:space="preserve">013, Mathematical modelling of </w:t>
      </w:r>
      <w:r w:rsidR="00B501C6" w:rsidRPr="00715370">
        <w:rPr>
          <w:i/>
        </w:rPr>
        <w:t>C</w:t>
      </w:r>
      <w:r w:rsidRPr="00715370">
        <w:rPr>
          <w:i/>
        </w:rPr>
        <w:t xml:space="preserve">hlorella vulgaris </w:t>
      </w:r>
      <w:r w:rsidRPr="00715370">
        <w:t>growth in semi-batch photobioreactors fed with pure CO</w:t>
      </w:r>
      <w:r w:rsidRPr="00715370">
        <w:rPr>
          <w:vertAlign w:val="subscript"/>
        </w:rPr>
        <w:t>2</w:t>
      </w:r>
      <w:r w:rsidRPr="00715370">
        <w:t>. Chemical Engineering Transactions, 32, 1021 – 1026.</w:t>
      </w:r>
    </w:p>
    <w:p w:rsidR="00305204" w:rsidRPr="00715370" w:rsidRDefault="00305204" w:rsidP="00233852">
      <w:pPr>
        <w:pStyle w:val="CETReferencetext"/>
      </w:pPr>
      <w:r w:rsidRPr="00715370">
        <w:t xml:space="preserve">Concas A., </w:t>
      </w:r>
      <w:proofErr w:type="spellStart"/>
      <w:r w:rsidRPr="00715370">
        <w:t>Pisu</w:t>
      </w:r>
      <w:proofErr w:type="spellEnd"/>
      <w:r w:rsidRPr="00715370">
        <w:t xml:space="preserve"> M., Cao G., 2016a, A novel mathematical model to simulate the size-structured growth of microalgae strains dividing by multiple fission, Chemical Engineering Journal, 287, 252-268.</w:t>
      </w:r>
    </w:p>
    <w:p w:rsidR="009A276B" w:rsidRPr="00715370" w:rsidRDefault="009A276B" w:rsidP="009A276B">
      <w:pPr>
        <w:pStyle w:val="CETReferencetext"/>
      </w:pPr>
      <w:r w:rsidRPr="00715370">
        <w:t xml:space="preserve">Concas A., Malavasi V., </w:t>
      </w:r>
      <w:proofErr w:type="spellStart"/>
      <w:r w:rsidRPr="00715370">
        <w:t>Costelli</w:t>
      </w:r>
      <w:proofErr w:type="spellEnd"/>
      <w:r w:rsidRPr="00715370">
        <w:t xml:space="preserve"> C., </w:t>
      </w:r>
      <w:proofErr w:type="spellStart"/>
      <w:r w:rsidR="004A6060" w:rsidRPr="00715370">
        <w:t>Fadda</w:t>
      </w:r>
      <w:proofErr w:type="spellEnd"/>
      <w:r w:rsidR="004A6060" w:rsidRPr="00715370">
        <w:t xml:space="preserve"> P., </w:t>
      </w:r>
      <w:proofErr w:type="spellStart"/>
      <w:r w:rsidR="004A6060" w:rsidRPr="00715370">
        <w:t>Pisu</w:t>
      </w:r>
      <w:proofErr w:type="spellEnd"/>
      <w:r w:rsidR="004A6060" w:rsidRPr="00715370">
        <w:t xml:space="preserve"> M., Cao G., 2016</w:t>
      </w:r>
      <w:r w:rsidR="00305204" w:rsidRPr="00715370">
        <w:t>b</w:t>
      </w:r>
      <w:r w:rsidRPr="00715370">
        <w:t xml:space="preserve">, Autotrophic growth and lipid production of </w:t>
      </w:r>
      <w:r w:rsidRPr="00715370">
        <w:rPr>
          <w:i/>
        </w:rPr>
        <w:t>Chlorella sorokiniana</w:t>
      </w:r>
      <w:r w:rsidRPr="00715370">
        <w:t xml:space="preserve"> in lab batch and BIOCOIL photobioreactors: Experiments and modelling. </w:t>
      </w:r>
      <w:proofErr w:type="spellStart"/>
      <w:r w:rsidRPr="00715370">
        <w:t>Bioresou</w:t>
      </w:r>
      <w:r w:rsidR="004A6060" w:rsidRPr="00715370">
        <w:t>rce</w:t>
      </w:r>
      <w:proofErr w:type="spellEnd"/>
      <w:r w:rsidR="004A6060" w:rsidRPr="00715370">
        <w:t xml:space="preserve"> Technology, </w:t>
      </w:r>
      <w:r w:rsidRPr="00715370">
        <w:t xml:space="preserve">211, 327–338. </w:t>
      </w:r>
    </w:p>
    <w:p w:rsidR="005B4281" w:rsidRPr="00715370" w:rsidRDefault="005B4281" w:rsidP="005B4281">
      <w:pPr>
        <w:pStyle w:val="CETReferencetext"/>
      </w:pPr>
      <w:r w:rsidRPr="00715370">
        <w:t xml:space="preserve">Concas A., Malavasi V., </w:t>
      </w:r>
      <w:proofErr w:type="spellStart"/>
      <w:r w:rsidRPr="00715370">
        <w:t>Pisu</w:t>
      </w:r>
      <w:proofErr w:type="spellEnd"/>
      <w:r w:rsidRPr="00715370">
        <w:t xml:space="preserve"> M., </w:t>
      </w:r>
      <w:proofErr w:type="spellStart"/>
      <w:r w:rsidRPr="00715370">
        <w:t>Soru</w:t>
      </w:r>
      <w:proofErr w:type="spellEnd"/>
      <w:r w:rsidRPr="00715370">
        <w:t>, S., Cao G</w:t>
      </w:r>
      <w:r w:rsidR="004A6060" w:rsidRPr="00715370">
        <w:t>.,</w:t>
      </w:r>
      <w:r w:rsidRPr="00715370">
        <w:t xml:space="preserve"> </w:t>
      </w:r>
      <w:r w:rsidR="004A6060" w:rsidRPr="00715370">
        <w:t xml:space="preserve">2017, </w:t>
      </w:r>
      <w:r w:rsidRPr="00715370">
        <w:t xml:space="preserve">Experiments and </w:t>
      </w:r>
      <w:proofErr w:type="spellStart"/>
      <w:r w:rsidRPr="00715370">
        <w:t>Modeling</w:t>
      </w:r>
      <w:proofErr w:type="spellEnd"/>
      <w:r w:rsidRPr="00715370">
        <w:t xml:space="preserve"> of the Growth of </w:t>
      </w:r>
      <w:r w:rsidRPr="00715370">
        <w:rPr>
          <w:i/>
        </w:rPr>
        <w:t>C. sorokiniana</w:t>
      </w:r>
      <w:r w:rsidRPr="00715370">
        <w:t xml:space="preserve"> in Lab Batch and BIOCOIL Photobioreactors for Lipid production, Chemical Engineering Transactions, 57, 121 – 126.</w:t>
      </w:r>
    </w:p>
    <w:p w:rsidR="008E18B2" w:rsidRPr="00715370" w:rsidRDefault="008E18B2" w:rsidP="00151700">
      <w:pPr>
        <w:pStyle w:val="CETReferencetext"/>
      </w:pPr>
      <w:r w:rsidRPr="00715370">
        <w:t xml:space="preserve">Malavasi V., </w:t>
      </w:r>
      <w:proofErr w:type="spellStart"/>
      <w:r w:rsidRPr="00715370">
        <w:t>Škaloud</w:t>
      </w:r>
      <w:proofErr w:type="spellEnd"/>
      <w:r w:rsidRPr="00715370">
        <w:t xml:space="preserve"> P., </w:t>
      </w:r>
      <w:proofErr w:type="spellStart"/>
      <w:r w:rsidRPr="00715370">
        <w:t>Rindi</w:t>
      </w:r>
      <w:proofErr w:type="spellEnd"/>
      <w:r w:rsidRPr="00715370">
        <w:t xml:space="preserve"> F., </w:t>
      </w:r>
      <w:proofErr w:type="spellStart"/>
      <w:r w:rsidRPr="00715370">
        <w:t>Tempesta</w:t>
      </w:r>
      <w:proofErr w:type="spellEnd"/>
      <w:r w:rsidRPr="00715370">
        <w:t xml:space="preserve"> S., </w:t>
      </w:r>
      <w:proofErr w:type="spellStart"/>
      <w:r w:rsidRPr="00715370">
        <w:t>Paoletti</w:t>
      </w:r>
      <w:proofErr w:type="spellEnd"/>
      <w:r w:rsidRPr="00715370">
        <w:t xml:space="preserve"> M., </w:t>
      </w:r>
      <w:proofErr w:type="spellStart"/>
      <w:r w:rsidRPr="00715370">
        <w:t>Pasqualetti</w:t>
      </w:r>
      <w:proofErr w:type="spellEnd"/>
      <w:r w:rsidRPr="00715370">
        <w:t xml:space="preserve"> M., 2016, DNA-based taxonomy in ecologically versatile microalgae: A re-evaluation of the species concept within the coccoid green algal genus </w:t>
      </w:r>
      <w:proofErr w:type="spellStart"/>
      <w:r w:rsidRPr="00715370">
        <w:rPr>
          <w:i/>
        </w:rPr>
        <w:t>Coccomyxa</w:t>
      </w:r>
      <w:proofErr w:type="spellEnd"/>
      <w:r w:rsidRPr="00715370">
        <w:t xml:space="preserve"> (</w:t>
      </w:r>
      <w:proofErr w:type="spellStart"/>
      <w:r w:rsidRPr="00715370">
        <w:t>Trebouxiophyceae</w:t>
      </w:r>
      <w:proofErr w:type="spellEnd"/>
      <w:r w:rsidRPr="00715370">
        <w:t xml:space="preserve">, </w:t>
      </w:r>
      <w:proofErr w:type="spellStart"/>
      <w:r w:rsidRPr="00715370">
        <w:t>Chlorophyta</w:t>
      </w:r>
      <w:proofErr w:type="spellEnd"/>
      <w:r w:rsidRPr="00715370">
        <w:t xml:space="preserve">), </w:t>
      </w:r>
      <w:proofErr w:type="spellStart"/>
      <w:r w:rsidRPr="00715370">
        <w:t>PLoS</w:t>
      </w:r>
      <w:proofErr w:type="spellEnd"/>
      <w:r w:rsidRPr="00715370">
        <w:t xml:space="preserve"> One, 11, 1–25.</w:t>
      </w:r>
    </w:p>
    <w:p w:rsidR="002D01C8" w:rsidRPr="00715370" w:rsidRDefault="008E18B2" w:rsidP="002D01C8">
      <w:pPr>
        <w:pStyle w:val="CETReferencetext"/>
      </w:pPr>
      <w:proofErr w:type="spellStart"/>
      <w:r w:rsidRPr="00715370">
        <w:t>Soru</w:t>
      </w:r>
      <w:proofErr w:type="spellEnd"/>
      <w:r w:rsidRPr="00715370">
        <w:t xml:space="preserve"> S., Malavasi V., Concas A., </w:t>
      </w:r>
      <w:proofErr w:type="spellStart"/>
      <w:r w:rsidRPr="00715370">
        <w:t>Caboni</w:t>
      </w:r>
      <w:proofErr w:type="spellEnd"/>
      <w:r w:rsidRPr="00715370">
        <w:t xml:space="preserve"> P., Cao G., 2018a, A novel investigation of the growth and lipid production of the extremophile microalga </w:t>
      </w:r>
      <w:proofErr w:type="spellStart"/>
      <w:r w:rsidRPr="00715370">
        <w:rPr>
          <w:i/>
        </w:rPr>
        <w:t>Coccomyxa</w:t>
      </w:r>
      <w:proofErr w:type="spellEnd"/>
      <w:r w:rsidRPr="00715370">
        <w:rPr>
          <w:i/>
        </w:rPr>
        <w:t xml:space="preserve"> </w:t>
      </w:r>
      <w:proofErr w:type="spellStart"/>
      <w:r w:rsidRPr="00715370">
        <w:rPr>
          <w:i/>
        </w:rPr>
        <w:t>melkonianii</w:t>
      </w:r>
      <w:proofErr w:type="spellEnd"/>
      <w:r w:rsidRPr="00715370">
        <w:t xml:space="preserve"> SCCA 048 under the effect of different cultivation conditions: Experiments and modelling, Chemical Engineering Journal, https://doi.org/10.1016/j.cej.2018.12.049.</w:t>
      </w:r>
    </w:p>
    <w:p w:rsidR="008E18B2" w:rsidRPr="00715370" w:rsidRDefault="008E18B2" w:rsidP="002D01C8">
      <w:pPr>
        <w:pStyle w:val="CETReferencetext"/>
      </w:pPr>
      <w:proofErr w:type="spellStart"/>
      <w:r w:rsidRPr="00715370">
        <w:t>Soru</w:t>
      </w:r>
      <w:proofErr w:type="spellEnd"/>
      <w:r w:rsidRPr="00715370">
        <w:t xml:space="preserve"> S., Malavasi V., </w:t>
      </w:r>
      <w:proofErr w:type="spellStart"/>
      <w:r w:rsidRPr="00715370">
        <w:t>Caboni</w:t>
      </w:r>
      <w:proofErr w:type="spellEnd"/>
      <w:r w:rsidRPr="00715370">
        <w:t xml:space="preserve"> P., Concas A., Cao G., 2018b, </w:t>
      </w:r>
      <w:proofErr w:type="spellStart"/>
      <w:r w:rsidRPr="00715370">
        <w:t>Behavior</w:t>
      </w:r>
      <w:proofErr w:type="spellEnd"/>
      <w:r w:rsidRPr="00715370">
        <w:t xml:space="preserve"> of the extremophile green alga </w:t>
      </w:r>
      <w:proofErr w:type="spellStart"/>
      <w:r w:rsidRPr="00715370">
        <w:rPr>
          <w:i/>
        </w:rPr>
        <w:t>Coccomyxa</w:t>
      </w:r>
      <w:proofErr w:type="spellEnd"/>
      <w:r w:rsidRPr="00715370">
        <w:rPr>
          <w:i/>
        </w:rPr>
        <w:t xml:space="preserve"> </w:t>
      </w:r>
      <w:proofErr w:type="spellStart"/>
      <w:r w:rsidRPr="00715370">
        <w:rPr>
          <w:i/>
        </w:rPr>
        <w:t>melkonianii</w:t>
      </w:r>
      <w:proofErr w:type="spellEnd"/>
      <w:r w:rsidRPr="00715370">
        <w:t xml:space="preserve"> SCCA 048 in terms of lipids production and morphology at different pH values, Extremophiles, https://doi.org/10.1007/s00792-018-1062-3.</w:t>
      </w:r>
    </w:p>
    <w:p w:rsidR="005518C5" w:rsidRDefault="00207C2F" w:rsidP="007A5304">
      <w:pPr>
        <w:pStyle w:val="CETReferencetext"/>
      </w:pPr>
      <w:r w:rsidRPr="00715370">
        <w:t xml:space="preserve">Tan Y., Wang Z.-X., Marshall K.C., 1998, </w:t>
      </w:r>
      <w:proofErr w:type="spellStart"/>
      <w:r w:rsidRPr="00715370">
        <w:t>Modeling</w:t>
      </w:r>
      <w:proofErr w:type="spellEnd"/>
      <w:r w:rsidRPr="00715370">
        <w:t xml:space="preserve"> pH effects on microbial growth: a statistical thermodynamic approach, Biotechnology and Bioengineering, 59, 724–731.</w:t>
      </w:r>
    </w:p>
    <w:sectPr w:rsidR="005518C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D3" w:rsidRDefault="003E21D3" w:rsidP="004F5E36">
      <w:r>
        <w:separator/>
      </w:r>
    </w:p>
  </w:endnote>
  <w:endnote w:type="continuationSeparator" w:id="0">
    <w:p w:rsidR="003E21D3" w:rsidRDefault="003E21D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niversalMath1 BT">
    <w:panose1 w:val="050501020102050206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D3" w:rsidRDefault="003E21D3" w:rsidP="004F5E36">
      <w:r>
        <w:separator/>
      </w:r>
    </w:p>
  </w:footnote>
  <w:footnote w:type="continuationSeparator" w:id="0">
    <w:p w:rsidR="003E21D3" w:rsidRDefault="003E21D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05D7A"/>
    <w:rsid w:val="00006326"/>
    <w:rsid w:val="000117CB"/>
    <w:rsid w:val="00017CEE"/>
    <w:rsid w:val="0003148D"/>
    <w:rsid w:val="000376BC"/>
    <w:rsid w:val="00046EB3"/>
    <w:rsid w:val="00051566"/>
    <w:rsid w:val="00062A9A"/>
    <w:rsid w:val="00065058"/>
    <w:rsid w:val="00086C39"/>
    <w:rsid w:val="00087B13"/>
    <w:rsid w:val="00096F27"/>
    <w:rsid w:val="000A03B2"/>
    <w:rsid w:val="000A0613"/>
    <w:rsid w:val="000A0783"/>
    <w:rsid w:val="000A7427"/>
    <w:rsid w:val="000D34BE"/>
    <w:rsid w:val="000D6180"/>
    <w:rsid w:val="000D6C53"/>
    <w:rsid w:val="000E102F"/>
    <w:rsid w:val="000E36F1"/>
    <w:rsid w:val="000E3A73"/>
    <w:rsid w:val="000E414A"/>
    <w:rsid w:val="000F093C"/>
    <w:rsid w:val="000F7367"/>
    <w:rsid w:val="000F787B"/>
    <w:rsid w:val="001057DC"/>
    <w:rsid w:val="00106B2C"/>
    <w:rsid w:val="0012091F"/>
    <w:rsid w:val="00126BC2"/>
    <w:rsid w:val="001308B6"/>
    <w:rsid w:val="0013121F"/>
    <w:rsid w:val="00131FE6"/>
    <w:rsid w:val="0013263F"/>
    <w:rsid w:val="00134DE4"/>
    <w:rsid w:val="0014034D"/>
    <w:rsid w:val="00141CA8"/>
    <w:rsid w:val="0014464F"/>
    <w:rsid w:val="001501F4"/>
    <w:rsid w:val="00150E59"/>
    <w:rsid w:val="00151700"/>
    <w:rsid w:val="00152DE3"/>
    <w:rsid w:val="001603E2"/>
    <w:rsid w:val="00164CF9"/>
    <w:rsid w:val="00180870"/>
    <w:rsid w:val="00181F02"/>
    <w:rsid w:val="00184891"/>
    <w:rsid w:val="00184AD6"/>
    <w:rsid w:val="001A5B78"/>
    <w:rsid w:val="001B0349"/>
    <w:rsid w:val="001B65C1"/>
    <w:rsid w:val="001B7881"/>
    <w:rsid w:val="001C1CD3"/>
    <w:rsid w:val="001C684B"/>
    <w:rsid w:val="001D3A47"/>
    <w:rsid w:val="001D53FC"/>
    <w:rsid w:val="001E6396"/>
    <w:rsid w:val="001F42A5"/>
    <w:rsid w:val="001F6D63"/>
    <w:rsid w:val="001F7B9D"/>
    <w:rsid w:val="002023E6"/>
    <w:rsid w:val="00203D5D"/>
    <w:rsid w:val="00207B42"/>
    <w:rsid w:val="00207C2F"/>
    <w:rsid w:val="002165B0"/>
    <w:rsid w:val="002224B4"/>
    <w:rsid w:val="002279FC"/>
    <w:rsid w:val="00233852"/>
    <w:rsid w:val="002447EF"/>
    <w:rsid w:val="00251550"/>
    <w:rsid w:val="00263B05"/>
    <w:rsid w:val="00271323"/>
    <w:rsid w:val="0027221A"/>
    <w:rsid w:val="00275B61"/>
    <w:rsid w:val="00277DB3"/>
    <w:rsid w:val="00282656"/>
    <w:rsid w:val="0028424F"/>
    <w:rsid w:val="00286908"/>
    <w:rsid w:val="002943F7"/>
    <w:rsid w:val="00296B83"/>
    <w:rsid w:val="002A285C"/>
    <w:rsid w:val="002B658F"/>
    <w:rsid w:val="002B78CE"/>
    <w:rsid w:val="002C2FB6"/>
    <w:rsid w:val="002D01C8"/>
    <w:rsid w:val="003009B7"/>
    <w:rsid w:val="00300E56"/>
    <w:rsid w:val="0030469C"/>
    <w:rsid w:val="00305204"/>
    <w:rsid w:val="00306580"/>
    <w:rsid w:val="00317B4B"/>
    <w:rsid w:val="00321CA6"/>
    <w:rsid w:val="003277D2"/>
    <w:rsid w:val="00334C09"/>
    <w:rsid w:val="00353E07"/>
    <w:rsid w:val="003723D4"/>
    <w:rsid w:val="00375E43"/>
    <w:rsid w:val="00380770"/>
    <w:rsid w:val="00383F4B"/>
    <w:rsid w:val="00384CC8"/>
    <w:rsid w:val="003871FD"/>
    <w:rsid w:val="003A1E30"/>
    <w:rsid w:val="003A7D1C"/>
    <w:rsid w:val="003B304B"/>
    <w:rsid w:val="003B3146"/>
    <w:rsid w:val="003D48E6"/>
    <w:rsid w:val="003E21D3"/>
    <w:rsid w:val="003E3A31"/>
    <w:rsid w:val="003E651B"/>
    <w:rsid w:val="003E66A1"/>
    <w:rsid w:val="003F015E"/>
    <w:rsid w:val="00400414"/>
    <w:rsid w:val="004006F0"/>
    <w:rsid w:val="0041446B"/>
    <w:rsid w:val="00420040"/>
    <w:rsid w:val="0044152F"/>
    <w:rsid w:val="0044329C"/>
    <w:rsid w:val="00447FE1"/>
    <w:rsid w:val="00453E22"/>
    <w:rsid w:val="004577FE"/>
    <w:rsid w:val="00457B9C"/>
    <w:rsid w:val="0046164A"/>
    <w:rsid w:val="004628D2"/>
    <w:rsid w:val="00462DCD"/>
    <w:rsid w:val="004648AD"/>
    <w:rsid w:val="004703A9"/>
    <w:rsid w:val="004760DE"/>
    <w:rsid w:val="00490A92"/>
    <w:rsid w:val="00491A52"/>
    <w:rsid w:val="004A004E"/>
    <w:rsid w:val="004A24CF"/>
    <w:rsid w:val="004A6060"/>
    <w:rsid w:val="004C3D1D"/>
    <w:rsid w:val="004C6CDC"/>
    <w:rsid w:val="004C7913"/>
    <w:rsid w:val="004E4DD6"/>
    <w:rsid w:val="004F5E36"/>
    <w:rsid w:val="00507B47"/>
    <w:rsid w:val="00507CC9"/>
    <w:rsid w:val="005119A5"/>
    <w:rsid w:val="0051545E"/>
    <w:rsid w:val="005237C1"/>
    <w:rsid w:val="005278B7"/>
    <w:rsid w:val="00532016"/>
    <w:rsid w:val="0053434D"/>
    <w:rsid w:val="005346C8"/>
    <w:rsid w:val="00543650"/>
    <w:rsid w:val="00543E7D"/>
    <w:rsid w:val="00547A68"/>
    <w:rsid w:val="005518C5"/>
    <w:rsid w:val="005531C9"/>
    <w:rsid w:val="00562BCB"/>
    <w:rsid w:val="00563526"/>
    <w:rsid w:val="005717F3"/>
    <w:rsid w:val="005844B8"/>
    <w:rsid w:val="00591D86"/>
    <w:rsid w:val="005A28DA"/>
    <w:rsid w:val="005A2B41"/>
    <w:rsid w:val="005B0806"/>
    <w:rsid w:val="005B2110"/>
    <w:rsid w:val="005B4281"/>
    <w:rsid w:val="005B61E6"/>
    <w:rsid w:val="005C245A"/>
    <w:rsid w:val="005C77E1"/>
    <w:rsid w:val="005D6A2F"/>
    <w:rsid w:val="005E1A82"/>
    <w:rsid w:val="005E794C"/>
    <w:rsid w:val="005F0A28"/>
    <w:rsid w:val="005F0E5E"/>
    <w:rsid w:val="00600535"/>
    <w:rsid w:val="00607ADB"/>
    <w:rsid w:val="00610CD6"/>
    <w:rsid w:val="00620C11"/>
    <w:rsid w:val="00620DEE"/>
    <w:rsid w:val="00621F92"/>
    <w:rsid w:val="00625639"/>
    <w:rsid w:val="00631B33"/>
    <w:rsid w:val="006367E0"/>
    <w:rsid w:val="0064184D"/>
    <w:rsid w:val="00642570"/>
    <w:rsid w:val="00645DA2"/>
    <w:rsid w:val="00660E3E"/>
    <w:rsid w:val="00662E74"/>
    <w:rsid w:val="00680C23"/>
    <w:rsid w:val="00681090"/>
    <w:rsid w:val="00693284"/>
    <w:rsid w:val="00693766"/>
    <w:rsid w:val="00693BD9"/>
    <w:rsid w:val="006A3281"/>
    <w:rsid w:val="006A6852"/>
    <w:rsid w:val="006A7980"/>
    <w:rsid w:val="006B3BD2"/>
    <w:rsid w:val="006B4888"/>
    <w:rsid w:val="006B6442"/>
    <w:rsid w:val="006C2E45"/>
    <w:rsid w:val="006C359C"/>
    <w:rsid w:val="006C5579"/>
    <w:rsid w:val="006D1835"/>
    <w:rsid w:val="006D6E2A"/>
    <w:rsid w:val="006E737D"/>
    <w:rsid w:val="006F0BE5"/>
    <w:rsid w:val="00715370"/>
    <w:rsid w:val="00717F19"/>
    <w:rsid w:val="00720A24"/>
    <w:rsid w:val="0072370C"/>
    <w:rsid w:val="00732386"/>
    <w:rsid w:val="007336DF"/>
    <w:rsid w:val="007447F3"/>
    <w:rsid w:val="0075499F"/>
    <w:rsid w:val="007661C8"/>
    <w:rsid w:val="0077098D"/>
    <w:rsid w:val="0078055B"/>
    <w:rsid w:val="007806D0"/>
    <w:rsid w:val="007A1B8D"/>
    <w:rsid w:val="007A5304"/>
    <w:rsid w:val="007A7BBA"/>
    <w:rsid w:val="007B0C50"/>
    <w:rsid w:val="007C1A43"/>
    <w:rsid w:val="007D0F43"/>
    <w:rsid w:val="007F3B1D"/>
    <w:rsid w:val="00813288"/>
    <w:rsid w:val="008135CC"/>
    <w:rsid w:val="008168FC"/>
    <w:rsid w:val="00830996"/>
    <w:rsid w:val="00830B3A"/>
    <w:rsid w:val="008345F1"/>
    <w:rsid w:val="00836DA5"/>
    <w:rsid w:val="00857208"/>
    <w:rsid w:val="008654A3"/>
    <w:rsid w:val="00865B07"/>
    <w:rsid w:val="008667EA"/>
    <w:rsid w:val="00873D70"/>
    <w:rsid w:val="0087637F"/>
    <w:rsid w:val="00892AD5"/>
    <w:rsid w:val="00896286"/>
    <w:rsid w:val="00896B06"/>
    <w:rsid w:val="008A12EC"/>
    <w:rsid w:val="008A1512"/>
    <w:rsid w:val="008A3143"/>
    <w:rsid w:val="008B5C16"/>
    <w:rsid w:val="008D433B"/>
    <w:rsid w:val="008E02DF"/>
    <w:rsid w:val="008E18B2"/>
    <w:rsid w:val="008E566E"/>
    <w:rsid w:val="008E7138"/>
    <w:rsid w:val="008F49F7"/>
    <w:rsid w:val="009008C6"/>
    <w:rsid w:val="0090161A"/>
    <w:rsid w:val="00901EB6"/>
    <w:rsid w:val="00904C62"/>
    <w:rsid w:val="0092196B"/>
    <w:rsid w:val="00924DAC"/>
    <w:rsid w:val="00927058"/>
    <w:rsid w:val="00930515"/>
    <w:rsid w:val="00933ED0"/>
    <w:rsid w:val="009450CE"/>
    <w:rsid w:val="00946DC4"/>
    <w:rsid w:val="00947179"/>
    <w:rsid w:val="0095164B"/>
    <w:rsid w:val="00954090"/>
    <w:rsid w:val="009573E7"/>
    <w:rsid w:val="00963001"/>
    <w:rsid w:val="00963E05"/>
    <w:rsid w:val="00967D54"/>
    <w:rsid w:val="00972D08"/>
    <w:rsid w:val="00996483"/>
    <w:rsid w:val="00996F5A"/>
    <w:rsid w:val="009A276B"/>
    <w:rsid w:val="009B041A"/>
    <w:rsid w:val="009B3929"/>
    <w:rsid w:val="009C572F"/>
    <w:rsid w:val="009C7C86"/>
    <w:rsid w:val="009D2FF7"/>
    <w:rsid w:val="009D6CCE"/>
    <w:rsid w:val="009E3CA4"/>
    <w:rsid w:val="009E47D3"/>
    <w:rsid w:val="009E5030"/>
    <w:rsid w:val="009E7884"/>
    <w:rsid w:val="009E788A"/>
    <w:rsid w:val="009F0E08"/>
    <w:rsid w:val="009F7F64"/>
    <w:rsid w:val="00A00A2C"/>
    <w:rsid w:val="00A1763D"/>
    <w:rsid w:val="00A17CEC"/>
    <w:rsid w:val="00A27027"/>
    <w:rsid w:val="00A27EF0"/>
    <w:rsid w:val="00A30AF8"/>
    <w:rsid w:val="00A50B20"/>
    <w:rsid w:val="00A51390"/>
    <w:rsid w:val="00A60D13"/>
    <w:rsid w:val="00A6151F"/>
    <w:rsid w:val="00A72745"/>
    <w:rsid w:val="00A76C3D"/>
    <w:rsid w:val="00A76EFC"/>
    <w:rsid w:val="00A86BE4"/>
    <w:rsid w:val="00A87F4A"/>
    <w:rsid w:val="00A91010"/>
    <w:rsid w:val="00A97F29"/>
    <w:rsid w:val="00AA34AB"/>
    <w:rsid w:val="00AA702E"/>
    <w:rsid w:val="00AB0964"/>
    <w:rsid w:val="00AB5011"/>
    <w:rsid w:val="00AC02B6"/>
    <w:rsid w:val="00AC0AB8"/>
    <w:rsid w:val="00AC7368"/>
    <w:rsid w:val="00AD0973"/>
    <w:rsid w:val="00AD16B9"/>
    <w:rsid w:val="00AE1037"/>
    <w:rsid w:val="00AE1DE8"/>
    <w:rsid w:val="00AE377D"/>
    <w:rsid w:val="00AF3C6D"/>
    <w:rsid w:val="00B019EC"/>
    <w:rsid w:val="00B020EC"/>
    <w:rsid w:val="00B04890"/>
    <w:rsid w:val="00B17FBD"/>
    <w:rsid w:val="00B255F0"/>
    <w:rsid w:val="00B315A6"/>
    <w:rsid w:val="00B31813"/>
    <w:rsid w:val="00B3206E"/>
    <w:rsid w:val="00B33365"/>
    <w:rsid w:val="00B40C5B"/>
    <w:rsid w:val="00B446B1"/>
    <w:rsid w:val="00B501C6"/>
    <w:rsid w:val="00B54581"/>
    <w:rsid w:val="00B57B36"/>
    <w:rsid w:val="00B60B6B"/>
    <w:rsid w:val="00B66B6F"/>
    <w:rsid w:val="00B72CC1"/>
    <w:rsid w:val="00B8686D"/>
    <w:rsid w:val="00B906D6"/>
    <w:rsid w:val="00BB0CD5"/>
    <w:rsid w:val="00BB12A7"/>
    <w:rsid w:val="00BB312C"/>
    <w:rsid w:val="00BB6236"/>
    <w:rsid w:val="00BC1CB4"/>
    <w:rsid w:val="00BC30C9"/>
    <w:rsid w:val="00BD4D70"/>
    <w:rsid w:val="00BD776C"/>
    <w:rsid w:val="00BE3E58"/>
    <w:rsid w:val="00BF690D"/>
    <w:rsid w:val="00C01616"/>
    <w:rsid w:val="00C0162B"/>
    <w:rsid w:val="00C1419D"/>
    <w:rsid w:val="00C30AA6"/>
    <w:rsid w:val="00C345B1"/>
    <w:rsid w:val="00C40142"/>
    <w:rsid w:val="00C52712"/>
    <w:rsid w:val="00C57182"/>
    <w:rsid w:val="00C57863"/>
    <w:rsid w:val="00C60761"/>
    <w:rsid w:val="00C62D91"/>
    <w:rsid w:val="00C6495C"/>
    <w:rsid w:val="00C655FD"/>
    <w:rsid w:val="00C71FB5"/>
    <w:rsid w:val="00C73A87"/>
    <w:rsid w:val="00C770F8"/>
    <w:rsid w:val="00C870A8"/>
    <w:rsid w:val="00C94434"/>
    <w:rsid w:val="00CA0D75"/>
    <w:rsid w:val="00CA1898"/>
    <w:rsid w:val="00CA1C95"/>
    <w:rsid w:val="00CA5A9C"/>
    <w:rsid w:val="00CB1442"/>
    <w:rsid w:val="00CD5FE2"/>
    <w:rsid w:val="00CE7C68"/>
    <w:rsid w:val="00D02B4C"/>
    <w:rsid w:val="00D040C4"/>
    <w:rsid w:val="00D0644A"/>
    <w:rsid w:val="00D21163"/>
    <w:rsid w:val="00D31373"/>
    <w:rsid w:val="00D35F31"/>
    <w:rsid w:val="00D57C84"/>
    <w:rsid w:val="00D6057D"/>
    <w:rsid w:val="00D84576"/>
    <w:rsid w:val="00D85350"/>
    <w:rsid w:val="00D96049"/>
    <w:rsid w:val="00DA0FAF"/>
    <w:rsid w:val="00DA1399"/>
    <w:rsid w:val="00DA24C6"/>
    <w:rsid w:val="00DA4D7B"/>
    <w:rsid w:val="00DA7118"/>
    <w:rsid w:val="00DB0C95"/>
    <w:rsid w:val="00DB2021"/>
    <w:rsid w:val="00DE191E"/>
    <w:rsid w:val="00DE264A"/>
    <w:rsid w:val="00DE79A3"/>
    <w:rsid w:val="00DE7AC4"/>
    <w:rsid w:val="00E02D18"/>
    <w:rsid w:val="00E03CEA"/>
    <w:rsid w:val="00E041E7"/>
    <w:rsid w:val="00E10BC7"/>
    <w:rsid w:val="00E20A0A"/>
    <w:rsid w:val="00E2399B"/>
    <w:rsid w:val="00E23CA1"/>
    <w:rsid w:val="00E409A8"/>
    <w:rsid w:val="00E42919"/>
    <w:rsid w:val="00E47B5F"/>
    <w:rsid w:val="00E50C12"/>
    <w:rsid w:val="00E65B91"/>
    <w:rsid w:val="00E702DD"/>
    <w:rsid w:val="00E7209D"/>
    <w:rsid w:val="00E77223"/>
    <w:rsid w:val="00E8528B"/>
    <w:rsid w:val="00E85B94"/>
    <w:rsid w:val="00E90C57"/>
    <w:rsid w:val="00E969A7"/>
    <w:rsid w:val="00E978D0"/>
    <w:rsid w:val="00EA4613"/>
    <w:rsid w:val="00EA7F91"/>
    <w:rsid w:val="00EB1523"/>
    <w:rsid w:val="00EB1585"/>
    <w:rsid w:val="00EC0E49"/>
    <w:rsid w:val="00ED5CB5"/>
    <w:rsid w:val="00EE0131"/>
    <w:rsid w:val="00EE67E2"/>
    <w:rsid w:val="00EF2394"/>
    <w:rsid w:val="00F1021C"/>
    <w:rsid w:val="00F20D13"/>
    <w:rsid w:val="00F2798D"/>
    <w:rsid w:val="00F27F77"/>
    <w:rsid w:val="00F30C64"/>
    <w:rsid w:val="00F32CDB"/>
    <w:rsid w:val="00F45725"/>
    <w:rsid w:val="00F50FDB"/>
    <w:rsid w:val="00F511C1"/>
    <w:rsid w:val="00F540C1"/>
    <w:rsid w:val="00F63A70"/>
    <w:rsid w:val="00F742D7"/>
    <w:rsid w:val="00F80B94"/>
    <w:rsid w:val="00F81BC7"/>
    <w:rsid w:val="00F85E3B"/>
    <w:rsid w:val="00F90C8E"/>
    <w:rsid w:val="00FA21D0"/>
    <w:rsid w:val="00FA5F5F"/>
    <w:rsid w:val="00FB6E22"/>
    <w:rsid w:val="00FB730C"/>
    <w:rsid w:val="00FB7448"/>
    <w:rsid w:val="00FC0F15"/>
    <w:rsid w:val="00FC2695"/>
    <w:rsid w:val="00FC2BF5"/>
    <w:rsid w:val="00FC3E03"/>
    <w:rsid w:val="00FC3FC1"/>
    <w:rsid w:val="00FE1126"/>
    <w:rsid w:val="00FE480D"/>
    <w:rsid w:val="00FE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D21163"/>
    <w:pPr>
      <w:spacing w:after="0" w:line="240" w:lineRule="auto"/>
    </w:pPr>
    <w:rPr>
      <w:rFonts w:ascii="Arial" w:eastAsia="Times New Roman" w:hAnsi="Arial" w:cs="Times New Roman"/>
      <w:sz w:val="18"/>
      <w:szCs w:val="20"/>
      <w:lang w:val="en-GB"/>
    </w:rPr>
  </w:style>
  <w:style w:type="paragraph" w:customStyle="1" w:styleId="BITE">
    <w:name w:val="BITE"/>
    <w:basedOn w:val="Normale"/>
    <w:link w:val="BITECarattere"/>
    <w:qFormat/>
    <w:rsid w:val="00151700"/>
    <w:pPr>
      <w:tabs>
        <w:tab w:val="clear" w:pos="7100"/>
      </w:tabs>
      <w:spacing w:after="60" w:line="480" w:lineRule="auto"/>
      <w:ind w:firstLine="357"/>
      <w:jc w:val="left"/>
    </w:pPr>
    <w:rPr>
      <w:rFonts w:asciiTheme="majorHAnsi" w:eastAsiaTheme="minorHAnsi" w:hAnsiTheme="majorHAnsi" w:cstheme="minorBidi"/>
      <w:sz w:val="22"/>
      <w:szCs w:val="22"/>
      <w:lang w:val="en-US"/>
    </w:rPr>
  </w:style>
  <w:style w:type="character" w:customStyle="1" w:styleId="BITECarattere">
    <w:name w:val="BITE Carattere"/>
    <w:basedOn w:val="Carpredefinitoparagrafo"/>
    <w:link w:val="BITE"/>
    <w:rsid w:val="00151700"/>
    <w:rPr>
      <w:rFonts w:asciiTheme="majorHAnsi" w:hAnsiTheme="majorHAnsi"/>
      <w:lang w:val="en-US"/>
    </w:rPr>
  </w:style>
  <w:style w:type="character" w:styleId="Testosegnaposto">
    <w:name w:val="Placeholder Text"/>
    <w:basedOn w:val="Carpredefinitoparagrafo"/>
    <w:uiPriority w:val="99"/>
    <w:semiHidden/>
    <w:rsid w:val="006932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D21163"/>
    <w:pPr>
      <w:spacing w:after="0" w:line="240" w:lineRule="auto"/>
    </w:pPr>
    <w:rPr>
      <w:rFonts w:ascii="Arial" w:eastAsia="Times New Roman" w:hAnsi="Arial" w:cs="Times New Roman"/>
      <w:sz w:val="18"/>
      <w:szCs w:val="20"/>
      <w:lang w:val="en-GB"/>
    </w:rPr>
  </w:style>
  <w:style w:type="paragraph" w:customStyle="1" w:styleId="BITE">
    <w:name w:val="BITE"/>
    <w:basedOn w:val="Normale"/>
    <w:link w:val="BITECarattere"/>
    <w:qFormat/>
    <w:rsid w:val="00151700"/>
    <w:pPr>
      <w:tabs>
        <w:tab w:val="clear" w:pos="7100"/>
      </w:tabs>
      <w:spacing w:after="60" w:line="480" w:lineRule="auto"/>
      <w:ind w:firstLine="357"/>
      <w:jc w:val="left"/>
    </w:pPr>
    <w:rPr>
      <w:rFonts w:asciiTheme="majorHAnsi" w:eastAsiaTheme="minorHAnsi" w:hAnsiTheme="majorHAnsi" w:cstheme="minorBidi"/>
      <w:sz w:val="22"/>
      <w:szCs w:val="22"/>
      <w:lang w:val="en-US"/>
    </w:rPr>
  </w:style>
  <w:style w:type="character" w:customStyle="1" w:styleId="BITECarattere">
    <w:name w:val="BITE Carattere"/>
    <w:basedOn w:val="Carpredefinitoparagrafo"/>
    <w:link w:val="BITE"/>
    <w:rsid w:val="00151700"/>
    <w:rPr>
      <w:rFonts w:asciiTheme="majorHAnsi" w:hAnsiTheme="majorHAnsi"/>
      <w:lang w:val="en-US"/>
    </w:rPr>
  </w:style>
  <w:style w:type="character" w:styleId="Testosegnaposto">
    <w:name w:val="Placeholder Text"/>
    <w:basedOn w:val="Carpredefinitoparagrafo"/>
    <w:uiPriority w:val="99"/>
    <w:semiHidden/>
    <w:rsid w:val="006932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image" Target="media/image14.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oncas@crs4.it"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A1E3-F3BB-479A-A95B-A3905232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3408</Words>
  <Characters>19426</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Concas</cp:lastModifiedBy>
  <cp:revision>3</cp:revision>
  <cp:lastPrinted>2015-05-12T18:31:00Z</cp:lastPrinted>
  <dcterms:created xsi:type="dcterms:W3CDTF">2019-03-29T14:22:00Z</dcterms:created>
  <dcterms:modified xsi:type="dcterms:W3CDTF">2019-03-29T14:23:00Z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544602bd-9648-3b94-9c39-a79302df95b8</vt:lpwstr>
  </property>
  <property fmtid="{D5CDD505-2E9C-101B-9397-08002B2CF9AE}" pid="6" name="Mendeley Recent Style Id 0_1">
    <vt:lpwstr>http://www.zotero.org/styles/algal-research</vt:lpwstr>
  </property>
  <property fmtid="{D5CDD505-2E9C-101B-9397-08002B2CF9AE}" pid="7" name="Mendeley Recent Style Name 0_1">
    <vt:lpwstr>Algal Research</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http://www.zotero.org/styles/bioresource-technology</vt:lpwstr>
  </property>
  <property fmtid="{D5CDD505-2E9C-101B-9397-08002B2CF9AE}" pid="13" name="Mendeley Recent Style Name 3_1">
    <vt:lpwstr>Bioresource Technology</vt:lpwstr>
  </property>
  <property fmtid="{D5CDD505-2E9C-101B-9397-08002B2CF9AE}" pid="14" name="Mendeley Recent Style Id 4_1">
    <vt:lpwstr>http://www.zotero.org/styles/ieee</vt:lpwstr>
  </property>
  <property fmtid="{D5CDD505-2E9C-101B-9397-08002B2CF9AE}" pid="15" name="Mendeley Recent Style Name 4_1">
    <vt:lpwstr>IEEE</vt:lpwstr>
  </property>
  <property fmtid="{D5CDD505-2E9C-101B-9397-08002B2CF9AE}" pid="16" name="Mendeley Recent Style Id 5_1">
    <vt:lpwstr>http://www.zotero.org/styles/journal-of-environmental-chemical-engineering</vt:lpwstr>
  </property>
  <property fmtid="{D5CDD505-2E9C-101B-9397-08002B2CF9AE}" pid="17" name="Mendeley Recent Style Name 5_1">
    <vt:lpwstr>Journal of Environmental Chemical Engineering</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7th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Citation Style_1">
    <vt:lpwstr>http://www.zotero.org/styles/extremophiles</vt:lpwstr>
  </property>
</Properties>
</file>