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7E098255" w14:textId="77777777">
        <w:trPr>
          <w:trHeight w:val="852"/>
          <w:jc w:val="center"/>
        </w:trPr>
        <w:tc>
          <w:tcPr>
            <w:tcW w:w="6946" w:type="dxa"/>
            <w:vMerge w:val="restart"/>
            <w:tcBorders>
              <w:right w:val="single" w:sz="4" w:space="0" w:color="auto"/>
            </w:tcBorders>
          </w:tcPr>
          <w:p w14:paraId="2CF5B00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n-US"/>
              </w:rPr>
              <w:drawing>
                <wp:inline distT="0" distB="0" distL="0" distR="0" wp14:anchorId="027E109F" wp14:editId="39504DF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86F4353"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F76C33D"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A2CA6D8" w14:textId="77777777" w:rsidR="000A03B2" w:rsidRPr="00B57B36" w:rsidRDefault="000A03B2" w:rsidP="00CD5FE2">
            <w:pPr>
              <w:jc w:val="right"/>
            </w:pPr>
            <w:r w:rsidRPr="00B57B36">
              <w:rPr>
                <w:noProof/>
                <w:lang w:val="en-US"/>
              </w:rPr>
              <w:drawing>
                <wp:inline distT="0" distB="0" distL="0" distR="0" wp14:anchorId="58CB20DF" wp14:editId="03B8E15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9A1C660" w14:textId="77777777">
        <w:trPr>
          <w:trHeight w:val="567"/>
          <w:jc w:val="center"/>
        </w:trPr>
        <w:tc>
          <w:tcPr>
            <w:tcW w:w="6946" w:type="dxa"/>
            <w:vMerge/>
            <w:tcBorders>
              <w:right w:val="single" w:sz="4" w:space="0" w:color="auto"/>
            </w:tcBorders>
          </w:tcPr>
          <w:p w14:paraId="4DD9FD3A"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ED467C5"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9DD844"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37E9187"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70F76141" w14:textId="77777777">
        <w:trPr>
          <w:trHeight w:val="68"/>
          <w:jc w:val="center"/>
        </w:trPr>
        <w:tc>
          <w:tcPr>
            <w:tcW w:w="8789" w:type="dxa"/>
            <w:gridSpan w:val="2"/>
          </w:tcPr>
          <w:p w14:paraId="7E444503"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C1872C3"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D5AE037"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2588383" w14:textId="77777777" w:rsidR="006C544C" w:rsidRPr="00F13981" w:rsidRDefault="006C544C" w:rsidP="00206B33">
      <w:pPr>
        <w:pStyle w:val="CETAuthors"/>
        <w:spacing w:before="240"/>
        <w:jc w:val="center"/>
      </w:pPr>
      <w:r w:rsidRPr="00F13981">
        <w:rPr>
          <w:noProof w:val="0"/>
          <w:sz w:val="32"/>
        </w:rPr>
        <w:lastRenderedPageBreak/>
        <w:t xml:space="preserve">Mathematical </w:t>
      </w:r>
      <w:proofErr w:type="spellStart"/>
      <w:r w:rsidRPr="00F13981">
        <w:rPr>
          <w:noProof w:val="0"/>
          <w:sz w:val="32"/>
        </w:rPr>
        <w:t>Modeling</w:t>
      </w:r>
      <w:proofErr w:type="spellEnd"/>
      <w:r w:rsidRPr="00F13981">
        <w:rPr>
          <w:noProof w:val="0"/>
          <w:sz w:val="32"/>
        </w:rPr>
        <w:t xml:space="preserve"> of the Size-Structured Growth of Microalgae Dividing by Multiple Fission</w:t>
      </w:r>
    </w:p>
    <w:p w14:paraId="18B9F0CA" w14:textId="77777777" w:rsidR="00E978D0" w:rsidRPr="00F13981" w:rsidRDefault="006C544C" w:rsidP="00AB5011">
      <w:pPr>
        <w:pStyle w:val="CETAuthors"/>
        <w:rPr>
          <w:lang w:val="it-IT"/>
        </w:rPr>
      </w:pPr>
      <w:r w:rsidRPr="00F13981">
        <w:rPr>
          <w:lang w:val="it-IT"/>
        </w:rPr>
        <w:t>Alessandro Concas</w:t>
      </w:r>
      <w:r w:rsidRPr="00F13981">
        <w:rPr>
          <w:vertAlign w:val="superscript"/>
          <w:lang w:val="it-IT"/>
        </w:rPr>
        <w:t>*a</w:t>
      </w:r>
      <w:r w:rsidRPr="00F13981">
        <w:rPr>
          <w:lang w:val="it-IT"/>
        </w:rPr>
        <w:t>, Massimo Pisu</w:t>
      </w:r>
      <w:r w:rsidRPr="00F13981">
        <w:rPr>
          <w:vertAlign w:val="superscript"/>
          <w:lang w:val="it-IT"/>
        </w:rPr>
        <w:t>a</w:t>
      </w:r>
      <w:r w:rsidRPr="00F13981">
        <w:rPr>
          <w:lang w:val="it-IT"/>
        </w:rPr>
        <w:t>, Giacomo Cao</w:t>
      </w:r>
      <w:r w:rsidRPr="00F13981">
        <w:rPr>
          <w:vertAlign w:val="superscript"/>
          <w:lang w:val="it-IT"/>
        </w:rPr>
        <w:t>b,c</w:t>
      </w:r>
    </w:p>
    <w:p w14:paraId="305731B4" w14:textId="77777777" w:rsidR="006C544C" w:rsidRPr="00F13981" w:rsidRDefault="006C544C" w:rsidP="006C544C">
      <w:pPr>
        <w:pStyle w:val="CETBodytext"/>
        <w:rPr>
          <w:lang w:val="en-GB"/>
        </w:rPr>
      </w:pPr>
      <w:r w:rsidRPr="00F13981">
        <w:rPr>
          <w:vertAlign w:val="superscript"/>
          <w:lang w:val="en-GB"/>
        </w:rPr>
        <w:t xml:space="preserve">a </w:t>
      </w:r>
      <w:proofErr w:type="spellStart"/>
      <w:r w:rsidRPr="00F13981">
        <w:rPr>
          <w:lang w:val="en-GB"/>
        </w:rPr>
        <w:t>Center</w:t>
      </w:r>
      <w:proofErr w:type="spellEnd"/>
      <w:r w:rsidRPr="00F13981">
        <w:rPr>
          <w:lang w:val="en-GB"/>
        </w:rPr>
        <w:t xml:space="preserve"> for Advanced Studies, Research and Development in Sardinia (CRS4), Loc. </w:t>
      </w:r>
      <w:proofErr w:type="spellStart"/>
      <w:r w:rsidRPr="00F13981">
        <w:rPr>
          <w:lang w:val="en-GB"/>
        </w:rPr>
        <w:t>Pi</w:t>
      </w:r>
      <w:r w:rsidR="00C31D7D" w:rsidRPr="00F13981">
        <w:rPr>
          <w:lang w:val="en-GB"/>
        </w:rPr>
        <w:t>x</w:t>
      </w:r>
      <w:r w:rsidRPr="00F13981">
        <w:rPr>
          <w:lang w:val="en-GB"/>
        </w:rPr>
        <w:t>ina</w:t>
      </w:r>
      <w:proofErr w:type="spellEnd"/>
      <w:r w:rsidRPr="00F13981">
        <w:rPr>
          <w:lang w:val="en-GB"/>
        </w:rPr>
        <w:t xml:space="preserve"> Manna, Building 1, 09010 Pula (CA), Italy</w:t>
      </w:r>
    </w:p>
    <w:p w14:paraId="1C1A9957" w14:textId="77777777" w:rsidR="006C544C" w:rsidRPr="00F13981" w:rsidRDefault="006C544C" w:rsidP="006C544C">
      <w:pPr>
        <w:pStyle w:val="CETBodytext"/>
        <w:rPr>
          <w:lang w:val="en-GB"/>
        </w:rPr>
      </w:pPr>
      <w:r w:rsidRPr="00F13981">
        <w:rPr>
          <w:vertAlign w:val="superscript"/>
          <w:lang w:val="en-GB"/>
        </w:rPr>
        <w:t>b</w:t>
      </w:r>
      <w:r w:rsidRPr="00F13981">
        <w:rPr>
          <w:lang w:val="en-GB"/>
        </w:rPr>
        <w:t xml:space="preserve"> Interdepartmental </w:t>
      </w:r>
      <w:proofErr w:type="spellStart"/>
      <w:r w:rsidRPr="00F13981">
        <w:rPr>
          <w:lang w:val="en-GB"/>
        </w:rPr>
        <w:t>Center</w:t>
      </w:r>
      <w:proofErr w:type="spellEnd"/>
      <w:r w:rsidRPr="00F13981">
        <w:rPr>
          <w:lang w:val="en-GB"/>
        </w:rPr>
        <w:t xml:space="preserve"> of Environmental Science and Engineering (CINSA), University of Cagliari, Via San Giorgio 12, 09124 Cagliari, Italy</w:t>
      </w:r>
    </w:p>
    <w:p w14:paraId="43795501" w14:textId="77777777" w:rsidR="006C544C" w:rsidRPr="00F13981" w:rsidRDefault="006C544C" w:rsidP="006C544C">
      <w:pPr>
        <w:pStyle w:val="CETBodytext"/>
        <w:rPr>
          <w:lang w:val="en-GB"/>
        </w:rPr>
      </w:pPr>
      <w:r w:rsidRPr="00F13981">
        <w:rPr>
          <w:vertAlign w:val="superscript"/>
          <w:lang w:val="en-GB"/>
        </w:rPr>
        <w:t>c</w:t>
      </w:r>
      <w:r w:rsidRPr="00F13981">
        <w:rPr>
          <w:lang w:val="en-GB"/>
        </w:rPr>
        <w:t xml:space="preserve"> Department of Mechanical, Chemical and Materials Engineering, University of Cagliari, Piazza </w:t>
      </w:r>
      <w:proofErr w:type="spellStart"/>
      <w:r w:rsidRPr="00F13981">
        <w:rPr>
          <w:lang w:val="en-GB"/>
        </w:rPr>
        <w:t>d’Armi</w:t>
      </w:r>
      <w:proofErr w:type="spellEnd"/>
      <w:r w:rsidRPr="00F13981">
        <w:rPr>
          <w:lang w:val="en-GB"/>
        </w:rPr>
        <w:t>, 09123 Cagliari, Italy</w:t>
      </w:r>
    </w:p>
    <w:p w14:paraId="20BEDC42" w14:textId="77777777" w:rsidR="006C544C" w:rsidRPr="00F13981" w:rsidRDefault="00C03F8C" w:rsidP="006C544C">
      <w:pPr>
        <w:pStyle w:val="CETBodytext"/>
        <w:rPr>
          <w:lang w:val="en-GB"/>
        </w:rPr>
      </w:pPr>
      <w:hyperlink r:id="rId11" w:history="1">
        <w:r w:rsidR="006C544C" w:rsidRPr="00F13981">
          <w:rPr>
            <w:rStyle w:val="Collegamentoipertestuale"/>
            <w:color w:val="auto"/>
            <w:lang w:val="en-GB"/>
          </w:rPr>
          <w:t>aconcas@crs4.it</w:t>
        </w:r>
      </w:hyperlink>
    </w:p>
    <w:p w14:paraId="5514A219" w14:textId="77777777" w:rsidR="006C544C" w:rsidRPr="00F13981" w:rsidRDefault="006C544C" w:rsidP="006C544C">
      <w:pPr>
        <w:pStyle w:val="CETBodytext"/>
        <w:rPr>
          <w:lang w:val="en-GB"/>
        </w:rPr>
      </w:pPr>
    </w:p>
    <w:p w14:paraId="139B75EC" w14:textId="330C6F33" w:rsidR="003A3626" w:rsidRPr="006F3506" w:rsidRDefault="009B34A5" w:rsidP="006C544C">
      <w:pPr>
        <w:pStyle w:val="CETBodytext"/>
        <w:rPr>
          <w:rFonts w:cs="Arial"/>
          <w:lang w:val="en-GB"/>
        </w:rPr>
      </w:pPr>
      <w:r>
        <w:rPr>
          <w:rFonts w:cs="Arial"/>
          <w:lang w:val="en-GB"/>
        </w:rPr>
        <w:t>A</w:t>
      </w:r>
      <w:r w:rsidR="00570A36" w:rsidRPr="006F3506">
        <w:rPr>
          <w:rFonts w:cs="Arial"/>
          <w:lang w:val="en-GB"/>
        </w:rPr>
        <w:t xml:space="preserve"> </w:t>
      </w:r>
      <w:r w:rsidR="001F78B3" w:rsidRPr="006F3506">
        <w:rPr>
          <w:rFonts w:cs="Arial"/>
          <w:lang w:val="en-GB"/>
        </w:rPr>
        <w:t xml:space="preserve">novel </w:t>
      </w:r>
      <w:r w:rsidR="00570A36" w:rsidRPr="006F3506">
        <w:rPr>
          <w:rFonts w:cs="Arial"/>
          <w:lang w:val="en-GB"/>
        </w:rPr>
        <w:t>mathematical model to simulate the size-structured growth of microalgal strains dividing by multiple fission</w:t>
      </w:r>
      <w:r w:rsidR="001F78B3" w:rsidRPr="006F3506">
        <w:rPr>
          <w:rFonts w:cs="Arial"/>
          <w:lang w:val="en-GB"/>
        </w:rPr>
        <w:t xml:space="preserve"> is proposed</w:t>
      </w:r>
      <w:r w:rsidR="00570A36" w:rsidRPr="006F3506">
        <w:rPr>
          <w:rFonts w:cs="Arial"/>
          <w:lang w:val="en-GB"/>
        </w:rPr>
        <w:t xml:space="preserve">. </w:t>
      </w:r>
      <w:r w:rsidR="001F78B3" w:rsidRPr="006F3506">
        <w:rPr>
          <w:rFonts w:cs="Arial"/>
          <w:lang w:val="en-GB"/>
        </w:rPr>
        <w:t xml:space="preserve">The model is validated by comparison with literature experimental data. </w:t>
      </w:r>
      <w:r w:rsidR="00F87398" w:rsidRPr="006F3506">
        <w:rPr>
          <w:rFonts w:cs="Arial"/>
          <w:szCs w:val="18"/>
          <w:shd w:val="clear" w:color="auto" w:fill="FFFFFF"/>
        </w:rPr>
        <w:t>Then, the implications of such division mode on crucial aspects of microalgae cultivation and processing, such as time for steady state achievement, biomass prod</w:t>
      </w:r>
      <w:r w:rsidR="0016194C" w:rsidRPr="006F3506">
        <w:rPr>
          <w:rFonts w:cs="Arial"/>
          <w:szCs w:val="18"/>
          <w:shd w:val="clear" w:color="auto" w:fill="FFFFFF"/>
        </w:rPr>
        <w:t xml:space="preserve">uctivity and </w:t>
      </w:r>
      <w:proofErr w:type="spellStart"/>
      <w:r w:rsidR="0016194C" w:rsidRPr="006F3506">
        <w:rPr>
          <w:rFonts w:cs="Arial"/>
          <w:szCs w:val="18"/>
          <w:shd w:val="clear" w:color="auto" w:fill="FFFFFF"/>
        </w:rPr>
        <w:t>flocculant</w:t>
      </w:r>
      <w:proofErr w:type="spellEnd"/>
      <w:r w:rsidR="0016194C" w:rsidRPr="006F3506">
        <w:rPr>
          <w:rFonts w:cs="Arial"/>
          <w:szCs w:val="18"/>
          <w:shd w:val="clear" w:color="auto" w:fill="FFFFFF"/>
        </w:rPr>
        <w:t xml:space="preserve"> dosage, </w:t>
      </w:r>
      <w:r w:rsidR="00F87398" w:rsidRPr="006F3506">
        <w:rPr>
          <w:rFonts w:cs="Arial"/>
          <w:szCs w:val="18"/>
          <w:shd w:val="clear" w:color="auto" w:fill="FFFFFF"/>
        </w:rPr>
        <w:t>were assessed through proper numerical simulations</w:t>
      </w:r>
      <w:r w:rsidR="00570A36" w:rsidRPr="006F3506">
        <w:rPr>
          <w:rFonts w:cs="Arial"/>
          <w:lang w:val="en-GB"/>
        </w:rPr>
        <w:t>.</w:t>
      </w:r>
      <w:r w:rsidR="00206B33" w:rsidRPr="006F3506">
        <w:rPr>
          <w:rFonts w:cs="Arial"/>
          <w:lang w:val="en-GB"/>
        </w:rPr>
        <w:t xml:space="preserve"> The model well </w:t>
      </w:r>
      <w:r w:rsidRPr="006F3506">
        <w:rPr>
          <w:rFonts w:cs="Arial"/>
          <w:lang w:val="en-GB"/>
        </w:rPr>
        <w:t>captur</w:t>
      </w:r>
      <w:r>
        <w:rPr>
          <w:rFonts w:cs="Arial"/>
          <w:lang w:val="en-GB"/>
        </w:rPr>
        <w:t>ed</w:t>
      </w:r>
      <w:r w:rsidRPr="006F3506">
        <w:rPr>
          <w:rFonts w:cs="Arial"/>
          <w:lang w:val="en-GB"/>
        </w:rPr>
        <w:t xml:space="preserve"> </w:t>
      </w:r>
      <w:r w:rsidR="00206B33" w:rsidRPr="006F3506">
        <w:rPr>
          <w:rFonts w:cs="Arial"/>
          <w:lang w:val="en-GB"/>
        </w:rPr>
        <w:t>the experimental results and thus represents a suitable tool for the simulation of the growth of microalgae strains dividing by multiple fission.</w:t>
      </w:r>
    </w:p>
    <w:p w14:paraId="4E07943C" w14:textId="77777777" w:rsidR="00600535" w:rsidRPr="006F3506" w:rsidRDefault="00600535" w:rsidP="00600535">
      <w:pPr>
        <w:pStyle w:val="CETHeading1"/>
        <w:rPr>
          <w:lang w:val="en-GB"/>
        </w:rPr>
      </w:pPr>
      <w:r w:rsidRPr="006F3506">
        <w:rPr>
          <w:lang w:val="en-GB"/>
        </w:rPr>
        <w:t>Introduction</w:t>
      </w:r>
    </w:p>
    <w:p w14:paraId="13CE8FCD" w14:textId="77777777" w:rsidR="004528E9" w:rsidRPr="006F3506" w:rsidRDefault="00353D1A" w:rsidP="00353D1A">
      <w:pPr>
        <w:pStyle w:val="CETListbullets"/>
        <w:ind w:left="0" w:firstLine="0"/>
      </w:pPr>
      <w:r w:rsidRPr="006F3506">
        <w:rPr>
          <w:iCs/>
        </w:rPr>
        <w:t>Microalgae are today recognized to be one of the most promising renewable feedstocks for the production of a number of consumer goods ranging from biofuels to nutraceuticals, pharmaceuticals, bioplastics</w:t>
      </w:r>
      <w:r w:rsidR="00FA7BC0" w:rsidRPr="006F3506">
        <w:rPr>
          <w:iCs/>
        </w:rPr>
        <w:t xml:space="preserve"> </w:t>
      </w:r>
      <w:r w:rsidRPr="006F3506">
        <w:rPr>
          <w:iCs/>
        </w:rPr>
        <w:t xml:space="preserve">and lubricants. </w:t>
      </w:r>
      <w:r w:rsidRPr="006F3506">
        <w:t>Despite this, the current microalgae-based technology is not widespread since it is still affected by economic and technical constraints which hinder its exploitation in productive framework</w:t>
      </w:r>
      <w:r w:rsidR="0042642B" w:rsidRPr="006F3506">
        <w:t>s</w:t>
      </w:r>
      <w:r w:rsidRPr="006F3506">
        <w:t>. Accordingly,</w:t>
      </w:r>
      <w:r w:rsidR="00014D20" w:rsidRPr="006F3506">
        <w:t xml:space="preserve"> such</w:t>
      </w:r>
      <w:r w:rsidRPr="006F3506">
        <w:t xml:space="preserve"> technology should be properly optimized </w:t>
      </w:r>
      <w:r w:rsidR="00014D20" w:rsidRPr="006F3506">
        <w:t xml:space="preserve">in order </w:t>
      </w:r>
      <w:r w:rsidRPr="006F3506">
        <w:t>to be viably implemented at the industrial scale.</w:t>
      </w:r>
      <w:r w:rsidR="00A1141B" w:rsidRPr="006F3506">
        <w:t xml:space="preserve"> </w:t>
      </w:r>
      <w:r w:rsidR="00014D20" w:rsidRPr="006F3506">
        <w:t xml:space="preserve">To this aim, suitable process engineering techniques relying on mathematical models could be exploited. </w:t>
      </w:r>
    </w:p>
    <w:p w14:paraId="050D1DD3" w14:textId="1FB6DF6F" w:rsidR="00F06611" w:rsidRPr="006F3506" w:rsidRDefault="0042642B" w:rsidP="00353D1A">
      <w:pPr>
        <w:pStyle w:val="CETListbullets"/>
        <w:ind w:left="0" w:firstLine="0"/>
      </w:pPr>
      <w:r w:rsidRPr="006F3506">
        <w:t>S</w:t>
      </w:r>
      <w:r w:rsidR="001A704A" w:rsidRPr="006F3506">
        <w:t xml:space="preserve">everal mathematical models of microalgae growth within different cultivation systems have been proposed in the literature </w:t>
      </w:r>
      <w:r w:rsidR="00F87398" w:rsidRPr="006F3506">
        <w:t>during</w:t>
      </w:r>
      <w:r w:rsidR="001A704A" w:rsidRPr="006F3506">
        <w:t xml:space="preserve"> the last ten years</w:t>
      </w:r>
      <w:r w:rsidR="001F52D2" w:rsidRPr="006F3506">
        <w:t xml:space="preserve"> (Concas et al., 2013; 2016a; </w:t>
      </w:r>
      <w:proofErr w:type="spellStart"/>
      <w:r w:rsidR="001F52D2" w:rsidRPr="006F3506">
        <w:t>Soru</w:t>
      </w:r>
      <w:proofErr w:type="spellEnd"/>
      <w:r w:rsidR="001F52D2" w:rsidRPr="006F3506">
        <w:t xml:space="preserve"> et al., 2018)</w:t>
      </w:r>
      <w:r w:rsidR="001A704A" w:rsidRPr="006F3506">
        <w:rPr>
          <w:b/>
        </w:rPr>
        <w:t>.</w:t>
      </w:r>
      <w:r w:rsidR="00781F69" w:rsidRPr="006F3506">
        <w:rPr>
          <w:b/>
        </w:rPr>
        <w:t xml:space="preserve"> </w:t>
      </w:r>
      <w:r w:rsidR="00627128" w:rsidRPr="006F3506">
        <w:t xml:space="preserve">Though the number, complexity and reliability of mathematical models being presented is still growing, </w:t>
      </w:r>
      <w:r w:rsidR="00627128" w:rsidRPr="006F3506">
        <w:rPr>
          <w:rFonts w:cs="Arial"/>
        </w:rPr>
        <w:t xml:space="preserve">most of them are based </w:t>
      </w:r>
      <w:r w:rsidR="00F87398" w:rsidRPr="00F13981">
        <w:rPr>
          <w:rFonts w:cs="Arial"/>
          <w:szCs w:val="18"/>
          <w:shd w:val="clear" w:color="auto" w:fill="FFFFFF"/>
        </w:rPr>
        <w:t>upon the limiting assumption that all cells constituting the microalgae population have the same growth rate, biochemical composition and metabolism. On the other hand, microalgae populations consist of cells that, even if belonging to the same strain,</w:t>
      </w:r>
      <w:r w:rsidR="00627128" w:rsidRPr="00F13981">
        <w:t xml:space="preserve"> can </w:t>
      </w:r>
      <w:r w:rsidR="001F52D2" w:rsidRPr="00F13981">
        <w:t>show different size, morphology and</w:t>
      </w:r>
      <w:r w:rsidR="00627128" w:rsidRPr="00F13981">
        <w:t xml:space="preserve"> age</w:t>
      </w:r>
      <w:r w:rsidR="001F52D2" w:rsidRPr="00F13981">
        <w:t xml:space="preserve"> </w:t>
      </w:r>
      <w:r w:rsidR="00627128" w:rsidRPr="00F13981">
        <w:t>which in turn result in different growth rates and metabolic properties.</w:t>
      </w:r>
      <w:r w:rsidRPr="00F13981">
        <w:t xml:space="preserve"> </w:t>
      </w:r>
      <w:r w:rsidR="00781F69" w:rsidRPr="00F13981">
        <w:t xml:space="preserve">For example </w:t>
      </w:r>
      <w:r w:rsidR="00BC796E" w:rsidRPr="00F13981">
        <w:t xml:space="preserve">smaller cells </w:t>
      </w:r>
      <w:r w:rsidR="00AE4545" w:rsidRPr="00F13981">
        <w:t xml:space="preserve">of the population </w:t>
      </w:r>
      <w:r w:rsidR="00781F69" w:rsidRPr="00F13981">
        <w:t xml:space="preserve">are characterized by higher photosynthetic rates </w:t>
      </w:r>
      <w:r w:rsidR="00F10D5F" w:rsidRPr="00F13981">
        <w:t xml:space="preserve">and </w:t>
      </w:r>
      <w:r w:rsidR="00781F69" w:rsidRPr="00F13981">
        <w:t xml:space="preserve">faster uptake of nutrients </w:t>
      </w:r>
      <w:r w:rsidR="00F10D5F" w:rsidRPr="00F13981">
        <w:t xml:space="preserve">as well as </w:t>
      </w:r>
      <w:r w:rsidR="00781F69" w:rsidRPr="00F13981">
        <w:t xml:space="preserve">improved capability to pick up light </w:t>
      </w:r>
      <w:r w:rsidR="00BC796E" w:rsidRPr="00F13981">
        <w:t>due to their larger specific surface</w:t>
      </w:r>
      <w:r w:rsidR="00781F69" w:rsidRPr="00F13981">
        <w:t xml:space="preserve">. </w:t>
      </w:r>
      <w:r w:rsidR="001F52D2" w:rsidRPr="00F13981">
        <w:t>Moreover</w:t>
      </w:r>
      <w:r w:rsidR="006C3501" w:rsidRPr="00F13981">
        <w:t xml:space="preserve">, since </w:t>
      </w:r>
      <w:r w:rsidR="00AE4545" w:rsidRPr="00F13981">
        <w:t xml:space="preserve">microalgae </w:t>
      </w:r>
      <w:r w:rsidR="006C3501" w:rsidRPr="00F13981">
        <w:t>harvesting</w:t>
      </w:r>
      <w:r w:rsidR="00BC796E" w:rsidRPr="00F13981">
        <w:t>,</w:t>
      </w:r>
      <w:r w:rsidR="00AE4545" w:rsidRPr="00F13981">
        <w:t xml:space="preserve"> cell</w:t>
      </w:r>
      <w:r w:rsidR="006C3501" w:rsidRPr="00F13981">
        <w:t xml:space="preserve"> disruption </w:t>
      </w:r>
      <w:r w:rsidR="00BC796E" w:rsidRPr="00F13981">
        <w:t xml:space="preserve">and lipid extraction </w:t>
      </w:r>
      <w:r w:rsidR="006C3501" w:rsidRPr="00F13981">
        <w:t xml:space="preserve">are processes typically based on chemical reactions occurring at the cell surface, it is apparent that cells </w:t>
      </w:r>
      <w:r w:rsidR="001F52D2" w:rsidRPr="00F13981">
        <w:t xml:space="preserve">with </w:t>
      </w:r>
      <w:r w:rsidR="006C3501" w:rsidRPr="00F13981">
        <w:t>small diameter might need higher amounts of reactants than larger ones</w:t>
      </w:r>
      <w:r w:rsidR="00B55884" w:rsidRPr="00F13981">
        <w:t xml:space="preserve">. </w:t>
      </w:r>
      <w:r w:rsidR="0005094C" w:rsidRPr="00F13981">
        <w:t xml:space="preserve">Ultimately, the knowledge of the size distribution of microalgae would allow evaluating the </w:t>
      </w:r>
      <w:r w:rsidR="00FF4BA8" w:rsidRPr="00F13981">
        <w:t>actual</w:t>
      </w:r>
      <w:r w:rsidR="001F52D2" w:rsidRPr="00F13981">
        <w:t xml:space="preserve"> biomass productivity as well as</w:t>
      </w:r>
      <w:r w:rsidR="0005094C" w:rsidRPr="00F13981">
        <w:t xml:space="preserve"> the </w:t>
      </w:r>
      <w:r w:rsidR="00FF4BA8" w:rsidRPr="00F13981">
        <w:t xml:space="preserve">exact </w:t>
      </w:r>
      <w:r w:rsidR="0005094C" w:rsidRPr="00F13981">
        <w:t xml:space="preserve">amounts of nutrients </w:t>
      </w:r>
      <w:r w:rsidR="00B55884" w:rsidRPr="00F13981">
        <w:t xml:space="preserve">and </w:t>
      </w:r>
      <w:r w:rsidR="0005094C" w:rsidRPr="00F13981">
        <w:t>reactants needed to perform</w:t>
      </w:r>
      <w:r w:rsidR="00B55884" w:rsidRPr="00F13981">
        <w:t xml:space="preserve"> cultivation and</w:t>
      </w:r>
      <w:r w:rsidR="0005094C" w:rsidRPr="00F13981">
        <w:t xml:space="preserve"> downstream </w:t>
      </w:r>
      <w:r w:rsidR="00B55884" w:rsidRPr="00F13981">
        <w:t>operations</w:t>
      </w:r>
      <w:r w:rsidR="00BC796E" w:rsidRPr="00F13981">
        <w:t xml:space="preserve">. </w:t>
      </w:r>
      <w:r w:rsidR="001F52D2" w:rsidRPr="00F13981">
        <w:t>Therefore</w:t>
      </w:r>
      <w:r w:rsidR="0005094C" w:rsidRPr="00F13981">
        <w:t xml:space="preserve">, a comprehensive mathematical model of microalgae growth </w:t>
      </w:r>
      <w:r w:rsidR="001F52D2" w:rsidRPr="00F13981">
        <w:t xml:space="preserve">and processing </w:t>
      </w:r>
      <w:r w:rsidR="0005094C" w:rsidRPr="00F13981">
        <w:t>should properly take into account the size structure of the population.</w:t>
      </w:r>
      <w:r w:rsidR="00206B33" w:rsidRPr="00F13981">
        <w:t xml:space="preserve"> </w:t>
      </w:r>
      <w:r w:rsidR="00FF4BA8" w:rsidRPr="00F13981">
        <w:t>While this goal could be achieved by exploiting modelling approaches relying on population balance equations (PBEs) it is important to note that, to the best of our knowledge, very few mathematical models of microalgae growth, based on such a tool, have been so far proposed in the literature</w:t>
      </w:r>
      <w:r w:rsidR="001F52D2" w:rsidRPr="00F13981">
        <w:t xml:space="preserve"> (Concas et al., 2016b)</w:t>
      </w:r>
      <w:r w:rsidR="00FF4BA8" w:rsidRPr="00F13981">
        <w:t>.</w:t>
      </w:r>
      <w:r w:rsidR="00B46CB4" w:rsidRPr="00F13981">
        <w:t xml:space="preserve"> </w:t>
      </w:r>
      <w:r w:rsidR="00A76EE2" w:rsidRPr="00F13981">
        <w:t xml:space="preserve">Moreover, most models using PBEs are based on the questionable hypothesis that microalgae strains divide by binary fission, </w:t>
      </w:r>
      <w:r w:rsidR="005E5ADA" w:rsidRPr="00F13981">
        <w:t>i.e.</w:t>
      </w:r>
      <w:r w:rsidR="00A76EE2" w:rsidRPr="00F13981">
        <w:t xml:space="preserve"> by giving raise to only two daughter cells. However, it is well known that several strains are capable </w:t>
      </w:r>
      <w:r w:rsidR="005E5ADA" w:rsidRPr="00F13981">
        <w:t xml:space="preserve">to generate </w:t>
      </w:r>
      <w:r w:rsidR="00A76EE2" w:rsidRPr="00F13981">
        <w:t xml:space="preserve">more than two daughter cells according to a mechanism called multiple fission </w:t>
      </w:r>
      <w:r w:rsidR="00653FBA" w:rsidRPr="00F13981">
        <w:fldChar w:fldCharType="begin" w:fldLock="1"/>
      </w:r>
      <w:r w:rsidR="009F7E3F" w:rsidRPr="00F13981">
        <w:instrText>ADDIN CSL_CITATION {"citationItems":[{"id":"ITEM-1","itemData":{"author":[{"dropping-particle":"","family":"Yamamoto","given":"Maki","non-dropping-particle":"","parse-names":false,"suffix":""},{"dropping-particle":"","family":"Nozaki","given":"Hisayoshi","non-dropping-particle":"","parse-names":false,"suffix":""},{"dropping-particle":"","family":"Miyazawa","given":"Yutaka","non-dropping-particle":"","parse-names":false,"suffix":""},{"dropping-particle":"","family":"Koide","given":"Tomojiro","non-dropping-particle":"","parse-names":false,"suffix":""},{"dropping-particle":"","family":"Kawano","given":"Shigeyuki","non-dropping-particle":"","parse-names":false,"suffix":""}],"container-title":"Journal of Phycology","id":"ITEM-1","issue":"1","issued":{"date-parts":[["2003"]]},"page":"172-184","publisher":"Wiley Online Library","title":"Relationship between presence of a mother cell wall and speciation in the unicellular microalga Nannochloris (Chlorophyta) 1","type":"article-journal","volume":"39"},"uris":["http://www.mendeley.com/documents/?uuid=c61c7d11-02d8-440e-97dc-3a476fa78b2e"]}],"mendeley":{"formattedCitation":"(Yamamoto et al., 2003)","plainTextFormattedCitation":"(Yamamoto et al., 2003)","previouslyFormattedCitation":"(Yamamoto et al., 2003)"},"properties":{"noteIndex":0},"schema":"https://github.com/citation-style-language/schema/raw/master/csl-citation.json"}</w:instrText>
      </w:r>
      <w:r w:rsidR="00653FBA" w:rsidRPr="00F13981">
        <w:fldChar w:fldCharType="separate"/>
      </w:r>
      <w:r w:rsidR="00E12935" w:rsidRPr="00F13981">
        <w:rPr>
          <w:noProof/>
        </w:rPr>
        <w:t>(Yamamoto et al., 2003)</w:t>
      </w:r>
      <w:r w:rsidR="00653FBA" w:rsidRPr="00F13981">
        <w:fldChar w:fldCharType="end"/>
      </w:r>
      <w:r w:rsidR="00653FBA" w:rsidRPr="00F13981">
        <w:t>.</w:t>
      </w:r>
      <w:r w:rsidR="00206B33" w:rsidRPr="00F13981">
        <w:t xml:space="preserve"> </w:t>
      </w:r>
      <w:r w:rsidR="00C45B57" w:rsidRPr="00F13981">
        <w:t xml:space="preserve">To the best of our knowledge, only one </w:t>
      </w:r>
      <w:r w:rsidR="00C45B57" w:rsidRPr="00F13981">
        <w:lastRenderedPageBreak/>
        <w:t>mathematical mod</w:t>
      </w:r>
      <w:r w:rsidR="00C45B57" w:rsidRPr="006F3506">
        <w:t xml:space="preserve">el </w:t>
      </w:r>
      <w:r w:rsidR="00F10D5F" w:rsidRPr="006F3506">
        <w:t xml:space="preserve">of microalgae growth </w:t>
      </w:r>
      <w:r w:rsidR="00C45B57" w:rsidRPr="006F3506">
        <w:t xml:space="preserve">taking into account multiple cell division,  has been proposed in the literature </w:t>
      </w:r>
      <w:r w:rsidR="00C45B57" w:rsidRPr="006F3506">
        <w:fldChar w:fldCharType="begin" w:fldLock="1"/>
      </w:r>
      <w:r w:rsidR="004C54C5" w:rsidRPr="006F3506">
        <w:instrText>ADDIN CSL_CITATION {"citationItems":[{"id":"ITEM-1","itemData":{"author":[{"dropping-particle":"","family":"Rading","given":"M M","non-dropping-particle":"","parse-names":false,"suffix":""},{"dropping-particle":"","family":"Engel","given":"T A","non-dropping-particle":"","parse-names":false,"suffix":""},{"dropping-particle":"","family":"Lipowsky","given":"Reinhard","non-dropping-particle":"","parse-names":false,"suffix":""},{"dropping-particle":"","family":"Valleriani","given":"A","non-dropping-particle":"","parse-names":false,"suffix":""}],"container-title":"Journal of Statistical Physics","id":"ITEM-1","issue":"1","issued":{"date-parts":[["2011"]]},"page":"1-22","publisher":"Springer","title":"Stationary size distributions of growing cells with binary and multiple cell division","type":"article-journal","volume":"145"},"uris":["http://www.mendeley.com/documents/?uuid=cb39c2f2-4377-4abe-85b8-0a15c1eea80c"]}],"mendeley":{"formattedCitation":"(Rading et al., 2011)","plainTextFormattedCitation":"(Rading et al., 2011)","previouslyFormattedCitation":"(Rading et al., 2011)"},"properties":{"noteIndex":0},"schema":"https://github.com/citation-style-language/schema/raw/master/csl-citation.json"}</w:instrText>
      </w:r>
      <w:r w:rsidR="00C45B57" w:rsidRPr="006F3506">
        <w:fldChar w:fldCharType="separate"/>
      </w:r>
      <w:r w:rsidR="004C54C5" w:rsidRPr="006F3506">
        <w:rPr>
          <w:noProof/>
        </w:rPr>
        <w:t>(Rading et al., 2011)</w:t>
      </w:r>
      <w:r w:rsidR="00C45B57" w:rsidRPr="006F3506">
        <w:fldChar w:fldCharType="end"/>
      </w:r>
      <w:r w:rsidR="00F10D5F" w:rsidRPr="006F3506">
        <w:t xml:space="preserve">. </w:t>
      </w:r>
      <w:r w:rsidR="00C45B57" w:rsidRPr="006F3506">
        <w:t xml:space="preserve">However, this model neglects relevant phenomena such as the effects of light and nutrients on the growth of single cells as well as the occurrence of cell division in the dark. Furthermore, </w:t>
      </w:r>
      <w:proofErr w:type="spellStart"/>
      <w:r w:rsidR="00C45B57" w:rsidRPr="006F3506">
        <w:t>Rading</w:t>
      </w:r>
      <w:proofErr w:type="spellEnd"/>
      <w:r w:rsidR="00C45B57" w:rsidRPr="006F3506">
        <w:t xml:space="preserve"> et al. (2011) provided only the steady state solution of the model</w:t>
      </w:r>
      <w:r w:rsidR="00F10D5F" w:rsidRPr="006F3506">
        <w:t xml:space="preserve">. </w:t>
      </w:r>
    </w:p>
    <w:p w14:paraId="633DE757" w14:textId="77777777" w:rsidR="00F06611" w:rsidRPr="006F3506" w:rsidRDefault="00F06611" w:rsidP="00353D1A">
      <w:pPr>
        <w:pStyle w:val="CETListbullets"/>
        <w:ind w:left="0" w:firstLine="0"/>
        <w:rPr>
          <w:i/>
        </w:rPr>
      </w:pPr>
      <w:r w:rsidRPr="006F3506">
        <w:t xml:space="preserve">In the light of what above, there is the need for more comprehensive models able to simulate the size-structured growth of microalgae characterized by multiple fission. </w:t>
      </w:r>
      <w:r w:rsidR="009C74D2" w:rsidRPr="006F3506">
        <w:t>In this view, this</w:t>
      </w:r>
      <w:r w:rsidRPr="006F3506">
        <w:t xml:space="preserve"> work proposes a </w:t>
      </w:r>
      <w:r w:rsidR="00680A05" w:rsidRPr="006F3506">
        <w:t xml:space="preserve">dynamic </w:t>
      </w:r>
      <w:r w:rsidRPr="006F3506">
        <w:t xml:space="preserve">PBE-based model for the description of the size structured growth of a microalgal strain which is known to divide by multiple fission, i.e. </w:t>
      </w:r>
      <w:proofErr w:type="spellStart"/>
      <w:r w:rsidR="004528E9" w:rsidRPr="006F3506">
        <w:rPr>
          <w:i/>
        </w:rPr>
        <w:t>Pseudochloris</w:t>
      </w:r>
      <w:proofErr w:type="spellEnd"/>
      <w:r w:rsidR="004528E9" w:rsidRPr="006F3506">
        <w:rPr>
          <w:i/>
        </w:rPr>
        <w:t xml:space="preserve"> </w:t>
      </w:r>
      <w:proofErr w:type="spellStart"/>
      <w:r w:rsidR="004528E9" w:rsidRPr="006F3506">
        <w:rPr>
          <w:i/>
        </w:rPr>
        <w:t>wi</w:t>
      </w:r>
      <w:r w:rsidRPr="006F3506">
        <w:rPr>
          <w:i/>
        </w:rPr>
        <w:t>l</w:t>
      </w:r>
      <w:r w:rsidR="004528E9" w:rsidRPr="006F3506">
        <w:rPr>
          <w:i/>
        </w:rPr>
        <w:t>h</w:t>
      </w:r>
      <w:r w:rsidRPr="006F3506">
        <w:rPr>
          <w:i/>
        </w:rPr>
        <w:t>elmii</w:t>
      </w:r>
      <w:proofErr w:type="spellEnd"/>
      <w:r w:rsidRPr="006F3506">
        <w:rPr>
          <w:i/>
        </w:rPr>
        <w:t xml:space="preserve">. </w:t>
      </w:r>
      <w:r w:rsidRPr="006F3506">
        <w:t xml:space="preserve">The </w:t>
      </w:r>
      <w:r w:rsidR="004D7F5E" w:rsidRPr="006F3506">
        <w:t xml:space="preserve">model was validated </w:t>
      </w:r>
      <w:r w:rsidR="007D2B06" w:rsidRPr="006F3506">
        <w:t>by</w:t>
      </w:r>
      <w:r w:rsidR="004D7F5E" w:rsidRPr="006F3506">
        <w:t xml:space="preserve"> comparison with literature experimental data</w:t>
      </w:r>
      <w:r w:rsidR="001D1988" w:rsidRPr="006F3506">
        <w:t xml:space="preserve">. </w:t>
      </w:r>
      <w:r w:rsidR="007D2B06" w:rsidRPr="006F3506">
        <w:t>T</w:t>
      </w:r>
      <w:r w:rsidR="004D7F5E" w:rsidRPr="006F3506">
        <w:t xml:space="preserve">he </w:t>
      </w:r>
      <w:r w:rsidRPr="006F3506">
        <w:t>effect of division mod</w:t>
      </w:r>
      <w:r w:rsidR="0016194C" w:rsidRPr="006F3506">
        <w:t>e</w:t>
      </w:r>
      <w:r w:rsidRPr="006F3506">
        <w:t xml:space="preserve"> on crucial </w:t>
      </w:r>
      <w:r w:rsidR="00680A05" w:rsidRPr="006F3506">
        <w:t>operating aspects such as biomass productiv</w:t>
      </w:r>
      <w:r w:rsidR="007D2B06" w:rsidRPr="006F3506">
        <w:t>ity, transient duration and dosage</w:t>
      </w:r>
      <w:r w:rsidR="00680A05" w:rsidRPr="006F3506">
        <w:t xml:space="preserve"> of flocculant</w:t>
      </w:r>
      <w:r w:rsidR="007D2B06" w:rsidRPr="006F3506">
        <w:t xml:space="preserve">s </w:t>
      </w:r>
      <w:r w:rsidR="001D1988" w:rsidRPr="006F3506">
        <w:t xml:space="preserve">were </w:t>
      </w:r>
      <w:r w:rsidR="00680A05" w:rsidRPr="006F3506">
        <w:t xml:space="preserve">assessed through proper numerical simulations. </w:t>
      </w:r>
      <w:r w:rsidR="004034C9" w:rsidRPr="006F3506">
        <w:t xml:space="preserve"> </w:t>
      </w:r>
    </w:p>
    <w:p w14:paraId="58E0DD94" w14:textId="77777777" w:rsidR="00680A05" w:rsidRPr="006F3506" w:rsidRDefault="004034C9" w:rsidP="004034C9">
      <w:pPr>
        <w:pStyle w:val="CETHeading1"/>
        <w:tabs>
          <w:tab w:val="num" w:pos="360"/>
        </w:tabs>
        <w:rPr>
          <w:i/>
        </w:rPr>
      </w:pPr>
      <w:r w:rsidRPr="006F3506">
        <w:rPr>
          <w:lang w:val="en-GB"/>
        </w:rPr>
        <w:t>Mathematical model</w:t>
      </w:r>
    </w:p>
    <w:p w14:paraId="45A162F6" w14:textId="77777777" w:rsidR="00FB6E48" w:rsidRPr="00F13981" w:rsidRDefault="00D62806" w:rsidP="009A6F8B">
      <w:r w:rsidRPr="006F3506">
        <w:t xml:space="preserve">The </w:t>
      </w:r>
      <w:r w:rsidR="004C54C5" w:rsidRPr="006F3506">
        <w:t>model</w:t>
      </w:r>
      <w:r w:rsidRPr="006F3506">
        <w:t xml:space="preserve"> </w:t>
      </w:r>
      <w:r w:rsidR="004C54C5" w:rsidRPr="006F3506">
        <w:t>takes into account</w:t>
      </w:r>
      <w:r w:rsidRPr="006F3506">
        <w:t xml:space="preserve"> </w:t>
      </w:r>
      <w:r w:rsidRPr="006F3506">
        <w:rPr>
          <w:rFonts w:cs="Arial"/>
        </w:rPr>
        <w:t xml:space="preserve">the </w:t>
      </w:r>
      <w:r w:rsidR="0016194C" w:rsidRPr="006F3506">
        <w:rPr>
          <w:rFonts w:cs="Arial"/>
          <w:szCs w:val="18"/>
          <w:shd w:val="clear" w:color="auto" w:fill="FFFFFF"/>
        </w:rPr>
        <w:t>following characteristics of the microalgae cell cycle</w:t>
      </w:r>
      <w:r w:rsidRPr="00F13981">
        <w:rPr>
          <w:rFonts w:cs="Arial"/>
        </w:rPr>
        <w:t>.</w:t>
      </w:r>
      <w:r w:rsidRPr="00F13981">
        <w:t xml:space="preserve"> When exposed to light the cells</w:t>
      </w:r>
      <w:r w:rsidR="0016194C" w:rsidRPr="00F13981">
        <w:t xml:space="preserve"> exploit</w:t>
      </w:r>
      <w:r w:rsidR="009F7FE3" w:rsidRPr="00F13981">
        <w:t xml:space="preserve"> photosynthesis to</w:t>
      </w:r>
      <w:r w:rsidRPr="00F13981">
        <w:t xml:space="preserve"> grow in the phase G1 and increase in size. At a certain </w:t>
      </w:r>
      <w:r w:rsidR="0016194C" w:rsidRPr="00F13981">
        <w:t>instant</w:t>
      </w:r>
      <w:r w:rsidRPr="00F13981">
        <w:t xml:space="preserve">, hereafter called the commitment point (CP), the growing cells attain the minimum size </w:t>
      </w:r>
      <w:r w:rsidRPr="006F3506">
        <w:t>that allows triggering of a sequence of events lead</w:t>
      </w:r>
      <w:r w:rsidR="009F7FE3" w:rsidRPr="006F3506">
        <w:t>ing</w:t>
      </w:r>
      <w:r w:rsidRPr="006F3506">
        <w:t xml:space="preserve"> to cell division. </w:t>
      </w:r>
      <w:r w:rsidR="002951FA" w:rsidRPr="006F3506">
        <w:t>This way</w:t>
      </w:r>
      <w:r w:rsidRPr="006F3506">
        <w:t xml:space="preserve">, </w:t>
      </w:r>
      <w:r w:rsidR="004C54C5" w:rsidRPr="006F3506">
        <w:t xml:space="preserve">the </w:t>
      </w:r>
      <w:r w:rsidRPr="006F3506">
        <w:t xml:space="preserve">cells </w:t>
      </w:r>
      <w:r w:rsidR="004C54C5" w:rsidRPr="006F3506">
        <w:t xml:space="preserve">are allowed to </w:t>
      </w:r>
      <w:r w:rsidRPr="006F3506">
        <w:t xml:space="preserve">enter the S, G2 and M phases </w:t>
      </w:r>
      <w:r w:rsidR="00646B01" w:rsidRPr="006F3506">
        <w:t>and</w:t>
      </w:r>
      <w:r w:rsidR="002951FA" w:rsidRPr="006F3506">
        <w:t xml:space="preserve"> </w:t>
      </w:r>
      <w:r w:rsidRPr="006F3506">
        <w:t xml:space="preserve">finally divide by cytokinesis. </w:t>
      </w:r>
      <w:r w:rsidR="009F7FE3" w:rsidRPr="006F3506">
        <w:t xml:space="preserve">Nevertheless, when </w:t>
      </w:r>
      <w:r w:rsidR="00646B01" w:rsidRPr="006F3506">
        <w:t xml:space="preserve">the </w:t>
      </w:r>
      <w:r w:rsidR="00315F5F" w:rsidRPr="006F3506">
        <w:t>CP</w:t>
      </w:r>
      <w:r w:rsidR="009F7FE3" w:rsidRPr="006F3506">
        <w:t xml:space="preserve"> is reached during the light period, the division process is postponed in order to prevent possible DNA damage phenomena induced by the photon flux </w:t>
      </w:r>
      <w:r w:rsidRPr="006F3506">
        <w:fldChar w:fldCharType="begin" w:fldLock="1"/>
      </w:r>
      <w:r w:rsidR="004C54C5" w:rsidRPr="006F3506">
        <w:instrText>ADDIN CSL_CITATION {"citationItems":[{"id":"ITEM-1","itemData":{"author":[{"dropping-particle":"","family":"Bišová","given":"Kate\\vrina","non-dropping-particle":"","parse-names":false,"suffix":""},{"dropping-particle":"","family":"Zachleder","given":"Vilém","non-dropping-particle":"","parse-names":false,"suffix":""}],"container-title":"Journal of experimental botany","id":"ITEM-1","issued":{"date-parts":[["2014"]]},"page":"ert466","publisher":"Soc Experiment Biol","title":"Cell-cycle regulation in green algae dividing by multiple fission","type":"article-journal"},"uris":["http://www.mendeley.com/documents/?uuid=85363d08-f4e9-4c6a-9194-92686ceece38"]}],"mendeley":{"formattedCitation":"(Bišová and Zachleder, 2014)","plainTextFormattedCitation":"(Bišová and Zachleder, 2014)","previouslyFormattedCitation":"(Bišová and Zachleder, 2014)"},"properties":{"noteIndex":0},"schema":"https://github.com/citation-style-language/schema/raw/master/csl-citation.json"}</w:instrText>
      </w:r>
      <w:r w:rsidRPr="006F3506">
        <w:fldChar w:fldCharType="separate"/>
      </w:r>
      <w:r w:rsidR="004C54C5" w:rsidRPr="006F3506">
        <w:rPr>
          <w:noProof/>
        </w:rPr>
        <w:t>(Bišová and Zachleder, 2014)</w:t>
      </w:r>
      <w:r w:rsidRPr="006F3506">
        <w:fldChar w:fldCharType="end"/>
      </w:r>
      <w:r w:rsidRPr="006F3506">
        <w:t xml:space="preserve">. </w:t>
      </w:r>
      <w:r w:rsidR="009F7FE3" w:rsidRPr="006F3506">
        <w:t xml:space="preserve">As a consequence, if the </w:t>
      </w:r>
      <w:r w:rsidR="004C54C5" w:rsidRPr="006F3506">
        <w:t xml:space="preserve">CP </w:t>
      </w:r>
      <w:r w:rsidR="00315F5F" w:rsidRPr="006F3506">
        <w:t>is achieved when</w:t>
      </w:r>
      <w:r w:rsidR="009F7FE3" w:rsidRPr="006F3506">
        <w:t xml:space="preserve"> light</w:t>
      </w:r>
      <w:r w:rsidR="00315F5F" w:rsidRPr="006F3506">
        <w:t xml:space="preserve"> intensity is high, </w:t>
      </w:r>
      <w:r w:rsidR="009F7FE3" w:rsidRPr="006F3506">
        <w:t>the cell continues to grow rather than dividing.</w:t>
      </w:r>
      <w:r w:rsidRPr="006F3506">
        <w:t xml:space="preserve"> </w:t>
      </w:r>
      <w:r w:rsidR="00315F5F" w:rsidRPr="006F3506">
        <w:t>Only</w:t>
      </w:r>
      <w:r w:rsidR="004C54C5" w:rsidRPr="006F3506">
        <w:t xml:space="preserve"> a</w:t>
      </w:r>
      <w:r w:rsidRPr="006F3506">
        <w:t>t the onset of dark</w:t>
      </w:r>
      <w:r w:rsidR="00315F5F" w:rsidRPr="006F3506">
        <w:t xml:space="preserve"> (or </w:t>
      </w:r>
      <w:r w:rsidR="00646B01" w:rsidRPr="006F3506">
        <w:t xml:space="preserve">very </w:t>
      </w:r>
      <w:r w:rsidR="00315F5F" w:rsidRPr="006F3506">
        <w:t>low light)</w:t>
      </w:r>
      <w:r w:rsidRPr="006F3506">
        <w:t xml:space="preserve"> </w:t>
      </w:r>
      <w:r w:rsidR="00D3601A" w:rsidRPr="006F3506">
        <w:t>conditions, the cells which had</w:t>
      </w:r>
      <w:r w:rsidRPr="006F3506">
        <w:t xml:space="preserve"> attained a size greater or equal than the critical one, can actually start mitosis </w:t>
      </w:r>
      <w:r w:rsidR="00D3601A" w:rsidRPr="006F3506">
        <w:t xml:space="preserve">to then </w:t>
      </w:r>
      <w:r w:rsidRPr="006F3506">
        <w:t xml:space="preserve">release the </w:t>
      </w:r>
      <w:proofErr w:type="spellStart"/>
      <w:r w:rsidRPr="006F3506">
        <w:t>newborn</w:t>
      </w:r>
      <w:proofErr w:type="spellEnd"/>
      <w:r w:rsidRPr="006F3506">
        <w:t xml:space="preserve"> daughter cells. In most algae, the number of </w:t>
      </w:r>
      <w:proofErr w:type="spellStart"/>
      <w:r w:rsidRPr="006F3506">
        <w:t>newborn</w:t>
      </w:r>
      <w:proofErr w:type="spellEnd"/>
      <w:r w:rsidRPr="006F3506">
        <w:t xml:space="preserve"> cells produced by cytokinesis can </w:t>
      </w:r>
      <w:r w:rsidR="00646B01" w:rsidRPr="006F3506">
        <w:t xml:space="preserve">vary and can </w:t>
      </w:r>
      <w:r w:rsidRPr="006F3506">
        <w:t xml:space="preserve">be greater than two. </w:t>
      </w:r>
      <w:r w:rsidR="008C4D7A" w:rsidRPr="006F3506">
        <w:t>In particular</w:t>
      </w:r>
      <w:r w:rsidRPr="006F3506">
        <w:t xml:space="preserve">, when the strain </w:t>
      </w:r>
      <w:proofErr w:type="spellStart"/>
      <w:r w:rsidR="009A6F8B" w:rsidRPr="006F3506">
        <w:rPr>
          <w:i/>
        </w:rPr>
        <w:t>Pseudochloris</w:t>
      </w:r>
      <w:proofErr w:type="spellEnd"/>
      <w:r w:rsidR="009A6F8B" w:rsidRPr="006F3506">
        <w:rPr>
          <w:i/>
        </w:rPr>
        <w:t xml:space="preserve"> </w:t>
      </w:r>
      <w:proofErr w:type="spellStart"/>
      <w:r w:rsidR="009A6F8B" w:rsidRPr="006F3506">
        <w:rPr>
          <w:i/>
        </w:rPr>
        <w:t>wihlelmii</w:t>
      </w:r>
      <w:proofErr w:type="spellEnd"/>
      <w:r w:rsidRPr="006F3506">
        <w:t xml:space="preserve"> is considered, the number of daughter cells can be 2, 3, 4 or 8 </w:t>
      </w:r>
      <w:r w:rsidRPr="006F3506">
        <w:fldChar w:fldCharType="begin" w:fldLock="1"/>
      </w:r>
      <w:r w:rsidR="0000787C" w:rsidRPr="006F3506">
        <w:instrText>ADDIN CSL_CITATION {"citationItems":[{"id":"ITEM-1","itemData":{"author":[{"dropping-particle":"","family":"Yamamoto","given":"Maki","non-dropping-particle":"","parse-names":false,"suffix":""},{"dropping-particle":"","family":"Nozaki","given":"Hisayoshi","non-dropping-particle":"","parse-names":false,"suffix":""},{"dropping-particle":"","family":"Miyazawa","given":"Yutaka","non-dropping-particle":"","parse-names":false,"suffix":""},{"dropping-particle":"","family":"Koide","given":"Tomojiro","non-dropping-particle":"","parse-names":false,"suffix":""},{"dropping-particle":"","family":"Kawano","given":"Shigeyuki","non-dropping-particle":"","parse-names":false,"suffix":""}],"container-title":"Journal of Phycology","id":"ITEM-1","issue":"1","issued":{"date-parts":[["2003"]]},"page":"172-184","publisher":"Wiley Online Library","title":"Relationship between presence of a mother cell wall and speciation in the unicellular microalga Nannochloris (Chlorophyta) 1","type":"article-journal","volume":"39"},"uris":["http://www.mendeley.com/documents/?uuid=c61c7d11-02d8-440e-97dc-3a476fa78b2e"]}],"mendeley":{"formattedCitation":"(Yamamoto et al., 2003)","plainTextFormattedCitation":"(Yamamoto et al., 2003)","previouslyFormattedCitation":"(Yamamoto et al., 2003)"},"properties":{"noteIndex":0},"schema":"https://github.com/citation-style-language/schema/raw/master/csl-citation.json"}</w:instrText>
      </w:r>
      <w:r w:rsidRPr="006F3506">
        <w:fldChar w:fldCharType="separate"/>
      </w:r>
      <w:r w:rsidR="004C54C5" w:rsidRPr="006F3506">
        <w:rPr>
          <w:noProof/>
        </w:rPr>
        <w:t>(Yamamoto et al., 2003)</w:t>
      </w:r>
      <w:r w:rsidRPr="006F3506">
        <w:fldChar w:fldCharType="end"/>
      </w:r>
      <w:r w:rsidRPr="006F3506">
        <w:t xml:space="preserve">. The mechanism on the basis of which the mother cell decides how many daughters will be generated, is still not clear. For this reason, a deterministic formulation of a mathematical function which allows evaluating how many cells are formed </w:t>
      </w:r>
      <w:r w:rsidR="002951FA" w:rsidRPr="006F3506">
        <w:t xml:space="preserve">at </w:t>
      </w:r>
      <w:r w:rsidRPr="006F3506">
        <w:t xml:space="preserve">each mitotic event cannot be still developed. However, it is possible </w:t>
      </w:r>
      <w:r w:rsidR="00D3601A" w:rsidRPr="006F3506">
        <w:t>evaluating</w:t>
      </w:r>
      <w:r w:rsidRPr="006F3506">
        <w:t xml:space="preserve"> the probability that the mitotic event will give rise to a specific number of daughter cells by relying on empirical observations</w:t>
      </w:r>
      <w:r w:rsidR="00FB6E48" w:rsidRPr="006F3506">
        <w:t>.</w:t>
      </w:r>
      <w:r w:rsidR="0002141C" w:rsidRPr="006F3506">
        <w:t xml:space="preserve"> In fact,</w:t>
      </w:r>
      <w:r w:rsidR="00FB6E48" w:rsidRPr="006F3506">
        <w:t xml:space="preserve"> </w:t>
      </w:r>
      <w:r w:rsidR="0002141C" w:rsidRPr="006F3506">
        <w:t>s</w:t>
      </w:r>
      <w:r w:rsidR="00FB6E48" w:rsidRPr="006F3506">
        <w:t xml:space="preserve">uch a probability, hereafter called </w:t>
      </w:r>
      <w:r w:rsidR="0002141C" w:rsidRPr="006F3506">
        <w:rPr>
          <w:rFonts w:ascii="Symbol" w:hAnsi="Symbol"/>
          <w:i/>
        </w:rPr>
        <w:t></w:t>
      </w:r>
      <w:proofErr w:type="spellStart"/>
      <w:r w:rsidR="00346A7C" w:rsidRPr="006F3506">
        <w:rPr>
          <w:rFonts w:cs="Arial"/>
          <w:i/>
          <w:vertAlign w:val="subscript"/>
        </w:rPr>
        <w:t>i</w:t>
      </w:r>
      <w:proofErr w:type="spellEnd"/>
      <w:r w:rsidR="00346A7C" w:rsidRPr="006F3506">
        <w:rPr>
          <w:rFonts w:cs="Arial"/>
          <w:i/>
          <w:vertAlign w:val="subscript"/>
        </w:rPr>
        <w:t>,</w:t>
      </w:r>
      <w:r w:rsidR="00346A7C" w:rsidRPr="006F3506">
        <w:rPr>
          <w:rFonts w:cs="Arial"/>
          <w:vertAlign w:val="subscript"/>
        </w:rPr>
        <w:t xml:space="preserve"> </w:t>
      </w:r>
      <w:r w:rsidR="00FB6E48" w:rsidRPr="006F3506">
        <w:t xml:space="preserve"> can be evaluated as the frequency with which the division into a given number </w:t>
      </w:r>
      <w:r w:rsidR="0002141C" w:rsidRPr="006F3506">
        <w:t>(</w:t>
      </w:r>
      <w:proofErr w:type="spellStart"/>
      <w:r w:rsidR="0002141C" w:rsidRPr="006F3506">
        <w:rPr>
          <w:i/>
        </w:rPr>
        <w:t>i</w:t>
      </w:r>
      <w:proofErr w:type="spellEnd"/>
      <w:r w:rsidR="0002141C" w:rsidRPr="006F3506">
        <w:t xml:space="preserve">) </w:t>
      </w:r>
      <w:r w:rsidR="00FB6E48" w:rsidRPr="006F3506">
        <w:t>of daughter cells is observed over a quite large number of division events.</w:t>
      </w:r>
      <w:r w:rsidR="0002141C" w:rsidRPr="006F3506">
        <w:t xml:space="preserve"> </w:t>
      </w:r>
      <w:r w:rsidR="00D3601A" w:rsidRPr="006F3506">
        <w:t xml:space="preserve">In this work </w:t>
      </w:r>
      <w:r w:rsidR="0016194C" w:rsidRPr="006F3506">
        <w:rPr>
          <w:rFonts w:cs="Arial"/>
          <w:szCs w:val="18"/>
          <w:shd w:val="clear" w:color="auto" w:fill="FFFFFF"/>
        </w:rPr>
        <w:t xml:space="preserve">the division probability was evaluated for </w:t>
      </w:r>
      <w:proofErr w:type="spellStart"/>
      <w:r w:rsidR="0016194C" w:rsidRPr="006F3506">
        <w:rPr>
          <w:rFonts w:cs="Arial"/>
          <w:i/>
          <w:szCs w:val="18"/>
          <w:shd w:val="clear" w:color="auto" w:fill="FFFFFF"/>
        </w:rPr>
        <w:t>Pseudochloris</w:t>
      </w:r>
      <w:proofErr w:type="spellEnd"/>
      <w:r w:rsidR="0016194C" w:rsidRPr="006F3506">
        <w:rPr>
          <w:rFonts w:cs="Arial"/>
          <w:i/>
          <w:szCs w:val="18"/>
          <w:shd w:val="clear" w:color="auto" w:fill="FFFFFF"/>
        </w:rPr>
        <w:t xml:space="preserve"> </w:t>
      </w:r>
      <w:proofErr w:type="spellStart"/>
      <w:r w:rsidR="0016194C" w:rsidRPr="006F3506">
        <w:rPr>
          <w:rFonts w:cs="Arial"/>
          <w:i/>
          <w:szCs w:val="18"/>
          <w:shd w:val="clear" w:color="auto" w:fill="FFFFFF"/>
        </w:rPr>
        <w:t>wihlelmii</w:t>
      </w:r>
      <w:proofErr w:type="spellEnd"/>
      <w:r w:rsidR="0016194C" w:rsidRPr="006F3506">
        <w:rPr>
          <w:rFonts w:cs="Arial"/>
          <w:szCs w:val="18"/>
          <w:shd w:val="clear" w:color="auto" w:fill="FFFFFF"/>
        </w:rPr>
        <w:t xml:space="preserve"> while normalizing the observations by Yamamoto et al. (2003)</w:t>
      </w:r>
      <w:r w:rsidR="002115C6" w:rsidRPr="006F3506">
        <w:rPr>
          <w:rFonts w:cs="Arial"/>
          <w:szCs w:val="18"/>
          <w:shd w:val="clear" w:color="auto" w:fill="FFFFFF"/>
        </w:rPr>
        <w:t xml:space="preserve"> </w:t>
      </w:r>
      <w:r w:rsidR="00346A7C" w:rsidRPr="00F13981">
        <w:t xml:space="preserve">so </w:t>
      </w:r>
      <w:r w:rsidR="0099012F" w:rsidRPr="00F13981">
        <w:t xml:space="preserve">that </w:t>
      </w:r>
      <w:r w:rsidR="00346A7C" w:rsidRPr="00F13981">
        <w:t>only the events producing a well determined number of daughters</w:t>
      </w:r>
      <w:r w:rsidR="0099012F" w:rsidRPr="00F13981">
        <w:t xml:space="preserve"> are taken into account</w:t>
      </w:r>
      <w:r w:rsidR="008C4D7A" w:rsidRPr="00F13981">
        <w:t xml:space="preserve"> (cf. Figure 1a)</w:t>
      </w:r>
      <w:r w:rsidR="0002141C" w:rsidRPr="00F13981">
        <w:t xml:space="preserve">. </w:t>
      </w:r>
    </w:p>
    <w:p w14:paraId="5B5E5C4B" w14:textId="77777777" w:rsidR="008C4D7A" w:rsidRPr="006F3506" w:rsidRDefault="0002141C" w:rsidP="00D3601A">
      <w:pPr>
        <w:jc w:val="center"/>
      </w:pPr>
      <w:r w:rsidRPr="006F3506">
        <w:object w:dxaOrig="5669" w:dyaOrig="4760" w14:anchorId="66A93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pt;height:170.4pt" o:ole="">
            <v:imagedata r:id="rId12" o:title="" cropbottom="3903f" cropleft="655f" cropright="6554f"/>
          </v:shape>
          <o:OLEObject Type="Embed" ProgID="Origin50.Graph" ShapeID="_x0000_i1025" DrawAspect="Content" ObjectID="_1615377289" r:id="rId13"/>
        </w:object>
      </w:r>
      <w:r w:rsidRPr="006F3506">
        <w:t xml:space="preserve">         </w:t>
      </w:r>
      <w:r w:rsidR="00D3601A" w:rsidRPr="006F3506">
        <w:t xml:space="preserve">   </w:t>
      </w:r>
      <w:r w:rsidR="00D3601A" w:rsidRPr="006F3506">
        <w:object w:dxaOrig="5216" w:dyaOrig="4535" w14:anchorId="04ADBD2E">
          <v:shape id="_x0000_i1026" type="#_x0000_t75" style="width:193.8pt;height:170.4pt" o:ole="">
            <v:imagedata r:id="rId14" o:title="" croptop="819f" cropright="1424f"/>
          </v:shape>
          <o:OLEObject Type="Embed" ProgID="Origin50.Graph" ShapeID="_x0000_i1026" DrawAspect="Content" ObjectID="_1615377290" r:id="rId15"/>
        </w:object>
      </w:r>
    </w:p>
    <w:p w14:paraId="4E079CC9" w14:textId="77777777" w:rsidR="004C54C5" w:rsidRPr="006F3506" w:rsidRDefault="004C54C5" w:rsidP="0002141C">
      <w:pPr>
        <w:rPr>
          <w:i/>
        </w:rPr>
      </w:pPr>
      <w:r w:rsidRPr="006F3506">
        <w:t>Figure 1.</w:t>
      </w:r>
      <w:r w:rsidRPr="006F3506">
        <w:rPr>
          <w:i/>
        </w:rPr>
        <w:t xml:space="preserve"> Probability of division into </w:t>
      </w:r>
      <w:proofErr w:type="spellStart"/>
      <w:r w:rsidRPr="006F3506">
        <w:rPr>
          <w:i/>
        </w:rPr>
        <w:t>i</w:t>
      </w:r>
      <w:proofErr w:type="spellEnd"/>
      <w:r w:rsidRPr="006F3506">
        <w:rPr>
          <w:i/>
        </w:rPr>
        <w:t xml:space="preserve"> daughter cells (a) and, initial distribution used for simulations (b) </w:t>
      </w:r>
    </w:p>
    <w:p w14:paraId="1516A84F" w14:textId="77777777" w:rsidR="002951FA" w:rsidRPr="006F3506" w:rsidRDefault="002951FA" w:rsidP="0002141C">
      <w:pPr>
        <w:rPr>
          <w:i/>
        </w:rPr>
      </w:pPr>
    </w:p>
    <w:p w14:paraId="391D7094" w14:textId="0C99F3B7" w:rsidR="00582A40" w:rsidRPr="00E13238" w:rsidRDefault="008C57CD" w:rsidP="00A066B4">
      <w:pPr>
        <w:pStyle w:val="CETListbullets"/>
        <w:ind w:left="0" w:firstLine="0"/>
      </w:pPr>
      <w:r w:rsidRPr="006F3506">
        <w:t xml:space="preserve">In Figure 1b, the initial size distribution adopted to perform simulations is shown. </w:t>
      </w:r>
      <w:r w:rsidR="00582A40" w:rsidRPr="006F3506">
        <w:t>S</w:t>
      </w:r>
      <w:r w:rsidRPr="006F3506">
        <w:t xml:space="preserve">ince no experimental data were available for </w:t>
      </w:r>
      <w:proofErr w:type="spellStart"/>
      <w:r w:rsidR="004D7A33" w:rsidRPr="006F3506">
        <w:rPr>
          <w:i/>
        </w:rPr>
        <w:t>Pseudochloris</w:t>
      </w:r>
      <w:proofErr w:type="spellEnd"/>
      <w:r w:rsidR="004D7A33" w:rsidRPr="006F3506">
        <w:rPr>
          <w:i/>
        </w:rPr>
        <w:t xml:space="preserve"> </w:t>
      </w:r>
      <w:proofErr w:type="spellStart"/>
      <w:r w:rsidR="004D7A33" w:rsidRPr="006F3506">
        <w:rPr>
          <w:i/>
        </w:rPr>
        <w:t>wilhelmi</w:t>
      </w:r>
      <w:proofErr w:type="spellEnd"/>
      <w:r w:rsidRPr="006F3506">
        <w:t>, the initial distribution</w:t>
      </w:r>
      <w:r w:rsidR="004D7A33" w:rsidRPr="006F3506">
        <w:t xml:space="preserve"> of</w:t>
      </w:r>
      <w:r w:rsidRPr="006F3506">
        <w:t xml:space="preserve"> </w:t>
      </w:r>
      <w:r w:rsidRPr="006F3506">
        <w:rPr>
          <w:i/>
        </w:rPr>
        <w:t xml:space="preserve">N. </w:t>
      </w:r>
      <w:proofErr w:type="spellStart"/>
      <w:r w:rsidRPr="006F3506">
        <w:rPr>
          <w:i/>
        </w:rPr>
        <w:t>oculata</w:t>
      </w:r>
      <w:proofErr w:type="spellEnd"/>
      <w:r w:rsidRPr="006F3506">
        <w:t xml:space="preserve">, phylogenetically close to </w:t>
      </w:r>
      <w:r w:rsidR="004D7A33" w:rsidRPr="006F3506">
        <w:t>the former strain</w:t>
      </w:r>
      <w:r w:rsidR="005D263F" w:rsidRPr="006F3506">
        <w:t>,</w:t>
      </w:r>
      <w:r w:rsidR="004D7A33" w:rsidRPr="006F3506">
        <w:t xml:space="preserve"> </w:t>
      </w:r>
      <w:r w:rsidRPr="006F3506">
        <w:t>was used</w:t>
      </w:r>
      <w:r w:rsidRPr="006F3506">
        <w:rPr>
          <w:i/>
        </w:rPr>
        <w:t xml:space="preserve">. </w:t>
      </w:r>
      <w:r w:rsidR="00582A40" w:rsidRPr="006F3506">
        <w:t xml:space="preserve">While in Figure 1b the size distribution is reported as a function of cell diameter, in this work the cell mass (m) </w:t>
      </w:r>
      <w:r w:rsidR="007E434B" w:rsidRPr="006F3506">
        <w:t>was</w:t>
      </w:r>
      <w:r w:rsidR="00582A40" w:rsidRPr="006F3506">
        <w:t xml:space="preserve"> chosen as the internal coordinate of the PBE. </w:t>
      </w:r>
      <w:r w:rsidR="007E434B" w:rsidRPr="006F3506">
        <w:t>On the other hand</w:t>
      </w:r>
      <w:r w:rsidR="00582A40" w:rsidRPr="006F3506">
        <w:t xml:space="preserve">, it should be noted that size and mass structured PBEs are equivalent when the cell's specific weight is realistically considered to remain constant during growth. </w:t>
      </w:r>
      <w:r w:rsidR="00F13981">
        <w:t>T</w:t>
      </w:r>
      <w:r w:rsidR="00582A40" w:rsidRPr="00F13981">
        <w:t xml:space="preserve">he general form of the PBE </w:t>
      </w:r>
      <w:r w:rsidR="00F13981">
        <w:t xml:space="preserve">here </w:t>
      </w:r>
      <w:r w:rsidR="00582A40" w:rsidRPr="00F13981">
        <w:t xml:space="preserve">adopted </w:t>
      </w:r>
      <w:r w:rsidR="00582A40" w:rsidRPr="00E13238">
        <w:t>is reported in Eq</w:t>
      </w:r>
      <w:r w:rsidR="007E434B" w:rsidRPr="00E13238">
        <w:t>.</w:t>
      </w:r>
      <w:r w:rsidR="00582A40" w:rsidRPr="00E13238">
        <w:t xml:space="preserve"> </w:t>
      </w:r>
      <w:r w:rsidR="007E434B" w:rsidRPr="00E13238">
        <w:t>(</w:t>
      </w:r>
      <w:r w:rsidR="00582A40" w:rsidRPr="00E13238">
        <w:t>1</w:t>
      </w:r>
      <w:r w:rsidR="007E434B" w:rsidRPr="00E13238">
        <w:t>)</w:t>
      </w:r>
      <w:r w:rsidR="00582A40" w:rsidRPr="00E13238">
        <w:t xml:space="preserve">. </w:t>
      </w:r>
    </w:p>
    <w:p w14:paraId="3974BD3A" w14:textId="77777777" w:rsidR="00582A40" w:rsidRPr="006F3506" w:rsidRDefault="008B0301" w:rsidP="00A066B4">
      <w:pPr>
        <w:spacing w:before="120" w:after="120"/>
        <w:rPr>
          <w:szCs w:val="18"/>
          <w:lang w:val="en-US"/>
        </w:rPr>
      </w:pPr>
      <w:r w:rsidRPr="006F3506">
        <w:rPr>
          <w:position w:val="-24"/>
          <w:szCs w:val="18"/>
          <w:lang w:val="en-US"/>
        </w:rPr>
        <w:object w:dxaOrig="3700" w:dyaOrig="660" w14:anchorId="183F4A55">
          <v:shape id="_x0000_i1043" type="#_x0000_t75" style="width:151.8pt;height:28.8pt" o:ole="">
            <v:imagedata r:id="rId16" o:title=""/>
          </v:shape>
          <o:OLEObject Type="Embed" ProgID="Equation.DSMT4" ShapeID="_x0000_i1043" DrawAspect="Content" ObjectID="_1615377291" r:id="rId17"/>
        </w:object>
      </w:r>
      <w:r w:rsidR="00582A40" w:rsidRPr="006F3506">
        <w:rPr>
          <w:szCs w:val="18"/>
          <w:lang w:val="en-US"/>
        </w:rPr>
        <w:tab/>
      </w:r>
      <w:r w:rsidR="00582A40" w:rsidRPr="006F3506">
        <w:rPr>
          <w:szCs w:val="18"/>
          <w:lang w:val="en-US"/>
        </w:rPr>
        <w:tab/>
      </w:r>
      <w:r w:rsidR="00582A40" w:rsidRPr="006F3506">
        <w:rPr>
          <w:szCs w:val="18"/>
          <w:lang w:val="en-US"/>
        </w:rPr>
        <w:tab/>
        <w:t>(1)</w:t>
      </w:r>
    </w:p>
    <w:p w14:paraId="4E8C1D48" w14:textId="77777777" w:rsidR="00A066B4" w:rsidRPr="006F3506" w:rsidRDefault="00A066B4" w:rsidP="00A066B4">
      <w:pPr>
        <w:rPr>
          <w:szCs w:val="18"/>
        </w:rPr>
      </w:pPr>
      <w:r w:rsidRPr="00F13981">
        <w:lastRenderedPageBreak/>
        <w:t>where, according to the literature</w:t>
      </w:r>
      <w:r w:rsidR="001F52D2" w:rsidRPr="00F13981">
        <w:t xml:space="preserve"> (Concas et al., 2016b)</w:t>
      </w:r>
      <w:r w:rsidRPr="00F13981">
        <w:t>, the time rate of change of cell mass (</w:t>
      </w:r>
      <w:r w:rsidRPr="00F13981">
        <w:rPr>
          <w:rFonts w:ascii="Symbol" w:hAnsi="Symbol"/>
        </w:rPr>
        <w:t></w:t>
      </w:r>
      <w:r w:rsidRPr="00F13981">
        <w:rPr>
          <w:vertAlign w:val="subscript"/>
        </w:rPr>
        <w:t>m</w:t>
      </w:r>
      <w:r w:rsidRPr="00F13981">
        <w:t>) is a function of nutrient’s concentration in the growth medium (</w:t>
      </w:r>
      <w:proofErr w:type="spellStart"/>
      <w:r w:rsidRPr="006F3506">
        <w:rPr>
          <w:rFonts w:ascii="Times New Roman" w:hAnsi="Times New Roman"/>
          <w:i/>
        </w:rPr>
        <w:t>C</w:t>
      </w:r>
      <w:r w:rsidRPr="006F3506">
        <w:rPr>
          <w:rFonts w:ascii="Times New Roman" w:hAnsi="Times New Roman"/>
          <w:i/>
          <w:vertAlign w:val="subscript"/>
        </w:rPr>
        <w:t>j</w:t>
      </w:r>
      <w:proofErr w:type="spellEnd"/>
      <w:r w:rsidRPr="006F3506">
        <w:t>), light intensity within the culture (</w:t>
      </w:r>
      <w:proofErr w:type="spellStart"/>
      <w:r w:rsidRPr="006F3506">
        <w:rPr>
          <w:rFonts w:ascii="Times New Roman" w:hAnsi="Times New Roman"/>
          <w:i/>
        </w:rPr>
        <w:t>I</w:t>
      </w:r>
      <w:r w:rsidRPr="006F3506">
        <w:rPr>
          <w:rFonts w:ascii="Times New Roman" w:hAnsi="Times New Roman"/>
          <w:i/>
          <w:vertAlign w:val="subscript"/>
        </w:rPr>
        <w:t>av</w:t>
      </w:r>
      <w:proofErr w:type="spellEnd"/>
      <w:r w:rsidRPr="006F3506">
        <w:t xml:space="preserve">) as well as the cell mass itself as </w:t>
      </w:r>
      <w:r w:rsidRPr="006F3506">
        <w:rPr>
          <w:szCs w:val="18"/>
        </w:rPr>
        <w:t>shown in the following expression:</w:t>
      </w:r>
    </w:p>
    <w:p w14:paraId="704C2A5F" w14:textId="77777777" w:rsidR="00A066B4" w:rsidRPr="006F3506" w:rsidRDefault="00A066B4" w:rsidP="00625645">
      <w:pPr>
        <w:spacing w:before="120" w:after="120"/>
        <w:rPr>
          <w:szCs w:val="18"/>
          <w:lang w:val="en-US"/>
        </w:rPr>
      </w:pPr>
      <w:r w:rsidRPr="006F3506">
        <w:rPr>
          <w:position w:val="-34"/>
          <w:szCs w:val="18"/>
          <w:lang w:val="en-US"/>
        </w:rPr>
        <w:object w:dxaOrig="5020" w:dyaOrig="800" w14:anchorId="4F135055">
          <v:shape id="_x0000_i1027" type="#_x0000_t75" style="width:208.8pt;height:33.6pt" o:ole="">
            <v:imagedata r:id="rId18" o:title=""/>
          </v:shape>
          <o:OLEObject Type="Embed" ProgID="Equation.DSMT4" ShapeID="_x0000_i1027" DrawAspect="Content" ObjectID="_1615377292" r:id="rId19"/>
        </w:object>
      </w:r>
      <w:r w:rsidRPr="006F3506">
        <w:rPr>
          <w:szCs w:val="18"/>
          <w:lang w:val="en-US"/>
        </w:rPr>
        <w:tab/>
      </w:r>
      <w:r w:rsidRPr="006F3506">
        <w:rPr>
          <w:szCs w:val="18"/>
          <w:lang w:val="en-US"/>
        </w:rPr>
        <w:tab/>
      </w:r>
      <w:r w:rsidRPr="006F3506">
        <w:rPr>
          <w:szCs w:val="18"/>
          <w:lang w:val="en-US"/>
        </w:rPr>
        <w:tab/>
        <w:t>(</w:t>
      </w:r>
      <w:r w:rsidR="00B52EC5" w:rsidRPr="006F3506">
        <w:rPr>
          <w:szCs w:val="18"/>
          <w:lang w:val="en-US"/>
        </w:rPr>
        <w:t>2</w:t>
      </w:r>
      <w:r w:rsidRPr="006F3506">
        <w:rPr>
          <w:szCs w:val="18"/>
          <w:lang w:val="en-US"/>
        </w:rPr>
        <w:t>)</w:t>
      </w:r>
    </w:p>
    <w:p w14:paraId="387CA9FE" w14:textId="21041770" w:rsidR="00E00185" w:rsidRPr="006F3506" w:rsidRDefault="00E00185" w:rsidP="00515CD5">
      <w:pPr>
        <w:pStyle w:val="CETListbullets"/>
        <w:ind w:left="0" w:firstLine="0"/>
        <w:rPr>
          <w:szCs w:val="18"/>
          <w:lang w:val="en-US"/>
        </w:rPr>
      </w:pPr>
      <w:r w:rsidRPr="00F13981">
        <w:t xml:space="preserve">The function </w:t>
      </w:r>
      <w:r w:rsidRPr="00F13981">
        <w:rPr>
          <w:rFonts w:ascii="Times New Roman" w:hAnsi="Times New Roman"/>
          <w:i/>
        </w:rPr>
        <w:t>g</w:t>
      </w:r>
      <w:r w:rsidRPr="00F13981">
        <w:t>(</w:t>
      </w:r>
      <w:proofErr w:type="spellStart"/>
      <w:r w:rsidRPr="00F13981">
        <w:rPr>
          <w:rFonts w:ascii="Times New Roman" w:hAnsi="Times New Roman"/>
          <w:i/>
        </w:rPr>
        <w:t>I</w:t>
      </w:r>
      <w:r w:rsidRPr="00F13981">
        <w:rPr>
          <w:rFonts w:ascii="Times New Roman" w:hAnsi="Times New Roman"/>
          <w:i/>
          <w:vertAlign w:val="subscript"/>
        </w:rPr>
        <w:t>av</w:t>
      </w:r>
      <w:proofErr w:type="spellEnd"/>
      <w:r w:rsidRPr="00F13981">
        <w:t xml:space="preserve">) was evaluated </w:t>
      </w:r>
      <w:r w:rsidR="00F45B0D" w:rsidRPr="00F13981">
        <w:t>according to</w:t>
      </w:r>
      <w:r w:rsidRPr="00F13981">
        <w:t xml:space="preserve"> Concas et al</w:t>
      </w:r>
      <w:r w:rsidR="0016194C" w:rsidRPr="00F13981">
        <w:t>.</w:t>
      </w:r>
      <w:r w:rsidRPr="00F13981">
        <w:t xml:space="preserve"> (2016</w:t>
      </w:r>
      <w:r w:rsidR="001F52D2" w:rsidRPr="00F13981">
        <w:t>a</w:t>
      </w:r>
      <w:r w:rsidRPr="00F13981">
        <w:t>)</w:t>
      </w:r>
      <w:r w:rsidR="00F45B0D" w:rsidRPr="00F13981">
        <w:t>.</w:t>
      </w:r>
      <w:r w:rsidR="00515CD5" w:rsidRPr="00F13981">
        <w:t xml:space="preserve"> </w:t>
      </w:r>
      <w:r w:rsidRPr="00F13981">
        <w:rPr>
          <w:szCs w:val="18"/>
        </w:rPr>
        <w:t>The death term</w:t>
      </w:r>
      <w:r w:rsidRPr="00F13981">
        <w:rPr>
          <w:rFonts w:ascii="Times New Roman" w:hAnsi="Times New Roman"/>
          <w:i/>
          <w:szCs w:val="18"/>
        </w:rPr>
        <w:t xml:space="preserve"> D</w:t>
      </w:r>
      <w:r w:rsidR="00F45B0D" w:rsidRPr="00F13981">
        <w:rPr>
          <w:rFonts w:ascii="Times New Roman" w:hAnsi="Times New Roman"/>
          <w:szCs w:val="18"/>
        </w:rPr>
        <w:t>(</w:t>
      </w:r>
      <w:r w:rsidR="00F45B0D" w:rsidRPr="00E13238">
        <w:rPr>
          <w:rFonts w:ascii="Times New Roman" w:hAnsi="Times New Roman"/>
          <w:i/>
          <w:szCs w:val="18"/>
        </w:rPr>
        <w:t>m</w:t>
      </w:r>
      <w:r w:rsidR="00F45B0D" w:rsidRPr="00E13238">
        <w:rPr>
          <w:rFonts w:ascii="Times New Roman" w:hAnsi="Times New Roman"/>
          <w:szCs w:val="18"/>
        </w:rPr>
        <w:t>)</w:t>
      </w:r>
      <w:r w:rsidRPr="00E13238">
        <w:rPr>
          <w:szCs w:val="18"/>
        </w:rPr>
        <w:t xml:space="preserve"> </w:t>
      </w:r>
      <w:r w:rsidRPr="006F3506">
        <w:rPr>
          <w:szCs w:val="18"/>
          <w:lang w:val="en-US"/>
        </w:rPr>
        <w:t xml:space="preserve">of Eq. 1 accounts for the </w:t>
      </w:r>
      <w:r w:rsidR="00F45B0D" w:rsidRPr="006F3506">
        <w:rPr>
          <w:szCs w:val="18"/>
          <w:lang w:val="en-US"/>
        </w:rPr>
        <w:t xml:space="preserve">disappearance of </w:t>
      </w:r>
      <w:r w:rsidRPr="006F3506">
        <w:rPr>
          <w:szCs w:val="18"/>
          <w:lang w:val="en-US"/>
        </w:rPr>
        <w:t xml:space="preserve">a cell of mass </w:t>
      </w:r>
      <w:r w:rsidRPr="006F3506">
        <w:rPr>
          <w:i/>
          <w:szCs w:val="18"/>
          <w:lang w:val="en-US"/>
        </w:rPr>
        <w:t>m</w:t>
      </w:r>
      <w:r w:rsidRPr="006F3506">
        <w:rPr>
          <w:szCs w:val="18"/>
          <w:lang w:val="en-US"/>
        </w:rPr>
        <w:t xml:space="preserve"> as a result of its division</w:t>
      </w:r>
      <w:r w:rsidR="00240687" w:rsidRPr="006F3506">
        <w:rPr>
          <w:szCs w:val="18"/>
          <w:lang w:val="en-US"/>
        </w:rPr>
        <w:t xml:space="preserve"> and </w:t>
      </w:r>
      <w:r w:rsidRPr="006F3506">
        <w:rPr>
          <w:szCs w:val="18"/>
          <w:lang w:val="en-US"/>
        </w:rPr>
        <w:t xml:space="preserve">can be expressed as </w:t>
      </w:r>
      <w:r w:rsidR="00240687" w:rsidRPr="006F3506">
        <w:rPr>
          <w:szCs w:val="18"/>
          <w:lang w:val="en-US"/>
        </w:rPr>
        <w:t xml:space="preserve">follows: </w:t>
      </w:r>
    </w:p>
    <w:p w14:paraId="21923D5B" w14:textId="77777777" w:rsidR="00515CD5" w:rsidRPr="006F3506" w:rsidRDefault="008B0301" w:rsidP="004D7F5E">
      <w:pPr>
        <w:spacing w:before="120"/>
        <w:rPr>
          <w:szCs w:val="18"/>
          <w:lang w:val="en-US"/>
        </w:rPr>
      </w:pPr>
      <w:r w:rsidRPr="006F3506">
        <w:rPr>
          <w:position w:val="-66"/>
          <w:szCs w:val="18"/>
          <w:lang w:val="en-US"/>
        </w:rPr>
        <w:object w:dxaOrig="8160" w:dyaOrig="1080" w14:anchorId="32FDA239">
          <v:shape id="_x0000_i1028" type="#_x0000_t75" style="width:343.2pt;height:45.6pt" o:ole="" fillcolor="window">
            <v:imagedata r:id="rId20" o:title=""/>
          </v:shape>
          <o:OLEObject Type="Embed" ProgID="Equation.DSMT4" ShapeID="_x0000_i1028" DrawAspect="Content" ObjectID="_1615377293" r:id="rId21"/>
        </w:object>
      </w:r>
      <w:r w:rsidR="00E00185" w:rsidRPr="006F3506">
        <w:rPr>
          <w:szCs w:val="18"/>
          <w:lang w:val="en-US"/>
        </w:rPr>
        <w:tab/>
      </w:r>
      <w:r w:rsidR="00E00185" w:rsidRPr="006F3506">
        <w:rPr>
          <w:szCs w:val="18"/>
          <w:lang w:val="en-US"/>
        </w:rPr>
        <w:tab/>
      </w:r>
      <w:r w:rsidR="00E00185" w:rsidRPr="006F3506">
        <w:rPr>
          <w:szCs w:val="18"/>
          <w:lang w:val="en-US"/>
        </w:rPr>
        <w:tab/>
      </w:r>
      <w:r w:rsidR="00B52EC5" w:rsidRPr="006F3506">
        <w:rPr>
          <w:szCs w:val="18"/>
          <w:lang w:val="en-US"/>
        </w:rPr>
        <w:t>(3</w:t>
      </w:r>
      <w:r w:rsidR="00E00185" w:rsidRPr="006F3506">
        <w:rPr>
          <w:szCs w:val="18"/>
          <w:lang w:val="en-US"/>
        </w:rPr>
        <w:t>)</w:t>
      </w:r>
    </w:p>
    <w:p w14:paraId="02489BDC" w14:textId="77777777" w:rsidR="00B52EC5" w:rsidRPr="006F3506" w:rsidRDefault="007E434B" w:rsidP="00944568">
      <w:pPr>
        <w:rPr>
          <w:szCs w:val="18"/>
          <w:lang w:val="en-US"/>
        </w:rPr>
      </w:pPr>
      <w:r w:rsidRPr="006F3506">
        <w:rPr>
          <w:szCs w:val="18"/>
          <w:lang w:val="en-US"/>
        </w:rPr>
        <w:t xml:space="preserve">In Eq. (3),  </w:t>
      </w:r>
      <w:r w:rsidRPr="006F3506">
        <w:rPr>
          <w:rFonts w:ascii="Times New Roman" w:hAnsi="Times New Roman"/>
          <w:i/>
          <w:szCs w:val="18"/>
          <w:lang w:val="en-US"/>
        </w:rPr>
        <w:t>f</w:t>
      </w:r>
      <w:r w:rsidRPr="006F3506">
        <w:rPr>
          <w:rFonts w:ascii="Times New Roman" w:hAnsi="Times New Roman"/>
          <w:szCs w:val="18"/>
          <w:lang w:val="en-US"/>
        </w:rPr>
        <w:t>(</w:t>
      </w:r>
      <w:r w:rsidRPr="006F3506">
        <w:rPr>
          <w:rFonts w:ascii="Times New Roman" w:hAnsi="Times New Roman"/>
          <w:i/>
          <w:szCs w:val="18"/>
          <w:lang w:val="en-US"/>
        </w:rPr>
        <w:t>m</w:t>
      </w:r>
      <w:r w:rsidRPr="006F3506">
        <w:rPr>
          <w:rFonts w:ascii="Times New Roman" w:hAnsi="Times New Roman"/>
          <w:szCs w:val="18"/>
          <w:lang w:val="en-US"/>
        </w:rPr>
        <w:t>)</w:t>
      </w:r>
      <w:r w:rsidRPr="006F3506">
        <w:rPr>
          <w:szCs w:val="18"/>
          <w:lang w:val="en-US"/>
        </w:rPr>
        <w:t xml:space="preserve"> is the normal </w:t>
      </w:r>
      <w:r w:rsidR="0016194C" w:rsidRPr="006F3506">
        <w:rPr>
          <w:rFonts w:cs="Arial"/>
          <w:szCs w:val="18"/>
          <w:shd w:val="clear" w:color="auto" w:fill="FFFFFF"/>
        </w:rPr>
        <w:t xml:space="preserve">having parameters mc and </w:t>
      </w:r>
      <w:r w:rsidR="0016194C" w:rsidRPr="006F3506">
        <w:rPr>
          <w:rFonts w:cs="Arial"/>
          <w:szCs w:val="18"/>
          <w:shd w:val="clear" w:color="auto" w:fill="FFFFFF"/>
        </w:rPr>
        <w:sym w:font="Symbol" w:char="F073"/>
      </w:r>
      <w:r w:rsidR="0016194C" w:rsidRPr="006F3506">
        <w:rPr>
          <w:rFonts w:cs="Arial"/>
          <w:szCs w:val="18"/>
          <w:shd w:val="clear" w:color="auto" w:fill="FFFFFF"/>
        </w:rPr>
        <w:t>c which represent the mean and the standard deviation of the critical mass at which cell is committed to divide, respectively.</w:t>
      </w:r>
      <w:r w:rsidR="002115C6" w:rsidRPr="006F3506">
        <w:rPr>
          <w:rFonts w:cs="Arial"/>
          <w:szCs w:val="18"/>
          <w:shd w:val="clear" w:color="auto" w:fill="FFFFFF"/>
        </w:rPr>
        <w:t xml:space="preserve"> </w:t>
      </w:r>
      <w:r w:rsidR="00B8476D" w:rsidRPr="006F3506">
        <w:rPr>
          <w:szCs w:val="18"/>
          <w:lang w:val="en-US"/>
        </w:rPr>
        <w:t>Moreover, t</w:t>
      </w:r>
      <w:r w:rsidR="00C1680D" w:rsidRPr="006F3506">
        <w:rPr>
          <w:szCs w:val="18"/>
          <w:lang w:val="en-US"/>
        </w:rPr>
        <w:t>he term within square brackets, where</w:t>
      </w:r>
      <w:r w:rsidR="00500253" w:rsidRPr="006F3506">
        <w:rPr>
          <w:szCs w:val="18"/>
          <w:lang w:val="en-US"/>
        </w:rPr>
        <w:t>in</w:t>
      </w:r>
      <w:r w:rsidR="00C1680D" w:rsidRPr="006F3506">
        <w:rPr>
          <w:szCs w:val="18"/>
          <w:lang w:val="en-US"/>
        </w:rPr>
        <w:t xml:space="preserve"> </w:t>
      </w:r>
      <w:r w:rsidR="00C1680D" w:rsidRPr="006F3506">
        <w:rPr>
          <w:rFonts w:ascii="Times New Roman" w:hAnsi="Times New Roman"/>
          <w:i/>
          <w:szCs w:val="18"/>
          <w:lang w:val="en-US"/>
        </w:rPr>
        <w:t>H</w:t>
      </w:r>
      <w:r w:rsidR="00C1680D" w:rsidRPr="006F3506">
        <w:rPr>
          <w:rFonts w:ascii="Times New Roman" w:hAnsi="Times New Roman"/>
          <w:szCs w:val="18"/>
          <w:lang w:val="en-US"/>
        </w:rPr>
        <w:t>(</w:t>
      </w:r>
      <w:proofErr w:type="spellStart"/>
      <w:r w:rsidR="00C1680D" w:rsidRPr="006F3506">
        <w:rPr>
          <w:rFonts w:ascii="Times New Roman" w:hAnsi="Times New Roman"/>
          <w:i/>
          <w:szCs w:val="18"/>
          <w:lang w:val="en-US"/>
        </w:rPr>
        <w:t>I</w:t>
      </w:r>
      <w:r w:rsidR="00C1680D" w:rsidRPr="006F3506">
        <w:rPr>
          <w:rFonts w:ascii="Times New Roman" w:hAnsi="Times New Roman"/>
          <w:i/>
          <w:szCs w:val="18"/>
          <w:vertAlign w:val="subscript"/>
          <w:lang w:val="en-US"/>
        </w:rPr>
        <w:t>av</w:t>
      </w:r>
      <w:proofErr w:type="spellEnd"/>
      <w:r w:rsidR="00C1680D" w:rsidRPr="006F3506">
        <w:rPr>
          <w:rFonts w:ascii="Times New Roman" w:hAnsi="Times New Roman"/>
          <w:szCs w:val="18"/>
          <w:lang w:val="en-US"/>
        </w:rPr>
        <w:t>)</w:t>
      </w:r>
      <w:r w:rsidR="00C1680D" w:rsidRPr="006F3506">
        <w:rPr>
          <w:szCs w:val="18"/>
          <w:lang w:val="en-US"/>
        </w:rPr>
        <w:t xml:space="preserve"> is the Heaviside function of light intensity, takes into account that </w:t>
      </w:r>
      <w:r w:rsidR="00B8476D" w:rsidRPr="006F3506">
        <w:rPr>
          <w:szCs w:val="18"/>
          <w:lang w:val="en-US"/>
        </w:rPr>
        <w:t xml:space="preserve">cell </w:t>
      </w:r>
      <w:r w:rsidR="00C1680D" w:rsidRPr="006F3506">
        <w:rPr>
          <w:szCs w:val="18"/>
          <w:lang w:val="en-US"/>
        </w:rPr>
        <w:t xml:space="preserve">division </w:t>
      </w:r>
      <w:r w:rsidR="008504FF" w:rsidRPr="006F3506">
        <w:rPr>
          <w:szCs w:val="18"/>
          <w:lang w:val="en-US"/>
        </w:rPr>
        <w:t>may occur</w:t>
      </w:r>
      <w:r w:rsidR="00B8476D" w:rsidRPr="006F3506">
        <w:rPr>
          <w:szCs w:val="18"/>
          <w:lang w:val="en-US"/>
        </w:rPr>
        <w:t xml:space="preserve"> only during the dark phase, </w:t>
      </w:r>
      <w:r w:rsidR="00C1680D" w:rsidRPr="006F3506">
        <w:rPr>
          <w:szCs w:val="18"/>
          <w:lang w:val="en-US"/>
        </w:rPr>
        <w:t xml:space="preserve">i.e. when </w:t>
      </w:r>
      <w:proofErr w:type="spellStart"/>
      <w:r w:rsidR="00C1680D" w:rsidRPr="006F3506">
        <w:rPr>
          <w:rFonts w:ascii="Times New Roman" w:hAnsi="Times New Roman"/>
          <w:i/>
          <w:szCs w:val="18"/>
          <w:lang w:val="en-US"/>
        </w:rPr>
        <w:t>I</w:t>
      </w:r>
      <w:r w:rsidR="00C1680D" w:rsidRPr="006F3506">
        <w:rPr>
          <w:rFonts w:ascii="Times New Roman" w:hAnsi="Times New Roman"/>
          <w:i/>
          <w:szCs w:val="18"/>
          <w:vertAlign w:val="subscript"/>
          <w:lang w:val="en-US"/>
        </w:rPr>
        <w:t>av</w:t>
      </w:r>
      <w:proofErr w:type="spellEnd"/>
      <w:r w:rsidR="00C1680D" w:rsidRPr="006F3506">
        <w:rPr>
          <w:rFonts w:ascii="Times New Roman" w:hAnsi="Times New Roman"/>
          <w:i/>
          <w:szCs w:val="18"/>
          <w:lang w:val="en-US"/>
        </w:rPr>
        <w:t>=0</w:t>
      </w:r>
      <w:r w:rsidR="00C1680D" w:rsidRPr="006F3506">
        <w:rPr>
          <w:szCs w:val="18"/>
          <w:lang w:val="en-US"/>
        </w:rPr>
        <w:t>.</w:t>
      </w:r>
    </w:p>
    <w:p w14:paraId="36900B8F" w14:textId="77777777" w:rsidR="00944568" w:rsidRPr="006F3506" w:rsidRDefault="00944568" w:rsidP="00944568">
      <w:pPr>
        <w:rPr>
          <w:szCs w:val="18"/>
          <w:lang w:val="en-US"/>
        </w:rPr>
      </w:pPr>
      <w:r w:rsidRPr="006F3506">
        <w:rPr>
          <w:szCs w:val="18"/>
          <w:lang w:val="en-US"/>
        </w:rPr>
        <w:t xml:space="preserve">The birth term </w:t>
      </w:r>
      <w:r w:rsidR="008B0301" w:rsidRPr="006F3506">
        <w:rPr>
          <w:rFonts w:ascii="Times New Roman" w:hAnsi="Times New Roman"/>
          <w:i/>
          <w:szCs w:val="18"/>
          <w:lang w:val="en-US"/>
        </w:rPr>
        <w:t>B</w:t>
      </w:r>
      <w:r w:rsidR="008B0301" w:rsidRPr="006F3506">
        <w:rPr>
          <w:rFonts w:ascii="Times New Roman" w:hAnsi="Times New Roman"/>
          <w:szCs w:val="18"/>
          <w:lang w:val="en-US"/>
        </w:rPr>
        <w:t>(</w:t>
      </w:r>
      <w:r w:rsidR="008B0301" w:rsidRPr="006F3506">
        <w:rPr>
          <w:rFonts w:ascii="Times New Roman" w:hAnsi="Times New Roman"/>
          <w:i/>
          <w:szCs w:val="18"/>
          <w:lang w:val="en-US"/>
        </w:rPr>
        <w:t>m</w:t>
      </w:r>
      <w:r w:rsidR="008B0301" w:rsidRPr="006F3506">
        <w:rPr>
          <w:rFonts w:ascii="Times New Roman" w:hAnsi="Times New Roman"/>
          <w:szCs w:val="18"/>
          <w:lang w:val="en-US"/>
        </w:rPr>
        <w:t>)</w:t>
      </w:r>
      <w:r w:rsidR="008B0301" w:rsidRPr="006F3506">
        <w:rPr>
          <w:szCs w:val="18"/>
          <w:lang w:val="en-US"/>
        </w:rPr>
        <w:t xml:space="preserve"> </w:t>
      </w:r>
      <w:r w:rsidRPr="006F3506">
        <w:rPr>
          <w:szCs w:val="18"/>
          <w:lang w:val="en-US"/>
        </w:rPr>
        <w:t xml:space="preserve">of Eq. 1 takes into account the contribution to mass class (m) of newborn cells resulting from the division of cells having larger mass m’ &gt; m, </w:t>
      </w:r>
      <w:r w:rsidR="0016194C" w:rsidRPr="006F3506">
        <w:rPr>
          <w:szCs w:val="18"/>
          <w:lang w:val="en-US"/>
        </w:rPr>
        <w:t>and can be expressed as follows:</w:t>
      </w:r>
      <w:r w:rsidRPr="006F3506">
        <w:rPr>
          <w:szCs w:val="18"/>
          <w:lang w:val="en-US"/>
        </w:rPr>
        <w:t xml:space="preserve"> </w:t>
      </w:r>
    </w:p>
    <w:p w14:paraId="4F182F1D" w14:textId="77777777" w:rsidR="00944568" w:rsidRPr="006F3506" w:rsidRDefault="008B0301" w:rsidP="002B786D">
      <w:pPr>
        <w:spacing w:before="120" w:after="120"/>
        <w:rPr>
          <w:szCs w:val="18"/>
          <w:lang w:val="en-US"/>
        </w:rPr>
      </w:pPr>
      <w:r w:rsidRPr="006F3506">
        <w:rPr>
          <w:position w:val="-32"/>
          <w:szCs w:val="18"/>
          <w:lang w:val="en-US"/>
        </w:rPr>
        <w:object w:dxaOrig="4520" w:dyaOrig="760" w14:anchorId="47453A46">
          <v:shape id="_x0000_i1029" type="#_x0000_t75" style="width:194.4pt;height:31.8pt" o:ole="">
            <v:imagedata r:id="rId22" o:title=""/>
          </v:shape>
          <o:OLEObject Type="Embed" ProgID="Equation.DSMT4" ShapeID="_x0000_i1029" DrawAspect="Content" ObjectID="_1615377294" r:id="rId23"/>
        </w:object>
      </w:r>
      <w:r w:rsidR="00944568" w:rsidRPr="006F3506">
        <w:rPr>
          <w:szCs w:val="18"/>
          <w:lang w:val="en-US"/>
        </w:rPr>
        <w:tab/>
      </w:r>
      <w:r w:rsidR="00944568" w:rsidRPr="006F3506">
        <w:rPr>
          <w:szCs w:val="18"/>
          <w:lang w:val="en-US"/>
        </w:rPr>
        <w:tab/>
      </w:r>
      <w:r w:rsidR="00944568" w:rsidRPr="006F3506">
        <w:rPr>
          <w:szCs w:val="18"/>
          <w:lang w:val="en-US"/>
        </w:rPr>
        <w:tab/>
        <w:t>(4)</w:t>
      </w:r>
    </w:p>
    <w:p w14:paraId="6DD444EC" w14:textId="77777777" w:rsidR="00944568" w:rsidRPr="006F3506" w:rsidRDefault="002B786D" w:rsidP="002B786D">
      <w:pPr>
        <w:rPr>
          <w:szCs w:val="18"/>
          <w:lang w:val="en-US"/>
        </w:rPr>
      </w:pPr>
      <w:r w:rsidRPr="006F3506">
        <w:rPr>
          <w:szCs w:val="18"/>
          <w:lang w:val="en-US"/>
        </w:rPr>
        <w:t>The symbol</w:t>
      </w:r>
      <w:r w:rsidR="00944568" w:rsidRPr="006F3506">
        <w:rPr>
          <w:szCs w:val="18"/>
          <w:lang w:val="en-US"/>
        </w:rPr>
        <w:t xml:space="preserve"> </w:t>
      </w:r>
      <m:oMath>
        <m:r>
          <w:rPr>
            <w:rFonts w:ascii="Cambria Math" w:hAnsi="Cambria Math"/>
            <w:szCs w:val="18"/>
            <w:lang w:val="en-US"/>
          </w:rPr>
          <m:t>ϑ</m:t>
        </m:r>
        <m:d>
          <m:dPr>
            <m:ctrlPr>
              <w:rPr>
                <w:rFonts w:ascii="Cambria Math" w:hAnsi="Cambria Math"/>
                <w:i/>
                <w:szCs w:val="18"/>
                <w:lang w:val="en-US"/>
              </w:rPr>
            </m:ctrlPr>
          </m:dPr>
          <m:e>
            <m:r>
              <w:rPr>
                <w:rFonts w:ascii="Cambria Math" w:hAnsi="Cambria Math"/>
                <w:szCs w:val="18"/>
                <w:lang w:val="en-US"/>
              </w:rPr>
              <m:t>m,m'</m:t>
            </m:r>
          </m:e>
        </m:d>
        <m:r>
          <w:rPr>
            <w:rFonts w:ascii="Cambria Math" w:hAnsi="Cambria Math"/>
            <w:szCs w:val="18"/>
            <w:lang w:val="en-US"/>
          </w:rPr>
          <m:t xml:space="preserve"> </m:t>
        </m:r>
      </m:oMath>
      <w:r w:rsidR="00944568" w:rsidRPr="006F3506">
        <w:rPr>
          <w:szCs w:val="18"/>
          <w:lang w:val="en-US"/>
        </w:rPr>
        <w:t>represents the self-similar daughter distribution and obeys the extended Hill-Ng power law which, in its generalized form contemplating the possibility that a variable number (</w:t>
      </w:r>
      <w:proofErr w:type="spellStart"/>
      <w:r w:rsidR="00944568" w:rsidRPr="006F3506">
        <w:rPr>
          <w:i/>
          <w:szCs w:val="18"/>
          <w:lang w:val="en-US"/>
        </w:rPr>
        <w:t>i</w:t>
      </w:r>
      <w:proofErr w:type="spellEnd"/>
      <w:r w:rsidR="00944568" w:rsidRPr="006F3506">
        <w:rPr>
          <w:szCs w:val="18"/>
          <w:lang w:val="en-US"/>
        </w:rPr>
        <w:t>) of daughters cells may be generated (i.e. multiple fission), can be written as follows:</w:t>
      </w:r>
    </w:p>
    <w:p w14:paraId="03650654" w14:textId="77777777" w:rsidR="00944568" w:rsidRPr="006F3506" w:rsidRDefault="008B0301" w:rsidP="002B786D">
      <w:pPr>
        <w:spacing w:before="120" w:after="120"/>
        <w:rPr>
          <w:szCs w:val="18"/>
          <w:lang w:val="en-US"/>
        </w:rPr>
      </w:pPr>
      <w:r w:rsidRPr="006F3506">
        <w:rPr>
          <w:position w:val="-32"/>
          <w:szCs w:val="18"/>
          <w:lang w:val="en-US"/>
        </w:rPr>
        <w:object w:dxaOrig="7040" w:dyaOrig="780" w14:anchorId="45D979E7">
          <v:shape id="_x0000_i1030" type="#_x0000_t75" style="width:324pt;height:33pt" o:ole="">
            <v:imagedata r:id="rId24" o:title=""/>
          </v:shape>
          <o:OLEObject Type="Embed" ProgID="Equation.DSMT4" ShapeID="_x0000_i1030" DrawAspect="Content" ObjectID="_1615377295" r:id="rId25"/>
        </w:object>
      </w:r>
      <w:r w:rsidR="00944568" w:rsidRPr="006F3506">
        <w:rPr>
          <w:szCs w:val="18"/>
          <w:lang w:val="en-US"/>
        </w:rPr>
        <w:tab/>
      </w:r>
      <w:r w:rsidR="00944568" w:rsidRPr="006F3506">
        <w:rPr>
          <w:szCs w:val="18"/>
          <w:lang w:val="en-US"/>
        </w:rPr>
        <w:tab/>
      </w:r>
      <w:r w:rsidR="00944568" w:rsidRPr="006F3506">
        <w:rPr>
          <w:szCs w:val="18"/>
          <w:lang w:val="en-US"/>
        </w:rPr>
        <w:tab/>
        <w:t>(5)</w:t>
      </w:r>
    </w:p>
    <w:p w14:paraId="55B069E7" w14:textId="77777777" w:rsidR="002B786D" w:rsidRPr="006F3506" w:rsidRDefault="002B786D" w:rsidP="00F45B0D">
      <w:pPr>
        <w:rPr>
          <w:szCs w:val="18"/>
          <w:lang w:val="en-US"/>
        </w:rPr>
      </w:pPr>
      <w:r w:rsidRPr="006F3506">
        <w:rPr>
          <w:szCs w:val="18"/>
          <w:lang w:val="en-US"/>
        </w:rPr>
        <w:t>where the symbol</w:t>
      </w:r>
      <w:r w:rsidR="002C7CAD" w:rsidRPr="006F3506">
        <w:rPr>
          <w:szCs w:val="18"/>
          <w:lang w:val="en-US"/>
        </w:rPr>
        <w:t xml:space="preserve"> </w:t>
      </w:r>
      <w:r w:rsidR="002C7CAD" w:rsidRPr="006F3506">
        <w:rPr>
          <w:rFonts w:ascii="Times New Roman" w:hAnsi="Times New Roman"/>
          <w:i/>
          <w:szCs w:val="18"/>
          <w:lang w:val="en-US"/>
        </w:rPr>
        <w:t>p</w:t>
      </w:r>
      <w:r w:rsidR="002C7CAD" w:rsidRPr="006F3506">
        <w:rPr>
          <w:rFonts w:ascii="Times New Roman" w:hAnsi="Times New Roman"/>
          <w:i/>
          <w:szCs w:val="18"/>
          <w:vertAlign w:val="subscript"/>
          <w:lang w:val="en-US"/>
        </w:rPr>
        <w:t>i</w:t>
      </w:r>
      <w:r w:rsidR="002C7CAD" w:rsidRPr="006F3506">
        <w:rPr>
          <w:rFonts w:ascii="Times New Roman" w:hAnsi="Times New Roman"/>
          <w:szCs w:val="18"/>
          <w:lang w:val="en-US"/>
        </w:rPr>
        <w:t xml:space="preserve"> (</w:t>
      </w:r>
      <w:proofErr w:type="spellStart"/>
      <w:r w:rsidR="002C7CAD" w:rsidRPr="006F3506">
        <w:rPr>
          <w:rFonts w:ascii="Times New Roman" w:hAnsi="Times New Roman"/>
          <w:i/>
          <w:szCs w:val="18"/>
          <w:lang w:val="en-US"/>
        </w:rPr>
        <w:t>m,m</w:t>
      </w:r>
      <w:proofErr w:type="spellEnd"/>
      <w:r w:rsidR="002C7CAD" w:rsidRPr="006F3506">
        <w:rPr>
          <w:rFonts w:ascii="Times New Roman" w:hAnsi="Times New Roman"/>
          <w:i/>
          <w:szCs w:val="18"/>
          <w:lang w:val="en-US"/>
        </w:rPr>
        <w:t>’</w:t>
      </w:r>
      <w:r w:rsidR="002C7CAD" w:rsidRPr="006F3506">
        <w:rPr>
          <w:rFonts w:ascii="Times New Roman" w:hAnsi="Times New Roman"/>
          <w:szCs w:val="18"/>
          <w:lang w:val="en-US"/>
        </w:rPr>
        <w:t>)</w:t>
      </w:r>
      <w:r w:rsidR="002C7CAD" w:rsidRPr="006F3506">
        <w:rPr>
          <w:szCs w:val="18"/>
          <w:lang w:val="en-US"/>
        </w:rPr>
        <w:t xml:space="preserve"> is the partition function and is </w:t>
      </w:r>
      <w:r w:rsidR="0016194C" w:rsidRPr="006F3506">
        <w:rPr>
          <w:szCs w:val="18"/>
          <w:lang w:val="en-US"/>
        </w:rPr>
        <w:t>clearly</w:t>
      </w:r>
      <w:r w:rsidR="002C7CAD" w:rsidRPr="006F3506">
        <w:rPr>
          <w:szCs w:val="18"/>
          <w:lang w:val="en-US"/>
        </w:rPr>
        <w:t xml:space="preserve"> defined by equation (5) while </w:t>
      </w:r>
      <w:r w:rsidRPr="006F3506">
        <w:rPr>
          <w:rFonts w:ascii="Symbol" w:hAnsi="Symbol"/>
          <w:i/>
          <w:szCs w:val="18"/>
          <w:lang w:val="en-US"/>
        </w:rPr>
        <w:t></w:t>
      </w:r>
      <w:r w:rsidRPr="006F3506">
        <w:rPr>
          <w:rFonts w:ascii="Symbol" w:hAnsi="Symbol"/>
          <w:i/>
          <w:szCs w:val="18"/>
          <w:lang w:val="en-US"/>
        </w:rPr>
        <w:t></w:t>
      </w:r>
      <w:r w:rsidRPr="006F3506">
        <w:rPr>
          <w:szCs w:val="18"/>
          <w:lang w:val="en-US"/>
        </w:rPr>
        <w:t>(</w:t>
      </w:r>
      <w:r w:rsidRPr="006F3506">
        <w:rPr>
          <w:rFonts w:ascii="Symbol" w:hAnsi="Symbol"/>
          <w:i/>
          <w:szCs w:val="18"/>
          <w:lang w:val="en-US"/>
        </w:rPr>
        <w:t></w:t>
      </w:r>
      <w:proofErr w:type="spellStart"/>
      <w:r w:rsidRPr="006F3506">
        <w:rPr>
          <w:i/>
          <w:szCs w:val="18"/>
          <w:vertAlign w:val="subscript"/>
          <w:lang w:val="en-US"/>
        </w:rPr>
        <w:t>i</w:t>
      </w:r>
      <w:proofErr w:type="spellEnd"/>
      <w:r w:rsidRPr="006F3506">
        <w:rPr>
          <w:i/>
          <w:szCs w:val="18"/>
          <w:lang w:val="en-US"/>
        </w:rPr>
        <w:t>,</w:t>
      </w:r>
      <w:r w:rsidRPr="006F3506">
        <w:rPr>
          <w:rFonts w:ascii="Symbol" w:hAnsi="Symbol"/>
          <w:i/>
          <w:szCs w:val="18"/>
          <w:lang w:val="en-US"/>
        </w:rPr>
        <w:t></w:t>
      </w:r>
      <w:proofErr w:type="spellStart"/>
      <w:r w:rsidRPr="006F3506">
        <w:rPr>
          <w:i/>
          <w:szCs w:val="18"/>
          <w:vertAlign w:val="subscript"/>
          <w:lang w:val="en-US"/>
        </w:rPr>
        <w:t>i</w:t>
      </w:r>
      <w:proofErr w:type="spellEnd"/>
      <w:r w:rsidRPr="006F3506">
        <w:rPr>
          <w:szCs w:val="18"/>
          <w:lang w:val="en-US"/>
        </w:rPr>
        <w:t xml:space="preserve">) represents the </w:t>
      </w:r>
      <w:r w:rsidR="00F45B0D" w:rsidRPr="006F3506">
        <w:rPr>
          <w:szCs w:val="18"/>
          <w:lang w:val="en-US"/>
        </w:rPr>
        <w:t xml:space="preserve">classical </w:t>
      </w:r>
      <w:r w:rsidRPr="006F3506">
        <w:rPr>
          <w:szCs w:val="18"/>
          <w:lang w:val="en-US"/>
        </w:rPr>
        <w:t>beta function</w:t>
      </w:r>
      <w:r w:rsidR="00F45B0D" w:rsidRPr="006F3506">
        <w:rPr>
          <w:szCs w:val="18"/>
          <w:lang w:val="en-US"/>
        </w:rPr>
        <w:t xml:space="preserve"> with </w:t>
      </w:r>
      <w:r w:rsidR="004054DB" w:rsidRPr="006F3506">
        <w:rPr>
          <w:szCs w:val="18"/>
          <w:lang w:val="en-US"/>
        </w:rPr>
        <w:t>parameters</w:t>
      </w:r>
      <w:r w:rsidR="00F45B0D" w:rsidRPr="006F3506">
        <w:rPr>
          <w:szCs w:val="18"/>
          <w:lang w:val="en-US"/>
        </w:rPr>
        <w:t xml:space="preserve"> </w:t>
      </w:r>
      <w:r w:rsidR="00F45B0D" w:rsidRPr="006F3506">
        <w:rPr>
          <w:rFonts w:ascii="Symbol" w:hAnsi="Symbol"/>
          <w:i/>
          <w:szCs w:val="18"/>
          <w:lang w:val="en-US"/>
        </w:rPr>
        <w:t></w:t>
      </w:r>
      <w:proofErr w:type="spellStart"/>
      <w:r w:rsidR="00F45B0D" w:rsidRPr="006F3506">
        <w:rPr>
          <w:i/>
          <w:szCs w:val="18"/>
          <w:vertAlign w:val="subscript"/>
          <w:lang w:val="en-US"/>
        </w:rPr>
        <w:t>i</w:t>
      </w:r>
      <w:proofErr w:type="spellEnd"/>
      <w:r w:rsidR="00F45B0D" w:rsidRPr="006F3506">
        <w:rPr>
          <w:szCs w:val="18"/>
          <w:lang w:val="en-US"/>
        </w:rPr>
        <w:t xml:space="preserve"> and </w:t>
      </w:r>
      <w:r w:rsidR="00F45B0D" w:rsidRPr="006F3506">
        <w:rPr>
          <w:rFonts w:ascii="Symbol" w:hAnsi="Symbol"/>
          <w:i/>
          <w:szCs w:val="18"/>
          <w:lang w:val="en-US"/>
        </w:rPr>
        <w:t></w:t>
      </w:r>
      <w:proofErr w:type="spellStart"/>
      <w:r w:rsidR="008B0301" w:rsidRPr="006F3506">
        <w:rPr>
          <w:i/>
          <w:szCs w:val="18"/>
          <w:vertAlign w:val="subscript"/>
          <w:lang w:val="en-US"/>
        </w:rPr>
        <w:t>i</w:t>
      </w:r>
      <w:proofErr w:type="spellEnd"/>
      <w:r w:rsidR="008B0301" w:rsidRPr="006F3506">
        <w:rPr>
          <w:i/>
          <w:szCs w:val="18"/>
          <w:vertAlign w:val="subscript"/>
          <w:lang w:val="en-US"/>
        </w:rPr>
        <w:t>.</w:t>
      </w:r>
      <w:r w:rsidR="00F45B0D" w:rsidRPr="006F3506">
        <w:rPr>
          <w:szCs w:val="18"/>
          <w:lang w:val="en-US"/>
        </w:rPr>
        <w:t xml:space="preserve"> </w:t>
      </w:r>
    </w:p>
    <w:p w14:paraId="6BDBB542" w14:textId="3503DC7C" w:rsidR="00944568" w:rsidRPr="006F3506" w:rsidRDefault="00C85A1E" w:rsidP="00F45B0D">
      <w:pPr>
        <w:rPr>
          <w:szCs w:val="18"/>
          <w:lang w:val="en-US"/>
        </w:rPr>
      </w:pPr>
      <w:r w:rsidRPr="006F3506">
        <w:rPr>
          <w:szCs w:val="18"/>
          <w:lang w:val="en-US"/>
        </w:rPr>
        <w:t xml:space="preserve">By substituting expressions in </w:t>
      </w:r>
      <w:proofErr w:type="spellStart"/>
      <w:r w:rsidRPr="006F3506">
        <w:rPr>
          <w:szCs w:val="18"/>
          <w:lang w:val="en-US"/>
        </w:rPr>
        <w:t>Eqs</w:t>
      </w:r>
      <w:proofErr w:type="spellEnd"/>
      <w:r w:rsidRPr="006F3506">
        <w:rPr>
          <w:szCs w:val="18"/>
          <w:lang w:val="en-US"/>
        </w:rPr>
        <w:t xml:space="preserve"> (3), (4) and (5) in </w:t>
      </w:r>
      <w:r w:rsidR="00E13238">
        <w:rPr>
          <w:szCs w:val="18"/>
          <w:lang w:val="en-US"/>
        </w:rPr>
        <w:t xml:space="preserve">Eq. (1) </w:t>
      </w:r>
      <w:r w:rsidRPr="006F3506">
        <w:rPr>
          <w:szCs w:val="18"/>
          <w:lang w:val="en-US"/>
        </w:rPr>
        <w:t>and after some mathematical manipulations based on the properties of integrals, the following particular form of the population balance can be obtained</w:t>
      </w:r>
      <w:r w:rsidR="008504FF" w:rsidRPr="006F3506">
        <w:rPr>
          <w:szCs w:val="18"/>
          <w:lang w:val="en-US"/>
        </w:rPr>
        <w:t>:</w:t>
      </w:r>
    </w:p>
    <w:p w14:paraId="66C585DB" w14:textId="77777777" w:rsidR="002B786D" w:rsidRPr="006F3506" w:rsidRDefault="002B786D" w:rsidP="002B786D">
      <w:pPr>
        <w:spacing w:before="120"/>
        <w:rPr>
          <w:szCs w:val="18"/>
          <w:lang w:val="en-US"/>
        </w:rPr>
      </w:pPr>
      <w:r w:rsidRPr="006F3506">
        <w:rPr>
          <w:rFonts w:eastAsiaTheme="minorHAnsi"/>
          <w:position w:val="-32"/>
          <w:szCs w:val="18"/>
          <w:lang w:val="en-US"/>
        </w:rPr>
        <w:object w:dxaOrig="7880" w:dyaOrig="760" w14:anchorId="43267107">
          <v:shape id="_x0000_i1031" type="#_x0000_t75" style="width:345pt;height:31.8pt;mso-position-horizontal:absolute" o:ole="">
            <v:imagedata r:id="rId26" o:title=""/>
          </v:shape>
          <o:OLEObject Type="Embed" ProgID="Equation.DSMT4" ShapeID="_x0000_i1031" DrawAspect="Content" ObjectID="_1615377296" r:id="rId27"/>
        </w:object>
      </w:r>
      <w:r w:rsidRPr="006F3506">
        <w:rPr>
          <w:rFonts w:eastAsiaTheme="minorHAnsi"/>
          <w:szCs w:val="18"/>
          <w:lang w:val="en-US"/>
        </w:rPr>
        <w:tab/>
      </w:r>
      <w:r w:rsidRPr="006F3506">
        <w:rPr>
          <w:rFonts w:eastAsiaTheme="minorHAnsi"/>
          <w:szCs w:val="18"/>
          <w:lang w:val="en-US"/>
        </w:rPr>
        <w:tab/>
      </w:r>
      <w:r w:rsidRPr="006F3506">
        <w:rPr>
          <w:rFonts w:eastAsiaTheme="minorHAnsi"/>
          <w:szCs w:val="18"/>
          <w:lang w:val="en-US"/>
        </w:rPr>
        <w:tab/>
      </w:r>
      <w:r w:rsidR="00F45B0D" w:rsidRPr="006F3506">
        <w:rPr>
          <w:szCs w:val="18"/>
          <w:lang w:val="en-US"/>
        </w:rPr>
        <w:t>(6</w:t>
      </w:r>
      <w:r w:rsidRPr="006F3506">
        <w:rPr>
          <w:szCs w:val="18"/>
          <w:lang w:val="en-US"/>
        </w:rPr>
        <w:t>)</w:t>
      </w:r>
    </w:p>
    <w:p w14:paraId="42AD1D84" w14:textId="40D58D3F" w:rsidR="002B786D" w:rsidRPr="006F3506" w:rsidRDefault="00CF21C6" w:rsidP="004D7F5E">
      <w:pPr>
        <w:spacing w:before="120"/>
        <w:rPr>
          <w:szCs w:val="18"/>
          <w:lang w:val="en-US"/>
        </w:rPr>
      </w:pPr>
      <w:r w:rsidRPr="006F3506">
        <w:rPr>
          <w:szCs w:val="18"/>
          <w:lang w:val="en-US"/>
        </w:rPr>
        <w:t>The latter</w:t>
      </w:r>
      <w:r w:rsidR="001D1988" w:rsidRPr="006F3506">
        <w:rPr>
          <w:szCs w:val="18"/>
          <w:lang w:val="en-US"/>
        </w:rPr>
        <w:t xml:space="preserve"> one</w:t>
      </w:r>
      <w:r w:rsidRPr="006F3506">
        <w:rPr>
          <w:szCs w:val="18"/>
          <w:lang w:val="en-US"/>
        </w:rPr>
        <w:t xml:space="preserve"> </w:t>
      </w:r>
      <w:r w:rsidR="002C7CAD" w:rsidRPr="006F3506">
        <w:rPr>
          <w:szCs w:val="18"/>
          <w:lang w:val="en-US"/>
        </w:rPr>
        <w:t>can be solved along with the in</w:t>
      </w:r>
      <w:r w:rsidRPr="006F3506">
        <w:rPr>
          <w:szCs w:val="18"/>
          <w:lang w:val="en-US"/>
        </w:rPr>
        <w:t>i</w:t>
      </w:r>
      <w:r w:rsidR="002C7CAD" w:rsidRPr="006F3506">
        <w:rPr>
          <w:szCs w:val="18"/>
          <w:lang w:val="en-US"/>
        </w:rPr>
        <w:t xml:space="preserve">tial condition </w:t>
      </w:r>
      <m:oMath>
        <m:r>
          <w:rPr>
            <w:rFonts w:ascii="Cambria Math" w:hAnsi="Cambria Math"/>
            <w:szCs w:val="18"/>
            <w:lang w:val="en-US"/>
          </w:rPr>
          <m:t>ψ</m:t>
        </m:r>
        <m:d>
          <m:dPr>
            <m:ctrlPr>
              <w:rPr>
                <w:rFonts w:ascii="Cambria Math" w:hAnsi="Cambria Math"/>
                <w:i/>
                <w:szCs w:val="18"/>
                <w:lang w:val="en-US"/>
              </w:rPr>
            </m:ctrlPr>
          </m:dPr>
          <m:e>
            <m:r>
              <w:rPr>
                <w:rFonts w:ascii="Cambria Math" w:hAnsi="Cambria Math"/>
                <w:szCs w:val="18"/>
                <w:lang w:val="en-US"/>
              </w:rPr>
              <m:t>m,t</m:t>
            </m:r>
          </m:e>
        </m:d>
        <m:r>
          <w:rPr>
            <w:rFonts w:ascii="Cambria Math" w:hAnsi="Cambria Math"/>
            <w:szCs w:val="18"/>
            <w:lang w:val="en-US"/>
          </w:rPr>
          <m:t>=</m:t>
        </m:r>
        <m:sSup>
          <m:sSupPr>
            <m:ctrlPr>
              <w:rPr>
                <w:rFonts w:ascii="Cambria Math" w:hAnsi="Cambria Math"/>
                <w:i/>
                <w:szCs w:val="18"/>
                <w:lang w:val="en-US"/>
              </w:rPr>
            </m:ctrlPr>
          </m:sSupPr>
          <m:e>
            <m:r>
              <w:rPr>
                <w:rFonts w:ascii="Cambria Math" w:hAnsi="Cambria Math"/>
                <w:szCs w:val="18"/>
                <w:lang w:val="en-US"/>
              </w:rPr>
              <m:t>ψ</m:t>
            </m:r>
          </m:e>
          <m:sup>
            <m:r>
              <w:rPr>
                <w:rFonts w:ascii="Cambria Math" w:hAnsi="Cambria Math"/>
                <w:szCs w:val="18"/>
                <w:lang w:val="en-US"/>
              </w:rPr>
              <m:t>0</m:t>
            </m:r>
          </m:sup>
        </m:sSup>
        <m:d>
          <m:dPr>
            <m:ctrlPr>
              <w:rPr>
                <w:rFonts w:ascii="Cambria Math" w:hAnsi="Cambria Math"/>
                <w:i/>
                <w:szCs w:val="18"/>
                <w:lang w:val="en-US"/>
              </w:rPr>
            </m:ctrlPr>
          </m:dPr>
          <m:e>
            <m:r>
              <w:rPr>
                <w:rFonts w:ascii="Cambria Math" w:hAnsi="Cambria Math"/>
                <w:szCs w:val="18"/>
                <w:lang w:val="en-US"/>
              </w:rPr>
              <m:t>m,0</m:t>
            </m:r>
          </m:e>
        </m:d>
      </m:oMath>
      <w:r w:rsidRPr="006F3506">
        <w:rPr>
          <w:szCs w:val="18"/>
          <w:lang w:val="en-US"/>
        </w:rPr>
        <w:t xml:space="preserve"> </w:t>
      </w:r>
      <w:r w:rsidR="00A0307B" w:rsidRPr="006F3506">
        <w:rPr>
          <w:szCs w:val="18"/>
          <w:lang w:val="en-US"/>
        </w:rPr>
        <w:t xml:space="preserve">at </w:t>
      </w:r>
      <m:oMath>
        <m:r>
          <w:rPr>
            <w:rFonts w:ascii="Cambria Math" w:hAnsi="Cambria Math"/>
            <w:szCs w:val="18"/>
            <w:lang w:val="en-US"/>
          </w:rPr>
          <m:t xml:space="preserve">t=0, ∀ m </m:t>
        </m:r>
      </m:oMath>
      <w:r w:rsidR="00A0307B" w:rsidRPr="006F3506">
        <w:rPr>
          <w:szCs w:val="18"/>
          <w:lang w:val="en-US"/>
        </w:rPr>
        <w:t>and the</w:t>
      </w:r>
      <w:r w:rsidRPr="006F3506">
        <w:rPr>
          <w:szCs w:val="18"/>
          <w:lang w:val="en-US"/>
        </w:rPr>
        <w:t xml:space="preserve"> boundary condition </w:t>
      </w:r>
      <m:oMath>
        <m:r>
          <w:rPr>
            <w:rFonts w:ascii="Cambria Math" w:hAnsi="Cambria Math"/>
            <w:szCs w:val="18"/>
            <w:lang w:val="en-US"/>
          </w:rPr>
          <m:t>ψ</m:t>
        </m:r>
        <m:d>
          <m:dPr>
            <m:ctrlPr>
              <w:rPr>
                <w:rFonts w:ascii="Cambria Math" w:hAnsi="Cambria Math"/>
                <w:i/>
                <w:szCs w:val="18"/>
                <w:lang w:val="en-US"/>
              </w:rPr>
            </m:ctrlPr>
          </m:dPr>
          <m:e>
            <m:r>
              <w:rPr>
                <w:rFonts w:ascii="Cambria Math" w:hAnsi="Cambria Math"/>
                <w:szCs w:val="18"/>
                <w:lang w:val="en-US"/>
              </w:rPr>
              <m:t>0,t</m:t>
            </m:r>
          </m:e>
        </m:d>
        <m:r>
          <w:rPr>
            <w:rFonts w:ascii="Cambria Math" w:hAnsi="Cambria Math"/>
            <w:szCs w:val="18"/>
            <w:lang w:val="en-US"/>
          </w:rPr>
          <m:t>=0</m:t>
        </m:r>
      </m:oMath>
      <w:r w:rsidR="00A0307B" w:rsidRPr="006F3506">
        <w:rPr>
          <w:szCs w:val="18"/>
          <w:lang w:val="en-US"/>
        </w:rPr>
        <w:t xml:space="preserve"> for </w:t>
      </w:r>
      <m:oMath>
        <m:r>
          <w:rPr>
            <w:rFonts w:ascii="Cambria Math" w:hAnsi="Cambria Math"/>
            <w:szCs w:val="18"/>
            <w:lang w:val="en-US"/>
          </w:rPr>
          <m:t>∀t,  m=0</m:t>
        </m:r>
      </m:oMath>
      <w:r w:rsidR="00A0307B" w:rsidRPr="006F3506">
        <w:rPr>
          <w:szCs w:val="18"/>
          <w:lang w:val="en-US"/>
        </w:rPr>
        <w:t>.</w:t>
      </w:r>
      <w:r w:rsidRPr="006F3506">
        <w:rPr>
          <w:szCs w:val="18"/>
          <w:lang w:val="en-US"/>
        </w:rPr>
        <w:t xml:space="preserve"> </w:t>
      </w:r>
      <w:r w:rsidR="00E44A48" w:rsidRPr="006F3506">
        <w:rPr>
          <w:szCs w:val="18"/>
          <w:lang w:val="en-US"/>
        </w:rPr>
        <w:t>In particular the adopted initial distribution</w:t>
      </w:r>
      <w:r w:rsidR="001D1988" w:rsidRPr="006F3506">
        <w:rPr>
          <w:szCs w:val="18"/>
          <w:lang w:val="en-US"/>
        </w:rPr>
        <w:t xml:space="preserve"> </w:t>
      </w:r>
      <m:oMath>
        <m:sSup>
          <m:sSupPr>
            <m:ctrlPr>
              <w:rPr>
                <w:rFonts w:ascii="Cambria Math" w:hAnsi="Cambria Math"/>
                <w:i/>
                <w:szCs w:val="18"/>
                <w:lang w:val="en-US"/>
              </w:rPr>
            </m:ctrlPr>
          </m:sSupPr>
          <m:e>
            <m:r>
              <w:rPr>
                <w:rFonts w:ascii="Cambria Math" w:hAnsi="Cambria Math"/>
                <w:szCs w:val="18"/>
                <w:lang w:val="en-US"/>
              </w:rPr>
              <m:t>ψ</m:t>
            </m:r>
          </m:e>
          <m:sup>
            <m:r>
              <w:rPr>
                <w:rFonts w:ascii="Cambria Math" w:hAnsi="Cambria Math"/>
                <w:szCs w:val="18"/>
                <w:lang w:val="en-US"/>
              </w:rPr>
              <m:t>0</m:t>
            </m:r>
          </m:sup>
        </m:sSup>
      </m:oMath>
      <w:r w:rsidR="00E44A48" w:rsidRPr="006F3506">
        <w:rPr>
          <w:szCs w:val="18"/>
          <w:lang w:val="en-US"/>
        </w:rPr>
        <w:t xml:space="preserve"> was </w:t>
      </w:r>
      <w:r w:rsidR="00B941ED" w:rsidRPr="006F3506">
        <w:rPr>
          <w:szCs w:val="18"/>
          <w:lang w:val="en-US"/>
        </w:rPr>
        <w:t xml:space="preserve">obtained starting from </w:t>
      </w:r>
      <w:r w:rsidR="00E44A48" w:rsidRPr="006F3506">
        <w:rPr>
          <w:szCs w:val="18"/>
          <w:lang w:val="en-US"/>
        </w:rPr>
        <w:t xml:space="preserve">the one already shown in Figure 1b. </w:t>
      </w:r>
      <w:r w:rsidRPr="006F3506">
        <w:rPr>
          <w:szCs w:val="18"/>
          <w:lang w:val="en-US"/>
        </w:rPr>
        <w:t>In order to validate the model</w:t>
      </w:r>
      <w:r w:rsidR="0016194C" w:rsidRPr="006F3506">
        <w:rPr>
          <w:szCs w:val="18"/>
          <w:lang w:val="en-US"/>
        </w:rPr>
        <w:t xml:space="preserve"> reliability</w:t>
      </w:r>
      <w:r w:rsidRPr="006F3506">
        <w:rPr>
          <w:szCs w:val="18"/>
          <w:lang w:val="en-US"/>
        </w:rPr>
        <w:t xml:space="preserve">, the corresponding results were compared with the literature experimental data regarding the growth of </w:t>
      </w:r>
      <w:proofErr w:type="spellStart"/>
      <w:r w:rsidRPr="006F3506">
        <w:rPr>
          <w:i/>
          <w:szCs w:val="18"/>
          <w:lang w:val="en-US"/>
        </w:rPr>
        <w:t>Pseudochloris</w:t>
      </w:r>
      <w:proofErr w:type="spellEnd"/>
      <w:r w:rsidRPr="006F3506">
        <w:rPr>
          <w:i/>
          <w:szCs w:val="18"/>
          <w:lang w:val="en-US"/>
        </w:rPr>
        <w:t xml:space="preserve"> </w:t>
      </w:r>
      <w:proofErr w:type="spellStart"/>
      <w:r w:rsidRPr="006F3506">
        <w:rPr>
          <w:i/>
          <w:szCs w:val="18"/>
          <w:lang w:val="en-US"/>
        </w:rPr>
        <w:t>wihlelmii</w:t>
      </w:r>
      <w:proofErr w:type="spellEnd"/>
      <w:r w:rsidRPr="006F3506">
        <w:rPr>
          <w:szCs w:val="18"/>
          <w:lang w:val="en-US"/>
        </w:rPr>
        <w:t xml:space="preserve"> in batch </w:t>
      </w:r>
      <w:r w:rsidR="00A0307B" w:rsidRPr="006F3506">
        <w:rPr>
          <w:szCs w:val="18"/>
          <w:lang w:val="en-US"/>
        </w:rPr>
        <w:t>photobio</w:t>
      </w:r>
      <w:r w:rsidRPr="006F3506">
        <w:rPr>
          <w:szCs w:val="18"/>
          <w:lang w:val="en-US"/>
        </w:rPr>
        <w:t xml:space="preserve">reactors </w:t>
      </w:r>
      <w:r w:rsidR="00A0307B" w:rsidRPr="006F3506">
        <w:rPr>
          <w:szCs w:val="18"/>
          <w:lang w:val="en-US"/>
        </w:rPr>
        <w:t>where the controlling nutrients were nitrates and phosphates</w:t>
      </w:r>
      <w:r w:rsidR="008E5E3B" w:rsidRPr="006F3506">
        <w:rPr>
          <w:szCs w:val="18"/>
          <w:lang w:val="en-US"/>
        </w:rPr>
        <w:t xml:space="preserve"> </w:t>
      </w:r>
      <w:r w:rsidR="009F42F3" w:rsidRPr="00F13981">
        <w:t>(Concas et al., 2016b)</w:t>
      </w:r>
      <w:r w:rsidR="00A0307B" w:rsidRPr="006F3506">
        <w:rPr>
          <w:szCs w:val="18"/>
          <w:lang w:val="en-US"/>
        </w:rPr>
        <w:t xml:space="preserve">. </w:t>
      </w:r>
      <w:r w:rsidR="00F13981">
        <w:rPr>
          <w:szCs w:val="18"/>
          <w:lang w:val="en-US"/>
        </w:rPr>
        <w:t>T</w:t>
      </w:r>
      <w:r w:rsidR="00A0307B" w:rsidRPr="006F3506">
        <w:rPr>
          <w:szCs w:val="18"/>
          <w:lang w:val="en-US"/>
        </w:rPr>
        <w:t xml:space="preserve">he PBE model should be coupled with </w:t>
      </w:r>
      <w:r w:rsidRPr="006F3506">
        <w:rPr>
          <w:szCs w:val="18"/>
          <w:lang w:val="en-US"/>
        </w:rPr>
        <w:t xml:space="preserve">the mass balances for nutrients </w:t>
      </w:r>
      <w:r w:rsidR="00A0307B" w:rsidRPr="006F3506">
        <w:rPr>
          <w:szCs w:val="18"/>
          <w:lang w:val="en-US"/>
        </w:rPr>
        <w:t>which could be written as follows</w:t>
      </w:r>
      <w:r w:rsidR="0016194C" w:rsidRPr="006F3506">
        <w:rPr>
          <w:szCs w:val="18"/>
          <w:lang w:val="en-US"/>
        </w:rPr>
        <w:t>:</w:t>
      </w:r>
    </w:p>
    <w:p w14:paraId="06522D91" w14:textId="77777777" w:rsidR="00CF21C6" w:rsidRPr="006F3506" w:rsidRDefault="00A0307B" w:rsidP="004D7F5E">
      <w:pPr>
        <w:spacing w:before="120" w:after="120"/>
        <w:rPr>
          <w:szCs w:val="18"/>
          <w:lang w:val="en-US"/>
        </w:rPr>
      </w:pPr>
      <w:r w:rsidRPr="006F3506">
        <w:rPr>
          <w:position w:val="-32"/>
          <w:szCs w:val="18"/>
          <w:lang w:val="en-US"/>
        </w:rPr>
        <w:object w:dxaOrig="8419" w:dyaOrig="760" w14:anchorId="34CAF8C7">
          <v:shape id="_x0000_i1032" type="#_x0000_t75" style="width:361.2pt;height:31.8pt" o:ole="">
            <v:imagedata r:id="rId28" o:title=""/>
          </v:shape>
          <o:OLEObject Type="Embed" ProgID="Equation.DSMT4" ShapeID="_x0000_i1032" DrawAspect="Content" ObjectID="_1615377297" r:id="rId29"/>
        </w:object>
      </w:r>
      <w:r w:rsidR="00CF21C6" w:rsidRPr="006F3506">
        <w:rPr>
          <w:szCs w:val="18"/>
          <w:lang w:val="en-US"/>
        </w:rPr>
        <w:t xml:space="preserve"> </w:t>
      </w:r>
      <w:r w:rsidR="00315F5F" w:rsidRPr="006F3506">
        <w:rPr>
          <w:szCs w:val="18"/>
          <w:lang w:val="en-US"/>
        </w:rPr>
        <w:tab/>
      </w:r>
      <w:r w:rsidR="00315F5F" w:rsidRPr="006F3506">
        <w:rPr>
          <w:szCs w:val="18"/>
          <w:lang w:val="en-US"/>
        </w:rPr>
        <w:tab/>
        <w:t>(7</w:t>
      </w:r>
      <w:r w:rsidR="00CF21C6" w:rsidRPr="006F3506">
        <w:rPr>
          <w:szCs w:val="18"/>
          <w:lang w:val="en-US"/>
        </w:rPr>
        <w:t>)</w:t>
      </w:r>
    </w:p>
    <w:p w14:paraId="19AADAA3" w14:textId="77777777" w:rsidR="00CF21C6" w:rsidRPr="006F3506" w:rsidRDefault="00A0307B" w:rsidP="004D7F5E">
      <w:pPr>
        <w:spacing w:before="120"/>
        <w:rPr>
          <w:szCs w:val="18"/>
          <w:lang w:val="en-US"/>
        </w:rPr>
      </w:pPr>
      <w:r w:rsidRPr="006F3506">
        <w:rPr>
          <w:szCs w:val="18"/>
          <w:lang w:val="en-US"/>
        </w:rPr>
        <w:t>which was solved along with the initial conditions</w:t>
      </w:r>
      <w:r w:rsidR="004D7F5E" w:rsidRPr="006F3506">
        <w:rPr>
          <w:szCs w:val="18"/>
          <w:lang w:val="en-US"/>
        </w:rPr>
        <w:t xml:space="preserve"> </w:t>
      </w:r>
      <m:oMath>
        <m:sSub>
          <m:sSubPr>
            <m:ctrlPr>
              <w:rPr>
                <w:rFonts w:ascii="Cambria Math" w:hAnsi="Cambria Math"/>
                <w:i/>
                <w:szCs w:val="18"/>
                <w:lang w:val="en-US"/>
              </w:rPr>
            </m:ctrlPr>
          </m:sSubPr>
          <m:e>
            <m:r>
              <w:rPr>
                <w:rFonts w:ascii="Cambria Math" w:hAnsi="Cambria Math"/>
                <w:szCs w:val="18"/>
                <w:lang w:val="en-US"/>
              </w:rPr>
              <m:t>C</m:t>
            </m:r>
          </m:e>
          <m:sub>
            <m:r>
              <w:rPr>
                <w:rFonts w:ascii="Cambria Math" w:hAnsi="Cambria Math"/>
                <w:szCs w:val="18"/>
                <w:lang w:val="en-US"/>
              </w:rPr>
              <m:t>j</m:t>
            </m:r>
          </m:sub>
        </m:sSub>
        <m:r>
          <w:rPr>
            <w:rFonts w:ascii="Cambria Math" w:hAnsi="Cambria Math"/>
            <w:szCs w:val="18"/>
            <w:lang w:val="en-US"/>
          </w:rPr>
          <m:t>=</m:t>
        </m:r>
        <m:sSubSup>
          <m:sSubSupPr>
            <m:ctrlPr>
              <w:rPr>
                <w:rFonts w:ascii="Cambria Math" w:hAnsi="Cambria Math"/>
                <w:i/>
                <w:szCs w:val="18"/>
                <w:lang w:val="en-US"/>
              </w:rPr>
            </m:ctrlPr>
          </m:sSubSupPr>
          <m:e>
            <m:r>
              <w:rPr>
                <w:rFonts w:ascii="Cambria Math" w:hAnsi="Cambria Math"/>
                <w:szCs w:val="18"/>
                <w:lang w:val="en-US"/>
              </w:rPr>
              <m:t>C</m:t>
            </m:r>
          </m:e>
          <m:sub>
            <m:r>
              <w:rPr>
                <w:rFonts w:ascii="Cambria Math" w:hAnsi="Cambria Math"/>
                <w:szCs w:val="18"/>
                <w:lang w:val="en-US"/>
              </w:rPr>
              <m:t>j</m:t>
            </m:r>
          </m:sub>
          <m:sup>
            <m:r>
              <w:rPr>
                <w:rFonts w:ascii="Cambria Math" w:hAnsi="Cambria Math"/>
                <w:szCs w:val="18"/>
                <w:lang w:val="en-US"/>
              </w:rPr>
              <m:t>0</m:t>
            </m:r>
          </m:sup>
        </m:sSubSup>
      </m:oMath>
      <w:r w:rsidR="004D7F5E" w:rsidRPr="006F3506">
        <w:rPr>
          <w:szCs w:val="18"/>
          <w:lang w:val="en-US"/>
        </w:rPr>
        <w:t xml:space="preserve"> at </w:t>
      </w:r>
      <m:oMath>
        <m:r>
          <w:rPr>
            <w:rFonts w:ascii="Cambria Math" w:hAnsi="Cambria Math"/>
            <w:szCs w:val="18"/>
            <w:lang w:val="en-US"/>
          </w:rPr>
          <m:t>t=0.</m:t>
        </m:r>
      </m:oMath>
      <w:r w:rsidR="004D7F5E" w:rsidRPr="006F3506">
        <w:rPr>
          <w:szCs w:val="18"/>
          <w:lang w:val="en-US"/>
        </w:rPr>
        <w:t xml:space="preserve">  The evolution of the total number of microalgal cells </w:t>
      </w:r>
      <w:r w:rsidR="001F78B3" w:rsidRPr="006F3506">
        <w:rPr>
          <w:rFonts w:ascii="Times New Roman" w:hAnsi="Times New Roman"/>
          <w:i/>
          <w:szCs w:val="18"/>
          <w:lang w:val="en-US"/>
        </w:rPr>
        <w:t>n</w:t>
      </w:r>
      <w:r w:rsidR="001F78B3" w:rsidRPr="006F3506">
        <w:rPr>
          <w:rFonts w:ascii="Times New Roman" w:hAnsi="Times New Roman"/>
          <w:szCs w:val="18"/>
          <w:lang w:val="en-US"/>
        </w:rPr>
        <w:t>(</w:t>
      </w:r>
      <w:r w:rsidR="001F78B3" w:rsidRPr="006F3506">
        <w:rPr>
          <w:rFonts w:ascii="Times New Roman" w:hAnsi="Times New Roman"/>
          <w:i/>
          <w:szCs w:val="18"/>
          <w:lang w:val="en-US"/>
        </w:rPr>
        <w:t>t</w:t>
      </w:r>
      <w:r w:rsidR="001F78B3" w:rsidRPr="006F3506">
        <w:rPr>
          <w:rFonts w:ascii="Times New Roman" w:hAnsi="Times New Roman"/>
          <w:szCs w:val="18"/>
          <w:lang w:val="en-US"/>
        </w:rPr>
        <w:t>)</w:t>
      </w:r>
      <w:r w:rsidR="001F78B3" w:rsidRPr="006F3506">
        <w:rPr>
          <w:rFonts w:ascii="Times New Roman" w:hAnsi="Times New Roman"/>
          <w:i/>
          <w:szCs w:val="18"/>
          <w:lang w:val="en-US"/>
        </w:rPr>
        <w:t xml:space="preserve"> </w:t>
      </w:r>
      <w:r w:rsidR="001F78B3" w:rsidRPr="006F3506">
        <w:rPr>
          <w:rFonts w:ascii="Times New Roman" w:hAnsi="Times New Roman"/>
          <w:szCs w:val="18"/>
          <w:lang w:val="en-US"/>
        </w:rPr>
        <w:t>[#</w:t>
      </w:r>
      <w:r w:rsidR="001F78B3" w:rsidRPr="006F3506">
        <w:rPr>
          <w:rFonts w:ascii="Times New Roman" w:hAnsi="Times New Roman"/>
          <w:i/>
          <w:szCs w:val="18"/>
          <w:lang w:val="en-US"/>
        </w:rPr>
        <w:t>cells L</w:t>
      </w:r>
      <w:r w:rsidR="001F78B3" w:rsidRPr="006F3506">
        <w:rPr>
          <w:rFonts w:ascii="Times New Roman" w:hAnsi="Times New Roman"/>
          <w:i/>
          <w:szCs w:val="18"/>
          <w:vertAlign w:val="superscript"/>
          <w:lang w:val="en-US"/>
        </w:rPr>
        <w:t>-1</w:t>
      </w:r>
      <w:r w:rsidR="001F78B3" w:rsidRPr="006F3506">
        <w:rPr>
          <w:rFonts w:ascii="Times New Roman" w:hAnsi="Times New Roman"/>
          <w:szCs w:val="18"/>
          <w:lang w:val="en-US"/>
        </w:rPr>
        <w:t>]</w:t>
      </w:r>
      <w:r w:rsidR="004D7F5E" w:rsidRPr="006F3506">
        <w:rPr>
          <w:szCs w:val="18"/>
          <w:lang w:val="en-US"/>
        </w:rPr>
        <w:t xml:space="preserve"> and the total biomass </w:t>
      </w:r>
      <w:r w:rsidR="004D7F5E" w:rsidRPr="006F3506">
        <w:rPr>
          <w:rFonts w:ascii="Times New Roman" w:hAnsi="Times New Roman"/>
          <w:i/>
          <w:szCs w:val="18"/>
          <w:lang w:val="en-US"/>
        </w:rPr>
        <w:t>X</w:t>
      </w:r>
      <w:r w:rsidR="001F78B3" w:rsidRPr="006F3506">
        <w:rPr>
          <w:rFonts w:ascii="Times New Roman" w:hAnsi="Times New Roman"/>
          <w:i/>
          <w:szCs w:val="18"/>
          <w:lang w:val="en-US"/>
        </w:rPr>
        <w:t>(t)</w:t>
      </w:r>
      <w:r w:rsidR="004D7F5E" w:rsidRPr="006F3506">
        <w:rPr>
          <w:szCs w:val="18"/>
          <w:lang w:val="en-US"/>
        </w:rPr>
        <w:t xml:space="preserve"> </w:t>
      </w:r>
      <w:r w:rsidR="001F78B3" w:rsidRPr="006F3506">
        <w:rPr>
          <w:rFonts w:ascii="Times New Roman" w:hAnsi="Times New Roman"/>
          <w:szCs w:val="18"/>
          <w:lang w:val="en-US"/>
        </w:rPr>
        <w:t>[</w:t>
      </w:r>
      <w:r w:rsidR="004D7F5E" w:rsidRPr="006F3506">
        <w:rPr>
          <w:rFonts w:ascii="Times New Roman" w:hAnsi="Times New Roman"/>
          <w:i/>
          <w:szCs w:val="18"/>
          <w:lang w:val="en-US"/>
        </w:rPr>
        <w:t>g L</w:t>
      </w:r>
      <w:r w:rsidR="004D7F5E" w:rsidRPr="006F3506">
        <w:rPr>
          <w:rFonts w:ascii="Times New Roman" w:hAnsi="Times New Roman"/>
          <w:i/>
          <w:szCs w:val="18"/>
          <w:vertAlign w:val="superscript"/>
          <w:lang w:val="en-US"/>
        </w:rPr>
        <w:t>-1</w:t>
      </w:r>
      <w:r w:rsidR="001F78B3" w:rsidRPr="006F3506">
        <w:rPr>
          <w:rFonts w:ascii="Times New Roman" w:hAnsi="Times New Roman"/>
          <w:szCs w:val="18"/>
          <w:lang w:val="en-US"/>
        </w:rPr>
        <w:t>]</w:t>
      </w:r>
      <w:r w:rsidR="004D7F5E" w:rsidRPr="006F3506">
        <w:rPr>
          <w:szCs w:val="18"/>
          <w:lang w:val="en-US"/>
        </w:rPr>
        <w:t xml:space="preserve"> in solution </w:t>
      </w:r>
      <w:r w:rsidR="001F78B3" w:rsidRPr="006F3506">
        <w:rPr>
          <w:szCs w:val="18"/>
          <w:lang w:val="en-US"/>
        </w:rPr>
        <w:t>have been</w:t>
      </w:r>
      <w:r w:rsidR="004D7F5E" w:rsidRPr="006F3506">
        <w:rPr>
          <w:szCs w:val="18"/>
          <w:lang w:val="en-US"/>
        </w:rPr>
        <w:t xml:space="preserve"> evaluated as the </w:t>
      </w:r>
      <w:r w:rsidR="004D7F5E" w:rsidRPr="006F3506">
        <w:rPr>
          <w:rFonts w:ascii="Times New Roman" w:hAnsi="Times New Roman"/>
          <w:i/>
          <w:szCs w:val="18"/>
          <w:lang w:val="en-US"/>
        </w:rPr>
        <w:t>0</w:t>
      </w:r>
      <w:r w:rsidR="004D7F5E" w:rsidRPr="006F3506">
        <w:rPr>
          <w:rFonts w:ascii="Times New Roman" w:hAnsi="Times New Roman"/>
          <w:i/>
          <w:szCs w:val="18"/>
          <w:vertAlign w:val="superscript"/>
          <w:lang w:val="en-US"/>
        </w:rPr>
        <w:t>th</w:t>
      </w:r>
      <w:r w:rsidR="004D7F5E" w:rsidRPr="006F3506">
        <w:rPr>
          <w:szCs w:val="18"/>
          <w:lang w:val="en-US"/>
        </w:rPr>
        <w:t xml:space="preserve"> and 1</w:t>
      </w:r>
      <w:r w:rsidR="004D7F5E" w:rsidRPr="006F3506">
        <w:rPr>
          <w:szCs w:val="18"/>
          <w:vertAlign w:val="superscript"/>
          <w:lang w:val="en-US"/>
        </w:rPr>
        <w:t>th</w:t>
      </w:r>
      <w:r w:rsidR="004D7F5E" w:rsidRPr="006F3506">
        <w:rPr>
          <w:szCs w:val="18"/>
          <w:lang w:val="en-US"/>
        </w:rPr>
        <w:t xml:space="preserve"> moment of the distribution</w:t>
      </w:r>
      <w:r w:rsidR="001F78B3" w:rsidRPr="006F3506">
        <w:rPr>
          <w:szCs w:val="18"/>
          <w:lang w:val="en-US"/>
        </w:rPr>
        <w:t xml:space="preserve"> </w:t>
      </w:r>
      <m:oMath>
        <m:r>
          <w:rPr>
            <w:rFonts w:ascii="Cambria Math" w:hAnsi="Cambria Math"/>
            <w:szCs w:val="18"/>
            <w:lang w:val="en-US"/>
          </w:rPr>
          <m:t>ψ</m:t>
        </m:r>
        <m:d>
          <m:dPr>
            <m:ctrlPr>
              <w:rPr>
                <w:rFonts w:ascii="Cambria Math" w:hAnsi="Cambria Math"/>
                <w:i/>
                <w:szCs w:val="18"/>
                <w:lang w:val="en-US"/>
              </w:rPr>
            </m:ctrlPr>
          </m:dPr>
          <m:e>
            <m:r>
              <w:rPr>
                <w:rFonts w:ascii="Cambria Math" w:hAnsi="Cambria Math"/>
                <w:szCs w:val="18"/>
                <w:lang w:val="en-US"/>
              </w:rPr>
              <m:t>m,t</m:t>
            </m:r>
          </m:e>
        </m:d>
        <m:r>
          <w:rPr>
            <w:rFonts w:ascii="Cambria Math" w:hAnsi="Cambria Math"/>
            <w:szCs w:val="18"/>
            <w:lang w:val="en-US"/>
          </w:rPr>
          <m:t xml:space="preserve">, </m:t>
        </m:r>
      </m:oMath>
      <w:r w:rsidR="001F78B3" w:rsidRPr="006F3506">
        <w:rPr>
          <w:szCs w:val="18"/>
          <w:lang w:val="en-US"/>
        </w:rPr>
        <w:t>respectively, at each integration time.</w:t>
      </w:r>
      <w:r w:rsidR="004D7F5E" w:rsidRPr="006F3506">
        <w:rPr>
          <w:szCs w:val="18"/>
          <w:lang w:val="en-US"/>
        </w:rPr>
        <w:t xml:space="preserve"> </w:t>
      </w:r>
    </w:p>
    <w:p w14:paraId="4A925337" w14:textId="77777777" w:rsidR="002B786D" w:rsidRPr="00F13981" w:rsidRDefault="001F78B3" w:rsidP="001F78B3">
      <w:pPr>
        <w:pStyle w:val="CETHeading1"/>
        <w:rPr>
          <w:lang w:val="en-GB"/>
        </w:rPr>
      </w:pPr>
      <w:r w:rsidRPr="00F13981">
        <w:rPr>
          <w:lang w:val="en-GB"/>
        </w:rPr>
        <w:t>Results and discussion</w:t>
      </w:r>
    </w:p>
    <w:p w14:paraId="6A8F4111" w14:textId="77777777" w:rsidR="001F78B3" w:rsidRPr="006F3506" w:rsidRDefault="00B55998" w:rsidP="004D7F5E">
      <w:pPr>
        <w:spacing w:before="120"/>
        <w:rPr>
          <w:szCs w:val="18"/>
          <w:lang w:val="en-US"/>
        </w:rPr>
      </w:pPr>
      <w:r w:rsidRPr="006F3506">
        <w:rPr>
          <w:szCs w:val="18"/>
          <w:lang w:val="en-US"/>
        </w:rPr>
        <w:t xml:space="preserve">In order to demonstrate the reliability of the proposed model, the corresponding results are compared with the literature experimental data </w:t>
      </w:r>
      <w:r w:rsidR="009F42F3" w:rsidRPr="00F13981">
        <w:t xml:space="preserve">(Concas et al., 2016b) </w:t>
      </w:r>
      <w:r w:rsidRPr="006F3506">
        <w:rPr>
          <w:szCs w:val="18"/>
          <w:lang w:val="en-US"/>
        </w:rPr>
        <w:t xml:space="preserve">which investigated the effect of different cultivation conditions on the growth of the strain </w:t>
      </w:r>
      <w:proofErr w:type="spellStart"/>
      <w:r w:rsidRPr="006F3506">
        <w:rPr>
          <w:i/>
          <w:szCs w:val="18"/>
          <w:lang w:val="en-US"/>
        </w:rPr>
        <w:t>Pseudochloris</w:t>
      </w:r>
      <w:proofErr w:type="spellEnd"/>
      <w:r w:rsidRPr="006F3506">
        <w:rPr>
          <w:i/>
          <w:szCs w:val="18"/>
          <w:lang w:val="en-US"/>
        </w:rPr>
        <w:t xml:space="preserve"> </w:t>
      </w:r>
      <w:proofErr w:type="spellStart"/>
      <w:r w:rsidRPr="006F3506">
        <w:rPr>
          <w:i/>
          <w:szCs w:val="18"/>
          <w:lang w:val="en-US"/>
        </w:rPr>
        <w:t>wilhelmii</w:t>
      </w:r>
      <w:proofErr w:type="spellEnd"/>
      <w:r w:rsidR="0099012F" w:rsidRPr="006F3506">
        <w:rPr>
          <w:i/>
          <w:szCs w:val="18"/>
          <w:lang w:val="en-US"/>
        </w:rPr>
        <w:t>,</w:t>
      </w:r>
      <w:r w:rsidRPr="006F3506">
        <w:rPr>
          <w:szCs w:val="18"/>
          <w:lang w:val="en-US"/>
        </w:rPr>
        <w:t xml:space="preserve"> formerly known as </w:t>
      </w:r>
      <w:proofErr w:type="spellStart"/>
      <w:r w:rsidRPr="006F3506">
        <w:rPr>
          <w:i/>
          <w:szCs w:val="18"/>
          <w:lang w:val="en-US"/>
        </w:rPr>
        <w:t>Nannohcloris</w:t>
      </w:r>
      <w:proofErr w:type="spellEnd"/>
      <w:r w:rsidRPr="006F3506">
        <w:rPr>
          <w:i/>
          <w:szCs w:val="18"/>
          <w:lang w:val="en-US"/>
        </w:rPr>
        <w:t xml:space="preserve"> </w:t>
      </w:r>
      <w:proofErr w:type="spellStart"/>
      <w:r w:rsidRPr="006F3506">
        <w:rPr>
          <w:i/>
          <w:szCs w:val="18"/>
          <w:lang w:val="en-US"/>
        </w:rPr>
        <w:t>eucaryotum</w:t>
      </w:r>
      <w:proofErr w:type="spellEnd"/>
      <w:r w:rsidR="0099012F" w:rsidRPr="006F3506">
        <w:rPr>
          <w:i/>
          <w:szCs w:val="18"/>
          <w:lang w:val="en-US"/>
        </w:rPr>
        <w:t>,</w:t>
      </w:r>
      <w:r w:rsidRPr="006F3506">
        <w:rPr>
          <w:i/>
          <w:szCs w:val="18"/>
          <w:lang w:val="en-US"/>
        </w:rPr>
        <w:t xml:space="preserve"> </w:t>
      </w:r>
      <w:r w:rsidRPr="006F3506">
        <w:rPr>
          <w:szCs w:val="18"/>
          <w:lang w:val="en-US"/>
        </w:rPr>
        <w:t xml:space="preserve">which is well known to divide by multiple fission. The comparison of model and experimental data shown in </w:t>
      </w:r>
      <w:r w:rsidRPr="006F3506">
        <w:rPr>
          <w:szCs w:val="18"/>
          <w:lang w:val="en-US"/>
        </w:rPr>
        <w:lastRenderedPageBreak/>
        <w:t xml:space="preserve">Figure 2a and 2b was made in terms of first moments of the distributions, i.e. in terms of total biomass concentration, since no data were available in terms of size distribution evolution. </w:t>
      </w:r>
    </w:p>
    <w:p w14:paraId="14C00C16" w14:textId="1C00998B" w:rsidR="00B55998" w:rsidRPr="00E13238" w:rsidRDefault="005508D1" w:rsidP="00B55998">
      <w:pPr>
        <w:jc w:val="center"/>
      </w:pPr>
      <w:r w:rsidRPr="00E13238">
        <w:object w:dxaOrig="5443" w:dyaOrig="4760" w14:anchorId="69B6BEF6">
          <v:shape id="_x0000_i1033" type="#_x0000_t75" style="width:183pt;height:167.4pt" o:ole="">
            <v:imagedata r:id="rId30" o:title="" cropbottom="1561f" cropleft="683f" cropright="3891f"/>
          </v:shape>
          <o:OLEObject Type="Embed" ProgID="Origin50.Graph" ShapeID="_x0000_i1033" DrawAspect="Content" ObjectID="_1615377298" r:id="rId31"/>
        </w:object>
      </w:r>
      <w:r w:rsidR="00B55998" w:rsidRPr="00E13238">
        <w:t xml:space="preserve">          </w:t>
      </w:r>
      <w:r w:rsidRPr="006F3506">
        <w:object w:dxaOrig="5443" w:dyaOrig="4764" w14:anchorId="22C8C6F3">
          <v:shape id="_x0000_i1034" type="#_x0000_t75" style="width:189pt;height:167.4pt;mso-position-horizontal:absolute" o:ole="">
            <v:imagedata r:id="rId32" o:title="" cropbottom="1560f" cropright="2048f"/>
          </v:shape>
          <o:OLEObject Type="Embed" ProgID="Origin50.Graph" ShapeID="_x0000_i1034" DrawAspect="Content" ObjectID="_1615377299" r:id="rId33"/>
        </w:object>
      </w:r>
    </w:p>
    <w:p w14:paraId="269C527A" w14:textId="77777777" w:rsidR="00B55998" w:rsidRPr="006F3506" w:rsidRDefault="00B55998" w:rsidP="0099012F">
      <w:pPr>
        <w:spacing w:after="120"/>
        <w:rPr>
          <w:i/>
          <w:szCs w:val="18"/>
          <w:lang w:val="en-US"/>
        </w:rPr>
      </w:pPr>
      <w:r w:rsidRPr="006F3506">
        <w:rPr>
          <w:szCs w:val="18"/>
          <w:lang w:val="en-US"/>
        </w:rPr>
        <w:t>Figure 2</w:t>
      </w:r>
      <w:r w:rsidR="00557114" w:rsidRPr="006F3506">
        <w:rPr>
          <w:i/>
          <w:szCs w:val="18"/>
          <w:lang w:val="en-US"/>
        </w:rPr>
        <w:t>:</w:t>
      </w:r>
      <w:r w:rsidR="002F3DD8" w:rsidRPr="006F3506">
        <w:rPr>
          <w:i/>
          <w:szCs w:val="18"/>
          <w:lang w:val="en-US"/>
        </w:rPr>
        <w:t xml:space="preserve"> Comparison of model results and experimental data in terms of biomass concentration. </w:t>
      </w:r>
    </w:p>
    <w:p w14:paraId="5614EBC9" w14:textId="0361952A" w:rsidR="00BB2B2F" w:rsidRPr="006F3506" w:rsidRDefault="002F3DD8" w:rsidP="00353D1A">
      <w:pPr>
        <w:pStyle w:val="CETListbullets"/>
        <w:ind w:left="0" w:firstLine="0"/>
      </w:pPr>
      <w:r w:rsidRPr="00F13981">
        <w:t xml:space="preserve">It should be noted that only the maximum growth rate </w:t>
      </w:r>
      <w:r w:rsidRPr="00F13981">
        <w:rPr>
          <w:rFonts w:ascii="Symbol" w:hAnsi="Symbol"/>
          <w:i/>
        </w:rPr>
        <w:t></w:t>
      </w:r>
      <w:r w:rsidRPr="00F13981">
        <w:rPr>
          <w:i/>
          <w:vertAlign w:val="subscript"/>
        </w:rPr>
        <w:t>max</w:t>
      </w:r>
      <w:r w:rsidRPr="00F13981">
        <w:rPr>
          <w:vertAlign w:val="subscript"/>
        </w:rPr>
        <w:t xml:space="preserve"> </w:t>
      </w:r>
      <w:r w:rsidRPr="00F13981">
        <w:t>was suitably tuned</w:t>
      </w:r>
      <w:r w:rsidR="00EA1EC7" w:rsidRPr="00E13238">
        <w:t xml:space="preserve"> to fit the experimental data obtained under the base condition</w:t>
      </w:r>
      <w:r w:rsidR="0099012F" w:rsidRPr="006F3506">
        <w:t>,</w:t>
      </w:r>
      <w:r w:rsidR="00EA1EC7" w:rsidRPr="006F3506">
        <w:t xml:space="preserve"> i.e. initial nitrogen and phosphorus concentration equal to N</w:t>
      </w:r>
      <w:r w:rsidR="00EA1EC7" w:rsidRPr="006F3506">
        <w:rPr>
          <w:vertAlign w:val="subscript"/>
        </w:rPr>
        <w:t>0</w:t>
      </w:r>
      <w:r w:rsidR="00EA1EC7" w:rsidRPr="006F3506">
        <w:t xml:space="preserve"> and P</w:t>
      </w:r>
      <w:r w:rsidR="00EA1EC7" w:rsidRPr="006F3506">
        <w:rPr>
          <w:vertAlign w:val="subscript"/>
        </w:rPr>
        <w:t>0</w:t>
      </w:r>
      <w:r w:rsidR="00EA1EC7" w:rsidRPr="006F3506">
        <w:t>, respectively. T</w:t>
      </w:r>
      <w:r w:rsidRPr="006F3506">
        <w:t>he remaining model parameters where</w:t>
      </w:r>
      <w:r w:rsidR="00EA1EC7" w:rsidRPr="006F3506">
        <w:t xml:space="preserve"> </w:t>
      </w:r>
      <w:r w:rsidRPr="006F3506">
        <w:t xml:space="preserve">taken from the literature </w:t>
      </w:r>
      <w:r w:rsidR="009F42F3" w:rsidRPr="006F3506">
        <w:t>(Concas et al., 2016b)</w:t>
      </w:r>
      <w:r w:rsidRPr="006F3506">
        <w:t xml:space="preserve">. </w:t>
      </w:r>
      <w:r w:rsidR="00EA1EC7" w:rsidRPr="006F3506">
        <w:t>As shown in Figure 2a, the predictive capability of the model was then evaluated by simulating the growth under different initial concentration of nutrients.</w:t>
      </w:r>
      <w:r w:rsidR="0099012F" w:rsidRPr="006F3506">
        <w:t xml:space="preserve"> It can </w:t>
      </w:r>
      <w:r w:rsidR="00BB2B2F" w:rsidRPr="006F3506">
        <w:t xml:space="preserve">be seen </w:t>
      </w:r>
      <w:r w:rsidR="0099012F" w:rsidRPr="006F3506">
        <w:t xml:space="preserve">that </w:t>
      </w:r>
      <w:r w:rsidR="00BB2B2F" w:rsidRPr="006F3506">
        <w:t xml:space="preserve">the model well captures the </w:t>
      </w:r>
      <w:r w:rsidR="00CD7970" w:rsidRPr="006F3506">
        <w:t xml:space="preserve">experimental behaviour </w:t>
      </w:r>
      <w:r w:rsidR="0099012F" w:rsidRPr="006F3506">
        <w:t>of</w:t>
      </w:r>
      <w:r w:rsidR="00CD7970" w:rsidRPr="006F3506">
        <w:t xml:space="preserve"> the strain </w:t>
      </w:r>
      <w:proofErr w:type="spellStart"/>
      <w:r w:rsidR="00CD7970" w:rsidRPr="006F3506">
        <w:rPr>
          <w:i/>
        </w:rPr>
        <w:t>Pseudochloris</w:t>
      </w:r>
      <w:proofErr w:type="spellEnd"/>
      <w:r w:rsidR="00CD7970" w:rsidRPr="006F3506">
        <w:rPr>
          <w:i/>
        </w:rPr>
        <w:t xml:space="preserve"> </w:t>
      </w:r>
      <w:proofErr w:type="spellStart"/>
      <w:r w:rsidR="00CD7970" w:rsidRPr="006F3506">
        <w:rPr>
          <w:i/>
        </w:rPr>
        <w:t>wilhelmii</w:t>
      </w:r>
      <w:proofErr w:type="spellEnd"/>
      <w:r w:rsidR="00CD7970" w:rsidRPr="006F3506">
        <w:t xml:space="preserve">. </w:t>
      </w:r>
      <w:r w:rsidR="0099012F" w:rsidRPr="006F3506">
        <w:t xml:space="preserve">While further </w:t>
      </w:r>
      <w:r w:rsidR="00BB2B2F" w:rsidRPr="006F3506">
        <w:t>experimental data related to size distribution evolution</w:t>
      </w:r>
      <w:r w:rsidR="0099012F" w:rsidRPr="006F3506">
        <w:t xml:space="preserve"> are needed to corroborate model results, it should be noted that, </w:t>
      </w:r>
      <w:r w:rsidR="00BB2B2F" w:rsidRPr="006F3506">
        <w:t>for the general purpose here pursued, the comparison shown in Figure 2 represent</w:t>
      </w:r>
      <w:r w:rsidR="00ED358A" w:rsidRPr="006F3506">
        <w:t>s</w:t>
      </w:r>
      <w:r w:rsidR="00BB2B2F" w:rsidRPr="006F3506">
        <w:t xml:space="preserve"> a good starting point to assess </w:t>
      </w:r>
      <w:r w:rsidR="00ED1A0B" w:rsidRPr="006F3506">
        <w:t>model</w:t>
      </w:r>
      <w:r w:rsidR="00BB2B2F" w:rsidRPr="006F3506">
        <w:t xml:space="preserve"> </w:t>
      </w:r>
      <w:r w:rsidR="00ED358A" w:rsidRPr="006F3506">
        <w:t>reliability</w:t>
      </w:r>
      <w:r w:rsidR="00ED1A0B" w:rsidRPr="006F3506">
        <w:t xml:space="preserve">. </w:t>
      </w:r>
      <w:r w:rsidR="00363444" w:rsidRPr="006F3506">
        <w:t>T</w:t>
      </w:r>
      <w:r w:rsidR="00BB2B2F" w:rsidRPr="006F3506">
        <w:t xml:space="preserve">he </w:t>
      </w:r>
      <w:r w:rsidR="00363444" w:rsidRPr="006F3506">
        <w:t xml:space="preserve">output </w:t>
      </w:r>
      <w:r w:rsidR="00BB2B2F" w:rsidRPr="006F3506">
        <w:t xml:space="preserve">of model results obtained under the base </w:t>
      </w:r>
      <w:r w:rsidR="00726A37" w:rsidRPr="006F3506">
        <w:t xml:space="preserve">case </w:t>
      </w:r>
      <w:r w:rsidR="00BB2B2F" w:rsidRPr="006F3506">
        <w:t xml:space="preserve">conditions </w:t>
      </w:r>
      <w:r w:rsidR="00363444" w:rsidRPr="006F3506">
        <w:t>(N</w:t>
      </w:r>
      <w:r w:rsidR="00363444" w:rsidRPr="006F3506">
        <w:rPr>
          <w:vertAlign w:val="subscript"/>
        </w:rPr>
        <w:t>0</w:t>
      </w:r>
      <w:r w:rsidR="00363444" w:rsidRPr="006F3506">
        <w:t>,</w:t>
      </w:r>
      <w:r w:rsidR="007F077F" w:rsidRPr="006F3506">
        <w:t xml:space="preserve"> </w:t>
      </w:r>
      <w:r w:rsidR="00363444" w:rsidRPr="006F3506">
        <w:t>P</w:t>
      </w:r>
      <w:r w:rsidR="00363444" w:rsidRPr="006F3506">
        <w:rPr>
          <w:vertAlign w:val="subscript"/>
        </w:rPr>
        <w:t>0</w:t>
      </w:r>
      <w:r w:rsidR="00363444" w:rsidRPr="006F3506">
        <w:t xml:space="preserve">) are reported in terms of </w:t>
      </w:r>
      <w:r w:rsidR="009F6A83" w:rsidRPr="006F3506">
        <w:t>simulated</w:t>
      </w:r>
      <w:r w:rsidR="00363444" w:rsidRPr="006F3506">
        <w:t xml:space="preserve"> cell size evolution in Figure 3a as well as in terms of average </w:t>
      </w:r>
      <w:r w:rsidR="007C0BC7" w:rsidRPr="006F3506">
        <w:t>diameter</w:t>
      </w:r>
      <w:r w:rsidR="00363444" w:rsidRPr="006F3506">
        <w:t xml:space="preserve"> and total number of cells in Figure 3b. </w:t>
      </w:r>
    </w:p>
    <w:p w14:paraId="7BA65336" w14:textId="33D7A47B" w:rsidR="00363444" w:rsidRPr="006F3506" w:rsidRDefault="005508D1" w:rsidP="007C0BC7">
      <w:pPr>
        <w:jc w:val="center"/>
      </w:pPr>
      <w:r w:rsidRPr="006F3506">
        <w:object w:dxaOrig="5443" w:dyaOrig="4535" w14:anchorId="0B851B1E">
          <v:shape id="_x0000_i1035" type="#_x0000_t75" style="width:195.6pt;height:167.4pt" o:ole="">
            <v:imagedata r:id="rId34" o:title="" croptop="819f" cropbottom="819f" cropright="3413f"/>
          </v:shape>
          <o:OLEObject Type="Embed" ProgID="Origin50.Graph" ShapeID="_x0000_i1035" DrawAspect="Content" ObjectID="_1615377300" r:id="rId35"/>
        </w:object>
      </w:r>
      <w:r w:rsidR="00363444" w:rsidRPr="006F3506">
        <w:t xml:space="preserve">  </w:t>
      </w:r>
      <w:r w:rsidR="007C0BC7" w:rsidRPr="006F3506">
        <w:t xml:space="preserve">         </w:t>
      </w:r>
      <w:r w:rsidRPr="006F3506">
        <w:object w:dxaOrig="5669" w:dyaOrig="4535" w14:anchorId="0C6E0247">
          <v:shape id="_x0000_i1036" type="#_x0000_t75" style="width:214.2pt;height:167.4pt;mso-position-vertical:absolute" o:ole="">
            <v:imagedata r:id="rId36" o:title="" croptop="819f" cropbottom="819f"/>
          </v:shape>
          <o:OLEObject Type="Embed" ProgID="Origin50.Graph" ShapeID="_x0000_i1036" DrawAspect="Content" ObjectID="_1615377301" r:id="rId37"/>
        </w:object>
      </w:r>
    </w:p>
    <w:p w14:paraId="36D32C9D" w14:textId="77777777" w:rsidR="00363444" w:rsidRPr="006F3506" w:rsidRDefault="00363444" w:rsidP="001F52D2">
      <w:pPr>
        <w:pStyle w:val="CETListbullets"/>
        <w:spacing w:after="120"/>
        <w:ind w:left="0" w:firstLine="0"/>
        <w:rPr>
          <w:i/>
        </w:rPr>
      </w:pPr>
      <w:r w:rsidRPr="006F3506">
        <w:t>Figure 3</w:t>
      </w:r>
      <w:r w:rsidRPr="006F3506">
        <w:rPr>
          <w:i/>
        </w:rPr>
        <w:t>. Simulate</w:t>
      </w:r>
      <w:r w:rsidR="00A5040E" w:rsidRPr="006F3506">
        <w:rPr>
          <w:i/>
        </w:rPr>
        <w:t>d</w:t>
      </w:r>
      <w:r w:rsidRPr="006F3506">
        <w:rPr>
          <w:i/>
        </w:rPr>
        <w:t xml:space="preserve"> evolution of cell size distribution (a) </w:t>
      </w:r>
      <w:r w:rsidR="00A5040E" w:rsidRPr="006F3506">
        <w:rPr>
          <w:i/>
        </w:rPr>
        <w:t>and</w:t>
      </w:r>
      <w:r w:rsidRPr="006F3506">
        <w:rPr>
          <w:i/>
        </w:rPr>
        <w:t xml:space="preserve"> average diameter </w:t>
      </w:r>
      <w:r w:rsidR="00A5040E" w:rsidRPr="006F3506">
        <w:rPr>
          <w:i/>
        </w:rPr>
        <w:t xml:space="preserve">or </w:t>
      </w:r>
      <w:r w:rsidRPr="006F3506">
        <w:rPr>
          <w:i/>
        </w:rPr>
        <w:t xml:space="preserve"> total </w:t>
      </w:r>
      <w:r w:rsidR="00A5040E" w:rsidRPr="006F3506">
        <w:rPr>
          <w:i/>
        </w:rPr>
        <w:t xml:space="preserve">number of </w:t>
      </w:r>
      <w:r w:rsidRPr="006F3506">
        <w:rPr>
          <w:i/>
        </w:rPr>
        <w:t>cell</w:t>
      </w:r>
      <w:r w:rsidR="00A5040E" w:rsidRPr="006F3506">
        <w:rPr>
          <w:i/>
        </w:rPr>
        <w:t>s</w:t>
      </w:r>
      <w:r w:rsidRPr="006F3506">
        <w:rPr>
          <w:i/>
        </w:rPr>
        <w:t xml:space="preserve"> (b)</w:t>
      </w:r>
    </w:p>
    <w:p w14:paraId="5E634F63" w14:textId="77777777" w:rsidR="00DD0741" w:rsidRPr="006F3506" w:rsidRDefault="007C0BC7" w:rsidP="00353D1A">
      <w:pPr>
        <w:pStyle w:val="CETListbullets"/>
        <w:ind w:left="0" w:firstLine="0"/>
      </w:pPr>
      <w:r w:rsidRPr="006F3506">
        <w:t xml:space="preserve">From Figure 3a, it </w:t>
      </w:r>
      <w:r w:rsidR="00363444" w:rsidRPr="006F3506">
        <w:t>can be observed that, as the cultivation begins, the cells start to gain mass as a result of the continuous growth and consequently the mode of the distribution is shifted to the right</w:t>
      </w:r>
      <w:r w:rsidR="00ED1A0B" w:rsidRPr="006F3506">
        <w:t xml:space="preserve">. </w:t>
      </w:r>
      <w:r w:rsidR="00363444" w:rsidRPr="006F3506">
        <w:t>However, when most cells attains their critical size (m</w:t>
      </w:r>
      <w:r w:rsidR="00363444" w:rsidRPr="006F3506">
        <w:rPr>
          <w:vertAlign w:val="subscript"/>
        </w:rPr>
        <w:t>c</w:t>
      </w:r>
      <w:r w:rsidR="00363444" w:rsidRPr="006F3506">
        <w:t>) they divide and generate daughter cells having lower mass. For this reason, the number of small cells starts to increase</w:t>
      </w:r>
      <w:r w:rsidR="00ED1A0B" w:rsidRPr="006F3506">
        <w:t xml:space="preserve"> (cf. Figure 2b)</w:t>
      </w:r>
      <w:r w:rsidR="00363444" w:rsidRPr="006F3506">
        <w:t xml:space="preserve"> and, accordingly, a hump of the distribution appears in correspondence of </w:t>
      </w:r>
      <w:r w:rsidR="00DD0741" w:rsidRPr="006F3506">
        <w:t>smaller</w:t>
      </w:r>
      <w:r w:rsidR="00363444" w:rsidRPr="006F3506">
        <w:t xml:space="preserve"> masses </w:t>
      </w:r>
      <w:r w:rsidR="00DD0741" w:rsidRPr="006F3506">
        <w:t xml:space="preserve">of daughter cells </w:t>
      </w:r>
      <w:r w:rsidR="00363444" w:rsidRPr="006F3506">
        <w:t xml:space="preserve">after 8 days of cultivation. As the time goes on, this </w:t>
      </w:r>
      <w:r w:rsidR="00ED1A0B" w:rsidRPr="006F3506">
        <w:t>peak</w:t>
      </w:r>
      <w:r w:rsidR="00363444" w:rsidRPr="006F3506">
        <w:t xml:space="preserve"> increases as a result of the growing number of cells undergoing cytokinesis</w:t>
      </w:r>
      <w:r w:rsidRPr="006F3506">
        <w:t xml:space="preserve">. </w:t>
      </w:r>
      <w:r w:rsidR="00DD0741" w:rsidRPr="006F3506">
        <w:t xml:space="preserve">This behaviour is confirmed by the evolution of the average cell diameter shown in Figure 3b </w:t>
      </w:r>
      <w:r w:rsidR="00CC5BC8" w:rsidRPr="006F3506">
        <w:rPr>
          <w:rFonts w:cs="Arial"/>
          <w:szCs w:val="18"/>
          <w:shd w:val="clear" w:color="auto" w:fill="FFFFFF"/>
        </w:rPr>
        <w:t>that achieves its maximum value after 200 hours (8 days) of cultivation and then keeps on decreasing until the culture achieves its steady state</w:t>
      </w:r>
      <w:r w:rsidR="00DD0741" w:rsidRPr="00F13981">
        <w:rPr>
          <w:rFonts w:cs="Arial"/>
        </w:rPr>
        <w:t xml:space="preserve">. </w:t>
      </w:r>
      <w:r w:rsidR="00BC343C" w:rsidRPr="006F3506">
        <w:rPr>
          <w:rFonts w:cs="Arial"/>
          <w:szCs w:val="18"/>
          <w:shd w:val="clear" w:color="auto" w:fill="FFFFFF"/>
        </w:rPr>
        <w:t xml:space="preserve">The oscillating </w:t>
      </w:r>
      <w:proofErr w:type="spellStart"/>
      <w:r w:rsidR="00BC343C" w:rsidRPr="006F3506">
        <w:rPr>
          <w:rFonts w:cs="Arial"/>
          <w:szCs w:val="18"/>
          <w:shd w:val="clear" w:color="auto" w:fill="FFFFFF"/>
        </w:rPr>
        <w:t>behavior</w:t>
      </w:r>
      <w:proofErr w:type="spellEnd"/>
      <w:r w:rsidR="00BC343C" w:rsidRPr="006F3506">
        <w:rPr>
          <w:rFonts w:cs="Arial"/>
          <w:szCs w:val="18"/>
          <w:shd w:val="clear" w:color="auto" w:fill="FFFFFF"/>
        </w:rPr>
        <w:t xml:space="preserve"> of the cell diameter is due to the fact that during the day, cells size increases as a result of photosynthesis while at night cells can divide thus reducing their average size</w:t>
      </w:r>
      <w:r w:rsidR="00DD0741" w:rsidRPr="00F13981">
        <w:rPr>
          <w:rFonts w:cs="Arial"/>
        </w:rPr>
        <w:t>.</w:t>
      </w:r>
      <w:r w:rsidR="00DD0741" w:rsidRPr="00F13981">
        <w:t xml:space="preserve"> </w:t>
      </w:r>
      <w:r w:rsidR="00456EA3" w:rsidRPr="00F13981">
        <w:t xml:space="preserve">The continuous occurrence of mitotic </w:t>
      </w:r>
      <w:r w:rsidR="00456EA3" w:rsidRPr="006F3506">
        <w:t xml:space="preserve">events as cultivation  proceeds, leads then to the increase of cell number </w:t>
      </w:r>
      <w:r w:rsidR="007F077F" w:rsidRPr="006F3506">
        <w:t xml:space="preserve">(cf. </w:t>
      </w:r>
      <w:r w:rsidR="00456EA3" w:rsidRPr="006F3506">
        <w:t>Figure 3b</w:t>
      </w:r>
      <w:r w:rsidR="007F077F" w:rsidRPr="006F3506">
        <w:t>)</w:t>
      </w:r>
      <w:r w:rsidR="00456EA3" w:rsidRPr="006F3506">
        <w:t>.</w:t>
      </w:r>
    </w:p>
    <w:p w14:paraId="22E96654" w14:textId="77777777" w:rsidR="00A5040E" w:rsidRPr="00F13981" w:rsidRDefault="00A5040E" w:rsidP="00A5040E">
      <w:pPr>
        <w:pStyle w:val="CETListbullets"/>
        <w:ind w:left="0" w:firstLine="0"/>
        <w:rPr>
          <w:szCs w:val="18"/>
        </w:rPr>
      </w:pPr>
      <w:r w:rsidRPr="006F3506">
        <w:rPr>
          <w:szCs w:val="18"/>
          <w:lang w:val="en-US"/>
        </w:rPr>
        <w:t xml:space="preserve">In order to assess how the division mode can affect the growth of microalgal cultures further model simulations have been performed by setting the values of parameters </w:t>
      </w:r>
      <m:oMath>
        <m:sSub>
          <m:sSubPr>
            <m:ctrlPr>
              <w:rPr>
                <w:rFonts w:ascii="Cambria Math" w:hAnsi="Cambria Math"/>
                <w:szCs w:val="18"/>
                <w:lang w:val="en-US"/>
              </w:rPr>
            </m:ctrlPr>
          </m:sSubPr>
          <m:e>
            <m:r>
              <m:rPr>
                <m:sty m:val="p"/>
              </m:rPr>
              <w:rPr>
                <w:rFonts w:ascii="Cambria Math" w:hAnsi="Cambria Math"/>
                <w:szCs w:val="18"/>
                <w:lang w:val="en-US"/>
              </w:rPr>
              <m:t>Θ</m:t>
            </m:r>
          </m:e>
          <m:sub>
            <m:r>
              <w:rPr>
                <w:rFonts w:ascii="Cambria Math" w:hAnsi="Cambria Math"/>
                <w:szCs w:val="18"/>
                <w:lang w:val="en-US"/>
              </w:rPr>
              <m:t>i</m:t>
            </m:r>
          </m:sub>
        </m:sSub>
        <m:r>
          <w:rPr>
            <w:rFonts w:ascii="Cambria Math" w:hAnsi="Cambria Math"/>
            <w:szCs w:val="18"/>
            <w:lang w:val="en-US"/>
          </w:rPr>
          <m:t xml:space="preserve"> </m:t>
        </m:r>
      </m:oMath>
      <w:r w:rsidRPr="006F3506">
        <w:rPr>
          <w:szCs w:val="18"/>
          <w:lang w:val="en-US"/>
        </w:rPr>
        <w:t>so that the division into a fixed number of daughter cells</w:t>
      </w:r>
      <w:r w:rsidR="001D35E7" w:rsidRPr="006F3506">
        <w:rPr>
          <w:szCs w:val="18"/>
          <w:lang w:val="en-US"/>
        </w:rPr>
        <w:t xml:space="preserve"> j is simulated, i.e. </w:t>
      </w:r>
      <m:oMath>
        <m:sSub>
          <m:sSubPr>
            <m:ctrlPr>
              <w:rPr>
                <w:rFonts w:ascii="Cambria Math" w:hAnsi="Cambria Math"/>
                <w:szCs w:val="18"/>
                <w:lang w:val="en-US"/>
              </w:rPr>
            </m:ctrlPr>
          </m:sSubPr>
          <m:e>
            <m:r>
              <m:rPr>
                <m:sty m:val="p"/>
              </m:rPr>
              <w:rPr>
                <w:rFonts w:ascii="Cambria Math" w:hAnsi="Cambria Math"/>
                <w:szCs w:val="18"/>
                <w:lang w:val="en-US"/>
              </w:rPr>
              <m:t>Θ</m:t>
            </m:r>
          </m:e>
          <m:sub>
            <m:r>
              <w:rPr>
                <w:rFonts w:ascii="Cambria Math" w:hAnsi="Cambria Math"/>
                <w:szCs w:val="18"/>
                <w:lang w:val="en-US"/>
              </w:rPr>
              <m:t>j</m:t>
            </m:r>
          </m:sub>
        </m:sSub>
        <m:r>
          <m:rPr>
            <m:sty m:val="p"/>
          </m:rPr>
          <w:rPr>
            <w:rFonts w:ascii="Cambria Math" w:hAnsi="Cambria Math"/>
            <w:szCs w:val="18"/>
            <w:lang w:val="en-US"/>
          </w:rPr>
          <m:t>=1</m:t>
        </m:r>
      </m:oMath>
      <w:r w:rsidRPr="006F3506">
        <w:rPr>
          <w:szCs w:val="18"/>
          <w:lang w:val="en-US"/>
        </w:rPr>
        <w:t xml:space="preserve"> and </w:t>
      </w:r>
      <m:oMath>
        <m:sSub>
          <m:sSubPr>
            <m:ctrlPr>
              <w:rPr>
                <w:rFonts w:ascii="Cambria Math" w:hAnsi="Cambria Math"/>
                <w:szCs w:val="18"/>
                <w:lang w:val="en-US"/>
              </w:rPr>
            </m:ctrlPr>
          </m:sSubPr>
          <m:e>
            <m:r>
              <m:rPr>
                <m:sty m:val="p"/>
              </m:rPr>
              <w:rPr>
                <w:rFonts w:ascii="Cambria Math" w:hAnsi="Cambria Math"/>
                <w:szCs w:val="18"/>
                <w:lang w:val="en-US"/>
              </w:rPr>
              <m:t>Θ</m:t>
            </m:r>
          </m:e>
          <m:sub>
            <m:r>
              <w:rPr>
                <w:rFonts w:ascii="Cambria Math" w:hAnsi="Cambria Math"/>
                <w:szCs w:val="18"/>
                <w:lang w:val="en-US"/>
              </w:rPr>
              <m:t>i</m:t>
            </m:r>
          </m:sub>
        </m:sSub>
        <m:r>
          <m:rPr>
            <m:sty m:val="p"/>
          </m:rPr>
          <w:rPr>
            <w:rFonts w:ascii="Cambria Math" w:hAnsi="Cambria Math"/>
            <w:szCs w:val="18"/>
            <w:lang w:val="en-US"/>
          </w:rPr>
          <m:t>=0</m:t>
        </m:r>
      </m:oMath>
      <w:r w:rsidRPr="006F3506">
        <w:rPr>
          <w:szCs w:val="18"/>
          <w:lang w:val="en-US"/>
        </w:rPr>
        <w:t xml:space="preserve">  for </w:t>
      </w:r>
      <m:oMath>
        <m:r>
          <m:rPr>
            <m:sty m:val="p"/>
          </m:rPr>
          <w:rPr>
            <w:rFonts w:ascii="Cambria Math" w:hAnsi="Cambria Math"/>
            <w:szCs w:val="18"/>
            <w:lang w:val="en-US"/>
          </w:rPr>
          <m:t>∀</m:t>
        </m:r>
        <m:r>
          <w:rPr>
            <w:rFonts w:ascii="Cambria Math" w:hAnsi="Cambria Math"/>
            <w:szCs w:val="18"/>
            <w:lang w:val="en-US"/>
          </w:rPr>
          <m:t>i</m:t>
        </m:r>
        <m:r>
          <m:rPr>
            <m:sty m:val="p"/>
          </m:rPr>
          <w:rPr>
            <w:rFonts w:ascii="Cambria Math" w:hAnsi="Cambria Math"/>
            <w:szCs w:val="18"/>
            <w:lang w:val="en-US"/>
          </w:rPr>
          <m:t>≠j</m:t>
        </m:r>
      </m:oMath>
      <w:r w:rsidRPr="006F3506">
        <w:rPr>
          <w:szCs w:val="18"/>
          <w:lang w:val="en-US"/>
        </w:rPr>
        <w:t xml:space="preserve">. </w:t>
      </w:r>
      <w:r w:rsidR="00A82373" w:rsidRPr="006F3506">
        <w:rPr>
          <w:rFonts w:cs="Arial"/>
          <w:szCs w:val="18"/>
          <w:shd w:val="clear" w:color="auto" w:fill="FFFFFF"/>
        </w:rPr>
        <w:t xml:space="preserve">Specifically, the following situations </w:t>
      </w:r>
      <w:r w:rsidR="00A82373" w:rsidRPr="006F3506">
        <w:rPr>
          <w:rFonts w:cs="Arial"/>
          <w:szCs w:val="18"/>
          <w:shd w:val="clear" w:color="auto" w:fill="FFFFFF"/>
        </w:rPr>
        <w:lastRenderedPageBreak/>
        <w:t>might occur:</w:t>
      </w:r>
      <w:r w:rsidRPr="006F3506">
        <w:rPr>
          <w:szCs w:val="18"/>
          <w:lang w:val="en-US"/>
        </w:rPr>
        <w:t xml:space="preserve"> </w:t>
      </w:r>
      <m:oMath>
        <m:sSub>
          <m:sSubPr>
            <m:ctrlPr>
              <w:rPr>
                <w:rFonts w:ascii="Cambria Math" w:hAnsi="Cambria Math"/>
                <w:szCs w:val="18"/>
                <w:lang w:val="en-US"/>
              </w:rPr>
            </m:ctrlPr>
          </m:sSubPr>
          <m:e>
            <m:r>
              <m:rPr>
                <m:sty m:val="p"/>
              </m:rPr>
              <w:rPr>
                <w:rFonts w:ascii="Cambria Math" w:hAnsi="Cambria Math"/>
                <w:szCs w:val="18"/>
                <w:lang w:val="en-US"/>
              </w:rPr>
              <m:t>Θ</m:t>
            </m:r>
          </m:e>
          <m:sub>
            <m:r>
              <m:rPr>
                <m:sty m:val="p"/>
              </m:rPr>
              <w:rPr>
                <w:rFonts w:ascii="Cambria Math" w:hAnsi="Cambria Math"/>
                <w:szCs w:val="18"/>
                <w:lang w:val="en-US"/>
              </w:rPr>
              <m:t>3</m:t>
            </m:r>
          </m:sub>
        </m:sSub>
        <m:r>
          <m:rPr>
            <m:sty m:val="p"/>
          </m:rPr>
          <w:rPr>
            <w:rFonts w:ascii="Cambria Math" w:hAnsi="Cambria Math"/>
            <w:szCs w:val="18"/>
            <w:lang w:val="en-US"/>
          </w:rPr>
          <m:t>=1</m:t>
        </m:r>
      </m:oMath>
      <w:r w:rsidRPr="006F3506">
        <w:rPr>
          <w:szCs w:val="18"/>
          <w:lang w:val="en-US"/>
        </w:rPr>
        <w:t xml:space="preserve"> and </w:t>
      </w:r>
      <m:oMath>
        <m:sSub>
          <m:sSubPr>
            <m:ctrlPr>
              <w:rPr>
                <w:rFonts w:ascii="Cambria Math" w:hAnsi="Cambria Math"/>
                <w:szCs w:val="18"/>
                <w:lang w:val="en-US"/>
              </w:rPr>
            </m:ctrlPr>
          </m:sSubPr>
          <m:e>
            <m:r>
              <m:rPr>
                <m:sty m:val="p"/>
              </m:rPr>
              <w:rPr>
                <w:rFonts w:ascii="Cambria Math" w:hAnsi="Cambria Math"/>
                <w:szCs w:val="18"/>
                <w:lang w:val="en-US"/>
              </w:rPr>
              <m:t>Θ</m:t>
            </m:r>
          </m:e>
          <m:sub>
            <m:r>
              <w:rPr>
                <w:rFonts w:ascii="Cambria Math" w:hAnsi="Cambria Math"/>
                <w:szCs w:val="18"/>
                <w:lang w:val="en-US"/>
              </w:rPr>
              <m:t>i</m:t>
            </m:r>
          </m:sub>
        </m:sSub>
        <m:r>
          <m:rPr>
            <m:sty m:val="p"/>
          </m:rPr>
          <w:rPr>
            <w:rFonts w:ascii="Cambria Math" w:hAnsi="Cambria Math"/>
            <w:szCs w:val="18"/>
            <w:lang w:val="en-US"/>
          </w:rPr>
          <m:t>=0</m:t>
        </m:r>
      </m:oMath>
      <w:r w:rsidRPr="006F3506">
        <w:rPr>
          <w:szCs w:val="18"/>
          <w:lang w:val="en-US"/>
        </w:rPr>
        <w:t xml:space="preserve">  for </w:t>
      </w:r>
      <m:oMath>
        <m:r>
          <m:rPr>
            <m:sty m:val="p"/>
          </m:rPr>
          <w:rPr>
            <w:rFonts w:ascii="Cambria Math" w:hAnsi="Cambria Math"/>
            <w:szCs w:val="18"/>
            <w:lang w:val="en-US"/>
          </w:rPr>
          <m:t>∀</m:t>
        </m:r>
        <m:r>
          <w:rPr>
            <w:rFonts w:ascii="Cambria Math" w:hAnsi="Cambria Math"/>
            <w:szCs w:val="18"/>
            <w:lang w:val="en-US"/>
          </w:rPr>
          <m:t>i</m:t>
        </m:r>
        <m:r>
          <m:rPr>
            <m:sty m:val="p"/>
          </m:rPr>
          <w:rPr>
            <w:rFonts w:ascii="Cambria Math" w:hAnsi="Cambria Math"/>
            <w:szCs w:val="18"/>
            <w:lang w:val="en-US"/>
          </w:rPr>
          <m:t>≠3</m:t>
        </m:r>
      </m:oMath>
      <w:r w:rsidRPr="006F3506">
        <w:rPr>
          <w:szCs w:val="18"/>
          <w:lang w:val="en-US"/>
        </w:rPr>
        <w:t xml:space="preserve"> </w:t>
      </w:r>
      <w:r w:rsidR="001D35E7" w:rsidRPr="006F3506">
        <w:rPr>
          <w:szCs w:val="18"/>
          <w:lang w:val="en-US"/>
        </w:rPr>
        <w:t xml:space="preserve">for ternary fission and, </w:t>
      </w:r>
      <m:oMath>
        <m:sSub>
          <m:sSubPr>
            <m:ctrlPr>
              <w:rPr>
                <w:rFonts w:ascii="Cambria Math" w:hAnsi="Cambria Math"/>
                <w:szCs w:val="18"/>
                <w:lang w:val="en-US"/>
              </w:rPr>
            </m:ctrlPr>
          </m:sSubPr>
          <m:e>
            <m:r>
              <m:rPr>
                <m:sty m:val="p"/>
              </m:rPr>
              <w:rPr>
                <w:rFonts w:ascii="Cambria Math" w:hAnsi="Cambria Math"/>
                <w:szCs w:val="18"/>
                <w:lang w:val="en-US"/>
              </w:rPr>
              <m:t>Θ</m:t>
            </m:r>
          </m:e>
          <m:sub>
            <m:r>
              <w:rPr>
                <w:rFonts w:ascii="Cambria Math" w:hAnsi="Cambria Math"/>
                <w:szCs w:val="18"/>
                <w:lang w:val="en-US"/>
              </w:rPr>
              <m:t>4</m:t>
            </m:r>
          </m:sub>
        </m:sSub>
        <m:r>
          <m:rPr>
            <m:sty m:val="p"/>
          </m:rPr>
          <w:rPr>
            <w:rFonts w:ascii="Cambria Math" w:hAnsi="Cambria Math"/>
            <w:szCs w:val="18"/>
            <w:lang w:val="en-US"/>
          </w:rPr>
          <m:t>=1</m:t>
        </m:r>
      </m:oMath>
      <w:r w:rsidR="001D35E7" w:rsidRPr="006F3506">
        <w:rPr>
          <w:szCs w:val="18"/>
          <w:lang w:val="en-US"/>
        </w:rPr>
        <w:t xml:space="preserve"> and </w:t>
      </w:r>
      <m:oMath>
        <m:sSub>
          <m:sSubPr>
            <m:ctrlPr>
              <w:rPr>
                <w:rFonts w:ascii="Cambria Math" w:hAnsi="Cambria Math"/>
                <w:szCs w:val="18"/>
                <w:lang w:val="en-US"/>
              </w:rPr>
            </m:ctrlPr>
          </m:sSubPr>
          <m:e>
            <m:r>
              <m:rPr>
                <m:sty m:val="p"/>
              </m:rPr>
              <w:rPr>
                <w:rFonts w:ascii="Cambria Math" w:hAnsi="Cambria Math"/>
                <w:szCs w:val="18"/>
                <w:lang w:val="en-US"/>
              </w:rPr>
              <m:t>Θ</m:t>
            </m:r>
          </m:e>
          <m:sub>
            <m:r>
              <w:rPr>
                <w:rFonts w:ascii="Cambria Math" w:hAnsi="Cambria Math"/>
                <w:szCs w:val="18"/>
                <w:lang w:val="en-US"/>
              </w:rPr>
              <m:t>i</m:t>
            </m:r>
          </m:sub>
        </m:sSub>
        <m:r>
          <m:rPr>
            <m:sty m:val="p"/>
          </m:rPr>
          <w:rPr>
            <w:rFonts w:ascii="Cambria Math" w:hAnsi="Cambria Math"/>
            <w:szCs w:val="18"/>
            <w:lang w:val="en-US"/>
          </w:rPr>
          <m:t>=0</m:t>
        </m:r>
      </m:oMath>
      <w:r w:rsidR="001D35E7" w:rsidRPr="006F3506">
        <w:rPr>
          <w:szCs w:val="18"/>
          <w:lang w:val="en-US"/>
        </w:rPr>
        <w:t xml:space="preserve">  for </w:t>
      </w:r>
      <m:oMath>
        <m:r>
          <m:rPr>
            <m:sty m:val="p"/>
          </m:rPr>
          <w:rPr>
            <w:rFonts w:ascii="Cambria Math" w:hAnsi="Cambria Math"/>
            <w:szCs w:val="18"/>
            <w:lang w:val="en-US"/>
          </w:rPr>
          <m:t>∀</m:t>
        </m:r>
        <m:r>
          <w:rPr>
            <w:rFonts w:ascii="Cambria Math" w:hAnsi="Cambria Math"/>
            <w:szCs w:val="18"/>
            <w:lang w:val="en-US"/>
          </w:rPr>
          <m:t>i</m:t>
        </m:r>
        <m:r>
          <m:rPr>
            <m:sty m:val="p"/>
          </m:rPr>
          <w:rPr>
            <w:rFonts w:ascii="Cambria Math" w:hAnsi="Cambria Math"/>
            <w:szCs w:val="18"/>
            <w:lang w:val="en-US"/>
          </w:rPr>
          <m:t>≠4</m:t>
        </m:r>
      </m:oMath>
      <w:r w:rsidR="001D35E7" w:rsidRPr="006F3506">
        <w:rPr>
          <w:szCs w:val="18"/>
          <w:lang w:val="en-US"/>
        </w:rPr>
        <w:t xml:space="preserve"> for quaternary fission, etc. </w:t>
      </w:r>
      <w:r w:rsidRPr="006F3506">
        <w:rPr>
          <w:szCs w:val="18"/>
          <w:lang w:val="en-US"/>
        </w:rPr>
        <w:t xml:space="preserve">The obtained results are shown in Figure 4 along with the ones </w:t>
      </w:r>
      <w:r w:rsidR="00D63C6B" w:rsidRPr="006F3506">
        <w:rPr>
          <w:szCs w:val="18"/>
          <w:lang w:val="en-US"/>
        </w:rPr>
        <w:t xml:space="preserve">related to </w:t>
      </w:r>
      <w:r w:rsidRPr="006F3506">
        <w:rPr>
          <w:szCs w:val="18"/>
          <w:lang w:val="en-US"/>
        </w:rPr>
        <w:t>multiple fission.</w:t>
      </w:r>
    </w:p>
    <w:p w14:paraId="6F07646D" w14:textId="7611829E" w:rsidR="00132023" w:rsidRPr="00E13238" w:rsidRDefault="005508D1" w:rsidP="00132023">
      <w:pPr>
        <w:jc w:val="center"/>
      </w:pPr>
      <w:r w:rsidRPr="00E13238">
        <w:object w:dxaOrig="5443" w:dyaOrig="4535" w14:anchorId="735A0FFE">
          <v:shape id="_x0000_i1037" type="#_x0000_t75" style="width:193.8pt;height:167.4pt;mso-position-horizontal:absolute" o:ole="">
            <v:imagedata r:id="rId38" o:title="" croptop="1639f" cropbottom="1639f" cropright="5461f"/>
          </v:shape>
          <o:OLEObject Type="Embed" ProgID="Origin50.Graph" ShapeID="_x0000_i1037" DrawAspect="Content" ObjectID="_1615377302" r:id="rId39"/>
        </w:object>
      </w:r>
      <w:r w:rsidR="00132023" w:rsidRPr="00E13238">
        <w:t xml:space="preserve">           </w:t>
      </w:r>
      <w:r w:rsidRPr="00E13238">
        <w:object w:dxaOrig="5443" w:dyaOrig="4535" w14:anchorId="612477EF">
          <v:shape id="_x0000_i1038" type="#_x0000_t75" style="width:199.8pt;height:167.4pt" o:ole="">
            <v:imagedata r:id="rId40" o:title="" croptop="1639f" cropbottom="1639f" cropright="3413f"/>
          </v:shape>
          <o:OLEObject Type="Embed" ProgID="Origin50.Graph" ShapeID="_x0000_i1038" DrawAspect="Content" ObjectID="_1615377303" r:id="rId41"/>
        </w:object>
      </w:r>
    </w:p>
    <w:p w14:paraId="09A4A77B" w14:textId="77777777" w:rsidR="00132023" w:rsidRPr="006F3506" w:rsidRDefault="009376FA" w:rsidP="008466D8">
      <w:pPr>
        <w:pStyle w:val="CETListbullets"/>
        <w:spacing w:after="120"/>
        <w:ind w:left="0" w:firstLine="0"/>
        <w:rPr>
          <w:i/>
        </w:rPr>
      </w:pPr>
      <w:r w:rsidRPr="006F3506">
        <w:t>Figure 4.</w:t>
      </w:r>
      <w:r w:rsidRPr="006F3506">
        <w:rPr>
          <w:i/>
        </w:rPr>
        <w:t xml:space="preserve"> </w:t>
      </w:r>
      <w:r w:rsidR="0068474F" w:rsidRPr="006F3506">
        <w:rPr>
          <w:i/>
        </w:rPr>
        <w:t xml:space="preserve">Simulated </w:t>
      </w:r>
      <w:r w:rsidRPr="006F3506">
        <w:rPr>
          <w:i/>
        </w:rPr>
        <w:t xml:space="preserve">biomass </w:t>
      </w:r>
      <w:r w:rsidR="009F0063" w:rsidRPr="006F3506">
        <w:rPr>
          <w:i/>
        </w:rPr>
        <w:t xml:space="preserve">evolution (a) and final distribution of cells (b) </w:t>
      </w:r>
      <w:r w:rsidR="0068474F" w:rsidRPr="006F3506">
        <w:rPr>
          <w:i/>
        </w:rPr>
        <w:t xml:space="preserve">under </w:t>
      </w:r>
      <w:r w:rsidRPr="006F3506">
        <w:rPr>
          <w:i/>
        </w:rPr>
        <w:t xml:space="preserve">different division </w:t>
      </w:r>
      <w:r w:rsidR="0068474F" w:rsidRPr="006F3506">
        <w:rPr>
          <w:i/>
        </w:rPr>
        <w:t>conditions</w:t>
      </w:r>
      <w:r w:rsidRPr="006F3506">
        <w:rPr>
          <w:i/>
        </w:rPr>
        <w:t>.</w:t>
      </w:r>
    </w:p>
    <w:p w14:paraId="0CB9D328" w14:textId="77777777" w:rsidR="009376FA" w:rsidRPr="006F3506" w:rsidRDefault="009376FA" w:rsidP="00353D1A">
      <w:pPr>
        <w:pStyle w:val="CETListbullets"/>
        <w:ind w:left="0" w:firstLine="0"/>
      </w:pPr>
      <w:r w:rsidRPr="006F3506">
        <w:t xml:space="preserve">From Figure 4a it can be observed that growth </w:t>
      </w:r>
      <w:r w:rsidR="00DE013B" w:rsidRPr="006F3506">
        <w:t xml:space="preserve">simulated under multiple fission assumption </w:t>
      </w:r>
      <w:r w:rsidRPr="006F3506">
        <w:t xml:space="preserve">is different from the one </w:t>
      </w:r>
      <w:r w:rsidR="00A82373" w:rsidRPr="006F3506">
        <w:rPr>
          <w:rFonts w:cs="Arial"/>
          <w:szCs w:val="18"/>
          <w:shd w:val="clear" w:color="auto" w:fill="FFFFFF"/>
        </w:rPr>
        <w:t>obtained when considering that only 2 daughters can be generated at each division</w:t>
      </w:r>
      <w:r w:rsidRPr="00F13981">
        <w:rPr>
          <w:rFonts w:cs="Arial"/>
        </w:rPr>
        <w:t>.</w:t>
      </w:r>
      <w:r w:rsidRPr="00F13981">
        <w:t xml:space="preserve"> In particular, a slightly higher growth rate is achieved when taking into account multiple divisions. </w:t>
      </w:r>
      <w:r w:rsidR="00965A10" w:rsidRPr="00F13981">
        <w:t>W</w:t>
      </w:r>
      <w:r w:rsidRPr="00F13981">
        <w:t>hile at a first view such a difference might seem not relevant, when translated to the massive scale production that is ty</w:t>
      </w:r>
      <w:r w:rsidRPr="006F3506">
        <w:t xml:space="preserve">pical of microalgal production systems, even these differences might lead to significant underestimation of the overall biomass productivity. </w:t>
      </w:r>
      <w:r w:rsidR="00674020" w:rsidRPr="006F3506">
        <w:t>Even f</w:t>
      </w:r>
      <w:r w:rsidRPr="006F3506">
        <w:t>rom Figure 4a</w:t>
      </w:r>
      <w:r w:rsidR="00DE013B" w:rsidRPr="006F3506">
        <w:t xml:space="preserve"> it can be seen that, under the assumption of </w:t>
      </w:r>
      <w:r w:rsidRPr="006F3506">
        <w:t>4 or 8 daughter cells</w:t>
      </w:r>
      <w:r w:rsidR="00DE013B" w:rsidRPr="006F3506">
        <w:t xml:space="preserve"> per division</w:t>
      </w:r>
      <w:r w:rsidRPr="006F3506">
        <w:t xml:space="preserve">, respectively, higher growth rates are achieved with respect to the case of multiple division. In general, it can be inferred that the greater is the number of daughter cells formed by division, the higher is the rate at which the whole culture grows. This is due to the fact that, when a great number of cells is generated </w:t>
      </w:r>
      <w:r w:rsidR="00DE013B" w:rsidRPr="006F3506">
        <w:t xml:space="preserve">per </w:t>
      </w:r>
      <w:r w:rsidRPr="006F3506">
        <w:t xml:space="preserve">division, the resulting daughter cells are very small and, according to Eq. 3, grow faster than the larger </w:t>
      </w:r>
      <w:r w:rsidR="00DE013B" w:rsidRPr="006F3506">
        <w:t>ones</w:t>
      </w:r>
      <w:r w:rsidRPr="006F3506">
        <w:t xml:space="preserve"> </w:t>
      </w:r>
      <w:r w:rsidR="00674020" w:rsidRPr="006F3506">
        <w:t>that</w:t>
      </w:r>
      <w:r w:rsidRPr="006F3506">
        <w:t xml:space="preserve"> </w:t>
      </w:r>
      <w:r w:rsidR="00674020" w:rsidRPr="006F3506">
        <w:t>are</w:t>
      </w:r>
      <w:r w:rsidRPr="006F3506">
        <w:t xml:space="preserve"> formed </w:t>
      </w:r>
      <w:r w:rsidR="00DE013B" w:rsidRPr="006F3506">
        <w:t xml:space="preserve">when fewer daughters are generated per division. </w:t>
      </w:r>
      <w:r w:rsidR="00965A10" w:rsidRPr="006F3506">
        <w:t>This is confirmed by Figure 4b where it can be seen that “faster</w:t>
      </w:r>
      <w:r w:rsidR="00965A10" w:rsidRPr="006F3506">
        <w:rPr>
          <w:rFonts w:cs="Arial"/>
        </w:rPr>
        <w:t xml:space="preserve">” cultures </w:t>
      </w:r>
      <w:r w:rsidR="002115C6" w:rsidRPr="006F3506">
        <w:rPr>
          <w:rFonts w:cs="Arial"/>
          <w:szCs w:val="18"/>
          <w:shd w:val="clear" w:color="auto" w:fill="FFFFFF"/>
        </w:rPr>
        <w:t>are those displaying a size distribution</w:t>
      </w:r>
      <w:r w:rsidR="002115C6" w:rsidRPr="006F3506">
        <w:rPr>
          <w:rFonts w:ascii="Courier New" w:hAnsi="Courier New" w:cs="Courier New"/>
          <w:szCs w:val="18"/>
          <w:shd w:val="clear" w:color="auto" w:fill="FFFFFF"/>
        </w:rPr>
        <w:t xml:space="preserve"> </w:t>
      </w:r>
      <w:r w:rsidR="00965A10" w:rsidRPr="00F13981">
        <w:t xml:space="preserve">shifted towards the smaller </w:t>
      </w:r>
      <w:r w:rsidR="00DE013B" w:rsidRPr="00F13981">
        <w:t>cells</w:t>
      </w:r>
      <w:r w:rsidR="00965A10" w:rsidRPr="00F13981">
        <w:t xml:space="preserve"> as a result of the </w:t>
      </w:r>
      <w:r w:rsidR="00D64118" w:rsidRPr="00E13238">
        <w:t>high</w:t>
      </w:r>
      <w:r w:rsidR="00965A10" w:rsidRPr="00E13238">
        <w:t xml:space="preserve"> number of daughter cells produced at each division. </w:t>
      </w:r>
    </w:p>
    <w:p w14:paraId="4FE66538" w14:textId="77777777" w:rsidR="000D7297" w:rsidRPr="00F13981" w:rsidRDefault="00674020" w:rsidP="008466D8">
      <w:pPr>
        <w:pStyle w:val="CETListbullets"/>
        <w:ind w:left="0" w:firstLine="0"/>
        <w:rPr>
          <w:rFonts w:cs="Arial"/>
        </w:rPr>
      </w:pPr>
      <w:r w:rsidRPr="006F3506">
        <w:t>T</w:t>
      </w:r>
      <w:r w:rsidR="00965A10" w:rsidRPr="006F3506">
        <w:t xml:space="preserve">o verify how the </w:t>
      </w:r>
      <w:r w:rsidR="000D7297" w:rsidRPr="006F3506">
        <w:t xml:space="preserve">number of daughter cells produced for division </w:t>
      </w:r>
      <w:r w:rsidR="00897158" w:rsidRPr="006F3506">
        <w:t>might</w:t>
      </w:r>
      <w:r w:rsidR="000D7297" w:rsidRPr="006F3506">
        <w:t xml:space="preserve"> affect industrially relevant parameters such as biomass productivity and the dosage of </w:t>
      </w:r>
      <w:proofErr w:type="spellStart"/>
      <w:r w:rsidR="000D7297" w:rsidRPr="006F3506">
        <w:t>flocculant</w:t>
      </w:r>
      <w:proofErr w:type="spellEnd"/>
      <w:r w:rsidR="000D7297" w:rsidRPr="006F3506">
        <w:t xml:space="preserve"> (FeCl</w:t>
      </w:r>
      <w:r w:rsidR="000D7297" w:rsidRPr="006F3506">
        <w:rPr>
          <w:vertAlign w:val="subscript"/>
        </w:rPr>
        <w:t>3</w:t>
      </w:r>
      <w:r w:rsidR="0098332D" w:rsidRPr="006F3506">
        <w:t xml:space="preserve"> or AlSO</w:t>
      </w:r>
      <w:r w:rsidR="0098332D" w:rsidRPr="006F3506">
        <w:rPr>
          <w:vertAlign w:val="subscript"/>
        </w:rPr>
        <w:t>4</w:t>
      </w:r>
      <w:r w:rsidR="000D7297" w:rsidRPr="006F3506">
        <w:t>) for microalgae harvesting, furth</w:t>
      </w:r>
      <w:r w:rsidR="00897158" w:rsidRPr="006F3506">
        <w:t xml:space="preserve">er simulations where performed. </w:t>
      </w:r>
      <w:r w:rsidR="000D7297" w:rsidRPr="006F3506">
        <w:t xml:space="preserve">The biomass productivity </w:t>
      </w:r>
      <w:r w:rsidR="002115C6" w:rsidRPr="006F3506">
        <w:rPr>
          <w:rFonts w:cs="Arial"/>
          <w:szCs w:val="18"/>
          <w:shd w:val="clear" w:color="auto" w:fill="FFFFFF"/>
        </w:rPr>
        <w:t>was evaluated according to the following equation:</w:t>
      </w:r>
    </w:p>
    <w:p w14:paraId="54C5FE51" w14:textId="77777777" w:rsidR="008466D8" w:rsidRPr="006F3506" w:rsidRDefault="008466D8" w:rsidP="006F3506">
      <w:pPr>
        <w:spacing w:after="60"/>
        <w:rPr>
          <w:szCs w:val="18"/>
          <w:lang w:val="en-US"/>
        </w:rPr>
      </w:pPr>
      <w:r w:rsidRPr="006F3506">
        <w:rPr>
          <w:position w:val="-32"/>
          <w:szCs w:val="18"/>
          <w:lang w:val="en-US"/>
        </w:rPr>
        <w:object w:dxaOrig="2580" w:dyaOrig="440" w14:anchorId="4F1A04FC">
          <v:shape id="_x0000_i1039" type="#_x0000_t75" style="width:111pt;height:18.6pt" o:ole="">
            <v:imagedata r:id="rId42" o:title=""/>
          </v:shape>
          <o:OLEObject Type="Embed" ProgID="Equation.DSMT4" ShapeID="_x0000_i1039" DrawAspect="Content" ObjectID="_1615377304" r:id="rId43"/>
        </w:object>
      </w:r>
      <w:r w:rsidRPr="006F3506">
        <w:rPr>
          <w:szCs w:val="18"/>
          <w:lang w:val="en-US"/>
        </w:rPr>
        <w:t xml:space="preserve"> </w:t>
      </w:r>
      <w:r w:rsidRPr="006F3506">
        <w:rPr>
          <w:szCs w:val="18"/>
          <w:lang w:val="en-US"/>
        </w:rPr>
        <w:tab/>
      </w:r>
      <w:r w:rsidRPr="006F3506">
        <w:rPr>
          <w:szCs w:val="18"/>
          <w:lang w:val="en-US"/>
        </w:rPr>
        <w:tab/>
      </w:r>
      <w:r w:rsidRPr="006F3506">
        <w:rPr>
          <w:szCs w:val="18"/>
          <w:lang w:val="en-US"/>
        </w:rPr>
        <w:tab/>
        <w:t>(8)</w:t>
      </w:r>
    </w:p>
    <w:p w14:paraId="697399B0" w14:textId="5B987650" w:rsidR="00296E81" w:rsidRPr="006F3506" w:rsidRDefault="002115C6" w:rsidP="008466D8">
      <w:pPr>
        <w:pStyle w:val="CETListbullets"/>
        <w:ind w:left="0" w:firstLine="0"/>
      </w:pPr>
      <w:r w:rsidRPr="006F3506">
        <w:rPr>
          <w:szCs w:val="18"/>
          <w:lang w:val="en-US"/>
        </w:rPr>
        <w:t>w</w:t>
      </w:r>
      <w:r w:rsidR="000D7297" w:rsidRPr="006F3506">
        <w:rPr>
          <w:szCs w:val="18"/>
          <w:lang w:val="en-US"/>
        </w:rPr>
        <w:t xml:space="preserve">here </w:t>
      </w:r>
      <w:proofErr w:type="spellStart"/>
      <w:r w:rsidR="000D7297" w:rsidRPr="006F3506">
        <w:rPr>
          <w:szCs w:val="18"/>
          <w:lang w:val="en-US"/>
        </w:rPr>
        <w:t>t</w:t>
      </w:r>
      <w:r w:rsidR="000D7297" w:rsidRPr="006F3506">
        <w:rPr>
          <w:szCs w:val="18"/>
          <w:vertAlign w:val="subscript"/>
          <w:lang w:val="en-US"/>
        </w:rPr>
        <w:t>trans</w:t>
      </w:r>
      <w:proofErr w:type="spellEnd"/>
      <w:r w:rsidR="000D7297" w:rsidRPr="006F3506">
        <w:rPr>
          <w:szCs w:val="18"/>
          <w:vertAlign w:val="subscript"/>
          <w:lang w:val="en-US"/>
        </w:rPr>
        <w:t xml:space="preserve"> </w:t>
      </w:r>
      <w:r w:rsidR="000D7297" w:rsidRPr="006F3506">
        <w:rPr>
          <w:szCs w:val="18"/>
          <w:lang w:val="en-US"/>
        </w:rPr>
        <w:t xml:space="preserve">represents the transient time, i.e. the time needed for the culture to achieve steady state. </w:t>
      </w:r>
      <w:r w:rsidR="002B629C" w:rsidRPr="00F13981">
        <w:t>H</w:t>
      </w:r>
      <w:r w:rsidR="00296E81" w:rsidRPr="00F13981">
        <w:t xml:space="preserve">arvesting </w:t>
      </w:r>
      <w:r w:rsidR="002B629C" w:rsidRPr="00F13981">
        <w:t xml:space="preserve">of microalgae </w:t>
      </w:r>
      <w:r w:rsidR="00296E81" w:rsidRPr="00E13238">
        <w:t xml:space="preserve">is typically preceded by a flocculation treatment, aimed to promote gravity settling of microalgae in a realistic time frame. </w:t>
      </w:r>
      <w:r w:rsidR="005C6F93" w:rsidRPr="006F3506">
        <w:t xml:space="preserve">This operating step involves the use of different amounts of flocculants depending on the size distribution of </w:t>
      </w:r>
      <w:proofErr w:type="spellStart"/>
      <w:r w:rsidR="005C6F93" w:rsidRPr="006F3506">
        <w:t>microagal</w:t>
      </w:r>
      <w:proofErr w:type="spellEnd"/>
      <w:r w:rsidR="005C6F93" w:rsidRPr="006F3506">
        <w:t xml:space="preserve"> cells that need to be collected. In particular, according to the literature</w:t>
      </w:r>
      <w:r w:rsidR="00A1406B" w:rsidRPr="006F3506">
        <w:t xml:space="preserve"> </w:t>
      </w:r>
      <w:r w:rsidR="00A1406B" w:rsidRPr="006F3506">
        <w:fldChar w:fldCharType="begin" w:fldLock="1"/>
      </w:r>
      <w:r w:rsidR="008E5E3B" w:rsidRPr="006F3506">
        <w:instrText>ADDIN CSL_CITATION {"citationItems":[{"id":"ITEM-1","itemData":{"DOI":"10.1016/J.ALGAL.2015.12.009","ISSN":"2211-9264","abstract":"Slurries of five marine and freshwater microalgae (Chlorella vulgaris, Choricystis minor, Cylindrotheca fusiformis, Neochloris sp., Nannochloropsis salina) were effectively flocculated using aluminum sulfate and ferric chloride as flocculants. The flocculant dose for 95% removal of the algal biomass by sedimentation in a standardized 62min treatment depended on the following factors: the type of the flocculant; the algal species and cell diameter; the concentration of the biomass in the algal slurry; and the ionic strength of the suspending fluid. For all algae, the flocculant dose for 95% removal of the cells increased linearly with the concentration of the biomass in the slurry. Aluminum sulfate was a generally better flocculant than ferric chloride. Less flocculant was required for flocculation from a high ionic strength medium for the one alga (C. vulgaris) that could be grown both in freshwater- and seawater-based media. Quantitative relationships are reported for the flocculant dose dependence on the biomass concentration in suspensions of the five algae.","author":[{"dropping-particle":"","family":"Chatsungnoen","given":"Tawan","non-dropping-particle":"","parse-names":false,"suffix":""},{"dropping-particle":"","family":"Chisti","given":"Yusuf","non-dropping-particle":"","parse-names":false,"suffix":""}],"container-title":"Algal Research","id":"ITEM-1","issued":{"date-parts":[["2016","1","1"]]},"page":"271-283","publisher":"Elsevier","title":"Harvesting microalgae by flocculation–sedimentation","type":"article-journal","volume":"13"},"uris":["http://www.mendeley.com/documents/?uuid=8bf432be-7b24-39e9-9611-e6a6da97ccfc"]}],"mendeley":{"formattedCitation":"(Chatsungnoen and Chisti, 2016)","plainTextFormattedCitation":"(Chatsungnoen and Chisti, 2016)","previouslyFormattedCitation":"(Chatsungnoen and Chisti, 2016)"},"properties":{"noteIndex":0},"schema":"https://github.com/citation-style-language/schema/raw/master/csl-citation.json"}</w:instrText>
      </w:r>
      <w:r w:rsidR="00A1406B" w:rsidRPr="006F3506">
        <w:fldChar w:fldCharType="separate"/>
      </w:r>
      <w:r w:rsidR="00A1406B" w:rsidRPr="006F3506">
        <w:rPr>
          <w:noProof/>
        </w:rPr>
        <w:t>(Chatsungnoen and Chisti, 2016)</w:t>
      </w:r>
      <w:r w:rsidR="00A1406B" w:rsidRPr="006F3506">
        <w:fldChar w:fldCharType="end"/>
      </w:r>
      <w:r w:rsidR="005C6F93" w:rsidRPr="006F3506">
        <w:t xml:space="preserve">, the </w:t>
      </w:r>
      <w:proofErr w:type="spellStart"/>
      <w:r w:rsidR="005C6F93" w:rsidRPr="006F3506">
        <w:t>flocculant</w:t>
      </w:r>
      <w:proofErr w:type="spellEnd"/>
      <w:r w:rsidR="00674020" w:rsidRPr="006F3506">
        <w:t>/coagulant</w:t>
      </w:r>
      <w:r w:rsidR="005C6F93" w:rsidRPr="006F3506">
        <w:t xml:space="preserve"> dose</w:t>
      </w:r>
      <w:r w:rsidR="00A1406B" w:rsidRPr="006F3506">
        <w:t xml:space="preserve"> (</w:t>
      </w:r>
      <w:r w:rsidR="00A1406B" w:rsidRPr="006F3506">
        <w:rPr>
          <w:rFonts w:ascii="Times New Roman" w:hAnsi="Times New Roman"/>
          <w:i/>
        </w:rPr>
        <w:t>D</w:t>
      </w:r>
      <w:r w:rsidR="00A1406B" w:rsidRPr="006F3506">
        <w:rPr>
          <w:rFonts w:ascii="Times New Roman" w:hAnsi="Times New Roman"/>
          <w:i/>
          <w:vertAlign w:val="subscript"/>
        </w:rPr>
        <w:t>FCL</w:t>
      </w:r>
      <w:r w:rsidR="00A1406B" w:rsidRPr="006F3506">
        <w:t>)</w:t>
      </w:r>
      <w:r w:rsidR="005C6F93" w:rsidRPr="006F3506">
        <w:t xml:space="preserve"> </w:t>
      </w:r>
      <w:r w:rsidRPr="006F3506">
        <w:rPr>
          <w:rFonts w:cs="Arial"/>
          <w:szCs w:val="18"/>
          <w:shd w:val="clear" w:color="auto" w:fill="FFFFFF"/>
        </w:rPr>
        <w:t>can be evaluated through specific</w:t>
      </w:r>
      <w:r w:rsidR="00D63C6B" w:rsidRPr="006F3506">
        <w:rPr>
          <w:rFonts w:cs="Arial"/>
          <w:szCs w:val="18"/>
          <w:shd w:val="clear" w:color="auto" w:fill="FFFFFF"/>
        </w:rPr>
        <w:t xml:space="preserve"> </w:t>
      </w:r>
      <w:r w:rsidRPr="006F3506">
        <w:rPr>
          <w:rFonts w:cs="Arial"/>
          <w:szCs w:val="18"/>
          <w:shd w:val="clear" w:color="auto" w:fill="FFFFFF"/>
        </w:rPr>
        <w:t xml:space="preserve">function </w:t>
      </w:r>
      <w:r w:rsidR="00D63C6B" w:rsidRPr="006F3506">
        <w:rPr>
          <w:rFonts w:cs="Arial"/>
          <w:szCs w:val="18"/>
          <w:shd w:val="clear" w:color="auto" w:fill="FFFFFF"/>
        </w:rPr>
        <w:t xml:space="preserve">of the </w:t>
      </w:r>
      <w:r w:rsidRPr="006F3506">
        <w:rPr>
          <w:rFonts w:cs="Arial"/>
          <w:szCs w:val="18"/>
          <w:shd w:val="clear" w:color="auto" w:fill="FFFFFF"/>
        </w:rPr>
        <w:t>cell diameter that</w:t>
      </w:r>
      <w:r w:rsidR="00A1406B" w:rsidRPr="00F13981">
        <w:rPr>
          <w:rFonts w:cs="Arial"/>
        </w:rPr>
        <w:t>,</w:t>
      </w:r>
      <w:r w:rsidR="005C6F93" w:rsidRPr="00F13981">
        <w:t xml:space="preserve"> once declined in our mass-structured PBE- model, </w:t>
      </w:r>
      <w:r w:rsidR="00A1406B" w:rsidRPr="00F13981">
        <w:t xml:space="preserve">can be </w:t>
      </w:r>
      <w:r w:rsidR="005C6F93" w:rsidRPr="00F13981">
        <w:t>wri</w:t>
      </w:r>
      <w:r w:rsidR="00A1406B" w:rsidRPr="00F13981">
        <w:t>t</w:t>
      </w:r>
      <w:r w:rsidR="005C6F93" w:rsidRPr="00E13238">
        <w:t>ten as follows:</w:t>
      </w:r>
    </w:p>
    <w:p w14:paraId="12DBE87B" w14:textId="77777777" w:rsidR="00A1406B" w:rsidRPr="006F3506" w:rsidRDefault="00674020" w:rsidP="008466D8">
      <w:pPr>
        <w:spacing w:before="60" w:after="60"/>
        <w:rPr>
          <w:szCs w:val="18"/>
          <w:lang w:val="en-US"/>
        </w:rPr>
      </w:pPr>
      <w:r w:rsidRPr="006F3506">
        <w:rPr>
          <w:position w:val="-32"/>
          <w:szCs w:val="18"/>
          <w:lang w:val="en-US"/>
        </w:rPr>
        <w:object w:dxaOrig="4500" w:dyaOrig="600" w14:anchorId="343E065F">
          <v:shape id="_x0000_i1040" type="#_x0000_t75" style="width:192.6pt;height:25.8pt" o:ole="">
            <v:imagedata r:id="rId44" o:title=""/>
          </v:shape>
          <o:OLEObject Type="Embed" ProgID="Equation.DSMT4" ShapeID="_x0000_i1040" DrawAspect="Content" ObjectID="_1615377305" r:id="rId45"/>
        </w:object>
      </w:r>
      <w:r w:rsidR="00A1406B" w:rsidRPr="006F3506">
        <w:rPr>
          <w:szCs w:val="18"/>
          <w:lang w:val="en-US"/>
        </w:rPr>
        <w:t xml:space="preserve"> </w:t>
      </w:r>
      <w:r w:rsidR="00A1406B" w:rsidRPr="006F3506">
        <w:rPr>
          <w:szCs w:val="18"/>
          <w:lang w:val="en-US"/>
        </w:rPr>
        <w:tab/>
      </w:r>
      <w:r w:rsidR="00A1406B" w:rsidRPr="006F3506">
        <w:rPr>
          <w:szCs w:val="18"/>
          <w:lang w:val="en-US"/>
        </w:rPr>
        <w:tab/>
      </w:r>
      <w:r w:rsidR="00A1406B" w:rsidRPr="006F3506">
        <w:rPr>
          <w:szCs w:val="18"/>
          <w:lang w:val="en-US"/>
        </w:rPr>
        <w:tab/>
        <w:t>(9)</w:t>
      </w:r>
    </w:p>
    <w:p w14:paraId="19726D9C" w14:textId="3F0F7A5E" w:rsidR="00A1406B" w:rsidRPr="006F3506" w:rsidRDefault="00A1406B" w:rsidP="008466D8">
      <w:pPr>
        <w:spacing w:after="120"/>
        <w:rPr>
          <w:noProof/>
        </w:rPr>
      </w:pPr>
      <w:r w:rsidRPr="006F3506">
        <w:rPr>
          <w:szCs w:val="18"/>
          <w:lang w:val="en-US"/>
        </w:rPr>
        <w:t>Where</w:t>
      </w:r>
      <w:r w:rsidRPr="006F3506">
        <w:rPr>
          <w:rFonts w:ascii="Symbol" w:hAnsi="Symbol"/>
          <w:i/>
          <w:szCs w:val="18"/>
          <w:lang w:val="en-US"/>
        </w:rPr>
        <w:t></w:t>
      </w:r>
      <w:r w:rsidRPr="006F3506">
        <w:rPr>
          <w:rFonts w:ascii="Symbol" w:hAnsi="Symbol"/>
          <w:i/>
          <w:szCs w:val="18"/>
          <w:lang w:val="en-US"/>
        </w:rPr>
        <w:t></w:t>
      </w:r>
      <w:r w:rsidRPr="006F3506">
        <w:rPr>
          <w:szCs w:val="18"/>
          <w:lang w:val="en-US"/>
        </w:rPr>
        <w:t xml:space="preserve">, </w:t>
      </w:r>
      <w:r w:rsidRPr="006F3506">
        <w:rPr>
          <w:rFonts w:ascii="Symbol" w:hAnsi="Symbol"/>
          <w:szCs w:val="18"/>
          <w:lang w:val="en-US"/>
        </w:rPr>
        <w:t></w:t>
      </w:r>
      <w:r w:rsidRPr="006F3506">
        <w:rPr>
          <w:szCs w:val="18"/>
          <w:lang w:val="en-US"/>
        </w:rPr>
        <w:t xml:space="preserve">’ and </w:t>
      </w:r>
      <w:r w:rsidRPr="006F3506">
        <w:rPr>
          <w:rFonts w:ascii="Symbol" w:hAnsi="Symbol"/>
          <w:szCs w:val="18"/>
          <w:lang w:val="en-US"/>
        </w:rPr>
        <w:t></w:t>
      </w:r>
      <w:r w:rsidRPr="006F3506">
        <w:rPr>
          <w:szCs w:val="18"/>
          <w:lang w:val="en-US"/>
        </w:rPr>
        <w:t xml:space="preserve">’ are empirical coefficients whose values were obtained from the ones </w:t>
      </w:r>
      <w:r w:rsidR="00DC2126" w:rsidRPr="006F3506">
        <w:rPr>
          <w:szCs w:val="18"/>
          <w:lang w:val="en-US"/>
        </w:rPr>
        <w:t>proposed</w:t>
      </w:r>
      <w:r w:rsidRPr="006F3506">
        <w:rPr>
          <w:szCs w:val="18"/>
          <w:lang w:val="en-US"/>
        </w:rPr>
        <w:t xml:space="preserve"> by </w:t>
      </w:r>
      <w:r w:rsidRPr="00F13981">
        <w:rPr>
          <w:noProof/>
        </w:rPr>
        <w:t xml:space="preserve">Chatsungnoen and Chisti (2016). </w:t>
      </w:r>
      <w:r w:rsidR="00897158" w:rsidRPr="00E13238">
        <w:rPr>
          <w:noProof/>
        </w:rPr>
        <w:t xml:space="preserve">In Figure 5 the simulated effect of division mode on these two paramters is shown. </w:t>
      </w:r>
      <w:r w:rsidR="008466D8" w:rsidRPr="00E13238">
        <w:rPr>
          <w:noProof/>
        </w:rPr>
        <w:t>I</w:t>
      </w:r>
      <w:r w:rsidR="0098332D" w:rsidRPr="00E13238">
        <w:rPr>
          <w:noProof/>
        </w:rPr>
        <w:t xml:space="preserve">t can be observed that the division affects both the biomass productivty and the dosage of flocculants. </w:t>
      </w:r>
      <w:r w:rsidR="00674020" w:rsidRPr="00E13238">
        <w:t>In particular, the higher is the number of cells produced per division, the higher is the final productivity.</w:t>
      </w:r>
      <w:r w:rsidR="008466D8" w:rsidRPr="006F3506">
        <w:t xml:space="preserve"> </w:t>
      </w:r>
      <w:r w:rsidR="001F52D2" w:rsidRPr="006F3506">
        <w:t>The multiple fission mode (variable n° of daughters) leads to a biomass productivity close to the one achieved when the number of daughter cells is 2 or 3.</w:t>
      </w:r>
      <w:r w:rsidR="009B34A5">
        <w:t xml:space="preserve"> </w:t>
      </w:r>
      <w:r w:rsidR="009B34A5" w:rsidRPr="00F13981">
        <w:t xml:space="preserve">This is </w:t>
      </w:r>
      <w:r w:rsidR="009B34A5" w:rsidRPr="00F13981">
        <w:rPr>
          <w:rFonts w:cs="Arial"/>
        </w:rPr>
        <w:t xml:space="preserve">because  </w:t>
      </w:r>
      <w:r w:rsidR="009B34A5" w:rsidRPr="006F3506">
        <w:rPr>
          <w:rFonts w:cs="Arial"/>
          <w:szCs w:val="18"/>
          <w:shd w:val="clear" w:color="auto" w:fill="FFFFFF"/>
        </w:rPr>
        <w:t>the frequency of division into 2 or 3 daughters is higher with respect to that one into 4 or 8 cells</w:t>
      </w:r>
      <w:r w:rsidR="009B34A5" w:rsidRPr="00F13981">
        <w:t xml:space="preserve"> (cf. Figure 1a). As s</w:t>
      </w:r>
      <w:r w:rsidR="009B34A5" w:rsidRPr="00E13238">
        <w:t>hown in Figure 5b, the dosage of flocculants/coagulants (AlSO</w:t>
      </w:r>
      <w:r w:rsidR="009B34A5" w:rsidRPr="00E13238">
        <w:rPr>
          <w:vertAlign w:val="subscript"/>
        </w:rPr>
        <w:t>4</w:t>
      </w:r>
      <w:r w:rsidR="009B34A5" w:rsidRPr="00E13238">
        <w:t xml:space="preserve"> or FeCl</w:t>
      </w:r>
      <w:r w:rsidR="009B34A5" w:rsidRPr="00E13238">
        <w:rPr>
          <w:vertAlign w:val="subscript"/>
        </w:rPr>
        <w:t>3</w:t>
      </w:r>
      <w:r w:rsidR="009B34A5" w:rsidRPr="00E13238">
        <w:t xml:space="preserve">) increases with the number of daughter cells. This outcome is due to the fact that flocculants </w:t>
      </w:r>
      <w:r w:rsidR="009B34A5" w:rsidRPr="006F3506">
        <w:t>react at the cell surface. Thus, since the average cell size of populations characterized by a higher division number is lower (cf. Figure 4b), the total corresponding specific surface is higher.</w:t>
      </w:r>
    </w:p>
    <w:p w14:paraId="55E3B29E" w14:textId="691B7BD8" w:rsidR="0098332D" w:rsidRPr="006F3506" w:rsidRDefault="005508D1" w:rsidP="008466D8">
      <w:r w:rsidRPr="006F3506">
        <w:object w:dxaOrig="5896" w:dyaOrig="4760" w14:anchorId="4A8747A6">
          <v:shape id="_x0000_i1041" type="#_x0000_t75" style="width:204pt;height:166.8pt;mso-position-horizontal:absolute" o:ole="">
            <v:imagedata r:id="rId46" o:title="" croptop="1561f" cropleft="1260f" cropright="1260f"/>
          </v:shape>
          <o:OLEObject Type="Embed" ProgID="Origin50.Graph" ShapeID="_x0000_i1041" DrawAspect="Content" ObjectID="_1615377306" r:id="rId47"/>
        </w:object>
      </w:r>
      <w:r w:rsidR="0098332D" w:rsidRPr="006F3506">
        <w:t xml:space="preserve">    </w:t>
      </w:r>
      <w:r w:rsidR="00BA4813" w:rsidRPr="006F3506">
        <w:t xml:space="preserve">       </w:t>
      </w:r>
      <w:r w:rsidRPr="006F3506">
        <w:object w:dxaOrig="5443" w:dyaOrig="4567" w14:anchorId="42D47CAD">
          <v:shape id="_x0000_i1042" type="#_x0000_t75" style="width:203.4pt;height:167.4pt;mso-position-horizontal:absolute" o:ole="">
            <v:imagedata r:id="rId48" o:title="" croptop="1627f"/>
          </v:shape>
          <o:OLEObject Type="Embed" ProgID="Origin50.Graph" ShapeID="_x0000_i1042" DrawAspect="Content" ObjectID="_1615377307" r:id="rId49"/>
        </w:object>
      </w:r>
    </w:p>
    <w:p w14:paraId="1B48330A" w14:textId="77777777" w:rsidR="00897158" w:rsidRPr="006F3506" w:rsidRDefault="0098332D" w:rsidP="001F52D2">
      <w:pPr>
        <w:spacing w:after="120"/>
        <w:rPr>
          <w:i/>
          <w:szCs w:val="18"/>
          <w:lang w:val="en-US"/>
        </w:rPr>
      </w:pPr>
      <w:r w:rsidRPr="006F3506">
        <w:rPr>
          <w:szCs w:val="18"/>
          <w:lang w:val="en-US"/>
        </w:rPr>
        <w:t>Figure 5.</w:t>
      </w:r>
      <w:r w:rsidRPr="006F3506">
        <w:rPr>
          <w:i/>
          <w:szCs w:val="18"/>
          <w:lang w:val="en-US"/>
        </w:rPr>
        <w:t xml:space="preserve"> Effect of division mode on the biomass productivity (a) and dosage of flocculants (b)</w:t>
      </w:r>
    </w:p>
    <w:p w14:paraId="3BDABFBB" w14:textId="4C69BEF3" w:rsidR="00296E81" w:rsidRPr="00F13981" w:rsidRDefault="00530B27" w:rsidP="008466D8">
      <w:pPr>
        <w:pStyle w:val="CETListbullets"/>
        <w:ind w:left="0" w:firstLine="0"/>
      </w:pPr>
      <w:r w:rsidRPr="006F3506">
        <w:t xml:space="preserve">Accordingly, larger </w:t>
      </w:r>
      <w:r w:rsidR="00A7766E" w:rsidRPr="006F3506">
        <w:t>amounts</w:t>
      </w:r>
      <w:r w:rsidRPr="006F3506">
        <w:t xml:space="preserve"> of reactants are needed to destabilize the electric double-layer of cells and permit coagulation/sedimentation. </w:t>
      </w:r>
      <w:r w:rsidR="00B64F3C" w:rsidRPr="006F3506">
        <w:t>W</w:t>
      </w:r>
      <w:r w:rsidRPr="006F3506">
        <w:t>hen multiple fission</w:t>
      </w:r>
      <w:r w:rsidR="00B64F3C" w:rsidRPr="006F3506">
        <w:t xml:space="preserve"> is considered, </w:t>
      </w:r>
      <w:r w:rsidRPr="006F3506">
        <w:t xml:space="preserve">the amount of flocculants needed is close to the one obtained in the case of division into 2 o 3 </w:t>
      </w:r>
      <w:r w:rsidRPr="006F3506">
        <w:rPr>
          <w:rFonts w:cs="Arial"/>
        </w:rPr>
        <w:t xml:space="preserve">cells due to the </w:t>
      </w:r>
      <w:r w:rsidR="002115C6" w:rsidRPr="006F3506">
        <w:rPr>
          <w:rFonts w:cs="Arial"/>
          <w:szCs w:val="18"/>
          <w:shd w:val="clear" w:color="auto" w:fill="FFFFFF"/>
        </w:rPr>
        <w:t>reasons above explained which are related to the division probability as reported in Figure 1a.</w:t>
      </w:r>
      <w:r w:rsidR="00A7766E" w:rsidRPr="00F13981">
        <w:t xml:space="preserve"> </w:t>
      </w:r>
    </w:p>
    <w:p w14:paraId="51FA2C25" w14:textId="51FD8154" w:rsidR="003659B8" w:rsidRPr="00E13238" w:rsidRDefault="003659B8" w:rsidP="001F52D2">
      <w:pPr>
        <w:pStyle w:val="CETHeading1"/>
        <w:rPr>
          <w:lang w:val="en-GB"/>
        </w:rPr>
      </w:pPr>
      <w:r w:rsidRPr="00F13981">
        <w:rPr>
          <w:lang w:val="en-GB"/>
        </w:rPr>
        <w:t xml:space="preserve">Concluding </w:t>
      </w:r>
      <w:r w:rsidR="00F35E91" w:rsidRPr="00F13981">
        <w:rPr>
          <w:lang w:val="en-GB"/>
        </w:rPr>
        <w:t>r</w:t>
      </w:r>
      <w:r w:rsidRPr="00E13238">
        <w:rPr>
          <w:lang w:val="en-GB"/>
        </w:rPr>
        <w:t>emarks</w:t>
      </w:r>
    </w:p>
    <w:p w14:paraId="057C5EA9" w14:textId="5BED63B5" w:rsidR="003659B8" w:rsidRPr="006F3506" w:rsidRDefault="003659B8" w:rsidP="008466D8">
      <w:pPr>
        <w:pStyle w:val="CETListbullets"/>
        <w:ind w:left="0" w:firstLine="0"/>
      </w:pPr>
      <w:r w:rsidRPr="006F3506">
        <w:t>A novel mathematical model for the size-structured simulation of the growth of microalgae dividing by multiple fission has been proposed. Model results have been successfully compared with literature experimental data. Beyond enabling to simulate the dynamics of size distribution evolution, the model permits to decouple the single cell growth phase from the division.</w:t>
      </w:r>
      <w:r w:rsidR="009F6A83" w:rsidRPr="006F3506">
        <w:t xml:space="preserve"> </w:t>
      </w:r>
      <w:r w:rsidR="009F6A83" w:rsidRPr="006F3506">
        <w:rPr>
          <w:rFonts w:cs="Arial"/>
        </w:rPr>
        <w:t xml:space="preserve">Moreover, </w:t>
      </w:r>
      <w:r w:rsidR="002115C6" w:rsidRPr="006F3506">
        <w:rPr>
          <w:rFonts w:cs="Arial"/>
          <w:szCs w:val="18"/>
          <w:shd w:val="clear" w:color="auto" w:fill="FFFFFF"/>
        </w:rPr>
        <w:t>the knowledge of the size distribution at each cultivation time might be suitably exploited to optimize microalgae</w:t>
      </w:r>
      <w:r w:rsidR="002115C6" w:rsidRPr="006F3506">
        <w:rPr>
          <w:rFonts w:ascii="Courier New" w:hAnsi="Courier New" w:cs="Courier New"/>
          <w:szCs w:val="18"/>
          <w:shd w:val="clear" w:color="auto" w:fill="FFFFFF"/>
        </w:rPr>
        <w:t xml:space="preserve"> </w:t>
      </w:r>
      <w:r w:rsidRPr="00F13981">
        <w:t>cultivation and downstream processing. Finally, it has been demonstrated that</w:t>
      </w:r>
      <w:r w:rsidR="008466D8" w:rsidRPr="00F13981">
        <w:t xml:space="preserve"> </w:t>
      </w:r>
      <w:r w:rsidR="004A6CB4" w:rsidRPr="00F13981">
        <w:t xml:space="preserve">the values of </w:t>
      </w:r>
      <w:r w:rsidR="008466D8" w:rsidRPr="00E13238">
        <w:t xml:space="preserve">industrially relevant parameters such as productivity and </w:t>
      </w:r>
      <w:proofErr w:type="spellStart"/>
      <w:r w:rsidR="008466D8" w:rsidRPr="00E13238">
        <w:t>flocculant</w:t>
      </w:r>
      <w:proofErr w:type="spellEnd"/>
      <w:r w:rsidR="008466D8" w:rsidRPr="00E13238">
        <w:t xml:space="preserve"> doses </w:t>
      </w:r>
      <w:r w:rsidR="00703C06" w:rsidRPr="006F3506">
        <w:t xml:space="preserve">might be </w:t>
      </w:r>
      <w:r w:rsidR="008466D8" w:rsidRPr="006F3506">
        <w:t xml:space="preserve">strongly affected by the number </w:t>
      </w:r>
      <w:r w:rsidR="004A6CB4" w:rsidRPr="006F3506">
        <w:t xml:space="preserve">of daughter cells produced per division </w:t>
      </w:r>
      <w:r w:rsidR="00703C06" w:rsidRPr="006F3506">
        <w:t xml:space="preserve">as properly shown </w:t>
      </w:r>
      <w:r w:rsidR="004A6CB4" w:rsidRPr="006F3506">
        <w:t>by the model</w:t>
      </w:r>
      <w:r w:rsidR="00703C06" w:rsidRPr="006F3506">
        <w:t xml:space="preserve"> simulations</w:t>
      </w:r>
      <w:r w:rsidR="004A6CB4" w:rsidRPr="006F3506">
        <w:t>.</w:t>
      </w:r>
      <w:r w:rsidR="009B34A5">
        <w:t xml:space="preserve"> </w:t>
      </w:r>
      <w:r w:rsidR="005508D1" w:rsidRPr="005508D1">
        <w:t>Therefore, the proposed model might represent a useful tool to gather relevant information regarding the cultivation and processing of strains dividing by multiple fission. The only constraint consists in the need of knowing a priori the probability of division into a given number of daughters for the specific strain being considered time by time. For this reason, a dedicated experimental activity should be performed before applying this model.</w:t>
      </w:r>
    </w:p>
    <w:p w14:paraId="0F483D5C" w14:textId="77777777" w:rsidR="00600535" w:rsidRPr="006F3506" w:rsidRDefault="00600535" w:rsidP="001F52D2">
      <w:pPr>
        <w:pStyle w:val="CETReference"/>
        <w:spacing w:after="0" w:line="264" w:lineRule="auto"/>
      </w:pPr>
      <w:r w:rsidRPr="006F3506">
        <w:t>References</w:t>
      </w:r>
    </w:p>
    <w:p w14:paraId="4B064090" w14:textId="77777777" w:rsidR="00B64F3C" w:rsidRPr="006F3506" w:rsidRDefault="00B64F3C" w:rsidP="00B64F3C">
      <w:pPr>
        <w:pStyle w:val="CETReferencetext"/>
      </w:pPr>
      <w:proofErr w:type="spellStart"/>
      <w:r w:rsidRPr="006F3506">
        <w:t>Bišová</w:t>
      </w:r>
      <w:proofErr w:type="spellEnd"/>
      <w:r w:rsidRPr="006F3506">
        <w:t xml:space="preserve"> K., </w:t>
      </w:r>
      <w:proofErr w:type="spellStart"/>
      <w:r w:rsidRPr="006F3506">
        <w:t>Zachleder</w:t>
      </w:r>
      <w:proofErr w:type="spellEnd"/>
      <w:r w:rsidRPr="006F3506">
        <w:t xml:space="preserve"> V., 2014, Cell-cycle regulation in green algae dividing by multiple fission, Journal of experimental botany, 65, 2585-2602.</w:t>
      </w:r>
    </w:p>
    <w:p w14:paraId="49E7BEEF" w14:textId="77777777" w:rsidR="00B64F3C" w:rsidRPr="006F3506" w:rsidRDefault="00B64F3C" w:rsidP="00B64F3C">
      <w:pPr>
        <w:pStyle w:val="CETReferencetext"/>
      </w:pPr>
      <w:proofErr w:type="spellStart"/>
      <w:r w:rsidRPr="006F3506">
        <w:t>Chatsungnoen</w:t>
      </w:r>
      <w:proofErr w:type="spellEnd"/>
      <w:r w:rsidRPr="006F3506">
        <w:t xml:space="preserve"> T., </w:t>
      </w:r>
      <w:proofErr w:type="spellStart"/>
      <w:r w:rsidRPr="006F3506">
        <w:t>Chisti</w:t>
      </w:r>
      <w:proofErr w:type="spellEnd"/>
      <w:r w:rsidRPr="006F3506">
        <w:t xml:space="preserve"> Y., 2016, Harvesting microalgae by flocculation–sedimentation</w:t>
      </w:r>
      <w:r w:rsidR="00A2794C" w:rsidRPr="006F3506">
        <w:t>.</w:t>
      </w:r>
      <w:r w:rsidRPr="006F3506">
        <w:t xml:space="preserve"> Algal Research, 13, 271-283.</w:t>
      </w:r>
    </w:p>
    <w:p w14:paraId="5A94C2DF" w14:textId="77777777" w:rsidR="00B64F3C" w:rsidRPr="006F3506" w:rsidRDefault="00B64F3C" w:rsidP="00B64F3C">
      <w:pPr>
        <w:pStyle w:val="CETReferencetext"/>
      </w:pPr>
      <w:r w:rsidRPr="006F3506">
        <w:t xml:space="preserve">Concas A., </w:t>
      </w:r>
      <w:proofErr w:type="spellStart"/>
      <w:r w:rsidRPr="006F3506">
        <w:t>Malavasi</w:t>
      </w:r>
      <w:proofErr w:type="spellEnd"/>
      <w:r w:rsidRPr="006F3506">
        <w:t xml:space="preserve"> V., </w:t>
      </w:r>
      <w:proofErr w:type="spellStart"/>
      <w:r w:rsidRPr="006F3506">
        <w:t>Costelli</w:t>
      </w:r>
      <w:proofErr w:type="spellEnd"/>
      <w:r w:rsidRPr="006F3506">
        <w:t xml:space="preserve"> C., </w:t>
      </w:r>
      <w:proofErr w:type="spellStart"/>
      <w:r w:rsidRPr="006F3506">
        <w:t>Fadda</w:t>
      </w:r>
      <w:proofErr w:type="spellEnd"/>
      <w:r w:rsidRPr="006F3506">
        <w:t xml:space="preserve"> P., </w:t>
      </w:r>
      <w:proofErr w:type="spellStart"/>
      <w:r w:rsidRPr="006F3506">
        <w:t>Pisu</w:t>
      </w:r>
      <w:proofErr w:type="spellEnd"/>
      <w:r w:rsidRPr="006F3506">
        <w:t xml:space="preserve"> M., Cao G., 2016a, Autotrophic growth and lipid production of Chlorella sorokiniana in lab batch and BIOCOIL photobioreactors: Experiments and </w:t>
      </w:r>
      <w:r w:rsidR="00A2794C" w:rsidRPr="006F3506">
        <w:t>modelling.</w:t>
      </w:r>
      <w:r w:rsidRPr="006F3506">
        <w:t xml:space="preserve"> </w:t>
      </w:r>
      <w:proofErr w:type="spellStart"/>
      <w:r w:rsidRPr="006F3506">
        <w:t>Bioresource</w:t>
      </w:r>
      <w:proofErr w:type="spellEnd"/>
      <w:r w:rsidRPr="006F3506">
        <w:t xml:space="preserve"> Technology,  211, 327–338. </w:t>
      </w:r>
    </w:p>
    <w:p w14:paraId="1804BC02" w14:textId="77777777" w:rsidR="00B64F3C" w:rsidRPr="006F3506" w:rsidRDefault="00B64F3C" w:rsidP="00B64F3C">
      <w:pPr>
        <w:pStyle w:val="CETReferencetext"/>
      </w:pPr>
      <w:r w:rsidRPr="006F3506">
        <w:t xml:space="preserve">Concas A., </w:t>
      </w:r>
      <w:proofErr w:type="spellStart"/>
      <w:r w:rsidRPr="006F3506">
        <w:t>Pisu</w:t>
      </w:r>
      <w:proofErr w:type="spellEnd"/>
      <w:r w:rsidRPr="006F3506">
        <w:t xml:space="preserve"> M., Cao G., 2016b. A novel mathematical model to simulate the size-structured growth of microalgae strains dividing by multiple fission. Chemical Engineering Journal, 287, 252–268. </w:t>
      </w:r>
    </w:p>
    <w:p w14:paraId="08AD47C9" w14:textId="77777777" w:rsidR="00B64F3C" w:rsidRPr="006F3506" w:rsidRDefault="00B64F3C" w:rsidP="00B64F3C">
      <w:pPr>
        <w:pStyle w:val="CETReferencetext"/>
      </w:pPr>
      <w:r w:rsidRPr="006F3506">
        <w:t xml:space="preserve">Concas A., </w:t>
      </w:r>
      <w:proofErr w:type="spellStart"/>
      <w:r w:rsidRPr="006F3506">
        <w:t>Pisu</w:t>
      </w:r>
      <w:proofErr w:type="spellEnd"/>
      <w:r w:rsidRPr="006F3506">
        <w:t xml:space="preserve"> M., Cao G., 2013, Mathematical modelling of chlorella vulgaris growth in semi-batch photobioreactors fed with pure CO</w:t>
      </w:r>
      <w:r w:rsidRPr="006F3506">
        <w:rPr>
          <w:vertAlign w:val="subscript"/>
        </w:rPr>
        <w:t>2</w:t>
      </w:r>
      <w:r w:rsidR="00A2794C" w:rsidRPr="006F3506">
        <w:t>.</w:t>
      </w:r>
      <w:r w:rsidRPr="006F3506">
        <w:t xml:space="preserve"> Chemical Engineering Transactions</w:t>
      </w:r>
      <w:r w:rsidR="00A2794C" w:rsidRPr="006F3506">
        <w:t>,</w:t>
      </w:r>
      <w:r w:rsidRPr="006F3506">
        <w:t xml:space="preserve"> 32, 1021 – 1026.</w:t>
      </w:r>
    </w:p>
    <w:p w14:paraId="7AA7A030" w14:textId="77777777" w:rsidR="00B64F3C" w:rsidRPr="006F3506" w:rsidRDefault="00B64F3C" w:rsidP="00B64F3C">
      <w:pPr>
        <w:pStyle w:val="CETReferencetext"/>
      </w:pPr>
      <w:proofErr w:type="spellStart"/>
      <w:r w:rsidRPr="006F3506">
        <w:t>Rading</w:t>
      </w:r>
      <w:proofErr w:type="spellEnd"/>
      <w:r w:rsidRPr="006F3506">
        <w:t xml:space="preserve">, M.M., Engel, T.A., </w:t>
      </w:r>
      <w:proofErr w:type="spellStart"/>
      <w:r w:rsidRPr="006F3506">
        <w:t>Lipowsky</w:t>
      </w:r>
      <w:proofErr w:type="spellEnd"/>
      <w:r w:rsidRPr="006F3506">
        <w:t xml:space="preserve">, R., </w:t>
      </w:r>
      <w:proofErr w:type="spellStart"/>
      <w:r w:rsidRPr="006F3506">
        <w:t>Valleriani</w:t>
      </w:r>
      <w:proofErr w:type="spellEnd"/>
      <w:r w:rsidRPr="006F3506">
        <w:t>, A., 2011. Stationary size distributions of growing cells with binary and multiple cell division. J. Stat. Phys.</w:t>
      </w:r>
      <w:r w:rsidR="00A2794C" w:rsidRPr="006F3506">
        <w:t>,</w:t>
      </w:r>
      <w:r w:rsidRPr="006F3506">
        <w:t xml:space="preserve"> 145, 1–22.</w:t>
      </w:r>
    </w:p>
    <w:p w14:paraId="0BB95E28" w14:textId="77777777" w:rsidR="00B64F3C" w:rsidRPr="006F3506" w:rsidRDefault="00B64F3C" w:rsidP="00B64F3C">
      <w:pPr>
        <w:pStyle w:val="CETReferencetext"/>
      </w:pPr>
      <w:proofErr w:type="spellStart"/>
      <w:r w:rsidRPr="006F3506">
        <w:t>Soru</w:t>
      </w:r>
      <w:proofErr w:type="spellEnd"/>
      <w:r w:rsidRPr="006F3506">
        <w:t xml:space="preserve"> S., </w:t>
      </w:r>
      <w:proofErr w:type="spellStart"/>
      <w:r w:rsidRPr="006F3506">
        <w:t>Malavasi</w:t>
      </w:r>
      <w:proofErr w:type="spellEnd"/>
      <w:r w:rsidRPr="006F3506">
        <w:t xml:space="preserve"> V., Concas A., </w:t>
      </w:r>
      <w:proofErr w:type="spellStart"/>
      <w:r w:rsidRPr="006F3506">
        <w:t>Caboni</w:t>
      </w:r>
      <w:proofErr w:type="spellEnd"/>
      <w:r w:rsidRPr="006F3506">
        <w:t xml:space="preserve"> P., Cao G., 2018, A novel investigation of the growth and lipid production of the extremophile microalga </w:t>
      </w:r>
      <w:proofErr w:type="spellStart"/>
      <w:r w:rsidRPr="006F3506">
        <w:t>Coccomyxa</w:t>
      </w:r>
      <w:proofErr w:type="spellEnd"/>
      <w:r w:rsidRPr="006F3506">
        <w:t xml:space="preserve"> </w:t>
      </w:r>
      <w:proofErr w:type="spellStart"/>
      <w:r w:rsidRPr="006F3506">
        <w:t>melkonianii</w:t>
      </w:r>
      <w:proofErr w:type="spellEnd"/>
      <w:r w:rsidRPr="006F3506">
        <w:t xml:space="preserve"> SCCA 048 under the effect of different cultivation conditions: Experiments and </w:t>
      </w:r>
      <w:proofErr w:type="spellStart"/>
      <w:r w:rsidRPr="006F3506">
        <w:t>modeling</w:t>
      </w:r>
      <w:proofErr w:type="spellEnd"/>
      <w:r w:rsidRPr="006F3506">
        <w:t xml:space="preserve">. Chemical, Engineering, Journal, In press. </w:t>
      </w:r>
    </w:p>
    <w:p w14:paraId="56151972" w14:textId="2223E7E4" w:rsidR="00831D69" w:rsidRDefault="00B64F3C" w:rsidP="005508D1">
      <w:pPr>
        <w:pStyle w:val="CETReferencetext"/>
      </w:pPr>
      <w:r w:rsidRPr="006F3506">
        <w:t xml:space="preserve">Yamamoto M., Nozaki H., Miyazawa Y., Koide T., Kawano S., 2003, Relationship between presence of a mother cell wall and speciation in the unicellular microalga </w:t>
      </w:r>
      <w:proofErr w:type="spellStart"/>
      <w:r w:rsidRPr="006F3506">
        <w:t>Nannochloris</w:t>
      </w:r>
      <w:proofErr w:type="spellEnd"/>
      <w:r w:rsidRPr="006F3506">
        <w:t xml:space="preserve"> (</w:t>
      </w:r>
      <w:proofErr w:type="spellStart"/>
      <w:r w:rsidRPr="006F3506">
        <w:t>Chlorophyta</w:t>
      </w:r>
      <w:proofErr w:type="spellEnd"/>
      <w:r w:rsidRPr="006F3506">
        <w:t>) 1, Journal of Phycology, 39, 172-184.</w:t>
      </w:r>
    </w:p>
    <w:sectPr w:rsidR="00831D69" w:rsidSect="0077098D">
      <w:type w:val="continuous"/>
      <w:pgSz w:w="11906" w:h="16838" w:code="9"/>
      <w:pgMar w:top="1701" w:right="1418" w:bottom="1701" w:left="1701" w:header="170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0BF2F7" w15:done="0"/>
  <w15:commentEx w15:paraId="4074B237" w15:done="0"/>
  <w15:commentEx w15:paraId="5F958550" w15:done="0"/>
  <w15:commentEx w15:paraId="6865EC5D" w15:done="0"/>
  <w15:commentEx w15:paraId="57E5C291" w15:done="0"/>
  <w15:commentEx w15:paraId="246625AB" w15:done="0"/>
  <w15:commentEx w15:paraId="7DBFE7A9" w15:done="0"/>
  <w15:commentEx w15:paraId="462736BB" w15:done="0"/>
  <w15:commentEx w15:paraId="0E4865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BDB8A" w14:textId="77777777" w:rsidR="00C03F8C" w:rsidRDefault="00C03F8C" w:rsidP="004F5E36">
      <w:r>
        <w:separator/>
      </w:r>
    </w:p>
  </w:endnote>
  <w:endnote w:type="continuationSeparator" w:id="0">
    <w:p w14:paraId="06189C83" w14:textId="77777777" w:rsidR="00C03F8C" w:rsidRDefault="00C03F8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25BC6" w14:textId="77777777" w:rsidR="00C03F8C" w:rsidRDefault="00C03F8C" w:rsidP="004F5E36">
      <w:r>
        <w:separator/>
      </w:r>
    </w:p>
  </w:footnote>
  <w:footnote w:type="continuationSeparator" w:id="0">
    <w:p w14:paraId="63137868" w14:textId="77777777" w:rsidR="00C03F8C" w:rsidRDefault="00C03F8C"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Paula">
    <w15:presenceInfo w15:providerId="None" w15:userId="Ana Pa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87C"/>
    <w:rsid w:val="00010F40"/>
    <w:rsid w:val="000117CB"/>
    <w:rsid w:val="00014D20"/>
    <w:rsid w:val="0002141C"/>
    <w:rsid w:val="0003148D"/>
    <w:rsid w:val="00047D7F"/>
    <w:rsid w:val="0005094C"/>
    <w:rsid w:val="00051566"/>
    <w:rsid w:val="00062A9A"/>
    <w:rsid w:val="00065058"/>
    <w:rsid w:val="00086C39"/>
    <w:rsid w:val="000A03B2"/>
    <w:rsid w:val="000A3B79"/>
    <w:rsid w:val="000D34BE"/>
    <w:rsid w:val="000D7297"/>
    <w:rsid w:val="000E102F"/>
    <w:rsid w:val="000E36F1"/>
    <w:rsid w:val="000E3A73"/>
    <w:rsid w:val="000E414A"/>
    <w:rsid w:val="000E4BFE"/>
    <w:rsid w:val="000F093C"/>
    <w:rsid w:val="000F16BD"/>
    <w:rsid w:val="000F787B"/>
    <w:rsid w:val="0012091F"/>
    <w:rsid w:val="00126BC2"/>
    <w:rsid w:val="001308B6"/>
    <w:rsid w:val="0013121F"/>
    <w:rsid w:val="00131FAB"/>
    <w:rsid w:val="00131FE6"/>
    <w:rsid w:val="00132023"/>
    <w:rsid w:val="0013263F"/>
    <w:rsid w:val="00134DE4"/>
    <w:rsid w:val="0014034D"/>
    <w:rsid w:val="00150E59"/>
    <w:rsid w:val="00152DE3"/>
    <w:rsid w:val="0015403D"/>
    <w:rsid w:val="0016194C"/>
    <w:rsid w:val="00162642"/>
    <w:rsid w:val="00164CF9"/>
    <w:rsid w:val="001742A7"/>
    <w:rsid w:val="00184AD6"/>
    <w:rsid w:val="001A4160"/>
    <w:rsid w:val="001A704A"/>
    <w:rsid w:val="001B0349"/>
    <w:rsid w:val="001B65C1"/>
    <w:rsid w:val="001C1E6C"/>
    <w:rsid w:val="001C684B"/>
    <w:rsid w:val="001D1988"/>
    <w:rsid w:val="001D35E7"/>
    <w:rsid w:val="001D53FC"/>
    <w:rsid w:val="001F42A5"/>
    <w:rsid w:val="001F5235"/>
    <w:rsid w:val="001F52D2"/>
    <w:rsid w:val="001F78B3"/>
    <w:rsid w:val="001F7B9D"/>
    <w:rsid w:val="00206B33"/>
    <w:rsid w:val="002115C6"/>
    <w:rsid w:val="00221626"/>
    <w:rsid w:val="002224B4"/>
    <w:rsid w:val="00240687"/>
    <w:rsid w:val="002447EF"/>
    <w:rsid w:val="00251550"/>
    <w:rsid w:val="00252C1A"/>
    <w:rsid w:val="00261592"/>
    <w:rsid w:val="00263B05"/>
    <w:rsid w:val="0027221A"/>
    <w:rsid w:val="00275B61"/>
    <w:rsid w:val="00282656"/>
    <w:rsid w:val="00284FDB"/>
    <w:rsid w:val="002951FA"/>
    <w:rsid w:val="00296B83"/>
    <w:rsid w:val="00296E81"/>
    <w:rsid w:val="002B2E38"/>
    <w:rsid w:val="002B629C"/>
    <w:rsid w:val="002B786D"/>
    <w:rsid w:val="002B78CE"/>
    <w:rsid w:val="002C2FB6"/>
    <w:rsid w:val="002C7CAD"/>
    <w:rsid w:val="002D4F05"/>
    <w:rsid w:val="002D5BCD"/>
    <w:rsid w:val="002F3DD8"/>
    <w:rsid w:val="003009B7"/>
    <w:rsid w:val="00300E56"/>
    <w:rsid w:val="0030469C"/>
    <w:rsid w:val="00315F5F"/>
    <w:rsid w:val="00321CA6"/>
    <w:rsid w:val="00325498"/>
    <w:rsid w:val="00334C09"/>
    <w:rsid w:val="003365E3"/>
    <w:rsid w:val="00346A7C"/>
    <w:rsid w:val="00353D1A"/>
    <w:rsid w:val="00363444"/>
    <w:rsid w:val="003659B8"/>
    <w:rsid w:val="003723D4"/>
    <w:rsid w:val="00384CC8"/>
    <w:rsid w:val="003871FD"/>
    <w:rsid w:val="003A1E30"/>
    <w:rsid w:val="003A3626"/>
    <w:rsid w:val="003A6626"/>
    <w:rsid w:val="003A7D1C"/>
    <w:rsid w:val="003B304B"/>
    <w:rsid w:val="003B3146"/>
    <w:rsid w:val="003B60F3"/>
    <w:rsid w:val="003E0528"/>
    <w:rsid w:val="003E6546"/>
    <w:rsid w:val="003F015E"/>
    <w:rsid w:val="00400414"/>
    <w:rsid w:val="004034C9"/>
    <w:rsid w:val="00403BB8"/>
    <w:rsid w:val="004054DB"/>
    <w:rsid w:val="0041446B"/>
    <w:rsid w:val="00416CFD"/>
    <w:rsid w:val="0042642B"/>
    <w:rsid w:val="0044329C"/>
    <w:rsid w:val="00443557"/>
    <w:rsid w:val="004471D2"/>
    <w:rsid w:val="004528E9"/>
    <w:rsid w:val="00456EA3"/>
    <w:rsid w:val="004577FE"/>
    <w:rsid w:val="00457B9C"/>
    <w:rsid w:val="0046164A"/>
    <w:rsid w:val="004628D2"/>
    <w:rsid w:val="00462DCD"/>
    <w:rsid w:val="004648AD"/>
    <w:rsid w:val="004703A9"/>
    <w:rsid w:val="004760DE"/>
    <w:rsid w:val="004A004E"/>
    <w:rsid w:val="004A24CF"/>
    <w:rsid w:val="004A6CB4"/>
    <w:rsid w:val="004B0722"/>
    <w:rsid w:val="004B6721"/>
    <w:rsid w:val="004C3D1D"/>
    <w:rsid w:val="004C54C5"/>
    <w:rsid w:val="004C7913"/>
    <w:rsid w:val="004D7A33"/>
    <w:rsid w:val="004D7F5E"/>
    <w:rsid w:val="004E4DD6"/>
    <w:rsid w:val="004F5E36"/>
    <w:rsid w:val="00500253"/>
    <w:rsid w:val="005006C0"/>
    <w:rsid w:val="00507B47"/>
    <w:rsid w:val="00507CC9"/>
    <w:rsid w:val="005119A5"/>
    <w:rsid w:val="00515CD5"/>
    <w:rsid w:val="005278B7"/>
    <w:rsid w:val="00530B27"/>
    <w:rsid w:val="00532016"/>
    <w:rsid w:val="005346C8"/>
    <w:rsid w:val="00543E7D"/>
    <w:rsid w:val="00546B05"/>
    <w:rsid w:val="00547A68"/>
    <w:rsid w:val="005508D1"/>
    <w:rsid w:val="005531C9"/>
    <w:rsid w:val="00556DF3"/>
    <w:rsid w:val="00557114"/>
    <w:rsid w:val="00570A36"/>
    <w:rsid w:val="00571B77"/>
    <w:rsid w:val="00571C4B"/>
    <w:rsid w:val="00571FB5"/>
    <w:rsid w:val="00582A40"/>
    <w:rsid w:val="005B2110"/>
    <w:rsid w:val="005B3E70"/>
    <w:rsid w:val="005B61E6"/>
    <w:rsid w:val="005B78D9"/>
    <w:rsid w:val="005C6F93"/>
    <w:rsid w:val="005C77E1"/>
    <w:rsid w:val="005D263F"/>
    <w:rsid w:val="005D6A2F"/>
    <w:rsid w:val="005E1A82"/>
    <w:rsid w:val="005E3027"/>
    <w:rsid w:val="005E5ADA"/>
    <w:rsid w:val="005E794C"/>
    <w:rsid w:val="005F0A28"/>
    <w:rsid w:val="005F0E5E"/>
    <w:rsid w:val="00600535"/>
    <w:rsid w:val="00610CD6"/>
    <w:rsid w:val="00620DEE"/>
    <w:rsid w:val="00621F92"/>
    <w:rsid w:val="00625639"/>
    <w:rsid w:val="00625645"/>
    <w:rsid w:val="00627128"/>
    <w:rsid w:val="00631B33"/>
    <w:rsid w:val="0064184D"/>
    <w:rsid w:val="006422CC"/>
    <w:rsid w:val="0064361C"/>
    <w:rsid w:val="00646B01"/>
    <w:rsid w:val="00653FBA"/>
    <w:rsid w:val="00660E3E"/>
    <w:rsid w:val="006613FD"/>
    <w:rsid w:val="00662E74"/>
    <w:rsid w:val="006661E1"/>
    <w:rsid w:val="00674020"/>
    <w:rsid w:val="00680A05"/>
    <w:rsid w:val="00680C23"/>
    <w:rsid w:val="0068474F"/>
    <w:rsid w:val="00693766"/>
    <w:rsid w:val="006A3281"/>
    <w:rsid w:val="006A39F6"/>
    <w:rsid w:val="006B4888"/>
    <w:rsid w:val="006C2E45"/>
    <w:rsid w:val="006C3501"/>
    <w:rsid w:val="006C359C"/>
    <w:rsid w:val="006C544C"/>
    <w:rsid w:val="006C5579"/>
    <w:rsid w:val="006D4182"/>
    <w:rsid w:val="006E737D"/>
    <w:rsid w:val="006F3506"/>
    <w:rsid w:val="0070195D"/>
    <w:rsid w:val="00703C06"/>
    <w:rsid w:val="00710209"/>
    <w:rsid w:val="00720A24"/>
    <w:rsid w:val="00726A37"/>
    <w:rsid w:val="00732386"/>
    <w:rsid w:val="00740EC0"/>
    <w:rsid w:val="007447F3"/>
    <w:rsid w:val="0075499F"/>
    <w:rsid w:val="00755DB6"/>
    <w:rsid w:val="007661C8"/>
    <w:rsid w:val="0077098D"/>
    <w:rsid w:val="00770A37"/>
    <w:rsid w:val="00781F69"/>
    <w:rsid w:val="007931FA"/>
    <w:rsid w:val="00795D9E"/>
    <w:rsid w:val="007A7BBA"/>
    <w:rsid w:val="007B0C50"/>
    <w:rsid w:val="007C0BC7"/>
    <w:rsid w:val="007C1A43"/>
    <w:rsid w:val="007D2B06"/>
    <w:rsid w:val="007E1DC6"/>
    <w:rsid w:val="007E434B"/>
    <w:rsid w:val="007F077F"/>
    <w:rsid w:val="008024FE"/>
    <w:rsid w:val="00813288"/>
    <w:rsid w:val="008168FC"/>
    <w:rsid w:val="008271B6"/>
    <w:rsid w:val="00830996"/>
    <w:rsid w:val="00831D69"/>
    <w:rsid w:val="008345F1"/>
    <w:rsid w:val="008466D8"/>
    <w:rsid w:val="008504FF"/>
    <w:rsid w:val="00865B07"/>
    <w:rsid w:val="008667EA"/>
    <w:rsid w:val="0087637F"/>
    <w:rsid w:val="00884861"/>
    <w:rsid w:val="008904B9"/>
    <w:rsid w:val="00892AD5"/>
    <w:rsid w:val="00897158"/>
    <w:rsid w:val="008978D8"/>
    <w:rsid w:val="008A1512"/>
    <w:rsid w:val="008B0301"/>
    <w:rsid w:val="008C3895"/>
    <w:rsid w:val="008C4D7A"/>
    <w:rsid w:val="008C57CD"/>
    <w:rsid w:val="008C78C1"/>
    <w:rsid w:val="008D32B9"/>
    <w:rsid w:val="008D433B"/>
    <w:rsid w:val="008E566E"/>
    <w:rsid w:val="008E5E3B"/>
    <w:rsid w:val="008F538E"/>
    <w:rsid w:val="0090161A"/>
    <w:rsid w:val="00901EB6"/>
    <w:rsid w:val="00904C62"/>
    <w:rsid w:val="00905C43"/>
    <w:rsid w:val="00906540"/>
    <w:rsid w:val="009114CB"/>
    <w:rsid w:val="00924DAC"/>
    <w:rsid w:val="00927058"/>
    <w:rsid w:val="009376FA"/>
    <w:rsid w:val="00944568"/>
    <w:rsid w:val="009450CE"/>
    <w:rsid w:val="00947179"/>
    <w:rsid w:val="0095164B"/>
    <w:rsid w:val="00954090"/>
    <w:rsid w:val="009573E7"/>
    <w:rsid w:val="009635B9"/>
    <w:rsid w:val="00963E05"/>
    <w:rsid w:val="0096482D"/>
    <w:rsid w:val="00965A10"/>
    <w:rsid w:val="00967D54"/>
    <w:rsid w:val="0098332D"/>
    <w:rsid w:val="0099012F"/>
    <w:rsid w:val="00996483"/>
    <w:rsid w:val="00996F5A"/>
    <w:rsid w:val="009A0A3E"/>
    <w:rsid w:val="009A6F8B"/>
    <w:rsid w:val="009B041A"/>
    <w:rsid w:val="009B34A5"/>
    <w:rsid w:val="009C74D2"/>
    <w:rsid w:val="009C7C86"/>
    <w:rsid w:val="009D2FF7"/>
    <w:rsid w:val="009E7884"/>
    <w:rsid w:val="009E788A"/>
    <w:rsid w:val="009F0063"/>
    <w:rsid w:val="009F0E08"/>
    <w:rsid w:val="009F42F3"/>
    <w:rsid w:val="009F6A83"/>
    <w:rsid w:val="009F7E3F"/>
    <w:rsid w:val="009F7FE3"/>
    <w:rsid w:val="00A00915"/>
    <w:rsid w:val="00A0307B"/>
    <w:rsid w:val="00A066B4"/>
    <w:rsid w:val="00A1141B"/>
    <w:rsid w:val="00A11F28"/>
    <w:rsid w:val="00A1406B"/>
    <w:rsid w:val="00A1763D"/>
    <w:rsid w:val="00A17CEC"/>
    <w:rsid w:val="00A2794C"/>
    <w:rsid w:val="00A27EF0"/>
    <w:rsid w:val="00A45A68"/>
    <w:rsid w:val="00A5040E"/>
    <w:rsid w:val="00A50B20"/>
    <w:rsid w:val="00A51390"/>
    <w:rsid w:val="00A60D13"/>
    <w:rsid w:val="00A71EEA"/>
    <w:rsid w:val="00A72745"/>
    <w:rsid w:val="00A76AAB"/>
    <w:rsid w:val="00A76EE2"/>
    <w:rsid w:val="00A76EFC"/>
    <w:rsid w:val="00A7766E"/>
    <w:rsid w:val="00A82373"/>
    <w:rsid w:val="00A91010"/>
    <w:rsid w:val="00A97F29"/>
    <w:rsid w:val="00AA702E"/>
    <w:rsid w:val="00AB0964"/>
    <w:rsid w:val="00AB5011"/>
    <w:rsid w:val="00AC3ED9"/>
    <w:rsid w:val="00AC7368"/>
    <w:rsid w:val="00AD16B9"/>
    <w:rsid w:val="00AE11DB"/>
    <w:rsid w:val="00AE377D"/>
    <w:rsid w:val="00AE4545"/>
    <w:rsid w:val="00B17FBD"/>
    <w:rsid w:val="00B315A6"/>
    <w:rsid w:val="00B31813"/>
    <w:rsid w:val="00B33365"/>
    <w:rsid w:val="00B46CB4"/>
    <w:rsid w:val="00B52EC5"/>
    <w:rsid w:val="00B55884"/>
    <w:rsid w:val="00B55998"/>
    <w:rsid w:val="00B57B36"/>
    <w:rsid w:val="00B64F3C"/>
    <w:rsid w:val="00B7386B"/>
    <w:rsid w:val="00B8476D"/>
    <w:rsid w:val="00B860FC"/>
    <w:rsid w:val="00B8686D"/>
    <w:rsid w:val="00B941ED"/>
    <w:rsid w:val="00BA4813"/>
    <w:rsid w:val="00BB2B2F"/>
    <w:rsid w:val="00BC30C9"/>
    <w:rsid w:val="00BC343C"/>
    <w:rsid w:val="00BC796E"/>
    <w:rsid w:val="00BE3E58"/>
    <w:rsid w:val="00C01616"/>
    <w:rsid w:val="00C0162B"/>
    <w:rsid w:val="00C03F8C"/>
    <w:rsid w:val="00C1680D"/>
    <w:rsid w:val="00C31D7D"/>
    <w:rsid w:val="00C334D6"/>
    <w:rsid w:val="00C345B1"/>
    <w:rsid w:val="00C40142"/>
    <w:rsid w:val="00C45B57"/>
    <w:rsid w:val="00C557F5"/>
    <w:rsid w:val="00C57182"/>
    <w:rsid w:val="00C57863"/>
    <w:rsid w:val="00C655FD"/>
    <w:rsid w:val="00C66479"/>
    <w:rsid w:val="00C85A1E"/>
    <w:rsid w:val="00C870A8"/>
    <w:rsid w:val="00C94434"/>
    <w:rsid w:val="00CA0D75"/>
    <w:rsid w:val="00CA1C95"/>
    <w:rsid w:val="00CA5A9C"/>
    <w:rsid w:val="00CA67C7"/>
    <w:rsid w:val="00CC5BC8"/>
    <w:rsid w:val="00CD3517"/>
    <w:rsid w:val="00CD5A00"/>
    <w:rsid w:val="00CD5FE2"/>
    <w:rsid w:val="00CD7970"/>
    <w:rsid w:val="00CE5643"/>
    <w:rsid w:val="00CE7C68"/>
    <w:rsid w:val="00CF21C6"/>
    <w:rsid w:val="00D02B4C"/>
    <w:rsid w:val="00D040C4"/>
    <w:rsid w:val="00D17CD3"/>
    <w:rsid w:val="00D3601A"/>
    <w:rsid w:val="00D512A0"/>
    <w:rsid w:val="00D57C84"/>
    <w:rsid w:val="00D6057D"/>
    <w:rsid w:val="00D62806"/>
    <w:rsid w:val="00D63C6B"/>
    <w:rsid w:val="00D64118"/>
    <w:rsid w:val="00D832D9"/>
    <w:rsid w:val="00D84576"/>
    <w:rsid w:val="00DA1399"/>
    <w:rsid w:val="00DA24C6"/>
    <w:rsid w:val="00DA4D7B"/>
    <w:rsid w:val="00DC2126"/>
    <w:rsid w:val="00DD0741"/>
    <w:rsid w:val="00DE013B"/>
    <w:rsid w:val="00DE264A"/>
    <w:rsid w:val="00E00185"/>
    <w:rsid w:val="00E02D18"/>
    <w:rsid w:val="00E041E7"/>
    <w:rsid w:val="00E12935"/>
    <w:rsid w:val="00E13238"/>
    <w:rsid w:val="00E23CA1"/>
    <w:rsid w:val="00E26995"/>
    <w:rsid w:val="00E409A8"/>
    <w:rsid w:val="00E44A48"/>
    <w:rsid w:val="00E50C12"/>
    <w:rsid w:val="00E65B91"/>
    <w:rsid w:val="00E7209D"/>
    <w:rsid w:val="00E77223"/>
    <w:rsid w:val="00E8528B"/>
    <w:rsid w:val="00E85B94"/>
    <w:rsid w:val="00E978D0"/>
    <w:rsid w:val="00EA1EC7"/>
    <w:rsid w:val="00EA4613"/>
    <w:rsid w:val="00EA534F"/>
    <w:rsid w:val="00EA7F91"/>
    <w:rsid w:val="00EB1523"/>
    <w:rsid w:val="00EC0E49"/>
    <w:rsid w:val="00ED1A0B"/>
    <w:rsid w:val="00ED3179"/>
    <w:rsid w:val="00ED358A"/>
    <w:rsid w:val="00EE0131"/>
    <w:rsid w:val="00F06611"/>
    <w:rsid w:val="00F10D5F"/>
    <w:rsid w:val="00F13981"/>
    <w:rsid w:val="00F155B2"/>
    <w:rsid w:val="00F16596"/>
    <w:rsid w:val="00F30C64"/>
    <w:rsid w:val="00F32CDB"/>
    <w:rsid w:val="00F35E91"/>
    <w:rsid w:val="00F45B0D"/>
    <w:rsid w:val="00F63A70"/>
    <w:rsid w:val="00F76739"/>
    <w:rsid w:val="00F87398"/>
    <w:rsid w:val="00FA21D0"/>
    <w:rsid w:val="00FA5F5F"/>
    <w:rsid w:val="00FA7309"/>
    <w:rsid w:val="00FA7BC0"/>
    <w:rsid w:val="00FB4A00"/>
    <w:rsid w:val="00FB6E48"/>
    <w:rsid w:val="00FB730C"/>
    <w:rsid w:val="00FC2695"/>
    <w:rsid w:val="00FC3E03"/>
    <w:rsid w:val="00FC3FC1"/>
    <w:rsid w:val="00FD1039"/>
    <w:rsid w:val="00FF4BA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Enfasicorsivo">
    <w:name w:val="Emphasis"/>
    <w:qFormat/>
    <w:rsid w:val="00353D1A"/>
    <w:rPr>
      <w:i/>
      <w:iCs/>
    </w:rPr>
  </w:style>
  <w:style w:type="character" w:styleId="Testosegnaposto">
    <w:name w:val="Placeholder Text"/>
    <w:basedOn w:val="Carpredefinitoparagrafo"/>
    <w:uiPriority w:val="99"/>
    <w:semiHidden/>
    <w:rsid w:val="00CF21C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Enfasicorsivo">
    <w:name w:val="Emphasis"/>
    <w:qFormat/>
    <w:rsid w:val="00353D1A"/>
    <w:rPr>
      <w:i/>
      <w:iCs/>
    </w:rPr>
  </w:style>
  <w:style w:type="character" w:styleId="Testosegnaposto">
    <w:name w:val="Placeholder Text"/>
    <w:basedOn w:val="Carpredefinitoparagrafo"/>
    <w:uiPriority w:val="99"/>
    <w:semiHidden/>
    <w:rsid w:val="00CF21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6567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hyperlink" Target="mailto:aconcas@crs4.it"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wmf"/><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7C12-D05B-4C7F-8AE4-BF606C24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4397</Words>
  <Characters>25064</Characters>
  <Application>Microsoft Office Word</Application>
  <DocSecurity>0</DocSecurity>
  <Lines>208</Lines>
  <Paragraphs>58</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Concas</cp:lastModifiedBy>
  <cp:revision>9</cp:revision>
  <cp:lastPrinted>2015-05-12T18:31:00Z</cp:lastPrinted>
  <dcterms:created xsi:type="dcterms:W3CDTF">2019-02-19T12:00:00Z</dcterms:created>
  <dcterms:modified xsi:type="dcterms:W3CDTF">2019-03-29T14:07:00Z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http://www.zotero.org/styles/algal-research</vt:lpwstr>
  </property>
  <property fmtid="{D5CDD505-2E9C-101B-9397-08002B2CF9AE}" pid="5" name="Mendeley Recent Style Name 0_1">
    <vt:lpwstr>Algal Research</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http://www.zotero.org/styles/bioresource-technology</vt:lpwstr>
  </property>
  <property fmtid="{D5CDD505-2E9C-101B-9397-08002B2CF9AE}" pid="11" name="Mendeley Recent Style Name 3_1">
    <vt:lpwstr>Bioresource Technology</vt:lpwstr>
  </property>
  <property fmtid="{D5CDD505-2E9C-101B-9397-08002B2CF9AE}" pid="12" name="Mendeley Recent Style Id 4_1">
    <vt:lpwstr>http://www.zotero.org/styles/chemical-engineering-journal</vt:lpwstr>
  </property>
  <property fmtid="{D5CDD505-2E9C-101B-9397-08002B2CF9AE}" pid="13" name="Mendeley Recent Style Name 4_1">
    <vt:lpwstr>Chemical Engineering Journal</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77260e60-e041-3686-be8c-c763799c9686</vt:lpwstr>
  </property>
  <property fmtid="{D5CDD505-2E9C-101B-9397-08002B2CF9AE}" pid="26" name="Mendeley Citation Style_1">
    <vt:lpwstr>http://www.zotero.org/styles/bioresource-technology</vt:lpwstr>
  </property>
</Properties>
</file>