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0245F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245F3" w:rsidRDefault="000A03B2" w:rsidP="00DE264A">
            <w:pPr>
              <w:tabs>
                <w:tab w:val="left" w:pos="-108"/>
              </w:tabs>
              <w:ind w:left="-108"/>
              <w:jc w:val="left"/>
              <w:rPr>
                <w:rFonts w:cs="Arial"/>
                <w:b/>
                <w:bCs/>
                <w:i/>
                <w:iCs/>
                <w:color w:val="000066"/>
                <w:sz w:val="12"/>
                <w:szCs w:val="12"/>
                <w:lang w:eastAsia="it-IT"/>
              </w:rPr>
            </w:pPr>
            <w:r w:rsidRPr="000245F3">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245F3">
              <w:rPr>
                <w:rFonts w:ascii="AdvP6960" w:hAnsi="AdvP6960" w:cs="AdvP6960"/>
                <w:color w:val="241F20"/>
                <w:szCs w:val="18"/>
                <w:lang w:eastAsia="it-IT"/>
              </w:rPr>
              <w:t xml:space="preserve"> </w:t>
            </w:r>
            <w:r w:rsidRPr="000245F3">
              <w:rPr>
                <w:rFonts w:cs="Arial"/>
                <w:b/>
                <w:bCs/>
                <w:i/>
                <w:iCs/>
                <w:color w:val="000066"/>
                <w:sz w:val="24"/>
                <w:szCs w:val="24"/>
                <w:lang w:eastAsia="it-IT"/>
              </w:rPr>
              <w:t>CHEMICAL ENGINEERING</w:t>
            </w:r>
            <w:r w:rsidRPr="000245F3">
              <w:rPr>
                <w:rFonts w:cs="Arial"/>
                <w:b/>
                <w:bCs/>
                <w:i/>
                <w:iCs/>
                <w:color w:val="0033FF"/>
                <w:sz w:val="24"/>
                <w:szCs w:val="24"/>
                <w:lang w:eastAsia="it-IT"/>
              </w:rPr>
              <w:t xml:space="preserve"> </w:t>
            </w:r>
            <w:r w:rsidRPr="000245F3">
              <w:rPr>
                <w:rFonts w:cs="Arial"/>
                <w:b/>
                <w:bCs/>
                <w:i/>
                <w:iCs/>
                <w:color w:val="666666"/>
                <w:sz w:val="24"/>
                <w:szCs w:val="24"/>
                <w:lang w:eastAsia="it-IT"/>
              </w:rPr>
              <w:t>TRANSACTIONS</w:t>
            </w:r>
            <w:r w:rsidRPr="000245F3">
              <w:rPr>
                <w:color w:val="333333"/>
                <w:sz w:val="24"/>
                <w:szCs w:val="24"/>
                <w:lang w:eastAsia="it-IT"/>
              </w:rPr>
              <w:t xml:space="preserve"> </w:t>
            </w:r>
            <w:r w:rsidRPr="000245F3">
              <w:rPr>
                <w:rFonts w:cs="Arial"/>
                <w:b/>
                <w:bCs/>
                <w:i/>
                <w:iCs/>
                <w:color w:val="000066"/>
                <w:sz w:val="27"/>
                <w:szCs w:val="27"/>
                <w:lang w:eastAsia="it-IT"/>
              </w:rPr>
              <w:br/>
            </w:r>
          </w:p>
          <w:p w14:paraId="4B780582" w14:textId="5E019004" w:rsidR="000A03B2" w:rsidRPr="000245F3" w:rsidRDefault="00DB0451" w:rsidP="007931FA">
            <w:pPr>
              <w:tabs>
                <w:tab w:val="left" w:pos="-108"/>
              </w:tabs>
              <w:ind w:left="-108"/>
              <w:rPr>
                <w:rFonts w:cs="Arial"/>
                <w:b/>
                <w:bCs/>
                <w:i/>
                <w:iCs/>
                <w:color w:val="000066"/>
                <w:sz w:val="22"/>
                <w:szCs w:val="22"/>
                <w:lang w:eastAsia="it-IT"/>
              </w:rPr>
            </w:pPr>
            <w:r w:rsidRPr="000245F3">
              <w:rPr>
                <w:rFonts w:cs="Arial"/>
                <w:b/>
                <w:bCs/>
                <w:i/>
                <w:iCs/>
                <w:color w:val="000066"/>
                <w:sz w:val="22"/>
                <w:szCs w:val="22"/>
                <w:lang w:eastAsia="it-IT"/>
              </w:rPr>
              <w:t>VOL. 76, 2019</w:t>
            </w:r>
          </w:p>
        </w:tc>
        <w:tc>
          <w:tcPr>
            <w:tcW w:w="1843" w:type="dxa"/>
            <w:tcBorders>
              <w:left w:val="single" w:sz="4" w:space="0" w:color="auto"/>
              <w:bottom w:val="nil"/>
              <w:right w:val="single" w:sz="4" w:space="0" w:color="auto"/>
            </w:tcBorders>
          </w:tcPr>
          <w:p w14:paraId="56782132" w14:textId="77777777" w:rsidR="000A03B2" w:rsidRPr="000245F3" w:rsidRDefault="000A03B2" w:rsidP="00CD5FE2">
            <w:pPr>
              <w:spacing w:line="140" w:lineRule="atLeast"/>
              <w:jc w:val="right"/>
              <w:rPr>
                <w:rFonts w:cs="Arial"/>
                <w:sz w:val="14"/>
                <w:szCs w:val="14"/>
              </w:rPr>
            </w:pPr>
            <w:r w:rsidRPr="000245F3">
              <w:rPr>
                <w:rFonts w:cs="Arial"/>
                <w:sz w:val="14"/>
                <w:szCs w:val="14"/>
              </w:rPr>
              <w:t>A publication of</w:t>
            </w:r>
          </w:p>
          <w:p w14:paraId="599E5441" w14:textId="77777777" w:rsidR="000A03B2" w:rsidRPr="000245F3" w:rsidRDefault="000A03B2" w:rsidP="00CD5FE2">
            <w:pPr>
              <w:jc w:val="right"/>
            </w:pPr>
            <w:r w:rsidRPr="000245F3">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245F3" w14:paraId="380FA3CD" w14:textId="77777777" w:rsidTr="00DE264A">
        <w:trPr>
          <w:trHeight w:val="567"/>
          <w:jc w:val="center"/>
        </w:trPr>
        <w:tc>
          <w:tcPr>
            <w:tcW w:w="6946" w:type="dxa"/>
            <w:vMerge/>
            <w:tcBorders>
              <w:right w:val="single" w:sz="4" w:space="0" w:color="auto"/>
            </w:tcBorders>
          </w:tcPr>
          <w:p w14:paraId="39E5E4C1" w14:textId="77777777" w:rsidR="000A03B2" w:rsidRPr="000245F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245F3" w:rsidRDefault="000A03B2" w:rsidP="00CD5FE2">
            <w:pPr>
              <w:spacing w:line="140" w:lineRule="atLeast"/>
              <w:jc w:val="right"/>
              <w:rPr>
                <w:rFonts w:cs="Arial"/>
                <w:sz w:val="14"/>
                <w:szCs w:val="14"/>
              </w:rPr>
            </w:pPr>
            <w:r w:rsidRPr="000245F3">
              <w:rPr>
                <w:rFonts w:cs="Arial"/>
                <w:sz w:val="14"/>
                <w:szCs w:val="14"/>
              </w:rPr>
              <w:t>The Italian Association</w:t>
            </w:r>
          </w:p>
          <w:p w14:paraId="7522B1D2" w14:textId="77777777" w:rsidR="000A03B2" w:rsidRPr="000245F3" w:rsidRDefault="000A03B2" w:rsidP="00CD5FE2">
            <w:pPr>
              <w:spacing w:line="140" w:lineRule="atLeast"/>
              <w:jc w:val="right"/>
              <w:rPr>
                <w:rFonts w:cs="Arial"/>
                <w:sz w:val="14"/>
                <w:szCs w:val="14"/>
              </w:rPr>
            </w:pPr>
            <w:r w:rsidRPr="000245F3">
              <w:rPr>
                <w:rFonts w:cs="Arial"/>
                <w:sz w:val="14"/>
                <w:szCs w:val="14"/>
              </w:rPr>
              <w:t>of Chemical Engineering</w:t>
            </w:r>
          </w:p>
          <w:p w14:paraId="4F0CC5DE" w14:textId="1EF36BED" w:rsidR="000A03B2" w:rsidRPr="000245F3" w:rsidRDefault="000A03B2" w:rsidP="00CD5FE2">
            <w:pPr>
              <w:spacing w:line="140" w:lineRule="atLeast"/>
              <w:jc w:val="right"/>
              <w:rPr>
                <w:rFonts w:cs="Arial"/>
                <w:sz w:val="14"/>
                <w:szCs w:val="14"/>
              </w:rPr>
            </w:pPr>
            <w:r w:rsidRPr="000245F3">
              <w:rPr>
                <w:rFonts w:cs="Arial"/>
                <w:sz w:val="14"/>
                <w:szCs w:val="14"/>
              </w:rPr>
              <w:t xml:space="preserve">Online at </w:t>
            </w:r>
            <w:r w:rsidR="00892AD5" w:rsidRPr="000245F3">
              <w:rPr>
                <w:rFonts w:cs="Arial"/>
                <w:sz w:val="14"/>
                <w:szCs w:val="14"/>
              </w:rPr>
              <w:t>www.aidic.it/cet</w:t>
            </w:r>
          </w:p>
        </w:tc>
      </w:tr>
      <w:tr w:rsidR="000A03B2" w:rsidRPr="000245F3" w14:paraId="2D1B7169" w14:textId="77777777" w:rsidTr="00DE264A">
        <w:trPr>
          <w:trHeight w:val="68"/>
          <w:jc w:val="center"/>
        </w:trPr>
        <w:tc>
          <w:tcPr>
            <w:tcW w:w="8789" w:type="dxa"/>
            <w:gridSpan w:val="2"/>
          </w:tcPr>
          <w:p w14:paraId="3376A409" w14:textId="77777777" w:rsidR="00DB0451" w:rsidRPr="0049038A" w:rsidRDefault="00DB0451" w:rsidP="00DB0451">
            <w:pPr>
              <w:ind w:left="-107"/>
              <w:rPr>
                <w:lang w:val="it-IT"/>
              </w:rPr>
            </w:pPr>
            <w:r w:rsidRPr="0049038A">
              <w:rPr>
                <w:rFonts w:ascii="Tahoma" w:hAnsi="Tahoma" w:cs="Tahoma"/>
                <w:iCs/>
                <w:color w:val="333333"/>
                <w:sz w:val="14"/>
                <w:szCs w:val="14"/>
                <w:lang w:val="it-IT" w:eastAsia="it-IT"/>
              </w:rPr>
              <w:t xml:space="preserve">Guest Editors: </w:t>
            </w:r>
            <w:r w:rsidRPr="0049038A">
              <w:rPr>
                <w:rFonts w:ascii="Tahoma" w:hAnsi="Tahoma" w:cs="Tahoma"/>
                <w:sz w:val="14"/>
                <w:szCs w:val="14"/>
                <w:lang w:val="it-IT"/>
              </w:rPr>
              <w:t xml:space="preserve">Sauro Pierucci, </w:t>
            </w:r>
            <w:r w:rsidRPr="0049038A">
              <w:rPr>
                <w:rFonts w:ascii="Tahoma" w:hAnsi="Tahoma" w:cs="Tahoma"/>
                <w:sz w:val="14"/>
                <w:szCs w:val="14"/>
                <w:shd w:val="clear" w:color="auto" w:fill="FFFFFF"/>
                <w:lang w:val="it-IT"/>
              </w:rPr>
              <w:t>Jiří Jaromír Klemeš, Laura Piazza</w:t>
            </w:r>
          </w:p>
          <w:p w14:paraId="1B0F1814" w14:textId="697FAF81" w:rsidR="000A03B2" w:rsidRPr="000245F3" w:rsidRDefault="00DB0451" w:rsidP="00DB0451">
            <w:pPr>
              <w:tabs>
                <w:tab w:val="left" w:pos="-108"/>
              </w:tabs>
              <w:spacing w:line="140" w:lineRule="atLeast"/>
              <w:ind w:left="-107"/>
              <w:jc w:val="left"/>
            </w:pPr>
            <w:r w:rsidRPr="000245F3">
              <w:rPr>
                <w:rFonts w:ascii="Tahoma" w:hAnsi="Tahoma" w:cs="Tahoma"/>
                <w:iCs/>
                <w:color w:val="333333"/>
                <w:sz w:val="14"/>
                <w:szCs w:val="14"/>
                <w:lang w:eastAsia="it-IT"/>
              </w:rPr>
              <w:t>Copyright © 2019, AIDIC Servizi S.r.l.</w:t>
            </w:r>
            <w:r w:rsidRPr="000245F3">
              <w:rPr>
                <w:rFonts w:ascii="Tahoma" w:hAnsi="Tahoma" w:cs="Tahoma"/>
                <w:iCs/>
                <w:color w:val="333333"/>
                <w:sz w:val="14"/>
                <w:szCs w:val="14"/>
                <w:lang w:eastAsia="it-IT"/>
              </w:rPr>
              <w:br/>
            </w:r>
            <w:r w:rsidRPr="000245F3">
              <w:rPr>
                <w:rFonts w:ascii="Tahoma" w:hAnsi="Tahoma" w:cs="Tahoma"/>
                <w:b/>
                <w:iCs/>
                <w:color w:val="000000"/>
                <w:sz w:val="14"/>
                <w:szCs w:val="14"/>
                <w:lang w:eastAsia="it-IT"/>
              </w:rPr>
              <w:t>ISBN</w:t>
            </w:r>
            <w:r w:rsidRPr="000245F3">
              <w:rPr>
                <w:rFonts w:ascii="Tahoma" w:hAnsi="Tahoma" w:cs="Tahoma"/>
                <w:iCs/>
                <w:color w:val="000000"/>
                <w:sz w:val="14"/>
                <w:szCs w:val="14"/>
                <w:lang w:eastAsia="it-IT"/>
              </w:rPr>
              <w:t xml:space="preserve"> </w:t>
            </w:r>
            <w:r w:rsidRPr="000245F3">
              <w:rPr>
                <w:rFonts w:ascii="Tahoma" w:hAnsi="Tahoma" w:cs="Tahoma"/>
                <w:sz w:val="14"/>
                <w:szCs w:val="14"/>
              </w:rPr>
              <w:t>978-88-95608-73-0</w:t>
            </w:r>
            <w:r w:rsidRPr="000245F3">
              <w:rPr>
                <w:rFonts w:ascii="Tahoma" w:hAnsi="Tahoma" w:cs="Tahoma"/>
                <w:iCs/>
                <w:color w:val="333333"/>
                <w:sz w:val="14"/>
                <w:szCs w:val="14"/>
                <w:lang w:eastAsia="it-IT"/>
              </w:rPr>
              <w:t xml:space="preserve">; </w:t>
            </w:r>
            <w:r w:rsidRPr="000245F3">
              <w:rPr>
                <w:rFonts w:ascii="Tahoma" w:hAnsi="Tahoma" w:cs="Tahoma"/>
                <w:b/>
                <w:iCs/>
                <w:color w:val="333333"/>
                <w:sz w:val="14"/>
                <w:szCs w:val="14"/>
                <w:lang w:eastAsia="it-IT"/>
              </w:rPr>
              <w:t>ISSN</w:t>
            </w:r>
            <w:r w:rsidRPr="000245F3">
              <w:rPr>
                <w:rFonts w:ascii="Tahoma" w:hAnsi="Tahoma" w:cs="Tahoma"/>
                <w:iCs/>
                <w:color w:val="333333"/>
                <w:sz w:val="14"/>
                <w:szCs w:val="14"/>
                <w:lang w:eastAsia="it-IT"/>
              </w:rPr>
              <w:t xml:space="preserve"> 2283-9216</w:t>
            </w:r>
          </w:p>
        </w:tc>
      </w:tr>
    </w:tbl>
    <w:p w14:paraId="10DAA130" w14:textId="77777777" w:rsidR="000A03B2" w:rsidRPr="000245F3" w:rsidRDefault="000A03B2" w:rsidP="000A03B2">
      <w:pPr>
        <w:pStyle w:val="CETAuthors"/>
        <w:rPr>
          <w:noProof w:val="0"/>
        </w:rPr>
        <w:sectPr w:rsidR="000A03B2" w:rsidRPr="000245F3" w:rsidSect="00CD5FE2">
          <w:type w:val="continuous"/>
          <w:pgSz w:w="11906" w:h="16838" w:code="9"/>
          <w:pgMar w:top="1701" w:right="1418" w:bottom="1701" w:left="1701" w:header="1701" w:footer="0" w:gutter="0"/>
          <w:cols w:space="708"/>
          <w:titlePg/>
          <w:docGrid w:linePitch="360"/>
        </w:sectPr>
      </w:pPr>
    </w:p>
    <w:p w14:paraId="2E667253" w14:textId="23A3EDD2" w:rsidR="00E978D0" w:rsidRPr="000245F3" w:rsidRDefault="00307D1C" w:rsidP="00307D1C">
      <w:pPr>
        <w:pStyle w:val="CETTitle"/>
      </w:pPr>
      <w:r w:rsidRPr="000245F3">
        <w:lastRenderedPageBreak/>
        <w:t>M</w:t>
      </w:r>
      <w:r w:rsidR="00D41D6A" w:rsidRPr="000245F3">
        <w:t xml:space="preserve">ajor </w:t>
      </w:r>
      <w:r w:rsidRPr="000245F3">
        <w:t>A</w:t>
      </w:r>
      <w:r w:rsidR="00D41D6A" w:rsidRPr="000245F3">
        <w:t>ccident Prevention: a</w:t>
      </w:r>
      <w:r w:rsidRPr="000245F3">
        <w:t xml:space="preserve"> C</w:t>
      </w:r>
      <w:r w:rsidR="00D41D6A" w:rsidRPr="000245F3">
        <w:t>onstruction Site Approach</w:t>
      </w:r>
      <w:r w:rsidRPr="000245F3">
        <w:t xml:space="preserve"> </w:t>
      </w:r>
      <w:r w:rsidR="00D41D6A" w:rsidRPr="000245F3">
        <w:t>for Pro-active Management of Unsafe Conditions</w:t>
      </w:r>
    </w:p>
    <w:p w14:paraId="2B3CA35C" w14:textId="0616D7A6" w:rsidR="00E978D0" w:rsidRPr="0049038A" w:rsidRDefault="001743EB" w:rsidP="00AB5011">
      <w:pPr>
        <w:pStyle w:val="CETAuthors"/>
        <w:rPr>
          <w:noProof w:val="0"/>
          <w:lang w:val="it-IT"/>
        </w:rPr>
      </w:pPr>
      <w:r w:rsidRPr="0049038A">
        <w:rPr>
          <w:noProof w:val="0"/>
          <w:lang w:val="it-IT"/>
        </w:rPr>
        <w:t>Daniele Cermelli</w:t>
      </w:r>
      <w:r w:rsidR="00A354E9" w:rsidRPr="0049038A">
        <w:rPr>
          <w:noProof w:val="0"/>
          <w:lang w:val="it-IT"/>
        </w:rPr>
        <w:t>*</w:t>
      </w:r>
      <w:r w:rsidR="00307D1C" w:rsidRPr="0049038A">
        <w:rPr>
          <w:noProof w:val="0"/>
          <w:lang w:val="it-IT"/>
        </w:rPr>
        <w:t xml:space="preserve">, </w:t>
      </w:r>
      <w:r w:rsidR="006F487C" w:rsidRPr="0049038A">
        <w:rPr>
          <w:noProof w:val="0"/>
          <w:lang w:val="it-IT"/>
        </w:rPr>
        <w:t>Margherita Pettinato,</w:t>
      </w:r>
      <w:r w:rsidR="00D564F5" w:rsidRPr="0049038A">
        <w:rPr>
          <w:noProof w:val="0"/>
          <w:lang w:val="it-IT"/>
        </w:rPr>
        <w:t xml:space="preserve"> Fabio Currò,</w:t>
      </w:r>
      <w:r w:rsidR="006F487C" w:rsidRPr="0049038A">
        <w:rPr>
          <w:noProof w:val="0"/>
          <w:lang w:val="it-IT"/>
        </w:rPr>
        <w:t xml:space="preserve"> </w:t>
      </w:r>
      <w:r w:rsidR="00307D1C" w:rsidRPr="0049038A">
        <w:rPr>
          <w:noProof w:val="0"/>
          <w:lang w:val="it-IT"/>
        </w:rPr>
        <w:t>Bruno Fabiano</w:t>
      </w:r>
    </w:p>
    <w:p w14:paraId="38D29194" w14:textId="61C3B125" w:rsidR="00E978D0" w:rsidRPr="000245F3" w:rsidRDefault="00D41D6A" w:rsidP="00E978D0">
      <w:pPr>
        <w:pStyle w:val="CETAddress"/>
        <w:rPr>
          <w:noProof w:val="0"/>
        </w:rPr>
      </w:pPr>
      <w:r w:rsidRPr="000245F3">
        <w:rPr>
          <w:noProof w:val="0"/>
        </w:rPr>
        <w:t xml:space="preserve">DICCA </w:t>
      </w:r>
      <w:r w:rsidR="00FA07F5" w:rsidRPr="000245F3">
        <w:rPr>
          <w:noProof w:val="0"/>
        </w:rPr>
        <w:t>Department of</w:t>
      </w:r>
      <w:r w:rsidR="00307D1C" w:rsidRPr="000245F3">
        <w:rPr>
          <w:noProof w:val="0"/>
        </w:rPr>
        <w:t xml:space="preserve"> Civil, Chemical and Enviro</w:t>
      </w:r>
      <w:r w:rsidR="00FA07F5" w:rsidRPr="000245F3">
        <w:rPr>
          <w:noProof w:val="0"/>
        </w:rPr>
        <w:t xml:space="preserve">nmental Engineering, </w:t>
      </w:r>
      <w:r w:rsidRPr="000245F3">
        <w:rPr>
          <w:noProof w:val="0"/>
        </w:rPr>
        <w:t xml:space="preserve">Polytechnic School of </w:t>
      </w:r>
      <w:r w:rsidR="00307D1C" w:rsidRPr="000245F3">
        <w:rPr>
          <w:noProof w:val="0"/>
        </w:rPr>
        <w:t>Geno</w:t>
      </w:r>
      <w:r w:rsidR="00FA07F5" w:rsidRPr="000245F3">
        <w:rPr>
          <w:noProof w:val="0"/>
        </w:rPr>
        <w:t>a University, via Opera Pia 15,</w:t>
      </w:r>
      <w:r w:rsidR="00307D1C" w:rsidRPr="000245F3">
        <w:rPr>
          <w:noProof w:val="0"/>
        </w:rPr>
        <w:t>16145 Genoa, Italy</w:t>
      </w:r>
      <w:r w:rsidR="00E978D0" w:rsidRPr="000245F3">
        <w:rPr>
          <w:noProof w:val="0"/>
        </w:rPr>
        <w:t xml:space="preserve"> </w:t>
      </w:r>
    </w:p>
    <w:p w14:paraId="0127A28D" w14:textId="3C43EF12" w:rsidR="00E978D0" w:rsidRPr="000245F3" w:rsidRDefault="00A354E9" w:rsidP="00E978D0">
      <w:pPr>
        <w:pStyle w:val="CETemail"/>
        <w:rPr>
          <w:noProof w:val="0"/>
        </w:rPr>
      </w:pPr>
      <w:r w:rsidRPr="000245F3">
        <w:rPr>
          <w:noProof w:val="0"/>
        </w:rPr>
        <w:t>daniele.cermelli@gmail.com</w:t>
      </w:r>
    </w:p>
    <w:p w14:paraId="5A9DBA06" w14:textId="77777777" w:rsidR="00307D1C" w:rsidRPr="000245F3" w:rsidRDefault="00307D1C" w:rsidP="00600535">
      <w:pPr>
        <w:pStyle w:val="CETBodytext"/>
        <w:rPr>
          <w:lang w:val="en-GB"/>
        </w:rPr>
      </w:pPr>
    </w:p>
    <w:p w14:paraId="6C318D09" w14:textId="2160D56D" w:rsidR="00307D1C" w:rsidRPr="0049038A" w:rsidRDefault="00675FCA" w:rsidP="00821E8E">
      <w:pPr>
        <w:pStyle w:val="CETBodytext"/>
        <w:rPr>
          <w:lang w:val="en-GB"/>
        </w:rPr>
      </w:pPr>
      <w:r w:rsidRPr="000245F3">
        <w:rPr>
          <w:lang w:val="en-GB"/>
        </w:rPr>
        <w:t xml:space="preserve">In </w:t>
      </w:r>
      <w:r w:rsidR="00771A87" w:rsidRPr="000245F3">
        <w:rPr>
          <w:lang w:val="en-GB"/>
        </w:rPr>
        <w:t>large-scale</w:t>
      </w:r>
      <w:r w:rsidRPr="000245F3">
        <w:rPr>
          <w:lang w:val="en-GB"/>
        </w:rPr>
        <w:t xml:space="preserve"> construction projects</w:t>
      </w:r>
      <w:r w:rsidR="00FA07F5" w:rsidRPr="000245F3">
        <w:rPr>
          <w:lang w:val="en-GB"/>
        </w:rPr>
        <w:t>,</w:t>
      </w:r>
      <w:r w:rsidRPr="000245F3">
        <w:rPr>
          <w:lang w:val="en-GB"/>
        </w:rPr>
        <w:t xml:space="preserve"> site situation and surrounding environment can change daily. This is due </w:t>
      </w:r>
      <w:r w:rsidRPr="0049038A">
        <w:rPr>
          <w:lang w:val="en-GB"/>
        </w:rPr>
        <w:t xml:space="preserve">to multiple factors acting as “incident </w:t>
      </w:r>
      <w:r w:rsidR="002D7FE7" w:rsidRPr="0049038A">
        <w:rPr>
          <w:lang w:val="en-GB"/>
        </w:rPr>
        <w:t>catalysts</w:t>
      </w:r>
      <w:r w:rsidRPr="0049038A">
        <w:rPr>
          <w:lang w:val="en-GB"/>
        </w:rPr>
        <w:t>”, like less, or un-skilled workers, outsourcing, more complex construction phases (heights or confined spaces), under pressure working conditions</w:t>
      </w:r>
      <w:r w:rsidR="00771A87" w:rsidRPr="0049038A">
        <w:rPr>
          <w:lang w:val="en-GB"/>
        </w:rPr>
        <w:t>, as</w:t>
      </w:r>
      <w:r w:rsidRPr="0049038A">
        <w:rPr>
          <w:lang w:val="en-GB"/>
        </w:rPr>
        <w:t xml:space="preserve"> well as changes in environmental conditions (e.g. wind, temperature, etc.).</w:t>
      </w:r>
      <w:r w:rsidR="002953B9">
        <w:rPr>
          <w:lang w:val="en-GB"/>
        </w:rPr>
        <w:t xml:space="preserve"> It is </w:t>
      </w:r>
      <w:r w:rsidR="00821E8E" w:rsidRPr="0049038A">
        <w:rPr>
          <w:lang w:val="en-GB"/>
        </w:rPr>
        <w:t xml:space="preserve">essential to acquire a statistical significant reference concerning the unsafe acts and risky behaviour to </w:t>
      </w:r>
      <w:r w:rsidR="002953B9">
        <w:rPr>
          <w:lang w:val="en-GB"/>
        </w:rPr>
        <w:t>implement</w:t>
      </w:r>
      <w:r w:rsidR="00815EAB">
        <w:rPr>
          <w:lang w:val="en-GB"/>
        </w:rPr>
        <w:t xml:space="preserve"> proactive</w:t>
      </w:r>
      <w:r w:rsidR="002953B9">
        <w:rPr>
          <w:lang w:val="en-GB"/>
        </w:rPr>
        <w:t xml:space="preserve"> measures</w:t>
      </w:r>
      <w:r w:rsidR="00821E8E" w:rsidRPr="0049038A">
        <w:rPr>
          <w:lang w:val="en-GB"/>
        </w:rPr>
        <w:t xml:space="preserve"> prevent</w:t>
      </w:r>
      <w:r w:rsidR="002953B9">
        <w:rPr>
          <w:lang w:val="en-GB"/>
        </w:rPr>
        <w:t>ing</w:t>
      </w:r>
      <w:r w:rsidR="00821E8E" w:rsidRPr="0049038A">
        <w:rPr>
          <w:lang w:val="en-GB"/>
        </w:rPr>
        <w:t xml:space="preserve"> occurrences of major incidents. In this paper, the construction phase in the Middle East of one of the world’s largest oil and petrochemical integrated complex was considered. Starting from the accident/incident pyramid approach, management, direct field supervisors</w:t>
      </w:r>
      <w:r w:rsidR="00376EBF" w:rsidRPr="0049038A">
        <w:rPr>
          <w:lang w:val="en-GB"/>
        </w:rPr>
        <w:t>,</w:t>
      </w:r>
      <w:r w:rsidR="00821E8E" w:rsidRPr="0049038A">
        <w:rPr>
          <w:lang w:val="en-GB"/>
        </w:rPr>
        <w:t xml:space="preserve"> as well as subcontractors were involved in the development and upgrading of a Multilayer Reporting System</w:t>
      </w:r>
      <w:r w:rsidR="00376EBF" w:rsidRPr="0049038A">
        <w:rPr>
          <w:lang w:val="en-GB"/>
        </w:rPr>
        <w:t>,</w:t>
      </w:r>
      <w:r w:rsidR="00821E8E" w:rsidRPr="0049038A">
        <w:rPr>
          <w:lang w:val="en-GB"/>
        </w:rPr>
        <w:t xml:space="preserve"> covering any risk </w:t>
      </w:r>
      <w:r w:rsidR="002D7FE7" w:rsidRPr="0049038A">
        <w:rPr>
          <w:lang w:val="en-GB"/>
        </w:rPr>
        <w:t>behaviours</w:t>
      </w:r>
      <w:r w:rsidR="00026CA7" w:rsidRPr="0049038A">
        <w:rPr>
          <w:lang w:val="en-GB"/>
        </w:rPr>
        <w:t>, un</w:t>
      </w:r>
      <w:r w:rsidR="00821E8E" w:rsidRPr="0049038A">
        <w:rPr>
          <w:lang w:val="en-GB"/>
        </w:rPr>
        <w:t xml:space="preserve">safe situation, violations or acts, safety or environmental issues, near misses as well as minor, </w:t>
      </w:r>
      <w:r w:rsidR="002953B9">
        <w:rPr>
          <w:lang w:val="en-GB"/>
        </w:rPr>
        <w:t>or major accidents</w:t>
      </w:r>
      <w:r w:rsidR="00026CA7" w:rsidRPr="0049038A">
        <w:rPr>
          <w:lang w:val="en-GB"/>
        </w:rPr>
        <w:t>.</w:t>
      </w:r>
      <w:r w:rsidR="00821E8E" w:rsidRPr="0049038A">
        <w:rPr>
          <w:lang w:val="en-GB"/>
        </w:rPr>
        <w:t xml:space="preserve"> The modular approach provided a comprehensive overview of the core human and technical issues in the construction </w:t>
      </w:r>
      <w:r w:rsidR="00B00C59">
        <w:rPr>
          <w:lang w:val="en-GB"/>
        </w:rPr>
        <w:t xml:space="preserve">and testing </w:t>
      </w:r>
      <w:r w:rsidR="00821E8E" w:rsidRPr="0049038A">
        <w:rPr>
          <w:lang w:val="en-GB"/>
        </w:rPr>
        <w:t>o</w:t>
      </w:r>
      <w:r w:rsidR="00376EBF" w:rsidRPr="0049038A">
        <w:rPr>
          <w:lang w:val="en-GB"/>
        </w:rPr>
        <w:t>f the process plant, suggesting</w:t>
      </w:r>
      <w:r w:rsidR="00821E8E" w:rsidRPr="0049038A">
        <w:rPr>
          <w:lang w:val="en-GB"/>
        </w:rPr>
        <w:t xml:space="preserve"> how to implement technical and managerial solutions to </w:t>
      </w:r>
      <w:r w:rsidR="00376EBF" w:rsidRPr="0049038A">
        <w:rPr>
          <w:lang w:val="en-GB"/>
        </w:rPr>
        <w:t>handle</w:t>
      </w:r>
      <w:r w:rsidR="00821E8E" w:rsidRPr="0049038A">
        <w:rPr>
          <w:lang w:val="en-GB"/>
        </w:rPr>
        <w:t xml:space="preserve"> them effectively, reduce the likelihood of errors, violations and avoid damages to the facilities, environment and humans.</w:t>
      </w:r>
    </w:p>
    <w:p w14:paraId="476B2F2E" w14:textId="77777777" w:rsidR="00600535" w:rsidRPr="0049038A" w:rsidRDefault="00600535" w:rsidP="00600535">
      <w:pPr>
        <w:pStyle w:val="CETHeading1"/>
        <w:rPr>
          <w:lang w:val="en-GB"/>
        </w:rPr>
      </w:pPr>
      <w:r w:rsidRPr="0049038A">
        <w:rPr>
          <w:lang w:val="en-GB"/>
        </w:rPr>
        <w:t>Introduction</w:t>
      </w:r>
    </w:p>
    <w:p w14:paraId="072E9A06" w14:textId="05489371" w:rsidR="0077461E" w:rsidRPr="000245F3" w:rsidRDefault="00FA07F5" w:rsidP="00E56806">
      <w:pPr>
        <w:pStyle w:val="CETBodytext"/>
        <w:rPr>
          <w:lang w:val="en-GB"/>
        </w:rPr>
      </w:pPr>
      <w:r w:rsidRPr="0049038A">
        <w:rPr>
          <w:lang w:val="en-GB"/>
        </w:rPr>
        <w:t xml:space="preserve">Construction sites are becoming everyday more and more challenging due to the todays more than ever dynamics of projects, their schedules, owner’s requirements and the increased employment of low skilled workforces. </w:t>
      </w:r>
      <w:r w:rsidR="00D564F5" w:rsidRPr="0049038A">
        <w:rPr>
          <w:lang w:val="en-GB"/>
        </w:rPr>
        <w:t xml:space="preserve">The International Labour </w:t>
      </w:r>
      <w:r w:rsidR="00771A87" w:rsidRPr="0049038A">
        <w:rPr>
          <w:lang w:val="en-GB"/>
        </w:rPr>
        <w:t>Organization</w:t>
      </w:r>
      <w:r w:rsidR="00D564F5" w:rsidRPr="0049038A">
        <w:rPr>
          <w:lang w:val="en-GB"/>
        </w:rPr>
        <w:t xml:space="preserve"> (ILO) estimated that the construction sector accounts for one in every six fatal accidents recorded at work annually </w:t>
      </w:r>
      <w:r w:rsidR="00E75F1A" w:rsidRPr="0049038A">
        <w:rPr>
          <w:lang w:val="en-GB"/>
        </w:rPr>
        <w:t>with</w:t>
      </w:r>
      <w:r w:rsidR="00D564F5" w:rsidRPr="0049038A">
        <w:rPr>
          <w:lang w:val="en-GB"/>
        </w:rPr>
        <w:t xml:space="preserve"> at least 60,000 fatal accidents occur</w:t>
      </w:r>
      <w:r w:rsidR="00E75F1A" w:rsidRPr="0049038A">
        <w:rPr>
          <w:lang w:val="en-GB"/>
        </w:rPr>
        <w:t>ring</w:t>
      </w:r>
      <w:r w:rsidR="00D564F5" w:rsidRPr="0049038A">
        <w:rPr>
          <w:lang w:val="en-GB"/>
        </w:rPr>
        <w:t xml:space="preserve"> each year on construction sites around the world, averaging one fatality every 10 min (Lingard, 2013). </w:t>
      </w:r>
      <w:r w:rsidR="004D2DA2" w:rsidRPr="0049038A">
        <w:rPr>
          <w:lang w:val="en-GB"/>
        </w:rPr>
        <w:t>EU statistics evi</w:t>
      </w:r>
      <w:r w:rsidR="00D564F5" w:rsidRPr="0049038A">
        <w:rPr>
          <w:lang w:val="en-GB"/>
        </w:rPr>
        <w:t xml:space="preserve">denced that construction environment is still one of the most hazardous with more </w:t>
      </w:r>
      <w:r w:rsidR="004D2DA2" w:rsidRPr="0049038A">
        <w:rPr>
          <w:lang w:val="en-GB"/>
        </w:rPr>
        <w:t xml:space="preserve">than 1,000 </w:t>
      </w:r>
      <w:r w:rsidR="00E75F1A" w:rsidRPr="0049038A">
        <w:rPr>
          <w:lang w:val="en-GB"/>
        </w:rPr>
        <w:t>fatalities</w:t>
      </w:r>
      <w:r w:rsidR="004D2DA2" w:rsidRPr="0049038A">
        <w:rPr>
          <w:lang w:val="en-GB"/>
        </w:rPr>
        <w:t xml:space="preserve"> and over 800,000 workers suffer</w:t>
      </w:r>
      <w:r w:rsidR="00E75F1A" w:rsidRPr="0049038A">
        <w:rPr>
          <w:lang w:val="en-GB"/>
        </w:rPr>
        <w:t>ing</w:t>
      </w:r>
      <w:r w:rsidR="004D2DA2" w:rsidRPr="0049038A">
        <w:rPr>
          <w:lang w:val="en-GB"/>
        </w:rPr>
        <w:t xml:space="preserve"> injuries on a year basis </w:t>
      </w:r>
      <w:r w:rsidR="008E3051" w:rsidRPr="0049038A">
        <w:rPr>
          <w:lang w:val="en-GB"/>
        </w:rPr>
        <w:t xml:space="preserve">(EU-OSHA, 2017). </w:t>
      </w:r>
      <w:r w:rsidR="00D564F5" w:rsidRPr="0049038A">
        <w:rPr>
          <w:lang w:val="en-GB"/>
        </w:rPr>
        <w:t>Similar statistical trends</w:t>
      </w:r>
      <w:r w:rsidR="006F487C" w:rsidRPr="0049038A">
        <w:rPr>
          <w:lang w:val="en-GB"/>
        </w:rPr>
        <w:t xml:space="preserve"> were</w:t>
      </w:r>
      <w:r w:rsidR="00457FF5" w:rsidRPr="0049038A">
        <w:rPr>
          <w:lang w:val="en-GB"/>
        </w:rPr>
        <w:t xml:space="preserve"> </w:t>
      </w:r>
      <w:r w:rsidR="006F487C" w:rsidRPr="0049038A">
        <w:rPr>
          <w:lang w:val="en-GB"/>
        </w:rPr>
        <w:t xml:space="preserve">recorded in </w:t>
      </w:r>
      <w:r w:rsidR="00E75F1A" w:rsidRPr="0049038A">
        <w:rPr>
          <w:lang w:val="en-GB"/>
        </w:rPr>
        <w:t>U.S.A.</w:t>
      </w:r>
      <w:r w:rsidR="006F487C" w:rsidRPr="0049038A">
        <w:rPr>
          <w:lang w:val="en-GB"/>
        </w:rPr>
        <w:t xml:space="preserve"> (Bureau of Labor Statist</w:t>
      </w:r>
      <w:r w:rsidR="00EC08C8" w:rsidRPr="0049038A">
        <w:rPr>
          <w:lang w:val="en-GB"/>
        </w:rPr>
        <w:t>ics, 2016) and in Great Britain (</w:t>
      </w:r>
      <w:r w:rsidR="00DC7317" w:rsidRPr="0049038A">
        <w:rPr>
          <w:lang w:val="en-GB"/>
        </w:rPr>
        <w:t xml:space="preserve">HSE, </w:t>
      </w:r>
      <w:r w:rsidR="00EC08C8" w:rsidRPr="0049038A">
        <w:rPr>
          <w:lang w:val="en-GB"/>
        </w:rPr>
        <w:t>2016).</w:t>
      </w:r>
      <w:r w:rsidR="001E6B57" w:rsidRPr="0049038A">
        <w:rPr>
          <w:lang w:val="en-GB"/>
        </w:rPr>
        <w:t xml:space="preserve"> </w:t>
      </w:r>
      <w:r w:rsidRPr="0049038A">
        <w:rPr>
          <w:lang w:val="en-GB"/>
        </w:rPr>
        <w:t>Major accidents in today’s industry are not occurring with any sign of them</w:t>
      </w:r>
      <w:r w:rsidR="00E75F1A" w:rsidRPr="0049038A">
        <w:rPr>
          <w:lang w:val="en-GB"/>
        </w:rPr>
        <w:t>:</w:t>
      </w:r>
      <w:r w:rsidR="00500948" w:rsidRPr="0049038A">
        <w:rPr>
          <w:lang w:val="en-GB"/>
        </w:rPr>
        <w:t xml:space="preserve"> </w:t>
      </w:r>
      <w:r w:rsidR="00E75F1A" w:rsidRPr="0049038A">
        <w:rPr>
          <w:lang w:val="en-GB"/>
        </w:rPr>
        <w:t>a</w:t>
      </w:r>
      <w:r w:rsidRPr="0049038A">
        <w:rPr>
          <w:lang w:val="en-GB"/>
        </w:rPr>
        <w:t>ctually</w:t>
      </w:r>
      <w:r w:rsidR="00376EBF" w:rsidRPr="0049038A">
        <w:rPr>
          <w:lang w:val="en-GB"/>
        </w:rPr>
        <w:t>,</w:t>
      </w:r>
      <w:r w:rsidRPr="0049038A">
        <w:rPr>
          <w:lang w:val="en-GB"/>
        </w:rPr>
        <w:t xml:space="preserve"> many signs are present in the working site</w:t>
      </w:r>
      <w:r w:rsidR="00500948" w:rsidRPr="0049038A">
        <w:rPr>
          <w:lang w:val="en-GB"/>
        </w:rPr>
        <w:t>,</w:t>
      </w:r>
      <w:r w:rsidRPr="0049038A">
        <w:rPr>
          <w:lang w:val="en-GB"/>
        </w:rPr>
        <w:t xml:space="preserve"> such as from worker</w:t>
      </w:r>
      <w:r w:rsidR="0017519E" w:rsidRPr="0049038A">
        <w:rPr>
          <w:lang w:val="en-GB"/>
        </w:rPr>
        <w:t>s’</w:t>
      </w:r>
      <w:r w:rsidRPr="0049038A">
        <w:rPr>
          <w:lang w:val="en-GB"/>
        </w:rPr>
        <w:t xml:space="preserve"> risk behavio</w:t>
      </w:r>
      <w:r w:rsidR="000245F3" w:rsidRPr="0049038A">
        <w:rPr>
          <w:lang w:val="en-GB"/>
        </w:rPr>
        <w:t>u</w:t>
      </w:r>
      <w:r w:rsidRPr="0049038A">
        <w:rPr>
          <w:lang w:val="en-GB"/>
        </w:rPr>
        <w:t>rs, violations or unsafe acts, to u</w:t>
      </w:r>
      <w:r w:rsidR="00500948" w:rsidRPr="0049038A">
        <w:rPr>
          <w:lang w:val="en-GB"/>
        </w:rPr>
        <w:t xml:space="preserve">nsafe situations or environment, </w:t>
      </w:r>
      <w:r w:rsidRPr="0049038A">
        <w:rPr>
          <w:lang w:val="en-GB"/>
        </w:rPr>
        <w:t xml:space="preserve">near misses and minor accidents. All of these mentioned conditions are clear pre-alerts or predecessors, which are pointing out at a possible major accident occurrence in the future. </w:t>
      </w:r>
      <w:r w:rsidR="006C3E26" w:rsidRPr="0049038A">
        <w:rPr>
          <w:lang w:val="en-GB"/>
        </w:rPr>
        <w:t>Incidents result as consequence of human, organizational, mechanical, and operational failures, with physiological differences between major accidents and minor incidents related to the actual activities involved, the amount of energy released, the characteristics and number of safety barriers or protection layers that were in place, or could have been rele</w:t>
      </w:r>
      <w:r w:rsidR="00026CA7" w:rsidRPr="0049038A">
        <w:rPr>
          <w:lang w:val="en-GB"/>
        </w:rPr>
        <w:t>vant to the final incident. But</w:t>
      </w:r>
      <w:r w:rsidR="006C3E26" w:rsidRPr="0049038A">
        <w:rPr>
          <w:lang w:val="en-GB"/>
        </w:rPr>
        <w:t xml:space="preserve"> major accidents in </w:t>
      </w:r>
      <w:r w:rsidR="001E6B57" w:rsidRPr="0049038A">
        <w:rPr>
          <w:lang w:val="en-GB"/>
        </w:rPr>
        <w:t>industrial settings</w:t>
      </w:r>
      <w:r w:rsidR="006C3E26" w:rsidRPr="0049038A">
        <w:rPr>
          <w:lang w:val="en-GB"/>
        </w:rPr>
        <w:t xml:space="preserve"> </w:t>
      </w:r>
      <w:r w:rsidR="00E14BD4" w:rsidRPr="0049038A">
        <w:rPr>
          <w:lang w:val="en-GB"/>
        </w:rPr>
        <w:t>are only</w:t>
      </w:r>
      <w:r w:rsidR="00E75F1A" w:rsidRPr="0049038A">
        <w:rPr>
          <w:lang w:val="en-GB"/>
        </w:rPr>
        <w:t xml:space="preserve"> the tip of the incident/</w:t>
      </w:r>
      <w:r w:rsidR="006C3E26" w:rsidRPr="0049038A">
        <w:rPr>
          <w:lang w:val="en-GB"/>
        </w:rPr>
        <w:t xml:space="preserve">accident pyramid, firstly illustrated in 1931 by Heinrich in his old fashioned work </w:t>
      </w:r>
      <w:r w:rsidR="007A3CBB" w:rsidRPr="0049038A">
        <w:rPr>
          <w:lang w:val="en-GB"/>
        </w:rPr>
        <w:t>(Heinrich, 1931)</w:t>
      </w:r>
      <w:r w:rsidR="00765B69" w:rsidRPr="0049038A">
        <w:rPr>
          <w:lang w:val="en-GB"/>
        </w:rPr>
        <w:t>, showing that in some way there is a factual foundation of major accidents. Different accident ratios were</w:t>
      </w:r>
      <w:r w:rsidR="00EE260A">
        <w:rPr>
          <w:lang w:val="en-GB"/>
        </w:rPr>
        <w:t xml:space="preserve"> </w:t>
      </w:r>
      <w:r w:rsidR="00765B69" w:rsidRPr="0049038A">
        <w:rPr>
          <w:lang w:val="en-GB"/>
        </w:rPr>
        <w:t xml:space="preserve">developed from the original one by Heinrich 1:29:300, respectively referred to major injury (OSHA recordable case), first aid case and no injury accident. For </w:t>
      </w:r>
      <w:r w:rsidR="00771A87" w:rsidRPr="0049038A">
        <w:rPr>
          <w:lang w:val="en-GB"/>
        </w:rPr>
        <w:t>example,</w:t>
      </w:r>
      <w:r w:rsidR="00765B69" w:rsidRPr="0049038A">
        <w:rPr>
          <w:lang w:val="en-GB"/>
        </w:rPr>
        <w:t xml:space="preserve"> HSE </w:t>
      </w:r>
      <w:r w:rsidR="00B15797" w:rsidRPr="0049038A">
        <w:rPr>
          <w:lang w:val="en-GB"/>
        </w:rPr>
        <w:t xml:space="preserve">report (1997) </w:t>
      </w:r>
      <w:r w:rsidR="00212E95" w:rsidRPr="0049038A">
        <w:rPr>
          <w:lang w:val="en-GB"/>
        </w:rPr>
        <w:t>mentions</w:t>
      </w:r>
      <w:r w:rsidR="00B15797" w:rsidRPr="0049038A">
        <w:rPr>
          <w:lang w:val="en-GB"/>
        </w:rPr>
        <w:t xml:space="preserve"> </w:t>
      </w:r>
      <w:r w:rsidR="00765B69" w:rsidRPr="0049038A">
        <w:rPr>
          <w:lang w:val="en-GB"/>
        </w:rPr>
        <w:t xml:space="preserve">the ratio 1:7:189 based on more recent accident statistics </w:t>
      </w:r>
      <w:r w:rsidR="00B15797" w:rsidRPr="0049038A">
        <w:rPr>
          <w:lang w:val="en-GB"/>
        </w:rPr>
        <w:t xml:space="preserve">and </w:t>
      </w:r>
      <w:r w:rsidR="00765B69" w:rsidRPr="0049038A">
        <w:rPr>
          <w:lang w:val="en-GB"/>
        </w:rPr>
        <w:t xml:space="preserve">evidencing that not all near misses involve hazards that may cause fatal or major </w:t>
      </w:r>
      <w:r w:rsidR="007E23DD" w:rsidRPr="0049038A">
        <w:rPr>
          <w:lang w:val="en-GB"/>
        </w:rPr>
        <w:t>accidents.</w:t>
      </w:r>
      <w:r w:rsidR="00765B69" w:rsidRPr="0049038A">
        <w:rPr>
          <w:lang w:val="en-GB"/>
        </w:rPr>
        <w:t xml:space="preserve"> </w:t>
      </w:r>
      <w:r w:rsidR="00B15797" w:rsidRPr="0049038A">
        <w:rPr>
          <w:lang w:val="en-GB"/>
        </w:rPr>
        <w:t>In expanding the top section of Heinrich triangle</w:t>
      </w:r>
      <w:r w:rsidR="0056041A" w:rsidRPr="0049038A">
        <w:rPr>
          <w:lang w:val="en-GB"/>
        </w:rPr>
        <w:t>,</w:t>
      </w:r>
      <w:r w:rsidR="00B15797" w:rsidRPr="0049038A">
        <w:rPr>
          <w:lang w:val="en-GB"/>
        </w:rPr>
        <w:t xml:space="preserve"> starting from 17 years of real data observations </w:t>
      </w:r>
      <w:r w:rsidR="0049038A">
        <w:rPr>
          <w:lang w:val="en-GB"/>
        </w:rPr>
        <w:t>by the US</w:t>
      </w:r>
      <w:r w:rsidR="009F3B01" w:rsidRPr="0049038A">
        <w:rPr>
          <w:lang w:val="en-GB"/>
        </w:rPr>
        <w:t xml:space="preserve"> Bureau of Labor </w:t>
      </w:r>
      <w:r w:rsidR="009F3B01" w:rsidRPr="0049038A">
        <w:rPr>
          <w:lang w:val="en-GB"/>
        </w:rPr>
        <w:lastRenderedPageBreak/>
        <w:t xml:space="preserve">Statistics, </w:t>
      </w:r>
      <w:r w:rsidR="00B15797" w:rsidRPr="0049038A">
        <w:rPr>
          <w:lang w:val="en-GB"/>
        </w:rPr>
        <w:t xml:space="preserve">over the time span 1992-2008, </w:t>
      </w:r>
      <w:r w:rsidR="009F3B01" w:rsidRPr="0049038A">
        <w:rPr>
          <w:lang w:val="en-GB"/>
        </w:rPr>
        <w:t>Collins (2011)</w:t>
      </w:r>
      <w:r w:rsidR="00B15797" w:rsidRPr="0049038A">
        <w:rPr>
          <w:lang w:val="en-GB"/>
        </w:rPr>
        <w:t xml:space="preserve"> proposed an updated </w:t>
      </w:r>
      <w:r w:rsidR="00157E31" w:rsidRPr="0049038A">
        <w:rPr>
          <w:lang w:val="en-GB"/>
        </w:rPr>
        <w:t>occupational</w:t>
      </w:r>
      <w:r w:rsidR="00E75F1A" w:rsidRPr="0049038A">
        <w:rPr>
          <w:lang w:val="en-GB"/>
        </w:rPr>
        <w:t xml:space="preserve"> </w:t>
      </w:r>
      <w:r w:rsidR="00B15797" w:rsidRPr="0049038A">
        <w:rPr>
          <w:lang w:val="en-GB"/>
        </w:rPr>
        <w:t>a</w:t>
      </w:r>
      <w:r w:rsidR="00212E95" w:rsidRPr="0049038A">
        <w:rPr>
          <w:lang w:val="en-GB"/>
        </w:rPr>
        <w:t>ccident ratio in the form 1:500:1000:43,500:</w:t>
      </w:r>
      <w:r w:rsidR="00B15797" w:rsidRPr="0049038A">
        <w:rPr>
          <w:lang w:val="en-GB"/>
        </w:rPr>
        <w:t xml:space="preserve">450,000, respectively </w:t>
      </w:r>
      <w:r w:rsidR="009F3B01" w:rsidRPr="0049038A">
        <w:rPr>
          <w:lang w:val="en-GB"/>
        </w:rPr>
        <w:t>referred to fatality, lost workday case, OSHA recordable case, first aid-case and no injury (near-miss).</w:t>
      </w:r>
      <w:r w:rsidR="00765B69" w:rsidRPr="0049038A">
        <w:rPr>
          <w:lang w:val="en-GB"/>
        </w:rPr>
        <w:t xml:space="preserve"> </w:t>
      </w:r>
      <w:r w:rsidR="00F523A1" w:rsidRPr="0049038A">
        <w:rPr>
          <w:lang w:val="en-GB"/>
        </w:rPr>
        <w:t>It must be remarked that major (process) accidents and occupational accidents basically are characteri</w:t>
      </w:r>
      <w:r w:rsidR="00026CA7" w:rsidRPr="0049038A">
        <w:rPr>
          <w:lang w:val="en-GB"/>
        </w:rPr>
        <w:t>s</w:t>
      </w:r>
      <w:r w:rsidR="00F523A1" w:rsidRPr="0049038A">
        <w:rPr>
          <w:lang w:val="en-GB"/>
        </w:rPr>
        <w:t>ed by separate</w:t>
      </w:r>
      <w:r w:rsidR="00F523A1" w:rsidRPr="000245F3">
        <w:rPr>
          <w:lang w:val="en-GB"/>
        </w:rPr>
        <w:t xml:space="preserve"> tri</w:t>
      </w:r>
      <w:r w:rsidR="00212E95" w:rsidRPr="000245F3">
        <w:rPr>
          <w:lang w:val="en-GB"/>
        </w:rPr>
        <w:t>a</w:t>
      </w:r>
      <w:r w:rsidR="00F523A1" w:rsidRPr="000245F3">
        <w:rPr>
          <w:lang w:val="en-GB"/>
        </w:rPr>
        <w:t>ngles, even though in some cases a possible escalation may arise or an overlapping of personal and proces</w:t>
      </w:r>
      <w:r w:rsidR="00E75F1A" w:rsidRPr="000245F3">
        <w:rPr>
          <w:lang w:val="en-GB"/>
        </w:rPr>
        <w:t>s impact may exist</w:t>
      </w:r>
      <w:r w:rsidR="00F523A1" w:rsidRPr="000245F3">
        <w:rPr>
          <w:lang w:val="en-GB"/>
        </w:rPr>
        <w:t xml:space="preserve">. </w:t>
      </w:r>
      <w:r w:rsidR="00680332" w:rsidRPr="000245F3">
        <w:rPr>
          <w:lang w:val="en-GB"/>
        </w:rPr>
        <w:t>Thus, i</w:t>
      </w:r>
      <w:r w:rsidR="00E14BD4" w:rsidRPr="000245F3">
        <w:rPr>
          <w:lang w:val="en-GB"/>
        </w:rPr>
        <w:t>n order to improve safety management and enhance safety culture,</w:t>
      </w:r>
      <w:r w:rsidR="00617E22" w:rsidRPr="000245F3">
        <w:rPr>
          <w:lang w:val="en-GB"/>
        </w:rPr>
        <w:t xml:space="preserve"> data about</w:t>
      </w:r>
      <w:r w:rsidR="00E14BD4" w:rsidRPr="000245F3">
        <w:rPr>
          <w:lang w:val="en-GB"/>
        </w:rPr>
        <w:t xml:space="preserve"> near misses should be </w:t>
      </w:r>
      <w:r w:rsidR="00524203" w:rsidRPr="000245F3">
        <w:rPr>
          <w:lang w:val="en-GB"/>
        </w:rPr>
        <w:t>taken into consideration</w:t>
      </w:r>
      <w:r w:rsidR="00617E22" w:rsidRPr="000245F3">
        <w:rPr>
          <w:lang w:val="en-GB"/>
        </w:rPr>
        <w:t xml:space="preserve"> as useful tool</w:t>
      </w:r>
      <w:r w:rsidR="00E14BD4" w:rsidRPr="000245F3">
        <w:rPr>
          <w:lang w:val="en-GB"/>
        </w:rPr>
        <w:t>. Indeed, these events</w:t>
      </w:r>
      <w:r w:rsidR="006C3E26" w:rsidRPr="000245F3">
        <w:rPr>
          <w:lang w:val="en-GB"/>
        </w:rPr>
        <w:t xml:space="preserve"> are much more frequent </w:t>
      </w:r>
      <w:r w:rsidR="00E14BD4" w:rsidRPr="000245F3">
        <w:rPr>
          <w:lang w:val="en-GB"/>
        </w:rPr>
        <w:t>than</w:t>
      </w:r>
      <w:r w:rsidR="007E7E14" w:rsidRPr="000245F3">
        <w:rPr>
          <w:lang w:val="en-GB"/>
        </w:rPr>
        <w:t xml:space="preserve"> accidents</w:t>
      </w:r>
      <w:r w:rsidR="00E14BD4" w:rsidRPr="000245F3">
        <w:rPr>
          <w:lang w:val="en-GB"/>
        </w:rPr>
        <w:t xml:space="preserve"> and </w:t>
      </w:r>
      <w:r w:rsidR="007E7E14" w:rsidRPr="000245F3">
        <w:rPr>
          <w:lang w:val="en-GB"/>
        </w:rPr>
        <w:t>ca</w:t>
      </w:r>
      <w:r w:rsidR="00617E22" w:rsidRPr="000245F3">
        <w:rPr>
          <w:lang w:val="en-GB"/>
        </w:rPr>
        <w:t xml:space="preserve">n be used, in a proactive way, </w:t>
      </w:r>
      <w:r w:rsidR="007E7E14" w:rsidRPr="000245F3">
        <w:rPr>
          <w:lang w:val="en-GB"/>
        </w:rPr>
        <w:t>as indicators of critical areas</w:t>
      </w:r>
      <w:r w:rsidR="007A3CBB" w:rsidRPr="000245F3">
        <w:rPr>
          <w:lang w:val="en-GB"/>
        </w:rPr>
        <w:t xml:space="preserve"> (Cambraia et al</w:t>
      </w:r>
      <w:r w:rsidR="00617E22" w:rsidRPr="000245F3">
        <w:rPr>
          <w:lang w:val="en-GB"/>
        </w:rPr>
        <w:t>.</w:t>
      </w:r>
      <w:r w:rsidR="007A3CBB" w:rsidRPr="000245F3">
        <w:rPr>
          <w:lang w:val="en-GB"/>
        </w:rPr>
        <w:t>, 2010).</w:t>
      </w:r>
      <w:r w:rsidR="00617E22" w:rsidRPr="000245F3">
        <w:rPr>
          <w:lang w:val="en-GB"/>
        </w:rPr>
        <w:t xml:space="preserve"> </w:t>
      </w:r>
      <w:r w:rsidR="001A4325" w:rsidRPr="000245F3">
        <w:rPr>
          <w:lang w:val="en-GB"/>
        </w:rPr>
        <w:t>Particularly, the use of near miss analysis in construction was recently employed by</w:t>
      </w:r>
      <w:r w:rsidR="00E75F1A" w:rsidRPr="000245F3">
        <w:rPr>
          <w:lang w:val="en-GB"/>
        </w:rPr>
        <w:t xml:space="preserve"> Raviv et al. (2017), </w:t>
      </w:r>
      <w:r w:rsidR="001A4325" w:rsidRPr="000245F3">
        <w:rPr>
          <w:lang w:val="en-GB"/>
        </w:rPr>
        <w:t xml:space="preserve">who demonstrated that the approach in which all incident types are investigated, including high-frequency </w:t>
      </w:r>
      <w:r w:rsidR="0070540E">
        <w:rPr>
          <w:lang w:val="en-GB"/>
        </w:rPr>
        <w:t xml:space="preserve">very </w:t>
      </w:r>
      <w:r w:rsidR="001A4325" w:rsidRPr="000245F3">
        <w:rPr>
          <w:lang w:val="en-GB"/>
        </w:rPr>
        <w:t xml:space="preserve">low-severity incidents, is able to provide </w:t>
      </w:r>
      <w:r w:rsidR="00E75F1A" w:rsidRPr="000245F3">
        <w:rPr>
          <w:lang w:val="en-GB"/>
        </w:rPr>
        <w:t>noteworthy</w:t>
      </w:r>
      <w:r w:rsidR="001A4325" w:rsidRPr="000245F3">
        <w:rPr>
          <w:lang w:val="en-GB"/>
        </w:rPr>
        <w:t xml:space="preserve"> incident </w:t>
      </w:r>
      <w:r w:rsidR="00E75F1A" w:rsidRPr="000245F3">
        <w:rPr>
          <w:lang w:val="en-GB"/>
        </w:rPr>
        <w:t xml:space="preserve">records </w:t>
      </w:r>
      <w:r w:rsidR="001A4325" w:rsidRPr="000245F3">
        <w:rPr>
          <w:lang w:val="en-GB"/>
        </w:rPr>
        <w:t xml:space="preserve">that could be used as raw </w:t>
      </w:r>
      <w:r w:rsidR="00E75F1A" w:rsidRPr="000245F3">
        <w:rPr>
          <w:lang w:val="en-GB"/>
        </w:rPr>
        <w:t>data</w:t>
      </w:r>
      <w:r w:rsidR="001A4325" w:rsidRPr="000245F3">
        <w:rPr>
          <w:lang w:val="en-GB"/>
        </w:rPr>
        <w:t xml:space="preserve"> for quantitative analyses</w:t>
      </w:r>
      <w:r w:rsidR="00C94068" w:rsidRPr="000245F3">
        <w:rPr>
          <w:lang w:val="en-GB"/>
        </w:rPr>
        <w:t>. Conversely, several examples are reported in literature concerning the disastrous consequences due to the lack of management of observed near misses</w:t>
      </w:r>
      <w:r w:rsidR="007A3CBB" w:rsidRPr="000245F3">
        <w:rPr>
          <w:lang w:val="en-GB"/>
        </w:rPr>
        <w:t xml:space="preserve"> (Phimister et al, 2003).</w:t>
      </w:r>
      <w:r w:rsidR="00580FE6" w:rsidRPr="000245F3">
        <w:rPr>
          <w:lang w:val="en-GB"/>
        </w:rPr>
        <w:t xml:space="preserve"> </w:t>
      </w:r>
      <w:r w:rsidR="00617E22" w:rsidRPr="000245F3">
        <w:rPr>
          <w:lang w:val="en-GB"/>
        </w:rPr>
        <w:t>As</w:t>
      </w:r>
      <w:r w:rsidR="0032060F" w:rsidRPr="000245F3">
        <w:rPr>
          <w:lang w:val="en-GB"/>
        </w:rPr>
        <w:t xml:space="preserve"> reported by</w:t>
      </w:r>
      <w:r w:rsidR="00040756" w:rsidRPr="000245F3">
        <w:rPr>
          <w:lang w:val="en-GB"/>
        </w:rPr>
        <w:t xml:space="preserve"> Jones et al. (1999)</w:t>
      </w:r>
      <w:r w:rsidR="0032060F" w:rsidRPr="000245F3">
        <w:rPr>
          <w:lang w:val="en-GB"/>
        </w:rPr>
        <w:t xml:space="preserve">, near miss can be </w:t>
      </w:r>
      <w:r w:rsidR="00617E22" w:rsidRPr="000245F3">
        <w:rPr>
          <w:lang w:val="en-GB"/>
        </w:rPr>
        <w:t>seen</w:t>
      </w:r>
      <w:r w:rsidR="0032060F" w:rsidRPr="000245F3">
        <w:rPr>
          <w:lang w:val="en-GB"/>
        </w:rPr>
        <w:t xml:space="preserve"> </w:t>
      </w:r>
      <w:r w:rsidR="00FE2681" w:rsidRPr="000245F3">
        <w:rPr>
          <w:lang w:val="en-GB"/>
        </w:rPr>
        <w:t xml:space="preserve">as a hazardous situation </w:t>
      </w:r>
      <w:r w:rsidR="0032060F" w:rsidRPr="000245F3">
        <w:rPr>
          <w:lang w:val="en-GB"/>
        </w:rPr>
        <w:t xml:space="preserve">or unsafe act, where the </w:t>
      </w:r>
      <w:r w:rsidR="00FE2681" w:rsidRPr="000245F3">
        <w:rPr>
          <w:lang w:val="en-GB"/>
        </w:rPr>
        <w:t>chain</w:t>
      </w:r>
      <w:r w:rsidR="0032060F" w:rsidRPr="000245F3">
        <w:rPr>
          <w:lang w:val="en-GB"/>
        </w:rPr>
        <w:t xml:space="preserve"> of event</w:t>
      </w:r>
      <w:r w:rsidR="00FE2681" w:rsidRPr="000245F3">
        <w:rPr>
          <w:lang w:val="en-GB"/>
        </w:rPr>
        <w:t>s</w:t>
      </w:r>
      <w:r w:rsidR="0032060F" w:rsidRPr="000245F3">
        <w:rPr>
          <w:lang w:val="en-GB"/>
        </w:rPr>
        <w:t xml:space="preserve"> could have </w:t>
      </w:r>
      <w:r w:rsidR="00FE2681" w:rsidRPr="000245F3">
        <w:rPr>
          <w:lang w:val="en-GB"/>
        </w:rPr>
        <w:t>brought about</w:t>
      </w:r>
      <w:r w:rsidR="0032060F" w:rsidRPr="000245F3">
        <w:rPr>
          <w:lang w:val="en-GB"/>
        </w:rPr>
        <w:t xml:space="preserve"> an accident if it had not been interrupted.</w:t>
      </w:r>
      <w:r w:rsidR="003D46D4" w:rsidRPr="000245F3">
        <w:rPr>
          <w:lang w:val="en-GB"/>
        </w:rPr>
        <w:t xml:space="preserve"> </w:t>
      </w:r>
      <w:r w:rsidR="00FE0537" w:rsidRPr="000245F3">
        <w:rPr>
          <w:lang w:val="en-GB"/>
        </w:rPr>
        <w:t xml:space="preserve">Since the statistics on accidents are often too few in number to help in some decision making about safety improvements, the analysis of near misses, under the common cause hypothesis, could provide a significant increase in the number of data </w:t>
      </w:r>
      <w:r w:rsidR="00040756" w:rsidRPr="000245F3">
        <w:rPr>
          <w:lang w:val="en-GB"/>
        </w:rPr>
        <w:t>(Wright and van der Schaaf, 2004</w:t>
      </w:r>
      <w:r w:rsidR="00E75F1A" w:rsidRPr="000245F3">
        <w:rPr>
          <w:lang w:val="en-GB"/>
        </w:rPr>
        <w:t xml:space="preserve">). According to a detailed near-miss reporting system and the development of a step-by step analysis it is possible evidencing how immediate causes of a near-miss could be linked in some kind of causal chain to underlying causes, that should be controlled by middle or higher management, or are parts of the corporate safety culture </w:t>
      </w:r>
      <w:r w:rsidR="00E75F1A" w:rsidRPr="0049038A">
        <w:rPr>
          <w:lang w:val="en-GB"/>
        </w:rPr>
        <w:t>(Fabiano</w:t>
      </w:r>
      <w:r w:rsidR="0001782A" w:rsidRPr="0049038A">
        <w:rPr>
          <w:lang w:val="en-GB"/>
        </w:rPr>
        <w:t xml:space="preserve"> et al</w:t>
      </w:r>
      <w:r w:rsidR="00E75F1A" w:rsidRPr="0049038A">
        <w:rPr>
          <w:lang w:val="en-GB"/>
        </w:rPr>
        <w:t>, 2012).</w:t>
      </w:r>
      <w:r w:rsidR="00E75F1A" w:rsidRPr="000245F3">
        <w:rPr>
          <w:lang w:val="en-GB"/>
        </w:rPr>
        <w:t xml:space="preserve"> </w:t>
      </w:r>
      <w:r w:rsidR="00617E22" w:rsidRPr="000245F3">
        <w:rPr>
          <w:lang w:val="en-GB"/>
        </w:rPr>
        <w:t>If o</w:t>
      </w:r>
      <w:r w:rsidR="00451E74" w:rsidRPr="000245F3">
        <w:rPr>
          <w:lang w:val="en-GB"/>
        </w:rPr>
        <w:t xml:space="preserve">n the </w:t>
      </w:r>
      <w:r w:rsidR="00617E22" w:rsidRPr="000245F3">
        <w:rPr>
          <w:lang w:val="en-GB"/>
        </w:rPr>
        <w:t>one</w:t>
      </w:r>
      <w:r w:rsidR="00451E74" w:rsidRPr="000245F3">
        <w:rPr>
          <w:lang w:val="en-GB"/>
        </w:rPr>
        <w:t xml:space="preserve"> hand, </w:t>
      </w:r>
      <w:r w:rsidR="000A6ED8" w:rsidRPr="000245F3">
        <w:rPr>
          <w:lang w:val="en-GB"/>
        </w:rPr>
        <w:t xml:space="preserve">incidents and accidents are generally accurately reported, </w:t>
      </w:r>
      <w:r w:rsidR="00451E74" w:rsidRPr="000245F3">
        <w:rPr>
          <w:lang w:val="en-GB"/>
        </w:rPr>
        <w:t>because of</w:t>
      </w:r>
      <w:r w:rsidR="007E7E14" w:rsidRPr="000245F3">
        <w:rPr>
          <w:lang w:val="en-GB"/>
        </w:rPr>
        <w:t xml:space="preserve"> the high severity of the outcome,</w:t>
      </w:r>
      <w:r w:rsidR="000A6ED8" w:rsidRPr="000245F3">
        <w:rPr>
          <w:lang w:val="en-GB"/>
        </w:rPr>
        <w:t xml:space="preserve"> on the other hand</w:t>
      </w:r>
      <w:r w:rsidR="007E7E14" w:rsidRPr="000245F3">
        <w:rPr>
          <w:lang w:val="en-GB"/>
        </w:rPr>
        <w:t xml:space="preserve"> </w:t>
      </w:r>
      <w:r w:rsidR="000A6ED8" w:rsidRPr="000245F3">
        <w:rPr>
          <w:lang w:val="en-GB"/>
        </w:rPr>
        <w:t>t</w:t>
      </w:r>
      <w:r w:rsidR="00617E22" w:rsidRPr="000245F3">
        <w:rPr>
          <w:lang w:val="en-GB"/>
        </w:rPr>
        <w:t xml:space="preserve">he </w:t>
      </w:r>
      <w:r w:rsidR="00451E74" w:rsidRPr="000245F3">
        <w:rPr>
          <w:lang w:val="en-GB"/>
        </w:rPr>
        <w:t>number</w:t>
      </w:r>
      <w:r w:rsidR="0049038A">
        <w:rPr>
          <w:lang w:val="en-GB"/>
        </w:rPr>
        <w:t>s</w:t>
      </w:r>
      <w:r w:rsidR="00451E74" w:rsidRPr="000245F3">
        <w:rPr>
          <w:lang w:val="en-GB"/>
        </w:rPr>
        <w:t xml:space="preserve"> related to the </w:t>
      </w:r>
      <w:r w:rsidR="007E7E14" w:rsidRPr="000245F3">
        <w:rPr>
          <w:lang w:val="en-GB"/>
        </w:rPr>
        <w:t xml:space="preserve">statistics </w:t>
      </w:r>
      <w:r w:rsidR="00451E74" w:rsidRPr="000245F3">
        <w:rPr>
          <w:lang w:val="en-GB"/>
        </w:rPr>
        <w:t>of</w:t>
      </w:r>
      <w:r w:rsidR="000A6ED8" w:rsidRPr="000245F3">
        <w:rPr>
          <w:lang w:val="en-GB"/>
        </w:rPr>
        <w:t xml:space="preserve"> near misses have low accuracy.</w:t>
      </w:r>
      <w:r w:rsidR="00617E22" w:rsidRPr="000245F3">
        <w:rPr>
          <w:lang w:val="en-GB"/>
        </w:rPr>
        <w:t xml:space="preserve"> </w:t>
      </w:r>
      <w:r w:rsidR="000A6ED8" w:rsidRPr="000245F3">
        <w:rPr>
          <w:lang w:val="en-GB"/>
        </w:rPr>
        <w:t>I</w:t>
      </w:r>
      <w:r w:rsidR="00617E22" w:rsidRPr="000245F3">
        <w:rPr>
          <w:lang w:val="en-GB"/>
        </w:rPr>
        <w:t>ndeed, the</w:t>
      </w:r>
      <w:r w:rsidR="000A6ED8" w:rsidRPr="000245F3">
        <w:rPr>
          <w:lang w:val="en-GB"/>
        </w:rPr>
        <w:t>se</w:t>
      </w:r>
      <w:r w:rsidR="00617E22" w:rsidRPr="000245F3">
        <w:rPr>
          <w:lang w:val="en-GB"/>
        </w:rPr>
        <w:t xml:space="preserve"> reports are often omitted, since </w:t>
      </w:r>
      <w:r w:rsidR="00B529A6" w:rsidRPr="000245F3">
        <w:rPr>
          <w:lang w:val="en-GB"/>
        </w:rPr>
        <w:t xml:space="preserve">they do not produce </w:t>
      </w:r>
      <w:r w:rsidR="00FE2681" w:rsidRPr="000245F3">
        <w:rPr>
          <w:lang w:val="en-GB"/>
        </w:rPr>
        <w:t>a result</w:t>
      </w:r>
      <w:r w:rsidR="00B529A6" w:rsidRPr="000245F3">
        <w:rPr>
          <w:lang w:val="en-GB"/>
        </w:rPr>
        <w:t xml:space="preserve"> different from a success</w:t>
      </w:r>
      <w:r w:rsidR="00040756" w:rsidRPr="000245F3">
        <w:rPr>
          <w:lang w:val="en-GB"/>
        </w:rPr>
        <w:t xml:space="preserve"> (Smith et al., 2017).</w:t>
      </w:r>
      <w:r w:rsidR="007E7E14" w:rsidRPr="000245F3">
        <w:rPr>
          <w:lang w:val="en-GB"/>
        </w:rPr>
        <w:t xml:space="preserve"> </w:t>
      </w:r>
      <w:r w:rsidR="009F3212" w:rsidRPr="000245F3">
        <w:rPr>
          <w:lang w:val="en-GB"/>
        </w:rPr>
        <w:t>Additionally</w:t>
      </w:r>
      <w:r w:rsidR="0039048D" w:rsidRPr="000245F3">
        <w:rPr>
          <w:lang w:val="en-GB"/>
        </w:rPr>
        <w:t xml:space="preserve">, </w:t>
      </w:r>
      <w:r w:rsidR="00040756" w:rsidRPr="000245F3">
        <w:rPr>
          <w:lang w:val="en-GB"/>
        </w:rPr>
        <w:t xml:space="preserve">Gnoni </w:t>
      </w:r>
      <w:r w:rsidR="00F837C7" w:rsidRPr="0049038A">
        <w:rPr>
          <w:lang w:val="en-GB"/>
        </w:rPr>
        <w:t>and</w:t>
      </w:r>
      <w:r w:rsidR="00F837C7" w:rsidRPr="000245F3">
        <w:rPr>
          <w:lang w:val="en-GB"/>
        </w:rPr>
        <w:t xml:space="preserve"> </w:t>
      </w:r>
      <w:r w:rsidR="00040756" w:rsidRPr="000245F3">
        <w:rPr>
          <w:lang w:val="en-GB"/>
        </w:rPr>
        <w:t xml:space="preserve">Saleh (2017) </w:t>
      </w:r>
      <w:r w:rsidR="0039048D" w:rsidRPr="000245F3">
        <w:rPr>
          <w:lang w:val="en-GB"/>
        </w:rPr>
        <w:t>discussed another crucial issue regarding the employee</w:t>
      </w:r>
      <w:r w:rsidR="004B5CB8">
        <w:rPr>
          <w:lang w:val="en-GB"/>
        </w:rPr>
        <w:t>’</w:t>
      </w:r>
      <w:r w:rsidR="0039048D" w:rsidRPr="000245F3">
        <w:rPr>
          <w:lang w:val="en-GB"/>
        </w:rPr>
        <w:t xml:space="preserve">s confusion regarding what is reportable as </w:t>
      </w:r>
      <w:r w:rsidR="00771A87" w:rsidRPr="000245F3">
        <w:rPr>
          <w:lang w:val="en-GB"/>
        </w:rPr>
        <w:t>near miss</w:t>
      </w:r>
      <w:r w:rsidR="00F66B02" w:rsidRPr="000245F3">
        <w:rPr>
          <w:lang w:val="en-GB"/>
        </w:rPr>
        <w:t>, since it was not often perceived as an existing adverse condition but as an event-based concept.</w:t>
      </w:r>
      <w:r w:rsidR="0061357A" w:rsidRPr="000245F3">
        <w:rPr>
          <w:lang w:val="en-GB"/>
        </w:rPr>
        <w:t xml:space="preserve"> However, it would be of a great help to record as many of these pre-alerts as possible in a systematic and </w:t>
      </w:r>
      <w:r w:rsidR="007E23DD" w:rsidRPr="0049038A">
        <w:rPr>
          <w:lang w:val="en-GB"/>
        </w:rPr>
        <w:t>organis</w:t>
      </w:r>
      <w:r w:rsidR="0061357A" w:rsidRPr="0049038A">
        <w:rPr>
          <w:lang w:val="en-GB"/>
        </w:rPr>
        <w:t xml:space="preserve">ed </w:t>
      </w:r>
      <w:r w:rsidR="00771A87" w:rsidRPr="0049038A">
        <w:rPr>
          <w:lang w:val="en-GB"/>
        </w:rPr>
        <w:t>way, which</w:t>
      </w:r>
      <w:r w:rsidR="0061357A" w:rsidRPr="0049038A">
        <w:rPr>
          <w:lang w:val="en-GB"/>
        </w:rPr>
        <w:t xml:space="preserve"> would help to predict possible major accidents and prevent them with specific preventive measures and campaigns.</w:t>
      </w:r>
      <w:r w:rsidR="00E1751B" w:rsidRPr="0049038A">
        <w:rPr>
          <w:lang w:val="en-GB"/>
        </w:rPr>
        <w:t xml:space="preserve"> </w:t>
      </w:r>
      <w:r w:rsidR="0061357A" w:rsidRPr="0049038A">
        <w:rPr>
          <w:lang w:val="en-GB"/>
        </w:rPr>
        <w:t>Indeed, different mode</w:t>
      </w:r>
      <w:r w:rsidR="00AB768E" w:rsidRPr="0049038A">
        <w:rPr>
          <w:lang w:val="en-GB"/>
        </w:rPr>
        <w:t>l</w:t>
      </w:r>
      <w:r w:rsidR="0061357A" w:rsidRPr="0049038A">
        <w:rPr>
          <w:lang w:val="en-GB"/>
        </w:rPr>
        <w:t>ling we</w:t>
      </w:r>
      <w:r w:rsidR="006C2E93" w:rsidRPr="0049038A">
        <w:rPr>
          <w:lang w:val="en-GB"/>
        </w:rPr>
        <w:t>r</w:t>
      </w:r>
      <w:r w:rsidR="003D5106" w:rsidRPr="0049038A">
        <w:rPr>
          <w:lang w:val="en-GB"/>
        </w:rPr>
        <w:t xml:space="preserve">e studied to mitigate the risk, </w:t>
      </w:r>
      <w:r w:rsidR="006C2E93" w:rsidRPr="0049038A">
        <w:rPr>
          <w:lang w:val="en-GB"/>
        </w:rPr>
        <w:t>such as the systematic model to reinforce and accentuate the real-time tracking of precursors and immediate factors on construction sites</w:t>
      </w:r>
      <w:r w:rsidR="00040756" w:rsidRPr="0049038A">
        <w:rPr>
          <w:lang w:val="en-GB"/>
        </w:rPr>
        <w:t xml:space="preserve"> (Wu et al., 2010), </w:t>
      </w:r>
      <w:r w:rsidR="006C2E93" w:rsidRPr="0049038A">
        <w:rPr>
          <w:lang w:val="en-GB"/>
        </w:rPr>
        <w:t>or empirical method via complex network theory for the mode</w:t>
      </w:r>
      <w:r w:rsidR="00AB768E" w:rsidRPr="0049038A">
        <w:rPr>
          <w:lang w:val="en-GB"/>
        </w:rPr>
        <w:t>l</w:t>
      </w:r>
      <w:r w:rsidR="006C2E93" w:rsidRPr="0049038A">
        <w:rPr>
          <w:lang w:val="en-GB"/>
        </w:rPr>
        <w:t>ling of near miss accidents in metro construction</w:t>
      </w:r>
      <w:r w:rsidR="00040756" w:rsidRPr="0049038A">
        <w:rPr>
          <w:lang w:val="en-GB"/>
        </w:rPr>
        <w:t xml:space="preserve"> (Zhou et al., 2017)</w:t>
      </w:r>
      <w:r w:rsidR="006C2E93" w:rsidRPr="0049038A">
        <w:rPr>
          <w:lang w:val="en-GB"/>
        </w:rPr>
        <w:t>, and evidence-based risk model</w:t>
      </w:r>
      <w:r w:rsidR="00AB768E" w:rsidRPr="0049038A">
        <w:rPr>
          <w:lang w:val="en-GB"/>
        </w:rPr>
        <w:t>l</w:t>
      </w:r>
      <w:r w:rsidR="006C2E93" w:rsidRPr="0049038A">
        <w:rPr>
          <w:lang w:val="en-GB"/>
        </w:rPr>
        <w:t>ing for maritime risk analysis</w:t>
      </w:r>
      <w:r w:rsidR="00040756" w:rsidRPr="0049038A">
        <w:rPr>
          <w:lang w:val="en-GB"/>
        </w:rPr>
        <w:t xml:space="preserve"> (Mazaheri et al., 2015)</w:t>
      </w:r>
      <w:r w:rsidR="00F00272" w:rsidRPr="0049038A">
        <w:rPr>
          <w:rStyle w:val="Rimandonotaapidipagina"/>
          <w:lang w:val="en-GB"/>
        </w:rPr>
        <w:fldChar w:fldCharType="begin" w:fldLock="1"/>
      </w:r>
      <w:r w:rsidR="00F00272" w:rsidRPr="0049038A">
        <w:rPr>
          <w:lang w:val="en-GB"/>
        </w:rPr>
        <w:instrText>ADDIN CSL_CITATION {"citationItems":[{"id":"ITEM-1","itemData":{"DOI":"10.1016/j.ssci.2015.02.019","ISSN":"0925-7535","author":[{"dropping-particle":"","family":"Mazaheri","given":"Arsham","non-dropping-particle":"","parse-names":false,"suffix":""},{"dropping-particle":"","family":"Montewka","given":"Jakub","non-dropping-particle":"","parse-names":false,"suffix":""},{"dropping-particle":"","family":"Nisula","given":"Jari","non-dropping-particle":"","parse-names":false,"suffix":""},{"dropping-particle":"","family":"Kujala","given":"Pentti","non-dropping-particle":"","parse-names":false,"suffix":""}],"container-title":"Safety Science","id":"ITEM-1","issued":{"date-parts":[["2015"]]},"page":"202-214","publisher":"Elsevier Ltd","title":"Usability of accident and incident reports for evidence-based risk modeling – A case study on ship grounding reports","type":"article-journal","volume":"76"},"uris":["http://www.mendeley.com/documents/?uuid=d8ab6943-2742-4a82-980e-efaaeb0e0b27"]}],"mendeley":{"formattedCitation":"(Mazaheri et al., 2015)","plainTextFormattedCitation":"(Mazaheri et al., 2015)","previouslyFormattedCitation":"(Mazaheri et al., 2015)"},"properties":{"noteIndex":0},"schema":"https://github.com/citation-style-language/schema/raw/master/csl-citation.json"}</w:instrText>
      </w:r>
      <w:r w:rsidR="00F00272" w:rsidRPr="0049038A">
        <w:rPr>
          <w:rStyle w:val="Rimandonotaapidipagina"/>
          <w:lang w:val="en-GB"/>
        </w:rPr>
        <w:fldChar w:fldCharType="end"/>
      </w:r>
      <w:r w:rsidR="003D5106" w:rsidRPr="0049038A">
        <w:rPr>
          <w:lang w:val="en-GB"/>
        </w:rPr>
        <w:t>.</w:t>
      </w:r>
      <w:r w:rsidR="006C2E93" w:rsidRPr="0049038A">
        <w:rPr>
          <w:lang w:val="en-GB"/>
        </w:rPr>
        <w:t xml:space="preserve"> </w:t>
      </w:r>
      <w:r w:rsidR="003D5106" w:rsidRPr="0049038A">
        <w:rPr>
          <w:lang w:val="en-GB"/>
        </w:rPr>
        <w:t>I</w:t>
      </w:r>
      <w:r w:rsidR="006C2E93" w:rsidRPr="0049038A">
        <w:rPr>
          <w:lang w:val="en-GB"/>
        </w:rPr>
        <w:t>n all of them</w:t>
      </w:r>
      <w:r w:rsidR="0070540E">
        <w:rPr>
          <w:lang w:val="en-GB"/>
        </w:rPr>
        <w:t>,</w:t>
      </w:r>
      <w:r w:rsidR="006C2E93" w:rsidRPr="0049038A">
        <w:rPr>
          <w:lang w:val="en-GB"/>
        </w:rPr>
        <w:t xml:space="preserve"> the importance of </w:t>
      </w:r>
      <w:r w:rsidR="00F30A9E" w:rsidRPr="0049038A">
        <w:rPr>
          <w:lang w:val="en-GB"/>
        </w:rPr>
        <w:t xml:space="preserve">the analysis of </w:t>
      </w:r>
      <w:r w:rsidR="006C2E93" w:rsidRPr="0049038A">
        <w:rPr>
          <w:lang w:val="en-GB"/>
        </w:rPr>
        <w:t>precursors and near misses were emp</w:t>
      </w:r>
      <w:r w:rsidR="007E23DD" w:rsidRPr="0049038A">
        <w:rPr>
          <w:lang w:val="en-GB"/>
        </w:rPr>
        <w:t>hasis</w:t>
      </w:r>
      <w:r w:rsidR="006C2E93" w:rsidRPr="0049038A">
        <w:rPr>
          <w:lang w:val="en-GB"/>
        </w:rPr>
        <w:t>ed</w:t>
      </w:r>
      <w:r w:rsidR="00F30A9E" w:rsidRPr="0049038A">
        <w:rPr>
          <w:lang w:val="en-GB"/>
        </w:rPr>
        <w:t>,</w:t>
      </w:r>
      <w:r w:rsidR="00F30A9E" w:rsidRPr="000245F3">
        <w:rPr>
          <w:lang w:val="en-GB"/>
        </w:rPr>
        <w:t xml:space="preserve"> </w:t>
      </w:r>
      <w:r w:rsidR="00040756" w:rsidRPr="000245F3">
        <w:rPr>
          <w:lang w:val="en-GB"/>
        </w:rPr>
        <w:t>since</w:t>
      </w:r>
      <w:r w:rsidR="004B5CB8">
        <w:rPr>
          <w:lang w:val="en-GB"/>
        </w:rPr>
        <w:t xml:space="preserve"> near miss</w:t>
      </w:r>
      <w:r w:rsidR="00F30A9E" w:rsidRPr="000245F3">
        <w:rPr>
          <w:lang w:val="en-GB"/>
        </w:rPr>
        <w:t xml:space="preserve"> reports could provide a substantial contribution in understanding and controlling accidents and incidents. </w:t>
      </w:r>
      <w:r w:rsidR="00E1751B" w:rsidRPr="000245F3">
        <w:rPr>
          <w:lang w:val="en-GB"/>
        </w:rPr>
        <w:t>On these</w:t>
      </w:r>
      <w:r w:rsidR="005721F7" w:rsidRPr="000245F3">
        <w:rPr>
          <w:lang w:val="en-GB"/>
        </w:rPr>
        <w:t xml:space="preserve"> bases, a supporting tool</w:t>
      </w:r>
      <w:r w:rsidR="00AB768E">
        <w:rPr>
          <w:lang w:val="en-GB"/>
        </w:rPr>
        <w:t>,</w:t>
      </w:r>
      <w:r w:rsidR="005721F7" w:rsidRPr="000245F3">
        <w:rPr>
          <w:lang w:val="en-GB"/>
        </w:rPr>
        <w:t xml:space="preserve"> enabling to perform on-site hazard </w:t>
      </w:r>
      <w:r w:rsidR="00AB768E">
        <w:rPr>
          <w:lang w:val="en-GB"/>
        </w:rPr>
        <w:t>assessment in a detailed manner and</w:t>
      </w:r>
      <w:r w:rsidR="005721F7" w:rsidRPr="000245F3">
        <w:rPr>
          <w:lang w:val="en-GB"/>
        </w:rPr>
        <w:t xml:space="preserve"> coupling information concerning the potential prevention technical and management measures based on performed working activities</w:t>
      </w:r>
      <w:r w:rsidR="00AB768E">
        <w:rPr>
          <w:lang w:val="en-GB"/>
        </w:rPr>
        <w:t>,</w:t>
      </w:r>
      <w:r w:rsidR="005721F7" w:rsidRPr="000245F3">
        <w:rPr>
          <w:lang w:val="en-GB"/>
        </w:rPr>
        <w:t xml:space="preserve"> is advisable.</w:t>
      </w:r>
      <w:r w:rsidR="00E56806" w:rsidRPr="000245F3">
        <w:rPr>
          <w:lang w:val="en-GB"/>
        </w:rPr>
        <w:t xml:space="preserve"> This paper </w:t>
      </w:r>
      <w:r w:rsidR="00A51D56" w:rsidRPr="000245F3">
        <w:rPr>
          <w:lang w:val="en-GB"/>
        </w:rPr>
        <w:t>firstly outlines the occupational accident trends recorded over the long period in a mature industrial Country</w:t>
      </w:r>
      <w:r w:rsidR="0070540E">
        <w:rPr>
          <w:lang w:val="en-GB"/>
        </w:rPr>
        <w:t>,</w:t>
      </w:r>
      <w:r w:rsidR="00A51D56" w:rsidRPr="000245F3">
        <w:rPr>
          <w:lang w:val="en-GB"/>
        </w:rPr>
        <w:t xml:space="preserve"> referring to the industrial sectors mainly involved in the construction of a new integrated downstream oil processing plant.  Subsequently, </w:t>
      </w:r>
      <w:r w:rsidR="00E56806" w:rsidRPr="000245F3">
        <w:rPr>
          <w:lang w:val="en-GB"/>
        </w:rPr>
        <w:t>preliminary results from the development of a procedure for the hazard analysis and prioritization of the interventions related to hazardous working activities in the given context</w:t>
      </w:r>
      <w:r w:rsidR="00AB768E">
        <w:rPr>
          <w:lang w:val="en-GB"/>
        </w:rPr>
        <w:t xml:space="preserve"> </w:t>
      </w:r>
      <w:r w:rsidR="005D4BF4">
        <w:rPr>
          <w:lang w:val="en-GB"/>
        </w:rPr>
        <w:t xml:space="preserve">are </w:t>
      </w:r>
      <w:r w:rsidR="00AB768E" w:rsidRPr="0049038A">
        <w:rPr>
          <w:lang w:val="en-GB"/>
        </w:rPr>
        <w:t>shown</w:t>
      </w:r>
      <w:r w:rsidR="00E56806" w:rsidRPr="0049038A">
        <w:rPr>
          <w:lang w:val="en-GB"/>
        </w:rPr>
        <w:t>, evidencing the main findings during the first construction phase.</w:t>
      </w:r>
      <w:r w:rsidR="007D50D4" w:rsidRPr="0049038A">
        <w:rPr>
          <w:lang w:val="en-GB"/>
        </w:rPr>
        <w:t xml:space="preserve"> </w:t>
      </w:r>
      <w:r w:rsidR="00AB768E" w:rsidRPr="0049038A">
        <w:rPr>
          <w:lang w:val="en-GB"/>
        </w:rPr>
        <w:t>T</w:t>
      </w:r>
      <w:r w:rsidR="00470AF9" w:rsidRPr="0049038A">
        <w:rPr>
          <w:lang w:val="en-GB"/>
        </w:rPr>
        <w:t>he indicators on the basis</w:t>
      </w:r>
      <w:r w:rsidR="007D50D4" w:rsidRPr="0049038A">
        <w:rPr>
          <w:lang w:val="en-GB"/>
        </w:rPr>
        <w:t xml:space="preserve"> of these </w:t>
      </w:r>
      <w:r w:rsidR="005D4BF4">
        <w:rPr>
          <w:lang w:val="en-GB"/>
        </w:rPr>
        <w:t>hazardous event</w:t>
      </w:r>
      <w:r w:rsidR="007D50D4" w:rsidRPr="0049038A">
        <w:rPr>
          <w:lang w:val="en-GB"/>
        </w:rPr>
        <w:t>s can be considered</w:t>
      </w:r>
      <w:r w:rsidR="00AB768E" w:rsidRPr="0049038A">
        <w:rPr>
          <w:lang w:val="en-GB"/>
        </w:rPr>
        <w:t xml:space="preserve"> as</w:t>
      </w:r>
      <w:r w:rsidR="007D50D4" w:rsidRPr="0049038A">
        <w:rPr>
          <w:lang w:val="en-GB"/>
        </w:rPr>
        <w:t xml:space="preserve"> leading </w:t>
      </w:r>
      <w:r w:rsidR="00AB768E" w:rsidRPr="0049038A">
        <w:rPr>
          <w:lang w:val="en-GB"/>
        </w:rPr>
        <w:t>to</w:t>
      </w:r>
      <w:r w:rsidR="007D50D4" w:rsidRPr="0049038A">
        <w:rPr>
          <w:lang w:val="en-GB"/>
        </w:rPr>
        <w:t xml:space="preserve"> less severity</w:t>
      </w:r>
      <w:r w:rsidR="007D50D4" w:rsidRPr="000245F3">
        <w:rPr>
          <w:lang w:val="en-GB"/>
        </w:rPr>
        <w:t xml:space="preserve"> events</w:t>
      </w:r>
      <w:r w:rsidR="00470AF9" w:rsidRPr="000245F3">
        <w:rPr>
          <w:lang w:val="en-GB"/>
        </w:rPr>
        <w:t>,</w:t>
      </w:r>
      <w:r w:rsidR="007D50D4" w:rsidRPr="000245F3">
        <w:rPr>
          <w:lang w:val="en-GB"/>
        </w:rPr>
        <w:t xml:space="preserve"> or near misses.</w:t>
      </w:r>
    </w:p>
    <w:p w14:paraId="7DF676A2" w14:textId="33D049E3" w:rsidR="00BF31E6" w:rsidRPr="000245F3" w:rsidRDefault="00BF31E6" w:rsidP="00BF31E6">
      <w:pPr>
        <w:pStyle w:val="CETHeading1"/>
        <w:rPr>
          <w:lang w:val="en-GB"/>
        </w:rPr>
      </w:pPr>
      <w:r w:rsidRPr="000245F3">
        <w:rPr>
          <w:lang w:val="en-GB"/>
        </w:rPr>
        <w:t>Occupational risk assessment</w:t>
      </w:r>
    </w:p>
    <w:p w14:paraId="4DF25996" w14:textId="7901816A" w:rsidR="00A51D56" w:rsidRPr="000245F3" w:rsidRDefault="00E75F1A" w:rsidP="00A51D56">
      <w:pPr>
        <w:pStyle w:val="CETBodytext"/>
        <w:rPr>
          <w:lang w:val="en-GB"/>
        </w:rPr>
      </w:pPr>
      <w:r w:rsidRPr="000245F3">
        <w:rPr>
          <w:lang w:val="en-GB"/>
        </w:rPr>
        <w:t>Traditionally</w:t>
      </w:r>
      <w:r w:rsidR="008A7C88" w:rsidRPr="000245F3">
        <w:rPr>
          <w:lang w:val="en-GB"/>
        </w:rPr>
        <w:t>, the construction safety</w:t>
      </w:r>
      <w:r w:rsidRPr="000245F3">
        <w:rPr>
          <w:lang w:val="en-GB"/>
        </w:rPr>
        <w:t xml:space="preserve"> relies on strategies based on safety standards and regulation, human error and behavio</w:t>
      </w:r>
      <w:r w:rsidR="008A7C88" w:rsidRPr="000245F3">
        <w:rPr>
          <w:lang w:val="en-GB"/>
        </w:rPr>
        <w:t>u</w:t>
      </w:r>
      <w:r w:rsidRPr="000245F3">
        <w:rPr>
          <w:lang w:val="en-GB"/>
        </w:rPr>
        <w:t xml:space="preserve">ral controls, mainly by training, performance monitoring and development of a combined </w:t>
      </w:r>
      <w:r w:rsidRPr="0049038A">
        <w:rPr>
          <w:lang w:val="en-GB"/>
        </w:rPr>
        <w:t xml:space="preserve">health and safety management system. </w:t>
      </w:r>
      <w:r w:rsidR="00A51D56" w:rsidRPr="0049038A">
        <w:rPr>
          <w:lang w:val="en-GB"/>
        </w:rPr>
        <w:t>Looking at the Italian perspective over the long period</w:t>
      </w:r>
      <w:r w:rsidRPr="0049038A">
        <w:rPr>
          <w:lang w:val="en-GB"/>
        </w:rPr>
        <w:t xml:space="preserve"> (Fig</w:t>
      </w:r>
      <w:r w:rsidR="004A43C1" w:rsidRPr="0049038A">
        <w:rPr>
          <w:lang w:val="en-GB"/>
        </w:rPr>
        <w:t>ure</w:t>
      </w:r>
      <w:r w:rsidRPr="0049038A">
        <w:rPr>
          <w:lang w:val="en-GB"/>
        </w:rPr>
        <w:t xml:space="preserve"> 1)</w:t>
      </w:r>
      <w:r w:rsidR="00A51D56" w:rsidRPr="0049038A">
        <w:rPr>
          <w:lang w:val="en-GB"/>
        </w:rPr>
        <w:t xml:space="preserve">, </w:t>
      </w:r>
      <w:r w:rsidR="004F5FD6" w:rsidRPr="0049038A">
        <w:rPr>
          <w:lang w:val="en-GB"/>
        </w:rPr>
        <w:t>it</w:t>
      </w:r>
      <w:r w:rsidR="00A51D56" w:rsidRPr="0049038A">
        <w:rPr>
          <w:lang w:val="en-GB"/>
        </w:rPr>
        <w:t xml:space="preserve"> can </w:t>
      </w:r>
      <w:r w:rsidR="004F5FD6" w:rsidRPr="0049038A">
        <w:rPr>
          <w:lang w:val="en-GB"/>
        </w:rPr>
        <w:t xml:space="preserve">be observed </w:t>
      </w:r>
      <w:r w:rsidR="00A51D56" w:rsidRPr="0049038A">
        <w:rPr>
          <w:lang w:val="en-GB"/>
        </w:rPr>
        <w:t>that the trend of</w:t>
      </w:r>
      <w:r w:rsidR="00D601AB" w:rsidRPr="0049038A">
        <w:rPr>
          <w:lang w:val="en-GB"/>
        </w:rPr>
        <w:t xml:space="preserve"> </w:t>
      </w:r>
      <w:r w:rsidR="0001782A" w:rsidRPr="0049038A">
        <w:rPr>
          <w:lang w:val="en-GB"/>
        </w:rPr>
        <w:t>Frequency I</w:t>
      </w:r>
      <w:r w:rsidR="00D601AB" w:rsidRPr="0049038A">
        <w:rPr>
          <w:lang w:val="en-GB"/>
        </w:rPr>
        <w:t>ndex</w:t>
      </w:r>
      <w:r w:rsidR="00A51D56" w:rsidRPr="0049038A">
        <w:rPr>
          <w:lang w:val="en-GB"/>
        </w:rPr>
        <w:t xml:space="preserve"> </w:t>
      </w:r>
      <w:r w:rsidR="00D601AB" w:rsidRPr="0049038A">
        <w:rPr>
          <w:lang w:val="en-GB"/>
        </w:rPr>
        <w:t>(</w:t>
      </w:r>
      <w:r w:rsidR="00A51D56" w:rsidRPr="0049038A">
        <w:rPr>
          <w:lang w:val="en-GB"/>
        </w:rPr>
        <w:t>FI</w:t>
      </w:r>
      <w:r w:rsidR="00D601AB" w:rsidRPr="0049038A">
        <w:rPr>
          <w:lang w:val="en-GB"/>
        </w:rPr>
        <w:t>)</w:t>
      </w:r>
      <w:r w:rsidR="00A51D56" w:rsidRPr="0049038A">
        <w:rPr>
          <w:lang w:val="en-GB"/>
        </w:rPr>
        <w:t xml:space="preserve"> in construction sector (occupational accident per 10</w:t>
      </w:r>
      <w:r w:rsidR="00A51D56" w:rsidRPr="0049038A">
        <w:rPr>
          <w:vertAlign w:val="superscript"/>
          <w:lang w:val="en-GB"/>
        </w:rPr>
        <w:t>6</w:t>
      </w:r>
      <w:r w:rsidR="00A51D56" w:rsidRPr="0049038A">
        <w:rPr>
          <w:lang w:val="en-GB"/>
        </w:rPr>
        <w:t xml:space="preserve"> worked hours) is constantly over the average trend for all industrial sectors, with a marked evidence of a cyclic evolution connected to the economic cycle. As</w:t>
      </w:r>
      <w:r w:rsidRPr="0049038A">
        <w:rPr>
          <w:lang w:val="en-GB"/>
        </w:rPr>
        <w:t xml:space="preserve"> term of</w:t>
      </w:r>
      <w:r w:rsidR="00A51D56" w:rsidRPr="0049038A">
        <w:rPr>
          <w:lang w:val="en-GB"/>
        </w:rPr>
        <w:t xml:space="preserve"> comparison of </w:t>
      </w:r>
      <w:r w:rsidRPr="0049038A">
        <w:rPr>
          <w:lang w:val="en-GB"/>
        </w:rPr>
        <w:t xml:space="preserve">overall </w:t>
      </w:r>
      <w:r w:rsidR="00A51D56" w:rsidRPr="0049038A">
        <w:rPr>
          <w:lang w:val="en-GB"/>
        </w:rPr>
        <w:t>activities involved in the construction of a new refinery</w:t>
      </w:r>
      <w:r w:rsidRPr="0049038A">
        <w:rPr>
          <w:lang w:val="en-GB"/>
        </w:rPr>
        <w:t>,</w:t>
      </w:r>
      <w:r w:rsidR="00A51D56" w:rsidRPr="0049038A">
        <w:rPr>
          <w:lang w:val="en-GB"/>
        </w:rPr>
        <w:t xml:space="preserve"> the metallurgical group</w:t>
      </w:r>
      <w:r w:rsidR="004F5FD6" w:rsidRPr="0049038A">
        <w:rPr>
          <w:lang w:val="en-GB"/>
        </w:rPr>
        <w:t xml:space="preserve"> was added</w:t>
      </w:r>
      <w:r w:rsidR="00A51D56" w:rsidRPr="0049038A">
        <w:rPr>
          <w:lang w:val="en-GB"/>
        </w:rPr>
        <w:t>, which in Italy shows high frequency indices and the chemical one which for many years (1951-1963) was characteri</w:t>
      </w:r>
      <w:r w:rsidR="00026CA7" w:rsidRPr="0049038A">
        <w:rPr>
          <w:lang w:val="en-GB"/>
        </w:rPr>
        <w:t>s</w:t>
      </w:r>
      <w:r w:rsidR="00A51D56" w:rsidRPr="0049038A">
        <w:rPr>
          <w:lang w:val="en-GB"/>
        </w:rPr>
        <w:t xml:space="preserve">ed by a low frequency of injuries and then is more or less at the average value (all industries). According to </w:t>
      </w:r>
      <w:r w:rsidR="00DB0451" w:rsidRPr="0049038A">
        <w:rPr>
          <w:lang w:val="en-GB"/>
        </w:rPr>
        <w:t xml:space="preserve">most recent </w:t>
      </w:r>
      <w:r w:rsidR="00A51D56" w:rsidRPr="0049038A">
        <w:rPr>
          <w:lang w:val="en-GB"/>
        </w:rPr>
        <w:t>INAIL</w:t>
      </w:r>
      <w:r w:rsidR="00C8562E">
        <w:rPr>
          <w:lang w:val="en-GB"/>
        </w:rPr>
        <w:t xml:space="preserve"> (Istituto N</w:t>
      </w:r>
      <w:r w:rsidR="00AF5349" w:rsidRPr="0049038A">
        <w:rPr>
          <w:lang w:val="en-GB"/>
        </w:rPr>
        <w:t>azionale Assicurazione Infortuni sul Lavoro)</w:t>
      </w:r>
      <w:r w:rsidR="0001782A" w:rsidRPr="0049038A">
        <w:rPr>
          <w:lang w:val="en-GB"/>
        </w:rPr>
        <w:t xml:space="preserve"> </w:t>
      </w:r>
      <w:r w:rsidR="00DB0451" w:rsidRPr="0049038A">
        <w:rPr>
          <w:lang w:val="en-GB"/>
        </w:rPr>
        <w:t>raw data</w:t>
      </w:r>
      <w:r w:rsidR="00AF5349" w:rsidRPr="0049038A">
        <w:rPr>
          <w:lang w:val="en-GB"/>
        </w:rPr>
        <w:t xml:space="preserve"> (</w:t>
      </w:r>
      <w:r w:rsidR="0049038A">
        <w:rPr>
          <w:lang w:val="en-GB"/>
        </w:rPr>
        <w:t>INAIL</w:t>
      </w:r>
      <w:r w:rsidR="00AF5349" w:rsidRPr="0049038A">
        <w:rPr>
          <w:lang w:val="en-GB"/>
        </w:rPr>
        <w:t>, 2017)</w:t>
      </w:r>
      <w:r w:rsidR="00A51D56" w:rsidRPr="0049038A">
        <w:rPr>
          <w:lang w:val="en-GB"/>
        </w:rPr>
        <w:t xml:space="preserve">, mainly </w:t>
      </w:r>
      <w:r w:rsidR="00DB0451" w:rsidRPr="0049038A">
        <w:rPr>
          <w:lang w:val="en-GB"/>
        </w:rPr>
        <w:t>as a consequence of</w:t>
      </w:r>
      <w:r w:rsidR="00A51D56" w:rsidRPr="0049038A">
        <w:rPr>
          <w:lang w:val="en-GB"/>
        </w:rPr>
        <w:t xml:space="preserve"> the economic contingency and drop of worked hours in</w:t>
      </w:r>
      <w:r w:rsidR="00DB0451" w:rsidRPr="0049038A">
        <w:rPr>
          <w:lang w:val="en-GB"/>
        </w:rPr>
        <w:t xml:space="preserve"> the</w:t>
      </w:r>
      <w:r w:rsidR="00A51D56" w:rsidRPr="0049038A">
        <w:rPr>
          <w:lang w:val="en-GB"/>
        </w:rPr>
        <w:t xml:space="preserve"> construction</w:t>
      </w:r>
      <w:r w:rsidR="00DB0451" w:rsidRPr="0049038A">
        <w:rPr>
          <w:lang w:val="en-GB"/>
        </w:rPr>
        <w:t xml:space="preserve"> sector</w:t>
      </w:r>
      <w:r w:rsidR="00A51D56" w:rsidRPr="0049038A">
        <w:rPr>
          <w:lang w:val="en-GB"/>
        </w:rPr>
        <w:t>, in the year</w:t>
      </w:r>
      <w:r w:rsidR="00DB0451" w:rsidRPr="0049038A">
        <w:rPr>
          <w:lang w:val="en-GB"/>
        </w:rPr>
        <w:t xml:space="preserve"> </w:t>
      </w:r>
      <w:r w:rsidRPr="0049038A">
        <w:rPr>
          <w:lang w:val="en-GB"/>
        </w:rPr>
        <w:t>2017</w:t>
      </w:r>
      <w:r w:rsidR="00A51D56" w:rsidRPr="0049038A">
        <w:rPr>
          <w:lang w:val="en-GB"/>
        </w:rPr>
        <w:t xml:space="preserve"> in Italy, construction recorded FI = 14 and FAFR = 11 (</w:t>
      </w:r>
      <w:r w:rsidR="00D601AB" w:rsidRPr="0049038A">
        <w:rPr>
          <w:lang w:val="en-GB"/>
        </w:rPr>
        <w:t>Fatal Accident Frequency Rate</w:t>
      </w:r>
      <w:r w:rsidR="0049038A" w:rsidRPr="0049038A">
        <w:rPr>
          <w:lang w:val="en-GB"/>
        </w:rPr>
        <w:t>)</w:t>
      </w:r>
      <w:r w:rsidR="00D601AB" w:rsidRPr="0049038A">
        <w:rPr>
          <w:lang w:val="en-GB"/>
        </w:rPr>
        <w:t xml:space="preserve"> expressed</w:t>
      </w:r>
      <w:r w:rsidR="00D601AB" w:rsidRPr="000245F3">
        <w:rPr>
          <w:lang w:val="en-GB"/>
        </w:rPr>
        <w:t xml:space="preserve"> as </w:t>
      </w:r>
      <w:r w:rsidR="00A51D56" w:rsidRPr="000245F3">
        <w:rPr>
          <w:lang w:val="en-GB"/>
        </w:rPr>
        <w:t>fatal accidents per 10</w:t>
      </w:r>
      <w:r w:rsidR="00A51D56" w:rsidRPr="000245F3">
        <w:rPr>
          <w:vertAlign w:val="superscript"/>
          <w:lang w:val="en-GB"/>
        </w:rPr>
        <w:t>8</w:t>
      </w:r>
      <w:r w:rsidR="00A51D56" w:rsidRPr="000245F3">
        <w:rPr>
          <w:lang w:val="en-GB"/>
        </w:rPr>
        <w:t xml:space="preserve"> worked hours)</w:t>
      </w:r>
      <w:r w:rsidR="00815EAB">
        <w:rPr>
          <w:lang w:val="en-GB"/>
        </w:rPr>
        <w:t>. These figures should be</w:t>
      </w:r>
      <w:r w:rsidR="00A51D56" w:rsidRPr="000245F3">
        <w:rPr>
          <w:lang w:val="en-GB"/>
        </w:rPr>
        <w:t xml:space="preserve"> compared with the average values for all Italian industrial sectors</w:t>
      </w:r>
      <w:r w:rsidR="00815EAB">
        <w:rPr>
          <w:lang w:val="en-GB"/>
        </w:rPr>
        <w:t>,</w:t>
      </w:r>
      <w:r w:rsidR="00A51D56" w:rsidRPr="000245F3">
        <w:rPr>
          <w:lang w:val="en-GB"/>
        </w:rPr>
        <w:t xml:space="preserve"> respectively corresponding to FI = 7 and FAFR = 3</w:t>
      </w:r>
      <w:r w:rsidR="00815EAB">
        <w:rPr>
          <w:lang w:val="en-GB"/>
        </w:rPr>
        <w:t>, evidencing the inherent hazardous character of the sector</w:t>
      </w:r>
      <w:r w:rsidR="00A51D56" w:rsidRPr="000245F3">
        <w:rPr>
          <w:lang w:val="en-GB"/>
        </w:rPr>
        <w:t>.</w:t>
      </w:r>
    </w:p>
    <w:p w14:paraId="2E94A150" w14:textId="5DD973CF" w:rsidR="00DB0451" w:rsidRPr="000245F3" w:rsidRDefault="00DB0451" w:rsidP="00A51D56">
      <w:pPr>
        <w:pStyle w:val="CETBodytext"/>
        <w:rPr>
          <w:lang w:val="en-GB"/>
        </w:rPr>
      </w:pPr>
      <w:r w:rsidRPr="000245F3">
        <w:rPr>
          <w:noProof/>
          <w:lang w:val="it-IT" w:eastAsia="it-IT"/>
        </w:rPr>
        <w:lastRenderedPageBreak/>
        <w:drawing>
          <wp:inline distT="0" distB="0" distL="0" distR="0" wp14:anchorId="7A3CBCD0" wp14:editId="453C2B3D">
            <wp:extent cx="5146396" cy="3155206"/>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649" cy="3167623"/>
                    </a:xfrm>
                    <a:prstGeom prst="rect">
                      <a:avLst/>
                    </a:prstGeom>
                    <a:noFill/>
                  </pic:spPr>
                </pic:pic>
              </a:graphicData>
            </a:graphic>
          </wp:inline>
        </w:drawing>
      </w:r>
    </w:p>
    <w:p w14:paraId="16FD41EC" w14:textId="3F3695F6" w:rsidR="00DB0451" w:rsidRPr="000245F3" w:rsidRDefault="00AB768E" w:rsidP="00A51D56">
      <w:pPr>
        <w:pStyle w:val="CETBodytext"/>
        <w:rPr>
          <w:i/>
          <w:lang w:val="en-GB"/>
        </w:rPr>
      </w:pPr>
      <w:r w:rsidRPr="0049038A">
        <w:rPr>
          <w:i/>
          <w:lang w:val="en-GB"/>
        </w:rPr>
        <w:t>Figure 1: Frequency I</w:t>
      </w:r>
      <w:r w:rsidR="00DB0451" w:rsidRPr="0049038A">
        <w:rPr>
          <w:i/>
          <w:lang w:val="en-GB"/>
        </w:rPr>
        <w:t>ndex</w:t>
      </w:r>
      <w:r w:rsidRPr="0049038A">
        <w:rPr>
          <w:i/>
          <w:lang w:val="en-GB"/>
        </w:rPr>
        <w:t xml:space="preserve"> (FI)</w:t>
      </w:r>
      <w:r w:rsidR="00DB0451" w:rsidRPr="0049038A">
        <w:rPr>
          <w:i/>
          <w:lang w:val="en-GB"/>
        </w:rPr>
        <w:t xml:space="preserve"> in the building, mechanical and chemical secto</w:t>
      </w:r>
      <w:r w:rsidR="00A46507" w:rsidRPr="0049038A">
        <w:rPr>
          <w:i/>
          <w:lang w:val="en-GB"/>
        </w:rPr>
        <w:t>rs in Italy over the long trend</w:t>
      </w:r>
      <w:r w:rsidR="0031045E">
        <w:rPr>
          <w:i/>
          <w:lang w:val="en-GB"/>
        </w:rPr>
        <w:t>.</w:t>
      </w:r>
    </w:p>
    <w:p w14:paraId="146DE2E8" w14:textId="77777777" w:rsidR="00DB0451" w:rsidRPr="000245F3" w:rsidRDefault="00DB0451" w:rsidP="00A51D56">
      <w:pPr>
        <w:pStyle w:val="CETBodytext"/>
        <w:rPr>
          <w:lang w:val="en-GB"/>
        </w:rPr>
      </w:pPr>
    </w:p>
    <w:p w14:paraId="58AF5F1B" w14:textId="25E8BACC" w:rsidR="00BF31E6" w:rsidRPr="000245F3" w:rsidRDefault="00BF31E6" w:rsidP="00BF31E6">
      <w:pPr>
        <w:pStyle w:val="CETheadingx"/>
        <w:rPr>
          <w:lang w:val="en-GB"/>
        </w:rPr>
      </w:pPr>
      <w:r w:rsidRPr="000245F3">
        <w:rPr>
          <w:lang w:val="en-GB"/>
        </w:rPr>
        <w:t>Reference context</w:t>
      </w:r>
    </w:p>
    <w:p w14:paraId="11456F21" w14:textId="2EF75AF8" w:rsidR="00BF31E6" w:rsidRPr="000245F3" w:rsidRDefault="00BF31E6" w:rsidP="00BF31E6">
      <w:pPr>
        <w:pStyle w:val="CETBodytext"/>
        <w:rPr>
          <w:lang w:val="en-GB"/>
        </w:rPr>
      </w:pPr>
      <w:r w:rsidRPr="000245F3">
        <w:rPr>
          <w:lang w:val="en-GB"/>
        </w:rPr>
        <w:t xml:space="preserve">The basis of this research </w:t>
      </w:r>
      <w:r w:rsidR="00AF552C" w:rsidRPr="000245F3">
        <w:rPr>
          <w:lang w:val="en-GB"/>
        </w:rPr>
        <w:t xml:space="preserve">was </w:t>
      </w:r>
      <w:r w:rsidRPr="000245F3">
        <w:rPr>
          <w:lang w:val="en-GB"/>
        </w:rPr>
        <w:t xml:space="preserve">the findings from the construction phase of a large petrochemical complex in the Middle East. The oil and petrochemical integrated complex </w:t>
      </w:r>
      <w:r w:rsidR="00AF552C" w:rsidRPr="000245F3">
        <w:rPr>
          <w:lang w:val="en-GB"/>
        </w:rPr>
        <w:t>is</w:t>
      </w:r>
      <w:r w:rsidRPr="000245F3">
        <w:rPr>
          <w:lang w:val="en-GB"/>
        </w:rPr>
        <w:t xml:space="preserve"> composed of a traditional refinery complex (crude distillation, atmospheric residue desulphur</w:t>
      </w:r>
      <w:r w:rsidR="007F69D7" w:rsidRPr="000245F3">
        <w:rPr>
          <w:lang w:val="en-GB"/>
        </w:rPr>
        <w:t>iz</w:t>
      </w:r>
      <w:r w:rsidRPr="000245F3">
        <w:rPr>
          <w:lang w:val="en-GB"/>
        </w:rPr>
        <w:t>ation, di</w:t>
      </w:r>
      <w:r w:rsidR="00771A87" w:rsidRPr="000245F3">
        <w:rPr>
          <w:lang w:val="en-GB"/>
        </w:rPr>
        <w:t>esel hydrotreating, naphtha hyd</w:t>
      </w:r>
      <w:r w:rsidRPr="000245F3">
        <w:rPr>
          <w:lang w:val="en-GB"/>
        </w:rPr>
        <w:t>rotreating, kerosene hydrotreating, hydrog</w:t>
      </w:r>
      <w:r w:rsidR="00AF552C" w:rsidRPr="000245F3">
        <w:rPr>
          <w:lang w:val="en-GB"/>
        </w:rPr>
        <w:t>en production and compression, strippers, amine regeneration, t</w:t>
      </w:r>
      <w:r w:rsidRPr="000245F3">
        <w:rPr>
          <w:lang w:val="en-GB"/>
        </w:rPr>
        <w:t xml:space="preserve">ank </w:t>
      </w:r>
      <w:r w:rsidR="00AF552C" w:rsidRPr="000245F3">
        <w:rPr>
          <w:lang w:val="en-GB"/>
        </w:rPr>
        <w:t>farm and administration a</w:t>
      </w:r>
      <w:r w:rsidRPr="000245F3">
        <w:rPr>
          <w:lang w:val="en-GB"/>
        </w:rPr>
        <w:t xml:space="preserve">rea) which will produce high value </w:t>
      </w:r>
      <w:r w:rsidR="00AF552C" w:rsidRPr="000245F3">
        <w:rPr>
          <w:lang w:val="en-GB"/>
        </w:rPr>
        <w:t>fuel oil and feedstock to the p</w:t>
      </w:r>
      <w:r w:rsidRPr="000245F3">
        <w:rPr>
          <w:lang w:val="en-GB"/>
        </w:rPr>
        <w:t xml:space="preserve">etrochemical facility dedicated to the production of polypropylene, </w:t>
      </w:r>
      <w:r w:rsidRPr="000245F3">
        <w:rPr>
          <w:i/>
          <w:lang w:val="en-GB"/>
        </w:rPr>
        <w:t>p</w:t>
      </w:r>
      <w:r w:rsidR="00AF552C" w:rsidRPr="000245F3">
        <w:rPr>
          <w:lang w:val="en-GB"/>
        </w:rPr>
        <w:t>-</w:t>
      </w:r>
      <w:r w:rsidRPr="000245F3">
        <w:rPr>
          <w:lang w:val="en-GB"/>
        </w:rPr>
        <w:t>xylene, gasoline and other fuels. The oil complex includes utili</w:t>
      </w:r>
      <w:r w:rsidR="00AF552C" w:rsidRPr="000245F3">
        <w:rPr>
          <w:lang w:val="en-GB"/>
        </w:rPr>
        <w:t>ty production (steam, air, w</w:t>
      </w:r>
      <w:r w:rsidRPr="000245F3">
        <w:rPr>
          <w:lang w:val="en-GB"/>
        </w:rPr>
        <w:t xml:space="preserve">ater, </w:t>
      </w:r>
      <w:r w:rsidR="00AF552C" w:rsidRPr="000245F3">
        <w:rPr>
          <w:lang w:val="en-GB"/>
        </w:rPr>
        <w:t>and c</w:t>
      </w:r>
      <w:r w:rsidRPr="000245F3">
        <w:rPr>
          <w:lang w:val="en-GB"/>
        </w:rPr>
        <w:t>ooling</w:t>
      </w:r>
      <w:r w:rsidR="00AF552C" w:rsidRPr="000245F3">
        <w:rPr>
          <w:lang w:val="en-GB"/>
        </w:rPr>
        <w:t xml:space="preserve"> t</w:t>
      </w:r>
      <w:r w:rsidRPr="000245F3">
        <w:rPr>
          <w:lang w:val="en-GB"/>
        </w:rPr>
        <w:t>owers) and Waste Water Treatment, Hydrogen Production and Compression well as recovery units and flare systems. The plant is currently at the end of its first year of construction on a land of approximately 1</w:t>
      </w:r>
      <w:r w:rsidR="00AF552C" w:rsidRPr="000245F3">
        <w:rPr>
          <w:lang w:val="en-GB"/>
        </w:rPr>
        <w:t xml:space="preserve"> </w:t>
      </w:r>
      <w:r w:rsidRPr="000245F3">
        <w:rPr>
          <w:lang w:val="en-GB"/>
        </w:rPr>
        <w:t xml:space="preserve">square kilometer and the construction is forecasted to last 36-40 months in total. The building site underground facilities and building complex are </w:t>
      </w:r>
      <w:r w:rsidR="00594FD0" w:rsidRPr="000245F3">
        <w:rPr>
          <w:lang w:val="en-GB"/>
        </w:rPr>
        <w:t>currently at the final stage</w:t>
      </w:r>
      <w:r w:rsidR="007F69D7" w:rsidRPr="000245F3">
        <w:rPr>
          <w:lang w:val="en-GB"/>
        </w:rPr>
        <w:t xml:space="preserve"> and are accounted for in this study</w:t>
      </w:r>
      <w:r w:rsidR="00AF552C" w:rsidRPr="000245F3">
        <w:rPr>
          <w:lang w:val="en-GB"/>
        </w:rPr>
        <w:t>,</w:t>
      </w:r>
      <w:r w:rsidRPr="000245F3">
        <w:rPr>
          <w:lang w:val="en-GB"/>
        </w:rPr>
        <w:t xml:space="preserve"> while the </w:t>
      </w:r>
      <w:r w:rsidR="00594FD0" w:rsidRPr="000245F3">
        <w:rPr>
          <w:lang w:val="en-GB"/>
        </w:rPr>
        <w:t>e</w:t>
      </w:r>
      <w:r w:rsidRPr="000245F3">
        <w:rPr>
          <w:lang w:val="en-GB"/>
        </w:rPr>
        <w:t xml:space="preserve">lectrical and </w:t>
      </w:r>
      <w:r w:rsidR="00594FD0" w:rsidRPr="000245F3">
        <w:rPr>
          <w:lang w:val="en-GB"/>
        </w:rPr>
        <w:t>structural, m</w:t>
      </w:r>
      <w:r w:rsidRPr="000245F3">
        <w:rPr>
          <w:lang w:val="en-GB"/>
        </w:rPr>
        <w:t xml:space="preserve">echanical and </w:t>
      </w:r>
      <w:r w:rsidR="00594FD0" w:rsidRPr="000245F3">
        <w:rPr>
          <w:lang w:val="en-GB"/>
        </w:rPr>
        <w:t>p</w:t>
      </w:r>
      <w:r w:rsidRPr="000245F3">
        <w:rPr>
          <w:lang w:val="en-GB"/>
        </w:rPr>
        <w:t xml:space="preserve">iping </w:t>
      </w:r>
      <w:r w:rsidR="00594FD0" w:rsidRPr="000245F3">
        <w:rPr>
          <w:lang w:val="en-GB"/>
        </w:rPr>
        <w:t xml:space="preserve">activities </w:t>
      </w:r>
      <w:r w:rsidRPr="000245F3">
        <w:rPr>
          <w:lang w:val="en-GB"/>
        </w:rPr>
        <w:t xml:space="preserve">are forecasted to ramp up in the </w:t>
      </w:r>
      <w:r w:rsidR="00594FD0" w:rsidRPr="000245F3">
        <w:rPr>
          <w:lang w:val="en-GB"/>
        </w:rPr>
        <w:t>following</w:t>
      </w:r>
      <w:r w:rsidR="00236825">
        <w:rPr>
          <w:lang w:val="en-GB"/>
        </w:rPr>
        <w:t xml:space="preserve"> </w:t>
      </w:r>
      <w:r w:rsidRPr="000245F3">
        <w:rPr>
          <w:lang w:val="en-GB"/>
        </w:rPr>
        <w:t>3</w:t>
      </w:r>
      <w:r w:rsidR="00236825">
        <w:rPr>
          <w:lang w:val="en-GB"/>
        </w:rPr>
        <w:t>-4</w:t>
      </w:r>
      <w:r w:rsidRPr="000245F3">
        <w:rPr>
          <w:lang w:val="en-GB"/>
        </w:rPr>
        <w:t xml:space="preserve"> months</w:t>
      </w:r>
      <w:r w:rsidR="006C5998" w:rsidRPr="000245F3">
        <w:rPr>
          <w:lang w:val="en-GB"/>
        </w:rPr>
        <w:t>.</w:t>
      </w:r>
    </w:p>
    <w:p w14:paraId="70406731" w14:textId="77777777" w:rsidR="00E75F1A" w:rsidRPr="000245F3" w:rsidRDefault="00E75F1A" w:rsidP="00E75F1A">
      <w:pPr>
        <w:pStyle w:val="CETheadingx"/>
        <w:rPr>
          <w:lang w:val="en-GB"/>
        </w:rPr>
      </w:pPr>
      <w:r w:rsidRPr="000245F3">
        <w:rPr>
          <w:lang w:val="en-GB"/>
        </w:rPr>
        <w:t xml:space="preserve">Workforce sample </w:t>
      </w:r>
    </w:p>
    <w:p w14:paraId="71C3AB8C" w14:textId="607F7264" w:rsidR="00E75F1A" w:rsidRPr="000245F3" w:rsidRDefault="00E75F1A" w:rsidP="00E75F1A">
      <w:pPr>
        <w:pStyle w:val="CETBodytext"/>
        <w:rPr>
          <w:lang w:val="en-GB"/>
        </w:rPr>
      </w:pPr>
      <w:r w:rsidRPr="000245F3">
        <w:rPr>
          <w:lang w:val="en-GB"/>
        </w:rPr>
        <w:t>The workforce varies from t</w:t>
      </w:r>
      <w:r w:rsidR="00026CA7" w:rsidRPr="000245F3">
        <w:rPr>
          <w:lang w:val="en-GB"/>
        </w:rPr>
        <w:t xml:space="preserve">he carpenters and helpers </w:t>
      </w:r>
      <w:r w:rsidR="00C44071" w:rsidRPr="000245F3">
        <w:rPr>
          <w:lang w:val="en-GB"/>
        </w:rPr>
        <w:t>utilized</w:t>
      </w:r>
      <w:r w:rsidRPr="000245F3">
        <w:rPr>
          <w:lang w:val="en-GB"/>
        </w:rPr>
        <w:t xml:space="preserve"> in the civil and concrete structures to prepare formworks’ to the Concrete Pipe installation crews and the more trained and qualified </w:t>
      </w:r>
      <w:r w:rsidR="00771A87" w:rsidRPr="000245F3">
        <w:rPr>
          <w:lang w:val="en-GB"/>
        </w:rPr>
        <w:t>fiberglass</w:t>
      </w:r>
      <w:r w:rsidR="004F5FD6" w:rsidRPr="000245F3">
        <w:rPr>
          <w:lang w:val="en-GB"/>
        </w:rPr>
        <w:t xml:space="preserve"> </w:t>
      </w:r>
      <w:r w:rsidRPr="000245F3">
        <w:rPr>
          <w:lang w:val="en-GB"/>
        </w:rPr>
        <w:t xml:space="preserve">pipe lamination teams. These labor crews are supervised by construction foremen and directed by </w:t>
      </w:r>
      <w:r w:rsidR="00A43196">
        <w:rPr>
          <w:lang w:val="en-GB"/>
        </w:rPr>
        <w:t>s</w:t>
      </w:r>
      <w:r w:rsidRPr="000245F3">
        <w:rPr>
          <w:lang w:val="en-GB"/>
        </w:rPr>
        <w:t>ite engineers and construction managers. Current workforce consists of 5,000 workers and it is expected to peak at 15,000 within a year time. The human sample comprehended from workforce to engineers and managers, since all the involved people were supposed to report unsafe conditions, unsafe acts or near misses.</w:t>
      </w:r>
    </w:p>
    <w:p w14:paraId="517FC8A5" w14:textId="21381F4C" w:rsidR="00AA1F7E" w:rsidRPr="000245F3" w:rsidRDefault="0056197C" w:rsidP="00AA1F7E">
      <w:pPr>
        <w:pStyle w:val="CETheadingx"/>
        <w:rPr>
          <w:lang w:val="en-GB" w:eastAsia="it-IT"/>
        </w:rPr>
      </w:pPr>
      <w:r w:rsidRPr="000245F3">
        <w:rPr>
          <w:lang w:val="en-GB" w:eastAsia="it-IT"/>
        </w:rPr>
        <w:t>Reference definitions</w:t>
      </w:r>
    </w:p>
    <w:p w14:paraId="0839EB46" w14:textId="4A6BA7AE" w:rsidR="005721F7" w:rsidRPr="000245F3" w:rsidRDefault="006D1DB2" w:rsidP="005721F7">
      <w:pPr>
        <w:pStyle w:val="CETBodytext"/>
        <w:rPr>
          <w:lang w:val="en-GB" w:eastAsia="it-IT"/>
        </w:rPr>
      </w:pPr>
      <w:r w:rsidRPr="000245F3">
        <w:rPr>
          <w:lang w:val="en-GB" w:eastAsia="it-IT"/>
        </w:rPr>
        <w:t>In the following</w:t>
      </w:r>
      <w:r w:rsidR="00212E95" w:rsidRPr="000245F3">
        <w:rPr>
          <w:lang w:val="en-GB" w:eastAsia="it-IT"/>
        </w:rPr>
        <w:t>,</w:t>
      </w:r>
      <w:r w:rsidRPr="000245F3">
        <w:rPr>
          <w:lang w:val="en-GB" w:eastAsia="it-IT"/>
        </w:rPr>
        <w:t xml:space="preserve"> we provide a short description of the basic terminology adopted for on-site recording</w:t>
      </w:r>
      <w:r w:rsidR="00EF246E" w:rsidRPr="000245F3">
        <w:rPr>
          <w:lang w:val="en-GB" w:eastAsia="it-IT"/>
        </w:rPr>
        <w:t>, for both accidents and hazard</w:t>
      </w:r>
      <w:r w:rsidR="00212E95" w:rsidRPr="000245F3">
        <w:rPr>
          <w:lang w:val="en-GB" w:eastAsia="it-IT"/>
        </w:rPr>
        <w:t>ous events without consequences</w:t>
      </w:r>
      <w:r w:rsidR="00C1232D" w:rsidRPr="000245F3">
        <w:rPr>
          <w:lang w:val="en-GB" w:eastAsia="it-IT"/>
        </w:rPr>
        <w:t>.</w:t>
      </w:r>
      <w:r w:rsidR="00212E95" w:rsidRPr="000245F3">
        <w:rPr>
          <w:lang w:val="en-GB" w:eastAsia="it-IT"/>
        </w:rPr>
        <w:t xml:space="preserve"> </w:t>
      </w:r>
      <w:r w:rsidR="00C1232D" w:rsidRPr="000245F3">
        <w:rPr>
          <w:lang w:val="en-GB" w:eastAsia="it-IT"/>
        </w:rPr>
        <w:t xml:space="preserve">Work related unwanted events </w:t>
      </w:r>
      <w:r w:rsidR="00771A87" w:rsidRPr="000245F3">
        <w:rPr>
          <w:lang w:val="en-GB" w:eastAsia="it-IT"/>
        </w:rPr>
        <w:t>could</w:t>
      </w:r>
      <w:r w:rsidR="00BC57B0" w:rsidRPr="000245F3">
        <w:rPr>
          <w:lang w:val="en-GB" w:eastAsia="it-IT"/>
        </w:rPr>
        <w:t xml:space="preserve"> </w:t>
      </w:r>
      <w:r w:rsidR="004F5FD6" w:rsidRPr="000245F3">
        <w:rPr>
          <w:lang w:val="en-GB" w:eastAsia="it-IT"/>
        </w:rPr>
        <w:t>include</w:t>
      </w:r>
      <w:r w:rsidR="005721F7" w:rsidRPr="000245F3">
        <w:rPr>
          <w:lang w:val="en-GB" w:eastAsia="it-IT"/>
        </w:rPr>
        <w:t xml:space="preserve"> dangerous situations</w:t>
      </w:r>
      <w:r w:rsidR="00BC57B0" w:rsidRPr="000245F3">
        <w:rPr>
          <w:lang w:val="en-GB" w:eastAsia="it-IT"/>
        </w:rPr>
        <w:t xml:space="preserve">; </w:t>
      </w:r>
      <w:r w:rsidR="005721F7" w:rsidRPr="000245F3">
        <w:rPr>
          <w:lang w:val="en-GB" w:eastAsia="it-IT"/>
        </w:rPr>
        <w:t>near misses</w:t>
      </w:r>
      <w:r w:rsidR="00BC57B0" w:rsidRPr="000245F3">
        <w:rPr>
          <w:lang w:val="en-GB" w:eastAsia="it-IT"/>
        </w:rPr>
        <w:t xml:space="preserve">; </w:t>
      </w:r>
      <w:r w:rsidR="005721F7" w:rsidRPr="000245F3">
        <w:rPr>
          <w:lang w:val="en-GB" w:eastAsia="it-IT"/>
        </w:rPr>
        <w:t>first aid</w:t>
      </w:r>
      <w:r w:rsidR="00BC57B0" w:rsidRPr="000245F3">
        <w:rPr>
          <w:lang w:val="en-GB" w:eastAsia="it-IT"/>
        </w:rPr>
        <w:t>;</w:t>
      </w:r>
      <w:r w:rsidR="005721F7" w:rsidRPr="000245F3">
        <w:rPr>
          <w:lang w:val="en-GB" w:eastAsia="it-IT"/>
        </w:rPr>
        <w:t xml:space="preserve"> medical treatment</w:t>
      </w:r>
      <w:r w:rsidR="00BC57B0" w:rsidRPr="000245F3">
        <w:rPr>
          <w:lang w:val="en-GB" w:eastAsia="it-IT"/>
        </w:rPr>
        <w:t xml:space="preserve">; </w:t>
      </w:r>
      <w:r w:rsidR="005721F7" w:rsidRPr="000245F3">
        <w:rPr>
          <w:lang w:val="en-GB" w:eastAsia="it-IT"/>
        </w:rPr>
        <w:t>restricted duty injury</w:t>
      </w:r>
      <w:r w:rsidR="00BC57B0" w:rsidRPr="000245F3">
        <w:rPr>
          <w:lang w:val="en-GB" w:eastAsia="it-IT"/>
        </w:rPr>
        <w:t xml:space="preserve">; </w:t>
      </w:r>
      <w:r w:rsidR="00C1232D" w:rsidRPr="000245F3">
        <w:rPr>
          <w:lang w:val="en-GB" w:eastAsia="it-IT"/>
        </w:rPr>
        <w:t>l</w:t>
      </w:r>
      <w:r w:rsidR="005721F7" w:rsidRPr="000245F3">
        <w:rPr>
          <w:lang w:val="en-GB" w:eastAsia="it-IT"/>
        </w:rPr>
        <w:t>ost time injury</w:t>
      </w:r>
      <w:r w:rsidR="00BC57B0" w:rsidRPr="000245F3">
        <w:rPr>
          <w:lang w:val="en-GB" w:eastAsia="it-IT"/>
        </w:rPr>
        <w:t xml:space="preserve">; </w:t>
      </w:r>
      <w:r w:rsidR="005721F7" w:rsidRPr="000245F3">
        <w:rPr>
          <w:lang w:val="en-GB" w:eastAsia="it-IT"/>
        </w:rPr>
        <w:t>fatality</w:t>
      </w:r>
      <w:r w:rsidR="00BC57B0" w:rsidRPr="000245F3">
        <w:rPr>
          <w:lang w:val="en-GB" w:eastAsia="it-IT"/>
        </w:rPr>
        <w:t>.</w:t>
      </w:r>
    </w:p>
    <w:p w14:paraId="417A475A" w14:textId="2D1778E9" w:rsidR="005721F7" w:rsidRPr="000245F3" w:rsidRDefault="00C1232D" w:rsidP="005721F7">
      <w:pPr>
        <w:pStyle w:val="CETBodytext"/>
        <w:rPr>
          <w:lang w:val="en-GB" w:eastAsia="it-IT"/>
        </w:rPr>
      </w:pPr>
      <w:r w:rsidRPr="000245F3">
        <w:rPr>
          <w:lang w:val="en-GB" w:eastAsia="it-IT"/>
        </w:rPr>
        <w:t>Clearly, every hazardous event</w:t>
      </w:r>
      <w:r w:rsidR="005721F7" w:rsidRPr="000245F3">
        <w:rPr>
          <w:lang w:val="en-GB" w:eastAsia="it-IT"/>
        </w:rPr>
        <w:t xml:space="preserve"> is required to be </w:t>
      </w:r>
      <w:r w:rsidRPr="000245F3">
        <w:rPr>
          <w:lang w:val="en-GB" w:eastAsia="it-IT"/>
        </w:rPr>
        <w:t xml:space="preserve">thoroughly </w:t>
      </w:r>
      <w:r w:rsidR="005721F7" w:rsidRPr="000245F3">
        <w:rPr>
          <w:lang w:val="en-GB" w:eastAsia="it-IT"/>
        </w:rPr>
        <w:t>investigated</w:t>
      </w:r>
      <w:r w:rsidR="000930E7" w:rsidRPr="000245F3">
        <w:rPr>
          <w:lang w:val="en-GB" w:eastAsia="it-IT"/>
        </w:rPr>
        <w:t>,</w:t>
      </w:r>
      <w:r w:rsidR="005721F7" w:rsidRPr="000245F3">
        <w:rPr>
          <w:lang w:val="en-GB" w:eastAsia="it-IT"/>
        </w:rPr>
        <w:t xml:space="preserve"> to ensure t</w:t>
      </w:r>
      <w:r w:rsidRPr="000245F3">
        <w:rPr>
          <w:lang w:val="en-GB" w:eastAsia="it-IT"/>
        </w:rPr>
        <w:t xml:space="preserve">hat a reoccurrence is prevented, starting from factual collection, event course, immediate and root cause identification, </w:t>
      </w:r>
      <w:r w:rsidR="000930E7" w:rsidRPr="000245F3">
        <w:rPr>
          <w:lang w:val="en-GB" w:eastAsia="it-IT"/>
        </w:rPr>
        <w:t xml:space="preserve">and </w:t>
      </w:r>
      <w:r w:rsidRPr="000245F3">
        <w:rPr>
          <w:lang w:val="en-GB" w:eastAsia="it-IT"/>
        </w:rPr>
        <w:t>setting up of</w:t>
      </w:r>
      <w:r w:rsidR="000930E7" w:rsidRPr="000245F3">
        <w:rPr>
          <w:lang w:val="en-GB" w:eastAsia="it-IT"/>
        </w:rPr>
        <w:t xml:space="preserve"> the corrective actions/</w:t>
      </w:r>
      <w:r w:rsidR="005721F7" w:rsidRPr="000245F3">
        <w:rPr>
          <w:lang w:val="en-GB" w:eastAsia="it-IT"/>
        </w:rPr>
        <w:t>preventive measures</w:t>
      </w:r>
      <w:r w:rsidR="000930E7" w:rsidRPr="000245F3">
        <w:rPr>
          <w:lang w:val="en-GB" w:eastAsia="it-IT"/>
        </w:rPr>
        <w:t xml:space="preserve"> including</w:t>
      </w:r>
      <w:r w:rsidRPr="000245F3">
        <w:rPr>
          <w:lang w:val="en-GB" w:eastAsia="it-IT"/>
        </w:rPr>
        <w:t xml:space="preserve"> accountability for </w:t>
      </w:r>
      <w:r w:rsidR="005721F7" w:rsidRPr="000245F3">
        <w:rPr>
          <w:lang w:val="en-GB" w:eastAsia="it-IT"/>
        </w:rPr>
        <w:t>their implementation.</w:t>
      </w:r>
    </w:p>
    <w:p w14:paraId="1EA6E900" w14:textId="77777777" w:rsidR="006023D6" w:rsidRPr="0031045E" w:rsidRDefault="00EF246E" w:rsidP="00AA1F7E">
      <w:pPr>
        <w:pStyle w:val="CETBodytext"/>
        <w:rPr>
          <w:lang w:val="en-GB" w:eastAsia="it-IT"/>
        </w:rPr>
      </w:pPr>
      <w:r w:rsidRPr="000245F3">
        <w:rPr>
          <w:lang w:val="en-GB" w:eastAsia="it-IT"/>
        </w:rPr>
        <w:t xml:space="preserve">In expanding the lower part of the </w:t>
      </w:r>
      <w:r w:rsidR="00771A87" w:rsidRPr="000245F3">
        <w:rPr>
          <w:lang w:val="en-GB" w:eastAsia="it-IT"/>
        </w:rPr>
        <w:t>pyramid,</w:t>
      </w:r>
      <w:r w:rsidRPr="000245F3">
        <w:rPr>
          <w:lang w:val="en-GB" w:eastAsia="it-IT"/>
        </w:rPr>
        <w:t xml:space="preserve"> following reference terms</w:t>
      </w:r>
      <w:r w:rsidR="004F5FD6" w:rsidRPr="000245F3">
        <w:rPr>
          <w:lang w:val="en-GB" w:eastAsia="it-IT"/>
        </w:rPr>
        <w:t xml:space="preserve"> </w:t>
      </w:r>
      <w:r w:rsidR="004F5FD6" w:rsidRPr="0031045E">
        <w:rPr>
          <w:lang w:val="en-GB" w:eastAsia="it-IT"/>
        </w:rPr>
        <w:t>were adopted</w:t>
      </w:r>
      <w:r w:rsidRPr="0031045E">
        <w:rPr>
          <w:lang w:val="en-GB" w:eastAsia="it-IT"/>
        </w:rPr>
        <w:t>:</w:t>
      </w:r>
    </w:p>
    <w:p w14:paraId="2E41381C" w14:textId="3B7F532E" w:rsidR="00AA1F7E" w:rsidRPr="0031045E" w:rsidRDefault="00AA1F7E" w:rsidP="00AA1F7E">
      <w:pPr>
        <w:pStyle w:val="CETBodytext"/>
        <w:rPr>
          <w:lang w:val="en-GB" w:eastAsia="it-IT"/>
        </w:rPr>
      </w:pPr>
      <w:r w:rsidRPr="0031045E">
        <w:rPr>
          <w:i/>
          <w:lang w:val="en-GB" w:eastAsia="it-IT"/>
        </w:rPr>
        <w:t>Unsafe Act</w:t>
      </w:r>
      <w:r w:rsidRPr="0031045E">
        <w:rPr>
          <w:lang w:val="en-GB" w:eastAsia="it-IT"/>
        </w:rPr>
        <w:t xml:space="preserve"> – The performance of a task or an activity </w:t>
      </w:r>
      <w:r w:rsidR="00BC57B0" w:rsidRPr="0031045E">
        <w:rPr>
          <w:lang w:val="en-GB" w:eastAsia="it-IT"/>
        </w:rPr>
        <w:t>performed</w:t>
      </w:r>
      <w:r w:rsidRPr="0031045E">
        <w:rPr>
          <w:lang w:val="en-GB" w:eastAsia="it-IT"/>
        </w:rPr>
        <w:t xml:space="preserve"> in a manner that may threaten the health and/or safety of workers </w:t>
      </w:r>
      <w:r w:rsidR="00212E95" w:rsidRPr="0031045E">
        <w:rPr>
          <w:lang w:val="en-GB" w:eastAsia="it-IT"/>
        </w:rPr>
        <w:t>(e.g.</w:t>
      </w:r>
      <w:r w:rsidR="004F5FD6" w:rsidRPr="0031045E">
        <w:rPr>
          <w:lang w:val="en-GB" w:eastAsia="it-IT"/>
        </w:rPr>
        <w:t xml:space="preserve"> </w:t>
      </w:r>
      <w:r w:rsidR="00B83E8F" w:rsidRPr="0031045E">
        <w:rPr>
          <w:lang w:val="en-GB" w:eastAsia="it-IT"/>
        </w:rPr>
        <w:t xml:space="preserve">lack of </w:t>
      </w:r>
      <w:r w:rsidR="00F7444F" w:rsidRPr="0031045E">
        <w:rPr>
          <w:lang w:val="en-GB" w:eastAsia="it-IT"/>
        </w:rPr>
        <w:t>Personal Protecti</w:t>
      </w:r>
      <w:r w:rsidR="00616D22" w:rsidRPr="0031045E">
        <w:rPr>
          <w:lang w:val="en-GB" w:eastAsia="it-IT"/>
        </w:rPr>
        <w:t>ve</w:t>
      </w:r>
      <w:r w:rsidR="00F7444F" w:rsidRPr="0031045E">
        <w:rPr>
          <w:lang w:val="en-GB" w:eastAsia="it-IT"/>
        </w:rPr>
        <w:t xml:space="preserve"> Equipment (</w:t>
      </w:r>
      <w:r w:rsidR="00B83E8F" w:rsidRPr="0031045E">
        <w:rPr>
          <w:lang w:val="en-GB" w:eastAsia="it-IT"/>
        </w:rPr>
        <w:t>PPEs</w:t>
      </w:r>
      <w:r w:rsidR="00F7444F" w:rsidRPr="0031045E">
        <w:rPr>
          <w:lang w:val="en-GB" w:eastAsia="it-IT"/>
        </w:rPr>
        <w:t>)</w:t>
      </w:r>
      <w:r w:rsidR="00B83E8F" w:rsidRPr="0031045E">
        <w:rPr>
          <w:lang w:val="en-GB" w:eastAsia="it-IT"/>
        </w:rPr>
        <w:t>,</w:t>
      </w:r>
      <w:r w:rsidR="00212E95" w:rsidRPr="0031045E">
        <w:rPr>
          <w:lang w:val="en-GB" w:eastAsia="it-IT"/>
        </w:rPr>
        <w:t xml:space="preserve"> which represent the ultimate layer of protection against accident</w:t>
      </w:r>
      <w:r w:rsidRPr="0031045E">
        <w:rPr>
          <w:lang w:val="en-GB" w:eastAsia="it-IT"/>
        </w:rPr>
        <w:t>).</w:t>
      </w:r>
    </w:p>
    <w:p w14:paraId="17125FAB" w14:textId="7B758559" w:rsidR="00AA1F7E" w:rsidRPr="000245F3" w:rsidRDefault="00AA1F7E" w:rsidP="00B83E8F">
      <w:pPr>
        <w:pStyle w:val="CETBodytext"/>
        <w:rPr>
          <w:lang w:val="en-GB" w:eastAsia="it-IT"/>
        </w:rPr>
      </w:pPr>
      <w:r w:rsidRPr="0031045E">
        <w:rPr>
          <w:i/>
          <w:lang w:val="en-GB" w:eastAsia="it-IT"/>
        </w:rPr>
        <w:lastRenderedPageBreak/>
        <w:t>Unsafe Condition</w:t>
      </w:r>
      <w:r w:rsidRPr="0031045E">
        <w:rPr>
          <w:lang w:val="en-GB" w:eastAsia="it-IT"/>
        </w:rPr>
        <w:t xml:space="preserve"> – A condition that is</w:t>
      </w:r>
      <w:r w:rsidR="00B83E8F" w:rsidRPr="0031045E">
        <w:rPr>
          <w:lang w:val="en-GB" w:eastAsia="it-IT"/>
        </w:rPr>
        <w:t xml:space="preserve"> likely to cause injury (e.g.</w:t>
      </w:r>
      <w:r w:rsidRPr="0031045E">
        <w:rPr>
          <w:lang w:val="en-GB" w:eastAsia="it-IT"/>
        </w:rPr>
        <w:t xml:space="preserve"> use of a defective tool</w:t>
      </w:r>
      <w:r w:rsidR="00B83E8F" w:rsidRPr="0031045E">
        <w:rPr>
          <w:lang w:val="en-GB" w:eastAsia="it-IT"/>
        </w:rPr>
        <w:t xml:space="preserve">; improper use of </w:t>
      </w:r>
      <w:r w:rsidR="00F7444F" w:rsidRPr="0031045E">
        <w:rPr>
          <w:lang w:val="en-GB" w:eastAsia="it-IT"/>
        </w:rPr>
        <w:t>PP</w:t>
      </w:r>
      <w:r w:rsidR="00B83E8F" w:rsidRPr="0031045E">
        <w:rPr>
          <w:lang w:val="en-GB" w:eastAsia="it-IT"/>
        </w:rPr>
        <w:t>E, improper design of PPE</w:t>
      </w:r>
      <w:r w:rsidRPr="0031045E">
        <w:rPr>
          <w:lang w:val="en-GB" w:eastAsia="it-IT"/>
        </w:rPr>
        <w:t>).</w:t>
      </w:r>
    </w:p>
    <w:p w14:paraId="36ECE043" w14:textId="19AC3390" w:rsidR="00AA1F7E" w:rsidRPr="000245F3" w:rsidRDefault="00AA1F7E" w:rsidP="00DC7317">
      <w:pPr>
        <w:pStyle w:val="CETBodytext"/>
        <w:rPr>
          <w:lang w:val="en-GB" w:eastAsia="it-IT"/>
        </w:rPr>
      </w:pPr>
      <w:r w:rsidRPr="000245F3">
        <w:rPr>
          <w:i/>
          <w:lang w:val="en-GB" w:eastAsia="it-IT"/>
        </w:rPr>
        <w:t>Near Miss</w:t>
      </w:r>
      <w:r w:rsidRPr="000245F3">
        <w:rPr>
          <w:lang w:val="en-GB" w:eastAsia="it-IT"/>
        </w:rPr>
        <w:t xml:space="preserve"> – An unplanned event that has the potential to cause, but does not have actually resulted in a human injury, environmental or equipment damage, or an interruption to normal operation</w:t>
      </w:r>
      <w:r w:rsidR="00B83E8F" w:rsidRPr="000245F3">
        <w:rPr>
          <w:lang w:val="en-GB" w:eastAsia="it-IT"/>
        </w:rPr>
        <w:t xml:space="preserve"> (e.g. </w:t>
      </w:r>
      <w:r w:rsidR="00DC7317" w:rsidRPr="000245F3">
        <w:rPr>
          <w:lang w:val="en-GB" w:eastAsia="it-IT"/>
        </w:rPr>
        <w:t>lack of routine inspection/maintenance; lack of visual inspection, or clearing people from working areas prior to operations)</w:t>
      </w:r>
      <w:r w:rsidR="00616D22">
        <w:rPr>
          <w:lang w:val="en-GB" w:eastAsia="it-IT"/>
        </w:rPr>
        <w:t>.</w:t>
      </w:r>
    </w:p>
    <w:p w14:paraId="38644C92" w14:textId="77777777" w:rsidR="00AA1F7E" w:rsidRPr="000245F3" w:rsidRDefault="00AA1F7E" w:rsidP="00AA1F7E">
      <w:pPr>
        <w:pStyle w:val="CETBodytext"/>
        <w:rPr>
          <w:lang w:val="en-GB" w:eastAsia="it-IT"/>
        </w:rPr>
      </w:pPr>
      <w:r w:rsidRPr="000245F3">
        <w:rPr>
          <w:i/>
          <w:lang w:val="en-GB" w:eastAsia="it-IT"/>
        </w:rPr>
        <w:t xml:space="preserve">Accident </w:t>
      </w:r>
      <w:r w:rsidRPr="000245F3">
        <w:rPr>
          <w:lang w:val="en-GB" w:eastAsia="it-IT"/>
        </w:rPr>
        <w:t>– An unfortunate and unplanned incident that happens unexpectedly and unintentionally, typically resulting in damage or injury.</w:t>
      </w:r>
    </w:p>
    <w:p w14:paraId="417BA489" w14:textId="674D271B" w:rsidR="006C5998" w:rsidRPr="000245F3" w:rsidRDefault="006C5998" w:rsidP="006C5998">
      <w:pPr>
        <w:pStyle w:val="CETheadingx"/>
        <w:rPr>
          <w:lang w:val="en-GB"/>
        </w:rPr>
      </w:pPr>
      <w:r w:rsidRPr="000245F3">
        <w:rPr>
          <w:lang w:val="en-GB"/>
        </w:rPr>
        <w:t>Research framework</w:t>
      </w:r>
    </w:p>
    <w:p w14:paraId="07F836E5" w14:textId="1FB2595D" w:rsidR="003E201D" w:rsidRPr="000245F3" w:rsidRDefault="006D1DB2" w:rsidP="003E201D">
      <w:pPr>
        <w:pStyle w:val="CETBodytext"/>
        <w:rPr>
          <w:lang w:val="en-GB" w:eastAsia="it-IT"/>
        </w:rPr>
      </w:pPr>
      <w:r w:rsidRPr="000245F3">
        <w:rPr>
          <w:lang w:val="en-GB" w:eastAsia="it-IT"/>
        </w:rPr>
        <w:t>Starting from</w:t>
      </w:r>
      <w:r w:rsidR="006C5998" w:rsidRPr="000245F3">
        <w:rPr>
          <w:lang w:val="en-GB" w:eastAsia="it-IT"/>
        </w:rPr>
        <w:t xml:space="preserve"> Heinrich’s concept that major inc</w:t>
      </w:r>
      <w:r w:rsidR="00581419">
        <w:rPr>
          <w:lang w:val="en-GB" w:eastAsia="it-IT"/>
        </w:rPr>
        <w:t xml:space="preserve">idents are just the tip of the </w:t>
      </w:r>
      <w:r w:rsidR="006C5998" w:rsidRPr="000245F3">
        <w:rPr>
          <w:lang w:val="en-GB" w:eastAsia="it-IT"/>
        </w:rPr>
        <w:t>pyramid (Heinrich, 1931)</w:t>
      </w:r>
      <w:r w:rsidRPr="000245F3">
        <w:rPr>
          <w:lang w:val="en-GB" w:eastAsia="it-IT"/>
        </w:rPr>
        <w:t xml:space="preserve"> and subsequent improvements</w:t>
      </w:r>
      <w:r w:rsidR="006C5998" w:rsidRPr="000245F3">
        <w:rPr>
          <w:lang w:val="en-GB" w:eastAsia="it-IT"/>
        </w:rPr>
        <w:t xml:space="preserve">, the essential </w:t>
      </w:r>
      <w:r w:rsidR="00040756" w:rsidRPr="000245F3">
        <w:rPr>
          <w:lang w:val="en-GB" w:eastAsia="it-IT"/>
        </w:rPr>
        <w:t>purpose</w:t>
      </w:r>
      <w:r w:rsidR="006C5998" w:rsidRPr="000245F3">
        <w:rPr>
          <w:lang w:val="en-GB" w:eastAsia="it-IT"/>
        </w:rPr>
        <w:t xml:space="preserve"> for </w:t>
      </w:r>
      <w:r w:rsidR="00040756" w:rsidRPr="000245F3">
        <w:rPr>
          <w:lang w:val="en-GB" w:eastAsia="it-IT"/>
        </w:rPr>
        <w:t xml:space="preserve">this research was </w:t>
      </w:r>
      <w:r w:rsidR="006C5998" w:rsidRPr="000245F3">
        <w:rPr>
          <w:lang w:val="en-GB" w:eastAsia="it-IT"/>
        </w:rPr>
        <w:t>the generation of the wide pyramid</w:t>
      </w:r>
      <w:r w:rsidR="00440E0D" w:rsidRPr="000245F3">
        <w:rPr>
          <w:lang w:val="en-GB" w:eastAsia="it-IT"/>
        </w:rPr>
        <w:t xml:space="preserve"> base</w:t>
      </w:r>
      <w:r w:rsidR="006C5998" w:rsidRPr="000245F3">
        <w:rPr>
          <w:lang w:val="en-GB" w:eastAsia="it-IT"/>
        </w:rPr>
        <w:t xml:space="preserve">. </w:t>
      </w:r>
      <w:r w:rsidR="00E1751B" w:rsidRPr="000245F3">
        <w:rPr>
          <w:lang w:val="en-GB" w:eastAsia="it-IT"/>
        </w:rPr>
        <w:t>By identifying and categorizing causal factors of unwanted events</w:t>
      </w:r>
      <w:r w:rsidR="00440E0D" w:rsidRPr="000245F3">
        <w:rPr>
          <w:lang w:val="en-GB" w:eastAsia="it-IT"/>
        </w:rPr>
        <w:t>,</w:t>
      </w:r>
      <w:r w:rsidR="00E1751B" w:rsidRPr="000245F3">
        <w:rPr>
          <w:lang w:val="en-GB" w:eastAsia="it-IT"/>
        </w:rPr>
        <w:t xml:space="preserve"> a number of candidate management elements </w:t>
      </w:r>
      <w:r w:rsidR="00C2339A" w:rsidRPr="000245F3">
        <w:rPr>
          <w:lang w:val="en-GB" w:eastAsia="it-IT"/>
        </w:rPr>
        <w:t xml:space="preserve">for occupational safety </w:t>
      </w:r>
      <w:r w:rsidR="00E1751B" w:rsidRPr="000245F3">
        <w:rPr>
          <w:lang w:val="en-GB" w:eastAsia="it-IT"/>
        </w:rPr>
        <w:t>were identified</w:t>
      </w:r>
      <w:r w:rsidR="00C2339A" w:rsidRPr="000245F3">
        <w:rPr>
          <w:lang w:val="en-GB" w:eastAsia="it-IT"/>
        </w:rPr>
        <w:t>.</w:t>
      </w:r>
      <w:r w:rsidR="00E1751B" w:rsidRPr="000245F3">
        <w:rPr>
          <w:lang w:val="en-GB" w:eastAsia="it-IT"/>
        </w:rPr>
        <w:t xml:space="preserve"> </w:t>
      </w:r>
      <w:r w:rsidR="006C5998" w:rsidRPr="000245F3">
        <w:rPr>
          <w:lang w:val="en-GB" w:eastAsia="it-IT"/>
        </w:rPr>
        <w:t>For this step e</w:t>
      </w:r>
      <w:r w:rsidR="00D65D89" w:rsidRPr="000245F3">
        <w:rPr>
          <w:lang w:val="en-GB" w:eastAsia="it-IT"/>
        </w:rPr>
        <w:t>very personnel on the job site was</w:t>
      </w:r>
      <w:r w:rsidR="006C5998" w:rsidRPr="000245F3">
        <w:rPr>
          <w:lang w:val="en-GB" w:eastAsia="it-IT"/>
        </w:rPr>
        <w:t xml:space="preserve"> stimulated to generate any type of findings with brief description and possible measure to resolve the matter.</w:t>
      </w:r>
      <w:r w:rsidR="00212E95" w:rsidRPr="000245F3">
        <w:rPr>
          <w:lang w:val="en-GB" w:eastAsia="it-IT"/>
        </w:rPr>
        <w:t xml:space="preserve"> </w:t>
      </w:r>
      <w:r w:rsidR="006C5998" w:rsidRPr="000245F3">
        <w:rPr>
          <w:lang w:val="en-GB" w:eastAsia="it-IT"/>
        </w:rPr>
        <w:t>In order to facilitate the categorizing process, personnel were requested to select one of the multiple-choice options for hazard identification and a slightly more detailed hazard classification.</w:t>
      </w:r>
      <w:r w:rsidR="00470AF9" w:rsidRPr="000245F3">
        <w:rPr>
          <w:lang w:val="en-GB" w:eastAsia="it-IT"/>
        </w:rPr>
        <w:t xml:space="preserve"> </w:t>
      </w:r>
      <w:r w:rsidR="006C5998" w:rsidRPr="000245F3">
        <w:rPr>
          <w:lang w:val="en-GB" w:eastAsia="it-IT"/>
        </w:rPr>
        <w:t xml:space="preserve">This organizational process </w:t>
      </w:r>
      <w:r w:rsidR="00FD1F75" w:rsidRPr="000245F3">
        <w:rPr>
          <w:lang w:val="en-GB" w:eastAsia="it-IT"/>
        </w:rPr>
        <w:t xml:space="preserve">contributed tremendously </w:t>
      </w:r>
      <w:r w:rsidR="006C5998" w:rsidRPr="000245F3">
        <w:rPr>
          <w:lang w:val="en-GB" w:eastAsia="it-IT"/>
        </w:rPr>
        <w:t xml:space="preserve">to nailing </w:t>
      </w:r>
      <w:r w:rsidR="00FD1F75" w:rsidRPr="000245F3">
        <w:rPr>
          <w:lang w:val="en-GB" w:eastAsia="it-IT"/>
        </w:rPr>
        <w:t xml:space="preserve">few main categories down </w:t>
      </w:r>
      <w:r w:rsidR="006C5998" w:rsidRPr="000245F3">
        <w:rPr>
          <w:lang w:val="en-GB" w:eastAsia="it-IT"/>
        </w:rPr>
        <w:t xml:space="preserve">and therefore largely supported the mitigation strategy identification and implementation allowing concentrating main effort into the most reported hazards. Report forms were prepared with two reporting sections. </w:t>
      </w:r>
      <w:r w:rsidR="00FD1F75" w:rsidRPr="000245F3">
        <w:rPr>
          <w:lang w:val="en-GB" w:eastAsia="it-IT"/>
        </w:rPr>
        <w:t xml:space="preserve">The first category of hazard identification </w:t>
      </w:r>
      <w:r w:rsidR="00AA1F7E" w:rsidRPr="000245F3">
        <w:rPr>
          <w:lang w:val="en-GB" w:eastAsia="it-IT"/>
        </w:rPr>
        <w:t xml:space="preserve">proposed for personnel selection (single selection allowed) was on the classification of the hazard itself among the following options: “unsafe conditions”, “unsafe acts”, “near misses” and “positive findings”. </w:t>
      </w:r>
      <w:r w:rsidR="006C5998" w:rsidRPr="000245F3">
        <w:rPr>
          <w:lang w:val="en-GB" w:eastAsia="it-IT"/>
        </w:rPr>
        <w:t xml:space="preserve">While near misses and positive findings are self-explanatory, the option of unsafe condition is meant for those findings that are part of the environment or workplace and unsafe act part of people’s actions or workforce’s culture. The secondary and more detailed classification of the identified hazards, allowed </w:t>
      </w:r>
      <w:r w:rsidR="00771A87" w:rsidRPr="000245F3">
        <w:rPr>
          <w:lang w:val="en-GB" w:eastAsia="it-IT"/>
        </w:rPr>
        <w:t>focusing</w:t>
      </w:r>
      <w:r w:rsidR="006C5998" w:rsidRPr="000245F3">
        <w:rPr>
          <w:lang w:val="en-GB" w:eastAsia="it-IT"/>
        </w:rPr>
        <w:t xml:space="preserve"> on the ultimate issue related with the findings and therefore the hazard itself.</w:t>
      </w:r>
      <w:r w:rsidR="00470AF9" w:rsidRPr="000245F3">
        <w:rPr>
          <w:lang w:val="en-GB" w:eastAsia="it-IT"/>
        </w:rPr>
        <w:t xml:space="preserve"> </w:t>
      </w:r>
      <w:r w:rsidR="003E201D" w:rsidRPr="000245F3">
        <w:rPr>
          <w:lang w:val="en-GB" w:eastAsia="it-IT"/>
        </w:rPr>
        <w:t>For this section</w:t>
      </w:r>
      <w:r w:rsidR="008466BE" w:rsidRPr="000245F3">
        <w:rPr>
          <w:lang w:val="en-GB" w:eastAsia="it-IT"/>
        </w:rPr>
        <w:t>,</w:t>
      </w:r>
      <w:r w:rsidR="003E201D" w:rsidRPr="000245F3">
        <w:rPr>
          <w:lang w:val="en-GB" w:eastAsia="it-IT"/>
        </w:rPr>
        <w:t xml:space="preserve"> a multiple choice was allowed</w:t>
      </w:r>
      <w:r w:rsidR="003371F4" w:rsidRPr="000245F3">
        <w:rPr>
          <w:lang w:val="en-GB" w:eastAsia="it-IT"/>
        </w:rPr>
        <w:t xml:space="preserve">, with </w:t>
      </w:r>
      <w:r w:rsidR="00594FD0" w:rsidRPr="000245F3">
        <w:rPr>
          <w:lang w:val="en-GB" w:eastAsia="it-IT"/>
        </w:rPr>
        <w:t xml:space="preserve">proposed </w:t>
      </w:r>
      <w:r w:rsidR="003E201D" w:rsidRPr="000245F3">
        <w:rPr>
          <w:lang w:val="en-GB" w:eastAsia="it-IT"/>
        </w:rPr>
        <w:t>options</w:t>
      </w:r>
      <w:r w:rsidR="003371F4" w:rsidRPr="000245F3">
        <w:rPr>
          <w:lang w:val="en-GB" w:eastAsia="it-IT"/>
        </w:rPr>
        <w:t xml:space="preserve"> as follows: </w:t>
      </w:r>
      <w:r w:rsidR="00616D22" w:rsidRPr="002953B9">
        <w:rPr>
          <w:lang w:val="en-GB" w:eastAsia="it-IT"/>
        </w:rPr>
        <w:t>Personal Protective</w:t>
      </w:r>
      <w:r w:rsidR="0001782A" w:rsidRPr="002953B9">
        <w:rPr>
          <w:lang w:val="en-GB" w:eastAsia="it-IT"/>
        </w:rPr>
        <w:t xml:space="preserve"> E</w:t>
      </w:r>
      <w:r w:rsidR="003E201D" w:rsidRPr="002953B9">
        <w:rPr>
          <w:lang w:val="en-GB" w:eastAsia="it-IT"/>
        </w:rPr>
        <w:t>quipm</w:t>
      </w:r>
      <w:r w:rsidR="0056041A" w:rsidRPr="002953B9">
        <w:rPr>
          <w:lang w:val="en-GB" w:eastAsia="it-IT"/>
        </w:rPr>
        <w:t>ent (PPE)</w:t>
      </w:r>
      <w:r w:rsidR="003E201D" w:rsidRPr="002953B9">
        <w:rPr>
          <w:lang w:val="en-GB" w:eastAsia="it-IT"/>
        </w:rPr>
        <w:t>, excavations/ho</w:t>
      </w:r>
      <w:r w:rsidR="00026CA7" w:rsidRPr="002953B9">
        <w:rPr>
          <w:lang w:val="en-GB" w:eastAsia="it-IT"/>
        </w:rPr>
        <w:t>les/barricades, rigging, motoris</w:t>
      </w:r>
      <w:r w:rsidR="003E201D" w:rsidRPr="002953B9">
        <w:rPr>
          <w:lang w:val="en-GB" w:eastAsia="it-IT"/>
        </w:rPr>
        <w:t>ed equipment, confined space work, energy related hazards, housekeeping, material and tools handling and fires.</w:t>
      </w:r>
      <w:r w:rsidR="006244BB" w:rsidRPr="002953B9">
        <w:rPr>
          <w:lang w:val="en-GB" w:eastAsia="it-IT"/>
        </w:rPr>
        <w:t xml:space="preserve"> </w:t>
      </w:r>
      <w:r w:rsidR="0078524E" w:rsidRPr="002953B9">
        <w:rPr>
          <w:lang w:val="en-GB" w:eastAsia="it-IT"/>
        </w:rPr>
        <w:t>Subsequently, r</w:t>
      </w:r>
      <w:r w:rsidR="003E201D" w:rsidRPr="002953B9">
        <w:rPr>
          <w:lang w:val="en-GB" w:eastAsia="it-IT"/>
        </w:rPr>
        <w:t>eported hazard</w:t>
      </w:r>
      <w:r w:rsidR="0078524E" w:rsidRPr="002953B9">
        <w:rPr>
          <w:lang w:val="en-GB" w:eastAsia="it-IT"/>
        </w:rPr>
        <w:t>s</w:t>
      </w:r>
      <w:r w:rsidR="003E201D" w:rsidRPr="002953B9">
        <w:rPr>
          <w:lang w:val="en-GB" w:eastAsia="it-IT"/>
        </w:rPr>
        <w:t xml:space="preserve"> were registered and </w:t>
      </w:r>
      <w:r w:rsidR="00026CA7" w:rsidRPr="002953B9">
        <w:rPr>
          <w:lang w:val="en-GB" w:eastAsia="it-IT"/>
        </w:rPr>
        <w:t>deeply analys</w:t>
      </w:r>
      <w:r w:rsidR="0078524E" w:rsidRPr="002953B9">
        <w:rPr>
          <w:lang w:val="en-GB" w:eastAsia="it-IT"/>
        </w:rPr>
        <w:t>ed</w:t>
      </w:r>
      <w:r w:rsidR="00594FD0" w:rsidRPr="000245F3">
        <w:rPr>
          <w:lang w:val="en-GB" w:eastAsia="it-IT"/>
        </w:rPr>
        <w:t xml:space="preserve"> and their immediate/perceived</w:t>
      </w:r>
      <w:r w:rsidR="003E201D" w:rsidRPr="000245F3">
        <w:rPr>
          <w:lang w:val="en-GB" w:eastAsia="it-IT"/>
        </w:rPr>
        <w:t xml:space="preserve"> causes were grouped in order to actively and effectively implement safety</w:t>
      </w:r>
      <w:r w:rsidR="00594FD0" w:rsidRPr="000245F3">
        <w:rPr>
          <w:lang w:val="en-GB" w:eastAsia="it-IT"/>
        </w:rPr>
        <w:t>/</w:t>
      </w:r>
      <w:r w:rsidR="003E201D" w:rsidRPr="000245F3">
        <w:rPr>
          <w:lang w:val="en-GB" w:eastAsia="it-IT"/>
        </w:rPr>
        <w:t xml:space="preserve">prevention plans for the specific hazard. Most reported hazards were also tackled in monthly </w:t>
      </w:r>
      <w:r w:rsidR="0078524E" w:rsidRPr="000245F3">
        <w:rPr>
          <w:lang w:val="en-GB" w:eastAsia="it-IT"/>
        </w:rPr>
        <w:t>awareness campaigns stimulating people to develop implementations and corrective actions, as well as practical solutions to occupational safety issues</w:t>
      </w:r>
      <w:r w:rsidR="003E201D" w:rsidRPr="000245F3">
        <w:rPr>
          <w:lang w:val="en-GB" w:eastAsia="it-IT"/>
        </w:rPr>
        <w:t>.</w:t>
      </w:r>
    </w:p>
    <w:p w14:paraId="16B85AE8" w14:textId="2488C9F5" w:rsidR="006C5998" w:rsidRPr="000245F3" w:rsidRDefault="003E201D" w:rsidP="003E201D">
      <w:pPr>
        <w:pStyle w:val="CETHeading1"/>
        <w:rPr>
          <w:lang w:val="en-GB"/>
        </w:rPr>
      </w:pPr>
      <w:r w:rsidRPr="000245F3">
        <w:rPr>
          <w:lang w:val="en-GB"/>
        </w:rPr>
        <w:t>Results and discussion</w:t>
      </w:r>
    </w:p>
    <w:p w14:paraId="6D97FD13" w14:textId="62AA644D" w:rsidR="008E4CF3" w:rsidRPr="000245F3" w:rsidRDefault="003E201D" w:rsidP="008E4CF3">
      <w:pPr>
        <w:pStyle w:val="CETBodytext"/>
        <w:rPr>
          <w:lang w:val="en-GB"/>
        </w:rPr>
      </w:pPr>
      <w:r w:rsidRPr="000245F3">
        <w:rPr>
          <w:lang w:val="en-GB"/>
        </w:rPr>
        <w:t>Based on the first 6 months of the project from ground breaking to initial UG works, civil foundations and preliminary building construction activities, the below information were raised by personnel.</w:t>
      </w:r>
      <w:r w:rsidR="00FE3E47" w:rsidRPr="000245F3">
        <w:rPr>
          <w:lang w:val="en-GB"/>
        </w:rPr>
        <w:t xml:space="preserve"> </w:t>
      </w:r>
      <w:r w:rsidRPr="000245F3">
        <w:rPr>
          <w:lang w:val="en-GB"/>
        </w:rPr>
        <w:t xml:space="preserve"> </w:t>
      </w:r>
      <w:r w:rsidR="00FE3E47" w:rsidRPr="000245F3">
        <w:rPr>
          <w:lang w:val="en-GB"/>
        </w:rPr>
        <w:t>As reported elsewhere (Fabiano et al., 1995), four main factors can be sorted as affecting productivity and occupational accidents, namely economic factors, typical technologies</w:t>
      </w:r>
      <w:r w:rsidR="0078524E" w:rsidRPr="000245F3">
        <w:rPr>
          <w:lang w:val="en-GB"/>
        </w:rPr>
        <w:t xml:space="preserve"> </w:t>
      </w:r>
      <w:r w:rsidR="00FE3E47" w:rsidRPr="000245F3">
        <w:rPr>
          <w:lang w:val="en-GB"/>
        </w:rPr>
        <w:t>used, environmental conditions and work org</w:t>
      </w:r>
      <w:r w:rsidR="0056041A" w:rsidRPr="000245F3">
        <w:rPr>
          <w:lang w:val="en-GB"/>
        </w:rPr>
        <w:t>anization, typology of the labou</w:t>
      </w:r>
      <w:r w:rsidR="00FE3E47" w:rsidRPr="000245F3">
        <w:rPr>
          <w:lang w:val="en-GB"/>
        </w:rPr>
        <w:t>r force.</w:t>
      </w:r>
      <w:r w:rsidR="008E4CF3">
        <w:rPr>
          <w:lang w:val="en-GB"/>
        </w:rPr>
        <w:t xml:space="preserve"> The last item is related to </w:t>
      </w:r>
      <w:r w:rsidR="008E4CF3" w:rsidRPr="008E4CF3">
        <w:rPr>
          <w:lang w:val="en-GB"/>
        </w:rPr>
        <w:t>labour</w:t>
      </w:r>
      <w:r w:rsidR="008E4CF3">
        <w:rPr>
          <w:lang w:val="en-GB"/>
        </w:rPr>
        <w:t xml:space="preserve"> </w:t>
      </w:r>
      <w:r w:rsidR="008E4CF3" w:rsidRPr="008E4CF3">
        <w:rPr>
          <w:lang w:val="en-GB"/>
        </w:rPr>
        <w:t xml:space="preserve">turnover, with marked in- and out- flows </w:t>
      </w:r>
      <w:r w:rsidR="008E4CF3">
        <w:rPr>
          <w:lang w:val="en-GB"/>
        </w:rPr>
        <w:t>that negatively affect</w:t>
      </w:r>
      <w:r w:rsidR="008E4CF3" w:rsidRPr="008E4CF3">
        <w:rPr>
          <w:lang w:val="en-GB"/>
        </w:rPr>
        <w:t xml:space="preserve"> the professional experience, as </w:t>
      </w:r>
      <w:r w:rsidR="00236825" w:rsidRPr="008E4CF3">
        <w:rPr>
          <w:lang w:val="en-GB"/>
        </w:rPr>
        <w:t>demonstrated</w:t>
      </w:r>
      <w:r w:rsidR="008E4CF3" w:rsidRPr="008E4CF3">
        <w:rPr>
          <w:lang w:val="en-GB"/>
        </w:rPr>
        <w:t xml:space="preserve"> in different </w:t>
      </w:r>
      <w:r w:rsidR="00C920EB">
        <w:rPr>
          <w:lang w:val="en-GB"/>
        </w:rPr>
        <w:t>industrial sectors (e.g. Pastorino</w:t>
      </w:r>
      <w:r w:rsidR="008E4CF3">
        <w:rPr>
          <w:lang w:val="en-GB"/>
        </w:rPr>
        <w:t xml:space="preserve"> et al., 2014</w:t>
      </w:r>
      <w:r w:rsidR="008E4CF3" w:rsidRPr="008E4CF3">
        <w:rPr>
          <w:lang w:val="en-GB"/>
        </w:rPr>
        <w:t xml:space="preserve">). </w:t>
      </w:r>
      <w:r w:rsidR="00CE515B" w:rsidRPr="000245F3">
        <w:rPr>
          <w:lang w:val="en-GB"/>
        </w:rPr>
        <w:t>It should b</w:t>
      </w:r>
      <w:r w:rsidR="00CF04B9" w:rsidRPr="000245F3">
        <w:rPr>
          <w:lang w:val="en-GB"/>
        </w:rPr>
        <w:t>e</w:t>
      </w:r>
      <w:r w:rsidR="00CE515B" w:rsidRPr="000245F3">
        <w:rPr>
          <w:lang w:val="en-GB"/>
        </w:rPr>
        <w:t xml:space="preserve"> evidenced that i</w:t>
      </w:r>
      <w:r w:rsidR="00FE3E47" w:rsidRPr="000245F3">
        <w:rPr>
          <w:lang w:val="en-GB"/>
        </w:rPr>
        <w:t>n the peculiar examined context, environmental condition</w:t>
      </w:r>
      <w:r w:rsidR="008466BE" w:rsidRPr="000245F3">
        <w:rPr>
          <w:lang w:val="en-GB"/>
        </w:rPr>
        <w:t>s</w:t>
      </w:r>
      <w:r w:rsidR="00FE3E47" w:rsidRPr="000245F3">
        <w:rPr>
          <w:lang w:val="en-GB"/>
        </w:rPr>
        <w:t xml:space="preserve"> may pose additional </w:t>
      </w:r>
      <w:r w:rsidR="00CE515B" w:rsidRPr="000245F3">
        <w:rPr>
          <w:lang w:val="en-GB"/>
        </w:rPr>
        <w:t>hazardous conditions: i</w:t>
      </w:r>
      <w:r w:rsidR="00FE3E47" w:rsidRPr="000245F3">
        <w:rPr>
          <w:lang w:val="en-GB"/>
        </w:rPr>
        <w:t>n t</w:t>
      </w:r>
      <w:r w:rsidRPr="000245F3">
        <w:rPr>
          <w:lang w:val="en-GB"/>
        </w:rPr>
        <w:t xml:space="preserve">he first part of the project </w:t>
      </w:r>
      <w:r w:rsidR="007079D8" w:rsidRPr="000245F3">
        <w:rPr>
          <w:lang w:val="en-GB"/>
        </w:rPr>
        <w:t>was</w:t>
      </w:r>
      <w:r w:rsidRPr="000245F3">
        <w:rPr>
          <w:lang w:val="en-GB"/>
        </w:rPr>
        <w:t xml:space="preserve"> executed during t</w:t>
      </w:r>
      <w:r w:rsidR="0056197C" w:rsidRPr="000245F3">
        <w:rPr>
          <w:lang w:val="en-GB"/>
        </w:rPr>
        <w:t xml:space="preserve">he Middle East </w:t>
      </w:r>
      <w:r w:rsidRPr="000245F3">
        <w:rPr>
          <w:lang w:val="en-GB"/>
        </w:rPr>
        <w:t>autumn</w:t>
      </w:r>
      <w:r w:rsidR="0056197C" w:rsidRPr="000245F3">
        <w:rPr>
          <w:lang w:val="en-GB"/>
        </w:rPr>
        <w:t>/winter seasons</w:t>
      </w:r>
      <w:r w:rsidRPr="000245F3">
        <w:rPr>
          <w:lang w:val="en-GB"/>
        </w:rPr>
        <w:t xml:space="preserve"> wh</w:t>
      </w:r>
      <w:r w:rsidR="007079D8" w:rsidRPr="000245F3">
        <w:rPr>
          <w:lang w:val="en-GB"/>
        </w:rPr>
        <w:t>en</w:t>
      </w:r>
      <w:r w:rsidRPr="000245F3">
        <w:rPr>
          <w:lang w:val="en-GB"/>
        </w:rPr>
        <w:t xml:space="preserve"> temperatures are mild to warm and not too hot. The second </w:t>
      </w:r>
      <w:r w:rsidR="0056197C" w:rsidRPr="000245F3">
        <w:rPr>
          <w:lang w:val="en-GB"/>
        </w:rPr>
        <w:t>step</w:t>
      </w:r>
      <w:r w:rsidRPr="000245F3">
        <w:rPr>
          <w:lang w:val="en-GB"/>
        </w:rPr>
        <w:t xml:space="preserve"> of the </w:t>
      </w:r>
      <w:r w:rsidR="0056197C" w:rsidRPr="000245F3">
        <w:rPr>
          <w:lang w:val="en-GB"/>
        </w:rPr>
        <w:t xml:space="preserve">building </w:t>
      </w:r>
      <w:r w:rsidRPr="000245F3">
        <w:rPr>
          <w:lang w:val="en-GB"/>
        </w:rPr>
        <w:t xml:space="preserve">project </w:t>
      </w:r>
      <w:r w:rsidR="0056197C" w:rsidRPr="000245F3">
        <w:rPr>
          <w:lang w:val="en-GB"/>
        </w:rPr>
        <w:t xml:space="preserve">is planned </w:t>
      </w:r>
      <w:r w:rsidR="0017519E">
        <w:rPr>
          <w:lang w:val="en-GB"/>
        </w:rPr>
        <w:t xml:space="preserve">in the </w:t>
      </w:r>
      <w:r w:rsidR="00236825">
        <w:rPr>
          <w:lang w:val="en-GB"/>
        </w:rPr>
        <w:t>centre</w:t>
      </w:r>
      <w:r w:rsidRPr="000245F3">
        <w:rPr>
          <w:lang w:val="en-GB"/>
        </w:rPr>
        <w:t xml:space="preserve"> of the Arabic peninsula’s </w:t>
      </w:r>
      <w:r w:rsidR="0056197C" w:rsidRPr="000245F3">
        <w:rPr>
          <w:lang w:val="en-GB"/>
        </w:rPr>
        <w:t>Spring</w:t>
      </w:r>
      <w:r w:rsidRPr="000245F3">
        <w:rPr>
          <w:lang w:val="en-GB"/>
        </w:rPr>
        <w:t>/</w:t>
      </w:r>
      <w:r w:rsidR="0056197C" w:rsidRPr="000245F3">
        <w:rPr>
          <w:lang w:val="en-GB"/>
        </w:rPr>
        <w:t>S</w:t>
      </w:r>
      <w:r w:rsidRPr="000245F3">
        <w:rPr>
          <w:lang w:val="en-GB"/>
        </w:rPr>
        <w:t>ummer</w:t>
      </w:r>
      <w:r w:rsidR="0056197C" w:rsidRPr="000245F3">
        <w:rPr>
          <w:lang w:val="en-GB"/>
        </w:rPr>
        <w:t>, when</w:t>
      </w:r>
      <w:r w:rsidRPr="000245F3">
        <w:rPr>
          <w:lang w:val="en-GB"/>
        </w:rPr>
        <w:t xml:space="preserve"> temperature will raise substantially and day work will be substituted </w:t>
      </w:r>
      <w:r w:rsidR="0056197C" w:rsidRPr="000245F3">
        <w:rPr>
          <w:lang w:val="en-GB"/>
        </w:rPr>
        <w:t xml:space="preserve">only </w:t>
      </w:r>
      <w:r w:rsidRPr="000245F3">
        <w:rPr>
          <w:lang w:val="en-GB"/>
        </w:rPr>
        <w:t>by night work</w:t>
      </w:r>
      <w:r w:rsidRPr="002953B9">
        <w:rPr>
          <w:lang w:val="en-GB"/>
        </w:rPr>
        <w:t xml:space="preserve">. </w:t>
      </w:r>
      <w:r w:rsidR="006023D6" w:rsidRPr="002953B9">
        <w:rPr>
          <w:lang w:val="en-GB"/>
        </w:rPr>
        <w:t>As summarised in Figure 2, f</w:t>
      </w:r>
      <w:r w:rsidR="0056197C" w:rsidRPr="002953B9">
        <w:rPr>
          <w:lang w:val="en-GB"/>
        </w:rPr>
        <w:t>rom more than 5,800 reported instances, 930 were positive comments related to personnel fol</w:t>
      </w:r>
      <w:r w:rsidR="00E1751B" w:rsidRPr="002953B9">
        <w:rPr>
          <w:lang w:val="en-GB"/>
        </w:rPr>
        <w:t>lowing procedures, while 1,687 unsafe a</w:t>
      </w:r>
      <w:r w:rsidR="0056197C" w:rsidRPr="002953B9">
        <w:rPr>
          <w:lang w:val="en-GB"/>
        </w:rPr>
        <w:t xml:space="preserve">cts and 2,951 unsafe conditions were raised. Reported Near Misses were only 22. </w:t>
      </w:r>
      <w:r w:rsidR="00440E0D" w:rsidRPr="002953B9">
        <w:rPr>
          <w:lang w:val="en-GB"/>
        </w:rPr>
        <w:t>However, d</w:t>
      </w:r>
      <w:r w:rsidR="0056197C" w:rsidRPr="002953B9">
        <w:rPr>
          <w:lang w:val="en-GB"/>
        </w:rPr>
        <w:t xml:space="preserve">ue to the nature </w:t>
      </w:r>
      <w:r w:rsidR="00440E0D" w:rsidRPr="002953B9">
        <w:rPr>
          <w:lang w:val="en-GB"/>
        </w:rPr>
        <w:t xml:space="preserve">and low-skill </w:t>
      </w:r>
      <w:r w:rsidR="0056197C" w:rsidRPr="002953B9">
        <w:rPr>
          <w:lang w:val="en-GB"/>
        </w:rPr>
        <w:t>of workforce, it was believed tha</w:t>
      </w:r>
      <w:r w:rsidR="00322BFC" w:rsidRPr="002953B9">
        <w:rPr>
          <w:lang w:val="en-GB"/>
        </w:rPr>
        <w:t>t only 10-2</w:t>
      </w:r>
      <w:r w:rsidR="0056197C" w:rsidRPr="002953B9">
        <w:rPr>
          <w:lang w:val="en-GB"/>
        </w:rPr>
        <w:t>0</w:t>
      </w:r>
      <w:r w:rsidR="00026CA7" w:rsidRPr="002953B9">
        <w:rPr>
          <w:lang w:val="en-GB"/>
        </w:rPr>
        <w:t xml:space="preserve"> </w:t>
      </w:r>
      <w:r w:rsidR="0056197C" w:rsidRPr="002953B9">
        <w:rPr>
          <w:lang w:val="en-GB"/>
        </w:rPr>
        <w:t xml:space="preserve">% of the total actual near-misses was </w:t>
      </w:r>
      <w:r w:rsidR="00440E0D" w:rsidRPr="002953B9">
        <w:rPr>
          <w:lang w:val="en-GB"/>
        </w:rPr>
        <w:t>self-</w:t>
      </w:r>
      <w:r w:rsidR="0056197C" w:rsidRPr="002953B9">
        <w:rPr>
          <w:lang w:val="en-GB"/>
        </w:rPr>
        <w:t>reported</w:t>
      </w:r>
      <w:r w:rsidR="00440E0D" w:rsidRPr="002953B9">
        <w:rPr>
          <w:lang w:val="en-GB"/>
        </w:rPr>
        <w:t>, evidencing also for this item the phenomenon of under-reporting</w:t>
      </w:r>
      <w:r w:rsidR="0056197C" w:rsidRPr="002953B9">
        <w:rPr>
          <w:lang w:val="en-GB"/>
        </w:rPr>
        <w:t>. Th</w:t>
      </w:r>
      <w:r w:rsidR="00CF04B9" w:rsidRPr="002953B9">
        <w:rPr>
          <w:lang w:val="en-GB"/>
        </w:rPr>
        <w:t>is was justified by the weekly s</w:t>
      </w:r>
      <w:r w:rsidR="0056197C" w:rsidRPr="002953B9">
        <w:rPr>
          <w:lang w:val="en-GB"/>
        </w:rPr>
        <w:t xml:space="preserve">afety inspections and their findings, which were surfacing </w:t>
      </w:r>
      <w:r w:rsidR="00440E0D" w:rsidRPr="002953B9">
        <w:rPr>
          <w:lang w:val="en-GB"/>
        </w:rPr>
        <w:t xml:space="preserve">by far </w:t>
      </w:r>
      <w:r w:rsidR="0056197C" w:rsidRPr="002953B9">
        <w:rPr>
          <w:lang w:val="en-GB"/>
        </w:rPr>
        <w:t xml:space="preserve">more </w:t>
      </w:r>
      <w:r w:rsidR="00771A87" w:rsidRPr="002953B9">
        <w:rPr>
          <w:lang w:val="en-GB"/>
        </w:rPr>
        <w:t>near misses</w:t>
      </w:r>
      <w:r w:rsidR="0056197C" w:rsidRPr="002953B9">
        <w:rPr>
          <w:lang w:val="en-GB"/>
        </w:rPr>
        <w:t xml:space="preserve"> per week.</w:t>
      </w:r>
      <w:r w:rsidR="00470AF9" w:rsidRPr="002953B9">
        <w:rPr>
          <w:lang w:val="en-GB"/>
        </w:rPr>
        <w:t xml:space="preserve"> </w:t>
      </w:r>
      <w:r w:rsidR="00322BFC" w:rsidRPr="002953B9">
        <w:rPr>
          <w:lang w:val="en-GB"/>
        </w:rPr>
        <w:t>There is room for continuous improvement in near miss recording by front-end workers, so that investigations on this item can represent a powerful tool for occupational safety in a construction setting</w:t>
      </w:r>
      <w:r w:rsidR="0056197C" w:rsidRPr="002953B9">
        <w:rPr>
          <w:lang w:val="en-GB"/>
        </w:rPr>
        <w:t>.</w:t>
      </w:r>
      <w:r w:rsidR="00470AF9" w:rsidRPr="002953B9">
        <w:rPr>
          <w:lang w:val="en-GB"/>
        </w:rPr>
        <w:t xml:space="preserve"> </w:t>
      </w:r>
      <w:r w:rsidR="00CF04B9" w:rsidRPr="002953B9">
        <w:rPr>
          <w:lang w:val="en-GB"/>
        </w:rPr>
        <w:t>It is noteworthy noting that the relative increase in reporting</w:t>
      </w:r>
      <w:r w:rsidR="00440E0D" w:rsidRPr="002953B9">
        <w:rPr>
          <w:lang w:val="en-GB"/>
        </w:rPr>
        <w:t xml:space="preserve"> by the safety inspections,</w:t>
      </w:r>
      <w:r w:rsidR="00CF04B9" w:rsidRPr="002953B9">
        <w:rPr>
          <w:lang w:val="en-GB"/>
        </w:rPr>
        <w:t xml:space="preserve"> adopting the framework should not be viewed as a decline in operating safety standards</w:t>
      </w:r>
      <w:r w:rsidR="008E4CF3">
        <w:rPr>
          <w:lang w:val="en-GB"/>
        </w:rPr>
        <w:t>,</w:t>
      </w:r>
      <w:r w:rsidR="00CF04B9" w:rsidRPr="002953B9">
        <w:rPr>
          <w:lang w:val="en-GB"/>
        </w:rPr>
        <w:t xml:space="preserve"> but as a development of a corporate safety culture acknowledging that submission of information abou</w:t>
      </w:r>
      <w:r w:rsidR="00026CA7" w:rsidRPr="002953B9">
        <w:rPr>
          <w:lang w:val="en-GB"/>
        </w:rPr>
        <w:t xml:space="preserve">t the smallest deviations (i.e. </w:t>
      </w:r>
      <w:r w:rsidR="00CF04B9" w:rsidRPr="002953B9">
        <w:rPr>
          <w:lang w:val="en-GB"/>
        </w:rPr>
        <w:t>unsafe conditions/unsafe acts) can hel</w:t>
      </w:r>
      <w:r w:rsidR="00CF04B9" w:rsidRPr="000245F3">
        <w:rPr>
          <w:lang w:val="en-GB"/>
        </w:rPr>
        <w:t>p in identifying practical</w:t>
      </w:r>
      <w:r w:rsidR="008E4CF3">
        <w:rPr>
          <w:lang w:val="en-GB"/>
        </w:rPr>
        <w:t xml:space="preserve"> action</w:t>
      </w:r>
      <w:r w:rsidR="00236825">
        <w:rPr>
          <w:lang w:val="en-GB"/>
        </w:rPr>
        <w:t>s</w:t>
      </w:r>
      <w:r w:rsidR="008E4CF3">
        <w:rPr>
          <w:lang w:val="en-GB"/>
        </w:rPr>
        <w:t xml:space="preserve"> to prevent major events.</w:t>
      </w:r>
      <w:r w:rsidR="00CF04B9" w:rsidRPr="000245F3">
        <w:rPr>
          <w:lang w:val="en-GB"/>
        </w:rPr>
        <w:t xml:space="preserve"> </w:t>
      </w:r>
    </w:p>
    <w:p w14:paraId="65AD277D" w14:textId="3199BC56" w:rsidR="00DB1E95" w:rsidRPr="00DB1E95" w:rsidRDefault="008E4CF3" w:rsidP="008E4CF3">
      <w:pPr>
        <w:pStyle w:val="CETBodytext"/>
        <w:rPr>
          <w:lang w:val="en-GB"/>
        </w:rPr>
      </w:pPr>
      <w:r>
        <w:rPr>
          <w:lang w:val="en-GB"/>
        </w:rPr>
        <w:t>Additionally</w:t>
      </w:r>
      <w:r w:rsidR="002C4C01" w:rsidRPr="000245F3">
        <w:rPr>
          <w:lang w:val="en-GB"/>
        </w:rPr>
        <w:t>,</w:t>
      </w:r>
      <w:r w:rsidR="0056197C" w:rsidRPr="000245F3">
        <w:rPr>
          <w:lang w:val="en-GB"/>
        </w:rPr>
        <w:t xml:space="preserve"> the detailed study of the secondary </w:t>
      </w:r>
      <w:r w:rsidR="008E3928" w:rsidRPr="000245F3">
        <w:rPr>
          <w:lang w:val="en-GB"/>
        </w:rPr>
        <w:t>classification</w:t>
      </w:r>
      <w:r w:rsidR="0056197C" w:rsidRPr="000245F3">
        <w:rPr>
          <w:lang w:val="en-GB"/>
        </w:rPr>
        <w:t xml:space="preserve"> </w:t>
      </w:r>
      <w:r w:rsidR="00DB1E95">
        <w:rPr>
          <w:lang w:val="en-GB"/>
        </w:rPr>
        <w:t>can help</w:t>
      </w:r>
      <w:r w:rsidR="0056197C" w:rsidRPr="000245F3">
        <w:rPr>
          <w:lang w:val="en-GB"/>
        </w:rPr>
        <w:t xml:space="preserve"> to understand the exa</w:t>
      </w:r>
      <w:r w:rsidR="00DB1E95">
        <w:rPr>
          <w:lang w:val="en-GB"/>
        </w:rPr>
        <w:t xml:space="preserve">ct cause of the issues reported and possibly set-up additional layer of protections by </w:t>
      </w:r>
      <w:r w:rsidR="00DB1E95" w:rsidRPr="00DB1E95">
        <w:rPr>
          <w:lang w:val="en-GB"/>
        </w:rPr>
        <w:t>proper</w:t>
      </w:r>
      <w:r w:rsidR="00DB1E95">
        <w:rPr>
          <w:lang w:val="en-GB"/>
        </w:rPr>
        <w:t xml:space="preserve"> </w:t>
      </w:r>
      <w:r w:rsidR="00DB1E95" w:rsidRPr="00DB1E95">
        <w:rPr>
          <w:lang w:val="en-GB"/>
        </w:rPr>
        <w:t xml:space="preserve">refinement of workplace, process </w:t>
      </w:r>
      <w:r w:rsidR="00E96F21">
        <w:rPr>
          <w:lang w:val="en-GB"/>
        </w:rPr>
        <w:t xml:space="preserve">and construction </w:t>
      </w:r>
      <w:r w:rsidR="00DB1E95" w:rsidRPr="00DB1E95">
        <w:rPr>
          <w:lang w:val="en-GB"/>
        </w:rPr>
        <w:t xml:space="preserve">steps and </w:t>
      </w:r>
      <w:r w:rsidR="00E96F21">
        <w:rPr>
          <w:lang w:val="en-GB"/>
        </w:rPr>
        <w:t xml:space="preserve">relevant </w:t>
      </w:r>
      <w:r w:rsidR="00DB1E95" w:rsidRPr="00DB1E95">
        <w:rPr>
          <w:lang w:val="en-GB"/>
        </w:rPr>
        <w:t>technical/management</w:t>
      </w:r>
      <w:r w:rsidR="00E96F21">
        <w:rPr>
          <w:lang w:val="en-GB"/>
        </w:rPr>
        <w:t xml:space="preserve"> issues (Fabiano et al., 2019).</w:t>
      </w:r>
    </w:p>
    <w:p w14:paraId="7A0CAFEA" w14:textId="19461E8D" w:rsidR="0056197C" w:rsidRPr="000245F3" w:rsidRDefault="0056197C" w:rsidP="00DB1E95">
      <w:pPr>
        <w:pStyle w:val="CETBodytext"/>
        <w:rPr>
          <w:lang w:val="en-GB"/>
        </w:rPr>
      </w:pPr>
    </w:p>
    <w:p w14:paraId="68EAF324" w14:textId="77777777" w:rsidR="0056197C" w:rsidRPr="000245F3" w:rsidRDefault="0056197C" w:rsidP="003E201D">
      <w:pPr>
        <w:pStyle w:val="CETBodytext"/>
        <w:rPr>
          <w:lang w:val="en-GB"/>
        </w:rPr>
      </w:pPr>
    </w:p>
    <w:p w14:paraId="17C27B08" w14:textId="1AF698FB" w:rsidR="00A30C40" w:rsidRPr="000245F3" w:rsidRDefault="00A30C40" w:rsidP="003E201D">
      <w:pPr>
        <w:pStyle w:val="CETBodytext"/>
        <w:rPr>
          <w:lang w:val="en-GB"/>
        </w:rPr>
      </w:pPr>
      <w:r w:rsidRPr="000245F3">
        <w:rPr>
          <w:rFonts w:ascii="Times New Roman" w:hAnsi="Times New Roman"/>
          <w:noProof/>
          <w:lang w:val="it-IT" w:eastAsia="it-IT"/>
        </w:rPr>
        <w:drawing>
          <wp:inline distT="0" distB="0" distL="0" distR="0" wp14:anchorId="01579C12" wp14:editId="7BBAB8A8">
            <wp:extent cx="4191000" cy="22126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73" t="11478" r="1634" b="9254"/>
                    <a:stretch/>
                  </pic:blipFill>
                  <pic:spPr bwMode="auto">
                    <a:xfrm>
                      <a:off x="0" y="0"/>
                      <a:ext cx="4228651" cy="2232546"/>
                    </a:xfrm>
                    <a:prstGeom prst="rect">
                      <a:avLst/>
                    </a:prstGeom>
                    <a:noFill/>
                    <a:ln>
                      <a:noFill/>
                    </a:ln>
                    <a:extLst>
                      <a:ext uri="{53640926-AAD7-44D8-BBD7-CCE9431645EC}">
                        <a14:shadowObscured xmlns:a14="http://schemas.microsoft.com/office/drawing/2010/main"/>
                      </a:ext>
                    </a:extLst>
                  </pic:spPr>
                </pic:pic>
              </a:graphicData>
            </a:graphic>
          </wp:inline>
        </w:drawing>
      </w:r>
    </w:p>
    <w:p w14:paraId="7729E8C3" w14:textId="2B0E48D1" w:rsidR="00A30C40" w:rsidRPr="000245F3" w:rsidRDefault="0078524E" w:rsidP="00B47E21">
      <w:pPr>
        <w:pStyle w:val="CETCaption"/>
        <w:spacing w:before="0"/>
        <w:rPr>
          <w:lang w:eastAsia="it-IT"/>
        </w:rPr>
      </w:pPr>
      <w:r w:rsidRPr="000245F3">
        <w:rPr>
          <w:lang w:eastAsia="it-IT"/>
        </w:rPr>
        <w:t>Figure 2: Classification of information collected form raw data examination and statistical elaborati</w:t>
      </w:r>
      <w:r w:rsidRPr="00581419">
        <w:rPr>
          <w:lang w:eastAsia="it-IT"/>
        </w:rPr>
        <w:t>on</w:t>
      </w:r>
      <w:r w:rsidR="0031045E">
        <w:rPr>
          <w:lang w:eastAsia="it-IT"/>
        </w:rPr>
        <w:t>.</w:t>
      </w:r>
    </w:p>
    <w:p w14:paraId="0CDB42BA" w14:textId="22B662CC" w:rsidR="002C4C01" w:rsidRPr="000245F3" w:rsidRDefault="002C4C01" w:rsidP="002C4C01">
      <w:pPr>
        <w:pStyle w:val="CETBodytext"/>
        <w:rPr>
          <w:lang w:val="en-GB"/>
        </w:rPr>
      </w:pPr>
      <w:r w:rsidRPr="000245F3">
        <w:rPr>
          <w:lang w:val="en-GB"/>
        </w:rPr>
        <w:t xml:space="preserve">The most recorded causes, highlighted by personnel from the secondary and detailed-out classification in this initial phase of the project, were by far PPE, housekeeping and procedure compliance; followed by excavation/ barricades and slip/ tripping/falls, as </w:t>
      </w:r>
      <w:r w:rsidRPr="002953B9">
        <w:rPr>
          <w:lang w:val="en-GB"/>
        </w:rPr>
        <w:t>summari</w:t>
      </w:r>
      <w:r w:rsidR="00026CA7" w:rsidRPr="002953B9">
        <w:rPr>
          <w:lang w:val="en-GB"/>
        </w:rPr>
        <w:t>s</w:t>
      </w:r>
      <w:r w:rsidRPr="002953B9">
        <w:rPr>
          <w:lang w:val="en-GB"/>
        </w:rPr>
        <w:t>ed in Table 1.</w:t>
      </w:r>
      <w:r w:rsidR="00440E0D" w:rsidRPr="002953B9">
        <w:rPr>
          <w:lang w:val="en-GB"/>
        </w:rPr>
        <w:t xml:space="preserve"> During the “safety on-site walk”, in filling the reporting form, the person was also requested, </w:t>
      </w:r>
      <w:r w:rsidR="00771A87" w:rsidRPr="002953B9">
        <w:rPr>
          <w:lang w:val="en-GB"/>
        </w:rPr>
        <w:t>based on</w:t>
      </w:r>
      <w:r w:rsidR="00440E0D" w:rsidRPr="002953B9">
        <w:rPr>
          <w:lang w:val="en-GB"/>
        </w:rPr>
        <w:t xml:space="preserve"> their experience to suggest the possible final consequences of the unsafe act/ condition that would have occurred if the accident </w:t>
      </w:r>
      <w:r w:rsidR="00771A87" w:rsidRPr="002953B9">
        <w:rPr>
          <w:lang w:val="en-GB"/>
        </w:rPr>
        <w:t>had</w:t>
      </w:r>
      <w:r w:rsidR="00440E0D" w:rsidRPr="002953B9">
        <w:rPr>
          <w:lang w:val="en-GB"/>
        </w:rPr>
        <w:t xml:space="preserve"> materiali</w:t>
      </w:r>
      <w:r w:rsidR="00026CA7" w:rsidRPr="002953B9">
        <w:rPr>
          <w:lang w:val="en-GB"/>
        </w:rPr>
        <w:t>s</w:t>
      </w:r>
      <w:r w:rsidR="00440E0D" w:rsidRPr="002953B9">
        <w:rPr>
          <w:lang w:val="en-GB"/>
        </w:rPr>
        <w:t>ed.</w:t>
      </w:r>
    </w:p>
    <w:p w14:paraId="6956EE4C" w14:textId="4C64DD66" w:rsidR="00A30C40" w:rsidRPr="000245F3" w:rsidRDefault="00A30C40" w:rsidP="00A30C40">
      <w:pPr>
        <w:pStyle w:val="CETTabletitle"/>
      </w:pPr>
      <w:r w:rsidRPr="000245F3">
        <w:t xml:space="preserve">Table 1: </w:t>
      </w:r>
      <w:r w:rsidR="005F2C2C" w:rsidRPr="000245F3">
        <w:t>D</w:t>
      </w:r>
      <w:r w:rsidR="00544CC7" w:rsidRPr="000245F3">
        <w:rPr>
          <w:lang w:eastAsia="it-IT"/>
        </w:rPr>
        <w:t>etailed analysi</w:t>
      </w:r>
      <w:r w:rsidR="008466BE" w:rsidRPr="000245F3">
        <w:rPr>
          <w:lang w:eastAsia="it-IT"/>
        </w:rPr>
        <w:t>s</w:t>
      </w:r>
      <w:r w:rsidR="00544CC7" w:rsidRPr="000245F3">
        <w:rPr>
          <w:lang w:eastAsia="it-IT"/>
        </w:rPr>
        <w:t xml:space="preserve"> of</w:t>
      </w:r>
      <w:r w:rsidR="005F2C2C" w:rsidRPr="000245F3">
        <w:rPr>
          <w:lang w:eastAsia="it-IT"/>
        </w:rPr>
        <w:t xml:space="preserve"> secondary classification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91"/>
        <w:gridCol w:w="679"/>
      </w:tblGrid>
      <w:tr w:rsidR="00A30C40" w:rsidRPr="000245F3" w14:paraId="6EE2E5F3" w14:textId="77777777" w:rsidTr="00B963CB">
        <w:trPr>
          <w:trHeight w:val="305"/>
        </w:trPr>
        <w:tc>
          <w:tcPr>
            <w:tcW w:w="4991" w:type="dxa"/>
            <w:tcBorders>
              <w:top w:val="single" w:sz="12" w:space="0" w:color="008000"/>
              <w:bottom w:val="single" w:sz="6" w:space="0" w:color="008000"/>
            </w:tcBorders>
            <w:shd w:val="clear" w:color="auto" w:fill="FFFFFF"/>
          </w:tcPr>
          <w:p w14:paraId="4700DBC2" w14:textId="689097B3" w:rsidR="00A30C40" w:rsidRPr="000245F3" w:rsidRDefault="005F2C2C" w:rsidP="005F2C2C">
            <w:pPr>
              <w:pStyle w:val="CETBodytext"/>
              <w:rPr>
                <w:lang w:val="en-GB"/>
              </w:rPr>
            </w:pPr>
            <w:r w:rsidRPr="000245F3">
              <w:rPr>
                <w:lang w:val="en-GB"/>
              </w:rPr>
              <w:t xml:space="preserve">Secondary and </w:t>
            </w:r>
            <w:r w:rsidR="00A30C40" w:rsidRPr="000245F3">
              <w:rPr>
                <w:lang w:val="en-GB"/>
              </w:rPr>
              <w:t xml:space="preserve">detailed-out classification of causes </w:t>
            </w:r>
          </w:p>
        </w:tc>
        <w:tc>
          <w:tcPr>
            <w:tcW w:w="679" w:type="dxa"/>
            <w:tcBorders>
              <w:top w:val="single" w:sz="12" w:space="0" w:color="008000"/>
              <w:bottom w:val="single" w:sz="6" w:space="0" w:color="008000"/>
            </w:tcBorders>
            <w:shd w:val="clear" w:color="auto" w:fill="FFFFFF"/>
          </w:tcPr>
          <w:p w14:paraId="06FB8EE0" w14:textId="51ECA3E8" w:rsidR="00A30C40" w:rsidRPr="000245F3" w:rsidRDefault="005F2C2C" w:rsidP="005E4924">
            <w:pPr>
              <w:pStyle w:val="CETBodytext"/>
              <w:rPr>
                <w:lang w:val="en-GB"/>
              </w:rPr>
            </w:pPr>
            <w:r w:rsidRPr="000245F3">
              <w:rPr>
                <w:lang w:val="en-GB"/>
              </w:rPr>
              <w:t>%</w:t>
            </w:r>
          </w:p>
        </w:tc>
      </w:tr>
      <w:tr w:rsidR="00A30C40" w:rsidRPr="000245F3" w14:paraId="24BE4967" w14:textId="77777777" w:rsidTr="005F2C2C">
        <w:trPr>
          <w:trHeight w:val="231"/>
        </w:trPr>
        <w:tc>
          <w:tcPr>
            <w:tcW w:w="4991" w:type="dxa"/>
            <w:shd w:val="clear" w:color="auto" w:fill="FFFFFF"/>
          </w:tcPr>
          <w:p w14:paraId="119C853B" w14:textId="0990913B" w:rsidR="00A30C40" w:rsidRPr="000245F3" w:rsidRDefault="00A30C40" w:rsidP="005E4924">
            <w:pPr>
              <w:pStyle w:val="CETBodytext"/>
              <w:rPr>
                <w:lang w:val="en-GB"/>
              </w:rPr>
            </w:pPr>
            <w:r w:rsidRPr="000245F3">
              <w:rPr>
                <w:lang w:val="en-GB"/>
              </w:rPr>
              <w:t>PPE</w:t>
            </w:r>
          </w:p>
        </w:tc>
        <w:tc>
          <w:tcPr>
            <w:tcW w:w="679" w:type="dxa"/>
            <w:shd w:val="clear" w:color="auto" w:fill="FFFFFF"/>
          </w:tcPr>
          <w:p w14:paraId="3CAFD5EA" w14:textId="30FD778C" w:rsidR="00A30C40" w:rsidRPr="000245F3" w:rsidRDefault="005F2C2C" w:rsidP="005E4924">
            <w:pPr>
              <w:pStyle w:val="CETBodytext"/>
              <w:rPr>
                <w:lang w:val="en-GB"/>
              </w:rPr>
            </w:pPr>
            <w:r w:rsidRPr="000245F3">
              <w:rPr>
                <w:lang w:val="en-GB"/>
              </w:rPr>
              <w:t>17</w:t>
            </w:r>
          </w:p>
        </w:tc>
      </w:tr>
      <w:tr w:rsidR="00A30C40" w:rsidRPr="000245F3" w14:paraId="5E81C9DD" w14:textId="77777777" w:rsidTr="005F2C2C">
        <w:trPr>
          <w:trHeight w:val="231"/>
        </w:trPr>
        <w:tc>
          <w:tcPr>
            <w:tcW w:w="4991" w:type="dxa"/>
            <w:shd w:val="clear" w:color="auto" w:fill="FFFFFF"/>
          </w:tcPr>
          <w:p w14:paraId="582F9900" w14:textId="6526C43F" w:rsidR="00A30C40" w:rsidRPr="000245F3" w:rsidRDefault="00A30C40" w:rsidP="005E4924">
            <w:pPr>
              <w:pStyle w:val="CETBodytext"/>
              <w:rPr>
                <w:lang w:val="en-GB"/>
              </w:rPr>
            </w:pPr>
            <w:r w:rsidRPr="000245F3">
              <w:rPr>
                <w:lang w:val="en-GB"/>
              </w:rPr>
              <w:t>Housekeeping</w:t>
            </w:r>
          </w:p>
        </w:tc>
        <w:tc>
          <w:tcPr>
            <w:tcW w:w="679" w:type="dxa"/>
            <w:shd w:val="clear" w:color="auto" w:fill="FFFFFF"/>
          </w:tcPr>
          <w:p w14:paraId="350D68FF" w14:textId="5ADE6DAF" w:rsidR="00A30C40" w:rsidRPr="000245F3" w:rsidRDefault="005F2C2C" w:rsidP="005E4924">
            <w:pPr>
              <w:pStyle w:val="CETBodytext"/>
              <w:rPr>
                <w:lang w:val="en-GB"/>
              </w:rPr>
            </w:pPr>
            <w:r w:rsidRPr="000245F3">
              <w:rPr>
                <w:lang w:val="en-GB"/>
              </w:rPr>
              <w:t>15</w:t>
            </w:r>
          </w:p>
        </w:tc>
      </w:tr>
      <w:tr w:rsidR="00A30C40" w:rsidRPr="000245F3" w14:paraId="0FCED7EA" w14:textId="77777777" w:rsidTr="005F2C2C">
        <w:trPr>
          <w:trHeight w:val="241"/>
        </w:trPr>
        <w:tc>
          <w:tcPr>
            <w:tcW w:w="4991" w:type="dxa"/>
            <w:shd w:val="clear" w:color="auto" w:fill="FFFFFF"/>
          </w:tcPr>
          <w:p w14:paraId="3312BF33" w14:textId="09A17318" w:rsidR="00A30C40" w:rsidRPr="000245F3" w:rsidRDefault="00A30C40" w:rsidP="005E4924">
            <w:pPr>
              <w:pStyle w:val="CETBodytext"/>
              <w:ind w:right="-1"/>
              <w:rPr>
                <w:rFonts w:cs="Arial"/>
                <w:szCs w:val="18"/>
                <w:lang w:val="en-GB"/>
              </w:rPr>
            </w:pPr>
            <w:r w:rsidRPr="000245F3">
              <w:rPr>
                <w:rFonts w:cs="Arial"/>
                <w:szCs w:val="18"/>
                <w:lang w:val="en-GB"/>
              </w:rPr>
              <w:t>Procedure Compliance</w:t>
            </w:r>
          </w:p>
        </w:tc>
        <w:tc>
          <w:tcPr>
            <w:tcW w:w="679" w:type="dxa"/>
            <w:shd w:val="clear" w:color="auto" w:fill="FFFFFF"/>
          </w:tcPr>
          <w:p w14:paraId="713DC5A4" w14:textId="28AD1FA1" w:rsidR="00A30C40" w:rsidRPr="000245F3" w:rsidRDefault="005F2C2C" w:rsidP="005E4924">
            <w:pPr>
              <w:pStyle w:val="CETBodytext"/>
              <w:ind w:right="-1"/>
              <w:rPr>
                <w:rFonts w:cs="Arial"/>
                <w:szCs w:val="18"/>
                <w:lang w:val="en-GB"/>
              </w:rPr>
            </w:pPr>
            <w:r w:rsidRPr="000245F3">
              <w:rPr>
                <w:rFonts w:cs="Arial"/>
                <w:szCs w:val="18"/>
                <w:lang w:val="en-GB"/>
              </w:rPr>
              <w:t>14</w:t>
            </w:r>
          </w:p>
        </w:tc>
      </w:tr>
      <w:tr w:rsidR="00A30C40" w:rsidRPr="000245F3" w14:paraId="2450F2CB" w14:textId="77777777" w:rsidTr="005F2C2C">
        <w:trPr>
          <w:trHeight w:val="231"/>
        </w:trPr>
        <w:tc>
          <w:tcPr>
            <w:tcW w:w="4991" w:type="dxa"/>
            <w:shd w:val="clear" w:color="auto" w:fill="FFFFFF"/>
          </w:tcPr>
          <w:p w14:paraId="658D2FFD" w14:textId="1BE6A732" w:rsidR="00A30C40" w:rsidRPr="000245F3" w:rsidRDefault="00A30C40" w:rsidP="005E4924">
            <w:pPr>
              <w:pStyle w:val="CETBodytext"/>
              <w:ind w:right="-1"/>
              <w:rPr>
                <w:rFonts w:cs="Arial"/>
                <w:szCs w:val="18"/>
                <w:lang w:val="en-GB"/>
              </w:rPr>
            </w:pPr>
            <w:r w:rsidRPr="000245F3">
              <w:rPr>
                <w:rFonts w:cs="Arial"/>
                <w:szCs w:val="18"/>
                <w:lang w:val="en-GB"/>
              </w:rPr>
              <w:t>Others</w:t>
            </w:r>
          </w:p>
        </w:tc>
        <w:tc>
          <w:tcPr>
            <w:tcW w:w="679" w:type="dxa"/>
            <w:shd w:val="clear" w:color="auto" w:fill="FFFFFF"/>
          </w:tcPr>
          <w:p w14:paraId="7476E26F" w14:textId="511383A0" w:rsidR="00A30C40" w:rsidRPr="000245F3" w:rsidRDefault="005F2C2C" w:rsidP="005E4924">
            <w:pPr>
              <w:pStyle w:val="CETBodytext"/>
              <w:ind w:right="-1"/>
              <w:rPr>
                <w:rFonts w:cs="Arial"/>
                <w:szCs w:val="18"/>
                <w:lang w:val="en-GB"/>
              </w:rPr>
            </w:pPr>
            <w:r w:rsidRPr="000245F3">
              <w:rPr>
                <w:rFonts w:cs="Arial"/>
                <w:szCs w:val="18"/>
                <w:lang w:val="en-GB"/>
              </w:rPr>
              <w:t>13</w:t>
            </w:r>
          </w:p>
        </w:tc>
      </w:tr>
      <w:tr w:rsidR="00A30C40" w:rsidRPr="000245F3" w14:paraId="0DA9AACB" w14:textId="77777777" w:rsidTr="005F2C2C">
        <w:trPr>
          <w:trHeight w:val="241"/>
        </w:trPr>
        <w:tc>
          <w:tcPr>
            <w:tcW w:w="4991" w:type="dxa"/>
            <w:shd w:val="clear" w:color="auto" w:fill="FFFFFF"/>
          </w:tcPr>
          <w:p w14:paraId="507F2AA4" w14:textId="47678182" w:rsidR="00A30C40" w:rsidRPr="000245F3" w:rsidRDefault="00A30C40" w:rsidP="005E4924">
            <w:pPr>
              <w:pStyle w:val="CETBodytext"/>
              <w:ind w:right="-1"/>
              <w:rPr>
                <w:rFonts w:cs="Arial"/>
                <w:szCs w:val="18"/>
                <w:lang w:val="en-GB"/>
              </w:rPr>
            </w:pPr>
            <w:r w:rsidRPr="000245F3">
              <w:rPr>
                <w:rFonts w:cs="Arial"/>
                <w:szCs w:val="18"/>
                <w:lang w:val="en-GB"/>
              </w:rPr>
              <w:t>Slip/Trip/Fall</w:t>
            </w:r>
          </w:p>
        </w:tc>
        <w:tc>
          <w:tcPr>
            <w:tcW w:w="679" w:type="dxa"/>
            <w:shd w:val="clear" w:color="auto" w:fill="FFFFFF"/>
          </w:tcPr>
          <w:p w14:paraId="3993A7B3" w14:textId="74AD6677" w:rsidR="00A30C40" w:rsidRPr="000245F3" w:rsidRDefault="005F2C2C" w:rsidP="005E4924">
            <w:pPr>
              <w:pStyle w:val="CETBodytext"/>
              <w:ind w:right="-1"/>
              <w:rPr>
                <w:rFonts w:cs="Arial"/>
                <w:szCs w:val="18"/>
                <w:lang w:val="en-GB"/>
              </w:rPr>
            </w:pPr>
            <w:r w:rsidRPr="000245F3">
              <w:rPr>
                <w:rFonts w:cs="Arial"/>
                <w:szCs w:val="18"/>
                <w:lang w:val="en-GB"/>
              </w:rPr>
              <w:t>7</w:t>
            </w:r>
          </w:p>
        </w:tc>
      </w:tr>
      <w:tr w:rsidR="00A30C40" w:rsidRPr="000245F3" w14:paraId="4113F228" w14:textId="77777777" w:rsidTr="005F2C2C">
        <w:trPr>
          <w:trHeight w:val="241"/>
        </w:trPr>
        <w:tc>
          <w:tcPr>
            <w:tcW w:w="4991" w:type="dxa"/>
            <w:shd w:val="clear" w:color="auto" w:fill="FFFFFF"/>
          </w:tcPr>
          <w:p w14:paraId="3ED002CA" w14:textId="6CB162A1" w:rsidR="00A30C40" w:rsidRPr="000245F3" w:rsidRDefault="00A30C40" w:rsidP="005E4924">
            <w:pPr>
              <w:pStyle w:val="CETBodytext"/>
              <w:ind w:right="-1"/>
              <w:rPr>
                <w:rFonts w:cs="Arial"/>
                <w:szCs w:val="18"/>
                <w:lang w:val="en-GB"/>
              </w:rPr>
            </w:pPr>
            <w:r w:rsidRPr="000245F3">
              <w:rPr>
                <w:rFonts w:cs="Arial"/>
                <w:szCs w:val="18"/>
                <w:lang w:val="en-GB"/>
              </w:rPr>
              <w:t>Excavation/ Barricade/ Hole cover</w:t>
            </w:r>
          </w:p>
        </w:tc>
        <w:tc>
          <w:tcPr>
            <w:tcW w:w="679" w:type="dxa"/>
            <w:shd w:val="clear" w:color="auto" w:fill="FFFFFF"/>
          </w:tcPr>
          <w:p w14:paraId="4D07D8C6" w14:textId="3B40DF2A" w:rsidR="00A30C40" w:rsidRPr="000245F3" w:rsidRDefault="005F2C2C" w:rsidP="005E4924">
            <w:pPr>
              <w:pStyle w:val="CETBodytext"/>
              <w:ind w:right="-1"/>
              <w:rPr>
                <w:rFonts w:cs="Arial"/>
                <w:szCs w:val="18"/>
                <w:lang w:val="en-GB"/>
              </w:rPr>
            </w:pPr>
            <w:r w:rsidRPr="000245F3">
              <w:rPr>
                <w:rFonts w:cs="Arial"/>
                <w:szCs w:val="18"/>
                <w:lang w:val="en-GB"/>
              </w:rPr>
              <w:t>7</w:t>
            </w:r>
          </w:p>
        </w:tc>
      </w:tr>
      <w:tr w:rsidR="00A30C40" w:rsidRPr="000245F3" w14:paraId="1FFD8905" w14:textId="77777777" w:rsidTr="005F2C2C">
        <w:trPr>
          <w:trHeight w:val="241"/>
        </w:trPr>
        <w:tc>
          <w:tcPr>
            <w:tcW w:w="4991" w:type="dxa"/>
            <w:shd w:val="clear" w:color="auto" w:fill="FFFFFF"/>
          </w:tcPr>
          <w:p w14:paraId="353DB449" w14:textId="75E9F226" w:rsidR="00A30C40" w:rsidRPr="000245F3" w:rsidRDefault="00A30C40" w:rsidP="005E4924">
            <w:pPr>
              <w:pStyle w:val="CETBodytext"/>
              <w:ind w:right="-1"/>
              <w:rPr>
                <w:rFonts w:cs="Arial"/>
                <w:szCs w:val="18"/>
                <w:lang w:val="en-GB"/>
              </w:rPr>
            </w:pPr>
            <w:r w:rsidRPr="000245F3">
              <w:rPr>
                <w:rFonts w:cs="Arial"/>
                <w:szCs w:val="18"/>
                <w:lang w:val="en-GB"/>
              </w:rPr>
              <w:t>Ladder/ Work Platform/ Scaffold</w:t>
            </w:r>
          </w:p>
        </w:tc>
        <w:tc>
          <w:tcPr>
            <w:tcW w:w="679" w:type="dxa"/>
            <w:shd w:val="clear" w:color="auto" w:fill="FFFFFF"/>
          </w:tcPr>
          <w:p w14:paraId="1B3A2080" w14:textId="42BE1285" w:rsidR="00A30C40" w:rsidRPr="000245F3" w:rsidRDefault="005F2C2C" w:rsidP="005E4924">
            <w:pPr>
              <w:pStyle w:val="CETBodytext"/>
              <w:ind w:right="-1"/>
              <w:rPr>
                <w:rFonts w:cs="Arial"/>
                <w:szCs w:val="18"/>
                <w:lang w:val="en-GB"/>
              </w:rPr>
            </w:pPr>
            <w:r w:rsidRPr="000245F3">
              <w:rPr>
                <w:rFonts w:cs="Arial"/>
                <w:szCs w:val="18"/>
                <w:lang w:val="en-GB"/>
              </w:rPr>
              <w:t>5</w:t>
            </w:r>
          </w:p>
        </w:tc>
      </w:tr>
      <w:tr w:rsidR="00A30C40" w:rsidRPr="000245F3" w14:paraId="12BF888C" w14:textId="77777777" w:rsidTr="005F2C2C">
        <w:trPr>
          <w:trHeight w:val="241"/>
        </w:trPr>
        <w:tc>
          <w:tcPr>
            <w:tcW w:w="4991" w:type="dxa"/>
            <w:shd w:val="clear" w:color="auto" w:fill="FFFFFF"/>
          </w:tcPr>
          <w:p w14:paraId="5C7E5956" w14:textId="0BC45800" w:rsidR="00A30C40" w:rsidRPr="000245F3" w:rsidRDefault="00A30C40" w:rsidP="005E4924">
            <w:pPr>
              <w:pStyle w:val="CETBodytext"/>
              <w:ind w:right="-1"/>
              <w:rPr>
                <w:rFonts w:cs="Arial"/>
                <w:szCs w:val="18"/>
                <w:lang w:val="en-GB"/>
              </w:rPr>
            </w:pPr>
            <w:r w:rsidRPr="000245F3">
              <w:rPr>
                <w:rFonts w:cs="Arial"/>
                <w:szCs w:val="18"/>
                <w:lang w:val="en-GB"/>
              </w:rPr>
              <w:t>Tools/ Equipment</w:t>
            </w:r>
          </w:p>
        </w:tc>
        <w:tc>
          <w:tcPr>
            <w:tcW w:w="679" w:type="dxa"/>
            <w:shd w:val="clear" w:color="auto" w:fill="FFFFFF"/>
          </w:tcPr>
          <w:p w14:paraId="76360DE2" w14:textId="10D93E01" w:rsidR="00A30C40" w:rsidRPr="000245F3" w:rsidRDefault="005F2C2C" w:rsidP="005E4924">
            <w:pPr>
              <w:pStyle w:val="CETBodytext"/>
              <w:ind w:right="-1"/>
              <w:rPr>
                <w:rFonts w:cs="Arial"/>
                <w:szCs w:val="18"/>
                <w:lang w:val="en-GB"/>
              </w:rPr>
            </w:pPr>
            <w:r w:rsidRPr="000245F3">
              <w:rPr>
                <w:rFonts w:cs="Arial"/>
                <w:szCs w:val="18"/>
                <w:lang w:val="en-GB"/>
              </w:rPr>
              <w:t>5</w:t>
            </w:r>
          </w:p>
        </w:tc>
      </w:tr>
      <w:tr w:rsidR="00A30C40" w:rsidRPr="000245F3" w14:paraId="123D3BF7" w14:textId="77777777" w:rsidTr="005F2C2C">
        <w:trPr>
          <w:trHeight w:val="241"/>
        </w:trPr>
        <w:tc>
          <w:tcPr>
            <w:tcW w:w="4991" w:type="dxa"/>
            <w:shd w:val="clear" w:color="auto" w:fill="FFFFFF"/>
          </w:tcPr>
          <w:p w14:paraId="58E616A2" w14:textId="3D6A7869" w:rsidR="00A30C40" w:rsidRPr="000245F3" w:rsidRDefault="00A30C40" w:rsidP="005E4924">
            <w:pPr>
              <w:pStyle w:val="CETBodytext"/>
              <w:ind w:right="-1"/>
              <w:rPr>
                <w:rFonts w:cs="Arial"/>
                <w:szCs w:val="18"/>
                <w:lang w:val="en-GB"/>
              </w:rPr>
            </w:pPr>
            <w:r w:rsidRPr="000245F3">
              <w:rPr>
                <w:rFonts w:cs="Arial"/>
                <w:szCs w:val="18"/>
                <w:lang w:val="en-GB"/>
              </w:rPr>
              <w:t>Fire</w:t>
            </w:r>
          </w:p>
        </w:tc>
        <w:tc>
          <w:tcPr>
            <w:tcW w:w="679" w:type="dxa"/>
            <w:shd w:val="clear" w:color="auto" w:fill="FFFFFF"/>
          </w:tcPr>
          <w:p w14:paraId="0DFF3266" w14:textId="792C5CFD" w:rsidR="00A30C40" w:rsidRPr="000245F3" w:rsidRDefault="005F2C2C" w:rsidP="005E4924">
            <w:pPr>
              <w:pStyle w:val="CETBodytext"/>
              <w:ind w:right="-1"/>
              <w:rPr>
                <w:rFonts w:cs="Arial"/>
                <w:szCs w:val="18"/>
                <w:lang w:val="en-GB"/>
              </w:rPr>
            </w:pPr>
            <w:r w:rsidRPr="000245F3">
              <w:rPr>
                <w:rFonts w:cs="Arial"/>
                <w:szCs w:val="18"/>
                <w:lang w:val="en-GB"/>
              </w:rPr>
              <w:t>4</w:t>
            </w:r>
          </w:p>
        </w:tc>
      </w:tr>
      <w:tr w:rsidR="00A30C40" w:rsidRPr="002953B9" w14:paraId="48D2D63F" w14:textId="77777777" w:rsidTr="005F2C2C">
        <w:trPr>
          <w:trHeight w:val="241"/>
        </w:trPr>
        <w:tc>
          <w:tcPr>
            <w:tcW w:w="4991" w:type="dxa"/>
            <w:shd w:val="clear" w:color="auto" w:fill="FFFFFF"/>
          </w:tcPr>
          <w:p w14:paraId="52321C17" w14:textId="432B6C6D" w:rsidR="00A30C40" w:rsidRPr="002953B9" w:rsidRDefault="00026CA7" w:rsidP="005E4924">
            <w:pPr>
              <w:pStyle w:val="CETBodytext"/>
              <w:ind w:right="-1"/>
              <w:rPr>
                <w:rFonts w:cs="Arial"/>
                <w:szCs w:val="18"/>
                <w:lang w:val="en-GB"/>
              </w:rPr>
            </w:pPr>
            <w:r w:rsidRPr="002953B9">
              <w:rPr>
                <w:rFonts w:cs="Arial"/>
                <w:szCs w:val="18"/>
                <w:lang w:val="en-GB"/>
              </w:rPr>
              <w:t>Motoris</w:t>
            </w:r>
            <w:r w:rsidR="005F2C2C" w:rsidRPr="002953B9">
              <w:rPr>
                <w:rFonts w:cs="Arial"/>
                <w:szCs w:val="18"/>
                <w:lang w:val="en-GB"/>
              </w:rPr>
              <w:t>ed Equipment / Vehicle</w:t>
            </w:r>
          </w:p>
        </w:tc>
        <w:tc>
          <w:tcPr>
            <w:tcW w:w="679" w:type="dxa"/>
            <w:shd w:val="clear" w:color="auto" w:fill="FFFFFF"/>
          </w:tcPr>
          <w:p w14:paraId="676C8262" w14:textId="35F851B1" w:rsidR="00A30C40" w:rsidRPr="002953B9" w:rsidRDefault="005F2C2C" w:rsidP="005E4924">
            <w:pPr>
              <w:pStyle w:val="CETBodytext"/>
              <w:ind w:right="-1"/>
              <w:rPr>
                <w:rFonts w:cs="Arial"/>
                <w:szCs w:val="18"/>
                <w:lang w:val="en-GB"/>
              </w:rPr>
            </w:pPr>
            <w:r w:rsidRPr="002953B9">
              <w:rPr>
                <w:rFonts w:cs="Arial"/>
                <w:szCs w:val="18"/>
                <w:lang w:val="en-GB"/>
              </w:rPr>
              <w:t>4</w:t>
            </w:r>
          </w:p>
        </w:tc>
      </w:tr>
      <w:tr w:rsidR="00A30C40" w:rsidRPr="002953B9" w14:paraId="4A45ADD8" w14:textId="77777777" w:rsidTr="005F2C2C">
        <w:trPr>
          <w:trHeight w:val="241"/>
        </w:trPr>
        <w:tc>
          <w:tcPr>
            <w:tcW w:w="4991" w:type="dxa"/>
            <w:shd w:val="clear" w:color="auto" w:fill="FFFFFF"/>
          </w:tcPr>
          <w:p w14:paraId="1EB75904" w14:textId="255BE107" w:rsidR="00A30C40" w:rsidRPr="002953B9" w:rsidRDefault="005F2C2C" w:rsidP="005E4924">
            <w:pPr>
              <w:pStyle w:val="CETBodytext"/>
              <w:ind w:right="-1"/>
              <w:rPr>
                <w:rFonts w:cs="Arial"/>
                <w:szCs w:val="18"/>
                <w:lang w:val="en-GB"/>
              </w:rPr>
            </w:pPr>
            <w:r w:rsidRPr="002953B9">
              <w:rPr>
                <w:rFonts w:cs="Arial"/>
                <w:szCs w:val="18"/>
                <w:lang w:val="en-GB"/>
              </w:rPr>
              <w:t>Human and Machine Interface</w:t>
            </w:r>
          </w:p>
        </w:tc>
        <w:tc>
          <w:tcPr>
            <w:tcW w:w="679" w:type="dxa"/>
            <w:shd w:val="clear" w:color="auto" w:fill="FFFFFF"/>
          </w:tcPr>
          <w:p w14:paraId="7ADEA2AD" w14:textId="1262CFD7" w:rsidR="00A30C40" w:rsidRPr="002953B9" w:rsidRDefault="005F2C2C" w:rsidP="005E4924">
            <w:pPr>
              <w:pStyle w:val="CETBodytext"/>
              <w:ind w:right="-1"/>
              <w:rPr>
                <w:rFonts w:cs="Arial"/>
                <w:szCs w:val="18"/>
                <w:lang w:val="en-GB"/>
              </w:rPr>
            </w:pPr>
            <w:r w:rsidRPr="002953B9">
              <w:rPr>
                <w:rFonts w:cs="Arial"/>
                <w:szCs w:val="18"/>
                <w:lang w:val="en-GB"/>
              </w:rPr>
              <w:t>3</w:t>
            </w:r>
          </w:p>
        </w:tc>
      </w:tr>
      <w:tr w:rsidR="00A30C40" w:rsidRPr="002953B9" w14:paraId="2D94F56F" w14:textId="77777777" w:rsidTr="005F2C2C">
        <w:trPr>
          <w:trHeight w:val="241"/>
        </w:trPr>
        <w:tc>
          <w:tcPr>
            <w:tcW w:w="4991" w:type="dxa"/>
            <w:shd w:val="clear" w:color="auto" w:fill="FFFFFF"/>
          </w:tcPr>
          <w:p w14:paraId="6E2B0338" w14:textId="182EDF6B" w:rsidR="00A30C40" w:rsidRPr="002953B9" w:rsidRDefault="005F2C2C" w:rsidP="005E4924">
            <w:pPr>
              <w:pStyle w:val="CETBodytext"/>
              <w:ind w:right="-1"/>
              <w:rPr>
                <w:rFonts w:cs="Arial"/>
                <w:szCs w:val="18"/>
                <w:lang w:val="en-GB"/>
              </w:rPr>
            </w:pPr>
            <w:r w:rsidRPr="002953B9">
              <w:rPr>
                <w:rFonts w:cs="Arial"/>
                <w:szCs w:val="18"/>
                <w:lang w:val="en-GB"/>
              </w:rPr>
              <w:t>Material Handling</w:t>
            </w:r>
          </w:p>
        </w:tc>
        <w:tc>
          <w:tcPr>
            <w:tcW w:w="679" w:type="dxa"/>
            <w:shd w:val="clear" w:color="auto" w:fill="FFFFFF"/>
          </w:tcPr>
          <w:p w14:paraId="03276DB0" w14:textId="73CC2B17" w:rsidR="00A30C40" w:rsidRPr="002953B9" w:rsidRDefault="005F2C2C" w:rsidP="005E4924">
            <w:pPr>
              <w:pStyle w:val="CETBodytext"/>
              <w:ind w:right="-1"/>
              <w:rPr>
                <w:rFonts w:cs="Arial"/>
                <w:szCs w:val="18"/>
                <w:lang w:val="en-GB"/>
              </w:rPr>
            </w:pPr>
            <w:r w:rsidRPr="002953B9">
              <w:rPr>
                <w:rFonts w:cs="Arial"/>
                <w:szCs w:val="18"/>
                <w:lang w:val="en-GB"/>
              </w:rPr>
              <w:t>2</w:t>
            </w:r>
          </w:p>
        </w:tc>
      </w:tr>
      <w:tr w:rsidR="005F2C2C" w:rsidRPr="002953B9" w14:paraId="2FBF2EF8" w14:textId="77777777" w:rsidTr="005F2C2C">
        <w:trPr>
          <w:trHeight w:val="241"/>
        </w:trPr>
        <w:tc>
          <w:tcPr>
            <w:tcW w:w="4991" w:type="dxa"/>
            <w:shd w:val="clear" w:color="auto" w:fill="FFFFFF"/>
          </w:tcPr>
          <w:p w14:paraId="520C5A4A" w14:textId="3DB5C64A" w:rsidR="005F2C2C" w:rsidRPr="002953B9" w:rsidRDefault="00B963CB" w:rsidP="005E4924">
            <w:pPr>
              <w:pStyle w:val="CETBodytext"/>
              <w:ind w:right="-1"/>
              <w:rPr>
                <w:rFonts w:cs="Arial"/>
                <w:szCs w:val="18"/>
                <w:lang w:val="en-GB"/>
              </w:rPr>
            </w:pPr>
            <w:r w:rsidRPr="002953B9">
              <w:rPr>
                <w:rFonts w:cs="Arial"/>
                <w:szCs w:val="18"/>
                <w:lang w:val="en-GB"/>
              </w:rPr>
              <w:t>Crane/</w:t>
            </w:r>
            <w:r w:rsidR="005F2C2C" w:rsidRPr="002953B9">
              <w:rPr>
                <w:rFonts w:cs="Arial"/>
                <w:szCs w:val="18"/>
                <w:lang w:val="en-GB"/>
              </w:rPr>
              <w:t>Rigging</w:t>
            </w:r>
          </w:p>
        </w:tc>
        <w:tc>
          <w:tcPr>
            <w:tcW w:w="679" w:type="dxa"/>
            <w:shd w:val="clear" w:color="auto" w:fill="FFFFFF"/>
          </w:tcPr>
          <w:p w14:paraId="3EF09CE1" w14:textId="7A9E1633" w:rsidR="005F2C2C" w:rsidRPr="002953B9" w:rsidRDefault="005F2C2C" w:rsidP="005E4924">
            <w:pPr>
              <w:pStyle w:val="CETBodytext"/>
              <w:ind w:right="-1"/>
              <w:rPr>
                <w:rFonts w:cs="Arial"/>
                <w:szCs w:val="18"/>
                <w:lang w:val="en-GB"/>
              </w:rPr>
            </w:pPr>
            <w:r w:rsidRPr="002953B9">
              <w:rPr>
                <w:rFonts w:cs="Arial"/>
                <w:szCs w:val="18"/>
                <w:lang w:val="en-GB"/>
              </w:rPr>
              <w:t>2</w:t>
            </w:r>
          </w:p>
        </w:tc>
      </w:tr>
    </w:tbl>
    <w:p w14:paraId="20F53771" w14:textId="77777777" w:rsidR="0049038A" w:rsidRPr="002953B9" w:rsidRDefault="0049038A" w:rsidP="00DB0451">
      <w:pPr>
        <w:pStyle w:val="CETHeading1"/>
        <w:numPr>
          <w:ilvl w:val="0"/>
          <w:numId w:val="0"/>
        </w:numPr>
        <w:spacing w:before="0"/>
        <w:jc w:val="both"/>
        <w:rPr>
          <w:b w:val="0"/>
          <w:sz w:val="18"/>
          <w:lang w:val="en-GB"/>
        </w:rPr>
      </w:pPr>
    </w:p>
    <w:p w14:paraId="5E37B54B" w14:textId="39B348AF" w:rsidR="00DB0451" w:rsidRPr="002953B9" w:rsidRDefault="00DB0451" w:rsidP="00DB0451">
      <w:pPr>
        <w:pStyle w:val="CETHeading1"/>
        <w:numPr>
          <w:ilvl w:val="0"/>
          <w:numId w:val="0"/>
        </w:numPr>
        <w:spacing w:before="0"/>
        <w:jc w:val="both"/>
        <w:rPr>
          <w:b w:val="0"/>
          <w:sz w:val="18"/>
          <w:lang w:val="en-GB"/>
        </w:rPr>
      </w:pPr>
      <w:r w:rsidRPr="002953B9">
        <w:rPr>
          <w:b w:val="0"/>
          <w:sz w:val="18"/>
          <w:lang w:val="en-GB"/>
        </w:rPr>
        <w:t>The consequence categories and resulting statistics are summari</w:t>
      </w:r>
      <w:r w:rsidR="00026CA7" w:rsidRPr="002953B9">
        <w:rPr>
          <w:b w:val="0"/>
          <w:sz w:val="18"/>
          <w:lang w:val="en-GB"/>
        </w:rPr>
        <w:t>s</w:t>
      </w:r>
      <w:r w:rsidRPr="002953B9">
        <w:rPr>
          <w:b w:val="0"/>
          <w:sz w:val="18"/>
          <w:lang w:val="en-GB"/>
        </w:rPr>
        <w:t>ed in Table 2. Obtained figures from the first stage of this study may help the organization to develop a better strategy to improve occupational safety practices and performances in construction settings, improving as well the efficacy of safety training sessions aimed at providing practical experience on the job.</w:t>
      </w:r>
    </w:p>
    <w:p w14:paraId="265B803A" w14:textId="36E3F928" w:rsidR="00725EE5" w:rsidRPr="000245F3" w:rsidRDefault="00725EE5" w:rsidP="00725EE5">
      <w:pPr>
        <w:pStyle w:val="CETTabletitle"/>
      </w:pPr>
      <w:r w:rsidRPr="002953B9">
        <w:t xml:space="preserve">Table 2: </w:t>
      </w:r>
      <w:r w:rsidR="001453A1" w:rsidRPr="002953B9">
        <w:t>Proposed categories of the possible ultimate consequences</w:t>
      </w:r>
      <w:r w:rsidR="001453A1" w:rsidRPr="000245F3">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91"/>
        <w:gridCol w:w="679"/>
      </w:tblGrid>
      <w:tr w:rsidR="00725EE5" w:rsidRPr="000245F3" w14:paraId="3EF1811B" w14:textId="77777777" w:rsidTr="002C4C01">
        <w:trPr>
          <w:trHeight w:val="294"/>
        </w:trPr>
        <w:tc>
          <w:tcPr>
            <w:tcW w:w="4991" w:type="dxa"/>
            <w:tcBorders>
              <w:top w:val="single" w:sz="12" w:space="0" w:color="008000"/>
              <w:bottom w:val="single" w:sz="6" w:space="0" w:color="008000"/>
            </w:tcBorders>
            <w:shd w:val="clear" w:color="auto" w:fill="FFFFFF"/>
          </w:tcPr>
          <w:p w14:paraId="1F52FFBF" w14:textId="102B94F7" w:rsidR="00725EE5" w:rsidRPr="000245F3" w:rsidRDefault="00725EE5" w:rsidP="005E4924">
            <w:pPr>
              <w:pStyle w:val="CETBodytext"/>
              <w:rPr>
                <w:lang w:val="en-GB"/>
              </w:rPr>
            </w:pPr>
            <w:r w:rsidRPr="000245F3">
              <w:rPr>
                <w:lang w:val="en-GB"/>
              </w:rPr>
              <w:t>Reported possible ultimate consequences</w:t>
            </w:r>
          </w:p>
        </w:tc>
        <w:tc>
          <w:tcPr>
            <w:tcW w:w="679" w:type="dxa"/>
            <w:tcBorders>
              <w:top w:val="single" w:sz="12" w:space="0" w:color="008000"/>
              <w:bottom w:val="single" w:sz="6" w:space="0" w:color="008000"/>
            </w:tcBorders>
            <w:shd w:val="clear" w:color="auto" w:fill="FFFFFF"/>
          </w:tcPr>
          <w:p w14:paraId="4E2A1196" w14:textId="77777777" w:rsidR="00725EE5" w:rsidRPr="000245F3" w:rsidRDefault="00725EE5" w:rsidP="005E4924">
            <w:pPr>
              <w:pStyle w:val="CETBodytext"/>
              <w:rPr>
                <w:lang w:val="en-GB"/>
              </w:rPr>
            </w:pPr>
            <w:r w:rsidRPr="000245F3">
              <w:rPr>
                <w:lang w:val="en-GB"/>
              </w:rPr>
              <w:t>%</w:t>
            </w:r>
          </w:p>
        </w:tc>
      </w:tr>
      <w:tr w:rsidR="00725EE5" w:rsidRPr="000245F3" w14:paraId="491939A7" w14:textId="77777777" w:rsidTr="005E4924">
        <w:trPr>
          <w:trHeight w:val="231"/>
        </w:trPr>
        <w:tc>
          <w:tcPr>
            <w:tcW w:w="4991" w:type="dxa"/>
            <w:shd w:val="clear" w:color="auto" w:fill="FFFFFF"/>
          </w:tcPr>
          <w:p w14:paraId="51F2CBF0" w14:textId="489C023E" w:rsidR="00725EE5" w:rsidRPr="000245F3" w:rsidRDefault="001453A1" w:rsidP="005E4924">
            <w:pPr>
              <w:pStyle w:val="CETBodytext"/>
              <w:rPr>
                <w:lang w:val="en-GB"/>
              </w:rPr>
            </w:pPr>
            <w:r w:rsidRPr="000245F3">
              <w:rPr>
                <w:lang w:val="en-GB"/>
              </w:rPr>
              <w:t>Injury or illness</w:t>
            </w:r>
          </w:p>
        </w:tc>
        <w:tc>
          <w:tcPr>
            <w:tcW w:w="679" w:type="dxa"/>
            <w:shd w:val="clear" w:color="auto" w:fill="FFFFFF"/>
          </w:tcPr>
          <w:p w14:paraId="6A869BF0" w14:textId="33A16335" w:rsidR="00725EE5" w:rsidRPr="000245F3" w:rsidRDefault="001453A1" w:rsidP="005E4924">
            <w:pPr>
              <w:pStyle w:val="CETBodytext"/>
              <w:rPr>
                <w:lang w:val="en-GB"/>
              </w:rPr>
            </w:pPr>
            <w:r w:rsidRPr="000245F3">
              <w:rPr>
                <w:lang w:val="en-GB"/>
              </w:rPr>
              <w:t>5</w:t>
            </w:r>
            <w:r w:rsidR="00725EE5" w:rsidRPr="000245F3">
              <w:rPr>
                <w:lang w:val="en-GB"/>
              </w:rPr>
              <w:t>7</w:t>
            </w:r>
          </w:p>
        </w:tc>
      </w:tr>
      <w:tr w:rsidR="00725EE5" w:rsidRPr="000245F3" w14:paraId="06687916" w14:textId="77777777" w:rsidTr="005E4924">
        <w:trPr>
          <w:trHeight w:val="231"/>
        </w:trPr>
        <w:tc>
          <w:tcPr>
            <w:tcW w:w="4991" w:type="dxa"/>
            <w:shd w:val="clear" w:color="auto" w:fill="FFFFFF"/>
          </w:tcPr>
          <w:p w14:paraId="67C591FC" w14:textId="46C01EFB" w:rsidR="00725EE5" w:rsidRPr="000245F3" w:rsidRDefault="001453A1" w:rsidP="005E4924">
            <w:pPr>
              <w:pStyle w:val="CETBodytext"/>
              <w:rPr>
                <w:lang w:val="en-GB"/>
              </w:rPr>
            </w:pPr>
            <w:r w:rsidRPr="000245F3">
              <w:rPr>
                <w:lang w:val="en-GB"/>
              </w:rPr>
              <w:t>None</w:t>
            </w:r>
          </w:p>
        </w:tc>
        <w:tc>
          <w:tcPr>
            <w:tcW w:w="679" w:type="dxa"/>
            <w:shd w:val="clear" w:color="auto" w:fill="FFFFFF"/>
          </w:tcPr>
          <w:p w14:paraId="217E53FB" w14:textId="14D8AC88" w:rsidR="00725EE5" w:rsidRPr="000245F3" w:rsidRDefault="00725EE5" w:rsidP="001453A1">
            <w:pPr>
              <w:pStyle w:val="CETBodytext"/>
              <w:rPr>
                <w:lang w:val="en-GB"/>
              </w:rPr>
            </w:pPr>
            <w:r w:rsidRPr="000245F3">
              <w:rPr>
                <w:lang w:val="en-GB"/>
              </w:rPr>
              <w:t>1</w:t>
            </w:r>
            <w:r w:rsidR="001453A1" w:rsidRPr="000245F3">
              <w:rPr>
                <w:lang w:val="en-GB"/>
              </w:rPr>
              <w:t>9</w:t>
            </w:r>
          </w:p>
        </w:tc>
      </w:tr>
      <w:tr w:rsidR="00725EE5" w:rsidRPr="000245F3" w14:paraId="5EA88DC0" w14:textId="77777777" w:rsidTr="005E4924">
        <w:trPr>
          <w:trHeight w:val="241"/>
        </w:trPr>
        <w:tc>
          <w:tcPr>
            <w:tcW w:w="4991" w:type="dxa"/>
            <w:shd w:val="clear" w:color="auto" w:fill="FFFFFF"/>
          </w:tcPr>
          <w:p w14:paraId="70F9FD9B" w14:textId="2C554B5F" w:rsidR="00725EE5" w:rsidRPr="000245F3" w:rsidRDefault="008466BE" w:rsidP="005E4924">
            <w:pPr>
              <w:pStyle w:val="CETBodytext"/>
              <w:ind w:right="-1"/>
              <w:rPr>
                <w:rFonts w:cs="Arial"/>
                <w:szCs w:val="18"/>
                <w:lang w:val="en-GB"/>
              </w:rPr>
            </w:pPr>
            <w:r w:rsidRPr="000245F3">
              <w:rPr>
                <w:rFonts w:cs="Arial"/>
                <w:szCs w:val="18"/>
                <w:lang w:val="en-GB"/>
              </w:rPr>
              <w:t>Environmental Damage/</w:t>
            </w:r>
            <w:r w:rsidR="001453A1" w:rsidRPr="000245F3">
              <w:rPr>
                <w:rFonts w:cs="Arial"/>
                <w:szCs w:val="18"/>
                <w:lang w:val="en-GB"/>
              </w:rPr>
              <w:t>Spill</w:t>
            </w:r>
          </w:p>
        </w:tc>
        <w:tc>
          <w:tcPr>
            <w:tcW w:w="679" w:type="dxa"/>
            <w:shd w:val="clear" w:color="auto" w:fill="FFFFFF"/>
          </w:tcPr>
          <w:p w14:paraId="4183217D" w14:textId="03720BD6" w:rsidR="00725EE5" w:rsidRPr="000245F3" w:rsidRDefault="001453A1" w:rsidP="005E4924">
            <w:pPr>
              <w:pStyle w:val="CETBodytext"/>
              <w:ind w:right="-1"/>
              <w:rPr>
                <w:rFonts w:cs="Arial"/>
                <w:szCs w:val="18"/>
                <w:lang w:val="en-GB"/>
              </w:rPr>
            </w:pPr>
            <w:r w:rsidRPr="000245F3">
              <w:rPr>
                <w:rFonts w:cs="Arial"/>
                <w:szCs w:val="18"/>
                <w:lang w:val="en-GB"/>
              </w:rPr>
              <w:t>6</w:t>
            </w:r>
          </w:p>
        </w:tc>
      </w:tr>
      <w:tr w:rsidR="00725EE5" w:rsidRPr="000245F3" w14:paraId="26974AB0" w14:textId="77777777" w:rsidTr="005E4924">
        <w:trPr>
          <w:trHeight w:val="231"/>
        </w:trPr>
        <w:tc>
          <w:tcPr>
            <w:tcW w:w="4991" w:type="dxa"/>
            <w:shd w:val="clear" w:color="auto" w:fill="FFFFFF"/>
          </w:tcPr>
          <w:p w14:paraId="0352FAAF" w14:textId="09FF02AE" w:rsidR="00725EE5" w:rsidRPr="000245F3" w:rsidRDefault="001453A1" w:rsidP="005E4924">
            <w:pPr>
              <w:pStyle w:val="CETBodytext"/>
              <w:ind w:right="-1"/>
              <w:rPr>
                <w:rFonts w:cs="Arial"/>
                <w:szCs w:val="18"/>
                <w:lang w:val="en-GB"/>
              </w:rPr>
            </w:pPr>
            <w:r w:rsidRPr="000245F3">
              <w:rPr>
                <w:rFonts w:cs="Arial"/>
                <w:szCs w:val="18"/>
                <w:lang w:val="en-GB"/>
              </w:rPr>
              <w:t>Equipment /Property Damage or Loss</w:t>
            </w:r>
          </w:p>
        </w:tc>
        <w:tc>
          <w:tcPr>
            <w:tcW w:w="679" w:type="dxa"/>
            <w:shd w:val="clear" w:color="auto" w:fill="FFFFFF"/>
          </w:tcPr>
          <w:p w14:paraId="2167CFB0" w14:textId="248D1243" w:rsidR="00725EE5" w:rsidRPr="000245F3" w:rsidRDefault="001453A1" w:rsidP="005E4924">
            <w:pPr>
              <w:pStyle w:val="CETBodytext"/>
              <w:ind w:right="-1"/>
              <w:rPr>
                <w:rFonts w:cs="Arial"/>
                <w:szCs w:val="18"/>
                <w:lang w:val="en-GB"/>
              </w:rPr>
            </w:pPr>
            <w:r w:rsidRPr="000245F3">
              <w:rPr>
                <w:rFonts w:cs="Arial"/>
                <w:szCs w:val="18"/>
                <w:lang w:val="en-GB"/>
              </w:rPr>
              <w:t>6</w:t>
            </w:r>
          </w:p>
        </w:tc>
      </w:tr>
      <w:tr w:rsidR="00725EE5" w:rsidRPr="000245F3" w14:paraId="41F143A9" w14:textId="77777777" w:rsidTr="005E4924">
        <w:trPr>
          <w:trHeight w:val="241"/>
        </w:trPr>
        <w:tc>
          <w:tcPr>
            <w:tcW w:w="4991" w:type="dxa"/>
            <w:shd w:val="clear" w:color="auto" w:fill="FFFFFF"/>
          </w:tcPr>
          <w:p w14:paraId="151911D0" w14:textId="38804803" w:rsidR="00725EE5" w:rsidRPr="000245F3" w:rsidRDefault="001453A1" w:rsidP="005E4924">
            <w:pPr>
              <w:pStyle w:val="CETBodytext"/>
              <w:ind w:right="-1"/>
              <w:rPr>
                <w:rFonts w:cs="Arial"/>
                <w:szCs w:val="18"/>
                <w:lang w:val="en-GB"/>
              </w:rPr>
            </w:pPr>
            <w:r w:rsidRPr="000245F3">
              <w:rPr>
                <w:rFonts w:cs="Arial"/>
                <w:szCs w:val="18"/>
                <w:lang w:val="en-GB"/>
              </w:rPr>
              <w:t>Motor Vehicle Accident</w:t>
            </w:r>
          </w:p>
        </w:tc>
        <w:tc>
          <w:tcPr>
            <w:tcW w:w="679" w:type="dxa"/>
            <w:shd w:val="clear" w:color="auto" w:fill="FFFFFF"/>
          </w:tcPr>
          <w:p w14:paraId="7DCD2429" w14:textId="29B7CE58" w:rsidR="00725EE5" w:rsidRPr="000245F3" w:rsidRDefault="001453A1" w:rsidP="005E4924">
            <w:pPr>
              <w:pStyle w:val="CETBodytext"/>
              <w:ind w:right="-1"/>
              <w:rPr>
                <w:rFonts w:cs="Arial"/>
                <w:szCs w:val="18"/>
                <w:lang w:val="en-GB"/>
              </w:rPr>
            </w:pPr>
            <w:r w:rsidRPr="000245F3">
              <w:rPr>
                <w:rFonts w:cs="Arial"/>
                <w:szCs w:val="18"/>
                <w:lang w:val="en-GB"/>
              </w:rPr>
              <w:t>6</w:t>
            </w:r>
          </w:p>
        </w:tc>
      </w:tr>
      <w:tr w:rsidR="00725EE5" w:rsidRPr="000245F3" w14:paraId="21220DAE" w14:textId="77777777" w:rsidTr="005E4924">
        <w:trPr>
          <w:trHeight w:val="241"/>
        </w:trPr>
        <w:tc>
          <w:tcPr>
            <w:tcW w:w="4991" w:type="dxa"/>
            <w:shd w:val="clear" w:color="auto" w:fill="FFFFFF"/>
          </w:tcPr>
          <w:p w14:paraId="5FBD9384" w14:textId="64428A01" w:rsidR="00725EE5" w:rsidRPr="000245F3" w:rsidRDefault="001453A1" w:rsidP="005E4924">
            <w:pPr>
              <w:pStyle w:val="CETBodytext"/>
              <w:ind w:right="-1"/>
              <w:rPr>
                <w:rFonts w:cs="Arial"/>
                <w:szCs w:val="18"/>
                <w:lang w:val="en-GB"/>
              </w:rPr>
            </w:pPr>
            <w:r w:rsidRPr="000245F3">
              <w:rPr>
                <w:rFonts w:cs="Arial"/>
                <w:szCs w:val="18"/>
                <w:lang w:val="en-GB"/>
              </w:rPr>
              <w:t>Fire</w:t>
            </w:r>
          </w:p>
        </w:tc>
        <w:tc>
          <w:tcPr>
            <w:tcW w:w="679" w:type="dxa"/>
            <w:shd w:val="clear" w:color="auto" w:fill="FFFFFF"/>
          </w:tcPr>
          <w:p w14:paraId="06D12917" w14:textId="02157B28" w:rsidR="00725EE5" w:rsidRPr="000245F3" w:rsidRDefault="001453A1" w:rsidP="005E4924">
            <w:pPr>
              <w:pStyle w:val="CETBodytext"/>
              <w:ind w:right="-1"/>
              <w:rPr>
                <w:rFonts w:cs="Arial"/>
                <w:szCs w:val="18"/>
                <w:lang w:val="en-GB"/>
              </w:rPr>
            </w:pPr>
            <w:r w:rsidRPr="000245F3">
              <w:rPr>
                <w:rFonts w:cs="Arial"/>
                <w:szCs w:val="18"/>
                <w:lang w:val="en-GB"/>
              </w:rPr>
              <w:t>4</w:t>
            </w:r>
          </w:p>
        </w:tc>
      </w:tr>
      <w:tr w:rsidR="00725EE5" w:rsidRPr="000245F3" w14:paraId="7B30C176" w14:textId="77777777" w:rsidTr="005E4924">
        <w:trPr>
          <w:trHeight w:val="241"/>
        </w:trPr>
        <w:tc>
          <w:tcPr>
            <w:tcW w:w="4991" w:type="dxa"/>
            <w:shd w:val="clear" w:color="auto" w:fill="FFFFFF"/>
          </w:tcPr>
          <w:p w14:paraId="32739A23" w14:textId="2074F1CB" w:rsidR="00725EE5" w:rsidRPr="000245F3" w:rsidRDefault="001453A1" w:rsidP="005E4924">
            <w:pPr>
              <w:pStyle w:val="CETBodytext"/>
              <w:ind w:right="-1"/>
              <w:rPr>
                <w:rFonts w:cs="Arial"/>
                <w:szCs w:val="18"/>
                <w:lang w:val="en-GB"/>
              </w:rPr>
            </w:pPr>
            <w:r w:rsidRPr="000245F3">
              <w:rPr>
                <w:rFonts w:cs="Arial"/>
                <w:szCs w:val="18"/>
                <w:lang w:val="en-GB"/>
              </w:rPr>
              <w:t>Blank</w:t>
            </w:r>
          </w:p>
        </w:tc>
        <w:tc>
          <w:tcPr>
            <w:tcW w:w="679" w:type="dxa"/>
            <w:shd w:val="clear" w:color="auto" w:fill="FFFFFF"/>
          </w:tcPr>
          <w:p w14:paraId="17ED06F6" w14:textId="25927E06" w:rsidR="00725EE5" w:rsidRPr="000245F3" w:rsidRDefault="001453A1" w:rsidP="005E4924">
            <w:pPr>
              <w:pStyle w:val="CETBodytext"/>
              <w:ind w:right="-1"/>
              <w:rPr>
                <w:rFonts w:cs="Arial"/>
                <w:szCs w:val="18"/>
                <w:lang w:val="en-GB"/>
              </w:rPr>
            </w:pPr>
            <w:r w:rsidRPr="000245F3">
              <w:rPr>
                <w:rFonts w:cs="Arial"/>
                <w:szCs w:val="18"/>
                <w:lang w:val="en-GB"/>
              </w:rPr>
              <w:t>3</w:t>
            </w:r>
          </w:p>
        </w:tc>
      </w:tr>
    </w:tbl>
    <w:p w14:paraId="68D26B83" w14:textId="5FC4B8F0" w:rsidR="00600535" w:rsidRPr="000245F3" w:rsidRDefault="00600535" w:rsidP="002C4C01">
      <w:pPr>
        <w:pStyle w:val="CETHeading1"/>
        <w:spacing w:before="0"/>
        <w:rPr>
          <w:lang w:val="en-GB"/>
        </w:rPr>
      </w:pPr>
      <w:r w:rsidRPr="000245F3">
        <w:rPr>
          <w:lang w:val="en-GB"/>
        </w:rPr>
        <w:lastRenderedPageBreak/>
        <w:t>Conclusions</w:t>
      </w:r>
    </w:p>
    <w:p w14:paraId="5D1343AF" w14:textId="7ECE1397" w:rsidR="006B01EC" w:rsidRPr="000245F3" w:rsidRDefault="005721F7" w:rsidP="001453A1">
      <w:pPr>
        <w:pStyle w:val="CETBodytext"/>
        <w:rPr>
          <w:lang w:val="en-GB"/>
        </w:rPr>
      </w:pPr>
      <w:r w:rsidRPr="000245F3">
        <w:rPr>
          <w:lang w:val="en-GB"/>
        </w:rPr>
        <w:t xml:space="preserve">For a sustainable improvement in preventing reoccurrence of </w:t>
      </w:r>
      <w:r w:rsidR="008466BE" w:rsidRPr="000245F3">
        <w:rPr>
          <w:lang w:val="en-GB"/>
        </w:rPr>
        <w:t>occupational ac</w:t>
      </w:r>
      <w:r w:rsidRPr="000245F3">
        <w:rPr>
          <w:lang w:val="en-GB"/>
        </w:rPr>
        <w:t>cidents</w:t>
      </w:r>
      <w:r w:rsidR="00E96F21">
        <w:rPr>
          <w:lang w:val="en-GB"/>
        </w:rPr>
        <w:t>,</w:t>
      </w:r>
      <w:r w:rsidRPr="000245F3">
        <w:rPr>
          <w:lang w:val="en-GB"/>
        </w:rPr>
        <w:t xml:space="preserve"> it is important that the corrective actions are </w:t>
      </w:r>
      <w:r w:rsidR="00E96F21">
        <w:rPr>
          <w:lang w:val="en-GB"/>
        </w:rPr>
        <w:t>fully</w:t>
      </w:r>
      <w:r w:rsidR="008466BE" w:rsidRPr="000245F3">
        <w:rPr>
          <w:lang w:val="en-GB"/>
        </w:rPr>
        <w:t xml:space="preserve"> and systematically deduced, starting from </w:t>
      </w:r>
      <w:r w:rsidR="007B6A7B">
        <w:rPr>
          <w:lang w:val="en-GB"/>
        </w:rPr>
        <w:t xml:space="preserve">the analysis of the root causes, </w:t>
      </w:r>
      <w:r w:rsidR="00CF04B9" w:rsidRPr="000245F3">
        <w:rPr>
          <w:lang w:val="en-GB"/>
        </w:rPr>
        <w:t xml:space="preserve">so that </w:t>
      </w:r>
      <w:r w:rsidRPr="000245F3">
        <w:rPr>
          <w:lang w:val="en-GB"/>
        </w:rPr>
        <w:t xml:space="preserve">the derived comprehensive actions can </w:t>
      </w:r>
      <w:r w:rsidR="00CF04B9" w:rsidRPr="000245F3">
        <w:rPr>
          <w:lang w:val="en-GB"/>
        </w:rPr>
        <w:t xml:space="preserve">be </w:t>
      </w:r>
      <w:r w:rsidRPr="000245F3">
        <w:rPr>
          <w:lang w:val="en-GB"/>
        </w:rPr>
        <w:t>learn</w:t>
      </w:r>
      <w:r w:rsidR="00CF04B9" w:rsidRPr="000245F3">
        <w:rPr>
          <w:lang w:val="en-GB"/>
        </w:rPr>
        <w:t>t</w:t>
      </w:r>
      <w:r w:rsidRPr="000245F3">
        <w:rPr>
          <w:lang w:val="en-GB"/>
        </w:rPr>
        <w:t xml:space="preserve"> effectively</w:t>
      </w:r>
      <w:r w:rsidR="00CF04B9" w:rsidRPr="000245F3">
        <w:rPr>
          <w:lang w:val="en-GB"/>
        </w:rPr>
        <w:t xml:space="preserve"> by the organization</w:t>
      </w:r>
      <w:r w:rsidRPr="000245F3">
        <w:rPr>
          <w:lang w:val="en-GB"/>
        </w:rPr>
        <w:t>.</w:t>
      </w:r>
      <w:r w:rsidR="00CF04B9" w:rsidRPr="000245F3">
        <w:rPr>
          <w:lang w:val="en-GB"/>
        </w:rPr>
        <w:t xml:space="preserve"> </w:t>
      </w:r>
      <w:r w:rsidR="001453A1" w:rsidRPr="000245F3">
        <w:rPr>
          <w:lang w:val="en-GB"/>
        </w:rPr>
        <w:t>The</w:t>
      </w:r>
      <w:r w:rsidR="00CF04B9" w:rsidRPr="000245F3">
        <w:rPr>
          <w:lang w:val="en-GB"/>
        </w:rPr>
        <w:t xml:space="preserve"> first phase of this</w:t>
      </w:r>
      <w:r w:rsidR="001453A1" w:rsidRPr="000245F3">
        <w:rPr>
          <w:lang w:val="en-GB"/>
        </w:rPr>
        <w:t xml:space="preserve"> study</w:t>
      </w:r>
      <w:r w:rsidR="00CF04B9" w:rsidRPr="000245F3">
        <w:rPr>
          <w:lang w:val="en-GB"/>
        </w:rPr>
        <w:t xml:space="preserve">, </w:t>
      </w:r>
      <w:r w:rsidR="00581419">
        <w:rPr>
          <w:lang w:val="en-GB"/>
        </w:rPr>
        <w:t>concerned</w:t>
      </w:r>
      <w:r w:rsidR="00CF04B9" w:rsidRPr="000245F3">
        <w:rPr>
          <w:lang w:val="en-GB"/>
        </w:rPr>
        <w:t xml:space="preserve"> mainly civil construction</w:t>
      </w:r>
      <w:r w:rsidR="00581419">
        <w:rPr>
          <w:lang w:val="en-GB"/>
        </w:rPr>
        <w:t xml:space="preserve"> dominated</w:t>
      </w:r>
      <w:r w:rsidR="00CF04B9" w:rsidRPr="000245F3">
        <w:rPr>
          <w:lang w:val="en-GB"/>
        </w:rPr>
        <w:t xml:space="preserve"> activities</w:t>
      </w:r>
      <w:r w:rsidR="001453A1" w:rsidRPr="000245F3">
        <w:rPr>
          <w:lang w:val="en-GB"/>
        </w:rPr>
        <w:t xml:space="preserve"> </w:t>
      </w:r>
      <w:r w:rsidR="00CF04B9" w:rsidRPr="000245F3">
        <w:rPr>
          <w:lang w:val="en-GB"/>
        </w:rPr>
        <w:t xml:space="preserve">of the refinery complex, </w:t>
      </w:r>
      <w:r w:rsidR="000C2C47" w:rsidRPr="000245F3">
        <w:rPr>
          <w:lang w:val="en-GB"/>
        </w:rPr>
        <w:t>contributed to</w:t>
      </w:r>
      <w:r w:rsidR="001453A1" w:rsidRPr="000245F3">
        <w:rPr>
          <w:lang w:val="en-GB"/>
        </w:rPr>
        <w:t xml:space="preserve"> find out which were the causes of the findings</w:t>
      </w:r>
      <w:r w:rsidR="000C2C47" w:rsidRPr="000245F3">
        <w:rPr>
          <w:lang w:val="en-GB"/>
        </w:rPr>
        <w:t>,</w:t>
      </w:r>
      <w:r w:rsidR="001453A1" w:rsidRPr="000245F3">
        <w:rPr>
          <w:lang w:val="en-GB"/>
        </w:rPr>
        <w:t xml:space="preserve"> helping to focus on the one</w:t>
      </w:r>
      <w:r w:rsidR="007B6A7B">
        <w:rPr>
          <w:lang w:val="en-GB"/>
        </w:rPr>
        <w:t>s</w:t>
      </w:r>
      <w:r w:rsidR="001453A1" w:rsidRPr="000245F3">
        <w:rPr>
          <w:lang w:val="en-GB"/>
        </w:rPr>
        <w:t xml:space="preserve"> which were reported mo</w:t>
      </w:r>
      <w:r w:rsidR="007B6A7B">
        <w:rPr>
          <w:lang w:val="en-GB"/>
        </w:rPr>
        <w:t xml:space="preserve">st </w:t>
      </w:r>
      <w:r w:rsidR="001453A1" w:rsidRPr="000245F3">
        <w:rPr>
          <w:lang w:val="en-GB"/>
        </w:rPr>
        <w:t>frequently (</w:t>
      </w:r>
      <w:r w:rsidR="00440E0D" w:rsidRPr="000245F3">
        <w:rPr>
          <w:lang w:val="en-GB"/>
        </w:rPr>
        <w:t>PPE selection and use</w:t>
      </w:r>
      <w:r w:rsidR="009037FE">
        <w:rPr>
          <w:lang w:val="en-GB"/>
        </w:rPr>
        <w:t xml:space="preserve"> (17%)</w:t>
      </w:r>
      <w:r w:rsidR="001453A1" w:rsidRPr="000245F3">
        <w:rPr>
          <w:lang w:val="en-GB"/>
        </w:rPr>
        <w:t>, housekeeping</w:t>
      </w:r>
      <w:r w:rsidR="009037FE">
        <w:rPr>
          <w:lang w:val="en-GB"/>
        </w:rPr>
        <w:t xml:space="preserve"> (15%)</w:t>
      </w:r>
      <w:r w:rsidR="001453A1" w:rsidRPr="000245F3">
        <w:rPr>
          <w:lang w:val="en-GB"/>
        </w:rPr>
        <w:t xml:space="preserve"> and procedure non-compliance</w:t>
      </w:r>
      <w:r w:rsidR="009037FE">
        <w:rPr>
          <w:lang w:val="en-GB"/>
        </w:rPr>
        <w:t xml:space="preserve"> (14%)</w:t>
      </w:r>
      <w:r w:rsidR="001453A1" w:rsidRPr="000245F3">
        <w:rPr>
          <w:lang w:val="en-GB"/>
        </w:rPr>
        <w:t>, excavation/ barrica</w:t>
      </w:r>
      <w:r w:rsidR="00440E0D" w:rsidRPr="000245F3">
        <w:rPr>
          <w:lang w:val="en-GB"/>
        </w:rPr>
        <w:t>des</w:t>
      </w:r>
      <w:r w:rsidR="009037FE">
        <w:rPr>
          <w:lang w:val="en-GB"/>
        </w:rPr>
        <w:t xml:space="preserve"> (7%)</w:t>
      </w:r>
      <w:r w:rsidR="00440E0D" w:rsidRPr="000245F3">
        <w:rPr>
          <w:lang w:val="en-GB"/>
        </w:rPr>
        <w:t xml:space="preserve"> and slip/</w:t>
      </w:r>
      <w:r w:rsidR="001453A1" w:rsidRPr="000245F3">
        <w:rPr>
          <w:lang w:val="en-GB"/>
        </w:rPr>
        <w:t>tripping</w:t>
      </w:r>
      <w:r w:rsidR="00440E0D" w:rsidRPr="000245F3">
        <w:rPr>
          <w:lang w:val="en-GB"/>
        </w:rPr>
        <w:t>/</w:t>
      </w:r>
      <w:r w:rsidR="001453A1" w:rsidRPr="000245F3">
        <w:rPr>
          <w:lang w:val="en-GB"/>
        </w:rPr>
        <w:t>falls</w:t>
      </w:r>
      <w:r w:rsidR="009037FE">
        <w:rPr>
          <w:lang w:val="en-GB"/>
        </w:rPr>
        <w:t xml:space="preserve"> (7%)</w:t>
      </w:r>
      <w:r w:rsidR="001453A1" w:rsidRPr="000245F3">
        <w:rPr>
          <w:lang w:val="en-GB"/>
        </w:rPr>
        <w:t>).</w:t>
      </w:r>
      <w:r w:rsidR="00CF04B9" w:rsidRPr="000245F3">
        <w:rPr>
          <w:lang w:val="en-GB"/>
        </w:rPr>
        <w:t xml:space="preserve"> </w:t>
      </w:r>
      <w:r w:rsidR="001453A1" w:rsidRPr="000245F3">
        <w:rPr>
          <w:lang w:val="en-GB"/>
        </w:rPr>
        <w:t>Specific monthly awareness campaigns were initiated to inform personnel with the objectives of eliminate, reduce hazards and limit their consequences if any would occur</w:t>
      </w:r>
      <w:r w:rsidR="00440E0D" w:rsidRPr="000245F3">
        <w:rPr>
          <w:lang w:val="en-GB"/>
        </w:rPr>
        <w:t>, mainly</w:t>
      </w:r>
      <w:r w:rsidR="001453A1" w:rsidRPr="000245F3">
        <w:rPr>
          <w:lang w:val="en-GB"/>
        </w:rPr>
        <w:t xml:space="preserve"> </w:t>
      </w:r>
      <w:r w:rsidR="00EE260A">
        <w:rPr>
          <w:lang w:val="en-GB"/>
        </w:rPr>
        <w:t xml:space="preserve">on </w:t>
      </w:r>
      <w:r w:rsidR="001453A1" w:rsidRPr="000245F3">
        <w:rPr>
          <w:lang w:val="en-GB"/>
        </w:rPr>
        <w:t xml:space="preserve">the </w:t>
      </w:r>
      <w:r w:rsidR="00440E0D" w:rsidRPr="000245F3">
        <w:rPr>
          <w:lang w:val="en-GB"/>
        </w:rPr>
        <w:t>perceived most relevant items</w:t>
      </w:r>
      <w:r w:rsidR="001453A1" w:rsidRPr="000245F3">
        <w:rPr>
          <w:lang w:val="en-GB"/>
        </w:rPr>
        <w:t>.</w:t>
      </w:r>
      <w:r w:rsidR="00CF04B9" w:rsidRPr="000245F3">
        <w:rPr>
          <w:lang w:val="en-GB"/>
        </w:rPr>
        <w:t xml:space="preserve"> </w:t>
      </w:r>
      <w:r w:rsidR="001453A1" w:rsidRPr="000245F3">
        <w:rPr>
          <w:lang w:val="en-GB"/>
        </w:rPr>
        <w:t>Further</w:t>
      </w:r>
      <w:r w:rsidR="00440E0D" w:rsidRPr="000245F3">
        <w:rPr>
          <w:lang w:val="en-GB"/>
        </w:rPr>
        <w:t>more,</w:t>
      </w:r>
      <w:r w:rsidR="001453A1" w:rsidRPr="000245F3">
        <w:rPr>
          <w:lang w:val="en-GB"/>
        </w:rPr>
        <w:t xml:space="preserve"> du</w:t>
      </w:r>
      <w:r w:rsidR="00CF04B9" w:rsidRPr="000245F3">
        <w:rPr>
          <w:lang w:val="en-GB"/>
        </w:rPr>
        <w:t>ring awareness campaigns also c</w:t>
      </w:r>
      <w:r w:rsidR="001453A1" w:rsidRPr="000245F3">
        <w:rPr>
          <w:lang w:val="en-GB"/>
        </w:rPr>
        <w:t xml:space="preserve">ontractors </w:t>
      </w:r>
      <w:r w:rsidR="00CF04B9" w:rsidRPr="000245F3">
        <w:rPr>
          <w:lang w:val="en-GB"/>
        </w:rPr>
        <w:t>can be</w:t>
      </w:r>
      <w:r w:rsidR="001453A1" w:rsidRPr="000245F3">
        <w:rPr>
          <w:lang w:val="en-GB"/>
        </w:rPr>
        <w:t xml:space="preserve"> stimulated to come up with implementations plans, as well as practical solutions to the issues</w:t>
      </w:r>
      <w:r w:rsidR="00470AF9" w:rsidRPr="000245F3">
        <w:rPr>
          <w:lang w:val="en-GB"/>
        </w:rPr>
        <w:t xml:space="preserve">. </w:t>
      </w:r>
      <w:r w:rsidR="003B143C" w:rsidRPr="000245F3">
        <w:rPr>
          <w:lang w:val="en-GB"/>
        </w:rPr>
        <w:t>According to a</w:t>
      </w:r>
      <w:r w:rsidR="006B01EC" w:rsidRPr="000245F3">
        <w:rPr>
          <w:lang w:val="en-GB"/>
        </w:rPr>
        <w:t xml:space="preserve"> new vision</w:t>
      </w:r>
      <w:r w:rsidR="000D2A10" w:rsidRPr="000245F3">
        <w:rPr>
          <w:lang w:val="en-GB"/>
        </w:rPr>
        <w:t>,</w:t>
      </w:r>
      <w:r w:rsidR="00444A8C" w:rsidRPr="000245F3">
        <w:rPr>
          <w:lang w:val="en-GB"/>
        </w:rPr>
        <w:t xml:space="preserve"> </w:t>
      </w:r>
      <w:r w:rsidR="006B01EC" w:rsidRPr="000245F3">
        <w:rPr>
          <w:lang w:val="en-GB"/>
        </w:rPr>
        <w:t xml:space="preserve">the lower part of </w:t>
      </w:r>
      <w:r w:rsidR="00640649" w:rsidRPr="000245F3">
        <w:rPr>
          <w:lang w:val="en-GB"/>
        </w:rPr>
        <w:t>the accident pyramid,</w:t>
      </w:r>
      <w:r w:rsidR="006B01EC" w:rsidRPr="000245F3">
        <w:rPr>
          <w:lang w:val="en-GB"/>
        </w:rPr>
        <w:t xml:space="preserve"> </w:t>
      </w:r>
      <w:r w:rsidR="000D2A10" w:rsidRPr="000245F3">
        <w:rPr>
          <w:lang w:val="en-GB"/>
        </w:rPr>
        <w:t xml:space="preserve">expanded taking into account three ranking acts (unsafe condition; unsafe act; </w:t>
      </w:r>
      <w:r w:rsidR="00771A87" w:rsidRPr="000245F3">
        <w:rPr>
          <w:lang w:val="en-GB"/>
        </w:rPr>
        <w:t>near miss</w:t>
      </w:r>
      <w:r w:rsidR="000D2A10" w:rsidRPr="000245F3">
        <w:rPr>
          <w:lang w:val="en-GB"/>
        </w:rPr>
        <w:t>) may be</w:t>
      </w:r>
      <w:r w:rsidR="006B01EC" w:rsidRPr="000245F3">
        <w:rPr>
          <w:lang w:val="en-GB"/>
        </w:rPr>
        <w:t xml:space="preserve"> co</w:t>
      </w:r>
      <w:r w:rsidR="000D2A10" w:rsidRPr="000245F3">
        <w:rPr>
          <w:lang w:val="en-GB"/>
        </w:rPr>
        <w:t>nsidered to some extent leading</w:t>
      </w:r>
      <w:r w:rsidR="00640649" w:rsidRPr="000245F3">
        <w:rPr>
          <w:lang w:val="en-GB"/>
        </w:rPr>
        <w:t>. Upon further statistical re</w:t>
      </w:r>
      <w:r w:rsidR="00EE260A">
        <w:rPr>
          <w:lang w:val="en-GB"/>
        </w:rPr>
        <w:t>finement and on-site validation accounting for</w:t>
      </w:r>
      <w:r w:rsidR="00640649" w:rsidRPr="000245F3">
        <w:rPr>
          <w:lang w:val="en-GB"/>
        </w:rPr>
        <w:t xml:space="preserve"> </w:t>
      </w:r>
      <w:r w:rsidR="00EE260A">
        <w:rPr>
          <w:lang w:val="en-GB"/>
        </w:rPr>
        <w:t>next</w:t>
      </w:r>
      <w:r w:rsidR="00640649" w:rsidRPr="000245F3">
        <w:rPr>
          <w:lang w:val="en-GB"/>
        </w:rPr>
        <w:t xml:space="preserve"> steps of the refinery complex development and start-up</w:t>
      </w:r>
      <w:r w:rsidR="00771A87" w:rsidRPr="000245F3">
        <w:rPr>
          <w:lang w:val="en-GB"/>
        </w:rPr>
        <w:t>, the</w:t>
      </w:r>
      <w:r w:rsidR="00640649" w:rsidRPr="000245F3">
        <w:rPr>
          <w:lang w:val="en-GB"/>
        </w:rPr>
        <w:t xml:space="preserve"> approach is </w:t>
      </w:r>
      <w:r w:rsidR="006B01EC" w:rsidRPr="000245F3">
        <w:rPr>
          <w:lang w:val="en-GB"/>
        </w:rPr>
        <w:t xml:space="preserve">argued to provide predictive </w:t>
      </w:r>
      <w:r w:rsidR="000D2A10" w:rsidRPr="000245F3">
        <w:rPr>
          <w:lang w:val="en-GB"/>
        </w:rPr>
        <w:t>qualitative correlation with the low probability event</w:t>
      </w:r>
      <w:r w:rsidR="003B143C" w:rsidRPr="000245F3">
        <w:rPr>
          <w:lang w:val="en-GB"/>
        </w:rPr>
        <w:t>s</w:t>
      </w:r>
      <w:r w:rsidR="006B01EC" w:rsidRPr="000245F3">
        <w:rPr>
          <w:lang w:val="en-GB"/>
        </w:rPr>
        <w:t>,</w:t>
      </w:r>
      <w:r w:rsidR="000D2A10" w:rsidRPr="000245F3">
        <w:rPr>
          <w:lang w:val="en-GB"/>
        </w:rPr>
        <w:t xml:space="preserve"> i.e. major injury/fatality</w:t>
      </w:r>
      <w:r w:rsidR="006B01EC" w:rsidRPr="000245F3">
        <w:rPr>
          <w:lang w:val="en-GB"/>
        </w:rPr>
        <w:t>.</w:t>
      </w:r>
    </w:p>
    <w:p w14:paraId="57A9448C" w14:textId="77777777" w:rsidR="00E15AEA" w:rsidRPr="0049038A" w:rsidRDefault="00600535" w:rsidP="0032060F">
      <w:pPr>
        <w:pStyle w:val="CETReference"/>
        <w:tabs>
          <w:tab w:val="left" w:pos="1559"/>
        </w:tabs>
        <w:rPr>
          <w:lang w:val="it-IT"/>
        </w:rPr>
      </w:pPr>
      <w:r w:rsidRPr="0049038A">
        <w:rPr>
          <w:lang w:val="it-IT"/>
        </w:rPr>
        <w:t>References</w:t>
      </w:r>
    </w:p>
    <w:p w14:paraId="4F1327F8" w14:textId="2B947FDC" w:rsidR="00600535" w:rsidRPr="00581419" w:rsidRDefault="0049038A" w:rsidP="00E15AEA">
      <w:pPr>
        <w:pStyle w:val="CETReferencetext"/>
        <w:rPr>
          <w:lang w:val="it-IT"/>
        </w:rPr>
      </w:pPr>
      <w:bookmarkStart w:id="0" w:name="_GoBack"/>
      <w:r w:rsidRPr="00581419">
        <w:rPr>
          <w:lang w:val="it-IT"/>
        </w:rPr>
        <w:t>INAIL</w:t>
      </w:r>
      <w:r w:rsidR="00E15AEA" w:rsidRPr="00581419">
        <w:rPr>
          <w:lang w:val="it-IT"/>
        </w:rPr>
        <w:t xml:space="preserve">, 2017, </w:t>
      </w:r>
      <w:r w:rsidRPr="00581419">
        <w:rPr>
          <w:lang w:val="it-IT"/>
        </w:rPr>
        <w:t xml:space="preserve">Banca dati statistica </w:t>
      </w:r>
      <w:r w:rsidR="00E15AEA" w:rsidRPr="00581419">
        <w:rPr>
          <w:lang w:val="it-IT"/>
        </w:rPr>
        <w:t>INAIL- Istituto nazionale Assicurazione Infortuni sul Lavoro, Italy,&lt;https://bancadaticsa.inail.it&gt; accessed 02.03.2019.</w:t>
      </w:r>
      <w:r w:rsidR="0032060F" w:rsidRPr="00581419">
        <w:rPr>
          <w:lang w:val="it-IT"/>
        </w:rPr>
        <w:tab/>
      </w:r>
      <w:bookmarkEnd w:id="0"/>
    </w:p>
    <w:p w14:paraId="2D67FE6E" w14:textId="3CA51D55" w:rsidR="00EC08C8" w:rsidRPr="00581419" w:rsidRDefault="00EC08C8" w:rsidP="00A8244A">
      <w:pPr>
        <w:pStyle w:val="CETReferencetext"/>
      </w:pPr>
      <w:r w:rsidRPr="00581419">
        <w:t>Bureau of Labor Statistics, 2016, National census of fatal occu</w:t>
      </w:r>
      <w:r w:rsidR="007817AF" w:rsidRPr="00581419">
        <w:t>pational injuries in 2015,</w:t>
      </w:r>
      <w:r w:rsidRPr="00581419">
        <w:t xml:space="preserve"> Bureau of Labor Statistics: Washington, DC.</w:t>
      </w:r>
    </w:p>
    <w:p w14:paraId="295786A8" w14:textId="0265C6DF" w:rsidR="00A8244A" w:rsidRPr="00581419" w:rsidRDefault="00A8244A" w:rsidP="00A8244A">
      <w:pPr>
        <w:pStyle w:val="CETReferencetext"/>
      </w:pPr>
      <w:r w:rsidRPr="00581419">
        <w:t xml:space="preserve">Cambraia F.B., Saurin T.A., Formoso C.T., 2010, Identification, analysis and dissemination of information on near misses: A case study in the construction industry, Safety Science, 48, 91–99. </w:t>
      </w:r>
    </w:p>
    <w:p w14:paraId="6F614022" w14:textId="2780F41C" w:rsidR="009F3B01" w:rsidRPr="00581419" w:rsidRDefault="009F3B01" w:rsidP="004D2DA2">
      <w:pPr>
        <w:pStyle w:val="CETReferencetext"/>
      </w:pPr>
      <w:r w:rsidRPr="00581419">
        <w:t>Collins R.L., 2011</w:t>
      </w:r>
      <w:r w:rsidR="00DC7317" w:rsidRPr="00581419">
        <w:t>, Heinrich and beyond, Process S</w:t>
      </w:r>
      <w:r w:rsidRPr="00581419">
        <w:t>afety Progress</w:t>
      </w:r>
      <w:r w:rsidR="003D5106" w:rsidRPr="00581419">
        <w:t>,</w:t>
      </w:r>
      <w:r w:rsidRPr="00581419">
        <w:t xml:space="preserve"> 30, 2-5. </w:t>
      </w:r>
    </w:p>
    <w:p w14:paraId="48D8AD7E" w14:textId="76EE8B03" w:rsidR="004D2DA2" w:rsidRPr="00581419" w:rsidRDefault="004D2DA2" w:rsidP="004D2DA2">
      <w:pPr>
        <w:pStyle w:val="CETReferencetext"/>
      </w:pPr>
      <w:r w:rsidRPr="00581419">
        <w:t>EU-OSHA</w:t>
      </w:r>
      <w:r w:rsidR="00B47E21" w:rsidRPr="00581419">
        <w:t>, 2017,</w:t>
      </w:r>
      <w:r w:rsidRPr="00581419">
        <w:t xml:space="preserve"> European Agency for Safety and </w:t>
      </w:r>
      <w:r w:rsidR="00B47E21" w:rsidRPr="00581419">
        <w:t>Health at Work</w:t>
      </w:r>
      <w:r w:rsidR="006023D6" w:rsidRPr="00581419">
        <w:t>,</w:t>
      </w:r>
      <w:r w:rsidRPr="00581419">
        <w:t xml:space="preserve"> Estimating the cost of work related accidents and ill-health: an analysis of European data sources, Publications Office of the European Union</w:t>
      </w:r>
      <w:r w:rsidR="00B47E21" w:rsidRPr="00581419">
        <w:t>, Luxembourg</w:t>
      </w:r>
      <w:r w:rsidRPr="00581419">
        <w:t>.</w:t>
      </w:r>
    </w:p>
    <w:p w14:paraId="3188DBA9" w14:textId="4D6A15F8" w:rsidR="00CE4EA4" w:rsidRPr="00581419" w:rsidRDefault="00CE4EA4" w:rsidP="004D2DA2">
      <w:pPr>
        <w:pStyle w:val="CETReferencetext"/>
      </w:pPr>
      <w:r w:rsidRPr="00581419">
        <w:t>Fabiano B., Parentini I., Ferraiolo A., Pastorino R., 1995, A century of accidents in the Italian industry - Relationship with the production cycle, Safety Science, 21, 65-74.</w:t>
      </w:r>
    </w:p>
    <w:p w14:paraId="33448E89" w14:textId="7CCB8A2E" w:rsidR="009F3212" w:rsidRDefault="009F3212" w:rsidP="004D2DA2">
      <w:pPr>
        <w:pStyle w:val="CETReferencetext"/>
      </w:pPr>
      <w:r w:rsidRPr="00581419">
        <w:t>Fabiano B., Currò F., 2012, From a survey on accidents in the downstream oil industry to the development of a detailed near-miss reporting system, Process Safety and Environmental Protection</w:t>
      </w:r>
      <w:r w:rsidR="003D5106" w:rsidRPr="00581419">
        <w:t>,</w:t>
      </w:r>
      <w:r w:rsidRPr="00581419">
        <w:t xml:space="preserve"> 90, 357-367.</w:t>
      </w:r>
    </w:p>
    <w:p w14:paraId="374F793C" w14:textId="08518629" w:rsidR="00E96F21" w:rsidRPr="00581419" w:rsidRDefault="00E96F21" w:rsidP="00E96F21">
      <w:pPr>
        <w:pStyle w:val="CETReferencetext"/>
      </w:pPr>
      <w:r>
        <w:t xml:space="preserve">Fabiano B., Reverberi, A.P., Varbanov, P.S., 2019, Safety opportunities for the synthesis of metal nanoparticles and short-cut approach </w:t>
      </w:r>
      <w:r w:rsidR="000E5229">
        <w:t>to workplace risk evaluation, J.</w:t>
      </w:r>
      <w:r w:rsidRPr="00E96F21">
        <w:t xml:space="preserve"> of Cl</w:t>
      </w:r>
      <w:r>
        <w:t>eaner Production 209, 297-</w:t>
      </w:r>
      <w:r w:rsidRPr="00E96F21">
        <w:t>308</w:t>
      </w:r>
      <w:r>
        <w:t>.</w:t>
      </w:r>
    </w:p>
    <w:p w14:paraId="1DD5AB35" w14:textId="11828601" w:rsidR="00A8244A" w:rsidRPr="00581419" w:rsidRDefault="00A8244A" w:rsidP="00A8244A">
      <w:pPr>
        <w:pStyle w:val="CETReferencetext"/>
      </w:pPr>
      <w:r w:rsidRPr="00581419">
        <w:t xml:space="preserve">Gnoni M.G., Saleh J.H., 2017, Near-miss management systems and observability-in-depth: Handling safety incidents and accident precursors in light of safety principles, Safety Science, 91, 154–167. </w:t>
      </w:r>
    </w:p>
    <w:p w14:paraId="714FA62F" w14:textId="1E509784" w:rsidR="00B15797" w:rsidRPr="00581419" w:rsidRDefault="00CF230A" w:rsidP="00A8244A">
      <w:pPr>
        <w:pStyle w:val="CETReferencetext"/>
      </w:pPr>
      <w:r w:rsidRPr="00581419">
        <w:t xml:space="preserve">HSE- </w:t>
      </w:r>
      <w:r w:rsidR="00B15797" w:rsidRPr="00581419">
        <w:t>Health Safety and Executive, 1997, Successful health and saf</w:t>
      </w:r>
      <w:r w:rsidR="00B47E21" w:rsidRPr="00581419">
        <w:t>ety management, HSG65</w:t>
      </w:r>
      <w:r w:rsidR="006023D6" w:rsidRPr="00581419">
        <w:t>,</w:t>
      </w:r>
      <w:r w:rsidR="00B15797" w:rsidRPr="00581419">
        <w:t xml:space="preserve"> Sudbury, UK. </w:t>
      </w:r>
    </w:p>
    <w:p w14:paraId="305C1469" w14:textId="60B9BC05" w:rsidR="00EC08C8" w:rsidRPr="00581419" w:rsidRDefault="006023D6" w:rsidP="00A8244A">
      <w:pPr>
        <w:pStyle w:val="CETReferencetext"/>
      </w:pPr>
      <w:r w:rsidRPr="00581419">
        <w:t xml:space="preserve">HSE- </w:t>
      </w:r>
      <w:r w:rsidR="00EC08C8" w:rsidRPr="00581419">
        <w:t>H</w:t>
      </w:r>
      <w:r w:rsidR="00B15797" w:rsidRPr="00581419">
        <w:t xml:space="preserve">ealth </w:t>
      </w:r>
      <w:r w:rsidR="00EC08C8" w:rsidRPr="00581419">
        <w:t>S</w:t>
      </w:r>
      <w:r w:rsidR="00B15797" w:rsidRPr="00581419">
        <w:t xml:space="preserve">afety and </w:t>
      </w:r>
      <w:r w:rsidR="00EC08C8" w:rsidRPr="00581419">
        <w:t>E</w:t>
      </w:r>
      <w:r w:rsidR="00B15797" w:rsidRPr="00581419">
        <w:t>xecutive</w:t>
      </w:r>
      <w:r w:rsidR="00B47E21" w:rsidRPr="00581419">
        <w:t>, 2016,</w:t>
      </w:r>
      <w:r w:rsidR="00EC08C8" w:rsidRPr="00581419">
        <w:t xml:space="preserve"> Health and safety in cons</w:t>
      </w:r>
      <w:r w:rsidR="0049038A" w:rsidRPr="00581419">
        <w:t>truction sector in G.B:</w:t>
      </w:r>
      <w:r w:rsidR="00EC08C8" w:rsidRPr="00581419">
        <w:t>, 2014/2</w:t>
      </w:r>
      <w:r w:rsidRPr="00581419">
        <w:t>015</w:t>
      </w:r>
      <w:r w:rsidR="00B15797" w:rsidRPr="00581419">
        <w:t>, UK.</w:t>
      </w:r>
    </w:p>
    <w:p w14:paraId="5DF59E01" w14:textId="77777777" w:rsidR="00B15797" w:rsidRPr="00581419" w:rsidRDefault="00B15797" w:rsidP="00B15797">
      <w:pPr>
        <w:pStyle w:val="CETReferencetext"/>
      </w:pPr>
      <w:r w:rsidRPr="00581419">
        <w:t>Heinrich H.W., 1931, Industrial accident prevention- a scientific approach, McGraw-Hill, New York, US.</w:t>
      </w:r>
    </w:p>
    <w:p w14:paraId="450DD711" w14:textId="28BF099B" w:rsidR="00A8244A" w:rsidRPr="00581419" w:rsidRDefault="00A8244A" w:rsidP="00A8244A">
      <w:pPr>
        <w:pStyle w:val="CETReferencetext"/>
      </w:pPr>
      <w:r w:rsidRPr="00581419">
        <w:t>Jones S., Kirchsteiger C., Bjerke W., 1999, The importance of near miss reporting to further improve safety performance, Journal of Loss Preve</w:t>
      </w:r>
      <w:r w:rsidR="00E96F21">
        <w:t xml:space="preserve">ntion in the Process Industries, </w:t>
      </w:r>
      <w:r w:rsidRPr="00581419">
        <w:t>12, 59–67.</w:t>
      </w:r>
    </w:p>
    <w:p w14:paraId="76F79564" w14:textId="4160095F" w:rsidR="00E1751B" w:rsidRPr="00581419" w:rsidRDefault="00F7444F" w:rsidP="00E1751B">
      <w:pPr>
        <w:pStyle w:val="CETReferencetext"/>
      </w:pPr>
      <w:r w:rsidRPr="00581419">
        <w:t>Lingard</w:t>
      </w:r>
      <w:r w:rsidR="007817AF" w:rsidRPr="00581419">
        <w:t xml:space="preserve"> H.,</w:t>
      </w:r>
      <w:r w:rsidRPr="00581419">
        <w:t xml:space="preserve"> </w:t>
      </w:r>
      <w:r w:rsidR="007817AF" w:rsidRPr="00581419">
        <w:t>2013,</w:t>
      </w:r>
      <w:r w:rsidR="00E1751B" w:rsidRPr="00581419">
        <w:t xml:space="preserve"> Occupational health and safe</w:t>
      </w:r>
      <w:r w:rsidR="0049038A" w:rsidRPr="00581419">
        <w:t>ty in the construction industry,</w:t>
      </w:r>
      <w:r w:rsidR="00E1751B" w:rsidRPr="00581419">
        <w:t xml:space="preserve"> Construction Management and</w:t>
      </w:r>
    </w:p>
    <w:p w14:paraId="1E009256" w14:textId="7AC51A8E" w:rsidR="00E1751B" w:rsidRPr="00581419" w:rsidRDefault="00E1751B" w:rsidP="00E96F21">
      <w:pPr>
        <w:pStyle w:val="CETReferencetext"/>
        <w:ind w:firstLine="0"/>
      </w:pPr>
      <w:r w:rsidRPr="00581419">
        <w:t>Economics 31, 505–514.</w:t>
      </w:r>
    </w:p>
    <w:p w14:paraId="3F0091CD" w14:textId="77777777" w:rsidR="00A8244A" w:rsidRDefault="00A8244A" w:rsidP="00A8244A">
      <w:pPr>
        <w:pStyle w:val="CETReferencetext"/>
      </w:pPr>
      <w:r w:rsidRPr="00581419">
        <w:t>Mazaheri A., Montewka J., Nisula J., Kujala, P., 2015, Usability of accident and incident reports for evidence-based risk modeling – A case study on ship grounding reports, Safety Science, 76, 202–214.</w:t>
      </w:r>
      <w:r w:rsidRPr="000245F3">
        <w:t xml:space="preserve"> </w:t>
      </w:r>
    </w:p>
    <w:p w14:paraId="3C070B93" w14:textId="4CC4EAFC" w:rsidR="00EE260A" w:rsidRPr="000245F3" w:rsidRDefault="00EE260A" w:rsidP="00EE260A">
      <w:pPr>
        <w:pStyle w:val="CETReferencetext"/>
      </w:pPr>
      <w:r>
        <w:t>Pastorino R., Vairo T., Benvenuto A., Fabiano B., 2014, Area risk analysis in an urban port: personnel and major accident risk issues, Chemical Engineering Transactions, 36, 343-348</w:t>
      </w:r>
      <w:r w:rsidR="008E4CF3">
        <w:t>.</w:t>
      </w:r>
    </w:p>
    <w:p w14:paraId="13E62B29" w14:textId="77777777" w:rsidR="00A8244A" w:rsidRPr="000245F3" w:rsidRDefault="00A8244A" w:rsidP="00A8244A">
      <w:pPr>
        <w:pStyle w:val="CETReferencetext"/>
      </w:pPr>
      <w:r w:rsidRPr="000245F3">
        <w:t xml:space="preserve">Phimister J.R., Oktem U., Kleindorfer P.R., Kunreuther H., 2003, Near-Miss Incident Management in the Chemical Process Industry, Risk Analysis, 23, 3, 445–459. </w:t>
      </w:r>
    </w:p>
    <w:p w14:paraId="00127487" w14:textId="77777777" w:rsidR="00A8244A" w:rsidRPr="000245F3" w:rsidRDefault="00A8244A" w:rsidP="00A8244A">
      <w:pPr>
        <w:pStyle w:val="CETReferencetext"/>
      </w:pPr>
      <w:r w:rsidRPr="000245F3">
        <w:t xml:space="preserve">Raviv G., Fishbain B., Shapira A., 2017, Analyzing risk factors in crane-related near-miss and accident reports, Safety Science, 91, 192–205. </w:t>
      </w:r>
    </w:p>
    <w:p w14:paraId="5F0D0E19" w14:textId="22BEA09D" w:rsidR="00A8244A" w:rsidRPr="000245F3" w:rsidRDefault="00A8244A" w:rsidP="00A8244A">
      <w:pPr>
        <w:pStyle w:val="CETReferencetext"/>
      </w:pPr>
      <w:r w:rsidRPr="000245F3">
        <w:t>Smith D., Veitch B., Khan F., Taylor R., 2017, Understanding industrial safety: Comparing</w:t>
      </w:r>
      <w:r w:rsidR="0078524E" w:rsidRPr="000245F3">
        <w:t xml:space="preserve"> Fault tree, Bayesian network</w:t>
      </w:r>
      <w:r w:rsidRPr="000245F3">
        <w:t xml:space="preserve"> and FRAM approaches, Journal of Loss Prevention in the Process Industries, 45, 88–101. </w:t>
      </w:r>
    </w:p>
    <w:p w14:paraId="12E2B19F" w14:textId="7DDE3127" w:rsidR="00A8244A" w:rsidRPr="000245F3" w:rsidRDefault="00A8244A" w:rsidP="00A8244A">
      <w:pPr>
        <w:pStyle w:val="CETReferencetext"/>
      </w:pPr>
      <w:r w:rsidRPr="000245F3">
        <w:t>Wright L., van der Schaaf T., 2004, Accident versus near miss causation: a critical review of the literature an empirical</w:t>
      </w:r>
      <w:r w:rsidR="00DB0451" w:rsidRPr="000245F3">
        <w:t xml:space="preserve"> test in the UK railway domain</w:t>
      </w:r>
      <w:r w:rsidRPr="000245F3">
        <w:t xml:space="preserve"> and their imp</w:t>
      </w:r>
      <w:r w:rsidR="00E96F21">
        <w:t>lications for other sectors, J Haz Mat</w:t>
      </w:r>
      <w:r w:rsidRPr="000245F3">
        <w:t xml:space="preserve">, 111, 105–110. </w:t>
      </w:r>
    </w:p>
    <w:p w14:paraId="1DC4EE64" w14:textId="4100C817" w:rsidR="00A8244A" w:rsidRPr="000245F3" w:rsidRDefault="00A8244A" w:rsidP="00A8244A">
      <w:pPr>
        <w:pStyle w:val="CETReferencetext"/>
      </w:pPr>
      <w:r w:rsidRPr="000245F3">
        <w:t xml:space="preserve">Wu W., Gibb A.G.F., Li Q., 2010, Accident precursors and near misses on construction sites: An investigative tool to derive information from accident databases, Safety Science, 48, 845–858. </w:t>
      </w:r>
    </w:p>
    <w:p w14:paraId="07B6BE69" w14:textId="7ECC58F9" w:rsidR="00581419" w:rsidRPr="000245F3" w:rsidRDefault="00A8244A" w:rsidP="00581419">
      <w:pPr>
        <w:pStyle w:val="CETReferencetext"/>
      </w:pPr>
      <w:r w:rsidRPr="000245F3">
        <w:t xml:space="preserve">Zhou C., Ding L., Skibniewski M.J., Luo H., Jiang S., 2017, Characterizing time series of near-miss accidents in metro construction via complex network theory, Safety Science, 98, 145–158. </w:t>
      </w:r>
    </w:p>
    <w:sectPr w:rsidR="00581419" w:rsidRPr="000245F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D89E" w14:textId="77777777" w:rsidR="00CE4E3E" w:rsidRDefault="00CE4E3E" w:rsidP="004F5E36">
      <w:r>
        <w:separator/>
      </w:r>
    </w:p>
  </w:endnote>
  <w:endnote w:type="continuationSeparator" w:id="0">
    <w:p w14:paraId="288878C3" w14:textId="77777777" w:rsidR="00CE4E3E" w:rsidRDefault="00CE4E3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0BD3" w14:textId="77777777" w:rsidR="00CE4E3E" w:rsidRDefault="00CE4E3E" w:rsidP="004F5E36">
      <w:r>
        <w:separator/>
      </w:r>
    </w:p>
  </w:footnote>
  <w:footnote w:type="continuationSeparator" w:id="0">
    <w:p w14:paraId="49E88B02" w14:textId="77777777" w:rsidR="00CE4E3E" w:rsidRDefault="00CE4E3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82A"/>
    <w:rsid w:val="00021FD8"/>
    <w:rsid w:val="000245F3"/>
    <w:rsid w:val="00026CA7"/>
    <w:rsid w:val="0003148D"/>
    <w:rsid w:val="00040756"/>
    <w:rsid w:val="00051566"/>
    <w:rsid w:val="00062A9A"/>
    <w:rsid w:val="00065058"/>
    <w:rsid w:val="00086C39"/>
    <w:rsid w:val="00090F60"/>
    <w:rsid w:val="000930E7"/>
    <w:rsid w:val="000A03B2"/>
    <w:rsid w:val="000A3A59"/>
    <w:rsid w:val="000A6ED8"/>
    <w:rsid w:val="000B0E88"/>
    <w:rsid w:val="000C2C47"/>
    <w:rsid w:val="000D0378"/>
    <w:rsid w:val="000D2A10"/>
    <w:rsid w:val="000D34BE"/>
    <w:rsid w:val="000E102F"/>
    <w:rsid w:val="000E36F1"/>
    <w:rsid w:val="000E3A73"/>
    <w:rsid w:val="000E414A"/>
    <w:rsid w:val="000E417C"/>
    <w:rsid w:val="000E5229"/>
    <w:rsid w:val="000F093C"/>
    <w:rsid w:val="000F6268"/>
    <w:rsid w:val="000F787B"/>
    <w:rsid w:val="0012091F"/>
    <w:rsid w:val="00126BC2"/>
    <w:rsid w:val="001308B6"/>
    <w:rsid w:val="0013121F"/>
    <w:rsid w:val="00131FE6"/>
    <w:rsid w:val="0013263F"/>
    <w:rsid w:val="00134DE4"/>
    <w:rsid w:val="0014034D"/>
    <w:rsid w:val="001453A1"/>
    <w:rsid w:val="00146DFB"/>
    <w:rsid w:val="00150E59"/>
    <w:rsid w:val="00152DE3"/>
    <w:rsid w:val="00157E31"/>
    <w:rsid w:val="00164CF9"/>
    <w:rsid w:val="001667A6"/>
    <w:rsid w:val="001743EB"/>
    <w:rsid w:val="0017519E"/>
    <w:rsid w:val="00184AD6"/>
    <w:rsid w:val="00197A45"/>
    <w:rsid w:val="001A4325"/>
    <w:rsid w:val="001B0349"/>
    <w:rsid w:val="001B65C1"/>
    <w:rsid w:val="001C684B"/>
    <w:rsid w:val="001D53FC"/>
    <w:rsid w:val="001E6B57"/>
    <w:rsid w:val="001F42A5"/>
    <w:rsid w:val="001F7B9D"/>
    <w:rsid w:val="00212E95"/>
    <w:rsid w:val="002224B4"/>
    <w:rsid w:val="00236825"/>
    <w:rsid w:val="002447EF"/>
    <w:rsid w:val="002505F6"/>
    <w:rsid w:val="00251550"/>
    <w:rsid w:val="00263B05"/>
    <w:rsid w:val="0027221A"/>
    <w:rsid w:val="00275B61"/>
    <w:rsid w:val="00282656"/>
    <w:rsid w:val="002953B9"/>
    <w:rsid w:val="00296B83"/>
    <w:rsid w:val="002B78CE"/>
    <w:rsid w:val="002C0106"/>
    <w:rsid w:val="002C2FB6"/>
    <w:rsid w:val="002C4C01"/>
    <w:rsid w:val="002D7FE7"/>
    <w:rsid w:val="002F2A3F"/>
    <w:rsid w:val="003009B7"/>
    <w:rsid w:val="00300E56"/>
    <w:rsid w:val="0030469C"/>
    <w:rsid w:val="00307D1C"/>
    <w:rsid w:val="0031045E"/>
    <w:rsid w:val="0032060F"/>
    <w:rsid w:val="00321CA6"/>
    <w:rsid w:val="00322BFC"/>
    <w:rsid w:val="00334AA1"/>
    <w:rsid w:val="00334C09"/>
    <w:rsid w:val="003371F4"/>
    <w:rsid w:val="003543D9"/>
    <w:rsid w:val="00363D8A"/>
    <w:rsid w:val="003723D4"/>
    <w:rsid w:val="00376EBF"/>
    <w:rsid w:val="00383F08"/>
    <w:rsid w:val="00384CC8"/>
    <w:rsid w:val="003871FD"/>
    <w:rsid w:val="0039048D"/>
    <w:rsid w:val="003A1E30"/>
    <w:rsid w:val="003A7D1C"/>
    <w:rsid w:val="003B143C"/>
    <w:rsid w:val="003B304B"/>
    <w:rsid w:val="003B3146"/>
    <w:rsid w:val="003D46D4"/>
    <w:rsid w:val="003D5106"/>
    <w:rsid w:val="003E201D"/>
    <w:rsid w:val="003E5825"/>
    <w:rsid w:val="003F015E"/>
    <w:rsid w:val="00400414"/>
    <w:rsid w:val="0041446B"/>
    <w:rsid w:val="00440E0D"/>
    <w:rsid w:val="0044329C"/>
    <w:rsid w:val="00444A8C"/>
    <w:rsid w:val="00451E74"/>
    <w:rsid w:val="004577FE"/>
    <w:rsid w:val="00457B9C"/>
    <w:rsid w:val="00457FF5"/>
    <w:rsid w:val="0046164A"/>
    <w:rsid w:val="004628D2"/>
    <w:rsid w:val="00462DCD"/>
    <w:rsid w:val="004648AD"/>
    <w:rsid w:val="004703A9"/>
    <w:rsid w:val="00470AF9"/>
    <w:rsid w:val="004760DE"/>
    <w:rsid w:val="0049038A"/>
    <w:rsid w:val="004A004E"/>
    <w:rsid w:val="004A0183"/>
    <w:rsid w:val="004A24CF"/>
    <w:rsid w:val="004A43C1"/>
    <w:rsid w:val="004B5CB8"/>
    <w:rsid w:val="004C3D1D"/>
    <w:rsid w:val="004C7913"/>
    <w:rsid w:val="004D2DA2"/>
    <w:rsid w:val="004E4DD6"/>
    <w:rsid w:val="004F5E36"/>
    <w:rsid w:val="004F5FD6"/>
    <w:rsid w:val="00500948"/>
    <w:rsid w:val="00507B47"/>
    <w:rsid w:val="00507CC9"/>
    <w:rsid w:val="005119A5"/>
    <w:rsid w:val="00517A21"/>
    <w:rsid w:val="00524203"/>
    <w:rsid w:val="005278B7"/>
    <w:rsid w:val="00532016"/>
    <w:rsid w:val="005346C8"/>
    <w:rsid w:val="00541A25"/>
    <w:rsid w:val="00543E7D"/>
    <w:rsid w:val="00544CC7"/>
    <w:rsid w:val="005475E1"/>
    <w:rsid w:val="00547A68"/>
    <w:rsid w:val="005531C9"/>
    <w:rsid w:val="0056041A"/>
    <w:rsid w:val="0056197C"/>
    <w:rsid w:val="00570C43"/>
    <w:rsid w:val="005721F7"/>
    <w:rsid w:val="00580FE6"/>
    <w:rsid w:val="00581419"/>
    <w:rsid w:val="00594FD0"/>
    <w:rsid w:val="005B2110"/>
    <w:rsid w:val="005B61E6"/>
    <w:rsid w:val="005C77E1"/>
    <w:rsid w:val="005D3E82"/>
    <w:rsid w:val="005D4BF4"/>
    <w:rsid w:val="005D6A2F"/>
    <w:rsid w:val="005E1A82"/>
    <w:rsid w:val="005E49FF"/>
    <w:rsid w:val="005E794C"/>
    <w:rsid w:val="005F0A28"/>
    <w:rsid w:val="005F0E5E"/>
    <w:rsid w:val="005F2C2C"/>
    <w:rsid w:val="00600535"/>
    <w:rsid w:val="006023D6"/>
    <w:rsid w:val="00610CD6"/>
    <w:rsid w:val="0061357A"/>
    <w:rsid w:val="00616D22"/>
    <w:rsid w:val="00617E22"/>
    <w:rsid w:val="00620DEE"/>
    <w:rsid w:val="00621F92"/>
    <w:rsid w:val="006244BB"/>
    <w:rsid w:val="00625639"/>
    <w:rsid w:val="00631B33"/>
    <w:rsid w:val="00640649"/>
    <w:rsid w:val="0064184D"/>
    <w:rsid w:val="006422CC"/>
    <w:rsid w:val="00651FA4"/>
    <w:rsid w:val="00660E3E"/>
    <w:rsid w:val="00662E74"/>
    <w:rsid w:val="00675FCA"/>
    <w:rsid w:val="00680332"/>
    <w:rsid w:val="00680C23"/>
    <w:rsid w:val="00693766"/>
    <w:rsid w:val="006A3281"/>
    <w:rsid w:val="006B01EC"/>
    <w:rsid w:val="006B4888"/>
    <w:rsid w:val="006C2E45"/>
    <w:rsid w:val="006C2E93"/>
    <w:rsid w:val="006C359C"/>
    <w:rsid w:val="006C3E26"/>
    <w:rsid w:val="006C5579"/>
    <w:rsid w:val="006C5998"/>
    <w:rsid w:val="006D1DB2"/>
    <w:rsid w:val="006E737D"/>
    <w:rsid w:val="006E7AF8"/>
    <w:rsid w:val="006F487C"/>
    <w:rsid w:val="0070540E"/>
    <w:rsid w:val="007079D8"/>
    <w:rsid w:val="00720A24"/>
    <w:rsid w:val="00725EE5"/>
    <w:rsid w:val="00732386"/>
    <w:rsid w:val="007447F3"/>
    <w:rsid w:val="0075499F"/>
    <w:rsid w:val="00761091"/>
    <w:rsid w:val="00761BF6"/>
    <w:rsid w:val="00765B69"/>
    <w:rsid w:val="007661C8"/>
    <w:rsid w:val="0077098D"/>
    <w:rsid w:val="00771A87"/>
    <w:rsid w:val="0077461E"/>
    <w:rsid w:val="007817AF"/>
    <w:rsid w:val="0078524E"/>
    <w:rsid w:val="007931FA"/>
    <w:rsid w:val="007A3CBB"/>
    <w:rsid w:val="007A7BBA"/>
    <w:rsid w:val="007B0C50"/>
    <w:rsid w:val="007B1EFA"/>
    <w:rsid w:val="007B4BB7"/>
    <w:rsid w:val="007B6A7B"/>
    <w:rsid w:val="007B7468"/>
    <w:rsid w:val="007C1A43"/>
    <w:rsid w:val="007D50D4"/>
    <w:rsid w:val="007D73B9"/>
    <w:rsid w:val="007E23DD"/>
    <w:rsid w:val="007E7E14"/>
    <w:rsid w:val="007F69D7"/>
    <w:rsid w:val="00813288"/>
    <w:rsid w:val="00815EAB"/>
    <w:rsid w:val="008168FC"/>
    <w:rsid w:val="00821E8E"/>
    <w:rsid w:val="00830996"/>
    <w:rsid w:val="008345F1"/>
    <w:rsid w:val="008466BE"/>
    <w:rsid w:val="00865B07"/>
    <w:rsid w:val="008667EA"/>
    <w:rsid w:val="008677C0"/>
    <w:rsid w:val="0087637F"/>
    <w:rsid w:val="00883CA1"/>
    <w:rsid w:val="00892AD5"/>
    <w:rsid w:val="008A1512"/>
    <w:rsid w:val="008A7C88"/>
    <w:rsid w:val="008C2E46"/>
    <w:rsid w:val="008D32B9"/>
    <w:rsid w:val="008D433B"/>
    <w:rsid w:val="008E3051"/>
    <w:rsid w:val="008E3928"/>
    <w:rsid w:val="008E4562"/>
    <w:rsid w:val="008E4CF3"/>
    <w:rsid w:val="008E566E"/>
    <w:rsid w:val="008F53C7"/>
    <w:rsid w:val="0090161A"/>
    <w:rsid w:val="00901EB6"/>
    <w:rsid w:val="009037FE"/>
    <w:rsid w:val="00904C62"/>
    <w:rsid w:val="00913ADC"/>
    <w:rsid w:val="00915A0B"/>
    <w:rsid w:val="00924DAC"/>
    <w:rsid w:val="00927058"/>
    <w:rsid w:val="00930CAE"/>
    <w:rsid w:val="00936E59"/>
    <w:rsid w:val="009450CE"/>
    <w:rsid w:val="00947179"/>
    <w:rsid w:val="0095164B"/>
    <w:rsid w:val="00954090"/>
    <w:rsid w:val="009573E7"/>
    <w:rsid w:val="009574AE"/>
    <w:rsid w:val="00963E05"/>
    <w:rsid w:val="00967D54"/>
    <w:rsid w:val="00977ADE"/>
    <w:rsid w:val="0099474C"/>
    <w:rsid w:val="00996483"/>
    <w:rsid w:val="00996F5A"/>
    <w:rsid w:val="009B041A"/>
    <w:rsid w:val="009C7C86"/>
    <w:rsid w:val="009D2FF7"/>
    <w:rsid w:val="009E7884"/>
    <w:rsid w:val="009E788A"/>
    <w:rsid w:val="009F0E08"/>
    <w:rsid w:val="009F28BA"/>
    <w:rsid w:val="009F3212"/>
    <w:rsid w:val="009F3B01"/>
    <w:rsid w:val="009F6DA1"/>
    <w:rsid w:val="00A16023"/>
    <w:rsid w:val="00A1763D"/>
    <w:rsid w:val="00A17CEC"/>
    <w:rsid w:val="00A27EF0"/>
    <w:rsid w:val="00A30C40"/>
    <w:rsid w:val="00A354E9"/>
    <w:rsid w:val="00A43196"/>
    <w:rsid w:val="00A46507"/>
    <w:rsid w:val="00A50B20"/>
    <w:rsid w:val="00A51390"/>
    <w:rsid w:val="00A51D56"/>
    <w:rsid w:val="00A60D13"/>
    <w:rsid w:val="00A6604E"/>
    <w:rsid w:val="00A70862"/>
    <w:rsid w:val="00A72745"/>
    <w:rsid w:val="00A76EFC"/>
    <w:rsid w:val="00A8244A"/>
    <w:rsid w:val="00A91010"/>
    <w:rsid w:val="00A97F29"/>
    <w:rsid w:val="00AA1F7E"/>
    <w:rsid w:val="00AA3F43"/>
    <w:rsid w:val="00AA702E"/>
    <w:rsid w:val="00AB0964"/>
    <w:rsid w:val="00AB5011"/>
    <w:rsid w:val="00AB768E"/>
    <w:rsid w:val="00AB7920"/>
    <w:rsid w:val="00AC7368"/>
    <w:rsid w:val="00AD16B9"/>
    <w:rsid w:val="00AE377D"/>
    <w:rsid w:val="00AE390B"/>
    <w:rsid w:val="00AF0E0E"/>
    <w:rsid w:val="00AF5349"/>
    <w:rsid w:val="00AF552C"/>
    <w:rsid w:val="00B00C59"/>
    <w:rsid w:val="00B15797"/>
    <w:rsid w:val="00B17FBD"/>
    <w:rsid w:val="00B2160F"/>
    <w:rsid w:val="00B315A6"/>
    <w:rsid w:val="00B31813"/>
    <w:rsid w:val="00B33365"/>
    <w:rsid w:val="00B47E21"/>
    <w:rsid w:val="00B529A6"/>
    <w:rsid w:val="00B57B36"/>
    <w:rsid w:val="00B83E8F"/>
    <w:rsid w:val="00B8428B"/>
    <w:rsid w:val="00B8686D"/>
    <w:rsid w:val="00B963CB"/>
    <w:rsid w:val="00BB074B"/>
    <w:rsid w:val="00BB5795"/>
    <w:rsid w:val="00BC30C9"/>
    <w:rsid w:val="00BC57B0"/>
    <w:rsid w:val="00BE3E58"/>
    <w:rsid w:val="00BE469E"/>
    <w:rsid w:val="00BF2A46"/>
    <w:rsid w:val="00BF31E6"/>
    <w:rsid w:val="00BF6D59"/>
    <w:rsid w:val="00C01616"/>
    <w:rsid w:val="00C0162B"/>
    <w:rsid w:val="00C0578C"/>
    <w:rsid w:val="00C1232D"/>
    <w:rsid w:val="00C2339A"/>
    <w:rsid w:val="00C345B1"/>
    <w:rsid w:val="00C40142"/>
    <w:rsid w:val="00C44071"/>
    <w:rsid w:val="00C57182"/>
    <w:rsid w:val="00C57863"/>
    <w:rsid w:val="00C655FD"/>
    <w:rsid w:val="00C8562E"/>
    <w:rsid w:val="00C870A8"/>
    <w:rsid w:val="00C920EB"/>
    <w:rsid w:val="00C94068"/>
    <w:rsid w:val="00C94434"/>
    <w:rsid w:val="00CA0D75"/>
    <w:rsid w:val="00CA0E68"/>
    <w:rsid w:val="00CA1C95"/>
    <w:rsid w:val="00CA5A9C"/>
    <w:rsid w:val="00CD2505"/>
    <w:rsid w:val="00CD3517"/>
    <w:rsid w:val="00CD5FE2"/>
    <w:rsid w:val="00CE4E3E"/>
    <w:rsid w:val="00CE4EA4"/>
    <w:rsid w:val="00CE515B"/>
    <w:rsid w:val="00CE7C68"/>
    <w:rsid w:val="00CF04B9"/>
    <w:rsid w:val="00CF230A"/>
    <w:rsid w:val="00D02B4C"/>
    <w:rsid w:val="00D040C4"/>
    <w:rsid w:val="00D4122C"/>
    <w:rsid w:val="00D41D6A"/>
    <w:rsid w:val="00D564F5"/>
    <w:rsid w:val="00D57C84"/>
    <w:rsid w:val="00D601AB"/>
    <w:rsid w:val="00D6057D"/>
    <w:rsid w:val="00D65D89"/>
    <w:rsid w:val="00D72CC8"/>
    <w:rsid w:val="00D84576"/>
    <w:rsid w:val="00D929CA"/>
    <w:rsid w:val="00DA1399"/>
    <w:rsid w:val="00DA24C6"/>
    <w:rsid w:val="00DA4D7B"/>
    <w:rsid w:val="00DB0451"/>
    <w:rsid w:val="00DB1E95"/>
    <w:rsid w:val="00DC7317"/>
    <w:rsid w:val="00DD448C"/>
    <w:rsid w:val="00DE264A"/>
    <w:rsid w:val="00E02D18"/>
    <w:rsid w:val="00E041E7"/>
    <w:rsid w:val="00E14BD4"/>
    <w:rsid w:val="00E15AEA"/>
    <w:rsid w:val="00E1751B"/>
    <w:rsid w:val="00E23CA1"/>
    <w:rsid w:val="00E37CA4"/>
    <w:rsid w:val="00E409A8"/>
    <w:rsid w:val="00E50C12"/>
    <w:rsid w:val="00E56806"/>
    <w:rsid w:val="00E65B91"/>
    <w:rsid w:val="00E7209D"/>
    <w:rsid w:val="00E75F1A"/>
    <w:rsid w:val="00E77223"/>
    <w:rsid w:val="00E8528B"/>
    <w:rsid w:val="00E85B94"/>
    <w:rsid w:val="00E96F21"/>
    <w:rsid w:val="00E978D0"/>
    <w:rsid w:val="00EA2408"/>
    <w:rsid w:val="00EA4613"/>
    <w:rsid w:val="00EA7F91"/>
    <w:rsid w:val="00EB1523"/>
    <w:rsid w:val="00EC08C8"/>
    <w:rsid w:val="00EC0E49"/>
    <w:rsid w:val="00EE0131"/>
    <w:rsid w:val="00EE260A"/>
    <w:rsid w:val="00EF246E"/>
    <w:rsid w:val="00F00272"/>
    <w:rsid w:val="00F30A9E"/>
    <w:rsid w:val="00F30C64"/>
    <w:rsid w:val="00F32CDB"/>
    <w:rsid w:val="00F523A1"/>
    <w:rsid w:val="00F63A70"/>
    <w:rsid w:val="00F66B02"/>
    <w:rsid w:val="00F7444F"/>
    <w:rsid w:val="00F837C7"/>
    <w:rsid w:val="00FA00AA"/>
    <w:rsid w:val="00FA07F5"/>
    <w:rsid w:val="00FA1D5F"/>
    <w:rsid w:val="00FA21D0"/>
    <w:rsid w:val="00FA5F5F"/>
    <w:rsid w:val="00FB730C"/>
    <w:rsid w:val="00FC2695"/>
    <w:rsid w:val="00FC3E03"/>
    <w:rsid w:val="00FC3FC1"/>
    <w:rsid w:val="00FD1F75"/>
    <w:rsid w:val="00FE0537"/>
    <w:rsid w:val="00FE2681"/>
    <w:rsid w:val="00FE3E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43175AB6-EC60-48CA-A587-4E44FBB9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Default">
    <w:name w:val="Default"/>
    <w:rsid w:val="00BF31E6"/>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basedOn w:val="Carpredefinitoparagrafo"/>
    <w:uiPriority w:val="99"/>
    <w:semiHidden/>
    <w:unhideWhenUsed/>
    <w:rsid w:val="00F00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69E8-3AEA-4FAF-9180-BBC6CA57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4085</Words>
  <Characters>23286</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 </cp:lastModifiedBy>
  <cp:revision>82</cp:revision>
  <cp:lastPrinted>2019-03-04T10:55:00Z</cp:lastPrinted>
  <dcterms:created xsi:type="dcterms:W3CDTF">2019-02-27T10:48:00Z</dcterms:created>
  <dcterms:modified xsi:type="dcterms:W3CDTF">2019-04-11T15:07:00Z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http://www.zotero.org/styles/journal-of-cleaner-production</vt:lpwstr>
  </property>
  <property fmtid="{D5CDD505-2E9C-101B-9397-08002B2CF9AE}" pid="17" name="Mendeley Recent Style Name 6_1">
    <vt:lpwstr>Journal of Cleaner Production</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7ba1a783-e802-36b2-80fe-ebfa6f91ec26</vt:lpwstr>
  </property>
  <property fmtid="{D5CDD505-2E9C-101B-9397-08002B2CF9AE}" pid="26" name="Mendeley Citation Style_1">
    <vt:lpwstr>http://www.zotero.org/styles/journal-of-cleaner-production</vt:lpwstr>
  </property>
</Properties>
</file>