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tif" ContentType="image/tiff"/>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FA228D" w14:paraId="61C50CCE" w14:textId="77777777">
        <w:trPr>
          <w:trHeight w:val="852"/>
          <w:jc w:val="center"/>
        </w:trPr>
        <w:tc>
          <w:tcPr>
            <w:tcW w:w="6946" w:type="dxa"/>
            <w:vMerge w:val="restart"/>
            <w:tcBorders>
              <w:right w:val="single" w:sz="4" w:space="0" w:color="auto"/>
            </w:tcBorders>
          </w:tcPr>
          <w:p w14:paraId="24227E63" w14:textId="77777777" w:rsidR="000A03B2" w:rsidRPr="00FA228D" w:rsidRDefault="000A03B2" w:rsidP="0062453B">
            <w:pPr>
              <w:widowControl w:val="0"/>
              <w:tabs>
                <w:tab w:val="left" w:pos="-108"/>
              </w:tabs>
              <w:ind w:left="-108"/>
              <w:jc w:val="left"/>
              <w:rPr>
                <w:rFonts w:cs="Arial"/>
                <w:b/>
                <w:bCs/>
                <w:i/>
                <w:iCs/>
                <w:color w:val="000066"/>
                <w:sz w:val="12"/>
                <w:szCs w:val="12"/>
                <w:lang w:val="en-US" w:eastAsia="it-IT"/>
              </w:rPr>
            </w:pPr>
            <w:r w:rsidRPr="00FA228D">
              <w:rPr>
                <w:rFonts w:ascii="AdvP6960" w:hAnsi="AdvP6960" w:cs="AdvP6960"/>
                <w:noProof/>
                <w:color w:val="241F20"/>
                <w:szCs w:val="18"/>
                <w:lang w:val="en-US" w:eastAsia="it-IT"/>
              </w:rPr>
              <w:drawing>
                <wp:inline distT="0" distB="0" distL="0" distR="0" wp14:anchorId="210548F6" wp14:editId="62CCB8EB">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FA228D">
              <w:rPr>
                <w:rFonts w:ascii="AdvP6960" w:hAnsi="AdvP6960" w:cs="AdvP6960"/>
                <w:color w:val="241F20"/>
                <w:szCs w:val="18"/>
                <w:lang w:val="en-US" w:eastAsia="it-IT"/>
              </w:rPr>
              <w:t xml:space="preserve"> </w:t>
            </w:r>
            <w:r w:rsidRPr="00FA228D">
              <w:rPr>
                <w:rFonts w:cs="Arial"/>
                <w:b/>
                <w:bCs/>
                <w:i/>
                <w:iCs/>
                <w:color w:val="000066"/>
                <w:sz w:val="24"/>
                <w:szCs w:val="24"/>
                <w:lang w:val="en-US" w:eastAsia="it-IT"/>
              </w:rPr>
              <w:t>CHEMICAL ENGINEERING</w:t>
            </w:r>
            <w:r w:rsidRPr="00FA228D">
              <w:rPr>
                <w:rFonts w:cs="Arial"/>
                <w:b/>
                <w:bCs/>
                <w:i/>
                <w:iCs/>
                <w:color w:val="0033FF"/>
                <w:sz w:val="24"/>
                <w:szCs w:val="24"/>
                <w:lang w:val="en-US" w:eastAsia="it-IT"/>
              </w:rPr>
              <w:t xml:space="preserve"> </w:t>
            </w:r>
            <w:r w:rsidRPr="00FA228D">
              <w:rPr>
                <w:rFonts w:cs="Arial"/>
                <w:b/>
                <w:bCs/>
                <w:i/>
                <w:iCs/>
                <w:color w:val="666666"/>
                <w:sz w:val="24"/>
                <w:szCs w:val="24"/>
                <w:lang w:val="en-US" w:eastAsia="it-IT"/>
              </w:rPr>
              <w:t>TRANSACTIONS</w:t>
            </w:r>
            <w:r w:rsidRPr="00FA228D">
              <w:rPr>
                <w:color w:val="333333"/>
                <w:sz w:val="24"/>
                <w:szCs w:val="24"/>
                <w:lang w:val="en-US" w:eastAsia="it-IT"/>
              </w:rPr>
              <w:t xml:space="preserve"> </w:t>
            </w:r>
            <w:r w:rsidRPr="00FA228D">
              <w:rPr>
                <w:rFonts w:cs="Arial"/>
                <w:b/>
                <w:bCs/>
                <w:i/>
                <w:iCs/>
                <w:color w:val="000066"/>
                <w:sz w:val="27"/>
                <w:szCs w:val="27"/>
                <w:lang w:val="en-US" w:eastAsia="it-IT"/>
              </w:rPr>
              <w:br/>
            </w:r>
          </w:p>
          <w:p w14:paraId="5A575FB3" w14:textId="77777777" w:rsidR="000A03B2" w:rsidRPr="00FA228D" w:rsidRDefault="00A76EFC" w:rsidP="0062453B">
            <w:pPr>
              <w:widowControl w:val="0"/>
              <w:tabs>
                <w:tab w:val="left" w:pos="-108"/>
              </w:tabs>
              <w:ind w:left="-108"/>
              <w:rPr>
                <w:rFonts w:cs="Arial"/>
                <w:b/>
                <w:bCs/>
                <w:i/>
                <w:iCs/>
                <w:color w:val="000066"/>
                <w:sz w:val="22"/>
                <w:szCs w:val="22"/>
                <w:lang w:val="en-US" w:eastAsia="it-IT"/>
              </w:rPr>
            </w:pPr>
            <w:r w:rsidRPr="00FA228D">
              <w:rPr>
                <w:rFonts w:cs="Arial"/>
                <w:b/>
                <w:bCs/>
                <w:i/>
                <w:iCs/>
                <w:color w:val="000066"/>
                <w:sz w:val="22"/>
                <w:szCs w:val="22"/>
                <w:lang w:val="en-US" w:eastAsia="it-IT"/>
              </w:rPr>
              <w:t xml:space="preserve">VOL. </w:t>
            </w:r>
            <w:r w:rsidR="007931FA" w:rsidRPr="00FA228D">
              <w:rPr>
                <w:rFonts w:cs="Arial"/>
                <w:b/>
                <w:bCs/>
                <w:i/>
                <w:iCs/>
                <w:color w:val="000066"/>
                <w:sz w:val="22"/>
                <w:szCs w:val="22"/>
                <w:lang w:val="en-US" w:eastAsia="it-IT"/>
              </w:rPr>
              <w:t>7</w:t>
            </w:r>
            <w:r w:rsidR="009635B9" w:rsidRPr="00FA228D">
              <w:rPr>
                <w:rFonts w:cs="Arial"/>
                <w:b/>
                <w:bCs/>
                <w:i/>
                <w:iCs/>
                <w:color w:val="000066"/>
                <w:sz w:val="22"/>
                <w:szCs w:val="22"/>
                <w:lang w:val="en-US" w:eastAsia="it-IT"/>
              </w:rPr>
              <w:t>6</w:t>
            </w:r>
            <w:r w:rsidR="00FA5F5F" w:rsidRPr="00FA228D">
              <w:rPr>
                <w:rFonts w:cs="Arial"/>
                <w:b/>
                <w:bCs/>
                <w:i/>
                <w:iCs/>
                <w:color w:val="000066"/>
                <w:sz w:val="22"/>
                <w:szCs w:val="22"/>
                <w:lang w:val="en-US" w:eastAsia="it-IT"/>
              </w:rPr>
              <w:t>, 201</w:t>
            </w:r>
            <w:r w:rsidR="007931FA" w:rsidRPr="00FA228D">
              <w:rPr>
                <w:rFonts w:cs="Arial"/>
                <w:b/>
                <w:bCs/>
                <w:i/>
                <w:iCs/>
                <w:color w:val="000066"/>
                <w:sz w:val="22"/>
                <w:szCs w:val="22"/>
                <w:lang w:val="en-US" w:eastAsia="it-IT"/>
              </w:rPr>
              <w:t>9</w:t>
            </w:r>
          </w:p>
        </w:tc>
        <w:tc>
          <w:tcPr>
            <w:tcW w:w="1843" w:type="dxa"/>
            <w:tcBorders>
              <w:left w:val="single" w:sz="4" w:space="0" w:color="auto"/>
              <w:bottom w:val="nil"/>
              <w:right w:val="single" w:sz="4" w:space="0" w:color="auto"/>
            </w:tcBorders>
          </w:tcPr>
          <w:p w14:paraId="64FF37A8" w14:textId="77777777" w:rsidR="000A03B2" w:rsidRPr="00FA228D" w:rsidRDefault="000A03B2" w:rsidP="0062453B">
            <w:pPr>
              <w:widowControl w:val="0"/>
              <w:spacing w:line="140" w:lineRule="atLeast"/>
              <w:jc w:val="right"/>
              <w:rPr>
                <w:rFonts w:cs="Arial"/>
                <w:sz w:val="14"/>
                <w:szCs w:val="14"/>
                <w:lang w:val="en-US"/>
              </w:rPr>
            </w:pPr>
            <w:r w:rsidRPr="00FA228D">
              <w:rPr>
                <w:rFonts w:cs="Arial"/>
                <w:sz w:val="14"/>
                <w:szCs w:val="14"/>
                <w:lang w:val="en-US"/>
              </w:rPr>
              <w:t>A publication of</w:t>
            </w:r>
          </w:p>
          <w:p w14:paraId="2E071BDF" w14:textId="77777777" w:rsidR="000A03B2" w:rsidRPr="00FA228D" w:rsidRDefault="000A03B2" w:rsidP="0062453B">
            <w:pPr>
              <w:widowControl w:val="0"/>
              <w:jc w:val="right"/>
              <w:rPr>
                <w:lang w:val="en-US"/>
              </w:rPr>
            </w:pPr>
            <w:r w:rsidRPr="00FA228D">
              <w:rPr>
                <w:noProof/>
                <w:lang w:val="en-US" w:eastAsia="it-IT"/>
              </w:rPr>
              <w:drawing>
                <wp:inline distT="0" distB="0" distL="0" distR="0" wp14:anchorId="62DEE802" wp14:editId="1C77905C">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FA228D" w14:paraId="5E02DC9E" w14:textId="77777777">
        <w:trPr>
          <w:trHeight w:val="567"/>
          <w:jc w:val="center"/>
        </w:trPr>
        <w:tc>
          <w:tcPr>
            <w:tcW w:w="6946" w:type="dxa"/>
            <w:vMerge/>
            <w:tcBorders>
              <w:right w:val="single" w:sz="4" w:space="0" w:color="auto"/>
            </w:tcBorders>
          </w:tcPr>
          <w:p w14:paraId="5F893006" w14:textId="77777777" w:rsidR="000A03B2" w:rsidRPr="00FA228D" w:rsidRDefault="000A03B2" w:rsidP="0062453B">
            <w:pPr>
              <w:widowControl w:val="0"/>
              <w:tabs>
                <w:tab w:val="left" w:pos="-108"/>
              </w:tabs>
              <w:rPr>
                <w:lang w:val="en-US"/>
              </w:rPr>
            </w:pPr>
          </w:p>
        </w:tc>
        <w:tc>
          <w:tcPr>
            <w:tcW w:w="1843" w:type="dxa"/>
            <w:tcBorders>
              <w:left w:val="single" w:sz="4" w:space="0" w:color="auto"/>
              <w:bottom w:val="nil"/>
              <w:right w:val="single" w:sz="4" w:space="0" w:color="auto"/>
            </w:tcBorders>
          </w:tcPr>
          <w:p w14:paraId="2D043351" w14:textId="77777777" w:rsidR="000A03B2" w:rsidRPr="00FA228D" w:rsidRDefault="000A03B2" w:rsidP="0062453B">
            <w:pPr>
              <w:widowControl w:val="0"/>
              <w:spacing w:line="140" w:lineRule="atLeast"/>
              <w:jc w:val="right"/>
              <w:rPr>
                <w:rFonts w:cs="Arial"/>
                <w:sz w:val="14"/>
                <w:szCs w:val="14"/>
                <w:lang w:val="en-US"/>
              </w:rPr>
            </w:pPr>
            <w:r w:rsidRPr="00FA228D">
              <w:rPr>
                <w:rFonts w:cs="Arial"/>
                <w:sz w:val="14"/>
                <w:szCs w:val="14"/>
                <w:lang w:val="en-US"/>
              </w:rPr>
              <w:t>The Italian Association</w:t>
            </w:r>
          </w:p>
          <w:p w14:paraId="15317BCD" w14:textId="77777777" w:rsidR="000A03B2" w:rsidRPr="00FA228D" w:rsidRDefault="000A03B2" w:rsidP="0062453B">
            <w:pPr>
              <w:widowControl w:val="0"/>
              <w:spacing w:line="140" w:lineRule="atLeast"/>
              <w:jc w:val="right"/>
              <w:rPr>
                <w:rFonts w:cs="Arial"/>
                <w:sz w:val="14"/>
                <w:szCs w:val="14"/>
                <w:lang w:val="en-US"/>
              </w:rPr>
            </w:pPr>
            <w:r w:rsidRPr="00FA228D">
              <w:rPr>
                <w:rFonts w:cs="Arial"/>
                <w:sz w:val="14"/>
                <w:szCs w:val="14"/>
                <w:lang w:val="en-US"/>
              </w:rPr>
              <w:t>of Chemical Engineering</w:t>
            </w:r>
          </w:p>
          <w:p w14:paraId="266724FE" w14:textId="77777777" w:rsidR="000A03B2" w:rsidRPr="00FA228D" w:rsidRDefault="000A03B2" w:rsidP="0062453B">
            <w:pPr>
              <w:widowControl w:val="0"/>
              <w:spacing w:line="140" w:lineRule="atLeast"/>
              <w:jc w:val="right"/>
              <w:rPr>
                <w:rFonts w:cs="Arial"/>
                <w:sz w:val="14"/>
                <w:szCs w:val="14"/>
                <w:lang w:val="en-US"/>
              </w:rPr>
            </w:pPr>
            <w:r w:rsidRPr="00FA228D">
              <w:rPr>
                <w:rFonts w:cs="Arial"/>
                <w:sz w:val="14"/>
                <w:szCs w:val="14"/>
                <w:lang w:val="en-US"/>
              </w:rPr>
              <w:t xml:space="preserve">Online at </w:t>
            </w:r>
            <w:r w:rsidR="00162642" w:rsidRPr="00FA228D">
              <w:rPr>
                <w:rFonts w:cs="Arial"/>
                <w:sz w:val="14"/>
                <w:szCs w:val="14"/>
                <w:lang w:val="en-US"/>
              </w:rPr>
              <w:t>www.cetjournal.it</w:t>
            </w:r>
          </w:p>
        </w:tc>
      </w:tr>
      <w:tr w:rsidR="000A03B2" w:rsidRPr="00FA228D" w14:paraId="0E69CF89" w14:textId="77777777">
        <w:trPr>
          <w:trHeight w:val="68"/>
          <w:jc w:val="center"/>
        </w:trPr>
        <w:tc>
          <w:tcPr>
            <w:tcW w:w="8789" w:type="dxa"/>
            <w:gridSpan w:val="2"/>
          </w:tcPr>
          <w:p w14:paraId="2ED68A04" w14:textId="77777777" w:rsidR="00300E56" w:rsidRPr="00FA228D" w:rsidRDefault="00300E56" w:rsidP="0062453B">
            <w:pPr>
              <w:widowControl w:val="0"/>
              <w:ind w:left="-107"/>
              <w:rPr>
                <w:lang w:val="en-US"/>
              </w:rPr>
            </w:pPr>
            <w:r w:rsidRPr="00FA228D">
              <w:rPr>
                <w:rFonts w:ascii="Tahoma" w:hAnsi="Tahoma" w:cs="Tahoma"/>
                <w:iCs/>
                <w:color w:val="333333"/>
                <w:sz w:val="14"/>
                <w:szCs w:val="14"/>
                <w:lang w:val="en-US" w:eastAsia="it-IT"/>
              </w:rPr>
              <w:t>Guest Editors:</w:t>
            </w:r>
            <w:r w:rsidR="00904C62" w:rsidRPr="00FA228D">
              <w:rPr>
                <w:rFonts w:ascii="Tahoma" w:hAnsi="Tahoma" w:cs="Tahoma"/>
                <w:iCs/>
                <w:color w:val="333333"/>
                <w:sz w:val="14"/>
                <w:szCs w:val="14"/>
                <w:lang w:val="en-US" w:eastAsia="it-IT"/>
              </w:rPr>
              <w:t xml:space="preserve"> </w:t>
            </w:r>
            <w:proofErr w:type="spellStart"/>
            <w:r w:rsidR="009635B9" w:rsidRPr="00FA228D">
              <w:rPr>
                <w:rFonts w:ascii="Tahoma" w:hAnsi="Tahoma" w:cs="Tahoma"/>
                <w:sz w:val="14"/>
                <w:szCs w:val="14"/>
                <w:lang w:val="en-US"/>
              </w:rPr>
              <w:t>Sauro</w:t>
            </w:r>
            <w:proofErr w:type="spellEnd"/>
            <w:r w:rsidR="009635B9" w:rsidRPr="00FA228D">
              <w:rPr>
                <w:rFonts w:ascii="Tahoma" w:hAnsi="Tahoma" w:cs="Tahoma"/>
                <w:sz w:val="14"/>
                <w:szCs w:val="14"/>
                <w:lang w:val="en-US"/>
              </w:rPr>
              <w:t xml:space="preserve"> </w:t>
            </w:r>
            <w:proofErr w:type="spellStart"/>
            <w:r w:rsidR="009635B9" w:rsidRPr="00FA228D">
              <w:rPr>
                <w:rFonts w:ascii="Tahoma" w:hAnsi="Tahoma" w:cs="Tahoma"/>
                <w:sz w:val="14"/>
                <w:szCs w:val="14"/>
                <w:lang w:val="en-US"/>
              </w:rPr>
              <w:t>Pierucci</w:t>
            </w:r>
            <w:proofErr w:type="spellEnd"/>
            <w:r w:rsidR="009635B9" w:rsidRPr="00FA228D">
              <w:rPr>
                <w:rFonts w:ascii="Tahoma" w:hAnsi="Tahoma" w:cs="Tahoma"/>
                <w:sz w:val="14"/>
                <w:szCs w:val="14"/>
                <w:lang w:val="en-US"/>
              </w:rPr>
              <w:t>,</w:t>
            </w:r>
            <w:r w:rsidR="003B60F3" w:rsidRPr="00FA228D">
              <w:rPr>
                <w:rFonts w:ascii="Tahoma" w:hAnsi="Tahoma" w:cs="Tahoma"/>
                <w:sz w:val="14"/>
                <w:szCs w:val="14"/>
                <w:lang w:val="en-US"/>
              </w:rPr>
              <w:t xml:space="preserve"> </w:t>
            </w:r>
            <w:proofErr w:type="spellStart"/>
            <w:r w:rsidR="00047D7F" w:rsidRPr="00FA228D">
              <w:rPr>
                <w:rFonts w:ascii="Tahoma" w:hAnsi="Tahoma" w:cs="Tahoma"/>
                <w:sz w:val="14"/>
                <w:szCs w:val="14"/>
                <w:shd w:val="clear" w:color="auto" w:fill="FFFFFF"/>
                <w:lang w:val="en-US"/>
              </w:rPr>
              <w:t>Jiří</w:t>
            </w:r>
            <w:proofErr w:type="spellEnd"/>
            <w:r w:rsidR="00047D7F" w:rsidRPr="00FA228D">
              <w:rPr>
                <w:rFonts w:ascii="Tahoma" w:hAnsi="Tahoma" w:cs="Tahoma"/>
                <w:sz w:val="14"/>
                <w:szCs w:val="14"/>
                <w:shd w:val="clear" w:color="auto" w:fill="FFFFFF"/>
                <w:lang w:val="en-US"/>
              </w:rPr>
              <w:t xml:space="preserve"> </w:t>
            </w:r>
            <w:proofErr w:type="spellStart"/>
            <w:r w:rsidR="00047D7F" w:rsidRPr="00FA228D">
              <w:rPr>
                <w:rFonts w:ascii="Tahoma" w:hAnsi="Tahoma" w:cs="Tahoma"/>
                <w:sz w:val="14"/>
                <w:szCs w:val="14"/>
                <w:shd w:val="clear" w:color="auto" w:fill="FFFFFF"/>
                <w:lang w:val="en-US"/>
              </w:rPr>
              <w:t>Jaromír</w:t>
            </w:r>
            <w:proofErr w:type="spellEnd"/>
            <w:r w:rsidR="00047D7F" w:rsidRPr="00FA228D">
              <w:rPr>
                <w:rFonts w:ascii="Tahoma" w:hAnsi="Tahoma" w:cs="Tahoma"/>
                <w:sz w:val="14"/>
                <w:szCs w:val="14"/>
                <w:shd w:val="clear" w:color="auto" w:fill="FFFFFF"/>
                <w:lang w:val="en-US"/>
              </w:rPr>
              <w:t xml:space="preserve"> </w:t>
            </w:r>
            <w:proofErr w:type="spellStart"/>
            <w:r w:rsidR="00047D7F" w:rsidRPr="00FA228D">
              <w:rPr>
                <w:rFonts w:ascii="Tahoma" w:hAnsi="Tahoma" w:cs="Tahoma"/>
                <w:sz w:val="14"/>
                <w:szCs w:val="14"/>
                <w:shd w:val="clear" w:color="auto" w:fill="FFFFFF"/>
                <w:lang w:val="en-US"/>
              </w:rPr>
              <w:t>Klemeš</w:t>
            </w:r>
            <w:proofErr w:type="spellEnd"/>
            <w:r w:rsidR="00252C1A" w:rsidRPr="00FA228D">
              <w:rPr>
                <w:rFonts w:ascii="Tahoma" w:hAnsi="Tahoma" w:cs="Tahoma"/>
                <w:sz w:val="14"/>
                <w:szCs w:val="14"/>
                <w:shd w:val="clear" w:color="auto" w:fill="FFFFFF"/>
                <w:lang w:val="en-US"/>
              </w:rPr>
              <w:t>, Laura Piazza</w:t>
            </w:r>
          </w:p>
          <w:p w14:paraId="77799584" w14:textId="77777777" w:rsidR="000A03B2" w:rsidRPr="00FA228D" w:rsidRDefault="00FA5F5F" w:rsidP="0062453B">
            <w:pPr>
              <w:widowControl w:val="0"/>
              <w:tabs>
                <w:tab w:val="left" w:pos="-108"/>
              </w:tabs>
              <w:spacing w:line="140" w:lineRule="atLeast"/>
              <w:ind w:left="-107"/>
              <w:jc w:val="left"/>
              <w:rPr>
                <w:lang w:val="en-US"/>
              </w:rPr>
            </w:pPr>
            <w:r w:rsidRPr="00FA228D">
              <w:rPr>
                <w:rFonts w:ascii="Tahoma" w:hAnsi="Tahoma" w:cs="Tahoma"/>
                <w:iCs/>
                <w:color w:val="333333"/>
                <w:sz w:val="14"/>
                <w:szCs w:val="14"/>
                <w:lang w:val="en-US" w:eastAsia="it-IT"/>
              </w:rPr>
              <w:t>Copyright © 201</w:t>
            </w:r>
            <w:r w:rsidR="007931FA" w:rsidRPr="00FA228D">
              <w:rPr>
                <w:rFonts w:ascii="Tahoma" w:hAnsi="Tahoma" w:cs="Tahoma"/>
                <w:iCs/>
                <w:color w:val="333333"/>
                <w:sz w:val="14"/>
                <w:szCs w:val="14"/>
                <w:lang w:val="en-US" w:eastAsia="it-IT"/>
              </w:rPr>
              <w:t>9</w:t>
            </w:r>
            <w:r w:rsidR="00904C62" w:rsidRPr="00FA228D">
              <w:rPr>
                <w:rFonts w:ascii="Tahoma" w:hAnsi="Tahoma" w:cs="Tahoma"/>
                <w:iCs/>
                <w:color w:val="333333"/>
                <w:sz w:val="14"/>
                <w:szCs w:val="14"/>
                <w:lang w:val="en-US" w:eastAsia="it-IT"/>
              </w:rPr>
              <w:t xml:space="preserve">, AIDIC </w:t>
            </w:r>
            <w:proofErr w:type="spellStart"/>
            <w:r w:rsidR="00904C62" w:rsidRPr="00FA228D">
              <w:rPr>
                <w:rFonts w:ascii="Tahoma" w:hAnsi="Tahoma" w:cs="Tahoma"/>
                <w:iCs/>
                <w:color w:val="333333"/>
                <w:sz w:val="14"/>
                <w:szCs w:val="14"/>
                <w:lang w:val="en-US" w:eastAsia="it-IT"/>
              </w:rPr>
              <w:t>Servizi</w:t>
            </w:r>
            <w:proofErr w:type="spellEnd"/>
            <w:r w:rsidR="00904C62" w:rsidRPr="00FA228D">
              <w:rPr>
                <w:rFonts w:ascii="Tahoma" w:hAnsi="Tahoma" w:cs="Tahoma"/>
                <w:iCs/>
                <w:color w:val="333333"/>
                <w:sz w:val="14"/>
                <w:szCs w:val="14"/>
                <w:lang w:val="en-US" w:eastAsia="it-IT"/>
              </w:rPr>
              <w:t xml:space="preserve"> </w:t>
            </w:r>
            <w:proofErr w:type="spellStart"/>
            <w:r w:rsidR="00904C62" w:rsidRPr="00FA228D">
              <w:rPr>
                <w:rFonts w:ascii="Tahoma" w:hAnsi="Tahoma" w:cs="Tahoma"/>
                <w:iCs/>
                <w:color w:val="333333"/>
                <w:sz w:val="14"/>
                <w:szCs w:val="14"/>
                <w:lang w:val="en-US" w:eastAsia="it-IT"/>
              </w:rPr>
              <w:t>S.r.l</w:t>
            </w:r>
            <w:proofErr w:type="spellEnd"/>
            <w:r w:rsidR="00904C62" w:rsidRPr="00FA228D">
              <w:rPr>
                <w:rFonts w:ascii="Tahoma" w:hAnsi="Tahoma" w:cs="Tahoma"/>
                <w:iCs/>
                <w:color w:val="333333"/>
                <w:sz w:val="14"/>
                <w:szCs w:val="14"/>
                <w:lang w:val="en-US" w:eastAsia="it-IT"/>
              </w:rPr>
              <w:t>.</w:t>
            </w:r>
            <w:r w:rsidR="00300E56" w:rsidRPr="00FA228D">
              <w:rPr>
                <w:rFonts w:ascii="Tahoma" w:hAnsi="Tahoma" w:cs="Tahoma"/>
                <w:iCs/>
                <w:color w:val="333333"/>
                <w:sz w:val="14"/>
                <w:szCs w:val="14"/>
                <w:lang w:val="en-US" w:eastAsia="it-IT"/>
              </w:rPr>
              <w:br/>
            </w:r>
            <w:r w:rsidR="00300E56" w:rsidRPr="00FA228D">
              <w:rPr>
                <w:rFonts w:ascii="Tahoma" w:hAnsi="Tahoma" w:cs="Tahoma"/>
                <w:b/>
                <w:iCs/>
                <w:color w:val="000000"/>
                <w:sz w:val="14"/>
                <w:szCs w:val="14"/>
                <w:lang w:val="en-US" w:eastAsia="it-IT"/>
              </w:rPr>
              <w:t>ISBN</w:t>
            </w:r>
            <w:r w:rsidR="00300E56" w:rsidRPr="00FA228D">
              <w:rPr>
                <w:rFonts w:ascii="Tahoma" w:hAnsi="Tahoma" w:cs="Tahoma"/>
                <w:iCs/>
                <w:color w:val="000000"/>
                <w:sz w:val="14"/>
                <w:szCs w:val="14"/>
                <w:lang w:val="en-US" w:eastAsia="it-IT"/>
              </w:rPr>
              <w:t xml:space="preserve"> </w:t>
            </w:r>
            <w:r w:rsidR="008D32B9" w:rsidRPr="00FA228D">
              <w:rPr>
                <w:rFonts w:ascii="Tahoma" w:hAnsi="Tahoma" w:cs="Tahoma"/>
                <w:sz w:val="14"/>
                <w:szCs w:val="14"/>
                <w:lang w:val="en-US"/>
              </w:rPr>
              <w:t>978-88-95608-</w:t>
            </w:r>
            <w:r w:rsidR="009635B9" w:rsidRPr="00FA228D">
              <w:rPr>
                <w:rFonts w:ascii="Tahoma" w:hAnsi="Tahoma" w:cs="Tahoma"/>
                <w:sz w:val="14"/>
                <w:szCs w:val="14"/>
                <w:lang w:val="en-US"/>
              </w:rPr>
              <w:t>73</w:t>
            </w:r>
            <w:r w:rsidR="008D32B9" w:rsidRPr="00FA228D">
              <w:rPr>
                <w:rFonts w:ascii="Tahoma" w:hAnsi="Tahoma" w:cs="Tahoma"/>
                <w:sz w:val="14"/>
                <w:szCs w:val="14"/>
                <w:lang w:val="en-US"/>
              </w:rPr>
              <w:t>-</w:t>
            </w:r>
            <w:r w:rsidR="009635B9" w:rsidRPr="00FA228D">
              <w:rPr>
                <w:rFonts w:ascii="Tahoma" w:hAnsi="Tahoma" w:cs="Tahoma"/>
                <w:sz w:val="14"/>
                <w:szCs w:val="14"/>
                <w:lang w:val="en-US"/>
              </w:rPr>
              <w:t>0</w:t>
            </w:r>
            <w:r w:rsidR="00300E56" w:rsidRPr="00FA228D">
              <w:rPr>
                <w:rFonts w:ascii="Tahoma" w:hAnsi="Tahoma" w:cs="Tahoma"/>
                <w:iCs/>
                <w:color w:val="333333"/>
                <w:sz w:val="14"/>
                <w:szCs w:val="14"/>
                <w:lang w:val="en-US" w:eastAsia="it-IT"/>
              </w:rPr>
              <w:t xml:space="preserve">; </w:t>
            </w:r>
            <w:r w:rsidR="00300E56" w:rsidRPr="00FA228D">
              <w:rPr>
                <w:rFonts w:ascii="Tahoma" w:hAnsi="Tahoma" w:cs="Tahoma"/>
                <w:b/>
                <w:iCs/>
                <w:color w:val="333333"/>
                <w:sz w:val="14"/>
                <w:szCs w:val="14"/>
                <w:lang w:val="en-US" w:eastAsia="it-IT"/>
              </w:rPr>
              <w:t>ISSN</w:t>
            </w:r>
            <w:r w:rsidR="00300E56" w:rsidRPr="00FA228D">
              <w:rPr>
                <w:rFonts w:ascii="Tahoma" w:hAnsi="Tahoma" w:cs="Tahoma"/>
                <w:iCs/>
                <w:color w:val="333333"/>
                <w:sz w:val="14"/>
                <w:szCs w:val="14"/>
                <w:lang w:val="en-US" w:eastAsia="it-IT"/>
              </w:rPr>
              <w:t xml:space="preserve"> 2283-9216</w:t>
            </w:r>
          </w:p>
        </w:tc>
      </w:tr>
    </w:tbl>
    <w:p w14:paraId="0C4B6183" w14:textId="77777777" w:rsidR="000A03B2" w:rsidRPr="00FA228D" w:rsidRDefault="000A03B2" w:rsidP="0062453B">
      <w:pPr>
        <w:pStyle w:val="CETAuthors"/>
        <w:widowControl w:val="0"/>
        <w:rPr>
          <w:lang w:val="en-US"/>
        </w:rPr>
        <w:sectPr w:rsidR="000A03B2" w:rsidRPr="00FA228D">
          <w:type w:val="continuous"/>
          <w:pgSz w:w="11906" w:h="16838" w:code="9"/>
          <w:pgMar w:top="1701" w:right="1418" w:bottom="1701" w:left="1701" w:header="1701" w:footer="0" w:gutter="0"/>
          <w:cols w:space="708"/>
          <w:titlePg/>
          <w:docGrid w:linePitch="360"/>
        </w:sectPr>
      </w:pPr>
    </w:p>
    <w:p w14:paraId="42E88E8B" w14:textId="77777777" w:rsidR="00E978D0" w:rsidRPr="00FA228D" w:rsidRDefault="003406E5" w:rsidP="0062453B">
      <w:pPr>
        <w:pStyle w:val="CETTitle"/>
        <w:widowControl w:val="0"/>
        <w:rPr>
          <w:lang w:val="en-US"/>
        </w:rPr>
      </w:pPr>
      <w:r w:rsidRPr="00FA228D">
        <w:rPr>
          <w:lang w:val="en-US"/>
        </w:rPr>
        <w:lastRenderedPageBreak/>
        <w:t>Self-assembling Nanotechnology for Cancer Personalized Medicine</w:t>
      </w:r>
    </w:p>
    <w:p w14:paraId="6EB14DEC" w14:textId="77777777" w:rsidR="00E978D0" w:rsidRPr="00FA228D" w:rsidRDefault="00853BDD" w:rsidP="0062453B">
      <w:pPr>
        <w:pStyle w:val="CETAuthors"/>
        <w:widowControl w:val="0"/>
        <w:rPr>
          <w:lang w:val="en-US"/>
        </w:rPr>
      </w:pPr>
      <w:r w:rsidRPr="00FA228D">
        <w:rPr>
          <w:lang w:val="en-US"/>
        </w:rPr>
        <w:t>Domenico</w:t>
      </w:r>
      <w:r w:rsidR="00CD6412" w:rsidRPr="00FA228D">
        <w:rPr>
          <w:lang w:val="en-US"/>
        </w:rPr>
        <w:t xml:space="preserve"> </w:t>
      </w:r>
      <w:r w:rsidRPr="00FA228D">
        <w:rPr>
          <w:lang w:val="en-US"/>
        </w:rPr>
        <w:t>Marson</w:t>
      </w:r>
      <w:r w:rsidR="00CD6412" w:rsidRPr="00FA228D">
        <w:rPr>
          <w:lang w:val="en-US"/>
        </w:rPr>
        <w:t xml:space="preserve">*, </w:t>
      </w:r>
      <w:r w:rsidRPr="00FA228D">
        <w:rPr>
          <w:lang w:val="en-US"/>
        </w:rPr>
        <w:t>Erik</w:t>
      </w:r>
      <w:r w:rsidR="00CD6412" w:rsidRPr="00FA228D">
        <w:rPr>
          <w:lang w:val="en-US"/>
        </w:rPr>
        <w:t xml:space="preserve"> </w:t>
      </w:r>
      <w:r w:rsidRPr="00FA228D">
        <w:rPr>
          <w:lang w:val="en-US"/>
        </w:rPr>
        <w:t>Laurini</w:t>
      </w:r>
      <w:r w:rsidR="00CD6412" w:rsidRPr="00FA228D">
        <w:rPr>
          <w:lang w:val="en-US"/>
        </w:rPr>
        <w:t>, Suzana Aulic, Maurizio Fermeglia</w:t>
      </w:r>
      <w:r w:rsidR="00CB4262" w:rsidRPr="00FA228D">
        <w:rPr>
          <w:lang w:val="en-US"/>
        </w:rPr>
        <w:t>, Sabrina Pricl</w:t>
      </w:r>
    </w:p>
    <w:p w14:paraId="2307585D" w14:textId="77777777" w:rsidR="00E978D0" w:rsidRPr="00FA228D" w:rsidRDefault="00CB4262" w:rsidP="0062453B">
      <w:pPr>
        <w:pStyle w:val="CETAddress"/>
        <w:widowControl w:val="0"/>
        <w:rPr>
          <w:lang w:val="en-US"/>
        </w:rPr>
      </w:pPr>
      <w:r w:rsidRPr="00FA228D">
        <w:rPr>
          <w:lang w:val="en-US"/>
        </w:rPr>
        <w:t>Molecular Biology and Nanotechnology Laboratory (MolBNL@UniTS), Department of Engineering and Architecture, University of Trieste, Piazzale Europa 1, 34127 Trieste, Italy</w:t>
      </w:r>
    </w:p>
    <w:p w14:paraId="6BD5A48D" w14:textId="6DAF6DF7" w:rsidR="00E978D0" w:rsidRPr="00FA228D" w:rsidRDefault="00C057C3" w:rsidP="0062453B">
      <w:pPr>
        <w:pStyle w:val="CETemail"/>
        <w:widowControl w:val="0"/>
        <w:rPr>
          <w:lang w:val="en-US"/>
        </w:rPr>
      </w:pPr>
      <w:r w:rsidRPr="00FA228D">
        <w:rPr>
          <w:lang w:val="en-US"/>
        </w:rPr>
        <w:t>domenico.marson</w:t>
      </w:r>
      <w:r w:rsidR="00600535" w:rsidRPr="00FA228D">
        <w:rPr>
          <w:lang w:val="en-US"/>
        </w:rPr>
        <w:t>@</w:t>
      </w:r>
      <w:r w:rsidR="00CB4262" w:rsidRPr="00FA228D">
        <w:rPr>
          <w:lang w:val="en-US"/>
        </w:rPr>
        <w:t>dia.units.it</w:t>
      </w:r>
    </w:p>
    <w:p w14:paraId="636E5721" w14:textId="56CC46FA" w:rsidR="0003406E" w:rsidRPr="00FA228D" w:rsidRDefault="008A60A9" w:rsidP="0062453B">
      <w:pPr>
        <w:pStyle w:val="CETListbullets"/>
        <w:widowControl w:val="0"/>
        <w:ind w:left="0" w:firstLine="0"/>
        <w:rPr>
          <w:lang w:val="en-US"/>
        </w:rPr>
      </w:pPr>
      <w:r w:rsidRPr="00FA228D">
        <w:rPr>
          <w:lang w:val="en-US"/>
        </w:rPr>
        <w:t>Theranostics is a new field of medicine</w:t>
      </w:r>
      <w:r w:rsidR="00FB2F3F" w:rsidRPr="00FA228D">
        <w:rPr>
          <w:lang w:val="en-US"/>
        </w:rPr>
        <w:t>,</w:t>
      </w:r>
      <w:r w:rsidRPr="00FA228D">
        <w:rPr>
          <w:lang w:val="en-US"/>
        </w:rPr>
        <w:t xml:space="preserve"> which combines specific targeted therapies </w:t>
      </w:r>
      <w:r w:rsidR="00FB2F3F" w:rsidRPr="00FA228D">
        <w:rPr>
          <w:lang w:val="en-US"/>
        </w:rPr>
        <w:t>and</w:t>
      </w:r>
      <w:r w:rsidRPr="00FA228D">
        <w:rPr>
          <w:lang w:val="en-US"/>
        </w:rPr>
        <w:t xml:space="preserve"> diagnostic tests</w:t>
      </w:r>
      <w:r w:rsidR="00B402F6" w:rsidRPr="00FA228D">
        <w:rPr>
          <w:lang w:val="en-US"/>
        </w:rPr>
        <w:t>. With a key focus on patient ce</w:t>
      </w:r>
      <w:r w:rsidRPr="00FA228D">
        <w:rPr>
          <w:lang w:val="en-US"/>
        </w:rPr>
        <w:t xml:space="preserve">ntered care, theranostics provides a transition </w:t>
      </w:r>
      <w:r w:rsidR="00FB2F3F" w:rsidRPr="00FA228D">
        <w:rPr>
          <w:lang w:val="en-US"/>
        </w:rPr>
        <w:t>from</w:t>
      </w:r>
      <w:r w:rsidRPr="00FA228D">
        <w:rPr>
          <w:lang w:val="en-US"/>
        </w:rPr>
        <w:t xml:space="preserve"> conventional medicine to a contemporary personalized and precision medicine approach. The theranostic paradigm in cancer involves nanoscience to unite diagnostic and therapeutic applications to form </w:t>
      </w:r>
      <w:r w:rsidR="0003406E" w:rsidRPr="00FA228D">
        <w:rPr>
          <w:lang w:val="en-US"/>
        </w:rPr>
        <w:t xml:space="preserve">nanosized </w:t>
      </w:r>
      <w:r w:rsidRPr="00FA228D">
        <w:rPr>
          <w:lang w:val="en-US"/>
        </w:rPr>
        <w:t xml:space="preserve">agents for diagnosis, drug/gene delivery and treatment response monitoring. </w:t>
      </w:r>
      <w:r w:rsidR="0003406E" w:rsidRPr="00FA228D">
        <w:rPr>
          <w:lang w:val="en-US"/>
        </w:rPr>
        <w:t>These nanocarriers can indeed be engineered to precisely control drug/gene/sensor-release rate and/or target specific organs/tissues within the body with a specific amount of therapeutic/diagnostic agent.</w:t>
      </w:r>
      <w:r w:rsidR="000319B9" w:rsidRPr="00FA228D">
        <w:rPr>
          <w:lang w:val="en-US"/>
        </w:rPr>
        <w:t xml:space="preserve"> In order to </w:t>
      </w:r>
      <w:r w:rsidR="00FB2F3F" w:rsidRPr="00FA228D">
        <w:rPr>
          <w:lang w:val="en-US"/>
        </w:rPr>
        <w:t>fulfill</w:t>
      </w:r>
      <w:r w:rsidR="000319B9" w:rsidRPr="00FA228D">
        <w:rPr>
          <w:lang w:val="en-US"/>
        </w:rPr>
        <w:t xml:space="preserve"> these expectations, any nanovector system must be designed to transport the optimum amount of therapeutic/diagnostic cargo to the desired target site where the active principle is to be released at an optimal rate during a specific time window.</w:t>
      </w:r>
    </w:p>
    <w:p w14:paraId="081FF6EF" w14:textId="7D475BD1" w:rsidR="00FD4E0D" w:rsidRPr="00FA228D" w:rsidRDefault="007B5A20" w:rsidP="0062453B">
      <w:pPr>
        <w:pStyle w:val="CETListbullets"/>
        <w:widowControl w:val="0"/>
        <w:ind w:left="0" w:firstLine="0"/>
        <w:rPr>
          <w:lang w:val="en-US"/>
        </w:rPr>
      </w:pPr>
      <w:r w:rsidRPr="00FA228D">
        <w:rPr>
          <w:lang w:val="en-US"/>
        </w:rPr>
        <w:t>Keeping the promises of theranostics</w:t>
      </w:r>
      <w:r w:rsidR="00FD4E0D" w:rsidRPr="00FA228D">
        <w:rPr>
          <w:lang w:val="en-US"/>
        </w:rPr>
        <w:t xml:space="preserve"> </w:t>
      </w:r>
      <w:r w:rsidR="000319B9" w:rsidRPr="00FA228D">
        <w:rPr>
          <w:lang w:val="en-US"/>
        </w:rPr>
        <w:t>is a current formidable challenge in (bio)nanot</w:t>
      </w:r>
      <w:r w:rsidR="00FD4E0D" w:rsidRPr="00FA228D">
        <w:rPr>
          <w:lang w:val="en-US"/>
        </w:rPr>
        <w:t xml:space="preserve">echnology, and major efforts are devoted </w:t>
      </w:r>
      <w:r w:rsidRPr="00FA228D">
        <w:rPr>
          <w:lang w:val="en-US"/>
        </w:rPr>
        <w:t xml:space="preserve">to </w:t>
      </w:r>
      <w:r w:rsidR="00FD4E0D" w:rsidRPr="00FA228D">
        <w:rPr>
          <w:lang w:val="en-US"/>
        </w:rPr>
        <w:t xml:space="preserve">the design of integrated multifunctional and multivalent nanovectors able to provide selective recognition combined with sustained release and/or diagnostic reporting. In this contribution, the </w:t>
      </w:r>
      <w:r w:rsidRPr="00FA228D">
        <w:rPr>
          <w:lang w:val="en-US"/>
        </w:rPr>
        <w:t>pathway</w:t>
      </w:r>
      <w:r w:rsidR="005862F4" w:rsidRPr="00FA228D">
        <w:rPr>
          <w:lang w:val="en-US"/>
        </w:rPr>
        <w:t xml:space="preserve"> </w:t>
      </w:r>
      <w:r w:rsidR="00FD4E0D" w:rsidRPr="00FA228D">
        <w:rPr>
          <w:lang w:val="en-US"/>
        </w:rPr>
        <w:t xml:space="preserve">leading to </w:t>
      </w:r>
      <w:r w:rsidRPr="00FA228D">
        <w:rPr>
          <w:lang w:val="en-US"/>
        </w:rPr>
        <w:t>two</w:t>
      </w:r>
      <w:r w:rsidR="00FD4E0D" w:rsidRPr="00FA228D">
        <w:rPr>
          <w:lang w:val="en-US"/>
        </w:rPr>
        <w:t xml:space="preserve"> types of </w:t>
      </w:r>
      <w:r w:rsidR="005862F4" w:rsidRPr="00FA228D">
        <w:rPr>
          <w:lang w:val="en-US"/>
        </w:rPr>
        <w:t xml:space="preserve">nanosystems obtained by </w:t>
      </w:r>
      <w:r w:rsidR="00FD4E0D" w:rsidRPr="00FA228D">
        <w:rPr>
          <w:lang w:val="en-US"/>
        </w:rPr>
        <w:t>exploiting the quintessence of nanotechnology, i.e., the self-assembling process of</w:t>
      </w:r>
      <w:r w:rsidR="005862F4" w:rsidRPr="00FA228D">
        <w:rPr>
          <w:lang w:val="en-US"/>
        </w:rPr>
        <w:t xml:space="preserve"> </w:t>
      </w:r>
      <w:r w:rsidR="00FD4E0D" w:rsidRPr="00FA228D">
        <w:rPr>
          <w:lang w:val="en-US"/>
        </w:rPr>
        <w:t>small, amphiphilic molecules</w:t>
      </w:r>
      <w:r w:rsidRPr="00FA228D">
        <w:rPr>
          <w:lang w:val="en-US"/>
        </w:rPr>
        <w:t>, is reported.</w:t>
      </w:r>
      <w:r w:rsidR="00FD4E0D" w:rsidRPr="00FA228D">
        <w:rPr>
          <w:lang w:val="en-US"/>
        </w:rPr>
        <w:t xml:space="preserve"> </w:t>
      </w:r>
      <w:r w:rsidR="005862F4" w:rsidRPr="00FA228D">
        <w:rPr>
          <w:lang w:val="en-US"/>
        </w:rPr>
        <w:t xml:space="preserve">Depending on the specific chemistry adopted, these nanomicelles are able to </w:t>
      </w:r>
      <w:r w:rsidR="00FD4E0D" w:rsidRPr="00FA228D">
        <w:rPr>
          <w:lang w:val="en-US"/>
        </w:rPr>
        <w:t xml:space="preserve">perform specific and effective gene silencing via targeted small interfering </w:t>
      </w:r>
      <w:r w:rsidR="005862F4" w:rsidRPr="00FA228D">
        <w:rPr>
          <w:lang w:val="en-US"/>
        </w:rPr>
        <w:t>RNA (siRNA) delivery, and p</w:t>
      </w:r>
      <w:r w:rsidR="00FD4E0D" w:rsidRPr="00FA228D">
        <w:rPr>
          <w:lang w:val="en-US"/>
        </w:rPr>
        <w:t>rovide PET images with significantly superior imaging quality relating to sensitivity, specificity and</w:t>
      </w:r>
      <w:r w:rsidR="005862F4" w:rsidRPr="00FA228D">
        <w:rPr>
          <w:lang w:val="en-US"/>
        </w:rPr>
        <w:t xml:space="preserve"> </w:t>
      </w:r>
      <w:r w:rsidR="00FD4E0D" w:rsidRPr="00FA228D">
        <w:rPr>
          <w:lang w:val="en-US"/>
        </w:rPr>
        <w:t>accuracy when compared to the clinical standard [</w:t>
      </w:r>
      <w:r w:rsidR="00FD4E0D" w:rsidRPr="00FA228D">
        <w:rPr>
          <w:vertAlign w:val="superscript"/>
          <w:lang w:val="en-US"/>
        </w:rPr>
        <w:t>18</w:t>
      </w:r>
      <w:r w:rsidR="00FD4E0D" w:rsidRPr="00FA228D">
        <w:rPr>
          <w:lang w:val="en-US"/>
        </w:rPr>
        <w:t>F]FDG.</w:t>
      </w:r>
    </w:p>
    <w:p w14:paraId="44443612" w14:textId="77777777" w:rsidR="00600535" w:rsidRPr="00FA228D" w:rsidRDefault="00600535" w:rsidP="0062453B">
      <w:pPr>
        <w:pStyle w:val="CETHeading1"/>
        <w:widowControl w:val="0"/>
      </w:pPr>
      <w:r w:rsidRPr="00FA228D">
        <w:t>Introduction</w:t>
      </w:r>
    </w:p>
    <w:p w14:paraId="039E49BB" w14:textId="211A0021" w:rsidR="005862F4" w:rsidRPr="00FA228D" w:rsidRDefault="005862F4" w:rsidP="0062453B">
      <w:pPr>
        <w:pStyle w:val="CETBodytext"/>
        <w:widowControl w:val="0"/>
      </w:pPr>
      <w:r w:rsidRPr="00FA228D">
        <w:t xml:space="preserve">Nanostructured and nanosized materials present several features in the field of theranostics, i.e., the </w:t>
      </w:r>
      <w:r w:rsidR="00F32DB1" w:rsidRPr="00FA228D">
        <w:t>relatively new branch</w:t>
      </w:r>
      <w:r w:rsidRPr="00FA228D">
        <w:t xml:space="preserve"> of medicine </w:t>
      </w:r>
      <w:r w:rsidR="00B83736" w:rsidRPr="00FA228D">
        <w:t>which combines specific targeted therapies and diagnostic tests</w:t>
      </w:r>
      <w:r w:rsidRPr="00FA228D">
        <w:t xml:space="preserve">, particularly in oncology. First, they can selectively accumulate in tumor tissues by virtue of their enhanced permeation and retention (EPR) effect. Also, </w:t>
      </w:r>
      <w:r w:rsidR="00AC148C" w:rsidRPr="00FA228D">
        <w:t>their increased surface area or specific size-linked effects may reflect into a variety of pharmacokinetic</w:t>
      </w:r>
      <w:r w:rsidR="000B5751" w:rsidRPr="00FA228D">
        <w:t>s</w:t>
      </w:r>
      <w:r w:rsidR="00AC148C" w:rsidRPr="00FA228D">
        <w:t>, pharmacodynamics and bio</w:t>
      </w:r>
      <w:r w:rsidR="000B5751" w:rsidRPr="00FA228D">
        <w:t>-</w:t>
      </w:r>
      <w:r w:rsidR="00AC148C" w:rsidRPr="00FA228D">
        <w:t>distribution properties.</w:t>
      </w:r>
      <w:r w:rsidR="00FD3312" w:rsidRPr="00FA228D">
        <w:t xml:space="preserve"> Self-assembled na</w:t>
      </w:r>
      <w:r w:rsidR="00945BDC" w:rsidRPr="00FA228D">
        <w:t xml:space="preserve">novectors are nanomaterials whose design is often inspired by nature, as many biological systems originate from self-assembling mechanisms. In order to serve the goals of drug/gene delivery and sensor-reporting diagnostics, different components must be assembled to yield multivalent and multifunctional nanocarriers. To be effective in theranostics applications, these nanoparticles must present high drug/gene/sensor uptake, specific organ/tissue distribution, and optimal pharmacological properties to maximize efficacy while reducing side effects. </w:t>
      </w:r>
      <w:r w:rsidR="00F5247D" w:rsidRPr="00FA228D">
        <w:t>Two main principles underlay the design and production of self-assembled nanovectors (SA</w:t>
      </w:r>
      <w:r w:rsidR="000B5751" w:rsidRPr="00FA228D">
        <w:t>N</w:t>
      </w:r>
      <w:r w:rsidR="00F5247D" w:rsidRPr="00FA228D">
        <w:t>Vs): passive targeting strategies (exploiting the EPR effect) and active target</w:t>
      </w:r>
      <w:r w:rsidR="00825528" w:rsidRPr="00FA228D">
        <w:t>ing</w:t>
      </w:r>
      <w:r w:rsidR="00F5247D" w:rsidRPr="00FA228D">
        <w:t xml:space="preserve"> strategies, according to which drug/gene delivery selectivity is enhanced by exploiting specific biological properties such as, e.g.</w:t>
      </w:r>
      <w:r w:rsidR="00A23766" w:rsidRPr="00FA228D">
        <w:t>, receptor/ligand interactions.</w:t>
      </w:r>
    </w:p>
    <w:p w14:paraId="6A7F466D" w14:textId="116D0EBE" w:rsidR="005862F4" w:rsidRPr="00FA228D" w:rsidRDefault="00A23766" w:rsidP="0062453B">
      <w:pPr>
        <w:pStyle w:val="CETBodytext"/>
        <w:widowControl w:val="0"/>
      </w:pPr>
      <w:r w:rsidRPr="00FA228D">
        <w:t>Self-assembly is a prototypical nanotechnology method according to which atoms or, more often, molecules spontaneously arrange themselves into specific patterns via secondary forces, such as hydrogen bonding, electrostatics, van der Waals interactions and hydrophobic effects.</w:t>
      </w:r>
      <w:r w:rsidR="002C45AE" w:rsidRPr="00FA228D">
        <w:t xml:space="preserve"> A key feature of self-assembly is the multivalent, cooperative and synergistic nature of the intermolecular interactions leading to the organization of individual molecular entities into well-defined nanosized structures. This approach present at least </w:t>
      </w:r>
      <w:r w:rsidR="00825528" w:rsidRPr="00FA228D">
        <w:t>two</w:t>
      </w:r>
      <w:r w:rsidR="00B96E0C" w:rsidRPr="00FA228D">
        <w:t xml:space="preserve"> major </w:t>
      </w:r>
      <w:r w:rsidR="00B96E0C" w:rsidRPr="00FA228D">
        <w:lastRenderedPageBreak/>
        <w:t xml:space="preserve">conceptual advantages. </w:t>
      </w:r>
      <w:r w:rsidR="00D93F31" w:rsidRPr="00FA228D">
        <w:t xml:space="preserve">The first relies on the evidence that the driving forces governing self-assembly lead to the formation of the </w:t>
      </w:r>
      <w:proofErr w:type="spellStart"/>
      <w:r w:rsidR="00D93F31" w:rsidRPr="00FA228D">
        <w:t>nano</w:t>
      </w:r>
      <w:proofErr w:type="spellEnd"/>
      <w:r w:rsidR="00D93F31" w:rsidRPr="00FA228D">
        <w:t>-objects virtually with no flaws</w:t>
      </w:r>
      <w:r w:rsidR="00132122" w:rsidRPr="00FA228D">
        <w:t>, as</w:t>
      </w:r>
      <w:r w:rsidR="00AB335D" w:rsidRPr="00FA228D">
        <w:t xml:space="preserve"> interactions between </w:t>
      </w:r>
      <w:r w:rsidR="00132122" w:rsidRPr="00FA228D">
        <w:t xml:space="preserve">the </w:t>
      </w:r>
      <w:r w:rsidR="00AB335D" w:rsidRPr="00FA228D">
        <w:t>nanomicelle building blocks are mediated by specific molecular recognition</w:t>
      </w:r>
      <w:r w:rsidR="00F74D89" w:rsidRPr="00FA228D">
        <w:t xml:space="preserve"> ultimately resulting in complex and ordered</w:t>
      </w:r>
      <w:r w:rsidR="00AB335D" w:rsidRPr="00FA228D">
        <w:t xml:space="preserve"> </w:t>
      </w:r>
      <w:r w:rsidR="00F74D89" w:rsidRPr="00FA228D">
        <w:t xml:space="preserve">nanoscale </w:t>
      </w:r>
      <w:r w:rsidR="00AB335D" w:rsidRPr="00FA228D">
        <w:t xml:space="preserve">structures. The second, by no means less </w:t>
      </w:r>
      <w:r w:rsidR="000B208D" w:rsidRPr="00FA228D">
        <w:t>important</w:t>
      </w:r>
      <w:r w:rsidR="00AB335D" w:rsidRPr="00FA228D">
        <w:t xml:space="preserve"> benefit of self-assembly is that</w:t>
      </w:r>
      <w:r w:rsidR="00D93F31" w:rsidRPr="00FA228D">
        <w:t xml:space="preserve"> very small amo</w:t>
      </w:r>
      <w:r w:rsidR="00F65CC3" w:rsidRPr="00FA228D">
        <w:t>unts of material is req</w:t>
      </w:r>
      <w:r w:rsidR="00DD3EBB" w:rsidRPr="00FA228D">
        <w:t>u</w:t>
      </w:r>
      <w:r w:rsidR="00AB335D" w:rsidRPr="00FA228D">
        <w:t>ired to accomplish the process.</w:t>
      </w:r>
    </w:p>
    <w:p w14:paraId="2FBDA5FB" w14:textId="69838742" w:rsidR="005862F4" w:rsidRPr="00FA228D" w:rsidRDefault="000B208D" w:rsidP="0062453B">
      <w:pPr>
        <w:pStyle w:val="CETBodytext"/>
        <w:widowControl w:val="0"/>
      </w:pPr>
      <w:r w:rsidRPr="00FA228D">
        <w:t xml:space="preserve">In this area, as a part of a pan-European task force </w:t>
      </w:r>
      <w:r w:rsidR="00DD2111" w:rsidRPr="00FA228D">
        <w:t xml:space="preserve">effort </w:t>
      </w:r>
      <w:r w:rsidRPr="00FA228D">
        <w:t xml:space="preserve">in the field a series of innovative theranostic systems </w:t>
      </w:r>
      <w:r w:rsidR="005B2FB1" w:rsidRPr="00FA228D">
        <w:t>as</w:t>
      </w:r>
      <w:r w:rsidRPr="00FA228D">
        <w:t xml:space="preserve"> excellent agents </w:t>
      </w:r>
      <w:r w:rsidR="007B0B91" w:rsidRPr="00FA228D">
        <w:t>for</w:t>
      </w:r>
      <w:r w:rsidRPr="00FA228D">
        <w:t xml:space="preserve"> </w:t>
      </w:r>
      <w:r w:rsidR="007B0B91" w:rsidRPr="00FA228D">
        <w:rPr>
          <w:i/>
        </w:rPr>
        <w:t xml:space="preserve">in vivo </w:t>
      </w:r>
      <w:r w:rsidR="007B0B91" w:rsidRPr="00FA228D">
        <w:t>cancer imaging and therapeutics</w:t>
      </w:r>
      <w:r w:rsidRPr="00FA228D">
        <w:t xml:space="preserve"> </w:t>
      </w:r>
      <w:r w:rsidR="00322695" w:rsidRPr="00FA228D">
        <w:t xml:space="preserve">was developed </w:t>
      </w:r>
      <w:r w:rsidRPr="00FA228D">
        <w:t>(</w:t>
      </w:r>
      <w:proofErr w:type="spellStart"/>
      <w:r w:rsidR="003C6C27" w:rsidRPr="00FA228D">
        <w:t>Dagrada</w:t>
      </w:r>
      <w:proofErr w:type="spellEnd"/>
      <w:r w:rsidR="003C6C27" w:rsidRPr="00FA228D">
        <w:t xml:space="preserve"> et al. 2018; Dong et al., 2018; </w:t>
      </w:r>
      <w:proofErr w:type="spellStart"/>
      <w:r w:rsidR="008229DE" w:rsidRPr="00FA228D">
        <w:t>Garrigue</w:t>
      </w:r>
      <w:proofErr w:type="spellEnd"/>
      <w:r w:rsidR="008229DE" w:rsidRPr="00FA228D">
        <w:t xml:space="preserve"> et al., 2018; </w:t>
      </w:r>
      <w:r w:rsidR="00F87202" w:rsidRPr="00FA228D">
        <w:t>Wei et al., 2015</w:t>
      </w:r>
      <w:r w:rsidR="008229DE" w:rsidRPr="00FA228D">
        <w:t xml:space="preserve">). </w:t>
      </w:r>
      <w:r w:rsidRPr="00FA228D">
        <w:t xml:space="preserve">Specifically, </w:t>
      </w:r>
      <w:r w:rsidR="00B85D77" w:rsidRPr="00FA228D">
        <w:t>a series of non-toxic nanosized micelles were</w:t>
      </w:r>
      <w:r w:rsidR="008229DE" w:rsidRPr="00FA228D">
        <w:t xml:space="preserve"> design</w:t>
      </w:r>
      <w:r w:rsidR="00B76C9A" w:rsidRPr="00FA228D">
        <w:t>ed</w:t>
      </w:r>
      <w:r w:rsidR="008229DE" w:rsidRPr="00FA228D">
        <w:t>, synthesize</w:t>
      </w:r>
      <w:r w:rsidR="00B76C9A" w:rsidRPr="00FA228D">
        <w:t xml:space="preserve">d and tested for </w:t>
      </w:r>
      <w:r w:rsidR="00B76C9A" w:rsidRPr="00FA228D">
        <w:rPr>
          <w:i/>
        </w:rPr>
        <w:t>in vitro</w:t>
      </w:r>
      <w:r w:rsidR="00B76C9A" w:rsidRPr="00FA228D">
        <w:t xml:space="preserve"> and </w:t>
      </w:r>
      <w:r w:rsidR="00B76C9A" w:rsidRPr="00FA228D">
        <w:rPr>
          <w:i/>
        </w:rPr>
        <w:t xml:space="preserve">in vivo </w:t>
      </w:r>
      <w:r w:rsidR="00B76C9A" w:rsidRPr="00FA228D">
        <w:t>performance</w:t>
      </w:r>
      <w:r w:rsidR="00B85D77" w:rsidRPr="00FA228D">
        <w:t>.</w:t>
      </w:r>
      <w:r w:rsidR="00B76C9A" w:rsidRPr="00FA228D">
        <w:t xml:space="preserve"> </w:t>
      </w:r>
      <w:r w:rsidR="00B85D77" w:rsidRPr="00FA228D">
        <w:t>D</w:t>
      </w:r>
      <w:r w:rsidRPr="00FA228D">
        <w:t>epending on the speci</w:t>
      </w:r>
      <w:r w:rsidR="002134E6" w:rsidRPr="00FA228D">
        <w:t xml:space="preserve">fic chemistry, </w:t>
      </w:r>
      <w:r w:rsidR="00B85D77" w:rsidRPr="00FA228D">
        <w:t xml:space="preserve">these </w:t>
      </w:r>
      <w:proofErr w:type="spellStart"/>
      <w:r w:rsidR="00B85D77" w:rsidRPr="00FA228D">
        <w:t>nano</w:t>
      </w:r>
      <w:proofErr w:type="spellEnd"/>
      <w:r w:rsidR="00B85D77" w:rsidRPr="00FA228D">
        <w:t>-objects were</w:t>
      </w:r>
      <w:r w:rsidR="002134E6" w:rsidRPr="00FA228D">
        <w:t xml:space="preserve"> able to</w:t>
      </w:r>
      <w:r w:rsidR="00B76C9A" w:rsidRPr="00FA228D">
        <w:t xml:space="preserve"> </w:t>
      </w:r>
      <w:r w:rsidR="00B85D77" w:rsidRPr="00FA228D">
        <w:t>induce</w:t>
      </w:r>
      <w:r w:rsidRPr="00FA228D">
        <w:t xml:space="preserve"> specific and effective gene silencing via targeted small i</w:t>
      </w:r>
      <w:r w:rsidR="00B76C9A" w:rsidRPr="00FA228D">
        <w:t xml:space="preserve">nterfering RNA (siRNA) delivery and </w:t>
      </w:r>
      <w:r w:rsidR="002134E6" w:rsidRPr="00FA228D">
        <w:t xml:space="preserve">to </w:t>
      </w:r>
      <w:r w:rsidR="00B76C9A" w:rsidRPr="00FA228D">
        <w:t>p</w:t>
      </w:r>
      <w:r w:rsidRPr="00FA228D">
        <w:t xml:space="preserve">rovide </w:t>
      </w:r>
      <w:r w:rsidR="006518F1" w:rsidRPr="00FA228D">
        <w:t>positron emission tomography (</w:t>
      </w:r>
      <w:r w:rsidRPr="00FA228D">
        <w:t>PET</w:t>
      </w:r>
      <w:r w:rsidR="006518F1" w:rsidRPr="00FA228D">
        <w:t>)</w:t>
      </w:r>
      <w:r w:rsidRPr="00FA228D">
        <w:t xml:space="preserve"> images with significantly superior imaging quality relating to sensitivity, specificity and</w:t>
      </w:r>
      <w:r w:rsidR="00B76C9A" w:rsidRPr="00FA228D">
        <w:t xml:space="preserve"> </w:t>
      </w:r>
      <w:r w:rsidRPr="00FA228D">
        <w:t>accuracy when compared to the clinical standard [</w:t>
      </w:r>
      <w:r w:rsidRPr="00FA228D">
        <w:rPr>
          <w:vertAlign w:val="superscript"/>
        </w:rPr>
        <w:t>18</w:t>
      </w:r>
      <w:r w:rsidRPr="00FA228D">
        <w:t>F]FDG.</w:t>
      </w:r>
    </w:p>
    <w:p w14:paraId="7F880ACD" w14:textId="2ACD2BAF" w:rsidR="00E57E05" w:rsidRPr="00FA228D" w:rsidRDefault="001864CF" w:rsidP="0062453B">
      <w:pPr>
        <w:pStyle w:val="CETHeading1"/>
        <w:widowControl w:val="0"/>
        <w:tabs>
          <w:tab w:val="clear" w:pos="360"/>
          <w:tab w:val="right" w:pos="7100"/>
        </w:tabs>
        <w:jc w:val="both"/>
      </w:pPr>
      <w:r w:rsidRPr="00FA228D">
        <w:t>AD: the first adaptive multivalent self-assembling (</w:t>
      </w:r>
      <w:proofErr w:type="spellStart"/>
      <w:r w:rsidRPr="00FA228D">
        <w:t>MUSe</w:t>
      </w:r>
      <w:proofErr w:type="spellEnd"/>
      <w:r w:rsidRPr="00FA228D">
        <w:t>) nanomicelles (NMs) for siRNA delivery</w:t>
      </w:r>
    </w:p>
    <w:p w14:paraId="211358BB" w14:textId="5102E023" w:rsidR="006F731F" w:rsidRPr="00FA228D" w:rsidRDefault="006518F1" w:rsidP="0062453B">
      <w:pPr>
        <w:pStyle w:val="CETBodytext"/>
        <w:widowControl w:val="0"/>
      </w:pPr>
      <w:r w:rsidRPr="00FA228D">
        <w:t xml:space="preserve">Ten years of computer-assisted nanovector (NV) design led to the discovery of </w:t>
      </w:r>
      <w:r w:rsidRPr="00FA228D">
        <w:rPr>
          <w:b/>
        </w:rPr>
        <w:t>AD</w:t>
      </w:r>
      <w:r w:rsidRPr="00FA228D">
        <w:t xml:space="preserve"> (Figure 1A), an amphiphilic dendrimer able to self-assemble into adaptive supramolecular assemblies upon interaction with small interfering RNA (siRNA) </w:t>
      </w:r>
      <w:r w:rsidR="009E18A7" w:rsidRPr="00FA228D">
        <w:t>duplexes</w:t>
      </w:r>
      <w:r w:rsidR="003A3F86" w:rsidRPr="00FA228D">
        <w:t xml:space="preserve"> (Figure 1B</w:t>
      </w:r>
      <w:r w:rsidR="00C32FE0" w:rsidRPr="00FA228D">
        <w:t xml:space="preserve"> and C</w:t>
      </w:r>
      <w:r w:rsidR="003A3F86" w:rsidRPr="00FA228D">
        <w:t>)</w:t>
      </w:r>
      <w:r w:rsidRPr="00FA228D">
        <w:t>, and effectively deliver siRNAs to various cell lines, including human primary and stem cells (Liu et al., 2014).</w:t>
      </w:r>
      <w:r w:rsidR="0014621C" w:rsidRPr="00FA228D">
        <w:t xml:space="preserve"> </w:t>
      </w:r>
    </w:p>
    <w:p w14:paraId="4BC5AFAC" w14:textId="3F7C0302" w:rsidR="006518F1" w:rsidRPr="00FA228D" w:rsidRDefault="006518F1" w:rsidP="0062453B">
      <w:pPr>
        <w:pStyle w:val="CETBodytext"/>
        <w:widowControl w:val="0"/>
      </w:pPr>
    </w:p>
    <w:p w14:paraId="79F12682" w14:textId="6AA8CB70" w:rsidR="006518F1" w:rsidRPr="00FA228D" w:rsidRDefault="003A3F86" w:rsidP="0062453B">
      <w:pPr>
        <w:pStyle w:val="CETBodytext"/>
        <w:widowControl w:val="0"/>
      </w:pPr>
      <w:r w:rsidRPr="00FA228D">
        <w:t xml:space="preserve">A  </w:t>
      </w:r>
      <w:r w:rsidR="003E4097" w:rsidRPr="00FA228D">
        <w:rPr>
          <w:noProof/>
          <w:lang w:eastAsia="it-IT"/>
        </w:rPr>
        <w:drawing>
          <wp:inline distT="0" distB="0" distL="0" distR="0" wp14:anchorId="3C8FD929" wp14:editId="2C0C6E46">
            <wp:extent cx="2032635" cy="1218085"/>
            <wp:effectExtent l="0" t="0" r="0" b="1270"/>
            <wp:docPr id="1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33032" cy="1218323"/>
                    </a:xfrm>
                    <a:prstGeom prst="rect">
                      <a:avLst/>
                    </a:prstGeom>
                    <a:noFill/>
                    <a:ln>
                      <a:noFill/>
                    </a:ln>
                    <a:extLst>
                      <a:ext uri="{53640926-AAD7-44d8-BBD7-CCE9431645EC}">
                        <a14:shadowObscured xmlns:a14="http://schemas.microsoft.com/office/drawing/2010/main"/>
                      </a:ext>
                    </a:extLst>
                  </pic:spPr>
                </pic:pic>
              </a:graphicData>
            </a:graphic>
          </wp:inline>
        </w:drawing>
      </w:r>
      <w:r w:rsidRPr="00FA228D">
        <w:rPr>
          <w:noProof/>
          <w:lang w:eastAsia="it-IT"/>
        </w:rPr>
        <w:t xml:space="preserve"> B </w:t>
      </w:r>
      <w:r w:rsidRPr="00FA228D">
        <w:rPr>
          <w:noProof/>
          <w:lang w:eastAsia="it-IT"/>
        </w:rPr>
        <w:drawing>
          <wp:inline distT="0" distB="0" distL="0" distR="0" wp14:anchorId="6EC73FD8" wp14:editId="678CACB7">
            <wp:extent cx="703462" cy="1231265"/>
            <wp:effectExtent l="0" t="0" r="825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elle.png"/>
                    <pic:cNvPicPr/>
                  </pic:nvPicPr>
                  <pic:blipFill rotWithShape="1">
                    <a:blip r:embed="rId12">
                      <a:extLst>
                        <a:ext uri="{28A0092B-C50C-407E-A947-70E740481C1C}">
                          <a14:useLocalDpi xmlns:a14="http://schemas.microsoft.com/office/drawing/2010/main" val="0"/>
                        </a:ext>
                      </a:extLst>
                    </a:blip>
                    <a:srcRect l="2699" t="3590" r="4154"/>
                    <a:stretch/>
                  </pic:blipFill>
                  <pic:spPr bwMode="auto">
                    <a:xfrm>
                      <a:off x="0" y="0"/>
                      <a:ext cx="703653" cy="1231600"/>
                    </a:xfrm>
                    <a:prstGeom prst="rect">
                      <a:avLst/>
                    </a:prstGeom>
                    <a:ln>
                      <a:noFill/>
                    </a:ln>
                    <a:extLst>
                      <a:ext uri="{53640926-AAD7-44d8-BBD7-CCE9431645EC}">
                        <a14:shadowObscured xmlns:a14="http://schemas.microsoft.com/office/drawing/2010/main"/>
                      </a:ext>
                    </a:extLst>
                  </pic:spPr>
                </pic:pic>
              </a:graphicData>
            </a:graphic>
          </wp:inline>
        </w:drawing>
      </w:r>
      <w:r w:rsidR="00C32FE0" w:rsidRPr="00FA228D">
        <w:rPr>
          <w:noProof/>
          <w:lang w:eastAsia="it-IT"/>
        </w:rPr>
        <w:t xml:space="preserve"> C </w:t>
      </w:r>
      <w:r w:rsidR="00C32FE0" w:rsidRPr="00FA228D">
        <w:rPr>
          <w:noProof/>
          <w:lang w:eastAsia="it-IT"/>
        </w:rPr>
        <w:drawing>
          <wp:inline distT="0" distB="0" distL="0" distR="0" wp14:anchorId="68916FB0" wp14:editId="2A61D6FB">
            <wp:extent cx="1288293" cy="1260000"/>
            <wp:effectExtent l="0" t="0" r="7620" b="1016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copy.tif"/>
                    <pic:cNvPicPr/>
                  </pic:nvPicPr>
                  <pic:blipFill>
                    <a:blip r:embed="rId13">
                      <a:grayscl/>
                      <a:extLst>
                        <a:ext uri="{28A0092B-C50C-407E-A947-70E740481C1C}">
                          <a14:useLocalDpi xmlns:a14="http://schemas.microsoft.com/office/drawing/2010/main" val="0"/>
                        </a:ext>
                      </a:extLst>
                    </a:blip>
                    <a:stretch>
                      <a:fillRect/>
                    </a:stretch>
                  </pic:blipFill>
                  <pic:spPr>
                    <a:xfrm>
                      <a:off x="0" y="0"/>
                      <a:ext cx="1288293" cy="1260000"/>
                    </a:xfrm>
                    <a:prstGeom prst="rect">
                      <a:avLst/>
                    </a:prstGeom>
                  </pic:spPr>
                </pic:pic>
              </a:graphicData>
            </a:graphic>
          </wp:inline>
        </w:drawing>
      </w:r>
    </w:p>
    <w:p w14:paraId="335F3EF1" w14:textId="77777777" w:rsidR="006518F1" w:rsidRPr="00FA228D" w:rsidRDefault="006518F1" w:rsidP="0062453B">
      <w:pPr>
        <w:pStyle w:val="CETBodytext"/>
        <w:widowControl w:val="0"/>
      </w:pPr>
    </w:p>
    <w:p w14:paraId="0C8A30A7" w14:textId="4CC91532" w:rsidR="00727D58" w:rsidRPr="00FA228D" w:rsidRDefault="00727D58" w:rsidP="0062453B">
      <w:pPr>
        <w:pStyle w:val="CETBodytext"/>
        <w:widowControl w:val="0"/>
      </w:pPr>
      <w:r w:rsidRPr="00FA228D">
        <w:t xml:space="preserve">Figure 1. (A) Molecular structure of the amphiphilic dendrimer </w:t>
      </w:r>
      <w:r w:rsidRPr="00FA228D">
        <w:rPr>
          <w:b/>
        </w:rPr>
        <w:t>AD</w:t>
      </w:r>
      <w:r w:rsidRPr="00FA228D">
        <w:t>. (B) TEM imaging of siRNA/</w:t>
      </w:r>
      <w:r w:rsidRPr="00FA228D">
        <w:rPr>
          <w:b/>
        </w:rPr>
        <w:t>AD</w:t>
      </w:r>
      <w:r w:rsidRPr="00FA228D">
        <w:t xml:space="preserve"> complexes. </w:t>
      </w:r>
      <w:r w:rsidR="00EF1C97" w:rsidRPr="00FA228D">
        <w:t xml:space="preserve">(C) </w:t>
      </w:r>
      <w:r w:rsidRPr="00FA228D">
        <w:t xml:space="preserve">Computer </w:t>
      </w:r>
      <w:r w:rsidR="00EF1C97" w:rsidRPr="00FA228D">
        <w:t>simulations</w:t>
      </w:r>
      <w:r w:rsidRPr="00FA228D">
        <w:t xml:space="preserve"> showing </w:t>
      </w:r>
      <w:r w:rsidR="00EF1C97" w:rsidRPr="00FA228D">
        <w:t xml:space="preserve">the </w:t>
      </w:r>
      <w:r w:rsidRPr="00FA228D">
        <w:t xml:space="preserve">nanostructures formed by </w:t>
      </w:r>
      <w:r w:rsidRPr="00FA228D">
        <w:rPr>
          <w:b/>
        </w:rPr>
        <w:t>AD</w:t>
      </w:r>
      <w:r w:rsidRPr="00FA228D">
        <w:t xml:space="preserve"> </w:t>
      </w:r>
      <w:r w:rsidR="00EF1C97" w:rsidRPr="00FA228D">
        <w:t>in the presence of siRNA molecules. Panel C is a computer-generated, zoomed view of the TEM image area enclosed in the red square shown in panel B.</w:t>
      </w:r>
      <w:r w:rsidR="00861BB6" w:rsidRPr="00FA228D">
        <w:t xml:space="preserve"> Adapted from </w:t>
      </w:r>
      <w:r w:rsidR="004A4B57" w:rsidRPr="00FA228D">
        <w:t>(</w:t>
      </w:r>
      <w:r w:rsidR="00861BB6" w:rsidRPr="00FA228D">
        <w:t xml:space="preserve">Liu et al., </w:t>
      </w:r>
      <w:r w:rsidR="004A4B57" w:rsidRPr="00FA228D">
        <w:t>2014), with permission of Wiley-VCH</w:t>
      </w:r>
      <w:r w:rsidR="00861BB6" w:rsidRPr="00FA228D">
        <w:t>.</w:t>
      </w:r>
    </w:p>
    <w:p w14:paraId="071D5D1F" w14:textId="77777777" w:rsidR="00727D58" w:rsidRPr="00FA228D" w:rsidRDefault="00727D58" w:rsidP="0062453B">
      <w:pPr>
        <w:pStyle w:val="CETBodytext"/>
        <w:widowControl w:val="0"/>
      </w:pPr>
    </w:p>
    <w:p w14:paraId="161F8185" w14:textId="1BF197D5" w:rsidR="00861BB6" w:rsidRPr="00FA228D" w:rsidRDefault="00861BB6" w:rsidP="0062453B">
      <w:pPr>
        <w:pStyle w:val="CETBodytext"/>
        <w:widowControl w:val="0"/>
      </w:pPr>
      <w:r w:rsidRPr="00FA228D">
        <w:t xml:space="preserve">The cellular uptake mechanism of </w:t>
      </w:r>
      <w:r w:rsidRPr="00FA228D">
        <w:rPr>
          <w:b/>
        </w:rPr>
        <w:t>AD</w:t>
      </w:r>
      <w:r w:rsidRPr="00FA228D">
        <w:t xml:space="preserve"> occurs via macropinocytosis, since 1) only </w:t>
      </w:r>
      <w:proofErr w:type="spellStart"/>
      <w:r w:rsidRPr="00FA228D">
        <w:t>cytochalasin</w:t>
      </w:r>
      <w:proofErr w:type="spellEnd"/>
      <w:r w:rsidRPr="00FA228D">
        <w:t xml:space="preserve"> D (a</w:t>
      </w:r>
      <w:r w:rsidR="00E12522" w:rsidRPr="00FA228D">
        <w:t>n</w:t>
      </w:r>
      <w:r w:rsidRPr="00FA228D">
        <w:t xml:space="preserve"> inhibitor of the macropinocytosis process) exerts an </w:t>
      </w:r>
      <w:r w:rsidR="00F63995" w:rsidRPr="00FA228D">
        <w:t xml:space="preserve">negative </w:t>
      </w:r>
      <w:r w:rsidRPr="00FA228D">
        <w:t xml:space="preserve">influence on </w:t>
      </w:r>
      <w:r w:rsidRPr="00FA228D">
        <w:rPr>
          <w:b/>
        </w:rPr>
        <w:t>AD</w:t>
      </w:r>
      <w:r w:rsidRPr="00FA228D">
        <w:t xml:space="preserve">/siRNA complexes </w:t>
      </w:r>
      <w:r w:rsidR="00E04F3A" w:rsidRPr="00FA228D">
        <w:t xml:space="preserve">cell </w:t>
      </w:r>
      <w:r w:rsidRPr="00FA228D">
        <w:t>internalization (Figure 2A) and 2) actin depolymerization, the hallmark of macropinocytosis, is contextually observed (Figure 2B).</w:t>
      </w:r>
    </w:p>
    <w:p w14:paraId="602D4C13" w14:textId="77777777" w:rsidR="00861BB6" w:rsidRPr="00FA228D" w:rsidRDefault="00861BB6" w:rsidP="0062453B">
      <w:pPr>
        <w:pStyle w:val="CETBodytext"/>
        <w:widowControl w:val="0"/>
      </w:pPr>
    </w:p>
    <w:p w14:paraId="44CC57E2" w14:textId="5AF16A80" w:rsidR="00861BB6" w:rsidRPr="00FA228D" w:rsidRDefault="003C0F22" w:rsidP="0062453B">
      <w:pPr>
        <w:pStyle w:val="CETBodytext"/>
        <w:widowControl w:val="0"/>
      </w:pPr>
      <w:r w:rsidRPr="00FA228D">
        <w:t xml:space="preserve">A  </w:t>
      </w:r>
      <w:r w:rsidRPr="00FA228D">
        <w:rPr>
          <w:noProof/>
          <w:lang w:eastAsia="it-IT"/>
        </w:rPr>
        <w:drawing>
          <wp:inline distT="0" distB="0" distL="0" distR="0" wp14:anchorId="37B34014" wp14:editId="1F9C6F05">
            <wp:extent cx="1347235" cy="1006670"/>
            <wp:effectExtent l="0" t="0" r="0" b="952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tochal.jpg"/>
                    <pic:cNvPicPr/>
                  </pic:nvPicPr>
                  <pic:blipFill>
                    <a:blip r:embed="rId14">
                      <a:extLst>
                        <a:ext uri="{28A0092B-C50C-407E-A947-70E740481C1C}">
                          <a14:useLocalDpi xmlns:a14="http://schemas.microsoft.com/office/drawing/2010/main" val="0"/>
                        </a:ext>
                      </a:extLst>
                    </a:blip>
                    <a:stretch>
                      <a:fillRect/>
                    </a:stretch>
                  </pic:blipFill>
                  <pic:spPr>
                    <a:xfrm>
                      <a:off x="0" y="0"/>
                      <a:ext cx="1347235" cy="1006670"/>
                    </a:xfrm>
                    <a:prstGeom prst="rect">
                      <a:avLst/>
                    </a:prstGeom>
                  </pic:spPr>
                </pic:pic>
              </a:graphicData>
            </a:graphic>
          </wp:inline>
        </w:drawing>
      </w:r>
      <w:r w:rsidR="00F63995" w:rsidRPr="00FA228D">
        <w:t xml:space="preserve">   B </w:t>
      </w:r>
      <w:r w:rsidR="00F63995" w:rsidRPr="00FA228D">
        <w:rPr>
          <w:noProof/>
          <w:lang w:eastAsia="it-IT"/>
        </w:rPr>
        <w:drawing>
          <wp:inline distT="0" distB="0" distL="0" distR="0" wp14:anchorId="47862100" wp14:editId="74DB2C1F">
            <wp:extent cx="1141674" cy="1006035"/>
            <wp:effectExtent l="0" t="0" r="1905" b="10160"/>
            <wp:docPr id="2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7247" b="4972"/>
                    <a:stretch/>
                  </pic:blipFill>
                  <pic:spPr bwMode="auto">
                    <a:xfrm>
                      <a:off x="0" y="0"/>
                      <a:ext cx="1141674" cy="1006035"/>
                    </a:xfrm>
                    <a:prstGeom prst="rect">
                      <a:avLst/>
                    </a:prstGeom>
                    <a:noFill/>
                    <a:ln>
                      <a:noFill/>
                    </a:ln>
                    <a:extLst>
                      <a:ext uri="{53640926-AAD7-44d8-BBD7-CCE9431645EC}">
                        <a14:shadowObscured xmlns:a14="http://schemas.microsoft.com/office/drawing/2010/main"/>
                      </a:ext>
                    </a:extLst>
                  </pic:spPr>
                </pic:pic>
              </a:graphicData>
            </a:graphic>
          </wp:inline>
        </w:drawing>
      </w:r>
      <w:r w:rsidR="00F63995" w:rsidRPr="00FA228D">
        <w:t xml:space="preserve">   C </w:t>
      </w:r>
      <w:r w:rsidR="00F63995" w:rsidRPr="00FA228D">
        <w:rPr>
          <w:noProof/>
          <w:lang w:eastAsia="it-IT"/>
        </w:rPr>
        <w:drawing>
          <wp:inline distT="0" distB="0" distL="0" distR="0" wp14:anchorId="144AD233" wp14:editId="2B322FA1">
            <wp:extent cx="1188874" cy="1006670"/>
            <wp:effectExtent l="0" t="0" r="5080" b="9525"/>
            <wp:docPr id="2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383" t="11786" r="-383" b="4183"/>
                    <a:stretch/>
                  </pic:blipFill>
                  <pic:spPr bwMode="auto">
                    <a:xfrm>
                      <a:off x="0" y="0"/>
                      <a:ext cx="1188874" cy="1006670"/>
                    </a:xfrm>
                    <a:prstGeom prst="rect">
                      <a:avLst/>
                    </a:prstGeom>
                    <a:noFill/>
                    <a:ln>
                      <a:noFill/>
                    </a:ln>
                    <a:extLst>
                      <a:ext uri="{53640926-AAD7-44d8-BBD7-CCE9431645EC}">
                        <a14:shadowObscured xmlns:a14="http://schemas.microsoft.com/office/drawing/2010/main"/>
                      </a:ext>
                    </a:extLst>
                  </pic:spPr>
                </pic:pic>
              </a:graphicData>
            </a:graphic>
          </wp:inline>
        </w:drawing>
      </w:r>
    </w:p>
    <w:p w14:paraId="6E5450EA" w14:textId="77777777" w:rsidR="00861BB6" w:rsidRPr="00FA228D" w:rsidRDefault="00861BB6" w:rsidP="0062453B">
      <w:pPr>
        <w:pStyle w:val="CETBodytext"/>
        <w:widowControl w:val="0"/>
      </w:pPr>
    </w:p>
    <w:p w14:paraId="752E5A6D" w14:textId="7D4E016D" w:rsidR="00E233FB" w:rsidRPr="00FA228D" w:rsidRDefault="00E233FB" w:rsidP="0062453B">
      <w:pPr>
        <w:pStyle w:val="CETBodytext"/>
        <w:widowControl w:val="0"/>
      </w:pPr>
      <w:r w:rsidRPr="00FA228D">
        <w:t xml:space="preserve">Figure 2. (A) Inhibition of cellular uptake of </w:t>
      </w:r>
      <w:r w:rsidRPr="00FA228D">
        <w:rPr>
          <w:b/>
        </w:rPr>
        <w:t>AD</w:t>
      </w:r>
      <w:r w:rsidRPr="00FA228D">
        <w:t xml:space="preserve">/siRNA complexes by </w:t>
      </w:r>
      <w:proofErr w:type="spellStart"/>
      <w:r w:rsidRPr="00FA228D">
        <w:t>cytochal</w:t>
      </w:r>
      <w:r w:rsidR="00BE3805" w:rsidRPr="00FA228D">
        <w:t>asin</w:t>
      </w:r>
      <w:proofErr w:type="spellEnd"/>
      <w:r w:rsidR="00BE3805" w:rsidRPr="00FA228D">
        <w:t xml:space="preserve"> D and (b) actin depolymeriz</w:t>
      </w:r>
      <w:r w:rsidRPr="00FA228D">
        <w:t xml:space="preserve">ation induced by </w:t>
      </w:r>
      <w:r w:rsidRPr="00FA228D">
        <w:rPr>
          <w:b/>
        </w:rPr>
        <w:t>AD</w:t>
      </w:r>
      <w:r w:rsidRPr="00FA228D">
        <w:t>/siRNA up</w:t>
      </w:r>
      <w:r w:rsidR="001168DD" w:rsidRPr="00FA228D">
        <w:t xml:space="preserve">take supporting </w:t>
      </w:r>
      <w:proofErr w:type="spellStart"/>
      <w:r w:rsidR="001168DD" w:rsidRPr="00FA228D">
        <w:t>macropinicytosis</w:t>
      </w:r>
      <w:proofErr w:type="spellEnd"/>
      <w:r w:rsidR="001168DD" w:rsidRPr="00FA228D">
        <w:t xml:space="preserve"> as the underlying mechanism of AD/siRNA cellular uptake.</w:t>
      </w:r>
    </w:p>
    <w:p w14:paraId="67FE64D0" w14:textId="34924F59" w:rsidR="006518F1" w:rsidRPr="00FA228D" w:rsidRDefault="006518F1" w:rsidP="0062453B">
      <w:pPr>
        <w:pStyle w:val="CETBodytext"/>
        <w:widowControl w:val="0"/>
      </w:pPr>
    </w:p>
    <w:p w14:paraId="256E616C" w14:textId="4A96BA73" w:rsidR="006518F1" w:rsidRPr="00FA228D" w:rsidRDefault="00245F66" w:rsidP="0062453B">
      <w:pPr>
        <w:pStyle w:val="CETBodytext"/>
        <w:widowControl w:val="0"/>
      </w:pPr>
      <w:r w:rsidRPr="00FA228D">
        <w:t xml:space="preserve">The </w:t>
      </w:r>
      <w:r w:rsidRPr="00FA228D">
        <w:rPr>
          <w:b/>
        </w:rPr>
        <w:t>AD</w:t>
      </w:r>
      <w:r w:rsidRPr="00FA228D">
        <w:t>-mediated siRNA delivery was next assessed in several, different human cancer cells, taking the delivery of Hsp27 (heat shock protein 27) siRNA as an example.</w:t>
      </w:r>
      <w:r w:rsidR="00577D3A" w:rsidRPr="00FA228D">
        <w:t xml:space="preserve"> </w:t>
      </w:r>
      <w:r w:rsidRPr="00FA228D">
        <w:t xml:space="preserve">A remarkable </w:t>
      </w:r>
      <w:r w:rsidR="00F752A3" w:rsidRPr="00FA228D">
        <w:t>a</w:t>
      </w:r>
      <w:r w:rsidRPr="00FA228D">
        <w:t xml:space="preserve">ttenuation of Hsp27 expression (both </w:t>
      </w:r>
      <w:r w:rsidR="00577D3A" w:rsidRPr="00FA228D">
        <w:t>at mRNA and protein levels</w:t>
      </w:r>
      <w:r w:rsidRPr="00FA228D">
        <w:t xml:space="preserve">) </w:t>
      </w:r>
      <w:r w:rsidR="00577D3A" w:rsidRPr="00FA228D">
        <w:t xml:space="preserve">and </w:t>
      </w:r>
      <w:r w:rsidRPr="00FA228D">
        <w:t>related anticancer activity</w:t>
      </w:r>
      <w:r w:rsidR="00F752A3" w:rsidRPr="00FA228D">
        <w:t xml:space="preserve"> </w:t>
      </w:r>
      <w:r w:rsidRPr="00FA228D">
        <w:t>were achieved</w:t>
      </w:r>
      <w:r w:rsidR="00F752A3" w:rsidRPr="00FA228D">
        <w:t xml:space="preserve">. </w:t>
      </w:r>
      <w:r w:rsidRPr="00FA228D">
        <w:t xml:space="preserve">Such </w:t>
      </w:r>
      <w:proofErr w:type="spellStart"/>
      <w:r w:rsidRPr="00FA228D">
        <w:t>RNAi</w:t>
      </w:r>
      <w:proofErr w:type="spellEnd"/>
      <w:r w:rsidRPr="00FA228D">
        <w:t xml:space="preserve"> efficacy was comparable</w:t>
      </w:r>
      <w:r w:rsidR="00F752A3" w:rsidRPr="00FA228D">
        <w:t xml:space="preserve"> </w:t>
      </w:r>
      <w:r w:rsidRPr="00FA228D">
        <w:t xml:space="preserve">to </w:t>
      </w:r>
      <w:r w:rsidR="00577D3A" w:rsidRPr="00FA228D">
        <w:t>(</w:t>
      </w:r>
      <w:r w:rsidRPr="00FA228D">
        <w:t>or even better than</w:t>
      </w:r>
      <w:r w:rsidR="00577D3A" w:rsidRPr="00FA228D">
        <w:t>)</w:t>
      </w:r>
      <w:r w:rsidRPr="00FA228D">
        <w:t xml:space="preserve"> that obtained with the </w:t>
      </w:r>
      <w:r w:rsidR="00F752A3" w:rsidRPr="00FA228D">
        <w:t xml:space="preserve">standard </w:t>
      </w:r>
      <w:r w:rsidRPr="00FA228D">
        <w:t xml:space="preserve">reference </w:t>
      </w:r>
      <w:proofErr w:type="spellStart"/>
      <w:r w:rsidR="006D79B9" w:rsidRPr="00FA228D">
        <w:t>oligo</w:t>
      </w:r>
      <w:r w:rsidR="00F752A3" w:rsidRPr="00FA228D">
        <w:t>fectamine</w:t>
      </w:r>
      <w:proofErr w:type="spellEnd"/>
      <w:r w:rsidR="00F752A3" w:rsidRPr="00FA228D">
        <w:t>, and could be maintained over 1 week, even in serum-containing medium. As the</w:t>
      </w:r>
      <w:r w:rsidRPr="00FA228D">
        <w:t xml:space="preserve"> final, decisive step to assess the </w:t>
      </w:r>
      <w:r w:rsidRPr="00FA228D">
        <w:lastRenderedPageBreak/>
        <w:t>effective therapeutic</w:t>
      </w:r>
      <w:r w:rsidR="00F752A3" w:rsidRPr="00FA228D">
        <w:t xml:space="preserve"> </w:t>
      </w:r>
      <w:r w:rsidRPr="00FA228D">
        <w:t xml:space="preserve">potential of </w:t>
      </w:r>
      <w:r w:rsidRPr="00FA228D">
        <w:rPr>
          <w:b/>
        </w:rPr>
        <w:t>AD</w:t>
      </w:r>
      <w:r w:rsidRPr="00FA228D">
        <w:t xml:space="preserve"> in siRNA delivery, </w:t>
      </w:r>
      <w:r w:rsidRPr="00FA228D">
        <w:rPr>
          <w:i/>
        </w:rPr>
        <w:t>in vivo</w:t>
      </w:r>
      <w:r w:rsidR="00F752A3" w:rsidRPr="00FA228D">
        <w:t xml:space="preserve"> </w:t>
      </w:r>
      <w:r w:rsidRPr="00FA228D">
        <w:t xml:space="preserve">delivery </w:t>
      </w:r>
      <w:r w:rsidR="00577D3A" w:rsidRPr="00FA228D">
        <w:t xml:space="preserve">studies </w:t>
      </w:r>
      <w:r w:rsidRPr="00FA228D">
        <w:t>A using a prostate cancer PC-3</w:t>
      </w:r>
      <w:r w:rsidR="00F752A3" w:rsidRPr="00FA228D">
        <w:t xml:space="preserve"> </w:t>
      </w:r>
      <w:proofErr w:type="spellStart"/>
      <w:r w:rsidRPr="00FA228D">
        <w:t>xenograft</w:t>
      </w:r>
      <w:proofErr w:type="spellEnd"/>
      <w:r w:rsidRPr="00FA228D">
        <w:t xml:space="preserve"> mouse model</w:t>
      </w:r>
      <w:r w:rsidR="00577D3A" w:rsidRPr="00FA228D">
        <w:t xml:space="preserve"> were performed</w:t>
      </w:r>
      <w:r w:rsidRPr="00FA228D">
        <w:t xml:space="preserve">. </w:t>
      </w:r>
      <w:r w:rsidR="00F752A3" w:rsidRPr="00FA228D">
        <w:t xml:space="preserve">As presented in Figure 3 (A), substantial </w:t>
      </w:r>
      <w:r w:rsidRPr="00FA228D">
        <w:t>down-regulation of</w:t>
      </w:r>
      <w:r w:rsidR="00F752A3" w:rsidRPr="00FA228D">
        <w:t xml:space="preserve"> </w:t>
      </w:r>
      <w:r w:rsidRPr="00FA228D">
        <w:t xml:space="preserve">Hsp27 was </w:t>
      </w:r>
      <w:r w:rsidR="00577D3A" w:rsidRPr="00FA228D">
        <w:t xml:space="preserve">again </w:t>
      </w:r>
      <w:r w:rsidRPr="00FA228D">
        <w:t>achieved</w:t>
      </w:r>
      <w:r w:rsidR="00F752A3" w:rsidRPr="00FA228D">
        <w:t xml:space="preserve">, ultimately leading to </w:t>
      </w:r>
      <w:r w:rsidRPr="00FA228D">
        <w:t xml:space="preserve">an effective inhibition of </w:t>
      </w:r>
      <w:r w:rsidR="00577D3A" w:rsidRPr="00FA228D">
        <w:t>tumor</w:t>
      </w:r>
      <w:r w:rsidRPr="00FA228D">
        <w:t xml:space="preserve"> growth</w:t>
      </w:r>
      <w:r w:rsidR="00E40026" w:rsidRPr="00FA228D">
        <w:t xml:space="preserve"> (Figure 3B</w:t>
      </w:r>
      <w:r w:rsidR="00F752A3" w:rsidRPr="00FA228D">
        <w:t xml:space="preserve">). </w:t>
      </w:r>
      <w:r w:rsidRPr="00FA228D">
        <w:t>Importantly, no discernible toxicity</w:t>
      </w:r>
      <w:r w:rsidR="00F752A3" w:rsidRPr="00FA228D">
        <w:t xml:space="preserve"> </w:t>
      </w:r>
      <w:r w:rsidR="00F24A4B" w:rsidRPr="00FA228D">
        <w:t xml:space="preserve">was </w:t>
      </w:r>
      <w:r w:rsidRPr="00FA228D">
        <w:t>observed</w:t>
      </w:r>
      <w:r w:rsidR="00F24A4B" w:rsidRPr="00FA228D">
        <w:t>,</w:t>
      </w:r>
      <w:r w:rsidRPr="00FA228D">
        <w:t xml:space="preserve"> </w:t>
      </w:r>
      <w:r w:rsidR="00F24A4B" w:rsidRPr="00FA228D">
        <w:t>as</w:t>
      </w:r>
      <w:r w:rsidRPr="00FA228D">
        <w:t xml:space="preserve"> </w:t>
      </w:r>
      <w:r w:rsidR="00F24A4B" w:rsidRPr="00FA228D">
        <w:t>no</w:t>
      </w:r>
      <w:r w:rsidRPr="00FA228D">
        <w:t xml:space="preserve"> weight alteration</w:t>
      </w:r>
      <w:r w:rsidR="00F24A4B" w:rsidRPr="00FA228D">
        <w:t>,</w:t>
      </w:r>
      <w:r w:rsidRPr="00FA228D">
        <w:t xml:space="preserve"> </w:t>
      </w:r>
      <w:r w:rsidR="00F24A4B" w:rsidRPr="00FA228D">
        <w:t xml:space="preserve">organ injury during treatment, or major </w:t>
      </w:r>
      <w:proofErr w:type="spellStart"/>
      <w:r w:rsidR="00F24A4B" w:rsidRPr="00FA228D">
        <w:t>histopathological</w:t>
      </w:r>
      <w:proofErr w:type="spellEnd"/>
      <w:r w:rsidR="00F24A4B" w:rsidRPr="00FA228D">
        <w:t xml:space="preserve"> changes were </w:t>
      </w:r>
      <w:r w:rsidR="00F752A3" w:rsidRPr="00FA228D">
        <w:t>noted in the treated mice.</w:t>
      </w:r>
    </w:p>
    <w:p w14:paraId="1689F6A2" w14:textId="77777777" w:rsidR="00F752A3" w:rsidRPr="00FA228D" w:rsidRDefault="00F752A3" w:rsidP="0062453B">
      <w:pPr>
        <w:pStyle w:val="CETBodytext"/>
        <w:widowControl w:val="0"/>
      </w:pPr>
    </w:p>
    <w:p w14:paraId="45C76092" w14:textId="11C8486C" w:rsidR="00F752A3" w:rsidRPr="00FA228D" w:rsidRDefault="00E40026" w:rsidP="0062453B">
      <w:pPr>
        <w:pStyle w:val="CETBodytext"/>
        <w:widowControl w:val="0"/>
      </w:pPr>
      <w:r w:rsidRPr="00FA228D">
        <w:rPr>
          <w:noProof/>
          <w:lang w:eastAsia="it-IT"/>
        </w:rPr>
        <w:drawing>
          <wp:inline distT="0" distB="0" distL="0" distR="0" wp14:anchorId="7F96A444" wp14:editId="34F781DB">
            <wp:extent cx="4458335" cy="1380384"/>
            <wp:effectExtent l="0" t="0" r="0" b="0"/>
            <wp:docPr id="2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t="4774" b="8652"/>
                    <a:stretch/>
                  </pic:blipFill>
                  <pic:spPr bwMode="auto">
                    <a:xfrm>
                      <a:off x="0" y="0"/>
                      <a:ext cx="4459350" cy="1380698"/>
                    </a:xfrm>
                    <a:prstGeom prst="rect">
                      <a:avLst/>
                    </a:prstGeom>
                    <a:noFill/>
                    <a:ln>
                      <a:noFill/>
                    </a:ln>
                    <a:extLst>
                      <a:ext uri="{53640926-AAD7-44d8-BBD7-CCE9431645EC}">
                        <a14:shadowObscured xmlns:a14="http://schemas.microsoft.com/office/drawing/2010/main"/>
                      </a:ext>
                    </a:extLst>
                  </pic:spPr>
                </pic:pic>
              </a:graphicData>
            </a:graphic>
          </wp:inline>
        </w:drawing>
      </w:r>
    </w:p>
    <w:p w14:paraId="0CD091F7" w14:textId="625CBD33" w:rsidR="00F752A3" w:rsidRPr="00FA228D" w:rsidRDefault="00F752A3" w:rsidP="0062453B">
      <w:pPr>
        <w:pStyle w:val="CETBodytext"/>
        <w:widowControl w:val="0"/>
      </w:pPr>
    </w:p>
    <w:p w14:paraId="25B3619F" w14:textId="6B3915E9" w:rsidR="006F731F" w:rsidRPr="00FA228D" w:rsidRDefault="006F731F" w:rsidP="0062453B">
      <w:pPr>
        <w:pStyle w:val="CETBodytext"/>
        <w:widowControl w:val="0"/>
      </w:pPr>
      <w:r w:rsidRPr="00FA228D">
        <w:t>Figure</w:t>
      </w:r>
      <w:r w:rsidR="007212FC" w:rsidRPr="00FA228D">
        <w:t xml:space="preserve"> 3</w:t>
      </w:r>
      <w:r w:rsidRPr="00FA228D">
        <w:t xml:space="preserve">. </w:t>
      </w:r>
      <w:r w:rsidR="00B12680" w:rsidRPr="00FA228D">
        <w:t xml:space="preserve">(A) </w:t>
      </w:r>
      <w:r w:rsidR="007212FC" w:rsidRPr="00FA228D">
        <w:t>Effective gene silencing of Hsp27 at</w:t>
      </w:r>
      <w:r w:rsidR="00B12680" w:rsidRPr="00FA228D">
        <w:t xml:space="preserve"> </w:t>
      </w:r>
      <w:r w:rsidR="007212FC" w:rsidRPr="00FA228D">
        <w:t>protein levels</w:t>
      </w:r>
      <w:r w:rsidR="00B12680" w:rsidRPr="00FA228D">
        <w:t>,</w:t>
      </w:r>
      <w:r w:rsidR="007212FC" w:rsidRPr="00FA228D">
        <w:t xml:space="preserve"> </w:t>
      </w:r>
      <w:r w:rsidR="00B12680" w:rsidRPr="00FA228D">
        <w:t xml:space="preserve">as </w:t>
      </w:r>
      <w:r w:rsidR="007212FC" w:rsidRPr="00FA228D">
        <w:t xml:space="preserve">measured using </w:t>
      </w:r>
      <w:r w:rsidR="00B12680" w:rsidRPr="00FA228D">
        <w:t xml:space="preserve"> </w:t>
      </w:r>
      <w:r w:rsidR="007212FC" w:rsidRPr="00FA228D">
        <w:t xml:space="preserve">western blot, </w:t>
      </w:r>
      <w:r w:rsidR="00B12680" w:rsidRPr="00FA228D">
        <w:t>and (B)</w:t>
      </w:r>
      <w:r w:rsidR="007212FC" w:rsidRPr="00FA228D">
        <w:t xml:space="preserve"> Inhibition on </w:t>
      </w:r>
      <w:r w:rsidR="00461513" w:rsidRPr="00FA228D">
        <w:t>tumor</w:t>
      </w:r>
      <w:r w:rsidR="007212FC" w:rsidRPr="00FA228D">
        <w:t xml:space="preserve"> growth assessed by</w:t>
      </w:r>
      <w:r w:rsidR="00B12680" w:rsidRPr="00FA228D">
        <w:t xml:space="preserve"> </w:t>
      </w:r>
      <w:r w:rsidR="007212FC" w:rsidRPr="00FA228D">
        <w:t xml:space="preserve">measuring </w:t>
      </w:r>
      <w:r w:rsidR="00461513" w:rsidRPr="00FA228D">
        <w:t>tumor</w:t>
      </w:r>
      <w:r w:rsidR="007212FC" w:rsidRPr="00FA228D">
        <w:t xml:space="preserve"> size</w:t>
      </w:r>
      <w:r w:rsidR="00B12680" w:rsidRPr="00FA228D">
        <w:t>. Adapted from (Liu et al., 2014), with permission of Wiley-VCH.</w:t>
      </w:r>
    </w:p>
    <w:p w14:paraId="6DB4DED6" w14:textId="4B549C4C" w:rsidR="00E57E05" w:rsidRPr="00FA228D" w:rsidRDefault="00631C61" w:rsidP="0062453B">
      <w:pPr>
        <w:pStyle w:val="CETHeading1"/>
        <w:widowControl w:val="0"/>
        <w:tabs>
          <w:tab w:val="clear" w:pos="360"/>
          <w:tab w:val="right" w:pos="7100"/>
        </w:tabs>
        <w:jc w:val="both"/>
      </w:pPr>
      <w:r w:rsidRPr="00FA228D">
        <w:t>AD functionalization for targeted siRNA delivery</w:t>
      </w:r>
    </w:p>
    <w:p w14:paraId="4C736810" w14:textId="6AE6174E" w:rsidR="00631C61" w:rsidRPr="00FA228D" w:rsidRDefault="00631C61" w:rsidP="0062453B">
      <w:pPr>
        <w:pStyle w:val="CETBodytext"/>
        <w:widowControl w:val="0"/>
      </w:pPr>
      <w:r w:rsidRPr="00FA228D">
        <w:t xml:space="preserve">Further improvement of </w:t>
      </w:r>
      <w:r w:rsidRPr="00FA228D">
        <w:rPr>
          <w:b/>
        </w:rPr>
        <w:t>AD</w:t>
      </w:r>
      <w:r w:rsidRPr="00FA228D">
        <w:t xml:space="preserve">-mediated siRNA delivery were </w:t>
      </w:r>
      <w:r w:rsidR="003211DC" w:rsidRPr="00FA228D">
        <w:t>next</w:t>
      </w:r>
      <w:r w:rsidRPr="00FA228D">
        <w:t xml:space="preserve"> conducted with the purpose of endowing this self-assembled </w:t>
      </w:r>
      <w:r w:rsidR="000F739B" w:rsidRPr="00FA228D">
        <w:t>NV</w:t>
      </w:r>
      <w:r w:rsidRPr="00FA228D">
        <w:t xml:space="preserve"> with active targeting ability for specific cancer cell delivery. To the scope, computer-assisted optimization studies led to the design of a dual targeting warhead RGDK peptide </w:t>
      </w:r>
      <w:r w:rsidR="001A479D" w:rsidRPr="00FA228D">
        <w:t xml:space="preserve">(Figure 4A) </w:t>
      </w:r>
      <w:r w:rsidRPr="00FA228D">
        <w:t xml:space="preserve">which, by virtue of electrostatic adsorption </w:t>
      </w:r>
      <w:r w:rsidR="00403C34" w:rsidRPr="00FA228D">
        <w:t xml:space="preserve">of its negative tail composed by 16 glutamic acid residues </w:t>
      </w:r>
      <w:r w:rsidR="00BC33F0" w:rsidRPr="00FA228D">
        <w:t>on</w:t>
      </w:r>
      <w:r w:rsidRPr="00FA228D">
        <w:t xml:space="preserve">to the </w:t>
      </w:r>
      <w:r w:rsidR="004A4246" w:rsidRPr="00FA228D">
        <w:t>nanocarrier</w:t>
      </w:r>
      <w:r w:rsidRPr="00FA228D">
        <w:t xml:space="preserve"> surface</w:t>
      </w:r>
      <w:r w:rsidR="00403C34" w:rsidRPr="00FA228D">
        <w:t xml:space="preserve"> (Figure 4B</w:t>
      </w:r>
      <w:r w:rsidR="004A4246" w:rsidRPr="00FA228D">
        <w:t>)</w:t>
      </w:r>
      <w:r w:rsidRPr="00FA228D">
        <w:t xml:space="preserve">, was able to target the </w:t>
      </w:r>
      <w:r w:rsidR="00BC33F0" w:rsidRPr="00FA228D">
        <w:t>tumor</w:t>
      </w:r>
      <w:r w:rsidRPr="00FA228D">
        <w:t xml:space="preserve"> endothelium by binding both to ανβ3 integrin (localization) and to the neuropilin-1 (Nrp-1) receptor, </w:t>
      </w:r>
      <w:r w:rsidR="004A4246" w:rsidRPr="00FA228D">
        <w:t>thereby</w:t>
      </w:r>
      <w:r w:rsidRPr="00FA228D">
        <w:t xml:space="preserve"> promoting cancer cell penetration and uptake</w:t>
      </w:r>
      <w:r w:rsidR="00EE2DB6" w:rsidRPr="00FA228D">
        <w:t xml:space="preserve"> (Dong et al., 2018). </w:t>
      </w:r>
    </w:p>
    <w:p w14:paraId="18E2AC58" w14:textId="77777777" w:rsidR="00631C61" w:rsidRPr="00FA228D" w:rsidRDefault="00631C61" w:rsidP="0062453B">
      <w:pPr>
        <w:pStyle w:val="CETBodytext"/>
        <w:widowControl w:val="0"/>
      </w:pPr>
    </w:p>
    <w:p w14:paraId="02FB60C7" w14:textId="04091B48" w:rsidR="00631C61" w:rsidRPr="00FA228D" w:rsidRDefault="001A479D" w:rsidP="0062453B">
      <w:pPr>
        <w:pStyle w:val="CETBodytext"/>
        <w:widowControl w:val="0"/>
      </w:pPr>
      <w:r w:rsidRPr="00FA228D">
        <w:t xml:space="preserve">A </w:t>
      </w:r>
      <w:r w:rsidRPr="00FA228D">
        <w:rPr>
          <w:noProof/>
          <w:lang w:eastAsia="it-IT"/>
        </w:rPr>
        <w:drawing>
          <wp:inline distT="0" distB="0" distL="0" distR="0" wp14:anchorId="38F835B0" wp14:editId="3DE6EC31">
            <wp:extent cx="1826895" cy="920147"/>
            <wp:effectExtent l="0" t="0" r="190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DK.png"/>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27449" cy="920426"/>
                    </a:xfrm>
                    <a:prstGeom prst="rect">
                      <a:avLst/>
                    </a:prstGeom>
                  </pic:spPr>
                </pic:pic>
              </a:graphicData>
            </a:graphic>
          </wp:inline>
        </w:drawing>
      </w:r>
      <w:r w:rsidRPr="00FA228D">
        <w:t xml:space="preserve">  B </w:t>
      </w:r>
      <w:r w:rsidR="004A4246" w:rsidRPr="00FA228D">
        <w:rPr>
          <w:noProof/>
          <w:lang w:eastAsia="it-IT"/>
        </w:rPr>
        <w:drawing>
          <wp:inline distT="0" distB="0" distL="0" distR="0" wp14:anchorId="1AC5CE10" wp14:editId="196E3C7C">
            <wp:extent cx="1458619" cy="1576705"/>
            <wp:effectExtent l="0" t="0" r="0" b="0"/>
            <wp:docPr id="28" name="Immagine 28" descr="Macintosh HD:Users:sabrina:Documents:2018_PUBLISHED:2018_JACS_LING:NUOVO PAPER:Palma:img_all_WatIonsTrasp_res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abrina:Documents:2018_PUBLISHED:2018_JACS_LING:NUOVO PAPER:Palma:img_all_WatIonsTrasp_res18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8951" cy="1577064"/>
                    </a:xfrm>
                    <a:prstGeom prst="rect">
                      <a:avLst/>
                    </a:prstGeom>
                    <a:noFill/>
                    <a:ln>
                      <a:noFill/>
                    </a:ln>
                  </pic:spPr>
                </pic:pic>
              </a:graphicData>
            </a:graphic>
          </wp:inline>
        </w:drawing>
      </w:r>
      <w:r w:rsidRPr="00FA228D">
        <w:t xml:space="preserve">  </w:t>
      </w:r>
      <w:r w:rsidR="00BE3805" w:rsidRPr="00FA228D">
        <w:t>C</w:t>
      </w:r>
      <w:r w:rsidR="009F2101" w:rsidRPr="00FA228D">
        <w:t xml:space="preserve">  </w:t>
      </w:r>
      <w:r w:rsidR="009F2101" w:rsidRPr="00FA228D">
        <w:rPr>
          <w:noProof/>
          <w:lang w:eastAsia="it-IT"/>
        </w:rPr>
        <w:drawing>
          <wp:inline distT="0" distB="0" distL="0" distR="0" wp14:anchorId="2C0D62A3" wp14:editId="126E01E8">
            <wp:extent cx="1707059" cy="1257935"/>
            <wp:effectExtent l="0" t="0" r="0" b="12065"/>
            <wp:docPr id="29" name="Immagine 29" descr="Macintosh HD:Users:sabrina:Documents:2018_PUBLISHED:2018_JACS_LING:NUOVO PAPER:rgdk_vs_ad_siRNA_integrate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abrina:Documents:2018_PUBLISHED:2018_JACS_LING:NUOVO PAPER:rgdk_vs_ad_siRNA_integrated.tif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8428" cy="1258944"/>
                    </a:xfrm>
                    <a:prstGeom prst="rect">
                      <a:avLst/>
                    </a:prstGeom>
                    <a:noFill/>
                    <a:ln>
                      <a:noFill/>
                    </a:ln>
                  </pic:spPr>
                </pic:pic>
              </a:graphicData>
            </a:graphic>
          </wp:inline>
        </w:drawing>
      </w:r>
    </w:p>
    <w:p w14:paraId="00BC6F83" w14:textId="77777777" w:rsidR="00631C61" w:rsidRPr="00FA228D" w:rsidRDefault="00631C61" w:rsidP="0062453B">
      <w:pPr>
        <w:pStyle w:val="CETBodytext"/>
        <w:widowControl w:val="0"/>
      </w:pPr>
    </w:p>
    <w:p w14:paraId="4ED59BEC" w14:textId="22C514C7" w:rsidR="00600535" w:rsidRPr="00FA228D" w:rsidRDefault="009F2101" w:rsidP="0062453B">
      <w:pPr>
        <w:widowControl w:val="0"/>
        <w:tabs>
          <w:tab w:val="clear" w:pos="7100"/>
        </w:tabs>
        <w:autoSpaceDE w:val="0"/>
        <w:autoSpaceDN w:val="0"/>
        <w:adjustRightInd w:val="0"/>
        <w:jc w:val="left"/>
        <w:rPr>
          <w:rFonts w:ascii="Times New Roman" w:eastAsiaTheme="minorHAnsi" w:hAnsi="Times New Roman"/>
          <w:sz w:val="20"/>
          <w:lang w:val="en-US"/>
        </w:rPr>
      </w:pPr>
      <w:r w:rsidRPr="00FA228D">
        <w:rPr>
          <w:lang w:val="en-US"/>
        </w:rPr>
        <w:t xml:space="preserve">Figure 4. (A) </w:t>
      </w:r>
      <w:r w:rsidR="00B84070" w:rsidRPr="00FA228D">
        <w:rPr>
          <w:lang w:val="en-US"/>
        </w:rPr>
        <w:t xml:space="preserve">Chemical structure of the </w:t>
      </w:r>
      <w:r w:rsidR="000420F5" w:rsidRPr="00FA228D">
        <w:rPr>
          <w:lang w:val="en-US"/>
        </w:rPr>
        <w:t xml:space="preserve">designed </w:t>
      </w:r>
      <w:r w:rsidR="00B84070" w:rsidRPr="00FA228D">
        <w:rPr>
          <w:lang w:val="en-US"/>
        </w:rPr>
        <w:t>targeting peptide</w:t>
      </w:r>
      <w:r w:rsidR="000420F5" w:rsidRPr="00FA228D">
        <w:rPr>
          <w:rFonts w:eastAsiaTheme="minorHAnsi" w:cs="Arial"/>
          <w:szCs w:val="18"/>
          <w:lang w:val="en-US"/>
        </w:rPr>
        <w:t xml:space="preserve">. (B) </w:t>
      </w:r>
      <w:r w:rsidRPr="00FA228D">
        <w:rPr>
          <w:rFonts w:cs="Arial"/>
          <w:szCs w:val="18"/>
          <w:lang w:val="en-US"/>
        </w:rPr>
        <w:t>Equilibrated</w:t>
      </w:r>
      <w:r w:rsidRPr="00FA228D">
        <w:rPr>
          <w:lang w:val="en-US"/>
        </w:rPr>
        <w:t xml:space="preserve"> molecu</w:t>
      </w:r>
      <w:r w:rsidR="000420F5" w:rsidRPr="00FA228D">
        <w:rPr>
          <w:lang w:val="en-US"/>
        </w:rPr>
        <w:t>lar dynamics (MD) snapshot of a</w:t>
      </w:r>
      <w:r w:rsidRPr="00FA228D">
        <w:rPr>
          <w:lang w:val="en-US"/>
        </w:rPr>
        <w:t xml:space="preserve"> siRNA/</w:t>
      </w:r>
      <w:r w:rsidRPr="00FA228D">
        <w:rPr>
          <w:b/>
          <w:lang w:val="en-US"/>
        </w:rPr>
        <w:t>AD</w:t>
      </w:r>
      <w:r w:rsidRPr="00FA228D">
        <w:rPr>
          <w:lang w:val="en-US"/>
        </w:rPr>
        <w:t xml:space="preserve"> micelle in complex with four E</w:t>
      </w:r>
      <w:r w:rsidRPr="00FA228D">
        <w:rPr>
          <w:vertAlign w:val="subscript"/>
          <w:lang w:val="en-US"/>
        </w:rPr>
        <w:t>16</w:t>
      </w:r>
      <w:r w:rsidRPr="00FA228D">
        <w:rPr>
          <w:lang w:val="en-US"/>
        </w:rPr>
        <w:t>G</w:t>
      </w:r>
      <w:r w:rsidRPr="00FA228D">
        <w:rPr>
          <w:vertAlign w:val="subscript"/>
          <w:lang w:val="en-US"/>
        </w:rPr>
        <w:t>6</w:t>
      </w:r>
      <w:r w:rsidRPr="00FA228D">
        <w:rPr>
          <w:lang w:val="en-US"/>
        </w:rPr>
        <w:t>RGDK peptides</w:t>
      </w:r>
      <w:r w:rsidR="003E5739" w:rsidRPr="00FA228D">
        <w:rPr>
          <w:lang w:val="en-US"/>
        </w:rPr>
        <w:t xml:space="preserve">. </w:t>
      </w:r>
      <w:r w:rsidRPr="00FA228D">
        <w:rPr>
          <w:lang w:val="en-US"/>
        </w:rPr>
        <w:t xml:space="preserve">The siRNA molecule is portrayed with its van der Waals surface in grey. The </w:t>
      </w:r>
      <w:r w:rsidRPr="00FA228D">
        <w:rPr>
          <w:b/>
          <w:lang w:val="en-US"/>
        </w:rPr>
        <w:t>AD</w:t>
      </w:r>
      <w:r w:rsidRPr="00FA228D">
        <w:rPr>
          <w:lang w:val="en-US"/>
        </w:rPr>
        <w:t xml:space="preserve"> micelle is shown in dark slate blue sticks and balls, while the four peptides a</w:t>
      </w:r>
      <w:r w:rsidR="003E5739" w:rsidRPr="00FA228D">
        <w:rPr>
          <w:lang w:val="en-US"/>
        </w:rPr>
        <w:t>re depicted as colored spheres (pink, yellow, green and orange)</w:t>
      </w:r>
      <w:r w:rsidRPr="00FA228D">
        <w:rPr>
          <w:lang w:val="en-US"/>
        </w:rPr>
        <w:t>. Ions and counterions are</w:t>
      </w:r>
      <w:r w:rsidR="003E5739" w:rsidRPr="00FA228D">
        <w:rPr>
          <w:lang w:val="en-US"/>
        </w:rPr>
        <w:t xml:space="preserve"> </w:t>
      </w:r>
      <w:r w:rsidRPr="00FA228D">
        <w:rPr>
          <w:lang w:val="en-US"/>
        </w:rPr>
        <w:t>shown as green and purple hollow spheres; water is shown as a light cyan surface</w:t>
      </w:r>
      <w:r w:rsidR="000420F5" w:rsidRPr="00FA228D">
        <w:rPr>
          <w:lang w:val="en-US"/>
        </w:rPr>
        <w:t>. (C</w:t>
      </w:r>
      <w:r w:rsidR="003E5739" w:rsidRPr="00FA228D">
        <w:rPr>
          <w:lang w:val="en-US"/>
        </w:rPr>
        <w:t>) Representative integrated ITC profiles for titration of the siRNA/</w:t>
      </w:r>
      <w:r w:rsidR="003E5739" w:rsidRPr="00FA228D">
        <w:rPr>
          <w:b/>
          <w:lang w:val="en-US"/>
        </w:rPr>
        <w:t>AD</w:t>
      </w:r>
      <w:r w:rsidR="003E5739" w:rsidRPr="00FA228D">
        <w:rPr>
          <w:lang w:val="en-US"/>
        </w:rPr>
        <w:t xml:space="preserve"> complexes with the E</w:t>
      </w:r>
      <w:r w:rsidR="003E5739" w:rsidRPr="00FA228D">
        <w:rPr>
          <w:vertAlign w:val="subscript"/>
          <w:lang w:val="en-US"/>
        </w:rPr>
        <w:t>16</w:t>
      </w:r>
      <w:r w:rsidR="003E5739" w:rsidRPr="00FA228D">
        <w:rPr>
          <w:lang w:val="en-US"/>
        </w:rPr>
        <w:t>G</w:t>
      </w:r>
      <w:r w:rsidR="003E5739" w:rsidRPr="00FA228D">
        <w:rPr>
          <w:vertAlign w:val="subscript"/>
          <w:lang w:val="en-US"/>
        </w:rPr>
        <w:t>6</w:t>
      </w:r>
      <w:r w:rsidR="003E5739" w:rsidRPr="00FA228D">
        <w:rPr>
          <w:lang w:val="en-US"/>
        </w:rPr>
        <w:t>RGDK peptide (T = 25 °C). The solid red lines are data fitted with a sigmoidal function. The inset shows the corresponding ITC raw data.</w:t>
      </w:r>
      <w:r w:rsidR="001336A7" w:rsidRPr="00FA228D">
        <w:rPr>
          <w:lang w:val="en-US"/>
        </w:rPr>
        <w:t xml:space="preserve"> Adapted from (Dong et al., 2018), with the permission of the American Chemical Society.</w:t>
      </w:r>
    </w:p>
    <w:p w14:paraId="7CEE6D87" w14:textId="77777777" w:rsidR="003E5739" w:rsidRPr="00FA228D" w:rsidRDefault="003E5739" w:rsidP="0062453B">
      <w:pPr>
        <w:pStyle w:val="CETBodytext"/>
        <w:widowControl w:val="0"/>
      </w:pPr>
    </w:p>
    <w:p w14:paraId="7B78D217" w14:textId="7EED3605" w:rsidR="003E5739" w:rsidRPr="00FA228D" w:rsidRDefault="009F2101" w:rsidP="0062453B">
      <w:pPr>
        <w:pStyle w:val="CETBodytext"/>
        <w:widowControl w:val="0"/>
      </w:pPr>
      <w:r w:rsidRPr="00FA228D">
        <w:t xml:space="preserve">Isothermal titration calorimetry (ITC) measurements were conducted to experimentally assess the efficacy of the interaction between the </w:t>
      </w:r>
      <w:r w:rsidR="003E5739" w:rsidRPr="00FA228D">
        <w:t xml:space="preserve">optimized RGDK warhead peptide </w:t>
      </w:r>
      <w:r w:rsidR="006B136A" w:rsidRPr="00FA228D">
        <w:t xml:space="preserve">and the </w:t>
      </w:r>
      <w:r w:rsidR="006B136A" w:rsidRPr="00FA228D">
        <w:rPr>
          <w:b/>
        </w:rPr>
        <w:t>AD</w:t>
      </w:r>
      <w:r w:rsidR="006B136A" w:rsidRPr="00FA228D">
        <w:t xml:space="preserve">/siRNA complexes </w:t>
      </w:r>
      <w:r w:rsidR="00833685" w:rsidRPr="00FA228D">
        <w:t>(Figure 4C</w:t>
      </w:r>
      <w:r w:rsidR="003E5739" w:rsidRPr="00FA228D">
        <w:t>). The binding process was found</w:t>
      </w:r>
      <w:r w:rsidR="006B136A" w:rsidRPr="00FA228D">
        <w:t xml:space="preserve"> </w:t>
      </w:r>
      <w:r w:rsidR="003E5739" w:rsidRPr="00FA228D">
        <w:t xml:space="preserve">to be  mainly characterized by a </w:t>
      </w:r>
      <w:r w:rsidR="00257C83" w:rsidRPr="00FA228D">
        <w:t>favorable</w:t>
      </w:r>
      <w:r w:rsidR="003E5739" w:rsidRPr="00FA228D">
        <w:t xml:space="preserve"> enthalpic contribution (ΔΗ = −5.0 ± 0.2 kcal/mol), as testified by the exothermic peaks of the cor</w:t>
      </w:r>
      <w:r w:rsidR="00257C83" w:rsidRPr="00FA228D">
        <w:t xml:space="preserve">responding </w:t>
      </w:r>
      <w:proofErr w:type="spellStart"/>
      <w:r w:rsidR="00257C83" w:rsidRPr="00FA228D">
        <w:t>thermogram</w:t>
      </w:r>
      <w:proofErr w:type="spellEnd"/>
      <w:r w:rsidR="00257C83" w:rsidRPr="00FA228D">
        <w:t xml:space="preserve"> (Figure 4C</w:t>
      </w:r>
      <w:r w:rsidR="003E5739" w:rsidRPr="00FA228D">
        <w:t xml:space="preserve">). A small </w:t>
      </w:r>
      <w:r w:rsidR="00257C83" w:rsidRPr="00FA228D">
        <w:t>favorable</w:t>
      </w:r>
      <w:r w:rsidR="003E5739" w:rsidRPr="00FA228D">
        <w:t xml:space="preserve"> entropy change was also estimated (−TΔS = −1.9 kcal/mol)</w:t>
      </w:r>
      <w:r w:rsidR="00257C83" w:rsidRPr="00FA228D">
        <w:t>;</w:t>
      </w:r>
      <w:r w:rsidR="003E5739" w:rsidRPr="00FA228D">
        <w:t xml:space="preserve"> accordingly, the overall complex formation was thermodynamically </w:t>
      </w:r>
      <w:r w:rsidR="00257C83" w:rsidRPr="00FA228D">
        <w:t>favored</w:t>
      </w:r>
      <w:r w:rsidR="003E5739" w:rsidRPr="00FA228D">
        <w:t>, with a free energy of binding (ΔG) value of −6.8 kcal/mol.</w:t>
      </w:r>
    </w:p>
    <w:p w14:paraId="29FE6F9C" w14:textId="0C7ACBD0" w:rsidR="003E5739" w:rsidRPr="00FA228D" w:rsidRDefault="003E5739" w:rsidP="0062453B">
      <w:pPr>
        <w:pStyle w:val="CETBodytext"/>
        <w:widowControl w:val="0"/>
      </w:pPr>
      <w:r w:rsidRPr="00FA228D">
        <w:t xml:space="preserve">After extensive characterization of the </w:t>
      </w:r>
      <w:r w:rsidRPr="00FA228D">
        <w:rPr>
          <w:i/>
        </w:rPr>
        <w:t>in vitro</w:t>
      </w:r>
      <w:r w:rsidRPr="00FA228D">
        <w:t xml:space="preserve"> </w:t>
      </w:r>
      <w:r w:rsidR="00BE3805" w:rsidRPr="00FA228D">
        <w:t>behavior</w:t>
      </w:r>
      <w:r w:rsidRPr="00FA228D">
        <w:t xml:space="preserve"> of the new </w:t>
      </w:r>
      <w:r w:rsidRPr="00FA228D">
        <w:rPr>
          <w:b/>
        </w:rPr>
        <w:t>AD</w:t>
      </w:r>
      <w:r w:rsidRPr="00FA228D">
        <w:t xml:space="preserve">/RGDK nanocarrier, </w:t>
      </w:r>
      <w:r w:rsidR="00353F7F" w:rsidRPr="00FA228D">
        <w:t>further</w:t>
      </w:r>
      <w:r w:rsidRPr="00FA228D">
        <w:t xml:space="preserve"> experiments </w:t>
      </w:r>
      <w:r w:rsidRPr="00FA228D">
        <w:lastRenderedPageBreak/>
        <w:t xml:space="preserve">were performed to finally </w:t>
      </w:r>
      <w:r w:rsidR="00BE3805" w:rsidRPr="00FA228D">
        <w:t>determine</w:t>
      </w:r>
      <w:r w:rsidRPr="00FA228D">
        <w:t xml:space="preserve"> the </w:t>
      </w:r>
      <w:r w:rsidR="00BE3805" w:rsidRPr="00FA228D">
        <w:t>performance</w:t>
      </w:r>
      <w:r w:rsidRPr="00FA228D">
        <w:t xml:space="preserve"> of the targeting system for siRNA delivery </w:t>
      </w:r>
      <w:r w:rsidRPr="00FA228D">
        <w:rPr>
          <w:i/>
        </w:rPr>
        <w:t>in vivo</w:t>
      </w:r>
      <w:r w:rsidR="0062453B" w:rsidRPr="00FA228D">
        <w:t xml:space="preserve"> (Figure 5).</w:t>
      </w:r>
    </w:p>
    <w:p w14:paraId="210C79BB" w14:textId="77777777" w:rsidR="003E5739" w:rsidRPr="00FA228D" w:rsidRDefault="003E5739" w:rsidP="0062453B">
      <w:pPr>
        <w:pStyle w:val="CETBodytext"/>
        <w:widowControl w:val="0"/>
      </w:pPr>
    </w:p>
    <w:p w14:paraId="76A6CE67" w14:textId="6D3307C9" w:rsidR="003E5739" w:rsidRPr="00FA228D" w:rsidRDefault="00353F7F" w:rsidP="0062453B">
      <w:pPr>
        <w:pStyle w:val="CETBodytext"/>
        <w:widowControl w:val="0"/>
      </w:pPr>
      <w:r w:rsidRPr="00FA228D">
        <w:rPr>
          <w:noProof/>
          <w:lang w:eastAsia="it-IT"/>
        </w:rPr>
        <w:drawing>
          <wp:inline distT="0" distB="0" distL="0" distR="0" wp14:anchorId="59BE983D" wp14:editId="51F2FEAA">
            <wp:extent cx="4344035" cy="3073195"/>
            <wp:effectExtent l="0" t="0" r="0" b="63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 vivo.png"/>
                    <pic:cNvPicPr/>
                  </pic:nvPicPr>
                  <pic:blipFill>
                    <a:blip r:embed="rId22">
                      <a:extLst>
                        <a:ext uri="{28A0092B-C50C-407E-A947-70E740481C1C}">
                          <a14:useLocalDpi xmlns:a14="http://schemas.microsoft.com/office/drawing/2010/main" val="0"/>
                        </a:ext>
                      </a:extLst>
                    </a:blip>
                    <a:stretch>
                      <a:fillRect/>
                    </a:stretch>
                  </pic:blipFill>
                  <pic:spPr>
                    <a:xfrm>
                      <a:off x="0" y="0"/>
                      <a:ext cx="4344461" cy="3073497"/>
                    </a:xfrm>
                    <a:prstGeom prst="rect">
                      <a:avLst/>
                    </a:prstGeom>
                  </pic:spPr>
                </pic:pic>
              </a:graphicData>
            </a:graphic>
          </wp:inline>
        </w:drawing>
      </w:r>
    </w:p>
    <w:p w14:paraId="75638577" w14:textId="77777777" w:rsidR="00980481" w:rsidRPr="00FA228D" w:rsidRDefault="00980481" w:rsidP="0062453B">
      <w:pPr>
        <w:pStyle w:val="CETBodytext"/>
        <w:widowControl w:val="0"/>
      </w:pPr>
    </w:p>
    <w:p w14:paraId="06041068" w14:textId="509FF694" w:rsidR="00980481" w:rsidRPr="00FA228D" w:rsidRDefault="0062453B" w:rsidP="0062453B">
      <w:pPr>
        <w:pStyle w:val="CETBodytext"/>
        <w:widowControl w:val="0"/>
      </w:pPr>
      <w:r w:rsidRPr="00FA228D">
        <w:t>Figure 5</w:t>
      </w:r>
      <w:r w:rsidR="00980481" w:rsidRPr="00FA228D">
        <w:t xml:space="preserve">. </w:t>
      </w:r>
      <w:r w:rsidR="007742C5" w:rsidRPr="00FA228D">
        <w:t xml:space="preserve">(A) </w:t>
      </w:r>
      <w:r w:rsidR="00BE3805" w:rsidRPr="00FA228D">
        <w:t>Tumor</w:t>
      </w:r>
      <w:r w:rsidR="007742C5" w:rsidRPr="00FA228D">
        <w:t xml:space="preserve"> gr</w:t>
      </w:r>
      <w:r w:rsidR="00B604AC" w:rsidRPr="00FA228D">
        <w:t>owth assessed by measuring tumo</w:t>
      </w:r>
      <w:r w:rsidR="007742C5" w:rsidRPr="00FA228D">
        <w:t>r size, (B) ca</w:t>
      </w:r>
      <w:r w:rsidR="00B604AC" w:rsidRPr="00FA228D">
        <w:t>ncer cell proliferation in tumo</w:t>
      </w:r>
      <w:r w:rsidR="007742C5" w:rsidRPr="00FA228D">
        <w:t>r tissue revealed by immunohistochemistry, (C) expr</w:t>
      </w:r>
      <w:r w:rsidR="00B604AC" w:rsidRPr="00FA228D">
        <w:t>ession of Hsp27 protein in tumo</w:t>
      </w:r>
      <w:r w:rsidR="007742C5" w:rsidRPr="00FA228D">
        <w:t xml:space="preserve">rs quantified using Western blotting and (D) mice body weight monitoring during the treatment with the </w:t>
      </w:r>
      <w:r w:rsidR="007742C5" w:rsidRPr="00FA228D">
        <w:rPr>
          <w:b/>
        </w:rPr>
        <w:t>AD</w:t>
      </w:r>
      <w:r w:rsidR="007742C5" w:rsidRPr="00FA228D">
        <w:t xml:space="preserve">/RGK/siRNA </w:t>
      </w:r>
      <w:proofErr w:type="spellStart"/>
      <w:r w:rsidR="007742C5" w:rsidRPr="00FA228D">
        <w:t>nanosystem</w:t>
      </w:r>
      <w:proofErr w:type="spellEnd"/>
      <w:r w:rsidR="007742C5" w:rsidRPr="00FA228D">
        <w:t xml:space="preserve">. </w:t>
      </w:r>
      <w:r w:rsidR="001F6A6A" w:rsidRPr="00FA228D">
        <w:t>Adapted from (Dong et al., 2018), with permission of the American Chemical Society.</w:t>
      </w:r>
    </w:p>
    <w:p w14:paraId="64F62817" w14:textId="77777777" w:rsidR="00980481" w:rsidRPr="00FA228D" w:rsidRDefault="00980481" w:rsidP="0062453B">
      <w:pPr>
        <w:pStyle w:val="CETBodytext"/>
        <w:widowControl w:val="0"/>
      </w:pPr>
    </w:p>
    <w:p w14:paraId="50822084" w14:textId="79CFBDE3" w:rsidR="000F110F" w:rsidRPr="00FA228D" w:rsidRDefault="0062453B" w:rsidP="0062453B">
      <w:pPr>
        <w:pStyle w:val="CETBodytext"/>
        <w:widowControl w:val="0"/>
      </w:pPr>
      <w:r w:rsidRPr="00FA228D">
        <w:t>With respect to the original</w:t>
      </w:r>
      <w:r w:rsidR="000F110F" w:rsidRPr="00FA228D">
        <w:t xml:space="preserve"> self-assembled </w:t>
      </w:r>
      <w:r w:rsidR="000F110F" w:rsidRPr="00FA228D">
        <w:rPr>
          <w:b/>
        </w:rPr>
        <w:t>AD</w:t>
      </w:r>
      <w:r w:rsidR="000F110F" w:rsidRPr="00FA228D">
        <w:t xml:space="preserve"> system, the new </w:t>
      </w:r>
      <w:r w:rsidRPr="00FA228D">
        <w:t>NV</w:t>
      </w:r>
      <w:r w:rsidR="000F110F" w:rsidRPr="00FA228D">
        <w:t xml:space="preserve"> equipped with the dual targeting peptide was able to specifically target cancer cells for improved gene silencing; as such, it resulted to be endowed with much more potent anticancer activity at a significantly lower dosage of siRNA with respect to </w:t>
      </w:r>
      <w:r w:rsidR="000F110F" w:rsidRPr="00FA228D">
        <w:rPr>
          <w:b/>
        </w:rPr>
        <w:t>AD</w:t>
      </w:r>
      <w:r w:rsidR="000F110F" w:rsidRPr="00FA228D">
        <w:t xml:space="preserve"> alone. </w:t>
      </w:r>
      <w:r w:rsidR="00B604AC" w:rsidRPr="00FA228D">
        <w:t>In essence</w:t>
      </w:r>
      <w:r w:rsidR="000F110F" w:rsidRPr="00FA228D">
        <w:t xml:space="preserve">, this was the first report to explore a targeting strategy for self-assembling dendrimer-mediated siRNA delivery. Most importantly, compared with the original </w:t>
      </w:r>
      <w:r w:rsidR="000F110F" w:rsidRPr="00FA228D">
        <w:rPr>
          <w:b/>
        </w:rPr>
        <w:t>AD</w:t>
      </w:r>
      <w:r w:rsidR="00CE4FCE" w:rsidRPr="00FA228D">
        <w:t xml:space="preserve"> nanovector, </w:t>
      </w:r>
      <w:r w:rsidR="000F110F" w:rsidRPr="00FA228D">
        <w:t xml:space="preserve">this amphiphilic dendrimer system had similar siRNA loading capacity but more than 10-fold greater potency for </w:t>
      </w:r>
      <w:r w:rsidR="000F110F" w:rsidRPr="00FA228D">
        <w:rPr>
          <w:i/>
        </w:rPr>
        <w:t>in vivo</w:t>
      </w:r>
      <w:r w:rsidR="000F110F" w:rsidRPr="00FA228D">
        <w:t xml:space="preserve"> siRNA delivery and consequent antitumor activity.</w:t>
      </w:r>
    </w:p>
    <w:p w14:paraId="0923520A" w14:textId="54CE24C8" w:rsidR="00E57E05" w:rsidRPr="00FA228D" w:rsidRDefault="002C7E68" w:rsidP="0062453B">
      <w:pPr>
        <w:pStyle w:val="CETHeading1"/>
        <w:widowControl w:val="0"/>
        <w:tabs>
          <w:tab w:val="clear" w:pos="360"/>
          <w:tab w:val="right" w:pos="7100"/>
        </w:tabs>
        <w:jc w:val="both"/>
      </w:pPr>
      <w:r w:rsidRPr="00FA228D">
        <w:t>A single-tail AD derivative as potent cancer imaging system</w:t>
      </w:r>
      <w:r w:rsidR="00C656A5" w:rsidRPr="00FA228D">
        <w:t>: [</w:t>
      </w:r>
      <w:r w:rsidR="00C656A5" w:rsidRPr="00FA228D">
        <w:rPr>
          <w:vertAlign w:val="superscript"/>
        </w:rPr>
        <w:t>69</w:t>
      </w:r>
      <w:r w:rsidR="00C656A5" w:rsidRPr="00FA228D">
        <w:t>Ga]Ga-1 micelle</w:t>
      </w:r>
      <w:r w:rsidR="003C71DF" w:rsidRPr="00FA228D">
        <w:t>s</w:t>
      </w:r>
    </w:p>
    <w:p w14:paraId="3F6C02B2" w14:textId="2B6CE2F6" w:rsidR="00704C3B" w:rsidRPr="00FA228D" w:rsidRDefault="00704C3B" w:rsidP="0062453B">
      <w:pPr>
        <w:pStyle w:val="CETBodytext"/>
        <w:widowControl w:val="0"/>
      </w:pPr>
      <w:r w:rsidRPr="00FA228D">
        <w:t>Nanotechnology-based imaging in cancer diagnosis plays a prominent role in both improving imaging sensitivity and specificity</w:t>
      </w:r>
      <w:r w:rsidR="008E7F62" w:rsidRPr="00FA228D">
        <w:t>,</w:t>
      </w:r>
      <w:r w:rsidRPr="00FA228D">
        <w:t xml:space="preserve"> and reducing contrast agent toxicity. Quite recently, based on the previous experience with </w:t>
      </w:r>
      <w:r w:rsidRPr="00FA228D">
        <w:rPr>
          <w:b/>
        </w:rPr>
        <w:t>AD</w:t>
      </w:r>
      <w:r w:rsidRPr="00FA228D">
        <w:t xml:space="preserve"> and further studies on </w:t>
      </w:r>
      <w:r w:rsidRPr="00FA228D">
        <w:rPr>
          <w:b/>
        </w:rPr>
        <w:t>AD</w:t>
      </w:r>
      <w:r w:rsidRPr="00FA228D">
        <w:t xml:space="preserve"> modifications (</w:t>
      </w:r>
      <w:r w:rsidR="008E7F62" w:rsidRPr="00FA228D">
        <w:t>Chen et al., 2016</w:t>
      </w:r>
      <w:r w:rsidRPr="00FA228D">
        <w:t xml:space="preserve">), an innovative </w:t>
      </w:r>
      <w:proofErr w:type="spellStart"/>
      <w:r w:rsidRPr="00FA228D">
        <w:t>nanosystem</w:t>
      </w:r>
      <w:proofErr w:type="spellEnd"/>
      <w:r w:rsidRPr="00FA228D">
        <w:t xml:space="preserve"> for positron emission tomography (PET) imaging </w:t>
      </w:r>
      <w:r w:rsidR="008E7F62" w:rsidRPr="00FA228D">
        <w:t xml:space="preserve">was developed </w:t>
      </w:r>
      <w:r w:rsidRPr="00FA228D">
        <w:t>again exploiting amphiphilic dendrimer-based self-assembly</w:t>
      </w:r>
      <w:r w:rsidR="00635AAB" w:rsidRPr="00FA228D">
        <w:t xml:space="preserve"> (Figure 6</w:t>
      </w:r>
      <w:r w:rsidR="00AF42CE" w:rsidRPr="00FA228D">
        <w:t>A)</w:t>
      </w:r>
      <w:r w:rsidR="008E7F62" w:rsidRPr="00FA228D">
        <w:t>. To the purpose,</w:t>
      </w:r>
      <w:r w:rsidRPr="00FA228D">
        <w:t xml:space="preserve"> the </w:t>
      </w:r>
      <w:r w:rsidR="000829BC" w:rsidRPr="00FA228D">
        <w:t>surface</w:t>
      </w:r>
      <w:r w:rsidRPr="00FA228D">
        <w:t xml:space="preserve"> of the amphiphile was decorated with </w:t>
      </w:r>
      <w:r w:rsidR="00426C5C" w:rsidRPr="00FA228D">
        <w:t>1,4,7-triazacyclononane-1,4,7-triacetic acid (NOTA)-</w:t>
      </w:r>
      <w:r w:rsidRPr="00FA228D">
        <w:t xml:space="preserve">Gadolinium PET </w:t>
      </w:r>
      <w:r w:rsidR="000829BC" w:rsidRPr="00FA228D">
        <w:t>reporting</w:t>
      </w:r>
      <w:r w:rsidRPr="00FA228D">
        <w:t xml:space="preserve"> </w:t>
      </w:r>
      <w:r w:rsidR="000829BC" w:rsidRPr="00FA228D">
        <w:t>units</w:t>
      </w:r>
      <w:r w:rsidR="00635AAB" w:rsidRPr="00FA228D">
        <w:t xml:space="preserve"> (Figure 6</w:t>
      </w:r>
      <w:r w:rsidR="00AF42CE" w:rsidRPr="00FA228D">
        <w:t>B</w:t>
      </w:r>
      <w:r w:rsidRPr="00FA228D">
        <w:t>)</w:t>
      </w:r>
      <w:r w:rsidR="00F23835" w:rsidRPr="00FA228D">
        <w:t xml:space="preserve"> (</w:t>
      </w:r>
      <w:proofErr w:type="spellStart"/>
      <w:r w:rsidR="008F638F" w:rsidRPr="00FA228D">
        <w:t>Garrigue</w:t>
      </w:r>
      <w:proofErr w:type="spellEnd"/>
      <w:r w:rsidR="008F638F" w:rsidRPr="00FA228D">
        <w:t xml:space="preserve"> et al., 2018)</w:t>
      </w:r>
      <w:r w:rsidRPr="00FA228D">
        <w:t xml:space="preserve">. The key findings of these efforts can be summarized as follows: the </w:t>
      </w:r>
      <w:r w:rsidR="000743B9" w:rsidRPr="00FA228D">
        <w:t>NV based on [</w:t>
      </w:r>
      <w:r w:rsidR="000743B9" w:rsidRPr="00FA228D">
        <w:rPr>
          <w:vertAlign w:val="superscript"/>
        </w:rPr>
        <w:t>69</w:t>
      </w:r>
      <w:r w:rsidR="000743B9" w:rsidRPr="00FA228D">
        <w:t>Ga]Ga-</w:t>
      </w:r>
      <w:r w:rsidR="000743B9" w:rsidRPr="00FA228D">
        <w:rPr>
          <w:b/>
        </w:rPr>
        <w:t>1</w:t>
      </w:r>
      <w:r w:rsidR="000829BC" w:rsidRPr="00FA228D">
        <w:t xml:space="preserve"> was characterized by</w:t>
      </w:r>
      <w:r w:rsidR="00AF42CE" w:rsidRPr="00FA228D">
        <w:t xml:space="preserve"> effective accumulation in tumo</w:t>
      </w:r>
      <w:r w:rsidR="000829BC" w:rsidRPr="00FA228D">
        <w:t xml:space="preserve">rs, </w:t>
      </w:r>
      <w:r w:rsidR="000743B9" w:rsidRPr="00FA228D">
        <w:t>excellent</w:t>
      </w:r>
      <w:r w:rsidR="000829BC" w:rsidRPr="00FA228D">
        <w:t xml:space="preserve"> sensitivity and s</w:t>
      </w:r>
      <w:r w:rsidR="000743B9" w:rsidRPr="00FA228D">
        <w:t>pecific imaging of various tumo</w:t>
      </w:r>
      <w:r w:rsidR="000829BC" w:rsidRPr="00FA228D">
        <w:t>rs, and, most importantly, was es</w:t>
      </w:r>
      <w:r w:rsidR="00F23835" w:rsidRPr="00FA228D">
        <w:t xml:space="preserve">pecially efficacious for </w:t>
      </w:r>
      <w:r w:rsidR="00B473D8" w:rsidRPr="00FA228D">
        <w:t>tumors</w:t>
      </w:r>
      <w:r w:rsidR="00F23835" w:rsidRPr="00FA228D">
        <w:t xml:space="preserve"> otherwise undetectable using the clinical gold reference 2-fluorodeoxyglucose ([</w:t>
      </w:r>
      <w:r w:rsidR="00F23835" w:rsidRPr="00FA228D">
        <w:rPr>
          <w:vertAlign w:val="superscript"/>
        </w:rPr>
        <w:t>18</w:t>
      </w:r>
      <w:r w:rsidR="00F23835" w:rsidRPr="00FA228D">
        <w:t>F]FDG)</w:t>
      </w:r>
      <w:r w:rsidR="00635AAB" w:rsidRPr="00FA228D">
        <w:t xml:space="preserve"> (Figure 7</w:t>
      </w:r>
      <w:r w:rsidR="00675BDB" w:rsidRPr="00FA228D">
        <w:t>).</w:t>
      </w:r>
    </w:p>
    <w:p w14:paraId="4C74EA38" w14:textId="49493CA9" w:rsidR="00704C3B" w:rsidRPr="00FA228D" w:rsidRDefault="003D0AA8" w:rsidP="0062453B">
      <w:pPr>
        <w:pStyle w:val="CETBodytext"/>
        <w:widowControl w:val="0"/>
      </w:pPr>
      <w:r w:rsidRPr="00FA228D">
        <w:t xml:space="preserve">In addition, this nanovector was endowed with an excellent safety profile and </w:t>
      </w:r>
      <w:r w:rsidR="00426C5C" w:rsidRPr="00FA228D">
        <w:t>favorable</w:t>
      </w:r>
      <w:r w:rsidRPr="00FA228D">
        <w:t xml:space="preserve"> pharmacokinetics for PET imaging</w:t>
      </w:r>
      <w:r w:rsidR="00426C5C" w:rsidRPr="00FA228D">
        <w:t>, making it</w:t>
      </w:r>
      <w:r w:rsidRPr="00FA228D">
        <w:t xml:space="preserve"> an effective and promising approach for cancer imaging. This study also demonstrated that nanotechnology based on self-assembling dendrimers can </w:t>
      </w:r>
      <w:r w:rsidR="00426C5C" w:rsidRPr="00FA228D">
        <w:t xml:space="preserve">offer </w:t>
      </w:r>
      <w:r w:rsidRPr="00FA228D">
        <w:t>a fresh perspective for biomedical imaging and cancer diagnosis</w:t>
      </w:r>
      <w:r w:rsidR="00675BDB" w:rsidRPr="00FA228D">
        <w:t>, i.e., cancer thera</w:t>
      </w:r>
      <w:r w:rsidRPr="00FA228D">
        <w:t>nostic</w:t>
      </w:r>
      <w:r w:rsidR="00675BDB" w:rsidRPr="00FA228D">
        <w:t>s</w:t>
      </w:r>
      <w:r w:rsidRPr="00FA228D">
        <w:t>.</w:t>
      </w:r>
    </w:p>
    <w:p w14:paraId="6D908DCB" w14:textId="3C82B7FD" w:rsidR="00675BDB" w:rsidRPr="00FA228D" w:rsidRDefault="00B473D8" w:rsidP="0062453B">
      <w:pPr>
        <w:pStyle w:val="CETBodytext"/>
        <w:widowControl w:val="0"/>
      </w:pPr>
      <w:r w:rsidRPr="00FA228D">
        <w:lastRenderedPageBreak/>
        <w:t xml:space="preserve">A </w:t>
      </w:r>
      <w:r w:rsidR="00F23835" w:rsidRPr="00FA228D">
        <w:rPr>
          <w:noProof/>
          <w:lang w:eastAsia="it-IT"/>
        </w:rPr>
        <w:drawing>
          <wp:inline distT="0" distB="0" distL="0" distR="0" wp14:anchorId="3E5676EE" wp14:editId="246F45FB">
            <wp:extent cx="1720215" cy="1824469"/>
            <wp:effectExtent l="0" t="0" r="6985" b="0"/>
            <wp:docPr id="31"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2307" cy="1826687"/>
                    </a:xfrm>
                    <a:prstGeom prst="rect">
                      <a:avLst/>
                    </a:prstGeom>
                    <a:noFill/>
                    <a:ln>
                      <a:noFill/>
                    </a:ln>
                  </pic:spPr>
                </pic:pic>
              </a:graphicData>
            </a:graphic>
          </wp:inline>
        </w:drawing>
      </w:r>
      <w:r w:rsidR="00675BDB" w:rsidRPr="00FA228D">
        <w:t xml:space="preserve"> </w:t>
      </w:r>
      <w:r w:rsidR="001C157B" w:rsidRPr="00FA228D">
        <w:t xml:space="preserve">   </w:t>
      </w:r>
      <w:r w:rsidR="001C157B" w:rsidRPr="00FA228D">
        <w:rPr>
          <w:b/>
        </w:rPr>
        <w:t xml:space="preserve">B  </w:t>
      </w:r>
      <w:r w:rsidR="001C157B" w:rsidRPr="00FA228D">
        <w:rPr>
          <w:noProof/>
          <w:lang w:eastAsia="it-IT"/>
        </w:rPr>
        <w:drawing>
          <wp:inline distT="0" distB="0" distL="0" distR="0" wp14:anchorId="1FB44A78" wp14:editId="62999B1C">
            <wp:extent cx="2002155" cy="1614749"/>
            <wp:effectExtent l="0" t="0" r="4445" b="1143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png"/>
                    <pic:cNvPicPr/>
                  </pic:nvPicPr>
                  <pic:blipFill>
                    <a:blip r:embed="rId24">
                      <a:extLst>
                        <a:ext uri="{28A0092B-C50C-407E-A947-70E740481C1C}">
                          <a14:useLocalDpi xmlns:a14="http://schemas.microsoft.com/office/drawing/2010/main" val="0"/>
                        </a:ext>
                      </a:extLst>
                    </a:blip>
                    <a:stretch>
                      <a:fillRect/>
                    </a:stretch>
                  </pic:blipFill>
                  <pic:spPr>
                    <a:xfrm>
                      <a:off x="0" y="0"/>
                      <a:ext cx="2003028" cy="1615453"/>
                    </a:xfrm>
                    <a:prstGeom prst="rect">
                      <a:avLst/>
                    </a:prstGeom>
                  </pic:spPr>
                </pic:pic>
              </a:graphicData>
            </a:graphic>
          </wp:inline>
        </w:drawing>
      </w:r>
    </w:p>
    <w:p w14:paraId="4DD62F6E" w14:textId="77777777" w:rsidR="00426C5C" w:rsidRPr="00FA228D" w:rsidRDefault="00426C5C" w:rsidP="0062453B">
      <w:pPr>
        <w:pStyle w:val="CETBodytext"/>
        <w:widowControl w:val="0"/>
      </w:pPr>
    </w:p>
    <w:p w14:paraId="6DA245E2" w14:textId="34405D9F" w:rsidR="00675BDB" w:rsidRPr="00FA228D" w:rsidRDefault="00675BDB" w:rsidP="0062453B">
      <w:pPr>
        <w:pStyle w:val="CETBodytext"/>
        <w:widowControl w:val="0"/>
      </w:pPr>
      <w:r w:rsidRPr="00FA228D">
        <w:t xml:space="preserve">Figure </w:t>
      </w:r>
      <w:r w:rsidR="00426C5C" w:rsidRPr="00FA228D">
        <w:t>6</w:t>
      </w:r>
      <w:r w:rsidRPr="00FA228D">
        <w:t xml:space="preserve">. </w:t>
      </w:r>
      <w:r w:rsidR="00B473D8" w:rsidRPr="00FA228D">
        <w:t xml:space="preserve">(A) </w:t>
      </w:r>
      <w:r w:rsidR="001C157B" w:rsidRPr="00FA228D">
        <w:t>M</w:t>
      </w:r>
      <w:r w:rsidRPr="00FA228D">
        <w:t xml:space="preserve">olecular model of </w:t>
      </w:r>
      <w:r w:rsidR="001C157B" w:rsidRPr="00FA228D">
        <w:t>the nanosystems for PET imaging based on the self-assembling molecule [</w:t>
      </w:r>
      <w:r w:rsidR="001C157B" w:rsidRPr="00FA228D">
        <w:rPr>
          <w:vertAlign w:val="superscript"/>
        </w:rPr>
        <w:t>69</w:t>
      </w:r>
      <w:r w:rsidR="001C157B" w:rsidRPr="00FA228D">
        <w:t>Ga]Ga-</w:t>
      </w:r>
      <w:r w:rsidR="001C157B" w:rsidRPr="00FA228D">
        <w:rPr>
          <w:b/>
        </w:rPr>
        <w:t>1</w:t>
      </w:r>
      <w:r w:rsidR="001C157B" w:rsidRPr="00FA228D">
        <w:t>, decorated with the 1,4,7-triazacyclononane-1,4,7-triacetic acid (NOTA)-Gadolinium PET reporting units (B).</w:t>
      </w:r>
    </w:p>
    <w:p w14:paraId="6143FA2D" w14:textId="77777777" w:rsidR="00675BDB" w:rsidRPr="00FA228D" w:rsidRDefault="00675BDB" w:rsidP="0062453B">
      <w:pPr>
        <w:pStyle w:val="CETBodytext"/>
        <w:widowControl w:val="0"/>
      </w:pPr>
    </w:p>
    <w:p w14:paraId="3C1C22E0" w14:textId="5D9C9A28" w:rsidR="00F23835" w:rsidRPr="00FA228D" w:rsidRDefault="00675BDB" w:rsidP="0062453B">
      <w:pPr>
        <w:pStyle w:val="CETBodytext"/>
        <w:widowControl w:val="0"/>
      </w:pPr>
      <w:r w:rsidRPr="00FA228D">
        <w:t xml:space="preserve">B  </w:t>
      </w:r>
      <w:r w:rsidRPr="00FA228D">
        <w:rPr>
          <w:noProof/>
          <w:lang w:eastAsia="it-IT"/>
        </w:rPr>
        <w:drawing>
          <wp:inline distT="0" distB="0" distL="0" distR="0" wp14:anchorId="4485D3F8" wp14:editId="71C4C315">
            <wp:extent cx="4553661" cy="2276830"/>
            <wp:effectExtent l="0" t="0" r="0" b="9525"/>
            <wp:docPr id="3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553661" cy="2276830"/>
                    </a:xfrm>
                    <a:prstGeom prst="rect">
                      <a:avLst/>
                    </a:prstGeom>
                    <a:noFill/>
                    <a:ln>
                      <a:noFill/>
                    </a:ln>
                  </pic:spPr>
                </pic:pic>
              </a:graphicData>
            </a:graphic>
          </wp:inline>
        </w:drawing>
      </w:r>
    </w:p>
    <w:p w14:paraId="550B5CAB" w14:textId="77777777" w:rsidR="009B7BC0" w:rsidRPr="00FA228D" w:rsidRDefault="009B7BC0" w:rsidP="0062453B">
      <w:pPr>
        <w:pStyle w:val="CETBodytext"/>
        <w:widowControl w:val="0"/>
      </w:pPr>
    </w:p>
    <w:p w14:paraId="7CE469EC" w14:textId="4F0BD4E2" w:rsidR="00A35CAE" w:rsidRPr="00FA228D" w:rsidRDefault="00F23835" w:rsidP="0062453B">
      <w:pPr>
        <w:pStyle w:val="CETBodytext"/>
        <w:widowControl w:val="0"/>
      </w:pPr>
      <w:r w:rsidRPr="00FA228D">
        <w:t xml:space="preserve">Figure </w:t>
      </w:r>
      <w:r w:rsidR="00426C5C" w:rsidRPr="00FA228D">
        <w:t>7</w:t>
      </w:r>
      <w:r w:rsidR="00675BDB" w:rsidRPr="00FA228D">
        <w:t>.</w:t>
      </w:r>
      <w:r w:rsidR="00A35CAE" w:rsidRPr="00FA228D">
        <w:t xml:space="preserve"> </w:t>
      </w:r>
      <w:r w:rsidR="00426C5C" w:rsidRPr="00FA228D">
        <w:t>Comparison of the tumo</w:t>
      </w:r>
      <w:r w:rsidR="00675BDB" w:rsidRPr="00FA228D">
        <w:t>r accumulation of the dendrimer</w:t>
      </w:r>
      <w:r w:rsidR="004F6DA2" w:rsidRPr="00FA228D">
        <w:t>-based</w:t>
      </w:r>
      <w:r w:rsidR="00675BDB" w:rsidRPr="00FA228D">
        <w:t xml:space="preserve"> </w:t>
      </w:r>
      <w:r w:rsidR="00426C5C" w:rsidRPr="00FA228D">
        <w:t>NV</w:t>
      </w:r>
      <w:r w:rsidR="00675BDB" w:rsidRPr="00FA228D">
        <w:t xml:space="preserve"> [</w:t>
      </w:r>
      <w:r w:rsidR="00675BDB" w:rsidRPr="00FA228D">
        <w:rPr>
          <w:vertAlign w:val="superscript"/>
        </w:rPr>
        <w:t>68</w:t>
      </w:r>
      <w:r w:rsidR="00675BDB" w:rsidRPr="00FA228D">
        <w:t>Ga]Ga-</w:t>
      </w:r>
      <w:r w:rsidR="00675BDB" w:rsidRPr="00FA228D">
        <w:rPr>
          <w:b/>
        </w:rPr>
        <w:t>1</w:t>
      </w:r>
      <w:r w:rsidR="00675BDB" w:rsidRPr="00FA228D">
        <w:t>, the small molecular complex [</w:t>
      </w:r>
      <w:r w:rsidR="00675BDB" w:rsidRPr="00FA228D">
        <w:rPr>
          <w:vertAlign w:val="superscript"/>
        </w:rPr>
        <w:t>68</w:t>
      </w:r>
      <w:r w:rsidR="00675BDB" w:rsidRPr="00FA228D">
        <w:t>Ga]</w:t>
      </w:r>
      <w:proofErr w:type="spellStart"/>
      <w:r w:rsidR="00675BDB" w:rsidRPr="00FA228D">
        <w:t>Ga</w:t>
      </w:r>
      <w:proofErr w:type="spellEnd"/>
      <w:r w:rsidR="00675BDB" w:rsidRPr="00FA228D">
        <w:t>-NOTA, and the clinical reference [</w:t>
      </w:r>
      <w:r w:rsidR="00675BDB" w:rsidRPr="00FA228D">
        <w:rPr>
          <w:vertAlign w:val="superscript"/>
        </w:rPr>
        <w:t>18</w:t>
      </w:r>
      <w:r w:rsidR="00675BDB" w:rsidRPr="00FA228D">
        <w:t>F]FDG in ectopic (A) SOJ6- and (B) LIPC-</w:t>
      </w:r>
      <w:proofErr w:type="spellStart"/>
      <w:r w:rsidR="00675BDB" w:rsidRPr="00FA228D">
        <w:t>xenografted</w:t>
      </w:r>
      <w:proofErr w:type="spellEnd"/>
      <w:r w:rsidR="00675BDB" w:rsidRPr="00FA228D">
        <w:t xml:space="preserve"> mice as well as in (C) </w:t>
      </w:r>
      <w:proofErr w:type="spellStart"/>
      <w:r w:rsidR="00675BDB" w:rsidRPr="00FA228D">
        <w:t>orthotopic</w:t>
      </w:r>
      <w:proofErr w:type="spellEnd"/>
      <w:r w:rsidR="00675BDB" w:rsidRPr="00FA228D">
        <w:t xml:space="preserve"> SOJ6-xenograft mice. (Top</w:t>
      </w:r>
      <w:r w:rsidR="005D0B42" w:rsidRPr="00FA228D">
        <w:t xml:space="preserve"> panel</w:t>
      </w:r>
      <w:r w:rsidR="00675BDB" w:rsidRPr="00FA228D">
        <w:t>) Repres</w:t>
      </w:r>
      <w:r w:rsidR="004F6DA2" w:rsidRPr="00FA228D">
        <w:t>entative examples of [18F]FDG (l</w:t>
      </w:r>
      <w:r w:rsidR="00675BDB" w:rsidRPr="00FA228D">
        <w:t>eft), [</w:t>
      </w:r>
      <w:r w:rsidR="00675BDB" w:rsidRPr="00FA228D">
        <w:rPr>
          <w:vertAlign w:val="superscript"/>
        </w:rPr>
        <w:t>68</w:t>
      </w:r>
      <w:r w:rsidR="004F6DA2" w:rsidRPr="00FA228D">
        <w:t>Ga]</w:t>
      </w:r>
      <w:proofErr w:type="spellStart"/>
      <w:r w:rsidR="004F6DA2" w:rsidRPr="00FA228D">
        <w:t>Ga</w:t>
      </w:r>
      <w:proofErr w:type="spellEnd"/>
      <w:r w:rsidR="004F6DA2" w:rsidRPr="00FA228D">
        <w:t>-NOTA (m</w:t>
      </w:r>
      <w:r w:rsidR="00675BDB" w:rsidRPr="00FA228D">
        <w:t>iddle), and [</w:t>
      </w:r>
      <w:r w:rsidR="00675BDB" w:rsidRPr="00FA228D">
        <w:rPr>
          <w:vertAlign w:val="superscript"/>
        </w:rPr>
        <w:t>68</w:t>
      </w:r>
      <w:r w:rsidR="004F6DA2" w:rsidRPr="00FA228D">
        <w:t>Ga]Ga-</w:t>
      </w:r>
      <w:r w:rsidR="004F6DA2" w:rsidRPr="00FA228D">
        <w:rPr>
          <w:b/>
        </w:rPr>
        <w:t>1</w:t>
      </w:r>
      <w:r w:rsidR="004F6DA2" w:rsidRPr="00FA228D">
        <w:t xml:space="preserve"> (r</w:t>
      </w:r>
      <w:r w:rsidR="00675BDB" w:rsidRPr="00FA228D">
        <w:t xml:space="preserve">ight) PET images. </w:t>
      </w:r>
      <w:r w:rsidR="004F6DA2" w:rsidRPr="00FA228D">
        <w:t>The orange arrows indicate tumo</w:t>
      </w:r>
      <w:r w:rsidR="00675BDB" w:rsidRPr="00FA228D">
        <w:t>r positions. (Middle</w:t>
      </w:r>
      <w:r w:rsidR="005D0B42" w:rsidRPr="00FA228D">
        <w:t xml:space="preserve"> panel</w:t>
      </w:r>
      <w:r w:rsidR="00675BDB" w:rsidRPr="00FA228D">
        <w:t>) Quantifications from PET images of tumor uptake. (Bottom</w:t>
      </w:r>
      <w:r w:rsidR="005D0B42" w:rsidRPr="00FA228D">
        <w:t xml:space="preserve"> panel</w:t>
      </w:r>
      <w:r w:rsidR="00675BDB" w:rsidRPr="00FA228D">
        <w:t>) Quantifi</w:t>
      </w:r>
      <w:r w:rsidR="005D0B42" w:rsidRPr="00FA228D">
        <w:t>cations from PET images of tumo</w:t>
      </w:r>
      <w:r w:rsidR="00675BDB" w:rsidRPr="00FA228D">
        <w:t>r-to-background ratios (right forelimb biceps muscle taken as background reference</w:t>
      </w:r>
      <w:r w:rsidR="008F638F" w:rsidRPr="00FA228D">
        <w:t>).</w:t>
      </w:r>
      <w:r w:rsidR="00675BDB" w:rsidRPr="00FA228D">
        <w:t xml:space="preserve"> (D) Correlation between [</w:t>
      </w:r>
      <w:r w:rsidR="00675BDB" w:rsidRPr="00FA228D">
        <w:rPr>
          <w:vertAlign w:val="superscript"/>
        </w:rPr>
        <w:t>68</w:t>
      </w:r>
      <w:r w:rsidR="00675BDB" w:rsidRPr="00FA228D">
        <w:t>Ga]Ga-</w:t>
      </w:r>
      <w:r w:rsidR="00675BDB" w:rsidRPr="00FA228D">
        <w:rPr>
          <w:b/>
        </w:rPr>
        <w:t>1</w:t>
      </w:r>
      <w:r w:rsidR="00675BDB" w:rsidRPr="00FA228D">
        <w:t xml:space="preserve"> PET signal in </w:t>
      </w:r>
      <w:r w:rsidR="005D0B42" w:rsidRPr="00FA228D">
        <w:t>tumo</w:t>
      </w:r>
      <w:r w:rsidR="008F638F" w:rsidRPr="00FA228D">
        <w:t>rs</w:t>
      </w:r>
      <w:r w:rsidR="00675BDB" w:rsidRPr="00FA228D">
        <w:t xml:space="preserve"> and </w:t>
      </w:r>
      <w:r w:rsidR="005D0B42" w:rsidRPr="00FA228D">
        <w:t>tumo</w:t>
      </w:r>
      <w:r w:rsidR="008F638F" w:rsidRPr="00FA228D">
        <w:t>r</w:t>
      </w:r>
      <w:r w:rsidR="00675BDB" w:rsidRPr="00FA228D">
        <w:t xml:space="preserve"> blood flow assessed by 3D-Doppler (percentage) in </w:t>
      </w:r>
      <w:proofErr w:type="spellStart"/>
      <w:r w:rsidR="00675BDB" w:rsidRPr="00FA228D">
        <w:t>o</w:t>
      </w:r>
      <w:r w:rsidR="008F638F" w:rsidRPr="00FA228D">
        <w:t>rthotopic</w:t>
      </w:r>
      <w:proofErr w:type="spellEnd"/>
      <w:r w:rsidR="008F638F" w:rsidRPr="00FA228D">
        <w:t xml:space="preserve"> SOJ6-xenografted mice. Adapted from (</w:t>
      </w:r>
      <w:proofErr w:type="spellStart"/>
      <w:r w:rsidR="008F638F" w:rsidRPr="00FA228D">
        <w:t>Garrigue</w:t>
      </w:r>
      <w:proofErr w:type="spellEnd"/>
      <w:r w:rsidR="008F638F" w:rsidRPr="00FA228D">
        <w:t xml:space="preserve"> et al., 2018), with permission of the National Academy of Science of the USA.</w:t>
      </w:r>
    </w:p>
    <w:p w14:paraId="02324318" w14:textId="77777777" w:rsidR="00600535" w:rsidRPr="00FA228D" w:rsidRDefault="00600535" w:rsidP="0062453B">
      <w:pPr>
        <w:pStyle w:val="CETHeading1"/>
        <w:widowControl w:val="0"/>
      </w:pPr>
      <w:r w:rsidRPr="00FA228D">
        <w:t>Conclusions</w:t>
      </w:r>
    </w:p>
    <w:p w14:paraId="1FB67454" w14:textId="5D2E37A3" w:rsidR="00E5247F" w:rsidRDefault="00883447" w:rsidP="00322695">
      <w:pPr>
        <w:rPr>
          <w:lang w:val="en-US"/>
        </w:rPr>
      </w:pPr>
      <w:r w:rsidRPr="00FA228D">
        <w:rPr>
          <w:lang w:val="en-US"/>
        </w:rPr>
        <w:t xml:space="preserve">The main reason for the tremendous excitement of theranostics is its revolutionary approach that promises improved therapy selection on the basis of specific molecular features of disease, greater predictive power for adverse effects, and new ways to objectively monitor therapy response. These properties </w:t>
      </w:r>
      <w:r w:rsidR="002A164D" w:rsidRPr="00FA228D">
        <w:rPr>
          <w:lang w:val="en-US"/>
        </w:rPr>
        <w:t>constitute</w:t>
      </w:r>
      <w:r w:rsidRPr="00FA228D">
        <w:rPr>
          <w:lang w:val="en-US"/>
        </w:rPr>
        <w:t xml:space="preserve"> the cornerstones of personalized medicine.</w:t>
      </w:r>
    </w:p>
    <w:p w14:paraId="3D074967" w14:textId="77777777" w:rsidR="00252A8B" w:rsidRDefault="00B53F5D" w:rsidP="00322695">
      <w:pPr>
        <w:rPr>
          <w:lang w:val="en-US"/>
        </w:rPr>
      </w:pPr>
      <w:r w:rsidRPr="00FA228D">
        <w:rPr>
          <w:lang w:val="en-US"/>
        </w:rPr>
        <w:t>Nanovectors obtained exploiting self-assembling technologies have already revealed improved drug/gene delivery and diagnostic capability performance, co</w:t>
      </w:r>
      <w:r w:rsidR="00D53DB4" w:rsidRPr="00FA228D">
        <w:rPr>
          <w:lang w:val="en-US"/>
        </w:rPr>
        <w:t>upled with reduced side effects (</w:t>
      </w:r>
      <w:proofErr w:type="spellStart"/>
      <w:r w:rsidR="00D53DB4" w:rsidRPr="00FA228D">
        <w:rPr>
          <w:lang w:val="en-US"/>
        </w:rPr>
        <w:t>Bhuiyan</w:t>
      </w:r>
      <w:proofErr w:type="spellEnd"/>
      <w:r w:rsidR="00D53DB4" w:rsidRPr="00FA228D">
        <w:rPr>
          <w:lang w:val="en-US"/>
        </w:rPr>
        <w:t xml:space="preserve"> et al., 2018)</w:t>
      </w:r>
      <w:r w:rsidR="00322695" w:rsidRPr="00FA228D">
        <w:rPr>
          <w:lang w:val="en-US"/>
        </w:rPr>
        <w:t xml:space="preserve">. </w:t>
      </w:r>
      <w:r w:rsidR="00CE05D5" w:rsidRPr="00FA228D">
        <w:rPr>
          <w:lang w:val="en-US"/>
        </w:rPr>
        <w:t>However</w:t>
      </w:r>
      <w:r w:rsidR="008B3465" w:rsidRPr="00FA228D">
        <w:rPr>
          <w:lang w:val="en-US"/>
        </w:rPr>
        <w:t xml:space="preserve">, </w:t>
      </w:r>
      <w:r w:rsidR="002B3A18" w:rsidRPr="00FA228D">
        <w:rPr>
          <w:lang w:val="en-US"/>
        </w:rPr>
        <w:t>efforts focused</w:t>
      </w:r>
      <w:r w:rsidR="002A164D" w:rsidRPr="00FA228D">
        <w:rPr>
          <w:lang w:val="en-US"/>
        </w:rPr>
        <w:t xml:space="preserve"> on</w:t>
      </w:r>
      <w:r w:rsidR="0045032D" w:rsidRPr="00FA228D">
        <w:rPr>
          <w:lang w:val="en-US"/>
        </w:rPr>
        <w:t xml:space="preserve"> the conception, synthesis, and </w:t>
      </w:r>
      <w:r w:rsidR="0045032D" w:rsidRPr="00FA228D">
        <w:rPr>
          <w:i/>
          <w:lang w:val="en-US"/>
        </w:rPr>
        <w:t>in vitro</w:t>
      </w:r>
      <w:r w:rsidR="0045032D" w:rsidRPr="00FA228D">
        <w:rPr>
          <w:lang w:val="en-US"/>
        </w:rPr>
        <w:t>/</w:t>
      </w:r>
      <w:r w:rsidR="0045032D" w:rsidRPr="00FA228D">
        <w:rPr>
          <w:i/>
          <w:lang w:val="en-US"/>
        </w:rPr>
        <w:t>in vivo</w:t>
      </w:r>
      <w:r w:rsidR="0045032D" w:rsidRPr="00FA228D">
        <w:rPr>
          <w:lang w:val="en-US"/>
        </w:rPr>
        <w:t xml:space="preserve"> testing of different</w:t>
      </w:r>
      <w:r w:rsidR="002A164D" w:rsidRPr="00FA228D">
        <w:rPr>
          <w:lang w:val="en-US"/>
        </w:rPr>
        <w:t>, more effective and efficient</w:t>
      </w:r>
      <w:r w:rsidR="0045032D" w:rsidRPr="00FA228D">
        <w:rPr>
          <w:lang w:val="en-US"/>
        </w:rPr>
        <w:t xml:space="preserve"> self-assembled nanovectors for cancer theranostics</w:t>
      </w:r>
      <w:r w:rsidR="002B3A18" w:rsidRPr="00FA228D">
        <w:rPr>
          <w:lang w:val="en-US"/>
        </w:rPr>
        <w:t xml:space="preserve"> have </w:t>
      </w:r>
      <w:r w:rsidR="00252A8B">
        <w:rPr>
          <w:lang w:val="en-US"/>
        </w:rPr>
        <w:t xml:space="preserve">dramatically </w:t>
      </w:r>
      <w:r w:rsidR="00CE05D5" w:rsidRPr="00FA228D">
        <w:rPr>
          <w:lang w:val="en-US"/>
        </w:rPr>
        <w:t>increased</w:t>
      </w:r>
      <w:r w:rsidR="002B3A18" w:rsidRPr="00FA228D">
        <w:rPr>
          <w:lang w:val="en-US"/>
        </w:rPr>
        <w:t xml:space="preserve"> in recent years</w:t>
      </w:r>
      <w:r w:rsidR="0045032D" w:rsidRPr="00FA228D">
        <w:rPr>
          <w:lang w:val="en-US"/>
        </w:rPr>
        <w:t>.</w:t>
      </w:r>
    </w:p>
    <w:p w14:paraId="3BCC0E1C" w14:textId="79A57D49" w:rsidR="0045032D" w:rsidRPr="00FA228D" w:rsidRDefault="00CE05D5" w:rsidP="00322695">
      <w:pPr>
        <w:rPr>
          <w:lang w:val="en-US"/>
        </w:rPr>
      </w:pPr>
      <w:r w:rsidRPr="00FA228D">
        <w:rPr>
          <w:lang w:val="en-US"/>
        </w:rPr>
        <w:t xml:space="preserve">Under this perspective, this work </w:t>
      </w:r>
      <w:r w:rsidR="005956DE" w:rsidRPr="00FA228D">
        <w:rPr>
          <w:lang w:val="en-US"/>
        </w:rPr>
        <w:t xml:space="preserve">initially </w:t>
      </w:r>
      <w:r w:rsidRPr="00FA228D">
        <w:rPr>
          <w:lang w:val="en-US"/>
        </w:rPr>
        <w:t>describes</w:t>
      </w:r>
      <w:r w:rsidR="0045032D" w:rsidRPr="00FA228D">
        <w:rPr>
          <w:lang w:val="en-US"/>
        </w:rPr>
        <w:t xml:space="preserve"> an amphiphilic dendrimer able to self-assemble into </w:t>
      </w:r>
      <w:r w:rsidRPr="00FA228D">
        <w:rPr>
          <w:lang w:val="en-US"/>
        </w:rPr>
        <w:t>nanosized micelles</w:t>
      </w:r>
      <w:r w:rsidR="0045032D" w:rsidRPr="00FA228D">
        <w:rPr>
          <w:lang w:val="en-US"/>
        </w:rPr>
        <w:t xml:space="preserve"> </w:t>
      </w:r>
      <w:r w:rsidR="00915238" w:rsidRPr="00FA228D">
        <w:rPr>
          <w:lang w:val="en-US"/>
        </w:rPr>
        <w:t>for effective</w:t>
      </w:r>
      <w:r w:rsidRPr="00FA228D">
        <w:rPr>
          <w:lang w:val="en-US"/>
        </w:rPr>
        <w:t xml:space="preserve"> </w:t>
      </w:r>
      <w:r w:rsidR="00915238" w:rsidRPr="00FA228D">
        <w:rPr>
          <w:lang w:val="en-US"/>
        </w:rPr>
        <w:t>and safe</w:t>
      </w:r>
      <w:r w:rsidRPr="00FA228D">
        <w:rPr>
          <w:lang w:val="en-US"/>
        </w:rPr>
        <w:t xml:space="preserve"> deliver</w:t>
      </w:r>
      <w:r w:rsidR="00BF60D6" w:rsidRPr="00FA228D">
        <w:rPr>
          <w:lang w:val="en-US"/>
        </w:rPr>
        <w:t>y of</w:t>
      </w:r>
      <w:r w:rsidR="0045032D" w:rsidRPr="00FA228D">
        <w:rPr>
          <w:lang w:val="en-US"/>
        </w:rPr>
        <w:t xml:space="preserve"> </w:t>
      </w:r>
      <w:r w:rsidRPr="00FA228D">
        <w:rPr>
          <w:lang w:val="en-US"/>
        </w:rPr>
        <w:t>small interfering RNA</w:t>
      </w:r>
      <w:r w:rsidR="00252A8B">
        <w:rPr>
          <w:lang w:val="en-US"/>
        </w:rPr>
        <w:t>s</w:t>
      </w:r>
      <w:r w:rsidRPr="00FA228D">
        <w:rPr>
          <w:lang w:val="en-US"/>
        </w:rPr>
        <w:t xml:space="preserve"> (</w:t>
      </w:r>
      <w:r w:rsidR="0045032D" w:rsidRPr="00FA228D">
        <w:rPr>
          <w:lang w:val="en-US"/>
        </w:rPr>
        <w:t>siRNAs</w:t>
      </w:r>
      <w:r w:rsidRPr="00FA228D">
        <w:rPr>
          <w:lang w:val="en-US"/>
        </w:rPr>
        <w:t>)</w:t>
      </w:r>
      <w:r w:rsidR="0045032D" w:rsidRPr="00FA228D">
        <w:rPr>
          <w:lang w:val="en-US"/>
        </w:rPr>
        <w:t xml:space="preserve"> </w:t>
      </w:r>
      <w:r w:rsidRPr="00FA228D">
        <w:rPr>
          <w:lang w:val="en-US"/>
        </w:rPr>
        <w:t xml:space="preserve">both </w:t>
      </w:r>
      <w:r w:rsidRPr="00FA228D">
        <w:rPr>
          <w:i/>
          <w:lang w:val="en-US"/>
        </w:rPr>
        <w:t>in vitro</w:t>
      </w:r>
      <w:r w:rsidRPr="00FA228D">
        <w:rPr>
          <w:lang w:val="en-US"/>
        </w:rPr>
        <w:t xml:space="preserve"> and </w:t>
      </w:r>
      <w:r w:rsidRPr="00FA228D">
        <w:rPr>
          <w:i/>
          <w:lang w:val="en-US"/>
        </w:rPr>
        <w:t>in vivo</w:t>
      </w:r>
      <w:r w:rsidRPr="00FA228D">
        <w:rPr>
          <w:lang w:val="en-US"/>
        </w:rPr>
        <w:t xml:space="preserve">. </w:t>
      </w:r>
      <w:r w:rsidR="00312AEA" w:rsidRPr="00FA228D">
        <w:rPr>
          <w:lang w:val="en-US"/>
        </w:rPr>
        <w:t>As a result of computer-assisted molecular design and optimization, t</w:t>
      </w:r>
      <w:r w:rsidR="005956DE" w:rsidRPr="00FA228D">
        <w:rPr>
          <w:lang w:val="en-US"/>
        </w:rPr>
        <w:t>he</w:t>
      </w:r>
      <w:r w:rsidR="0045032D" w:rsidRPr="00FA228D">
        <w:rPr>
          <w:lang w:val="en-US"/>
        </w:rPr>
        <w:t xml:space="preserve"> same amphiphilic dendrimer </w:t>
      </w:r>
      <w:r w:rsidR="00312AEA" w:rsidRPr="00FA228D">
        <w:rPr>
          <w:lang w:val="en-US"/>
        </w:rPr>
        <w:t>was next</w:t>
      </w:r>
      <w:r w:rsidR="0045032D" w:rsidRPr="00FA228D">
        <w:rPr>
          <w:lang w:val="en-US"/>
        </w:rPr>
        <w:t xml:space="preserve"> equipped with a dual targeting peptide bearing an RGDK warhead</w:t>
      </w:r>
      <w:r w:rsidR="007219EA">
        <w:rPr>
          <w:lang w:val="en-US"/>
        </w:rPr>
        <w:t xml:space="preserve"> aimed at</w:t>
      </w:r>
      <w:r w:rsidR="00FA228D">
        <w:rPr>
          <w:lang w:val="en-US"/>
        </w:rPr>
        <w:t xml:space="preserve"> increasing </w:t>
      </w:r>
      <w:r w:rsidR="0027573D" w:rsidRPr="00FA228D">
        <w:rPr>
          <w:lang w:val="en-US"/>
        </w:rPr>
        <w:t xml:space="preserve">tumor localization and </w:t>
      </w:r>
      <w:r w:rsidR="0027573D" w:rsidRPr="00FA228D">
        <w:rPr>
          <w:lang w:val="en-US"/>
        </w:rPr>
        <w:lastRenderedPageBreak/>
        <w:t>cellular uptake via</w:t>
      </w:r>
      <w:r w:rsidR="0045032D" w:rsidRPr="00FA228D">
        <w:rPr>
          <w:lang w:val="en-US"/>
        </w:rPr>
        <w:t xml:space="preserve"> </w:t>
      </w:r>
      <w:r w:rsidR="0029146B">
        <w:rPr>
          <w:lang w:val="en-US"/>
        </w:rPr>
        <w:t xml:space="preserve">its </w:t>
      </w:r>
      <w:r w:rsidR="0045032D" w:rsidRPr="00FA228D">
        <w:rPr>
          <w:lang w:val="en-US"/>
        </w:rPr>
        <w:t xml:space="preserve">interaction </w:t>
      </w:r>
      <w:r w:rsidR="0029146B">
        <w:rPr>
          <w:lang w:val="en-US"/>
        </w:rPr>
        <w:t xml:space="preserve">with specific cellular receptors (i.e., </w:t>
      </w:r>
      <w:r w:rsidR="0045032D" w:rsidRPr="00FA228D">
        <w:rPr>
          <w:lang w:val="en-US"/>
        </w:rPr>
        <w:t>integrin and neuropilin-1</w:t>
      </w:r>
      <w:r w:rsidR="0029146B">
        <w:rPr>
          <w:lang w:val="en-US"/>
        </w:rPr>
        <w:t>)</w:t>
      </w:r>
      <w:r w:rsidR="007219EA">
        <w:rPr>
          <w:lang w:val="en-US"/>
        </w:rPr>
        <w:t xml:space="preserve"> and, hence, gene silencing via </w:t>
      </w:r>
      <w:proofErr w:type="spellStart"/>
      <w:r w:rsidR="007219EA">
        <w:rPr>
          <w:lang w:val="en-US"/>
        </w:rPr>
        <w:t>RNAi</w:t>
      </w:r>
      <w:proofErr w:type="spellEnd"/>
      <w:r w:rsidR="007219EA">
        <w:rPr>
          <w:lang w:val="en-US"/>
        </w:rPr>
        <w:t xml:space="preserve">. </w:t>
      </w:r>
      <w:r w:rsidR="00E5247F">
        <w:rPr>
          <w:lang w:val="en-US"/>
        </w:rPr>
        <w:t xml:space="preserve">Indeed, when compared with other </w:t>
      </w:r>
      <w:r w:rsidR="00E5247F" w:rsidRPr="00FA228D">
        <w:rPr>
          <w:lang w:val="en-US"/>
        </w:rPr>
        <w:t>non-targeted or cova</w:t>
      </w:r>
      <w:r w:rsidR="00E5247F">
        <w:rPr>
          <w:lang w:val="en-US"/>
        </w:rPr>
        <w:t>lent dendrimer-based systems, t</w:t>
      </w:r>
      <w:r w:rsidR="0045032D" w:rsidRPr="00FA228D">
        <w:rPr>
          <w:lang w:val="en-US"/>
        </w:rPr>
        <w:t xml:space="preserve">he targeted </w:t>
      </w:r>
      <w:r w:rsidR="00252A8B">
        <w:rPr>
          <w:lang w:val="en-US"/>
        </w:rPr>
        <w:t>NV</w:t>
      </w:r>
      <w:r w:rsidR="0045032D" w:rsidRPr="00FA228D">
        <w:rPr>
          <w:lang w:val="en-US"/>
        </w:rPr>
        <w:t xml:space="preserve"> </w:t>
      </w:r>
      <w:r w:rsidR="00E5247F">
        <w:rPr>
          <w:lang w:val="en-US"/>
        </w:rPr>
        <w:t>exhibits</w:t>
      </w:r>
      <w:r w:rsidR="0045032D" w:rsidRPr="00FA228D">
        <w:rPr>
          <w:lang w:val="en-US"/>
        </w:rPr>
        <w:t xml:space="preserve"> enhanced siRNA delivery, stronger gene silencing, and more potent anticancer activity</w:t>
      </w:r>
      <w:r w:rsidR="00E5247F">
        <w:rPr>
          <w:lang w:val="en-US"/>
        </w:rPr>
        <w:t xml:space="preserve">, coupled with no induced </w:t>
      </w:r>
      <w:r w:rsidR="0045032D" w:rsidRPr="00FA228D">
        <w:rPr>
          <w:lang w:val="en-US"/>
        </w:rPr>
        <w:t xml:space="preserve">acute toxicity </w:t>
      </w:r>
      <w:r w:rsidR="00E5247F">
        <w:rPr>
          <w:lang w:val="en-US"/>
        </w:rPr>
        <w:t>or</w:t>
      </w:r>
      <w:r w:rsidR="0045032D" w:rsidRPr="00FA228D">
        <w:rPr>
          <w:lang w:val="en-US"/>
        </w:rPr>
        <w:t xml:space="preserve"> induced inflammation</w:t>
      </w:r>
      <w:r w:rsidR="00E5247F">
        <w:rPr>
          <w:lang w:val="en-US"/>
        </w:rPr>
        <w:t>.</w:t>
      </w:r>
      <w:r w:rsidR="0045032D" w:rsidRPr="00FA228D">
        <w:rPr>
          <w:lang w:val="en-US"/>
        </w:rPr>
        <w:t xml:space="preserve"> </w:t>
      </w:r>
    </w:p>
    <w:p w14:paraId="132C454E" w14:textId="66D583FF" w:rsidR="008B3465" w:rsidRPr="00FA228D" w:rsidRDefault="00E5247F" w:rsidP="00E5247F">
      <w:pPr>
        <w:pStyle w:val="CETBodytext"/>
        <w:widowControl w:val="0"/>
      </w:pPr>
      <w:r>
        <w:t xml:space="preserve">Molecular theranostics represents a powerful emerging platform that intimately couples targeted therapeutic entities with noninvasive imaging that yields information on the presence of defined molecular targets before, during, and after cognate therapy. </w:t>
      </w:r>
      <w:r w:rsidR="00252A8B">
        <w:t>Therefore, hopes are high regarding potential major breakthroughs which n</w:t>
      </w:r>
      <w:r w:rsidR="00252A8B" w:rsidRPr="00FA228D">
        <w:t xml:space="preserve">anotechnology-based imaging </w:t>
      </w:r>
      <w:r w:rsidR="001654FA">
        <w:t>can bring</w:t>
      </w:r>
      <w:r w:rsidR="0045032D" w:rsidRPr="00FA228D">
        <w:t xml:space="preserve"> in cancer diagnosis by improving imaging sensitivity and specificity while reducing toxicity. </w:t>
      </w:r>
      <w:r w:rsidR="00437BCF">
        <w:t>Thus, the final part of this work presents</w:t>
      </w:r>
      <w:r w:rsidR="0045032D" w:rsidRPr="00FA228D">
        <w:t xml:space="preserve"> an innovative </w:t>
      </w:r>
      <w:proofErr w:type="spellStart"/>
      <w:r w:rsidR="0045032D" w:rsidRPr="00FA228D">
        <w:t>nanosystem</w:t>
      </w:r>
      <w:proofErr w:type="spellEnd"/>
      <w:r w:rsidR="0045032D" w:rsidRPr="00FA228D">
        <w:t xml:space="preserve"> for positron emission tom</w:t>
      </w:r>
      <w:r w:rsidR="00437BCF">
        <w:t xml:space="preserve">ography (PET) imaging. Further optimization studies of the original self-assembling entity let to the design and synthesis of another </w:t>
      </w:r>
      <w:r w:rsidR="0045032D" w:rsidRPr="00FA228D">
        <w:t>amphiphilic dendrimer</w:t>
      </w:r>
      <w:r w:rsidR="00437BCF">
        <w:t xml:space="preserve"> decorated with </w:t>
      </w:r>
      <w:r w:rsidR="00437BCF" w:rsidRPr="00FA228D">
        <w:t>1,4,7-triazacyclononane-1,4,7-triacetic acid (NOTA)-Gadolinium PET reporting units</w:t>
      </w:r>
      <w:r w:rsidR="0045032D" w:rsidRPr="00FA228D">
        <w:t xml:space="preserve">. </w:t>
      </w:r>
      <w:r w:rsidR="00D6313E">
        <w:t xml:space="preserve">The resulting nanosystems </w:t>
      </w:r>
      <w:proofErr w:type="spellStart"/>
      <w:r w:rsidR="0045032D" w:rsidRPr="00FA228D">
        <w:t>na</w:t>
      </w:r>
      <w:r w:rsidR="00D6313E">
        <w:t>nosystem</w:t>
      </w:r>
      <w:proofErr w:type="spellEnd"/>
      <w:r w:rsidR="00D6313E">
        <w:t xml:space="preserve"> effectively accumulates in tumo</w:t>
      </w:r>
      <w:r w:rsidR="0045032D" w:rsidRPr="00FA228D">
        <w:t xml:space="preserve">rs, leading to </w:t>
      </w:r>
      <w:r w:rsidR="00D6313E" w:rsidRPr="00FA228D">
        <w:t>exceptionally</w:t>
      </w:r>
      <w:r w:rsidR="0045032D" w:rsidRPr="00FA228D">
        <w:t xml:space="preserve"> sensitive and specific imaging of </w:t>
      </w:r>
      <w:r w:rsidR="00D6313E">
        <w:t>different cancer lesions,</w:t>
      </w:r>
      <w:r w:rsidR="0045032D" w:rsidRPr="00FA228D">
        <w:t xml:space="preserve"> </w:t>
      </w:r>
      <w:r w:rsidR="00D6313E">
        <w:t>notably including</w:t>
      </w:r>
      <w:r w:rsidR="0045032D" w:rsidRPr="00FA228D">
        <w:t xml:space="preserve"> those that otherwise undetectable using the clinical gold reference 2-fluorodeoxyglucose ([</w:t>
      </w:r>
      <w:r w:rsidR="0045032D" w:rsidRPr="00FA228D">
        <w:rPr>
          <w:vertAlign w:val="superscript"/>
        </w:rPr>
        <w:t>18</w:t>
      </w:r>
      <w:r w:rsidR="003B3E8B">
        <w:t>F]FDG).</w:t>
      </w:r>
      <w:bookmarkStart w:id="0" w:name="_GoBack"/>
      <w:bookmarkEnd w:id="0"/>
    </w:p>
    <w:p w14:paraId="2AC0032A" w14:textId="77777777" w:rsidR="00600535" w:rsidRPr="00FA228D" w:rsidRDefault="00600535" w:rsidP="0062453B">
      <w:pPr>
        <w:pStyle w:val="CETAcknowledgementstitle"/>
        <w:widowControl w:val="0"/>
        <w:rPr>
          <w:lang w:val="en-US"/>
        </w:rPr>
      </w:pPr>
      <w:r w:rsidRPr="00FA228D">
        <w:rPr>
          <w:lang w:val="en-US"/>
        </w:rPr>
        <w:t>Acknowledgments</w:t>
      </w:r>
    </w:p>
    <w:p w14:paraId="23461A15" w14:textId="1102EC67" w:rsidR="00600535" w:rsidRPr="00FA228D" w:rsidRDefault="00243971" w:rsidP="0062453B">
      <w:pPr>
        <w:pStyle w:val="CETBodytext"/>
        <w:widowControl w:val="0"/>
      </w:pPr>
      <w:r w:rsidRPr="00FA228D">
        <w:t xml:space="preserve">This project has received funding from the </w:t>
      </w:r>
      <w:r w:rsidR="00F47DF7" w:rsidRPr="00FA228D">
        <w:t>Italian Association for Cancer Research (AIRC, grant IG 2015 Id.17413 to SP).</w:t>
      </w:r>
    </w:p>
    <w:p w14:paraId="53635778" w14:textId="77777777" w:rsidR="00600535" w:rsidRPr="00FA228D" w:rsidRDefault="00600535" w:rsidP="0062453B">
      <w:pPr>
        <w:pStyle w:val="CETReference"/>
        <w:widowControl w:val="0"/>
        <w:rPr>
          <w:lang w:val="en-US"/>
        </w:rPr>
      </w:pPr>
      <w:r w:rsidRPr="00FA228D">
        <w:rPr>
          <w:lang w:val="en-US"/>
        </w:rPr>
        <w:t>References</w:t>
      </w:r>
    </w:p>
    <w:p w14:paraId="5E38EA8A" w14:textId="32272A87" w:rsidR="00322695" w:rsidRPr="00FA228D" w:rsidRDefault="00322695" w:rsidP="006D2B05">
      <w:pPr>
        <w:pStyle w:val="CETReferencetext"/>
        <w:widowControl w:val="0"/>
        <w:rPr>
          <w:lang w:val="en-US"/>
        </w:rPr>
      </w:pPr>
      <w:proofErr w:type="spellStart"/>
      <w:r w:rsidRPr="00FA228D">
        <w:rPr>
          <w:lang w:val="en-US"/>
        </w:rPr>
        <w:t>Bhuiyan</w:t>
      </w:r>
      <w:proofErr w:type="spellEnd"/>
      <w:r w:rsidRPr="00FA228D">
        <w:rPr>
          <w:lang w:val="en-US"/>
        </w:rPr>
        <w:t xml:space="preserve"> Z.H., </w:t>
      </w:r>
      <w:r w:rsidR="005B2FB1" w:rsidRPr="00FA228D">
        <w:rPr>
          <w:lang w:val="en-US"/>
        </w:rPr>
        <w:t xml:space="preserve">Anderson C.F., Cui H., 2018, Self-assembling biomaterials for theranostic applications, In: </w:t>
      </w:r>
      <w:r w:rsidR="000276D5" w:rsidRPr="00FA228D">
        <w:rPr>
          <w:lang w:val="en-US"/>
        </w:rPr>
        <w:t>Self-assembling Biomaterials</w:t>
      </w:r>
      <w:r w:rsidR="006D2B05" w:rsidRPr="00FA228D">
        <w:rPr>
          <w:lang w:val="en-US"/>
        </w:rPr>
        <w:t xml:space="preserve">: </w:t>
      </w:r>
      <w:r w:rsidR="000276D5" w:rsidRPr="00FA228D">
        <w:rPr>
          <w:lang w:val="en-US"/>
        </w:rPr>
        <w:t>Molecular Design, Characterization and Application in Biology and Medicine</w:t>
      </w:r>
      <w:r w:rsidR="006D2B05" w:rsidRPr="00FA228D">
        <w:rPr>
          <w:lang w:val="en-US"/>
        </w:rPr>
        <w:t xml:space="preserve">, Ed </w:t>
      </w:r>
      <w:proofErr w:type="spellStart"/>
      <w:r w:rsidR="006D2B05" w:rsidRPr="00FA228D">
        <w:rPr>
          <w:lang w:val="en-US"/>
        </w:rPr>
        <w:t>Azevedo</w:t>
      </w:r>
      <w:proofErr w:type="spellEnd"/>
      <w:r w:rsidR="006D2B05" w:rsidRPr="00FA228D">
        <w:rPr>
          <w:lang w:val="en-US"/>
        </w:rPr>
        <w:t xml:space="preserve"> H.S., da Silva R.M.P, </w:t>
      </w:r>
      <w:proofErr w:type="spellStart"/>
      <w:r w:rsidR="0093493C" w:rsidRPr="00FA228D">
        <w:rPr>
          <w:lang w:val="en-US"/>
        </w:rPr>
        <w:t>Woodhead</w:t>
      </w:r>
      <w:proofErr w:type="spellEnd"/>
      <w:r w:rsidR="0093493C" w:rsidRPr="00FA228D">
        <w:rPr>
          <w:lang w:val="en-US"/>
        </w:rPr>
        <w:t xml:space="preserve"> Publishing, </w:t>
      </w:r>
      <w:proofErr w:type="spellStart"/>
      <w:r w:rsidR="0093493C" w:rsidRPr="00FA228D">
        <w:rPr>
          <w:lang w:val="en-US"/>
        </w:rPr>
        <w:t>Sawston</w:t>
      </w:r>
      <w:proofErr w:type="spellEnd"/>
      <w:r w:rsidR="0093493C" w:rsidRPr="00FA228D">
        <w:rPr>
          <w:lang w:val="en-US"/>
        </w:rPr>
        <w:t>, Cambridge, U.K.</w:t>
      </w:r>
    </w:p>
    <w:p w14:paraId="27BD2380" w14:textId="4B77FDA2" w:rsidR="00A758F3" w:rsidRPr="00FA228D" w:rsidRDefault="00E82DFB" w:rsidP="0062453B">
      <w:pPr>
        <w:pStyle w:val="CETReferencetext"/>
        <w:widowControl w:val="0"/>
        <w:rPr>
          <w:lang w:val="en-US"/>
        </w:rPr>
      </w:pPr>
      <w:r w:rsidRPr="00FA228D">
        <w:rPr>
          <w:lang w:val="en-US"/>
        </w:rPr>
        <w:t xml:space="preserve">Chen C., </w:t>
      </w:r>
      <w:proofErr w:type="spellStart"/>
      <w:r w:rsidRPr="00FA228D">
        <w:rPr>
          <w:lang w:val="en-US"/>
        </w:rPr>
        <w:t>Posocco</w:t>
      </w:r>
      <w:proofErr w:type="spellEnd"/>
      <w:r w:rsidRPr="00FA228D">
        <w:rPr>
          <w:lang w:val="en-US"/>
        </w:rPr>
        <w:t xml:space="preserve"> P., Liu X., Cheng Q., Laurini E., Zhou J., Liu C., Wang Y., Tang J., Dal Col V., Yu T., Giorgio S., </w:t>
      </w:r>
      <w:proofErr w:type="spellStart"/>
      <w:r w:rsidRPr="00FA228D">
        <w:rPr>
          <w:lang w:val="en-US"/>
        </w:rPr>
        <w:t>Fermeglia</w:t>
      </w:r>
      <w:proofErr w:type="spellEnd"/>
      <w:r w:rsidRPr="00FA228D">
        <w:rPr>
          <w:lang w:val="en-US"/>
        </w:rPr>
        <w:t xml:space="preserve"> M., </w:t>
      </w:r>
      <w:proofErr w:type="spellStart"/>
      <w:r w:rsidRPr="00FA228D">
        <w:rPr>
          <w:lang w:val="en-US"/>
        </w:rPr>
        <w:t>Qu</w:t>
      </w:r>
      <w:proofErr w:type="spellEnd"/>
      <w:r w:rsidRPr="00FA228D">
        <w:rPr>
          <w:lang w:val="en-US"/>
        </w:rPr>
        <w:t xml:space="preserve"> F., Liang Z., Rossi J.J., Liu M., </w:t>
      </w:r>
      <w:proofErr w:type="spellStart"/>
      <w:r w:rsidRPr="00FA228D">
        <w:rPr>
          <w:lang w:val="en-US"/>
        </w:rPr>
        <w:t>Rocchi</w:t>
      </w:r>
      <w:proofErr w:type="spellEnd"/>
      <w:r w:rsidRPr="00FA228D">
        <w:rPr>
          <w:lang w:val="en-US"/>
        </w:rPr>
        <w:t xml:space="preserve"> P., Pricl</w:t>
      </w:r>
      <w:r w:rsidR="0008074A" w:rsidRPr="00FA228D">
        <w:rPr>
          <w:lang w:val="en-US"/>
        </w:rPr>
        <w:t xml:space="preserve"> </w:t>
      </w:r>
      <w:r w:rsidR="00BE68DD" w:rsidRPr="00FA228D">
        <w:rPr>
          <w:lang w:val="en-US"/>
        </w:rPr>
        <w:t xml:space="preserve">S., </w:t>
      </w:r>
      <w:proofErr w:type="spellStart"/>
      <w:r w:rsidR="00BE68DD" w:rsidRPr="00FA228D">
        <w:rPr>
          <w:lang w:val="en-US"/>
        </w:rPr>
        <w:t>Peng</w:t>
      </w:r>
      <w:proofErr w:type="spellEnd"/>
      <w:r w:rsidR="00BE68DD" w:rsidRPr="00FA228D">
        <w:rPr>
          <w:lang w:val="en-US"/>
        </w:rPr>
        <w:t xml:space="preserve"> L, 2016</w:t>
      </w:r>
      <w:r w:rsidR="0008074A" w:rsidRPr="00FA228D">
        <w:rPr>
          <w:lang w:val="en-US"/>
        </w:rPr>
        <w:t xml:space="preserve">, Mastering dendrimer self-assembly for efficient siRNA delivery: from conceptual design to </w:t>
      </w:r>
      <w:r w:rsidR="0008074A" w:rsidRPr="00FA228D">
        <w:rPr>
          <w:i/>
          <w:lang w:val="en-US"/>
        </w:rPr>
        <w:t>in vivo</w:t>
      </w:r>
      <w:r w:rsidR="0008074A" w:rsidRPr="00FA228D">
        <w:rPr>
          <w:lang w:val="en-US"/>
        </w:rPr>
        <w:t xml:space="preserve"> efficient gene s</w:t>
      </w:r>
      <w:r w:rsidRPr="00FA228D">
        <w:rPr>
          <w:lang w:val="en-US"/>
        </w:rPr>
        <w:t>ilencing, Small</w:t>
      </w:r>
      <w:r w:rsidR="009C4992" w:rsidRPr="00FA228D">
        <w:rPr>
          <w:lang w:val="en-US"/>
        </w:rPr>
        <w:t>,</w:t>
      </w:r>
      <w:r w:rsidRPr="00FA228D">
        <w:rPr>
          <w:lang w:val="en-US"/>
        </w:rPr>
        <w:t xml:space="preserve"> 12, 3667-3676.</w:t>
      </w:r>
    </w:p>
    <w:p w14:paraId="17B9C383" w14:textId="047B1964" w:rsidR="00A758F3" w:rsidRPr="00FA228D" w:rsidRDefault="00A758F3" w:rsidP="0062453B">
      <w:pPr>
        <w:pStyle w:val="CETReferencetext"/>
        <w:widowControl w:val="0"/>
        <w:rPr>
          <w:lang w:val="en-US"/>
        </w:rPr>
      </w:pPr>
      <w:proofErr w:type="spellStart"/>
      <w:r w:rsidRPr="00FA228D">
        <w:rPr>
          <w:lang w:val="en-US"/>
        </w:rPr>
        <w:t>Dagrada</w:t>
      </w:r>
      <w:proofErr w:type="spellEnd"/>
      <w:r w:rsidRPr="00FA228D">
        <w:rPr>
          <w:lang w:val="en-US"/>
        </w:rPr>
        <w:t xml:space="preserve"> G., </w:t>
      </w:r>
      <w:proofErr w:type="spellStart"/>
      <w:r w:rsidRPr="00FA228D">
        <w:rPr>
          <w:lang w:val="en-US"/>
        </w:rPr>
        <w:t>Rupel</w:t>
      </w:r>
      <w:proofErr w:type="spellEnd"/>
      <w:r w:rsidRPr="00FA228D">
        <w:rPr>
          <w:lang w:val="en-US"/>
        </w:rPr>
        <w:t xml:space="preserve"> K., </w:t>
      </w:r>
      <w:proofErr w:type="spellStart"/>
      <w:r w:rsidRPr="00FA228D">
        <w:rPr>
          <w:lang w:val="en-US"/>
        </w:rPr>
        <w:t>Zacchigna</w:t>
      </w:r>
      <w:proofErr w:type="spellEnd"/>
      <w:r w:rsidRPr="00FA228D">
        <w:rPr>
          <w:lang w:val="en-US"/>
        </w:rPr>
        <w:t xml:space="preserve"> S., </w:t>
      </w:r>
      <w:proofErr w:type="spellStart"/>
      <w:r w:rsidRPr="00FA228D">
        <w:rPr>
          <w:lang w:val="en-US"/>
        </w:rPr>
        <w:t>Tamborini</w:t>
      </w:r>
      <w:proofErr w:type="spellEnd"/>
      <w:r w:rsidRPr="00FA228D">
        <w:rPr>
          <w:lang w:val="en-US"/>
        </w:rPr>
        <w:t xml:space="preserve"> E., </w:t>
      </w:r>
      <w:proofErr w:type="spellStart"/>
      <w:r w:rsidRPr="00FA228D">
        <w:rPr>
          <w:lang w:val="en-US"/>
        </w:rPr>
        <w:t>Pilotti</w:t>
      </w:r>
      <w:proofErr w:type="spellEnd"/>
      <w:r w:rsidRPr="00FA228D">
        <w:rPr>
          <w:lang w:val="en-US"/>
        </w:rPr>
        <w:t xml:space="preserve"> S., </w:t>
      </w:r>
      <w:proofErr w:type="spellStart"/>
      <w:r w:rsidRPr="00FA228D">
        <w:rPr>
          <w:lang w:val="en-US"/>
        </w:rPr>
        <w:t>Cavalleri</w:t>
      </w:r>
      <w:proofErr w:type="spellEnd"/>
      <w:r w:rsidRPr="00FA228D">
        <w:rPr>
          <w:lang w:val="en-US"/>
        </w:rPr>
        <w:t xml:space="preserve"> A., Fechner L.E., Laurini E., Smith D.K., </w:t>
      </w:r>
      <w:proofErr w:type="spellStart"/>
      <w:r w:rsidRPr="00FA228D">
        <w:rPr>
          <w:lang w:val="en-US"/>
        </w:rPr>
        <w:t>Br</w:t>
      </w:r>
      <w:r w:rsidR="00BE68DD" w:rsidRPr="00FA228D">
        <w:rPr>
          <w:lang w:val="en-US"/>
        </w:rPr>
        <w:t>ich</w:t>
      </w:r>
      <w:proofErr w:type="spellEnd"/>
      <w:r w:rsidR="00BE68DD" w:rsidRPr="00FA228D">
        <w:rPr>
          <w:lang w:val="en-US"/>
        </w:rPr>
        <w:t xml:space="preserve"> S., Pricl S., 2018</w:t>
      </w:r>
      <w:r w:rsidR="002E18F9" w:rsidRPr="00FA228D">
        <w:rPr>
          <w:lang w:val="en-US"/>
        </w:rPr>
        <w:t>, Self-assembled nanomicelles as curcumin drug delivery vehicles: impact on solitary fibrous tumor cell protein expression and v</w:t>
      </w:r>
      <w:r w:rsidRPr="00FA228D">
        <w:rPr>
          <w:lang w:val="en-US"/>
        </w:rPr>
        <w:t>iability, Molecular Pharmaceutics</w:t>
      </w:r>
      <w:r w:rsidR="009C4992" w:rsidRPr="00FA228D">
        <w:rPr>
          <w:lang w:val="en-US"/>
        </w:rPr>
        <w:t>,</w:t>
      </w:r>
      <w:r w:rsidRPr="00FA228D">
        <w:rPr>
          <w:lang w:val="en-US"/>
        </w:rPr>
        <w:t xml:space="preserve"> 15, 4689-4701.</w:t>
      </w:r>
    </w:p>
    <w:p w14:paraId="5E606DF1" w14:textId="03E79A69" w:rsidR="00A758F3" w:rsidRPr="00FA228D" w:rsidRDefault="00A758F3" w:rsidP="0062453B">
      <w:pPr>
        <w:pStyle w:val="CETReferencetext"/>
        <w:widowControl w:val="0"/>
        <w:rPr>
          <w:lang w:val="en-US"/>
        </w:rPr>
      </w:pPr>
      <w:r w:rsidRPr="00FA228D">
        <w:rPr>
          <w:lang w:val="en-US"/>
        </w:rPr>
        <w:t xml:space="preserve">Dong Y., Yu T., Ding L., Laurini E., Huang Y., Zhang M., </w:t>
      </w:r>
      <w:proofErr w:type="spellStart"/>
      <w:r w:rsidRPr="00FA228D">
        <w:rPr>
          <w:lang w:val="en-US"/>
        </w:rPr>
        <w:t>Weng</w:t>
      </w:r>
      <w:proofErr w:type="spellEnd"/>
      <w:r w:rsidRPr="00FA228D">
        <w:rPr>
          <w:lang w:val="en-US"/>
        </w:rPr>
        <w:t xml:space="preserve"> Y., Lin S., Chen P., </w:t>
      </w:r>
      <w:proofErr w:type="spellStart"/>
      <w:r w:rsidRPr="00FA228D">
        <w:rPr>
          <w:lang w:val="en-US"/>
        </w:rPr>
        <w:t>Marson</w:t>
      </w:r>
      <w:proofErr w:type="spellEnd"/>
      <w:r w:rsidRPr="00FA228D">
        <w:rPr>
          <w:lang w:val="en-US"/>
        </w:rPr>
        <w:t xml:space="preserve"> D., Jiang Y., Giorgio S., Pricl S., Liu X.,</w:t>
      </w:r>
      <w:r w:rsidR="00BE68DD" w:rsidRPr="00FA228D">
        <w:rPr>
          <w:lang w:val="en-US"/>
        </w:rPr>
        <w:t xml:space="preserve"> </w:t>
      </w:r>
      <w:proofErr w:type="spellStart"/>
      <w:r w:rsidR="00BE68DD" w:rsidRPr="00FA228D">
        <w:rPr>
          <w:lang w:val="en-US"/>
        </w:rPr>
        <w:t>Rocchi</w:t>
      </w:r>
      <w:proofErr w:type="spellEnd"/>
      <w:r w:rsidR="00BE68DD" w:rsidRPr="00FA228D">
        <w:rPr>
          <w:lang w:val="en-US"/>
        </w:rPr>
        <w:t xml:space="preserve"> P., </w:t>
      </w:r>
      <w:proofErr w:type="spellStart"/>
      <w:r w:rsidR="00BE68DD" w:rsidRPr="00FA228D">
        <w:rPr>
          <w:lang w:val="en-US"/>
        </w:rPr>
        <w:t>Peng</w:t>
      </w:r>
      <w:proofErr w:type="spellEnd"/>
      <w:r w:rsidR="00BE68DD" w:rsidRPr="00FA228D">
        <w:rPr>
          <w:lang w:val="en-US"/>
        </w:rPr>
        <w:t xml:space="preserve"> L., 2018</w:t>
      </w:r>
      <w:r w:rsidR="002E18F9" w:rsidRPr="00FA228D">
        <w:rPr>
          <w:lang w:val="en-US"/>
        </w:rPr>
        <w:t>, A dual targeting dendrimer-mediated siRNA delivery s</w:t>
      </w:r>
      <w:r w:rsidRPr="00FA228D">
        <w:rPr>
          <w:lang w:val="en-US"/>
        </w:rPr>
        <w:t>ystem f</w:t>
      </w:r>
      <w:r w:rsidR="002E18F9" w:rsidRPr="00FA228D">
        <w:rPr>
          <w:lang w:val="en-US"/>
        </w:rPr>
        <w:t>or effective gene silencing in cancer t</w:t>
      </w:r>
      <w:r w:rsidRPr="00FA228D">
        <w:rPr>
          <w:lang w:val="en-US"/>
        </w:rPr>
        <w:t>herapy, Journal of the American Chemical Society</w:t>
      </w:r>
      <w:r w:rsidR="009C4992" w:rsidRPr="00FA228D">
        <w:rPr>
          <w:lang w:val="en-US"/>
        </w:rPr>
        <w:t>,</w:t>
      </w:r>
      <w:r w:rsidRPr="00FA228D">
        <w:rPr>
          <w:lang w:val="en-US"/>
        </w:rPr>
        <w:t xml:space="preserve"> 140, 16264-16274.</w:t>
      </w:r>
    </w:p>
    <w:p w14:paraId="251F6725" w14:textId="700CDD5F" w:rsidR="000271A2" w:rsidRPr="00FA228D" w:rsidRDefault="00035DD7" w:rsidP="0062453B">
      <w:pPr>
        <w:pStyle w:val="CETReferencetext"/>
        <w:widowControl w:val="0"/>
        <w:rPr>
          <w:lang w:val="en-US"/>
        </w:rPr>
      </w:pPr>
      <w:proofErr w:type="spellStart"/>
      <w:r w:rsidRPr="00FA228D">
        <w:rPr>
          <w:lang w:val="en-US"/>
        </w:rPr>
        <w:t>Garrigue</w:t>
      </w:r>
      <w:proofErr w:type="spellEnd"/>
      <w:r w:rsidRPr="00FA228D">
        <w:rPr>
          <w:lang w:val="en-US"/>
        </w:rPr>
        <w:t xml:space="preserve"> P., Tang J., Ding L., </w:t>
      </w:r>
      <w:proofErr w:type="spellStart"/>
      <w:r w:rsidRPr="00FA228D">
        <w:rPr>
          <w:lang w:val="en-US"/>
        </w:rPr>
        <w:t>Bouhlel</w:t>
      </w:r>
      <w:proofErr w:type="spellEnd"/>
      <w:r w:rsidRPr="00FA228D">
        <w:rPr>
          <w:lang w:val="en-US"/>
        </w:rPr>
        <w:t xml:space="preserve"> A., </w:t>
      </w:r>
      <w:proofErr w:type="spellStart"/>
      <w:r w:rsidRPr="00FA228D">
        <w:rPr>
          <w:lang w:val="en-US"/>
        </w:rPr>
        <w:t>Tintaru</w:t>
      </w:r>
      <w:proofErr w:type="spellEnd"/>
      <w:r w:rsidRPr="00FA228D">
        <w:rPr>
          <w:lang w:val="en-US"/>
        </w:rPr>
        <w:t xml:space="preserve"> A., Laurini E., Huang Y., </w:t>
      </w:r>
      <w:proofErr w:type="spellStart"/>
      <w:r w:rsidRPr="00FA228D">
        <w:rPr>
          <w:lang w:val="en-US"/>
        </w:rPr>
        <w:t>Lyu</w:t>
      </w:r>
      <w:proofErr w:type="spellEnd"/>
      <w:r w:rsidRPr="00FA228D">
        <w:rPr>
          <w:lang w:val="en-US"/>
        </w:rPr>
        <w:t xml:space="preserve"> Z., Zhang M., Fernandez S., </w:t>
      </w:r>
      <w:proofErr w:type="spellStart"/>
      <w:r w:rsidRPr="00FA228D">
        <w:rPr>
          <w:lang w:val="en-US"/>
        </w:rPr>
        <w:t>Balasse</w:t>
      </w:r>
      <w:proofErr w:type="spellEnd"/>
      <w:r w:rsidRPr="00FA228D">
        <w:rPr>
          <w:lang w:val="en-US"/>
        </w:rPr>
        <w:t xml:space="preserve"> L., </w:t>
      </w:r>
      <w:proofErr w:type="spellStart"/>
      <w:r w:rsidRPr="00FA228D">
        <w:rPr>
          <w:lang w:val="en-US"/>
        </w:rPr>
        <w:t>Lan</w:t>
      </w:r>
      <w:proofErr w:type="spellEnd"/>
      <w:r w:rsidRPr="00FA228D">
        <w:rPr>
          <w:lang w:val="en-US"/>
        </w:rPr>
        <w:t xml:space="preserve"> W., Mas E., </w:t>
      </w:r>
      <w:proofErr w:type="spellStart"/>
      <w:r w:rsidRPr="00FA228D">
        <w:rPr>
          <w:lang w:val="en-US"/>
        </w:rPr>
        <w:t>Marson</w:t>
      </w:r>
      <w:proofErr w:type="spellEnd"/>
      <w:r w:rsidRPr="00FA228D">
        <w:rPr>
          <w:lang w:val="en-US"/>
        </w:rPr>
        <w:t xml:space="preserve"> D., </w:t>
      </w:r>
      <w:proofErr w:type="spellStart"/>
      <w:r w:rsidRPr="00FA228D">
        <w:rPr>
          <w:lang w:val="en-US"/>
        </w:rPr>
        <w:t>Weng</w:t>
      </w:r>
      <w:proofErr w:type="spellEnd"/>
      <w:r w:rsidRPr="00FA228D">
        <w:rPr>
          <w:lang w:val="en-US"/>
        </w:rPr>
        <w:t xml:space="preserve"> Y., Liu X., Giorgio S., </w:t>
      </w:r>
      <w:proofErr w:type="spellStart"/>
      <w:r w:rsidRPr="00FA228D">
        <w:rPr>
          <w:lang w:val="en-US"/>
        </w:rPr>
        <w:t>Iovanna</w:t>
      </w:r>
      <w:proofErr w:type="spellEnd"/>
      <w:r w:rsidRPr="00FA228D">
        <w:rPr>
          <w:lang w:val="en-US"/>
        </w:rPr>
        <w:t xml:space="preserve"> J., </w:t>
      </w:r>
      <w:r w:rsidRPr="00FA228D">
        <w:rPr>
          <w:bCs/>
          <w:lang w:val="en-US"/>
        </w:rPr>
        <w:t>Pricl</w:t>
      </w:r>
      <w:r w:rsidRPr="00FA228D">
        <w:rPr>
          <w:lang w:val="en-US"/>
        </w:rPr>
        <w:t xml:space="preserve"> S., </w:t>
      </w:r>
      <w:proofErr w:type="spellStart"/>
      <w:r w:rsidRPr="00FA228D">
        <w:rPr>
          <w:lang w:val="en-US"/>
        </w:rPr>
        <w:t>Guillet</w:t>
      </w:r>
      <w:proofErr w:type="spellEnd"/>
      <w:r w:rsidRPr="00FA228D">
        <w:rPr>
          <w:lang w:val="en-US"/>
        </w:rPr>
        <w:t xml:space="preserve"> B., </w:t>
      </w:r>
      <w:proofErr w:type="spellStart"/>
      <w:r w:rsidRPr="00FA228D">
        <w:rPr>
          <w:lang w:val="en-US"/>
        </w:rPr>
        <w:t>Pe</w:t>
      </w:r>
      <w:r w:rsidR="00BE68DD" w:rsidRPr="00FA228D">
        <w:rPr>
          <w:lang w:val="en-US"/>
        </w:rPr>
        <w:t>ng</w:t>
      </w:r>
      <w:proofErr w:type="spellEnd"/>
      <w:r w:rsidR="00BE68DD" w:rsidRPr="00FA228D">
        <w:rPr>
          <w:lang w:val="en-US"/>
        </w:rPr>
        <w:t xml:space="preserve"> L., 2018, Self-assembling s</w:t>
      </w:r>
      <w:r w:rsidRPr="00FA228D">
        <w:rPr>
          <w:lang w:val="en-US"/>
        </w:rPr>
        <w:t>upramolecul</w:t>
      </w:r>
      <w:r w:rsidR="00BE68DD" w:rsidRPr="00FA228D">
        <w:rPr>
          <w:lang w:val="en-US"/>
        </w:rPr>
        <w:t xml:space="preserve">ar dendrimer </w:t>
      </w:r>
      <w:proofErr w:type="spellStart"/>
      <w:r w:rsidR="00BE68DD" w:rsidRPr="00FA228D">
        <w:rPr>
          <w:lang w:val="en-US"/>
        </w:rPr>
        <w:t>nanosystem</w:t>
      </w:r>
      <w:proofErr w:type="spellEnd"/>
      <w:r w:rsidR="00BE68DD" w:rsidRPr="00FA228D">
        <w:rPr>
          <w:lang w:val="en-US"/>
        </w:rPr>
        <w:t xml:space="preserve"> for PET imaging of t</w:t>
      </w:r>
      <w:r w:rsidRPr="00FA228D">
        <w:rPr>
          <w:lang w:val="en-US"/>
        </w:rPr>
        <w:t>umors, Proceedings of the National Academy of Science USA</w:t>
      </w:r>
      <w:r w:rsidR="00BE68DD" w:rsidRPr="00FA228D">
        <w:rPr>
          <w:lang w:val="en-US"/>
        </w:rPr>
        <w:t>,</w:t>
      </w:r>
      <w:r w:rsidRPr="00FA228D">
        <w:rPr>
          <w:lang w:val="en-US"/>
        </w:rPr>
        <w:t xml:space="preserve"> 115, 11454-11459.</w:t>
      </w:r>
    </w:p>
    <w:p w14:paraId="3466A30C" w14:textId="07F8552E" w:rsidR="00A758F3" w:rsidRPr="00FA228D" w:rsidRDefault="00A758F3" w:rsidP="0062453B">
      <w:pPr>
        <w:pStyle w:val="CETReferencetext"/>
        <w:widowControl w:val="0"/>
        <w:rPr>
          <w:lang w:val="en-US"/>
        </w:rPr>
      </w:pPr>
      <w:r w:rsidRPr="00FA228D">
        <w:rPr>
          <w:lang w:val="en-US"/>
        </w:rPr>
        <w:t xml:space="preserve">Liu X., Zhou J., Yu T., Chen C., Cheng Q., </w:t>
      </w:r>
      <w:proofErr w:type="spellStart"/>
      <w:r w:rsidRPr="00FA228D">
        <w:rPr>
          <w:lang w:val="en-US"/>
        </w:rPr>
        <w:t>Sengupta</w:t>
      </w:r>
      <w:proofErr w:type="spellEnd"/>
      <w:r w:rsidRPr="00FA228D">
        <w:rPr>
          <w:lang w:val="en-US"/>
        </w:rPr>
        <w:t xml:space="preserve"> K., Huang Y., Li H., Liu C., Wang Y., </w:t>
      </w:r>
      <w:proofErr w:type="spellStart"/>
      <w:r w:rsidRPr="00FA228D">
        <w:rPr>
          <w:lang w:val="en-US"/>
        </w:rPr>
        <w:t>Posocco</w:t>
      </w:r>
      <w:proofErr w:type="spellEnd"/>
      <w:r w:rsidRPr="00FA228D">
        <w:rPr>
          <w:lang w:val="en-US"/>
        </w:rPr>
        <w:t xml:space="preserve"> P., Wang M., Cui Q., Giorgio S., </w:t>
      </w:r>
      <w:proofErr w:type="spellStart"/>
      <w:r w:rsidRPr="00FA228D">
        <w:rPr>
          <w:lang w:val="en-US"/>
        </w:rPr>
        <w:t>Fermeglia</w:t>
      </w:r>
      <w:proofErr w:type="spellEnd"/>
      <w:r w:rsidRPr="00FA228D">
        <w:rPr>
          <w:lang w:val="en-US"/>
        </w:rPr>
        <w:t xml:space="preserve"> M., </w:t>
      </w:r>
      <w:proofErr w:type="spellStart"/>
      <w:r w:rsidRPr="00FA228D">
        <w:rPr>
          <w:lang w:val="en-US"/>
        </w:rPr>
        <w:t>Qu</w:t>
      </w:r>
      <w:proofErr w:type="spellEnd"/>
      <w:r w:rsidRPr="00FA228D">
        <w:rPr>
          <w:lang w:val="en-US"/>
        </w:rPr>
        <w:t xml:space="preserve"> F., Pricl S., Shi Y., Liang Z., </w:t>
      </w:r>
      <w:proofErr w:type="spellStart"/>
      <w:r w:rsidRPr="00FA228D">
        <w:rPr>
          <w:lang w:val="en-US"/>
        </w:rPr>
        <w:t>R</w:t>
      </w:r>
      <w:r w:rsidR="00BE68DD" w:rsidRPr="00FA228D">
        <w:rPr>
          <w:lang w:val="en-US"/>
        </w:rPr>
        <w:t>occhi</w:t>
      </w:r>
      <w:proofErr w:type="spellEnd"/>
      <w:r w:rsidR="00BE68DD" w:rsidRPr="00FA228D">
        <w:rPr>
          <w:lang w:val="en-US"/>
        </w:rPr>
        <w:t xml:space="preserve"> P., Rossi J.J., </w:t>
      </w:r>
      <w:proofErr w:type="spellStart"/>
      <w:r w:rsidR="00BE68DD" w:rsidRPr="00FA228D">
        <w:rPr>
          <w:lang w:val="en-US"/>
        </w:rPr>
        <w:t>Peng</w:t>
      </w:r>
      <w:proofErr w:type="spellEnd"/>
      <w:r w:rsidR="00BE68DD" w:rsidRPr="00FA228D">
        <w:rPr>
          <w:lang w:val="en-US"/>
        </w:rPr>
        <w:t xml:space="preserve"> L., 2014, Adaptive amphiphilic dendrimer-based </w:t>
      </w:r>
      <w:proofErr w:type="spellStart"/>
      <w:r w:rsidR="00BE68DD" w:rsidRPr="00FA228D">
        <w:rPr>
          <w:lang w:val="en-US"/>
        </w:rPr>
        <w:t>nanoassemblies</w:t>
      </w:r>
      <w:proofErr w:type="spellEnd"/>
      <w:r w:rsidR="00BE68DD" w:rsidRPr="00FA228D">
        <w:rPr>
          <w:lang w:val="en-US"/>
        </w:rPr>
        <w:t xml:space="preserve"> as robust and versatile siRNA delivery s</w:t>
      </w:r>
      <w:r w:rsidRPr="00FA228D">
        <w:rPr>
          <w:lang w:val="en-US"/>
        </w:rPr>
        <w:t xml:space="preserve">ystems, </w:t>
      </w:r>
      <w:proofErr w:type="spellStart"/>
      <w:r w:rsidRPr="00FA228D">
        <w:rPr>
          <w:lang w:val="en-US"/>
        </w:rPr>
        <w:t>Angewandte</w:t>
      </w:r>
      <w:proofErr w:type="spellEnd"/>
      <w:r w:rsidRPr="00FA228D">
        <w:rPr>
          <w:lang w:val="en-US"/>
        </w:rPr>
        <w:t xml:space="preserve"> </w:t>
      </w:r>
      <w:proofErr w:type="spellStart"/>
      <w:r w:rsidRPr="00FA228D">
        <w:rPr>
          <w:lang w:val="en-US"/>
        </w:rPr>
        <w:t>Chemie</w:t>
      </w:r>
      <w:proofErr w:type="spellEnd"/>
      <w:r w:rsidRPr="00FA228D">
        <w:rPr>
          <w:lang w:val="en-US"/>
        </w:rPr>
        <w:t xml:space="preserve"> International Edition</w:t>
      </w:r>
      <w:r w:rsidR="00BE68DD" w:rsidRPr="00FA228D">
        <w:rPr>
          <w:lang w:val="en-US"/>
        </w:rPr>
        <w:t>,</w:t>
      </w:r>
      <w:r w:rsidRPr="00FA228D">
        <w:rPr>
          <w:lang w:val="en-US"/>
        </w:rPr>
        <w:t xml:space="preserve"> 53, 11882-11887.</w:t>
      </w:r>
    </w:p>
    <w:p w14:paraId="2E12C466" w14:textId="7F17CC76" w:rsidR="006B4888" w:rsidRPr="00FA228D" w:rsidRDefault="00376C2D" w:rsidP="00322695">
      <w:pPr>
        <w:pStyle w:val="CETReferencetext"/>
        <w:widowControl w:val="0"/>
        <w:rPr>
          <w:lang w:val="en-US"/>
        </w:rPr>
      </w:pPr>
      <w:r w:rsidRPr="00FA228D">
        <w:rPr>
          <w:lang w:val="en-US"/>
        </w:rPr>
        <w:t xml:space="preserve">Wei T., Chen C., Liu J., Liu C., </w:t>
      </w:r>
      <w:proofErr w:type="spellStart"/>
      <w:r w:rsidRPr="00FA228D">
        <w:rPr>
          <w:lang w:val="en-US"/>
        </w:rPr>
        <w:t>Posocco</w:t>
      </w:r>
      <w:proofErr w:type="spellEnd"/>
      <w:r w:rsidRPr="00FA228D">
        <w:rPr>
          <w:lang w:val="en-US"/>
        </w:rPr>
        <w:t xml:space="preserve"> P., Liu X., Cheng Q., </w:t>
      </w:r>
      <w:proofErr w:type="spellStart"/>
      <w:r w:rsidRPr="00FA228D">
        <w:rPr>
          <w:lang w:val="en-US"/>
        </w:rPr>
        <w:t>Huo</w:t>
      </w:r>
      <w:proofErr w:type="spellEnd"/>
      <w:r w:rsidRPr="00FA228D">
        <w:rPr>
          <w:lang w:val="en-US"/>
        </w:rPr>
        <w:t xml:space="preserve"> S., Liang Z., </w:t>
      </w:r>
      <w:proofErr w:type="spellStart"/>
      <w:r w:rsidRPr="00FA228D">
        <w:rPr>
          <w:lang w:val="en-US"/>
        </w:rPr>
        <w:t>Fermeglia</w:t>
      </w:r>
      <w:proofErr w:type="spellEnd"/>
      <w:r w:rsidRPr="00FA228D">
        <w:rPr>
          <w:lang w:val="en-US"/>
        </w:rPr>
        <w:t xml:space="preserve"> M., Pricl S., L</w:t>
      </w:r>
      <w:r w:rsidR="00C6291F" w:rsidRPr="00FA228D">
        <w:rPr>
          <w:lang w:val="en-US"/>
        </w:rPr>
        <w:t xml:space="preserve">iang X.J., </w:t>
      </w:r>
      <w:proofErr w:type="spellStart"/>
      <w:r w:rsidR="00C6291F" w:rsidRPr="00FA228D">
        <w:rPr>
          <w:lang w:val="en-US"/>
        </w:rPr>
        <w:t>Rocchi</w:t>
      </w:r>
      <w:proofErr w:type="spellEnd"/>
      <w:r w:rsidR="00C6291F" w:rsidRPr="00FA228D">
        <w:rPr>
          <w:lang w:val="en-US"/>
        </w:rPr>
        <w:t xml:space="preserve"> P., </w:t>
      </w:r>
      <w:proofErr w:type="spellStart"/>
      <w:r w:rsidR="00C6291F" w:rsidRPr="00FA228D">
        <w:rPr>
          <w:lang w:val="en-US"/>
        </w:rPr>
        <w:t>Peng</w:t>
      </w:r>
      <w:proofErr w:type="spellEnd"/>
      <w:r w:rsidR="00C6291F" w:rsidRPr="00FA228D">
        <w:rPr>
          <w:lang w:val="en-US"/>
        </w:rPr>
        <w:t xml:space="preserve"> L., 2015, Anticancer drug nanomicelles formed by self-assembling amphiphilic dendrimer to combat cancer drug r</w:t>
      </w:r>
      <w:r w:rsidRPr="00FA228D">
        <w:rPr>
          <w:lang w:val="en-US"/>
        </w:rPr>
        <w:t>esistance, Proceedings of the National Academy of Science USA</w:t>
      </w:r>
      <w:r w:rsidR="00C6291F" w:rsidRPr="00FA228D">
        <w:rPr>
          <w:lang w:val="en-US"/>
        </w:rPr>
        <w:t>,</w:t>
      </w:r>
      <w:r w:rsidRPr="00FA228D">
        <w:rPr>
          <w:lang w:val="en-US"/>
        </w:rPr>
        <w:t xml:space="preserve"> 112, 2978-2983.</w:t>
      </w:r>
    </w:p>
    <w:sectPr w:rsidR="006B4888" w:rsidRPr="00FA228D"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6DE810" w14:textId="77777777" w:rsidR="00252A8B" w:rsidRDefault="00252A8B" w:rsidP="004F5E36">
      <w:r>
        <w:separator/>
      </w:r>
    </w:p>
  </w:endnote>
  <w:endnote w:type="continuationSeparator" w:id="0">
    <w:p w14:paraId="763EE128" w14:textId="77777777" w:rsidR="00252A8B" w:rsidRDefault="00252A8B"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6F61D7" w14:textId="77777777" w:rsidR="00252A8B" w:rsidRDefault="00252A8B" w:rsidP="004F5E36">
      <w:r>
        <w:separator/>
      </w:r>
    </w:p>
  </w:footnote>
  <w:footnote w:type="continuationSeparator" w:id="0">
    <w:p w14:paraId="25D0DD82" w14:textId="77777777" w:rsidR="00252A8B" w:rsidRDefault="00252A8B" w:rsidP="004F5E3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omenico Marson">
    <w15:presenceInfo w15:providerId="Windows Live" w15:userId="801b7f3c20d96b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5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0F40"/>
    <w:rsid w:val="000117CB"/>
    <w:rsid w:val="00017702"/>
    <w:rsid w:val="000271A2"/>
    <w:rsid w:val="000276D5"/>
    <w:rsid w:val="0003148D"/>
    <w:rsid w:val="000319B9"/>
    <w:rsid w:val="0003406E"/>
    <w:rsid w:val="00035DD7"/>
    <w:rsid w:val="000420F5"/>
    <w:rsid w:val="000430D8"/>
    <w:rsid w:val="00047D7F"/>
    <w:rsid w:val="00051566"/>
    <w:rsid w:val="00054B7B"/>
    <w:rsid w:val="00056BF0"/>
    <w:rsid w:val="00060B97"/>
    <w:rsid w:val="00062A9A"/>
    <w:rsid w:val="00065058"/>
    <w:rsid w:val="000743B9"/>
    <w:rsid w:val="0008074A"/>
    <w:rsid w:val="000829BC"/>
    <w:rsid w:val="00086C39"/>
    <w:rsid w:val="000A03B2"/>
    <w:rsid w:val="000A3B79"/>
    <w:rsid w:val="000B208D"/>
    <w:rsid w:val="000B5751"/>
    <w:rsid w:val="000C766A"/>
    <w:rsid w:val="000D34BE"/>
    <w:rsid w:val="000D4BBB"/>
    <w:rsid w:val="000E102F"/>
    <w:rsid w:val="000E2C17"/>
    <w:rsid w:val="000E36F1"/>
    <w:rsid w:val="000E3A73"/>
    <w:rsid w:val="000E414A"/>
    <w:rsid w:val="000F093C"/>
    <w:rsid w:val="000F110F"/>
    <w:rsid w:val="000F16BD"/>
    <w:rsid w:val="000F1D36"/>
    <w:rsid w:val="000F739B"/>
    <w:rsid w:val="000F787B"/>
    <w:rsid w:val="00100BAC"/>
    <w:rsid w:val="001158E7"/>
    <w:rsid w:val="001168DD"/>
    <w:rsid w:val="001201CD"/>
    <w:rsid w:val="0012091F"/>
    <w:rsid w:val="001236A5"/>
    <w:rsid w:val="00126BC2"/>
    <w:rsid w:val="001308B6"/>
    <w:rsid w:val="0013121F"/>
    <w:rsid w:val="00131FAB"/>
    <w:rsid w:val="00131FE6"/>
    <w:rsid w:val="00132122"/>
    <w:rsid w:val="0013263F"/>
    <w:rsid w:val="001336A7"/>
    <w:rsid w:val="00134DE4"/>
    <w:rsid w:val="0014034D"/>
    <w:rsid w:val="001404D0"/>
    <w:rsid w:val="0014621C"/>
    <w:rsid w:val="00150E59"/>
    <w:rsid w:val="00152DE3"/>
    <w:rsid w:val="00162642"/>
    <w:rsid w:val="00164CF9"/>
    <w:rsid w:val="001654FA"/>
    <w:rsid w:val="0018057B"/>
    <w:rsid w:val="00184AD6"/>
    <w:rsid w:val="001864CF"/>
    <w:rsid w:val="0019241F"/>
    <w:rsid w:val="001A292B"/>
    <w:rsid w:val="001A479D"/>
    <w:rsid w:val="001B0349"/>
    <w:rsid w:val="001B65C1"/>
    <w:rsid w:val="001C157B"/>
    <w:rsid w:val="001C684B"/>
    <w:rsid w:val="001D1EDE"/>
    <w:rsid w:val="001D53FC"/>
    <w:rsid w:val="001F42A5"/>
    <w:rsid w:val="001F6A6A"/>
    <w:rsid w:val="001F7B9D"/>
    <w:rsid w:val="0020065E"/>
    <w:rsid w:val="00201B37"/>
    <w:rsid w:val="002134E6"/>
    <w:rsid w:val="002224B4"/>
    <w:rsid w:val="00243971"/>
    <w:rsid w:val="002447EF"/>
    <w:rsid w:val="00245F66"/>
    <w:rsid w:val="00251550"/>
    <w:rsid w:val="00252A8B"/>
    <w:rsid w:val="00252C1A"/>
    <w:rsid w:val="00257C83"/>
    <w:rsid w:val="00263B05"/>
    <w:rsid w:val="00266BC3"/>
    <w:rsid w:val="0027221A"/>
    <w:rsid w:val="002747E2"/>
    <w:rsid w:val="0027573D"/>
    <w:rsid w:val="00275B61"/>
    <w:rsid w:val="0027738A"/>
    <w:rsid w:val="00282656"/>
    <w:rsid w:val="0029146B"/>
    <w:rsid w:val="002958B1"/>
    <w:rsid w:val="00296B83"/>
    <w:rsid w:val="002A164D"/>
    <w:rsid w:val="002B3A18"/>
    <w:rsid w:val="002B78CE"/>
    <w:rsid w:val="002C1E49"/>
    <w:rsid w:val="002C2FB6"/>
    <w:rsid w:val="002C45AE"/>
    <w:rsid w:val="002C5052"/>
    <w:rsid w:val="002C7E68"/>
    <w:rsid w:val="002D5BCD"/>
    <w:rsid w:val="002E18F9"/>
    <w:rsid w:val="003008F5"/>
    <w:rsid w:val="003009B7"/>
    <w:rsid w:val="00300E56"/>
    <w:rsid w:val="0030469C"/>
    <w:rsid w:val="00312AEA"/>
    <w:rsid w:val="003211DC"/>
    <w:rsid w:val="00321CA6"/>
    <w:rsid w:val="00322695"/>
    <w:rsid w:val="00334C09"/>
    <w:rsid w:val="003365E3"/>
    <w:rsid w:val="003406E5"/>
    <w:rsid w:val="0035051E"/>
    <w:rsid w:val="00353F7F"/>
    <w:rsid w:val="003560E4"/>
    <w:rsid w:val="003638E0"/>
    <w:rsid w:val="003723D4"/>
    <w:rsid w:val="003732DC"/>
    <w:rsid w:val="00376C2D"/>
    <w:rsid w:val="003801AD"/>
    <w:rsid w:val="00384CC8"/>
    <w:rsid w:val="003871FD"/>
    <w:rsid w:val="003954CE"/>
    <w:rsid w:val="003A1E30"/>
    <w:rsid w:val="003A3F86"/>
    <w:rsid w:val="003A7D1C"/>
    <w:rsid w:val="003B304B"/>
    <w:rsid w:val="003B3146"/>
    <w:rsid w:val="003B3E8B"/>
    <w:rsid w:val="003B60F3"/>
    <w:rsid w:val="003C0F22"/>
    <w:rsid w:val="003C6C27"/>
    <w:rsid w:val="003C71DF"/>
    <w:rsid w:val="003D0AA8"/>
    <w:rsid w:val="003E4097"/>
    <w:rsid w:val="003E5739"/>
    <w:rsid w:val="003E7A7F"/>
    <w:rsid w:val="003F015E"/>
    <w:rsid w:val="003F236B"/>
    <w:rsid w:val="00400414"/>
    <w:rsid w:val="00403C34"/>
    <w:rsid w:val="0041446B"/>
    <w:rsid w:val="00426C5C"/>
    <w:rsid w:val="00437BCF"/>
    <w:rsid w:val="0044329C"/>
    <w:rsid w:val="0044552B"/>
    <w:rsid w:val="0045032D"/>
    <w:rsid w:val="00454407"/>
    <w:rsid w:val="004577FE"/>
    <w:rsid w:val="00457B9C"/>
    <w:rsid w:val="00461513"/>
    <w:rsid w:val="0046164A"/>
    <w:rsid w:val="004628D2"/>
    <w:rsid w:val="00462DCD"/>
    <w:rsid w:val="004648AD"/>
    <w:rsid w:val="004703A9"/>
    <w:rsid w:val="00472282"/>
    <w:rsid w:val="004760DE"/>
    <w:rsid w:val="004763A6"/>
    <w:rsid w:val="00491DD7"/>
    <w:rsid w:val="00494210"/>
    <w:rsid w:val="004A004E"/>
    <w:rsid w:val="004A24CF"/>
    <w:rsid w:val="004A4246"/>
    <w:rsid w:val="004A4B57"/>
    <w:rsid w:val="004A69B7"/>
    <w:rsid w:val="004B6721"/>
    <w:rsid w:val="004C3D1D"/>
    <w:rsid w:val="004C7913"/>
    <w:rsid w:val="004E3B31"/>
    <w:rsid w:val="004E4DD6"/>
    <w:rsid w:val="004F5E36"/>
    <w:rsid w:val="004F6DA2"/>
    <w:rsid w:val="00507B47"/>
    <w:rsid w:val="00507CC9"/>
    <w:rsid w:val="0051056B"/>
    <w:rsid w:val="005119A5"/>
    <w:rsid w:val="00514461"/>
    <w:rsid w:val="00517675"/>
    <w:rsid w:val="005278B7"/>
    <w:rsid w:val="00532016"/>
    <w:rsid w:val="005346C8"/>
    <w:rsid w:val="00543E7D"/>
    <w:rsid w:val="00546B05"/>
    <w:rsid w:val="00547A68"/>
    <w:rsid w:val="005531C9"/>
    <w:rsid w:val="00560922"/>
    <w:rsid w:val="00577D3A"/>
    <w:rsid w:val="005862F4"/>
    <w:rsid w:val="00592902"/>
    <w:rsid w:val="005936A7"/>
    <w:rsid w:val="005956DE"/>
    <w:rsid w:val="005A0644"/>
    <w:rsid w:val="005B2110"/>
    <w:rsid w:val="005B2FB1"/>
    <w:rsid w:val="005B4EA7"/>
    <w:rsid w:val="005B61E6"/>
    <w:rsid w:val="005C02AE"/>
    <w:rsid w:val="005C77E1"/>
    <w:rsid w:val="005D0B42"/>
    <w:rsid w:val="005D2D99"/>
    <w:rsid w:val="005D6A2F"/>
    <w:rsid w:val="005E1A82"/>
    <w:rsid w:val="005E23B1"/>
    <w:rsid w:val="005E794C"/>
    <w:rsid w:val="005F034D"/>
    <w:rsid w:val="005F0A28"/>
    <w:rsid w:val="005F0E5E"/>
    <w:rsid w:val="005F1CAB"/>
    <w:rsid w:val="00600535"/>
    <w:rsid w:val="0060631C"/>
    <w:rsid w:val="00610CD6"/>
    <w:rsid w:val="00617A07"/>
    <w:rsid w:val="00620DEE"/>
    <w:rsid w:val="00621F92"/>
    <w:rsid w:val="0062453B"/>
    <w:rsid w:val="00625639"/>
    <w:rsid w:val="006266D8"/>
    <w:rsid w:val="00631B33"/>
    <w:rsid w:val="00631C61"/>
    <w:rsid w:val="00635AAB"/>
    <w:rsid w:val="0064184D"/>
    <w:rsid w:val="006422CC"/>
    <w:rsid w:val="006518F1"/>
    <w:rsid w:val="00660E3E"/>
    <w:rsid w:val="00662E74"/>
    <w:rsid w:val="00675BDB"/>
    <w:rsid w:val="00680C23"/>
    <w:rsid w:val="00681215"/>
    <w:rsid w:val="00693766"/>
    <w:rsid w:val="00694B67"/>
    <w:rsid w:val="006A3281"/>
    <w:rsid w:val="006B136A"/>
    <w:rsid w:val="006B456E"/>
    <w:rsid w:val="006B4888"/>
    <w:rsid w:val="006B4945"/>
    <w:rsid w:val="006C2E45"/>
    <w:rsid w:val="006C359C"/>
    <w:rsid w:val="006C5579"/>
    <w:rsid w:val="006D2B05"/>
    <w:rsid w:val="006D79B9"/>
    <w:rsid w:val="006E737D"/>
    <w:rsid w:val="006F2559"/>
    <w:rsid w:val="006F731F"/>
    <w:rsid w:val="006F7FAA"/>
    <w:rsid w:val="0070195D"/>
    <w:rsid w:val="00704C3B"/>
    <w:rsid w:val="007154A6"/>
    <w:rsid w:val="007207FE"/>
    <w:rsid w:val="00720A24"/>
    <w:rsid w:val="007212FC"/>
    <w:rsid w:val="007219EA"/>
    <w:rsid w:val="00727D58"/>
    <w:rsid w:val="00732386"/>
    <w:rsid w:val="007447F3"/>
    <w:rsid w:val="00752821"/>
    <w:rsid w:val="0075499F"/>
    <w:rsid w:val="00763E79"/>
    <w:rsid w:val="007661C8"/>
    <w:rsid w:val="0077098D"/>
    <w:rsid w:val="007742C5"/>
    <w:rsid w:val="00782222"/>
    <w:rsid w:val="007931FA"/>
    <w:rsid w:val="00796B51"/>
    <w:rsid w:val="007A7BBA"/>
    <w:rsid w:val="007B0B91"/>
    <w:rsid w:val="007B0C50"/>
    <w:rsid w:val="007B5A20"/>
    <w:rsid w:val="007C1A43"/>
    <w:rsid w:val="007C5A96"/>
    <w:rsid w:val="007D09C1"/>
    <w:rsid w:val="007D2DD0"/>
    <w:rsid w:val="007E1DC6"/>
    <w:rsid w:val="00813288"/>
    <w:rsid w:val="008168A7"/>
    <w:rsid w:val="008168FC"/>
    <w:rsid w:val="008229DE"/>
    <w:rsid w:val="008232FF"/>
    <w:rsid w:val="00825528"/>
    <w:rsid w:val="008257F9"/>
    <w:rsid w:val="00830996"/>
    <w:rsid w:val="00833685"/>
    <w:rsid w:val="008345F1"/>
    <w:rsid w:val="008417C3"/>
    <w:rsid w:val="008454F8"/>
    <w:rsid w:val="00853BDD"/>
    <w:rsid w:val="00861BB6"/>
    <w:rsid w:val="00865B07"/>
    <w:rsid w:val="008667EA"/>
    <w:rsid w:val="0087637F"/>
    <w:rsid w:val="00883447"/>
    <w:rsid w:val="008904B9"/>
    <w:rsid w:val="00892AD5"/>
    <w:rsid w:val="008A1512"/>
    <w:rsid w:val="008A60A9"/>
    <w:rsid w:val="008B0090"/>
    <w:rsid w:val="008B3465"/>
    <w:rsid w:val="008B3A26"/>
    <w:rsid w:val="008C78C1"/>
    <w:rsid w:val="008D32B9"/>
    <w:rsid w:val="008D433B"/>
    <w:rsid w:val="008E566E"/>
    <w:rsid w:val="008E7F62"/>
    <w:rsid w:val="008F638F"/>
    <w:rsid w:val="0090161A"/>
    <w:rsid w:val="00901EB6"/>
    <w:rsid w:val="009045E2"/>
    <w:rsid w:val="00904C62"/>
    <w:rsid w:val="00915238"/>
    <w:rsid w:val="00922F79"/>
    <w:rsid w:val="00924DAC"/>
    <w:rsid w:val="00925281"/>
    <w:rsid w:val="00927058"/>
    <w:rsid w:val="0093493C"/>
    <w:rsid w:val="009450CE"/>
    <w:rsid w:val="009457BC"/>
    <w:rsid w:val="00945BDC"/>
    <w:rsid w:val="00947179"/>
    <w:rsid w:val="0095164B"/>
    <w:rsid w:val="00953D6E"/>
    <w:rsid w:val="00954090"/>
    <w:rsid w:val="009573E7"/>
    <w:rsid w:val="009635B9"/>
    <w:rsid w:val="00963E05"/>
    <w:rsid w:val="0096502B"/>
    <w:rsid w:val="00967D54"/>
    <w:rsid w:val="00980481"/>
    <w:rsid w:val="00983265"/>
    <w:rsid w:val="009927E5"/>
    <w:rsid w:val="00996483"/>
    <w:rsid w:val="00996AD4"/>
    <w:rsid w:val="00996F5A"/>
    <w:rsid w:val="009A0A3E"/>
    <w:rsid w:val="009B041A"/>
    <w:rsid w:val="009B055F"/>
    <w:rsid w:val="009B7BC0"/>
    <w:rsid w:val="009C4992"/>
    <w:rsid w:val="009C7C86"/>
    <w:rsid w:val="009D2ED7"/>
    <w:rsid w:val="009D2FF7"/>
    <w:rsid w:val="009E18A7"/>
    <w:rsid w:val="009E6B3C"/>
    <w:rsid w:val="009E7884"/>
    <w:rsid w:val="009E788A"/>
    <w:rsid w:val="009F0DA4"/>
    <w:rsid w:val="009F0E08"/>
    <w:rsid w:val="009F2101"/>
    <w:rsid w:val="009F5822"/>
    <w:rsid w:val="00A03A9C"/>
    <w:rsid w:val="00A1763D"/>
    <w:rsid w:val="00A17CEC"/>
    <w:rsid w:val="00A23766"/>
    <w:rsid w:val="00A254C3"/>
    <w:rsid w:val="00A27EF0"/>
    <w:rsid w:val="00A35CAE"/>
    <w:rsid w:val="00A50B20"/>
    <w:rsid w:val="00A51390"/>
    <w:rsid w:val="00A56C45"/>
    <w:rsid w:val="00A60D13"/>
    <w:rsid w:val="00A66B20"/>
    <w:rsid w:val="00A72745"/>
    <w:rsid w:val="00A758F3"/>
    <w:rsid w:val="00A76EFC"/>
    <w:rsid w:val="00A8575A"/>
    <w:rsid w:val="00A91010"/>
    <w:rsid w:val="00A97F29"/>
    <w:rsid w:val="00AA702E"/>
    <w:rsid w:val="00AB0964"/>
    <w:rsid w:val="00AB335D"/>
    <w:rsid w:val="00AB5011"/>
    <w:rsid w:val="00AB52EE"/>
    <w:rsid w:val="00AC148C"/>
    <w:rsid w:val="00AC7368"/>
    <w:rsid w:val="00AD16B9"/>
    <w:rsid w:val="00AE377D"/>
    <w:rsid w:val="00AF42CE"/>
    <w:rsid w:val="00B0389A"/>
    <w:rsid w:val="00B12680"/>
    <w:rsid w:val="00B12B50"/>
    <w:rsid w:val="00B17FBD"/>
    <w:rsid w:val="00B21BE3"/>
    <w:rsid w:val="00B22454"/>
    <w:rsid w:val="00B315A6"/>
    <w:rsid w:val="00B31813"/>
    <w:rsid w:val="00B33365"/>
    <w:rsid w:val="00B402F6"/>
    <w:rsid w:val="00B473D8"/>
    <w:rsid w:val="00B53F5D"/>
    <w:rsid w:val="00B57B36"/>
    <w:rsid w:val="00B604AC"/>
    <w:rsid w:val="00B76C9A"/>
    <w:rsid w:val="00B83736"/>
    <w:rsid w:val="00B83F96"/>
    <w:rsid w:val="00B84070"/>
    <w:rsid w:val="00B84926"/>
    <w:rsid w:val="00B85D77"/>
    <w:rsid w:val="00B8686D"/>
    <w:rsid w:val="00B96E0C"/>
    <w:rsid w:val="00BA7F5B"/>
    <w:rsid w:val="00BB2A0C"/>
    <w:rsid w:val="00BC30C9"/>
    <w:rsid w:val="00BC33F0"/>
    <w:rsid w:val="00BE3805"/>
    <w:rsid w:val="00BE3E58"/>
    <w:rsid w:val="00BE68DD"/>
    <w:rsid w:val="00BF60D6"/>
    <w:rsid w:val="00C01616"/>
    <w:rsid w:val="00C0162B"/>
    <w:rsid w:val="00C02617"/>
    <w:rsid w:val="00C057C3"/>
    <w:rsid w:val="00C0786B"/>
    <w:rsid w:val="00C32FE0"/>
    <w:rsid w:val="00C345B1"/>
    <w:rsid w:val="00C40142"/>
    <w:rsid w:val="00C40296"/>
    <w:rsid w:val="00C57182"/>
    <w:rsid w:val="00C57863"/>
    <w:rsid w:val="00C6291F"/>
    <w:rsid w:val="00C655FD"/>
    <w:rsid w:val="00C656A5"/>
    <w:rsid w:val="00C65704"/>
    <w:rsid w:val="00C72BCC"/>
    <w:rsid w:val="00C870A8"/>
    <w:rsid w:val="00C922D9"/>
    <w:rsid w:val="00C94434"/>
    <w:rsid w:val="00CA0D75"/>
    <w:rsid w:val="00CA1C95"/>
    <w:rsid w:val="00CA59CE"/>
    <w:rsid w:val="00CA5A9C"/>
    <w:rsid w:val="00CB2D54"/>
    <w:rsid w:val="00CB4262"/>
    <w:rsid w:val="00CD3517"/>
    <w:rsid w:val="00CD4578"/>
    <w:rsid w:val="00CD5A00"/>
    <w:rsid w:val="00CD5FE2"/>
    <w:rsid w:val="00CD6412"/>
    <w:rsid w:val="00CE05D5"/>
    <w:rsid w:val="00CE3397"/>
    <w:rsid w:val="00CE4FCE"/>
    <w:rsid w:val="00CE7C68"/>
    <w:rsid w:val="00CF0046"/>
    <w:rsid w:val="00CF0198"/>
    <w:rsid w:val="00D02B4C"/>
    <w:rsid w:val="00D040C4"/>
    <w:rsid w:val="00D0469D"/>
    <w:rsid w:val="00D051FD"/>
    <w:rsid w:val="00D214D8"/>
    <w:rsid w:val="00D321BD"/>
    <w:rsid w:val="00D53DB4"/>
    <w:rsid w:val="00D57C84"/>
    <w:rsid w:val="00D6057D"/>
    <w:rsid w:val="00D6313E"/>
    <w:rsid w:val="00D82829"/>
    <w:rsid w:val="00D84576"/>
    <w:rsid w:val="00D904D5"/>
    <w:rsid w:val="00D90EAD"/>
    <w:rsid w:val="00D93F31"/>
    <w:rsid w:val="00DA1399"/>
    <w:rsid w:val="00DA24C6"/>
    <w:rsid w:val="00DA4D7B"/>
    <w:rsid w:val="00DA5636"/>
    <w:rsid w:val="00DC1E00"/>
    <w:rsid w:val="00DD2111"/>
    <w:rsid w:val="00DD3EBB"/>
    <w:rsid w:val="00DE1BCD"/>
    <w:rsid w:val="00DE264A"/>
    <w:rsid w:val="00E01D12"/>
    <w:rsid w:val="00E02D18"/>
    <w:rsid w:val="00E041E7"/>
    <w:rsid w:val="00E04F3A"/>
    <w:rsid w:val="00E12522"/>
    <w:rsid w:val="00E15A27"/>
    <w:rsid w:val="00E22137"/>
    <w:rsid w:val="00E233FB"/>
    <w:rsid w:val="00E23CA1"/>
    <w:rsid w:val="00E26995"/>
    <w:rsid w:val="00E40026"/>
    <w:rsid w:val="00E409A8"/>
    <w:rsid w:val="00E50C12"/>
    <w:rsid w:val="00E5247F"/>
    <w:rsid w:val="00E57E05"/>
    <w:rsid w:val="00E65B91"/>
    <w:rsid w:val="00E7209D"/>
    <w:rsid w:val="00E77223"/>
    <w:rsid w:val="00E82DFB"/>
    <w:rsid w:val="00E8528B"/>
    <w:rsid w:val="00E85B94"/>
    <w:rsid w:val="00E90E31"/>
    <w:rsid w:val="00E956D1"/>
    <w:rsid w:val="00E978D0"/>
    <w:rsid w:val="00EA44D4"/>
    <w:rsid w:val="00EA4613"/>
    <w:rsid w:val="00EA7F91"/>
    <w:rsid w:val="00EB1523"/>
    <w:rsid w:val="00EB674C"/>
    <w:rsid w:val="00EC0E49"/>
    <w:rsid w:val="00EC2994"/>
    <w:rsid w:val="00EC5C4E"/>
    <w:rsid w:val="00EE0131"/>
    <w:rsid w:val="00EE2DB6"/>
    <w:rsid w:val="00EF1C97"/>
    <w:rsid w:val="00EF565E"/>
    <w:rsid w:val="00F0315C"/>
    <w:rsid w:val="00F06499"/>
    <w:rsid w:val="00F155B2"/>
    <w:rsid w:val="00F23835"/>
    <w:rsid w:val="00F24A4B"/>
    <w:rsid w:val="00F30C64"/>
    <w:rsid w:val="00F31C0A"/>
    <w:rsid w:val="00F32CDB"/>
    <w:rsid w:val="00F32DB1"/>
    <w:rsid w:val="00F47DF7"/>
    <w:rsid w:val="00F5247D"/>
    <w:rsid w:val="00F63995"/>
    <w:rsid w:val="00F63A70"/>
    <w:rsid w:val="00F65CC3"/>
    <w:rsid w:val="00F74D89"/>
    <w:rsid w:val="00F752A3"/>
    <w:rsid w:val="00F76662"/>
    <w:rsid w:val="00F77983"/>
    <w:rsid w:val="00F87202"/>
    <w:rsid w:val="00F95A6F"/>
    <w:rsid w:val="00FA21D0"/>
    <w:rsid w:val="00FA228D"/>
    <w:rsid w:val="00FA5F5F"/>
    <w:rsid w:val="00FB2F3F"/>
    <w:rsid w:val="00FB730C"/>
    <w:rsid w:val="00FC2695"/>
    <w:rsid w:val="00FC3E03"/>
    <w:rsid w:val="00FC3FC1"/>
    <w:rsid w:val="00FD3312"/>
    <w:rsid w:val="00FD4E0D"/>
    <w:rsid w:val="00FD62C4"/>
    <w:rsid w:val="00FE7089"/>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C4BA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attere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attere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atterepredefinitoparagrafo"/>
    <w:link w:val="Corpodeltesto3"/>
    <w:uiPriority w:val="99"/>
    <w:semiHidden/>
    <w:rsid w:val="0003148D"/>
    <w:rPr>
      <w:sz w:val="16"/>
      <w:szCs w:val="16"/>
    </w:rPr>
  </w:style>
  <w:style w:type="paragraph" w:styleId="Corpodeltesto">
    <w:name w:val="Body Text"/>
    <w:basedOn w:val="Normale"/>
    <w:link w:val="CorpodeltestoCarattere"/>
    <w:uiPriority w:val="99"/>
    <w:semiHidden/>
    <w:unhideWhenUsed/>
    <w:rsid w:val="0003148D"/>
    <w:pPr>
      <w:spacing w:after="120"/>
    </w:pPr>
  </w:style>
  <w:style w:type="character" w:customStyle="1" w:styleId="CorpodeltestoCarattere">
    <w:name w:val="Corpo del testo Carattere"/>
    <w:basedOn w:val="Caratterepredefinitoparagrafo"/>
    <w:link w:val="Corpodel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attere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attere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attere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attere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attere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attere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attere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attere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attere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attere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del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del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attere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attere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attere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attere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Bloccoditest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attere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attere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attere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atterepredefinitoparagrafo"/>
    <w:link w:val="Testonotadichiusura"/>
    <w:uiPriority w:val="99"/>
    <w:semiHidden/>
    <w:rsid w:val="0003148D"/>
    <w:rPr>
      <w:sz w:val="20"/>
      <w:szCs w:val="20"/>
    </w:rPr>
  </w:style>
  <w:style w:type="character" w:customStyle="1" w:styleId="Titolo1Carattere">
    <w:name w:val="Titolo 1 Carattere"/>
    <w:basedOn w:val="Carattere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attere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attere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attere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attere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attere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attere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attere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attere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attere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attere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attere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atterepredefinitoparagrafo"/>
    <w:uiPriority w:val="99"/>
    <w:unhideWhenUsed/>
    <w:rsid w:val="00904C62"/>
    <w:rPr>
      <w:color w:val="0000FF" w:themeColor="hyperlink"/>
      <w:u w:val="single"/>
    </w:rPr>
  </w:style>
  <w:style w:type="character" w:customStyle="1" w:styleId="eudoraheader">
    <w:name w:val="eudoraheader"/>
    <w:basedOn w:val="Carattere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paragraph" w:styleId="Paragrafoelenco">
    <w:name w:val="List Paragraph"/>
    <w:basedOn w:val="Normale"/>
    <w:uiPriority w:val="34"/>
    <w:rsid w:val="0088344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attere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attere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atterepredefinitoparagrafo"/>
    <w:link w:val="Corpodeltesto3"/>
    <w:uiPriority w:val="99"/>
    <w:semiHidden/>
    <w:rsid w:val="0003148D"/>
    <w:rPr>
      <w:sz w:val="16"/>
      <w:szCs w:val="16"/>
    </w:rPr>
  </w:style>
  <w:style w:type="paragraph" w:styleId="Corpodeltesto">
    <w:name w:val="Body Text"/>
    <w:basedOn w:val="Normale"/>
    <w:link w:val="CorpodeltestoCarattere"/>
    <w:uiPriority w:val="99"/>
    <w:semiHidden/>
    <w:unhideWhenUsed/>
    <w:rsid w:val="0003148D"/>
    <w:pPr>
      <w:spacing w:after="120"/>
    </w:pPr>
  </w:style>
  <w:style w:type="character" w:customStyle="1" w:styleId="CorpodeltestoCarattere">
    <w:name w:val="Corpo del testo Carattere"/>
    <w:basedOn w:val="Caratterepredefinitoparagrafo"/>
    <w:link w:val="Corpodel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attere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attere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attere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attere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attere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attere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attere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attere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attere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attere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del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del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attere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attere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attere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attere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Bloccoditest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attere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attere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attere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atterepredefinitoparagrafo"/>
    <w:link w:val="Testonotadichiusura"/>
    <w:uiPriority w:val="99"/>
    <w:semiHidden/>
    <w:rsid w:val="0003148D"/>
    <w:rPr>
      <w:sz w:val="20"/>
      <w:szCs w:val="20"/>
    </w:rPr>
  </w:style>
  <w:style w:type="character" w:customStyle="1" w:styleId="Titolo1Carattere">
    <w:name w:val="Titolo 1 Carattere"/>
    <w:basedOn w:val="Carattere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attere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attere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attere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attere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attere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attere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attere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attere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attere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attere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attere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atterepredefinitoparagrafo"/>
    <w:uiPriority w:val="99"/>
    <w:unhideWhenUsed/>
    <w:rsid w:val="00904C62"/>
    <w:rPr>
      <w:color w:val="0000FF" w:themeColor="hyperlink"/>
      <w:u w:val="single"/>
    </w:rPr>
  </w:style>
  <w:style w:type="character" w:customStyle="1" w:styleId="eudoraheader">
    <w:name w:val="eudoraheader"/>
    <w:basedOn w:val="Carattere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paragraph" w:styleId="Paragrafoelenco">
    <w:name w:val="List Paragraph"/>
    <w:basedOn w:val="Normale"/>
    <w:uiPriority w:val="34"/>
    <w:rsid w:val="008834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845637">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957924">
      <w:bodyDiv w:val="1"/>
      <w:marLeft w:val="0"/>
      <w:marRight w:val="0"/>
      <w:marTop w:val="0"/>
      <w:marBottom w:val="0"/>
      <w:divBdr>
        <w:top w:val="none" w:sz="0" w:space="0" w:color="auto"/>
        <w:left w:val="none" w:sz="0" w:space="0" w:color="auto"/>
        <w:bottom w:val="none" w:sz="0" w:space="0" w:color="auto"/>
        <w:right w:val="none" w:sz="0" w:space="0" w:color="auto"/>
      </w:divBdr>
    </w:div>
    <w:div w:id="1628899399">
      <w:bodyDiv w:val="1"/>
      <w:marLeft w:val="0"/>
      <w:marRight w:val="0"/>
      <w:marTop w:val="0"/>
      <w:marBottom w:val="0"/>
      <w:divBdr>
        <w:top w:val="none" w:sz="0" w:space="0" w:color="auto"/>
        <w:left w:val="none" w:sz="0" w:space="0" w:color="auto"/>
        <w:bottom w:val="none" w:sz="0" w:space="0" w:color="auto"/>
        <w:right w:val="none" w:sz="0" w:space="0" w:color="auto"/>
      </w:divBdr>
      <w:divsChild>
        <w:div w:id="1172336280">
          <w:marLeft w:val="0"/>
          <w:marRight w:val="0"/>
          <w:marTop w:val="0"/>
          <w:marBottom w:val="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1.jpe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emf"/><Relationship Id="rId24" Type="http://schemas.openxmlformats.org/officeDocument/2006/relationships/image" Target="media/image15.png"/><Relationship Id="rId25" Type="http://schemas.openxmlformats.org/officeDocument/2006/relationships/image" Target="media/image16.jpg"/><Relationship Id="rId26" Type="http://schemas.openxmlformats.org/officeDocument/2006/relationships/fontTable" Target="fontTable.xml"/><Relationship Id="rId27" Type="http://schemas.openxmlformats.org/officeDocument/2006/relationships/theme" Target="theme/theme1.xml"/><Relationship Id="rId28" Type="http://schemas.microsoft.com/office/2011/relationships/people" Target="people.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tif"/><Relationship Id="rId14" Type="http://schemas.openxmlformats.org/officeDocument/2006/relationships/image" Target="media/image6.jpg"/><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png"/><Relationship Id="rId18" Type="http://schemas.openxmlformats.org/officeDocument/2006/relationships/image" Target="media/image10.png"/><Relationship Id="rId19" Type="http://schemas.microsoft.com/office/2007/relationships/hdphoto" Target="media/hdphoto1.wdp"/><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7BD26-C21E-4145-AAE5-502A4D323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6</Pages>
  <Words>2929</Words>
  <Characters>16698</Characters>
  <Application>Microsoft Macintosh Word</Application>
  <DocSecurity>0</DocSecurity>
  <Lines>139</Lines>
  <Paragraphs>39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19588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Sabrina Pricl</cp:lastModifiedBy>
  <cp:revision>66</cp:revision>
  <cp:lastPrinted>2015-05-12T18:31:00Z</cp:lastPrinted>
  <dcterms:created xsi:type="dcterms:W3CDTF">2019-03-30T14:28:00Z</dcterms:created>
  <dcterms:modified xsi:type="dcterms:W3CDTF">2019-03-30T17:53:00Z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