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65CAF52" w14:textId="77777777">
        <w:trPr>
          <w:trHeight w:val="852"/>
          <w:jc w:val="center"/>
        </w:trPr>
        <w:tc>
          <w:tcPr>
            <w:tcW w:w="6946" w:type="dxa"/>
            <w:vMerge w:val="restart"/>
            <w:tcBorders>
              <w:right w:val="single" w:sz="4" w:space="0" w:color="auto"/>
            </w:tcBorders>
          </w:tcPr>
          <w:p w14:paraId="7D34370F"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60B209DF" wp14:editId="2931987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7313F4C"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7562266"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E726A16" w14:textId="77777777" w:rsidR="000A03B2" w:rsidRPr="00B57B36" w:rsidRDefault="000A03B2" w:rsidP="00CD5FE2">
            <w:pPr>
              <w:jc w:val="right"/>
            </w:pPr>
            <w:r w:rsidRPr="00B57B36">
              <w:rPr>
                <w:noProof/>
                <w:lang w:val="it-IT" w:eastAsia="it-IT"/>
              </w:rPr>
              <w:drawing>
                <wp:inline distT="0" distB="0" distL="0" distR="0" wp14:anchorId="6EB2C8A5" wp14:editId="5BC863B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C1BE3D8" w14:textId="77777777">
        <w:trPr>
          <w:trHeight w:val="567"/>
          <w:jc w:val="center"/>
        </w:trPr>
        <w:tc>
          <w:tcPr>
            <w:tcW w:w="6946" w:type="dxa"/>
            <w:vMerge/>
            <w:tcBorders>
              <w:right w:val="single" w:sz="4" w:space="0" w:color="auto"/>
            </w:tcBorders>
          </w:tcPr>
          <w:p w14:paraId="0CBEDB1F"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0E8F12E"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53793F09"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D74277D"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00CFA119" w14:textId="77777777">
        <w:trPr>
          <w:trHeight w:val="68"/>
          <w:jc w:val="center"/>
        </w:trPr>
        <w:tc>
          <w:tcPr>
            <w:tcW w:w="8789" w:type="dxa"/>
            <w:gridSpan w:val="2"/>
          </w:tcPr>
          <w:p w14:paraId="75008BA4"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 xml:space="preserve">Guest </w:t>
            </w:r>
            <w:proofErr w:type="spellStart"/>
            <w:r w:rsidRPr="00252C1A">
              <w:rPr>
                <w:rFonts w:ascii="Tahoma" w:hAnsi="Tahoma" w:cs="Tahoma"/>
                <w:iCs/>
                <w:color w:val="333333"/>
                <w:sz w:val="14"/>
                <w:szCs w:val="14"/>
                <w:lang w:val="it-IT" w:eastAsia="it-IT"/>
              </w:rPr>
              <w:t>Editors</w:t>
            </w:r>
            <w:proofErr w:type="spellEnd"/>
            <w:r w:rsidRPr="00252C1A">
              <w:rPr>
                <w:rFonts w:ascii="Tahoma" w:hAnsi="Tahoma" w:cs="Tahoma"/>
                <w:iCs/>
                <w:color w:val="333333"/>
                <w:sz w:val="14"/>
                <w:szCs w:val="14"/>
                <w:lang w:val="it-IT" w:eastAsia="it-IT"/>
              </w:rPr>
              <w:t>:</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0F9F8EE"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863FF5E"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F489755" w14:textId="77777777" w:rsidR="00E978D0" w:rsidRPr="00B57B36" w:rsidRDefault="00CD6412" w:rsidP="00E978D0">
      <w:pPr>
        <w:pStyle w:val="CETTitle"/>
      </w:pPr>
      <w:r>
        <w:lastRenderedPageBreak/>
        <w:t>Integrating Multiscale Simulations for Composite Materials with Industrial Business Decision: the Eu H2020 COMPOSELECTOR Project Experience</w:t>
      </w:r>
    </w:p>
    <w:p w14:paraId="4EE2898B" w14:textId="77777777" w:rsidR="00E978D0" w:rsidRPr="00CD6412" w:rsidRDefault="00CD6412" w:rsidP="00AB5011">
      <w:pPr>
        <w:pStyle w:val="CETAuthors"/>
        <w:rPr>
          <w:lang w:val="it-IT"/>
        </w:rPr>
      </w:pPr>
      <w:r w:rsidRPr="00CD6412">
        <w:rPr>
          <w:lang w:val="it-IT"/>
        </w:rPr>
        <w:t>Erik Laurini*, Domenico Marson, Su</w:t>
      </w:r>
      <w:r>
        <w:rPr>
          <w:lang w:val="it-IT"/>
        </w:rPr>
        <w:t>zana Aulic, Andrea Mio, Maurizio Fermeglia</w:t>
      </w:r>
      <w:r w:rsidR="00CB4262">
        <w:rPr>
          <w:lang w:val="it-IT"/>
        </w:rPr>
        <w:t>, Sabrina Pricl</w:t>
      </w:r>
    </w:p>
    <w:p w14:paraId="63C38877" w14:textId="77777777" w:rsidR="00E978D0" w:rsidRPr="00B57B36" w:rsidRDefault="00CB4262" w:rsidP="00E978D0">
      <w:pPr>
        <w:pStyle w:val="CETAddress"/>
      </w:pPr>
      <w:r>
        <w:t>Molecular Biology and Nanotechnology Laboratory (MolBNL@UniTS), Department of Engineering and Architecture, University of Trieste, Piazzale Europa 1, 34127 Trieste, Italy</w:t>
      </w:r>
    </w:p>
    <w:p w14:paraId="5F571771" w14:textId="77777777" w:rsidR="00E978D0" w:rsidRPr="00B57B36" w:rsidRDefault="00CB4262" w:rsidP="00E978D0">
      <w:pPr>
        <w:pStyle w:val="CETemail"/>
      </w:pPr>
      <w:r>
        <w:t>erik.laurini</w:t>
      </w:r>
      <w:r w:rsidR="00600535" w:rsidRPr="00B57B36">
        <w:t>@</w:t>
      </w:r>
      <w:r>
        <w:t>dia.units.it</w:t>
      </w:r>
    </w:p>
    <w:p w14:paraId="2B2B3E91" w14:textId="77777777" w:rsidR="00EC5C4E" w:rsidRDefault="00CB4262" w:rsidP="00CB4262">
      <w:pPr>
        <w:pStyle w:val="CETListbullets"/>
        <w:ind w:left="0" w:firstLine="0"/>
      </w:pPr>
      <w:r>
        <w:t>The integration of modelling and simulation techniques to support material selection processes (MSPs) is one of the most compelling needs in advancing material industry and manufactory, due to the necessity of effective/efficient design and production of sophisticated materials, components and systems with advanced/extreme performance on a competitive time scale. In this arena, and specifically for complex structural materials such as polymer-based nanocomposites (PNCs) there is a strong industrial demand for chemistry/physics-based models and modelling workflows able to predict relevant materials properties (aka Key Performance Indicators or KPIs) in an accurate and reliable way</w:t>
      </w:r>
      <w:r w:rsidR="00EC5C4E">
        <w:t xml:space="preserve"> and prior to any experimental set-up. With the aim of filling the gap between business processes and materials science/engineering workflows, this work reports the application – within the framework of the EU H2020 project COMPOSELECTOR – of a multi-disciplinary, multi-model approach for the accurate, reliable, efficient and cost-effective industry-driven KPIs determination for PNC materials. Specifically, three examples of questions and answers pertaining to aerospace and automotive applications are presented and discussed.</w:t>
      </w:r>
    </w:p>
    <w:p w14:paraId="350C0576" w14:textId="77777777" w:rsidR="00600535" w:rsidRPr="00B57B36" w:rsidRDefault="00600535" w:rsidP="00A35CAE">
      <w:pPr>
        <w:pStyle w:val="CETHeading1"/>
        <w:rPr>
          <w:lang w:val="en-GB"/>
        </w:rPr>
      </w:pPr>
      <w:r w:rsidRPr="00B57B36">
        <w:rPr>
          <w:lang w:val="en-GB"/>
        </w:rPr>
        <w:t>Introduction</w:t>
      </w:r>
    </w:p>
    <w:p w14:paraId="293A4FF8" w14:textId="09F8539F" w:rsidR="003F7F3A" w:rsidRDefault="003F7F3A" w:rsidP="00600535">
      <w:pPr>
        <w:pStyle w:val="CETBodytext"/>
        <w:rPr>
          <w:lang w:val="en-GB"/>
        </w:rPr>
      </w:pPr>
      <w:r>
        <w:rPr>
          <w:lang w:val="en-GB"/>
        </w:rPr>
        <w:t>The plethora of currently available composite materials and related production processes is steadily growing in number and type. Thus, for PNC designers and manufacturers the understanding and possibly evaluating different materials and processing conditions in the early stages – if not ahead – of product design is no longer an option. The wealth of information acquired during the product conceptual stage generates a product knowledge foundation for improved decision-making, thereby augmenting the innovation potential within new material and structure concepts. In this arena, the European Commission is devoting major economical efforts to support the integration of molecular simulation techniques in industrial business decision processes. According to this vision, during the delicate phase of material selection processes molecular simulations should be performed in two modes: the discovery mode, in which new material properties and phenomena not yet observed experimentally are predicted or explanations for un-understood observed behaviours are sought, and the data mode, basically consisting in the reliable prediction of material properties without resorting to any experimental activity.</w:t>
      </w:r>
    </w:p>
    <w:p w14:paraId="3D1A973D" w14:textId="77777777" w:rsidR="00600535" w:rsidRDefault="00EC5C4E" w:rsidP="00600535">
      <w:pPr>
        <w:pStyle w:val="CETBodytext"/>
        <w:rPr>
          <w:lang w:val="en-GB"/>
        </w:rPr>
      </w:pPr>
      <w:r>
        <w:rPr>
          <w:lang w:val="en-GB"/>
        </w:rPr>
        <w:t xml:space="preserve">Material selection </w:t>
      </w:r>
      <w:r w:rsidR="009045E2">
        <w:rPr>
          <w:lang w:val="en-GB"/>
        </w:rPr>
        <w:t xml:space="preserve">is the result of the best match between material properties/performance, design/process optimization, cost analysis, life cycle engineering, societal requirements and regulations. Traditionally, material selection has been performed based on property cross-plots, </w:t>
      </w:r>
      <w:r w:rsidR="000271A2">
        <w:rPr>
          <w:lang w:val="en-GB"/>
        </w:rPr>
        <w:t>i.e., a graphical representation of material-property-performance relationships (Ashby and Johnson, 2014).</w:t>
      </w:r>
      <w:r w:rsidR="00CF0046">
        <w:rPr>
          <w:lang w:val="en-GB"/>
        </w:rPr>
        <w:t xml:space="preserve"> </w:t>
      </w:r>
      <w:r w:rsidR="00B83F96">
        <w:rPr>
          <w:lang w:val="en-GB"/>
        </w:rPr>
        <w:t xml:space="preserve">These methods </w:t>
      </w:r>
      <w:r w:rsidR="008232FF">
        <w:rPr>
          <w:lang w:val="en-GB"/>
        </w:rPr>
        <w:t xml:space="preserve">rely on a combination of material databases and efficient search algorithms for properties that best satisfy a set of specified performance indices using pattern recognition, combinatorial search methodologies, etc. </w:t>
      </w:r>
      <w:r w:rsidR="00CF0046">
        <w:rPr>
          <w:lang w:val="en-GB"/>
        </w:rPr>
        <w:t xml:space="preserve">However, most of these tools are not well-suited for identifying/selecting the optimal material </w:t>
      </w:r>
      <w:r w:rsidR="008232FF">
        <w:rPr>
          <w:lang w:val="en-GB"/>
        </w:rPr>
        <w:t>that is theoretically predicted to meet or exceed a set of designer-specified macroscale properties or performance criteria.</w:t>
      </w:r>
      <w:r w:rsidR="005F034D">
        <w:rPr>
          <w:lang w:val="en-GB"/>
        </w:rPr>
        <w:t xml:space="preserve"> T</w:t>
      </w:r>
      <w:r w:rsidR="0051056B">
        <w:rPr>
          <w:lang w:val="en-GB"/>
        </w:rPr>
        <w:t>herefore, t</w:t>
      </w:r>
      <w:r w:rsidR="005F034D">
        <w:rPr>
          <w:lang w:val="en-GB"/>
        </w:rPr>
        <w:t xml:space="preserve">he major aim of the European Project COMPOSELECTOR, supported by the European Commission in the </w:t>
      </w:r>
      <w:r w:rsidR="005F034D">
        <w:rPr>
          <w:lang w:val="en-GB"/>
        </w:rPr>
        <w:lastRenderedPageBreak/>
        <w:t xml:space="preserve">H2020 Research and Innovation Programme, </w:t>
      </w:r>
      <w:r w:rsidR="0051056B">
        <w:rPr>
          <w:lang w:val="en-GB"/>
        </w:rPr>
        <w:t>is to contribute to a ground-breaking vision consisting in the integration of material modelling and simulation techniques into industrial manufacturing processes of materials characterized by increasing complexity such as PNCs</w:t>
      </w:r>
      <w:r w:rsidR="00F31C0A">
        <w:rPr>
          <w:lang w:val="en-GB"/>
        </w:rPr>
        <w:t>, with specific regard to three industrial user cases, i.e., high performance PNCs for aeronautical (AIRBUS Industries) and automotive applications (DOW Corporation and Goodyear Tire and Rubber Company).</w:t>
      </w:r>
    </w:p>
    <w:p w14:paraId="4028D734" w14:textId="77777777" w:rsidR="00E57E05" w:rsidRPr="00B57B36" w:rsidRDefault="00E57E05" w:rsidP="00A35CAE">
      <w:pPr>
        <w:pStyle w:val="CETHeading1"/>
        <w:tabs>
          <w:tab w:val="clear" w:pos="360"/>
          <w:tab w:val="right" w:pos="7100"/>
        </w:tabs>
        <w:jc w:val="both"/>
        <w:rPr>
          <w:lang w:val="en-GB"/>
        </w:rPr>
      </w:pPr>
      <w:r>
        <w:rPr>
          <w:lang w:val="en-GB"/>
        </w:rPr>
        <w:t>The AIRBUS case study</w:t>
      </w:r>
    </w:p>
    <w:p w14:paraId="79D4A9C6" w14:textId="2C2AC343" w:rsidR="006F731F" w:rsidRDefault="005E23B1" w:rsidP="00600535">
      <w:pPr>
        <w:pStyle w:val="CETBodytext"/>
        <w:rPr>
          <w:lang w:val="en-GB"/>
        </w:rPr>
      </w:pPr>
      <w:r>
        <w:rPr>
          <w:lang w:val="en-GB"/>
        </w:rPr>
        <w:t>While the use of reinforced plastics (RPs) has become a mainstay in aircraft production, the choice of a suitable polymeric matrix and, particularly, the reinforcing filler/fibres remains a largely unexplored scenario. In the quest of new RPs for airplane specific applications, the AIRBUS Industries within the COMPOSELECTOR project posed the</w:t>
      </w:r>
      <w:r w:rsidR="00F31C0A">
        <w:rPr>
          <w:lang w:val="en-GB"/>
        </w:rPr>
        <w:t xml:space="preserve"> first challenge in material selection </w:t>
      </w:r>
      <w:r>
        <w:rPr>
          <w:lang w:val="en-GB"/>
        </w:rPr>
        <w:t>by rising the following issue:</w:t>
      </w:r>
      <w:r w:rsidR="00F31C0A">
        <w:rPr>
          <w:lang w:val="en-GB"/>
        </w:rPr>
        <w:t xml:space="preserve"> what is </w:t>
      </w:r>
      <w:r w:rsidR="006266D8">
        <w:rPr>
          <w:lang w:val="en-GB"/>
        </w:rPr>
        <w:t xml:space="preserve">the behaviour of the glass transition temperature </w:t>
      </w:r>
      <w:r>
        <w:rPr>
          <w:lang w:val="en-GB"/>
        </w:rPr>
        <w:t>(</w:t>
      </w:r>
      <w:proofErr w:type="spellStart"/>
      <w:r>
        <w:rPr>
          <w:lang w:val="en-GB"/>
        </w:rPr>
        <w:t>T</w:t>
      </w:r>
      <w:r w:rsidRPr="005E23B1">
        <w:rPr>
          <w:vertAlign w:val="subscript"/>
          <w:lang w:val="en-GB"/>
        </w:rPr>
        <w:t>g</w:t>
      </w:r>
      <w:proofErr w:type="spellEnd"/>
      <w:r>
        <w:rPr>
          <w:lang w:val="en-GB"/>
        </w:rPr>
        <w:t xml:space="preserve">) and of the Young modulus (E) </w:t>
      </w:r>
      <w:r w:rsidR="006266D8">
        <w:rPr>
          <w:lang w:val="en-GB"/>
        </w:rPr>
        <w:t xml:space="preserve">of a PNC based on carbon nanofibers </w:t>
      </w:r>
      <w:r>
        <w:rPr>
          <w:lang w:val="en-GB"/>
        </w:rPr>
        <w:t xml:space="preserve">(CFs) </w:t>
      </w:r>
      <w:r w:rsidR="006266D8">
        <w:rPr>
          <w:lang w:val="en-GB"/>
        </w:rPr>
        <w:t xml:space="preserve">dispersed within a </w:t>
      </w:r>
      <w:r w:rsidR="00F31C0A">
        <w:rPr>
          <w:lang w:val="en-GB"/>
        </w:rPr>
        <w:t>poly</w:t>
      </w:r>
      <w:r w:rsidR="006266D8">
        <w:rPr>
          <w:lang w:val="en-GB"/>
        </w:rPr>
        <w:t>ether ether ketone (PEEK) matrix</w:t>
      </w:r>
      <w:r>
        <w:rPr>
          <w:lang w:val="en-GB"/>
        </w:rPr>
        <w:t xml:space="preserve">, up to a CFs content of 15% </w:t>
      </w:r>
      <w:proofErr w:type="spellStart"/>
      <w:r>
        <w:rPr>
          <w:lang w:val="en-GB"/>
        </w:rPr>
        <w:t>wt</w:t>
      </w:r>
      <w:proofErr w:type="spellEnd"/>
      <w:r>
        <w:rPr>
          <w:lang w:val="en-GB"/>
        </w:rPr>
        <w:t>/</w:t>
      </w:r>
      <w:proofErr w:type="spellStart"/>
      <w:r>
        <w:rPr>
          <w:lang w:val="en-GB"/>
        </w:rPr>
        <w:t>wt</w:t>
      </w:r>
      <w:proofErr w:type="spellEnd"/>
      <w:r w:rsidR="006266D8">
        <w:rPr>
          <w:lang w:val="en-GB"/>
        </w:rPr>
        <w:t xml:space="preserve">? To answer the question, specific computational procedures based on </w:t>
      </w:r>
      <w:r w:rsidR="00E45E0B">
        <w:rPr>
          <w:lang w:val="en-GB"/>
        </w:rPr>
        <w:t xml:space="preserve">atomistic </w:t>
      </w:r>
      <w:r w:rsidR="006266D8">
        <w:rPr>
          <w:lang w:val="en-GB"/>
        </w:rPr>
        <w:t xml:space="preserve">molecular dynamics </w:t>
      </w:r>
      <w:r w:rsidR="00D351DE">
        <w:rPr>
          <w:lang w:val="en-GB"/>
        </w:rPr>
        <w:t xml:space="preserve">(MD) </w:t>
      </w:r>
      <w:r w:rsidR="006266D8">
        <w:rPr>
          <w:lang w:val="en-GB"/>
        </w:rPr>
        <w:t>simulations were developed and applied</w:t>
      </w:r>
      <w:r>
        <w:rPr>
          <w:lang w:val="en-GB"/>
        </w:rPr>
        <w:t xml:space="preserve">, starting from well-validated methodologies </w:t>
      </w:r>
      <w:r w:rsidR="009457BC">
        <w:rPr>
          <w:lang w:val="en-GB"/>
        </w:rPr>
        <w:t>established for other thermoplastic-based PNCs</w:t>
      </w:r>
      <w:r>
        <w:rPr>
          <w:lang w:val="en-GB"/>
        </w:rPr>
        <w:t xml:space="preserve"> (</w:t>
      </w:r>
      <w:proofErr w:type="spellStart"/>
      <w:r>
        <w:rPr>
          <w:lang w:val="en-GB"/>
        </w:rPr>
        <w:t>Laurini</w:t>
      </w:r>
      <w:proofErr w:type="spellEnd"/>
      <w:r>
        <w:rPr>
          <w:lang w:val="en-GB"/>
        </w:rPr>
        <w:t xml:space="preserve"> et al. 2018</w:t>
      </w:r>
      <w:r w:rsidR="00F0315C">
        <w:rPr>
          <w:lang w:val="en-GB"/>
        </w:rPr>
        <w:t xml:space="preserve">; </w:t>
      </w:r>
      <w:proofErr w:type="spellStart"/>
      <w:r w:rsidR="00F0315C">
        <w:rPr>
          <w:lang w:val="en-GB"/>
        </w:rPr>
        <w:t>Laurini</w:t>
      </w:r>
      <w:proofErr w:type="spellEnd"/>
      <w:r w:rsidR="00F0315C">
        <w:rPr>
          <w:lang w:val="en-GB"/>
        </w:rPr>
        <w:t xml:space="preserve"> et al., 2016;</w:t>
      </w:r>
      <w:r>
        <w:rPr>
          <w:lang w:val="en-GB"/>
        </w:rPr>
        <w:t>)</w:t>
      </w:r>
      <w:r w:rsidR="009457BC">
        <w:rPr>
          <w:lang w:val="en-GB"/>
        </w:rPr>
        <w:t xml:space="preserve">. </w:t>
      </w:r>
      <w:r w:rsidR="00E45E0B">
        <w:rPr>
          <w:lang w:val="en-GB"/>
        </w:rPr>
        <w:t>MD simula</w:t>
      </w:r>
      <w:r w:rsidR="00050703">
        <w:rPr>
          <w:lang w:val="en-GB"/>
        </w:rPr>
        <w:t xml:space="preserve">tions are computational techniques ideal to investigate phenomena that take place in length and time scale up to </w:t>
      </w:r>
      <w:r w:rsidR="00E45E0B" w:rsidRPr="00E45E0B">
        <w:rPr>
          <w:lang w:val="en-GB"/>
        </w:rPr>
        <w:t>≈ 10</w:t>
      </w:r>
      <w:r w:rsidR="00E45E0B" w:rsidRPr="00050703">
        <w:rPr>
          <w:vertAlign w:val="superscript"/>
          <w:lang w:val="en-GB"/>
        </w:rPr>
        <w:t>-9</w:t>
      </w:r>
      <w:r w:rsidR="00E45E0B" w:rsidRPr="00E45E0B">
        <w:rPr>
          <w:lang w:val="en-GB"/>
        </w:rPr>
        <w:t xml:space="preserve"> m and 10</w:t>
      </w:r>
      <w:r w:rsidR="00E45E0B" w:rsidRPr="00050703">
        <w:rPr>
          <w:vertAlign w:val="superscript"/>
          <w:lang w:val="en-GB"/>
        </w:rPr>
        <w:t>-9</w:t>
      </w:r>
      <w:r w:rsidR="00E45E0B" w:rsidRPr="00E45E0B">
        <w:rPr>
          <w:lang w:val="en-GB"/>
        </w:rPr>
        <w:t>-10</w:t>
      </w:r>
      <w:r w:rsidR="00E45E0B" w:rsidRPr="00050703">
        <w:rPr>
          <w:vertAlign w:val="superscript"/>
          <w:lang w:val="en-GB"/>
        </w:rPr>
        <w:t>-6</w:t>
      </w:r>
      <w:r w:rsidR="00050703">
        <w:rPr>
          <w:lang w:val="en-GB"/>
        </w:rPr>
        <w:t xml:space="preserve"> s</w:t>
      </w:r>
      <w:r w:rsidR="00E45E0B" w:rsidRPr="00E45E0B">
        <w:rPr>
          <w:lang w:val="en-GB"/>
        </w:rPr>
        <w:t xml:space="preserve">, </w:t>
      </w:r>
      <w:r w:rsidR="00050703">
        <w:rPr>
          <w:lang w:val="en-GB"/>
        </w:rPr>
        <w:t xml:space="preserve">respectively. According to MD, </w:t>
      </w:r>
      <w:r w:rsidR="00E45E0B" w:rsidRPr="00E45E0B">
        <w:rPr>
          <w:lang w:val="en-GB"/>
        </w:rPr>
        <w:t>all atoms are explicitly represented or, less frequently, small groups of atoms are treated by single sites (referred to as pseudo atoms). The potential energy in the system is estimated using a number of different classes of interactions, typically: a) bonded interactions, including bond-length (stretch) potentials, bond-angle (bend) potentials, torsion (twist) potentials, and cross-terms, and b) non-bonded interactions, which in general consist in Coulomb interactions and dispersion forces. The different combination of some/all of these terms in a single potential energy equation is generally defined as a force field</w:t>
      </w:r>
      <w:r w:rsidR="00050703">
        <w:rPr>
          <w:lang w:val="en-GB"/>
        </w:rPr>
        <w:t xml:space="preserve">. </w:t>
      </w:r>
      <w:r w:rsidR="00017702">
        <w:rPr>
          <w:lang w:val="en-GB"/>
        </w:rPr>
        <w:t xml:space="preserve">The results obtained are shown in Figure 1. According to the computer prediction, the </w:t>
      </w:r>
      <w:r w:rsidR="006F731F">
        <w:rPr>
          <w:lang w:val="en-GB"/>
        </w:rPr>
        <w:t xml:space="preserve">Young modulus of the PNC moderately increases with increasing the CF loading (Figure 1A), </w:t>
      </w:r>
      <w:r w:rsidR="005C02AE" w:rsidRPr="005C02AE">
        <w:rPr>
          <w:lang w:val="en-GB"/>
        </w:rPr>
        <w:t>as a result of the synergy of load transfer from the matrix to the reinforcement nanofibers.</w:t>
      </w:r>
      <w:r w:rsidR="005C02AE">
        <w:rPr>
          <w:lang w:val="en-GB"/>
        </w:rPr>
        <w:t xml:space="preserve"> This reflects into </w:t>
      </w:r>
      <w:r w:rsidR="006F731F">
        <w:rPr>
          <w:lang w:val="en-GB"/>
        </w:rPr>
        <w:t xml:space="preserve">an enhancement factor </w:t>
      </w:r>
      <w:r w:rsidR="005C02AE">
        <w:rPr>
          <w:lang w:val="en-GB"/>
        </w:rPr>
        <w:t xml:space="preserve">for the Young modulus of the PNCs </w:t>
      </w:r>
      <w:r w:rsidR="006F731F">
        <w:rPr>
          <w:lang w:val="en-GB"/>
        </w:rPr>
        <w:t xml:space="preserve">with respect to the pure PEEK matrix </w:t>
      </w:r>
      <w:r w:rsidR="005C02AE">
        <w:rPr>
          <w:lang w:val="en-GB"/>
        </w:rPr>
        <w:t>(</w:t>
      </w:r>
      <w:proofErr w:type="spellStart"/>
      <w:r w:rsidR="005C02AE">
        <w:rPr>
          <w:lang w:val="en-GB"/>
        </w:rPr>
        <w:t>E</w:t>
      </w:r>
      <w:r w:rsidR="005C02AE" w:rsidRPr="006F731F">
        <w:rPr>
          <w:vertAlign w:val="subscript"/>
          <w:lang w:val="en-GB"/>
        </w:rPr>
        <w:t>f</w:t>
      </w:r>
      <w:proofErr w:type="spellEnd"/>
      <w:r w:rsidR="005C02AE">
        <w:rPr>
          <w:lang w:val="en-GB"/>
        </w:rPr>
        <w:t xml:space="preserve"> = E</w:t>
      </w:r>
      <w:r w:rsidR="005C02AE" w:rsidRPr="006F731F">
        <w:rPr>
          <w:vertAlign w:val="subscript"/>
          <w:lang w:val="en-GB"/>
        </w:rPr>
        <w:t>PNC</w:t>
      </w:r>
      <w:r w:rsidR="005C02AE">
        <w:rPr>
          <w:lang w:val="en-GB"/>
        </w:rPr>
        <w:t>/</w:t>
      </w:r>
      <w:proofErr w:type="spellStart"/>
      <w:r w:rsidR="005C02AE">
        <w:rPr>
          <w:lang w:val="en-GB"/>
        </w:rPr>
        <w:t>E</w:t>
      </w:r>
      <w:r w:rsidR="005C02AE" w:rsidRPr="006F731F">
        <w:rPr>
          <w:vertAlign w:val="subscript"/>
          <w:lang w:val="en-GB"/>
        </w:rPr>
        <w:t>matrix</w:t>
      </w:r>
      <w:proofErr w:type="spellEnd"/>
      <w:r w:rsidR="005C02AE">
        <w:rPr>
          <w:lang w:val="en-GB"/>
        </w:rPr>
        <w:t xml:space="preserve">) </w:t>
      </w:r>
      <w:r w:rsidR="006F731F">
        <w:rPr>
          <w:lang w:val="en-GB"/>
        </w:rPr>
        <w:t xml:space="preserve">of 1.2, 1.4, and 1.5 at 5%, 10% and 15% </w:t>
      </w:r>
      <w:proofErr w:type="spellStart"/>
      <w:r w:rsidR="00E57E05">
        <w:rPr>
          <w:lang w:val="en-GB"/>
        </w:rPr>
        <w:t>wt</w:t>
      </w:r>
      <w:proofErr w:type="spellEnd"/>
      <w:r w:rsidR="00E57E05">
        <w:rPr>
          <w:lang w:val="en-GB"/>
        </w:rPr>
        <w:t>/</w:t>
      </w:r>
      <w:proofErr w:type="spellStart"/>
      <w:r w:rsidR="00E57E05">
        <w:rPr>
          <w:lang w:val="en-GB"/>
        </w:rPr>
        <w:t>wt</w:t>
      </w:r>
      <w:proofErr w:type="spellEnd"/>
      <w:r w:rsidR="00E57E05">
        <w:rPr>
          <w:lang w:val="en-GB"/>
        </w:rPr>
        <w:t xml:space="preserve"> </w:t>
      </w:r>
      <w:r w:rsidR="006F731F">
        <w:rPr>
          <w:lang w:val="en-GB"/>
        </w:rPr>
        <w:t xml:space="preserve">CF loading, respectively. On the other hand, the glass transition temperature </w:t>
      </w:r>
      <w:proofErr w:type="spellStart"/>
      <w:r w:rsidR="006F731F">
        <w:rPr>
          <w:lang w:val="en-GB"/>
        </w:rPr>
        <w:t>T</w:t>
      </w:r>
      <w:r w:rsidR="006F731F" w:rsidRPr="006F731F">
        <w:rPr>
          <w:vertAlign w:val="subscript"/>
          <w:lang w:val="en-GB"/>
        </w:rPr>
        <w:t>g</w:t>
      </w:r>
      <w:proofErr w:type="spellEnd"/>
      <w:r w:rsidR="006F731F">
        <w:rPr>
          <w:lang w:val="en-GB"/>
        </w:rPr>
        <w:t xml:space="preserve"> of PEEK - the fundamental KPI strictly connected with process and manufacturing parameters – is practically unaffected by the addition of the three different CF amounts, as shown in Figure 1B.</w:t>
      </w:r>
      <w:r w:rsidR="005C02AE">
        <w:rPr>
          <w:lang w:val="en-GB"/>
        </w:rPr>
        <w:t xml:space="preserve"> </w:t>
      </w:r>
      <w:r w:rsidR="005C02AE" w:rsidRPr="005C02AE">
        <w:rPr>
          <w:lang w:val="en-GB"/>
        </w:rPr>
        <w:t xml:space="preserve">This evidence indicates that the </w:t>
      </w:r>
      <w:r w:rsidR="005C02AE">
        <w:rPr>
          <w:lang w:val="en-GB"/>
        </w:rPr>
        <w:t>carbon</w:t>
      </w:r>
      <w:r w:rsidR="005C02AE" w:rsidRPr="005C02AE">
        <w:rPr>
          <w:lang w:val="en-GB"/>
        </w:rPr>
        <w:t xml:space="preserve"> fibres can be interspersed within the polymeric matrix without inducing significant perturbations in its molecular structure</w:t>
      </w:r>
      <w:r w:rsidR="005C02AE">
        <w:rPr>
          <w:lang w:val="en-GB"/>
        </w:rPr>
        <w:t xml:space="preserve"> up to the desired maximum amount of 15% </w:t>
      </w:r>
      <w:proofErr w:type="spellStart"/>
      <w:r w:rsidR="005C02AE">
        <w:rPr>
          <w:lang w:val="en-GB"/>
        </w:rPr>
        <w:t>wt</w:t>
      </w:r>
      <w:proofErr w:type="spellEnd"/>
      <w:r w:rsidR="005C02AE">
        <w:rPr>
          <w:lang w:val="en-GB"/>
        </w:rPr>
        <w:t>/wt.</w:t>
      </w:r>
      <w:r w:rsidR="00D0469D">
        <w:rPr>
          <w:lang w:val="en-GB"/>
        </w:rPr>
        <w:t xml:space="preserve"> </w:t>
      </w:r>
    </w:p>
    <w:p w14:paraId="6E82007F" w14:textId="77777777" w:rsidR="009D2ED7" w:rsidRDefault="009D2ED7" w:rsidP="00600535">
      <w:pPr>
        <w:pStyle w:val="CETBodytext"/>
        <w:rPr>
          <w:lang w:val="en-GB"/>
        </w:rPr>
      </w:pPr>
    </w:p>
    <w:p w14:paraId="0C59F3D0" w14:textId="77777777" w:rsidR="006F731F" w:rsidRDefault="006F731F" w:rsidP="00600535">
      <w:pPr>
        <w:pStyle w:val="CETBodytext"/>
        <w:rPr>
          <w:lang w:val="en-GB"/>
        </w:rPr>
      </w:pPr>
      <w:r>
        <w:rPr>
          <w:noProof/>
          <w:lang w:val="it-IT" w:eastAsia="it-IT"/>
        </w:rPr>
        <w:drawing>
          <wp:inline distT="0" distB="0" distL="0" distR="0" wp14:anchorId="31A65466" wp14:editId="55009CA1">
            <wp:extent cx="2109676" cy="1584218"/>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1785" cy="1593311"/>
                    </a:xfrm>
                    <a:prstGeom prst="rect">
                      <a:avLst/>
                    </a:prstGeom>
                  </pic:spPr>
                </pic:pic>
              </a:graphicData>
            </a:graphic>
          </wp:inline>
        </w:drawing>
      </w:r>
      <w:r>
        <w:rPr>
          <w:lang w:val="en-GB"/>
        </w:rPr>
        <w:tab/>
      </w:r>
      <w:r>
        <w:rPr>
          <w:noProof/>
          <w:lang w:val="it-IT" w:eastAsia="it-IT"/>
        </w:rPr>
        <w:drawing>
          <wp:inline distT="0" distB="0" distL="0" distR="0" wp14:anchorId="1385A295" wp14:editId="08BAFCA8">
            <wp:extent cx="2132825" cy="1581912"/>
            <wp:effectExtent l="0" t="0" r="127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2825" cy="1581912"/>
                    </a:xfrm>
                    <a:prstGeom prst="rect">
                      <a:avLst/>
                    </a:prstGeom>
                  </pic:spPr>
                </pic:pic>
              </a:graphicData>
            </a:graphic>
          </wp:inline>
        </w:drawing>
      </w:r>
    </w:p>
    <w:p w14:paraId="71EB26C9" w14:textId="77777777" w:rsidR="00980481" w:rsidRDefault="00980481" w:rsidP="00600535">
      <w:pPr>
        <w:pStyle w:val="CETBodytext"/>
        <w:rPr>
          <w:lang w:val="en-GB"/>
        </w:rPr>
      </w:pPr>
    </w:p>
    <w:p w14:paraId="653BDE02" w14:textId="77777777" w:rsidR="006F731F" w:rsidRPr="00FF1A25" w:rsidRDefault="006F731F" w:rsidP="00600535">
      <w:pPr>
        <w:pStyle w:val="CETBodytext"/>
        <w:rPr>
          <w:i/>
          <w:lang w:val="en-GB"/>
        </w:rPr>
      </w:pPr>
      <w:r w:rsidRPr="00FF1A25">
        <w:rPr>
          <w:i/>
          <w:lang w:val="en-GB"/>
        </w:rPr>
        <w:t xml:space="preserve">Figure 1. </w:t>
      </w:r>
      <w:r w:rsidR="00A03A9C" w:rsidRPr="00FF1A25">
        <w:rPr>
          <w:i/>
          <w:lang w:val="en-GB"/>
        </w:rPr>
        <w:t xml:space="preserve">Values of the Young modulus E (A) and of the glass transition temperature </w:t>
      </w:r>
      <w:proofErr w:type="spellStart"/>
      <w:r w:rsidR="00A03A9C" w:rsidRPr="00FF1A25">
        <w:rPr>
          <w:i/>
          <w:lang w:val="en-GB"/>
        </w:rPr>
        <w:t>T</w:t>
      </w:r>
      <w:r w:rsidR="00A03A9C" w:rsidRPr="00FF1A25">
        <w:rPr>
          <w:i/>
          <w:vertAlign w:val="subscript"/>
          <w:lang w:val="en-GB"/>
        </w:rPr>
        <w:t>g</w:t>
      </w:r>
      <w:proofErr w:type="spellEnd"/>
      <w:r w:rsidR="00A03A9C" w:rsidRPr="00FF1A25">
        <w:rPr>
          <w:i/>
          <w:lang w:val="en-GB"/>
        </w:rPr>
        <w:t xml:space="preserve"> (B) for polymer-based nanocomposite systems based on a PEEK matrix and different amounts (%</w:t>
      </w:r>
      <w:r w:rsidR="00E57E05" w:rsidRPr="00FF1A25">
        <w:rPr>
          <w:i/>
          <w:lang w:val="en-GB"/>
        </w:rPr>
        <w:t xml:space="preserve"> </w:t>
      </w:r>
      <w:proofErr w:type="spellStart"/>
      <w:r w:rsidR="00A03A9C" w:rsidRPr="00FF1A25">
        <w:rPr>
          <w:i/>
          <w:lang w:val="en-GB"/>
        </w:rPr>
        <w:t>wt</w:t>
      </w:r>
      <w:proofErr w:type="spellEnd"/>
      <w:r w:rsidR="00A03A9C" w:rsidRPr="00FF1A25">
        <w:rPr>
          <w:i/>
          <w:lang w:val="en-GB"/>
        </w:rPr>
        <w:t>/</w:t>
      </w:r>
      <w:proofErr w:type="spellStart"/>
      <w:r w:rsidR="00A03A9C" w:rsidRPr="00FF1A25">
        <w:rPr>
          <w:i/>
          <w:lang w:val="en-GB"/>
        </w:rPr>
        <w:t>wt</w:t>
      </w:r>
      <w:proofErr w:type="spellEnd"/>
      <w:r w:rsidR="00A03A9C" w:rsidRPr="00FF1A25">
        <w:rPr>
          <w:i/>
          <w:lang w:val="en-GB"/>
        </w:rPr>
        <w:t>) of carbon fibres (CFs) as obtained from atomistic molecular dynamics simulations.</w:t>
      </w:r>
    </w:p>
    <w:p w14:paraId="44C0EFA2" w14:textId="77777777" w:rsidR="00E57E05" w:rsidRPr="00B57B36" w:rsidRDefault="00E57E05" w:rsidP="00A35CAE">
      <w:pPr>
        <w:pStyle w:val="CETHeading1"/>
        <w:tabs>
          <w:tab w:val="clear" w:pos="360"/>
          <w:tab w:val="right" w:pos="7100"/>
        </w:tabs>
        <w:jc w:val="both"/>
        <w:rPr>
          <w:lang w:val="en-GB"/>
        </w:rPr>
      </w:pPr>
      <w:r>
        <w:rPr>
          <w:lang w:val="en-GB"/>
        </w:rPr>
        <w:t>The DOW case study</w:t>
      </w:r>
    </w:p>
    <w:p w14:paraId="38B5EBD3" w14:textId="40C5A3F6" w:rsidR="00600535" w:rsidRDefault="003638E0" w:rsidP="00600535">
      <w:pPr>
        <w:pStyle w:val="CETBodytext"/>
        <w:rPr>
          <w:lang w:val="en-GB"/>
        </w:rPr>
      </w:pPr>
      <w:r>
        <w:rPr>
          <w:lang w:val="en-GB"/>
        </w:rPr>
        <w:t xml:space="preserve">Leaf-spring design for the automotive industry is a particularly active field of research having material selection as one of the main goals. In fact, the possibility of replacing steel with, e.g., PNCs might ultimately result in a substantial weight (up to 50%) and cost reduction (approximately 5 Euro/kg). At DOW Corporation, currently part of the leaf-spring is composed by a thermoset polymer, with </w:t>
      </w:r>
      <w:proofErr w:type="spellStart"/>
      <w:r>
        <w:rPr>
          <w:lang w:val="en-GB"/>
        </w:rPr>
        <w:t>diglycidyl</w:t>
      </w:r>
      <w:proofErr w:type="spellEnd"/>
      <w:r>
        <w:rPr>
          <w:lang w:val="en-GB"/>
        </w:rPr>
        <w:t xml:space="preserve"> ether</w:t>
      </w:r>
      <w:r w:rsidR="0044552B">
        <w:rPr>
          <w:lang w:val="en-GB"/>
        </w:rPr>
        <w:t xml:space="preserve"> </w:t>
      </w:r>
      <w:r>
        <w:rPr>
          <w:lang w:val="en-GB"/>
        </w:rPr>
        <w:t xml:space="preserve">of bisphenol A (DGEBA) as the resin and </w:t>
      </w:r>
      <w:proofErr w:type="spellStart"/>
      <w:r>
        <w:rPr>
          <w:lang w:val="en-GB"/>
        </w:rPr>
        <w:t>triethylenetriamine</w:t>
      </w:r>
      <w:proofErr w:type="spellEnd"/>
      <w:r>
        <w:rPr>
          <w:lang w:val="en-GB"/>
        </w:rPr>
        <w:t xml:space="preserve"> (TETA) as hardener. </w:t>
      </w:r>
      <w:r w:rsidR="0035051E">
        <w:rPr>
          <w:lang w:val="en-GB"/>
        </w:rPr>
        <w:t>The challenge posed to COMPOSELECTO</w:t>
      </w:r>
      <w:r w:rsidR="00EC2994">
        <w:rPr>
          <w:lang w:val="en-GB"/>
        </w:rPr>
        <w:t>R</w:t>
      </w:r>
      <w:r w:rsidR="0035051E">
        <w:rPr>
          <w:lang w:val="en-GB"/>
        </w:rPr>
        <w:t xml:space="preserve"> by DOW was then </w:t>
      </w:r>
      <w:r w:rsidR="00EC2994">
        <w:rPr>
          <w:lang w:val="en-GB"/>
        </w:rPr>
        <w:t>the following</w:t>
      </w:r>
      <w:r w:rsidR="0035051E">
        <w:rPr>
          <w:lang w:val="en-GB"/>
        </w:rPr>
        <w:t xml:space="preserve">: can computer simulation select the best among 5 </w:t>
      </w:r>
      <w:r w:rsidR="00EC2994">
        <w:rPr>
          <w:lang w:val="en-GB"/>
        </w:rPr>
        <w:t>different</w:t>
      </w:r>
      <w:r w:rsidR="0035051E">
        <w:rPr>
          <w:lang w:val="en-GB"/>
        </w:rPr>
        <w:t xml:space="preserve"> </w:t>
      </w:r>
      <w:r w:rsidR="00EC2994">
        <w:rPr>
          <w:lang w:val="en-GB"/>
        </w:rPr>
        <w:t xml:space="preserve">suggested hardeners </w:t>
      </w:r>
      <w:r w:rsidR="00CA59CE">
        <w:rPr>
          <w:lang w:val="en-GB"/>
        </w:rPr>
        <w:t>(</w:t>
      </w:r>
      <w:r w:rsidR="008454F8">
        <w:rPr>
          <w:lang w:val="en-GB"/>
        </w:rPr>
        <w:t xml:space="preserve">i.e., ethylenediamine (ETA), </w:t>
      </w:r>
      <w:proofErr w:type="spellStart"/>
      <w:r w:rsidR="008454F8">
        <w:rPr>
          <w:lang w:val="en-GB"/>
        </w:rPr>
        <w:t>diethyelentriamine</w:t>
      </w:r>
      <w:proofErr w:type="spellEnd"/>
      <w:r w:rsidR="008454F8">
        <w:rPr>
          <w:lang w:val="en-GB"/>
        </w:rPr>
        <w:t xml:space="preserve"> (DETA), </w:t>
      </w:r>
      <w:proofErr w:type="spellStart"/>
      <w:r w:rsidR="008454F8">
        <w:rPr>
          <w:lang w:val="en-GB"/>
        </w:rPr>
        <w:t>tetraethylenepentamine</w:t>
      </w:r>
      <w:proofErr w:type="spellEnd"/>
      <w:r w:rsidR="008454F8">
        <w:rPr>
          <w:lang w:val="en-GB"/>
        </w:rPr>
        <w:t xml:space="preserve"> (TEPA), 1-(2-</w:t>
      </w:r>
      <w:r w:rsidR="008454F8">
        <w:rPr>
          <w:lang w:val="en-GB"/>
        </w:rPr>
        <w:lastRenderedPageBreak/>
        <w:t xml:space="preserve">aminoethyl)piperazine (AEP), and </w:t>
      </w:r>
      <w:proofErr w:type="spellStart"/>
      <w:r w:rsidR="008454F8">
        <w:rPr>
          <w:lang w:val="en-GB"/>
        </w:rPr>
        <w:t>isophorone</w:t>
      </w:r>
      <w:proofErr w:type="spellEnd"/>
      <w:r w:rsidR="008454F8">
        <w:rPr>
          <w:lang w:val="en-GB"/>
        </w:rPr>
        <w:t xml:space="preserve"> diamine (IPD)) </w:t>
      </w:r>
      <w:r w:rsidR="00EC2994">
        <w:rPr>
          <w:lang w:val="en-GB"/>
        </w:rPr>
        <w:t>as a replacement to TETA? To a</w:t>
      </w:r>
      <w:r w:rsidR="008454F8">
        <w:rPr>
          <w:lang w:val="en-GB"/>
        </w:rPr>
        <w:t xml:space="preserve">nswer the industrial question, again </w:t>
      </w:r>
      <w:r w:rsidR="00E15E69">
        <w:rPr>
          <w:lang w:val="en-GB"/>
        </w:rPr>
        <w:t>MD</w:t>
      </w:r>
      <w:r w:rsidR="008454F8">
        <w:rPr>
          <w:lang w:val="en-GB"/>
        </w:rPr>
        <w:t xml:space="preserve"> simulations </w:t>
      </w:r>
      <w:r w:rsidR="00F77983">
        <w:rPr>
          <w:lang w:val="en-GB"/>
        </w:rPr>
        <w:t xml:space="preserve">based on the adaptation of computational recipes developed for similar systems </w:t>
      </w:r>
      <w:r w:rsidR="008454F8">
        <w:rPr>
          <w:lang w:val="en-GB"/>
        </w:rPr>
        <w:t>were performed (</w:t>
      </w:r>
      <w:r w:rsidR="00F0315C" w:rsidRPr="00F0315C">
        <w:rPr>
          <w:lang w:val="en-GB"/>
        </w:rPr>
        <w:t xml:space="preserve">Karimi et al., 2018; </w:t>
      </w:r>
      <w:proofErr w:type="spellStart"/>
      <w:r w:rsidR="00F0315C">
        <w:rPr>
          <w:lang w:val="en-GB"/>
        </w:rPr>
        <w:t>Laurini</w:t>
      </w:r>
      <w:proofErr w:type="spellEnd"/>
      <w:r w:rsidR="00F0315C">
        <w:rPr>
          <w:lang w:val="en-GB"/>
        </w:rPr>
        <w:t xml:space="preserve"> et al., 2016; </w:t>
      </w:r>
      <w:proofErr w:type="spellStart"/>
      <w:r w:rsidR="00F0315C">
        <w:rPr>
          <w:lang w:val="en-GB"/>
        </w:rPr>
        <w:t>Piscitelli</w:t>
      </w:r>
      <w:proofErr w:type="spellEnd"/>
      <w:r w:rsidR="00F0315C">
        <w:rPr>
          <w:lang w:val="en-GB"/>
        </w:rPr>
        <w:t xml:space="preserve"> et al., 2015; </w:t>
      </w:r>
      <w:proofErr w:type="spellStart"/>
      <w:r w:rsidR="00F0315C">
        <w:rPr>
          <w:lang w:val="en-GB"/>
        </w:rPr>
        <w:t>Maly</w:t>
      </w:r>
      <w:proofErr w:type="spellEnd"/>
      <w:r w:rsidR="00F0315C">
        <w:rPr>
          <w:lang w:val="en-GB"/>
        </w:rPr>
        <w:t xml:space="preserve"> et a</w:t>
      </w:r>
      <w:r w:rsidR="00560922">
        <w:rPr>
          <w:lang w:val="en-GB"/>
        </w:rPr>
        <w:t>l., 2008</w:t>
      </w:r>
      <w:r w:rsidR="00E22137">
        <w:rPr>
          <w:lang w:val="en-GB"/>
        </w:rPr>
        <w:t>a</w:t>
      </w:r>
      <w:r w:rsidR="00560922">
        <w:rPr>
          <w:lang w:val="en-GB"/>
        </w:rPr>
        <w:t>)</w:t>
      </w:r>
      <w:r w:rsidR="008454F8" w:rsidRPr="00F0315C">
        <w:rPr>
          <w:lang w:val="en-GB"/>
        </w:rPr>
        <w:t xml:space="preserve"> to evaluate</w:t>
      </w:r>
      <w:r w:rsidR="008454F8">
        <w:rPr>
          <w:lang w:val="en-GB"/>
        </w:rPr>
        <w:t xml:space="preserve"> the following properties of the corresponding fully cured (85%) resins: density at room temperature, </w:t>
      </w:r>
      <w:proofErr w:type="spellStart"/>
      <w:r w:rsidR="008454F8">
        <w:rPr>
          <w:lang w:val="en-GB"/>
        </w:rPr>
        <w:t>T</w:t>
      </w:r>
      <w:r w:rsidR="008454F8" w:rsidRPr="008454F8">
        <w:rPr>
          <w:vertAlign w:val="subscript"/>
          <w:lang w:val="en-GB"/>
        </w:rPr>
        <w:t>g</w:t>
      </w:r>
      <w:proofErr w:type="spellEnd"/>
      <w:r w:rsidR="008454F8">
        <w:rPr>
          <w:lang w:val="en-GB"/>
        </w:rPr>
        <w:t>, Young modulus E, stress and strain at break.</w:t>
      </w:r>
      <w:r w:rsidR="00980481">
        <w:rPr>
          <w:lang w:val="en-GB"/>
        </w:rPr>
        <w:t xml:space="preserve"> All results are shown in Figure 2.</w:t>
      </w:r>
    </w:p>
    <w:p w14:paraId="3624CC8E" w14:textId="77777777" w:rsidR="00980481" w:rsidRDefault="00980481" w:rsidP="00600535">
      <w:pPr>
        <w:pStyle w:val="CETBodytext"/>
        <w:rPr>
          <w:lang w:val="en-GB"/>
        </w:rPr>
      </w:pPr>
    </w:p>
    <w:p w14:paraId="3CC82154" w14:textId="77777777" w:rsidR="00980481" w:rsidRDefault="00980481" w:rsidP="00600535">
      <w:pPr>
        <w:pStyle w:val="CETBodytext"/>
        <w:rPr>
          <w:lang w:val="en-GB"/>
        </w:rPr>
      </w:pPr>
      <w:r>
        <w:rPr>
          <w:noProof/>
          <w:lang w:val="it-IT" w:eastAsia="it-IT"/>
        </w:rPr>
        <w:drawing>
          <wp:inline distT="0" distB="0" distL="0" distR="0" wp14:anchorId="087B7A4C" wp14:editId="040F711B">
            <wp:extent cx="1745150" cy="146304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nsit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5150" cy="1463040"/>
                    </a:xfrm>
                    <a:prstGeom prst="rect">
                      <a:avLst/>
                    </a:prstGeom>
                  </pic:spPr>
                </pic:pic>
              </a:graphicData>
            </a:graphic>
          </wp:inline>
        </w:drawing>
      </w:r>
      <w:r>
        <w:rPr>
          <w:lang w:val="en-GB"/>
        </w:rPr>
        <w:t xml:space="preserve">  </w:t>
      </w:r>
      <w:r>
        <w:rPr>
          <w:noProof/>
          <w:lang w:val="it-IT" w:eastAsia="it-IT"/>
        </w:rPr>
        <w:drawing>
          <wp:inline distT="0" distB="0" distL="0" distR="0" wp14:anchorId="5F72D4D3" wp14:editId="535B8F73">
            <wp:extent cx="1764833" cy="1463040"/>
            <wp:effectExtent l="0" t="0" r="63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gD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4833" cy="1463040"/>
                    </a:xfrm>
                    <a:prstGeom prst="rect">
                      <a:avLst/>
                    </a:prstGeom>
                  </pic:spPr>
                </pic:pic>
              </a:graphicData>
            </a:graphic>
          </wp:inline>
        </w:drawing>
      </w:r>
      <w:r>
        <w:rPr>
          <w:lang w:val="en-GB"/>
        </w:rPr>
        <w:t xml:space="preserve">  </w:t>
      </w:r>
      <w:r>
        <w:rPr>
          <w:noProof/>
          <w:lang w:val="it-IT" w:eastAsia="it-IT"/>
        </w:rPr>
        <w:drawing>
          <wp:inline distT="0" distB="0" distL="0" distR="0" wp14:anchorId="7A9AFEB9" wp14:editId="272AF825">
            <wp:extent cx="1679544" cy="146304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oungdo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9544" cy="1463040"/>
                    </a:xfrm>
                    <a:prstGeom prst="rect">
                      <a:avLst/>
                    </a:prstGeom>
                  </pic:spPr>
                </pic:pic>
              </a:graphicData>
            </a:graphic>
          </wp:inline>
        </w:drawing>
      </w:r>
    </w:p>
    <w:p w14:paraId="64B360C4" w14:textId="77777777" w:rsidR="00980481" w:rsidRDefault="00980481" w:rsidP="00600535">
      <w:pPr>
        <w:pStyle w:val="CETBodytext"/>
        <w:rPr>
          <w:lang w:val="en-GB"/>
        </w:rPr>
      </w:pPr>
      <w:r>
        <w:rPr>
          <w:noProof/>
          <w:lang w:val="it-IT" w:eastAsia="it-IT"/>
        </w:rPr>
        <w:drawing>
          <wp:inline distT="0" distB="0" distL="0" distR="0" wp14:anchorId="367E5D83" wp14:editId="28D63BAA">
            <wp:extent cx="1725468" cy="1463040"/>
            <wp:effectExtent l="0" t="0" r="190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ress@brea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25468" cy="1463040"/>
                    </a:xfrm>
                    <a:prstGeom prst="rect">
                      <a:avLst/>
                    </a:prstGeom>
                  </pic:spPr>
                </pic:pic>
              </a:graphicData>
            </a:graphic>
          </wp:inline>
        </w:drawing>
      </w:r>
      <w:r>
        <w:rPr>
          <w:lang w:val="en-GB"/>
        </w:rPr>
        <w:t xml:space="preserve">  </w:t>
      </w:r>
      <w:r>
        <w:rPr>
          <w:noProof/>
          <w:lang w:val="it-IT" w:eastAsia="it-IT"/>
        </w:rPr>
        <w:drawing>
          <wp:inline distT="0" distB="0" distL="0" distR="0" wp14:anchorId="3DBBB0C4" wp14:editId="64791808">
            <wp:extent cx="1679543" cy="146304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rain@brea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9543" cy="1463040"/>
                    </a:xfrm>
                    <a:prstGeom prst="rect">
                      <a:avLst/>
                    </a:prstGeom>
                  </pic:spPr>
                </pic:pic>
              </a:graphicData>
            </a:graphic>
          </wp:inline>
        </w:drawing>
      </w:r>
    </w:p>
    <w:p w14:paraId="50942375" w14:textId="77777777" w:rsidR="00980481" w:rsidRDefault="00980481" w:rsidP="00600535">
      <w:pPr>
        <w:pStyle w:val="CETBodytext"/>
        <w:rPr>
          <w:lang w:val="en-GB"/>
        </w:rPr>
      </w:pPr>
    </w:p>
    <w:p w14:paraId="5E211AB1" w14:textId="77777777" w:rsidR="00980481" w:rsidRPr="00FF1A25" w:rsidRDefault="00980481" w:rsidP="00980481">
      <w:pPr>
        <w:pStyle w:val="CETBodytext"/>
        <w:rPr>
          <w:i/>
          <w:lang w:val="en-GB"/>
        </w:rPr>
      </w:pPr>
      <w:r w:rsidRPr="00FF1A25">
        <w:rPr>
          <w:i/>
          <w:lang w:val="en-GB"/>
        </w:rPr>
        <w:t xml:space="preserve">Figure 2. Values of the </w:t>
      </w:r>
      <w:r w:rsidR="00763E79" w:rsidRPr="00FF1A25">
        <w:rPr>
          <w:i/>
          <w:lang w:val="en-GB"/>
        </w:rPr>
        <w:t>density d at 25</w:t>
      </w:r>
      <w:r w:rsidR="00763E79" w:rsidRPr="00FF1A25">
        <w:rPr>
          <w:rFonts w:cs="Arial"/>
          <w:i/>
          <w:lang w:val="en-GB"/>
        </w:rPr>
        <w:t>º</w:t>
      </w:r>
      <w:r w:rsidR="00763E79" w:rsidRPr="00FF1A25">
        <w:rPr>
          <w:i/>
          <w:lang w:val="en-GB"/>
        </w:rPr>
        <w:t xml:space="preserve">C (A), glass transition temperature </w:t>
      </w:r>
      <w:proofErr w:type="spellStart"/>
      <w:r w:rsidR="00763E79" w:rsidRPr="00FF1A25">
        <w:rPr>
          <w:i/>
          <w:lang w:val="en-GB"/>
        </w:rPr>
        <w:t>T</w:t>
      </w:r>
      <w:r w:rsidR="00763E79" w:rsidRPr="00FF1A25">
        <w:rPr>
          <w:i/>
          <w:vertAlign w:val="subscript"/>
          <w:lang w:val="en-GB"/>
        </w:rPr>
        <w:t>g</w:t>
      </w:r>
      <w:proofErr w:type="spellEnd"/>
      <w:r w:rsidR="00763E79" w:rsidRPr="00FF1A25">
        <w:rPr>
          <w:i/>
          <w:lang w:val="en-GB"/>
        </w:rPr>
        <w:t xml:space="preserve"> (B), </w:t>
      </w:r>
      <w:r w:rsidRPr="00FF1A25">
        <w:rPr>
          <w:i/>
          <w:lang w:val="en-GB"/>
        </w:rPr>
        <w:t>Young modulus E (</w:t>
      </w:r>
      <w:r w:rsidR="00763E79" w:rsidRPr="00FF1A25">
        <w:rPr>
          <w:i/>
          <w:lang w:val="en-GB"/>
        </w:rPr>
        <w:t>C</w:t>
      </w:r>
      <w:r w:rsidRPr="00FF1A25">
        <w:rPr>
          <w:i/>
          <w:lang w:val="en-GB"/>
        </w:rPr>
        <w:t>)</w:t>
      </w:r>
      <w:r w:rsidR="00763E79" w:rsidRPr="00FF1A25">
        <w:rPr>
          <w:i/>
          <w:lang w:val="en-GB"/>
        </w:rPr>
        <w:t xml:space="preserve">, stress at break </w:t>
      </w:r>
      <w:r w:rsidR="009F0DA4" w:rsidRPr="00FF1A25">
        <w:rPr>
          <w:rFonts w:ascii="Symbol" w:hAnsi="Symbol"/>
          <w:i/>
          <w:lang w:val="en-GB"/>
        </w:rPr>
        <w:t></w:t>
      </w:r>
      <w:r w:rsidR="009F0DA4" w:rsidRPr="00FF1A25">
        <w:rPr>
          <w:i/>
          <w:vertAlign w:val="subscript"/>
          <w:lang w:val="en-GB"/>
        </w:rPr>
        <w:t>b</w:t>
      </w:r>
      <w:r w:rsidR="009F0DA4" w:rsidRPr="00FF1A25">
        <w:rPr>
          <w:i/>
          <w:lang w:val="en-GB"/>
        </w:rPr>
        <w:t xml:space="preserve"> </w:t>
      </w:r>
      <w:r w:rsidR="00763E79" w:rsidRPr="00FF1A25">
        <w:rPr>
          <w:i/>
          <w:lang w:val="en-GB"/>
        </w:rPr>
        <w:t xml:space="preserve">(D) and strain at break </w:t>
      </w:r>
      <w:r w:rsidR="009F0DA4" w:rsidRPr="00FF1A25">
        <w:rPr>
          <w:rFonts w:ascii="Symbol" w:hAnsi="Symbol"/>
          <w:i/>
          <w:lang w:val="en-GB"/>
        </w:rPr>
        <w:t></w:t>
      </w:r>
      <w:r w:rsidR="009F0DA4" w:rsidRPr="00FF1A25">
        <w:rPr>
          <w:i/>
          <w:vertAlign w:val="subscript"/>
          <w:lang w:val="en-GB"/>
        </w:rPr>
        <w:t>b</w:t>
      </w:r>
      <w:r w:rsidR="009F0DA4" w:rsidRPr="00FF1A25">
        <w:rPr>
          <w:i/>
          <w:lang w:val="en-GB"/>
        </w:rPr>
        <w:t xml:space="preserve"> </w:t>
      </w:r>
      <w:r w:rsidR="00763E79" w:rsidRPr="00FF1A25">
        <w:rPr>
          <w:i/>
          <w:lang w:val="en-GB"/>
        </w:rPr>
        <w:t xml:space="preserve">(E) for a fully cured (85%) DGEBA resin as a function of different curing agents </w:t>
      </w:r>
      <w:r w:rsidRPr="00FF1A25">
        <w:rPr>
          <w:i/>
          <w:lang w:val="en-GB"/>
        </w:rPr>
        <w:t>as obtained from atomistic molecular dynamics simulations.</w:t>
      </w:r>
    </w:p>
    <w:p w14:paraId="3709D450" w14:textId="77777777" w:rsidR="00980481" w:rsidRDefault="00980481" w:rsidP="00600535">
      <w:pPr>
        <w:pStyle w:val="CETBodytext"/>
        <w:rPr>
          <w:lang w:val="en-GB"/>
        </w:rPr>
      </w:pPr>
    </w:p>
    <w:p w14:paraId="0F22DD01" w14:textId="77777777" w:rsidR="005D2D99" w:rsidRDefault="00782222" w:rsidP="003008F5">
      <w:pPr>
        <w:pStyle w:val="CETBodytext"/>
      </w:pPr>
      <w:r>
        <w:rPr>
          <w:lang w:val="en-GB"/>
        </w:rPr>
        <w:t xml:space="preserve">As seen in Figure </w:t>
      </w:r>
      <w:r w:rsidR="00E956D1">
        <w:rPr>
          <w:lang w:val="en-GB"/>
        </w:rPr>
        <w:t>2</w:t>
      </w:r>
      <w:r>
        <w:rPr>
          <w:lang w:val="en-GB"/>
        </w:rPr>
        <w:t xml:space="preserve">A, the chemical nature of the different hardeners </w:t>
      </w:r>
      <w:r w:rsidR="00E956D1">
        <w:rPr>
          <w:lang w:val="en-GB"/>
        </w:rPr>
        <w:t>does</w:t>
      </w:r>
      <w:r>
        <w:rPr>
          <w:lang w:val="en-GB"/>
        </w:rPr>
        <w:t xml:space="preserve"> not affect the </w:t>
      </w:r>
      <w:r w:rsidR="006B4945">
        <w:rPr>
          <w:lang w:val="en-GB"/>
        </w:rPr>
        <w:t xml:space="preserve">density value of the relevant cured systems. On the other hand, </w:t>
      </w:r>
      <w:r w:rsidR="00E956D1">
        <w:rPr>
          <w:lang w:val="en-GB"/>
        </w:rPr>
        <w:t>f</w:t>
      </w:r>
      <w:r w:rsidR="00E956D1" w:rsidRPr="00E956D1">
        <w:rPr>
          <w:lang w:val="en-GB"/>
        </w:rPr>
        <w:t>or the series EDA-DETA-TETA-</w:t>
      </w:r>
      <w:r w:rsidR="00E956D1">
        <w:rPr>
          <w:lang w:val="en-GB"/>
        </w:rPr>
        <w:t>T</w:t>
      </w:r>
      <w:r w:rsidR="00E956D1" w:rsidRPr="00E956D1">
        <w:rPr>
          <w:lang w:val="en-GB"/>
        </w:rPr>
        <w:t xml:space="preserve">EPA </w:t>
      </w:r>
      <w:r w:rsidR="00E956D1">
        <w:rPr>
          <w:lang w:val="en-GB"/>
        </w:rPr>
        <w:t xml:space="preserve">the glass transition temperature slightly increases with increasing </w:t>
      </w:r>
      <w:r w:rsidR="00E956D1" w:rsidRPr="00E956D1">
        <w:rPr>
          <w:lang w:val="en-GB"/>
        </w:rPr>
        <w:t>amine linear chain and functionality</w:t>
      </w:r>
      <w:r w:rsidR="00E956D1">
        <w:rPr>
          <w:lang w:val="en-GB"/>
        </w:rPr>
        <w:t xml:space="preserve">, while for the last two, </w:t>
      </w:r>
      <w:r w:rsidR="00E956D1" w:rsidRPr="00E956D1">
        <w:rPr>
          <w:lang w:val="en-GB"/>
        </w:rPr>
        <w:t>cyclic amines (AEP and IPD)</w:t>
      </w:r>
      <w:r w:rsidR="00E956D1">
        <w:rPr>
          <w:lang w:val="en-GB"/>
        </w:rPr>
        <w:t>,</w:t>
      </w:r>
      <w:r w:rsidR="00E956D1" w:rsidRPr="00E956D1">
        <w:rPr>
          <w:lang w:val="en-GB"/>
        </w:rPr>
        <w:t xml:space="preserve"> </w:t>
      </w:r>
      <w:r w:rsidR="00E956D1">
        <w:rPr>
          <w:lang w:val="en-GB"/>
        </w:rPr>
        <w:t xml:space="preserve">a more prominent effect of the resulting network </w:t>
      </w:r>
      <w:r w:rsidR="00E956D1" w:rsidRPr="00E956D1">
        <w:rPr>
          <w:lang w:val="en-GB"/>
        </w:rPr>
        <w:t>packing density,</w:t>
      </w:r>
      <w:r w:rsidR="00E956D1">
        <w:rPr>
          <w:lang w:val="en-GB"/>
        </w:rPr>
        <w:t xml:space="preserve"> </w:t>
      </w:r>
      <w:r w:rsidR="00E956D1" w:rsidRPr="00E956D1">
        <w:rPr>
          <w:lang w:val="en-GB"/>
        </w:rPr>
        <w:t xml:space="preserve">related to initial functionality, </w:t>
      </w:r>
      <w:r w:rsidR="00E956D1">
        <w:rPr>
          <w:lang w:val="en-GB"/>
        </w:rPr>
        <w:t>seems to</w:t>
      </w:r>
      <w:r w:rsidR="00E956D1" w:rsidRPr="00E956D1">
        <w:rPr>
          <w:lang w:val="en-GB"/>
        </w:rPr>
        <w:t xml:space="preserve"> </w:t>
      </w:r>
      <w:r w:rsidR="00E956D1">
        <w:rPr>
          <w:lang w:val="en-GB"/>
        </w:rPr>
        <w:t>rule</w:t>
      </w:r>
      <w:r w:rsidR="00E956D1" w:rsidRPr="00E956D1">
        <w:rPr>
          <w:lang w:val="en-GB"/>
        </w:rPr>
        <w:t xml:space="preserve"> the</w:t>
      </w:r>
      <w:r w:rsidR="00E956D1">
        <w:rPr>
          <w:lang w:val="en-GB"/>
        </w:rPr>
        <w:t xml:space="preserve"> </w:t>
      </w:r>
      <w:r w:rsidR="00E956D1" w:rsidRPr="00E956D1">
        <w:rPr>
          <w:lang w:val="en-GB"/>
        </w:rPr>
        <w:t>network stiffness</w:t>
      </w:r>
      <w:r w:rsidR="00E956D1">
        <w:rPr>
          <w:lang w:val="en-GB"/>
        </w:rPr>
        <w:t xml:space="preserve"> and, hence, its </w:t>
      </w:r>
      <w:proofErr w:type="spellStart"/>
      <w:r w:rsidR="00E956D1">
        <w:rPr>
          <w:lang w:val="en-GB"/>
        </w:rPr>
        <w:t>T</w:t>
      </w:r>
      <w:r w:rsidR="00E956D1" w:rsidRPr="00E956D1">
        <w:rPr>
          <w:vertAlign w:val="subscript"/>
          <w:lang w:val="en-GB"/>
        </w:rPr>
        <w:t>g</w:t>
      </w:r>
      <w:proofErr w:type="spellEnd"/>
      <w:r w:rsidR="00E956D1">
        <w:rPr>
          <w:lang w:val="en-GB"/>
        </w:rPr>
        <w:t xml:space="preserve"> value (Figure 2B).</w:t>
      </w:r>
      <w:r w:rsidR="002958B1">
        <w:rPr>
          <w:lang w:val="en-GB"/>
        </w:rPr>
        <w:t xml:space="preserve"> Form </w:t>
      </w:r>
      <w:r w:rsidR="002958B1" w:rsidRPr="002958B1">
        <w:rPr>
          <w:lang w:val="en-GB"/>
        </w:rPr>
        <w:t xml:space="preserve">Figure </w:t>
      </w:r>
      <w:r w:rsidR="002958B1">
        <w:rPr>
          <w:lang w:val="en-GB"/>
        </w:rPr>
        <w:t>2C</w:t>
      </w:r>
      <w:r w:rsidR="002958B1" w:rsidRPr="002958B1">
        <w:rPr>
          <w:lang w:val="en-GB"/>
        </w:rPr>
        <w:t xml:space="preserve"> it can be observed that</w:t>
      </w:r>
      <w:r w:rsidR="003008F5">
        <w:rPr>
          <w:lang w:val="en-GB"/>
        </w:rPr>
        <w:t>,</w:t>
      </w:r>
      <w:r w:rsidR="002958B1" w:rsidRPr="002958B1">
        <w:rPr>
          <w:lang w:val="en-GB"/>
        </w:rPr>
        <w:t xml:space="preserve"> </w:t>
      </w:r>
      <w:r w:rsidR="003008F5">
        <w:rPr>
          <w:lang w:val="en-GB"/>
        </w:rPr>
        <w:t>fo</w:t>
      </w:r>
      <w:r w:rsidR="003008F5" w:rsidRPr="003008F5">
        <w:rPr>
          <w:lang w:val="en-GB"/>
        </w:rPr>
        <w:t xml:space="preserve">r </w:t>
      </w:r>
      <w:r w:rsidR="003008F5">
        <w:rPr>
          <w:lang w:val="en-GB"/>
        </w:rPr>
        <w:t xml:space="preserve">the </w:t>
      </w:r>
      <w:r w:rsidR="003008F5" w:rsidRPr="003008F5">
        <w:rPr>
          <w:lang w:val="en-GB"/>
        </w:rPr>
        <w:t>networks based</w:t>
      </w:r>
      <w:r w:rsidR="003008F5">
        <w:rPr>
          <w:lang w:val="en-GB"/>
        </w:rPr>
        <w:t xml:space="preserve"> </w:t>
      </w:r>
      <w:r w:rsidR="003008F5" w:rsidRPr="003008F5">
        <w:rPr>
          <w:lang w:val="en-GB"/>
        </w:rPr>
        <w:t xml:space="preserve">on the series of </w:t>
      </w:r>
      <w:proofErr w:type="spellStart"/>
      <w:r w:rsidR="003008F5" w:rsidRPr="003008F5">
        <w:rPr>
          <w:lang w:val="en-GB"/>
        </w:rPr>
        <w:t>ethyleneamines</w:t>
      </w:r>
      <w:proofErr w:type="spellEnd"/>
      <w:r w:rsidR="003008F5" w:rsidRPr="003008F5">
        <w:rPr>
          <w:lang w:val="en-GB"/>
        </w:rPr>
        <w:t xml:space="preserve">, </w:t>
      </w:r>
      <w:r w:rsidR="003008F5">
        <w:rPr>
          <w:lang w:val="en-GB"/>
        </w:rPr>
        <w:t>EDA</w:t>
      </w:r>
      <w:r w:rsidR="003008F5" w:rsidRPr="003008F5">
        <w:rPr>
          <w:lang w:val="en-GB"/>
        </w:rPr>
        <w:t xml:space="preserve"> show</w:t>
      </w:r>
      <w:r w:rsidR="00AB52EE">
        <w:rPr>
          <w:lang w:val="en-GB"/>
        </w:rPr>
        <w:t>s</w:t>
      </w:r>
      <w:r w:rsidR="003008F5" w:rsidRPr="003008F5">
        <w:rPr>
          <w:lang w:val="en-GB"/>
        </w:rPr>
        <w:t xml:space="preserve"> the</w:t>
      </w:r>
      <w:r w:rsidR="003008F5">
        <w:rPr>
          <w:lang w:val="en-GB"/>
        </w:rPr>
        <w:t xml:space="preserve"> </w:t>
      </w:r>
      <w:r w:rsidR="003008F5" w:rsidRPr="003008F5">
        <w:rPr>
          <w:lang w:val="en-GB"/>
        </w:rPr>
        <w:t xml:space="preserve">highest </w:t>
      </w:r>
      <w:r w:rsidR="003008F5">
        <w:rPr>
          <w:lang w:val="en-GB"/>
        </w:rPr>
        <w:t xml:space="preserve">value of E, </w:t>
      </w:r>
      <w:r w:rsidR="003008F5" w:rsidRPr="003008F5">
        <w:rPr>
          <w:lang w:val="en-GB"/>
        </w:rPr>
        <w:t>while the lowest modulus is</w:t>
      </w:r>
      <w:r w:rsidR="003008F5">
        <w:rPr>
          <w:lang w:val="en-GB"/>
        </w:rPr>
        <w:t xml:space="preserve"> </w:t>
      </w:r>
      <w:r w:rsidR="003008F5" w:rsidRPr="003008F5">
        <w:rPr>
          <w:lang w:val="en-GB"/>
        </w:rPr>
        <w:t>observed for the network based on TEPA. These</w:t>
      </w:r>
      <w:r w:rsidR="003008F5">
        <w:rPr>
          <w:lang w:val="en-GB"/>
        </w:rPr>
        <w:t xml:space="preserve"> </w:t>
      </w:r>
      <w:r w:rsidR="003008F5" w:rsidRPr="003008F5">
        <w:rPr>
          <w:lang w:val="en-GB"/>
        </w:rPr>
        <w:t xml:space="preserve">results </w:t>
      </w:r>
      <w:r w:rsidR="000F1D36" w:rsidRPr="003008F5">
        <w:rPr>
          <w:lang w:val="en-GB"/>
        </w:rPr>
        <w:t>agree</w:t>
      </w:r>
      <w:r w:rsidR="000F1D36">
        <w:rPr>
          <w:lang w:val="en-GB"/>
        </w:rPr>
        <w:t xml:space="preserve"> with</w:t>
      </w:r>
      <w:r w:rsidR="003008F5" w:rsidRPr="003008F5">
        <w:rPr>
          <w:lang w:val="en-GB"/>
        </w:rPr>
        <w:t xml:space="preserve"> the fact that an increase of</w:t>
      </w:r>
      <w:r w:rsidR="003008F5">
        <w:rPr>
          <w:lang w:val="en-GB"/>
        </w:rPr>
        <w:t xml:space="preserve"> </w:t>
      </w:r>
      <w:r w:rsidR="003008F5" w:rsidRPr="003008F5">
        <w:rPr>
          <w:lang w:val="en-GB"/>
        </w:rPr>
        <w:t>functionality induces an increase in crosslinking density</w:t>
      </w:r>
      <w:r w:rsidR="003008F5">
        <w:rPr>
          <w:lang w:val="en-GB"/>
        </w:rPr>
        <w:t xml:space="preserve"> </w:t>
      </w:r>
      <w:r w:rsidR="003008F5" w:rsidRPr="003008F5">
        <w:rPr>
          <w:lang w:val="en-GB"/>
        </w:rPr>
        <w:t>and therefore the modulus decreases.</w:t>
      </w:r>
      <w:r w:rsidR="003008F5">
        <w:rPr>
          <w:lang w:val="en-GB"/>
        </w:rPr>
        <w:t xml:space="preserve"> For the cyclic series </w:t>
      </w:r>
      <w:r w:rsidR="003008F5" w:rsidRPr="003008F5">
        <w:rPr>
          <w:lang w:val="en-GB"/>
        </w:rPr>
        <w:t xml:space="preserve">(AEP and IPD) </w:t>
      </w:r>
      <w:r w:rsidR="003008F5">
        <w:rPr>
          <w:lang w:val="en-GB"/>
        </w:rPr>
        <w:t xml:space="preserve">an opposite trend is observed as </w:t>
      </w:r>
      <w:r w:rsidR="003008F5" w:rsidRPr="003008F5">
        <w:rPr>
          <w:lang w:val="en-GB"/>
        </w:rPr>
        <w:t>IPD</w:t>
      </w:r>
      <w:r w:rsidR="003008F5">
        <w:rPr>
          <w:lang w:val="en-GB"/>
        </w:rPr>
        <w:t xml:space="preserve">, characterized by a higher functionality with respect to </w:t>
      </w:r>
      <w:r w:rsidR="003008F5" w:rsidRPr="003008F5">
        <w:rPr>
          <w:lang w:val="en-GB"/>
        </w:rPr>
        <w:t xml:space="preserve">AEP, </w:t>
      </w:r>
      <w:r w:rsidR="003008F5">
        <w:rPr>
          <w:lang w:val="en-GB"/>
        </w:rPr>
        <w:t xml:space="preserve">exhibits a higher value of the </w:t>
      </w:r>
      <w:r w:rsidR="00B84926">
        <w:rPr>
          <w:lang w:val="en-GB"/>
        </w:rPr>
        <w:t>Young modulus at room temperature</w:t>
      </w:r>
      <w:r w:rsidR="000F1D36">
        <w:rPr>
          <w:lang w:val="en-GB"/>
        </w:rPr>
        <w:t xml:space="preserve">, likely by virtue of the higher </w:t>
      </w:r>
      <w:proofErr w:type="spellStart"/>
      <w:r w:rsidR="000F1D36">
        <w:rPr>
          <w:lang w:val="en-GB"/>
        </w:rPr>
        <w:t>T</w:t>
      </w:r>
      <w:r w:rsidR="000F1D36" w:rsidRPr="000F1D36">
        <w:rPr>
          <w:vertAlign w:val="subscript"/>
          <w:lang w:val="en-GB"/>
        </w:rPr>
        <w:t>g</w:t>
      </w:r>
      <w:proofErr w:type="spellEnd"/>
      <w:r w:rsidR="000F1D36">
        <w:rPr>
          <w:lang w:val="en-GB"/>
        </w:rPr>
        <w:t xml:space="preserve"> value and the higher molecular rigidity of the </w:t>
      </w:r>
      <w:proofErr w:type="spellStart"/>
      <w:r w:rsidR="000F1D36">
        <w:rPr>
          <w:lang w:val="en-GB"/>
        </w:rPr>
        <w:t>isophorone</w:t>
      </w:r>
      <w:proofErr w:type="spellEnd"/>
      <w:r w:rsidR="000F1D36">
        <w:rPr>
          <w:lang w:val="en-GB"/>
        </w:rPr>
        <w:t xml:space="preserve"> ring. Interestingly, t</w:t>
      </w:r>
      <w:r w:rsidR="003008F5" w:rsidRPr="003008F5">
        <w:rPr>
          <w:lang w:val="en-GB"/>
        </w:rPr>
        <w:t xml:space="preserve">he </w:t>
      </w:r>
      <w:r w:rsidR="000F1D36">
        <w:rPr>
          <w:lang w:val="en-GB"/>
        </w:rPr>
        <w:t xml:space="preserve">values of all predicted </w:t>
      </w:r>
      <w:r w:rsidR="003008F5" w:rsidRPr="003008F5">
        <w:rPr>
          <w:lang w:val="en-GB"/>
        </w:rPr>
        <w:t xml:space="preserve">Young’s moduli are in the range </w:t>
      </w:r>
      <w:r w:rsidR="000F1D36">
        <w:rPr>
          <w:lang w:val="en-GB"/>
        </w:rPr>
        <w:t xml:space="preserve">experimentally </w:t>
      </w:r>
      <w:r w:rsidR="003008F5" w:rsidRPr="003008F5">
        <w:rPr>
          <w:lang w:val="en-GB"/>
        </w:rPr>
        <w:t>found for epoxy/amine networks</w:t>
      </w:r>
      <w:r w:rsidR="007207FE">
        <w:rPr>
          <w:lang w:val="en-GB"/>
        </w:rPr>
        <w:t xml:space="preserve"> (</w:t>
      </w:r>
      <w:r w:rsidR="0019241F">
        <w:t xml:space="preserve">Won et al., 1990; </w:t>
      </w:r>
      <w:proofErr w:type="spellStart"/>
      <w:r w:rsidR="0019241F">
        <w:t>Urbaczewski</w:t>
      </w:r>
      <w:r w:rsidR="0019241F">
        <w:rPr>
          <w:rFonts w:ascii="Cambria Math" w:hAnsi="Cambria Math" w:cs="Cambria Math"/>
        </w:rPr>
        <w:t>‐</w:t>
      </w:r>
      <w:r w:rsidR="0019241F">
        <w:t>Espuche</w:t>
      </w:r>
      <w:proofErr w:type="spellEnd"/>
      <w:r w:rsidR="0019241F">
        <w:t xml:space="preserve"> et al., 1991; </w:t>
      </w:r>
      <w:r w:rsidR="004E3B31">
        <w:rPr>
          <w:lang w:val="en-GB"/>
        </w:rPr>
        <w:t xml:space="preserve">Crawford and Lesser, 1999; Franco et al., 1999; </w:t>
      </w:r>
      <w:proofErr w:type="spellStart"/>
      <w:r w:rsidR="004E3B31">
        <w:rPr>
          <w:lang w:val="en-GB"/>
        </w:rPr>
        <w:t>Pascault</w:t>
      </w:r>
      <w:proofErr w:type="spellEnd"/>
      <w:r w:rsidR="004E3B31">
        <w:rPr>
          <w:lang w:val="en-GB"/>
        </w:rPr>
        <w:t xml:space="preserve"> et al., 2002</w:t>
      </w:r>
      <w:r w:rsidR="004E3B31">
        <w:t>).</w:t>
      </w:r>
      <w:r w:rsidR="00D214D8">
        <w:t xml:space="preserve"> Finally, as concerns the values of the stress and strain at break</w:t>
      </w:r>
      <w:r w:rsidR="00AB52EE">
        <w:t>, little effect of the hardener type is observed on</w:t>
      </w:r>
      <w:r w:rsidR="00CB2D54">
        <w:t xml:space="preserve"> both</w:t>
      </w:r>
      <w:r w:rsidR="00AB52EE">
        <w:t xml:space="preserve"> </w:t>
      </w:r>
      <w:r w:rsidR="00AB52EE" w:rsidRPr="00AB52EE">
        <w:rPr>
          <w:rFonts w:ascii="Symbol" w:hAnsi="Symbol"/>
        </w:rPr>
        <w:t></w:t>
      </w:r>
      <w:r w:rsidR="00AB52EE" w:rsidRPr="00AB52EE">
        <w:rPr>
          <w:vertAlign w:val="subscript"/>
        </w:rPr>
        <w:t>b</w:t>
      </w:r>
      <w:r w:rsidR="00AB52EE">
        <w:t xml:space="preserve"> </w:t>
      </w:r>
      <w:r w:rsidR="00CB2D54">
        <w:t xml:space="preserve">and </w:t>
      </w:r>
      <w:r w:rsidR="00CB2D54" w:rsidRPr="001158E7">
        <w:rPr>
          <w:rFonts w:ascii="Symbol" w:hAnsi="Symbol"/>
        </w:rPr>
        <w:t></w:t>
      </w:r>
      <w:r w:rsidR="00CB2D54" w:rsidRPr="001158E7">
        <w:rPr>
          <w:vertAlign w:val="subscript"/>
        </w:rPr>
        <w:t>b</w:t>
      </w:r>
      <w:r w:rsidR="00CB2D54">
        <w:t xml:space="preserve"> </w:t>
      </w:r>
      <w:r w:rsidR="00AB52EE">
        <w:t>(Figure 2D</w:t>
      </w:r>
      <w:r w:rsidR="00CB2D54">
        <w:t xml:space="preserve"> and 2E</w:t>
      </w:r>
      <w:r w:rsidR="00AB52EE">
        <w:t xml:space="preserve">), </w:t>
      </w:r>
      <w:r w:rsidR="001158E7">
        <w:t xml:space="preserve">the resin cured with ASP </w:t>
      </w:r>
      <w:r w:rsidR="00CB2D54">
        <w:t>exhibiting</w:t>
      </w:r>
      <w:r w:rsidR="001158E7">
        <w:t xml:space="preserve"> </w:t>
      </w:r>
      <w:r w:rsidR="00CB2D54">
        <w:t>a</w:t>
      </w:r>
      <w:r w:rsidR="001158E7">
        <w:t xml:space="preserve"> </w:t>
      </w:r>
      <w:r w:rsidR="00CB2D54">
        <w:t xml:space="preserve">slightly </w:t>
      </w:r>
      <w:r w:rsidR="001158E7">
        <w:t>higher strain at break value (6.8%).</w:t>
      </w:r>
    </w:p>
    <w:p w14:paraId="47851DF8" w14:textId="77777777" w:rsidR="00BA7F5B" w:rsidRDefault="00BA7F5B" w:rsidP="003008F5">
      <w:pPr>
        <w:pStyle w:val="CETBodytext"/>
        <w:rPr>
          <w:lang w:val="en-GB"/>
        </w:rPr>
      </w:pPr>
      <w:r>
        <w:rPr>
          <w:lang w:val="en-GB"/>
        </w:rPr>
        <w:t xml:space="preserve">In terms of material selection, these results suggest that, among all hardeners </w:t>
      </w:r>
      <w:r w:rsidR="005F1CAB">
        <w:rPr>
          <w:lang w:val="en-GB"/>
        </w:rPr>
        <w:t>proposed by DOW corporation as an alternative to standard TETA, DGEBA-AEP networks present the best choice for all practical mechanical purposes.</w:t>
      </w:r>
    </w:p>
    <w:p w14:paraId="58DB8C2F" w14:textId="77777777" w:rsidR="00E57E05" w:rsidRPr="00B57B36" w:rsidRDefault="00E57E05" w:rsidP="00A35CAE">
      <w:pPr>
        <w:pStyle w:val="CETHeading1"/>
        <w:tabs>
          <w:tab w:val="clear" w:pos="360"/>
          <w:tab w:val="right" w:pos="7100"/>
        </w:tabs>
        <w:jc w:val="both"/>
        <w:rPr>
          <w:lang w:val="en-GB"/>
        </w:rPr>
      </w:pPr>
      <w:r>
        <w:rPr>
          <w:lang w:val="en-GB"/>
        </w:rPr>
        <w:t>The Goodyear case study</w:t>
      </w:r>
    </w:p>
    <w:p w14:paraId="799DBFC9" w14:textId="07F220D4" w:rsidR="0060631C" w:rsidRDefault="008B0090" w:rsidP="0060631C">
      <w:pPr>
        <w:pStyle w:val="CETBodytext"/>
        <w:rPr>
          <w:lang w:val="en-GB"/>
        </w:rPr>
      </w:pPr>
      <w:r>
        <w:rPr>
          <w:lang w:val="en-GB"/>
        </w:rPr>
        <w:t>Natural</w:t>
      </w:r>
      <w:r w:rsidR="001201CD">
        <w:rPr>
          <w:lang w:val="en-GB"/>
        </w:rPr>
        <w:t xml:space="preserve"> rubber</w:t>
      </w:r>
      <w:r>
        <w:rPr>
          <w:lang w:val="en-GB"/>
        </w:rPr>
        <w:t xml:space="preserve"> is characterized by weak mechanical performance</w:t>
      </w:r>
      <w:r w:rsidR="0060631C">
        <w:rPr>
          <w:lang w:val="en-GB"/>
        </w:rPr>
        <w:t>; accordingly, rubber reinforcement with different fillers is an essential prerequisite for most of its practical applications. In particular, car t</w:t>
      </w:r>
      <w:r w:rsidR="0060631C" w:rsidRPr="0060631C">
        <w:rPr>
          <w:lang w:val="en-GB"/>
        </w:rPr>
        <w:t xml:space="preserve">ires </w:t>
      </w:r>
      <w:r w:rsidR="0060631C">
        <w:rPr>
          <w:lang w:val="en-GB"/>
        </w:rPr>
        <w:t>must</w:t>
      </w:r>
      <w:r w:rsidR="0060631C" w:rsidRPr="0060631C">
        <w:rPr>
          <w:lang w:val="en-GB"/>
        </w:rPr>
        <w:t xml:space="preserve"> withstand the absorbed impact during operation</w:t>
      </w:r>
      <w:r w:rsidR="0060631C">
        <w:rPr>
          <w:lang w:val="en-GB"/>
        </w:rPr>
        <w:t xml:space="preserve"> </w:t>
      </w:r>
      <w:r w:rsidR="0060631C" w:rsidRPr="0060631C">
        <w:rPr>
          <w:lang w:val="en-GB"/>
        </w:rPr>
        <w:t xml:space="preserve">and maintain traction under </w:t>
      </w:r>
      <w:r w:rsidR="0060631C">
        <w:rPr>
          <w:lang w:val="en-GB"/>
        </w:rPr>
        <w:t xml:space="preserve">both </w:t>
      </w:r>
      <w:r w:rsidR="0060631C" w:rsidRPr="0060631C">
        <w:rPr>
          <w:lang w:val="en-GB"/>
        </w:rPr>
        <w:t xml:space="preserve">dry or wet conditions. </w:t>
      </w:r>
      <w:r w:rsidR="0060631C">
        <w:rPr>
          <w:lang w:val="en-GB"/>
        </w:rPr>
        <w:t xml:space="preserve">Current </w:t>
      </w:r>
      <w:r w:rsidR="0060631C" w:rsidRPr="0060631C">
        <w:rPr>
          <w:lang w:val="en-GB"/>
        </w:rPr>
        <w:t xml:space="preserve">environmental concerns of </w:t>
      </w:r>
      <w:r w:rsidR="0060631C">
        <w:rPr>
          <w:lang w:val="en-GB"/>
        </w:rPr>
        <w:t>CO</w:t>
      </w:r>
      <w:r w:rsidR="0060631C" w:rsidRPr="0060631C">
        <w:rPr>
          <w:vertAlign w:val="subscript"/>
          <w:lang w:val="en-GB"/>
        </w:rPr>
        <w:t>2</w:t>
      </w:r>
      <w:r w:rsidR="0060631C" w:rsidRPr="0060631C">
        <w:rPr>
          <w:lang w:val="en-GB"/>
        </w:rPr>
        <w:t xml:space="preserve"> </w:t>
      </w:r>
      <w:r w:rsidR="0060631C">
        <w:rPr>
          <w:lang w:val="en-GB"/>
        </w:rPr>
        <w:t>and other pollutant emissions are exerting a strong pressure on the automotive sector for</w:t>
      </w:r>
      <w:r w:rsidR="0060631C" w:rsidRPr="0060631C">
        <w:rPr>
          <w:lang w:val="en-GB"/>
        </w:rPr>
        <w:t xml:space="preserve"> improving fuel</w:t>
      </w:r>
      <w:r w:rsidR="0060631C">
        <w:rPr>
          <w:lang w:val="en-GB"/>
        </w:rPr>
        <w:t xml:space="preserve"> </w:t>
      </w:r>
      <w:r w:rsidR="0060631C" w:rsidRPr="0060631C">
        <w:rPr>
          <w:lang w:val="en-GB"/>
        </w:rPr>
        <w:t xml:space="preserve">efficiency of tires. </w:t>
      </w:r>
      <w:r w:rsidR="0060631C">
        <w:rPr>
          <w:lang w:val="en-GB"/>
        </w:rPr>
        <w:t xml:space="preserve">Accordingly, the majority of the so-called industrialized </w:t>
      </w:r>
      <w:r w:rsidR="0060631C">
        <w:rPr>
          <w:lang w:val="en-GB"/>
        </w:rPr>
        <w:lastRenderedPageBreak/>
        <w:t xml:space="preserve">countries </w:t>
      </w:r>
      <w:r w:rsidR="0060631C" w:rsidRPr="0060631C">
        <w:rPr>
          <w:lang w:val="en-GB"/>
        </w:rPr>
        <w:t>have already introduced</w:t>
      </w:r>
      <w:r w:rsidR="0060631C">
        <w:rPr>
          <w:lang w:val="en-GB"/>
        </w:rPr>
        <w:t xml:space="preserve"> </w:t>
      </w:r>
      <w:r w:rsidR="0060631C" w:rsidRPr="0060631C">
        <w:rPr>
          <w:lang w:val="en-GB"/>
        </w:rPr>
        <w:t xml:space="preserve">regulations for the improvement of </w:t>
      </w:r>
      <w:r w:rsidR="00694B67">
        <w:rPr>
          <w:lang w:val="en-GB"/>
        </w:rPr>
        <w:t xml:space="preserve">tire </w:t>
      </w:r>
      <w:r w:rsidR="0060631C" w:rsidRPr="0060631C">
        <w:rPr>
          <w:lang w:val="en-GB"/>
        </w:rPr>
        <w:t>wet traction and the reduction</w:t>
      </w:r>
      <w:r w:rsidR="0060631C">
        <w:rPr>
          <w:lang w:val="en-GB"/>
        </w:rPr>
        <w:t xml:space="preserve"> </w:t>
      </w:r>
      <w:r w:rsidR="0060631C" w:rsidRPr="0060631C">
        <w:rPr>
          <w:lang w:val="en-GB"/>
        </w:rPr>
        <w:t xml:space="preserve">of </w:t>
      </w:r>
      <w:r w:rsidR="00694B67">
        <w:rPr>
          <w:lang w:val="en-GB"/>
        </w:rPr>
        <w:t xml:space="preserve">their </w:t>
      </w:r>
      <w:r w:rsidR="0060631C" w:rsidRPr="0060631C">
        <w:rPr>
          <w:lang w:val="en-GB"/>
        </w:rPr>
        <w:t>rolling resistance</w:t>
      </w:r>
      <w:r w:rsidR="00694B67">
        <w:rPr>
          <w:lang w:val="en-GB"/>
        </w:rPr>
        <w:t>,</w:t>
      </w:r>
      <w:r w:rsidR="0060631C" w:rsidRPr="0060631C">
        <w:rPr>
          <w:lang w:val="en-GB"/>
        </w:rPr>
        <w:t xml:space="preserve"> </w:t>
      </w:r>
      <w:r w:rsidR="00694B67">
        <w:rPr>
          <w:lang w:val="en-GB"/>
        </w:rPr>
        <w:t>with the ultimate goal of accelerating</w:t>
      </w:r>
      <w:r w:rsidR="0060631C" w:rsidRPr="0060631C">
        <w:rPr>
          <w:lang w:val="en-GB"/>
        </w:rPr>
        <w:t xml:space="preserve"> the development</w:t>
      </w:r>
      <w:r w:rsidR="00694B67">
        <w:rPr>
          <w:lang w:val="en-GB"/>
        </w:rPr>
        <w:t xml:space="preserve"> </w:t>
      </w:r>
      <w:r w:rsidR="0060631C" w:rsidRPr="0060631C">
        <w:rPr>
          <w:lang w:val="en-GB"/>
        </w:rPr>
        <w:t>of high</w:t>
      </w:r>
      <w:r w:rsidR="00694B67">
        <w:rPr>
          <w:lang w:val="en-GB"/>
        </w:rPr>
        <w:t>-</w:t>
      </w:r>
      <w:r w:rsidR="0060631C" w:rsidRPr="0060631C">
        <w:rPr>
          <w:lang w:val="en-GB"/>
        </w:rPr>
        <w:t>performance tires</w:t>
      </w:r>
      <w:r w:rsidR="00694B67">
        <w:rPr>
          <w:lang w:val="en-GB"/>
        </w:rPr>
        <w:t>. Historically, c</w:t>
      </w:r>
      <w:r w:rsidR="0060631C" w:rsidRPr="0060631C">
        <w:rPr>
          <w:lang w:val="en-GB"/>
        </w:rPr>
        <w:t>arbon black has been used as a reinforcing filler</w:t>
      </w:r>
      <w:r w:rsidR="00694B67">
        <w:rPr>
          <w:lang w:val="en-GB"/>
        </w:rPr>
        <w:t xml:space="preserve"> by virtue of its </w:t>
      </w:r>
      <w:r w:rsidR="0060631C" w:rsidRPr="0060631C">
        <w:rPr>
          <w:lang w:val="en-GB"/>
        </w:rPr>
        <w:t xml:space="preserve">high tensile and abrasion properties. </w:t>
      </w:r>
      <w:r w:rsidR="00694B67">
        <w:rPr>
          <w:lang w:val="en-GB"/>
        </w:rPr>
        <w:t>Yet</w:t>
      </w:r>
      <w:r w:rsidR="0060631C" w:rsidRPr="0060631C">
        <w:rPr>
          <w:lang w:val="en-GB"/>
        </w:rPr>
        <w:t xml:space="preserve">, its </w:t>
      </w:r>
      <w:r w:rsidR="00694B67">
        <w:rPr>
          <w:lang w:val="en-GB"/>
        </w:rPr>
        <w:t xml:space="preserve">poor performance in the concomitant </w:t>
      </w:r>
      <w:r w:rsidR="0060631C" w:rsidRPr="0060631C">
        <w:rPr>
          <w:lang w:val="en-GB"/>
        </w:rPr>
        <w:t>improvement of rolling resistance and wet</w:t>
      </w:r>
      <w:r w:rsidR="00694B67">
        <w:rPr>
          <w:lang w:val="en-GB"/>
        </w:rPr>
        <w:t xml:space="preserve"> </w:t>
      </w:r>
      <w:r w:rsidR="0060631C" w:rsidRPr="0060631C">
        <w:rPr>
          <w:lang w:val="en-GB"/>
        </w:rPr>
        <w:t xml:space="preserve">traction </w:t>
      </w:r>
      <w:r w:rsidR="00694B67">
        <w:rPr>
          <w:lang w:val="en-GB"/>
        </w:rPr>
        <w:t xml:space="preserve">led to the quest of alternative fillers for the tire rubber. </w:t>
      </w:r>
      <w:r w:rsidR="0060631C" w:rsidRPr="0060631C">
        <w:rPr>
          <w:lang w:val="en-GB"/>
        </w:rPr>
        <w:t>Silica</w:t>
      </w:r>
      <w:r w:rsidR="00694B67">
        <w:rPr>
          <w:lang w:val="en-GB"/>
        </w:rPr>
        <w:t xml:space="preserve"> nanoparticles (SiNPs) have revealed better properties in this respect, ultimately leading to the replacement of large fractions of carbon black in tire formulations. The use of SiNPs, however, is not devoid of disadvantages such as surface polarity</w:t>
      </w:r>
      <w:r w:rsidR="00D90EAD">
        <w:rPr>
          <w:lang w:val="en-GB"/>
        </w:rPr>
        <w:t>,</w:t>
      </w:r>
      <w:r w:rsidR="0020065E">
        <w:rPr>
          <w:lang w:val="en-GB"/>
        </w:rPr>
        <w:t xml:space="preserve"> </w:t>
      </w:r>
      <w:r w:rsidR="00694B67">
        <w:rPr>
          <w:lang w:val="en-GB"/>
        </w:rPr>
        <w:t xml:space="preserve">which renders the </w:t>
      </w:r>
      <w:r w:rsidR="0020065E">
        <w:rPr>
          <w:lang w:val="en-GB"/>
        </w:rPr>
        <w:t xml:space="preserve">SiNPs poorly dispersible within the </w:t>
      </w:r>
      <w:proofErr w:type="spellStart"/>
      <w:r w:rsidR="0020065E">
        <w:rPr>
          <w:lang w:val="en-GB"/>
        </w:rPr>
        <w:t>apolar</w:t>
      </w:r>
      <w:proofErr w:type="spellEnd"/>
      <w:r w:rsidR="0020065E">
        <w:rPr>
          <w:lang w:val="en-GB"/>
        </w:rPr>
        <w:t xml:space="preserve"> </w:t>
      </w:r>
      <w:r w:rsidR="00D90EAD">
        <w:rPr>
          <w:lang w:val="en-GB"/>
        </w:rPr>
        <w:t>styrene-butadiene</w:t>
      </w:r>
      <w:r w:rsidR="009B7BC0">
        <w:rPr>
          <w:lang w:val="en-GB"/>
        </w:rPr>
        <w:t xml:space="preserve"> rubber (SBR)</w:t>
      </w:r>
      <w:r w:rsidR="0020065E">
        <w:rPr>
          <w:lang w:val="en-GB"/>
        </w:rPr>
        <w:t xml:space="preserve"> matrix</w:t>
      </w:r>
      <w:r w:rsidR="00D90EAD">
        <w:rPr>
          <w:lang w:val="en-GB"/>
        </w:rPr>
        <w:t>. A variety of methods have been devised to improve the dispersion state and the interfacial interaction of silica nanoparticles with the rubber polymer, the addition of silane compatibilizers on the NP surface being one of the most industrially favoured. However, tailoring the chemistry and the degree of grafting of silane molecules onto the SiNPs is a daunting task, which involves notable economical and time efforts. In COMPOSELECTOR, the Goodyear industry has therefore proposed the following challenge: is it possible to predict the dispersion state and the viscoelastic properties of SiO</w:t>
      </w:r>
      <w:r w:rsidR="00D90EAD" w:rsidRPr="009B7BC0">
        <w:rPr>
          <w:vertAlign w:val="subscript"/>
          <w:lang w:val="en-GB"/>
        </w:rPr>
        <w:t>2</w:t>
      </w:r>
      <w:r w:rsidR="00D90EAD">
        <w:rPr>
          <w:lang w:val="en-GB"/>
        </w:rPr>
        <w:t xml:space="preserve"> nanoparticles </w:t>
      </w:r>
      <w:r w:rsidR="009B7BC0">
        <w:rPr>
          <w:lang w:val="en-GB"/>
        </w:rPr>
        <w:t>modified with OCTEO (trimethoxy(octyl)silane, degree of grafting = 1 chain/nm</w:t>
      </w:r>
      <w:r w:rsidR="009B7BC0" w:rsidRPr="009B7BC0">
        <w:rPr>
          <w:vertAlign w:val="superscript"/>
          <w:lang w:val="en-GB"/>
        </w:rPr>
        <w:t>2</w:t>
      </w:r>
      <w:r w:rsidR="009B7BC0">
        <w:rPr>
          <w:lang w:val="en-GB"/>
        </w:rPr>
        <w:t xml:space="preserve">) in </w:t>
      </w:r>
      <w:r w:rsidR="00DF5BC9">
        <w:rPr>
          <w:lang w:val="en-GB"/>
        </w:rPr>
        <w:t>a</w:t>
      </w:r>
      <w:r w:rsidR="009B7BC0">
        <w:rPr>
          <w:lang w:val="en-GB"/>
        </w:rPr>
        <w:t xml:space="preserve"> SRB model rubber </w:t>
      </w:r>
      <w:r w:rsidR="009E6B3C">
        <w:rPr>
          <w:lang w:val="en-GB"/>
        </w:rPr>
        <w:t>at two different, industrially relevant</w:t>
      </w:r>
      <w:r w:rsidR="009B7BC0">
        <w:rPr>
          <w:lang w:val="en-GB"/>
        </w:rPr>
        <w:t xml:space="preserve"> NP concentration</w:t>
      </w:r>
      <w:r w:rsidR="009E6B3C">
        <w:rPr>
          <w:lang w:val="en-GB"/>
        </w:rPr>
        <w:t>s, namely</w:t>
      </w:r>
      <w:r w:rsidR="009B7BC0">
        <w:rPr>
          <w:lang w:val="en-GB"/>
        </w:rPr>
        <w:t xml:space="preserve"> </w:t>
      </w:r>
      <w:r w:rsidR="009E6B3C">
        <w:rPr>
          <w:lang w:val="en-GB"/>
        </w:rPr>
        <w:t>8% and</w:t>
      </w:r>
      <w:r w:rsidR="009B7BC0">
        <w:rPr>
          <w:lang w:val="en-GB"/>
        </w:rPr>
        <w:t xml:space="preserve"> 20% </w:t>
      </w:r>
      <w:proofErr w:type="spellStart"/>
      <w:r w:rsidR="009B7BC0">
        <w:rPr>
          <w:lang w:val="en-GB"/>
        </w:rPr>
        <w:t>wt</w:t>
      </w:r>
      <w:proofErr w:type="spellEnd"/>
      <w:r w:rsidR="009B7BC0">
        <w:rPr>
          <w:lang w:val="en-GB"/>
        </w:rPr>
        <w:t>/</w:t>
      </w:r>
      <w:proofErr w:type="spellStart"/>
      <w:r w:rsidR="009B7BC0">
        <w:rPr>
          <w:lang w:val="en-GB"/>
        </w:rPr>
        <w:t>wt</w:t>
      </w:r>
      <w:proofErr w:type="spellEnd"/>
      <w:r w:rsidR="009B7BC0">
        <w:rPr>
          <w:lang w:val="en-GB"/>
        </w:rPr>
        <w:t>?</w:t>
      </w:r>
      <w:r w:rsidR="000C766A">
        <w:rPr>
          <w:lang w:val="en-GB"/>
        </w:rPr>
        <w:t xml:space="preserve"> To find a computational answer these questions, a combination of mesoscopic and </w:t>
      </w:r>
      <w:r w:rsidR="00763B4C">
        <w:rPr>
          <w:lang w:val="en-GB"/>
        </w:rPr>
        <w:t>MD</w:t>
      </w:r>
      <w:r w:rsidR="000C766A">
        <w:rPr>
          <w:lang w:val="en-GB"/>
        </w:rPr>
        <w:t xml:space="preserve"> simulation techniques </w:t>
      </w:r>
      <w:r w:rsidR="006B456E">
        <w:rPr>
          <w:lang w:val="en-GB"/>
        </w:rPr>
        <w:t>has</w:t>
      </w:r>
      <w:r w:rsidR="000C766A">
        <w:rPr>
          <w:lang w:val="en-GB"/>
        </w:rPr>
        <w:t xml:space="preserve"> been adopted and adapted from our previous work in the </w:t>
      </w:r>
      <w:r w:rsidR="000C766A" w:rsidRPr="00E90E31">
        <w:rPr>
          <w:lang w:val="en-GB"/>
        </w:rPr>
        <w:t>field (</w:t>
      </w:r>
      <w:proofErr w:type="spellStart"/>
      <w:r w:rsidR="00E90E31" w:rsidRPr="00E90E31">
        <w:rPr>
          <w:lang w:val="en-GB"/>
        </w:rPr>
        <w:t>Laurini</w:t>
      </w:r>
      <w:proofErr w:type="spellEnd"/>
      <w:r w:rsidR="00E90E31" w:rsidRPr="00E90E31">
        <w:rPr>
          <w:lang w:val="en-GB"/>
        </w:rPr>
        <w:t xml:space="preserve"> et al., 2018; </w:t>
      </w:r>
      <w:proofErr w:type="spellStart"/>
      <w:r w:rsidR="00EF565E">
        <w:rPr>
          <w:lang w:val="en-GB"/>
        </w:rPr>
        <w:t>Posocco</w:t>
      </w:r>
      <w:proofErr w:type="spellEnd"/>
      <w:r w:rsidR="00EF565E">
        <w:rPr>
          <w:lang w:val="en-GB"/>
        </w:rPr>
        <w:t xml:space="preserve"> et al., 2016; </w:t>
      </w:r>
      <w:proofErr w:type="spellStart"/>
      <w:r w:rsidR="007C5A96">
        <w:rPr>
          <w:lang w:val="en-GB"/>
        </w:rPr>
        <w:t>Fermeglia</w:t>
      </w:r>
      <w:proofErr w:type="spellEnd"/>
      <w:r w:rsidR="007C5A96">
        <w:rPr>
          <w:lang w:val="en-GB"/>
        </w:rPr>
        <w:t xml:space="preserve"> and Pricl, 2009; </w:t>
      </w:r>
      <w:proofErr w:type="spellStart"/>
      <w:r w:rsidR="00E22137">
        <w:rPr>
          <w:lang w:val="en-GB"/>
        </w:rPr>
        <w:t>Maly</w:t>
      </w:r>
      <w:proofErr w:type="spellEnd"/>
      <w:r w:rsidR="00E22137">
        <w:rPr>
          <w:lang w:val="en-GB"/>
        </w:rPr>
        <w:t xml:space="preserve"> et al., 2008b;</w:t>
      </w:r>
      <w:r w:rsidR="000C766A" w:rsidRPr="00E90E31">
        <w:rPr>
          <w:lang w:val="en-GB"/>
        </w:rPr>
        <w:t xml:space="preserve">). </w:t>
      </w:r>
      <w:r w:rsidR="005023C4">
        <w:rPr>
          <w:lang w:val="en-GB"/>
        </w:rPr>
        <w:t xml:space="preserve">In </w:t>
      </w:r>
      <w:proofErr w:type="spellStart"/>
      <w:r w:rsidR="005023C4">
        <w:rPr>
          <w:lang w:val="en-GB"/>
        </w:rPr>
        <w:t>m</w:t>
      </w:r>
      <w:r w:rsidR="00E45E0B" w:rsidRPr="00E45E0B">
        <w:rPr>
          <w:lang w:val="en-GB"/>
        </w:rPr>
        <w:t>esoscopic</w:t>
      </w:r>
      <w:proofErr w:type="spellEnd"/>
      <w:r w:rsidR="00E45E0B" w:rsidRPr="00E45E0B">
        <w:rPr>
          <w:lang w:val="en-GB"/>
        </w:rPr>
        <w:t xml:space="preserve"> </w:t>
      </w:r>
      <w:r w:rsidR="005023C4">
        <w:rPr>
          <w:lang w:val="en-GB"/>
        </w:rPr>
        <w:t>simulations</w:t>
      </w:r>
      <w:r w:rsidR="00E45E0B" w:rsidRPr="00E45E0B">
        <w:rPr>
          <w:lang w:val="en-GB"/>
        </w:rPr>
        <w:t xml:space="preserve">, a molecule is usually treated with a field description or, most commonly, is represented by microscopic particles that incorporate molecular details implicitly. Therefore, </w:t>
      </w:r>
      <w:proofErr w:type="spellStart"/>
      <w:r w:rsidR="005023C4">
        <w:rPr>
          <w:lang w:val="en-GB"/>
        </w:rPr>
        <w:t>mesoscopic</w:t>
      </w:r>
      <w:proofErr w:type="spellEnd"/>
      <w:r w:rsidR="005023C4">
        <w:rPr>
          <w:lang w:val="en-GB"/>
        </w:rPr>
        <w:t xml:space="preserve"> </w:t>
      </w:r>
      <w:r w:rsidR="00E45E0B" w:rsidRPr="00E45E0B">
        <w:rPr>
          <w:lang w:val="en-GB"/>
        </w:rPr>
        <w:t>simulations are able to treat phenomena on length and time scales currently inaccessible by</w:t>
      </w:r>
      <w:r w:rsidR="005023C4">
        <w:rPr>
          <w:lang w:val="en-GB"/>
        </w:rPr>
        <w:t xml:space="preserve"> classical atomistic approaches </w:t>
      </w:r>
      <w:r w:rsidR="005023C4" w:rsidRPr="00E45E0B">
        <w:rPr>
          <w:lang w:val="en-GB"/>
        </w:rPr>
        <w:t>(≈ 10</w:t>
      </w:r>
      <w:r w:rsidR="005023C4" w:rsidRPr="005023C4">
        <w:rPr>
          <w:vertAlign w:val="superscript"/>
          <w:lang w:val="en-GB"/>
        </w:rPr>
        <w:t>-6</w:t>
      </w:r>
      <w:r w:rsidR="005023C4" w:rsidRPr="00E45E0B">
        <w:rPr>
          <w:lang w:val="en-GB"/>
        </w:rPr>
        <w:t xml:space="preserve"> m and 10</w:t>
      </w:r>
      <w:r w:rsidR="005023C4" w:rsidRPr="005023C4">
        <w:rPr>
          <w:vertAlign w:val="superscript"/>
          <w:lang w:val="en-GB"/>
        </w:rPr>
        <w:t>-6</w:t>
      </w:r>
      <w:r w:rsidR="005023C4" w:rsidRPr="00E45E0B">
        <w:rPr>
          <w:lang w:val="en-GB"/>
        </w:rPr>
        <w:t>-10</w:t>
      </w:r>
      <w:r w:rsidR="005023C4" w:rsidRPr="005023C4">
        <w:rPr>
          <w:vertAlign w:val="superscript"/>
          <w:lang w:val="en-GB"/>
        </w:rPr>
        <w:t>-3</w:t>
      </w:r>
      <w:r w:rsidR="005023C4" w:rsidRPr="00E45E0B">
        <w:rPr>
          <w:lang w:val="en-GB"/>
        </w:rPr>
        <w:t xml:space="preserve"> s</w:t>
      </w:r>
      <w:r w:rsidR="005023C4">
        <w:rPr>
          <w:lang w:val="en-GB"/>
        </w:rPr>
        <w:t>, respectively</w:t>
      </w:r>
      <w:r w:rsidR="005023C4" w:rsidRPr="00E45E0B">
        <w:rPr>
          <w:lang w:val="en-GB"/>
        </w:rPr>
        <w:t>)</w:t>
      </w:r>
      <w:r w:rsidR="005023C4">
        <w:rPr>
          <w:lang w:val="en-GB"/>
        </w:rPr>
        <w:t xml:space="preserve">. </w:t>
      </w:r>
      <w:r w:rsidR="006B456E" w:rsidRPr="00E90E31">
        <w:rPr>
          <w:lang w:val="en-GB"/>
        </w:rPr>
        <w:t>An example of the results obtained</w:t>
      </w:r>
      <w:r w:rsidR="00A35CAE" w:rsidRPr="00E90E31">
        <w:rPr>
          <w:lang w:val="en-GB"/>
        </w:rPr>
        <w:t>,</w:t>
      </w:r>
      <w:r w:rsidR="006B456E" w:rsidRPr="00E90E31">
        <w:rPr>
          <w:lang w:val="en-GB"/>
        </w:rPr>
        <w:t xml:space="preserve"> </w:t>
      </w:r>
      <w:r w:rsidR="00A35CAE" w:rsidRPr="00E90E31">
        <w:rPr>
          <w:lang w:val="en-GB"/>
        </w:rPr>
        <w:t>two</w:t>
      </w:r>
      <w:r w:rsidR="006B456E" w:rsidRPr="00E90E31">
        <w:rPr>
          <w:lang w:val="en-GB"/>
        </w:rPr>
        <w:t xml:space="preserve"> </w:t>
      </w:r>
      <w:r w:rsidR="00A35CAE" w:rsidRPr="00E90E31">
        <w:rPr>
          <w:lang w:val="en-GB"/>
        </w:rPr>
        <w:t>morphologies</w:t>
      </w:r>
      <w:r w:rsidR="006B456E" w:rsidRPr="00E90E31">
        <w:rPr>
          <w:lang w:val="en-GB"/>
        </w:rPr>
        <w:t xml:space="preserve"> of OCTEO-modified </w:t>
      </w:r>
      <w:r w:rsidR="00C40296" w:rsidRPr="00E90E31">
        <w:rPr>
          <w:lang w:val="en-GB"/>
        </w:rPr>
        <w:t xml:space="preserve">SiNPs (Figure 3) </w:t>
      </w:r>
      <w:r w:rsidR="00A35CAE" w:rsidRPr="00E90E31">
        <w:rPr>
          <w:lang w:val="en-GB"/>
        </w:rPr>
        <w:t xml:space="preserve">dispersed </w:t>
      </w:r>
      <w:r w:rsidR="00C40296" w:rsidRPr="00E90E31">
        <w:rPr>
          <w:lang w:val="en-GB"/>
        </w:rPr>
        <w:t>within a model SBR rubber matrix</w:t>
      </w:r>
      <w:r w:rsidR="00C40296">
        <w:rPr>
          <w:lang w:val="en-GB"/>
        </w:rPr>
        <w:t xml:space="preserve"> </w:t>
      </w:r>
      <w:r w:rsidR="00A35CAE">
        <w:rPr>
          <w:lang w:val="en-GB"/>
        </w:rPr>
        <w:t xml:space="preserve">at </w:t>
      </w:r>
      <w:r w:rsidR="009E6B3C">
        <w:rPr>
          <w:lang w:val="en-GB"/>
        </w:rPr>
        <w:t xml:space="preserve">the </w:t>
      </w:r>
      <w:r w:rsidR="00A35CAE">
        <w:rPr>
          <w:lang w:val="en-GB"/>
        </w:rPr>
        <w:t xml:space="preserve">two </w:t>
      </w:r>
      <w:r w:rsidR="009E6B3C">
        <w:rPr>
          <w:lang w:val="en-GB"/>
        </w:rPr>
        <w:t>requested</w:t>
      </w:r>
      <w:r w:rsidR="00A35CAE">
        <w:rPr>
          <w:lang w:val="en-GB"/>
        </w:rPr>
        <w:t xml:space="preserve"> concentrations (8% and 20%, respectively) are</w:t>
      </w:r>
      <w:r w:rsidR="00C40296">
        <w:rPr>
          <w:lang w:val="en-GB"/>
        </w:rPr>
        <w:t xml:space="preserve"> shown in Figure 2B and C, together with the corresponding </w:t>
      </w:r>
      <w:r w:rsidR="006F2559">
        <w:rPr>
          <w:lang w:val="en-GB"/>
        </w:rPr>
        <w:t>transmission electron micr</w:t>
      </w:r>
      <w:r w:rsidR="00A35CAE">
        <w:rPr>
          <w:lang w:val="en-GB"/>
        </w:rPr>
        <w:t>o</w:t>
      </w:r>
      <w:r w:rsidR="006F2559">
        <w:rPr>
          <w:lang w:val="en-GB"/>
        </w:rPr>
        <w:t xml:space="preserve">scopy (TEM) imaging </w:t>
      </w:r>
      <w:r w:rsidR="00C40296">
        <w:rPr>
          <w:lang w:val="en-GB"/>
        </w:rPr>
        <w:t>validation</w:t>
      </w:r>
      <w:r w:rsidR="006F2559">
        <w:rPr>
          <w:lang w:val="en-GB"/>
        </w:rPr>
        <w:t xml:space="preserve">. </w:t>
      </w:r>
    </w:p>
    <w:p w14:paraId="33D3849F" w14:textId="77777777" w:rsidR="00C40296" w:rsidRDefault="00C40296" w:rsidP="0060631C">
      <w:pPr>
        <w:pStyle w:val="CETBodytext"/>
        <w:rPr>
          <w:lang w:val="en-GB"/>
        </w:rPr>
      </w:pPr>
    </w:p>
    <w:p w14:paraId="54939250" w14:textId="77777777" w:rsidR="00C40296" w:rsidRDefault="00A35CAE" w:rsidP="0060631C">
      <w:pPr>
        <w:pStyle w:val="CETBodytext"/>
        <w:rPr>
          <w:lang w:val="en-GB"/>
        </w:rPr>
      </w:pPr>
      <w:r>
        <w:rPr>
          <w:lang w:val="en-GB"/>
        </w:rPr>
        <w:t>A</w:t>
      </w:r>
      <w:r>
        <w:rPr>
          <w:noProof/>
          <w:lang w:val="it-IT" w:eastAsia="it-IT"/>
        </w:rPr>
        <w:drawing>
          <wp:inline distT="0" distB="0" distL="0" distR="0" wp14:anchorId="149BDA07" wp14:editId="3A080055">
            <wp:extent cx="1015586" cy="981758"/>
            <wp:effectExtent l="0" t="0" r="63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Sabry_2.jpg"/>
                    <pic:cNvPicPr/>
                  </pic:nvPicPr>
                  <pic:blipFill rotWithShape="1">
                    <a:blip r:embed="rId18" cstate="print">
                      <a:extLst>
                        <a:ext uri="{28A0092B-C50C-407E-A947-70E740481C1C}">
                          <a14:useLocalDpi xmlns:a14="http://schemas.microsoft.com/office/drawing/2010/main" val="0"/>
                        </a:ext>
                      </a:extLst>
                    </a:blip>
                    <a:srcRect l="12155" t="14775" r="13446" b="16525"/>
                    <a:stretch/>
                  </pic:blipFill>
                  <pic:spPr bwMode="auto">
                    <a:xfrm>
                      <a:off x="0" y="0"/>
                      <a:ext cx="1032750" cy="998350"/>
                    </a:xfrm>
                    <a:prstGeom prst="rect">
                      <a:avLst/>
                    </a:prstGeom>
                    <a:ln>
                      <a:noFill/>
                    </a:ln>
                    <a:extLst>
                      <a:ext uri="{53640926-AAD7-44d8-BBD7-CCE9431645EC}">
                        <a14:shadowObscured xmlns:a14="http://schemas.microsoft.com/office/drawing/2010/main"/>
                      </a:ext>
                    </a:extLst>
                  </pic:spPr>
                </pic:pic>
              </a:graphicData>
            </a:graphic>
          </wp:inline>
        </w:drawing>
      </w:r>
      <w:r>
        <w:rPr>
          <w:lang w:val="en-GB"/>
        </w:rPr>
        <w:t xml:space="preserve">  B </w:t>
      </w:r>
      <w:r>
        <w:rPr>
          <w:noProof/>
          <w:lang w:val="it-IT" w:eastAsia="it-IT"/>
        </w:rPr>
        <w:drawing>
          <wp:inline distT="0" distB="0" distL="0" distR="0" wp14:anchorId="600182C9" wp14:editId="350344EB">
            <wp:extent cx="2008837" cy="9144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8%_COMPP.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8837" cy="914400"/>
                    </a:xfrm>
                    <a:prstGeom prst="rect">
                      <a:avLst/>
                    </a:prstGeom>
                  </pic:spPr>
                </pic:pic>
              </a:graphicData>
            </a:graphic>
          </wp:inline>
        </w:drawing>
      </w:r>
      <w:r>
        <w:rPr>
          <w:lang w:val="en-GB"/>
        </w:rPr>
        <w:t xml:space="preserve">  C </w:t>
      </w:r>
      <w:r>
        <w:rPr>
          <w:noProof/>
          <w:lang w:val="it-IT" w:eastAsia="it-IT"/>
        </w:rPr>
        <w:drawing>
          <wp:inline distT="0" distB="0" distL="0" distR="0" wp14:anchorId="5977B46D" wp14:editId="60519742">
            <wp:extent cx="2036899" cy="9144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COMP.png"/>
                    <pic:cNvPicPr/>
                  </pic:nvPicPr>
                  <pic:blipFill rotWithShape="1">
                    <a:blip r:embed="rId20" cstate="print">
                      <a:extLst>
                        <a:ext uri="{28A0092B-C50C-407E-A947-70E740481C1C}">
                          <a14:useLocalDpi xmlns:a14="http://schemas.microsoft.com/office/drawing/2010/main" val="0"/>
                        </a:ext>
                      </a:extLst>
                    </a:blip>
                    <a:srcRect t="4495"/>
                    <a:stretch/>
                  </pic:blipFill>
                  <pic:spPr bwMode="auto">
                    <a:xfrm>
                      <a:off x="0" y="0"/>
                      <a:ext cx="2036899" cy="914400"/>
                    </a:xfrm>
                    <a:prstGeom prst="rect">
                      <a:avLst/>
                    </a:prstGeom>
                    <a:ln>
                      <a:noFill/>
                    </a:ln>
                    <a:extLst>
                      <a:ext uri="{53640926-AAD7-44d8-BBD7-CCE9431645EC}">
                        <a14:shadowObscured xmlns:a14="http://schemas.microsoft.com/office/drawing/2010/main"/>
                      </a:ext>
                    </a:extLst>
                  </pic:spPr>
                </pic:pic>
              </a:graphicData>
            </a:graphic>
          </wp:inline>
        </w:drawing>
      </w:r>
    </w:p>
    <w:p w14:paraId="3C60FD00" w14:textId="77777777" w:rsidR="009B7BC0" w:rsidRDefault="009B7BC0" w:rsidP="0060631C">
      <w:pPr>
        <w:pStyle w:val="CETBodytext"/>
        <w:rPr>
          <w:lang w:val="en-GB"/>
        </w:rPr>
      </w:pPr>
    </w:p>
    <w:p w14:paraId="6FD6BF17" w14:textId="77777777" w:rsidR="00A35CAE" w:rsidRPr="00FF1A25" w:rsidRDefault="00A35CAE" w:rsidP="00A35CAE">
      <w:pPr>
        <w:pStyle w:val="CETBodytext"/>
        <w:rPr>
          <w:i/>
          <w:lang w:val="en-GB"/>
        </w:rPr>
      </w:pPr>
      <w:r w:rsidRPr="00FF1A25">
        <w:rPr>
          <w:i/>
          <w:lang w:val="en-GB"/>
        </w:rPr>
        <w:t xml:space="preserve">Figure 3. </w:t>
      </w:r>
      <w:r w:rsidR="00BB2A0C" w:rsidRPr="00FF1A25">
        <w:rPr>
          <w:i/>
          <w:lang w:val="en-GB"/>
        </w:rPr>
        <w:t xml:space="preserve">Atomistic representation of a 10 nm </w:t>
      </w:r>
      <w:proofErr w:type="spellStart"/>
      <w:r w:rsidR="00BB2A0C" w:rsidRPr="00FF1A25">
        <w:rPr>
          <w:i/>
          <w:lang w:val="en-GB"/>
        </w:rPr>
        <w:t>SiNP</w:t>
      </w:r>
      <w:proofErr w:type="spellEnd"/>
      <w:r w:rsidR="00BB2A0C" w:rsidRPr="00FF1A25">
        <w:rPr>
          <w:i/>
          <w:lang w:val="en-GB"/>
        </w:rPr>
        <w:t xml:space="preserve"> (</w:t>
      </w:r>
      <w:proofErr w:type="spellStart"/>
      <w:r w:rsidR="00BB2A0C" w:rsidRPr="00FF1A25">
        <w:rPr>
          <w:i/>
          <w:lang w:val="en-GB"/>
        </w:rPr>
        <w:t>gray</w:t>
      </w:r>
      <w:proofErr w:type="spellEnd"/>
      <w:r w:rsidR="00BB2A0C" w:rsidRPr="00FF1A25">
        <w:rPr>
          <w:i/>
          <w:lang w:val="en-GB"/>
        </w:rPr>
        <w:t>) modified with OCTEO molecules (orange)</w:t>
      </w:r>
      <w:r w:rsidR="00D904D5" w:rsidRPr="00FF1A25">
        <w:rPr>
          <w:i/>
          <w:lang w:val="en-GB"/>
        </w:rPr>
        <w:t xml:space="preserve"> with grafting density of 1 chain/nm</w:t>
      </w:r>
      <w:r w:rsidR="00D904D5" w:rsidRPr="00FF1A25">
        <w:rPr>
          <w:i/>
          <w:vertAlign w:val="superscript"/>
          <w:lang w:val="en-GB"/>
        </w:rPr>
        <w:t>2</w:t>
      </w:r>
      <w:r w:rsidR="00D904D5" w:rsidRPr="00FF1A25">
        <w:rPr>
          <w:i/>
          <w:lang w:val="en-GB"/>
        </w:rPr>
        <w:t xml:space="preserve"> (A). Morphologies of OCTEO-modified SiNPs dispersed in a model SBR matrix at two different concentrations; 8% </w:t>
      </w:r>
      <w:proofErr w:type="spellStart"/>
      <w:r w:rsidR="00D904D5" w:rsidRPr="00FF1A25">
        <w:rPr>
          <w:i/>
          <w:lang w:val="en-GB"/>
        </w:rPr>
        <w:t>wt</w:t>
      </w:r>
      <w:proofErr w:type="spellEnd"/>
      <w:r w:rsidR="00D904D5" w:rsidRPr="00FF1A25">
        <w:rPr>
          <w:i/>
          <w:lang w:val="en-GB"/>
        </w:rPr>
        <w:t>/</w:t>
      </w:r>
      <w:proofErr w:type="spellStart"/>
      <w:r w:rsidR="00D904D5" w:rsidRPr="00FF1A25">
        <w:rPr>
          <w:i/>
          <w:lang w:val="en-GB"/>
        </w:rPr>
        <w:t>wt</w:t>
      </w:r>
      <w:proofErr w:type="spellEnd"/>
      <w:r w:rsidR="00D904D5" w:rsidRPr="00FF1A25">
        <w:rPr>
          <w:i/>
          <w:lang w:val="en-GB"/>
        </w:rPr>
        <w:t xml:space="preserve"> (B) and 20% </w:t>
      </w:r>
      <w:proofErr w:type="spellStart"/>
      <w:r w:rsidR="00D904D5" w:rsidRPr="00FF1A25">
        <w:rPr>
          <w:i/>
          <w:lang w:val="en-GB"/>
        </w:rPr>
        <w:t>wt</w:t>
      </w:r>
      <w:proofErr w:type="spellEnd"/>
      <w:r w:rsidR="00D904D5" w:rsidRPr="00FF1A25">
        <w:rPr>
          <w:i/>
          <w:lang w:val="en-GB"/>
        </w:rPr>
        <w:t>/</w:t>
      </w:r>
      <w:proofErr w:type="spellStart"/>
      <w:r w:rsidR="00D904D5" w:rsidRPr="00FF1A25">
        <w:rPr>
          <w:i/>
          <w:lang w:val="en-GB"/>
        </w:rPr>
        <w:t>wt</w:t>
      </w:r>
      <w:proofErr w:type="spellEnd"/>
      <w:r w:rsidR="00D904D5" w:rsidRPr="00FF1A25">
        <w:rPr>
          <w:i/>
          <w:lang w:val="en-GB"/>
        </w:rPr>
        <w:t xml:space="preserve"> (C) as predicted by mesoscopic simulations (</w:t>
      </w:r>
      <w:r w:rsidR="00056BF0" w:rsidRPr="00FF1A25">
        <w:rPr>
          <w:i/>
          <w:lang w:val="en-GB"/>
        </w:rPr>
        <w:t xml:space="preserve">right </w:t>
      </w:r>
      <w:r w:rsidR="00D904D5" w:rsidRPr="00FF1A25">
        <w:rPr>
          <w:i/>
          <w:lang w:val="en-GB"/>
        </w:rPr>
        <w:t>pane</w:t>
      </w:r>
      <w:r w:rsidR="00056BF0" w:rsidRPr="00FF1A25">
        <w:rPr>
          <w:i/>
          <w:lang w:val="en-GB"/>
        </w:rPr>
        <w:t>l</w:t>
      </w:r>
      <w:r w:rsidR="00D904D5" w:rsidRPr="00FF1A25">
        <w:rPr>
          <w:i/>
          <w:lang w:val="en-GB"/>
        </w:rPr>
        <w:t>s) and verified by TEM imaging (</w:t>
      </w:r>
      <w:r w:rsidR="00056BF0" w:rsidRPr="00FF1A25">
        <w:rPr>
          <w:i/>
          <w:lang w:val="en-GB"/>
        </w:rPr>
        <w:t xml:space="preserve">left </w:t>
      </w:r>
      <w:r w:rsidR="00D904D5" w:rsidRPr="00FF1A25">
        <w:rPr>
          <w:i/>
          <w:lang w:val="en-GB"/>
        </w:rPr>
        <w:t xml:space="preserve">panels). In the mesoscopic simulation panels, the modified SiNPs are portrayed as purple </w:t>
      </w:r>
      <w:r w:rsidR="005936A7" w:rsidRPr="00FF1A25">
        <w:rPr>
          <w:i/>
          <w:lang w:val="en-GB"/>
        </w:rPr>
        <w:t xml:space="preserve">(B) </w:t>
      </w:r>
      <w:r w:rsidR="00D904D5" w:rsidRPr="00FF1A25">
        <w:rPr>
          <w:i/>
          <w:lang w:val="en-GB"/>
        </w:rPr>
        <w:t>and orange spheres</w:t>
      </w:r>
      <w:r w:rsidR="005936A7" w:rsidRPr="00FF1A25">
        <w:rPr>
          <w:i/>
          <w:lang w:val="en-GB"/>
        </w:rPr>
        <w:t xml:space="preserve"> (C)</w:t>
      </w:r>
      <w:r w:rsidR="00D904D5" w:rsidRPr="00FF1A25">
        <w:rPr>
          <w:i/>
          <w:lang w:val="en-GB"/>
        </w:rPr>
        <w:t xml:space="preserve">, respectively, while the SBR polymer is shown as </w:t>
      </w:r>
      <w:r w:rsidR="00060B97" w:rsidRPr="00FF1A25">
        <w:rPr>
          <w:i/>
          <w:lang w:val="en-GB"/>
        </w:rPr>
        <w:t xml:space="preserve">green </w:t>
      </w:r>
      <w:r w:rsidR="00D904D5" w:rsidRPr="00FF1A25">
        <w:rPr>
          <w:i/>
          <w:lang w:val="en-GB"/>
        </w:rPr>
        <w:t xml:space="preserve">and </w:t>
      </w:r>
      <w:r w:rsidR="005936A7" w:rsidRPr="00FF1A25">
        <w:rPr>
          <w:i/>
          <w:lang w:val="en-GB"/>
        </w:rPr>
        <w:t>grey</w:t>
      </w:r>
      <w:r w:rsidR="00D904D5" w:rsidRPr="00FF1A25">
        <w:rPr>
          <w:i/>
          <w:lang w:val="en-GB"/>
        </w:rPr>
        <w:t xml:space="preserve"> sticks, respectively. The red squares on the TEM images </w:t>
      </w:r>
      <w:r w:rsidR="00DE1BCD" w:rsidRPr="00FF1A25">
        <w:rPr>
          <w:i/>
          <w:lang w:val="en-GB"/>
        </w:rPr>
        <w:t>represent the area corresponding to the mesoscopic simulation boxes (200 nm length).</w:t>
      </w:r>
    </w:p>
    <w:p w14:paraId="1C6DCA3F" w14:textId="77777777" w:rsidR="00A35CAE" w:rsidRDefault="00A35CAE" w:rsidP="00A35CAE">
      <w:pPr>
        <w:pStyle w:val="CETBodytext"/>
        <w:rPr>
          <w:lang w:val="en-GB"/>
        </w:rPr>
      </w:pPr>
    </w:p>
    <w:p w14:paraId="3AF49426" w14:textId="77777777" w:rsidR="00A35CAE" w:rsidRDefault="0096502B" w:rsidP="0060631C">
      <w:pPr>
        <w:pStyle w:val="CETBodytext"/>
        <w:rPr>
          <w:lang w:val="en-GB"/>
        </w:rPr>
      </w:pPr>
      <w:r>
        <w:rPr>
          <w:lang w:val="en-GB"/>
        </w:rPr>
        <w:t xml:space="preserve">As can be appreciated from </w:t>
      </w:r>
      <w:r w:rsidR="001236A5">
        <w:rPr>
          <w:lang w:val="en-GB"/>
        </w:rPr>
        <w:t>both</w:t>
      </w:r>
      <w:r>
        <w:rPr>
          <w:lang w:val="en-GB"/>
        </w:rPr>
        <w:t xml:space="preserve"> </w:t>
      </w:r>
      <w:r w:rsidR="001236A5">
        <w:rPr>
          <w:lang w:val="en-GB"/>
        </w:rPr>
        <w:t xml:space="preserve">experimental and simulated </w:t>
      </w:r>
      <w:r>
        <w:rPr>
          <w:lang w:val="en-GB"/>
        </w:rPr>
        <w:t xml:space="preserve">images in Figure 3B, for the </w:t>
      </w:r>
      <w:r w:rsidR="008417C3">
        <w:rPr>
          <w:lang w:val="en-GB"/>
        </w:rPr>
        <w:t>more diluted system (</w:t>
      </w:r>
      <w:r>
        <w:rPr>
          <w:lang w:val="en-GB"/>
        </w:rPr>
        <w:t xml:space="preserve">8% </w:t>
      </w:r>
      <w:proofErr w:type="spellStart"/>
      <w:r>
        <w:rPr>
          <w:lang w:val="en-GB"/>
        </w:rPr>
        <w:t>wt</w:t>
      </w:r>
      <w:proofErr w:type="spellEnd"/>
      <w:r>
        <w:rPr>
          <w:lang w:val="en-GB"/>
        </w:rPr>
        <w:t>/</w:t>
      </w:r>
      <w:proofErr w:type="spellStart"/>
      <w:r>
        <w:rPr>
          <w:lang w:val="en-GB"/>
        </w:rPr>
        <w:t>wt</w:t>
      </w:r>
      <w:proofErr w:type="spellEnd"/>
      <w:r>
        <w:rPr>
          <w:lang w:val="en-GB"/>
        </w:rPr>
        <w:t xml:space="preserve"> of modified SiNPs</w:t>
      </w:r>
      <w:r w:rsidR="008417C3">
        <w:rPr>
          <w:lang w:val="en-GB"/>
        </w:rPr>
        <w:t>) finite size aggregates of primary particles forming</w:t>
      </w:r>
      <w:r w:rsidR="001236A5">
        <w:rPr>
          <w:lang w:val="en-GB"/>
        </w:rPr>
        <w:t xml:space="preserve"> branched structure </w:t>
      </w:r>
      <w:r w:rsidR="008417C3">
        <w:rPr>
          <w:lang w:val="en-GB"/>
        </w:rPr>
        <w:t>can be</w:t>
      </w:r>
      <w:r w:rsidR="001236A5">
        <w:rPr>
          <w:lang w:val="en-GB"/>
        </w:rPr>
        <w:t xml:space="preserve"> seen, with a considerable amount of empty space between the branches filled up by pure polymer chains. </w:t>
      </w:r>
      <w:r w:rsidR="008417C3">
        <w:rPr>
          <w:lang w:val="en-GB"/>
        </w:rPr>
        <w:t xml:space="preserve">By increasing </w:t>
      </w:r>
      <w:proofErr w:type="spellStart"/>
      <w:r w:rsidR="008417C3">
        <w:rPr>
          <w:lang w:val="en-GB"/>
        </w:rPr>
        <w:t>SiNP</w:t>
      </w:r>
      <w:proofErr w:type="spellEnd"/>
      <w:r w:rsidR="008417C3">
        <w:rPr>
          <w:lang w:val="en-GB"/>
        </w:rPr>
        <w:t xml:space="preserve"> concentration </w:t>
      </w:r>
      <w:r w:rsidR="009E6B3C">
        <w:rPr>
          <w:lang w:val="en-GB"/>
        </w:rPr>
        <w:t xml:space="preserve">(20% </w:t>
      </w:r>
      <w:proofErr w:type="spellStart"/>
      <w:r w:rsidR="009E6B3C">
        <w:rPr>
          <w:lang w:val="en-GB"/>
        </w:rPr>
        <w:t>wt</w:t>
      </w:r>
      <w:proofErr w:type="spellEnd"/>
      <w:r w:rsidR="009E6B3C">
        <w:rPr>
          <w:lang w:val="en-GB"/>
        </w:rPr>
        <w:t>/</w:t>
      </w:r>
      <w:proofErr w:type="spellStart"/>
      <w:r w:rsidR="009E6B3C">
        <w:rPr>
          <w:lang w:val="en-GB"/>
        </w:rPr>
        <w:t>wt</w:t>
      </w:r>
      <w:proofErr w:type="spellEnd"/>
      <w:r w:rsidR="009E6B3C">
        <w:rPr>
          <w:lang w:val="en-GB"/>
        </w:rPr>
        <w:t>)</w:t>
      </w:r>
      <w:r w:rsidR="001236A5">
        <w:rPr>
          <w:lang w:val="en-GB"/>
        </w:rPr>
        <w:t xml:space="preserve">, </w:t>
      </w:r>
      <w:r w:rsidR="008417C3">
        <w:rPr>
          <w:lang w:val="en-GB"/>
        </w:rPr>
        <w:t>the number of primary aggregates increases, and the formation of a primary connected network is detected (Figure 3C).</w:t>
      </w:r>
    </w:p>
    <w:p w14:paraId="53E457A9" w14:textId="77777777" w:rsidR="001236A5" w:rsidRDefault="009E6B3C" w:rsidP="0060631C">
      <w:pPr>
        <w:pStyle w:val="CETBodytext"/>
        <w:rPr>
          <w:lang w:val="en-GB"/>
        </w:rPr>
      </w:pPr>
      <w:r>
        <w:rPr>
          <w:lang w:val="en-GB"/>
        </w:rPr>
        <w:t xml:space="preserve">The two distinct morphologies of the </w:t>
      </w:r>
      <w:proofErr w:type="spellStart"/>
      <w:r w:rsidR="00C0786B">
        <w:rPr>
          <w:lang w:val="en-GB"/>
        </w:rPr>
        <w:t>S</w:t>
      </w:r>
      <w:r>
        <w:rPr>
          <w:lang w:val="en-GB"/>
        </w:rPr>
        <w:t>iNP</w:t>
      </w:r>
      <w:proofErr w:type="spellEnd"/>
      <w:r>
        <w:rPr>
          <w:lang w:val="en-GB"/>
        </w:rPr>
        <w:t xml:space="preserve">-loaded SBR matrices should reflect into an evolution of the corresponding rheological </w:t>
      </w:r>
      <w:r w:rsidR="00F76662">
        <w:rPr>
          <w:lang w:val="en-GB"/>
        </w:rPr>
        <w:t xml:space="preserve">(i.e., viscoelastic) </w:t>
      </w:r>
      <w:r>
        <w:rPr>
          <w:lang w:val="en-GB"/>
        </w:rPr>
        <w:t xml:space="preserve">properties. </w:t>
      </w:r>
      <w:r w:rsidR="00C0786B">
        <w:rPr>
          <w:lang w:val="en-GB"/>
        </w:rPr>
        <w:t xml:space="preserve">Figure 4 presents the variation of the elastic (G’) and loss moduli (G”) as a function of the </w:t>
      </w:r>
      <w:r w:rsidR="00F76662">
        <w:rPr>
          <w:lang w:val="en-GB"/>
        </w:rPr>
        <w:t xml:space="preserve">applied </w:t>
      </w:r>
      <w:r w:rsidR="00C0786B">
        <w:rPr>
          <w:lang w:val="en-GB"/>
        </w:rPr>
        <w:t>oscillation frequency (</w:t>
      </w:r>
      <w:r w:rsidR="00C0786B" w:rsidRPr="00F76662">
        <w:rPr>
          <w:rFonts w:ascii="Symbol" w:hAnsi="Symbol"/>
          <w:lang w:val="en-GB"/>
        </w:rPr>
        <w:t></w:t>
      </w:r>
      <w:r w:rsidR="00C0786B">
        <w:rPr>
          <w:lang w:val="en-GB"/>
        </w:rPr>
        <w:t xml:space="preserve">) </w:t>
      </w:r>
      <w:r w:rsidR="00F76662">
        <w:rPr>
          <w:lang w:val="en-GB"/>
        </w:rPr>
        <w:t>as predicted from the simulations</w:t>
      </w:r>
      <w:r w:rsidR="003E7A7F">
        <w:rPr>
          <w:lang w:val="en-GB"/>
        </w:rPr>
        <w:t xml:space="preserve"> for the pristine SBR matrix and the two </w:t>
      </w:r>
      <w:proofErr w:type="spellStart"/>
      <w:r w:rsidR="003E7A7F">
        <w:rPr>
          <w:lang w:val="en-GB"/>
        </w:rPr>
        <w:t>SiNP</w:t>
      </w:r>
      <w:proofErr w:type="spellEnd"/>
      <w:r w:rsidR="003E7A7F">
        <w:rPr>
          <w:lang w:val="en-GB"/>
        </w:rPr>
        <w:t>-loaded systems.</w:t>
      </w:r>
    </w:p>
    <w:p w14:paraId="7A03D0C6" w14:textId="77777777" w:rsidR="003E7A7F" w:rsidRDefault="003E7A7F" w:rsidP="0060631C">
      <w:pPr>
        <w:pStyle w:val="CETBodytext"/>
        <w:rPr>
          <w:lang w:val="en-GB"/>
        </w:rPr>
      </w:pPr>
    </w:p>
    <w:p w14:paraId="7F6D28B9" w14:textId="77777777" w:rsidR="003E7A7F" w:rsidRDefault="003E7A7F" w:rsidP="0060631C">
      <w:pPr>
        <w:pStyle w:val="CETBodytext"/>
        <w:rPr>
          <w:lang w:val="en-GB"/>
        </w:rPr>
      </w:pPr>
      <w:r>
        <w:rPr>
          <w:noProof/>
          <w:lang w:val="it-IT" w:eastAsia="it-IT"/>
        </w:rPr>
        <w:lastRenderedPageBreak/>
        <w:drawing>
          <wp:inline distT="0" distB="0" distL="0" distR="0" wp14:anchorId="35249AC4" wp14:editId="5852183C">
            <wp:extent cx="2470934" cy="1798764"/>
            <wp:effectExtent l="0" t="0" r="5715" b="508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heo1_scatt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99887" cy="1819841"/>
                    </a:xfrm>
                    <a:prstGeom prst="rect">
                      <a:avLst/>
                    </a:prstGeom>
                  </pic:spPr>
                </pic:pic>
              </a:graphicData>
            </a:graphic>
          </wp:inline>
        </w:drawing>
      </w:r>
    </w:p>
    <w:p w14:paraId="2F01A2B7" w14:textId="77777777" w:rsidR="00470C86" w:rsidRDefault="00470C86" w:rsidP="0060631C">
      <w:pPr>
        <w:pStyle w:val="CETBodytext"/>
        <w:rPr>
          <w:lang w:val="en-GB"/>
        </w:rPr>
      </w:pPr>
    </w:p>
    <w:p w14:paraId="19C03785" w14:textId="77777777" w:rsidR="003E7A7F" w:rsidRPr="00FF1A25" w:rsidRDefault="003E7A7F" w:rsidP="003E7A7F">
      <w:pPr>
        <w:pStyle w:val="CETBodytext"/>
        <w:rPr>
          <w:i/>
          <w:lang w:val="en-GB"/>
        </w:rPr>
      </w:pPr>
      <w:bookmarkStart w:id="0" w:name="_GoBack"/>
      <w:r w:rsidRPr="00FF1A25">
        <w:rPr>
          <w:i/>
          <w:lang w:val="en-GB"/>
        </w:rPr>
        <w:t xml:space="preserve">Figure 4. </w:t>
      </w:r>
      <w:r w:rsidR="009B055F" w:rsidRPr="00FF1A25">
        <w:rPr>
          <w:i/>
          <w:lang w:val="en-GB"/>
        </w:rPr>
        <w:t xml:space="preserve">Mechanical spectra of </w:t>
      </w:r>
      <w:r w:rsidR="003732DC" w:rsidRPr="00FF1A25">
        <w:rPr>
          <w:i/>
          <w:lang w:val="en-GB"/>
        </w:rPr>
        <w:t xml:space="preserve">pure and </w:t>
      </w:r>
      <w:proofErr w:type="spellStart"/>
      <w:r w:rsidR="003732DC" w:rsidRPr="00FF1A25">
        <w:rPr>
          <w:i/>
          <w:lang w:val="en-GB"/>
        </w:rPr>
        <w:t>SiNP</w:t>
      </w:r>
      <w:proofErr w:type="spellEnd"/>
      <w:r w:rsidR="003732DC" w:rsidRPr="00FF1A25">
        <w:rPr>
          <w:i/>
          <w:lang w:val="en-GB"/>
        </w:rPr>
        <w:t>-loaded systems. Open symbols, G’. Filled symbols, G”.</w:t>
      </w:r>
      <w:bookmarkEnd w:id="0"/>
    </w:p>
    <w:p w14:paraId="7E1EBBF5" w14:textId="77777777" w:rsidR="003E7A7F" w:rsidRDefault="003E7A7F" w:rsidP="0060631C">
      <w:pPr>
        <w:pStyle w:val="CETBodytext"/>
        <w:rPr>
          <w:lang w:val="en-GB"/>
        </w:rPr>
      </w:pPr>
    </w:p>
    <w:p w14:paraId="7C1DB39D" w14:textId="77777777" w:rsidR="003E7A7F" w:rsidRPr="0060631C" w:rsidRDefault="003E7A7F" w:rsidP="0060631C">
      <w:pPr>
        <w:pStyle w:val="CETBodytext"/>
        <w:rPr>
          <w:lang w:val="en-GB"/>
        </w:rPr>
      </w:pPr>
      <w:r>
        <w:rPr>
          <w:lang w:val="en-GB"/>
        </w:rPr>
        <w:t>For pure SBR, the curve has the usual shape characterizing polymer systems in a log-log representation</w:t>
      </w:r>
      <w:r w:rsidR="003801AD">
        <w:rPr>
          <w:lang w:val="en-GB"/>
        </w:rPr>
        <w:t>, with the characteristic decrease of G’(</w:t>
      </w:r>
      <w:r w:rsidR="003801AD" w:rsidRPr="003801AD">
        <w:rPr>
          <w:rFonts w:ascii="Symbol" w:hAnsi="Symbol"/>
          <w:lang w:val="en-GB"/>
        </w:rPr>
        <w:t></w:t>
      </w:r>
      <w:r w:rsidR="003801AD">
        <w:rPr>
          <w:lang w:val="en-GB"/>
        </w:rPr>
        <w:t xml:space="preserve">) </w:t>
      </w:r>
      <w:r w:rsidR="003801AD">
        <w:rPr>
          <w:rFonts w:cs="Arial"/>
          <w:lang w:val="en-GB"/>
        </w:rPr>
        <w:t>~</w:t>
      </w:r>
      <w:r w:rsidR="003801AD">
        <w:rPr>
          <w:lang w:val="en-GB"/>
        </w:rPr>
        <w:t xml:space="preserve"> </w:t>
      </w:r>
      <w:r w:rsidR="003801AD" w:rsidRPr="003801AD">
        <w:rPr>
          <w:rFonts w:ascii="Symbol" w:hAnsi="Symbol"/>
          <w:lang w:val="en-GB"/>
        </w:rPr>
        <w:t></w:t>
      </w:r>
      <w:r w:rsidR="003801AD" w:rsidRPr="003801AD">
        <w:rPr>
          <w:vertAlign w:val="superscript"/>
          <w:lang w:val="en-GB"/>
        </w:rPr>
        <w:t>2</w:t>
      </w:r>
      <w:r w:rsidR="003801AD">
        <w:rPr>
          <w:lang w:val="en-GB"/>
        </w:rPr>
        <w:t xml:space="preserve"> in the low </w:t>
      </w:r>
      <w:r w:rsidR="003801AD" w:rsidRPr="003801AD">
        <w:rPr>
          <w:rFonts w:ascii="Symbol" w:hAnsi="Symbol"/>
          <w:lang w:val="en-GB"/>
        </w:rPr>
        <w:t></w:t>
      </w:r>
      <w:r w:rsidR="003801AD">
        <w:rPr>
          <w:lang w:val="en-GB"/>
        </w:rPr>
        <w:t xml:space="preserve"> region attributable to the liquid state of the polymer. On the other hand, the mechanical spectra of the </w:t>
      </w:r>
      <w:proofErr w:type="spellStart"/>
      <w:r w:rsidR="003801AD">
        <w:rPr>
          <w:lang w:val="en-GB"/>
        </w:rPr>
        <w:t>SiNP</w:t>
      </w:r>
      <w:proofErr w:type="spellEnd"/>
      <w:r w:rsidR="003801AD">
        <w:rPr>
          <w:lang w:val="en-GB"/>
        </w:rPr>
        <w:t xml:space="preserve">-filled SBR systems reveals two distinct behaviours: while the viscoelastic properties of the system at 8% </w:t>
      </w:r>
      <w:proofErr w:type="spellStart"/>
      <w:r w:rsidR="003801AD">
        <w:rPr>
          <w:lang w:val="en-GB"/>
        </w:rPr>
        <w:t>wt</w:t>
      </w:r>
      <w:proofErr w:type="spellEnd"/>
      <w:r w:rsidR="003801AD">
        <w:rPr>
          <w:lang w:val="en-GB"/>
        </w:rPr>
        <w:t>/</w:t>
      </w:r>
      <w:proofErr w:type="spellStart"/>
      <w:r w:rsidR="003801AD">
        <w:rPr>
          <w:lang w:val="en-GB"/>
        </w:rPr>
        <w:t>wt</w:t>
      </w:r>
      <w:proofErr w:type="spellEnd"/>
      <w:r w:rsidR="003801AD">
        <w:rPr>
          <w:lang w:val="en-GB"/>
        </w:rPr>
        <w:t xml:space="preserve"> loading still resemble </w:t>
      </w:r>
      <w:r w:rsidR="00517675">
        <w:rPr>
          <w:lang w:val="en-GB"/>
        </w:rPr>
        <w:t>those</w:t>
      </w:r>
      <w:r w:rsidR="003801AD">
        <w:rPr>
          <w:lang w:val="en-GB"/>
        </w:rPr>
        <w:t xml:space="preserve"> of the pure matrix</w:t>
      </w:r>
      <w:r w:rsidR="00517675">
        <w:rPr>
          <w:lang w:val="en-GB"/>
        </w:rPr>
        <w:t xml:space="preserve"> but</w:t>
      </w:r>
      <w:r w:rsidR="003801AD">
        <w:rPr>
          <w:lang w:val="en-GB"/>
        </w:rPr>
        <w:t xml:space="preserve"> with a shifting of the G”/G’ crossover to lower frequencies, </w:t>
      </w:r>
      <w:r w:rsidR="00517675">
        <w:rPr>
          <w:lang w:val="en-GB"/>
        </w:rPr>
        <w:t>as expected, t</w:t>
      </w:r>
      <w:r w:rsidR="00514461">
        <w:rPr>
          <w:lang w:val="en-GB"/>
        </w:rPr>
        <w:t xml:space="preserve">hose of the system at higher NP loading </w:t>
      </w:r>
      <w:r w:rsidR="00D82829">
        <w:rPr>
          <w:lang w:val="en-GB"/>
        </w:rPr>
        <w:t xml:space="preserve">already </w:t>
      </w:r>
      <w:r w:rsidR="00514461">
        <w:rPr>
          <w:lang w:val="en-GB"/>
        </w:rPr>
        <w:t xml:space="preserve">present the characteristic of a </w:t>
      </w:r>
      <w:r w:rsidR="00DA5636">
        <w:rPr>
          <w:lang w:val="en-GB"/>
        </w:rPr>
        <w:t>gel</w:t>
      </w:r>
      <w:r w:rsidR="00517675">
        <w:rPr>
          <w:lang w:val="en-GB"/>
        </w:rPr>
        <w:t>-</w:t>
      </w:r>
      <w:r w:rsidR="00514461">
        <w:rPr>
          <w:lang w:val="en-GB"/>
        </w:rPr>
        <w:t xml:space="preserve">like material, with the elastic component always higher than the viscous one and both </w:t>
      </w:r>
      <w:r w:rsidR="00517675">
        <w:rPr>
          <w:lang w:val="en-GB"/>
        </w:rPr>
        <w:t xml:space="preserve">moduli </w:t>
      </w:r>
      <w:r w:rsidR="00514461">
        <w:rPr>
          <w:lang w:val="en-GB"/>
        </w:rPr>
        <w:t>only slightly dependent on the applied pulsation</w:t>
      </w:r>
      <w:r w:rsidR="00F06499">
        <w:rPr>
          <w:lang w:val="en-GB"/>
        </w:rPr>
        <w:t xml:space="preserve">, confirming the formation of a </w:t>
      </w:r>
      <w:proofErr w:type="spellStart"/>
      <w:r w:rsidR="00F06499">
        <w:rPr>
          <w:lang w:val="en-GB"/>
        </w:rPr>
        <w:t>SiNP</w:t>
      </w:r>
      <w:proofErr w:type="spellEnd"/>
      <w:r w:rsidR="00F06499">
        <w:rPr>
          <w:lang w:val="en-GB"/>
        </w:rPr>
        <w:t xml:space="preserve"> branched network pervading the entire system</w:t>
      </w:r>
      <w:r w:rsidR="00100BAC">
        <w:rPr>
          <w:lang w:val="en-GB"/>
        </w:rPr>
        <w:t xml:space="preserve"> (</w:t>
      </w:r>
      <w:proofErr w:type="spellStart"/>
      <w:r w:rsidR="00100BAC">
        <w:rPr>
          <w:lang w:val="en-GB"/>
        </w:rPr>
        <w:t>Lapasin</w:t>
      </w:r>
      <w:proofErr w:type="spellEnd"/>
      <w:r w:rsidR="00100BAC">
        <w:rPr>
          <w:lang w:val="en-GB"/>
        </w:rPr>
        <w:t xml:space="preserve"> and Pricl, 1995)</w:t>
      </w:r>
      <w:r w:rsidR="00F06499">
        <w:rPr>
          <w:lang w:val="en-GB"/>
        </w:rPr>
        <w:t>.</w:t>
      </w:r>
    </w:p>
    <w:p w14:paraId="1A8099EE" w14:textId="77777777" w:rsidR="00600535" w:rsidRPr="00B57B36" w:rsidRDefault="00600535" w:rsidP="00A35CAE">
      <w:pPr>
        <w:pStyle w:val="CETHeading1"/>
        <w:rPr>
          <w:lang w:val="en-GB"/>
        </w:rPr>
      </w:pPr>
      <w:r w:rsidRPr="00B57B36">
        <w:rPr>
          <w:lang w:val="en-GB"/>
        </w:rPr>
        <w:t>Conclusions</w:t>
      </w:r>
    </w:p>
    <w:p w14:paraId="529DF7BB" w14:textId="60308766" w:rsidR="00600535" w:rsidRPr="00B57B36" w:rsidRDefault="00FA714C" w:rsidP="00600535">
      <w:pPr>
        <w:pStyle w:val="CETBodytext"/>
        <w:rPr>
          <w:lang w:val="en-GB"/>
        </w:rPr>
      </w:pPr>
      <w:r>
        <w:rPr>
          <w:lang w:val="en-GB"/>
        </w:rPr>
        <w:t>In this work,</w:t>
      </w:r>
      <w:r w:rsidR="00983265">
        <w:rPr>
          <w:lang w:val="en-GB"/>
        </w:rPr>
        <w:t xml:space="preserve"> within the framework of the H2020 European Project COMPOSELECTOR, we tackled three different challenges in material selections posed by three major industrial actors in the fields of </w:t>
      </w:r>
      <w:r w:rsidR="005B4EA7">
        <w:rPr>
          <w:lang w:val="en-GB"/>
        </w:rPr>
        <w:t>aerospace a</w:t>
      </w:r>
      <w:r w:rsidR="00983265">
        <w:rPr>
          <w:lang w:val="en-GB"/>
        </w:rPr>
        <w:t xml:space="preserve">nd automotive production. </w:t>
      </w:r>
      <w:r w:rsidR="005A0644">
        <w:rPr>
          <w:lang w:val="en-GB"/>
        </w:rPr>
        <w:t xml:space="preserve">In the former case study, proposed by the Airbus Industries, atomistic molecular simulations were applied to predict the effect of the addition - up to a given amount (15% </w:t>
      </w:r>
      <w:proofErr w:type="spellStart"/>
      <w:r w:rsidR="005A0644">
        <w:rPr>
          <w:lang w:val="en-GB"/>
        </w:rPr>
        <w:t>wt</w:t>
      </w:r>
      <w:proofErr w:type="spellEnd"/>
      <w:r w:rsidR="005A0644">
        <w:rPr>
          <w:lang w:val="en-GB"/>
        </w:rPr>
        <w:t>/</w:t>
      </w:r>
      <w:proofErr w:type="spellStart"/>
      <w:r w:rsidR="005A0644">
        <w:rPr>
          <w:lang w:val="en-GB"/>
        </w:rPr>
        <w:t>wt</w:t>
      </w:r>
      <w:proofErr w:type="spellEnd"/>
      <w:r w:rsidR="005A0644">
        <w:rPr>
          <w:lang w:val="en-GB"/>
        </w:rPr>
        <w:t xml:space="preserve">) - of carbon fibres to a thermoplastic polymer matrix (PEEK) on a fundamental process parameter, i.e., the glass transition temperature, and on the Young modulus. The results of the simulations revealed that, while the mechanical performance of the relevant PNCs increases with increasing CFs concentration, the corresponding value of the </w:t>
      </w:r>
      <w:proofErr w:type="spellStart"/>
      <w:r w:rsidR="005A0644">
        <w:rPr>
          <w:lang w:val="en-GB"/>
        </w:rPr>
        <w:t>T</w:t>
      </w:r>
      <w:r w:rsidR="005A0644" w:rsidRPr="005A0644">
        <w:rPr>
          <w:vertAlign w:val="subscript"/>
          <w:lang w:val="en-GB"/>
        </w:rPr>
        <w:t>g</w:t>
      </w:r>
      <w:proofErr w:type="spellEnd"/>
      <w:r w:rsidR="005A0644">
        <w:rPr>
          <w:lang w:val="en-GB"/>
        </w:rPr>
        <w:t xml:space="preserve"> remains practically unaffected, ultimately leading to the most concentrated PNC as the system of choice for </w:t>
      </w:r>
      <w:r w:rsidR="00CD4578">
        <w:rPr>
          <w:lang w:val="en-GB"/>
        </w:rPr>
        <w:t xml:space="preserve">a </w:t>
      </w:r>
      <w:r w:rsidR="005A0644">
        <w:rPr>
          <w:lang w:val="en-GB"/>
        </w:rPr>
        <w:t xml:space="preserve">specific </w:t>
      </w:r>
      <w:r w:rsidR="00CD4578">
        <w:rPr>
          <w:lang w:val="en-GB"/>
        </w:rPr>
        <w:t xml:space="preserve">AIRBUS </w:t>
      </w:r>
      <w:r w:rsidR="005A0644">
        <w:rPr>
          <w:lang w:val="en-GB"/>
        </w:rPr>
        <w:t>application</w:t>
      </w:r>
      <w:r w:rsidR="00CD4578">
        <w:rPr>
          <w:lang w:val="en-GB"/>
        </w:rPr>
        <w:t xml:space="preserve">. The second user case, posed by the DOW Corporation, was an exquisitely material selection problem, based on the substitution of the most popular hardener for DGEBA-based epoxy resin, TETA, with other amine-based molecules. All simulations techniques applied revealed that, among all hardener considered, the 1-(2-aminoethyl)piperazine (AEP) present the best compromise of properties as a TETA replacer. Finally, the Goodyear case study allowed to exploit multiscale (i.e., atomistic and mesoscopic) simulations to study the effect of the addition of different amounts of OCTEO-functionalized silica nanoparticles to an SBR matrix. The results clearly demonstrated that the two NP-loaded systems behave very differently, the most concentrated one (20% </w:t>
      </w:r>
      <w:proofErr w:type="spellStart"/>
      <w:r w:rsidR="00CD4578">
        <w:rPr>
          <w:lang w:val="en-GB"/>
        </w:rPr>
        <w:t>wt</w:t>
      </w:r>
      <w:proofErr w:type="spellEnd"/>
      <w:r w:rsidR="00CD4578">
        <w:rPr>
          <w:lang w:val="en-GB"/>
        </w:rPr>
        <w:t>/</w:t>
      </w:r>
      <w:proofErr w:type="spellStart"/>
      <w:r w:rsidR="00CD4578">
        <w:rPr>
          <w:lang w:val="en-GB"/>
        </w:rPr>
        <w:t>wt</w:t>
      </w:r>
      <w:proofErr w:type="spellEnd"/>
      <w:r w:rsidR="00CD4578">
        <w:rPr>
          <w:lang w:val="en-GB"/>
        </w:rPr>
        <w:t>) already being characterized by the presence of a three-dimensional NP network and a viscoelastic behaviour typical of a gel-like material.</w:t>
      </w:r>
    </w:p>
    <w:p w14:paraId="1135AA96" w14:textId="77777777" w:rsidR="00600535" w:rsidRPr="00B57B36" w:rsidRDefault="00600535" w:rsidP="00600535">
      <w:pPr>
        <w:pStyle w:val="CETAcknowledgementstitle"/>
      </w:pPr>
      <w:r w:rsidRPr="00B57B36">
        <w:t>Acknowledgments</w:t>
      </w:r>
    </w:p>
    <w:p w14:paraId="52DDF450" w14:textId="77777777" w:rsidR="00600535" w:rsidRPr="00B57B36" w:rsidRDefault="00243971" w:rsidP="00600535">
      <w:pPr>
        <w:pStyle w:val="CETBodytext"/>
        <w:rPr>
          <w:lang w:val="en-GB"/>
        </w:rPr>
      </w:pPr>
      <w:r w:rsidRPr="00243971">
        <w:rPr>
          <w:lang w:val="en-GB"/>
        </w:rPr>
        <w:t>This</w:t>
      </w:r>
      <w:r>
        <w:rPr>
          <w:lang w:val="en-GB"/>
        </w:rPr>
        <w:t xml:space="preserve"> </w:t>
      </w:r>
      <w:r w:rsidRPr="00243971">
        <w:rPr>
          <w:lang w:val="en-GB"/>
        </w:rPr>
        <w:t>project</w:t>
      </w:r>
      <w:r>
        <w:rPr>
          <w:lang w:val="en-GB"/>
        </w:rPr>
        <w:t xml:space="preserve"> </w:t>
      </w:r>
      <w:r w:rsidRPr="00243971">
        <w:rPr>
          <w:lang w:val="en-GB"/>
        </w:rPr>
        <w:t>has</w:t>
      </w:r>
      <w:r>
        <w:rPr>
          <w:lang w:val="en-GB"/>
        </w:rPr>
        <w:t xml:space="preserve"> </w:t>
      </w:r>
      <w:r w:rsidRPr="00243971">
        <w:rPr>
          <w:lang w:val="en-GB"/>
        </w:rPr>
        <w:t>received</w:t>
      </w:r>
      <w:r>
        <w:rPr>
          <w:lang w:val="en-GB"/>
        </w:rPr>
        <w:t xml:space="preserve"> </w:t>
      </w:r>
      <w:r w:rsidRPr="00243971">
        <w:rPr>
          <w:lang w:val="en-GB"/>
        </w:rPr>
        <w:t>funding</w:t>
      </w:r>
      <w:r>
        <w:rPr>
          <w:lang w:val="en-GB"/>
        </w:rPr>
        <w:t xml:space="preserve"> </w:t>
      </w:r>
      <w:r w:rsidRPr="00243971">
        <w:rPr>
          <w:lang w:val="en-GB"/>
        </w:rPr>
        <w:t>from</w:t>
      </w:r>
      <w:r>
        <w:rPr>
          <w:lang w:val="en-GB"/>
        </w:rPr>
        <w:t xml:space="preserve"> </w:t>
      </w:r>
      <w:r w:rsidRPr="00243971">
        <w:rPr>
          <w:lang w:val="en-GB"/>
        </w:rPr>
        <w:t>the</w:t>
      </w:r>
      <w:r>
        <w:rPr>
          <w:lang w:val="en-GB"/>
        </w:rPr>
        <w:t xml:space="preserve"> </w:t>
      </w:r>
      <w:r w:rsidRPr="00243971">
        <w:rPr>
          <w:lang w:val="en-GB"/>
        </w:rPr>
        <w:t>European</w:t>
      </w:r>
      <w:r>
        <w:rPr>
          <w:lang w:val="en-GB"/>
        </w:rPr>
        <w:t xml:space="preserve"> </w:t>
      </w:r>
      <w:r w:rsidRPr="00243971">
        <w:rPr>
          <w:lang w:val="en-GB"/>
        </w:rPr>
        <w:t>Union’s</w:t>
      </w:r>
      <w:r>
        <w:rPr>
          <w:lang w:val="en-GB"/>
        </w:rPr>
        <w:t xml:space="preserve"> </w:t>
      </w:r>
      <w:r w:rsidRPr="00243971">
        <w:rPr>
          <w:lang w:val="en-GB"/>
        </w:rPr>
        <w:t>Horizon</w:t>
      </w:r>
      <w:r>
        <w:rPr>
          <w:lang w:val="en-GB"/>
        </w:rPr>
        <w:t xml:space="preserve"> </w:t>
      </w:r>
      <w:r w:rsidRPr="00243971">
        <w:rPr>
          <w:lang w:val="en-GB"/>
        </w:rPr>
        <w:t>2020</w:t>
      </w:r>
      <w:r>
        <w:rPr>
          <w:lang w:val="en-GB"/>
        </w:rPr>
        <w:t xml:space="preserve"> r</w:t>
      </w:r>
      <w:r w:rsidRPr="00243971">
        <w:rPr>
          <w:lang w:val="en-GB"/>
        </w:rPr>
        <w:t>esearch</w:t>
      </w:r>
      <w:r>
        <w:rPr>
          <w:lang w:val="en-GB"/>
        </w:rPr>
        <w:t xml:space="preserve"> </w:t>
      </w:r>
      <w:r w:rsidRPr="00243971">
        <w:rPr>
          <w:lang w:val="en-GB"/>
        </w:rPr>
        <w:t>and</w:t>
      </w:r>
      <w:r>
        <w:rPr>
          <w:lang w:val="en-GB"/>
        </w:rPr>
        <w:t xml:space="preserve"> </w:t>
      </w:r>
      <w:r w:rsidRPr="00243971">
        <w:rPr>
          <w:lang w:val="en-GB"/>
        </w:rPr>
        <w:t>innovation</w:t>
      </w:r>
      <w:r>
        <w:rPr>
          <w:lang w:val="en-GB"/>
        </w:rPr>
        <w:t xml:space="preserve"> </w:t>
      </w:r>
      <w:r w:rsidRPr="00243971">
        <w:rPr>
          <w:lang w:val="en-GB"/>
        </w:rPr>
        <w:t>programme</w:t>
      </w:r>
      <w:r>
        <w:rPr>
          <w:lang w:val="en-GB"/>
        </w:rPr>
        <w:t xml:space="preserve"> </w:t>
      </w:r>
      <w:r w:rsidRPr="00243971">
        <w:rPr>
          <w:lang w:val="en-GB"/>
        </w:rPr>
        <w:t>under</w:t>
      </w:r>
      <w:r>
        <w:rPr>
          <w:lang w:val="en-GB"/>
        </w:rPr>
        <w:t xml:space="preserve"> </w:t>
      </w:r>
      <w:r w:rsidRPr="00243971">
        <w:rPr>
          <w:lang w:val="en-GB"/>
        </w:rPr>
        <w:t>the</w:t>
      </w:r>
      <w:r>
        <w:rPr>
          <w:lang w:val="en-GB"/>
        </w:rPr>
        <w:t xml:space="preserve"> </w:t>
      </w:r>
      <w:r w:rsidRPr="00243971">
        <w:rPr>
          <w:lang w:val="en-GB"/>
        </w:rPr>
        <w:t>Grant</w:t>
      </w:r>
      <w:r>
        <w:rPr>
          <w:lang w:val="en-GB"/>
        </w:rPr>
        <w:t xml:space="preserve"> </w:t>
      </w:r>
      <w:r w:rsidRPr="00243971">
        <w:rPr>
          <w:lang w:val="en-GB"/>
        </w:rPr>
        <w:t>Agreement</w:t>
      </w:r>
      <w:r>
        <w:rPr>
          <w:lang w:val="en-GB"/>
        </w:rPr>
        <w:t xml:space="preserve"> </w:t>
      </w:r>
      <w:r w:rsidRPr="00243971">
        <w:rPr>
          <w:lang w:val="en-GB"/>
        </w:rPr>
        <w:t>No.721105</w:t>
      </w:r>
      <w:r>
        <w:rPr>
          <w:lang w:val="en-GB"/>
        </w:rPr>
        <w:t xml:space="preserve"> </w:t>
      </w:r>
      <w:r w:rsidRPr="00243971">
        <w:rPr>
          <w:lang w:val="en-GB"/>
        </w:rPr>
        <w:t>(Project</w:t>
      </w:r>
      <w:r>
        <w:rPr>
          <w:lang w:val="en-GB"/>
        </w:rPr>
        <w:t xml:space="preserve"> </w:t>
      </w:r>
      <w:r w:rsidRPr="00243971">
        <w:rPr>
          <w:lang w:val="en-GB"/>
        </w:rPr>
        <w:t>acronym:</w:t>
      </w:r>
      <w:r>
        <w:rPr>
          <w:lang w:val="en-GB"/>
        </w:rPr>
        <w:t xml:space="preserve"> </w:t>
      </w:r>
      <w:r w:rsidRPr="00243971">
        <w:rPr>
          <w:lang w:val="en-GB"/>
        </w:rPr>
        <w:t>COMPOSELECTOR;</w:t>
      </w:r>
      <w:r>
        <w:rPr>
          <w:lang w:val="en-GB"/>
        </w:rPr>
        <w:t xml:space="preserve"> </w:t>
      </w:r>
      <w:r w:rsidRPr="00243971">
        <w:rPr>
          <w:lang w:val="en-GB"/>
        </w:rPr>
        <w:t>project</w:t>
      </w:r>
      <w:r>
        <w:rPr>
          <w:lang w:val="en-GB"/>
        </w:rPr>
        <w:t xml:space="preserve"> </w:t>
      </w:r>
      <w:r w:rsidRPr="00243971">
        <w:rPr>
          <w:lang w:val="en-GB"/>
        </w:rPr>
        <w:t>identifier:</w:t>
      </w:r>
      <w:r>
        <w:rPr>
          <w:lang w:val="en-GB"/>
        </w:rPr>
        <w:t xml:space="preserve"> </w:t>
      </w:r>
      <w:r w:rsidRPr="00243971">
        <w:rPr>
          <w:lang w:val="en-GB"/>
        </w:rPr>
        <w:t>NMBP-23-2016</w:t>
      </w:r>
      <w:r>
        <w:rPr>
          <w:lang w:val="en-GB"/>
        </w:rPr>
        <w:t xml:space="preserve"> </w:t>
      </w:r>
      <w:r w:rsidRPr="00243971">
        <w:rPr>
          <w:lang w:val="en-GB"/>
        </w:rPr>
        <w:t>Advancing</w:t>
      </w:r>
      <w:r>
        <w:rPr>
          <w:lang w:val="en-GB"/>
        </w:rPr>
        <w:t xml:space="preserve"> </w:t>
      </w:r>
      <w:r w:rsidRPr="00243971">
        <w:rPr>
          <w:lang w:val="en-GB"/>
        </w:rPr>
        <w:t>the</w:t>
      </w:r>
      <w:r>
        <w:rPr>
          <w:lang w:val="en-GB"/>
        </w:rPr>
        <w:t xml:space="preserve"> </w:t>
      </w:r>
      <w:r w:rsidRPr="00243971">
        <w:rPr>
          <w:lang w:val="en-GB"/>
        </w:rPr>
        <w:t>integration</w:t>
      </w:r>
      <w:r>
        <w:rPr>
          <w:lang w:val="en-GB"/>
        </w:rPr>
        <w:t xml:space="preserve"> </w:t>
      </w:r>
      <w:r w:rsidRPr="00243971">
        <w:rPr>
          <w:lang w:val="en-GB"/>
        </w:rPr>
        <w:t>of</w:t>
      </w:r>
      <w:r>
        <w:rPr>
          <w:lang w:val="en-GB"/>
        </w:rPr>
        <w:t xml:space="preserve"> </w:t>
      </w:r>
      <w:r w:rsidRPr="00243971">
        <w:rPr>
          <w:lang w:val="en-GB"/>
        </w:rPr>
        <w:t>Materials</w:t>
      </w:r>
      <w:r>
        <w:rPr>
          <w:lang w:val="en-GB"/>
        </w:rPr>
        <w:t xml:space="preserve"> </w:t>
      </w:r>
      <w:r w:rsidRPr="00243971">
        <w:rPr>
          <w:lang w:val="en-GB"/>
        </w:rPr>
        <w:t>Modelling</w:t>
      </w:r>
      <w:r>
        <w:rPr>
          <w:lang w:val="en-GB"/>
        </w:rPr>
        <w:t xml:space="preserve"> </w:t>
      </w:r>
      <w:r w:rsidRPr="00243971">
        <w:rPr>
          <w:lang w:val="en-GB"/>
        </w:rPr>
        <w:t>in</w:t>
      </w:r>
      <w:r>
        <w:rPr>
          <w:lang w:val="en-GB"/>
        </w:rPr>
        <w:t xml:space="preserve"> </w:t>
      </w:r>
      <w:r w:rsidRPr="00243971">
        <w:rPr>
          <w:lang w:val="en-GB"/>
        </w:rPr>
        <w:t>Business</w:t>
      </w:r>
      <w:r>
        <w:rPr>
          <w:lang w:val="en-GB"/>
        </w:rPr>
        <w:t xml:space="preserve"> </w:t>
      </w:r>
      <w:r w:rsidRPr="00243971">
        <w:rPr>
          <w:lang w:val="en-GB"/>
        </w:rPr>
        <w:t>Processes</w:t>
      </w:r>
      <w:r>
        <w:rPr>
          <w:lang w:val="en-GB"/>
        </w:rPr>
        <w:t xml:space="preserve"> </w:t>
      </w:r>
      <w:r w:rsidRPr="00243971">
        <w:rPr>
          <w:lang w:val="en-GB"/>
        </w:rPr>
        <w:t>to</w:t>
      </w:r>
      <w:r>
        <w:rPr>
          <w:lang w:val="en-GB"/>
        </w:rPr>
        <w:t xml:space="preserve"> </w:t>
      </w:r>
      <w:r w:rsidRPr="00243971">
        <w:rPr>
          <w:lang w:val="en-GB"/>
        </w:rPr>
        <w:t>enhance</w:t>
      </w:r>
      <w:r>
        <w:rPr>
          <w:lang w:val="en-GB"/>
        </w:rPr>
        <w:t xml:space="preserve"> </w:t>
      </w:r>
      <w:r w:rsidRPr="00243971">
        <w:rPr>
          <w:lang w:val="en-GB"/>
        </w:rPr>
        <w:t>effective</w:t>
      </w:r>
      <w:r>
        <w:rPr>
          <w:lang w:val="en-GB"/>
        </w:rPr>
        <w:t xml:space="preserve"> </w:t>
      </w:r>
      <w:r w:rsidRPr="00243971">
        <w:rPr>
          <w:lang w:val="en-GB"/>
        </w:rPr>
        <w:t>industrial</w:t>
      </w:r>
      <w:r>
        <w:rPr>
          <w:lang w:val="en-GB"/>
        </w:rPr>
        <w:t xml:space="preserve"> </w:t>
      </w:r>
      <w:r w:rsidRPr="00243971">
        <w:rPr>
          <w:lang w:val="en-GB"/>
        </w:rPr>
        <w:t>decision</w:t>
      </w:r>
      <w:r>
        <w:rPr>
          <w:lang w:val="en-GB"/>
        </w:rPr>
        <w:t xml:space="preserve"> </w:t>
      </w:r>
      <w:r w:rsidRPr="00243971">
        <w:rPr>
          <w:lang w:val="en-GB"/>
        </w:rPr>
        <w:t>making</w:t>
      </w:r>
      <w:r>
        <w:rPr>
          <w:lang w:val="en-GB"/>
        </w:rPr>
        <w:t xml:space="preserve"> </w:t>
      </w:r>
      <w:r w:rsidRPr="00243971">
        <w:rPr>
          <w:lang w:val="en-GB"/>
        </w:rPr>
        <w:t>and</w:t>
      </w:r>
      <w:r>
        <w:rPr>
          <w:lang w:val="en-GB"/>
        </w:rPr>
        <w:t xml:space="preserve"> </w:t>
      </w:r>
      <w:r w:rsidRPr="00243971">
        <w:rPr>
          <w:lang w:val="en-GB"/>
        </w:rPr>
        <w:t>increase</w:t>
      </w:r>
      <w:r>
        <w:rPr>
          <w:lang w:val="en-GB"/>
        </w:rPr>
        <w:t xml:space="preserve"> </w:t>
      </w:r>
      <w:r w:rsidRPr="00243971">
        <w:rPr>
          <w:lang w:val="en-GB"/>
        </w:rPr>
        <w:t>competitiveness).</w:t>
      </w:r>
    </w:p>
    <w:p w14:paraId="27F28744" w14:textId="77777777" w:rsidR="00600535" w:rsidRPr="00B57B36" w:rsidRDefault="00600535" w:rsidP="00600535">
      <w:pPr>
        <w:pStyle w:val="CETReference"/>
      </w:pPr>
      <w:r w:rsidRPr="00B57B36">
        <w:t>References</w:t>
      </w:r>
    </w:p>
    <w:p w14:paraId="1E3C0C41" w14:textId="77777777" w:rsidR="000271A2" w:rsidRDefault="000271A2" w:rsidP="00600535">
      <w:pPr>
        <w:pStyle w:val="CETReferencetext"/>
      </w:pPr>
      <w:r>
        <w:t>Ashby M., Johnson K., 2014</w:t>
      </w:r>
      <w:r w:rsidR="00B0389A">
        <w:t>,</w:t>
      </w:r>
      <w:r>
        <w:t xml:space="preserve"> Materials and Design: The Art and Science of Material Selection in Product Design, </w:t>
      </w:r>
      <w:r w:rsidR="00E15A27">
        <w:t>3</w:t>
      </w:r>
      <w:r w:rsidR="00E15A27" w:rsidRPr="00E15A27">
        <w:rPr>
          <w:vertAlign w:val="superscript"/>
        </w:rPr>
        <w:t>rd</w:t>
      </w:r>
      <w:r w:rsidR="00E15A27">
        <w:t xml:space="preserve"> Edition, </w:t>
      </w:r>
      <w:r>
        <w:t>Butterworth-Heinemann</w:t>
      </w:r>
      <w:r w:rsidR="00E15A27">
        <w:t>, Oxford, UK.</w:t>
      </w:r>
    </w:p>
    <w:p w14:paraId="00AED735" w14:textId="77777777" w:rsidR="001404D0" w:rsidRDefault="001404D0" w:rsidP="001404D0">
      <w:pPr>
        <w:pStyle w:val="CETReferencetext"/>
        <w:rPr>
          <w:lang w:val="en-US"/>
        </w:rPr>
      </w:pPr>
      <w:r w:rsidRPr="003560E4">
        <w:rPr>
          <w:lang w:val="en-US"/>
        </w:rPr>
        <w:t xml:space="preserve">Crawford </w:t>
      </w:r>
      <w:r>
        <w:rPr>
          <w:lang w:val="en-US"/>
        </w:rPr>
        <w:t xml:space="preserve">E.D., </w:t>
      </w:r>
      <w:r w:rsidRPr="003560E4">
        <w:rPr>
          <w:lang w:val="en-US"/>
        </w:rPr>
        <w:t>Lesser</w:t>
      </w:r>
      <w:r>
        <w:rPr>
          <w:lang w:val="en-US"/>
        </w:rPr>
        <w:t xml:space="preserve"> A.J., 1999, </w:t>
      </w:r>
      <w:r w:rsidRPr="003560E4">
        <w:rPr>
          <w:lang w:val="en-US"/>
        </w:rPr>
        <w:t xml:space="preserve">Brittle to </w:t>
      </w:r>
      <w:r>
        <w:rPr>
          <w:lang w:val="en-US"/>
        </w:rPr>
        <w:t>D</w:t>
      </w:r>
      <w:r w:rsidRPr="003560E4">
        <w:rPr>
          <w:lang w:val="en-US"/>
        </w:rPr>
        <w:t xml:space="preserve">uctile: Fracture </w:t>
      </w:r>
      <w:r>
        <w:rPr>
          <w:lang w:val="en-US"/>
        </w:rPr>
        <w:t>T</w:t>
      </w:r>
      <w:r w:rsidRPr="003560E4">
        <w:rPr>
          <w:lang w:val="en-US"/>
        </w:rPr>
        <w:t xml:space="preserve">oughness </w:t>
      </w:r>
      <w:r>
        <w:rPr>
          <w:lang w:val="en-US"/>
        </w:rPr>
        <w:t>M</w:t>
      </w:r>
      <w:r w:rsidRPr="003560E4">
        <w:rPr>
          <w:lang w:val="en-US"/>
        </w:rPr>
        <w:t xml:space="preserve">apping on </w:t>
      </w:r>
      <w:r>
        <w:rPr>
          <w:lang w:val="en-US"/>
        </w:rPr>
        <w:t>C</w:t>
      </w:r>
      <w:r w:rsidRPr="003560E4">
        <w:rPr>
          <w:lang w:val="en-US"/>
        </w:rPr>
        <w:t xml:space="preserve">ontrolled </w:t>
      </w:r>
      <w:r>
        <w:rPr>
          <w:lang w:val="en-US"/>
        </w:rPr>
        <w:t>E</w:t>
      </w:r>
      <w:r w:rsidRPr="003560E4">
        <w:rPr>
          <w:lang w:val="en-US"/>
        </w:rPr>
        <w:t xml:space="preserve">poxy </w:t>
      </w:r>
      <w:r>
        <w:rPr>
          <w:lang w:val="en-US"/>
        </w:rPr>
        <w:t>N</w:t>
      </w:r>
      <w:r w:rsidRPr="003560E4">
        <w:rPr>
          <w:lang w:val="en-US"/>
        </w:rPr>
        <w:t>etworks</w:t>
      </w:r>
      <w:r>
        <w:rPr>
          <w:lang w:val="en-US"/>
        </w:rPr>
        <w:t>, Polymer Engineering and Science, 39, 385-392.</w:t>
      </w:r>
    </w:p>
    <w:p w14:paraId="4E82CB91" w14:textId="77777777" w:rsidR="007C5A96" w:rsidRDefault="007C5A96" w:rsidP="007C5A96">
      <w:pPr>
        <w:pStyle w:val="CETReferencetext"/>
        <w:rPr>
          <w:lang w:val="en-US"/>
        </w:rPr>
      </w:pPr>
      <w:proofErr w:type="spellStart"/>
      <w:r>
        <w:rPr>
          <w:lang w:val="en-US"/>
        </w:rPr>
        <w:t>Fermeglia</w:t>
      </w:r>
      <w:proofErr w:type="spellEnd"/>
      <w:r>
        <w:rPr>
          <w:lang w:val="en-US"/>
        </w:rPr>
        <w:t xml:space="preserve"> M., Pricl S., 2009, </w:t>
      </w:r>
      <w:r w:rsidRPr="007C5A96">
        <w:rPr>
          <w:lang w:val="en-US"/>
        </w:rPr>
        <w:t xml:space="preserve">Multiscale </w:t>
      </w:r>
      <w:r>
        <w:rPr>
          <w:lang w:val="en-US"/>
        </w:rPr>
        <w:t>M</w:t>
      </w:r>
      <w:r w:rsidRPr="007C5A96">
        <w:rPr>
          <w:lang w:val="en-US"/>
        </w:rPr>
        <w:t xml:space="preserve">olecular </w:t>
      </w:r>
      <w:r>
        <w:rPr>
          <w:lang w:val="en-US"/>
        </w:rPr>
        <w:t>M</w:t>
      </w:r>
      <w:r w:rsidRPr="007C5A96">
        <w:rPr>
          <w:lang w:val="en-US"/>
        </w:rPr>
        <w:t xml:space="preserve">odeling in </w:t>
      </w:r>
      <w:r>
        <w:rPr>
          <w:lang w:val="en-US"/>
        </w:rPr>
        <w:t>N</w:t>
      </w:r>
      <w:r w:rsidRPr="007C5A96">
        <w:rPr>
          <w:lang w:val="en-US"/>
        </w:rPr>
        <w:t xml:space="preserve">anostructured </w:t>
      </w:r>
      <w:r>
        <w:rPr>
          <w:lang w:val="en-US"/>
        </w:rPr>
        <w:t>M</w:t>
      </w:r>
      <w:r w:rsidRPr="007C5A96">
        <w:rPr>
          <w:lang w:val="en-US"/>
        </w:rPr>
        <w:t xml:space="preserve">aterial </w:t>
      </w:r>
      <w:r>
        <w:rPr>
          <w:lang w:val="en-US"/>
        </w:rPr>
        <w:t>D</w:t>
      </w:r>
      <w:r w:rsidRPr="007C5A96">
        <w:rPr>
          <w:lang w:val="en-US"/>
        </w:rPr>
        <w:t xml:space="preserve">esign and </w:t>
      </w:r>
      <w:r>
        <w:rPr>
          <w:lang w:val="en-US"/>
        </w:rPr>
        <w:t>P</w:t>
      </w:r>
      <w:r w:rsidRPr="007C5A96">
        <w:rPr>
          <w:lang w:val="en-US"/>
        </w:rPr>
        <w:t xml:space="preserve">rocess </w:t>
      </w:r>
      <w:r>
        <w:rPr>
          <w:lang w:val="en-US"/>
        </w:rPr>
        <w:t>S</w:t>
      </w:r>
      <w:r w:rsidRPr="007C5A96">
        <w:rPr>
          <w:lang w:val="en-US"/>
        </w:rPr>
        <w:t xml:space="preserve">ystem </w:t>
      </w:r>
      <w:r>
        <w:rPr>
          <w:lang w:val="en-US"/>
        </w:rPr>
        <w:t>E</w:t>
      </w:r>
      <w:r w:rsidRPr="007C5A96">
        <w:rPr>
          <w:lang w:val="en-US"/>
        </w:rPr>
        <w:t>ngineering</w:t>
      </w:r>
      <w:r>
        <w:rPr>
          <w:lang w:val="en-US"/>
        </w:rPr>
        <w:t>, Computers and Chemical Engineering, 33, 1701-1710,</w:t>
      </w:r>
    </w:p>
    <w:p w14:paraId="0AC8662D" w14:textId="77777777" w:rsidR="001404D0" w:rsidRDefault="001404D0" w:rsidP="001404D0">
      <w:pPr>
        <w:pStyle w:val="CETReferencetext"/>
        <w:rPr>
          <w:lang w:val="en-US"/>
        </w:rPr>
      </w:pPr>
      <w:r w:rsidRPr="00CF0198">
        <w:rPr>
          <w:lang w:val="en-US"/>
        </w:rPr>
        <w:lastRenderedPageBreak/>
        <w:t xml:space="preserve">Franco M. Mondragon I., Bucknall C.B., 1999, Blends of </w:t>
      </w:r>
      <w:r>
        <w:rPr>
          <w:lang w:val="en-US"/>
        </w:rPr>
        <w:t>E</w:t>
      </w:r>
      <w:r w:rsidRPr="00CF0198">
        <w:rPr>
          <w:lang w:val="en-US"/>
        </w:rPr>
        <w:t xml:space="preserve">poxy </w:t>
      </w:r>
      <w:r>
        <w:rPr>
          <w:lang w:val="en-US"/>
        </w:rPr>
        <w:t>R</w:t>
      </w:r>
      <w:r w:rsidRPr="00CF0198">
        <w:rPr>
          <w:lang w:val="en-US"/>
        </w:rPr>
        <w:t xml:space="preserve">esin with </w:t>
      </w:r>
      <w:r>
        <w:rPr>
          <w:lang w:val="en-US"/>
        </w:rPr>
        <w:t>A</w:t>
      </w:r>
      <w:r w:rsidRPr="00CF0198">
        <w:rPr>
          <w:lang w:val="en-US"/>
        </w:rPr>
        <w:t>mine</w:t>
      </w:r>
      <w:r w:rsidRPr="00CF0198">
        <w:rPr>
          <w:rFonts w:ascii="Cambria Math" w:hAnsi="Cambria Math" w:cs="Cambria Math"/>
          <w:lang w:val="en-US"/>
        </w:rPr>
        <w:t>‐</w:t>
      </w:r>
      <w:r>
        <w:rPr>
          <w:lang w:val="en-US"/>
        </w:rPr>
        <w:t>T</w:t>
      </w:r>
      <w:r w:rsidRPr="00CF0198">
        <w:rPr>
          <w:lang w:val="en-US"/>
        </w:rPr>
        <w:t xml:space="preserve">erminated </w:t>
      </w:r>
      <w:proofErr w:type="spellStart"/>
      <w:r>
        <w:rPr>
          <w:lang w:val="en-US"/>
        </w:rPr>
        <w:t>P</w:t>
      </w:r>
      <w:r w:rsidRPr="00CF0198">
        <w:rPr>
          <w:lang w:val="en-US"/>
        </w:rPr>
        <w:t>olyoxypropylene</w:t>
      </w:r>
      <w:proofErr w:type="spellEnd"/>
      <w:r w:rsidRPr="00CF0198">
        <w:rPr>
          <w:lang w:val="en-US"/>
        </w:rPr>
        <w:t xml:space="preserve"> </w:t>
      </w:r>
      <w:r>
        <w:rPr>
          <w:lang w:val="en-US"/>
        </w:rPr>
        <w:t>E</w:t>
      </w:r>
      <w:r w:rsidRPr="00CF0198">
        <w:rPr>
          <w:lang w:val="en-US"/>
        </w:rPr>
        <w:t xml:space="preserve">lastomer: Morphology and </w:t>
      </w:r>
      <w:r>
        <w:rPr>
          <w:lang w:val="en-US"/>
        </w:rPr>
        <w:t>P</w:t>
      </w:r>
      <w:r w:rsidRPr="00CF0198">
        <w:rPr>
          <w:lang w:val="en-US"/>
        </w:rPr>
        <w:t>roperties</w:t>
      </w:r>
      <w:r>
        <w:rPr>
          <w:lang w:val="en-US"/>
        </w:rPr>
        <w:t>, Journal of Applied Polymer Science, 72, 427-434.</w:t>
      </w:r>
    </w:p>
    <w:p w14:paraId="45048BE3" w14:textId="77777777" w:rsidR="00E01D12" w:rsidRDefault="00E01D12" w:rsidP="001404D0">
      <w:pPr>
        <w:pStyle w:val="CETReferencetext"/>
        <w:rPr>
          <w:lang w:val="en-US"/>
        </w:rPr>
      </w:pPr>
      <w:r w:rsidRPr="00E01D12">
        <w:rPr>
          <w:lang w:val="en-US"/>
        </w:rPr>
        <w:t xml:space="preserve">Karimi M., </w:t>
      </w:r>
      <w:proofErr w:type="spellStart"/>
      <w:r w:rsidRPr="00E01D12">
        <w:rPr>
          <w:lang w:val="en-US"/>
        </w:rPr>
        <w:t>Marchisio</w:t>
      </w:r>
      <w:proofErr w:type="spellEnd"/>
      <w:r w:rsidRPr="00E01D12">
        <w:rPr>
          <w:lang w:val="en-US"/>
        </w:rPr>
        <w:t xml:space="preserve"> D., Laurini E., </w:t>
      </w:r>
      <w:proofErr w:type="spellStart"/>
      <w:r w:rsidRPr="00E01D12">
        <w:rPr>
          <w:lang w:val="en-US"/>
        </w:rPr>
        <w:t>Fermeglia</w:t>
      </w:r>
      <w:proofErr w:type="spellEnd"/>
      <w:r w:rsidRPr="00E01D12">
        <w:rPr>
          <w:lang w:val="en-US"/>
        </w:rPr>
        <w:t xml:space="preserve"> M., Pricl S., 2018; Bridging the Gap Across </w:t>
      </w:r>
      <w:r>
        <w:rPr>
          <w:lang w:val="en-US"/>
        </w:rPr>
        <w:t>S</w:t>
      </w:r>
      <w:r w:rsidRPr="00E01D12">
        <w:rPr>
          <w:lang w:val="en-US"/>
        </w:rPr>
        <w:t xml:space="preserve">cales: Coupling CFD and MD/GCMC in </w:t>
      </w:r>
      <w:r>
        <w:rPr>
          <w:lang w:val="en-US"/>
        </w:rPr>
        <w:t>P</w:t>
      </w:r>
      <w:r w:rsidRPr="00E01D12">
        <w:rPr>
          <w:lang w:val="en-US"/>
        </w:rPr>
        <w:t xml:space="preserve">olyurethane </w:t>
      </w:r>
      <w:r>
        <w:rPr>
          <w:lang w:val="en-US"/>
        </w:rPr>
        <w:t>F</w:t>
      </w:r>
      <w:r w:rsidRPr="00E01D12">
        <w:rPr>
          <w:lang w:val="en-US"/>
        </w:rPr>
        <w:t xml:space="preserve">oam </w:t>
      </w:r>
      <w:r>
        <w:rPr>
          <w:lang w:val="en-US"/>
        </w:rPr>
        <w:t>S</w:t>
      </w:r>
      <w:r w:rsidRPr="00E01D12">
        <w:rPr>
          <w:lang w:val="en-US"/>
        </w:rPr>
        <w:t>imulation</w:t>
      </w:r>
      <w:r>
        <w:rPr>
          <w:lang w:val="en-US"/>
        </w:rPr>
        <w:t>, Chemical Engineering Science, 178, 39-47.</w:t>
      </w:r>
    </w:p>
    <w:p w14:paraId="5A775E80" w14:textId="77777777" w:rsidR="00100BAC" w:rsidRDefault="00100BAC" w:rsidP="001404D0">
      <w:pPr>
        <w:pStyle w:val="CETReferencetext"/>
        <w:rPr>
          <w:lang w:val="en-US"/>
        </w:rPr>
      </w:pPr>
      <w:proofErr w:type="spellStart"/>
      <w:r>
        <w:rPr>
          <w:lang w:val="en-US"/>
        </w:rPr>
        <w:t>Lapasin</w:t>
      </w:r>
      <w:proofErr w:type="spellEnd"/>
      <w:r>
        <w:rPr>
          <w:lang w:val="en-US"/>
        </w:rPr>
        <w:t xml:space="preserve"> R., Pricl S., 1995, Rheology of Industrial Polysaccharides: Theory and Applications, Chapman &amp; Hall, Glasgow, UK.</w:t>
      </w:r>
    </w:p>
    <w:p w14:paraId="307148F1" w14:textId="77777777" w:rsidR="00E15A27" w:rsidRDefault="005C02AE" w:rsidP="00600535">
      <w:pPr>
        <w:pStyle w:val="CETReferencetext"/>
        <w:rPr>
          <w:lang w:val="en-US"/>
        </w:rPr>
      </w:pPr>
      <w:r w:rsidRPr="008B3A26">
        <w:rPr>
          <w:lang w:val="en-US"/>
        </w:rPr>
        <w:t xml:space="preserve">Laurini E., </w:t>
      </w:r>
      <w:r w:rsidR="00B12B50" w:rsidRPr="008B3A26">
        <w:rPr>
          <w:lang w:val="en-US"/>
        </w:rPr>
        <w:t xml:space="preserve">Marson D., </w:t>
      </w:r>
      <w:proofErr w:type="spellStart"/>
      <w:r w:rsidR="00B12B50" w:rsidRPr="008B3A26">
        <w:rPr>
          <w:lang w:val="en-US"/>
        </w:rPr>
        <w:t>Fermeglia</w:t>
      </w:r>
      <w:proofErr w:type="spellEnd"/>
      <w:r w:rsidR="00B12B50" w:rsidRPr="008B3A26">
        <w:rPr>
          <w:lang w:val="en-US"/>
        </w:rPr>
        <w:t xml:space="preserve"> M., Pricl S., </w:t>
      </w:r>
      <w:r w:rsidR="008B3A26">
        <w:rPr>
          <w:lang w:val="en-US"/>
        </w:rPr>
        <w:t xml:space="preserve">2018, </w:t>
      </w:r>
      <w:proofErr w:type="spellStart"/>
      <w:r w:rsidR="008B3A26" w:rsidRPr="008B3A26">
        <w:rPr>
          <w:lang w:val="en-US"/>
        </w:rPr>
        <w:t>Multimodel</w:t>
      </w:r>
      <w:proofErr w:type="spellEnd"/>
      <w:r w:rsidR="008B3A26" w:rsidRPr="008B3A26">
        <w:rPr>
          <w:lang w:val="en-US"/>
        </w:rPr>
        <w:t xml:space="preserve"> Approach for Accurate </w:t>
      </w:r>
      <w:r w:rsidR="008B3A26">
        <w:rPr>
          <w:lang w:val="en-US"/>
        </w:rPr>
        <w:t>D</w:t>
      </w:r>
      <w:r w:rsidR="008B3A26" w:rsidRPr="008B3A26">
        <w:rPr>
          <w:lang w:val="en-US"/>
        </w:rPr>
        <w:t xml:space="preserve">etermination of </w:t>
      </w:r>
      <w:r w:rsidR="008B3A26">
        <w:rPr>
          <w:lang w:val="en-US"/>
        </w:rPr>
        <w:t>I</w:t>
      </w:r>
      <w:r w:rsidR="008B3A26" w:rsidRPr="008B3A26">
        <w:rPr>
          <w:lang w:val="en-US"/>
        </w:rPr>
        <w:t>ndustry-</w:t>
      </w:r>
      <w:r w:rsidR="008B3A26">
        <w:rPr>
          <w:lang w:val="en-US"/>
        </w:rPr>
        <w:t>D</w:t>
      </w:r>
      <w:r w:rsidR="008B3A26" w:rsidRPr="008B3A26">
        <w:rPr>
          <w:lang w:val="en-US"/>
        </w:rPr>
        <w:t xml:space="preserve">riven </w:t>
      </w:r>
      <w:r w:rsidR="008B3A26">
        <w:rPr>
          <w:lang w:val="en-US"/>
        </w:rPr>
        <w:t>P</w:t>
      </w:r>
      <w:r w:rsidR="008B3A26" w:rsidRPr="008B3A26">
        <w:rPr>
          <w:lang w:val="en-US"/>
        </w:rPr>
        <w:t>roperties for Polymer Nanocomposite Materials</w:t>
      </w:r>
      <w:r w:rsidR="008B3A26">
        <w:rPr>
          <w:lang w:val="en-US"/>
        </w:rPr>
        <w:t>, Journal of Computational Science, 26, 28-38.</w:t>
      </w:r>
    </w:p>
    <w:p w14:paraId="0508035F" w14:textId="77777777" w:rsidR="00C02617" w:rsidRDefault="00C02617" w:rsidP="00600535">
      <w:pPr>
        <w:pStyle w:val="CETReferencetext"/>
        <w:rPr>
          <w:lang w:val="en-US"/>
        </w:rPr>
      </w:pPr>
      <w:r w:rsidRPr="00C02617">
        <w:rPr>
          <w:lang w:val="en-US"/>
        </w:rPr>
        <w:t xml:space="preserve">Laurini E., </w:t>
      </w:r>
      <w:proofErr w:type="spellStart"/>
      <w:r w:rsidRPr="00C02617">
        <w:rPr>
          <w:lang w:val="en-US"/>
        </w:rPr>
        <w:t>Posocco</w:t>
      </w:r>
      <w:proofErr w:type="spellEnd"/>
      <w:r w:rsidRPr="00C02617">
        <w:rPr>
          <w:lang w:val="en-US"/>
        </w:rPr>
        <w:t xml:space="preserve"> P., </w:t>
      </w:r>
      <w:proofErr w:type="spellStart"/>
      <w:r w:rsidRPr="00C02617">
        <w:rPr>
          <w:lang w:val="en-US"/>
        </w:rPr>
        <w:t>Fermeglia</w:t>
      </w:r>
      <w:proofErr w:type="spellEnd"/>
      <w:r w:rsidRPr="00C02617">
        <w:rPr>
          <w:lang w:val="en-US"/>
        </w:rPr>
        <w:t xml:space="preserve"> M., Pricl, S., 2016, </w:t>
      </w:r>
      <w:proofErr w:type="spellStart"/>
      <w:r w:rsidRPr="00C02617">
        <w:rPr>
          <w:lang w:val="en-US"/>
        </w:rPr>
        <w:t>MoDeNa</w:t>
      </w:r>
      <w:proofErr w:type="spellEnd"/>
      <w:r w:rsidRPr="00C02617">
        <w:rPr>
          <w:lang w:val="en-US"/>
        </w:rPr>
        <w:t xml:space="preserve"> Nanotools: An Integrated </w:t>
      </w:r>
      <w:r>
        <w:rPr>
          <w:lang w:val="en-US"/>
        </w:rPr>
        <w:t>M</w:t>
      </w:r>
      <w:r w:rsidRPr="00C02617">
        <w:rPr>
          <w:lang w:val="en-US"/>
        </w:rPr>
        <w:t xml:space="preserve">ultiscale </w:t>
      </w:r>
      <w:r>
        <w:rPr>
          <w:lang w:val="en-US"/>
        </w:rPr>
        <w:t>S</w:t>
      </w:r>
      <w:r w:rsidRPr="00C02617">
        <w:rPr>
          <w:lang w:val="en-US"/>
        </w:rPr>
        <w:t xml:space="preserve">imulation </w:t>
      </w:r>
      <w:r>
        <w:rPr>
          <w:lang w:val="en-US"/>
        </w:rPr>
        <w:t>W</w:t>
      </w:r>
      <w:r w:rsidRPr="00C02617">
        <w:rPr>
          <w:lang w:val="en-US"/>
        </w:rPr>
        <w:t xml:space="preserve">orkflow to </w:t>
      </w:r>
      <w:r>
        <w:rPr>
          <w:lang w:val="en-US"/>
        </w:rPr>
        <w:t>P</w:t>
      </w:r>
      <w:r w:rsidRPr="00C02617">
        <w:rPr>
          <w:lang w:val="en-US"/>
        </w:rPr>
        <w:t xml:space="preserve">redict </w:t>
      </w:r>
      <w:r>
        <w:rPr>
          <w:lang w:val="en-US"/>
        </w:rPr>
        <w:t>T</w:t>
      </w:r>
      <w:r w:rsidRPr="00C02617">
        <w:rPr>
          <w:lang w:val="en-US"/>
        </w:rPr>
        <w:t xml:space="preserve">hermophysical </w:t>
      </w:r>
      <w:r>
        <w:rPr>
          <w:lang w:val="en-US"/>
        </w:rPr>
        <w:t>P</w:t>
      </w:r>
      <w:r w:rsidRPr="00C02617">
        <w:rPr>
          <w:lang w:val="en-US"/>
        </w:rPr>
        <w:t xml:space="preserve">roperties of </w:t>
      </w:r>
      <w:r>
        <w:rPr>
          <w:lang w:val="en-US"/>
        </w:rPr>
        <w:t>T</w:t>
      </w:r>
      <w:r w:rsidRPr="00C02617">
        <w:rPr>
          <w:lang w:val="en-US"/>
        </w:rPr>
        <w:t xml:space="preserve">hermoplastic </w:t>
      </w:r>
      <w:r>
        <w:rPr>
          <w:lang w:val="en-US"/>
        </w:rPr>
        <w:t>P</w:t>
      </w:r>
      <w:r w:rsidRPr="00C02617">
        <w:rPr>
          <w:lang w:val="en-US"/>
        </w:rPr>
        <w:t xml:space="preserve">olyurethanes, </w:t>
      </w:r>
      <w:r w:rsidR="00B21BE3">
        <w:rPr>
          <w:lang w:val="en-US"/>
        </w:rPr>
        <w:t>Journal of Computational Science, 15, 24-33.</w:t>
      </w:r>
    </w:p>
    <w:p w14:paraId="1F76015F" w14:textId="77777777" w:rsidR="00D0469D" w:rsidRDefault="00D0469D" w:rsidP="00600535">
      <w:pPr>
        <w:pStyle w:val="CETReferencetext"/>
        <w:rPr>
          <w:lang w:val="en-US"/>
        </w:rPr>
      </w:pPr>
      <w:proofErr w:type="spellStart"/>
      <w:r w:rsidRPr="00D0469D">
        <w:rPr>
          <w:lang w:val="en-US"/>
        </w:rPr>
        <w:t>Maly</w:t>
      </w:r>
      <w:proofErr w:type="spellEnd"/>
      <w:r w:rsidRPr="00D0469D">
        <w:rPr>
          <w:lang w:val="en-US"/>
        </w:rPr>
        <w:t xml:space="preserve"> M., </w:t>
      </w:r>
      <w:proofErr w:type="spellStart"/>
      <w:r w:rsidRPr="00D0469D">
        <w:rPr>
          <w:lang w:val="en-US"/>
        </w:rPr>
        <w:t>Posocco</w:t>
      </w:r>
      <w:proofErr w:type="spellEnd"/>
      <w:r w:rsidRPr="00D0469D">
        <w:rPr>
          <w:lang w:val="en-US"/>
        </w:rPr>
        <w:t xml:space="preserve"> P., </w:t>
      </w:r>
      <w:proofErr w:type="spellStart"/>
      <w:r w:rsidRPr="00D0469D">
        <w:rPr>
          <w:lang w:val="en-US"/>
        </w:rPr>
        <w:t>Fermeglia</w:t>
      </w:r>
      <w:proofErr w:type="spellEnd"/>
      <w:r w:rsidRPr="00D0469D">
        <w:rPr>
          <w:lang w:val="en-US"/>
        </w:rPr>
        <w:t xml:space="preserve"> M., Pricl S., 2008</w:t>
      </w:r>
      <w:r w:rsidR="00E22137">
        <w:rPr>
          <w:lang w:val="en-US"/>
        </w:rPr>
        <w:t>a</w:t>
      </w:r>
      <w:r w:rsidRPr="00D0469D">
        <w:rPr>
          <w:lang w:val="en-US"/>
        </w:rPr>
        <w:t xml:space="preserve">, Scripting Approach in Hybrid </w:t>
      </w:r>
      <w:r>
        <w:rPr>
          <w:lang w:val="en-US"/>
        </w:rPr>
        <w:t>O</w:t>
      </w:r>
      <w:r w:rsidRPr="00D0469D">
        <w:rPr>
          <w:lang w:val="en-US"/>
        </w:rPr>
        <w:t>rganic–</w:t>
      </w:r>
      <w:r>
        <w:rPr>
          <w:lang w:val="en-US"/>
        </w:rPr>
        <w:t>I</w:t>
      </w:r>
      <w:r w:rsidRPr="00D0469D">
        <w:rPr>
          <w:lang w:val="en-US"/>
        </w:rPr>
        <w:t xml:space="preserve">norganic </w:t>
      </w:r>
      <w:r>
        <w:rPr>
          <w:lang w:val="en-US"/>
        </w:rPr>
        <w:t>C</w:t>
      </w:r>
      <w:r w:rsidRPr="00D0469D">
        <w:rPr>
          <w:lang w:val="en-US"/>
        </w:rPr>
        <w:t xml:space="preserve">ondensation </w:t>
      </w:r>
      <w:r>
        <w:rPr>
          <w:lang w:val="en-US"/>
        </w:rPr>
        <w:t>S</w:t>
      </w:r>
      <w:r w:rsidRPr="00D0469D">
        <w:rPr>
          <w:lang w:val="en-US"/>
        </w:rPr>
        <w:t xml:space="preserve">imulation: the GPTMS </w:t>
      </w:r>
      <w:r>
        <w:rPr>
          <w:lang w:val="en-US"/>
        </w:rPr>
        <w:t>P</w:t>
      </w:r>
      <w:r w:rsidRPr="00D0469D">
        <w:rPr>
          <w:lang w:val="en-US"/>
        </w:rPr>
        <w:t>roof-of-</w:t>
      </w:r>
      <w:r>
        <w:rPr>
          <w:lang w:val="en-US"/>
        </w:rPr>
        <w:t>C</w:t>
      </w:r>
      <w:r w:rsidRPr="00D0469D">
        <w:rPr>
          <w:lang w:val="en-US"/>
        </w:rPr>
        <w:t>oncept</w:t>
      </w:r>
      <w:r>
        <w:rPr>
          <w:lang w:val="en-US"/>
        </w:rPr>
        <w:t>, Molecular Simulation, 34, 10-15.</w:t>
      </w:r>
    </w:p>
    <w:p w14:paraId="0D1F5349" w14:textId="77777777" w:rsidR="00E22137" w:rsidRPr="00E22137" w:rsidRDefault="00E22137" w:rsidP="00600535">
      <w:pPr>
        <w:pStyle w:val="CETReferencetext"/>
        <w:rPr>
          <w:lang w:val="en-US"/>
        </w:rPr>
      </w:pPr>
      <w:proofErr w:type="spellStart"/>
      <w:r w:rsidRPr="00E22137">
        <w:rPr>
          <w:lang w:val="en-US"/>
        </w:rPr>
        <w:t>Maly</w:t>
      </w:r>
      <w:proofErr w:type="spellEnd"/>
      <w:r w:rsidRPr="00E22137">
        <w:rPr>
          <w:lang w:val="en-US"/>
        </w:rPr>
        <w:t xml:space="preserve"> M., </w:t>
      </w:r>
      <w:proofErr w:type="spellStart"/>
      <w:r w:rsidRPr="00E22137">
        <w:rPr>
          <w:lang w:val="en-US"/>
        </w:rPr>
        <w:t>Posocco</w:t>
      </w:r>
      <w:proofErr w:type="spellEnd"/>
      <w:r w:rsidRPr="00E22137">
        <w:rPr>
          <w:lang w:val="en-US"/>
        </w:rPr>
        <w:t xml:space="preserve"> P., Pricl S., </w:t>
      </w:r>
      <w:proofErr w:type="spellStart"/>
      <w:r w:rsidRPr="00E22137">
        <w:rPr>
          <w:lang w:val="en-US"/>
        </w:rPr>
        <w:t>Fermeglia</w:t>
      </w:r>
      <w:proofErr w:type="spellEnd"/>
      <w:r w:rsidRPr="00E22137">
        <w:rPr>
          <w:lang w:val="en-US"/>
        </w:rPr>
        <w:t xml:space="preserve"> M., 2008b, Self-Assembly of Nanoparticle </w:t>
      </w:r>
      <w:r>
        <w:rPr>
          <w:lang w:val="en-US"/>
        </w:rPr>
        <w:t>M</w:t>
      </w:r>
      <w:r w:rsidRPr="00E22137">
        <w:rPr>
          <w:lang w:val="en-US"/>
        </w:rPr>
        <w:t xml:space="preserve">ixtures in </w:t>
      </w:r>
      <w:proofErr w:type="spellStart"/>
      <w:r>
        <w:rPr>
          <w:lang w:val="en-US"/>
        </w:rPr>
        <w:t>D</w:t>
      </w:r>
      <w:r w:rsidRPr="00E22137">
        <w:rPr>
          <w:lang w:val="en-US"/>
        </w:rPr>
        <w:t>iblock</w:t>
      </w:r>
      <w:proofErr w:type="spellEnd"/>
      <w:r w:rsidRPr="00E22137">
        <w:rPr>
          <w:lang w:val="en-US"/>
        </w:rPr>
        <w:t xml:space="preserve"> </w:t>
      </w:r>
      <w:r>
        <w:rPr>
          <w:lang w:val="en-US"/>
        </w:rPr>
        <w:t>C</w:t>
      </w:r>
      <w:r w:rsidRPr="00E22137">
        <w:rPr>
          <w:lang w:val="en-US"/>
        </w:rPr>
        <w:t xml:space="preserve">opolymers: Multiscale </w:t>
      </w:r>
      <w:r>
        <w:rPr>
          <w:lang w:val="en-US"/>
        </w:rPr>
        <w:t>M</w:t>
      </w:r>
      <w:r w:rsidRPr="00E22137">
        <w:rPr>
          <w:lang w:val="en-US"/>
        </w:rPr>
        <w:t xml:space="preserve">olecular </w:t>
      </w:r>
      <w:r>
        <w:rPr>
          <w:lang w:val="en-US"/>
        </w:rPr>
        <w:t>M</w:t>
      </w:r>
      <w:r w:rsidRPr="00E22137">
        <w:rPr>
          <w:lang w:val="en-US"/>
        </w:rPr>
        <w:t>odeling</w:t>
      </w:r>
      <w:r>
        <w:rPr>
          <w:lang w:val="en-US"/>
        </w:rPr>
        <w:t xml:space="preserve">, </w:t>
      </w:r>
      <w:r w:rsidRPr="00E22137">
        <w:rPr>
          <w:lang w:val="en-US"/>
        </w:rPr>
        <w:t>Industrial and Engineering Chemistry Research</w:t>
      </w:r>
      <w:r>
        <w:rPr>
          <w:lang w:val="en-US"/>
        </w:rPr>
        <w:t xml:space="preserve"> </w:t>
      </w:r>
      <w:r w:rsidRPr="00E22137">
        <w:rPr>
          <w:lang w:val="en-US"/>
        </w:rPr>
        <w:t>47, 5023-5038</w:t>
      </w:r>
      <w:r>
        <w:rPr>
          <w:lang w:val="en-US"/>
        </w:rPr>
        <w:t>.</w:t>
      </w:r>
    </w:p>
    <w:p w14:paraId="05CACCB9" w14:textId="77777777" w:rsidR="00B0389A" w:rsidRDefault="00B0389A" w:rsidP="00B0389A">
      <w:pPr>
        <w:pStyle w:val="CETReferencetext"/>
      </w:pPr>
      <w:proofErr w:type="spellStart"/>
      <w:r>
        <w:t>Pascault</w:t>
      </w:r>
      <w:proofErr w:type="spellEnd"/>
      <w:r>
        <w:t xml:space="preserve"> J.P., </w:t>
      </w:r>
      <w:proofErr w:type="spellStart"/>
      <w:r>
        <w:t>Sautereau</w:t>
      </w:r>
      <w:proofErr w:type="spellEnd"/>
      <w:r>
        <w:t xml:space="preserve"> H., </w:t>
      </w:r>
      <w:proofErr w:type="spellStart"/>
      <w:r>
        <w:t>Verdu</w:t>
      </w:r>
      <w:proofErr w:type="spellEnd"/>
      <w:r>
        <w:t xml:space="preserve"> J., Williams R.J.J., 2002, Thermosetting Polymers, Marcel Dekker, New York, USA.</w:t>
      </w:r>
    </w:p>
    <w:p w14:paraId="501C8755" w14:textId="77777777" w:rsidR="007D09C1" w:rsidRDefault="007D09C1" w:rsidP="00B0389A">
      <w:pPr>
        <w:pStyle w:val="CETReferencetext"/>
        <w:rPr>
          <w:lang w:val="en-US"/>
        </w:rPr>
      </w:pPr>
      <w:proofErr w:type="spellStart"/>
      <w:r w:rsidRPr="007D09C1">
        <w:rPr>
          <w:lang w:val="en-US"/>
        </w:rPr>
        <w:t>Piscitelli</w:t>
      </w:r>
      <w:proofErr w:type="spellEnd"/>
      <w:r w:rsidRPr="007D09C1">
        <w:rPr>
          <w:lang w:val="en-US"/>
        </w:rPr>
        <w:t xml:space="preserve"> F., </w:t>
      </w:r>
      <w:proofErr w:type="spellStart"/>
      <w:r w:rsidRPr="007D09C1">
        <w:rPr>
          <w:lang w:val="en-US"/>
        </w:rPr>
        <w:t>Buonocore</w:t>
      </w:r>
      <w:proofErr w:type="spellEnd"/>
      <w:r w:rsidRPr="007D09C1">
        <w:rPr>
          <w:lang w:val="en-US"/>
        </w:rPr>
        <w:t xml:space="preserve"> G.G., </w:t>
      </w:r>
      <w:proofErr w:type="spellStart"/>
      <w:r w:rsidRPr="007D09C1">
        <w:rPr>
          <w:lang w:val="en-US"/>
        </w:rPr>
        <w:t>Lavorgna</w:t>
      </w:r>
      <w:proofErr w:type="spellEnd"/>
      <w:r w:rsidRPr="007D09C1">
        <w:rPr>
          <w:lang w:val="en-US"/>
        </w:rPr>
        <w:t xml:space="preserve"> M., </w:t>
      </w:r>
      <w:proofErr w:type="spellStart"/>
      <w:r w:rsidRPr="007D09C1">
        <w:rPr>
          <w:lang w:val="en-US"/>
        </w:rPr>
        <w:t>Verdolotti</w:t>
      </w:r>
      <w:proofErr w:type="spellEnd"/>
      <w:r w:rsidRPr="007D09C1">
        <w:rPr>
          <w:lang w:val="en-US"/>
        </w:rPr>
        <w:t xml:space="preserve"> L., Pricl S., Gentile G., </w:t>
      </w:r>
      <w:proofErr w:type="spellStart"/>
      <w:r w:rsidRPr="007D09C1">
        <w:rPr>
          <w:lang w:val="en-US"/>
        </w:rPr>
        <w:t>Mascia</w:t>
      </w:r>
      <w:proofErr w:type="spellEnd"/>
      <w:r w:rsidRPr="007D09C1">
        <w:rPr>
          <w:lang w:val="en-US"/>
        </w:rPr>
        <w:t xml:space="preserve"> L., 2015, Peculiarities in the Structure – Properties </w:t>
      </w:r>
      <w:r>
        <w:rPr>
          <w:lang w:val="en-US"/>
        </w:rPr>
        <w:t>R</w:t>
      </w:r>
      <w:r w:rsidRPr="007D09C1">
        <w:rPr>
          <w:lang w:val="en-US"/>
        </w:rPr>
        <w:t xml:space="preserve">elationship of </w:t>
      </w:r>
      <w:r>
        <w:rPr>
          <w:lang w:val="en-US"/>
        </w:rPr>
        <w:t>E</w:t>
      </w:r>
      <w:r w:rsidRPr="007D09C1">
        <w:rPr>
          <w:lang w:val="en-US"/>
        </w:rPr>
        <w:t>poxy-</w:t>
      </w:r>
      <w:r>
        <w:rPr>
          <w:lang w:val="en-US"/>
        </w:rPr>
        <w:t>S</w:t>
      </w:r>
      <w:r w:rsidRPr="007D09C1">
        <w:rPr>
          <w:lang w:val="en-US"/>
        </w:rPr>
        <w:t xml:space="preserve">ilica </w:t>
      </w:r>
      <w:r>
        <w:rPr>
          <w:lang w:val="en-US"/>
        </w:rPr>
        <w:t>H</w:t>
      </w:r>
      <w:r w:rsidRPr="007D09C1">
        <w:rPr>
          <w:lang w:val="en-US"/>
        </w:rPr>
        <w:t xml:space="preserve">ybrids with </w:t>
      </w:r>
      <w:r>
        <w:rPr>
          <w:lang w:val="en-US"/>
        </w:rPr>
        <w:t>H</w:t>
      </w:r>
      <w:r w:rsidRPr="007D09C1">
        <w:rPr>
          <w:lang w:val="en-US"/>
        </w:rPr>
        <w:t xml:space="preserve">ighly </w:t>
      </w:r>
      <w:r>
        <w:rPr>
          <w:lang w:val="en-US"/>
        </w:rPr>
        <w:t>O</w:t>
      </w:r>
      <w:r w:rsidRPr="007D09C1">
        <w:rPr>
          <w:lang w:val="en-US"/>
        </w:rPr>
        <w:t xml:space="preserve">rganic </w:t>
      </w:r>
      <w:r>
        <w:rPr>
          <w:lang w:val="en-US"/>
        </w:rPr>
        <w:t>S</w:t>
      </w:r>
      <w:r w:rsidRPr="007D09C1">
        <w:rPr>
          <w:lang w:val="en-US"/>
        </w:rPr>
        <w:t xml:space="preserve">iloxane </w:t>
      </w:r>
      <w:r>
        <w:rPr>
          <w:lang w:val="en-US"/>
        </w:rPr>
        <w:t>D</w:t>
      </w:r>
      <w:r w:rsidRPr="007D09C1">
        <w:rPr>
          <w:lang w:val="en-US"/>
        </w:rPr>
        <w:t>omains</w:t>
      </w:r>
      <w:r>
        <w:rPr>
          <w:lang w:val="en-US"/>
        </w:rPr>
        <w:t>, Polymer, 63, 222-229.</w:t>
      </w:r>
    </w:p>
    <w:p w14:paraId="7180B592" w14:textId="77777777" w:rsidR="00EF565E" w:rsidRPr="00EF565E" w:rsidRDefault="00EF565E" w:rsidP="00B0389A">
      <w:pPr>
        <w:pStyle w:val="CETReferencetext"/>
        <w:rPr>
          <w:lang w:val="en-US"/>
        </w:rPr>
      </w:pPr>
      <w:proofErr w:type="spellStart"/>
      <w:r w:rsidRPr="00EF565E">
        <w:rPr>
          <w:lang w:val="en-US"/>
        </w:rPr>
        <w:t>Posocco</w:t>
      </w:r>
      <w:proofErr w:type="spellEnd"/>
      <w:r w:rsidRPr="00EF565E">
        <w:rPr>
          <w:lang w:val="en-US"/>
        </w:rPr>
        <w:t xml:space="preserve"> P., Hassan Y.M., </w:t>
      </w:r>
      <w:proofErr w:type="spellStart"/>
      <w:r w:rsidRPr="00EF565E">
        <w:rPr>
          <w:lang w:val="en-US"/>
        </w:rPr>
        <w:t>Barandiaran</w:t>
      </w:r>
      <w:proofErr w:type="spellEnd"/>
      <w:r w:rsidRPr="00EF565E">
        <w:rPr>
          <w:lang w:val="en-US"/>
        </w:rPr>
        <w:t xml:space="preserve"> I., </w:t>
      </w:r>
      <w:proofErr w:type="spellStart"/>
      <w:r w:rsidRPr="00EF565E">
        <w:rPr>
          <w:lang w:val="en-US"/>
        </w:rPr>
        <w:t>Kortaberria</w:t>
      </w:r>
      <w:proofErr w:type="spellEnd"/>
      <w:r w:rsidRPr="00EF565E">
        <w:rPr>
          <w:lang w:val="en-US"/>
        </w:rPr>
        <w:t xml:space="preserve"> G, Pricl S., </w:t>
      </w:r>
      <w:proofErr w:type="spellStart"/>
      <w:r w:rsidRPr="00EF565E">
        <w:rPr>
          <w:lang w:val="en-US"/>
        </w:rPr>
        <w:t>Fermeglia</w:t>
      </w:r>
      <w:proofErr w:type="spellEnd"/>
      <w:r w:rsidRPr="00EF565E">
        <w:rPr>
          <w:lang w:val="en-US"/>
        </w:rPr>
        <w:t xml:space="preserve">, M., 2016, Combined Mesoscale/Experimental Study of Selective Placement of Magnetic Nanoparticles in </w:t>
      </w:r>
      <w:proofErr w:type="spellStart"/>
      <w:r w:rsidRPr="00EF565E">
        <w:rPr>
          <w:lang w:val="en-US"/>
        </w:rPr>
        <w:t>Diblock</w:t>
      </w:r>
      <w:proofErr w:type="spellEnd"/>
      <w:r w:rsidRPr="00EF565E">
        <w:rPr>
          <w:lang w:val="en-US"/>
        </w:rPr>
        <w:t xml:space="preserve"> Copolymer Films via Solvent Vapor Annealing, Journal of Physical Chemistry C, 120, 7403-7411</w:t>
      </w:r>
      <w:r>
        <w:rPr>
          <w:lang w:val="en-US"/>
        </w:rPr>
        <w:t>.</w:t>
      </w:r>
    </w:p>
    <w:p w14:paraId="71C29F3E" w14:textId="77777777" w:rsidR="001404D0" w:rsidRDefault="001404D0" w:rsidP="001404D0">
      <w:pPr>
        <w:pStyle w:val="CETReferencetext"/>
      </w:pPr>
      <w:proofErr w:type="spellStart"/>
      <w:r>
        <w:t>Urbaczewski</w:t>
      </w:r>
      <w:r>
        <w:rPr>
          <w:rFonts w:ascii="Cambria Math" w:hAnsi="Cambria Math" w:cs="Cambria Math"/>
        </w:rPr>
        <w:t>‐</w:t>
      </w:r>
      <w:r>
        <w:t>Espuche</w:t>
      </w:r>
      <w:proofErr w:type="spellEnd"/>
      <w:r>
        <w:t xml:space="preserve"> E., </w:t>
      </w:r>
      <w:proofErr w:type="spellStart"/>
      <w:r>
        <w:t>Galy</w:t>
      </w:r>
      <w:proofErr w:type="spellEnd"/>
      <w:r>
        <w:t xml:space="preserve"> J., Gerard J.-F., </w:t>
      </w:r>
      <w:proofErr w:type="spellStart"/>
      <w:r>
        <w:t>Pascault</w:t>
      </w:r>
      <w:proofErr w:type="spellEnd"/>
      <w:r>
        <w:t xml:space="preserve"> J.-P., </w:t>
      </w:r>
      <w:proofErr w:type="spellStart"/>
      <w:r>
        <w:t>Sautereau</w:t>
      </w:r>
      <w:proofErr w:type="spellEnd"/>
      <w:r>
        <w:t xml:space="preserve"> H., 1991, </w:t>
      </w:r>
      <w:r w:rsidRPr="00CE3397">
        <w:t>Influence of chain flexibility and crosslink density on mechanical properties of epoxy/amine networks</w:t>
      </w:r>
      <w:r>
        <w:t>, Polymer Engineering and Science, 31, 1572-1580.</w:t>
      </w:r>
    </w:p>
    <w:p w14:paraId="5263FB71" w14:textId="77777777" w:rsidR="006B4888" w:rsidRPr="000D56D6" w:rsidRDefault="00B0389A" w:rsidP="007C5A96">
      <w:pPr>
        <w:pStyle w:val="CETReferencetext"/>
      </w:pPr>
      <w:r w:rsidRPr="00B0389A">
        <w:t>Won</w:t>
      </w:r>
      <w:r>
        <w:t xml:space="preserve"> Y.-G.</w:t>
      </w:r>
      <w:r w:rsidR="004763A6">
        <w:t xml:space="preserve">, </w:t>
      </w:r>
      <w:proofErr w:type="spellStart"/>
      <w:r w:rsidRPr="00B0389A">
        <w:t>Galy</w:t>
      </w:r>
      <w:proofErr w:type="spellEnd"/>
      <w:r>
        <w:t xml:space="preserve"> </w:t>
      </w:r>
      <w:r w:rsidR="004763A6">
        <w:t xml:space="preserve">J., </w:t>
      </w:r>
      <w:r w:rsidRPr="00B0389A">
        <w:t>Gérard</w:t>
      </w:r>
      <w:r>
        <w:t xml:space="preserve"> </w:t>
      </w:r>
      <w:r w:rsidR="004763A6">
        <w:t xml:space="preserve">J.-F., </w:t>
      </w:r>
      <w:proofErr w:type="spellStart"/>
      <w:r w:rsidRPr="00B0389A">
        <w:t>Pascault</w:t>
      </w:r>
      <w:proofErr w:type="spellEnd"/>
      <w:r>
        <w:t xml:space="preserve"> </w:t>
      </w:r>
      <w:r w:rsidR="004763A6">
        <w:t xml:space="preserve">J.-P., </w:t>
      </w:r>
      <w:proofErr w:type="spellStart"/>
      <w:r w:rsidRPr="00B0389A">
        <w:t>Bellenger</w:t>
      </w:r>
      <w:proofErr w:type="spellEnd"/>
      <w:r>
        <w:t xml:space="preserve"> </w:t>
      </w:r>
      <w:r w:rsidR="004763A6">
        <w:t xml:space="preserve">V., </w:t>
      </w:r>
      <w:proofErr w:type="spellStart"/>
      <w:r w:rsidRPr="00B0389A">
        <w:t>Verdu</w:t>
      </w:r>
      <w:proofErr w:type="spellEnd"/>
      <w:r w:rsidR="004763A6">
        <w:t xml:space="preserve"> J., 1990, </w:t>
      </w:r>
      <w:r w:rsidR="004763A6" w:rsidRPr="004763A6">
        <w:t xml:space="preserve">Internal </w:t>
      </w:r>
      <w:proofErr w:type="spellStart"/>
      <w:r w:rsidR="00CF0198">
        <w:t>A</w:t>
      </w:r>
      <w:r w:rsidR="004763A6" w:rsidRPr="004763A6">
        <w:t>ntiplasticization</w:t>
      </w:r>
      <w:proofErr w:type="spellEnd"/>
      <w:r w:rsidR="004763A6" w:rsidRPr="004763A6">
        <w:t xml:space="preserve"> in </w:t>
      </w:r>
      <w:r w:rsidR="00CF0198">
        <w:t>C</w:t>
      </w:r>
      <w:r w:rsidR="004763A6" w:rsidRPr="004763A6">
        <w:t xml:space="preserve">opolymer and </w:t>
      </w:r>
      <w:r w:rsidR="00CF0198">
        <w:t>T</w:t>
      </w:r>
      <w:r w:rsidR="004763A6" w:rsidRPr="004763A6">
        <w:t xml:space="preserve">erpolymer </w:t>
      </w:r>
      <w:r w:rsidR="00CF0198">
        <w:t>N</w:t>
      </w:r>
      <w:r w:rsidR="004763A6" w:rsidRPr="004763A6">
        <w:t xml:space="preserve">etworks </w:t>
      </w:r>
      <w:r w:rsidR="00CF0198">
        <w:t>B</w:t>
      </w:r>
      <w:r w:rsidR="004763A6" w:rsidRPr="004763A6">
        <w:t xml:space="preserve">ased on </w:t>
      </w:r>
      <w:proofErr w:type="spellStart"/>
      <w:r w:rsidR="00CF0198">
        <w:t>D</w:t>
      </w:r>
      <w:r w:rsidR="004763A6" w:rsidRPr="004763A6">
        <w:t>iepoxides</w:t>
      </w:r>
      <w:proofErr w:type="spellEnd"/>
      <w:r w:rsidR="004763A6" w:rsidRPr="004763A6">
        <w:t xml:space="preserve">, </w:t>
      </w:r>
      <w:r w:rsidR="00CF0198">
        <w:t>D</w:t>
      </w:r>
      <w:r w:rsidR="004763A6" w:rsidRPr="004763A6">
        <w:t xml:space="preserve">iamines and </w:t>
      </w:r>
      <w:r w:rsidR="00CF0198">
        <w:t>M</w:t>
      </w:r>
      <w:r w:rsidR="004763A6" w:rsidRPr="004763A6">
        <w:t>onoamines</w:t>
      </w:r>
      <w:r w:rsidR="004763A6">
        <w:t xml:space="preserve">, </w:t>
      </w:r>
      <w:r w:rsidR="007154A6">
        <w:t xml:space="preserve">Polymer </w:t>
      </w:r>
      <w:r w:rsidR="004763A6">
        <w:t>31, 1787-1792.</w:t>
      </w:r>
    </w:p>
    <w:sectPr w:rsidR="006B4888" w:rsidRPr="000D56D6"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048AD" w14:textId="77777777" w:rsidR="00470C86" w:rsidRDefault="00470C86" w:rsidP="004F5E36">
      <w:r>
        <w:separator/>
      </w:r>
    </w:p>
  </w:endnote>
  <w:endnote w:type="continuationSeparator" w:id="0">
    <w:p w14:paraId="24178E9C" w14:textId="77777777" w:rsidR="00470C86" w:rsidRDefault="00470C8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89721" w14:textId="77777777" w:rsidR="00470C86" w:rsidRDefault="00470C86" w:rsidP="004F5E36">
      <w:r>
        <w:separator/>
      </w:r>
    </w:p>
  </w:footnote>
  <w:footnote w:type="continuationSeparator" w:id="0">
    <w:p w14:paraId="03A707ED" w14:textId="77777777" w:rsidR="00470C86" w:rsidRDefault="00470C86"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menico Marson">
    <w15:presenceInfo w15:providerId="Windows Live" w15:userId="801b7f3c20d96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1"/>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7702"/>
    <w:rsid w:val="000271A2"/>
    <w:rsid w:val="0003148D"/>
    <w:rsid w:val="00047D7F"/>
    <w:rsid w:val="00050703"/>
    <w:rsid w:val="00051566"/>
    <w:rsid w:val="00054B7B"/>
    <w:rsid w:val="00056BF0"/>
    <w:rsid w:val="00060B97"/>
    <w:rsid w:val="00062A9A"/>
    <w:rsid w:val="00065058"/>
    <w:rsid w:val="00086C39"/>
    <w:rsid w:val="000A03B2"/>
    <w:rsid w:val="000A3B79"/>
    <w:rsid w:val="000C766A"/>
    <w:rsid w:val="000D34BE"/>
    <w:rsid w:val="000D4BBB"/>
    <w:rsid w:val="000E102F"/>
    <w:rsid w:val="000E2C17"/>
    <w:rsid w:val="000E36F1"/>
    <w:rsid w:val="000E3A73"/>
    <w:rsid w:val="000E414A"/>
    <w:rsid w:val="000F093C"/>
    <w:rsid w:val="000F16BD"/>
    <w:rsid w:val="000F1D36"/>
    <w:rsid w:val="000F787B"/>
    <w:rsid w:val="00100BAC"/>
    <w:rsid w:val="001158E7"/>
    <w:rsid w:val="001201CD"/>
    <w:rsid w:val="0012091F"/>
    <w:rsid w:val="001236A5"/>
    <w:rsid w:val="00126BC2"/>
    <w:rsid w:val="001308B6"/>
    <w:rsid w:val="0013121F"/>
    <w:rsid w:val="00131FAB"/>
    <w:rsid w:val="00131FE6"/>
    <w:rsid w:val="0013263F"/>
    <w:rsid w:val="00134DE4"/>
    <w:rsid w:val="0014034D"/>
    <w:rsid w:val="001404D0"/>
    <w:rsid w:val="00150E59"/>
    <w:rsid w:val="00152DE3"/>
    <w:rsid w:val="00162642"/>
    <w:rsid w:val="00164CF9"/>
    <w:rsid w:val="0018057B"/>
    <w:rsid w:val="00184AD6"/>
    <w:rsid w:val="0019241F"/>
    <w:rsid w:val="001A292B"/>
    <w:rsid w:val="001B0349"/>
    <w:rsid w:val="001B65C1"/>
    <w:rsid w:val="001C684B"/>
    <w:rsid w:val="001D53FC"/>
    <w:rsid w:val="001F42A5"/>
    <w:rsid w:val="001F7B9D"/>
    <w:rsid w:val="0020065E"/>
    <w:rsid w:val="00201B37"/>
    <w:rsid w:val="002224B4"/>
    <w:rsid w:val="00243971"/>
    <w:rsid w:val="002447EF"/>
    <w:rsid w:val="00251550"/>
    <w:rsid w:val="00252C1A"/>
    <w:rsid w:val="00263B05"/>
    <w:rsid w:val="00266BC3"/>
    <w:rsid w:val="0027221A"/>
    <w:rsid w:val="002747E2"/>
    <w:rsid w:val="00275B61"/>
    <w:rsid w:val="0027738A"/>
    <w:rsid w:val="00282656"/>
    <w:rsid w:val="002958B1"/>
    <w:rsid w:val="00296B83"/>
    <w:rsid w:val="002B78CE"/>
    <w:rsid w:val="002C1E49"/>
    <w:rsid w:val="002C2FB6"/>
    <w:rsid w:val="002C5052"/>
    <w:rsid w:val="002D5BCD"/>
    <w:rsid w:val="003008F5"/>
    <w:rsid w:val="003009B7"/>
    <w:rsid w:val="00300E56"/>
    <w:rsid w:val="0030469C"/>
    <w:rsid w:val="00321CA6"/>
    <w:rsid w:val="00334C09"/>
    <w:rsid w:val="003365E3"/>
    <w:rsid w:val="0035051E"/>
    <w:rsid w:val="003560E4"/>
    <w:rsid w:val="003638E0"/>
    <w:rsid w:val="003723D4"/>
    <w:rsid w:val="003732DC"/>
    <w:rsid w:val="003801AD"/>
    <w:rsid w:val="00384CC8"/>
    <w:rsid w:val="003871FD"/>
    <w:rsid w:val="003A1E30"/>
    <w:rsid w:val="003A7D1C"/>
    <w:rsid w:val="003B304B"/>
    <w:rsid w:val="003B3146"/>
    <w:rsid w:val="003B60F3"/>
    <w:rsid w:val="003E7A7F"/>
    <w:rsid w:val="003F015E"/>
    <w:rsid w:val="003F236B"/>
    <w:rsid w:val="003F7F3A"/>
    <w:rsid w:val="00400414"/>
    <w:rsid w:val="0041446B"/>
    <w:rsid w:val="0044329C"/>
    <w:rsid w:val="0044552B"/>
    <w:rsid w:val="00454407"/>
    <w:rsid w:val="004577FE"/>
    <w:rsid w:val="00457B9C"/>
    <w:rsid w:val="0046164A"/>
    <w:rsid w:val="004628D2"/>
    <w:rsid w:val="00462DCD"/>
    <w:rsid w:val="004648AD"/>
    <w:rsid w:val="004703A9"/>
    <w:rsid w:val="00470C86"/>
    <w:rsid w:val="004760DE"/>
    <w:rsid w:val="004763A6"/>
    <w:rsid w:val="00491DD7"/>
    <w:rsid w:val="00494210"/>
    <w:rsid w:val="004A004E"/>
    <w:rsid w:val="004A24CF"/>
    <w:rsid w:val="004B6721"/>
    <w:rsid w:val="004C3D1D"/>
    <w:rsid w:val="004C7913"/>
    <w:rsid w:val="004E3B31"/>
    <w:rsid w:val="004E4DD6"/>
    <w:rsid w:val="004F5E36"/>
    <w:rsid w:val="005023C4"/>
    <w:rsid w:val="00507B47"/>
    <w:rsid w:val="00507CC9"/>
    <w:rsid w:val="0051056B"/>
    <w:rsid w:val="005119A5"/>
    <w:rsid w:val="00514461"/>
    <w:rsid w:val="00517675"/>
    <w:rsid w:val="005278B7"/>
    <w:rsid w:val="00532016"/>
    <w:rsid w:val="005346C8"/>
    <w:rsid w:val="00543E7D"/>
    <w:rsid w:val="00546B05"/>
    <w:rsid w:val="00547A68"/>
    <w:rsid w:val="005531C9"/>
    <w:rsid w:val="00560922"/>
    <w:rsid w:val="005936A7"/>
    <w:rsid w:val="005A0644"/>
    <w:rsid w:val="005B2110"/>
    <w:rsid w:val="005B4EA7"/>
    <w:rsid w:val="005B61E6"/>
    <w:rsid w:val="005C02AE"/>
    <w:rsid w:val="005C77E1"/>
    <w:rsid w:val="005D2D99"/>
    <w:rsid w:val="005D6A2F"/>
    <w:rsid w:val="005E1A82"/>
    <w:rsid w:val="005E23B1"/>
    <w:rsid w:val="005E794C"/>
    <w:rsid w:val="005F034D"/>
    <w:rsid w:val="005F0A28"/>
    <w:rsid w:val="005F0E5E"/>
    <w:rsid w:val="005F1CAB"/>
    <w:rsid w:val="00600535"/>
    <w:rsid w:val="0060631C"/>
    <w:rsid w:val="00610CD6"/>
    <w:rsid w:val="00617A07"/>
    <w:rsid w:val="00620DEE"/>
    <w:rsid w:val="00621F92"/>
    <w:rsid w:val="00625639"/>
    <w:rsid w:val="006266D8"/>
    <w:rsid w:val="00631B33"/>
    <w:rsid w:val="0064184D"/>
    <w:rsid w:val="006422CC"/>
    <w:rsid w:val="00660E3E"/>
    <w:rsid w:val="00662E74"/>
    <w:rsid w:val="00680C23"/>
    <w:rsid w:val="00681215"/>
    <w:rsid w:val="00693766"/>
    <w:rsid w:val="00694B67"/>
    <w:rsid w:val="006A3281"/>
    <w:rsid w:val="006B456E"/>
    <w:rsid w:val="006B4888"/>
    <w:rsid w:val="006B4945"/>
    <w:rsid w:val="006C2E45"/>
    <w:rsid w:val="006C359C"/>
    <w:rsid w:val="006C5579"/>
    <w:rsid w:val="006E737D"/>
    <w:rsid w:val="006F2559"/>
    <w:rsid w:val="006F731F"/>
    <w:rsid w:val="006F7FAA"/>
    <w:rsid w:val="0070195D"/>
    <w:rsid w:val="007154A6"/>
    <w:rsid w:val="007207FE"/>
    <w:rsid w:val="00720A24"/>
    <w:rsid w:val="00732386"/>
    <w:rsid w:val="007447F3"/>
    <w:rsid w:val="0075499F"/>
    <w:rsid w:val="00763B4C"/>
    <w:rsid w:val="00763E79"/>
    <w:rsid w:val="007661C8"/>
    <w:rsid w:val="0077098D"/>
    <w:rsid w:val="00782222"/>
    <w:rsid w:val="007931FA"/>
    <w:rsid w:val="00796B51"/>
    <w:rsid w:val="007A7BBA"/>
    <w:rsid w:val="007B0C50"/>
    <w:rsid w:val="007C1A43"/>
    <w:rsid w:val="007C5A96"/>
    <w:rsid w:val="007D09C1"/>
    <w:rsid w:val="007D2DD0"/>
    <w:rsid w:val="007E1DC6"/>
    <w:rsid w:val="00813288"/>
    <w:rsid w:val="008168A7"/>
    <w:rsid w:val="008168FC"/>
    <w:rsid w:val="008232FF"/>
    <w:rsid w:val="008257F9"/>
    <w:rsid w:val="00830996"/>
    <w:rsid w:val="008345F1"/>
    <w:rsid w:val="008417C3"/>
    <w:rsid w:val="008454F8"/>
    <w:rsid w:val="00865B07"/>
    <w:rsid w:val="008667EA"/>
    <w:rsid w:val="0087637F"/>
    <w:rsid w:val="008904B9"/>
    <w:rsid w:val="00892AD5"/>
    <w:rsid w:val="008A1512"/>
    <w:rsid w:val="008B0090"/>
    <w:rsid w:val="008B3A26"/>
    <w:rsid w:val="008C78C1"/>
    <w:rsid w:val="008D32B9"/>
    <w:rsid w:val="008D433B"/>
    <w:rsid w:val="008E566E"/>
    <w:rsid w:val="0090161A"/>
    <w:rsid w:val="00901EB6"/>
    <w:rsid w:val="00904367"/>
    <w:rsid w:val="009045E2"/>
    <w:rsid w:val="00904C62"/>
    <w:rsid w:val="00922F79"/>
    <w:rsid w:val="00924DAC"/>
    <w:rsid w:val="00925281"/>
    <w:rsid w:val="00927058"/>
    <w:rsid w:val="009450CE"/>
    <w:rsid w:val="009457BC"/>
    <w:rsid w:val="00947179"/>
    <w:rsid w:val="0095164B"/>
    <w:rsid w:val="00953D6E"/>
    <w:rsid w:val="00954090"/>
    <w:rsid w:val="009573E7"/>
    <w:rsid w:val="009635B9"/>
    <w:rsid w:val="00963E05"/>
    <w:rsid w:val="0096502B"/>
    <w:rsid w:val="00967D54"/>
    <w:rsid w:val="00980481"/>
    <w:rsid w:val="00983265"/>
    <w:rsid w:val="00996483"/>
    <w:rsid w:val="00996AD4"/>
    <w:rsid w:val="00996F5A"/>
    <w:rsid w:val="009A0A3E"/>
    <w:rsid w:val="009B041A"/>
    <w:rsid w:val="009B055F"/>
    <w:rsid w:val="009B7BC0"/>
    <w:rsid w:val="009C7C86"/>
    <w:rsid w:val="009D2ED7"/>
    <w:rsid w:val="009D2FF7"/>
    <w:rsid w:val="009E6B3C"/>
    <w:rsid w:val="009E7884"/>
    <w:rsid w:val="009E788A"/>
    <w:rsid w:val="009F0DA4"/>
    <w:rsid w:val="009F0E08"/>
    <w:rsid w:val="00A03A9C"/>
    <w:rsid w:val="00A1763D"/>
    <w:rsid w:val="00A17CEC"/>
    <w:rsid w:val="00A254C3"/>
    <w:rsid w:val="00A27EF0"/>
    <w:rsid w:val="00A35CAE"/>
    <w:rsid w:val="00A50B20"/>
    <w:rsid w:val="00A51390"/>
    <w:rsid w:val="00A60D13"/>
    <w:rsid w:val="00A66B20"/>
    <w:rsid w:val="00A72745"/>
    <w:rsid w:val="00A76EFC"/>
    <w:rsid w:val="00A91010"/>
    <w:rsid w:val="00A97F29"/>
    <w:rsid w:val="00AA702E"/>
    <w:rsid w:val="00AB0964"/>
    <w:rsid w:val="00AB5011"/>
    <w:rsid w:val="00AB52EE"/>
    <w:rsid w:val="00AC7368"/>
    <w:rsid w:val="00AD16B9"/>
    <w:rsid w:val="00AE377D"/>
    <w:rsid w:val="00B0389A"/>
    <w:rsid w:val="00B12B50"/>
    <w:rsid w:val="00B17FBD"/>
    <w:rsid w:val="00B21BE3"/>
    <w:rsid w:val="00B315A6"/>
    <w:rsid w:val="00B31813"/>
    <w:rsid w:val="00B33365"/>
    <w:rsid w:val="00B57B36"/>
    <w:rsid w:val="00B83F96"/>
    <w:rsid w:val="00B84926"/>
    <w:rsid w:val="00B8686D"/>
    <w:rsid w:val="00BA7F5B"/>
    <w:rsid w:val="00BB2A0C"/>
    <w:rsid w:val="00BC30C9"/>
    <w:rsid w:val="00BE3E58"/>
    <w:rsid w:val="00C01616"/>
    <w:rsid w:val="00C0162B"/>
    <w:rsid w:val="00C02617"/>
    <w:rsid w:val="00C0786B"/>
    <w:rsid w:val="00C345B1"/>
    <w:rsid w:val="00C40142"/>
    <w:rsid w:val="00C40296"/>
    <w:rsid w:val="00C57182"/>
    <w:rsid w:val="00C57863"/>
    <w:rsid w:val="00C655FD"/>
    <w:rsid w:val="00C870A8"/>
    <w:rsid w:val="00C94434"/>
    <w:rsid w:val="00CA0D75"/>
    <w:rsid w:val="00CA1C95"/>
    <w:rsid w:val="00CA59CE"/>
    <w:rsid w:val="00CA5A9C"/>
    <w:rsid w:val="00CB2D54"/>
    <w:rsid w:val="00CB4262"/>
    <w:rsid w:val="00CD3517"/>
    <w:rsid w:val="00CD4578"/>
    <w:rsid w:val="00CD5A00"/>
    <w:rsid w:val="00CD5FE2"/>
    <w:rsid w:val="00CD6412"/>
    <w:rsid w:val="00CD76CF"/>
    <w:rsid w:val="00CE3397"/>
    <w:rsid w:val="00CE7C68"/>
    <w:rsid w:val="00CF0046"/>
    <w:rsid w:val="00CF0198"/>
    <w:rsid w:val="00D02B4C"/>
    <w:rsid w:val="00D040C4"/>
    <w:rsid w:val="00D0469D"/>
    <w:rsid w:val="00D051FD"/>
    <w:rsid w:val="00D214D8"/>
    <w:rsid w:val="00D321BD"/>
    <w:rsid w:val="00D351DE"/>
    <w:rsid w:val="00D57C84"/>
    <w:rsid w:val="00D6057D"/>
    <w:rsid w:val="00D82829"/>
    <w:rsid w:val="00D84576"/>
    <w:rsid w:val="00D904D5"/>
    <w:rsid w:val="00D90EAD"/>
    <w:rsid w:val="00DA1399"/>
    <w:rsid w:val="00DA24C6"/>
    <w:rsid w:val="00DA4D7B"/>
    <w:rsid w:val="00DA5636"/>
    <w:rsid w:val="00DC1E00"/>
    <w:rsid w:val="00DE1BCD"/>
    <w:rsid w:val="00DE264A"/>
    <w:rsid w:val="00DF5BC9"/>
    <w:rsid w:val="00E01D12"/>
    <w:rsid w:val="00E02D18"/>
    <w:rsid w:val="00E041E7"/>
    <w:rsid w:val="00E15A27"/>
    <w:rsid w:val="00E15E69"/>
    <w:rsid w:val="00E22137"/>
    <w:rsid w:val="00E23CA1"/>
    <w:rsid w:val="00E26995"/>
    <w:rsid w:val="00E409A8"/>
    <w:rsid w:val="00E45E0B"/>
    <w:rsid w:val="00E50C12"/>
    <w:rsid w:val="00E57E05"/>
    <w:rsid w:val="00E65B91"/>
    <w:rsid w:val="00E7209D"/>
    <w:rsid w:val="00E77223"/>
    <w:rsid w:val="00E8528B"/>
    <w:rsid w:val="00E85B94"/>
    <w:rsid w:val="00E90E31"/>
    <w:rsid w:val="00E956D1"/>
    <w:rsid w:val="00E978D0"/>
    <w:rsid w:val="00EA4613"/>
    <w:rsid w:val="00EA7F91"/>
    <w:rsid w:val="00EB1523"/>
    <w:rsid w:val="00EC0E49"/>
    <w:rsid w:val="00EC2994"/>
    <w:rsid w:val="00EC5C4E"/>
    <w:rsid w:val="00EE0131"/>
    <w:rsid w:val="00EF565E"/>
    <w:rsid w:val="00F0315C"/>
    <w:rsid w:val="00F06499"/>
    <w:rsid w:val="00F155B2"/>
    <w:rsid w:val="00F30C64"/>
    <w:rsid w:val="00F31C0A"/>
    <w:rsid w:val="00F32CDB"/>
    <w:rsid w:val="00F63A70"/>
    <w:rsid w:val="00F76662"/>
    <w:rsid w:val="00F77983"/>
    <w:rsid w:val="00F95A6F"/>
    <w:rsid w:val="00FA21D0"/>
    <w:rsid w:val="00FA5F5F"/>
    <w:rsid w:val="00FA714C"/>
    <w:rsid w:val="00FB730C"/>
    <w:rsid w:val="00FC2695"/>
    <w:rsid w:val="00FC3E03"/>
    <w:rsid w:val="00FC3FC1"/>
    <w:rsid w:val="00FE7089"/>
    <w:rsid w:val="00FF1A25"/>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B5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4563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792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2.png"/><Relationship Id="rId21" Type="http://schemas.openxmlformats.org/officeDocument/2006/relationships/image" Target="media/image13.jpeg"/><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4645-0D02-5748-9247-09437151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3252</Words>
  <Characters>18542</Characters>
  <Application>Microsoft Macintosh Word</Application>
  <DocSecurity>0</DocSecurity>
  <Lines>154</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Sabrina Pricl</cp:lastModifiedBy>
  <cp:revision>15</cp:revision>
  <cp:lastPrinted>2015-05-12T18:31:00Z</cp:lastPrinted>
  <dcterms:created xsi:type="dcterms:W3CDTF">2019-04-01T17:00:00Z</dcterms:created>
  <dcterms:modified xsi:type="dcterms:W3CDTF">2019-04-01T17:50:00Z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