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95014">
        <w:trPr>
          <w:trHeight w:val="852"/>
          <w:jc w:val="center"/>
        </w:trPr>
        <w:tc>
          <w:tcPr>
            <w:tcW w:w="6946" w:type="dxa"/>
            <w:vMerge w:val="restart"/>
            <w:tcBorders>
              <w:right w:val="single" w:sz="4" w:space="0" w:color="auto"/>
            </w:tcBorders>
          </w:tcPr>
          <w:p w:rsidR="000A03B2" w:rsidRPr="00895014" w:rsidRDefault="000A03B2" w:rsidP="00DE264A">
            <w:pPr>
              <w:tabs>
                <w:tab w:val="left" w:pos="-108"/>
              </w:tabs>
              <w:ind w:left="-108"/>
              <w:jc w:val="left"/>
              <w:rPr>
                <w:rFonts w:cs="Arial"/>
                <w:b/>
                <w:bCs/>
                <w:i/>
                <w:iCs/>
                <w:color w:val="000066"/>
                <w:sz w:val="12"/>
                <w:szCs w:val="12"/>
                <w:lang w:eastAsia="it-IT"/>
              </w:rPr>
            </w:pPr>
            <w:r w:rsidRPr="00895014">
              <w:rPr>
                <w:rFonts w:ascii="AdvP6960" w:hAnsi="AdvP6960" w:cs="AdvP6960"/>
                <w:noProof/>
                <w:color w:val="241F20"/>
                <w:szCs w:val="18"/>
                <w:lang w:val="en-US"/>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95014">
              <w:rPr>
                <w:rFonts w:ascii="AdvP6960" w:hAnsi="AdvP6960" w:cs="AdvP6960"/>
                <w:color w:val="241F20"/>
                <w:szCs w:val="18"/>
                <w:lang w:eastAsia="it-IT"/>
              </w:rPr>
              <w:t xml:space="preserve"> </w:t>
            </w:r>
            <w:r w:rsidRPr="00895014">
              <w:rPr>
                <w:rFonts w:cs="Arial"/>
                <w:b/>
                <w:bCs/>
                <w:i/>
                <w:iCs/>
                <w:color w:val="000066"/>
                <w:sz w:val="24"/>
                <w:szCs w:val="24"/>
                <w:lang w:eastAsia="it-IT"/>
              </w:rPr>
              <w:t>CHEMICAL ENGINEERING</w:t>
            </w:r>
            <w:r w:rsidRPr="00895014">
              <w:rPr>
                <w:rFonts w:cs="Arial"/>
                <w:b/>
                <w:bCs/>
                <w:i/>
                <w:iCs/>
                <w:color w:val="0033FF"/>
                <w:sz w:val="24"/>
                <w:szCs w:val="24"/>
                <w:lang w:eastAsia="it-IT"/>
              </w:rPr>
              <w:t xml:space="preserve"> </w:t>
            </w:r>
            <w:r w:rsidRPr="00895014">
              <w:rPr>
                <w:rFonts w:cs="Arial"/>
                <w:b/>
                <w:bCs/>
                <w:i/>
                <w:iCs/>
                <w:color w:val="666666"/>
                <w:sz w:val="24"/>
                <w:szCs w:val="24"/>
                <w:lang w:eastAsia="it-IT"/>
              </w:rPr>
              <w:t>TRANSACTIONS</w:t>
            </w:r>
            <w:r w:rsidRPr="00895014">
              <w:rPr>
                <w:color w:val="333333"/>
                <w:sz w:val="24"/>
                <w:szCs w:val="24"/>
                <w:lang w:eastAsia="it-IT"/>
              </w:rPr>
              <w:t xml:space="preserve"> </w:t>
            </w:r>
            <w:r w:rsidRPr="00895014">
              <w:rPr>
                <w:rFonts w:cs="Arial"/>
                <w:b/>
                <w:bCs/>
                <w:i/>
                <w:iCs/>
                <w:color w:val="000066"/>
                <w:sz w:val="27"/>
                <w:szCs w:val="27"/>
                <w:lang w:eastAsia="it-IT"/>
              </w:rPr>
              <w:br/>
            </w:r>
          </w:p>
          <w:p w:rsidR="000A03B2" w:rsidRPr="00895014" w:rsidRDefault="00A76EFC" w:rsidP="009635B9">
            <w:pPr>
              <w:tabs>
                <w:tab w:val="left" w:pos="-108"/>
              </w:tabs>
              <w:ind w:left="-108"/>
              <w:rPr>
                <w:rFonts w:cs="Arial"/>
                <w:b/>
                <w:bCs/>
                <w:i/>
                <w:iCs/>
                <w:color w:val="000066"/>
                <w:sz w:val="22"/>
                <w:szCs w:val="22"/>
                <w:lang w:eastAsia="it-IT"/>
              </w:rPr>
            </w:pPr>
            <w:r w:rsidRPr="00895014">
              <w:rPr>
                <w:rFonts w:cs="Arial"/>
                <w:b/>
                <w:bCs/>
                <w:i/>
                <w:iCs/>
                <w:color w:val="000066"/>
                <w:sz w:val="22"/>
                <w:szCs w:val="22"/>
                <w:lang w:eastAsia="it-IT"/>
              </w:rPr>
              <w:t xml:space="preserve">VOL. </w:t>
            </w:r>
            <w:r w:rsidR="007931FA" w:rsidRPr="00895014">
              <w:rPr>
                <w:rFonts w:cs="Arial"/>
                <w:b/>
                <w:bCs/>
                <w:i/>
                <w:iCs/>
                <w:color w:val="000066"/>
                <w:sz w:val="22"/>
                <w:szCs w:val="22"/>
                <w:lang w:eastAsia="it-IT"/>
              </w:rPr>
              <w:t>7</w:t>
            </w:r>
            <w:r w:rsidR="009635B9" w:rsidRPr="00895014">
              <w:rPr>
                <w:rFonts w:cs="Arial"/>
                <w:b/>
                <w:bCs/>
                <w:i/>
                <w:iCs/>
                <w:color w:val="000066"/>
                <w:sz w:val="22"/>
                <w:szCs w:val="22"/>
                <w:lang w:eastAsia="it-IT"/>
              </w:rPr>
              <w:t>6</w:t>
            </w:r>
            <w:r w:rsidR="00FA5F5F" w:rsidRPr="00895014">
              <w:rPr>
                <w:rFonts w:cs="Arial"/>
                <w:b/>
                <w:bCs/>
                <w:i/>
                <w:iCs/>
                <w:color w:val="000066"/>
                <w:sz w:val="22"/>
                <w:szCs w:val="22"/>
                <w:lang w:eastAsia="it-IT"/>
              </w:rPr>
              <w:t>, 201</w:t>
            </w:r>
            <w:r w:rsidR="007931FA" w:rsidRPr="00895014">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895014" w:rsidRDefault="000A03B2" w:rsidP="00CD5FE2">
            <w:pPr>
              <w:spacing w:line="140" w:lineRule="atLeast"/>
              <w:jc w:val="right"/>
              <w:rPr>
                <w:rFonts w:cs="Arial"/>
                <w:sz w:val="14"/>
                <w:szCs w:val="14"/>
              </w:rPr>
            </w:pPr>
            <w:r w:rsidRPr="00895014">
              <w:rPr>
                <w:rFonts w:cs="Arial"/>
                <w:sz w:val="14"/>
                <w:szCs w:val="14"/>
              </w:rPr>
              <w:t>A publication of</w:t>
            </w:r>
          </w:p>
          <w:p w:rsidR="000A03B2" w:rsidRPr="00895014" w:rsidRDefault="000A03B2" w:rsidP="00CD5FE2">
            <w:pPr>
              <w:jc w:val="right"/>
            </w:pPr>
            <w:r w:rsidRPr="00895014">
              <w:rPr>
                <w:noProof/>
                <w:lang w:val="en-US"/>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95014">
        <w:trPr>
          <w:trHeight w:val="567"/>
          <w:jc w:val="center"/>
        </w:trPr>
        <w:tc>
          <w:tcPr>
            <w:tcW w:w="6946" w:type="dxa"/>
            <w:vMerge/>
            <w:tcBorders>
              <w:right w:val="single" w:sz="4" w:space="0" w:color="auto"/>
            </w:tcBorders>
          </w:tcPr>
          <w:p w:rsidR="000A03B2" w:rsidRPr="00895014" w:rsidRDefault="000A03B2" w:rsidP="00CD5FE2">
            <w:pPr>
              <w:tabs>
                <w:tab w:val="left" w:pos="-108"/>
              </w:tabs>
            </w:pPr>
          </w:p>
        </w:tc>
        <w:tc>
          <w:tcPr>
            <w:tcW w:w="1843" w:type="dxa"/>
            <w:tcBorders>
              <w:left w:val="single" w:sz="4" w:space="0" w:color="auto"/>
              <w:bottom w:val="nil"/>
              <w:right w:val="single" w:sz="4" w:space="0" w:color="auto"/>
            </w:tcBorders>
          </w:tcPr>
          <w:p w:rsidR="000A03B2" w:rsidRPr="00895014" w:rsidRDefault="000A03B2" w:rsidP="00CD5FE2">
            <w:pPr>
              <w:spacing w:line="140" w:lineRule="atLeast"/>
              <w:jc w:val="right"/>
              <w:rPr>
                <w:rFonts w:cs="Arial"/>
                <w:sz w:val="14"/>
                <w:szCs w:val="14"/>
              </w:rPr>
            </w:pPr>
            <w:r w:rsidRPr="00895014">
              <w:rPr>
                <w:rFonts w:cs="Arial"/>
                <w:sz w:val="14"/>
                <w:szCs w:val="14"/>
              </w:rPr>
              <w:t>The Italian Association</w:t>
            </w:r>
          </w:p>
          <w:p w:rsidR="000A03B2" w:rsidRPr="00895014" w:rsidRDefault="000A03B2" w:rsidP="00CD5FE2">
            <w:pPr>
              <w:spacing w:line="140" w:lineRule="atLeast"/>
              <w:jc w:val="right"/>
              <w:rPr>
                <w:rFonts w:cs="Arial"/>
                <w:sz w:val="14"/>
                <w:szCs w:val="14"/>
              </w:rPr>
            </w:pPr>
            <w:r w:rsidRPr="00895014">
              <w:rPr>
                <w:rFonts w:cs="Arial"/>
                <w:sz w:val="14"/>
                <w:szCs w:val="14"/>
              </w:rPr>
              <w:t>of Chemical Engineering</w:t>
            </w:r>
          </w:p>
          <w:p w:rsidR="000A03B2" w:rsidRPr="00895014" w:rsidRDefault="000A03B2" w:rsidP="00162642">
            <w:pPr>
              <w:spacing w:line="140" w:lineRule="atLeast"/>
              <w:jc w:val="right"/>
              <w:rPr>
                <w:rFonts w:cs="Arial"/>
                <w:sz w:val="14"/>
                <w:szCs w:val="14"/>
              </w:rPr>
            </w:pPr>
            <w:r w:rsidRPr="00895014">
              <w:rPr>
                <w:rFonts w:cs="Arial"/>
                <w:sz w:val="14"/>
                <w:szCs w:val="14"/>
              </w:rPr>
              <w:t xml:space="preserve">Online at </w:t>
            </w:r>
            <w:r w:rsidR="00162642" w:rsidRPr="00895014">
              <w:rPr>
                <w:rFonts w:cs="Arial"/>
                <w:sz w:val="14"/>
                <w:szCs w:val="14"/>
              </w:rPr>
              <w:t>www.cetjournal.it</w:t>
            </w:r>
          </w:p>
        </w:tc>
      </w:tr>
      <w:tr w:rsidR="000A03B2" w:rsidRPr="00895014">
        <w:trPr>
          <w:trHeight w:val="68"/>
          <w:jc w:val="center"/>
        </w:trPr>
        <w:tc>
          <w:tcPr>
            <w:tcW w:w="8789" w:type="dxa"/>
            <w:gridSpan w:val="2"/>
          </w:tcPr>
          <w:p w:rsidR="00300E56" w:rsidRPr="00895014" w:rsidRDefault="00300E56" w:rsidP="003365E3">
            <w:pPr>
              <w:ind w:left="-107"/>
              <w:rPr>
                <w:lang w:val="it-IT"/>
              </w:rPr>
            </w:pPr>
            <w:r w:rsidRPr="00895014">
              <w:rPr>
                <w:rFonts w:ascii="Tahoma" w:hAnsi="Tahoma" w:cs="Tahoma"/>
                <w:iCs/>
                <w:color w:val="333333"/>
                <w:sz w:val="14"/>
                <w:szCs w:val="14"/>
                <w:lang w:val="it-IT" w:eastAsia="it-IT"/>
              </w:rPr>
              <w:t>Guest Editors:</w:t>
            </w:r>
            <w:r w:rsidR="00904C62" w:rsidRPr="00895014">
              <w:rPr>
                <w:rFonts w:ascii="Tahoma" w:hAnsi="Tahoma" w:cs="Tahoma"/>
                <w:iCs/>
                <w:color w:val="333333"/>
                <w:sz w:val="14"/>
                <w:szCs w:val="14"/>
                <w:lang w:val="it-IT" w:eastAsia="it-IT"/>
              </w:rPr>
              <w:t xml:space="preserve"> </w:t>
            </w:r>
            <w:r w:rsidR="009635B9" w:rsidRPr="00895014">
              <w:rPr>
                <w:rFonts w:ascii="Tahoma" w:hAnsi="Tahoma" w:cs="Tahoma"/>
                <w:sz w:val="14"/>
                <w:szCs w:val="14"/>
                <w:lang w:val="it-IT"/>
              </w:rPr>
              <w:t>Sauro Pierucci,</w:t>
            </w:r>
            <w:r w:rsidR="003B60F3" w:rsidRPr="00895014">
              <w:rPr>
                <w:rFonts w:ascii="Tahoma" w:hAnsi="Tahoma" w:cs="Tahoma"/>
                <w:sz w:val="14"/>
                <w:szCs w:val="14"/>
                <w:lang w:val="it-IT"/>
              </w:rPr>
              <w:t xml:space="preserve"> </w:t>
            </w:r>
            <w:r w:rsidR="00047D7F" w:rsidRPr="00895014">
              <w:rPr>
                <w:rFonts w:ascii="Tahoma" w:hAnsi="Tahoma" w:cs="Tahoma"/>
                <w:sz w:val="14"/>
                <w:szCs w:val="14"/>
                <w:shd w:val="clear" w:color="auto" w:fill="FFFFFF"/>
                <w:lang w:val="it-IT"/>
              </w:rPr>
              <w:t>Jiří Jaromír Klemeš</w:t>
            </w:r>
            <w:r w:rsidR="00252C1A" w:rsidRPr="00895014">
              <w:rPr>
                <w:rFonts w:ascii="Tahoma" w:hAnsi="Tahoma" w:cs="Tahoma"/>
                <w:sz w:val="14"/>
                <w:szCs w:val="14"/>
                <w:shd w:val="clear" w:color="auto" w:fill="FFFFFF"/>
                <w:lang w:val="it-IT"/>
              </w:rPr>
              <w:t>, Laura Piazza</w:t>
            </w:r>
          </w:p>
          <w:p w:rsidR="000A03B2" w:rsidRPr="00895014" w:rsidRDefault="00FA5F5F" w:rsidP="00131FAB">
            <w:pPr>
              <w:tabs>
                <w:tab w:val="left" w:pos="-108"/>
              </w:tabs>
              <w:spacing w:line="140" w:lineRule="atLeast"/>
              <w:ind w:left="-107"/>
              <w:jc w:val="left"/>
            </w:pPr>
            <w:r w:rsidRPr="00895014">
              <w:rPr>
                <w:rFonts w:ascii="Tahoma" w:hAnsi="Tahoma" w:cs="Tahoma"/>
                <w:iCs/>
                <w:color w:val="333333"/>
                <w:sz w:val="14"/>
                <w:szCs w:val="14"/>
                <w:lang w:eastAsia="it-IT"/>
              </w:rPr>
              <w:t>Copyright © 201</w:t>
            </w:r>
            <w:r w:rsidR="007931FA" w:rsidRPr="00895014">
              <w:rPr>
                <w:rFonts w:ascii="Tahoma" w:hAnsi="Tahoma" w:cs="Tahoma"/>
                <w:iCs/>
                <w:color w:val="333333"/>
                <w:sz w:val="14"/>
                <w:szCs w:val="14"/>
                <w:lang w:eastAsia="it-IT"/>
              </w:rPr>
              <w:t>9</w:t>
            </w:r>
            <w:r w:rsidR="00904C62" w:rsidRPr="00895014">
              <w:rPr>
                <w:rFonts w:ascii="Tahoma" w:hAnsi="Tahoma" w:cs="Tahoma"/>
                <w:iCs/>
                <w:color w:val="333333"/>
                <w:sz w:val="14"/>
                <w:szCs w:val="14"/>
                <w:lang w:eastAsia="it-IT"/>
              </w:rPr>
              <w:t>, AIDIC Servizi S.r.l.</w:t>
            </w:r>
            <w:r w:rsidR="00300E56" w:rsidRPr="00895014">
              <w:rPr>
                <w:rFonts w:ascii="Tahoma" w:hAnsi="Tahoma" w:cs="Tahoma"/>
                <w:iCs/>
                <w:color w:val="333333"/>
                <w:sz w:val="14"/>
                <w:szCs w:val="14"/>
                <w:lang w:eastAsia="it-IT"/>
              </w:rPr>
              <w:br/>
            </w:r>
            <w:r w:rsidR="00300E56" w:rsidRPr="00895014">
              <w:rPr>
                <w:rFonts w:ascii="Tahoma" w:hAnsi="Tahoma" w:cs="Tahoma"/>
                <w:b/>
                <w:iCs/>
                <w:color w:val="000000"/>
                <w:sz w:val="14"/>
                <w:szCs w:val="14"/>
                <w:lang w:eastAsia="it-IT"/>
              </w:rPr>
              <w:t>ISBN</w:t>
            </w:r>
            <w:r w:rsidR="00300E56" w:rsidRPr="00895014">
              <w:rPr>
                <w:rFonts w:ascii="Tahoma" w:hAnsi="Tahoma" w:cs="Tahoma"/>
                <w:iCs/>
                <w:color w:val="000000"/>
                <w:sz w:val="14"/>
                <w:szCs w:val="14"/>
                <w:lang w:eastAsia="it-IT"/>
              </w:rPr>
              <w:t xml:space="preserve"> </w:t>
            </w:r>
            <w:r w:rsidR="008D32B9" w:rsidRPr="00895014">
              <w:rPr>
                <w:rFonts w:ascii="Tahoma" w:hAnsi="Tahoma" w:cs="Tahoma"/>
                <w:sz w:val="14"/>
                <w:szCs w:val="14"/>
              </w:rPr>
              <w:t>978-88-95608-</w:t>
            </w:r>
            <w:r w:rsidR="009635B9" w:rsidRPr="00895014">
              <w:rPr>
                <w:rFonts w:ascii="Tahoma" w:hAnsi="Tahoma" w:cs="Tahoma"/>
                <w:sz w:val="14"/>
                <w:szCs w:val="14"/>
              </w:rPr>
              <w:t>73</w:t>
            </w:r>
            <w:r w:rsidR="008D32B9" w:rsidRPr="00895014">
              <w:rPr>
                <w:rFonts w:ascii="Tahoma" w:hAnsi="Tahoma" w:cs="Tahoma"/>
                <w:sz w:val="14"/>
                <w:szCs w:val="14"/>
              </w:rPr>
              <w:t>-</w:t>
            </w:r>
            <w:r w:rsidR="009635B9" w:rsidRPr="00895014">
              <w:rPr>
                <w:rFonts w:ascii="Tahoma" w:hAnsi="Tahoma" w:cs="Tahoma"/>
                <w:sz w:val="14"/>
                <w:szCs w:val="14"/>
              </w:rPr>
              <w:t>0</w:t>
            </w:r>
            <w:r w:rsidR="00300E56" w:rsidRPr="00895014">
              <w:rPr>
                <w:rFonts w:ascii="Tahoma" w:hAnsi="Tahoma" w:cs="Tahoma"/>
                <w:iCs/>
                <w:color w:val="333333"/>
                <w:sz w:val="14"/>
                <w:szCs w:val="14"/>
                <w:lang w:eastAsia="it-IT"/>
              </w:rPr>
              <w:t xml:space="preserve">; </w:t>
            </w:r>
            <w:r w:rsidR="00300E56" w:rsidRPr="00895014">
              <w:rPr>
                <w:rFonts w:ascii="Tahoma" w:hAnsi="Tahoma" w:cs="Tahoma"/>
                <w:b/>
                <w:iCs/>
                <w:color w:val="333333"/>
                <w:sz w:val="14"/>
                <w:szCs w:val="14"/>
                <w:lang w:eastAsia="it-IT"/>
              </w:rPr>
              <w:t>ISSN</w:t>
            </w:r>
            <w:r w:rsidR="00300E56" w:rsidRPr="00895014">
              <w:rPr>
                <w:rFonts w:ascii="Tahoma" w:hAnsi="Tahoma" w:cs="Tahoma"/>
                <w:iCs/>
                <w:color w:val="333333"/>
                <w:sz w:val="14"/>
                <w:szCs w:val="14"/>
                <w:lang w:eastAsia="it-IT"/>
              </w:rPr>
              <w:t xml:space="preserve"> 2283-9216</w:t>
            </w:r>
          </w:p>
        </w:tc>
      </w:tr>
    </w:tbl>
    <w:p w:rsidR="000A03B2" w:rsidRPr="00895014" w:rsidRDefault="000A03B2" w:rsidP="000A03B2">
      <w:pPr>
        <w:pStyle w:val="CETAuthors"/>
        <w:sectPr w:rsidR="000A03B2" w:rsidRPr="00895014">
          <w:type w:val="continuous"/>
          <w:pgSz w:w="11906" w:h="16838" w:code="9"/>
          <w:pgMar w:top="1701" w:right="1418" w:bottom="1701" w:left="1701" w:header="1701" w:footer="0" w:gutter="0"/>
          <w:cols w:space="708"/>
          <w:titlePg/>
          <w:docGrid w:linePitch="360"/>
        </w:sectPr>
      </w:pPr>
    </w:p>
    <w:p w:rsidR="00E978D0" w:rsidRPr="00895014" w:rsidRDefault="00D97820" w:rsidP="00E978D0">
      <w:pPr>
        <w:pStyle w:val="CETTitle"/>
      </w:pPr>
      <w:r w:rsidRPr="00895014">
        <w:t>Present and Future of Model Uncertainty Quantification in Process Systems Engineering</w:t>
      </w:r>
    </w:p>
    <w:p w:rsidR="00E978D0" w:rsidRPr="00895014" w:rsidRDefault="00D97820" w:rsidP="00AB5011">
      <w:pPr>
        <w:pStyle w:val="CETAuthors"/>
        <w:rPr>
          <w:lang w:val="it-IT"/>
        </w:rPr>
      </w:pPr>
      <w:r w:rsidRPr="00895014">
        <w:rPr>
          <w:lang w:val="it-IT"/>
        </w:rPr>
        <w:t>Francesco Rossi</w:t>
      </w:r>
      <w:r w:rsidRPr="00895014">
        <w:rPr>
          <w:vertAlign w:val="superscript"/>
          <w:lang w:val="it-IT"/>
        </w:rPr>
        <w:t>a,</w:t>
      </w:r>
      <w:r w:rsidRPr="00895014">
        <w:rPr>
          <w:lang w:val="it-IT"/>
        </w:rPr>
        <w:t>*, Linas Mockus</w:t>
      </w:r>
      <w:r w:rsidRPr="00895014">
        <w:rPr>
          <w:vertAlign w:val="superscript"/>
          <w:lang w:val="it-IT"/>
        </w:rPr>
        <w:t>a</w:t>
      </w:r>
      <w:r w:rsidRPr="00895014">
        <w:rPr>
          <w:lang w:val="it-IT"/>
        </w:rPr>
        <w:t>, Flavio Manenti</w:t>
      </w:r>
      <w:r w:rsidRPr="00895014">
        <w:rPr>
          <w:vertAlign w:val="superscript"/>
          <w:lang w:val="it-IT"/>
        </w:rPr>
        <w:t>b</w:t>
      </w:r>
      <w:r w:rsidRPr="00895014">
        <w:rPr>
          <w:lang w:val="it-IT"/>
        </w:rPr>
        <w:t>, Gintaras Reklaitis</w:t>
      </w:r>
      <w:r w:rsidRPr="00895014">
        <w:rPr>
          <w:vertAlign w:val="superscript"/>
          <w:lang w:val="it-IT"/>
        </w:rPr>
        <w:t>a</w:t>
      </w:r>
    </w:p>
    <w:p w:rsidR="00E978D0" w:rsidRPr="00895014" w:rsidRDefault="00E978D0" w:rsidP="00E978D0">
      <w:pPr>
        <w:pStyle w:val="CETAddress"/>
      </w:pPr>
      <w:r w:rsidRPr="00895014">
        <w:rPr>
          <w:vertAlign w:val="superscript"/>
        </w:rPr>
        <w:t>a</w:t>
      </w:r>
      <w:r w:rsidR="00D97820" w:rsidRPr="00895014">
        <w:t>Purdue University, Forney Hall of Chemical Engineering, 480 Stadium Mall Driv</w:t>
      </w:r>
      <w:r w:rsidR="004176F7" w:rsidRPr="00895014">
        <w:t>e, West Lafayette, IN 47907</w:t>
      </w:r>
      <w:r w:rsidR="00D97820" w:rsidRPr="00895014">
        <w:t>, United States</w:t>
      </w:r>
    </w:p>
    <w:p w:rsidR="00E978D0" w:rsidRPr="00895014" w:rsidRDefault="00E978D0" w:rsidP="00E978D0">
      <w:pPr>
        <w:pStyle w:val="CETAddress"/>
        <w:rPr>
          <w:lang w:val="it-IT"/>
        </w:rPr>
      </w:pPr>
      <w:r w:rsidRPr="00895014">
        <w:rPr>
          <w:vertAlign w:val="superscript"/>
          <w:lang w:val="it-IT"/>
        </w:rPr>
        <w:t>b</w:t>
      </w:r>
      <w:r w:rsidR="00D97820" w:rsidRPr="00895014">
        <w:rPr>
          <w:lang w:val="it-IT"/>
        </w:rPr>
        <w:t xml:space="preserve">Politecnico di Milano, Dipartimento </w:t>
      </w:r>
      <w:r w:rsidR="004176F7" w:rsidRPr="00895014">
        <w:rPr>
          <w:lang w:val="it-IT"/>
        </w:rPr>
        <w:t>CMIC</w:t>
      </w:r>
      <w:r w:rsidR="00D97820" w:rsidRPr="00895014">
        <w:rPr>
          <w:lang w:val="it-IT"/>
        </w:rPr>
        <w:t>, Piazza Leonardo da Vinci 32, Milano 20123, Italy</w:t>
      </w:r>
    </w:p>
    <w:p w:rsidR="00E978D0" w:rsidRPr="00895014" w:rsidRDefault="004176F7" w:rsidP="00E978D0">
      <w:pPr>
        <w:pStyle w:val="CETemail"/>
      </w:pPr>
      <w:r w:rsidRPr="00895014">
        <w:rPr>
          <w:lang w:val="it-IT"/>
        </w:rPr>
        <w:t xml:space="preserve"> </w:t>
      </w:r>
      <w:r w:rsidR="00D97820" w:rsidRPr="00895014">
        <w:t>frossi@purdue.edu</w:t>
      </w:r>
    </w:p>
    <w:p w:rsidR="00DA24C6" w:rsidRPr="00895014" w:rsidRDefault="00787060" w:rsidP="008538BC">
      <w:pPr>
        <w:pStyle w:val="CETBodytext"/>
        <w:rPr>
          <w:lang w:val="en-GB"/>
        </w:rPr>
      </w:pPr>
      <w:r w:rsidRPr="00895014">
        <w:rPr>
          <w:lang w:val="en-GB"/>
        </w:rPr>
        <w:t xml:space="preserve">This contribution </w:t>
      </w:r>
      <w:r w:rsidR="00FF1E32" w:rsidRPr="00895014">
        <w:rPr>
          <w:lang w:val="en-GB"/>
        </w:rPr>
        <w:t>investigates</w:t>
      </w:r>
      <w:r w:rsidRPr="00895014">
        <w:rPr>
          <w:lang w:val="en-GB"/>
        </w:rPr>
        <w:t xml:space="preserve"> the impact of model uncertainty quantification </w:t>
      </w:r>
      <w:r w:rsidR="000B5A9F" w:rsidRPr="00895014">
        <w:rPr>
          <w:lang w:val="en-GB"/>
        </w:rPr>
        <w:t xml:space="preserve">techniques </w:t>
      </w:r>
      <w:r w:rsidRPr="00895014">
        <w:rPr>
          <w:lang w:val="en-GB"/>
        </w:rPr>
        <w:t xml:space="preserve">in </w:t>
      </w:r>
      <w:r w:rsidR="000B5A9F" w:rsidRPr="00895014">
        <w:rPr>
          <w:lang w:val="en-GB"/>
        </w:rPr>
        <w:t>different</w:t>
      </w:r>
      <w:r w:rsidRPr="00895014">
        <w:rPr>
          <w:lang w:val="en-GB"/>
        </w:rPr>
        <w:t xml:space="preserve"> areas of process systems engineering</w:t>
      </w:r>
      <w:r w:rsidR="008F55D8" w:rsidRPr="00895014">
        <w:rPr>
          <w:lang w:val="en-GB"/>
        </w:rPr>
        <w:t xml:space="preserve"> (PSE)</w:t>
      </w:r>
      <w:r w:rsidRPr="00895014">
        <w:rPr>
          <w:lang w:val="en-GB"/>
        </w:rPr>
        <w:t xml:space="preserve">, </w:t>
      </w:r>
      <w:r w:rsidR="000B5A9F" w:rsidRPr="00895014">
        <w:rPr>
          <w:lang w:val="en-GB"/>
        </w:rPr>
        <w:t>namely</w:t>
      </w:r>
      <w:r w:rsidRPr="00895014">
        <w:rPr>
          <w:lang w:val="en-GB"/>
        </w:rPr>
        <w:t xml:space="preserve"> dynamic optimization, predictive maintenance, soft-sensor systems</w:t>
      </w:r>
      <w:r w:rsidR="000B5A9F" w:rsidRPr="00895014">
        <w:rPr>
          <w:lang w:val="en-GB"/>
        </w:rPr>
        <w:t xml:space="preserve"> and risk assessment, using three case studies </w:t>
      </w:r>
      <w:r w:rsidR="00FF1E32" w:rsidRPr="00895014">
        <w:rPr>
          <w:lang w:val="en-GB"/>
        </w:rPr>
        <w:t>inspired by typical chemical and pharmaceutical engineering problems</w:t>
      </w:r>
      <w:r w:rsidR="000B5A9F" w:rsidRPr="00895014">
        <w:rPr>
          <w:lang w:val="en-GB"/>
        </w:rPr>
        <w:t>.</w:t>
      </w:r>
      <w:r w:rsidR="008F55D8" w:rsidRPr="00895014">
        <w:rPr>
          <w:lang w:val="en-GB"/>
        </w:rPr>
        <w:t xml:space="preserve"> Our analyses</w:t>
      </w:r>
      <w:r w:rsidR="00FF1E32" w:rsidRPr="00895014">
        <w:rPr>
          <w:lang w:val="en-GB"/>
        </w:rPr>
        <w:t xml:space="preserve"> confirm that the systematic use of model uncertainty quantification </w:t>
      </w:r>
      <w:r w:rsidR="008F55D8" w:rsidRPr="00895014">
        <w:rPr>
          <w:lang w:val="en-GB"/>
        </w:rPr>
        <w:t>in the solution of</w:t>
      </w:r>
      <w:r w:rsidR="00FF1E32" w:rsidRPr="00895014">
        <w:rPr>
          <w:lang w:val="en-GB"/>
        </w:rPr>
        <w:t xml:space="preserve"> </w:t>
      </w:r>
      <w:r w:rsidR="00B5348B" w:rsidRPr="00895014">
        <w:rPr>
          <w:lang w:val="en-GB"/>
        </w:rPr>
        <w:t>PSE</w:t>
      </w:r>
      <w:r w:rsidR="00FF1E32" w:rsidRPr="00895014">
        <w:rPr>
          <w:lang w:val="en-GB"/>
        </w:rPr>
        <w:t xml:space="preserve"> problems may often increase the effectiveness of models and extend their application domain. Therefore, model uncertainty quantification is expected to become one of the backbones of process systems engineering in the near future.</w:t>
      </w:r>
    </w:p>
    <w:p w:rsidR="00600535" w:rsidRPr="00895014" w:rsidRDefault="00600535" w:rsidP="00600535">
      <w:pPr>
        <w:pStyle w:val="CETHeading1"/>
        <w:rPr>
          <w:lang w:val="en-GB"/>
        </w:rPr>
      </w:pPr>
      <w:r w:rsidRPr="00895014">
        <w:rPr>
          <w:lang w:val="en-GB"/>
        </w:rPr>
        <w:t>Introduction</w:t>
      </w:r>
    </w:p>
    <w:p w:rsidR="00796222" w:rsidRPr="00895014" w:rsidRDefault="00796222" w:rsidP="00796222">
      <w:pPr>
        <w:pStyle w:val="CETBodytext"/>
        <w:rPr>
          <w:lang w:val="en-GB"/>
        </w:rPr>
      </w:pPr>
      <w:r w:rsidRPr="00895014">
        <w:rPr>
          <w:lang w:val="en-GB"/>
        </w:rPr>
        <w:t xml:space="preserve">The analysis and quantification of model uncertainty is a new paradigm, which has recently emerged due to two major aspects: (I) the growing interest of industry and of the PSE community in robust process monitoring, </w:t>
      </w:r>
      <w:r w:rsidR="0035225A" w:rsidRPr="00895014">
        <w:rPr>
          <w:lang w:val="en-GB"/>
        </w:rPr>
        <w:t>robust/</w:t>
      </w:r>
      <w:r w:rsidRPr="00895014">
        <w:rPr>
          <w:lang w:val="en-GB"/>
        </w:rPr>
        <w:t>stochastic optimization, robust process/product design and quantitative risk assessment; and (II) the rapid increase in the availability of accessible experimental/process data. As evidence for these two trends, we can mention the frameworks for individualized drug delivery, product</w:t>
      </w:r>
      <w:r w:rsidR="004B67BF" w:rsidRPr="00895014">
        <w:rPr>
          <w:lang w:val="en-GB"/>
        </w:rPr>
        <w:t xml:space="preserve"> quality risk quantification,</w:t>
      </w:r>
      <w:r w:rsidRPr="00895014">
        <w:rPr>
          <w:lang w:val="en-GB"/>
        </w:rPr>
        <w:t xml:space="preserve"> stochastic dynamic optimizati</w:t>
      </w:r>
      <w:r w:rsidR="002B7D9B" w:rsidRPr="00895014">
        <w:rPr>
          <w:lang w:val="en-GB"/>
        </w:rPr>
        <w:t>on</w:t>
      </w:r>
      <w:r w:rsidR="004B67BF" w:rsidRPr="00895014">
        <w:rPr>
          <w:lang w:val="en-GB"/>
        </w:rPr>
        <w:t xml:space="preserve"> and robust model predictive control,</w:t>
      </w:r>
      <w:r w:rsidRPr="00895014">
        <w:rPr>
          <w:lang w:val="en-GB"/>
        </w:rPr>
        <w:t xml:space="preserve"> proposed by </w:t>
      </w:r>
      <w:r w:rsidR="00B40075" w:rsidRPr="00895014">
        <w:rPr>
          <w:lang w:val="en-GB"/>
        </w:rPr>
        <w:t>Abbiati et al. (2015)</w:t>
      </w:r>
      <w:r w:rsidRPr="00895014">
        <w:rPr>
          <w:lang w:val="en-GB"/>
        </w:rPr>
        <w:t xml:space="preserve">, </w:t>
      </w:r>
      <w:r w:rsidR="00B40075" w:rsidRPr="00895014">
        <w:rPr>
          <w:lang w:val="en-GB"/>
        </w:rPr>
        <w:t>Mockus et al. (2011)</w:t>
      </w:r>
      <w:r w:rsidR="004B67BF" w:rsidRPr="00895014">
        <w:rPr>
          <w:lang w:val="en-GB"/>
        </w:rPr>
        <w:t xml:space="preserve">, </w:t>
      </w:r>
      <w:r w:rsidR="00B40075" w:rsidRPr="00895014">
        <w:rPr>
          <w:lang w:val="en-GB"/>
        </w:rPr>
        <w:t xml:space="preserve">Rossi et al. (2016) </w:t>
      </w:r>
      <w:r w:rsidRPr="00895014">
        <w:rPr>
          <w:lang w:val="en-GB"/>
        </w:rPr>
        <w:t xml:space="preserve">and </w:t>
      </w:r>
      <w:r w:rsidR="00B40075" w:rsidRPr="00895014">
        <w:rPr>
          <w:lang w:val="en-GB"/>
        </w:rPr>
        <w:t>Oravec et al. (2018)</w:t>
      </w:r>
      <w:r w:rsidRPr="00895014">
        <w:rPr>
          <w:lang w:val="en-GB"/>
        </w:rPr>
        <w:t>, respectively.</w:t>
      </w:r>
    </w:p>
    <w:p w:rsidR="008C0FBB" w:rsidRPr="00895014" w:rsidRDefault="00796222" w:rsidP="00796222">
      <w:pPr>
        <w:pStyle w:val="CETBodytext"/>
        <w:rPr>
          <w:lang w:val="en-GB"/>
        </w:rPr>
      </w:pPr>
      <w:r w:rsidRPr="00895014">
        <w:rPr>
          <w:lang w:val="en-GB"/>
        </w:rPr>
        <w:t>In most chemical engineering problems, model uncertainty quantification boils down to two principal tasks: (I) the estimation of the joint probability distribution (PDF) of the uncertain parameters of the model of the process of interest; and (II) the estimation of the joint PDF of the state variables of the model. The</w:t>
      </w:r>
      <w:r w:rsidR="008C0FBB" w:rsidRPr="00895014">
        <w:rPr>
          <w:lang w:val="en-GB"/>
        </w:rPr>
        <w:t>se two probability distributions</w:t>
      </w:r>
      <w:r w:rsidRPr="00895014">
        <w:rPr>
          <w:lang w:val="en-GB"/>
        </w:rPr>
        <w:t>, along with the model equations, can then be used to solve any problem which falls in the four general ca</w:t>
      </w:r>
      <w:r w:rsidR="00057FC3" w:rsidRPr="00895014">
        <w:rPr>
          <w:lang w:val="en-GB"/>
        </w:rPr>
        <w:t>tegories, previously mentioned.</w:t>
      </w:r>
    </w:p>
    <w:p w:rsidR="008C0FBB" w:rsidRPr="00895014" w:rsidRDefault="004B67BF" w:rsidP="00796222">
      <w:pPr>
        <w:pStyle w:val="CETBodytext"/>
        <w:rPr>
          <w:lang w:val="en-GB"/>
        </w:rPr>
      </w:pPr>
      <w:r w:rsidRPr="00895014">
        <w:rPr>
          <w:lang w:val="en-GB"/>
        </w:rPr>
        <w:t xml:space="preserve">This contribution </w:t>
      </w:r>
      <w:r w:rsidR="007E3FBE" w:rsidRPr="00895014">
        <w:rPr>
          <w:lang w:val="en-GB"/>
        </w:rPr>
        <w:t>analy</w:t>
      </w:r>
      <w:r w:rsidR="005F4E42" w:rsidRPr="00895014">
        <w:rPr>
          <w:lang w:val="en-GB"/>
        </w:rPr>
        <w:t>s</w:t>
      </w:r>
      <w:r w:rsidR="007E3FBE" w:rsidRPr="00895014">
        <w:rPr>
          <w:lang w:val="en-GB"/>
        </w:rPr>
        <w:t xml:space="preserve">es </w:t>
      </w:r>
      <w:r w:rsidR="00796222" w:rsidRPr="00895014">
        <w:rPr>
          <w:lang w:val="en-GB"/>
        </w:rPr>
        <w:t>the impact of model unc</w:t>
      </w:r>
      <w:r w:rsidR="002B7D9B" w:rsidRPr="00895014">
        <w:rPr>
          <w:lang w:val="en-GB"/>
        </w:rPr>
        <w:t>ertainty quantification in four</w:t>
      </w:r>
      <w:r w:rsidR="00796222" w:rsidRPr="00895014">
        <w:rPr>
          <w:lang w:val="en-GB"/>
        </w:rPr>
        <w:t xml:space="preserve"> principal areas of </w:t>
      </w:r>
      <w:r w:rsidR="00A73FE0" w:rsidRPr="00895014">
        <w:rPr>
          <w:lang w:val="en-GB"/>
        </w:rPr>
        <w:t>process systems engineering</w:t>
      </w:r>
      <w:r w:rsidR="002B7D9B" w:rsidRPr="00895014">
        <w:rPr>
          <w:lang w:val="en-GB"/>
        </w:rPr>
        <w:t xml:space="preserve">, </w:t>
      </w:r>
      <w:r w:rsidR="007846C4" w:rsidRPr="00895014">
        <w:rPr>
          <w:lang w:val="en-GB"/>
        </w:rPr>
        <w:t>specifically</w:t>
      </w:r>
      <w:r w:rsidR="002B7D9B" w:rsidRPr="00895014">
        <w:rPr>
          <w:lang w:val="en-GB"/>
        </w:rPr>
        <w:t xml:space="preserve"> dynamic optimization,</w:t>
      </w:r>
      <w:r w:rsidR="00796222" w:rsidRPr="00895014">
        <w:rPr>
          <w:lang w:val="en-GB"/>
        </w:rPr>
        <w:t xml:space="preserve"> </w:t>
      </w:r>
      <w:r w:rsidR="002B7D9B" w:rsidRPr="00895014">
        <w:rPr>
          <w:lang w:val="en-GB"/>
        </w:rPr>
        <w:t>predictive maintenance, soft-sensor systems and risk assessment</w:t>
      </w:r>
      <w:r w:rsidR="00796222" w:rsidRPr="00895014">
        <w:rPr>
          <w:lang w:val="en-GB"/>
        </w:rPr>
        <w:t>. To this end,</w:t>
      </w:r>
      <w:r w:rsidR="00057FC3" w:rsidRPr="00895014">
        <w:rPr>
          <w:lang w:val="en-GB"/>
        </w:rPr>
        <w:t xml:space="preserve"> after a brief </w:t>
      </w:r>
      <w:r w:rsidR="00430BC1" w:rsidRPr="00895014">
        <w:rPr>
          <w:lang w:val="en-GB"/>
        </w:rPr>
        <w:t>description of</w:t>
      </w:r>
      <w:r w:rsidR="00057FC3" w:rsidRPr="00895014">
        <w:rPr>
          <w:lang w:val="en-GB"/>
        </w:rPr>
        <w:t xml:space="preserve"> conventional and novel approaches for estimation of probability distributions, </w:t>
      </w:r>
      <w:r w:rsidR="008B6345" w:rsidRPr="00895014">
        <w:rPr>
          <w:lang w:val="en-GB"/>
        </w:rPr>
        <w:t>we offer</w:t>
      </w:r>
      <w:r w:rsidR="00430BC1" w:rsidRPr="00895014">
        <w:rPr>
          <w:lang w:val="en-GB"/>
        </w:rPr>
        <w:t xml:space="preserve"> three </w:t>
      </w:r>
      <w:r w:rsidR="007E3FBE" w:rsidRPr="00895014">
        <w:rPr>
          <w:lang w:val="en-GB"/>
        </w:rPr>
        <w:t xml:space="preserve">illustrative </w:t>
      </w:r>
      <w:r w:rsidR="00430BC1" w:rsidRPr="00895014">
        <w:rPr>
          <w:lang w:val="en-GB"/>
        </w:rPr>
        <w:t>case studies. The</w:t>
      </w:r>
      <w:r w:rsidR="00796222" w:rsidRPr="00895014">
        <w:rPr>
          <w:lang w:val="en-GB"/>
        </w:rPr>
        <w:t xml:space="preserve"> first </w:t>
      </w:r>
      <w:r w:rsidR="00D402A4" w:rsidRPr="00895014">
        <w:rPr>
          <w:lang w:val="en-GB"/>
        </w:rPr>
        <w:t xml:space="preserve">case study </w:t>
      </w:r>
      <w:r w:rsidR="00796222" w:rsidRPr="00895014">
        <w:rPr>
          <w:lang w:val="en-GB"/>
        </w:rPr>
        <w:t>examines the benefits provided by stochastic dynamic optimization over conventional dynamic optimization, in terms of both performance and robustness</w:t>
      </w:r>
      <w:r w:rsidR="00FE0440" w:rsidRPr="00895014">
        <w:rPr>
          <w:lang w:val="en-GB"/>
        </w:rPr>
        <w:t xml:space="preserve"> (</w:t>
      </w:r>
      <w:r w:rsidR="00382F83" w:rsidRPr="00895014">
        <w:rPr>
          <w:lang w:val="en-GB"/>
        </w:rPr>
        <w:t>recall</w:t>
      </w:r>
      <w:r w:rsidR="00FE0440" w:rsidRPr="00895014">
        <w:rPr>
          <w:lang w:val="en-GB"/>
        </w:rPr>
        <w:t xml:space="preserve"> that stochastic optimization </w:t>
      </w:r>
      <w:r w:rsidR="00EB44F5" w:rsidRPr="00895014">
        <w:rPr>
          <w:lang w:val="en-GB"/>
        </w:rPr>
        <w:t xml:space="preserve">heavily </w:t>
      </w:r>
      <w:r w:rsidR="00FE0440" w:rsidRPr="00895014">
        <w:rPr>
          <w:lang w:val="en-GB"/>
        </w:rPr>
        <w:t>relies on uncertainty quantification</w:t>
      </w:r>
      <w:r w:rsidR="00382F83" w:rsidRPr="00895014">
        <w:rPr>
          <w:lang w:val="en-GB"/>
        </w:rPr>
        <w:t xml:space="preserve"> techniques</w:t>
      </w:r>
      <w:r w:rsidR="00FE0440" w:rsidRPr="00895014">
        <w:rPr>
          <w:lang w:val="en-GB"/>
        </w:rPr>
        <w:t>)</w:t>
      </w:r>
      <w:r w:rsidR="00796222" w:rsidRPr="00895014">
        <w:rPr>
          <w:lang w:val="en-GB"/>
        </w:rPr>
        <w:t xml:space="preserve">. The reference </w:t>
      </w:r>
      <w:r w:rsidR="00FE0440" w:rsidRPr="00895014">
        <w:rPr>
          <w:lang w:val="en-GB"/>
        </w:rPr>
        <w:t>system</w:t>
      </w:r>
      <w:r w:rsidR="00796222" w:rsidRPr="00895014">
        <w:rPr>
          <w:lang w:val="en-GB"/>
        </w:rPr>
        <w:t xml:space="preserve">, used in these studies, is </w:t>
      </w:r>
      <w:r w:rsidR="00FE0440" w:rsidRPr="00895014">
        <w:rPr>
          <w:lang w:val="en-GB"/>
        </w:rPr>
        <w:t>a fed-batch adaptation of the Williams and Otto chemical process (Chakraborti et al., 2006).</w:t>
      </w:r>
      <w:r w:rsidR="00D402A4" w:rsidRPr="00895014">
        <w:rPr>
          <w:lang w:val="en-GB"/>
        </w:rPr>
        <w:t xml:space="preserve"> </w:t>
      </w:r>
      <w:r w:rsidR="00FE0440" w:rsidRPr="00895014">
        <w:rPr>
          <w:lang w:val="en-GB"/>
        </w:rPr>
        <w:t xml:space="preserve">The second </w:t>
      </w:r>
      <w:r w:rsidR="00D402A4" w:rsidRPr="00895014">
        <w:rPr>
          <w:lang w:val="en-GB"/>
        </w:rPr>
        <w:t xml:space="preserve">case study </w:t>
      </w:r>
      <w:r w:rsidR="000544D2" w:rsidRPr="00895014">
        <w:rPr>
          <w:lang w:val="en-GB"/>
        </w:rPr>
        <w:t xml:space="preserve">shows that </w:t>
      </w:r>
      <w:r w:rsidR="00FE0440" w:rsidRPr="00895014">
        <w:rPr>
          <w:lang w:val="en-GB"/>
        </w:rPr>
        <w:t>uncertainty quantification</w:t>
      </w:r>
      <w:r w:rsidR="00EA05CB" w:rsidRPr="00895014">
        <w:rPr>
          <w:lang w:val="en-GB"/>
        </w:rPr>
        <w:t xml:space="preserve"> </w:t>
      </w:r>
      <w:r w:rsidR="00382F83" w:rsidRPr="00895014">
        <w:rPr>
          <w:lang w:val="en-GB"/>
        </w:rPr>
        <w:t>methods allow estimation of</w:t>
      </w:r>
      <w:r w:rsidR="00FE0440" w:rsidRPr="00895014">
        <w:rPr>
          <w:lang w:val="en-GB"/>
        </w:rPr>
        <w:t xml:space="preserve"> the </w:t>
      </w:r>
      <w:r w:rsidR="00EA05CB" w:rsidRPr="00895014">
        <w:rPr>
          <w:lang w:val="en-GB"/>
        </w:rPr>
        <w:t>joint PDF</w:t>
      </w:r>
      <w:r w:rsidR="00FE0440" w:rsidRPr="00895014">
        <w:rPr>
          <w:lang w:val="en-GB"/>
        </w:rPr>
        <w:t xml:space="preserve"> of unmeasurable model parameters</w:t>
      </w:r>
      <w:r w:rsidR="000544D2" w:rsidRPr="00895014">
        <w:rPr>
          <w:lang w:val="en-GB"/>
        </w:rPr>
        <w:t xml:space="preserve"> (</w:t>
      </w:r>
      <w:r w:rsidR="00DE08CF" w:rsidRPr="00895014">
        <w:rPr>
          <w:lang w:val="en-GB"/>
        </w:rPr>
        <w:t xml:space="preserve">fouling factors, </w:t>
      </w:r>
      <w:r w:rsidR="00EA05CB" w:rsidRPr="00895014">
        <w:rPr>
          <w:lang w:val="en-GB"/>
        </w:rPr>
        <w:t>rate constants of catalyst deactivation models</w:t>
      </w:r>
      <w:r w:rsidR="000544D2" w:rsidRPr="00895014">
        <w:rPr>
          <w:lang w:val="en-GB"/>
        </w:rPr>
        <w:t>, etc.), and describes ways of using this information</w:t>
      </w:r>
      <w:r w:rsidR="00DE08CF" w:rsidRPr="00895014">
        <w:rPr>
          <w:lang w:val="en-GB"/>
        </w:rPr>
        <w:t xml:space="preserve"> f</w:t>
      </w:r>
      <w:r w:rsidR="00FE0440" w:rsidRPr="00895014">
        <w:rPr>
          <w:lang w:val="en-GB"/>
        </w:rPr>
        <w:t>or predictive maintenance purpo</w:t>
      </w:r>
      <w:r w:rsidR="00D402A4" w:rsidRPr="00895014">
        <w:rPr>
          <w:lang w:val="en-GB"/>
        </w:rPr>
        <w:t>ses. The reference process, utilized</w:t>
      </w:r>
      <w:r w:rsidR="00FE0440" w:rsidRPr="00895014">
        <w:rPr>
          <w:lang w:val="en-GB"/>
        </w:rPr>
        <w:t xml:space="preserve"> in these analyses, is a batch adaptation of the Tennessee Eastman Challenge</w:t>
      </w:r>
      <w:r w:rsidR="00382F83" w:rsidRPr="00895014">
        <w:rPr>
          <w:lang w:val="en-GB"/>
        </w:rPr>
        <w:t xml:space="preserve"> problem (</w:t>
      </w:r>
      <w:r w:rsidR="00D402A4" w:rsidRPr="00895014">
        <w:rPr>
          <w:lang w:val="en-GB"/>
        </w:rPr>
        <w:t>Downs and Vogel, 1993</w:t>
      </w:r>
      <w:r w:rsidR="00382F83" w:rsidRPr="00895014">
        <w:rPr>
          <w:lang w:val="en-GB"/>
        </w:rPr>
        <w:t>)</w:t>
      </w:r>
      <w:r w:rsidR="00FE0440" w:rsidRPr="00895014">
        <w:rPr>
          <w:lang w:val="en-GB"/>
        </w:rPr>
        <w:t>.</w:t>
      </w:r>
      <w:r w:rsidR="00163983" w:rsidRPr="00895014">
        <w:rPr>
          <w:lang w:val="en-GB"/>
        </w:rPr>
        <w:t xml:space="preserve"> </w:t>
      </w:r>
      <w:r w:rsidR="00D402A4" w:rsidRPr="00895014">
        <w:rPr>
          <w:lang w:val="en-GB"/>
        </w:rPr>
        <w:t>Finally, the third</w:t>
      </w:r>
      <w:r w:rsidR="00796222" w:rsidRPr="00895014">
        <w:rPr>
          <w:lang w:val="en-GB"/>
        </w:rPr>
        <w:t xml:space="preserve"> </w:t>
      </w:r>
      <w:r w:rsidR="00D402A4" w:rsidRPr="00895014">
        <w:rPr>
          <w:lang w:val="en-GB"/>
        </w:rPr>
        <w:t xml:space="preserve">case study </w:t>
      </w:r>
      <w:r w:rsidR="00796222" w:rsidRPr="00895014">
        <w:rPr>
          <w:lang w:val="en-GB"/>
        </w:rPr>
        <w:t xml:space="preserve">deals with robust soft-sensors, i.e. advanced algorithms designed to estimate the </w:t>
      </w:r>
      <w:r w:rsidR="00174557" w:rsidRPr="00895014">
        <w:rPr>
          <w:lang w:val="en-GB"/>
        </w:rPr>
        <w:t>joint PDF</w:t>
      </w:r>
      <w:r w:rsidR="000934DD" w:rsidRPr="00895014">
        <w:rPr>
          <w:lang w:val="en-GB"/>
        </w:rPr>
        <w:t xml:space="preserve"> and </w:t>
      </w:r>
      <w:r w:rsidR="006D3E85" w:rsidRPr="00895014">
        <w:rPr>
          <w:lang w:val="en-GB"/>
        </w:rPr>
        <w:t>confidence regions</w:t>
      </w:r>
      <w:r w:rsidR="00796222" w:rsidRPr="00895014">
        <w:rPr>
          <w:lang w:val="en-GB"/>
        </w:rPr>
        <w:t xml:space="preserve"> of </w:t>
      </w:r>
      <w:r w:rsidR="00174557" w:rsidRPr="00895014">
        <w:rPr>
          <w:lang w:val="en-GB"/>
        </w:rPr>
        <w:t>measured and unmeasured process states</w:t>
      </w:r>
      <w:r w:rsidR="007279A6" w:rsidRPr="00895014">
        <w:rPr>
          <w:lang w:val="en-GB"/>
        </w:rPr>
        <w:t xml:space="preserve">. More specifically, it describes the innovative rationale of this type of sensors, which rely on </w:t>
      </w:r>
      <w:r w:rsidR="007279A6" w:rsidRPr="00895014">
        <w:rPr>
          <w:lang w:val="en-GB"/>
        </w:rPr>
        <w:lastRenderedPageBreak/>
        <w:t xml:space="preserve">uncertainty quantification techniques, and shows their usefulness </w:t>
      </w:r>
      <w:r w:rsidR="00DD43BE" w:rsidRPr="00895014">
        <w:rPr>
          <w:lang w:val="en-GB"/>
        </w:rPr>
        <w:t>for</w:t>
      </w:r>
      <w:r w:rsidR="007279A6" w:rsidRPr="00895014">
        <w:rPr>
          <w:lang w:val="en-GB"/>
        </w:rPr>
        <w:t xml:space="preserve"> </w:t>
      </w:r>
      <w:r w:rsidR="00796222" w:rsidRPr="00895014">
        <w:rPr>
          <w:lang w:val="en-GB"/>
        </w:rPr>
        <w:t>real-time risk assessment</w:t>
      </w:r>
      <w:r w:rsidR="00DD43BE" w:rsidRPr="00895014">
        <w:rPr>
          <w:lang w:val="en-GB"/>
        </w:rPr>
        <w:t xml:space="preserve"> purposes</w:t>
      </w:r>
      <w:r w:rsidR="00163983" w:rsidRPr="00895014">
        <w:rPr>
          <w:lang w:val="en-GB"/>
        </w:rPr>
        <w:t xml:space="preserve">. The reference system, </w:t>
      </w:r>
      <w:r w:rsidR="005B5193" w:rsidRPr="00895014">
        <w:rPr>
          <w:lang w:val="en-GB"/>
        </w:rPr>
        <w:t>utilized in</w:t>
      </w:r>
      <w:r w:rsidR="00163983" w:rsidRPr="00895014">
        <w:rPr>
          <w:lang w:val="en-GB"/>
        </w:rPr>
        <w:t xml:space="preserve"> these studies, is</w:t>
      </w:r>
      <w:r w:rsidR="00796222" w:rsidRPr="00895014">
        <w:rPr>
          <w:lang w:val="en-GB"/>
        </w:rPr>
        <w:t xml:space="preserve"> a </w:t>
      </w:r>
      <w:r w:rsidR="00163983" w:rsidRPr="00895014">
        <w:rPr>
          <w:lang w:val="en-GB"/>
        </w:rPr>
        <w:t xml:space="preserve">pilot-scale </w:t>
      </w:r>
      <w:r w:rsidR="00796222" w:rsidRPr="00895014">
        <w:rPr>
          <w:lang w:val="en-GB"/>
        </w:rPr>
        <w:t xml:space="preserve">drug product manufacturing plant. </w:t>
      </w:r>
    </w:p>
    <w:p w:rsidR="00796222" w:rsidRPr="00895014" w:rsidRDefault="00796222" w:rsidP="008538BC">
      <w:pPr>
        <w:pStyle w:val="CETBodytext"/>
        <w:rPr>
          <w:lang w:val="en-GB"/>
        </w:rPr>
      </w:pPr>
      <w:r w:rsidRPr="00895014">
        <w:rPr>
          <w:lang w:val="en-GB"/>
        </w:rPr>
        <w:t>The results of</w:t>
      </w:r>
      <w:r w:rsidR="004B67BF" w:rsidRPr="00895014">
        <w:rPr>
          <w:lang w:val="en-GB"/>
        </w:rPr>
        <w:t xml:space="preserve"> the</w:t>
      </w:r>
      <w:r w:rsidR="00163983" w:rsidRPr="00895014">
        <w:rPr>
          <w:lang w:val="en-GB"/>
        </w:rPr>
        <w:t xml:space="preserve"> three</w:t>
      </w:r>
      <w:r w:rsidR="004B67BF" w:rsidRPr="00895014">
        <w:rPr>
          <w:lang w:val="en-GB"/>
        </w:rPr>
        <w:t xml:space="preserve"> case studies, analys</w:t>
      </w:r>
      <w:r w:rsidRPr="00895014">
        <w:rPr>
          <w:lang w:val="en-GB"/>
        </w:rPr>
        <w:t>ed in this paper, confirm that the systematic use of model uncertainty quantification within computational frameworks for solving chemical</w:t>
      </w:r>
      <w:r w:rsidR="00FF1E32" w:rsidRPr="00895014">
        <w:rPr>
          <w:lang w:val="en-GB"/>
        </w:rPr>
        <w:t xml:space="preserve"> and pharmaceutical</w:t>
      </w:r>
      <w:r w:rsidRPr="00895014">
        <w:rPr>
          <w:lang w:val="en-GB"/>
        </w:rPr>
        <w:t xml:space="preserve"> engineering problems may often increase the effectiveness of models and extend their application domain. Therefore, model uncertainty quantification is expected to become one of the backbones of </w:t>
      </w:r>
      <w:r w:rsidR="0066301A" w:rsidRPr="00895014">
        <w:rPr>
          <w:lang w:val="en-GB"/>
        </w:rPr>
        <w:t>PSE</w:t>
      </w:r>
      <w:r w:rsidRPr="00895014">
        <w:rPr>
          <w:lang w:val="en-GB"/>
        </w:rPr>
        <w:t xml:space="preserve"> in the near future.</w:t>
      </w:r>
    </w:p>
    <w:p w:rsidR="00B73F81" w:rsidRPr="00895014" w:rsidRDefault="001F11D8" w:rsidP="00673B50">
      <w:pPr>
        <w:pStyle w:val="CETHeading1"/>
        <w:tabs>
          <w:tab w:val="clear" w:pos="360"/>
          <w:tab w:val="right" w:pos="7100"/>
        </w:tabs>
        <w:jc w:val="both"/>
        <w:rPr>
          <w:lang w:val="en-GB"/>
        </w:rPr>
      </w:pPr>
      <w:r w:rsidRPr="00895014">
        <w:rPr>
          <w:lang w:val="en-GB"/>
        </w:rPr>
        <w:t>Conventional</w:t>
      </w:r>
      <w:r w:rsidR="001D0F49" w:rsidRPr="00895014">
        <w:rPr>
          <w:lang w:val="en-GB"/>
        </w:rPr>
        <w:t xml:space="preserve"> approaches </w:t>
      </w:r>
      <w:r w:rsidR="003B5FBB" w:rsidRPr="00895014">
        <w:rPr>
          <w:lang w:val="en-GB"/>
        </w:rPr>
        <w:t>and</w:t>
      </w:r>
      <w:r w:rsidR="001D0F49" w:rsidRPr="00895014">
        <w:rPr>
          <w:lang w:val="en-GB"/>
        </w:rPr>
        <w:t xml:space="preserve"> new approximate strategies</w:t>
      </w:r>
      <w:r w:rsidR="00673B50" w:rsidRPr="00895014">
        <w:rPr>
          <w:lang w:val="en-GB"/>
        </w:rPr>
        <w:t xml:space="preserve"> for </w:t>
      </w:r>
      <w:r w:rsidR="00133CFF" w:rsidRPr="00895014">
        <w:rPr>
          <w:lang w:val="en-GB"/>
        </w:rPr>
        <w:t xml:space="preserve">PDF </w:t>
      </w:r>
      <w:r w:rsidR="001151D3" w:rsidRPr="00895014">
        <w:rPr>
          <w:lang w:val="en-GB"/>
        </w:rPr>
        <w:t>estimation</w:t>
      </w:r>
    </w:p>
    <w:p w:rsidR="00AE5D16" w:rsidRPr="00895014" w:rsidRDefault="001F11D8" w:rsidP="008538BC">
      <w:pPr>
        <w:pStyle w:val="CETBodytext"/>
        <w:rPr>
          <w:lang w:val="en-GB"/>
        </w:rPr>
      </w:pPr>
      <w:r w:rsidRPr="00895014">
        <w:rPr>
          <w:lang w:val="en-GB"/>
        </w:rPr>
        <w:t xml:space="preserve">Bayesian inference is the conventional approach used to </w:t>
      </w:r>
      <w:r w:rsidR="00133CFF" w:rsidRPr="00895014">
        <w:rPr>
          <w:lang w:val="en-GB"/>
        </w:rPr>
        <w:t>estimat</w:t>
      </w:r>
      <w:r w:rsidRPr="00895014">
        <w:rPr>
          <w:lang w:val="en-GB"/>
        </w:rPr>
        <w:t>e</w:t>
      </w:r>
      <w:r w:rsidR="00133CFF" w:rsidRPr="00895014">
        <w:rPr>
          <w:lang w:val="en-GB"/>
        </w:rPr>
        <w:t xml:space="preserve"> the probability distribution of the uncertain parameters of </w:t>
      </w:r>
      <w:r w:rsidR="00FA3E0B" w:rsidRPr="00895014">
        <w:rPr>
          <w:lang w:val="en-GB"/>
        </w:rPr>
        <w:t>linear</w:t>
      </w:r>
      <w:r w:rsidR="00FF4CFC" w:rsidRPr="00895014">
        <w:rPr>
          <w:lang w:val="en-GB"/>
        </w:rPr>
        <w:t xml:space="preserve"> and </w:t>
      </w:r>
      <w:r w:rsidR="00FA3E0B" w:rsidRPr="00895014">
        <w:rPr>
          <w:lang w:val="en-GB"/>
        </w:rPr>
        <w:t>nonlinear</w:t>
      </w:r>
      <w:r w:rsidR="00133CFF" w:rsidRPr="00895014">
        <w:rPr>
          <w:lang w:val="en-GB"/>
        </w:rPr>
        <w:t xml:space="preserve"> models</w:t>
      </w:r>
      <w:r w:rsidR="002B16D4" w:rsidRPr="00895014">
        <w:rPr>
          <w:lang w:val="en-GB"/>
        </w:rPr>
        <w:t xml:space="preserve">, </w:t>
      </w:r>
      <w:r w:rsidR="00E70BCA" w:rsidRPr="00895014">
        <w:rPr>
          <w:lang w:val="en-GB"/>
        </w:rPr>
        <w:t>the so-called “</w:t>
      </w:r>
      <w:r w:rsidR="002B16D4" w:rsidRPr="00895014">
        <w:rPr>
          <w:lang w:val="en-GB"/>
        </w:rPr>
        <w:t>posterior</w:t>
      </w:r>
      <w:r w:rsidR="00E70BCA" w:rsidRPr="00895014">
        <w:rPr>
          <w:lang w:val="en-GB"/>
        </w:rPr>
        <w:t>”</w:t>
      </w:r>
      <w:r w:rsidR="001F19CA" w:rsidRPr="00895014">
        <w:rPr>
          <w:lang w:val="en-GB"/>
        </w:rPr>
        <w:t xml:space="preserve"> PDF</w:t>
      </w:r>
      <w:r w:rsidR="002B16D4" w:rsidRPr="00895014">
        <w:rPr>
          <w:lang w:val="en-GB"/>
        </w:rPr>
        <w:t>,</w:t>
      </w:r>
      <w:r w:rsidRPr="00895014">
        <w:rPr>
          <w:lang w:val="en-GB"/>
        </w:rPr>
        <w:t xml:space="preserve"> from experimental data. </w:t>
      </w:r>
      <w:r w:rsidR="00D67FCE" w:rsidRPr="00895014">
        <w:rPr>
          <w:lang w:val="en-GB"/>
        </w:rPr>
        <w:t>This technique, which relies on Bayes theorem, computes the posterior</w:t>
      </w:r>
      <w:r w:rsidR="001F19CA" w:rsidRPr="00895014">
        <w:rPr>
          <w:lang w:val="en-GB"/>
        </w:rPr>
        <w:t xml:space="preserve"> distribution</w:t>
      </w:r>
      <w:r w:rsidR="00D67FCE" w:rsidRPr="00895014">
        <w:rPr>
          <w:lang w:val="en-GB"/>
        </w:rPr>
        <w:t xml:space="preserve"> as a product of three distinct quantities: (I) the “prior”, defined as the la</w:t>
      </w:r>
      <w:r w:rsidR="00361761" w:rsidRPr="00895014">
        <w:rPr>
          <w:lang w:val="en-GB"/>
        </w:rPr>
        <w:t>test</w:t>
      </w:r>
      <w:r w:rsidR="00D67FCE" w:rsidRPr="00895014">
        <w:rPr>
          <w:lang w:val="en-GB"/>
        </w:rPr>
        <w:t xml:space="preserve"> known PDF of the model parameters; (II) the “likelihood”, which </w:t>
      </w:r>
      <w:r w:rsidR="00361761" w:rsidRPr="00895014">
        <w:rPr>
          <w:lang w:val="en-GB"/>
        </w:rPr>
        <w:t xml:space="preserve">is a statistical </w:t>
      </w:r>
      <w:r w:rsidR="00D67FCE" w:rsidRPr="00895014">
        <w:rPr>
          <w:lang w:val="en-GB"/>
        </w:rPr>
        <w:t>measure</w:t>
      </w:r>
      <w:r w:rsidR="00361761" w:rsidRPr="00895014">
        <w:rPr>
          <w:lang w:val="en-GB"/>
        </w:rPr>
        <w:t xml:space="preserve"> of compliance of the model predictions with the available experimental data as a function of the model parameters</w:t>
      </w:r>
      <w:r w:rsidR="00D67FCE" w:rsidRPr="00895014">
        <w:rPr>
          <w:lang w:val="en-GB"/>
        </w:rPr>
        <w:t xml:space="preserve">; and (III) a nondimensionalization term, which insures the posterior is normalized. </w:t>
      </w:r>
    </w:p>
    <w:p w:rsidR="00D16887" w:rsidRPr="00895014" w:rsidRDefault="006D688C" w:rsidP="008538BC">
      <w:pPr>
        <w:pStyle w:val="CETBodytext"/>
        <w:rPr>
          <w:lang w:val="en-GB"/>
        </w:rPr>
      </w:pPr>
      <w:r w:rsidRPr="00895014">
        <w:rPr>
          <w:lang w:val="en-GB"/>
        </w:rPr>
        <w:t xml:space="preserve">There </w:t>
      </w:r>
      <w:r w:rsidR="00CB4F82" w:rsidRPr="00895014">
        <w:rPr>
          <w:lang w:val="en-GB"/>
        </w:rPr>
        <w:t xml:space="preserve">exist </w:t>
      </w:r>
      <w:r w:rsidRPr="00895014">
        <w:rPr>
          <w:lang w:val="en-GB"/>
        </w:rPr>
        <w:t xml:space="preserve">several </w:t>
      </w:r>
      <w:r w:rsidR="00A65447" w:rsidRPr="00895014">
        <w:rPr>
          <w:lang w:val="en-GB"/>
        </w:rPr>
        <w:t>implementations of the</w:t>
      </w:r>
      <w:r w:rsidR="007B3704" w:rsidRPr="00895014">
        <w:rPr>
          <w:lang w:val="en-GB"/>
        </w:rPr>
        <w:t xml:space="preserve"> concept of</w:t>
      </w:r>
      <w:r w:rsidR="00A65447" w:rsidRPr="00895014">
        <w:rPr>
          <w:lang w:val="en-GB"/>
        </w:rPr>
        <w:t xml:space="preserve"> </w:t>
      </w:r>
      <w:r w:rsidR="00361761" w:rsidRPr="00895014">
        <w:rPr>
          <w:lang w:val="en-GB"/>
        </w:rPr>
        <w:t xml:space="preserve">Bayesian inference, the most popular of which are Bayesian Markov-Chain Monte Carlo (BMCMC) and Variational Inference (VI). </w:t>
      </w:r>
      <w:r w:rsidR="00C472F9" w:rsidRPr="00895014">
        <w:rPr>
          <w:lang w:val="en-GB"/>
        </w:rPr>
        <w:t>BMCMC</w:t>
      </w:r>
      <w:r w:rsidR="007214AD" w:rsidRPr="00895014">
        <w:rPr>
          <w:lang w:val="en-GB"/>
        </w:rPr>
        <w:t xml:space="preserve"> </w:t>
      </w:r>
      <w:r w:rsidR="00473622" w:rsidRPr="00895014">
        <w:rPr>
          <w:lang w:val="en-GB"/>
        </w:rPr>
        <w:t>exploits</w:t>
      </w:r>
      <w:r w:rsidR="00C472F9" w:rsidRPr="00895014">
        <w:rPr>
          <w:lang w:val="en-GB"/>
        </w:rPr>
        <w:t xml:space="preserve"> sophisticated random sampling techniques to compute a discrete approximation of the high-probability regions of the posterior distribution</w:t>
      </w:r>
      <w:r w:rsidR="00193006" w:rsidRPr="00895014">
        <w:rPr>
          <w:lang w:val="en-GB"/>
        </w:rPr>
        <w:t xml:space="preserve"> (Green and Worden, 2015)</w:t>
      </w:r>
      <w:r w:rsidR="00C472F9" w:rsidRPr="00895014">
        <w:rPr>
          <w:lang w:val="en-GB"/>
        </w:rPr>
        <w:t>, while VI</w:t>
      </w:r>
      <w:r w:rsidR="00F51E3F" w:rsidRPr="00895014">
        <w:rPr>
          <w:lang w:val="en-GB"/>
        </w:rPr>
        <w:t xml:space="preserve"> </w:t>
      </w:r>
      <w:r w:rsidR="00473622" w:rsidRPr="00895014">
        <w:rPr>
          <w:lang w:val="en-GB"/>
        </w:rPr>
        <w:t>utilizes</w:t>
      </w:r>
      <w:r w:rsidR="00F51E3F" w:rsidRPr="00895014">
        <w:rPr>
          <w:lang w:val="en-GB"/>
        </w:rPr>
        <w:t xml:space="preserve"> optimization </w:t>
      </w:r>
      <w:r w:rsidR="00055A92" w:rsidRPr="00895014">
        <w:rPr>
          <w:lang w:val="en-GB"/>
        </w:rPr>
        <w:t>strategies</w:t>
      </w:r>
      <w:r w:rsidR="00F51E3F" w:rsidRPr="00895014">
        <w:rPr>
          <w:lang w:val="en-GB"/>
        </w:rPr>
        <w:t xml:space="preserve"> to fit a parametric family of </w:t>
      </w:r>
      <w:r w:rsidR="00473622" w:rsidRPr="00895014">
        <w:rPr>
          <w:lang w:val="en-GB"/>
        </w:rPr>
        <w:t>kernel functions</w:t>
      </w:r>
      <w:r w:rsidR="00F51E3F" w:rsidRPr="00895014">
        <w:rPr>
          <w:lang w:val="en-GB"/>
        </w:rPr>
        <w:t xml:space="preserve"> to the posterior distribution, using </w:t>
      </w:r>
      <w:r w:rsidR="007B3704" w:rsidRPr="00895014">
        <w:rPr>
          <w:lang w:val="en-GB"/>
        </w:rPr>
        <w:t>appropriate statistical</w:t>
      </w:r>
      <w:r w:rsidR="00B01280" w:rsidRPr="00895014">
        <w:rPr>
          <w:lang w:val="en-GB"/>
        </w:rPr>
        <w:t xml:space="preserve"> distance measures</w:t>
      </w:r>
      <w:r w:rsidR="00473622" w:rsidRPr="00895014">
        <w:rPr>
          <w:lang w:val="en-GB"/>
        </w:rPr>
        <w:t xml:space="preserve"> as objective function</w:t>
      </w:r>
      <w:r w:rsidR="00193006" w:rsidRPr="00895014">
        <w:rPr>
          <w:lang w:val="en-GB"/>
        </w:rPr>
        <w:t xml:space="preserve"> (Beal, 2003)</w:t>
      </w:r>
      <w:r w:rsidR="00473622" w:rsidRPr="00895014">
        <w:rPr>
          <w:lang w:val="en-GB"/>
        </w:rPr>
        <w:t>.</w:t>
      </w:r>
      <w:r w:rsidR="007214AD" w:rsidRPr="00895014">
        <w:rPr>
          <w:lang w:val="en-GB"/>
        </w:rPr>
        <w:t xml:space="preserve"> </w:t>
      </w:r>
      <w:r w:rsidR="00A65447" w:rsidRPr="00895014">
        <w:rPr>
          <w:lang w:val="en-GB"/>
        </w:rPr>
        <w:t xml:space="preserve">BMCMC, VI and other conventional frameworks for Bayesian inference </w:t>
      </w:r>
      <w:r w:rsidR="00055A92" w:rsidRPr="00895014">
        <w:rPr>
          <w:lang w:val="en-GB"/>
        </w:rPr>
        <w:t>are well-established, reliable and accurate</w:t>
      </w:r>
      <w:r w:rsidR="00B01280" w:rsidRPr="00895014">
        <w:rPr>
          <w:lang w:val="en-GB"/>
        </w:rPr>
        <w:t xml:space="preserve">, </w:t>
      </w:r>
      <w:r w:rsidR="00D16887" w:rsidRPr="00895014">
        <w:rPr>
          <w:lang w:val="en-GB"/>
        </w:rPr>
        <w:t xml:space="preserve">but </w:t>
      </w:r>
      <w:r w:rsidR="00A65447" w:rsidRPr="00895014">
        <w:rPr>
          <w:lang w:val="en-GB"/>
        </w:rPr>
        <w:t xml:space="preserve">their application domain is restricted to PDF estimation problems with </w:t>
      </w:r>
      <w:r w:rsidR="00B01280" w:rsidRPr="00895014">
        <w:rPr>
          <w:lang w:val="en-GB"/>
        </w:rPr>
        <w:t>small-scale algebraic models</w:t>
      </w:r>
      <w:r w:rsidR="00A65447" w:rsidRPr="00895014">
        <w:rPr>
          <w:lang w:val="en-GB"/>
        </w:rPr>
        <w:t xml:space="preserve">. This is </w:t>
      </w:r>
      <w:r w:rsidR="00E37C11" w:rsidRPr="00895014">
        <w:rPr>
          <w:lang w:val="en-GB"/>
        </w:rPr>
        <w:t>because</w:t>
      </w:r>
      <w:r w:rsidR="00D16887" w:rsidRPr="00895014">
        <w:rPr>
          <w:lang w:val="en-GB"/>
        </w:rPr>
        <w:t xml:space="preserve"> </w:t>
      </w:r>
      <w:r w:rsidR="00B01280" w:rsidRPr="00895014">
        <w:rPr>
          <w:lang w:val="en-GB"/>
        </w:rPr>
        <w:t xml:space="preserve">their computational cost </w:t>
      </w:r>
      <w:r w:rsidR="00E37C11" w:rsidRPr="00895014">
        <w:rPr>
          <w:lang w:val="en-GB"/>
        </w:rPr>
        <w:t>becomes</w:t>
      </w:r>
      <w:r w:rsidR="00B01280" w:rsidRPr="00895014">
        <w:rPr>
          <w:lang w:val="en-GB"/>
        </w:rPr>
        <w:t xml:space="preserve"> </w:t>
      </w:r>
      <w:r w:rsidR="00D16887" w:rsidRPr="00895014">
        <w:rPr>
          <w:lang w:val="en-GB"/>
        </w:rPr>
        <w:t>considerable (often unaffordable)</w:t>
      </w:r>
      <w:r w:rsidR="00B01280" w:rsidRPr="00895014">
        <w:rPr>
          <w:lang w:val="en-GB"/>
        </w:rPr>
        <w:t xml:space="preserve"> when medium</w:t>
      </w:r>
      <w:r w:rsidR="00E37C11" w:rsidRPr="00895014">
        <w:rPr>
          <w:lang w:val="en-GB"/>
        </w:rPr>
        <w:t>-/</w:t>
      </w:r>
      <w:r w:rsidR="00844BF4" w:rsidRPr="00895014">
        <w:rPr>
          <w:lang w:val="en-GB"/>
        </w:rPr>
        <w:t>l</w:t>
      </w:r>
      <w:r w:rsidR="00B01280" w:rsidRPr="00895014">
        <w:rPr>
          <w:lang w:val="en-GB"/>
        </w:rPr>
        <w:t xml:space="preserve">arge-scale </w:t>
      </w:r>
      <w:r w:rsidR="00844BF4" w:rsidRPr="00895014">
        <w:rPr>
          <w:lang w:val="en-GB"/>
        </w:rPr>
        <w:t>and</w:t>
      </w:r>
      <w:r w:rsidR="00E37C11" w:rsidRPr="00895014">
        <w:rPr>
          <w:lang w:val="en-GB"/>
        </w:rPr>
        <w:t>/or</w:t>
      </w:r>
      <w:r w:rsidR="008E68AF" w:rsidRPr="00895014">
        <w:rPr>
          <w:lang w:val="en-GB"/>
        </w:rPr>
        <w:t xml:space="preserve"> </w:t>
      </w:r>
      <w:r w:rsidR="00B01280" w:rsidRPr="00895014">
        <w:rPr>
          <w:lang w:val="en-GB"/>
        </w:rPr>
        <w:t>differential-algebraic models must be dealt with.</w:t>
      </w:r>
      <w:r w:rsidR="00D16887" w:rsidRPr="00895014">
        <w:rPr>
          <w:lang w:val="en-GB"/>
        </w:rPr>
        <w:t xml:space="preserve"> Therefore, conventional Bayesian inference strategies are often unsuitable for</w:t>
      </w:r>
      <w:r w:rsidR="0078098A" w:rsidRPr="00895014">
        <w:rPr>
          <w:lang w:val="en-GB"/>
        </w:rPr>
        <w:t xml:space="preserve"> solving</w:t>
      </w:r>
      <w:r w:rsidR="00D16887" w:rsidRPr="00895014">
        <w:rPr>
          <w:lang w:val="en-GB"/>
        </w:rPr>
        <w:t xml:space="preserve"> model uncertainty quantification</w:t>
      </w:r>
      <w:r w:rsidR="0078098A" w:rsidRPr="00895014">
        <w:rPr>
          <w:lang w:val="en-GB"/>
        </w:rPr>
        <w:t xml:space="preserve"> problems</w:t>
      </w:r>
      <w:r w:rsidR="00D16887" w:rsidRPr="00895014">
        <w:rPr>
          <w:lang w:val="en-GB"/>
        </w:rPr>
        <w:t xml:space="preserve"> in </w:t>
      </w:r>
      <w:r w:rsidR="0040668F" w:rsidRPr="00895014">
        <w:rPr>
          <w:lang w:val="en-GB"/>
        </w:rPr>
        <w:t>p</w:t>
      </w:r>
      <w:r w:rsidR="00D16887" w:rsidRPr="00895014">
        <w:rPr>
          <w:lang w:val="en-GB"/>
        </w:rPr>
        <w:t xml:space="preserve">rocess </w:t>
      </w:r>
      <w:r w:rsidR="0040668F" w:rsidRPr="00895014">
        <w:rPr>
          <w:lang w:val="en-GB"/>
        </w:rPr>
        <w:t>s</w:t>
      </w:r>
      <w:r w:rsidR="00D16887" w:rsidRPr="00895014">
        <w:rPr>
          <w:lang w:val="en-GB"/>
        </w:rPr>
        <w:t xml:space="preserve">ystems </w:t>
      </w:r>
      <w:r w:rsidR="0040668F" w:rsidRPr="00895014">
        <w:rPr>
          <w:lang w:val="en-GB"/>
        </w:rPr>
        <w:t>e</w:t>
      </w:r>
      <w:r w:rsidR="00D16887" w:rsidRPr="00895014">
        <w:rPr>
          <w:lang w:val="en-GB"/>
        </w:rPr>
        <w:t>ngineering</w:t>
      </w:r>
      <w:r w:rsidR="0078098A" w:rsidRPr="00895014">
        <w:rPr>
          <w:lang w:val="en-GB"/>
        </w:rPr>
        <w:t xml:space="preserve"> applications</w:t>
      </w:r>
      <w:r w:rsidR="00D16887" w:rsidRPr="00895014">
        <w:rPr>
          <w:lang w:val="en-GB"/>
        </w:rPr>
        <w:t xml:space="preserve">, </w:t>
      </w:r>
      <w:r w:rsidR="00A44ACE" w:rsidRPr="00895014">
        <w:rPr>
          <w:lang w:val="en-GB"/>
        </w:rPr>
        <w:t>in which</w:t>
      </w:r>
      <w:r w:rsidR="00D16887" w:rsidRPr="00895014">
        <w:rPr>
          <w:lang w:val="en-GB"/>
        </w:rPr>
        <w:t xml:space="preserve"> most of the PDF estimation tasks must be completed </w:t>
      </w:r>
      <w:r w:rsidR="00844BF4" w:rsidRPr="00895014">
        <w:rPr>
          <w:lang w:val="en-GB"/>
        </w:rPr>
        <w:t>within</w:t>
      </w:r>
      <w:r w:rsidR="0078098A" w:rsidRPr="00895014">
        <w:rPr>
          <w:lang w:val="en-GB"/>
        </w:rPr>
        <w:t xml:space="preserve"> minutes/hours.</w:t>
      </w:r>
    </w:p>
    <w:p w:rsidR="0078098A" w:rsidRPr="00895014" w:rsidRDefault="0078098A" w:rsidP="008538BC">
      <w:pPr>
        <w:pStyle w:val="CETBodytext"/>
        <w:rPr>
          <w:lang w:val="en-GB"/>
        </w:rPr>
      </w:pPr>
      <w:r w:rsidRPr="00895014">
        <w:rPr>
          <w:lang w:val="en-GB"/>
        </w:rPr>
        <w:t>In view of these considerations, we have recently develope</w:t>
      </w:r>
      <w:r w:rsidR="00844BF4" w:rsidRPr="00895014">
        <w:rPr>
          <w:lang w:val="en-GB"/>
        </w:rPr>
        <w:t xml:space="preserve">d </w:t>
      </w:r>
      <w:r w:rsidRPr="00895014">
        <w:rPr>
          <w:lang w:val="en-GB"/>
        </w:rPr>
        <w:t xml:space="preserve">two </w:t>
      </w:r>
      <w:r w:rsidR="00655D23" w:rsidRPr="00895014">
        <w:rPr>
          <w:lang w:val="en-GB"/>
        </w:rPr>
        <w:t xml:space="preserve">new </w:t>
      </w:r>
      <w:r w:rsidRPr="00895014">
        <w:rPr>
          <w:lang w:val="en-GB"/>
        </w:rPr>
        <w:t>approximate Bayesian inference</w:t>
      </w:r>
      <w:r w:rsidR="00D2612B" w:rsidRPr="00895014">
        <w:rPr>
          <w:lang w:val="en-GB"/>
        </w:rPr>
        <w:t xml:space="preserve"> and alike</w:t>
      </w:r>
      <w:r w:rsidRPr="00895014">
        <w:rPr>
          <w:lang w:val="en-GB"/>
        </w:rPr>
        <w:t xml:space="preserve"> strategies, </w:t>
      </w:r>
      <w:r w:rsidR="00E57D74" w:rsidRPr="00895014">
        <w:rPr>
          <w:lang w:val="en-GB"/>
        </w:rPr>
        <w:t xml:space="preserve">called PDFE&amp;U and ODMCMC, </w:t>
      </w:r>
      <w:r w:rsidRPr="00895014">
        <w:rPr>
          <w:lang w:val="en-GB"/>
        </w:rPr>
        <w:t>which offer a good trade-off between accuracy and computational efficiency.</w:t>
      </w:r>
      <w:r w:rsidR="005C3C73" w:rsidRPr="00895014">
        <w:rPr>
          <w:lang w:val="en-GB"/>
        </w:rPr>
        <w:t xml:space="preserve"> Th</w:t>
      </w:r>
      <w:r w:rsidR="00E927C0" w:rsidRPr="00895014">
        <w:rPr>
          <w:lang w:val="en-GB"/>
        </w:rPr>
        <w:t xml:space="preserve">ese methods have </w:t>
      </w:r>
      <w:r w:rsidR="008E68AF" w:rsidRPr="00895014">
        <w:rPr>
          <w:lang w:val="en-GB"/>
        </w:rPr>
        <w:t>made it possible to build</w:t>
      </w:r>
      <w:r w:rsidR="00844BF4" w:rsidRPr="00895014">
        <w:rPr>
          <w:lang w:val="en-GB"/>
        </w:rPr>
        <w:t xml:space="preserve"> the three case studies</w:t>
      </w:r>
      <w:r w:rsidR="00655D23" w:rsidRPr="00895014">
        <w:rPr>
          <w:lang w:val="en-GB"/>
        </w:rPr>
        <w:t>,</w:t>
      </w:r>
      <w:r w:rsidR="00844BF4" w:rsidRPr="00895014">
        <w:rPr>
          <w:lang w:val="en-GB"/>
        </w:rPr>
        <w:t xml:space="preserve"> reported </w:t>
      </w:r>
      <w:r w:rsidR="00655D23" w:rsidRPr="00895014">
        <w:rPr>
          <w:lang w:val="en-GB"/>
        </w:rPr>
        <w:t xml:space="preserve">in </w:t>
      </w:r>
      <w:r w:rsidR="008E68AF" w:rsidRPr="00895014">
        <w:rPr>
          <w:lang w:val="en-GB"/>
        </w:rPr>
        <w:t>s</w:t>
      </w:r>
      <w:r w:rsidR="00655D23" w:rsidRPr="00895014">
        <w:rPr>
          <w:lang w:val="en-GB"/>
        </w:rPr>
        <w:t>ection</w:t>
      </w:r>
      <w:r w:rsidR="008E68AF" w:rsidRPr="00895014">
        <w:rPr>
          <w:lang w:val="en-GB"/>
        </w:rPr>
        <w:t xml:space="preserve"> </w:t>
      </w:r>
      <w:r w:rsidR="008E68AF" w:rsidRPr="00895014">
        <w:rPr>
          <w:lang w:val="en-GB"/>
        </w:rPr>
        <w:fldChar w:fldCharType="begin"/>
      </w:r>
      <w:r w:rsidR="008E68AF" w:rsidRPr="00895014">
        <w:rPr>
          <w:lang w:val="en-GB"/>
        </w:rPr>
        <w:instrText xml:space="preserve"> REF _Ref31815 \n \h </w:instrText>
      </w:r>
      <w:r w:rsidR="00895014">
        <w:rPr>
          <w:lang w:val="en-GB"/>
        </w:rPr>
        <w:instrText xml:space="preserve"> \* MERGEFORMAT </w:instrText>
      </w:r>
      <w:r w:rsidR="008E68AF" w:rsidRPr="00895014">
        <w:rPr>
          <w:lang w:val="en-GB"/>
        </w:rPr>
      </w:r>
      <w:r w:rsidR="008E68AF" w:rsidRPr="00895014">
        <w:rPr>
          <w:lang w:val="en-GB"/>
        </w:rPr>
        <w:fldChar w:fldCharType="separate"/>
      </w:r>
      <w:r w:rsidR="008E68AF" w:rsidRPr="00895014">
        <w:rPr>
          <w:lang w:val="en-GB"/>
        </w:rPr>
        <w:t>3</w:t>
      </w:r>
      <w:r w:rsidR="008E68AF" w:rsidRPr="00895014">
        <w:rPr>
          <w:lang w:val="en-GB"/>
        </w:rPr>
        <w:fldChar w:fldCharType="end"/>
      </w:r>
      <w:r w:rsidR="00844BF4" w:rsidRPr="00895014">
        <w:rPr>
          <w:lang w:val="en-GB"/>
        </w:rPr>
        <w:t>.</w:t>
      </w:r>
      <w:r w:rsidR="008E68AF" w:rsidRPr="00895014">
        <w:rPr>
          <w:lang w:val="en-GB"/>
        </w:rPr>
        <w:t xml:space="preserve"> </w:t>
      </w:r>
      <w:r w:rsidR="006F34A2" w:rsidRPr="00895014">
        <w:rPr>
          <w:lang w:val="en-GB"/>
        </w:rPr>
        <w:t xml:space="preserve">Due to space limitations, we can only discuss the rationale of ODMCMC, but </w:t>
      </w:r>
      <w:r w:rsidR="000E78EF" w:rsidRPr="00895014">
        <w:rPr>
          <w:lang w:val="en-GB"/>
        </w:rPr>
        <w:t xml:space="preserve">the reader can find additional information on PDFE&amp;U in </w:t>
      </w:r>
      <w:r w:rsidR="00193006" w:rsidRPr="00895014">
        <w:rPr>
          <w:lang w:val="en-GB"/>
        </w:rPr>
        <w:t>Rossi et al. (2018)</w:t>
      </w:r>
      <w:r w:rsidR="006F34A2" w:rsidRPr="00895014">
        <w:rPr>
          <w:lang w:val="en-GB"/>
        </w:rPr>
        <w:t>.</w:t>
      </w:r>
    </w:p>
    <w:p w:rsidR="008B4D75" w:rsidRPr="00895014" w:rsidRDefault="00D66927" w:rsidP="00D66927">
      <w:pPr>
        <w:pStyle w:val="CETBodytext"/>
        <w:rPr>
          <w:lang w:val="en-GB"/>
        </w:rPr>
      </w:pPr>
      <w:r w:rsidRPr="00895014">
        <w:rPr>
          <w:lang w:val="en-GB"/>
        </w:rPr>
        <w:t xml:space="preserve">ODMCMC is a novel type of Markov-chain Monte Carlo algorithm, in which sampling is performed by optimization. Specifically, this method does not make use of conventional random strategies to sample the posterior PDF (e.g. Metropolis-Hastings, Gibbs and No-U-Turn samplers), which only accept about 30 % of all the samples analysed. </w:t>
      </w:r>
      <w:r w:rsidR="007E3FBE" w:rsidRPr="00895014">
        <w:rPr>
          <w:lang w:val="en-GB"/>
        </w:rPr>
        <w:t>Rather</w:t>
      </w:r>
      <w:r w:rsidRPr="00895014">
        <w:rPr>
          <w:lang w:val="en-GB"/>
        </w:rPr>
        <w:t>, it selects optimal posterior samples by iterative solution of small-scale, multi-objective optimization problems, which measure the degree of optimality of every single sample based on two indices, namely, its linear and angular distances from all the other samples and its posterior probability density. This innovative sampling approach can efficiently identify samples, which uniformly span only those regions of the uncertainty space that are associated with high values of posterior probability density. Therefore, it allows us to approximate the posterior PDF with fewer samples and, consequently, to save computational resources. In addition, unlike conventional random samplers, it allows reliable and efficient approximation of complex, multi-modal posterior PDFs.</w:t>
      </w:r>
    </w:p>
    <w:p w:rsidR="0071461A" w:rsidRPr="00895014" w:rsidRDefault="00895572" w:rsidP="00A634C5">
      <w:pPr>
        <w:pStyle w:val="CETBodytext"/>
        <w:keepNext/>
        <w:spacing w:before="120"/>
      </w:pPr>
      <w:r w:rsidRPr="00895014">
        <w:rPr>
          <w:noProof/>
        </w:rPr>
        <w:drawing>
          <wp:inline distT="0" distB="0" distL="0" distR="0" wp14:anchorId="06BA0E80">
            <wp:extent cx="5568696" cy="16093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8696" cy="1609344"/>
                    </a:xfrm>
                    <a:prstGeom prst="rect">
                      <a:avLst/>
                    </a:prstGeom>
                    <a:noFill/>
                  </pic:spPr>
                </pic:pic>
              </a:graphicData>
            </a:graphic>
          </wp:inline>
        </w:drawing>
      </w:r>
    </w:p>
    <w:p w:rsidR="00D66927" w:rsidRPr="00895014" w:rsidRDefault="0071461A" w:rsidP="0071461A">
      <w:pPr>
        <w:pStyle w:val="CETCaption"/>
      </w:pPr>
      <w:bookmarkStart w:id="0" w:name="_Ref15496"/>
      <w:r w:rsidRPr="00895014">
        <w:t xml:space="preserve">Figure </w:t>
      </w:r>
      <w:r w:rsidRPr="00895014">
        <w:fldChar w:fldCharType="begin"/>
      </w:r>
      <w:r w:rsidRPr="00895014">
        <w:instrText xml:space="preserve"> SEQ Figure \* ARABIC </w:instrText>
      </w:r>
      <w:r w:rsidRPr="00895014">
        <w:fldChar w:fldCharType="separate"/>
      </w:r>
      <w:r w:rsidR="00EA3BD8" w:rsidRPr="00895014">
        <w:rPr>
          <w:noProof/>
        </w:rPr>
        <w:t>1</w:t>
      </w:r>
      <w:r w:rsidRPr="00895014">
        <w:fldChar w:fldCharType="end"/>
      </w:r>
      <w:bookmarkEnd w:id="0"/>
      <w:r w:rsidRPr="00895014">
        <w:t>: Architecture of the ODMCMC algorithm</w:t>
      </w:r>
    </w:p>
    <w:p w:rsidR="00F73D93" w:rsidRPr="00895014" w:rsidRDefault="000E78EF" w:rsidP="00D66927">
      <w:pPr>
        <w:pStyle w:val="CETBodytext"/>
        <w:rPr>
          <w:lang w:val="en-GB"/>
        </w:rPr>
      </w:pPr>
      <w:r w:rsidRPr="00895014">
        <w:rPr>
          <w:lang w:val="en-GB"/>
        </w:rPr>
        <w:t>The rationale of ODMCMC is summarized in</w:t>
      </w:r>
      <w:r w:rsidR="001F19CA" w:rsidRPr="00895014">
        <w:rPr>
          <w:lang w:val="en-GB"/>
        </w:rPr>
        <w:t xml:space="preserve"> </w:t>
      </w:r>
      <w:r w:rsidR="001F19CA" w:rsidRPr="00895014">
        <w:rPr>
          <w:lang w:val="en-GB"/>
        </w:rPr>
        <w:fldChar w:fldCharType="begin"/>
      </w:r>
      <w:r w:rsidR="001F19CA" w:rsidRPr="00895014">
        <w:rPr>
          <w:lang w:val="en-GB"/>
        </w:rPr>
        <w:instrText xml:space="preserve"> REF _Ref15496 \h </w:instrText>
      </w:r>
      <w:r w:rsidR="00895014">
        <w:rPr>
          <w:lang w:val="en-GB"/>
        </w:rPr>
        <w:instrText xml:space="preserve"> \* MERGEFORMAT </w:instrText>
      </w:r>
      <w:r w:rsidR="001F19CA" w:rsidRPr="00895014">
        <w:rPr>
          <w:lang w:val="en-GB"/>
        </w:rPr>
      </w:r>
      <w:r w:rsidR="001F19CA" w:rsidRPr="00895014">
        <w:rPr>
          <w:lang w:val="en-GB"/>
        </w:rPr>
        <w:fldChar w:fldCharType="separate"/>
      </w:r>
      <w:r w:rsidR="001F19CA" w:rsidRPr="00895014">
        <w:t xml:space="preserve">Figure </w:t>
      </w:r>
      <w:r w:rsidR="001F19CA" w:rsidRPr="00895014">
        <w:rPr>
          <w:noProof/>
        </w:rPr>
        <w:t>1</w:t>
      </w:r>
      <w:r w:rsidR="001F19CA" w:rsidRPr="00895014">
        <w:rPr>
          <w:lang w:val="en-GB"/>
        </w:rPr>
        <w:fldChar w:fldCharType="end"/>
      </w:r>
      <w:r w:rsidRPr="00895014">
        <w:rPr>
          <w:lang w:val="en-GB"/>
        </w:rPr>
        <w:t xml:space="preserve">. The algorithm is comprised of two phases, called Phase I and Phase II, of which the second is executed in an iterative fashion until convergence is reached. </w:t>
      </w:r>
    </w:p>
    <w:p w:rsidR="000E78EF" w:rsidRPr="00895014" w:rsidRDefault="000E78EF" w:rsidP="00D66927">
      <w:pPr>
        <w:pStyle w:val="CETBodytext"/>
        <w:rPr>
          <w:lang w:val="en-GB"/>
        </w:rPr>
      </w:pPr>
      <w:r w:rsidRPr="00895014">
        <w:rPr>
          <w:lang w:val="en-GB"/>
        </w:rPr>
        <w:lastRenderedPageBreak/>
        <w:t>Phase I involves first computation of all the modes of the posterior PDF via multi-start optimization methods (step A), and then division of the uncertainty space into a user-supplied number of regions (step B), selected such that every one of them encompasses an appropriate interval of values of posterior probability density.</w:t>
      </w:r>
    </w:p>
    <w:p w:rsidR="00D66927" w:rsidRPr="00895014" w:rsidRDefault="00D66927" w:rsidP="00D66927">
      <w:pPr>
        <w:pStyle w:val="CETBodytext"/>
        <w:rPr>
          <w:lang w:val="en-GB"/>
        </w:rPr>
      </w:pPr>
      <w:r w:rsidRPr="00895014">
        <w:rPr>
          <w:lang w:val="en-GB"/>
        </w:rPr>
        <w:t>Phase II involves iterative execution of steps A, B and C in series, until the variation in the first, second and third order moments of the posterior PDF over two consecutive iterations is smaller than some predefined error tolerance (step D). In step A, we compute the number of samples that must be added to every region of the uncertainty space in the current iteration, using an estimate of the algorithm convergence rate calculated by error extrapolation. Step B involves solution of several multi-objective optimization problems (one problem per region) via goal programming, which allow identification of the optimal locations of the new samples. All of these optimization problems are independent of each other, thus can be solved in parallel to improve the overall computational efficiency of the algorithm. Finally, in step C, we estimate the first, second and third order moments of the posterior PDF, using the samples selected up to the current iteration. These calculations rely on simple formulas, derived by discretization of well-known integral expressions, utilized to compute the moments of continuous probability distributions.</w:t>
      </w:r>
    </w:p>
    <w:p w:rsidR="00FF611E" w:rsidRPr="00895014" w:rsidRDefault="005C3C73" w:rsidP="008538BC">
      <w:pPr>
        <w:pStyle w:val="CETBodytext"/>
        <w:rPr>
          <w:lang w:val="en-GB"/>
        </w:rPr>
      </w:pPr>
      <w:r w:rsidRPr="00895014">
        <w:rPr>
          <w:lang w:val="en-GB"/>
        </w:rPr>
        <w:t xml:space="preserve">This brief description of the rationale of </w:t>
      </w:r>
      <w:r w:rsidR="000D32F2" w:rsidRPr="00895014">
        <w:rPr>
          <w:lang w:val="en-GB"/>
        </w:rPr>
        <w:t>this new</w:t>
      </w:r>
      <w:r w:rsidR="0083053C" w:rsidRPr="00895014">
        <w:rPr>
          <w:lang w:val="en-GB"/>
        </w:rPr>
        <w:t xml:space="preserve"> </w:t>
      </w:r>
      <w:r w:rsidR="000D32F2" w:rsidRPr="00895014">
        <w:rPr>
          <w:lang w:val="en-GB"/>
        </w:rPr>
        <w:t>algorithm</w:t>
      </w:r>
      <w:r w:rsidRPr="00895014">
        <w:rPr>
          <w:lang w:val="en-GB"/>
        </w:rPr>
        <w:t xml:space="preserve"> must be complemented with two final remarks. </w:t>
      </w:r>
      <w:r w:rsidR="00D66927" w:rsidRPr="00895014">
        <w:rPr>
          <w:lang w:val="en-GB"/>
        </w:rPr>
        <w:t xml:space="preserve">First, note </w:t>
      </w:r>
      <w:r w:rsidR="000D32F2" w:rsidRPr="00895014">
        <w:rPr>
          <w:lang w:val="en-GB"/>
        </w:rPr>
        <w:t>that ODMCMC</w:t>
      </w:r>
      <w:r w:rsidR="00D66927" w:rsidRPr="00895014">
        <w:rPr>
          <w:lang w:val="en-GB"/>
        </w:rPr>
        <w:t xml:space="preserve"> technically requires identification of all the modes of the posterior PDF (Phase I – step A) via multi-start optimization. However, this requirement can be relaxed without affecting the accuracy of the algorithm, but at the cost of longer computation time. Second, note that the bottleneck for computational efficiency in ODMCMC is represented by step A of Phase I and step B of Phase II, which are both parallelizable. Therefore, ODMCMC exhibits very good scalability features, unlike conventional Bayesian inference strategies.</w:t>
      </w:r>
    </w:p>
    <w:p w:rsidR="00600535" w:rsidRPr="00895014" w:rsidRDefault="005C542E" w:rsidP="00600535">
      <w:pPr>
        <w:pStyle w:val="CETHeading1"/>
        <w:tabs>
          <w:tab w:val="clear" w:pos="360"/>
          <w:tab w:val="right" w:pos="7100"/>
        </w:tabs>
        <w:jc w:val="both"/>
        <w:rPr>
          <w:lang w:val="en-GB"/>
        </w:rPr>
      </w:pPr>
      <w:bookmarkStart w:id="1" w:name="_Ref31815"/>
      <w:r w:rsidRPr="00895014">
        <w:rPr>
          <w:lang w:val="en-GB"/>
        </w:rPr>
        <w:t>Impact</w:t>
      </w:r>
      <w:r w:rsidR="00673B50" w:rsidRPr="00895014">
        <w:rPr>
          <w:lang w:val="en-GB"/>
        </w:rPr>
        <w:t xml:space="preserve"> of uncertainty quantification </w:t>
      </w:r>
      <w:r w:rsidRPr="00895014">
        <w:rPr>
          <w:lang w:val="en-GB"/>
        </w:rPr>
        <w:t>in</w:t>
      </w:r>
      <w:r w:rsidR="00673B50" w:rsidRPr="00895014">
        <w:rPr>
          <w:lang w:val="en-GB"/>
        </w:rPr>
        <w:t xml:space="preserve"> chemical engineering</w:t>
      </w:r>
      <w:bookmarkEnd w:id="1"/>
    </w:p>
    <w:p w:rsidR="002B25DF" w:rsidRPr="00895014" w:rsidRDefault="00D5266D" w:rsidP="00600535">
      <w:pPr>
        <w:pStyle w:val="CETBodytext"/>
        <w:rPr>
          <w:lang w:val="en-GB"/>
        </w:rPr>
      </w:pPr>
      <w:r w:rsidRPr="00895014">
        <w:rPr>
          <w:lang w:val="en-GB"/>
        </w:rPr>
        <w:t xml:space="preserve">After introducing the concept of computationally efficient strategies for PDF estimation, we can now investigate the impact of model uncertainty quantification </w:t>
      </w:r>
      <w:r w:rsidR="00663415" w:rsidRPr="00895014">
        <w:rPr>
          <w:lang w:val="en-GB"/>
        </w:rPr>
        <w:t>in</w:t>
      </w:r>
      <w:r w:rsidRPr="00895014">
        <w:rPr>
          <w:lang w:val="en-GB"/>
        </w:rPr>
        <w:t xml:space="preserve"> four relevant research field</w:t>
      </w:r>
      <w:r w:rsidR="002416EC" w:rsidRPr="00895014">
        <w:rPr>
          <w:lang w:val="en-GB"/>
        </w:rPr>
        <w:t>s</w:t>
      </w:r>
      <w:r w:rsidRPr="00895014">
        <w:rPr>
          <w:lang w:val="en-GB"/>
        </w:rPr>
        <w:t xml:space="preserve"> </w:t>
      </w:r>
      <w:r w:rsidR="00732EE4" w:rsidRPr="00895014">
        <w:rPr>
          <w:lang w:val="en-GB"/>
        </w:rPr>
        <w:t>of</w:t>
      </w:r>
      <w:r w:rsidRPr="00895014">
        <w:rPr>
          <w:lang w:val="en-GB"/>
        </w:rPr>
        <w:t xml:space="preserve"> PSE, namely dynamic optimization, predictive maintenance, soft-sensor systems and risk assessment.</w:t>
      </w:r>
    </w:p>
    <w:p w:rsidR="00AB5011" w:rsidRPr="00895014" w:rsidRDefault="002B25DF" w:rsidP="00FA5F5F">
      <w:pPr>
        <w:pStyle w:val="CETheadingx"/>
      </w:pPr>
      <w:r w:rsidRPr="00895014">
        <w:t>Stochastic dynamic optimization</w:t>
      </w:r>
    </w:p>
    <w:p w:rsidR="00CA4C8C" w:rsidRPr="00895014" w:rsidRDefault="002A70C4" w:rsidP="00AB5011">
      <w:pPr>
        <w:pStyle w:val="CETBodytext"/>
        <w:rPr>
          <w:lang w:val="en-GB"/>
        </w:rPr>
      </w:pPr>
      <w:r w:rsidRPr="00895014">
        <w:rPr>
          <w:lang w:val="en-GB"/>
        </w:rPr>
        <w:t>Deterministic dynamic optimization</w:t>
      </w:r>
      <w:r w:rsidR="00F1289D" w:rsidRPr="00895014">
        <w:rPr>
          <w:lang w:val="en-GB"/>
        </w:rPr>
        <w:t xml:space="preserve"> (DRTO)</w:t>
      </w:r>
      <w:r w:rsidRPr="00895014">
        <w:rPr>
          <w:lang w:val="en-GB"/>
        </w:rPr>
        <w:t xml:space="preserve"> is a </w:t>
      </w:r>
      <w:r w:rsidR="005C681D" w:rsidRPr="00895014">
        <w:rPr>
          <w:lang w:val="en-GB"/>
        </w:rPr>
        <w:t>well-known</w:t>
      </w:r>
      <w:r w:rsidR="00495380" w:rsidRPr="00895014">
        <w:rPr>
          <w:lang w:val="en-GB"/>
        </w:rPr>
        <w:t xml:space="preserve"> model-based</w:t>
      </w:r>
      <w:r w:rsidRPr="00895014">
        <w:rPr>
          <w:lang w:val="en-GB"/>
        </w:rPr>
        <w:t xml:space="preserve"> strategy for computing the optimal operating conditions of a</w:t>
      </w:r>
      <w:r w:rsidR="00495380" w:rsidRPr="00895014">
        <w:rPr>
          <w:lang w:val="en-GB"/>
        </w:rPr>
        <w:t>ny</w:t>
      </w:r>
      <w:r w:rsidR="00CA2105" w:rsidRPr="00895014">
        <w:rPr>
          <w:lang w:val="en-GB"/>
        </w:rPr>
        <w:t xml:space="preserve"> target</w:t>
      </w:r>
      <w:r w:rsidRPr="00895014">
        <w:rPr>
          <w:lang w:val="en-GB"/>
        </w:rPr>
        <w:t xml:space="preserve"> process in real time, </w:t>
      </w:r>
      <w:r w:rsidR="00E111CF" w:rsidRPr="00895014">
        <w:rPr>
          <w:lang w:val="en-GB"/>
        </w:rPr>
        <w:t>based on</w:t>
      </w:r>
      <w:r w:rsidRPr="00895014">
        <w:rPr>
          <w:lang w:val="en-GB"/>
        </w:rPr>
        <w:t xml:space="preserve"> case-specific performance functions.</w:t>
      </w:r>
      <w:r w:rsidR="00495380" w:rsidRPr="00895014">
        <w:rPr>
          <w:lang w:val="en-GB"/>
        </w:rPr>
        <w:t xml:space="preserve"> Although powerful, it suffers from a major drawback, namely</w:t>
      </w:r>
      <w:r w:rsidR="00F718FA" w:rsidRPr="00895014">
        <w:rPr>
          <w:lang w:val="en-GB"/>
        </w:rPr>
        <w:t>,</w:t>
      </w:r>
      <w:r w:rsidR="00495380" w:rsidRPr="00895014">
        <w:rPr>
          <w:lang w:val="en-GB"/>
        </w:rPr>
        <w:t xml:space="preserve"> the need for accurate process models, which </w:t>
      </w:r>
      <w:r w:rsidR="00CA2105" w:rsidRPr="00895014">
        <w:rPr>
          <w:lang w:val="en-GB"/>
        </w:rPr>
        <w:t>limits its application domain to a handful of processes</w:t>
      </w:r>
      <w:r w:rsidR="00495380" w:rsidRPr="00895014">
        <w:rPr>
          <w:lang w:val="en-GB"/>
        </w:rPr>
        <w:t>.</w:t>
      </w:r>
      <w:r w:rsidR="00CA2105" w:rsidRPr="00895014">
        <w:rPr>
          <w:lang w:val="en-GB"/>
        </w:rPr>
        <w:t xml:space="preserve"> </w:t>
      </w:r>
      <w:r w:rsidR="00CA4C8C" w:rsidRPr="00895014">
        <w:rPr>
          <w:lang w:val="en-GB"/>
        </w:rPr>
        <w:t xml:space="preserve">This important downside of </w:t>
      </w:r>
      <w:r w:rsidR="00F1289D" w:rsidRPr="00895014">
        <w:rPr>
          <w:lang w:val="en-GB"/>
        </w:rPr>
        <w:t>DRTO</w:t>
      </w:r>
      <w:r w:rsidR="00CA4C8C" w:rsidRPr="00895014">
        <w:rPr>
          <w:lang w:val="en-GB"/>
        </w:rPr>
        <w:t xml:space="preserve"> is overcome by stochastic dynamic optimization</w:t>
      </w:r>
      <w:r w:rsidR="00F1289D" w:rsidRPr="00895014">
        <w:rPr>
          <w:lang w:val="en-GB"/>
        </w:rPr>
        <w:t xml:space="preserve"> (SDRTO)</w:t>
      </w:r>
      <w:r w:rsidR="00CA4C8C" w:rsidRPr="00895014">
        <w:rPr>
          <w:lang w:val="en-GB"/>
        </w:rPr>
        <w:t xml:space="preserve">, which explicitly considers the presence of uncertainty in the model predictions through the probability distribution of the </w:t>
      </w:r>
      <w:r w:rsidR="001B083A" w:rsidRPr="00895014">
        <w:rPr>
          <w:lang w:val="en-GB"/>
        </w:rPr>
        <w:t xml:space="preserve">uncertain </w:t>
      </w:r>
      <w:r w:rsidR="00CA4C8C" w:rsidRPr="00895014">
        <w:rPr>
          <w:lang w:val="en-GB"/>
        </w:rPr>
        <w:t xml:space="preserve">model parameters. However, this algorithmic improvement </w:t>
      </w:r>
      <w:r w:rsidR="00CA2105" w:rsidRPr="00895014">
        <w:rPr>
          <w:lang w:val="en-GB"/>
        </w:rPr>
        <w:t>requires</w:t>
      </w:r>
      <w:r w:rsidR="00CA4C8C" w:rsidRPr="00895014">
        <w:rPr>
          <w:lang w:val="en-GB"/>
        </w:rPr>
        <w:t xml:space="preserve"> efficient strategies for model uncertainty quantification</w:t>
      </w:r>
      <w:r w:rsidR="00CA2105" w:rsidRPr="00895014">
        <w:rPr>
          <w:lang w:val="en-GB"/>
        </w:rPr>
        <w:t xml:space="preserve">, </w:t>
      </w:r>
      <w:r w:rsidR="008C5D2C" w:rsidRPr="00895014">
        <w:rPr>
          <w:lang w:val="en-GB"/>
        </w:rPr>
        <w:t>based on</w:t>
      </w:r>
      <w:r w:rsidR="00CA2105" w:rsidRPr="00895014">
        <w:rPr>
          <w:lang w:val="en-GB"/>
        </w:rPr>
        <w:t xml:space="preserve"> PDFE&amp;U, which can estimate/re-estimate the PDF of the model parameters </w:t>
      </w:r>
      <w:r w:rsidR="001B083A" w:rsidRPr="00895014">
        <w:rPr>
          <w:lang w:val="en-GB"/>
        </w:rPr>
        <w:t xml:space="preserve">on a time scale of </w:t>
      </w:r>
      <w:r w:rsidR="001B17A0" w:rsidRPr="00895014">
        <w:rPr>
          <w:lang w:val="en-GB"/>
        </w:rPr>
        <w:t xml:space="preserve">a few </w:t>
      </w:r>
      <w:r w:rsidR="001B083A" w:rsidRPr="00895014">
        <w:rPr>
          <w:lang w:val="en-GB"/>
        </w:rPr>
        <w:t>minutes.</w:t>
      </w:r>
      <w:r w:rsidR="00873C9B" w:rsidRPr="00895014">
        <w:rPr>
          <w:lang w:val="en-GB"/>
        </w:rPr>
        <w:t xml:space="preserve"> The reader can thus appreciate the importance of </w:t>
      </w:r>
      <w:r w:rsidR="00CA2105" w:rsidRPr="00895014">
        <w:rPr>
          <w:lang w:val="en-GB"/>
        </w:rPr>
        <w:t xml:space="preserve">model uncertainty quantification </w:t>
      </w:r>
      <w:r w:rsidR="0053055D" w:rsidRPr="00895014">
        <w:rPr>
          <w:lang w:val="en-GB"/>
        </w:rPr>
        <w:t>i</w:t>
      </w:r>
      <w:r w:rsidR="00873C9B" w:rsidRPr="00895014">
        <w:rPr>
          <w:lang w:val="en-GB"/>
        </w:rPr>
        <w:t>n</w:t>
      </w:r>
      <w:r w:rsidR="0053055D" w:rsidRPr="00895014">
        <w:rPr>
          <w:lang w:val="en-GB"/>
        </w:rPr>
        <w:t xml:space="preserve"> </w:t>
      </w:r>
      <w:r w:rsidR="001B083A" w:rsidRPr="00895014">
        <w:rPr>
          <w:lang w:val="en-GB"/>
        </w:rPr>
        <w:t>the field of</w:t>
      </w:r>
      <w:r w:rsidR="00CA2105" w:rsidRPr="00895014">
        <w:rPr>
          <w:lang w:val="en-GB"/>
        </w:rPr>
        <w:t xml:space="preserve"> </w:t>
      </w:r>
      <w:r w:rsidR="001B083A" w:rsidRPr="00895014">
        <w:rPr>
          <w:lang w:val="en-GB"/>
        </w:rPr>
        <w:t>dynamic process optimization</w:t>
      </w:r>
      <w:r w:rsidR="00CA2105" w:rsidRPr="00895014">
        <w:rPr>
          <w:lang w:val="en-GB"/>
        </w:rPr>
        <w:t>.</w:t>
      </w:r>
    </w:p>
    <w:p w:rsidR="001F4E78" w:rsidRPr="00895014" w:rsidRDefault="001B083A" w:rsidP="00AB5011">
      <w:pPr>
        <w:pStyle w:val="CETBodytext"/>
        <w:rPr>
          <w:lang w:val="en-GB"/>
        </w:rPr>
      </w:pPr>
      <w:r w:rsidRPr="00895014">
        <w:rPr>
          <w:lang w:val="en-GB"/>
        </w:rPr>
        <w:t>Extensive analysis o</w:t>
      </w:r>
      <w:r w:rsidR="000515F9" w:rsidRPr="00895014">
        <w:rPr>
          <w:lang w:val="en-GB"/>
        </w:rPr>
        <w:t>n</w:t>
      </w:r>
      <w:r w:rsidRPr="00895014">
        <w:rPr>
          <w:lang w:val="en-GB"/>
        </w:rPr>
        <w:t xml:space="preserve"> t</w:t>
      </w:r>
      <w:r w:rsidR="000515F9" w:rsidRPr="00895014">
        <w:rPr>
          <w:lang w:val="en-GB"/>
        </w:rPr>
        <w:t xml:space="preserve">he different </w:t>
      </w:r>
      <w:r w:rsidRPr="00895014">
        <w:rPr>
          <w:lang w:val="en-GB"/>
        </w:rPr>
        <w:t>robustness and performance</w:t>
      </w:r>
      <w:r w:rsidR="00BB653A" w:rsidRPr="00895014">
        <w:rPr>
          <w:lang w:val="en-GB"/>
        </w:rPr>
        <w:t xml:space="preserve"> characteristics</w:t>
      </w:r>
      <w:r w:rsidRPr="00895014">
        <w:rPr>
          <w:lang w:val="en-GB"/>
        </w:rPr>
        <w:t xml:space="preserve">, offered by deterministic and stochastic dynamic optimization, is </w:t>
      </w:r>
      <w:r w:rsidR="001D73D0" w:rsidRPr="00895014">
        <w:rPr>
          <w:lang w:val="en-GB"/>
        </w:rPr>
        <w:t>reported in</w:t>
      </w:r>
      <w:r w:rsidRPr="00895014">
        <w:rPr>
          <w:lang w:val="en-GB"/>
        </w:rPr>
        <w:t xml:space="preserve"> </w:t>
      </w:r>
      <w:r w:rsidR="00873C9B" w:rsidRPr="00895014">
        <w:rPr>
          <w:lang w:val="en-GB"/>
        </w:rPr>
        <w:t xml:space="preserve">Rossi et al. (2016). </w:t>
      </w:r>
      <w:r w:rsidRPr="00895014">
        <w:rPr>
          <w:lang w:val="en-GB"/>
        </w:rPr>
        <w:t>However,</w:t>
      </w:r>
      <w:r w:rsidR="000515F9" w:rsidRPr="00895014">
        <w:rPr>
          <w:lang w:val="en-GB"/>
        </w:rPr>
        <w:t xml:space="preserve"> </w:t>
      </w:r>
      <w:r w:rsidR="0053055D" w:rsidRPr="00895014">
        <w:rPr>
          <w:lang w:val="en-GB"/>
        </w:rPr>
        <w:fldChar w:fldCharType="begin"/>
      </w:r>
      <w:r w:rsidR="0053055D" w:rsidRPr="00895014">
        <w:rPr>
          <w:lang w:val="en-GB"/>
        </w:rPr>
        <w:instrText xml:space="preserve"> REF _Ref39950 \h  \* MERGEFORMAT </w:instrText>
      </w:r>
      <w:r w:rsidR="0053055D" w:rsidRPr="00895014">
        <w:rPr>
          <w:lang w:val="en-GB"/>
        </w:rPr>
      </w:r>
      <w:r w:rsidR="0053055D" w:rsidRPr="00895014">
        <w:rPr>
          <w:lang w:val="en-GB"/>
        </w:rPr>
        <w:fldChar w:fldCharType="separate"/>
      </w:r>
      <w:r w:rsidR="0053055D" w:rsidRPr="00895014">
        <w:t xml:space="preserve">Figure </w:t>
      </w:r>
      <w:r w:rsidR="0053055D" w:rsidRPr="00895014">
        <w:rPr>
          <w:noProof/>
        </w:rPr>
        <w:t>2</w:t>
      </w:r>
      <w:r w:rsidR="0053055D" w:rsidRPr="00895014">
        <w:rPr>
          <w:lang w:val="en-GB"/>
        </w:rPr>
        <w:fldChar w:fldCharType="end"/>
      </w:r>
      <w:r w:rsidRPr="00895014">
        <w:rPr>
          <w:lang w:val="en-GB"/>
        </w:rPr>
        <w:t xml:space="preserve"> </w:t>
      </w:r>
      <w:r w:rsidR="0053055D" w:rsidRPr="00895014">
        <w:rPr>
          <w:lang w:val="en-GB"/>
        </w:rPr>
        <w:t xml:space="preserve">already </w:t>
      </w:r>
      <w:r w:rsidR="000515F9" w:rsidRPr="00895014">
        <w:rPr>
          <w:lang w:val="en-GB"/>
        </w:rPr>
        <w:t xml:space="preserve">allows </w:t>
      </w:r>
      <w:r w:rsidRPr="00895014">
        <w:rPr>
          <w:lang w:val="en-GB"/>
        </w:rPr>
        <w:t xml:space="preserve">the reader </w:t>
      </w:r>
      <w:r w:rsidR="000515F9" w:rsidRPr="00895014">
        <w:rPr>
          <w:lang w:val="en-GB"/>
        </w:rPr>
        <w:t>to appreciate the different robustness</w:t>
      </w:r>
      <w:r w:rsidR="001D73D0" w:rsidRPr="00895014">
        <w:rPr>
          <w:lang w:val="en-GB"/>
        </w:rPr>
        <w:t xml:space="preserve"> levels</w:t>
      </w:r>
      <w:r w:rsidR="000515F9" w:rsidRPr="00895014">
        <w:rPr>
          <w:lang w:val="en-GB"/>
        </w:rPr>
        <w:t xml:space="preserve">, guaranteed by these two optimization techniques. </w:t>
      </w:r>
      <w:r w:rsidR="0053055D" w:rsidRPr="00895014">
        <w:rPr>
          <w:lang w:val="en-GB"/>
        </w:rPr>
        <w:t>Indeed, t</w:t>
      </w:r>
      <w:r w:rsidR="000515F9" w:rsidRPr="00895014">
        <w:rPr>
          <w:lang w:val="en-GB"/>
        </w:rPr>
        <w:t xml:space="preserve">he </w:t>
      </w:r>
      <w:r w:rsidR="00F1289D" w:rsidRPr="00895014">
        <w:rPr>
          <w:lang w:val="en-GB"/>
        </w:rPr>
        <w:t>constraint</w:t>
      </w:r>
      <w:r w:rsidR="000515F9" w:rsidRPr="00895014">
        <w:rPr>
          <w:lang w:val="en-GB"/>
        </w:rPr>
        <w:t xml:space="preserve"> violations, </w:t>
      </w:r>
      <w:r w:rsidR="00F1289D" w:rsidRPr="00895014">
        <w:rPr>
          <w:lang w:val="en-GB"/>
        </w:rPr>
        <w:t xml:space="preserve">triggered by </w:t>
      </w:r>
      <w:r w:rsidR="0053055D" w:rsidRPr="00895014">
        <w:rPr>
          <w:lang w:val="en-GB"/>
        </w:rPr>
        <w:t>DRTO</w:t>
      </w:r>
      <w:r w:rsidR="000515F9" w:rsidRPr="00895014">
        <w:rPr>
          <w:lang w:val="en-GB"/>
        </w:rPr>
        <w:t>, are much more severe than those</w:t>
      </w:r>
      <w:r w:rsidR="00F1289D" w:rsidRPr="00895014">
        <w:rPr>
          <w:lang w:val="en-GB"/>
        </w:rPr>
        <w:t xml:space="preserve"> triggered by </w:t>
      </w:r>
      <w:r w:rsidR="0053055D" w:rsidRPr="00895014">
        <w:rPr>
          <w:lang w:val="en-GB"/>
        </w:rPr>
        <w:t>SDRTO</w:t>
      </w:r>
      <w:r w:rsidR="00F1289D" w:rsidRPr="00895014">
        <w:rPr>
          <w:lang w:val="en-GB"/>
        </w:rPr>
        <w:t xml:space="preserve"> (</w:t>
      </w:r>
      <w:r w:rsidR="0053055D" w:rsidRPr="00895014">
        <w:rPr>
          <w:lang w:val="en-GB"/>
        </w:rPr>
        <w:t xml:space="preserve">this </w:t>
      </w:r>
      <w:r w:rsidR="00873C9B" w:rsidRPr="00895014">
        <w:rPr>
          <w:lang w:val="en-GB"/>
        </w:rPr>
        <w:t>is especially true for the</w:t>
      </w:r>
      <w:r w:rsidR="00F1289D" w:rsidRPr="00895014">
        <w:rPr>
          <w:lang w:val="en-GB"/>
        </w:rPr>
        <w:t xml:space="preserve"> </w:t>
      </w:r>
      <w:r w:rsidR="00873C9B" w:rsidRPr="00895014">
        <w:rPr>
          <w:lang w:val="en-GB"/>
        </w:rPr>
        <w:t xml:space="preserve">stochastic dynamic optimization method </w:t>
      </w:r>
      <w:r w:rsidR="00F1289D" w:rsidRPr="00895014">
        <w:rPr>
          <w:lang w:val="en-GB"/>
        </w:rPr>
        <w:t>“std”</w:t>
      </w:r>
      <w:r w:rsidR="00873C9B" w:rsidRPr="00895014">
        <w:rPr>
          <w:lang w:val="en-GB"/>
        </w:rPr>
        <w:t xml:space="preserve">, which is one of the best </w:t>
      </w:r>
      <w:r w:rsidR="001D73D0" w:rsidRPr="00895014">
        <w:rPr>
          <w:lang w:val="en-GB"/>
        </w:rPr>
        <w:t xml:space="preserve">in </w:t>
      </w:r>
      <w:r w:rsidR="00873C9B" w:rsidRPr="00895014">
        <w:rPr>
          <w:lang w:val="en-GB"/>
        </w:rPr>
        <w:t xml:space="preserve">the </w:t>
      </w:r>
      <w:r w:rsidR="007E3FBE" w:rsidRPr="00895014">
        <w:rPr>
          <w:lang w:val="en-GB"/>
        </w:rPr>
        <w:t>field</w:t>
      </w:r>
      <w:r w:rsidR="00F1289D" w:rsidRPr="00895014">
        <w:rPr>
          <w:lang w:val="en-GB"/>
        </w:rPr>
        <w:t>)</w:t>
      </w:r>
      <w:r w:rsidR="00873C9B" w:rsidRPr="00895014">
        <w:rPr>
          <w:lang w:val="en-GB"/>
        </w:rPr>
        <w:t>.</w:t>
      </w:r>
    </w:p>
    <w:p w:rsidR="00E37C11" w:rsidRPr="00895014" w:rsidRDefault="00895572" w:rsidP="00A634C5">
      <w:pPr>
        <w:pStyle w:val="CETBodytext"/>
        <w:keepNext/>
        <w:spacing w:before="120"/>
      </w:pPr>
      <w:r w:rsidRPr="00895014">
        <w:rPr>
          <w:noProof/>
        </w:rPr>
        <w:drawing>
          <wp:inline distT="0" distB="0" distL="0" distR="0" wp14:anchorId="150B9C04">
            <wp:extent cx="5568315" cy="16610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386"/>
                    <a:stretch/>
                  </pic:blipFill>
                  <pic:spPr bwMode="auto">
                    <a:xfrm>
                      <a:off x="0" y="0"/>
                      <a:ext cx="5568696" cy="1661155"/>
                    </a:xfrm>
                    <a:prstGeom prst="rect">
                      <a:avLst/>
                    </a:prstGeom>
                    <a:noFill/>
                    <a:ln>
                      <a:noFill/>
                    </a:ln>
                    <a:extLst>
                      <a:ext uri="{53640926-AAD7-44D8-BBD7-CCE9431645EC}">
                        <a14:shadowObscured xmlns:a14="http://schemas.microsoft.com/office/drawing/2010/main"/>
                      </a:ext>
                    </a:extLst>
                  </pic:spPr>
                </pic:pic>
              </a:graphicData>
            </a:graphic>
          </wp:inline>
        </w:drawing>
      </w:r>
    </w:p>
    <w:p w:rsidR="000515F9" w:rsidRPr="00895014" w:rsidRDefault="00E37C11" w:rsidP="00873C9B">
      <w:pPr>
        <w:pStyle w:val="CETCaption"/>
      </w:pPr>
      <w:bookmarkStart w:id="2" w:name="_Ref39950"/>
      <w:r w:rsidRPr="00895014">
        <w:t xml:space="preserve">Figure </w:t>
      </w:r>
      <w:r w:rsidRPr="00895014">
        <w:fldChar w:fldCharType="begin"/>
      </w:r>
      <w:r w:rsidRPr="00895014">
        <w:instrText xml:space="preserve"> SEQ Figure \* ARABIC </w:instrText>
      </w:r>
      <w:r w:rsidRPr="00895014">
        <w:fldChar w:fldCharType="separate"/>
      </w:r>
      <w:r w:rsidR="00EA3BD8" w:rsidRPr="00895014">
        <w:rPr>
          <w:noProof/>
        </w:rPr>
        <w:t>2</w:t>
      </w:r>
      <w:r w:rsidRPr="00895014">
        <w:fldChar w:fldCharType="end"/>
      </w:r>
      <w:bookmarkEnd w:id="2"/>
      <w:r w:rsidRPr="00895014">
        <w:t>: Optimal operating conditions of the Williams-Otto fed batch reactor computed</w:t>
      </w:r>
      <w:r w:rsidR="000515F9" w:rsidRPr="00895014">
        <w:t xml:space="preserve"> by</w:t>
      </w:r>
      <w:r w:rsidR="0053055D" w:rsidRPr="00895014">
        <w:t xml:space="preserve"> different</w:t>
      </w:r>
      <w:r w:rsidRPr="00895014">
        <w:t xml:space="preserve"> </w:t>
      </w:r>
      <w:r w:rsidR="0053055D" w:rsidRPr="00895014">
        <w:t>SDRTO strategies</w:t>
      </w:r>
      <w:r w:rsidRPr="00895014">
        <w:t xml:space="preserve"> (</w:t>
      </w:r>
      <w:r w:rsidR="000515F9" w:rsidRPr="00895014">
        <w:t xml:space="preserve">std, NoUpd, </w:t>
      </w:r>
      <w:r w:rsidRPr="00895014">
        <w:t xml:space="preserve">NoUpdMm, NoUpdUnif) and by </w:t>
      </w:r>
      <w:r w:rsidR="0053055D" w:rsidRPr="00895014">
        <w:t>DRTO</w:t>
      </w:r>
      <w:r w:rsidRPr="00895014">
        <w:t xml:space="preserve"> (NoRbst)</w:t>
      </w:r>
    </w:p>
    <w:p w:rsidR="00B73F81" w:rsidRPr="00895014" w:rsidRDefault="002B25DF" w:rsidP="00B73F81">
      <w:pPr>
        <w:pStyle w:val="CETheadingx"/>
      </w:pPr>
      <w:r w:rsidRPr="00895014">
        <w:lastRenderedPageBreak/>
        <w:t>Robust predictive maintenance</w:t>
      </w:r>
    </w:p>
    <w:p w:rsidR="006C3793" w:rsidRPr="00895014" w:rsidRDefault="0067267D" w:rsidP="00AB5011">
      <w:pPr>
        <w:pStyle w:val="CETBodytext"/>
        <w:rPr>
          <w:lang w:val="en-GB"/>
        </w:rPr>
      </w:pPr>
      <w:r w:rsidRPr="00895014">
        <w:rPr>
          <w:lang w:val="en-GB"/>
        </w:rPr>
        <w:t>Predictive</w:t>
      </w:r>
      <w:r w:rsidR="00A36D4E" w:rsidRPr="00895014">
        <w:rPr>
          <w:lang w:val="en-GB"/>
        </w:rPr>
        <w:t xml:space="preserve"> </w:t>
      </w:r>
      <w:r w:rsidR="006636F7" w:rsidRPr="00895014">
        <w:rPr>
          <w:lang w:val="en-GB"/>
        </w:rPr>
        <w:t>maintenance is</w:t>
      </w:r>
      <w:r w:rsidRPr="00895014">
        <w:rPr>
          <w:lang w:val="en-GB"/>
        </w:rPr>
        <w:t xml:space="preserve"> an old concept, introduced </w:t>
      </w:r>
      <w:r w:rsidR="00C06890" w:rsidRPr="00895014">
        <w:rPr>
          <w:lang w:val="en-GB"/>
        </w:rPr>
        <w:t xml:space="preserve">for the first time </w:t>
      </w:r>
      <w:r w:rsidRPr="00895014">
        <w:rPr>
          <w:lang w:val="en-GB"/>
        </w:rPr>
        <w:t xml:space="preserve">by the Royal Air Force during </w:t>
      </w:r>
      <w:r w:rsidR="001E40D3" w:rsidRPr="00895014">
        <w:rPr>
          <w:lang w:val="en-GB"/>
        </w:rPr>
        <w:t>W</w:t>
      </w:r>
      <w:r w:rsidRPr="00895014">
        <w:rPr>
          <w:lang w:val="en-GB"/>
        </w:rPr>
        <w:t xml:space="preserve">orld </w:t>
      </w:r>
      <w:r w:rsidR="001E40D3" w:rsidRPr="00895014">
        <w:rPr>
          <w:lang w:val="en-GB"/>
        </w:rPr>
        <w:t>W</w:t>
      </w:r>
      <w:r w:rsidRPr="00895014">
        <w:rPr>
          <w:lang w:val="en-GB"/>
        </w:rPr>
        <w:t>ar II. It involves use</w:t>
      </w:r>
      <w:r w:rsidR="00C06890" w:rsidRPr="00895014">
        <w:rPr>
          <w:lang w:val="en-GB"/>
        </w:rPr>
        <w:t xml:space="preserve"> of mathematical</w:t>
      </w:r>
      <w:r w:rsidRPr="00895014">
        <w:rPr>
          <w:lang w:val="en-GB"/>
        </w:rPr>
        <w:t xml:space="preserve"> </w:t>
      </w:r>
      <w:r w:rsidR="00C06890" w:rsidRPr="00895014">
        <w:rPr>
          <w:lang w:val="en-GB"/>
        </w:rPr>
        <w:t>models for predicting when process equipment is expected to fail</w:t>
      </w:r>
      <w:r w:rsidR="00C220B9" w:rsidRPr="00895014">
        <w:rPr>
          <w:lang w:val="en-GB"/>
        </w:rPr>
        <w:t xml:space="preserve">, foul and/or </w:t>
      </w:r>
      <w:r w:rsidR="008966FA" w:rsidRPr="00895014">
        <w:rPr>
          <w:lang w:val="en-GB"/>
        </w:rPr>
        <w:t xml:space="preserve">experience severe </w:t>
      </w:r>
      <w:r w:rsidR="00C220B9" w:rsidRPr="00895014">
        <w:rPr>
          <w:lang w:val="en-GB"/>
        </w:rPr>
        <w:t>performance</w:t>
      </w:r>
      <w:r w:rsidR="008966FA" w:rsidRPr="00895014">
        <w:rPr>
          <w:lang w:val="en-GB"/>
        </w:rPr>
        <w:t xml:space="preserve"> loss</w:t>
      </w:r>
      <w:r w:rsidR="00C220B9" w:rsidRPr="00895014">
        <w:rPr>
          <w:lang w:val="en-GB"/>
        </w:rPr>
        <w:t>. This</w:t>
      </w:r>
      <w:r w:rsidR="00C06890" w:rsidRPr="00895014">
        <w:rPr>
          <w:lang w:val="en-GB"/>
        </w:rPr>
        <w:t xml:space="preserve"> information </w:t>
      </w:r>
      <w:r w:rsidR="00C220B9" w:rsidRPr="00895014">
        <w:rPr>
          <w:lang w:val="en-GB"/>
        </w:rPr>
        <w:t>is then</w:t>
      </w:r>
      <w:r w:rsidR="00C06890" w:rsidRPr="00895014">
        <w:rPr>
          <w:lang w:val="en-GB"/>
        </w:rPr>
        <w:t xml:space="preserve"> utilized to optimize</w:t>
      </w:r>
      <w:r w:rsidR="008966FA" w:rsidRPr="00895014">
        <w:rPr>
          <w:lang w:val="en-GB"/>
        </w:rPr>
        <w:t xml:space="preserve"> the</w:t>
      </w:r>
      <w:r w:rsidR="00C06890" w:rsidRPr="00895014">
        <w:rPr>
          <w:lang w:val="en-GB"/>
        </w:rPr>
        <w:t xml:space="preserve"> maintenance schedule</w:t>
      </w:r>
      <w:r w:rsidR="000C130F" w:rsidRPr="00895014">
        <w:rPr>
          <w:lang w:val="en-GB"/>
        </w:rPr>
        <w:t>s</w:t>
      </w:r>
      <w:r w:rsidR="006C3793" w:rsidRPr="00895014">
        <w:rPr>
          <w:lang w:val="en-GB"/>
        </w:rPr>
        <w:t xml:space="preserve"> of key process units</w:t>
      </w:r>
      <w:r w:rsidR="00C220B9" w:rsidRPr="00895014">
        <w:rPr>
          <w:lang w:val="en-GB"/>
        </w:rPr>
        <w:t>, thus</w:t>
      </w:r>
      <w:r w:rsidR="001A51A9" w:rsidRPr="00895014">
        <w:rPr>
          <w:lang w:val="en-GB"/>
        </w:rPr>
        <w:t xml:space="preserve"> reduc</w:t>
      </w:r>
      <w:r w:rsidR="00C220B9" w:rsidRPr="00895014">
        <w:rPr>
          <w:lang w:val="en-GB"/>
        </w:rPr>
        <w:t>ing</w:t>
      </w:r>
      <w:r w:rsidR="001A51A9" w:rsidRPr="00895014">
        <w:rPr>
          <w:lang w:val="en-GB"/>
        </w:rPr>
        <w:t xml:space="preserve"> </w:t>
      </w:r>
      <w:r w:rsidR="006C3793" w:rsidRPr="00895014">
        <w:rPr>
          <w:lang w:val="en-GB"/>
        </w:rPr>
        <w:t xml:space="preserve">overall </w:t>
      </w:r>
      <w:r w:rsidR="001A51A9" w:rsidRPr="00895014">
        <w:rPr>
          <w:lang w:val="en-GB"/>
        </w:rPr>
        <w:t>maintenance costs</w:t>
      </w:r>
      <w:r w:rsidR="00C06890" w:rsidRPr="00895014">
        <w:rPr>
          <w:lang w:val="en-GB"/>
        </w:rPr>
        <w:t>.</w:t>
      </w:r>
      <w:r w:rsidR="006C3793" w:rsidRPr="00895014">
        <w:rPr>
          <w:lang w:val="en-GB"/>
        </w:rPr>
        <w:t xml:space="preserve"> This </w:t>
      </w:r>
      <w:r w:rsidR="004866EF" w:rsidRPr="00895014">
        <w:rPr>
          <w:lang w:val="en-GB"/>
        </w:rPr>
        <w:t>model-based</w:t>
      </w:r>
      <w:r w:rsidR="006C3793" w:rsidRPr="00895014">
        <w:rPr>
          <w:lang w:val="en-GB"/>
        </w:rPr>
        <w:t xml:space="preserve"> maintenance</w:t>
      </w:r>
      <w:r w:rsidR="004866EF" w:rsidRPr="00895014">
        <w:rPr>
          <w:lang w:val="en-GB"/>
        </w:rPr>
        <w:t xml:space="preserve"> approach</w:t>
      </w:r>
      <w:r w:rsidR="00C8726C" w:rsidRPr="00895014">
        <w:rPr>
          <w:lang w:val="en-GB"/>
        </w:rPr>
        <w:t xml:space="preserve"> could significantly </w:t>
      </w:r>
      <w:r w:rsidR="00BB653A" w:rsidRPr="00895014">
        <w:rPr>
          <w:lang w:val="en-GB"/>
        </w:rPr>
        <w:t xml:space="preserve">improve </w:t>
      </w:r>
      <w:r w:rsidR="00C8726C" w:rsidRPr="00895014">
        <w:rPr>
          <w:lang w:val="en-GB"/>
        </w:rPr>
        <w:t>the economics of chemical and pharmaceutical processes</w:t>
      </w:r>
      <w:r w:rsidR="00511091" w:rsidRPr="00895014">
        <w:rPr>
          <w:lang w:val="en-GB"/>
        </w:rPr>
        <w:t xml:space="preserve">, by mitigating </w:t>
      </w:r>
      <w:r w:rsidR="00004B4C" w:rsidRPr="00895014">
        <w:rPr>
          <w:lang w:val="en-GB"/>
        </w:rPr>
        <w:t xml:space="preserve">the undesirable effects of </w:t>
      </w:r>
      <w:r w:rsidR="00511091" w:rsidRPr="00895014">
        <w:rPr>
          <w:lang w:val="en-GB"/>
        </w:rPr>
        <w:t>common problems such as equipment fouling and catalyst deactivation</w:t>
      </w:r>
      <w:r w:rsidR="00BB653A" w:rsidRPr="00895014">
        <w:rPr>
          <w:lang w:val="en-GB"/>
        </w:rPr>
        <w:t xml:space="preserve">, </w:t>
      </w:r>
      <w:r w:rsidR="001D73D0" w:rsidRPr="00895014">
        <w:rPr>
          <w:lang w:val="en-GB"/>
        </w:rPr>
        <w:t>which can lead to</w:t>
      </w:r>
      <w:r w:rsidR="00BB653A" w:rsidRPr="00895014">
        <w:rPr>
          <w:lang w:val="en-GB"/>
        </w:rPr>
        <w:t xml:space="preserve"> unplanned process shutdowns</w:t>
      </w:r>
      <w:r w:rsidR="006C3793" w:rsidRPr="00895014">
        <w:rPr>
          <w:lang w:val="en-GB"/>
        </w:rPr>
        <w:t>. However, it</w:t>
      </w:r>
      <w:r w:rsidR="00511091" w:rsidRPr="00895014">
        <w:rPr>
          <w:lang w:val="en-GB"/>
        </w:rPr>
        <w:t xml:space="preserve"> has never been systematically </w:t>
      </w:r>
      <w:r w:rsidR="006C3793" w:rsidRPr="00895014">
        <w:rPr>
          <w:lang w:val="en-GB"/>
        </w:rPr>
        <w:t>applied to chemical and pharmaceutical plants</w:t>
      </w:r>
      <w:r w:rsidR="00511091" w:rsidRPr="00895014">
        <w:rPr>
          <w:lang w:val="en-GB"/>
        </w:rPr>
        <w:t xml:space="preserve"> because the predictions of fouling and catalyst deactivation models are often too </w:t>
      </w:r>
      <w:r w:rsidR="008966FA" w:rsidRPr="00895014">
        <w:rPr>
          <w:lang w:val="en-GB"/>
        </w:rPr>
        <w:t>unreliable</w:t>
      </w:r>
      <w:r w:rsidR="00511091" w:rsidRPr="00895014">
        <w:rPr>
          <w:lang w:val="en-GB"/>
        </w:rPr>
        <w:t xml:space="preserve"> to provide useful information.</w:t>
      </w:r>
    </w:p>
    <w:p w:rsidR="00C220B9" w:rsidRPr="00895014" w:rsidRDefault="006C3793" w:rsidP="00AB5011">
      <w:pPr>
        <w:pStyle w:val="CETBodytext"/>
        <w:rPr>
          <w:lang w:val="en-GB"/>
        </w:rPr>
      </w:pPr>
      <w:r w:rsidRPr="00895014">
        <w:rPr>
          <w:lang w:val="en-GB"/>
        </w:rPr>
        <w:t xml:space="preserve">Robust predictive maintenance </w:t>
      </w:r>
      <w:r w:rsidR="004D74FA" w:rsidRPr="00895014">
        <w:rPr>
          <w:lang w:val="en-GB"/>
        </w:rPr>
        <w:t>can mitigate this problem by computing the worst-case predictions of the</w:t>
      </w:r>
      <w:r w:rsidR="002F0BD3" w:rsidRPr="00895014">
        <w:rPr>
          <w:lang w:val="en-GB"/>
        </w:rPr>
        <w:t xml:space="preserve"> aforementioned</w:t>
      </w:r>
      <w:r w:rsidR="004D74FA" w:rsidRPr="00895014">
        <w:rPr>
          <w:lang w:val="en-GB"/>
        </w:rPr>
        <w:t xml:space="preserve"> models in a statistical sense, which may be useful to build conservative, yet optimized, maintenance schedules. However, this new </w:t>
      </w:r>
      <w:r w:rsidR="000C130F" w:rsidRPr="00895014">
        <w:rPr>
          <w:lang w:val="en-GB"/>
        </w:rPr>
        <w:t>approach to</w:t>
      </w:r>
      <w:r w:rsidR="004D74FA" w:rsidRPr="00895014">
        <w:rPr>
          <w:lang w:val="en-GB"/>
        </w:rPr>
        <w:t xml:space="preserve"> maintenance </w:t>
      </w:r>
      <w:r w:rsidR="000C130F" w:rsidRPr="00895014">
        <w:rPr>
          <w:lang w:val="en-GB"/>
        </w:rPr>
        <w:t>must make use of</w:t>
      </w:r>
      <w:r w:rsidR="00AB49CD" w:rsidRPr="00895014">
        <w:rPr>
          <w:lang w:val="en-GB"/>
        </w:rPr>
        <w:t xml:space="preserve"> computationally efficient</w:t>
      </w:r>
      <w:r w:rsidR="004D74FA" w:rsidRPr="00895014">
        <w:rPr>
          <w:lang w:val="en-GB"/>
        </w:rPr>
        <w:t xml:space="preserve"> </w:t>
      </w:r>
      <w:r w:rsidR="00004B4C" w:rsidRPr="00895014">
        <w:rPr>
          <w:lang w:val="en-GB"/>
        </w:rPr>
        <w:t>uncertainty quantification techniques</w:t>
      </w:r>
      <w:r w:rsidR="00D00E1B" w:rsidRPr="00895014">
        <w:rPr>
          <w:lang w:val="en-GB"/>
        </w:rPr>
        <w:t xml:space="preserve"> </w:t>
      </w:r>
      <w:r w:rsidR="000C130F" w:rsidRPr="00895014">
        <w:rPr>
          <w:lang w:val="en-GB"/>
        </w:rPr>
        <w:t>to</w:t>
      </w:r>
      <w:r w:rsidR="00D00E1B" w:rsidRPr="00895014">
        <w:rPr>
          <w:lang w:val="en-GB"/>
        </w:rPr>
        <w:t xml:space="preserve"> estimat</w:t>
      </w:r>
      <w:r w:rsidR="000C130F" w:rsidRPr="00895014">
        <w:rPr>
          <w:lang w:val="en-GB"/>
        </w:rPr>
        <w:t>e</w:t>
      </w:r>
      <w:r w:rsidR="00D00E1B" w:rsidRPr="00895014">
        <w:rPr>
          <w:lang w:val="en-GB"/>
        </w:rPr>
        <w:t xml:space="preserve"> the PDF of the uncertain parameters of fouling and catalyst deactivation models. Therefore, </w:t>
      </w:r>
      <w:r w:rsidR="00807CE1" w:rsidRPr="00895014">
        <w:rPr>
          <w:lang w:val="en-GB"/>
        </w:rPr>
        <w:t xml:space="preserve">model </w:t>
      </w:r>
      <w:r w:rsidR="00D00E1B" w:rsidRPr="00895014">
        <w:rPr>
          <w:lang w:val="en-GB"/>
        </w:rPr>
        <w:t xml:space="preserve">uncertainty quantification </w:t>
      </w:r>
      <w:r w:rsidR="00BB653A" w:rsidRPr="00895014">
        <w:rPr>
          <w:lang w:val="en-GB"/>
        </w:rPr>
        <w:t xml:space="preserve">proves </w:t>
      </w:r>
      <w:r w:rsidR="00D00E1B" w:rsidRPr="00895014">
        <w:rPr>
          <w:lang w:val="en-GB"/>
        </w:rPr>
        <w:t>to be essential</w:t>
      </w:r>
      <w:r w:rsidR="00A30AEF" w:rsidRPr="00895014">
        <w:rPr>
          <w:lang w:val="en-GB"/>
        </w:rPr>
        <w:t xml:space="preserve"> also</w:t>
      </w:r>
      <w:r w:rsidR="00D00E1B" w:rsidRPr="00895014">
        <w:rPr>
          <w:lang w:val="en-GB"/>
        </w:rPr>
        <w:t xml:space="preserve"> to</w:t>
      </w:r>
      <w:r w:rsidR="0052565E" w:rsidRPr="00895014">
        <w:rPr>
          <w:lang w:val="en-GB"/>
        </w:rPr>
        <w:t xml:space="preserve"> all</w:t>
      </w:r>
      <w:r w:rsidR="0073353F" w:rsidRPr="00895014">
        <w:rPr>
          <w:lang w:val="en-GB"/>
        </w:rPr>
        <w:t xml:space="preserve"> those</w:t>
      </w:r>
      <w:r w:rsidR="009F3061" w:rsidRPr="00895014">
        <w:rPr>
          <w:lang w:val="en-GB"/>
        </w:rPr>
        <w:t xml:space="preserve"> frameworks</w:t>
      </w:r>
      <w:r w:rsidR="002833A8" w:rsidRPr="00895014">
        <w:rPr>
          <w:lang w:val="en-GB"/>
        </w:rPr>
        <w:t>, which</w:t>
      </w:r>
      <w:r w:rsidR="009F3061" w:rsidRPr="00895014">
        <w:rPr>
          <w:lang w:val="en-GB"/>
        </w:rPr>
        <w:t xml:space="preserve"> </w:t>
      </w:r>
      <w:r w:rsidR="00CC118E" w:rsidRPr="00895014">
        <w:rPr>
          <w:lang w:val="en-GB"/>
        </w:rPr>
        <w:t>rely on this new concept of</w:t>
      </w:r>
      <w:r w:rsidR="00D00E1B" w:rsidRPr="00895014">
        <w:rPr>
          <w:lang w:val="en-GB"/>
        </w:rPr>
        <w:t xml:space="preserve"> maintenance.</w:t>
      </w:r>
    </w:p>
    <w:p w:rsidR="000E7D68" w:rsidRPr="00895014" w:rsidRDefault="00CF27E6" w:rsidP="00AB5011">
      <w:pPr>
        <w:pStyle w:val="CETBodytext"/>
        <w:rPr>
          <w:lang w:val="en-GB"/>
        </w:rPr>
      </w:pPr>
      <w:r w:rsidRPr="00895014">
        <w:rPr>
          <w:lang w:val="en-GB"/>
        </w:rPr>
        <w:t xml:space="preserve">The </w:t>
      </w:r>
      <w:r w:rsidR="007E66B3" w:rsidRPr="00895014">
        <w:rPr>
          <w:lang w:val="en-GB"/>
        </w:rPr>
        <w:t>benefits</w:t>
      </w:r>
      <w:r w:rsidRPr="00895014">
        <w:rPr>
          <w:lang w:val="en-GB"/>
        </w:rPr>
        <w:t xml:space="preserve"> </w:t>
      </w:r>
      <w:r w:rsidR="007E66B3" w:rsidRPr="00895014">
        <w:rPr>
          <w:lang w:val="en-GB"/>
        </w:rPr>
        <w:t>offered by</w:t>
      </w:r>
      <w:r w:rsidRPr="00895014">
        <w:rPr>
          <w:lang w:val="en-GB"/>
        </w:rPr>
        <w:t xml:space="preserve"> robust predictive maintenance</w:t>
      </w:r>
      <w:r w:rsidR="005455B9" w:rsidRPr="00895014">
        <w:rPr>
          <w:lang w:val="en-GB"/>
        </w:rPr>
        <w:t xml:space="preserve"> can be inferred from</w:t>
      </w:r>
      <w:r w:rsidR="002A50D2" w:rsidRPr="00895014">
        <w:rPr>
          <w:lang w:val="en-GB"/>
        </w:rPr>
        <w:t xml:space="preserve"> </w:t>
      </w:r>
      <w:r w:rsidR="002A50D2" w:rsidRPr="00895014">
        <w:rPr>
          <w:lang w:val="en-GB"/>
        </w:rPr>
        <w:fldChar w:fldCharType="begin"/>
      </w:r>
      <w:r w:rsidR="002A50D2" w:rsidRPr="00895014">
        <w:rPr>
          <w:lang w:val="en-GB"/>
        </w:rPr>
        <w:instrText xml:space="preserve"> REF _Ref51137 \h  \* MERGEFORMAT </w:instrText>
      </w:r>
      <w:r w:rsidR="002A50D2" w:rsidRPr="00895014">
        <w:rPr>
          <w:lang w:val="en-GB"/>
        </w:rPr>
      </w:r>
      <w:r w:rsidR="002A50D2" w:rsidRPr="00895014">
        <w:rPr>
          <w:lang w:val="en-GB"/>
        </w:rPr>
        <w:fldChar w:fldCharType="separate"/>
      </w:r>
      <w:r w:rsidR="002A50D2" w:rsidRPr="00895014">
        <w:t xml:space="preserve">Figure </w:t>
      </w:r>
      <w:r w:rsidR="002A50D2" w:rsidRPr="00895014">
        <w:rPr>
          <w:noProof/>
        </w:rPr>
        <w:t>3</w:t>
      </w:r>
      <w:r w:rsidR="002A50D2" w:rsidRPr="00895014">
        <w:rPr>
          <w:lang w:val="en-GB"/>
        </w:rPr>
        <w:fldChar w:fldCharType="end"/>
      </w:r>
      <w:r w:rsidR="002A50D2" w:rsidRPr="00895014">
        <w:rPr>
          <w:lang w:val="en-GB"/>
        </w:rPr>
        <w:t xml:space="preserve">, which </w:t>
      </w:r>
      <w:r w:rsidR="00BB653A" w:rsidRPr="00895014">
        <w:rPr>
          <w:lang w:val="en-GB"/>
        </w:rPr>
        <w:t xml:space="preserve">shows </w:t>
      </w:r>
      <w:r w:rsidR="005455B9" w:rsidRPr="00895014">
        <w:rPr>
          <w:lang w:val="en-GB"/>
        </w:rPr>
        <w:t xml:space="preserve">two </w:t>
      </w:r>
      <w:r w:rsidR="00BB653A" w:rsidRPr="00895014">
        <w:rPr>
          <w:lang w:val="en-GB"/>
        </w:rPr>
        <w:t xml:space="preserve">important items </w:t>
      </w:r>
      <w:r w:rsidR="005455B9" w:rsidRPr="00895014">
        <w:rPr>
          <w:lang w:val="en-GB"/>
        </w:rPr>
        <w:t xml:space="preserve">of information: (I) </w:t>
      </w:r>
      <w:r w:rsidR="002A50D2" w:rsidRPr="00895014">
        <w:rPr>
          <w:lang w:val="en-GB"/>
        </w:rPr>
        <w:t xml:space="preserve">the </w:t>
      </w:r>
      <w:r w:rsidR="0030580D" w:rsidRPr="00895014">
        <w:rPr>
          <w:lang w:val="en-GB"/>
        </w:rPr>
        <w:t>batch-to-batch</w:t>
      </w:r>
      <w:r w:rsidR="002A50D2" w:rsidRPr="00895014">
        <w:rPr>
          <w:lang w:val="en-GB"/>
        </w:rPr>
        <w:t xml:space="preserve"> </w:t>
      </w:r>
      <w:r w:rsidR="005455B9" w:rsidRPr="00895014">
        <w:rPr>
          <w:lang w:val="en-GB"/>
        </w:rPr>
        <w:t>variations in some of the</w:t>
      </w:r>
      <w:r w:rsidR="002A50D2" w:rsidRPr="00895014">
        <w:rPr>
          <w:lang w:val="en-GB"/>
        </w:rPr>
        <w:t xml:space="preserve"> </w:t>
      </w:r>
      <w:r w:rsidR="005455B9" w:rsidRPr="00895014">
        <w:rPr>
          <w:lang w:val="en-GB"/>
        </w:rPr>
        <w:t>features</w:t>
      </w:r>
      <w:r w:rsidR="002A50D2" w:rsidRPr="00895014">
        <w:rPr>
          <w:lang w:val="en-GB"/>
        </w:rPr>
        <w:t xml:space="preserve"> of </w:t>
      </w:r>
      <w:r w:rsidR="0030580D" w:rsidRPr="00895014">
        <w:rPr>
          <w:lang w:val="en-GB"/>
        </w:rPr>
        <w:t>the process analysed</w:t>
      </w:r>
      <w:r w:rsidR="007A6F48" w:rsidRPr="00895014">
        <w:rPr>
          <w:lang w:val="en-GB"/>
        </w:rPr>
        <w:t xml:space="preserve"> due to fouling</w:t>
      </w:r>
      <w:r w:rsidR="007E66B3" w:rsidRPr="00895014">
        <w:rPr>
          <w:lang w:val="en-GB"/>
        </w:rPr>
        <w:t xml:space="preserve">, </w:t>
      </w:r>
      <w:r w:rsidR="005455B9" w:rsidRPr="00895014">
        <w:rPr>
          <w:lang w:val="en-GB"/>
        </w:rPr>
        <w:t>specifically global heat transfer coefficient and activation energy of one of the main reactions; and (II)</w:t>
      </w:r>
      <w:r w:rsidR="002A50D2" w:rsidRPr="00895014">
        <w:rPr>
          <w:lang w:val="en-GB"/>
        </w:rPr>
        <w:t xml:space="preserve"> </w:t>
      </w:r>
      <w:r w:rsidR="005455B9" w:rsidRPr="00895014">
        <w:rPr>
          <w:lang w:val="en-GB"/>
        </w:rPr>
        <w:t>the</w:t>
      </w:r>
      <w:r w:rsidR="002A50D2" w:rsidRPr="00895014">
        <w:rPr>
          <w:lang w:val="en-GB"/>
        </w:rPr>
        <w:t xml:space="preserve"> lower/upper bounds</w:t>
      </w:r>
      <w:r w:rsidR="005455B9" w:rsidRPr="00895014">
        <w:rPr>
          <w:lang w:val="en-GB"/>
        </w:rPr>
        <w:t xml:space="preserve"> on these quantities, computed using the PDF of the uncertain parameters of the</w:t>
      </w:r>
      <w:r w:rsidR="0030580D" w:rsidRPr="00895014">
        <w:rPr>
          <w:lang w:val="en-GB"/>
        </w:rPr>
        <w:t xml:space="preserve"> process</w:t>
      </w:r>
      <w:r w:rsidR="005455B9" w:rsidRPr="00895014">
        <w:rPr>
          <w:lang w:val="en-GB"/>
        </w:rPr>
        <w:t xml:space="preserve"> model</w:t>
      </w:r>
      <w:r w:rsidR="0030580D" w:rsidRPr="00895014">
        <w:rPr>
          <w:lang w:val="en-GB"/>
        </w:rPr>
        <w:t xml:space="preserve"> (this parameter distribution </w:t>
      </w:r>
      <w:r w:rsidR="00600F58" w:rsidRPr="00895014">
        <w:rPr>
          <w:lang w:val="en-GB"/>
        </w:rPr>
        <w:t>is</w:t>
      </w:r>
      <w:r w:rsidR="0030580D" w:rsidRPr="00895014">
        <w:rPr>
          <w:lang w:val="en-GB"/>
        </w:rPr>
        <w:t xml:space="preserve"> re-estimated at the end of every batch cycle)</w:t>
      </w:r>
      <w:r w:rsidR="005455B9" w:rsidRPr="00895014">
        <w:rPr>
          <w:lang w:val="en-GB"/>
        </w:rPr>
        <w:t>.</w:t>
      </w:r>
      <w:r w:rsidR="0030580D" w:rsidRPr="00895014">
        <w:rPr>
          <w:lang w:val="en-GB"/>
        </w:rPr>
        <w:t xml:space="preserve"> It is </w:t>
      </w:r>
      <w:r w:rsidR="00FC4E24" w:rsidRPr="00895014">
        <w:rPr>
          <w:lang w:val="en-GB"/>
        </w:rPr>
        <w:t>evident</w:t>
      </w:r>
      <w:r w:rsidR="0030580D" w:rsidRPr="00895014">
        <w:rPr>
          <w:lang w:val="en-GB"/>
        </w:rPr>
        <w:t xml:space="preserve"> that extrapolation of the lower bound on the global heat transfer coefficient provides a robust estimate of when </w:t>
      </w:r>
      <w:r w:rsidR="005B3D5E" w:rsidRPr="00895014">
        <w:rPr>
          <w:lang w:val="en-GB"/>
        </w:rPr>
        <w:t xml:space="preserve">to schedule the next cleaning cycle. </w:t>
      </w:r>
      <w:r w:rsidR="009A52A2" w:rsidRPr="00895014">
        <w:rPr>
          <w:lang w:val="en-GB"/>
        </w:rPr>
        <w:t>T</w:t>
      </w:r>
      <w:r w:rsidR="00600F58" w:rsidRPr="00895014">
        <w:rPr>
          <w:lang w:val="en-GB"/>
        </w:rPr>
        <w:t>his</w:t>
      </w:r>
      <w:r w:rsidR="005B3D5E" w:rsidRPr="00895014">
        <w:rPr>
          <w:lang w:val="en-GB"/>
        </w:rPr>
        <w:t xml:space="preserve"> can be considered a very simple example </w:t>
      </w:r>
      <w:r w:rsidR="00FC4E24" w:rsidRPr="00895014">
        <w:rPr>
          <w:lang w:val="en-GB"/>
        </w:rPr>
        <w:t xml:space="preserve">of </w:t>
      </w:r>
      <w:r w:rsidR="005B3D5E" w:rsidRPr="00895014">
        <w:rPr>
          <w:lang w:val="en-GB"/>
        </w:rPr>
        <w:t>robust predictive maintenance</w:t>
      </w:r>
      <w:r w:rsidR="00600F58" w:rsidRPr="00895014">
        <w:rPr>
          <w:lang w:val="en-GB"/>
        </w:rPr>
        <w:t xml:space="preserve">, which </w:t>
      </w:r>
      <w:r w:rsidR="00AD3E08" w:rsidRPr="00895014">
        <w:rPr>
          <w:lang w:val="en-GB"/>
        </w:rPr>
        <w:t xml:space="preserve">also </w:t>
      </w:r>
      <w:r w:rsidR="00C37D2B" w:rsidRPr="00895014">
        <w:rPr>
          <w:lang w:val="en-GB"/>
        </w:rPr>
        <w:t>highlights</w:t>
      </w:r>
      <w:r w:rsidR="00600F58" w:rsidRPr="00895014">
        <w:rPr>
          <w:lang w:val="en-GB"/>
        </w:rPr>
        <w:t xml:space="preserve"> its potential benefits to chemical and pharmaceutical processes.</w:t>
      </w:r>
    </w:p>
    <w:p w:rsidR="0041759C" w:rsidRPr="00895014" w:rsidRDefault="00895572" w:rsidP="00A634C5">
      <w:pPr>
        <w:pStyle w:val="CETBodytext"/>
        <w:keepNext/>
        <w:spacing w:before="120"/>
      </w:pPr>
      <w:r w:rsidRPr="00895014">
        <w:rPr>
          <w:noProof/>
        </w:rPr>
        <w:drawing>
          <wp:inline distT="0" distB="0" distL="0" distR="0" wp14:anchorId="1DBAF0ED">
            <wp:extent cx="5567391" cy="21094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638"/>
                    <a:stretch/>
                  </pic:blipFill>
                  <pic:spPr bwMode="auto">
                    <a:xfrm>
                      <a:off x="0" y="0"/>
                      <a:ext cx="5568696" cy="2109965"/>
                    </a:xfrm>
                    <a:prstGeom prst="rect">
                      <a:avLst/>
                    </a:prstGeom>
                    <a:noFill/>
                    <a:ln>
                      <a:noFill/>
                    </a:ln>
                    <a:extLst>
                      <a:ext uri="{53640926-AAD7-44D8-BBD7-CCE9431645EC}">
                        <a14:shadowObscured xmlns:a14="http://schemas.microsoft.com/office/drawing/2010/main"/>
                      </a:ext>
                    </a:extLst>
                  </pic:spPr>
                </pic:pic>
              </a:graphicData>
            </a:graphic>
          </wp:inline>
        </w:drawing>
      </w:r>
    </w:p>
    <w:p w:rsidR="000E7D68" w:rsidRPr="00895014" w:rsidRDefault="0041759C" w:rsidP="00ED7501">
      <w:pPr>
        <w:pStyle w:val="CETCaption"/>
      </w:pPr>
      <w:bookmarkStart w:id="3" w:name="_Ref51137"/>
      <w:r w:rsidRPr="00895014">
        <w:t xml:space="preserve">Figure </w:t>
      </w:r>
      <w:r w:rsidRPr="00895014">
        <w:fldChar w:fldCharType="begin"/>
      </w:r>
      <w:r w:rsidRPr="00895014">
        <w:instrText xml:space="preserve"> SEQ Figure \* ARABIC </w:instrText>
      </w:r>
      <w:r w:rsidRPr="00895014">
        <w:fldChar w:fldCharType="separate"/>
      </w:r>
      <w:r w:rsidR="00EA3BD8" w:rsidRPr="00895014">
        <w:rPr>
          <w:noProof/>
        </w:rPr>
        <w:t>3</w:t>
      </w:r>
      <w:r w:rsidRPr="00895014">
        <w:fldChar w:fldCharType="end"/>
      </w:r>
      <w:bookmarkEnd w:id="3"/>
      <w:r w:rsidRPr="00895014">
        <w:t xml:space="preserve">: </w:t>
      </w:r>
      <w:r w:rsidR="002259AC" w:rsidRPr="00895014">
        <w:t>Batch-to-batch</w:t>
      </w:r>
      <w:r w:rsidR="00744701" w:rsidRPr="00895014">
        <w:t xml:space="preserve"> variation</w:t>
      </w:r>
      <w:r w:rsidR="002259AC" w:rsidRPr="00895014">
        <w:t>s</w:t>
      </w:r>
      <w:r w:rsidR="00744701" w:rsidRPr="00895014">
        <w:t xml:space="preserve"> </w:t>
      </w:r>
      <w:r w:rsidR="002259AC" w:rsidRPr="00895014">
        <w:t>in</w:t>
      </w:r>
      <w:r w:rsidR="00744701" w:rsidRPr="00895014">
        <w:t xml:space="preserve"> the features of the Tennessee Eastman fed-batch reactor </w:t>
      </w:r>
      <w:r w:rsidR="002259AC" w:rsidRPr="00895014">
        <w:t xml:space="preserve">due to fouling </w:t>
      </w:r>
      <w:r w:rsidR="00552386" w:rsidRPr="00895014">
        <w:t>(</w:t>
      </w:r>
      <m:oMath>
        <m:sSub>
          <m:sSubPr>
            <m:ctrlPr>
              <w:rPr>
                <w:rFonts w:ascii="Cambria Math" w:hAnsi="Cambria Math"/>
              </w:rPr>
            </m:ctrlPr>
          </m:sSubPr>
          <m:e>
            <m:r>
              <w:rPr>
                <w:rFonts w:ascii="Cambria Math" w:hAnsi="Cambria Math"/>
              </w:rPr>
              <m:t>ν</m:t>
            </m:r>
          </m:e>
          <m:sub>
            <m:r>
              <w:rPr>
                <w:rFonts w:ascii="Cambria Math" w:hAnsi="Cambria Math"/>
              </w:rPr>
              <m:t>U</m:t>
            </m:r>
          </m:sub>
        </m:sSub>
      </m:oMath>
      <w:r w:rsidR="002259AC" w:rsidRPr="00895014">
        <w:t xml:space="preserve"> – nondimensionalized global heat transfer coefficient; </w:t>
      </w:r>
      <m:oMath>
        <m:sSub>
          <m:sSubPr>
            <m:ctrlPr>
              <w:rPr>
                <w:rFonts w:ascii="Cambria Math" w:hAnsi="Cambria Math"/>
              </w:rPr>
            </m:ctrlPr>
          </m:sSubPr>
          <m:e>
            <m:r>
              <w:rPr>
                <w:rFonts w:ascii="Cambria Math" w:hAnsi="Cambria Math"/>
              </w:rPr>
              <m:t>v</m:t>
            </m:r>
          </m:e>
          <m:sub>
            <m:sSubSup>
              <m:sSubSupPr>
                <m:ctrlPr>
                  <w:rPr>
                    <w:rFonts w:ascii="Cambria Math" w:hAnsi="Cambria Math"/>
                  </w:rPr>
                </m:ctrlPr>
              </m:sSubSupPr>
              <m:e>
                <m:r>
                  <w:rPr>
                    <w:rFonts w:ascii="Cambria Math" w:hAnsi="Cambria Math"/>
                  </w:rPr>
                  <m:t>E</m:t>
                </m:r>
              </m:e>
              <m:sub>
                <m:r>
                  <w:rPr>
                    <w:rFonts w:ascii="Cambria Math" w:hAnsi="Cambria Math"/>
                  </w:rPr>
                  <m:t>1</m:t>
                </m:r>
              </m:sub>
              <m:sup>
                <m:r>
                  <w:rPr>
                    <w:rFonts w:ascii="Cambria Math" w:hAnsi="Cambria Math"/>
                  </w:rPr>
                  <m:t>*</m:t>
                </m:r>
              </m:sup>
            </m:sSubSup>
          </m:sub>
        </m:sSub>
      </m:oMath>
      <w:r w:rsidR="002259AC" w:rsidRPr="00895014">
        <w:t xml:space="preserve"> – nondimensionalized activation energy of one of the main reactions; </w:t>
      </w:r>
      <w:r w:rsidR="00552386" w:rsidRPr="00895014">
        <w:t>blue lines – true value</w:t>
      </w:r>
      <w:r w:rsidR="008C5D2C" w:rsidRPr="00895014">
        <w:t>s</w:t>
      </w:r>
      <w:r w:rsidR="00552386" w:rsidRPr="00895014">
        <w:t xml:space="preserve"> of </w:t>
      </w:r>
      <m:oMath>
        <m:sSub>
          <m:sSubPr>
            <m:ctrlPr>
              <w:rPr>
                <w:rFonts w:ascii="Cambria Math" w:hAnsi="Cambria Math"/>
              </w:rPr>
            </m:ctrlPr>
          </m:sSubPr>
          <m:e>
            <m:r>
              <w:rPr>
                <w:rFonts w:ascii="Cambria Math" w:hAnsi="Cambria Math"/>
              </w:rPr>
              <m:t>ν</m:t>
            </m:r>
          </m:e>
          <m:sub>
            <m:r>
              <w:rPr>
                <w:rFonts w:ascii="Cambria Math" w:hAnsi="Cambria Math"/>
              </w:rPr>
              <m:t>U</m:t>
            </m:r>
          </m:sub>
        </m:sSub>
      </m:oMath>
      <w:r w:rsidR="008C5D2C" w:rsidRPr="00895014">
        <w:t xml:space="preserve"> and </w:t>
      </w:r>
      <m:oMath>
        <m:sSub>
          <m:sSubPr>
            <m:ctrlPr>
              <w:rPr>
                <w:rFonts w:ascii="Cambria Math" w:hAnsi="Cambria Math"/>
              </w:rPr>
            </m:ctrlPr>
          </m:sSubPr>
          <m:e>
            <m:r>
              <w:rPr>
                <w:rFonts w:ascii="Cambria Math" w:hAnsi="Cambria Math"/>
              </w:rPr>
              <m:t>v</m:t>
            </m:r>
          </m:e>
          <m:sub>
            <m:sSubSup>
              <m:sSubSupPr>
                <m:ctrlPr>
                  <w:rPr>
                    <w:rFonts w:ascii="Cambria Math" w:hAnsi="Cambria Math"/>
                  </w:rPr>
                </m:ctrlPr>
              </m:sSubSupPr>
              <m:e>
                <m:r>
                  <w:rPr>
                    <w:rFonts w:ascii="Cambria Math" w:hAnsi="Cambria Math"/>
                  </w:rPr>
                  <m:t>E</m:t>
                </m:r>
              </m:e>
              <m:sub>
                <m:r>
                  <w:rPr>
                    <w:rFonts w:ascii="Cambria Math" w:hAnsi="Cambria Math"/>
                  </w:rPr>
                  <m:t>1</m:t>
                </m:r>
              </m:sub>
              <m:sup>
                <m:r>
                  <w:rPr>
                    <w:rFonts w:ascii="Cambria Math" w:hAnsi="Cambria Math"/>
                  </w:rPr>
                  <m:t>*</m:t>
                </m:r>
              </m:sup>
            </m:sSubSup>
          </m:sub>
        </m:sSub>
      </m:oMath>
      <w:r w:rsidR="00552386" w:rsidRPr="00895014">
        <w:t>; red lines – confidence region</w:t>
      </w:r>
      <w:r w:rsidR="008C5D2C" w:rsidRPr="00895014">
        <w:t>s</w:t>
      </w:r>
      <w:r w:rsidR="00552386" w:rsidRPr="00895014">
        <w:t xml:space="preserve"> </w:t>
      </w:r>
      <w:r w:rsidR="008C5D2C" w:rsidRPr="00895014">
        <w:t xml:space="preserve">on </w:t>
      </w:r>
      <m:oMath>
        <m:sSub>
          <m:sSubPr>
            <m:ctrlPr>
              <w:rPr>
                <w:rFonts w:ascii="Cambria Math" w:hAnsi="Cambria Math"/>
              </w:rPr>
            </m:ctrlPr>
          </m:sSubPr>
          <m:e>
            <m:r>
              <w:rPr>
                <w:rFonts w:ascii="Cambria Math" w:hAnsi="Cambria Math"/>
              </w:rPr>
              <m:t>ν</m:t>
            </m:r>
          </m:e>
          <m:sub>
            <m:r>
              <w:rPr>
                <w:rFonts w:ascii="Cambria Math" w:hAnsi="Cambria Math"/>
              </w:rPr>
              <m:t>U</m:t>
            </m:r>
          </m:sub>
        </m:sSub>
      </m:oMath>
      <w:r w:rsidR="008C5D2C" w:rsidRPr="00895014">
        <w:t xml:space="preserve"> and </w:t>
      </w:r>
      <m:oMath>
        <m:sSub>
          <m:sSubPr>
            <m:ctrlPr>
              <w:rPr>
                <w:rFonts w:ascii="Cambria Math" w:hAnsi="Cambria Math"/>
              </w:rPr>
            </m:ctrlPr>
          </m:sSubPr>
          <m:e>
            <m:r>
              <w:rPr>
                <w:rFonts w:ascii="Cambria Math" w:hAnsi="Cambria Math"/>
              </w:rPr>
              <m:t>v</m:t>
            </m:r>
          </m:e>
          <m:sub>
            <m:sSubSup>
              <m:sSubSupPr>
                <m:ctrlPr>
                  <w:rPr>
                    <w:rFonts w:ascii="Cambria Math" w:hAnsi="Cambria Math"/>
                  </w:rPr>
                </m:ctrlPr>
              </m:sSubSupPr>
              <m:e>
                <m:r>
                  <w:rPr>
                    <w:rFonts w:ascii="Cambria Math" w:hAnsi="Cambria Math"/>
                  </w:rPr>
                  <m:t>E</m:t>
                </m:r>
              </m:e>
              <m:sub>
                <m:r>
                  <w:rPr>
                    <w:rFonts w:ascii="Cambria Math" w:hAnsi="Cambria Math"/>
                  </w:rPr>
                  <m:t>1</m:t>
                </m:r>
              </m:sub>
              <m:sup>
                <m:r>
                  <w:rPr>
                    <w:rFonts w:ascii="Cambria Math" w:hAnsi="Cambria Math"/>
                  </w:rPr>
                  <m:t>*</m:t>
                </m:r>
              </m:sup>
            </m:sSubSup>
          </m:sub>
        </m:sSub>
      </m:oMath>
      <w:r w:rsidR="008C5D2C" w:rsidRPr="00895014">
        <w:t xml:space="preserve"> </w:t>
      </w:r>
      <w:r w:rsidR="00552386" w:rsidRPr="00895014">
        <w:t>at confidence level</w:t>
      </w:r>
      <w:r w:rsidR="00C95E99" w:rsidRPr="00895014">
        <w:t xml:space="preserve"> </w:t>
      </w:r>
      <w:r w:rsidR="00C95E99" w:rsidRPr="00895014">
        <w:rPr>
          <w:rFonts w:cs="Arial"/>
        </w:rPr>
        <w:t>≥</w:t>
      </w:r>
      <w:r w:rsidR="00C95E99" w:rsidRPr="00895014">
        <w:t xml:space="preserve"> 99</w:t>
      </w:r>
      <w:r w:rsidR="008C5D2C" w:rsidRPr="00895014">
        <w:t xml:space="preserve"> </w:t>
      </w:r>
      <w:r w:rsidR="00C95E99" w:rsidRPr="00895014">
        <w:t>%</w:t>
      </w:r>
      <w:r w:rsidR="00552386" w:rsidRPr="00895014">
        <w:t>)</w:t>
      </w:r>
    </w:p>
    <w:p w:rsidR="00B73F81" w:rsidRPr="00895014" w:rsidRDefault="002B25DF" w:rsidP="00B73F81">
      <w:pPr>
        <w:pStyle w:val="CETheadingx"/>
      </w:pPr>
      <w:r w:rsidRPr="00895014">
        <w:t>Robust soft-sensors and real-time risk assessment</w:t>
      </w:r>
    </w:p>
    <w:p w:rsidR="008F6106" w:rsidRPr="00895014" w:rsidRDefault="007356DB" w:rsidP="008F6106">
      <w:pPr>
        <w:pStyle w:val="CETBodytext"/>
        <w:rPr>
          <w:lang w:val="en-GB"/>
        </w:rPr>
      </w:pPr>
      <w:r w:rsidRPr="00895014">
        <w:rPr>
          <w:lang w:val="en-GB"/>
        </w:rPr>
        <w:t xml:space="preserve">Soft sensors are algorithms that provide estimates of the </w:t>
      </w:r>
      <w:r w:rsidR="00B21BFB" w:rsidRPr="00895014">
        <w:rPr>
          <w:lang w:val="en-GB"/>
        </w:rPr>
        <w:t>measurable/</w:t>
      </w:r>
      <w:r w:rsidRPr="00895014">
        <w:rPr>
          <w:lang w:val="en-GB"/>
        </w:rPr>
        <w:t xml:space="preserve">unmeasurable state variables of a process of interest, based on mechanistic/empirical process models and on experimental measurements of </w:t>
      </w:r>
      <w:r w:rsidR="0021344B" w:rsidRPr="00895014">
        <w:rPr>
          <w:lang w:val="en-GB"/>
        </w:rPr>
        <w:t>measurable state variables, manipulated variables and disturbances</w:t>
      </w:r>
      <w:r w:rsidRPr="00895014">
        <w:rPr>
          <w:lang w:val="en-GB"/>
        </w:rPr>
        <w:t xml:space="preserve">. </w:t>
      </w:r>
      <w:r w:rsidR="00B21BFB" w:rsidRPr="00895014">
        <w:rPr>
          <w:lang w:val="en-GB"/>
        </w:rPr>
        <w:t>They find application in many industrial sectors including the chemical and pharmaceutical industry, in which they are often responsible for inferential composition measurements (</w:t>
      </w:r>
      <w:r w:rsidR="008D3039" w:rsidRPr="00895014">
        <w:rPr>
          <w:lang w:val="en-GB"/>
        </w:rPr>
        <w:t xml:space="preserve">e.g. </w:t>
      </w:r>
      <w:r w:rsidR="00B21BFB" w:rsidRPr="00895014">
        <w:rPr>
          <w:lang w:val="en-GB"/>
        </w:rPr>
        <w:t>top/bottom tray composition in distillation columns</w:t>
      </w:r>
      <w:r w:rsidR="008D3039" w:rsidRPr="00895014">
        <w:rPr>
          <w:lang w:val="en-GB"/>
        </w:rPr>
        <w:t xml:space="preserve"> and</w:t>
      </w:r>
      <w:r w:rsidR="00B21BFB" w:rsidRPr="00895014">
        <w:rPr>
          <w:lang w:val="en-GB"/>
        </w:rPr>
        <w:t xml:space="preserve"> dosage API loading) </w:t>
      </w:r>
      <w:r w:rsidR="008D3039" w:rsidRPr="00895014">
        <w:rPr>
          <w:lang w:val="en-GB"/>
        </w:rPr>
        <w:t>and</w:t>
      </w:r>
      <w:r w:rsidR="008F6106" w:rsidRPr="00895014">
        <w:rPr>
          <w:lang w:val="en-GB"/>
        </w:rPr>
        <w:t xml:space="preserve"> are</w:t>
      </w:r>
      <w:r w:rsidR="008D3039" w:rsidRPr="00895014">
        <w:rPr>
          <w:lang w:val="en-GB"/>
        </w:rPr>
        <w:t xml:space="preserve"> used for estimation of key process indicators (KPIs) and product quality </w:t>
      </w:r>
      <w:r w:rsidR="008F6106" w:rsidRPr="00895014">
        <w:rPr>
          <w:lang w:val="en-GB"/>
        </w:rPr>
        <w:t>indicators</w:t>
      </w:r>
      <w:r w:rsidR="008D3039" w:rsidRPr="00895014">
        <w:rPr>
          <w:lang w:val="en-GB"/>
        </w:rPr>
        <w:t xml:space="preserve"> (e.g. API temperature in freeze-drying processes and tablet tensile strength).</w:t>
      </w:r>
      <w:r w:rsidR="008F6106" w:rsidRPr="00895014">
        <w:rPr>
          <w:lang w:val="en-GB"/>
        </w:rPr>
        <w:t xml:space="preserve"> However, c</w:t>
      </w:r>
      <w:r w:rsidRPr="00895014">
        <w:rPr>
          <w:lang w:val="en-GB"/>
        </w:rPr>
        <w:t>onventional virtual sensors only provide point estimates of process</w:t>
      </w:r>
      <w:r w:rsidR="008F6106" w:rsidRPr="00895014">
        <w:rPr>
          <w:lang w:val="en-GB"/>
        </w:rPr>
        <w:t xml:space="preserve"> state</w:t>
      </w:r>
      <w:r w:rsidRPr="00895014">
        <w:rPr>
          <w:lang w:val="en-GB"/>
        </w:rPr>
        <w:t xml:space="preserve"> variables, complemented with </w:t>
      </w:r>
      <w:r w:rsidR="00F611C0" w:rsidRPr="00895014">
        <w:rPr>
          <w:lang w:val="en-GB"/>
        </w:rPr>
        <w:t>very limited and inaccurate</w:t>
      </w:r>
      <w:r w:rsidR="008F6106" w:rsidRPr="00895014">
        <w:rPr>
          <w:lang w:val="en-GB"/>
        </w:rPr>
        <w:t xml:space="preserve"> </w:t>
      </w:r>
      <w:r w:rsidRPr="00895014">
        <w:rPr>
          <w:lang w:val="en-GB"/>
        </w:rPr>
        <w:t>statistical</w:t>
      </w:r>
      <w:r w:rsidR="002D4DE2" w:rsidRPr="00895014">
        <w:rPr>
          <w:lang w:val="en-GB"/>
        </w:rPr>
        <w:t xml:space="preserve"> information</w:t>
      </w:r>
      <w:r w:rsidR="008F6106" w:rsidRPr="00895014">
        <w:rPr>
          <w:lang w:val="en-GB"/>
        </w:rPr>
        <w:t>.</w:t>
      </w:r>
      <w:r w:rsidR="00F611C0" w:rsidRPr="00895014">
        <w:rPr>
          <w:lang w:val="en-GB"/>
        </w:rPr>
        <w:t xml:space="preserve"> Therefore, they may not</w:t>
      </w:r>
      <w:r w:rsidR="007D6828" w:rsidRPr="00895014">
        <w:rPr>
          <w:lang w:val="en-GB"/>
        </w:rPr>
        <w:t xml:space="preserve"> be</w:t>
      </w:r>
      <w:r w:rsidR="00F611C0" w:rsidRPr="00895014">
        <w:rPr>
          <w:lang w:val="en-GB"/>
        </w:rPr>
        <w:t xml:space="preserve"> suitable for quantitative process monitoring</w:t>
      </w:r>
      <w:r w:rsidR="00822E7A" w:rsidRPr="00895014">
        <w:rPr>
          <w:lang w:val="en-GB"/>
        </w:rPr>
        <w:t xml:space="preserve"> and</w:t>
      </w:r>
      <w:r w:rsidR="00F611C0" w:rsidRPr="00895014">
        <w:rPr>
          <w:lang w:val="en-GB"/>
        </w:rPr>
        <w:t xml:space="preserve"> closed-loop control</w:t>
      </w:r>
      <w:r w:rsidR="004F4492" w:rsidRPr="00895014">
        <w:rPr>
          <w:lang w:val="en-GB"/>
        </w:rPr>
        <w:t xml:space="preserve"> in regulated industries and</w:t>
      </w:r>
      <w:r w:rsidR="00F611C0" w:rsidRPr="00895014">
        <w:rPr>
          <w:lang w:val="en-GB"/>
        </w:rPr>
        <w:t xml:space="preserve"> in</w:t>
      </w:r>
      <w:r w:rsidR="00822E7A" w:rsidRPr="00895014">
        <w:rPr>
          <w:lang w:val="en-GB"/>
        </w:rPr>
        <w:t xml:space="preserve"> all those</w:t>
      </w:r>
      <w:r w:rsidR="00F611C0" w:rsidRPr="00895014">
        <w:rPr>
          <w:lang w:val="en-GB"/>
        </w:rPr>
        <w:t xml:space="preserve"> industrial processes</w:t>
      </w:r>
      <w:r w:rsidR="00822E7A" w:rsidRPr="00895014">
        <w:rPr>
          <w:lang w:val="en-GB"/>
        </w:rPr>
        <w:t xml:space="preserve">, which </w:t>
      </w:r>
      <w:r w:rsidR="004F4492" w:rsidRPr="00895014">
        <w:rPr>
          <w:lang w:val="en-GB"/>
        </w:rPr>
        <w:t>manufacture</w:t>
      </w:r>
      <w:r w:rsidR="00F611C0" w:rsidRPr="00895014">
        <w:rPr>
          <w:lang w:val="en-GB"/>
        </w:rPr>
        <w:t xml:space="preserve"> high value-added</w:t>
      </w:r>
      <w:r w:rsidR="00822E7A" w:rsidRPr="00895014">
        <w:rPr>
          <w:lang w:val="en-GB"/>
        </w:rPr>
        <w:t xml:space="preserve"> goods (e.g. specialty chemicals)</w:t>
      </w:r>
      <w:r w:rsidR="00F611C0" w:rsidRPr="00895014">
        <w:rPr>
          <w:lang w:val="en-GB"/>
        </w:rPr>
        <w:t>.</w:t>
      </w:r>
    </w:p>
    <w:p w:rsidR="002D4DE2" w:rsidRPr="00895014" w:rsidRDefault="004F4492" w:rsidP="007356DB">
      <w:pPr>
        <w:pStyle w:val="CETBodytext"/>
        <w:rPr>
          <w:lang w:val="en-GB"/>
        </w:rPr>
      </w:pPr>
      <w:r w:rsidRPr="00895014">
        <w:rPr>
          <w:lang w:val="en-GB"/>
        </w:rPr>
        <w:lastRenderedPageBreak/>
        <w:t xml:space="preserve">Robust soft-sensors are </w:t>
      </w:r>
      <w:r w:rsidR="00B31D1D" w:rsidRPr="00895014">
        <w:rPr>
          <w:lang w:val="en-GB"/>
        </w:rPr>
        <w:t>novel</w:t>
      </w:r>
      <w:r w:rsidRPr="00895014">
        <w:rPr>
          <w:lang w:val="en-GB"/>
        </w:rPr>
        <w:t xml:space="preserve"> type</w:t>
      </w:r>
      <w:r w:rsidR="00922DC9" w:rsidRPr="00895014">
        <w:rPr>
          <w:lang w:val="en-GB"/>
        </w:rPr>
        <w:t>s</w:t>
      </w:r>
      <w:r w:rsidRPr="00895014">
        <w:rPr>
          <w:lang w:val="en-GB"/>
        </w:rPr>
        <w:t xml:space="preserve"> of virtual sensors </w:t>
      </w:r>
      <w:r w:rsidR="00A953BF" w:rsidRPr="00895014">
        <w:rPr>
          <w:lang w:val="en-GB"/>
        </w:rPr>
        <w:t>that allow estimation of the joint PDF of measurable and unmeasurable process states</w:t>
      </w:r>
      <w:r w:rsidR="00922DC9" w:rsidRPr="00895014">
        <w:rPr>
          <w:lang w:val="en-GB"/>
        </w:rPr>
        <w:t xml:space="preserve"> </w:t>
      </w:r>
      <w:r w:rsidR="00A953BF" w:rsidRPr="00895014">
        <w:rPr>
          <w:lang w:val="en-GB"/>
        </w:rPr>
        <w:t>along with their credible regions</w:t>
      </w:r>
      <w:r w:rsidR="00922DC9" w:rsidRPr="00895014">
        <w:rPr>
          <w:lang w:val="en-GB"/>
        </w:rPr>
        <w:t>,</w:t>
      </w:r>
      <w:r w:rsidR="00A953BF" w:rsidRPr="00895014">
        <w:rPr>
          <w:lang w:val="en-GB"/>
        </w:rPr>
        <w:t xml:space="preserve"> at a reasonable computational cost. </w:t>
      </w:r>
      <w:r w:rsidR="002D4DE2" w:rsidRPr="00895014">
        <w:rPr>
          <w:lang w:val="en-GB"/>
        </w:rPr>
        <w:t xml:space="preserve">These new state observers rely on </w:t>
      </w:r>
      <w:r w:rsidR="00B31D1D" w:rsidRPr="00895014">
        <w:rPr>
          <w:lang w:val="en-GB"/>
        </w:rPr>
        <w:t>efficient model uncertainty quantification techniques</w:t>
      </w:r>
      <w:r w:rsidR="006F228F" w:rsidRPr="00895014">
        <w:rPr>
          <w:lang w:val="en-GB"/>
        </w:rPr>
        <w:t>, based on ODMCMC,</w:t>
      </w:r>
      <w:r w:rsidR="00B31D1D" w:rsidRPr="00895014">
        <w:rPr>
          <w:lang w:val="en-GB"/>
        </w:rPr>
        <w:t xml:space="preserve"> and </w:t>
      </w:r>
      <w:r w:rsidR="00B312A5" w:rsidRPr="00895014">
        <w:rPr>
          <w:lang w:val="en-GB"/>
        </w:rPr>
        <w:t>exploit</w:t>
      </w:r>
      <w:r w:rsidR="00B31D1D" w:rsidRPr="00895014">
        <w:rPr>
          <w:lang w:val="en-GB"/>
        </w:rPr>
        <w:t xml:space="preserve"> </w:t>
      </w:r>
      <w:r w:rsidR="002D4DE2" w:rsidRPr="00895014">
        <w:rPr>
          <w:lang w:val="en-GB"/>
        </w:rPr>
        <w:t xml:space="preserve">the full-fledged nonlinear model of the process, thus </w:t>
      </w:r>
      <w:r w:rsidR="00F70E0A" w:rsidRPr="00895014">
        <w:rPr>
          <w:lang w:val="en-GB"/>
        </w:rPr>
        <w:t xml:space="preserve">can </w:t>
      </w:r>
      <w:r w:rsidR="002D218C" w:rsidRPr="00895014">
        <w:rPr>
          <w:lang w:val="en-GB"/>
        </w:rPr>
        <w:t xml:space="preserve">provide </w:t>
      </w:r>
      <w:r w:rsidR="00B31D1D" w:rsidRPr="00895014">
        <w:rPr>
          <w:lang w:val="en-GB"/>
        </w:rPr>
        <w:t xml:space="preserve">extensive and </w:t>
      </w:r>
      <w:r w:rsidR="002D218C" w:rsidRPr="00895014">
        <w:rPr>
          <w:lang w:val="en-GB"/>
        </w:rPr>
        <w:t>reliable statistical information on the estimates of the process states</w:t>
      </w:r>
      <w:r w:rsidR="002D4DE2" w:rsidRPr="00895014">
        <w:rPr>
          <w:lang w:val="en-GB"/>
        </w:rPr>
        <w:t xml:space="preserve">, which makes them suitable for any industrial application </w:t>
      </w:r>
      <w:r w:rsidR="006F228F" w:rsidRPr="00895014">
        <w:rPr>
          <w:lang w:val="en-GB"/>
        </w:rPr>
        <w:t>including</w:t>
      </w:r>
      <w:r w:rsidR="002D4DE2" w:rsidRPr="00895014">
        <w:rPr>
          <w:lang w:val="en-GB"/>
        </w:rPr>
        <w:t xml:space="preserve"> real-time risk assessment and </w:t>
      </w:r>
      <w:r w:rsidR="006F228F" w:rsidRPr="00895014">
        <w:rPr>
          <w:lang w:val="en-GB"/>
        </w:rPr>
        <w:t xml:space="preserve">online </w:t>
      </w:r>
      <w:r w:rsidR="002D4DE2" w:rsidRPr="00895014">
        <w:rPr>
          <w:lang w:val="en-GB"/>
        </w:rPr>
        <w:t xml:space="preserve">quality control. </w:t>
      </w:r>
    </w:p>
    <w:p w:rsidR="007356DB" w:rsidRPr="00895014" w:rsidRDefault="00AD620C" w:rsidP="007356DB">
      <w:pPr>
        <w:pStyle w:val="CETBodytext"/>
        <w:rPr>
          <w:lang w:val="en-GB"/>
        </w:rPr>
      </w:pPr>
      <w:r w:rsidRPr="00895014">
        <w:rPr>
          <w:lang w:val="en-GB"/>
        </w:rPr>
        <w:t xml:space="preserve">The </w:t>
      </w:r>
      <w:r w:rsidR="00CB7A79" w:rsidRPr="00895014">
        <w:rPr>
          <w:lang w:val="en-GB"/>
        </w:rPr>
        <w:t>architecture</w:t>
      </w:r>
      <w:r w:rsidRPr="00895014">
        <w:rPr>
          <w:lang w:val="en-GB"/>
        </w:rPr>
        <w:t xml:space="preserve"> of a typical robust soft-sensor, configured for risk assessment, is shown in </w:t>
      </w:r>
      <w:r w:rsidRPr="00895014">
        <w:rPr>
          <w:lang w:val="en-GB"/>
        </w:rPr>
        <w:fldChar w:fldCharType="begin"/>
      </w:r>
      <w:r w:rsidRPr="00895014">
        <w:rPr>
          <w:lang w:val="en-GB"/>
        </w:rPr>
        <w:instrText xml:space="preserve"> REF _Ref87322 \h </w:instrText>
      </w:r>
      <w:r w:rsidR="00895014">
        <w:rPr>
          <w:lang w:val="en-GB"/>
        </w:rPr>
        <w:instrText xml:space="preserve"> \* MERGEFORMAT </w:instrText>
      </w:r>
      <w:r w:rsidRPr="00895014">
        <w:rPr>
          <w:lang w:val="en-GB"/>
        </w:rPr>
      </w:r>
      <w:r w:rsidRPr="00895014">
        <w:rPr>
          <w:lang w:val="en-GB"/>
        </w:rPr>
        <w:fldChar w:fldCharType="separate"/>
      </w:r>
      <w:r w:rsidRPr="00895014">
        <w:t xml:space="preserve">Figure </w:t>
      </w:r>
      <w:r w:rsidRPr="00895014">
        <w:rPr>
          <w:noProof/>
        </w:rPr>
        <w:t>4</w:t>
      </w:r>
      <w:r w:rsidRPr="00895014">
        <w:rPr>
          <w:lang w:val="en-GB"/>
        </w:rPr>
        <w:fldChar w:fldCharType="end"/>
      </w:r>
      <w:r w:rsidRPr="00895014">
        <w:rPr>
          <w:lang w:val="en-GB"/>
        </w:rPr>
        <w:t>.</w:t>
      </w:r>
      <w:r w:rsidR="00381884" w:rsidRPr="00895014">
        <w:rPr>
          <w:lang w:val="en-GB"/>
        </w:rPr>
        <w:t xml:space="preserve"> </w:t>
      </w:r>
      <w:r w:rsidR="00B87931" w:rsidRPr="00895014">
        <w:rPr>
          <w:lang w:val="en-GB"/>
        </w:rPr>
        <w:t xml:space="preserve">The sensor algorithm is </w:t>
      </w:r>
      <w:r w:rsidR="00381884" w:rsidRPr="00895014">
        <w:rPr>
          <w:lang w:val="en-GB"/>
        </w:rPr>
        <w:t>comprised of an online phase and</w:t>
      </w:r>
      <w:r w:rsidR="005250E6" w:rsidRPr="00895014">
        <w:rPr>
          <w:lang w:val="en-GB"/>
        </w:rPr>
        <w:t xml:space="preserve"> of</w:t>
      </w:r>
      <w:r w:rsidR="00381884" w:rsidRPr="00895014">
        <w:rPr>
          <w:lang w:val="en-GB"/>
        </w:rPr>
        <w:t xml:space="preserve"> an offline iterative phase</w:t>
      </w:r>
      <w:r w:rsidR="00B87931" w:rsidRPr="00895014">
        <w:rPr>
          <w:lang w:val="en-GB"/>
        </w:rPr>
        <w:t>, of which</w:t>
      </w:r>
      <w:r w:rsidR="00381884" w:rsidRPr="00895014">
        <w:rPr>
          <w:lang w:val="en-GB"/>
        </w:rPr>
        <w:t xml:space="preserve"> </w:t>
      </w:r>
      <w:r w:rsidR="00B87931" w:rsidRPr="00895014">
        <w:rPr>
          <w:lang w:val="en-GB"/>
        </w:rPr>
        <w:t>t</w:t>
      </w:r>
      <w:r w:rsidR="00381884" w:rsidRPr="00895014">
        <w:rPr>
          <w:lang w:val="en-GB"/>
        </w:rPr>
        <w:t xml:space="preserve">he first is carried out on </w:t>
      </w:r>
      <w:r w:rsidR="00864FB4" w:rsidRPr="00895014">
        <w:rPr>
          <w:lang w:val="en-GB"/>
        </w:rPr>
        <w:t>the same</w:t>
      </w:r>
      <w:r w:rsidR="00381884" w:rsidRPr="00895014">
        <w:rPr>
          <w:lang w:val="en-GB"/>
        </w:rPr>
        <w:t xml:space="preserve"> time scale </w:t>
      </w:r>
      <w:r w:rsidR="00864FB4" w:rsidRPr="00895014">
        <w:rPr>
          <w:lang w:val="en-GB"/>
        </w:rPr>
        <w:t>as</w:t>
      </w:r>
      <w:r w:rsidR="00381884" w:rsidRPr="00895014">
        <w:rPr>
          <w:lang w:val="en-GB"/>
        </w:rPr>
        <w:t xml:space="preserve"> model predictive control</w:t>
      </w:r>
      <w:r w:rsidR="0044657C" w:rsidRPr="00895014">
        <w:rPr>
          <w:lang w:val="en-GB"/>
        </w:rPr>
        <w:t xml:space="preserve"> (MPC)</w:t>
      </w:r>
      <w:r w:rsidR="00381884" w:rsidRPr="00895014">
        <w:rPr>
          <w:lang w:val="en-GB"/>
        </w:rPr>
        <w:t xml:space="preserve"> strategies</w:t>
      </w:r>
      <w:r w:rsidR="00CF11C8" w:rsidRPr="00895014">
        <w:rPr>
          <w:lang w:val="en-GB"/>
        </w:rPr>
        <w:t xml:space="preserve"> </w:t>
      </w:r>
      <w:r w:rsidR="00381884" w:rsidRPr="00895014">
        <w:rPr>
          <w:lang w:val="en-GB"/>
        </w:rPr>
        <w:t>while the second is performed</w:t>
      </w:r>
      <w:r w:rsidR="00B87931" w:rsidRPr="00895014">
        <w:rPr>
          <w:lang w:val="en-GB"/>
        </w:rPr>
        <w:t xml:space="preserve"> iteratively</w:t>
      </w:r>
      <w:r w:rsidR="00381884" w:rsidRPr="00895014">
        <w:rPr>
          <w:lang w:val="en-GB"/>
        </w:rPr>
        <w:t xml:space="preserve"> on a </w:t>
      </w:r>
      <w:r w:rsidR="00864FB4" w:rsidRPr="00895014">
        <w:rPr>
          <w:lang w:val="en-GB"/>
        </w:rPr>
        <w:t xml:space="preserve">much longer </w:t>
      </w:r>
      <w:r w:rsidR="00381884" w:rsidRPr="00895014">
        <w:rPr>
          <w:lang w:val="en-GB"/>
        </w:rPr>
        <w:t>time scale, proportional to a few times the characteristic transient time of the process</w:t>
      </w:r>
      <w:bookmarkStart w:id="4" w:name="_GoBack"/>
      <w:bookmarkEnd w:id="4"/>
      <w:r w:rsidR="00381884" w:rsidRPr="00895014">
        <w:rPr>
          <w:lang w:val="en-GB"/>
        </w:rPr>
        <w:t>.</w:t>
      </w:r>
    </w:p>
    <w:p w:rsidR="00EA3BD8" w:rsidRPr="00895014" w:rsidRDefault="00895572" w:rsidP="00EA3BD8">
      <w:pPr>
        <w:pStyle w:val="CETBodytext"/>
        <w:keepNext/>
        <w:spacing w:before="120"/>
      </w:pPr>
      <w:r w:rsidRPr="00895014">
        <w:rPr>
          <w:noProof/>
        </w:rPr>
        <w:drawing>
          <wp:inline distT="0" distB="0" distL="0" distR="0" wp14:anchorId="1928D610">
            <wp:extent cx="5568696" cy="25237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8696" cy="2523744"/>
                    </a:xfrm>
                    <a:prstGeom prst="rect">
                      <a:avLst/>
                    </a:prstGeom>
                    <a:noFill/>
                  </pic:spPr>
                </pic:pic>
              </a:graphicData>
            </a:graphic>
          </wp:inline>
        </w:drawing>
      </w:r>
    </w:p>
    <w:p w:rsidR="00D6418F" w:rsidRPr="00895014" w:rsidRDefault="00EA3BD8" w:rsidP="00EA3BD8">
      <w:pPr>
        <w:pStyle w:val="CETCaption"/>
      </w:pPr>
      <w:bookmarkStart w:id="5" w:name="_Ref87322"/>
      <w:r w:rsidRPr="00895014">
        <w:t xml:space="preserve">Figure </w:t>
      </w:r>
      <w:r w:rsidRPr="00895014">
        <w:fldChar w:fldCharType="begin"/>
      </w:r>
      <w:r w:rsidRPr="00895014">
        <w:instrText xml:space="preserve"> SEQ Figure \* ARABIC </w:instrText>
      </w:r>
      <w:r w:rsidRPr="00895014">
        <w:fldChar w:fldCharType="separate"/>
      </w:r>
      <w:r w:rsidRPr="00895014">
        <w:rPr>
          <w:noProof/>
        </w:rPr>
        <w:t>4</w:t>
      </w:r>
      <w:r w:rsidRPr="00895014">
        <w:fldChar w:fldCharType="end"/>
      </w:r>
      <w:bookmarkEnd w:id="5"/>
      <w:r w:rsidRPr="00895014">
        <w:t xml:space="preserve">: </w:t>
      </w:r>
      <w:r w:rsidR="007356DB" w:rsidRPr="00895014">
        <w:t>Typical architecture of a robust soft-sensor configured for risk assessment</w:t>
      </w:r>
    </w:p>
    <w:p w:rsidR="00FD3027" w:rsidRPr="00895014" w:rsidRDefault="00DD7333" w:rsidP="00DD7333">
      <w:pPr>
        <w:pStyle w:val="CETBodytext"/>
        <w:rPr>
          <w:lang w:val="en-GB"/>
        </w:rPr>
      </w:pPr>
      <w:r w:rsidRPr="00895014">
        <w:rPr>
          <w:lang w:val="en-GB"/>
        </w:rPr>
        <w:t>The offline</w:t>
      </w:r>
      <w:r w:rsidR="007A3219" w:rsidRPr="00895014">
        <w:rPr>
          <w:lang w:val="en-GB"/>
        </w:rPr>
        <w:t xml:space="preserve"> iterative</w:t>
      </w:r>
      <w:r w:rsidRPr="00895014">
        <w:rPr>
          <w:lang w:val="en-GB"/>
        </w:rPr>
        <w:t xml:space="preserve"> phase serves to estimate/re-estimate the probability distribution of the uncertain parameters of the process model, based on process data collected since the previous PDF estimation (historical data replace process data the very first time we perform th</w:t>
      </w:r>
      <w:r w:rsidR="000F3614" w:rsidRPr="00895014">
        <w:rPr>
          <w:lang w:val="en-GB"/>
        </w:rPr>
        <w:t>is</w:t>
      </w:r>
      <w:r w:rsidRPr="00895014">
        <w:rPr>
          <w:lang w:val="en-GB"/>
        </w:rPr>
        <w:t xml:space="preserve"> operation). It is composed of </w:t>
      </w:r>
      <w:r w:rsidR="0082186F" w:rsidRPr="00895014">
        <w:rPr>
          <w:lang w:val="en-GB"/>
        </w:rPr>
        <w:t>two steps,</w:t>
      </w:r>
      <w:r w:rsidRPr="00895014">
        <w:rPr>
          <w:lang w:val="en-GB"/>
        </w:rPr>
        <w:t xml:space="preserve"> executed in series.</w:t>
      </w:r>
      <w:r w:rsidR="00787860" w:rsidRPr="00895014">
        <w:rPr>
          <w:lang w:val="en-GB"/>
        </w:rPr>
        <w:t xml:space="preserve"> Specifically, we first</w:t>
      </w:r>
      <w:r w:rsidRPr="00895014">
        <w:rPr>
          <w:lang w:val="en-GB"/>
        </w:rPr>
        <w:t xml:space="preserve"> </w:t>
      </w:r>
      <w:r w:rsidR="00787860" w:rsidRPr="00895014">
        <w:rPr>
          <w:lang w:val="en-GB"/>
        </w:rPr>
        <w:t>solve</w:t>
      </w:r>
      <w:r w:rsidRPr="00895014">
        <w:rPr>
          <w:lang w:val="en-GB"/>
        </w:rPr>
        <w:t xml:space="preserve"> a conventional (dynamic) data reconciliation problem with gross</w:t>
      </w:r>
      <w:r w:rsidR="00661F35" w:rsidRPr="00895014">
        <w:rPr>
          <w:lang w:val="en-GB"/>
        </w:rPr>
        <w:t xml:space="preserve"> </w:t>
      </w:r>
      <w:r w:rsidRPr="00895014">
        <w:rPr>
          <w:lang w:val="en-GB"/>
        </w:rPr>
        <w:t>error detection, which allows identification and removal of potential gross</w:t>
      </w:r>
      <w:r w:rsidR="00661F35" w:rsidRPr="00895014">
        <w:rPr>
          <w:lang w:val="en-GB"/>
        </w:rPr>
        <w:t xml:space="preserve"> </w:t>
      </w:r>
      <w:r w:rsidRPr="00895014">
        <w:rPr>
          <w:lang w:val="en-GB"/>
        </w:rPr>
        <w:t>errors from the process data set</w:t>
      </w:r>
      <w:r w:rsidR="00787860" w:rsidRPr="00895014">
        <w:rPr>
          <w:lang w:val="en-GB"/>
        </w:rPr>
        <w:t xml:space="preserve"> (Step A)</w:t>
      </w:r>
      <w:r w:rsidRPr="00895014">
        <w:rPr>
          <w:lang w:val="en-GB"/>
        </w:rPr>
        <w:t>.</w:t>
      </w:r>
      <w:r w:rsidR="00787860" w:rsidRPr="00895014">
        <w:rPr>
          <w:lang w:val="en-GB"/>
        </w:rPr>
        <w:t xml:space="preserve"> Then,</w:t>
      </w:r>
      <w:r w:rsidRPr="00895014">
        <w:rPr>
          <w:lang w:val="en-GB"/>
        </w:rPr>
        <w:t xml:space="preserve"> </w:t>
      </w:r>
      <w:r w:rsidR="00787860" w:rsidRPr="00895014">
        <w:rPr>
          <w:lang w:val="en-GB"/>
        </w:rPr>
        <w:t xml:space="preserve">we approximate the </w:t>
      </w:r>
      <w:r w:rsidRPr="00895014">
        <w:rPr>
          <w:lang w:val="en-GB"/>
        </w:rPr>
        <w:t xml:space="preserve">PDF of the model parameters via fast PDF estimation techniques, </w:t>
      </w:r>
      <w:r w:rsidR="00787860" w:rsidRPr="00895014">
        <w:rPr>
          <w:lang w:val="en-GB"/>
        </w:rPr>
        <w:t>specifically</w:t>
      </w:r>
      <w:r w:rsidRPr="00895014">
        <w:rPr>
          <w:lang w:val="en-GB"/>
        </w:rPr>
        <w:t xml:space="preserve"> ODMCMC</w:t>
      </w:r>
      <w:r w:rsidR="00787860" w:rsidRPr="00895014">
        <w:rPr>
          <w:lang w:val="en-GB"/>
        </w:rPr>
        <w:t xml:space="preserve"> (Step B)</w:t>
      </w:r>
      <w:r w:rsidRPr="00895014">
        <w:rPr>
          <w:lang w:val="en-GB"/>
        </w:rPr>
        <w:t>.</w:t>
      </w:r>
      <w:r w:rsidR="00787860" w:rsidRPr="00895014">
        <w:rPr>
          <w:lang w:val="en-GB"/>
        </w:rPr>
        <w:t xml:space="preserve"> Th</w:t>
      </w:r>
      <w:r w:rsidR="00FD3027" w:rsidRPr="00895014">
        <w:rPr>
          <w:lang w:val="en-GB"/>
        </w:rPr>
        <w:t>is</w:t>
      </w:r>
      <w:r w:rsidR="00787860" w:rsidRPr="00895014">
        <w:rPr>
          <w:lang w:val="en-GB"/>
        </w:rPr>
        <w:t xml:space="preserve"> </w:t>
      </w:r>
      <w:r w:rsidR="001D6018" w:rsidRPr="00895014">
        <w:rPr>
          <w:lang w:val="en-GB"/>
        </w:rPr>
        <w:t>parameter distribution</w:t>
      </w:r>
      <w:r w:rsidR="00787860" w:rsidRPr="00895014">
        <w:rPr>
          <w:lang w:val="en-GB"/>
        </w:rPr>
        <w:t xml:space="preserve"> </w:t>
      </w:r>
      <w:r w:rsidR="00FD3027" w:rsidRPr="00895014">
        <w:rPr>
          <w:lang w:val="en-GB"/>
        </w:rPr>
        <w:t xml:space="preserve">is </w:t>
      </w:r>
      <w:r w:rsidR="005B2875" w:rsidRPr="00895014">
        <w:rPr>
          <w:lang w:val="en-GB"/>
        </w:rPr>
        <w:t>then</w:t>
      </w:r>
      <w:r w:rsidR="00633ED6" w:rsidRPr="00895014">
        <w:rPr>
          <w:lang w:val="en-GB"/>
        </w:rPr>
        <w:t xml:space="preserve"> </w:t>
      </w:r>
      <w:r w:rsidR="00FD3027" w:rsidRPr="00895014">
        <w:rPr>
          <w:lang w:val="en-GB"/>
        </w:rPr>
        <w:t>sent to the next phase of the</w:t>
      </w:r>
      <w:r w:rsidR="007047F0" w:rsidRPr="00895014">
        <w:rPr>
          <w:lang w:val="en-GB"/>
        </w:rPr>
        <w:t xml:space="preserve"> </w:t>
      </w:r>
      <w:r w:rsidR="00FD3027" w:rsidRPr="00895014">
        <w:rPr>
          <w:lang w:val="en-GB"/>
        </w:rPr>
        <w:t xml:space="preserve">algorithm. </w:t>
      </w:r>
    </w:p>
    <w:p w:rsidR="00D6418F" w:rsidRPr="00895014" w:rsidRDefault="00633ED6" w:rsidP="00AB5011">
      <w:pPr>
        <w:pStyle w:val="CETBodytext"/>
        <w:rPr>
          <w:lang w:val="en-GB"/>
        </w:rPr>
      </w:pPr>
      <w:r w:rsidRPr="00895014">
        <w:rPr>
          <w:lang w:val="en-GB"/>
        </w:rPr>
        <w:t>T</w:t>
      </w:r>
      <w:r w:rsidR="00FD3027" w:rsidRPr="00895014">
        <w:rPr>
          <w:lang w:val="en-GB"/>
        </w:rPr>
        <w:t xml:space="preserve">he online phase </w:t>
      </w:r>
      <w:r w:rsidR="00CF11C8" w:rsidRPr="00895014">
        <w:rPr>
          <w:lang w:val="en-GB"/>
        </w:rPr>
        <w:t xml:space="preserve">is performed in a receding horizon fashion, </w:t>
      </w:r>
      <w:r w:rsidR="007047F0" w:rsidRPr="00895014">
        <w:rPr>
          <w:lang w:val="en-GB"/>
        </w:rPr>
        <w:t xml:space="preserve">similarly to </w:t>
      </w:r>
      <w:r w:rsidR="0044657C" w:rsidRPr="00895014">
        <w:rPr>
          <w:lang w:val="en-GB"/>
        </w:rPr>
        <w:t>MPC</w:t>
      </w:r>
      <w:r w:rsidR="007047F0" w:rsidRPr="00895014">
        <w:rPr>
          <w:lang w:val="en-GB"/>
        </w:rPr>
        <w:t>. It</w:t>
      </w:r>
      <w:r w:rsidR="00CF11C8" w:rsidRPr="00895014">
        <w:rPr>
          <w:lang w:val="en-GB"/>
        </w:rPr>
        <w:t xml:space="preserve"> </w:t>
      </w:r>
      <w:r w:rsidR="005011DE" w:rsidRPr="00895014">
        <w:rPr>
          <w:lang w:val="en-GB"/>
        </w:rPr>
        <w:t xml:space="preserve">involves four steps, executed partially in parallel and partially in series. In </w:t>
      </w:r>
      <w:r w:rsidR="000844E0" w:rsidRPr="00895014">
        <w:rPr>
          <w:lang w:val="en-GB"/>
        </w:rPr>
        <w:t>s</w:t>
      </w:r>
      <w:r w:rsidR="005011DE" w:rsidRPr="00895014">
        <w:rPr>
          <w:lang w:val="en-GB"/>
        </w:rPr>
        <w:t>teps A1 and A2, we</w:t>
      </w:r>
      <w:r w:rsidR="0044657C" w:rsidRPr="00895014">
        <w:rPr>
          <w:lang w:val="en-GB"/>
        </w:rPr>
        <w:t xml:space="preserve"> make use of efficient methods for uncertainty propagation to </w:t>
      </w:r>
      <w:r w:rsidR="00CF11C8" w:rsidRPr="00895014">
        <w:rPr>
          <w:lang w:val="en-GB"/>
        </w:rPr>
        <w:t>predict the t</w:t>
      </w:r>
      <w:r w:rsidR="00457E9D" w:rsidRPr="00895014">
        <w:rPr>
          <w:lang w:val="en-GB"/>
        </w:rPr>
        <w:t>emporal</w:t>
      </w:r>
      <w:r w:rsidR="00CF11C8" w:rsidRPr="00895014">
        <w:rPr>
          <w:lang w:val="en-GB"/>
        </w:rPr>
        <w:t xml:space="preserve"> trajector</w:t>
      </w:r>
      <w:r w:rsidR="003525A0" w:rsidRPr="00895014">
        <w:rPr>
          <w:lang w:val="en-GB"/>
        </w:rPr>
        <w:t>ies</w:t>
      </w:r>
      <w:r w:rsidR="00CF11C8" w:rsidRPr="00895014">
        <w:rPr>
          <w:lang w:val="en-GB"/>
        </w:rPr>
        <w:t xml:space="preserve"> of the</w:t>
      </w:r>
      <w:r w:rsidR="00FD3027" w:rsidRPr="00895014">
        <w:rPr>
          <w:lang w:val="en-GB"/>
        </w:rPr>
        <w:t xml:space="preserve"> joint PDF </w:t>
      </w:r>
      <w:r w:rsidRPr="00895014">
        <w:rPr>
          <w:lang w:val="en-GB"/>
        </w:rPr>
        <w:t>and</w:t>
      </w:r>
      <w:r w:rsidR="0044657C" w:rsidRPr="00895014">
        <w:rPr>
          <w:lang w:val="en-GB"/>
        </w:rPr>
        <w:t xml:space="preserve"> of the</w:t>
      </w:r>
      <w:r w:rsidRPr="00895014">
        <w:rPr>
          <w:lang w:val="en-GB"/>
        </w:rPr>
        <w:t xml:space="preserve"> credible regions </w:t>
      </w:r>
      <w:r w:rsidR="00FD3027" w:rsidRPr="00895014">
        <w:rPr>
          <w:lang w:val="en-GB"/>
        </w:rPr>
        <w:t xml:space="preserve">of </w:t>
      </w:r>
      <w:r w:rsidR="007047F0" w:rsidRPr="00895014">
        <w:rPr>
          <w:lang w:val="en-GB"/>
        </w:rPr>
        <w:t xml:space="preserve">the </w:t>
      </w:r>
      <w:r w:rsidRPr="00895014">
        <w:rPr>
          <w:lang w:val="en-GB"/>
        </w:rPr>
        <w:t>process</w:t>
      </w:r>
      <w:r w:rsidR="00FD3027" w:rsidRPr="00895014">
        <w:rPr>
          <w:lang w:val="en-GB"/>
        </w:rPr>
        <w:t xml:space="preserve"> states</w:t>
      </w:r>
      <w:r w:rsidR="007047F0" w:rsidRPr="00895014">
        <w:rPr>
          <w:lang w:val="en-GB"/>
        </w:rPr>
        <w:t xml:space="preserve"> over the next risk assessment interval</w:t>
      </w:r>
      <w:r w:rsidR="0044657C" w:rsidRPr="00895014">
        <w:rPr>
          <w:lang w:val="en-GB"/>
        </w:rPr>
        <w:t xml:space="preserve"> (a risk assessment interval is equivalent to a control interval in MPC)</w:t>
      </w:r>
      <w:r w:rsidRPr="00895014">
        <w:rPr>
          <w:lang w:val="en-GB"/>
        </w:rPr>
        <w:t>.</w:t>
      </w:r>
      <w:r w:rsidR="006F283A" w:rsidRPr="00895014">
        <w:rPr>
          <w:lang w:val="en-GB"/>
        </w:rPr>
        <w:t xml:space="preserve"> </w:t>
      </w:r>
      <w:r w:rsidR="007047F0" w:rsidRPr="00895014">
        <w:rPr>
          <w:lang w:val="en-GB"/>
        </w:rPr>
        <w:t>Then</w:t>
      </w:r>
      <w:r w:rsidR="006F283A" w:rsidRPr="00895014">
        <w:rPr>
          <w:lang w:val="en-GB"/>
        </w:rPr>
        <w:t xml:space="preserve">, </w:t>
      </w:r>
      <w:r w:rsidR="005011DE" w:rsidRPr="00895014">
        <w:rPr>
          <w:lang w:val="en-GB"/>
        </w:rPr>
        <w:t>we utilize user-supplied lower/upper bound</w:t>
      </w:r>
      <w:r w:rsidR="0044657C" w:rsidRPr="00895014">
        <w:rPr>
          <w:lang w:val="en-GB"/>
        </w:rPr>
        <w:t>s</w:t>
      </w:r>
      <w:r w:rsidR="005011DE" w:rsidRPr="00895014">
        <w:rPr>
          <w:lang w:val="en-GB"/>
        </w:rPr>
        <w:t xml:space="preserve"> on the process KPIs to estimate</w:t>
      </w:r>
      <w:r w:rsidR="007047F0" w:rsidRPr="00895014">
        <w:rPr>
          <w:lang w:val="en-GB"/>
        </w:rPr>
        <w:t xml:space="preserve"> the</w:t>
      </w:r>
      <w:r w:rsidR="005011DE" w:rsidRPr="00895014">
        <w:rPr>
          <w:lang w:val="en-GB"/>
        </w:rPr>
        <w:t xml:space="preserve"> risk of infeasible process operation</w:t>
      </w:r>
      <w:r w:rsidR="00CF11C8" w:rsidRPr="00895014">
        <w:rPr>
          <w:lang w:val="en-GB"/>
        </w:rPr>
        <w:t xml:space="preserve"> within the </w:t>
      </w:r>
      <w:r w:rsidR="007047F0" w:rsidRPr="00895014">
        <w:rPr>
          <w:lang w:val="en-GB"/>
        </w:rPr>
        <w:t xml:space="preserve">next </w:t>
      </w:r>
      <w:r w:rsidR="0044657C" w:rsidRPr="00895014">
        <w:rPr>
          <w:lang w:val="en-GB"/>
        </w:rPr>
        <w:t>risk assessment interval</w:t>
      </w:r>
      <w:r w:rsidR="00CF11C8" w:rsidRPr="00895014">
        <w:rPr>
          <w:lang w:val="en-GB"/>
        </w:rPr>
        <w:t xml:space="preserve"> </w:t>
      </w:r>
      <w:r w:rsidR="005011DE" w:rsidRPr="00895014">
        <w:rPr>
          <w:lang w:val="en-GB"/>
        </w:rPr>
        <w:t>(Step B). Finally, we compare this</w:t>
      </w:r>
      <w:r w:rsidR="005A493A" w:rsidRPr="00895014">
        <w:rPr>
          <w:lang w:val="en-GB"/>
        </w:rPr>
        <w:t xml:space="preserve"> value of</w:t>
      </w:r>
      <w:r w:rsidR="005011DE" w:rsidRPr="00895014">
        <w:rPr>
          <w:lang w:val="en-GB"/>
        </w:rPr>
        <w:t xml:space="preserve"> risk </w:t>
      </w:r>
      <w:r w:rsidR="0044657C" w:rsidRPr="00895014">
        <w:rPr>
          <w:lang w:val="en-GB"/>
        </w:rPr>
        <w:t>with</w:t>
      </w:r>
      <w:r w:rsidR="005011DE" w:rsidRPr="00895014">
        <w:rPr>
          <w:lang w:val="en-GB"/>
        </w:rPr>
        <w:t xml:space="preserve"> a user-defined threshold and </w:t>
      </w:r>
      <w:r w:rsidR="00CF11C8" w:rsidRPr="00895014">
        <w:rPr>
          <w:lang w:val="en-GB"/>
        </w:rPr>
        <w:t xml:space="preserve">decide whether it is safe to assume that </w:t>
      </w:r>
      <w:r w:rsidR="007047F0" w:rsidRPr="00895014">
        <w:rPr>
          <w:lang w:val="en-GB"/>
        </w:rPr>
        <w:t xml:space="preserve">the products, produced over </w:t>
      </w:r>
      <w:r w:rsidR="0044657C" w:rsidRPr="00895014">
        <w:rPr>
          <w:lang w:val="en-GB"/>
        </w:rPr>
        <w:t>the next risk assessment interval</w:t>
      </w:r>
      <w:r w:rsidR="007047F0" w:rsidRPr="00895014">
        <w:rPr>
          <w:lang w:val="en-GB"/>
        </w:rPr>
        <w:t xml:space="preserve">, are </w:t>
      </w:r>
      <w:r w:rsidR="00BB653A" w:rsidRPr="00895014">
        <w:rPr>
          <w:lang w:val="en-GB"/>
        </w:rPr>
        <w:t>on-spec</w:t>
      </w:r>
      <w:r w:rsidR="000C52F0" w:rsidRPr="00895014">
        <w:rPr>
          <w:lang w:val="en-GB"/>
        </w:rPr>
        <w:t xml:space="preserve">, i.e. </w:t>
      </w:r>
      <w:r w:rsidR="00BB653A" w:rsidRPr="00895014">
        <w:rPr>
          <w:lang w:val="en-GB"/>
        </w:rPr>
        <w:t xml:space="preserve">within </w:t>
      </w:r>
      <w:r w:rsidR="007047F0" w:rsidRPr="00895014">
        <w:rPr>
          <w:lang w:val="en-GB"/>
        </w:rPr>
        <w:t>spec</w:t>
      </w:r>
      <w:r w:rsidR="00BB653A" w:rsidRPr="00895014">
        <w:rPr>
          <w:lang w:val="en-GB"/>
        </w:rPr>
        <w:t>ifications</w:t>
      </w:r>
      <w:r w:rsidR="0044657C" w:rsidRPr="00895014">
        <w:rPr>
          <w:lang w:val="en-GB"/>
        </w:rPr>
        <w:t xml:space="preserve"> (Step C)</w:t>
      </w:r>
      <w:r w:rsidR="007047F0" w:rsidRPr="00895014">
        <w:rPr>
          <w:lang w:val="en-GB"/>
        </w:rPr>
        <w:t>.</w:t>
      </w:r>
      <w:r w:rsidR="00B317A6" w:rsidRPr="00895014">
        <w:rPr>
          <w:lang w:val="en-GB"/>
        </w:rPr>
        <w:t xml:space="preserve"> The </w:t>
      </w:r>
      <w:r w:rsidR="009556D9" w:rsidRPr="00895014">
        <w:rPr>
          <w:lang w:val="en-GB"/>
        </w:rPr>
        <w:t xml:space="preserve">specific </w:t>
      </w:r>
      <w:r w:rsidR="00B317A6" w:rsidRPr="00895014">
        <w:rPr>
          <w:lang w:val="en-GB"/>
        </w:rPr>
        <w:t xml:space="preserve">uses of this information and of the credible regions of the measurable and unmeasurable process states </w:t>
      </w:r>
      <w:r w:rsidR="00143CA9" w:rsidRPr="00895014">
        <w:rPr>
          <w:lang w:val="en-GB"/>
        </w:rPr>
        <w:t>will</w:t>
      </w:r>
      <w:r w:rsidR="005437DB" w:rsidRPr="00895014">
        <w:rPr>
          <w:lang w:val="en-GB"/>
        </w:rPr>
        <w:t xml:space="preserve"> </w:t>
      </w:r>
      <w:r w:rsidR="00B317A6" w:rsidRPr="00895014">
        <w:rPr>
          <w:lang w:val="en-GB"/>
        </w:rPr>
        <w:t xml:space="preserve">depend on the type of </w:t>
      </w:r>
      <w:r w:rsidR="00322540" w:rsidRPr="00895014">
        <w:rPr>
          <w:lang w:val="en-GB"/>
        </w:rPr>
        <w:t xml:space="preserve">process unit, equipped with the robust soft-sensor, and on the type of plant this process unit </w:t>
      </w:r>
      <w:r w:rsidR="00C60C51" w:rsidRPr="00895014">
        <w:rPr>
          <w:lang w:val="en-GB"/>
        </w:rPr>
        <w:t>belongs to</w:t>
      </w:r>
      <w:r w:rsidR="00B317A6" w:rsidRPr="00895014">
        <w:rPr>
          <w:lang w:val="en-GB"/>
        </w:rPr>
        <w:t>.</w:t>
      </w:r>
    </w:p>
    <w:p w:rsidR="00A87E47" w:rsidRPr="00895014" w:rsidRDefault="009609D0" w:rsidP="00AB5011">
      <w:pPr>
        <w:pStyle w:val="CETBodytext"/>
        <w:rPr>
          <w:lang w:val="en-GB"/>
        </w:rPr>
      </w:pPr>
      <w:r w:rsidRPr="00895014">
        <w:rPr>
          <w:lang w:val="en-GB"/>
        </w:rPr>
        <w:t xml:space="preserve">The </w:t>
      </w:r>
      <w:r w:rsidR="00A87E47" w:rsidRPr="00895014">
        <w:rPr>
          <w:lang w:val="en-GB"/>
        </w:rPr>
        <w:t>effectiveness of this new robust virtual sensor</w:t>
      </w:r>
      <w:r w:rsidR="00E253A4" w:rsidRPr="00895014">
        <w:rPr>
          <w:lang w:val="en-GB"/>
        </w:rPr>
        <w:t xml:space="preserve"> system</w:t>
      </w:r>
      <w:r w:rsidR="00A87E47" w:rsidRPr="00895014">
        <w:rPr>
          <w:lang w:val="en-GB"/>
        </w:rPr>
        <w:t xml:space="preserve"> has been demonstrated on a pilot-scale drug product manufacturing process</w:t>
      </w:r>
      <w:r w:rsidR="00DF0836" w:rsidRPr="00895014">
        <w:rPr>
          <w:lang w:val="en-GB"/>
        </w:rPr>
        <w:t xml:space="preserve">, which includes two feeders (one for the API and another one for the excipient), two </w:t>
      </w:r>
      <w:r w:rsidR="00A87E47" w:rsidRPr="00895014">
        <w:rPr>
          <w:lang w:val="en-GB"/>
        </w:rPr>
        <w:t>blenders, a roller compactor and a tablet press.</w:t>
      </w:r>
      <w:r w:rsidR="00DA69E2" w:rsidRPr="00895014">
        <w:rPr>
          <w:lang w:val="en-GB"/>
        </w:rPr>
        <w:t xml:space="preserve"> More specifically, the new sensor has been utilized to </w:t>
      </w:r>
      <w:r w:rsidR="000A2B15" w:rsidRPr="00895014">
        <w:rPr>
          <w:lang w:val="en-GB"/>
        </w:rPr>
        <w:t xml:space="preserve">automatically identify and </w:t>
      </w:r>
      <w:r w:rsidR="00DA69E2" w:rsidRPr="00895014">
        <w:rPr>
          <w:lang w:val="en-GB"/>
        </w:rPr>
        <w:t>separate</w:t>
      </w:r>
      <w:r w:rsidR="009A3B4A" w:rsidRPr="00895014">
        <w:rPr>
          <w:lang w:val="en-GB"/>
        </w:rPr>
        <w:t xml:space="preserve"> off-spec tablets from</w:t>
      </w:r>
      <w:r w:rsidR="00DA69E2" w:rsidRPr="00895014">
        <w:rPr>
          <w:lang w:val="en-GB"/>
        </w:rPr>
        <w:t xml:space="preserve"> on-spec tablets</w:t>
      </w:r>
      <w:r w:rsidR="000A2B15" w:rsidRPr="00895014">
        <w:rPr>
          <w:lang w:val="en-GB"/>
        </w:rPr>
        <w:t>,</w:t>
      </w:r>
      <w:r w:rsidR="00DA69E2" w:rsidRPr="00895014">
        <w:rPr>
          <w:lang w:val="en-GB"/>
        </w:rPr>
        <w:t xml:space="preserve"> in real time</w:t>
      </w:r>
      <w:r w:rsidR="000A2B15" w:rsidRPr="00895014">
        <w:rPr>
          <w:lang w:val="en-GB"/>
        </w:rPr>
        <w:t xml:space="preserve">, in the presence of three </w:t>
      </w:r>
      <w:r w:rsidR="000D0F00" w:rsidRPr="00895014">
        <w:rPr>
          <w:lang w:val="en-GB"/>
        </w:rPr>
        <w:t xml:space="preserve">typical </w:t>
      </w:r>
      <w:r w:rsidR="00DA69E2" w:rsidRPr="00895014">
        <w:rPr>
          <w:lang w:val="en-GB"/>
        </w:rPr>
        <w:t>disruptive events: (I)</w:t>
      </w:r>
      <w:r w:rsidR="000A2B15" w:rsidRPr="00895014">
        <w:rPr>
          <w:lang w:val="en-GB"/>
        </w:rPr>
        <w:t xml:space="preserve"> a</w:t>
      </w:r>
      <w:r w:rsidR="00DA69E2" w:rsidRPr="00895014">
        <w:rPr>
          <w:lang w:val="en-GB"/>
        </w:rPr>
        <w:t xml:space="preserve"> feeder recharge</w:t>
      </w:r>
      <w:r w:rsidR="000D0F00" w:rsidRPr="00895014">
        <w:rPr>
          <w:lang w:val="en-GB"/>
        </w:rPr>
        <w:t xml:space="preserve"> (this operation is common to most continuous pharmaceutical plants)</w:t>
      </w:r>
      <w:r w:rsidR="000A2B15" w:rsidRPr="00895014">
        <w:rPr>
          <w:lang w:val="en-GB"/>
        </w:rPr>
        <w:t xml:space="preserve">; and (II) two step changes in the excipient and API feed flows, due to as many variations in the desired API loading in the final product. </w:t>
      </w:r>
      <w:r w:rsidR="000D0F00" w:rsidRPr="00895014">
        <w:rPr>
          <w:lang w:val="en-GB"/>
        </w:rPr>
        <w:t xml:space="preserve">The only process KPI, considered in this analysis, is the API loading in the final oral doses. </w:t>
      </w:r>
      <w:r w:rsidR="000A2B15" w:rsidRPr="00895014">
        <w:rPr>
          <w:lang w:val="en-GB"/>
        </w:rPr>
        <w:t xml:space="preserve">The results, </w:t>
      </w:r>
      <w:r w:rsidR="00FD74EF" w:rsidRPr="00895014">
        <w:rPr>
          <w:lang w:val="en-GB"/>
        </w:rPr>
        <w:t xml:space="preserve">shown </w:t>
      </w:r>
      <w:r w:rsidR="000A2B15" w:rsidRPr="00895014">
        <w:rPr>
          <w:lang w:val="en-GB"/>
        </w:rPr>
        <w:t xml:space="preserve">in </w:t>
      </w:r>
      <w:r w:rsidR="000D0F00" w:rsidRPr="00895014">
        <w:rPr>
          <w:lang w:val="en-GB"/>
        </w:rPr>
        <w:fldChar w:fldCharType="begin"/>
      </w:r>
      <w:r w:rsidR="000D0F00" w:rsidRPr="00895014">
        <w:rPr>
          <w:lang w:val="en-GB"/>
        </w:rPr>
        <w:instrText xml:space="preserve"> REF _Ref108572 \h </w:instrText>
      </w:r>
      <w:r w:rsidR="00895014">
        <w:rPr>
          <w:lang w:val="en-GB"/>
        </w:rPr>
        <w:instrText xml:space="preserve"> \* MERGEFORMAT </w:instrText>
      </w:r>
      <w:r w:rsidR="000D0F00" w:rsidRPr="00895014">
        <w:rPr>
          <w:lang w:val="en-GB"/>
        </w:rPr>
      </w:r>
      <w:r w:rsidR="000D0F00" w:rsidRPr="00895014">
        <w:rPr>
          <w:lang w:val="en-GB"/>
        </w:rPr>
        <w:fldChar w:fldCharType="separate"/>
      </w:r>
      <w:r w:rsidR="000D0F00" w:rsidRPr="00895014">
        <w:t xml:space="preserve">Figure </w:t>
      </w:r>
      <w:r w:rsidR="000D0F00" w:rsidRPr="00895014">
        <w:rPr>
          <w:noProof/>
        </w:rPr>
        <w:t>5</w:t>
      </w:r>
      <w:r w:rsidR="000D0F00" w:rsidRPr="00895014">
        <w:rPr>
          <w:lang w:val="en-GB"/>
        </w:rPr>
        <w:fldChar w:fldCharType="end"/>
      </w:r>
      <w:r w:rsidR="000A2B15" w:rsidRPr="00895014">
        <w:rPr>
          <w:lang w:val="en-GB"/>
        </w:rPr>
        <w:t xml:space="preserve">, confirm </w:t>
      </w:r>
      <w:r w:rsidR="000D0F00" w:rsidRPr="00895014">
        <w:rPr>
          <w:lang w:val="en-GB"/>
        </w:rPr>
        <w:t xml:space="preserve">that the proposed robust virtual sensor can successfully identify off-spec tablets and suggest separating them from the on-spec product. Indeed, the </w:t>
      </w:r>
      <w:r w:rsidR="00457E9D" w:rsidRPr="00895014">
        <w:rPr>
          <w:lang w:val="en-GB"/>
        </w:rPr>
        <w:t xml:space="preserve">temporal trajectory </w:t>
      </w:r>
      <w:r w:rsidR="00457E9D" w:rsidRPr="00895014">
        <w:rPr>
          <w:lang w:val="en-GB"/>
        </w:rPr>
        <w:lastRenderedPageBreak/>
        <w:t xml:space="preserve">of the </w:t>
      </w:r>
      <w:r w:rsidR="000D0F00" w:rsidRPr="00895014">
        <w:rPr>
          <w:lang w:val="en-GB"/>
        </w:rPr>
        <w:t xml:space="preserve">cumulative volume of </w:t>
      </w:r>
      <w:r w:rsidR="000A7CDE" w:rsidRPr="00895014">
        <w:rPr>
          <w:lang w:val="en-GB"/>
        </w:rPr>
        <w:t xml:space="preserve">on-spec </w:t>
      </w:r>
      <w:r w:rsidR="000D0F00" w:rsidRPr="00895014">
        <w:rPr>
          <w:lang w:val="en-GB"/>
        </w:rPr>
        <w:t>product displays two flat regions</w:t>
      </w:r>
      <w:r w:rsidR="00457E9D" w:rsidRPr="00895014">
        <w:rPr>
          <w:lang w:val="en-GB"/>
        </w:rPr>
        <w:t xml:space="preserve"> (chart b)</w:t>
      </w:r>
      <w:r w:rsidR="000D0F00" w:rsidRPr="00895014">
        <w:rPr>
          <w:lang w:val="en-GB"/>
        </w:rPr>
        <w:t xml:space="preserve">, which </w:t>
      </w:r>
      <w:r w:rsidR="000A7CDE" w:rsidRPr="00895014">
        <w:rPr>
          <w:lang w:val="en-GB"/>
        </w:rPr>
        <w:t xml:space="preserve">clearly </w:t>
      </w:r>
      <w:r w:rsidR="000D0F00" w:rsidRPr="00895014">
        <w:rPr>
          <w:lang w:val="en-GB"/>
        </w:rPr>
        <w:t xml:space="preserve">correspond to </w:t>
      </w:r>
      <w:r w:rsidR="000A7CDE" w:rsidRPr="00895014">
        <w:rPr>
          <w:lang w:val="en-GB"/>
        </w:rPr>
        <w:t>off-spec tablets, based on the 99 % credible region of the process KPI (chart a).</w:t>
      </w:r>
    </w:p>
    <w:p w:rsidR="00EA3BD8" w:rsidRPr="00895014" w:rsidRDefault="00895572" w:rsidP="00EA3BD8">
      <w:pPr>
        <w:pStyle w:val="CETBodytext"/>
        <w:keepNext/>
        <w:spacing w:before="120"/>
      </w:pPr>
      <w:r w:rsidRPr="00895014">
        <w:rPr>
          <w:noProof/>
        </w:rPr>
        <w:drawing>
          <wp:inline distT="0" distB="0" distL="0" distR="0" wp14:anchorId="7D1ACD29">
            <wp:extent cx="5568696" cy="232257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8696" cy="2322576"/>
                    </a:xfrm>
                    <a:prstGeom prst="rect">
                      <a:avLst/>
                    </a:prstGeom>
                    <a:noFill/>
                  </pic:spPr>
                </pic:pic>
              </a:graphicData>
            </a:graphic>
          </wp:inline>
        </w:drawing>
      </w:r>
    </w:p>
    <w:p w:rsidR="008D3039" w:rsidRPr="00895014" w:rsidRDefault="00EA3BD8" w:rsidP="00EA3BD8">
      <w:pPr>
        <w:pStyle w:val="CETCaption"/>
      </w:pPr>
      <w:bookmarkStart w:id="6" w:name="_Ref108572"/>
      <w:r w:rsidRPr="00895014">
        <w:t xml:space="preserve">Figure </w:t>
      </w:r>
      <w:r w:rsidRPr="00895014">
        <w:fldChar w:fldCharType="begin"/>
      </w:r>
      <w:r w:rsidRPr="00895014">
        <w:instrText xml:space="preserve"> SEQ Figure \* ARABIC </w:instrText>
      </w:r>
      <w:r w:rsidRPr="00895014">
        <w:fldChar w:fldCharType="separate"/>
      </w:r>
      <w:r w:rsidRPr="00895014">
        <w:rPr>
          <w:noProof/>
        </w:rPr>
        <w:t>5</w:t>
      </w:r>
      <w:r w:rsidRPr="00895014">
        <w:fldChar w:fldCharType="end"/>
      </w:r>
      <w:bookmarkEnd w:id="6"/>
      <w:r w:rsidRPr="00895014">
        <w:t xml:space="preserve">: </w:t>
      </w:r>
      <w:r w:rsidR="00023746" w:rsidRPr="00895014">
        <w:t xml:space="preserve">Outputs generated by the new robust soft-sensor algorithm applied </w:t>
      </w:r>
      <w:r w:rsidR="00A87E47" w:rsidRPr="00895014">
        <w:t>to a</w:t>
      </w:r>
      <w:r w:rsidR="00023746" w:rsidRPr="00895014">
        <w:t xml:space="preserve"> pilot-scale drug product manufacturing plant </w:t>
      </w:r>
      <w:r w:rsidR="00946168" w:rsidRPr="00895014">
        <w:t>(chart a: blue line – true value of the dosage API loading; red lines – 99 % confidence region on the dosage API loading;</w:t>
      </w:r>
      <w:r w:rsidR="00FE4442" w:rsidRPr="00895014">
        <w:t xml:space="preserve"> dotted black lines – lower/upper bounds on the </w:t>
      </w:r>
      <w:r w:rsidR="001F3AB0" w:rsidRPr="00895014">
        <w:t>KPI “</w:t>
      </w:r>
      <w:r w:rsidR="00FE4442" w:rsidRPr="00895014">
        <w:t>dosage API loading</w:t>
      </w:r>
      <w:r w:rsidR="001F3AB0" w:rsidRPr="00895014">
        <w:t>”</w:t>
      </w:r>
      <w:r w:rsidR="00FE4442" w:rsidRPr="00895014">
        <w:t>;</w:t>
      </w:r>
      <w:r w:rsidR="00946168" w:rsidRPr="00895014">
        <w:t xml:space="preserve"> chart b: </w:t>
      </w:r>
      <w:r w:rsidR="00066580" w:rsidRPr="00895014">
        <w:t xml:space="preserve">dashed red line – maximum achievable production volume of on-spec tablets; </w:t>
      </w:r>
      <w:r w:rsidR="00EC0429" w:rsidRPr="00895014">
        <w:t xml:space="preserve">solid </w:t>
      </w:r>
      <w:r w:rsidR="00066580" w:rsidRPr="00895014">
        <w:t xml:space="preserve">green, blue and </w:t>
      </w:r>
      <w:r w:rsidR="006005BB" w:rsidRPr="00895014">
        <w:t>fuchsia</w:t>
      </w:r>
      <w:r w:rsidR="00066580" w:rsidRPr="00895014">
        <w:t xml:space="preserve"> lines </w:t>
      </w:r>
      <w:r w:rsidR="00EC0429" w:rsidRPr="00895014">
        <w:t>–</w:t>
      </w:r>
      <w:r w:rsidR="00066580" w:rsidRPr="00895014">
        <w:t xml:space="preserve"> </w:t>
      </w:r>
      <w:r w:rsidR="00EC0429" w:rsidRPr="00895014">
        <w:t xml:space="preserve">volume of on-spec tablets produced </w:t>
      </w:r>
      <w:r w:rsidR="00504315" w:rsidRPr="00895014">
        <w:t>for increasing values</w:t>
      </w:r>
      <w:r w:rsidR="00EC0429" w:rsidRPr="00895014">
        <w:t xml:space="preserve"> of the acceptable risk of off-spec production</w:t>
      </w:r>
      <w:r w:rsidR="00946168" w:rsidRPr="00895014">
        <w:t>)</w:t>
      </w:r>
    </w:p>
    <w:p w:rsidR="00600535" w:rsidRPr="00895014" w:rsidRDefault="00600535" w:rsidP="00600535">
      <w:pPr>
        <w:pStyle w:val="CETHeading1"/>
        <w:rPr>
          <w:lang w:val="en-GB"/>
        </w:rPr>
      </w:pPr>
      <w:r w:rsidRPr="00895014">
        <w:rPr>
          <w:lang w:val="en-GB"/>
        </w:rPr>
        <w:t>Conclusions</w:t>
      </w:r>
    </w:p>
    <w:p w:rsidR="006D41B8" w:rsidRPr="00895014" w:rsidRDefault="00A52CC6" w:rsidP="006D41B8">
      <w:pPr>
        <w:pStyle w:val="CETBodytext"/>
        <w:rPr>
          <w:lang w:val="en-GB"/>
        </w:rPr>
      </w:pPr>
      <w:r w:rsidRPr="00895014">
        <w:rPr>
          <w:lang w:val="en-GB"/>
        </w:rPr>
        <w:t xml:space="preserve">The results of the case studies, reported </w:t>
      </w:r>
      <w:r w:rsidR="00BB653A" w:rsidRPr="00895014">
        <w:rPr>
          <w:lang w:val="en-GB"/>
        </w:rPr>
        <w:t>herein</w:t>
      </w:r>
      <w:r w:rsidRPr="00895014">
        <w:rPr>
          <w:lang w:val="en-GB"/>
        </w:rPr>
        <w:t>, confirm that model uncertainty quantification techniques can significantly benefit dynamic optimization</w:t>
      </w:r>
      <w:r w:rsidR="00BE1F0F" w:rsidRPr="00895014">
        <w:rPr>
          <w:lang w:val="en-GB"/>
        </w:rPr>
        <w:t xml:space="preserve"> approaches</w:t>
      </w:r>
      <w:r w:rsidRPr="00895014">
        <w:rPr>
          <w:lang w:val="en-GB"/>
        </w:rPr>
        <w:t>, predictive maintenance</w:t>
      </w:r>
      <w:r w:rsidR="00BE1F0F" w:rsidRPr="00895014">
        <w:rPr>
          <w:lang w:val="en-GB"/>
        </w:rPr>
        <w:t xml:space="preserve"> frameworks</w:t>
      </w:r>
      <w:r w:rsidRPr="00895014">
        <w:rPr>
          <w:lang w:val="en-GB"/>
        </w:rPr>
        <w:t>, soft-sensor systems and risk assessment</w:t>
      </w:r>
      <w:r w:rsidR="00BE1F0F" w:rsidRPr="00895014">
        <w:rPr>
          <w:lang w:val="en-GB"/>
        </w:rPr>
        <w:t xml:space="preserve"> strategies</w:t>
      </w:r>
      <w:r w:rsidRPr="00895014">
        <w:rPr>
          <w:lang w:val="en-GB"/>
        </w:rPr>
        <w:t xml:space="preserve"> </w:t>
      </w:r>
      <w:r w:rsidR="001C0A13" w:rsidRPr="00895014">
        <w:rPr>
          <w:lang w:val="en-GB"/>
        </w:rPr>
        <w:t xml:space="preserve">both </w:t>
      </w:r>
      <w:r w:rsidRPr="00895014">
        <w:rPr>
          <w:lang w:val="en-GB"/>
        </w:rPr>
        <w:t>by mitigating some of their</w:t>
      </w:r>
      <w:r w:rsidR="00BE1F0F" w:rsidRPr="00895014">
        <w:rPr>
          <w:lang w:val="en-GB"/>
        </w:rPr>
        <w:t xml:space="preserve"> most significant</w:t>
      </w:r>
      <w:r w:rsidRPr="00895014">
        <w:rPr>
          <w:lang w:val="en-GB"/>
        </w:rPr>
        <w:t xml:space="preserve"> limitations</w:t>
      </w:r>
      <w:r w:rsidR="009A415B" w:rsidRPr="00895014">
        <w:rPr>
          <w:lang w:val="en-GB"/>
        </w:rPr>
        <w:t xml:space="preserve"> due to the inevitable presence of uncertainty </w:t>
      </w:r>
      <w:r w:rsidR="0040076C" w:rsidRPr="00895014">
        <w:rPr>
          <w:lang w:val="en-GB"/>
        </w:rPr>
        <w:t>in</w:t>
      </w:r>
      <w:r w:rsidR="006066F8" w:rsidRPr="00895014">
        <w:rPr>
          <w:lang w:val="en-GB"/>
        </w:rPr>
        <w:t xml:space="preserve"> any</w:t>
      </w:r>
      <w:r w:rsidR="009A415B" w:rsidRPr="00895014">
        <w:rPr>
          <w:lang w:val="en-GB"/>
        </w:rPr>
        <w:t xml:space="preserve"> model predictions</w:t>
      </w:r>
      <w:r w:rsidR="006F2FB8" w:rsidRPr="00895014">
        <w:rPr>
          <w:lang w:val="en-GB"/>
        </w:rPr>
        <w:t xml:space="preserve">, </w:t>
      </w:r>
      <w:r w:rsidR="001C0A13" w:rsidRPr="00895014">
        <w:rPr>
          <w:lang w:val="en-GB"/>
        </w:rPr>
        <w:t>and by</w:t>
      </w:r>
      <w:r w:rsidR="006F2FB8" w:rsidRPr="00895014">
        <w:rPr>
          <w:lang w:val="en-GB"/>
        </w:rPr>
        <w:t xml:space="preserve"> extending their application domain</w:t>
      </w:r>
      <w:r w:rsidR="00BE1F0F" w:rsidRPr="00895014">
        <w:rPr>
          <w:lang w:val="en-GB"/>
        </w:rPr>
        <w:t>. Given the growing interest of the PSE and industrial communit</w:t>
      </w:r>
      <w:r w:rsidR="004C0BCE" w:rsidRPr="00895014">
        <w:rPr>
          <w:lang w:val="en-GB"/>
        </w:rPr>
        <w:t>ies</w:t>
      </w:r>
      <w:r w:rsidR="00BE1F0F" w:rsidRPr="00895014">
        <w:rPr>
          <w:lang w:val="en-GB"/>
        </w:rPr>
        <w:t xml:space="preserve"> in all of </w:t>
      </w:r>
      <w:r w:rsidR="00164053" w:rsidRPr="00895014">
        <w:rPr>
          <w:lang w:val="en-GB"/>
        </w:rPr>
        <w:t xml:space="preserve">the </w:t>
      </w:r>
      <w:r w:rsidR="00A30D67" w:rsidRPr="00895014">
        <w:rPr>
          <w:lang w:val="en-GB"/>
        </w:rPr>
        <w:t>aforementioned</w:t>
      </w:r>
      <w:r w:rsidR="00BE1F0F" w:rsidRPr="00895014">
        <w:rPr>
          <w:lang w:val="en-GB"/>
        </w:rPr>
        <w:t xml:space="preserve"> areas, we can expect </w:t>
      </w:r>
      <w:r w:rsidR="00986959" w:rsidRPr="00895014">
        <w:rPr>
          <w:lang w:val="en-GB"/>
        </w:rPr>
        <w:t>uncertainty quantification to become one of the backbones of process systems engineering in the near future.</w:t>
      </w:r>
    </w:p>
    <w:p w:rsidR="00600535" w:rsidRPr="00895014" w:rsidRDefault="00600535" w:rsidP="00600535">
      <w:pPr>
        <w:pStyle w:val="CETReference"/>
      </w:pPr>
      <w:r w:rsidRPr="00895014">
        <w:t>References</w:t>
      </w:r>
    </w:p>
    <w:p w:rsidR="00F748B0" w:rsidRPr="00895014" w:rsidRDefault="00F748B0" w:rsidP="005740E4">
      <w:pPr>
        <w:pStyle w:val="CETReferencetext"/>
      </w:pPr>
      <w:r w:rsidRPr="00895014">
        <w:t>Abbiati R.A., Cavallaro G., Craparo E.F., Manca D., 2015, Sorafenib in mice – a pharmacokinetic study, Chemical Engineering Transactions, 43, 283–288.</w:t>
      </w:r>
    </w:p>
    <w:p w:rsidR="00F748B0" w:rsidRPr="00895014" w:rsidRDefault="00F748B0" w:rsidP="005740E4">
      <w:pPr>
        <w:pStyle w:val="CETReferencetext"/>
      </w:pPr>
      <w:r w:rsidRPr="00895014">
        <w:t>Beal M.J., 2003, Variational algorithms for approximate Bayesian inference, PhD Thesis, University College London: The Gatsby Computational Neuroscience Unit, London, UK.</w:t>
      </w:r>
    </w:p>
    <w:p w:rsidR="00CF4349" w:rsidRPr="00895014" w:rsidRDefault="00FE0440" w:rsidP="00FE0440">
      <w:pPr>
        <w:pStyle w:val="CETReferencetext"/>
      </w:pPr>
      <w:r w:rsidRPr="00895014">
        <w:t>Chakraborti N., Mishra P., Aggarwal A., Banerjee A., Mukherjee S.S., 2006, The Williams and Otto chemical plant re-evaluated using a Pareto-optimal formulation aided by genetic algorithms, Applied Soft Computing, 6, 189–197.</w:t>
      </w:r>
    </w:p>
    <w:p w:rsidR="00F748B0" w:rsidRPr="00895014" w:rsidRDefault="00F748B0" w:rsidP="005740E4">
      <w:pPr>
        <w:pStyle w:val="CETReferencetext"/>
      </w:pPr>
      <w:r w:rsidRPr="00895014">
        <w:t>Downs J.J., Vogel E.F., 1993, A plant-wide industrial process control problem, Computers &amp; Chemical Engineering, 17, 245–255.</w:t>
      </w:r>
    </w:p>
    <w:p w:rsidR="00F748B0" w:rsidRPr="00895014" w:rsidRDefault="00F748B0" w:rsidP="005740E4">
      <w:pPr>
        <w:pStyle w:val="CETReferencetext"/>
      </w:pPr>
      <w:r w:rsidRPr="00895014">
        <w:t>Green P.L., Worden K., 2015, Bayesian and Markov chain Monte Carlo methods for identifying nonlinear systems in the presence of uncertainty, Philosophical Transactions A, 373, 20140405.</w:t>
      </w:r>
    </w:p>
    <w:p w:rsidR="00F748B0" w:rsidRPr="00895014" w:rsidRDefault="00F748B0" w:rsidP="005740E4">
      <w:pPr>
        <w:pStyle w:val="CETReferencetext"/>
      </w:pPr>
      <w:r w:rsidRPr="00895014">
        <w:t>Mockus L., Laínez J.M., Reklaitis G., Kirsch L., 2011, A Bayesian approach to pharmaceutical product quality risk quantification, Informatica, 22, 537–558.</w:t>
      </w:r>
    </w:p>
    <w:p w:rsidR="00F748B0" w:rsidRPr="00895014" w:rsidRDefault="00F748B0" w:rsidP="005740E4">
      <w:pPr>
        <w:pStyle w:val="CETReferencetext"/>
      </w:pPr>
      <w:r w:rsidRPr="00895014">
        <w:t>Oravec J., Bakosova M., Vasickaninova A., Meszaros A., 2018, Robust model predictive control of a plate heat exchanger, Chemical Engineering Transactions, 70, 25–30.</w:t>
      </w:r>
    </w:p>
    <w:p w:rsidR="00DF2E87" w:rsidRPr="00895014" w:rsidRDefault="00F748B0" w:rsidP="005740E4">
      <w:pPr>
        <w:pStyle w:val="CETReferencetext"/>
      </w:pPr>
      <w:r w:rsidRPr="00895014">
        <w:t>Rossi F., Mockus L., Manenti F., Reklaitis G., 2018, Assessment of accuracy and computational efficiency of different strategies for estimation of probability distributions applied to ODE/DAE systems, Computer Aided Chemical Engineering, 44, 1543–1548.</w:t>
      </w:r>
    </w:p>
    <w:p w:rsidR="005F576A" w:rsidRDefault="00F27945" w:rsidP="00986959">
      <w:pPr>
        <w:pStyle w:val="CETReferencetext"/>
      </w:pPr>
      <w:r w:rsidRPr="00895014">
        <w:t>Rossi</w:t>
      </w:r>
      <w:r w:rsidR="00C25AAF" w:rsidRPr="00895014">
        <w:t xml:space="preserve"> F.</w:t>
      </w:r>
      <w:r w:rsidRPr="00895014">
        <w:t>, Reklaitis</w:t>
      </w:r>
      <w:r w:rsidR="00C25AAF" w:rsidRPr="00895014">
        <w:t xml:space="preserve"> G.</w:t>
      </w:r>
      <w:r w:rsidRPr="00895014">
        <w:t>, Manenti</w:t>
      </w:r>
      <w:r w:rsidR="00C25AAF" w:rsidRPr="00895014">
        <w:t xml:space="preserve"> F.</w:t>
      </w:r>
      <w:r w:rsidRPr="00895014">
        <w:t>, Buzzi-Ferraris</w:t>
      </w:r>
      <w:r w:rsidR="00C25AAF" w:rsidRPr="00895014">
        <w:t xml:space="preserve"> G.</w:t>
      </w:r>
      <w:r w:rsidRPr="00895014">
        <w:t>, 2016, Multi-scenario robust online optimization and control of fed-batch systems via dynamic model-based scenario selection, AIChE Journal, 62, 3264</w:t>
      </w:r>
      <w:r w:rsidR="00C25AAF" w:rsidRPr="00895014">
        <w:t>–</w:t>
      </w:r>
      <w:r w:rsidRPr="00895014">
        <w:t>3284.</w:t>
      </w:r>
    </w:p>
    <w:sectPr w:rsidR="005F576A"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8F2" w:rsidRDefault="007408F2" w:rsidP="004F5E36">
      <w:r>
        <w:separator/>
      </w:r>
    </w:p>
  </w:endnote>
  <w:endnote w:type="continuationSeparator" w:id="0">
    <w:p w:rsidR="007408F2" w:rsidRDefault="007408F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8F2" w:rsidRDefault="007408F2" w:rsidP="004F5E36">
      <w:r>
        <w:separator/>
      </w:r>
    </w:p>
  </w:footnote>
  <w:footnote w:type="continuationSeparator" w:id="0">
    <w:p w:rsidR="007408F2" w:rsidRDefault="007408F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227777"/>
    <w:multiLevelType w:val="hybridMultilevel"/>
    <w:tmpl w:val="299A533E"/>
    <w:lvl w:ilvl="0" w:tplc="3DA8B2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B4C"/>
    <w:rsid w:val="000052FB"/>
    <w:rsid w:val="00010F40"/>
    <w:rsid w:val="000117CB"/>
    <w:rsid w:val="00023746"/>
    <w:rsid w:val="0003148D"/>
    <w:rsid w:val="000353C7"/>
    <w:rsid w:val="00047A81"/>
    <w:rsid w:val="00047D7F"/>
    <w:rsid w:val="00051566"/>
    <w:rsid w:val="000515F9"/>
    <w:rsid w:val="000544D2"/>
    <w:rsid w:val="00055A92"/>
    <w:rsid w:val="00057FC3"/>
    <w:rsid w:val="00062A9A"/>
    <w:rsid w:val="00065058"/>
    <w:rsid w:val="00066580"/>
    <w:rsid w:val="00072BBC"/>
    <w:rsid w:val="000844E0"/>
    <w:rsid w:val="00086C39"/>
    <w:rsid w:val="000934DD"/>
    <w:rsid w:val="000A03B2"/>
    <w:rsid w:val="000A2B15"/>
    <w:rsid w:val="000A3B79"/>
    <w:rsid w:val="000A7CDE"/>
    <w:rsid w:val="000B23AE"/>
    <w:rsid w:val="000B5791"/>
    <w:rsid w:val="000B5A9F"/>
    <w:rsid w:val="000C130F"/>
    <w:rsid w:val="000C52F0"/>
    <w:rsid w:val="000D0F00"/>
    <w:rsid w:val="000D32F2"/>
    <w:rsid w:val="000D34BE"/>
    <w:rsid w:val="000E102F"/>
    <w:rsid w:val="000E36F1"/>
    <w:rsid w:val="000E3A73"/>
    <w:rsid w:val="000E414A"/>
    <w:rsid w:val="000E78EF"/>
    <w:rsid w:val="000E7D68"/>
    <w:rsid w:val="000F093C"/>
    <w:rsid w:val="000F16BD"/>
    <w:rsid w:val="000F3614"/>
    <w:rsid w:val="000F787B"/>
    <w:rsid w:val="001151D3"/>
    <w:rsid w:val="0012091F"/>
    <w:rsid w:val="00126BC2"/>
    <w:rsid w:val="001308B6"/>
    <w:rsid w:val="0013121F"/>
    <w:rsid w:val="00131FAB"/>
    <w:rsid w:val="00131FE6"/>
    <w:rsid w:val="0013263F"/>
    <w:rsid w:val="00133CFF"/>
    <w:rsid w:val="00134DE4"/>
    <w:rsid w:val="0014034D"/>
    <w:rsid w:val="001433FD"/>
    <w:rsid w:val="00143CA9"/>
    <w:rsid w:val="00150E59"/>
    <w:rsid w:val="00152DE3"/>
    <w:rsid w:val="00162642"/>
    <w:rsid w:val="00163983"/>
    <w:rsid w:val="00164053"/>
    <w:rsid w:val="00164CF9"/>
    <w:rsid w:val="00174557"/>
    <w:rsid w:val="00174E1D"/>
    <w:rsid w:val="00184AD6"/>
    <w:rsid w:val="00191CBC"/>
    <w:rsid w:val="00191D2F"/>
    <w:rsid w:val="00193006"/>
    <w:rsid w:val="001A51A9"/>
    <w:rsid w:val="001B0349"/>
    <w:rsid w:val="001B083A"/>
    <w:rsid w:val="001B17A0"/>
    <w:rsid w:val="001B65C1"/>
    <w:rsid w:val="001C0A13"/>
    <w:rsid w:val="001C15E6"/>
    <w:rsid w:val="001C1CFA"/>
    <w:rsid w:val="001C684B"/>
    <w:rsid w:val="001D0F49"/>
    <w:rsid w:val="001D53FC"/>
    <w:rsid w:val="001D6018"/>
    <w:rsid w:val="001D73D0"/>
    <w:rsid w:val="001E40D3"/>
    <w:rsid w:val="001F11D8"/>
    <w:rsid w:val="001F19CA"/>
    <w:rsid w:val="001F3AB0"/>
    <w:rsid w:val="001F42A5"/>
    <w:rsid w:val="001F4E78"/>
    <w:rsid w:val="001F4FDB"/>
    <w:rsid w:val="001F7B9D"/>
    <w:rsid w:val="0021344B"/>
    <w:rsid w:val="002224B4"/>
    <w:rsid w:val="002259AC"/>
    <w:rsid w:val="002416EC"/>
    <w:rsid w:val="002447EF"/>
    <w:rsid w:val="00251550"/>
    <w:rsid w:val="00252C1A"/>
    <w:rsid w:val="00263B05"/>
    <w:rsid w:val="0027221A"/>
    <w:rsid w:val="00275B61"/>
    <w:rsid w:val="00282656"/>
    <w:rsid w:val="002833A8"/>
    <w:rsid w:val="00296B83"/>
    <w:rsid w:val="002A50D2"/>
    <w:rsid w:val="002A70C4"/>
    <w:rsid w:val="002B16D4"/>
    <w:rsid w:val="002B25DF"/>
    <w:rsid w:val="002B78CE"/>
    <w:rsid w:val="002B7D9B"/>
    <w:rsid w:val="002C2FB6"/>
    <w:rsid w:val="002D218C"/>
    <w:rsid w:val="002D4DE2"/>
    <w:rsid w:val="002D5BCD"/>
    <w:rsid w:val="002E1320"/>
    <w:rsid w:val="002E7953"/>
    <w:rsid w:val="002F0BD3"/>
    <w:rsid w:val="002F2950"/>
    <w:rsid w:val="003009B7"/>
    <w:rsid w:val="00300E56"/>
    <w:rsid w:val="0030469C"/>
    <w:rsid w:val="0030580D"/>
    <w:rsid w:val="00321CA6"/>
    <w:rsid w:val="00322540"/>
    <w:rsid w:val="00332F90"/>
    <w:rsid w:val="00334C09"/>
    <w:rsid w:val="00335085"/>
    <w:rsid w:val="003365E3"/>
    <w:rsid w:val="003377BE"/>
    <w:rsid w:val="0035225A"/>
    <w:rsid w:val="003525A0"/>
    <w:rsid w:val="00361761"/>
    <w:rsid w:val="00364A5E"/>
    <w:rsid w:val="00366FD8"/>
    <w:rsid w:val="003723D4"/>
    <w:rsid w:val="00381884"/>
    <w:rsid w:val="00382F83"/>
    <w:rsid w:val="00384CC8"/>
    <w:rsid w:val="003871FD"/>
    <w:rsid w:val="003A1E30"/>
    <w:rsid w:val="003A7D1C"/>
    <w:rsid w:val="003B304B"/>
    <w:rsid w:val="003B3146"/>
    <w:rsid w:val="003B5FBB"/>
    <w:rsid w:val="003B60F3"/>
    <w:rsid w:val="003B7AE9"/>
    <w:rsid w:val="003D214A"/>
    <w:rsid w:val="003D47EF"/>
    <w:rsid w:val="003E5651"/>
    <w:rsid w:val="003F015E"/>
    <w:rsid w:val="00400414"/>
    <w:rsid w:val="0040076C"/>
    <w:rsid w:val="00401CA4"/>
    <w:rsid w:val="0040668F"/>
    <w:rsid w:val="0041446B"/>
    <w:rsid w:val="00417585"/>
    <w:rsid w:val="0041759C"/>
    <w:rsid w:val="004176F7"/>
    <w:rsid w:val="00430BC1"/>
    <w:rsid w:val="0044329C"/>
    <w:rsid w:val="0044657C"/>
    <w:rsid w:val="00450D0D"/>
    <w:rsid w:val="004577FE"/>
    <w:rsid w:val="00457B9C"/>
    <w:rsid w:val="00457E9D"/>
    <w:rsid w:val="0046164A"/>
    <w:rsid w:val="004628D2"/>
    <w:rsid w:val="00462DCD"/>
    <w:rsid w:val="004648AD"/>
    <w:rsid w:val="004703A9"/>
    <w:rsid w:val="00472D26"/>
    <w:rsid w:val="00473622"/>
    <w:rsid w:val="004760DE"/>
    <w:rsid w:val="004866EF"/>
    <w:rsid w:val="00493410"/>
    <w:rsid w:val="00495380"/>
    <w:rsid w:val="004A004E"/>
    <w:rsid w:val="004A24CF"/>
    <w:rsid w:val="004B6721"/>
    <w:rsid w:val="004B67BF"/>
    <w:rsid w:val="004C0BCE"/>
    <w:rsid w:val="004C3D1D"/>
    <w:rsid w:val="004C7913"/>
    <w:rsid w:val="004D74FA"/>
    <w:rsid w:val="004E4DD6"/>
    <w:rsid w:val="004E5F92"/>
    <w:rsid w:val="004E7D40"/>
    <w:rsid w:val="004F4492"/>
    <w:rsid w:val="004F5E36"/>
    <w:rsid w:val="005011DE"/>
    <w:rsid w:val="00504315"/>
    <w:rsid w:val="005056F9"/>
    <w:rsid w:val="00507B47"/>
    <w:rsid w:val="00507CC9"/>
    <w:rsid w:val="00511091"/>
    <w:rsid w:val="005119A5"/>
    <w:rsid w:val="005250E6"/>
    <w:rsid w:val="0052565E"/>
    <w:rsid w:val="005278B7"/>
    <w:rsid w:val="0053055D"/>
    <w:rsid w:val="00532016"/>
    <w:rsid w:val="005346C8"/>
    <w:rsid w:val="005437DB"/>
    <w:rsid w:val="00543E7D"/>
    <w:rsid w:val="005455B9"/>
    <w:rsid w:val="00546B05"/>
    <w:rsid w:val="00547A68"/>
    <w:rsid w:val="00552386"/>
    <w:rsid w:val="005531C9"/>
    <w:rsid w:val="005740E4"/>
    <w:rsid w:val="005A4128"/>
    <w:rsid w:val="005A493A"/>
    <w:rsid w:val="005B2110"/>
    <w:rsid w:val="005B2875"/>
    <w:rsid w:val="005B3D5E"/>
    <w:rsid w:val="005B5193"/>
    <w:rsid w:val="005B61E6"/>
    <w:rsid w:val="005C31D8"/>
    <w:rsid w:val="005C3C73"/>
    <w:rsid w:val="005C542E"/>
    <w:rsid w:val="005C681D"/>
    <w:rsid w:val="005C77E1"/>
    <w:rsid w:val="005D08BA"/>
    <w:rsid w:val="005D6058"/>
    <w:rsid w:val="005D6A2F"/>
    <w:rsid w:val="005E1A82"/>
    <w:rsid w:val="005E794C"/>
    <w:rsid w:val="005F0A28"/>
    <w:rsid w:val="005F0E5E"/>
    <w:rsid w:val="005F4E42"/>
    <w:rsid w:val="005F576A"/>
    <w:rsid w:val="00600535"/>
    <w:rsid w:val="006005BB"/>
    <w:rsid w:val="00600F58"/>
    <w:rsid w:val="006066F8"/>
    <w:rsid w:val="00610CD6"/>
    <w:rsid w:val="00620DEE"/>
    <w:rsid w:val="00621F92"/>
    <w:rsid w:val="00625639"/>
    <w:rsid w:val="00631B33"/>
    <w:rsid w:val="00633ED6"/>
    <w:rsid w:val="0064184D"/>
    <w:rsid w:val="006422CC"/>
    <w:rsid w:val="00644E7F"/>
    <w:rsid w:val="00655D23"/>
    <w:rsid w:val="00660E3E"/>
    <w:rsid w:val="00661F35"/>
    <w:rsid w:val="00662E74"/>
    <w:rsid w:val="0066301A"/>
    <w:rsid w:val="00663415"/>
    <w:rsid w:val="006636F7"/>
    <w:rsid w:val="0067267D"/>
    <w:rsid w:val="00673B50"/>
    <w:rsid w:val="00680C23"/>
    <w:rsid w:val="00681B63"/>
    <w:rsid w:val="00693766"/>
    <w:rsid w:val="006A3281"/>
    <w:rsid w:val="006B4888"/>
    <w:rsid w:val="006C0A05"/>
    <w:rsid w:val="006C2508"/>
    <w:rsid w:val="006C2E45"/>
    <w:rsid w:val="006C359C"/>
    <w:rsid w:val="006C3793"/>
    <w:rsid w:val="006C5579"/>
    <w:rsid w:val="006D326E"/>
    <w:rsid w:val="006D3E85"/>
    <w:rsid w:val="006D41B8"/>
    <w:rsid w:val="006D688C"/>
    <w:rsid w:val="006D7DCC"/>
    <w:rsid w:val="006E737D"/>
    <w:rsid w:val="006F228F"/>
    <w:rsid w:val="006F283A"/>
    <w:rsid w:val="006F2FB8"/>
    <w:rsid w:val="006F34A2"/>
    <w:rsid w:val="00700CBF"/>
    <w:rsid w:val="0070195D"/>
    <w:rsid w:val="00701F7D"/>
    <w:rsid w:val="007047F0"/>
    <w:rsid w:val="0071461A"/>
    <w:rsid w:val="00720A24"/>
    <w:rsid w:val="007214AD"/>
    <w:rsid w:val="007279A6"/>
    <w:rsid w:val="00732386"/>
    <w:rsid w:val="00732EE4"/>
    <w:rsid w:val="0073353F"/>
    <w:rsid w:val="007356DB"/>
    <w:rsid w:val="007408F2"/>
    <w:rsid w:val="00744701"/>
    <w:rsid w:val="007447F3"/>
    <w:rsid w:val="0075499F"/>
    <w:rsid w:val="007661C8"/>
    <w:rsid w:val="0077098D"/>
    <w:rsid w:val="00777A9E"/>
    <w:rsid w:val="0078098A"/>
    <w:rsid w:val="007846C4"/>
    <w:rsid w:val="00787060"/>
    <w:rsid w:val="00787860"/>
    <w:rsid w:val="007931FA"/>
    <w:rsid w:val="00796222"/>
    <w:rsid w:val="007A3219"/>
    <w:rsid w:val="007A6F48"/>
    <w:rsid w:val="007A7BBA"/>
    <w:rsid w:val="007B0C50"/>
    <w:rsid w:val="007B3704"/>
    <w:rsid w:val="007C1A43"/>
    <w:rsid w:val="007C6188"/>
    <w:rsid w:val="007D6828"/>
    <w:rsid w:val="007E1DC6"/>
    <w:rsid w:val="007E3870"/>
    <w:rsid w:val="007E3FBE"/>
    <w:rsid w:val="007E66B3"/>
    <w:rsid w:val="007F3DE7"/>
    <w:rsid w:val="00807CE1"/>
    <w:rsid w:val="00813288"/>
    <w:rsid w:val="00813DB5"/>
    <w:rsid w:val="008168FC"/>
    <w:rsid w:val="0082186F"/>
    <w:rsid w:val="00822E7A"/>
    <w:rsid w:val="0083053C"/>
    <w:rsid w:val="00830996"/>
    <w:rsid w:val="008345F1"/>
    <w:rsid w:val="00844BF4"/>
    <w:rsid w:val="00850D9C"/>
    <w:rsid w:val="008538BC"/>
    <w:rsid w:val="00864FB4"/>
    <w:rsid w:val="00865B07"/>
    <w:rsid w:val="008667EA"/>
    <w:rsid w:val="00873C9B"/>
    <w:rsid w:val="0087637F"/>
    <w:rsid w:val="008904B9"/>
    <w:rsid w:val="00892AD5"/>
    <w:rsid w:val="00895014"/>
    <w:rsid w:val="00895572"/>
    <w:rsid w:val="008966FA"/>
    <w:rsid w:val="008A1512"/>
    <w:rsid w:val="008A4A2F"/>
    <w:rsid w:val="008B4D75"/>
    <w:rsid w:val="008B6345"/>
    <w:rsid w:val="008C0FBB"/>
    <w:rsid w:val="008C5D2C"/>
    <w:rsid w:val="008C78C1"/>
    <w:rsid w:val="008D3039"/>
    <w:rsid w:val="008D32B9"/>
    <w:rsid w:val="008D433B"/>
    <w:rsid w:val="008E566E"/>
    <w:rsid w:val="008E68AF"/>
    <w:rsid w:val="008F55D8"/>
    <w:rsid w:val="008F6106"/>
    <w:rsid w:val="0090161A"/>
    <w:rsid w:val="00901EB6"/>
    <w:rsid w:val="00904C62"/>
    <w:rsid w:val="00922DC9"/>
    <w:rsid w:val="00924DAC"/>
    <w:rsid w:val="00927058"/>
    <w:rsid w:val="00934AE5"/>
    <w:rsid w:val="009450CE"/>
    <w:rsid w:val="00946168"/>
    <w:rsid w:val="00946793"/>
    <w:rsid w:val="00947179"/>
    <w:rsid w:val="0095164B"/>
    <w:rsid w:val="0095227C"/>
    <w:rsid w:val="00954090"/>
    <w:rsid w:val="009556D9"/>
    <w:rsid w:val="009573E7"/>
    <w:rsid w:val="00957B9B"/>
    <w:rsid w:val="009609D0"/>
    <w:rsid w:val="009635B9"/>
    <w:rsid w:val="00963E05"/>
    <w:rsid w:val="00967D54"/>
    <w:rsid w:val="00986959"/>
    <w:rsid w:val="009901B8"/>
    <w:rsid w:val="00996483"/>
    <w:rsid w:val="00996F5A"/>
    <w:rsid w:val="009A0A3E"/>
    <w:rsid w:val="009A3B4A"/>
    <w:rsid w:val="009A415B"/>
    <w:rsid w:val="009A52A2"/>
    <w:rsid w:val="009A6005"/>
    <w:rsid w:val="009A6216"/>
    <w:rsid w:val="009B041A"/>
    <w:rsid w:val="009C7C86"/>
    <w:rsid w:val="009D1F89"/>
    <w:rsid w:val="009D2FF7"/>
    <w:rsid w:val="009D4A2A"/>
    <w:rsid w:val="009E7884"/>
    <w:rsid w:val="009E788A"/>
    <w:rsid w:val="009F0E08"/>
    <w:rsid w:val="009F3061"/>
    <w:rsid w:val="00A02033"/>
    <w:rsid w:val="00A16B80"/>
    <w:rsid w:val="00A1763D"/>
    <w:rsid w:val="00A17CEC"/>
    <w:rsid w:val="00A27EF0"/>
    <w:rsid w:val="00A30AEF"/>
    <w:rsid w:val="00A30D67"/>
    <w:rsid w:val="00A36D4E"/>
    <w:rsid w:val="00A44ACE"/>
    <w:rsid w:val="00A50B20"/>
    <w:rsid w:val="00A51390"/>
    <w:rsid w:val="00A52CC6"/>
    <w:rsid w:val="00A6049E"/>
    <w:rsid w:val="00A60D13"/>
    <w:rsid w:val="00A634C5"/>
    <w:rsid w:val="00A65447"/>
    <w:rsid w:val="00A72745"/>
    <w:rsid w:val="00A73FE0"/>
    <w:rsid w:val="00A76EFC"/>
    <w:rsid w:val="00A87E47"/>
    <w:rsid w:val="00A91010"/>
    <w:rsid w:val="00A953BF"/>
    <w:rsid w:val="00A97F29"/>
    <w:rsid w:val="00AA1471"/>
    <w:rsid w:val="00AA702E"/>
    <w:rsid w:val="00AB0964"/>
    <w:rsid w:val="00AB49CD"/>
    <w:rsid w:val="00AB5011"/>
    <w:rsid w:val="00AC3950"/>
    <w:rsid w:val="00AC3BD5"/>
    <w:rsid w:val="00AC7368"/>
    <w:rsid w:val="00AD16B9"/>
    <w:rsid w:val="00AD3E08"/>
    <w:rsid w:val="00AD620C"/>
    <w:rsid w:val="00AD6381"/>
    <w:rsid w:val="00AE377D"/>
    <w:rsid w:val="00AE5D16"/>
    <w:rsid w:val="00AE6175"/>
    <w:rsid w:val="00B00986"/>
    <w:rsid w:val="00B01280"/>
    <w:rsid w:val="00B17FBD"/>
    <w:rsid w:val="00B21BFB"/>
    <w:rsid w:val="00B312A5"/>
    <w:rsid w:val="00B315A6"/>
    <w:rsid w:val="00B317A6"/>
    <w:rsid w:val="00B31813"/>
    <w:rsid w:val="00B31D1D"/>
    <w:rsid w:val="00B31DAD"/>
    <w:rsid w:val="00B33365"/>
    <w:rsid w:val="00B37ED3"/>
    <w:rsid w:val="00B40075"/>
    <w:rsid w:val="00B4211E"/>
    <w:rsid w:val="00B42F74"/>
    <w:rsid w:val="00B5348B"/>
    <w:rsid w:val="00B57B36"/>
    <w:rsid w:val="00B73F81"/>
    <w:rsid w:val="00B8686D"/>
    <w:rsid w:val="00B87931"/>
    <w:rsid w:val="00BB4106"/>
    <w:rsid w:val="00BB653A"/>
    <w:rsid w:val="00BC30C9"/>
    <w:rsid w:val="00BD0501"/>
    <w:rsid w:val="00BE1F0F"/>
    <w:rsid w:val="00BE3E58"/>
    <w:rsid w:val="00BE4475"/>
    <w:rsid w:val="00BE7DA3"/>
    <w:rsid w:val="00C01616"/>
    <w:rsid w:val="00C0162B"/>
    <w:rsid w:val="00C06890"/>
    <w:rsid w:val="00C176BF"/>
    <w:rsid w:val="00C220B9"/>
    <w:rsid w:val="00C25AAF"/>
    <w:rsid w:val="00C345B1"/>
    <w:rsid w:val="00C37D2B"/>
    <w:rsid w:val="00C40142"/>
    <w:rsid w:val="00C439DF"/>
    <w:rsid w:val="00C472F9"/>
    <w:rsid w:val="00C56172"/>
    <w:rsid w:val="00C57182"/>
    <w:rsid w:val="00C57863"/>
    <w:rsid w:val="00C60C51"/>
    <w:rsid w:val="00C655FD"/>
    <w:rsid w:val="00C870A8"/>
    <w:rsid w:val="00C8726C"/>
    <w:rsid w:val="00C94434"/>
    <w:rsid w:val="00C95E99"/>
    <w:rsid w:val="00CA0D75"/>
    <w:rsid w:val="00CA1C95"/>
    <w:rsid w:val="00CA2105"/>
    <w:rsid w:val="00CA4C8C"/>
    <w:rsid w:val="00CA5A9C"/>
    <w:rsid w:val="00CB2B35"/>
    <w:rsid w:val="00CB4F82"/>
    <w:rsid w:val="00CB6F1D"/>
    <w:rsid w:val="00CB7A79"/>
    <w:rsid w:val="00CC118E"/>
    <w:rsid w:val="00CD0B90"/>
    <w:rsid w:val="00CD3517"/>
    <w:rsid w:val="00CD5A00"/>
    <w:rsid w:val="00CD5FE2"/>
    <w:rsid w:val="00CE7C68"/>
    <w:rsid w:val="00CF11C8"/>
    <w:rsid w:val="00CF27E6"/>
    <w:rsid w:val="00CF4349"/>
    <w:rsid w:val="00D00E1B"/>
    <w:rsid w:val="00D02B4C"/>
    <w:rsid w:val="00D040C4"/>
    <w:rsid w:val="00D14E30"/>
    <w:rsid w:val="00D16887"/>
    <w:rsid w:val="00D2612B"/>
    <w:rsid w:val="00D3392D"/>
    <w:rsid w:val="00D402A4"/>
    <w:rsid w:val="00D5266D"/>
    <w:rsid w:val="00D57C84"/>
    <w:rsid w:val="00D6057D"/>
    <w:rsid w:val="00D6418F"/>
    <w:rsid w:val="00D66927"/>
    <w:rsid w:val="00D67FCE"/>
    <w:rsid w:val="00D84576"/>
    <w:rsid w:val="00D97820"/>
    <w:rsid w:val="00DA1399"/>
    <w:rsid w:val="00DA24C6"/>
    <w:rsid w:val="00DA4D7B"/>
    <w:rsid w:val="00DA69E2"/>
    <w:rsid w:val="00DD367E"/>
    <w:rsid w:val="00DD43BE"/>
    <w:rsid w:val="00DD7333"/>
    <w:rsid w:val="00DE064C"/>
    <w:rsid w:val="00DE08CF"/>
    <w:rsid w:val="00DE264A"/>
    <w:rsid w:val="00DF0836"/>
    <w:rsid w:val="00DF2E87"/>
    <w:rsid w:val="00E02056"/>
    <w:rsid w:val="00E02D18"/>
    <w:rsid w:val="00E041E7"/>
    <w:rsid w:val="00E111CF"/>
    <w:rsid w:val="00E23CA1"/>
    <w:rsid w:val="00E253A4"/>
    <w:rsid w:val="00E26995"/>
    <w:rsid w:val="00E37C11"/>
    <w:rsid w:val="00E409A8"/>
    <w:rsid w:val="00E50C12"/>
    <w:rsid w:val="00E57D74"/>
    <w:rsid w:val="00E65B91"/>
    <w:rsid w:val="00E6749A"/>
    <w:rsid w:val="00E70BCA"/>
    <w:rsid w:val="00E7209D"/>
    <w:rsid w:val="00E75C68"/>
    <w:rsid w:val="00E77223"/>
    <w:rsid w:val="00E81690"/>
    <w:rsid w:val="00E8528B"/>
    <w:rsid w:val="00E85B94"/>
    <w:rsid w:val="00E927C0"/>
    <w:rsid w:val="00E97273"/>
    <w:rsid w:val="00E978D0"/>
    <w:rsid w:val="00EA05CB"/>
    <w:rsid w:val="00EA264B"/>
    <w:rsid w:val="00EA3BD8"/>
    <w:rsid w:val="00EA4613"/>
    <w:rsid w:val="00EA55DB"/>
    <w:rsid w:val="00EA7F91"/>
    <w:rsid w:val="00EB1523"/>
    <w:rsid w:val="00EB44F5"/>
    <w:rsid w:val="00EC0429"/>
    <w:rsid w:val="00EC0E49"/>
    <w:rsid w:val="00EC37A0"/>
    <w:rsid w:val="00ED7501"/>
    <w:rsid w:val="00EE0131"/>
    <w:rsid w:val="00EE07E6"/>
    <w:rsid w:val="00EF09FB"/>
    <w:rsid w:val="00F022A5"/>
    <w:rsid w:val="00F071F9"/>
    <w:rsid w:val="00F1289D"/>
    <w:rsid w:val="00F155B2"/>
    <w:rsid w:val="00F257A4"/>
    <w:rsid w:val="00F27945"/>
    <w:rsid w:val="00F30C64"/>
    <w:rsid w:val="00F32CDB"/>
    <w:rsid w:val="00F34569"/>
    <w:rsid w:val="00F514FD"/>
    <w:rsid w:val="00F51E3F"/>
    <w:rsid w:val="00F55276"/>
    <w:rsid w:val="00F55E9E"/>
    <w:rsid w:val="00F611C0"/>
    <w:rsid w:val="00F63A70"/>
    <w:rsid w:val="00F670CA"/>
    <w:rsid w:val="00F70E0A"/>
    <w:rsid w:val="00F718FA"/>
    <w:rsid w:val="00F71DA2"/>
    <w:rsid w:val="00F73D93"/>
    <w:rsid w:val="00F748B0"/>
    <w:rsid w:val="00F92B7D"/>
    <w:rsid w:val="00FA21D0"/>
    <w:rsid w:val="00FA3E0B"/>
    <w:rsid w:val="00FA5F5F"/>
    <w:rsid w:val="00FB730C"/>
    <w:rsid w:val="00FC2695"/>
    <w:rsid w:val="00FC3E03"/>
    <w:rsid w:val="00FC3FC1"/>
    <w:rsid w:val="00FC4E24"/>
    <w:rsid w:val="00FD3027"/>
    <w:rsid w:val="00FD74EF"/>
    <w:rsid w:val="00FE0440"/>
    <w:rsid w:val="00FE4442"/>
    <w:rsid w:val="00FF1E32"/>
    <w:rsid w:val="00FF4CFC"/>
    <w:rsid w:val="00FF611E"/>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3BB2-48F9-4E5C-B20E-77B2DCF8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CA231D5A</Template>
  <TotalTime>272</TotalTime>
  <Pages>6</Pages>
  <Words>3585</Words>
  <Characters>20440</Characters>
  <Application>Microsoft Office Word</Application>
  <DocSecurity>0</DocSecurity>
  <Lines>170</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Rossi, Francesco</cp:lastModifiedBy>
  <cp:revision>13</cp:revision>
  <cp:lastPrinted>2015-05-12T18:31:00Z</cp:lastPrinted>
  <dcterms:created xsi:type="dcterms:W3CDTF">2019-02-05T16:00:00Z</dcterms:created>
  <dcterms:modified xsi:type="dcterms:W3CDTF">2019-04-05T23:35:00Z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