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bidi="th-TH"/>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bidi="th-TH"/>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87231D" w:rsidRDefault="0089654C" w:rsidP="00E978D0">
      <w:pPr>
        <w:pStyle w:val="CETTitle"/>
        <w:rPr>
          <w:rFonts w:cs="Angsana New"/>
          <w:lang w:val="en-US" w:bidi="th-TH"/>
        </w:rPr>
      </w:pPr>
      <w:r>
        <w:t>Biogas Production of Co-digestion from</w:t>
      </w:r>
      <w:r w:rsidR="00EE1015">
        <w:t xml:space="preserve"> Beverage Industry Waste and Organic Fertilizer raw Material</w:t>
      </w:r>
      <w:r>
        <w:t xml:space="preserve"> </w:t>
      </w:r>
    </w:p>
    <w:p w:rsidR="0087231D" w:rsidRPr="00B57B36" w:rsidRDefault="0087231D" w:rsidP="00AB5011">
      <w:pPr>
        <w:pStyle w:val="CETAuthors"/>
      </w:pPr>
      <w:r>
        <w:t>Fasai Wiwatwongwana</w:t>
      </w:r>
      <w:r w:rsidR="00600535" w:rsidRPr="00B57B36">
        <w:rPr>
          <w:vertAlign w:val="superscript"/>
        </w:rPr>
        <w:t>a</w:t>
      </w:r>
      <w:r w:rsidR="00600535" w:rsidRPr="00B57B36">
        <w:t>,</w:t>
      </w:r>
      <w:r w:rsidR="00EE1015">
        <w:t xml:space="preserve"> </w:t>
      </w:r>
      <w:r w:rsidR="0027598F">
        <w:t>Vitchuta</w:t>
      </w:r>
      <w:r w:rsidR="00EE1015">
        <w:t xml:space="preserve"> Toomthong</w:t>
      </w:r>
      <w:r w:rsidR="000F714C">
        <w:rPr>
          <w:vertAlign w:val="superscript"/>
        </w:rPr>
        <w:t>b</w:t>
      </w:r>
      <w:r w:rsidR="000F714C">
        <w:t xml:space="preserve">, </w:t>
      </w:r>
      <w:r w:rsidR="00EE1015">
        <w:t>Supawat Vivanpatarakij</w:t>
      </w:r>
      <w:r w:rsidR="00EE1015">
        <w:rPr>
          <w:vertAlign w:val="superscript"/>
        </w:rPr>
        <w:t>b</w:t>
      </w:r>
      <w:r w:rsidR="00EE1015" w:rsidRPr="00B57B36">
        <w:rPr>
          <w:vertAlign w:val="superscript"/>
        </w:rPr>
        <w:t>,</w:t>
      </w:r>
      <w:r w:rsidR="00EE1015" w:rsidRPr="00B57B36">
        <w:t>*</w:t>
      </w:r>
    </w:p>
    <w:p w:rsidR="00E978D0" w:rsidRDefault="00E978D0" w:rsidP="00E978D0">
      <w:pPr>
        <w:pStyle w:val="CETAddress"/>
      </w:pPr>
      <w:r w:rsidRPr="00B57B36">
        <w:rPr>
          <w:vertAlign w:val="superscript"/>
        </w:rPr>
        <w:t>a</w:t>
      </w:r>
      <w:r w:rsidR="0050146C">
        <w:t xml:space="preserve">Department of </w:t>
      </w:r>
      <w:r w:rsidR="0050146C" w:rsidRPr="00120D7B">
        <w:t>Advanced Manufacturing Technology, Faculty of Engineering, Pathumwan Institute of Technology, 833 Rama 1 Road, Wa</w:t>
      </w:r>
      <w:r w:rsidR="0050146C">
        <w:t>ngmai, Pathumwan, Bangkok 10330</w:t>
      </w:r>
      <w:r w:rsidR="00EE1015" w:rsidRPr="00EE1015">
        <w:rPr>
          <w:rFonts w:cs="Arial"/>
          <w:szCs w:val="16"/>
        </w:rPr>
        <w:t>, Thailand</w:t>
      </w:r>
      <w:r w:rsidR="00EE1015" w:rsidRPr="00EE1015">
        <w:rPr>
          <w:szCs w:val="16"/>
        </w:rPr>
        <w:t xml:space="preserve">  </w:t>
      </w:r>
      <w:r w:rsidR="0050146C" w:rsidRPr="00120D7B">
        <w:t xml:space="preserve"> </w:t>
      </w:r>
      <w:r w:rsidR="0050146C">
        <w:t xml:space="preserve"> </w:t>
      </w:r>
    </w:p>
    <w:p w:rsidR="000F714C" w:rsidRPr="00EE1015" w:rsidRDefault="000F714C" w:rsidP="000F714C">
      <w:pPr>
        <w:pStyle w:val="CETAddress"/>
        <w:rPr>
          <w:szCs w:val="16"/>
        </w:rPr>
      </w:pPr>
      <w:r>
        <w:rPr>
          <w:vertAlign w:val="superscript"/>
        </w:rPr>
        <w:t>b</w:t>
      </w:r>
      <w:r w:rsidR="00EE1015" w:rsidRPr="00EE1015">
        <w:rPr>
          <w:rFonts w:cs="Arial"/>
          <w:szCs w:val="16"/>
        </w:rPr>
        <w:t>Energy Research Institute, Chulalongkorn University, Phayathai Road, Pathumwan, Bangkok 10330, Thailand</w:t>
      </w:r>
      <w:r w:rsidRPr="00EE1015">
        <w:rPr>
          <w:szCs w:val="16"/>
        </w:rPr>
        <w:t xml:space="preserve">  </w:t>
      </w:r>
    </w:p>
    <w:p w:rsidR="0050146C" w:rsidRPr="00EE1015" w:rsidRDefault="00A53863" w:rsidP="0050146C">
      <w:pPr>
        <w:pStyle w:val="CETemail"/>
        <w:rPr>
          <w:szCs w:val="16"/>
        </w:rPr>
      </w:pPr>
      <w:r w:rsidRPr="00B57B36">
        <w:t>*</w:t>
      </w:r>
      <w:r>
        <w:rPr>
          <w:szCs w:val="16"/>
        </w:rPr>
        <w:t xml:space="preserve">corresponding </w:t>
      </w:r>
      <w:r w:rsidR="00600535" w:rsidRPr="00EE1015">
        <w:rPr>
          <w:szCs w:val="16"/>
        </w:rPr>
        <w:t>author</w:t>
      </w:r>
      <w:r w:rsidR="0050146C" w:rsidRPr="00EE1015">
        <w:rPr>
          <w:szCs w:val="16"/>
        </w:rPr>
        <w:t xml:space="preserve">: </w:t>
      </w:r>
      <w:r w:rsidR="00EE1015">
        <w:rPr>
          <w:szCs w:val="16"/>
        </w:rPr>
        <w:t>supawat.v@chula.ac.th</w:t>
      </w:r>
      <w:r w:rsidR="00600535" w:rsidRPr="00EE1015">
        <w:rPr>
          <w:szCs w:val="16"/>
        </w:rPr>
        <w:t xml:space="preserve"> </w:t>
      </w:r>
      <w:r w:rsidR="0050146C" w:rsidRPr="00EE1015">
        <w:rPr>
          <w:szCs w:val="16"/>
        </w:rPr>
        <w:t xml:space="preserve"> </w:t>
      </w:r>
    </w:p>
    <w:p w:rsidR="0050146C" w:rsidRPr="000F714C" w:rsidRDefault="00791173" w:rsidP="0050146C">
      <w:pPr>
        <w:pStyle w:val="CETListbullets"/>
        <w:ind w:left="0" w:firstLine="0"/>
        <w:rPr>
          <w:rFonts w:cs="Arial"/>
        </w:rPr>
      </w:pPr>
      <w:r>
        <w:rPr>
          <w:rFonts w:cs="Arial"/>
          <w:b/>
        </w:rPr>
        <w:t>Abstract.</w:t>
      </w:r>
      <w:r>
        <w:rPr>
          <w:rFonts w:cs="Arial"/>
          <w:bCs/>
        </w:rPr>
        <w:t xml:space="preserve"> </w:t>
      </w:r>
      <w:r w:rsidRPr="00791173">
        <w:rPr>
          <w:rFonts w:cs="Arial"/>
          <w:szCs w:val="25"/>
          <w:lang w:val="en-US" w:bidi="th-TH"/>
        </w:rPr>
        <w:t xml:space="preserve">This research aims to study efficiency of bio co-digestion from beverage industry waste (xW) and organic fertilizer raw material (OFM). The researcher was studied suitable mixing ratio between beverage industry wastes were taken from dairy (DW), beer (BW), coffee (CW) and energy drink (EW) industry mixing with OFM. For this study, mixing ratio are 100:0, 75:25, 50:50, 25:75 and 0:100 (ratio by mass of OFM:xW) considered by dry basis and using batch reactor on shaker machine. The experiment result showed the </w:t>
      </w:r>
      <w:r w:rsidRPr="00791173">
        <w:rPr>
          <w:rFonts w:eastAsiaTheme="majorEastAsia" w:cs="Arial"/>
          <w:lang w:bidi="th-TH"/>
        </w:rPr>
        <w:t xml:space="preserve">fermented ratio of 75:25 of all industrial </w:t>
      </w:r>
      <w:r w:rsidRPr="00791173">
        <w:rPr>
          <w:rFonts w:eastAsiaTheme="majorEastAsia" w:cs="Arial"/>
          <w:szCs w:val="28"/>
          <w:lang w:bidi="th-TH"/>
        </w:rPr>
        <w:t>wastes</w:t>
      </w:r>
      <w:r w:rsidRPr="00791173">
        <w:rPr>
          <w:rFonts w:eastAsiaTheme="majorEastAsia" w:cs="Arial"/>
          <w:lang w:bidi="th-TH"/>
        </w:rPr>
        <w:t xml:space="preserve"> seemed to have higher accumulated biogas production compared to other fermented ratios, especially it was found in dairy </w:t>
      </w:r>
      <w:bookmarkStart w:id="0" w:name="_GoBack"/>
      <w:bookmarkEnd w:id="0"/>
      <w:r w:rsidRPr="00791173">
        <w:rPr>
          <w:rFonts w:eastAsiaTheme="majorEastAsia" w:cs="Arial"/>
          <w:lang w:bidi="th-TH"/>
        </w:rPr>
        <w:t xml:space="preserve">industry waste, higher more than 2.1 times. </w:t>
      </w:r>
      <w:r w:rsidRPr="00791173">
        <w:rPr>
          <w:rFonts w:cs="Arial"/>
          <w:szCs w:val="25"/>
          <w:lang w:val="en-US" w:bidi="th-TH"/>
        </w:rPr>
        <w:t>The heating values show (at OFM:xW equal 75:25) of OFW with CW equal 2530.92 J &gt; CW equal 1,141.13 J &gt; BW equal 840.48 J &gt; EW 515.79 J, respectively. The proportion OFM:xW at 75:25 show highest gas production and the heating value. The dairy industry waste was suitable for mixing with Organic Fertilizer Raw Material.</w:t>
      </w:r>
    </w:p>
    <w:p w:rsidR="00791173" w:rsidRPr="00791173" w:rsidRDefault="00600535" w:rsidP="00791173">
      <w:pPr>
        <w:pStyle w:val="CETHeading1"/>
        <w:rPr>
          <w:lang w:val="en-GB"/>
        </w:rPr>
      </w:pPr>
      <w:r w:rsidRPr="00B57B36">
        <w:rPr>
          <w:lang w:val="en-GB"/>
        </w:rPr>
        <w:t>Introduction</w:t>
      </w:r>
    </w:p>
    <w:p w:rsidR="00791173" w:rsidRPr="00791173" w:rsidRDefault="00791173" w:rsidP="00CB243C">
      <w:pPr>
        <w:pStyle w:val="BodyChar"/>
        <w:tabs>
          <w:tab w:val="clear" w:pos="567"/>
        </w:tabs>
        <w:ind w:firstLine="540"/>
        <w:rPr>
          <w:rFonts w:ascii="Arial" w:hAnsi="Arial" w:cs="Arial"/>
          <w:sz w:val="18"/>
          <w:szCs w:val="18"/>
          <w:lang w:val="en"/>
        </w:rPr>
      </w:pPr>
      <w:r>
        <w:rPr>
          <w:rFonts w:ascii="Arial" w:hAnsi="Arial" w:cs="Arial"/>
          <w:sz w:val="18"/>
          <w:szCs w:val="18"/>
          <w:lang w:val="en"/>
        </w:rPr>
        <w:tab/>
      </w:r>
      <w:r w:rsidRPr="00791173">
        <w:rPr>
          <w:rFonts w:ascii="Arial" w:hAnsi="Arial" w:cs="Arial"/>
          <w:sz w:val="18"/>
          <w:szCs w:val="18"/>
          <w:lang w:val="en"/>
        </w:rPr>
        <w:t>Nowadays, the industrial plants have increased with rapidly expanding. The problem is the waste which generated by industrial pro</w:t>
      </w:r>
      <w:r w:rsidR="0041003A">
        <w:rPr>
          <w:rFonts w:ascii="Arial" w:hAnsi="Arial" w:cs="Arial"/>
          <w:sz w:val="18"/>
          <w:szCs w:val="18"/>
          <w:lang w:val="en"/>
        </w:rPr>
        <w:t>cesses called industrial waste</w:t>
      </w:r>
      <w:r w:rsidRPr="00791173">
        <w:rPr>
          <w:rFonts w:ascii="Arial" w:hAnsi="Arial" w:cs="Arial"/>
          <w:sz w:val="18"/>
          <w:szCs w:val="18"/>
          <w:lang w:val="en"/>
        </w:rPr>
        <w:t>. At present, the industrial waste is generated up to 2.04 million tons/year, accounting for 77% from total amount of waste which is 2.65 million tons/year. There are many types of industrial waste disposal such as landfill, burn in the kiln, recycling, etc. The most popular disposal process of non-hazardous waste is the landfill process which is the cheapest and the most convenient disposal method. The process of disposal by landfill is a process that cannot use the industrial waste to recycle. Therefore, it can cause the zero value of some industrial wastes which can be useful, for example, industrial wastes from non-hazardous beverage factories. The removal method uses natural degradation process by using microorganisms to digest. This reaction occurs in landfill process without harm. From the reaction, methane (CH</w:t>
      </w:r>
      <w:r w:rsidRPr="00791173">
        <w:rPr>
          <w:rFonts w:ascii="Arial" w:hAnsi="Arial" w:cs="Arial"/>
          <w:sz w:val="18"/>
          <w:szCs w:val="18"/>
          <w:vertAlign w:val="subscript"/>
          <w:lang w:val="en"/>
        </w:rPr>
        <w:t>4</w:t>
      </w:r>
      <w:r w:rsidRPr="00791173">
        <w:rPr>
          <w:rFonts w:ascii="Arial" w:hAnsi="Arial" w:cs="Arial"/>
          <w:sz w:val="18"/>
          <w:szCs w:val="18"/>
          <w:lang w:val="en"/>
        </w:rPr>
        <w:t>), carbon dioxide (CO</w:t>
      </w:r>
      <w:r w:rsidRPr="00791173">
        <w:rPr>
          <w:rFonts w:ascii="Arial" w:hAnsi="Arial" w:cs="Arial"/>
          <w:sz w:val="18"/>
          <w:szCs w:val="18"/>
          <w:vertAlign w:val="subscript"/>
          <w:lang w:val="en"/>
        </w:rPr>
        <w:t>2</w:t>
      </w:r>
      <w:r w:rsidRPr="00791173">
        <w:rPr>
          <w:rFonts w:ascii="Arial" w:hAnsi="Arial" w:cs="Arial"/>
          <w:sz w:val="18"/>
          <w:szCs w:val="18"/>
          <w:lang w:val="en"/>
        </w:rPr>
        <w:t>) and other gases were produced by fermentation of organic matter under anaerobic conditions w</w:t>
      </w:r>
      <w:r w:rsidR="00D23525">
        <w:rPr>
          <w:rFonts w:ascii="Arial" w:hAnsi="Arial" w:cs="Arial"/>
          <w:sz w:val="18"/>
          <w:szCs w:val="18"/>
          <w:lang w:val="en"/>
        </w:rPr>
        <w:t>hich has an effect on landfill (Chen et al. 2010, Khan et al. 2015, Aggarangsi et al. 2013, Pipatmanomai et al. 2009 and Budzianowski 2016)</w:t>
      </w:r>
      <w:r w:rsidRPr="00791173">
        <w:rPr>
          <w:rFonts w:ascii="Arial" w:hAnsi="Arial" w:cs="Arial"/>
          <w:sz w:val="18"/>
          <w:szCs w:val="18"/>
          <w:lang w:val="en"/>
        </w:rPr>
        <w:t>. This requires the removal of gas production with cannot be useful. The gas generated by this digestion can be passed through the process to obtain biogas and bring methane to reuse with can generate heat.</w:t>
      </w:r>
    </w:p>
    <w:p w:rsidR="00791173" w:rsidRPr="00791173" w:rsidRDefault="00791173" w:rsidP="00D23525">
      <w:pPr>
        <w:pStyle w:val="BodyChar"/>
        <w:tabs>
          <w:tab w:val="clear" w:pos="567"/>
        </w:tabs>
        <w:ind w:firstLine="540"/>
        <w:rPr>
          <w:rFonts w:ascii="Arial" w:hAnsi="Arial" w:cs="Arial"/>
          <w:bCs/>
          <w:sz w:val="18"/>
          <w:szCs w:val="18"/>
          <w:lang w:val="en"/>
        </w:rPr>
      </w:pPr>
      <w:r w:rsidRPr="00791173">
        <w:rPr>
          <w:rFonts w:ascii="Arial" w:hAnsi="Arial" w:cs="Arial"/>
          <w:sz w:val="18"/>
          <w:szCs w:val="18"/>
          <w:lang w:val="en"/>
        </w:rPr>
        <w:tab/>
        <w:t xml:space="preserve">Industrial wastes from beverage factories as raw materials for biogas production in closed ponds under anaerobic conditions were interested in this research. According to previous research, it was found that more than one organic compound can increase the volume of biogas, according to a report by the Energy Systems Engineering Institute and a report from the Hazardous Substances Management Division. Pollution Control Department reported that 26 food, beverage and pulp factories had wastewater and sludge production were produced up to 40,200 tons/month. The total amount of wastewater and sludge was 1,045,200 tons/month and the average utilization was 8,333 tons/month/plant. The use of 108,333 tons/month or 10.36% of the total amount of waste generated by the relevant industry. </w:t>
      </w:r>
      <w:r w:rsidR="00D23525">
        <w:rPr>
          <w:rFonts w:ascii="Arial" w:hAnsi="Arial" w:cs="Arial"/>
          <w:bCs/>
          <w:sz w:val="18"/>
          <w:szCs w:val="18"/>
          <w:lang w:val="en"/>
        </w:rPr>
        <w:t>E</w:t>
      </w:r>
      <w:r w:rsidRPr="00791173">
        <w:rPr>
          <w:rFonts w:ascii="Arial" w:hAnsi="Arial" w:cs="Arial"/>
          <w:bCs/>
          <w:sz w:val="18"/>
          <w:szCs w:val="18"/>
          <w:lang w:val="en"/>
        </w:rPr>
        <w:t xml:space="preserve">fficiency of biogas production from old community waste from waste junk from fresh community waste by using a fermented tank which was completely agitated. The results were found that the old community waste mixed with fresh community biomass for biogas production were highest. The old community waste amount to 1: 3 at the total solid content of 5%. The biogas yield was </w:t>
      </w:r>
      <w:r w:rsidRPr="00791173">
        <w:rPr>
          <w:rFonts w:ascii="Arial" w:hAnsi="Arial" w:cs="Arial"/>
          <w:bCs/>
          <w:sz w:val="18"/>
          <w:szCs w:val="18"/>
          <w:lang w:val="en"/>
        </w:rPr>
        <w:lastRenderedPageBreak/>
        <w:t>0.12 liters per gram of total evaporated solids. At the end of the experiment, COD was reduced by 63.19% with COD removal of 3,136 mg/L. In the heat treatment of waste at the old community waste mix ratio of 1: 3 at the total solid content of 5%. It was found that the heat treatment resulted in higher methane content of bio</w:t>
      </w:r>
      <w:r w:rsidR="00D23525">
        <w:rPr>
          <w:rFonts w:ascii="Arial" w:hAnsi="Arial" w:cs="Arial"/>
          <w:bCs/>
          <w:sz w:val="18"/>
          <w:szCs w:val="18"/>
          <w:lang w:val="en"/>
        </w:rPr>
        <w:t>gas with up to 73.33 percent (Tamyern 2008)</w:t>
      </w:r>
      <w:r w:rsidRPr="00791173">
        <w:rPr>
          <w:rFonts w:ascii="Arial" w:hAnsi="Arial" w:cs="Arial"/>
          <w:bCs/>
          <w:sz w:val="18"/>
          <w:szCs w:val="18"/>
          <w:lang w:val="en"/>
        </w:rPr>
        <w:t xml:space="preserve">. </w:t>
      </w:r>
      <w:r w:rsidR="00DD6DBC">
        <w:rPr>
          <w:rFonts w:ascii="Arial" w:hAnsi="Arial" w:cs="Browallia New"/>
          <w:bCs/>
          <w:sz w:val="18"/>
          <w:lang w:val="en" w:bidi="th-TH"/>
        </w:rPr>
        <w:t>T</w:t>
      </w:r>
      <w:r w:rsidRPr="00791173">
        <w:rPr>
          <w:rFonts w:ascii="Arial" w:hAnsi="Arial" w:cs="Arial"/>
          <w:bCs/>
          <w:sz w:val="18"/>
          <w:szCs w:val="18"/>
          <w:lang w:val="en"/>
        </w:rPr>
        <w:t>he production of biogas from wastewater from pig farms with Napier grass and Scrap. The ratio of volatile solids content of swine wastewater to Napier grass and food waste was 70:30 and 40:60, respectively, in comparison with the use of swine wastewater alone. Experiment was conducted using this ratio with the ASBR reactor at the laboratory level. The results obtained from the first experiments using Napier grass were found to be a common compost</w:t>
      </w:r>
      <w:r w:rsidR="00DD6DBC">
        <w:rPr>
          <w:rFonts w:ascii="Arial" w:hAnsi="Arial" w:cs="Arial"/>
          <w:bCs/>
          <w:sz w:val="18"/>
          <w:szCs w:val="18"/>
          <w:lang w:val="en"/>
        </w:rPr>
        <w:t xml:space="preserve"> (Mernji 2010)</w:t>
      </w:r>
      <w:r w:rsidRPr="00791173">
        <w:rPr>
          <w:rFonts w:ascii="Arial" w:hAnsi="Arial" w:cs="Arial"/>
          <w:bCs/>
          <w:sz w:val="18"/>
          <w:szCs w:val="18"/>
          <w:lang w:val="en"/>
        </w:rPr>
        <w:t>.</w:t>
      </w:r>
      <w:r w:rsidR="00DD6DBC">
        <w:rPr>
          <w:rFonts w:ascii="Arial" w:hAnsi="Arial" w:cs="Arial"/>
          <w:bCs/>
          <w:sz w:val="18"/>
          <w:szCs w:val="18"/>
          <w:lang w:val="en"/>
        </w:rPr>
        <w:t xml:space="preserve"> </w:t>
      </w:r>
      <w:r w:rsidR="00DD6DBC" w:rsidRPr="00DD6DBC">
        <w:rPr>
          <w:rFonts w:ascii="Arial" w:hAnsi="Arial" w:cs="Arial"/>
          <w:bCs/>
          <w:sz w:val="18"/>
          <w:szCs w:val="18"/>
          <w:lang w:val="en"/>
        </w:rPr>
        <w:t>The anaerobic co-digestion (co-AD) of the pre-hydrolysed Organic Fraction of Municipal Solid Waste (hOFMSW) and Maize Cob Waste (MCW) was</w:t>
      </w:r>
      <w:r w:rsidR="00DD6DBC">
        <w:rPr>
          <w:rFonts w:ascii="Arial" w:hAnsi="Arial" w:cs="Arial"/>
          <w:bCs/>
          <w:sz w:val="18"/>
          <w:szCs w:val="18"/>
          <w:lang w:val="en"/>
        </w:rPr>
        <w:t xml:space="preserve"> studied in lab scale anaerobic digester (Surra 2018). The</w:t>
      </w:r>
      <w:r w:rsidR="00DD6DBC" w:rsidRPr="00DD6DBC">
        <w:rPr>
          <w:rFonts w:ascii="Arial" w:hAnsi="Arial" w:cs="Arial"/>
          <w:bCs/>
          <w:sz w:val="18"/>
          <w:szCs w:val="18"/>
          <w:lang w:val="en"/>
        </w:rPr>
        <w:t xml:space="preserve"> results showed that the pre-treatment is recommended before submitting MCW to co-AD and the chemical pre-treatment of MCW with H2O2, at room temperature, is a promising low-cost way to valorise MCW through co-AD</w:t>
      </w:r>
      <w:r w:rsidR="00DD6DBC">
        <w:rPr>
          <w:rFonts w:ascii="Arial" w:hAnsi="Arial" w:cs="Arial"/>
          <w:bCs/>
          <w:sz w:val="18"/>
          <w:szCs w:val="18"/>
          <w:lang w:val="en"/>
        </w:rPr>
        <w:t>.</w:t>
      </w:r>
      <w:r w:rsidR="004D2912">
        <w:rPr>
          <w:rFonts w:ascii="Arial" w:hAnsi="Arial" w:cs="Arial"/>
          <w:bCs/>
          <w:sz w:val="18"/>
          <w:szCs w:val="18"/>
          <w:lang w:val="en"/>
        </w:rPr>
        <w:t xml:space="preserve"> The biogas digestion wa</w:t>
      </w:r>
      <w:r w:rsidR="004D2912" w:rsidRPr="004D2912">
        <w:rPr>
          <w:rFonts w:ascii="Arial" w:hAnsi="Arial" w:cs="Arial"/>
          <w:bCs/>
          <w:sz w:val="18"/>
          <w:szCs w:val="18"/>
          <w:lang w:val="en"/>
        </w:rPr>
        <w:t>s studied for the energetic valorisation of the sewage produced in swine farms (Leite 2018). Results showed the models based on physical chemical parameters and the model based on quantity of growing pigs were coherent with results pr</w:t>
      </w:r>
      <w:r w:rsidR="004D2912">
        <w:rPr>
          <w:rFonts w:ascii="Arial" w:hAnsi="Arial" w:cs="Arial"/>
          <w:bCs/>
          <w:sz w:val="18"/>
          <w:szCs w:val="18"/>
          <w:lang w:val="en"/>
        </w:rPr>
        <w:t>ovided by lab-scale bioreactor.</w:t>
      </w:r>
    </w:p>
    <w:p w:rsidR="00791173" w:rsidRPr="00791173" w:rsidRDefault="00791173" w:rsidP="00CB243C">
      <w:pPr>
        <w:ind w:firstLine="540"/>
        <w:jc w:val="thaiDistribute"/>
        <w:rPr>
          <w:rFonts w:cs="Arial"/>
          <w:szCs w:val="18"/>
          <w:lang w:bidi="th-TH"/>
        </w:rPr>
      </w:pPr>
      <w:r w:rsidRPr="00791173">
        <w:rPr>
          <w:rFonts w:cs="Arial"/>
          <w:szCs w:val="18"/>
          <w:lang w:val="en"/>
        </w:rPr>
        <w:tab/>
        <w:t xml:space="preserve">Therefore, the researcher selected industrial wastes from 4 beverage factories, </w:t>
      </w:r>
      <w:r w:rsidRPr="00791173">
        <w:rPr>
          <w:rFonts w:cs="Arial"/>
          <w:szCs w:val="18"/>
          <w:lang w:val="en-US" w:bidi="th-TH"/>
        </w:rPr>
        <w:t>dairy industry waste (DW), beer</w:t>
      </w:r>
      <w:r w:rsidRPr="00791173">
        <w:rPr>
          <w:rFonts w:cs="Arial"/>
          <w:szCs w:val="18"/>
          <w:cs/>
          <w:lang w:val="en-US" w:bidi="th-TH"/>
        </w:rPr>
        <w:t xml:space="preserve"> </w:t>
      </w:r>
      <w:r w:rsidRPr="00791173">
        <w:rPr>
          <w:rFonts w:cs="Arial"/>
          <w:szCs w:val="18"/>
          <w:lang w:val="en-US" w:bidi="th-TH"/>
        </w:rPr>
        <w:t>industry waste (BW), coffee</w:t>
      </w:r>
      <w:r w:rsidRPr="00791173">
        <w:rPr>
          <w:rFonts w:cs="Arial"/>
          <w:szCs w:val="18"/>
          <w:cs/>
          <w:lang w:val="en-US" w:bidi="th-TH"/>
        </w:rPr>
        <w:t xml:space="preserve"> </w:t>
      </w:r>
      <w:r w:rsidRPr="00791173">
        <w:rPr>
          <w:rFonts w:cs="Arial"/>
          <w:szCs w:val="18"/>
          <w:lang w:val="en-US" w:bidi="th-TH"/>
        </w:rPr>
        <w:t>industry waste (CW) and energy drink</w:t>
      </w:r>
      <w:r w:rsidRPr="00791173">
        <w:rPr>
          <w:rFonts w:cs="Arial"/>
          <w:szCs w:val="18"/>
          <w:cs/>
          <w:lang w:val="en-US" w:bidi="th-TH"/>
        </w:rPr>
        <w:t xml:space="preserve"> </w:t>
      </w:r>
      <w:r w:rsidRPr="00791173">
        <w:rPr>
          <w:rFonts w:cs="Arial"/>
          <w:szCs w:val="18"/>
          <w:lang w:val="en-US" w:bidi="th-TH"/>
        </w:rPr>
        <w:t>industry waste (EW)</w:t>
      </w:r>
      <w:r w:rsidRPr="00791173">
        <w:rPr>
          <w:rFonts w:cs="Arial"/>
          <w:szCs w:val="18"/>
          <w:lang w:val="en"/>
        </w:rPr>
        <w:t xml:space="preserve">. </w:t>
      </w:r>
      <w:r w:rsidRPr="00791173">
        <w:rPr>
          <w:rFonts w:cs="Arial"/>
          <w:szCs w:val="18"/>
          <w:lang w:val="en" w:bidi="th-TH"/>
        </w:rPr>
        <w:t xml:space="preserve">These </w:t>
      </w:r>
      <w:r w:rsidRPr="00791173">
        <w:rPr>
          <w:rFonts w:cs="Arial"/>
          <w:szCs w:val="18"/>
          <w:lang w:val="en"/>
        </w:rPr>
        <w:t xml:space="preserve">industrial wastes have high COD. The aim of this research was </w:t>
      </w:r>
      <w:r w:rsidRPr="00791173">
        <w:rPr>
          <w:rFonts w:cs="Arial"/>
          <w:bCs/>
          <w:szCs w:val="18"/>
          <w:lang w:val="en"/>
        </w:rPr>
        <w:t>to</w:t>
      </w:r>
      <w:r w:rsidRPr="00791173">
        <w:rPr>
          <w:rFonts w:cs="Arial"/>
          <w:b/>
          <w:szCs w:val="18"/>
          <w:lang w:val="en"/>
        </w:rPr>
        <w:t xml:space="preserve"> </w:t>
      </w:r>
      <w:r w:rsidRPr="00791173">
        <w:rPr>
          <w:rFonts w:cs="Arial"/>
          <w:bCs/>
          <w:szCs w:val="18"/>
          <w:lang w:val="en"/>
        </w:rPr>
        <w:t>study the optimum mixing ratios for organic fertilizer raw material (OFM) and 4 beverage industrial wastes (xWs) to maximize biogas quantity and quality. The other one was to remove industrial waste from the target beverage factory. It could be used to improve the production of biogas in the organic fertilizer industry that was currently used and production.</w:t>
      </w:r>
      <w:r w:rsidR="004D2912">
        <w:rPr>
          <w:rFonts w:cs="Arial"/>
          <w:bCs/>
          <w:szCs w:val="18"/>
          <w:lang w:val="en"/>
        </w:rPr>
        <w:t xml:space="preserve"> </w:t>
      </w:r>
    </w:p>
    <w:p w:rsidR="008D0A9B" w:rsidRPr="00791173" w:rsidRDefault="00791173" w:rsidP="00791173">
      <w:pPr>
        <w:pStyle w:val="CETHeading1"/>
        <w:tabs>
          <w:tab w:val="clear" w:pos="360"/>
          <w:tab w:val="right" w:pos="7100"/>
        </w:tabs>
        <w:jc w:val="both"/>
        <w:rPr>
          <w:lang w:val="en-GB"/>
        </w:rPr>
      </w:pPr>
      <w:r>
        <w:rPr>
          <w:lang w:val="en-GB"/>
        </w:rPr>
        <w:t xml:space="preserve">Research </w:t>
      </w:r>
      <w:r w:rsidR="004D2912">
        <w:rPr>
          <w:lang w:val="en-GB"/>
        </w:rPr>
        <w:t xml:space="preserve">Experiment </w:t>
      </w:r>
    </w:p>
    <w:p w:rsidR="00791173" w:rsidRPr="00791173" w:rsidRDefault="00791173" w:rsidP="00CB243C">
      <w:pPr>
        <w:pStyle w:val="Text"/>
        <w:ind w:firstLine="540"/>
        <w:rPr>
          <w:rFonts w:ascii="Arial" w:hAnsi="Arial" w:cs="Arial"/>
          <w:sz w:val="18"/>
          <w:szCs w:val="18"/>
        </w:rPr>
      </w:pPr>
      <w:r w:rsidRPr="00791173">
        <w:rPr>
          <w:rFonts w:ascii="Arial" w:hAnsi="Arial" w:cs="Arial"/>
          <w:sz w:val="18"/>
          <w:szCs w:val="18"/>
        </w:rPr>
        <w:t xml:space="preserve">Industrial waste was selected the from the wastewater treatment plant of the beverage industry to study and analyze in the laboratory. The equipment was prepared for sampling and fermentation biogas. Each group was divided into five experiments. The experiment will be conducted in the various ratios which were (0: 100), (25:75), (50:50), (75:25) and (100: 0), respectively. Briefly, the experiments were carried out with 27 sets of experiments with 5 samples, 5 ratios, 3 fermenters and prepared ingredients of mixing fermentation. Mixing Raw Materials were prepared followed the method of mixing industrial wastes and OFM into 500 ml </w:t>
      </w:r>
      <w:r w:rsidRPr="00791173">
        <w:rPr>
          <w:rFonts w:ascii="Arial" w:hAnsi="Arial" w:cs="Arial"/>
          <w:sz w:val="18"/>
          <w:szCs w:val="18"/>
          <w:lang w:bidi="th-TH"/>
        </w:rPr>
        <w:t>a</w:t>
      </w:r>
      <w:r w:rsidRPr="00791173">
        <w:rPr>
          <w:rFonts w:ascii="Arial" w:hAnsi="Arial" w:cs="Arial"/>
          <w:color w:val="000000"/>
          <w:sz w:val="18"/>
          <w:szCs w:val="18"/>
        </w:rPr>
        <w:t>mber</w:t>
      </w:r>
      <w:r w:rsidRPr="00791173">
        <w:rPr>
          <w:rFonts w:ascii="Arial" w:hAnsi="Arial" w:cs="Arial"/>
          <w:sz w:val="18"/>
          <w:szCs w:val="18"/>
        </w:rPr>
        <w:t xml:space="preserve"> bottle by fixed 300 ml fermented volume</w:t>
      </w:r>
      <w:r w:rsidR="00557694">
        <w:rPr>
          <w:rFonts w:ascii="Arial" w:hAnsi="Arial" w:cs="Arial"/>
          <w:sz w:val="18"/>
          <w:szCs w:val="18"/>
        </w:rPr>
        <w:t xml:space="preserve"> (Figure 1)</w:t>
      </w:r>
      <w:r w:rsidRPr="00791173">
        <w:rPr>
          <w:rFonts w:ascii="Arial" w:hAnsi="Arial" w:cs="Arial"/>
          <w:sz w:val="18"/>
          <w:szCs w:val="18"/>
        </w:rPr>
        <w:t>. The biogas system was then stored for a period of time until the end of the biogas process. Place all batches on an automatic shaker. The tester was divided into 5 groups, 5 each and 3 times. The fermentation was performed for 22 days. The shaker was operated from 7 am to 7 pm and shutdown the machine. Finally, recorded the test results at 1:00 pm for about 5 minutes every day in the morning and evening before and after the shutdown.</w:t>
      </w:r>
    </w:p>
    <w:p w:rsidR="008D0A9B" w:rsidRDefault="00791173" w:rsidP="00791173">
      <w:pPr>
        <w:pStyle w:val="Text"/>
        <w:ind w:firstLine="708"/>
        <w:rPr>
          <w:rFonts w:ascii="Arial" w:hAnsi="Arial" w:cs="Arial"/>
          <w:sz w:val="18"/>
          <w:szCs w:val="18"/>
        </w:rPr>
      </w:pPr>
      <w:r w:rsidRPr="00791173">
        <w:rPr>
          <w:rFonts w:ascii="Arial" w:hAnsi="Arial" w:cs="Arial"/>
          <w:sz w:val="18"/>
          <w:szCs w:val="18"/>
        </w:rPr>
        <w:t>This paper studied the properties of the mixture were analyzed at the laboratory. To study on biogas ratio, the ratio between the industrial wastes and OFM, the organic fertilizer plant anaerobic closure of organic fertilizer plant was investigated. Finally, compare the volume of produced biogas and the components of biogas include methane (CH</w:t>
      </w:r>
      <w:r w:rsidRPr="00791173">
        <w:rPr>
          <w:rFonts w:ascii="Arial" w:hAnsi="Arial" w:cs="Arial"/>
          <w:sz w:val="18"/>
          <w:szCs w:val="18"/>
          <w:vertAlign w:val="subscript"/>
        </w:rPr>
        <w:t>4</w:t>
      </w:r>
      <w:r w:rsidRPr="00791173">
        <w:rPr>
          <w:rFonts w:ascii="Arial" w:hAnsi="Arial" w:cs="Arial"/>
          <w:sz w:val="18"/>
          <w:szCs w:val="18"/>
        </w:rPr>
        <w:t>) and carbon dioxide (CO</w:t>
      </w:r>
      <w:r w:rsidRPr="00791173">
        <w:rPr>
          <w:rFonts w:ascii="Arial" w:hAnsi="Arial" w:cs="Arial"/>
          <w:sz w:val="18"/>
          <w:szCs w:val="18"/>
          <w:vertAlign w:val="subscript"/>
        </w:rPr>
        <w:t>2</w:t>
      </w:r>
      <w:r w:rsidRPr="00791173">
        <w:rPr>
          <w:rFonts w:ascii="Arial" w:hAnsi="Arial" w:cs="Arial"/>
          <w:sz w:val="18"/>
          <w:szCs w:val="18"/>
        </w:rPr>
        <w:t xml:space="preserve">). </w:t>
      </w:r>
    </w:p>
    <w:p w:rsidR="00557694" w:rsidRDefault="00557694" w:rsidP="00557694">
      <w:pPr>
        <w:pStyle w:val="Text"/>
        <w:ind w:firstLine="900"/>
        <w:rPr>
          <w:rFonts w:ascii="Arial" w:hAnsi="Arial" w:cs="Arial"/>
          <w:sz w:val="18"/>
          <w:szCs w:val="18"/>
        </w:rPr>
      </w:pPr>
      <w:r>
        <w:rPr>
          <w:noProof/>
          <w:lang w:bidi="th-TH"/>
        </w:rPr>
        <mc:AlternateContent>
          <mc:Choice Requires="wps">
            <w:drawing>
              <wp:anchor distT="0" distB="0" distL="114300" distR="114300" simplePos="0" relativeHeight="251659264" behindDoc="0" locked="0" layoutInCell="1" allowOverlap="1" wp14:anchorId="39882CE3" wp14:editId="382EC5A0">
                <wp:simplePos x="0" y="0"/>
                <wp:positionH relativeFrom="column">
                  <wp:posOffset>-270967</wp:posOffset>
                </wp:positionH>
                <wp:positionV relativeFrom="paragraph">
                  <wp:posOffset>478431</wp:posOffset>
                </wp:positionV>
                <wp:extent cx="1324619" cy="610460"/>
                <wp:effectExtent l="0" t="0" r="0" b="0"/>
                <wp:wrapNone/>
                <wp:docPr id="49" name="TextBox 40"/>
                <wp:cNvGraphicFramePr/>
                <a:graphic xmlns:a="http://schemas.openxmlformats.org/drawingml/2006/main">
                  <a:graphicData uri="http://schemas.microsoft.com/office/word/2010/wordprocessingShape">
                    <wps:wsp>
                      <wps:cNvSpPr txBox="1"/>
                      <wps:spPr>
                        <a:xfrm>
                          <a:off x="0" y="0"/>
                          <a:ext cx="1324619" cy="610460"/>
                        </a:xfrm>
                        <a:prstGeom prst="rect">
                          <a:avLst/>
                        </a:prstGeom>
                        <a:noFill/>
                      </wps:spPr>
                      <wps:txbx>
                        <w:txbxContent>
                          <w:p w:rsidR="00557694" w:rsidRPr="00557694" w:rsidRDefault="00557694" w:rsidP="00557694">
                            <w:pPr>
                              <w:pStyle w:val="NormalWeb"/>
                              <w:jc w:val="center"/>
                              <w:rPr>
                                <w:rFonts w:ascii="Times New Roman" w:hAnsi="Times New Roman"/>
                                <w:sz w:val="20"/>
                                <w:szCs w:val="20"/>
                                <w:lang w:val="en-US"/>
                              </w:rPr>
                            </w:pPr>
                            <w:r>
                              <w:rPr>
                                <w:rFonts w:ascii="Times New Roman" w:hAnsi="Times New Roman"/>
                                <w:color w:val="000000" w:themeColor="text1"/>
                                <w:kern w:val="24"/>
                                <w:sz w:val="20"/>
                                <w:szCs w:val="20"/>
                                <w:lang w:val="en-US"/>
                              </w:rPr>
                              <w:t>Thermometer</w:t>
                            </w:r>
                          </w:p>
                        </w:txbxContent>
                      </wps:txbx>
                      <wps:bodyPr wrap="square" rtlCol="0">
                        <a:noAutofit/>
                      </wps:bodyPr>
                    </wps:wsp>
                  </a:graphicData>
                </a:graphic>
              </wp:anchor>
            </w:drawing>
          </mc:Choice>
          <mc:Fallback>
            <w:pict>
              <v:shapetype w14:anchorId="39882CE3" id="_x0000_t202" coordsize="21600,21600" o:spt="202" path="m,l,21600r21600,l21600,xe">
                <v:stroke joinstyle="miter"/>
                <v:path gradientshapeok="t" o:connecttype="rect"/>
              </v:shapetype>
              <v:shape id="TextBox 40" o:spid="_x0000_s1026" type="#_x0000_t202" style="position:absolute;left:0;text-align:left;margin-left:-21.35pt;margin-top:37.65pt;width:104.3pt;height:4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" filled="f" stroked="f">
                <v:textbox>
                  <w:txbxContent>
                    <w:p w:rsidR="00557694" w:rsidRPr="00557694" w:rsidRDefault="00557694" w:rsidP="00557694">
                      <w:pPr>
                        <w:pStyle w:val="NormalWeb"/>
                        <w:jc w:val="center"/>
                        <w:rPr>
                          <w:rFonts w:ascii="Times New Roman" w:hAnsi="Times New Roman"/>
                          <w:sz w:val="20"/>
                          <w:szCs w:val="20"/>
                          <w:lang w:val="en-US"/>
                        </w:rPr>
                      </w:pPr>
                      <w:r>
                        <w:rPr>
                          <w:rFonts w:ascii="Times New Roman" w:hAnsi="Times New Roman"/>
                          <w:color w:val="000000" w:themeColor="text1"/>
                          <w:kern w:val="24"/>
                          <w:sz w:val="20"/>
                          <w:szCs w:val="20"/>
                          <w:lang w:val="en-US"/>
                        </w:rPr>
                        <w:t>Thermometer</w:t>
                      </w:r>
                    </w:p>
                  </w:txbxContent>
                </v:textbox>
              </v:shape>
            </w:pict>
          </mc:Fallback>
        </mc:AlternateContent>
      </w:r>
      <w:r w:rsidRPr="00557694">
        <w:rPr>
          <w:rFonts w:ascii="Arial" w:hAnsi="Arial" w:cs="Arial"/>
          <w:noProof/>
          <w:sz w:val="18"/>
          <w:szCs w:val="18"/>
          <w:lang w:bidi="th-TH"/>
        </w:rPr>
        <mc:AlternateContent>
          <mc:Choice Requires="wpg">
            <w:drawing>
              <wp:inline distT="0" distB="0" distL="0" distR="0">
                <wp:extent cx="4572000" cy="2324341"/>
                <wp:effectExtent l="0" t="0" r="0" b="0"/>
                <wp:docPr id="3" name="Group 74"/>
                <wp:cNvGraphicFramePr/>
                <a:graphic xmlns:a="http://schemas.openxmlformats.org/drawingml/2006/main">
                  <a:graphicData uri="http://schemas.microsoft.com/office/word/2010/wordprocessingGroup">
                    <wpg:wgp>
                      <wpg:cNvGrpSpPr/>
                      <wpg:grpSpPr>
                        <a:xfrm>
                          <a:off x="0" y="0"/>
                          <a:ext cx="4572000" cy="2324341"/>
                          <a:chOff x="0" y="205593"/>
                          <a:chExt cx="9363539" cy="3650623"/>
                        </a:xfrm>
                      </wpg:grpSpPr>
                      <wpg:grpSp>
                        <wpg:cNvPr id="4" name="Group 4"/>
                        <wpg:cNvGrpSpPr/>
                        <wpg:grpSpPr>
                          <a:xfrm>
                            <a:off x="0" y="1731657"/>
                            <a:ext cx="1367481" cy="2047103"/>
                            <a:chOff x="0" y="1731657"/>
                            <a:chExt cx="1367481" cy="2047103"/>
                          </a:xfrm>
                        </wpg:grpSpPr>
                        <wps:wsp>
                          <wps:cNvPr id="7" name="Rectangle 7"/>
                          <wps:cNvSpPr/>
                          <wps:spPr>
                            <a:xfrm>
                              <a:off x="0" y="2155906"/>
                              <a:ext cx="1367481" cy="16228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94502" y="1731657"/>
                              <a:ext cx="778475" cy="4242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2938500"/>
                              <a:ext cx="1367481" cy="840259"/>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 name="Rectangle 10"/>
                        <wps:cNvSpPr/>
                        <wps:spPr>
                          <a:xfrm>
                            <a:off x="442783" y="205593"/>
                            <a:ext cx="108120" cy="22159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flipH="1">
                            <a:off x="473983" y="1518499"/>
                            <a:ext cx="45719" cy="86291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2450757" y="1307404"/>
                            <a:ext cx="2277762" cy="2471352"/>
                            <a:chOff x="2450757" y="1307405"/>
                            <a:chExt cx="1367481" cy="1925177"/>
                          </a:xfrm>
                        </wpg:grpSpPr>
                        <wps:wsp>
                          <wps:cNvPr id="16" name="Rectangle 16"/>
                          <wps:cNvSpPr/>
                          <wps:spPr>
                            <a:xfrm>
                              <a:off x="2450757" y="1609728"/>
                              <a:ext cx="1367481" cy="16228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745259" y="1307405"/>
                              <a:ext cx="778475" cy="3023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450757" y="2392322"/>
                              <a:ext cx="1367481" cy="840259"/>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845405" y="730757"/>
                            <a:ext cx="2410595" cy="1690814"/>
                            <a:chOff x="845405" y="730757"/>
                            <a:chExt cx="2410595" cy="2440455"/>
                          </a:xfrm>
                        </wpg:grpSpPr>
                        <wps:wsp>
                          <wps:cNvPr id="20" name="Rectangle 20"/>
                          <wps:cNvSpPr/>
                          <wps:spPr>
                            <a:xfrm>
                              <a:off x="845405" y="955234"/>
                              <a:ext cx="108120" cy="22159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147880" y="955234"/>
                              <a:ext cx="108120" cy="12201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855505" y="955233"/>
                              <a:ext cx="2400495" cy="1441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rot="5400000">
                              <a:off x="1824937" y="818541"/>
                              <a:ext cx="329512" cy="153944"/>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664043" y="915073"/>
                              <a:ext cx="642551" cy="184281"/>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5" name="TextBox 40"/>
                        <wps:cNvSpPr txBox="1"/>
                        <wps:spPr>
                          <a:xfrm>
                            <a:off x="766411" y="332010"/>
                            <a:ext cx="2599132" cy="958849"/>
                          </a:xfrm>
                          <a:prstGeom prst="rect">
                            <a:avLst/>
                          </a:prstGeom>
                          <a:noFill/>
                        </wps:spPr>
                        <wps:txbx>
                          <w:txbxContent>
                            <w:p w:rsidR="00557694" w:rsidRPr="00557694" w:rsidRDefault="00557694" w:rsidP="00557694">
                              <w:pPr>
                                <w:pStyle w:val="NormalWeb"/>
                                <w:jc w:val="center"/>
                                <w:rPr>
                                  <w:rFonts w:ascii="Times New Roman" w:hAnsi="Times New Roman"/>
                                  <w:sz w:val="20"/>
                                  <w:szCs w:val="20"/>
                                </w:rPr>
                              </w:pPr>
                              <w:r>
                                <w:rPr>
                                  <w:rFonts w:ascii="Times New Roman" w:hAnsi="Times New Roman"/>
                                  <w:color w:val="000000" w:themeColor="text1"/>
                                  <w:kern w:val="24"/>
                                  <w:sz w:val="20"/>
                                  <w:szCs w:val="20"/>
                                </w:rPr>
                                <w:t>B</w:t>
                              </w:r>
                              <w:r w:rsidRPr="00557694">
                                <w:rPr>
                                  <w:rFonts w:ascii="Times New Roman" w:hAnsi="Times New Roman"/>
                                  <w:color w:val="000000" w:themeColor="text1"/>
                                  <w:kern w:val="24"/>
                                  <w:sz w:val="20"/>
                                  <w:szCs w:val="20"/>
                                </w:rPr>
                                <w:t>iogas sampling port</w:t>
                              </w:r>
                            </w:p>
                          </w:txbxContent>
                        </wps:txbx>
                        <wps:bodyPr wrap="square" rtlCol="0">
                          <a:noAutofit/>
                        </wps:bodyPr>
                      </wps:wsp>
                      <wpg:grpSp>
                        <wpg:cNvPr id="26" name="Group 26"/>
                        <wpg:cNvGrpSpPr/>
                        <wpg:grpSpPr>
                          <a:xfrm>
                            <a:off x="5219060" y="1307405"/>
                            <a:ext cx="2277762" cy="2428102"/>
                            <a:chOff x="5219060" y="1307405"/>
                            <a:chExt cx="1367481" cy="1891484"/>
                          </a:xfrm>
                        </wpg:grpSpPr>
                        <wps:wsp>
                          <wps:cNvPr id="27" name="Rectangle 27"/>
                          <wps:cNvSpPr/>
                          <wps:spPr>
                            <a:xfrm>
                              <a:off x="5219060" y="1576035"/>
                              <a:ext cx="1367481" cy="16228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5513562" y="1307405"/>
                              <a:ext cx="778475" cy="268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219060" y="2744870"/>
                              <a:ext cx="1367481" cy="45401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0" name="Straight Connector 30"/>
                        <wps:cNvCnPr/>
                        <wps:spPr>
                          <a:xfrm>
                            <a:off x="2450757" y="2233849"/>
                            <a:ext cx="227776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1" name="Rectangle 31"/>
                        <wps:cNvSpPr/>
                        <wps:spPr>
                          <a:xfrm>
                            <a:off x="3855309" y="1063338"/>
                            <a:ext cx="81906" cy="2188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855309" y="1063339"/>
                            <a:ext cx="2215977" cy="99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5960076" y="1063337"/>
                            <a:ext cx="110518" cy="894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6407367" y="1063338"/>
                            <a:ext cx="1492719" cy="880446"/>
                            <a:chOff x="6407367" y="1063337"/>
                            <a:chExt cx="1556951" cy="1752603"/>
                          </a:xfrm>
                        </wpg:grpSpPr>
                        <wps:wsp>
                          <wps:cNvPr id="35" name="Rectangle 35"/>
                          <wps:cNvSpPr/>
                          <wps:spPr>
                            <a:xfrm>
                              <a:off x="6407367" y="1063337"/>
                              <a:ext cx="1556951" cy="197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6407367" y="1063338"/>
                              <a:ext cx="111210" cy="17526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Straight Connector 37"/>
                        <wps:cNvCnPr/>
                        <wps:spPr>
                          <a:xfrm>
                            <a:off x="5219060" y="3420411"/>
                            <a:ext cx="227776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2661337" y="2493654"/>
                            <a:ext cx="0" cy="4448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V="1">
                            <a:off x="5491034" y="2920997"/>
                            <a:ext cx="3603" cy="4633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H="1">
                            <a:off x="2048135" y="1695498"/>
                            <a:ext cx="18531" cy="50022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TextBox 59"/>
                        <wps:cNvSpPr txBox="1"/>
                        <wps:spPr>
                          <a:xfrm>
                            <a:off x="1457796" y="1826049"/>
                            <a:ext cx="774790" cy="484094"/>
                          </a:xfrm>
                          <a:prstGeom prst="rect">
                            <a:avLst/>
                          </a:prstGeom>
                          <a:noFill/>
                        </wps:spPr>
                        <wps:txb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a1</w:t>
                              </w:r>
                            </w:p>
                          </w:txbxContent>
                        </wps:txbx>
                        <wps:bodyPr wrap="square" rtlCol="0">
                          <a:noAutofit/>
                        </wps:bodyPr>
                      </wps:wsp>
                      <wps:wsp>
                        <wps:cNvPr id="42" name="Straight Arrow Connector 42"/>
                        <wps:cNvCnPr/>
                        <wps:spPr>
                          <a:xfrm flipH="1">
                            <a:off x="4534540" y="1733626"/>
                            <a:ext cx="22597" cy="96648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3" name="TextBox 61"/>
                        <wps:cNvSpPr txBox="1"/>
                        <wps:spPr>
                          <a:xfrm>
                            <a:off x="4154346" y="1864264"/>
                            <a:ext cx="644051" cy="432137"/>
                          </a:xfrm>
                          <a:prstGeom prst="rect">
                            <a:avLst/>
                          </a:prstGeom>
                          <a:noFill/>
                        </wps:spPr>
                        <wps:txb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a2</w:t>
                              </w:r>
                            </w:p>
                          </w:txbxContent>
                        </wps:txbx>
                        <wps:bodyPr wrap="square" rtlCol="0">
                          <a:noAutofit/>
                        </wps:bodyPr>
                      </wps:wsp>
                      <wps:wsp>
                        <wps:cNvPr id="44" name="Straight Arrow Connector 44"/>
                        <wps:cNvCnPr/>
                        <wps:spPr>
                          <a:xfrm flipH="1">
                            <a:off x="6010589" y="3420411"/>
                            <a:ext cx="6499" cy="24619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 name="TextBox 64"/>
                        <wps:cNvSpPr txBox="1"/>
                        <wps:spPr>
                          <a:xfrm>
                            <a:off x="5346186" y="3384367"/>
                            <a:ext cx="645537" cy="471849"/>
                          </a:xfrm>
                          <a:prstGeom prst="rect">
                            <a:avLst/>
                          </a:prstGeom>
                          <a:noFill/>
                        </wps:spPr>
                        <wps:txb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b1</w:t>
                              </w:r>
                            </w:p>
                          </w:txbxContent>
                        </wps:txbx>
                        <wps:bodyPr wrap="square" rtlCol="0">
                          <a:noAutofit/>
                        </wps:bodyPr>
                      </wps:wsp>
                      <wps:wsp>
                        <wps:cNvPr id="46" name="Straight Arrow Connector 46"/>
                        <wps:cNvCnPr/>
                        <wps:spPr>
                          <a:xfrm flipH="1">
                            <a:off x="6848205" y="3134484"/>
                            <a:ext cx="1" cy="55365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7" name="TextBox 66"/>
                        <wps:cNvSpPr txBox="1"/>
                        <wps:spPr>
                          <a:xfrm>
                            <a:off x="6197931" y="3087729"/>
                            <a:ext cx="701355" cy="435454"/>
                          </a:xfrm>
                          <a:prstGeom prst="rect">
                            <a:avLst/>
                          </a:prstGeom>
                          <a:noFill/>
                        </wps:spPr>
                        <wps:txb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b2</w:t>
                              </w:r>
                            </w:p>
                          </w:txbxContent>
                        </wps:txbx>
                        <wps:bodyPr wrap="square" rtlCol="0">
                          <a:noAutofit/>
                        </wps:bodyPr>
                      </wps:wsp>
                      <wps:wsp>
                        <wps:cNvPr id="48" name="TextBox 72"/>
                        <wps:cNvSpPr txBox="1"/>
                        <wps:spPr>
                          <a:xfrm>
                            <a:off x="7650309" y="3087729"/>
                            <a:ext cx="1713230" cy="705485"/>
                          </a:xfrm>
                          <a:prstGeom prst="rect">
                            <a:avLst/>
                          </a:prstGeom>
                          <a:noFill/>
                        </wps:spPr>
                        <wps:txbx>
                          <w:txbxContent>
                            <w:p w:rsidR="00557694" w:rsidRPr="00557694" w:rsidRDefault="00557694" w:rsidP="00557694">
                              <w:pPr>
                                <w:pStyle w:val="NormalWeb"/>
                                <w:rPr>
                                  <w:rFonts w:ascii="Times New Roman" w:hAnsi="Times New Roman"/>
                                  <w:sz w:val="20"/>
                                  <w:szCs w:val="20"/>
                                </w:rPr>
                              </w:pPr>
                              <w:r>
                                <w:rPr>
                                  <w:rFonts w:ascii="Times New Roman" w:hAnsi="Times New Roman"/>
                                  <w:color w:val="000000" w:themeColor="text1"/>
                                  <w:kern w:val="24"/>
                                  <w:sz w:val="20"/>
                                  <w:szCs w:val="20"/>
                                </w:rPr>
                                <w:t>M</w:t>
                              </w:r>
                              <w:r w:rsidRPr="00557694">
                                <w:rPr>
                                  <w:rFonts w:ascii="Times New Roman" w:hAnsi="Times New Roman"/>
                                  <w:color w:val="000000" w:themeColor="text1"/>
                                  <w:kern w:val="24"/>
                                  <w:sz w:val="20"/>
                                  <w:szCs w:val="20"/>
                                </w:rPr>
                                <w:t>easured biogas level</w:t>
                              </w:r>
                            </w:p>
                          </w:txbxContent>
                        </wps:txbx>
                        <wps:bodyPr wrap="square" rtlCol="0">
                          <a:noAutofit/>
                        </wps:bodyPr>
                      </wps:wsp>
                    </wpg:wgp>
                  </a:graphicData>
                </a:graphic>
              </wp:inline>
            </w:drawing>
          </mc:Choice>
          <mc:Fallback>
            <w:pict>
              <v:group id="Group 74" o:spid="_x0000_s1027" style="width:5in;height:183pt;mso-position-horizontal-relative:char;mso-position-vertical-relative:line" coordorigin=",2055" coordsize="93635,36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">
                <v:group id="Group 4" o:spid="_x0000_s1028" style="position:absolute;top:17316;width:13674;height:20471" coordorigin=",17316" coordsize="13674,20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7" o:spid="_x0000_s1029" style="position:absolute;top:21559;width:13674;height:16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rect id="Rectangle 8" o:spid="_x0000_s1030" style="position:absolute;left:2945;top:17316;width:7784;height:4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KcAA&#10;AADaAAAADwAAAGRycy9kb3ducmV2LnhtbERPy4rCMBTdD/gP4Q64kTEdFzJ0jCIDahEUfC3cXZpr&#10;U2xuQpPR+vdmIbg8nPdk1tlG3KgNtWMF38MMBHHpdM2VguNh8fUDIkRkjY1jUvCgALNp72OCuXZ3&#10;3tFtHyuRQjjkqMDE6HMpQ2nIYhg6T5y4i2stxgTbSuoW7yncNnKUZWNpsebUYNDTn6Hyuv+3ChYr&#10;M5jL9ebki7C92FHhl6vBWan+Zzf/BRGpi2/xy11oBWlrupJu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lKcAAAADaAAAADwAAAAAAAAAAAAAAAACYAgAAZHJzL2Rvd25y&#10;ZXYueG1sUEsFBgAAAAAEAAQA9QAAAIUDAAAAAA==&#10;" filled="f" strokecolor="black [3213]" strokeweight="2pt"/>
                  <v:rect id="Rectangle 9" o:spid="_x0000_s1031" style="position:absolute;top:29385;width:13674;height:8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sQA&#10;AADaAAAADwAAAGRycy9kb3ducmV2LnhtbESPT2vCQBTE74LfYXmF3nRTA1ajqxTbgB6Kf8Hra/Y1&#10;ic2+DdltjN/eLRQ8DjPzG2a+7EwlWmpcaVnByzACQZxZXXKu4HRMBxMQziNrrCyTghs5WC76vTkm&#10;2l55T+3B5yJA2CWooPC+TqR0WUEG3dDWxMH7to1BH2STS93gNcBNJUdRNJYGSw4LBda0Kij7Ofwa&#10;BdzF7/H29PUx3e/ac7X5tOnlda3U81P3NgPhqfOP8H97rRVM4e9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AprEAAAA2gAAAA8AAAAAAAAAAAAAAAAAmAIAAGRycy9k&#10;b3ducmV2LnhtbFBLBQYAAAAABAAEAPUAAACJAwAAAAA=&#10;" fillcolor="#d8d8d8 [2732]" strokecolor="black [3213]" strokeweight="2pt"/>
                </v:group>
                <v:rect id="Rectangle 10" o:spid="_x0000_s1032" style="position:absolute;left:4427;top:2055;width:1082;height:2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Y28UA&#10;AADbAAAADwAAAGRycy9kb3ducmV2LnhtbESPQWvCQBCF74X+h2UKvdVNKxaJrqG0FIsHwVioxyE7&#10;JjHZ2ZDdaPz3zkHobYb35r1vltnoWnWmPtSeDbxOElDEhbc1lwZ+998vc1AhIltsPZOBKwXIVo8P&#10;S0ytv/COznkslYRwSNFAFWOXah2KihyGie+IRTv63mGUtS+17fEi4a7Vb0nyrh3WLA0VdvRZUdHk&#10;gzMw3TaHndZdvh7c7K/5Om3KfY7GPD+NHwtQkcb4b75f/1jBF3r5RQ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RjbxQAAANsAAAAPAAAAAAAAAAAAAAAAAJgCAABkcnMv&#10;ZG93bnJldi54bWxQSwUGAAAAAAQABAD1AAAAigMAAAAA&#10;" fillcolor="white [3212]" strokecolor="black [3213]" strokeweight="2pt"/>
                <v:rect id="Rectangle 12" o:spid="_x0000_s1033" style="position:absolute;left:4739;top:15184;width:458;height:863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Zx8MA&#10;AADbAAAADwAAAGRycy9kb3ducmV2LnhtbERPTWvCQBC9C/6HZYReRDcVlDa6CbWt6E0bFTxOs9Mk&#10;NTsbsltN/71bKHibx/ucRdqZWlyodZVlBY/jCARxbnXFhYLDfjV6AuE8ssbaMin4JQdp0u8tMNb2&#10;yh90yXwhQgi7GBWU3jexlC4vyaAb24Y4cF+2NegDbAupW7yGcFPLSRTNpMGKQ0OJDb2WlJ+zH6Pg&#10;9M27zXp63GVL+S4/p8/bYvi2Veph0L3MQXjq/F38797oMH8Cf7+EA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JZx8MAAADbAAAADwAAAAAAAAAAAAAAAACYAgAAZHJzL2Rv&#10;d25yZXYueG1sUEsFBgAAAAAEAAQA9QAAAIgDAAAAAA==&#10;" fillcolor="#bfbfbf [2412]" stroked="f" strokeweight="2pt"/>
                <v:group id="Group 15" o:spid="_x0000_s1034" style="position:absolute;left:24507;top:13074;width:22778;height:24713" coordorigin="24507,13074" coordsize="13674,19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35" style="position:absolute;left:24507;top:16097;width:13675;height:16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sIA&#10;AADbAAAADwAAAGRycy9kb3ducmV2LnhtbERPS2sCMRC+F/wPYQQvotl6kLIaRQR1EVqoj4O3YTNu&#10;FjeTsEl1/femUOhtPr7nzJedbcSd2lA7VvA+zkAQl07XXCk4HTejDxAhImtsHJOCJwVYLnpvc8y1&#10;e/A33Q+xEimEQ44KTIw+lzKUhiyGsfPEibu61mJMsK2kbvGRwm0jJ1k2lRZrTg0GPa0NlbfDj1Ww&#10;2ZnhSu4/z74IX1c7Kfx2N7woNeh3qxmISF38F/+5C53mT+H3l3S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76uwgAAANsAAAAPAAAAAAAAAAAAAAAAAJgCAABkcnMvZG93&#10;bnJldi54bWxQSwUGAAAAAAQABAD1AAAAhwMAAAAA&#10;" filled="f" strokecolor="black [3213]" strokeweight="2pt"/>
                  <v:rect id="Rectangle 17" o:spid="_x0000_s1036" style="position:absolute;left:27452;top:13074;width:7785;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bNcIA&#10;AADbAAAADwAAAGRycy9kb3ducmV2LnhtbERPTWsCMRC9F/ofwhS8SM3Wg5WtUaSgLoIFtR68DZtx&#10;s3QzCZuo6783gtDbPN7nTGadbcSF2lA7VvAxyEAQl07XXCn43S/exyBCRNbYOCYFNwowm76+TDDX&#10;7spbuuxiJVIIhxwVmBh9LmUoDVkMA+eJE3dyrcWYYFtJ3eI1hdtGDrNsJC3WnBoMevo2VP7tzlbB&#10;YmX6c7neHHwRfk52WPjlqn9UqvfWzb9AROriv/jpLnSa/wmPX9I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xs1wgAAANsAAAAPAAAAAAAAAAAAAAAAAJgCAABkcnMvZG93&#10;bnJldi54bWxQSwUGAAAAAAQABAD1AAAAhwMAAAAA&#10;" filled="f" strokecolor="black [3213]" strokeweight="2pt"/>
                  <v:rect id="Rectangle 18" o:spid="_x0000_s1037" style="position:absolute;left:24507;top:23923;width:13675;height:8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itMYA&#10;AADbAAAADwAAAGRycy9kb3ducmV2LnhtbESPQWvCQBCF74X+h2UK3uqmPdgaXUUKFakIVQvV25gd&#10;k2B2NmbXGP9951DwNsN7894342nnKtVSE0rPBl76CSjizNuScwM/28/nd1AhIlusPJOBGwWYTh4f&#10;xphaf+U1tZuYKwnhkKKBIsY61TpkBTkMfV8Ti3b0jcMoa5Nr2+BVwl2lX5NkoB2WLA0F1vRRUHba&#10;XJyB+dvuq63Pp9/DJV/MvpfH1XJfDY3pPXWzEahIXbyb/68XVvAFVn6RAf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NitMYAAADbAAAADwAAAAAAAAAAAAAAAACYAgAAZHJz&#10;L2Rvd25yZXYueG1sUEsFBgAAAAAEAAQA9QAAAIsDAAAAAA==&#10;" fillcolor="#f2f2f2 [3052]" strokecolor="black [3213]" strokeweight="2pt"/>
                </v:group>
                <v:group id="Group 19" o:spid="_x0000_s1038" style="position:absolute;left:8454;top:7307;width:24106;height:16908" coordorigin="8454,7307" coordsize="24105,24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39" style="position:absolute;left:8454;top:9552;width:1081;height:2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SZsAA&#10;AADbAAAADwAAAGRycy9kb3ducmV2LnhtbERPTYvCMBC9C/6HMAt703S7KFKNRRTZxYNgFXaPQzO2&#10;tc2kNFHrvzcHwePjfS/S3jTiRp2rLCv4GkcgiHOrKy4UnI7b0QyE88gaG8uk4EEO0uVwsMBE2zsf&#10;6Jb5QoQQdgkqKL1vEyldXpJBN7YtceDOtjPoA+wKqTu8h3DTyDiKptJgxaGhxJbWJeV1djUKvvf1&#10;/0HKNvu5mslfvbnsimOGSn1+9Ks5CE+9f4tf7l+tIA7rw5fw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nSZsAAAADbAAAADwAAAAAAAAAAAAAAAACYAgAAZHJzL2Rvd25y&#10;ZXYueG1sUEsFBgAAAAAEAAQA9QAAAIUDAAAAAA==&#10;" fillcolor="white [3212]" strokecolor="black [3213]" strokeweight="2pt"/>
                  <v:rect id="Rectangle 21" o:spid="_x0000_s1040" style="position:absolute;left:31478;top:9552;width:1082;height:12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3/cQA&#10;AADbAAAADwAAAGRycy9kb3ducmV2LnhtbESPQWvCQBSE74X+h+UJ3upGi6VEV5GKVDwIxkI9PrKv&#10;SZrs2yW7ifHfu0Khx2FmvmGW68E0oqfWV5YVTCcJCOLc6ooLBV/n3cs7CB+QNTaWScGNPKxXz09L&#10;TLW98on6LBQiQtinqKAMwaVS+rwkg35iHXH0fmxrMETZFlK3eI1w08hZkrxJgxXHhRIdfZSU11ln&#10;FLwe68tJSpd9dmb+XW9/D8U5Q6XGo2GzABFoCP/hv/ZeK5hN4f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d/3EAAAA2wAAAA8AAAAAAAAAAAAAAAAAmAIAAGRycy9k&#10;b3ducmV2LnhtbFBLBQYAAAAABAAEAPUAAACJAwAAAAA=&#10;" fillcolor="white [3212]" strokecolor="black [3213]" strokeweight="2pt"/>
                  <v:rect id="Rectangle 22" o:spid="_x0000_s1041" style="position:absolute;left:8555;top:9552;width:2400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pisMA&#10;AADbAAAADwAAAGRycy9kb3ducmV2LnhtbESPQYvCMBSE74L/ITzBm6ZWFOkaRVwWxcOCVdg9Ppq3&#10;bW3zUpqo9d+bBcHjMDPfMMt1Z2pxo9aVlhVMxhEI4szqknMF59PXaAHCeWSNtWVS8CAH61W/t8RE&#10;2zsf6Zb6XAQIuwQVFN43iZQuK8igG9uGOHh/tjXog2xzqVu8B7ipZRxFc2mw5LBQYEPbgrIqvRoF&#10;0+/q9yhlk+6uZvZTfV4O+SlFpYaDbvMBwlPn3+FXe68VxDH8fw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fpisMAAADbAAAADwAAAAAAAAAAAAAAAACYAgAAZHJzL2Rv&#10;d25yZXYueG1sUEsFBgAAAAAEAAQA9QAAAIgDAAAAAA==&#10;" fillcolor="white [3212]" strokecolor="black [3213]" strokeweight="2pt"/>
                  <v:rect id="Rectangle 23" o:spid="_x0000_s1042" style="position:absolute;left:18249;top:8185;width:3295;height:153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EKMQA&#10;AADbAAAADwAAAGRycy9kb3ducmV2LnhtbESPT2sCMRTE7wW/Q3hCbzWr0iKrUcQ/peDJrSDeHpvn&#10;bjB5WTeprt++EQo9DjPzG2a26JwVN2qD8axgOMhAEJdeG64UHL63bxMQISJrtJ5JwYMCLOa9lxnm&#10;2t95T7ciViJBOOSooI6xyaUMZU0Ow8A3xMk7+9ZhTLKtpG7xnuDOylGWfUiHhtNCjQ2taiovxY9T&#10;cBpvju/r8+d6ezXH3cPKzhZmr9Rrv1tOQUTq4n/4r/2lFYzG8Py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oxCjEAAAA2wAAAA8AAAAAAAAAAAAAAAAAmAIAAGRycy9k&#10;b3ducmV2LnhtbFBLBQYAAAAABAAEAPUAAACJAwAAAAA=&#10;" fillcolor="#bfbfbf [2412]" strokecolor="black [3213]" strokeweight="2pt"/>
                  <v:rect id="Rectangle 24" o:spid="_x0000_s1043" style="position:absolute;left:16640;top:9150;width:6425;height:1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gqcIA&#10;AADbAAAADwAAAGRycy9kb3ducmV2LnhtbESP3YrCMBSE74V9h3AE7zRVVJZqFH8QZa+s6wMcmtMf&#10;bE5KkrX17c3Cwl4OM/MNs972phFPcr62rGA6SUAQ51bXXCq4f5/GnyB8QNbYWCYFL/Kw3XwM1phq&#10;23FGz1soRYSwT1FBFUKbSunzigz6iW2Jo1dYZzBE6UqpHXYRbho5S5KlNFhzXKiwpUNF+eP2YxQc&#10;itd1ej5muy/ngtsviqxri71So2G/W4EI1If/8F/7ohXM5vD7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GCpwgAAANsAAAAPAAAAAAAAAAAAAAAAAJgCAABkcnMvZG93&#10;bnJldi54bWxQSwUGAAAAAAQABAD1AAAAhwMAAAAA&#10;" fillcolor="#bfbfbf [2412]" strokecolor="black [3213]" strokeweight="2pt"/>
                </v:group>
                <v:shapetype id="_x0000_t202" coordsize="21600,21600" o:spt="202" path="m,l,21600r21600,l21600,xe">
                  <v:stroke joinstyle="miter"/>
                  <v:path gradientshapeok="t" o:connecttype="rect"/>
                </v:shapetype>
                <v:shape id="_x0000_s1044" type="#_x0000_t202" style="position:absolute;left:7664;top:3320;width:25991;height:9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57694" w:rsidRPr="00557694" w:rsidRDefault="00557694" w:rsidP="00557694">
                        <w:pPr>
                          <w:pStyle w:val="NormalWeb"/>
                          <w:jc w:val="center"/>
                          <w:rPr>
                            <w:rFonts w:ascii="Times New Roman" w:hAnsi="Times New Roman"/>
                            <w:sz w:val="20"/>
                            <w:szCs w:val="20"/>
                          </w:rPr>
                        </w:pPr>
                        <w:r>
                          <w:rPr>
                            <w:rFonts w:ascii="Times New Roman" w:hAnsi="Times New Roman"/>
                            <w:color w:val="000000" w:themeColor="text1"/>
                            <w:kern w:val="24"/>
                            <w:sz w:val="20"/>
                            <w:szCs w:val="20"/>
                          </w:rPr>
                          <w:t>B</w:t>
                        </w:r>
                        <w:r w:rsidRPr="00557694">
                          <w:rPr>
                            <w:rFonts w:ascii="Times New Roman" w:hAnsi="Times New Roman"/>
                            <w:color w:val="000000" w:themeColor="text1"/>
                            <w:kern w:val="24"/>
                            <w:sz w:val="20"/>
                            <w:szCs w:val="20"/>
                          </w:rPr>
                          <w:t>iogas sampling port</w:t>
                        </w:r>
                      </w:p>
                    </w:txbxContent>
                  </v:textbox>
                </v:shape>
                <v:group id="Group 26" o:spid="_x0000_s1045" style="position:absolute;left:52190;top:13074;width:22778;height:24281" coordorigin="52190,13074" coordsize="13674,18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7" o:spid="_x0000_s1046" style="position:absolute;left:52190;top:15760;width:13675;height:16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iMUA&#10;AADbAAAADwAAAGRycy9kb3ducmV2LnhtbESPT2sCMRTE74V+h/AKvYhm3UMrW6OIoC4FC/47eHts&#10;npulm5ewibr99qZQ6HGYmd8w03lvW3GjLjSOFYxHGQjiyumGawXHw2o4AREissbWMSn4oQDz2fPT&#10;FAvt7ryj2z7WIkE4FKjAxOgLKUNlyGIYOU+cvIvrLMYku1rqDu8JbluZZ9mbtNhwWjDoaWmo+t5f&#10;rYLVxgwW8nN78mX4uti89OvN4KzU60u/+AARqY//4b92qRXk7/D7Jf0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9GIxQAAANsAAAAPAAAAAAAAAAAAAAAAAJgCAABkcnMv&#10;ZG93bnJldi54bWxQSwUGAAAAAAQABAD1AAAAigMAAAAA&#10;" filled="f" strokecolor="black [3213]" strokeweight="2pt"/>
                  <v:rect id="Rectangle 28" o:spid="_x0000_s1047" style="position:absolute;left:55135;top:13074;width:7785;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F+sEA&#10;AADbAAAADwAAAGRycy9kb3ducmV2LnhtbERPy4rCMBTdD/gP4QpuRNPpYhiqUURQizADvhbuLs21&#10;KTY3oclo5+8niwGXh/OeL3vbigd1oXGs4H2agSCunG64VnA+bSafIEJE1tg6JgW/FGC5GLzNsdDu&#10;yQd6HGMtUgiHAhWYGH0hZagMWQxT54kTd3OdxZhgV0vd4TOF21bmWfYhLTacGgx6Whuq7scfq2Cz&#10;M+OV3H9dfBm+bzYv/XY3vio1GvarGYhIfXyJ/92lVpCn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ARfrBAAAA2wAAAA8AAAAAAAAAAAAAAAAAmAIAAGRycy9kb3du&#10;cmV2LnhtbFBLBQYAAAAABAAEAPUAAACGAwAAAAA=&#10;" filled="f" strokecolor="black [3213]" strokeweight="2pt"/>
                  <v:rect id="Rectangle 29" o:spid="_x0000_s1048" style="position:absolute;left:52190;top:27448;width:13675;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NksYA&#10;AADbAAAADwAAAGRycy9kb3ducmV2LnhtbESPT2vCQBTE70K/w/IK3nRTD1qjq0ihIopQ/4B6e80+&#10;k2D2bcyuMX57Vyj0OMzMb5jxtDGFqKlyuWUFH90IBHFidc6pgv3uu/MJwnlkjYVlUvAgB9PJW2uM&#10;sbZ33lC99akIEHYxKsi8L2MpXZKRQde1JXHwzrYy6IOsUqkrvAe4KWQvivrSYM5hIcOSvjJKLtub&#10;UTAfHJd1eb0cfm/pYvazOq9Xp2KoVPu9mY1AeGr8f/ivvdAKekN4fQk/QE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MNksYAAADbAAAADwAAAAAAAAAAAAAAAACYAgAAZHJz&#10;L2Rvd25yZXYueG1sUEsFBgAAAAAEAAQA9QAAAIsDAAAAAA==&#10;" fillcolor="#f2f2f2 [3052]" strokecolor="black [3213]" strokeweight="2pt"/>
                </v:group>
                <v:line id="Straight Connector 30" o:spid="_x0000_s1049" style="position:absolute;visibility:visible;mso-wrap-style:square" from="24507,22338" to="47285,2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fMAAAADbAAAADwAAAGRycy9kb3ducmV2LnhtbERPPWvDMBDdC/0P4grdarmJCcW1Ekqg&#10;JIuHxMl+tc6WqXUykuq4/74aChkf77vaLXYUM/kwOFbwmuUgiFunB+4VXJrPlzcQISJrHB2Tgl8K&#10;sNs+PlRYanfjE83n2IsUwqFEBSbGqZQytIYshsxNxInrnLcYE/S91B5vKdyOcpXnG2lx4NRgcKK9&#10;ofb7/GMVtMt89c3+q/P1pjCr5uDrYu2Ven5aPt5BRFriXfzvPmoF67Q+fUk/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5XzAAAAA2wAAAA8AAAAAAAAAAAAAAAAA&#10;oQIAAGRycy9kb3ducmV2LnhtbFBLBQYAAAAABAAEAPkAAACOAwAAAAA=&#10;" strokecolor="black [3213]">
                  <v:stroke dashstyle="longDash"/>
                </v:line>
                <v:rect id="Rectangle 31" o:spid="_x0000_s1050" style="position:absolute;left:38553;top:10633;width:819;height:21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hIMQA&#10;AADbAAAADwAAAGRycy9kb3ducmV2LnhtbESPQWvCQBSE74L/YXlCb2ZjS6XErFKU0tKDYFJoj4/s&#10;M0mTfRuya5L++64geBxmvhkm3U2mFQP1rrasYBXFIIgLq2suFXzlb8sXEM4ja2wtk4I/crDbzmcp&#10;JtqOfKIh86UIJewSVFB53yVSuqIigy6yHXHwzrY36IPsS6l7HEO5aeVjHK+lwZrDQoUd7Ssqmuxi&#10;FDwdm5+TlF32fjHP383h97PMM1TqYTG9bkB4mvw9fKM/dOBWcP0Sf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c4SDEAAAA2wAAAA8AAAAAAAAAAAAAAAAAmAIAAGRycy9k&#10;b3ducmV2LnhtbFBLBQYAAAAABAAEAPUAAACJAwAAAAA=&#10;" fillcolor="white [3212]" strokecolor="black [3213]" strokeweight="2pt"/>
                <v:rect id="Rectangle 32" o:spid="_x0000_s1051" style="position:absolute;left:38553;top:10633;width:22159;height: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V8QA&#10;AADbAAAADwAAAGRycy9kb3ducmV2LnhtbESPT2vCQBTE70K/w/KE3nRjSkWiq5SW0tKDYCK0x0f2&#10;maTJvg3ZzZ9++64geBxmfjPM7jCZRgzUucqygtUyAkGcW11xoeCcvS82IJxH1thYJgV/5OCwf5jt&#10;MNF25BMNqS9EKGGXoILS+zaR0uUlGXRL2xIH72I7gz7IrpC6wzGUm0bGUbSWBisOCyW29FpSXqe9&#10;UfB0rH9OUrbpR2+ev+u3368iS1Gpx/n0sgXhafL38I3+1IGL4fol/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f1fEAAAA2wAAAA8AAAAAAAAAAAAAAAAAmAIAAGRycy9k&#10;b3ducmV2LnhtbFBLBQYAAAAABAAEAPUAAACJAwAAAAA=&#10;" fillcolor="white [3212]" strokecolor="black [3213]" strokeweight="2pt"/>
                <v:rect id="Rectangle 33" o:spid="_x0000_s1052" style="position:absolute;left:59600;top:10633;width:1105;height:8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group id="Group 34" o:spid="_x0000_s1053" style="position:absolute;left:64073;top:10633;width:14927;height:8804" coordorigin="64073,10633" coordsize="15569,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5" o:spid="_x0000_s1054" style="position:absolute;left:64073;top:10633;width:15570;height: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nI8IA&#10;AADbAAAADwAAAGRycy9kb3ducmV2LnhtbESPQYvCMBSE7wv+h/AEb2uq4iLVKIsiigfBVtg9Pppn&#10;223zUpqo9d8bYcHjMPPNMItVZ2pxo9aVlhWMhhEI4szqknMF53T7OQPhPLLG2jIpeJCD1bL3scBY&#10;2zuf6Jb4XIQSdjEqKLxvYildVpBBN7QNcfAutjXog2xzqVu8h3JTy3EUfUmDJYeFAhtaF5RVydUo&#10;mByr35OUTbK7mulPtfk75GmCSg363fcchKfOv8P/9F4Hbgq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wgAAANsAAAAPAAAAAAAAAAAAAAAAAJgCAABkcnMvZG93&#10;bnJldi54bWxQSwUGAAAAAAQABAD1AAAAhwMAAAAA&#10;" fillcolor="white [3212]" strokecolor="black [3213]" strokeweight="2pt"/>
                  <v:rect id="Rectangle 36" o:spid="_x0000_s1055" style="position:absolute;left:64073;top:10633;width:1112;height:1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5VMQA&#10;AADbAAAADwAAAGRycy9kb3ducmV2LnhtbESPQWvCQBSE70L/w/IKvZlNLYYSs4pUSouHgklBj4/s&#10;M4nJvg3Z1aT/vlsoeBxmvhkm20ymEzcaXGNZwXMUgyAurW64UvBdvM9fQTiPrLGzTAp+yMFm/TDL&#10;MNV25APdcl+JUMIuRQW1930qpStrMugi2xMH72wHgz7IoZJ6wDGUm04u4jiRBhsOCzX29FZT2eZX&#10;o+Dlqz0dpOzzj6tZHtvdZV8VOSr19DhtVyA8Tf4e/qc/deAS+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1eVTEAAAA2wAAAA8AAAAAAAAAAAAAAAAAmAIAAGRycy9k&#10;b3ducmV2LnhtbFBLBQYAAAAABAAEAPUAAACJAwAAAAA=&#10;" fillcolor="white [3212]" strokecolor="black [3213]" strokeweight="2pt"/>
                </v:group>
                <v:line id="Straight Connector 37" o:spid="_x0000_s1056" style="position:absolute;visibility:visible;mso-wrap-style:square" from="52190,34204" to="74968,34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9CMIAAADbAAAADwAAAGRycy9kb3ducmV2LnhtbESPQWsCMRSE74L/ITzBm2arYsvWKEUQ&#10;vXjQbe+vm+dm6eZlSdJ1/fdGEDwOM/MNs9r0thEd+VA7VvA2zUAQl07XXCn4LnaTDxAhImtsHJOC&#10;GwXYrIeDFebaXflE3TlWIkE45KjAxNjmUobSkMUwdS1x8i7OW4xJ+kpqj9cEt42cZdlSWqw5LRhs&#10;aWuo/Dv/WwVl3/34Yvt78cflwsyKvT8u5l6p8aj/+gQRqY+v8LN90Arm7/D4kn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p9CMIAAADbAAAADwAAAAAAAAAAAAAA&#10;AAChAgAAZHJzL2Rvd25yZXYueG1sUEsFBgAAAAAEAAQA+QAAAJADAAAAAA==&#10;" strokecolor="black [3213]">
                  <v:stroke dashstyle="longDash"/>
                </v:line>
                <v:shapetype id="_x0000_t32" coordsize="21600,21600" o:spt="32" o:oned="t" path="m,l21600,21600e" filled="f">
                  <v:path arrowok="t" fillok="f" o:connecttype="none"/>
                  <o:lock v:ext="edit" shapetype="t"/>
                </v:shapetype>
                <v:shape id="Straight Arrow Connector 38" o:spid="_x0000_s1057" type="#_x0000_t32" style="position:absolute;left:26613;top:24936;width:0;height:4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I8cIAAADbAAAADwAAAGRycy9kb3ducmV2LnhtbERPz2vCMBS+D/wfwhO8zXQTxq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vI8cIAAADbAAAADwAAAAAAAAAAAAAA&#10;AAChAgAAZHJzL2Rvd25yZXYueG1sUEsFBgAAAAAEAAQA+QAAAJADAAAAAA==&#10;" strokecolor="black [3213]">
                  <v:stroke endarrow="block"/>
                </v:shape>
                <v:shape id="Straight Arrow Connector 39" o:spid="_x0000_s1058" type="#_x0000_t32" style="position:absolute;left:54910;top:29209;width:36;height:46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0jMQAAADbAAAADwAAAGRycy9kb3ducmV2LnhtbESPQWvCQBSE7wX/w/KE3pqNBqqmriKC&#10;rfZmDLS9PbLPJJh9G7LbmP57tyB4HGbmG2a5HkwjeupcbVnBJIpBEBdW11wqyE+7lzkI55E1NpZJ&#10;wR85WK9GT0tMtb3ykfrMlyJA2KWooPK+TaV0RUUGXWRb4uCdbWfQB9mVUnd4DXDTyGkcv0qDNYeF&#10;ClvaVlRcsl+jYCa/PuJ5sZ9OFkn+/bPN7OHz3Sr1PB42byA8Df4Rvrf3WkGygP8v4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bSMxAAAANsAAAAPAAAAAAAAAAAA&#10;AAAAAKECAABkcnMvZG93bnJldi54bWxQSwUGAAAAAAQABAD5AAAAkgMAAAAA&#10;" strokecolor="black [3213]">
                  <v:stroke endarrow="block"/>
                </v:shape>
                <v:shape id="Straight Arrow Connector 40" o:spid="_x0000_s1059" type="#_x0000_t32" style="position:absolute;left:20481;top:16954;width:185;height:50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abMIAAADbAAAADwAAAGRycy9kb3ducmV2LnhtbERPz2vCMBS+C/4P4Qm72VSZw1WjaGEo&#10;jAl2Hjw+mremrHkpTard/vrlMPD48f1ebwfbiBt1vnasYJakIIhLp2uuFFw+36ZLED4ga2wck4If&#10;8rDdjEdrzLS785luRahEDGGfoQITQptJ6UtDFn3iWuLIfbnOYoiwq6Tu8B7DbSPnafoiLdYcGwy2&#10;lBsqv4veKvh4T8PpsL82+aI9m1+8+tf+sFTqaTLsViACDeEh/ncftYLnuD5+iT9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rabMIAAADbAAAADwAAAAAAAAAAAAAA&#10;AAChAgAAZHJzL2Rvd25yZXYueG1sUEsFBgAAAAAEAAQA+QAAAJADAAAAAA==&#10;" strokecolor="black [3213]">
                  <v:stroke startarrow="block" endarrow="block"/>
                </v:shape>
                <v:shape id="TextBox 59" o:spid="_x0000_s1060" type="#_x0000_t202" style="position:absolute;left:14577;top:18260;width:7748;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a1</w:t>
                        </w:r>
                      </w:p>
                    </w:txbxContent>
                  </v:textbox>
                </v:shape>
                <v:shape id="Straight Arrow Connector 42" o:spid="_x0000_s1061" type="#_x0000_t32" style="position:absolute;left:45345;top:17336;width:226;height:96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gMUAAADbAAAADwAAAGRycy9kb3ducmV2LnhtbESPQWvCQBSE7wX/w/IEb3VjsKKpa1BB&#10;LJQW1B48PrKv2dDs25Bdk7S/vlsQehxm5htmnQ+2Fh21vnKsYDZNQBAXTldcKvi4HB6XIHxA1lg7&#10;JgXf5CHfjB7WmGnX84m6cyhFhLDPUIEJocmk9IUhi37qGuLofbrWYoiyLaVusY9wW8s0SRbSYsVx&#10;wWBDe0PF1/lmFby9JuH9uLvW+6fmZH7w6le341KpyXjYPoMINIT/8L39ohXMU/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hgMUAAADbAAAADwAAAAAAAAAA&#10;AAAAAAChAgAAZHJzL2Rvd25yZXYueG1sUEsFBgAAAAAEAAQA+QAAAJMDAAAAAA==&#10;" strokecolor="black [3213]">
                  <v:stroke startarrow="block" endarrow="block"/>
                </v:shape>
                <v:shape id="TextBox 61" o:spid="_x0000_s1062" type="#_x0000_t202" style="position:absolute;left:41543;top:18642;width:6440;height:4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a2</w:t>
                        </w:r>
                      </w:p>
                    </w:txbxContent>
                  </v:textbox>
                </v:shape>
                <v:shape id="Straight Arrow Connector 44" o:spid="_x0000_s1063" type="#_x0000_t32" style="position:absolute;left:60105;top:34204;width:65;height:24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Hcb8QAAADbAAAADwAAAGRycy9kb3ducmV2LnhtbESPT4vCMBTE74LfITzBm6aKu2g1igqi&#10;ILvgn4PHR/Nsis1LaaLW/fRmYWGPw8z8hpktGluKB9W+cKxg0E9AEGdOF5wrOJ82vTEIH5A1lo5J&#10;wYs8LObt1gxT7Z58oMcx5CJC2KeowIRQpVL6zJBF33cVcfSurrYYoqxzqWt8Rrgt5TBJPqXFguOC&#10;wYrWhrLb8W4VfO2T8L1dXcr1R3UwP3jxk/t2rFS30yynIAI14T/8195pBaMR/H6JP0DO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dxvxAAAANsAAAAPAAAAAAAAAAAA&#10;AAAAAKECAABkcnMvZG93bnJldi54bWxQSwUGAAAAAAQABAD5AAAAkgMAAAAA&#10;" strokecolor="black [3213]">
                  <v:stroke startarrow="block" endarrow="block"/>
                </v:shape>
                <v:shape id="TextBox 64" o:spid="_x0000_s1064" type="#_x0000_t202" style="position:absolute;left:53461;top:33843;width:6456;height:4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b1</w:t>
                        </w:r>
                      </w:p>
                    </w:txbxContent>
                  </v:textbox>
                </v:shape>
                <v:shape id="Straight Arrow Connector 46" o:spid="_x0000_s1065" type="#_x0000_t32" style="position:absolute;left:68482;top:31344;width:0;height:55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ng8QAAADbAAAADwAAAGRycy9kb3ducmV2LnhtbESPT4vCMBTE7wt+h/AEb2vqsopWo7jC&#10;oiAr+Ofg8dE8m2LzUpqo1U9vhAWPw8z8hpnMGluKK9W+cKyg101AEGdOF5wrOOx/P4cgfEDWWDom&#10;BXfyMJu2PiaYanfjLV13IRcRwj5FBSaEKpXSZ4Ys+q6riKN3crXFEGWdS13jLcJtKb+SZCAtFhwX&#10;DFa0MJSddxer4G+dhM3y51gu+tXWPPDoR5flUKlOu5mPQQRqwjv8315pBd8DeH2JP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eDxAAAANsAAAAPAAAAAAAAAAAA&#10;AAAAAKECAABkcnMvZG93bnJldi54bWxQSwUGAAAAAAQABAD5AAAAkgMAAAAA&#10;" strokecolor="black [3213]">
                  <v:stroke startarrow="block" endarrow="block"/>
                </v:shape>
                <v:shape id="TextBox 66" o:spid="_x0000_s1066" type="#_x0000_t202" style="position:absolute;left:61979;top:30877;width:7013;height:4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557694" w:rsidRPr="00557694" w:rsidRDefault="00557694" w:rsidP="00557694">
                        <w:pPr>
                          <w:pStyle w:val="NormalWeb"/>
                          <w:rPr>
                            <w:rFonts w:ascii="Times New Roman" w:hAnsi="Times New Roman"/>
                            <w:sz w:val="20"/>
                            <w:szCs w:val="20"/>
                          </w:rPr>
                        </w:pPr>
                        <w:r w:rsidRPr="00557694">
                          <w:rPr>
                            <w:rFonts w:ascii="Times New Roman" w:hAnsi="Times New Roman"/>
                            <w:color w:val="000000" w:themeColor="text1"/>
                            <w:kern w:val="24"/>
                            <w:sz w:val="20"/>
                            <w:szCs w:val="20"/>
                          </w:rPr>
                          <w:t>b2</w:t>
                        </w:r>
                      </w:p>
                    </w:txbxContent>
                  </v:textbox>
                </v:shape>
                <v:shape id="TextBox 72" o:spid="_x0000_s1067" type="#_x0000_t202" style="position:absolute;left:76503;top:30877;width:17132;height:7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557694" w:rsidRPr="00557694" w:rsidRDefault="00557694" w:rsidP="00557694">
                        <w:pPr>
                          <w:pStyle w:val="NormalWeb"/>
                          <w:rPr>
                            <w:rFonts w:ascii="Times New Roman" w:hAnsi="Times New Roman"/>
                            <w:sz w:val="20"/>
                            <w:szCs w:val="20"/>
                          </w:rPr>
                        </w:pPr>
                        <w:r>
                          <w:rPr>
                            <w:rFonts w:ascii="Times New Roman" w:hAnsi="Times New Roman"/>
                            <w:color w:val="000000" w:themeColor="text1"/>
                            <w:kern w:val="24"/>
                            <w:sz w:val="20"/>
                            <w:szCs w:val="20"/>
                          </w:rPr>
                          <w:t>M</w:t>
                        </w:r>
                        <w:r w:rsidRPr="00557694">
                          <w:rPr>
                            <w:rFonts w:ascii="Times New Roman" w:hAnsi="Times New Roman"/>
                            <w:color w:val="000000" w:themeColor="text1"/>
                            <w:kern w:val="24"/>
                            <w:sz w:val="20"/>
                            <w:szCs w:val="20"/>
                          </w:rPr>
                          <w:t>easured biogas level</w:t>
                        </w:r>
                      </w:p>
                    </w:txbxContent>
                  </v:textbox>
                </v:shape>
                <w10:anchorlock/>
              </v:group>
            </w:pict>
          </mc:Fallback>
        </mc:AlternateContent>
      </w:r>
    </w:p>
    <w:p w:rsidR="00557694" w:rsidRPr="00557694" w:rsidRDefault="00557694" w:rsidP="00557694">
      <w:pPr>
        <w:pStyle w:val="Text"/>
        <w:rPr>
          <w:rFonts w:ascii="Arial" w:hAnsi="Arial" w:cs="Arial"/>
          <w:i/>
          <w:iCs/>
          <w:sz w:val="18"/>
          <w:szCs w:val="18"/>
        </w:rPr>
      </w:pPr>
      <w:r w:rsidRPr="00557694">
        <w:rPr>
          <w:rFonts w:ascii="Arial" w:hAnsi="Arial" w:cs="Arial"/>
          <w:i/>
          <w:iCs/>
          <w:sz w:val="18"/>
          <w:szCs w:val="18"/>
        </w:rPr>
        <w:t>Figure 1</w:t>
      </w:r>
      <w:r>
        <w:rPr>
          <w:rFonts w:ascii="Arial" w:hAnsi="Arial" w:cs="Arial"/>
          <w:i/>
          <w:iCs/>
          <w:sz w:val="18"/>
          <w:szCs w:val="18"/>
        </w:rPr>
        <w:t>:</w:t>
      </w:r>
      <w:r w:rsidRPr="00557694">
        <w:rPr>
          <w:rFonts w:ascii="Arial" w:hAnsi="Arial" w:cs="Arial"/>
          <w:i/>
          <w:iCs/>
          <w:sz w:val="18"/>
          <w:szCs w:val="18"/>
        </w:rPr>
        <w:t xml:space="preserve"> Biogas collecting and measuring system.</w:t>
      </w:r>
    </w:p>
    <w:p w:rsidR="00600535" w:rsidRDefault="008D0A9B" w:rsidP="00600535">
      <w:pPr>
        <w:pStyle w:val="CETHeading1"/>
        <w:rPr>
          <w:lang w:val="en-GB"/>
        </w:rPr>
      </w:pPr>
      <w:r>
        <w:rPr>
          <w:lang w:val="en-GB"/>
        </w:rPr>
        <w:lastRenderedPageBreak/>
        <w:t>Results</w:t>
      </w:r>
      <w:r w:rsidR="00791173">
        <w:rPr>
          <w:lang w:val="en-GB"/>
        </w:rPr>
        <w:t xml:space="preserve"> and Discussions</w:t>
      </w:r>
    </w:p>
    <w:p w:rsidR="002120C1" w:rsidRPr="002120C1" w:rsidRDefault="00791173" w:rsidP="00600535">
      <w:pPr>
        <w:pStyle w:val="CETheadingx"/>
      </w:pPr>
      <w:r>
        <w:t>Dry weight</w:t>
      </w:r>
      <w:r w:rsidRPr="00791173">
        <w:rPr>
          <w:rFonts w:eastAsiaTheme="majorEastAsia" w:cs="Arial"/>
          <w:lang w:bidi="th-TH"/>
        </w:rPr>
        <w:t>, volatile solids content, pH and Chemical Oxygen Demand (COD) of fermented raw materials</w:t>
      </w:r>
    </w:p>
    <w:p w:rsidR="00791173" w:rsidRPr="00791173" w:rsidRDefault="00791173" w:rsidP="00CB243C">
      <w:pPr>
        <w:pStyle w:val="section"/>
        <w:rPr>
          <w:b/>
        </w:rPr>
      </w:pPr>
      <w:r w:rsidRPr="00791173">
        <w:t xml:space="preserve">Dry weight, volatile solids content, pH and Chemical Oxygen Demand (COD) of fermented raw materials were determined as shown in Table 1. The sample from biogas system was kept in ice plastic plastic bag at temperature of 0-2 </w:t>
      </w:r>
      <w:r w:rsidRPr="00791173">
        <w:rPr>
          <w:vertAlign w:val="superscript"/>
        </w:rPr>
        <w:t>o</w:t>
      </w:r>
      <w:r w:rsidRPr="00791173">
        <w:t xml:space="preserve">C and sent to laboratory to analyze the dry weight of fermented raw materials. The volatile solids content was analysed by heated at 550 </w:t>
      </w:r>
      <w:r w:rsidRPr="00791173">
        <w:rPr>
          <w:vertAlign w:val="superscript"/>
        </w:rPr>
        <w:t>o</w:t>
      </w:r>
      <w:r w:rsidRPr="00791173">
        <w:t xml:space="preserve">C. The results of dry weight analysis of organic fertilizer sludge were 107.560 mg/L and volatile solids content of the OFM was 55,584 mg/l.  It was found that the fermented sludge with the highest dry weight content occurred in organic fertilizer raw material which was 107,560 mg/l, followed by the dairy industry with 74,344 mg/l. The highest volatile solids content was from dairy industry waste which was 69,256 mg/l, followed by the beer industry with 68,000 mg/l.  </w:t>
      </w:r>
    </w:p>
    <w:p w:rsidR="00C853A9" w:rsidRPr="00557694" w:rsidRDefault="00791173" w:rsidP="00557694">
      <w:pPr>
        <w:pStyle w:val="section"/>
        <w:rPr>
          <w:b/>
        </w:rPr>
      </w:pPr>
      <w:r w:rsidRPr="00791173">
        <w:t xml:space="preserve">The pH of organic fertilizer raw material and every types of industry waste was measured before fermentation. The COD used in this study was from the industrial waste analysis report prepared for the disposal of industrial waste in the plant. The COD represented the total amount of oxygen required for the chemical reaction (Oxidation) with organic substances in water. After the reaction, the carbon dioxide and water would be replaced. </w:t>
      </w:r>
    </w:p>
    <w:p w:rsidR="00C853A9" w:rsidRPr="00B57B36" w:rsidRDefault="007A5338" w:rsidP="00C853A9">
      <w:pPr>
        <w:pStyle w:val="CETTabletitle"/>
      </w:pPr>
      <w:r>
        <w:t>Table 1</w:t>
      </w:r>
      <w:r w:rsidR="00C853A9">
        <w:t>:</w:t>
      </w:r>
      <w:r w:rsidRPr="007A5338">
        <w:rPr>
          <w:lang w:bidi="th-TH"/>
        </w:rPr>
        <w:t xml:space="preserve"> </w:t>
      </w:r>
      <w:r>
        <w:rPr>
          <w:lang w:bidi="th-TH"/>
        </w:rPr>
        <w:t xml:space="preserve">Total solids, </w:t>
      </w:r>
      <w:r w:rsidRPr="002F7D7B">
        <w:rPr>
          <w:lang w:bidi="th-TH"/>
        </w:rPr>
        <w:t>volatile solids content</w:t>
      </w:r>
      <w:r>
        <w:rPr>
          <w:lang w:bidi="th-TH"/>
        </w:rPr>
        <w:t>, pH and COD</w:t>
      </w:r>
      <w:r w:rsidRPr="002F7D7B">
        <w:rPr>
          <w:lang w:bidi="th-TH"/>
        </w:rPr>
        <w:t xml:space="preserve"> of </w:t>
      </w:r>
      <w:r>
        <w:rPr>
          <w:lang w:bidi="th-TH"/>
        </w:rPr>
        <w:t>OFM and industrial wastes (xW)</w:t>
      </w:r>
      <w:r w:rsidRPr="00CE57CF">
        <w:t>.</w:t>
      </w:r>
    </w:p>
    <w:tbl>
      <w:tblPr>
        <w:tblW w:w="691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21"/>
        <w:gridCol w:w="794"/>
        <w:gridCol w:w="984"/>
        <w:gridCol w:w="20"/>
        <w:gridCol w:w="20"/>
        <w:gridCol w:w="494"/>
        <w:gridCol w:w="178"/>
        <w:gridCol w:w="20"/>
        <w:gridCol w:w="20"/>
        <w:gridCol w:w="20"/>
        <w:gridCol w:w="20"/>
        <w:gridCol w:w="20"/>
        <w:gridCol w:w="20"/>
        <w:gridCol w:w="40"/>
        <w:gridCol w:w="786"/>
        <w:gridCol w:w="160"/>
        <w:gridCol w:w="786"/>
        <w:gridCol w:w="160"/>
        <w:gridCol w:w="746"/>
        <w:gridCol w:w="40"/>
        <w:gridCol w:w="161"/>
      </w:tblGrid>
      <w:tr w:rsidR="0027598F" w:rsidRPr="00B57B36" w:rsidTr="00D321A7">
        <w:trPr>
          <w:gridAfter w:val="2"/>
          <w:wAfter w:w="200" w:type="dxa"/>
          <w:trHeight w:val="236"/>
        </w:trPr>
        <w:tc>
          <w:tcPr>
            <w:tcW w:w="1422" w:type="dxa"/>
            <w:vMerge w:val="restart"/>
            <w:shd w:val="clear" w:color="auto" w:fill="FFFFFF"/>
          </w:tcPr>
          <w:p w:rsidR="0027598F" w:rsidRDefault="0027598F" w:rsidP="005A7830">
            <w:pPr>
              <w:pStyle w:val="CETBodytext"/>
              <w:rPr>
                <w:rFonts w:cs="Arial"/>
                <w:lang w:val="en-GB"/>
              </w:rPr>
            </w:pPr>
          </w:p>
        </w:tc>
        <w:tc>
          <w:tcPr>
            <w:tcW w:w="794" w:type="dxa"/>
            <w:vMerge w:val="restart"/>
            <w:shd w:val="clear" w:color="auto" w:fill="FFFFFF"/>
          </w:tcPr>
          <w:p w:rsidR="0027598F" w:rsidRDefault="0027598F" w:rsidP="00D321A7">
            <w:pPr>
              <w:pStyle w:val="CETBodytext"/>
              <w:ind w:left="-16"/>
              <w:jc w:val="center"/>
              <w:rPr>
                <w:rFonts w:cs="Arial"/>
                <w:color w:val="000000"/>
                <w:szCs w:val="22"/>
              </w:rPr>
            </w:pPr>
          </w:p>
          <w:p w:rsidR="0027598F" w:rsidRDefault="0027598F" w:rsidP="00D321A7">
            <w:pPr>
              <w:pStyle w:val="CETBodytext"/>
              <w:jc w:val="center"/>
              <w:rPr>
                <w:rFonts w:cs="Arial"/>
                <w:color w:val="000000"/>
                <w:szCs w:val="22"/>
              </w:rPr>
            </w:pPr>
            <w:r>
              <w:rPr>
                <w:rFonts w:cs="Arial"/>
                <w:color w:val="000000"/>
                <w:szCs w:val="22"/>
              </w:rPr>
              <w:t>Unit</w:t>
            </w:r>
          </w:p>
        </w:tc>
        <w:tc>
          <w:tcPr>
            <w:tcW w:w="984" w:type="dxa"/>
            <w:vMerge w:val="restart"/>
            <w:shd w:val="clear" w:color="auto" w:fill="FFFFFF"/>
          </w:tcPr>
          <w:p w:rsidR="0027598F" w:rsidRDefault="0027598F" w:rsidP="00D321A7">
            <w:pPr>
              <w:pStyle w:val="CETBodytext"/>
              <w:jc w:val="center"/>
              <w:rPr>
                <w:rFonts w:cs="Arial"/>
                <w:color w:val="000000"/>
                <w:szCs w:val="22"/>
              </w:rPr>
            </w:pPr>
          </w:p>
          <w:p w:rsidR="0027598F" w:rsidRDefault="0027598F" w:rsidP="00D321A7">
            <w:pPr>
              <w:pStyle w:val="CETBodytext"/>
              <w:jc w:val="center"/>
              <w:rPr>
                <w:rFonts w:cs="Arial"/>
                <w:color w:val="000000"/>
                <w:szCs w:val="22"/>
              </w:rPr>
            </w:pPr>
            <w:r>
              <w:rPr>
                <w:rFonts w:cs="Arial"/>
                <w:color w:val="000000"/>
                <w:szCs w:val="22"/>
              </w:rPr>
              <w:t>OFM</w:t>
            </w:r>
          </w:p>
        </w:tc>
        <w:tc>
          <w:tcPr>
            <w:tcW w:w="3510" w:type="dxa"/>
            <w:gridSpan w:val="16"/>
            <w:tcBorders>
              <w:bottom w:val="single" w:sz="6" w:space="0" w:color="008000"/>
            </w:tcBorders>
            <w:shd w:val="clear" w:color="auto" w:fill="FFFFFF"/>
          </w:tcPr>
          <w:p w:rsidR="0027598F" w:rsidRDefault="0027598F" w:rsidP="0027598F">
            <w:pPr>
              <w:pStyle w:val="CETBodytext"/>
              <w:jc w:val="center"/>
              <w:rPr>
                <w:rFonts w:cs="Arial"/>
                <w:color w:val="000000"/>
                <w:szCs w:val="22"/>
              </w:rPr>
            </w:pPr>
            <w:r>
              <w:rPr>
                <w:rFonts w:cs="Arial"/>
                <w:color w:val="000000"/>
                <w:szCs w:val="22"/>
              </w:rPr>
              <w:t>Total of Industrial Waste</w:t>
            </w:r>
          </w:p>
        </w:tc>
      </w:tr>
      <w:tr w:rsidR="0027598F" w:rsidRPr="00B57B36" w:rsidTr="00D321A7">
        <w:trPr>
          <w:gridAfter w:val="1"/>
          <w:wAfter w:w="161" w:type="dxa"/>
          <w:trHeight w:val="236"/>
        </w:trPr>
        <w:tc>
          <w:tcPr>
            <w:tcW w:w="1422" w:type="dxa"/>
            <w:vMerge/>
            <w:tcBorders>
              <w:bottom w:val="single" w:sz="6" w:space="0" w:color="008000"/>
            </w:tcBorders>
            <w:shd w:val="clear" w:color="auto" w:fill="FFFFFF"/>
          </w:tcPr>
          <w:p w:rsidR="0027598F" w:rsidRDefault="0027598F" w:rsidP="005A7830">
            <w:pPr>
              <w:pStyle w:val="CETBodytext"/>
              <w:rPr>
                <w:rFonts w:cs="Arial"/>
                <w:lang w:val="en-GB"/>
              </w:rPr>
            </w:pPr>
          </w:p>
        </w:tc>
        <w:tc>
          <w:tcPr>
            <w:tcW w:w="794" w:type="dxa"/>
            <w:vMerge/>
            <w:tcBorders>
              <w:bottom w:val="single" w:sz="6" w:space="0" w:color="008000"/>
            </w:tcBorders>
            <w:shd w:val="clear" w:color="auto" w:fill="FFFFFF"/>
          </w:tcPr>
          <w:p w:rsidR="0027598F" w:rsidRDefault="0027598F" w:rsidP="00D321A7">
            <w:pPr>
              <w:pStyle w:val="CETBodytext"/>
              <w:jc w:val="center"/>
              <w:rPr>
                <w:rFonts w:cs="Arial"/>
                <w:color w:val="000000"/>
                <w:szCs w:val="22"/>
              </w:rPr>
            </w:pPr>
          </w:p>
        </w:tc>
        <w:tc>
          <w:tcPr>
            <w:tcW w:w="984" w:type="dxa"/>
            <w:vMerge/>
            <w:tcBorders>
              <w:bottom w:val="single" w:sz="6" w:space="0" w:color="008000"/>
            </w:tcBorders>
            <w:shd w:val="clear" w:color="auto" w:fill="FFFFFF"/>
          </w:tcPr>
          <w:p w:rsidR="0027598F" w:rsidRDefault="0027598F" w:rsidP="00D321A7">
            <w:pPr>
              <w:pStyle w:val="CETBodytext"/>
              <w:jc w:val="center"/>
              <w:rPr>
                <w:rFonts w:cs="Arial"/>
                <w:color w:val="000000"/>
                <w:szCs w:val="22"/>
              </w:rPr>
            </w:pPr>
          </w:p>
        </w:tc>
        <w:tc>
          <w:tcPr>
            <w:tcW w:w="711" w:type="dxa"/>
            <w:gridSpan w:val="4"/>
            <w:tcBorders>
              <w:bottom w:val="single" w:sz="6" w:space="0" w:color="008000"/>
            </w:tcBorders>
            <w:shd w:val="clear" w:color="auto" w:fill="FFFFFF"/>
          </w:tcPr>
          <w:p w:rsidR="0027598F" w:rsidRDefault="00D321A7" w:rsidP="00D321A7">
            <w:pPr>
              <w:pStyle w:val="CETBodytext"/>
              <w:rPr>
                <w:rFonts w:cs="Arial"/>
                <w:color w:val="000000"/>
                <w:szCs w:val="22"/>
              </w:rPr>
            </w:pPr>
            <w:r>
              <w:rPr>
                <w:rFonts w:cs="Arial"/>
                <w:color w:val="000000"/>
                <w:szCs w:val="22"/>
              </w:rPr>
              <w:t xml:space="preserve">   </w:t>
            </w:r>
            <w:r w:rsidR="0027598F">
              <w:rPr>
                <w:rFonts w:cs="Arial"/>
                <w:color w:val="000000"/>
                <w:szCs w:val="22"/>
              </w:rPr>
              <w:t>DW</w:t>
            </w:r>
          </w:p>
        </w:tc>
        <w:tc>
          <w:tcPr>
            <w:tcW w:w="946" w:type="dxa"/>
            <w:gridSpan w:val="8"/>
            <w:tcBorders>
              <w:bottom w:val="single" w:sz="6" w:space="0" w:color="008000"/>
            </w:tcBorders>
            <w:shd w:val="clear" w:color="auto" w:fill="FFFFFF"/>
          </w:tcPr>
          <w:p w:rsidR="0027598F" w:rsidRDefault="00D321A7" w:rsidP="00D321A7">
            <w:pPr>
              <w:pStyle w:val="CETBodytext"/>
              <w:ind w:left="-120" w:firstLine="30"/>
              <w:jc w:val="center"/>
              <w:rPr>
                <w:rFonts w:cs="Arial"/>
                <w:color w:val="000000"/>
                <w:szCs w:val="22"/>
              </w:rPr>
            </w:pPr>
            <w:r>
              <w:rPr>
                <w:rFonts w:cs="Arial"/>
                <w:color w:val="000000"/>
                <w:szCs w:val="22"/>
              </w:rPr>
              <w:t xml:space="preserve">  </w:t>
            </w:r>
            <w:r w:rsidR="0027598F">
              <w:rPr>
                <w:rFonts w:cs="Arial"/>
                <w:color w:val="000000"/>
                <w:szCs w:val="22"/>
              </w:rPr>
              <w:t>BW</w:t>
            </w:r>
          </w:p>
        </w:tc>
        <w:tc>
          <w:tcPr>
            <w:tcW w:w="946" w:type="dxa"/>
            <w:gridSpan w:val="2"/>
            <w:tcBorders>
              <w:bottom w:val="single" w:sz="6" w:space="0" w:color="008000"/>
            </w:tcBorders>
            <w:shd w:val="clear" w:color="auto" w:fill="FFFFFF"/>
          </w:tcPr>
          <w:p w:rsidR="0027598F" w:rsidRDefault="00D321A7" w:rsidP="00D321A7">
            <w:pPr>
              <w:pStyle w:val="CETBodytext"/>
              <w:rPr>
                <w:rFonts w:cs="Arial"/>
                <w:color w:val="000000"/>
                <w:szCs w:val="22"/>
              </w:rPr>
            </w:pPr>
            <w:r>
              <w:rPr>
                <w:rFonts w:ascii="Times New Roman" w:hAnsi="Times New Roman"/>
              </w:rPr>
              <w:t xml:space="preserve">      </w:t>
            </w:r>
            <w:r w:rsidR="0027598F">
              <w:rPr>
                <w:rFonts w:ascii="Times New Roman" w:hAnsi="Times New Roman"/>
              </w:rPr>
              <w:t>CW</w:t>
            </w:r>
          </w:p>
        </w:tc>
        <w:tc>
          <w:tcPr>
            <w:tcW w:w="946" w:type="dxa"/>
            <w:gridSpan w:val="3"/>
            <w:tcBorders>
              <w:bottom w:val="single" w:sz="6" w:space="0" w:color="008000"/>
            </w:tcBorders>
            <w:shd w:val="clear" w:color="auto" w:fill="FFFFFF"/>
          </w:tcPr>
          <w:p w:rsidR="0027598F" w:rsidRDefault="00D321A7" w:rsidP="00D321A7">
            <w:pPr>
              <w:pStyle w:val="CETBodytext"/>
              <w:rPr>
                <w:rFonts w:ascii="Times New Roman" w:hAnsi="Times New Roman"/>
              </w:rPr>
            </w:pPr>
            <w:r>
              <w:rPr>
                <w:rFonts w:ascii="Times New Roman" w:hAnsi="Times New Roman"/>
              </w:rPr>
              <w:t xml:space="preserve">     </w:t>
            </w:r>
            <w:r w:rsidR="0027598F">
              <w:rPr>
                <w:rFonts w:ascii="Times New Roman" w:hAnsi="Times New Roman"/>
              </w:rPr>
              <w:t>EW</w:t>
            </w:r>
          </w:p>
        </w:tc>
      </w:tr>
      <w:tr w:rsidR="0027598F" w:rsidRPr="00B57B36" w:rsidTr="00D321A7">
        <w:trPr>
          <w:trHeight w:val="233"/>
        </w:trPr>
        <w:tc>
          <w:tcPr>
            <w:tcW w:w="1422" w:type="dxa"/>
            <w:shd w:val="clear" w:color="auto" w:fill="FFFFFF"/>
          </w:tcPr>
          <w:p w:rsidR="0027598F" w:rsidRPr="000F714C" w:rsidRDefault="0027598F" w:rsidP="005A7830">
            <w:pPr>
              <w:pStyle w:val="CETBodytext"/>
              <w:rPr>
                <w:rFonts w:cs="Arial"/>
                <w:szCs w:val="18"/>
                <w:lang w:val="en-GB"/>
              </w:rPr>
            </w:pPr>
            <w:r>
              <w:rPr>
                <w:rFonts w:cs="Arial"/>
                <w:szCs w:val="18"/>
              </w:rPr>
              <w:t>Total Solids</w:t>
            </w:r>
          </w:p>
        </w:tc>
        <w:tc>
          <w:tcPr>
            <w:tcW w:w="794" w:type="dxa"/>
            <w:shd w:val="clear" w:color="auto" w:fill="FFFFFF"/>
          </w:tcPr>
          <w:p w:rsidR="0027598F" w:rsidRDefault="0027598F" w:rsidP="00D321A7">
            <w:pPr>
              <w:pStyle w:val="CETBodytext"/>
              <w:jc w:val="center"/>
              <w:rPr>
                <w:rFonts w:cs="Arial"/>
              </w:rPr>
            </w:pPr>
            <w:r>
              <w:rPr>
                <w:rFonts w:cs="Arial"/>
              </w:rPr>
              <w:t>mg/L</w:t>
            </w:r>
          </w:p>
        </w:tc>
        <w:tc>
          <w:tcPr>
            <w:tcW w:w="984" w:type="dxa"/>
            <w:shd w:val="clear" w:color="auto" w:fill="FFFFFF"/>
          </w:tcPr>
          <w:p w:rsidR="0027598F" w:rsidRPr="000F714C" w:rsidRDefault="0027598F" w:rsidP="00D321A7">
            <w:pPr>
              <w:pStyle w:val="CETBodytext"/>
              <w:ind w:right="-1"/>
              <w:jc w:val="center"/>
              <w:rPr>
                <w:rFonts w:cs="Arial"/>
                <w:szCs w:val="18"/>
                <w:lang w:val="en-GB"/>
              </w:rPr>
            </w:pPr>
            <w:r w:rsidRPr="00142DA6">
              <w:rPr>
                <w:rFonts w:ascii="Times New Roman" w:hAnsi="Times New Roman"/>
                <w:color w:val="000000" w:themeColor="text1"/>
                <w:szCs w:val="22"/>
              </w:rPr>
              <w:t>107,564</w:t>
            </w:r>
          </w:p>
        </w:tc>
        <w:tc>
          <w:tcPr>
            <w:tcW w:w="20" w:type="dxa"/>
            <w:shd w:val="clear" w:color="auto" w:fill="FFFFFF"/>
          </w:tcPr>
          <w:p w:rsidR="0027598F" w:rsidRPr="000F714C" w:rsidRDefault="0027598F" w:rsidP="005A7830">
            <w:pPr>
              <w:pStyle w:val="CETBodytext"/>
              <w:ind w:right="-1"/>
              <w:rPr>
                <w:rFonts w:cs="Arial"/>
                <w:szCs w:val="18"/>
                <w:lang w:val="en-GB"/>
              </w:rPr>
            </w:pPr>
          </w:p>
        </w:tc>
        <w:tc>
          <w:tcPr>
            <w:tcW w:w="20" w:type="dxa"/>
            <w:shd w:val="clear" w:color="auto" w:fill="FFFFFF"/>
          </w:tcPr>
          <w:p w:rsidR="0027598F" w:rsidRPr="000F714C" w:rsidRDefault="0027598F" w:rsidP="005A7830">
            <w:pPr>
              <w:pStyle w:val="CETBodytext"/>
              <w:ind w:right="-1"/>
              <w:rPr>
                <w:rFonts w:cs="Arial"/>
                <w:szCs w:val="18"/>
                <w:lang w:val="en-GB"/>
              </w:rPr>
            </w:pPr>
            <w:r>
              <w:rPr>
                <w:rFonts w:cs="Arial"/>
                <w:szCs w:val="18"/>
                <w:lang w:val="en-GB"/>
              </w:rPr>
              <w:t xml:space="preserve"> </w:t>
            </w:r>
          </w:p>
        </w:tc>
        <w:tc>
          <w:tcPr>
            <w:tcW w:w="494" w:type="dxa"/>
            <w:shd w:val="clear" w:color="auto" w:fill="FFFFFF"/>
          </w:tcPr>
          <w:p w:rsidR="0027598F" w:rsidRPr="00B57B36" w:rsidRDefault="0027598F" w:rsidP="00D321A7">
            <w:pPr>
              <w:pStyle w:val="CETBodytext"/>
              <w:ind w:right="-1"/>
              <w:jc w:val="center"/>
              <w:rPr>
                <w:rFonts w:cs="Arial"/>
                <w:szCs w:val="18"/>
                <w:lang w:val="en-GB"/>
              </w:rPr>
            </w:pPr>
            <w:r w:rsidRPr="00142DA6">
              <w:rPr>
                <w:rFonts w:ascii="Times New Roman" w:hAnsi="Times New Roman"/>
                <w:color w:val="000000" w:themeColor="text1"/>
                <w:szCs w:val="22"/>
              </w:rPr>
              <w:t>74,344</w:t>
            </w:r>
          </w:p>
        </w:tc>
        <w:tc>
          <w:tcPr>
            <w:tcW w:w="178"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40" w:type="dxa"/>
            <w:shd w:val="clear" w:color="auto" w:fill="FFFFFF"/>
          </w:tcPr>
          <w:p w:rsidR="0027598F" w:rsidRPr="00B57B36" w:rsidRDefault="0027598F" w:rsidP="005A7830">
            <w:pPr>
              <w:pStyle w:val="CETBodytext"/>
              <w:ind w:right="-1"/>
              <w:rPr>
                <w:rFonts w:cs="Arial"/>
                <w:szCs w:val="18"/>
                <w:lang w:val="en-GB"/>
              </w:rPr>
            </w:pPr>
          </w:p>
        </w:tc>
        <w:tc>
          <w:tcPr>
            <w:tcW w:w="946" w:type="dxa"/>
            <w:gridSpan w:val="2"/>
            <w:shd w:val="clear" w:color="auto" w:fill="FFFFFF"/>
          </w:tcPr>
          <w:p w:rsidR="0027598F" w:rsidRPr="00B57B36" w:rsidRDefault="0027598F" w:rsidP="00D321A7">
            <w:pPr>
              <w:pStyle w:val="CETBodytext"/>
              <w:ind w:left="-230" w:right="-1"/>
              <w:jc w:val="center"/>
              <w:rPr>
                <w:rFonts w:cs="Arial"/>
                <w:szCs w:val="18"/>
                <w:lang w:val="en-GB"/>
              </w:rPr>
            </w:pPr>
            <w:r w:rsidRPr="00142DA6">
              <w:rPr>
                <w:rFonts w:ascii="Times New Roman" w:hAnsi="Times New Roman"/>
                <w:color w:val="000000" w:themeColor="text1"/>
                <w:szCs w:val="22"/>
              </w:rPr>
              <w:t>12,400</w:t>
            </w:r>
          </w:p>
        </w:tc>
        <w:tc>
          <w:tcPr>
            <w:tcW w:w="946" w:type="dxa"/>
            <w:gridSpan w:val="2"/>
            <w:shd w:val="clear" w:color="auto" w:fill="FFFFFF"/>
          </w:tcPr>
          <w:p w:rsidR="0027598F" w:rsidRPr="00142DA6" w:rsidRDefault="0027598F" w:rsidP="00D321A7">
            <w:pPr>
              <w:pStyle w:val="CETBodytext"/>
              <w:ind w:right="-1"/>
              <w:rPr>
                <w:rFonts w:ascii="Times New Roman" w:hAnsi="Times New Roman"/>
                <w:color w:val="000000" w:themeColor="text1"/>
                <w:szCs w:val="22"/>
              </w:rPr>
            </w:pPr>
            <w:r w:rsidRPr="00142DA6">
              <w:rPr>
                <w:rFonts w:ascii="Times New Roman" w:hAnsi="Times New Roman"/>
                <w:color w:val="000000" w:themeColor="text1"/>
                <w:szCs w:val="22"/>
              </w:rPr>
              <w:t>29,088</w:t>
            </w:r>
          </w:p>
        </w:tc>
        <w:tc>
          <w:tcPr>
            <w:tcW w:w="946" w:type="dxa"/>
            <w:gridSpan w:val="3"/>
            <w:shd w:val="clear" w:color="auto" w:fill="FFFFFF"/>
          </w:tcPr>
          <w:p w:rsidR="0027598F" w:rsidRPr="00142DA6" w:rsidRDefault="0027598F" w:rsidP="00D321A7">
            <w:pPr>
              <w:pStyle w:val="CETBodytext"/>
              <w:ind w:right="-1"/>
              <w:rPr>
                <w:rFonts w:ascii="Times New Roman" w:hAnsi="Times New Roman"/>
                <w:color w:val="000000" w:themeColor="text1"/>
                <w:szCs w:val="22"/>
              </w:rPr>
            </w:pPr>
            <w:r w:rsidRPr="00142DA6">
              <w:rPr>
                <w:rFonts w:ascii="Times New Roman" w:hAnsi="Times New Roman"/>
                <w:color w:val="000000" w:themeColor="text1"/>
                <w:szCs w:val="22"/>
              </w:rPr>
              <w:t>30,732</w:t>
            </w:r>
          </w:p>
        </w:tc>
      </w:tr>
      <w:tr w:rsidR="0027598F" w:rsidRPr="00B57B36" w:rsidTr="00D321A7">
        <w:trPr>
          <w:trHeight w:val="815"/>
        </w:trPr>
        <w:tc>
          <w:tcPr>
            <w:tcW w:w="1422" w:type="dxa"/>
            <w:shd w:val="clear" w:color="auto" w:fill="FFFFFF"/>
          </w:tcPr>
          <w:p w:rsidR="0027598F" w:rsidRPr="000F714C" w:rsidRDefault="0027598F" w:rsidP="005A7830">
            <w:pPr>
              <w:pStyle w:val="CETBodytext"/>
              <w:ind w:right="-1"/>
              <w:rPr>
                <w:rFonts w:cs="Arial"/>
                <w:szCs w:val="18"/>
              </w:rPr>
            </w:pPr>
            <w:r>
              <w:rPr>
                <w:rFonts w:cs="Arial"/>
                <w:szCs w:val="18"/>
              </w:rPr>
              <w:t>Volatile Solids</w:t>
            </w:r>
          </w:p>
          <w:p w:rsidR="00D321A7" w:rsidRPr="00D321A7" w:rsidRDefault="00D321A7" w:rsidP="00D321A7">
            <w:pPr>
              <w:spacing w:before="40" w:after="40"/>
              <w:rPr>
                <w:rFonts w:cs="Arial"/>
              </w:rPr>
            </w:pPr>
            <w:r w:rsidRPr="00D321A7">
              <w:rPr>
                <w:rFonts w:cs="Arial"/>
              </w:rPr>
              <w:t>pH</w:t>
            </w:r>
          </w:p>
          <w:p w:rsidR="00D321A7" w:rsidRPr="0027598F" w:rsidRDefault="00D321A7" w:rsidP="00D321A7">
            <w:pPr>
              <w:pStyle w:val="CETBodytext"/>
              <w:ind w:right="-1"/>
              <w:rPr>
                <w:rFonts w:cs="Arial"/>
                <w:szCs w:val="18"/>
              </w:rPr>
            </w:pPr>
            <w:r w:rsidRPr="00D321A7">
              <w:rPr>
                <w:rFonts w:cs="Arial"/>
              </w:rPr>
              <w:t>COD</w:t>
            </w:r>
          </w:p>
        </w:tc>
        <w:tc>
          <w:tcPr>
            <w:tcW w:w="794" w:type="dxa"/>
            <w:shd w:val="clear" w:color="auto" w:fill="FFFFFF"/>
          </w:tcPr>
          <w:p w:rsidR="0027598F" w:rsidRPr="000F714C" w:rsidRDefault="0027598F" w:rsidP="00D321A7">
            <w:pPr>
              <w:pStyle w:val="CETBodytext"/>
              <w:ind w:right="-1"/>
              <w:jc w:val="center"/>
              <w:rPr>
                <w:rFonts w:cs="Arial"/>
                <w:szCs w:val="18"/>
              </w:rPr>
            </w:pPr>
            <w:r>
              <w:rPr>
                <w:rFonts w:cs="Arial"/>
              </w:rPr>
              <w:t>mg/L</w:t>
            </w:r>
          </w:p>
          <w:p w:rsidR="0027598F" w:rsidRDefault="0027598F" w:rsidP="00D321A7">
            <w:pPr>
              <w:spacing w:before="40" w:after="40"/>
              <w:jc w:val="center"/>
              <w:rPr>
                <w:rFonts w:cs="Arial"/>
              </w:rPr>
            </w:pPr>
          </w:p>
          <w:p w:rsidR="0027598F" w:rsidRDefault="0027598F" w:rsidP="00D321A7">
            <w:pPr>
              <w:spacing w:before="40" w:after="40"/>
              <w:jc w:val="center"/>
              <w:rPr>
                <w:rFonts w:cs="Arial"/>
              </w:rPr>
            </w:pPr>
            <w:r>
              <w:rPr>
                <w:rFonts w:cs="Arial"/>
              </w:rPr>
              <w:t>mg/L</w:t>
            </w:r>
          </w:p>
        </w:tc>
        <w:tc>
          <w:tcPr>
            <w:tcW w:w="984" w:type="dxa"/>
            <w:shd w:val="clear" w:color="auto" w:fill="FFFFFF"/>
          </w:tcPr>
          <w:p w:rsidR="0027598F" w:rsidRDefault="0027598F" w:rsidP="00D321A7">
            <w:pPr>
              <w:pStyle w:val="CETBodytext"/>
              <w:ind w:right="-1"/>
              <w:jc w:val="center"/>
              <w:rPr>
                <w:rFonts w:cs="Arial"/>
                <w:szCs w:val="18"/>
                <w:lang w:val="en-GB"/>
              </w:rPr>
            </w:pPr>
            <w:r w:rsidRPr="00142DA6">
              <w:rPr>
                <w:rFonts w:ascii="Times New Roman" w:hAnsi="Times New Roman"/>
                <w:color w:val="000000" w:themeColor="text1"/>
                <w:szCs w:val="22"/>
              </w:rPr>
              <w:t>55,584</w:t>
            </w:r>
          </w:p>
          <w:p w:rsidR="0027598F" w:rsidRPr="00142DA6" w:rsidRDefault="0027598F" w:rsidP="00D321A7">
            <w:pPr>
              <w:spacing w:before="40" w:after="40"/>
              <w:ind w:left="28"/>
              <w:jc w:val="center"/>
              <w:rPr>
                <w:rFonts w:ascii="Times New Roman" w:hAnsi="Times New Roman"/>
                <w:color w:val="000000"/>
                <w:szCs w:val="22"/>
              </w:rPr>
            </w:pPr>
            <w:r w:rsidRPr="00142DA6">
              <w:rPr>
                <w:rFonts w:ascii="Times New Roman" w:hAnsi="Times New Roman"/>
                <w:color w:val="000000"/>
                <w:szCs w:val="22"/>
              </w:rPr>
              <w:t>7</w:t>
            </w:r>
          </w:p>
          <w:p w:rsidR="0027598F" w:rsidRPr="0027598F" w:rsidRDefault="0027598F" w:rsidP="00D321A7">
            <w:pPr>
              <w:pStyle w:val="CETBodytext"/>
              <w:jc w:val="center"/>
              <w:rPr>
                <w:rFonts w:cs="Arial"/>
                <w:szCs w:val="18"/>
                <w:lang w:val="en-GB"/>
              </w:rPr>
            </w:pPr>
            <w:r w:rsidRPr="00142DA6">
              <w:rPr>
                <w:rFonts w:ascii="Times New Roman" w:eastAsia="Calibri" w:hAnsi="Times New Roman"/>
                <w:kern w:val="24"/>
                <w:szCs w:val="22"/>
              </w:rPr>
              <w:t>109,653</w:t>
            </w:r>
          </w:p>
        </w:tc>
        <w:tc>
          <w:tcPr>
            <w:tcW w:w="20" w:type="dxa"/>
            <w:shd w:val="clear" w:color="auto" w:fill="FFFFFF"/>
          </w:tcPr>
          <w:p w:rsidR="0027598F" w:rsidRPr="000F714C" w:rsidRDefault="0027598F" w:rsidP="005A7830">
            <w:pPr>
              <w:pStyle w:val="CETBodytext"/>
              <w:ind w:right="-1"/>
              <w:rPr>
                <w:rFonts w:cs="Arial"/>
                <w:szCs w:val="18"/>
                <w:lang w:val="en-GB"/>
              </w:rPr>
            </w:pPr>
            <w:r>
              <w:rPr>
                <w:rFonts w:cs="Arial"/>
                <w:szCs w:val="18"/>
                <w:lang w:val="en-GB"/>
              </w:rPr>
              <w:t xml:space="preserve"> </w:t>
            </w:r>
          </w:p>
        </w:tc>
        <w:tc>
          <w:tcPr>
            <w:tcW w:w="20" w:type="dxa"/>
            <w:shd w:val="clear" w:color="auto" w:fill="FFFFFF"/>
          </w:tcPr>
          <w:p w:rsidR="0027598F" w:rsidRPr="000F714C" w:rsidRDefault="0027598F" w:rsidP="005A7830">
            <w:pPr>
              <w:pStyle w:val="CETBodytext"/>
              <w:ind w:right="-1"/>
              <w:rPr>
                <w:rFonts w:cs="Arial"/>
                <w:szCs w:val="18"/>
                <w:lang w:val="en-GB"/>
              </w:rPr>
            </w:pPr>
          </w:p>
        </w:tc>
        <w:tc>
          <w:tcPr>
            <w:tcW w:w="494" w:type="dxa"/>
            <w:shd w:val="clear" w:color="auto" w:fill="FFFFFF"/>
          </w:tcPr>
          <w:p w:rsidR="0027598F" w:rsidRDefault="0027598F" w:rsidP="00D321A7">
            <w:pPr>
              <w:pStyle w:val="CETBodytext"/>
              <w:ind w:right="-1"/>
              <w:jc w:val="center"/>
              <w:rPr>
                <w:rFonts w:ascii="Times New Roman" w:hAnsi="Times New Roman"/>
                <w:color w:val="000000" w:themeColor="text1"/>
                <w:szCs w:val="22"/>
              </w:rPr>
            </w:pPr>
            <w:r w:rsidRPr="00142DA6">
              <w:rPr>
                <w:rFonts w:ascii="Times New Roman" w:hAnsi="Times New Roman"/>
                <w:color w:val="000000" w:themeColor="text1"/>
                <w:szCs w:val="22"/>
              </w:rPr>
              <w:t>69,256</w:t>
            </w:r>
          </w:p>
          <w:p w:rsidR="0027598F" w:rsidRPr="00142DA6" w:rsidRDefault="0027598F" w:rsidP="00D321A7">
            <w:pPr>
              <w:spacing w:before="40" w:after="40"/>
              <w:ind w:left="28"/>
              <w:jc w:val="center"/>
              <w:rPr>
                <w:rFonts w:ascii="Times New Roman" w:hAnsi="Times New Roman"/>
                <w:color w:val="000000"/>
                <w:szCs w:val="22"/>
              </w:rPr>
            </w:pPr>
            <w:r w:rsidRPr="00142DA6">
              <w:rPr>
                <w:rFonts w:ascii="Times New Roman" w:hAnsi="Times New Roman"/>
                <w:color w:val="000000"/>
                <w:szCs w:val="22"/>
              </w:rPr>
              <w:t>7</w:t>
            </w:r>
          </w:p>
          <w:p w:rsidR="0027598F" w:rsidRPr="00B57B36" w:rsidRDefault="0027598F" w:rsidP="00D321A7">
            <w:pPr>
              <w:pStyle w:val="CETBodytext"/>
              <w:ind w:right="-1"/>
              <w:jc w:val="center"/>
              <w:rPr>
                <w:rFonts w:cs="Arial"/>
                <w:szCs w:val="18"/>
                <w:lang w:val="en-GB"/>
              </w:rPr>
            </w:pPr>
            <w:r w:rsidRPr="00142DA6">
              <w:rPr>
                <w:rFonts w:ascii="Times New Roman" w:eastAsia="Calibri" w:hAnsi="Times New Roman"/>
                <w:kern w:val="24"/>
                <w:szCs w:val="22"/>
              </w:rPr>
              <w:t>54,802</w:t>
            </w:r>
          </w:p>
        </w:tc>
        <w:tc>
          <w:tcPr>
            <w:tcW w:w="178"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20" w:type="dxa"/>
            <w:shd w:val="clear" w:color="auto" w:fill="FFFFFF"/>
          </w:tcPr>
          <w:p w:rsidR="0027598F" w:rsidRPr="00B57B36" w:rsidRDefault="0027598F" w:rsidP="005A7830">
            <w:pPr>
              <w:pStyle w:val="CETBodytext"/>
              <w:ind w:right="-1"/>
              <w:rPr>
                <w:rFonts w:cs="Arial"/>
                <w:szCs w:val="18"/>
                <w:lang w:val="en-GB"/>
              </w:rPr>
            </w:pPr>
          </w:p>
        </w:tc>
        <w:tc>
          <w:tcPr>
            <w:tcW w:w="40" w:type="dxa"/>
            <w:shd w:val="clear" w:color="auto" w:fill="FFFFFF"/>
          </w:tcPr>
          <w:p w:rsidR="0027598F" w:rsidRPr="00B57B36" w:rsidRDefault="0027598F" w:rsidP="005A7830">
            <w:pPr>
              <w:pStyle w:val="CETBodytext"/>
              <w:ind w:right="-1"/>
              <w:rPr>
                <w:rFonts w:cs="Arial"/>
                <w:szCs w:val="18"/>
                <w:lang w:val="en-GB"/>
              </w:rPr>
            </w:pPr>
          </w:p>
        </w:tc>
        <w:tc>
          <w:tcPr>
            <w:tcW w:w="946" w:type="dxa"/>
            <w:gridSpan w:val="2"/>
            <w:shd w:val="clear" w:color="auto" w:fill="FFFFFF"/>
          </w:tcPr>
          <w:p w:rsidR="0027598F" w:rsidRDefault="00D321A7" w:rsidP="00D321A7">
            <w:pPr>
              <w:pStyle w:val="CETBodytext"/>
              <w:ind w:right="-1"/>
              <w:rPr>
                <w:rFonts w:ascii="Times New Roman" w:hAnsi="Times New Roman"/>
                <w:color w:val="000000" w:themeColor="text1"/>
                <w:szCs w:val="22"/>
              </w:rPr>
            </w:pPr>
            <w:r>
              <w:rPr>
                <w:rFonts w:ascii="Times New Roman" w:hAnsi="Times New Roman"/>
                <w:color w:val="000000" w:themeColor="text1"/>
                <w:szCs w:val="22"/>
              </w:rPr>
              <w:t xml:space="preserve">  </w:t>
            </w:r>
            <w:r w:rsidR="0027598F" w:rsidRPr="00142DA6">
              <w:rPr>
                <w:rFonts w:ascii="Times New Roman" w:hAnsi="Times New Roman"/>
                <w:color w:val="000000" w:themeColor="text1"/>
                <w:szCs w:val="22"/>
              </w:rPr>
              <w:t>68,000</w:t>
            </w:r>
          </w:p>
          <w:p w:rsidR="0027598F" w:rsidRPr="00142DA6" w:rsidRDefault="00D321A7" w:rsidP="00D321A7">
            <w:pPr>
              <w:spacing w:before="40" w:after="40"/>
              <w:ind w:left="28"/>
              <w:rPr>
                <w:rFonts w:ascii="Times New Roman" w:hAnsi="Times New Roman"/>
                <w:color w:val="000000"/>
                <w:szCs w:val="22"/>
              </w:rPr>
            </w:pPr>
            <w:r>
              <w:rPr>
                <w:rFonts w:ascii="Times New Roman" w:hAnsi="Times New Roman"/>
                <w:color w:val="000000"/>
                <w:szCs w:val="22"/>
              </w:rPr>
              <w:t xml:space="preserve">      </w:t>
            </w:r>
            <w:r w:rsidR="0027598F" w:rsidRPr="00142DA6">
              <w:rPr>
                <w:rFonts w:ascii="Times New Roman" w:hAnsi="Times New Roman"/>
                <w:color w:val="000000"/>
                <w:szCs w:val="22"/>
              </w:rPr>
              <w:t>5</w:t>
            </w:r>
          </w:p>
          <w:p w:rsidR="0027598F" w:rsidRPr="00B57B36" w:rsidRDefault="00D321A7" w:rsidP="00D321A7">
            <w:pPr>
              <w:pStyle w:val="CETBodytext"/>
              <w:ind w:right="-1"/>
              <w:rPr>
                <w:rFonts w:cs="Arial"/>
                <w:szCs w:val="18"/>
                <w:lang w:val="en-GB"/>
              </w:rPr>
            </w:pPr>
            <w:r>
              <w:rPr>
                <w:rFonts w:ascii="Times New Roman" w:eastAsia="Calibri" w:hAnsi="Times New Roman"/>
                <w:kern w:val="24"/>
                <w:szCs w:val="22"/>
              </w:rPr>
              <w:t xml:space="preserve">  </w:t>
            </w:r>
            <w:r w:rsidR="0027598F" w:rsidRPr="00142DA6">
              <w:rPr>
                <w:rFonts w:ascii="Times New Roman" w:eastAsia="Calibri" w:hAnsi="Times New Roman"/>
                <w:kern w:val="24"/>
                <w:szCs w:val="22"/>
              </w:rPr>
              <w:t>51,350</w:t>
            </w:r>
          </w:p>
        </w:tc>
        <w:tc>
          <w:tcPr>
            <w:tcW w:w="946" w:type="dxa"/>
            <w:gridSpan w:val="2"/>
            <w:shd w:val="clear" w:color="auto" w:fill="FFFFFF"/>
          </w:tcPr>
          <w:p w:rsidR="0027598F" w:rsidRDefault="0027598F" w:rsidP="00D321A7">
            <w:pPr>
              <w:pStyle w:val="CETBodytext"/>
              <w:ind w:right="-1"/>
              <w:rPr>
                <w:rFonts w:ascii="Times New Roman" w:hAnsi="Times New Roman"/>
                <w:color w:val="000000" w:themeColor="text1"/>
                <w:szCs w:val="22"/>
              </w:rPr>
            </w:pPr>
            <w:r w:rsidRPr="00142DA6">
              <w:rPr>
                <w:rFonts w:ascii="Times New Roman" w:hAnsi="Times New Roman"/>
                <w:color w:val="000000" w:themeColor="text1"/>
                <w:szCs w:val="22"/>
              </w:rPr>
              <w:t>27,204</w:t>
            </w:r>
          </w:p>
          <w:p w:rsidR="0027598F" w:rsidRPr="00142DA6" w:rsidRDefault="00D321A7" w:rsidP="00D321A7">
            <w:pPr>
              <w:spacing w:before="40" w:after="40"/>
              <w:ind w:left="28"/>
              <w:rPr>
                <w:rFonts w:ascii="Times New Roman" w:hAnsi="Times New Roman"/>
                <w:color w:val="000000"/>
                <w:szCs w:val="22"/>
              </w:rPr>
            </w:pPr>
            <w:r>
              <w:rPr>
                <w:rFonts w:ascii="Times New Roman" w:hAnsi="Times New Roman"/>
                <w:color w:val="000000"/>
                <w:szCs w:val="22"/>
              </w:rPr>
              <w:t xml:space="preserve">   </w:t>
            </w:r>
            <w:r w:rsidR="0027598F" w:rsidRPr="00142DA6">
              <w:rPr>
                <w:rFonts w:ascii="Times New Roman" w:hAnsi="Times New Roman"/>
                <w:color w:val="000000"/>
                <w:szCs w:val="22"/>
              </w:rPr>
              <w:t>7</w:t>
            </w:r>
          </w:p>
          <w:p w:rsidR="0027598F" w:rsidRPr="00142DA6" w:rsidRDefault="0027598F" w:rsidP="00D321A7">
            <w:pPr>
              <w:pStyle w:val="CETBodytext"/>
              <w:ind w:right="-1"/>
              <w:rPr>
                <w:rFonts w:ascii="Times New Roman" w:hAnsi="Times New Roman"/>
                <w:color w:val="000000" w:themeColor="text1"/>
                <w:szCs w:val="22"/>
              </w:rPr>
            </w:pPr>
            <w:r w:rsidRPr="00142DA6">
              <w:rPr>
                <w:rFonts w:ascii="Times New Roman" w:eastAsia="Calibri" w:hAnsi="Times New Roman"/>
                <w:kern w:val="24"/>
                <w:szCs w:val="22"/>
              </w:rPr>
              <w:t>51,986</w:t>
            </w:r>
          </w:p>
        </w:tc>
        <w:tc>
          <w:tcPr>
            <w:tcW w:w="946" w:type="dxa"/>
            <w:gridSpan w:val="3"/>
            <w:shd w:val="clear" w:color="auto" w:fill="FFFFFF"/>
          </w:tcPr>
          <w:p w:rsidR="0027598F" w:rsidRDefault="0027598F" w:rsidP="00D321A7">
            <w:pPr>
              <w:pStyle w:val="CETBodytext"/>
              <w:ind w:right="-1"/>
              <w:rPr>
                <w:rFonts w:ascii="Times New Roman" w:hAnsi="Times New Roman"/>
                <w:color w:val="000000" w:themeColor="text1"/>
                <w:szCs w:val="22"/>
              </w:rPr>
            </w:pPr>
            <w:r w:rsidRPr="00142DA6">
              <w:rPr>
                <w:rFonts w:ascii="Times New Roman" w:hAnsi="Times New Roman"/>
                <w:color w:val="000000" w:themeColor="text1"/>
                <w:szCs w:val="22"/>
              </w:rPr>
              <w:t>30,168</w:t>
            </w:r>
          </w:p>
          <w:p w:rsidR="0027598F" w:rsidRPr="00142DA6" w:rsidRDefault="00D321A7" w:rsidP="00D321A7">
            <w:pPr>
              <w:spacing w:before="40" w:after="40"/>
              <w:ind w:left="28"/>
              <w:rPr>
                <w:rFonts w:ascii="Times New Roman" w:hAnsi="Times New Roman"/>
                <w:color w:val="000000"/>
                <w:szCs w:val="22"/>
              </w:rPr>
            </w:pPr>
            <w:r>
              <w:rPr>
                <w:rFonts w:ascii="Times New Roman" w:hAnsi="Times New Roman"/>
                <w:color w:val="000000"/>
                <w:szCs w:val="22"/>
              </w:rPr>
              <w:t xml:space="preserve">    </w:t>
            </w:r>
            <w:r w:rsidR="0027598F" w:rsidRPr="00142DA6">
              <w:rPr>
                <w:rFonts w:ascii="Times New Roman" w:hAnsi="Times New Roman"/>
                <w:color w:val="000000"/>
                <w:szCs w:val="22"/>
              </w:rPr>
              <w:t>4</w:t>
            </w:r>
          </w:p>
          <w:p w:rsidR="0027598F" w:rsidRPr="00142DA6" w:rsidRDefault="0027598F" w:rsidP="00D321A7">
            <w:pPr>
              <w:pStyle w:val="CETBodytext"/>
              <w:ind w:right="-1"/>
              <w:rPr>
                <w:rFonts w:ascii="Times New Roman" w:hAnsi="Times New Roman"/>
                <w:color w:val="000000" w:themeColor="text1"/>
                <w:szCs w:val="22"/>
              </w:rPr>
            </w:pPr>
            <w:r w:rsidRPr="00142DA6">
              <w:rPr>
                <w:rFonts w:ascii="Times New Roman" w:eastAsia="Calibri" w:hAnsi="Times New Roman"/>
                <w:kern w:val="24"/>
                <w:szCs w:val="22"/>
              </w:rPr>
              <w:t>48,400</w:t>
            </w:r>
          </w:p>
        </w:tc>
      </w:tr>
    </w:tbl>
    <w:p w:rsidR="0051523C" w:rsidRDefault="0051523C" w:rsidP="0051523C">
      <w:pPr>
        <w:pStyle w:val="CETheadingx"/>
        <w:numPr>
          <w:ilvl w:val="0"/>
          <w:numId w:val="0"/>
        </w:numPr>
      </w:pPr>
    </w:p>
    <w:p w:rsidR="0051523C" w:rsidRPr="0051523C" w:rsidRDefault="00791173" w:rsidP="0051523C">
      <w:pPr>
        <w:pStyle w:val="CETheadingx"/>
      </w:pPr>
      <w:r>
        <w:t>Biogas Production</w:t>
      </w:r>
    </w:p>
    <w:p w:rsidR="00791173" w:rsidRDefault="003B0695" w:rsidP="00CB243C">
      <w:pPr>
        <w:pStyle w:val="ListParagraph"/>
        <w:spacing w:before="40" w:after="40"/>
        <w:ind w:left="0" w:firstLine="540"/>
        <w:jc w:val="thaiDistribute"/>
        <w:rPr>
          <w:rFonts w:eastAsiaTheme="majorEastAsia" w:cs="Arial"/>
          <w:szCs w:val="18"/>
          <w:lang w:bidi="th-TH"/>
        </w:rPr>
      </w:pPr>
      <w:r>
        <w:rPr>
          <w:rFonts w:cs="Arial"/>
        </w:rPr>
        <w:tab/>
      </w:r>
      <w:r w:rsidR="00791173">
        <w:rPr>
          <w:rFonts w:cs="Arial"/>
        </w:rPr>
        <w:t xml:space="preserve"> </w:t>
      </w:r>
      <w:r w:rsidR="00791173" w:rsidRPr="00791173">
        <w:rPr>
          <w:rFonts w:cs="Arial"/>
          <w:szCs w:val="18"/>
        </w:rPr>
        <w:t xml:space="preserve">The relative biogas production with OFM of different ratios of </w:t>
      </w:r>
      <w:r w:rsidR="00791173" w:rsidRPr="00791173">
        <w:rPr>
          <w:rFonts w:eastAsiaTheme="majorEastAsia" w:cs="Arial"/>
          <w:szCs w:val="18"/>
          <w:lang w:bidi="th-TH"/>
        </w:rPr>
        <w:t xml:space="preserve">fermented raw materials was determined as shown in figure </w:t>
      </w:r>
      <w:r w:rsidR="00557694">
        <w:rPr>
          <w:rFonts w:eastAsiaTheme="majorEastAsia" w:cs="Arial"/>
          <w:szCs w:val="18"/>
          <w:lang w:bidi="th-TH"/>
        </w:rPr>
        <w:t>2</w:t>
      </w:r>
      <w:r w:rsidR="00791173" w:rsidRPr="00791173">
        <w:rPr>
          <w:rFonts w:eastAsiaTheme="majorEastAsia" w:cs="Arial"/>
          <w:szCs w:val="18"/>
          <w:lang w:bidi="th-TH"/>
        </w:rPr>
        <w:t xml:space="preserve">. It was found that dairy industry waste occurred the highest content of accumulated biogas production with all fermented ratios (75:25, 50:50, 25:75, 0:100). On the other hands, the lowest content of accumulated biogas production was found in energy drink waste with all fermented ratios. </w:t>
      </w:r>
      <w:r w:rsidR="00791173" w:rsidRPr="00791173">
        <w:rPr>
          <w:rFonts w:cs="Arial"/>
          <w:szCs w:val="18"/>
          <w:lang w:bidi="th-TH"/>
        </w:rPr>
        <w:t xml:space="preserve">The experiment result showed the proportion 75:25 of illustrated the maximum quantity of accumulated biogas of OFM with DW equal 272 ml &gt; CW equal 162 ml &gt; BW 139 ml &gt; EW equal 128 ml, respectively.  </w:t>
      </w:r>
      <w:r w:rsidR="00791173" w:rsidRPr="00791173">
        <w:rPr>
          <w:rFonts w:eastAsiaTheme="majorEastAsia" w:cs="Arial"/>
          <w:szCs w:val="18"/>
          <w:lang w:bidi="th-TH"/>
        </w:rPr>
        <w:t xml:space="preserve">The fermented ratio of 75:25 of all industrial wastes seemed to have higher accumulated biogas production compared to other fermented ratios, especially it was found in dairy industry waste, higher more than 2.1 times. However, the ratio of 0:100 seemed to have the lowest of accumulated biogas production of all fermented raw materials, especially it was found in energy drink waste. In addition, beer industry waste and coffee industry waste seemed to produce the same amount of accumulated biogas production of OFM. </w:t>
      </w:r>
      <w:r w:rsidR="00791173" w:rsidRPr="00791173">
        <w:rPr>
          <w:rFonts w:eastAsiaTheme="majorEastAsia" w:cs="Arial"/>
          <w:szCs w:val="18"/>
          <w:cs/>
          <w:lang w:bidi="th-TH"/>
        </w:rPr>
        <w:t xml:space="preserve"> </w:t>
      </w:r>
    </w:p>
    <w:p w:rsidR="00D321A7" w:rsidRDefault="00D321A7" w:rsidP="00791173">
      <w:pPr>
        <w:pStyle w:val="ListParagraph"/>
        <w:spacing w:before="40" w:after="40"/>
        <w:ind w:left="0" w:firstLine="630"/>
        <w:jc w:val="thaiDistribute"/>
        <w:rPr>
          <w:rFonts w:eastAsiaTheme="majorEastAsia" w:cs="Arial"/>
          <w:szCs w:val="18"/>
          <w:lang w:bidi="th-TH"/>
        </w:rPr>
      </w:pPr>
    </w:p>
    <w:p w:rsidR="00C853A9" w:rsidRPr="00791173" w:rsidRDefault="00791173" w:rsidP="00D321A7">
      <w:pPr>
        <w:pStyle w:val="ListParagraph"/>
        <w:spacing w:before="40" w:after="40"/>
        <w:ind w:left="0"/>
        <w:jc w:val="left"/>
        <w:rPr>
          <w:rFonts w:eastAsia="Calibri" w:cs="Arial"/>
          <w:kern w:val="24"/>
          <w:szCs w:val="22"/>
        </w:rPr>
      </w:pPr>
      <w:r>
        <w:rPr>
          <w:noProof/>
          <w:lang w:val="en-US" w:bidi="th-TH"/>
        </w:rPr>
        <w:lastRenderedPageBreak/>
        <w:drawing>
          <wp:inline distT="0" distB="0" distL="0" distR="0" wp14:anchorId="2BD76DA9" wp14:editId="0296A9C4">
            <wp:extent cx="45720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1173" w:rsidRPr="00557694" w:rsidRDefault="00791173" w:rsidP="00557694">
      <w:pPr>
        <w:pStyle w:val="CETCaption"/>
        <w:rPr>
          <w:iCs/>
        </w:rPr>
      </w:pPr>
      <w:r>
        <w:t xml:space="preserve">Figure </w:t>
      </w:r>
      <w:r w:rsidR="00557694">
        <w:t>2</w:t>
      </w:r>
      <w:r w:rsidR="003B0695" w:rsidRPr="00B57B36">
        <w:t xml:space="preserve">: </w:t>
      </w:r>
      <w:r w:rsidRPr="00791173">
        <w:rPr>
          <w:iCs/>
        </w:rPr>
        <w:t xml:space="preserve">Relative biogas production of </w:t>
      </w:r>
      <w:r w:rsidRPr="00791173">
        <w:rPr>
          <w:rFonts w:eastAsiaTheme="majorEastAsia"/>
          <w:iCs/>
        </w:rPr>
        <w:t xml:space="preserve">fermented raw materials </w:t>
      </w:r>
      <w:r w:rsidRPr="00791173">
        <w:rPr>
          <w:iCs/>
        </w:rPr>
        <w:t>in different ratios.</w:t>
      </w:r>
    </w:p>
    <w:p w:rsidR="00791173" w:rsidRPr="00657B00" w:rsidRDefault="00791173" w:rsidP="00657B00">
      <w:pPr>
        <w:pStyle w:val="CETheadingx"/>
      </w:pPr>
      <w:r w:rsidRPr="00657B00">
        <w:rPr>
          <w:szCs w:val="18"/>
        </w:rPr>
        <w:t>Carbon dioxide (CO</w:t>
      </w:r>
      <w:r w:rsidRPr="00657B00">
        <w:rPr>
          <w:szCs w:val="18"/>
          <w:vertAlign w:val="subscript"/>
        </w:rPr>
        <w:t>2</w:t>
      </w:r>
      <w:r w:rsidRPr="00657B00">
        <w:rPr>
          <w:szCs w:val="18"/>
        </w:rPr>
        <w:t>) and methane (CH</w:t>
      </w:r>
      <w:r w:rsidRPr="00657B00">
        <w:rPr>
          <w:szCs w:val="18"/>
          <w:vertAlign w:val="subscript"/>
        </w:rPr>
        <w:t>4</w:t>
      </w:r>
      <w:r w:rsidRPr="00657B00">
        <w:rPr>
          <w:szCs w:val="18"/>
        </w:rPr>
        <w:t>) Production</w:t>
      </w:r>
    </w:p>
    <w:p w:rsidR="00657B00" w:rsidRPr="00657B00" w:rsidRDefault="00557694" w:rsidP="00CB243C">
      <w:pPr>
        <w:pStyle w:val="section"/>
      </w:pPr>
      <w:r>
        <w:t>From figure 3</w:t>
      </w:r>
      <w:r w:rsidR="00657B00" w:rsidRPr="00657B00">
        <w:t>, it was found that the composition of biogas, a relative carbon dioxide content when compared with OFM, were decreased when the OFM was mixed with various industrial wastes (xW) in various ratios. The maximum carbon dioxide content of mixed-wastes occurred in ratio of 75:25 and decreased when increasing the industrial wastes in the mixture. The highest carbon dioxide content was 75:25, followed by 50:50 and 25:75, respectively. The CO</w:t>
      </w:r>
      <w:r w:rsidR="00657B00" w:rsidRPr="00657B00">
        <w:rPr>
          <w:vertAlign w:val="subscript"/>
        </w:rPr>
        <w:t>2</w:t>
      </w:r>
      <w:r w:rsidR="00657B00" w:rsidRPr="00657B00">
        <w:t xml:space="preserve"> contents of mixed-wastes were nearly the pure OFM. From the results of methane content CH</w:t>
      </w:r>
      <w:r w:rsidR="00657B00" w:rsidRPr="00657B00">
        <w:rPr>
          <w:vertAlign w:val="subscript"/>
        </w:rPr>
        <w:t>4</w:t>
      </w:r>
      <w:r w:rsidR="00657B00" w:rsidRPr="00657B00">
        <w:t xml:space="preserve"> (%) (figure</w:t>
      </w:r>
      <w:r>
        <w:t xml:space="preserve"> 4</w:t>
      </w:r>
      <w:r w:rsidR="00657B00" w:rsidRPr="00657B00">
        <w:t>.), it shows same trend of CO</w:t>
      </w:r>
      <w:r w:rsidR="00657B00" w:rsidRPr="00657B00">
        <w:rPr>
          <w:vertAlign w:val="subscript"/>
        </w:rPr>
        <w:t>2</w:t>
      </w:r>
      <w:r w:rsidR="00657B00" w:rsidRPr="00657B00">
        <w:t>. The CH</w:t>
      </w:r>
      <w:r w:rsidR="00657B00" w:rsidRPr="00657B00">
        <w:rPr>
          <w:vertAlign w:val="subscript"/>
        </w:rPr>
        <w:t>4</w:t>
      </w:r>
      <w:r w:rsidR="00657B00" w:rsidRPr="00657B00">
        <w:t xml:space="preserve"> contents of mixed-wastes decreased when increasing industrials wastes (xW).</w:t>
      </w:r>
    </w:p>
    <w:p w:rsidR="00791173" w:rsidRDefault="00791173" w:rsidP="00791173">
      <w:pPr>
        <w:pStyle w:val="CETBodytext"/>
      </w:pPr>
    </w:p>
    <w:p w:rsidR="00657B00" w:rsidRPr="00791173" w:rsidRDefault="00657B00" w:rsidP="00791173">
      <w:pPr>
        <w:pStyle w:val="CETBodytext"/>
      </w:pPr>
      <w:r>
        <w:rPr>
          <w:noProof/>
          <w:lang w:bidi="th-TH"/>
        </w:rPr>
        <w:drawing>
          <wp:inline distT="0" distB="0" distL="0" distR="0" wp14:anchorId="2451D1BE" wp14:editId="71E83957">
            <wp:extent cx="45720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7B00" w:rsidRDefault="00557694" w:rsidP="00657B00">
      <w:pPr>
        <w:pStyle w:val="CETCaption"/>
        <w:rPr>
          <w:iCs/>
        </w:rPr>
      </w:pPr>
      <w:r>
        <w:t>Figure 3</w:t>
      </w:r>
      <w:r w:rsidR="00657B00">
        <w:t xml:space="preserve">: </w:t>
      </w:r>
      <w:r w:rsidR="00657B00" w:rsidRPr="00657B00">
        <w:rPr>
          <w:iCs/>
        </w:rPr>
        <w:t>Relative carbon dioxide production with OFM in various ratios.</w:t>
      </w:r>
    </w:p>
    <w:p w:rsidR="00657B00" w:rsidRPr="00B77A88" w:rsidRDefault="00657B00" w:rsidP="00657B00">
      <w:pPr>
        <w:pStyle w:val="CETCaption"/>
        <w:rPr>
          <w:iCs/>
        </w:rPr>
      </w:pPr>
      <w:r>
        <w:rPr>
          <w:noProof/>
          <w:lang w:val="en-US" w:bidi="th-TH"/>
        </w:rPr>
        <w:lastRenderedPageBreak/>
        <w:drawing>
          <wp:inline distT="0" distB="0" distL="0" distR="0" wp14:anchorId="74ECBE35" wp14:editId="3949DDFB">
            <wp:extent cx="45720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7B00" w:rsidRDefault="00557694" w:rsidP="00657B00">
      <w:pPr>
        <w:pStyle w:val="CETCaption"/>
        <w:rPr>
          <w:iCs/>
        </w:rPr>
      </w:pPr>
      <w:r>
        <w:t>Figure 4</w:t>
      </w:r>
      <w:r w:rsidR="00657B00">
        <w:t>: Relative methane production with OFM in various ratios.</w:t>
      </w:r>
    </w:p>
    <w:p w:rsidR="00657B00" w:rsidRPr="00657B00" w:rsidRDefault="00657B00" w:rsidP="00657B00">
      <w:pPr>
        <w:pStyle w:val="CETheadingx"/>
      </w:pPr>
      <w:r w:rsidRPr="00657B00">
        <w:rPr>
          <w:szCs w:val="18"/>
        </w:rPr>
        <w:t>Energy heating value</w:t>
      </w:r>
    </w:p>
    <w:p w:rsidR="00657B00" w:rsidRDefault="00557694" w:rsidP="00CB243C">
      <w:pPr>
        <w:pStyle w:val="section"/>
      </w:pPr>
      <w:r>
        <w:t>Figure 5</w:t>
      </w:r>
      <w:r w:rsidR="00657B00" w:rsidRPr="00657B00">
        <w:t xml:space="preserve"> showed that the suitable biogas co-digestion was only OFM:DW. The ratio of fermentation of fertilizer raw material with dairy industry at 75:25 gave a heating value of 2530.93 Joule (1.83 times), followed by the ratio of 50:50 with a heating value of 1806.55 Joules (1.34 times) and the ratio of 25:75 revealed a heating value of 1794.63 Joules (1.29 times), respectively.</w:t>
      </w:r>
    </w:p>
    <w:p w:rsidR="00657B00" w:rsidRPr="00657B00" w:rsidRDefault="00657B00" w:rsidP="00CB243C">
      <w:pPr>
        <w:pStyle w:val="section"/>
      </w:pPr>
    </w:p>
    <w:p w:rsidR="00657B00" w:rsidRDefault="00657B00" w:rsidP="00657B00">
      <w:pPr>
        <w:pStyle w:val="CETBodytext"/>
        <w:rPr>
          <w:lang w:bidi="th-TH"/>
        </w:rPr>
      </w:pPr>
      <w:r>
        <w:rPr>
          <w:noProof/>
          <w:lang w:bidi="th-TH"/>
        </w:rPr>
        <w:drawing>
          <wp:inline distT="0" distB="0" distL="0" distR="0" wp14:anchorId="449896EF" wp14:editId="2CE31A47">
            <wp:extent cx="45720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0695" w:rsidRPr="00657B00" w:rsidRDefault="00557694" w:rsidP="00657B00">
      <w:pPr>
        <w:pStyle w:val="CETCaption"/>
      </w:pPr>
      <w:r>
        <w:t>Figure 5</w:t>
      </w:r>
      <w:r w:rsidR="00657B00">
        <w:t xml:space="preserve">: </w:t>
      </w:r>
      <w:r w:rsidR="00657B00" w:rsidRPr="001963A2">
        <w:t xml:space="preserve">Heating value </w:t>
      </w:r>
      <w:r w:rsidR="00657B00">
        <w:t>relative with OFM in various ratios.</w:t>
      </w:r>
    </w:p>
    <w:p w:rsidR="003B0695" w:rsidRPr="00657B00" w:rsidRDefault="003B0695" w:rsidP="00657B00">
      <w:pPr>
        <w:pStyle w:val="CETHeading1"/>
        <w:numPr>
          <w:ilvl w:val="1"/>
          <w:numId w:val="24"/>
        </w:numPr>
        <w:rPr>
          <w:lang w:val="en-GB"/>
        </w:rPr>
      </w:pPr>
      <w:r w:rsidRPr="00657B00">
        <w:rPr>
          <w:lang w:val="en-GB"/>
        </w:rPr>
        <w:lastRenderedPageBreak/>
        <w:t>Conclusion</w:t>
      </w:r>
    </w:p>
    <w:p w:rsidR="00657B00" w:rsidRPr="00657B00" w:rsidRDefault="00657B00" w:rsidP="00CB243C">
      <w:pPr>
        <w:pStyle w:val="1"/>
        <w:ind w:firstLine="540"/>
        <w:rPr>
          <w:rFonts w:ascii="Arial" w:hAnsi="Arial" w:cs="Arial"/>
          <w:sz w:val="18"/>
          <w:szCs w:val="18"/>
        </w:rPr>
      </w:pPr>
      <w:r w:rsidRPr="00657B00">
        <w:rPr>
          <w:rFonts w:ascii="Arial" w:hAnsi="Arial" w:cs="Arial"/>
          <w:sz w:val="18"/>
          <w:szCs w:val="18"/>
        </w:rPr>
        <w:t>The study found that the ratio of the maximum biogas volume was occurred at 75:25. The DW had the highest biogas volume at 272 ml, followed by CW, BW and EW with the accumulated biogas volume at 162, 139 and 128 ml, respectively. The heating value from the experiments showed that when mixing industrial waste with OFM, the heat value was increased by added industrial waste gave higher value of biogas compared to ferment with only fertilizer raw material. The best ratio was 75:25, followed by 50:50 and 25:75, respectively. The appropriate industrial wastes for co-digest with OFM in this experiment was dairy industrial waste (DW).</w:t>
      </w:r>
    </w:p>
    <w:p w:rsidR="003B0695" w:rsidRPr="003B0695" w:rsidRDefault="003B0695" w:rsidP="003B0695">
      <w:pPr>
        <w:pStyle w:val="1"/>
        <w:spacing w:line="240" w:lineRule="auto"/>
        <w:ind w:firstLine="720"/>
        <w:rPr>
          <w:rFonts w:ascii="Arial" w:hAnsi="Arial" w:cs="Arial"/>
          <w:sz w:val="18"/>
          <w:szCs w:val="18"/>
        </w:rPr>
      </w:pPr>
    </w:p>
    <w:p w:rsidR="00600535" w:rsidRPr="00B57B36" w:rsidRDefault="00600535" w:rsidP="00600535">
      <w:pPr>
        <w:pStyle w:val="CETAcknowledgementstitle"/>
      </w:pPr>
      <w:r w:rsidRPr="00B57B36">
        <w:t>Acknowledgments</w:t>
      </w:r>
    </w:p>
    <w:p w:rsidR="00657B00" w:rsidRPr="00657B00" w:rsidRDefault="00657B00" w:rsidP="00CB243C">
      <w:pPr>
        <w:pStyle w:val="Text"/>
        <w:spacing w:line="240" w:lineRule="auto"/>
        <w:ind w:firstLine="540"/>
        <w:jc w:val="thaiDistribute"/>
        <w:rPr>
          <w:rFonts w:ascii="Arial" w:hAnsi="Arial" w:cs="Arial"/>
          <w:color w:val="000000"/>
          <w:sz w:val="18"/>
          <w:szCs w:val="18"/>
        </w:rPr>
      </w:pPr>
      <w:r>
        <w:rPr>
          <w:rFonts w:ascii="Arial" w:hAnsi="Arial" w:cs="Arial"/>
          <w:color w:val="000000"/>
          <w:sz w:val="18"/>
          <w:szCs w:val="18"/>
        </w:rPr>
        <w:t xml:space="preserve"> </w:t>
      </w:r>
      <w:r w:rsidRPr="00657B00">
        <w:rPr>
          <w:rFonts w:ascii="Arial" w:hAnsi="Arial" w:cs="Arial"/>
          <w:color w:val="000000"/>
          <w:sz w:val="18"/>
          <w:szCs w:val="18"/>
        </w:rPr>
        <w:t xml:space="preserve">This research partially conducted under the support of Department of Advanced Manufacturing Technology and Department of Manufacturing Engineering, Faculty of Engineering, Pathumwan Institute of Technology and the Ratchadaphiseksomphot Endowment Fund of Chulalongkorn University. There was gratefully acknowledged for provided facilities and experiment being required for this research. </w:t>
      </w:r>
    </w:p>
    <w:p w:rsidR="00657B00" w:rsidRPr="004A3A19" w:rsidRDefault="00657B00" w:rsidP="003B0695">
      <w:pPr>
        <w:pStyle w:val="Text"/>
        <w:spacing w:line="240" w:lineRule="auto"/>
        <w:ind w:firstLine="708"/>
        <w:jc w:val="thaiDistribute"/>
        <w:rPr>
          <w:rFonts w:ascii="Arial" w:hAnsi="Arial" w:cs="Arial"/>
          <w:color w:val="000000"/>
          <w:sz w:val="18"/>
          <w:szCs w:val="18"/>
          <w:lang w:val="it-IT"/>
        </w:rPr>
      </w:pPr>
    </w:p>
    <w:p w:rsidR="003B0695" w:rsidRPr="00657B00" w:rsidRDefault="00600535" w:rsidP="00401556">
      <w:pPr>
        <w:pStyle w:val="CETReference"/>
        <w:jc w:val="thaiDistribute"/>
      </w:pPr>
      <w:r w:rsidRPr="00B57B36">
        <w:t>References</w:t>
      </w:r>
    </w:p>
    <w:p w:rsidR="00DD6DBC" w:rsidRPr="00DD6DBC" w:rsidRDefault="006A5AD2"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008E76B3">
        <w:rPr>
          <w:rFonts w:eastAsia="Batang" w:cs="Arial"/>
          <w:szCs w:val="18"/>
          <w:lang w:val="en-US" w:eastAsia="ja-JP"/>
        </w:rPr>
        <w:t>Aggarangsi, P</w:t>
      </w:r>
      <w:r w:rsidR="00DD6DBC" w:rsidRPr="00DD6DBC">
        <w:rPr>
          <w:rFonts w:eastAsia="Batang" w:cs="Arial"/>
          <w:szCs w:val="18"/>
          <w:lang w:val="en-US" w:eastAsia="ja-JP"/>
        </w:rPr>
        <w:t>, Tippayawong</w:t>
      </w:r>
      <w:r w:rsidR="008E76B3">
        <w:rPr>
          <w:rFonts w:eastAsia="Batang" w:cs="Arial"/>
          <w:szCs w:val="18"/>
          <w:lang w:val="en-US" w:eastAsia="ja-JP"/>
        </w:rPr>
        <w:t>, N</w:t>
      </w:r>
      <w:r w:rsidR="00DD6DBC" w:rsidRPr="00DD6DBC">
        <w:rPr>
          <w:rFonts w:eastAsia="Batang" w:cs="Arial"/>
          <w:szCs w:val="18"/>
          <w:lang w:val="en-US" w:eastAsia="ja-JP"/>
        </w:rPr>
        <w:t>, Moran</w:t>
      </w:r>
      <w:r w:rsidR="008E76B3">
        <w:rPr>
          <w:rFonts w:eastAsia="Batang" w:cs="Arial"/>
          <w:szCs w:val="18"/>
          <w:lang w:val="en-US" w:eastAsia="ja-JP"/>
        </w:rPr>
        <w:t>, C. &amp;</w:t>
      </w:r>
      <w:r w:rsidR="00DD6DBC" w:rsidRPr="00DD6DBC">
        <w:rPr>
          <w:rFonts w:eastAsia="Batang" w:cs="Arial"/>
          <w:szCs w:val="18"/>
          <w:lang w:val="en-US" w:eastAsia="ja-JP"/>
        </w:rPr>
        <w:t xml:space="preserve"> Rerkkriangkrai</w:t>
      </w:r>
      <w:r w:rsidR="008E76B3">
        <w:rPr>
          <w:rFonts w:eastAsia="Batang" w:cs="Arial"/>
          <w:szCs w:val="18"/>
          <w:lang w:val="en-US" w:eastAsia="ja-JP"/>
        </w:rPr>
        <w:t>, P</w:t>
      </w:r>
      <w:r w:rsidR="008E3B8E">
        <w:rPr>
          <w:rFonts w:eastAsia="Batang" w:cs="Arial"/>
          <w:szCs w:val="18"/>
          <w:lang w:val="en-US" w:eastAsia="ja-JP"/>
        </w:rPr>
        <w:t xml:space="preserve"> 2013</w:t>
      </w:r>
      <w:r w:rsidR="008E3B8E">
        <w:rPr>
          <w:rFonts w:eastAsia="Batang" w:cs="Browallia New"/>
          <w:szCs w:val="22"/>
          <w:lang w:val="en-US" w:eastAsia="ja-JP" w:bidi="th-TH"/>
        </w:rPr>
        <w:t>, ‘</w:t>
      </w:r>
      <w:r w:rsidR="008E3B8E" w:rsidRPr="008E3B8E">
        <w:rPr>
          <w:rFonts w:eastAsia="Batang" w:cs="Browallia New"/>
          <w:szCs w:val="22"/>
          <w:lang w:val="en-US" w:eastAsia="ja-JP" w:bidi="th-TH"/>
        </w:rPr>
        <w:t>Overview of livestock biogas technology development and implementation in Thailand</w:t>
      </w:r>
      <w:r w:rsidR="008E3B8E">
        <w:rPr>
          <w:rFonts w:eastAsia="Batang" w:cs="Browallia New"/>
          <w:szCs w:val="22"/>
          <w:lang w:val="en-US" w:eastAsia="ja-JP" w:bidi="th-TH"/>
        </w:rPr>
        <w:t xml:space="preserve">’, </w:t>
      </w:r>
      <w:r w:rsidR="00DD6DBC" w:rsidRPr="00DD6DBC">
        <w:rPr>
          <w:rFonts w:eastAsia="Batang" w:cs="Arial"/>
          <w:szCs w:val="18"/>
          <w:lang w:val="en-US" w:eastAsia="ja-JP"/>
        </w:rPr>
        <w:t xml:space="preserve">Energy for Sustainable Development, </w:t>
      </w:r>
      <w:r w:rsidR="008E76B3">
        <w:rPr>
          <w:rFonts w:eastAsia="Batang" w:cs="Arial"/>
          <w:szCs w:val="18"/>
          <w:lang w:val="en-US" w:eastAsia="ja-JP"/>
        </w:rPr>
        <w:t xml:space="preserve">vol. </w:t>
      </w:r>
      <w:r w:rsidR="00DD6DBC" w:rsidRPr="00DD6DBC">
        <w:rPr>
          <w:rFonts w:eastAsia="Batang" w:cs="Arial"/>
          <w:szCs w:val="18"/>
          <w:lang w:val="en-US" w:eastAsia="ja-JP"/>
        </w:rPr>
        <w:t>17,</w:t>
      </w:r>
      <w:r w:rsidR="008E3B8E">
        <w:rPr>
          <w:rFonts w:eastAsia="Batang" w:cs="Arial"/>
          <w:szCs w:val="18"/>
          <w:lang w:val="en-US" w:eastAsia="ja-JP"/>
        </w:rPr>
        <w:t xml:space="preserve"> no. 4</w:t>
      </w:r>
      <w:r w:rsidR="00DD6DBC" w:rsidRPr="00DD6DBC">
        <w:rPr>
          <w:rFonts w:eastAsia="Batang" w:cs="Arial"/>
          <w:szCs w:val="18"/>
          <w:lang w:val="en-US" w:eastAsia="ja-JP"/>
        </w:rPr>
        <w:t xml:space="preserve"> pp 371-377.</w:t>
      </w:r>
    </w:p>
    <w:p w:rsidR="00DD6DBC" w:rsidRPr="00DD6DBC" w:rsidRDefault="00DD6DBC"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Pr="00DD6DBC">
        <w:rPr>
          <w:rFonts w:eastAsia="Batang" w:cs="Arial"/>
          <w:szCs w:val="18"/>
          <w:lang w:val="en-US" w:eastAsia="ja-JP"/>
        </w:rPr>
        <w:t>Budzianowski</w:t>
      </w:r>
      <w:r w:rsidR="008E76B3">
        <w:rPr>
          <w:rFonts w:eastAsia="Batang" w:cs="Arial"/>
          <w:szCs w:val="18"/>
          <w:lang w:val="en-US" w:eastAsia="ja-JP"/>
        </w:rPr>
        <w:t>, W 2016,</w:t>
      </w:r>
      <w:r w:rsidRPr="00DD6DBC">
        <w:rPr>
          <w:rFonts w:eastAsia="Batang" w:cs="Arial"/>
          <w:szCs w:val="18"/>
          <w:lang w:val="en-US" w:eastAsia="ja-JP"/>
        </w:rPr>
        <w:t xml:space="preserve"> </w:t>
      </w:r>
      <w:r w:rsidR="008E3B8E">
        <w:rPr>
          <w:rFonts w:eastAsia="Batang" w:cs="Arial"/>
          <w:szCs w:val="18"/>
          <w:lang w:val="en-US" w:eastAsia="ja-JP"/>
        </w:rPr>
        <w:t>‘</w:t>
      </w:r>
      <w:r w:rsidR="008E3B8E" w:rsidRPr="008E3B8E">
        <w:rPr>
          <w:rFonts w:eastAsia="Batang" w:cs="Arial"/>
          <w:szCs w:val="18"/>
          <w:lang w:val="en-US" w:eastAsia="ja-JP"/>
        </w:rPr>
        <w:t>A review of potential innovations for production, conditioning and utilization of biogas with multiple-criteria assessment</w:t>
      </w:r>
      <w:r w:rsidR="008E3B8E">
        <w:rPr>
          <w:rFonts w:eastAsia="Batang" w:cs="Arial"/>
          <w:szCs w:val="18"/>
          <w:lang w:val="en-US" w:eastAsia="ja-JP"/>
        </w:rPr>
        <w:t xml:space="preserve">’, </w:t>
      </w:r>
      <w:r w:rsidRPr="00DD6DBC">
        <w:rPr>
          <w:rFonts w:eastAsia="Batang" w:cs="Arial"/>
          <w:szCs w:val="18"/>
          <w:lang w:val="en-US" w:eastAsia="ja-JP"/>
        </w:rPr>
        <w:t xml:space="preserve">Renewable Sustainable Energy Reviews, </w:t>
      </w:r>
      <w:r w:rsidR="008E76B3">
        <w:rPr>
          <w:rFonts w:eastAsia="Batang" w:cs="Arial"/>
          <w:szCs w:val="18"/>
          <w:lang w:val="en-US" w:eastAsia="ja-JP"/>
        </w:rPr>
        <w:t xml:space="preserve">vol. </w:t>
      </w:r>
      <w:r w:rsidRPr="00DD6DBC">
        <w:rPr>
          <w:rFonts w:eastAsia="Batang" w:cs="Arial"/>
          <w:szCs w:val="18"/>
          <w:lang w:val="en-US" w:eastAsia="ja-JP"/>
        </w:rPr>
        <w:t>54, pp</w:t>
      </w:r>
      <w:r w:rsidR="008E76B3">
        <w:rPr>
          <w:rFonts w:eastAsia="Batang" w:cs="Arial"/>
          <w:szCs w:val="18"/>
          <w:lang w:val="en-US" w:eastAsia="ja-JP"/>
        </w:rPr>
        <w:t>.</w:t>
      </w:r>
      <w:r w:rsidRPr="00DD6DBC">
        <w:rPr>
          <w:rFonts w:eastAsia="Batang" w:cs="Arial"/>
          <w:szCs w:val="18"/>
          <w:lang w:val="en-US" w:eastAsia="ja-JP"/>
        </w:rPr>
        <w:t xml:space="preserve"> 1148-1171.</w:t>
      </w:r>
    </w:p>
    <w:p w:rsidR="00DD6DBC" w:rsidRPr="00DD6DBC" w:rsidRDefault="00DD6DBC"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008E76B3">
        <w:rPr>
          <w:rFonts w:eastAsia="Batang" w:cs="Arial"/>
          <w:szCs w:val="18"/>
          <w:lang w:val="en-US" w:eastAsia="ja-JP"/>
        </w:rPr>
        <w:t xml:space="preserve">Chen, </w:t>
      </w:r>
      <w:r w:rsidR="008E3B8E">
        <w:rPr>
          <w:rFonts w:eastAsia="Batang" w:cs="Arial"/>
          <w:szCs w:val="18"/>
          <w:lang w:val="en-US" w:eastAsia="ja-JP"/>
        </w:rPr>
        <w:t>P</w:t>
      </w:r>
      <w:r w:rsidRPr="00DD6DBC">
        <w:rPr>
          <w:rFonts w:eastAsia="Batang" w:cs="Arial"/>
          <w:szCs w:val="18"/>
          <w:lang w:val="en-US" w:eastAsia="ja-JP"/>
        </w:rPr>
        <w:t xml:space="preserve">, </w:t>
      </w:r>
      <w:r w:rsidR="008E3B8E">
        <w:rPr>
          <w:rFonts w:eastAsia="Batang" w:cs="Arial"/>
          <w:szCs w:val="18"/>
          <w:lang w:val="en-US" w:eastAsia="ja-JP"/>
        </w:rPr>
        <w:t>Yan</w:t>
      </w:r>
      <w:r w:rsidR="002A021E">
        <w:rPr>
          <w:rFonts w:eastAsia="Batang" w:cs="Arial"/>
          <w:szCs w:val="18"/>
          <w:lang w:val="en-US" w:eastAsia="ja-JP"/>
        </w:rPr>
        <w:t>ling</w:t>
      </w:r>
      <w:r w:rsidR="008E76B3">
        <w:rPr>
          <w:rFonts w:eastAsia="Batang" w:cs="Arial"/>
          <w:szCs w:val="18"/>
          <w:lang w:val="en-US" w:eastAsia="ja-JP"/>
        </w:rPr>
        <w:t>,</w:t>
      </w:r>
      <w:r w:rsidR="002A021E">
        <w:rPr>
          <w:rFonts w:eastAsia="Batang" w:cs="Arial"/>
          <w:szCs w:val="18"/>
          <w:lang w:val="en-US" w:eastAsia="ja-JP"/>
        </w:rPr>
        <w:t xml:space="preserve"> C, Shaobo, D, Xiangyang, L Guangwei, H</w:t>
      </w:r>
      <w:r w:rsidR="008E76B3">
        <w:rPr>
          <w:rFonts w:eastAsia="Batang" w:cs="Arial"/>
          <w:szCs w:val="18"/>
          <w:lang w:val="en-US" w:eastAsia="ja-JP"/>
        </w:rPr>
        <w:t xml:space="preserve"> &amp;</w:t>
      </w:r>
      <w:r w:rsidR="002A021E">
        <w:rPr>
          <w:rFonts w:eastAsia="Batang" w:cs="Arial"/>
          <w:szCs w:val="18"/>
          <w:lang w:val="en-US" w:eastAsia="ja-JP"/>
        </w:rPr>
        <w:t xml:space="preserve"> Ruan, R</w:t>
      </w:r>
      <w:r w:rsidR="008E3B8E">
        <w:rPr>
          <w:rFonts w:eastAsia="Batang" w:cs="Arial"/>
          <w:szCs w:val="18"/>
          <w:lang w:val="en-US" w:eastAsia="ja-JP"/>
        </w:rPr>
        <w:t xml:space="preserve"> 2010,’</w:t>
      </w:r>
      <w:r w:rsidR="008E3B8E" w:rsidRPr="008E3B8E">
        <w:t xml:space="preserve"> </w:t>
      </w:r>
      <w:r w:rsidR="008E3B8E" w:rsidRPr="008E3B8E">
        <w:rPr>
          <w:rFonts w:eastAsia="Batang" w:cs="Arial"/>
          <w:szCs w:val="18"/>
          <w:lang w:val="en-US" w:eastAsia="ja-JP"/>
        </w:rPr>
        <w:t>Utilization of almond residues</w:t>
      </w:r>
      <w:r w:rsidR="008E3B8E">
        <w:rPr>
          <w:rFonts w:eastAsia="Batang" w:cs="Arial"/>
          <w:szCs w:val="18"/>
          <w:lang w:val="en-US" w:eastAsia="ja-JP"/>
        </w:rPr>
        <w:t>’,</w:t>
      </w:r>
      <w:r w:rsidRPr="00DD6DBC">
        <w:rPr>
          <w:rFonts w:eastAsia="Batang" w:cs="Arial"/>
          <w:szCs w:val="18"/>
          <w:lang w:val="en-US" w:eastAsia="ja-JP"/>
        </w:rPr>
        <w:t xml:space="preserve"> International Journal of Agricultural and Biological Engineering, </w:t>
      </w:r>
      <w:r w:rsidR="008E76B3">
        <w:rPr>
          <w:rFonts w:eastAsia="Batang" w:cs="Arial"/>
          <w:szCs w:val="18"/>
          <w:lang w:val="en-US" w:eastAsia="ja-JP"/>
        </w:rPr>
        <w:t>vol. 3, no. 4</w:t>
      </w:r>
      <w:r w:rsidRPr="00DD6DBC">
        <w:rPr>
          <w:rFonts w:eastAsia="Batang" w:cs="Arial"/>
          <w:szCs w:val="18"/>
          <w:lang w:val="en-US" w:eastAsia="ja-JP"/>
        </w:rPr>
        <w:t>, pp</w:t>
      </w:r>
      <w:r w:rsidR="008E76B3">
        <w:rPr>
          <w:rFonts w:eastAsia="Batang" w:cs="Arial"/>
          <w:szCs w:val="18"/>
          <w:lang w:val="en-US" w:eastAsia="ja-JP"/>
        </w:rPr>
        <w:t>.</w:t>
      </w:r>
      <w:r w:rsidR="008E3B8E">
        <w:rPr>
          <w:rFonts w:eastAsia="Batang" w:cs="Arial"/>
          <w:szCs w:val="18"/>
          <w:lang w:val="en-US" w:eastAsia="ja-JP"/>
        </w:rPr>
        <w:t xml:space="preserve"> 1-18</w:t>
      </w:r>
      <w:r w:rsidRPr="00DD6DBC">
        <w:rPr>
          <w:rFonts w:eastAsia="Batang" w:cs="Arial"/>
          <w:szCs w:val="18"/>
          <w:lang w:val="en-US" w:eastAsia="ja-JP"/>
        </w:rPr>
        <w:t>.</w:t>
      </w:r>
    </w:p>
    <w:p w:rsidR="00DD6DBC" w:rsidRPr="00DD6DBC" w:rsidRDefault="00DD6DBC"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Pr="00DD6DBC">
        <w:rPr>
          <w:rFonts w:eastAsia="Batang" w:cs="Arial"/>
          <w:szCs w:val="18"/>
          <w:lang w:val="en-US" w:eastAsia="ja-JP"/>
        </w:rPr>
        <w:t>Khan</w:t>
      </w:r>
      <w:r w:rsidR="008E76B3">
        <w:rPr>
          <w:rFonts w:eastAsia="Batang" w:cs="Arial"/>
          <w:szCs w:val="18"/>
          <w:lang w:val="en-US" w:eastAsia="ja-JP"/>
        </w:rPr>
        <w:t>, M</w:t>
      </w:r>
      <w:r w:rsidRPr="00DD6DBC">
        <w:rPr>
          <w:rFonts w:eastAsia="Batang" w:cs="Arial"/>
          <w:szCs w:val="18"/>
          <w:lang w:val="en-US" w:eastAsia="ja-JP"/>
        </w:rPr>
        <w:t>, Yasmin</w:t>
      </w:r>
      <w:r w:rsidR="008E76B3">
        <w:rPr>
          <w:rFonts w:eastAsia="Batang" w:cs="Arial"/>
          <w:szCs w:val="18"/>
          <w:lang w:val="en-US" w:eastAsia="ja-JP"/>
        </w:rPr>
        <w:t>, T</w:t>
      </w:r>
      <w:r w:rsidRPr="00DD6DBC">
        <w:rPr>
          <w:rFonts w:eastAsia="Batang" w:cs="Arial"/>
          <w:szCs w:val="18"/>
          <w:lang w:val="en-US" w:eastAsia="ja-JP"/>
        </w:rPr>
        <w:t xml:space="preserve">, </w:t>
      </w:r>
      <w:r w:rsidR="008E76B3">
        <w:rPr>
          <w:rFonts w:eastAsia="Batang" w:cs="Arial"/>
          <w:szCs w:val="18"/>
          <w:lang w:val="en-US" w:eastAsia="ja-JP"/>
        </w:rPr>
        <w:t>&amp;</w:t>
      </w:r>
      <w:r w:rsidRPr="00DD6DBC">
        <w:rPr>
          <w:rFonts w:eastAsia="Batang" w:cs="Arial"/>
          <w:szCs w:val="18"/>
          <w:lang w:val="en-US" w:eastAsia="ja-JP"/>
        </w:rPr>
        <w:t xml:space="preserve"> Shakoor</w:t>
      </w:r>
      <w:r w:rsidR="008E76B3">
        <w:rPr>
          <w:rFonts w:eastAsia="Batang" w:cs="Arial"/>
          <w:szCs w:val="18"/>
          <w:lang w:val="en-US" w:eastAsia="ja-JP"/>
        </w:rPr>
        <w:t>, A 2015,</w:t>
      </w:r>
      <w:r w:rsidRPr="00DD6DBC">
        <w:rPr>
          <w:rFonts w:eastAsia="Batang" w:cs="Arial"/>
          <w:szCs w:val="18"/>
          <w:lang w:val="en-US" w:eastAsia="ja-JP"/>
        </w:rPr>
        <w:t xml:space="preserve"> </w:t>
      </w:r>
      <w:r w:rsidR="002A021E">
        <w:rPr>
          <w:rFonts w:eastAsia="Batang" w:cs="Arial"/>
          <w:szCs w:val="18"/>
          <w:lang w:val="en-US" w:eastAsia="ja-JP"/>
        </w:rPr>
        <w:t>‘</w:t>
      </w:r>
      <w:r w:rsidR="002A021E" w:rsidRPr="002A021E">
        <w:rPr>
          <w:rFonts w:eastAsia="Batang" w:cs="Arial"/>
          <w:szCs w:val="18"/>
          <w:lang w:val="en-US" w:eastAsia="ja-JP"/>
        </w:rPr>
        <w:t>Technical overview of compressed natural gas (CNG) as a transportation fuel</w:t>
      </w:r>
      <w:r w:rsidR="002A021E">
        <w:rPr>
          <w:rFonts w:eastAsia="Batang" w:cs="Arial"/>
          <w:szCs w:val="18"/>
          <w:lang w:val="en-US" w:eastAsia="ja-JP"/>
        </w:rPr>
        <w:t xml:space="preserve">‘, </w:t>
      </w:r>
      <w:r w:rsidRPr="00DD6DBC">
        <w:rPr>
          <w:rFonts w:eastAsia="Batang" w:cs="Arial"/>
          <w:szCs w:val="18"/>
          <w:lang w:val="en-US" w:eastAsia="ja-JP"/>
        </w:rPr>
        <w:t xml:space="preserve">A Renewable Sustainable Energy Reviews, </w:t>
      </w:r>
      <w:r w:rsidR="008E76B3">
        <w:rPr>
          <w:rFonts w:eastAsia="Batang" w:cs="Arial"/>
          <w:szCs w:val="18"/>
          <w:lang w:val="en-US" w:eastAsia="ja-JP"/>
        </w:rPr>
        <w:t>vol.</w:t>
      </w:r>
      <w:r w:rsidRPr="00DD6DBC">
        <w:rPr>
          <w:rFonts w:eastAsia="Batang" w:cs="Arial"/>
          <w:szCs w:val="18"/>
          <w:lang w:val="en-US" w:eastAsia="ja-JP"/>
        </w:rPr>
        <w:t>51, pp</w:t>
      </w:r>
      <w:r w:rsidR="008E76B3">
        <w:rPr>
          <w:rFonts w:eastAsia="Batang" w:cs="Arial"/>
          <w:szCs w:val="18"/>
          <w:lang w:val="en-US" w:eastAsia="ja-JP"/>
        </w:rPr>
        <w:t>.</w:t>
      </w:r>
      <w:r w:rsidRPr="00DD6DBC">
        <w:rPr>
          <w:rFonts w:eastAsia="Batang" w:cs="Arial"/>
          <w:szCs w:val="18"/>
          <w:lang w:val="en-US" w:eastAsia="ja-JP"/>
        </w:rPr>
        <w:t xml:space="preserve"> 785-797. </w:t>
      </w:r>
    </w:p>
    <w:p w:rsidR="00DD6DBC" w:rsidRPr="00DD6DBC" w:rsidRDefault="004D2912"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00DD6DBC" w:rsidRPr="00DD6DBC">
        <w:rPr>
          <w:rFonts w:eastAsia="Batang" w:cs="Arial"/>
          <w:szCs w:val="18"/>
          <w:lang w:val="en-US" w:eastAsia="ja-JP"/>
        </w:rPr>
        <w:t>Leite, SAF,  Leite, BS,  Figueiredo, MTD,  Dell’Isola, ATP &amp;  Dangelo, JVH 2018,</w:t>
      </w:r>
      <w:r w:rsidR="002A021E">
        <w:rPr>
          <w:rFonts w:eastAsia="Batang" w:cs="Arial"/>
          <w:szCs w:val="18"/>
          <w:lang w:val="en-US" w:eastAsia="ja-JP"/>
        </w:rPr>
        <w:t xml:space="preserve"> </w:t>
      </w:r>
      <w:r w:rsidR="00DD6DBC" w:rsidRPr="00DD6DBC">
        <w:rPr>
          <w:rFonts w:eastAsia="Batang" w:cs="Arial"/>
          <w:szCs w:val="18"/>
          <w:lang w:val="en-US" w:eastAsia="ja-JP"/>
        </w:rPr>
        <w:t>'Biogas production on a small swine farm: Study of prediction using different models', Chemical Engineering Transactions, vol.65, pp. 85-90.</w:t>
      </w:r>
    </w:p>
    <w:p w:rsidR="00DD6DBC" w:rsidRPr="00DD6DBC" w:rsidRDefault="004D2912"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00DD6DBC" w:rsidRPr="00DD6DBC">
        <w:rPr>
          <w:rFonts w:eastAsia="Batang" w:cs="Arial"/>
          <w:szCs w:val="18"/>
          <w:lang w:val="en-US" w:eastAsia="ja-JP"/>
        </w:rPr>
        <w:t>Mernji</w:t>
      </w:r>
      <w:r w:rsidR="00056C3D">
        <w:rPr>
          <w:rFonts w:eastAsia="Batang" w:cs="Arial"/>
          <w:szCs w:val="18"/>
          <w:lang w:val="en-US" w:eastAsia="ja-JP"/>
        </w:rPr>
        <w:t>, J</w:t>
      </w:r>
      <w:r w:rsidR="00DD6DBC" w:rsidRPr="00DD6DBC">
        <w:rPr>
          <w:rFonts w:eastAsia="Batang" w:cs="Arial"/>
          <w:szCs w:val="18"/>
          <w:lang w:val="en-US" w:eastAsia="ja-JP"/>
        </w:rPr>
        <w:t xml:space="preserve"> 2010. </w:t>
      </w:r>
      <w:r w:rsidR="00056C3D">
        <w:rPr>
          <w:rFonts w:eastAsia="Batang" w:cs="Arial"/>
          <w:szCs w:val="18"/>
          <w:lang w:val="en-US" w:eastAsia="ja-JP"/>
        </w:rPr>
        <w:t>‘</w:t>
      </w:r>
      <w:r w:rsidR="00DD6DBC" w:rsidRPr="00DD6DBC">
        <w:rPr>
          <w:rFonts w:eastAsia="Batang" w:cs="Arial"/>
          <w:szCs w:val="18"/>
          <w:lang w:val="en-US" w:eastAsia="ja-JP"/>
        </w:rPr>
        <w:t>Production of biogas from swine wastewater by decomposing with Napier grass and food waste by the ASB Reactor</w:t>
      </w:r>
      <w:r w:rsidR="00056C3D">
        <w:rPr>
          <w:rFonts w:eastAsia="Batang" w:cs="Arial"/>
          <w:szCs w:val="18"/>
          <w:lang w:val="en-US" w:eastAsia="ja-JP"/>
        </w:rPr>
        <w:t>’</w:t>
      </w:r>
      <w:r w:rsidR="00DD6DBC" w:rsidRPr="00DD6DBC">
        <w:rPr>
          <w:rFonts w:eastAsia="Batang" w:cs="Arial"/>
          <w:szCs w:val="18"/>
          <w:lang w:val="en-US" w:eastAsia="ja-JP"/>
        </w:rPr>
        <w:t xml:space="preserve">, </w:t>
      </w:r>
      <w:r w:rsidR="0090781D">
        <w:rPr>
          <w:rFonts w:eastAsia="Batang" w:cs="Arial"/>
          <w:szCs w:val="18"/>
          <w:lang w:val="en-US" w:eastAsia="ja-JP"/>
        </w:rPr>
        <w:t xml:space="preserve">Masters level, </w:t>
      </w:r>
      <w:r w:rsidR="00DD6DBC" w:rsidRPr="00DD6DBC">
        <w:rPr>
          <w:rFonts w:eastAsia="Batang" w:cs="Arial"/>
          <w:szCs w:val="18"/>
          <w:lang w:val="en-US" w:eastAsia="ja-JP"/>
        </w:rPr>
        <w:t>Chiang Mai University.</w:t>
      </w:r>
    </w:p>
    <w:p w:rsidR="00DD6DBC" w:rsidRPr="00DD6DBC" w:rsidRDefault="004D2912"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00DD6DBC" w:rsidRPr="00DD6DBC">
        <w:rPr>
          <w:rFonts w:eastAsia="Batang" w:cs="Arial"/>
          <w:szCs w:val="18"/>
          <w:lang w:val="en-US" w:eastAsia="ja-JP"/>
        </w:rPr>
        <w:t>Pipatmanomai</w:t>
      </w:r>
      <w:r w:rsidR="0090781D">
        <w:rPr>
          <w:rFonts w:eastAsia="Batang" w:cs="Arial"/>
          <w:szCs w:val="18"/>
          <w:lang w:val="en-US" w:eastAsia="ja-JP"/>
        </w:rPr>
        <w:t>, S</w:t>
      </w:r>
      <w:r w:rsidR="00DD6DBC" w:rsidRPr="00DD6DBC">
        <w:rPr>
          <w:rFonts w:eastAsia="Batang" w:cs="Arial"/>
          <w:szCs w:val="18"/>
          <w:lang w:val="en-US" w:eastAsia="ja-JP"/>
        </w:rPr>
        <w:t>, Kaewluan</w:t>
      </w:r>
      <w:r w:rsidR="0090781D">
        <w:rPr>
          <w:rFonts w:eastAsia="Batang" w:cs="Arial"/>
          <w:szCs w:val="18"/>
          <w:lang w:val="en-US" w:eastAsia="ja-JP"/>
        </w:rPr>
        <w:t>, S</w:t>
      </w:r>
      <w:r w:rsidR="00DD6DBC" w:rsidRPr="00DD6DBC">
        <w:rPr>
          <w:rFonts w:eastAsia="Batang" w:cs="Arial"/>
          <w:szCs w:val="18"/>
          <w:lang w:val="en-US" w:eastAsia="ja-JP"/>
        </w:rPr>
        <w:t xml:space="preserve">, </w:t>
      </w:r>
      <w:r w:rsidR="0090781D">
        <w:rPr>
          <w:rFonts w:eastAsia="Batang" w:cs="Arial"/>
          <w:szCs w:val="18"/>
          <w:lang w:val="en-US" w:eastAsia="ja-JP"/>
        </w:rPr>
        <w:t>&amp;</w:t>
      </w:r>
      <w:r w:rsidR="00DD6DBC" w:rsidRPr="00DD6DBC">
        <w:rPr>
          <w:rFonts w:eastAsia="Batang" w:cs="Arial"/>
          <w:szCs w:val="18"/>
          <w:lang w:val="en-US" w:eastAsia="ja-JP"/>
        </w:rPr>
        <w:t xml:space="preserve"> Vitidsant</w:t>
      </w:r>
      <w:r w:rsidR="0090781D">
        <w:rPr>
          <w:rFonts w:eastAsia="Batang" w:cs="Arial"/>
          <w:szCs w:val="18"/>
          <w:lang w:val="en-US" w:eastAsia="ja-JP"/>
        </w:rPr>
        <w:t>,</w:t>
      </w:r>
      <w:r w:rsidR="00DD6DBC" w:rsidRPr="00DD6DBC">
        <w:rPr>
          <w:rFonts w:eastAsia="Batang" w:cs="Arial"/>
          <w:szCs w:val="18"/>
          <w:lang w:val="en-US" w:eastAsia="ja-JP"/>
        </w:rPr>
        <w:t xml:space="preserve"> T</w:t>
      </w:r>
      <w:r w:rsidR="0090781D">
        <w:rPr>
          <w:rFonts w:eastAsia="Batang" w:cs="Arial"/>
          <w:szCs w:val="18"/>
          <w:lang w:val="en-US" w:eastAsia="ja-JP"/>
        </w:rPr>
        <w:t xml:space="preserve"> 2009,</w:t>
      </w:r>
      <w:r w:rsidR="00DD6DBC" w:rsidRPr="00DD6DBC">
        <w:rPr>
          <w:rFonts w:eastAsia="Batang" w:cs="Arial"/>
          <w:szCs w:val="18"/>
          <w:lang w:val="en-US" w:eastAsia="ja-JP"/>
        </w:rPr>
        <w:t xml:space="preserve"> </w:t>
      </w:r>
      <w:r w:rsidR="002A021E">
        <w:rPr>
          <w:rFonts w:eastAsia="Batang" w:cs="Arial"/>
          <w:szCs w:val="18"/>
          <w:lang w:val="en-US" w:eastAsia="ja-JP"/>
        </w:rPr>
        <w:t>‘</w:t>
      </w:r>
      <w:r w:rsidR="002A021E" w:rsidRPr="002A021E">
        <w:rPr>
          <w:rFonts w:eastAsia="Batang" w:cs="Arial"/>
          <w:szCs w:val="18"/>
          <w:lang w:val="en-US" w:eastAsia="ja-JP"/>
        </w:rPr>
        <w:t>Economic assessment of biogas-to-electricity generation system with H2S removal by activated carbon in small pig farm</w:t>
      </w:r>
      <w:r w:rsidR="002A021E">
        <w:rPr>
          <w:rFonts w:eastAsia="Batang" w:cs="Arial"/>
          <w:szCs w:val="18"/>
          <w:lang w:val="en-US" w:eastAsia="ja-JP"/>
        </w:rPr>
        <w:t xml:space="preserve">’, </w:t>
      </w:r>
      <w:r w:rsidR="00DD6DBC" w:rsidRPr="00DD6DBC">
        <w:rPr>
          <w:rFonts w:eastAsia="Batang" w:cs="Arial"/>
          <w:szCs w:val="18"/>
          <w:lang w:val="en-US" w:eastAsia="ja-JP"/>
        </w:rPr>
        <w:t xml:space="preserve">Applied Energy, </w:t>
      </w:r>
      <w:r w:rsidR="0090781D">
        <w:rPr>
          <w:rFonts w:eastAsia="Batang" w:cs="Arial"/>
          <w:szCs w:val="18"/>
          <w:lang w:val="en-US" w:eastAsia="ja-JP"/>
        </w:rPr>
        <w:t xml:space="preserve">vol. </w:t>
      </w:r>
      <w:r w:rsidR="00DD6DBC" w:rsidRPr="00DD6DBC">
        <w:rPr>
          <w:rFonts w:eastAsia="Batang" w:cs="Arial"/>
          <w:szCs w:val="18"/>
          <w:lang w:val="en-US" w:eastAsia="ja-JP"/>
        </w:rPr>
        <w:t>86,</w:t>
      </w:r>
      <w:r w:rsidR="002A021E">
        <w:rPr>
          <w:rFonts w:eastAsia="Batang" w:cs="Arial"/>
          <w:szCs w:val="18"/>
          <w:lang w:val="en-US" w:eastAsia="ja-JP"/>
        </w:rPr>
        <w:t xml:space="preserve"> no. 5,</w:t>
      </w:r>
      <w:r w:rsidR="00DD6DBC" w:rsidRPr="00DD6DBC">
        <w:rPr>
          <w:rFonts w:eastAsia="Batang" w:cs="Arial"/>
          <w:szCs w:val="18"/>
          <w:lang w:val="en-US" w:eastAsia="ja-JP"/>
        </w:rPr>
        <w:t xml:space="preserve"> pp</w:t>
      </w:r>
      <w:r w:rsidR="0090781D">
        <w:rPr>
          <w:rFonts w:eastAsia="Batang" w:cs="Arial"/>
          <w:szCs w:val="18"/>
          <w:lang w:val="en-US" w:eastAsia="ja-JP"/>
        </w:rPr>
        <w:t>.</w:t>
      </w:r>
      <w:r w:rsidR="00DD6DBC" w:rsidRPr="00DD6DBC">
        <w:rPr>
          <w:rFonts w:eastAsia="Batang" w:cs="Arial"/>
          <w:szCs w:val="18"/>
          <w:lang w:val="en-US" w:eastAsia="ja-JP"/>
        </w:rPr>
        <w:t xml:space="preserve"> 669-674.</w:t>
      </w:r>
    </w:p>
    <w:p w:rsidR="00DD6DBC" w:rsidRPr="00DD6DBC" w:rsidRDefault="004D2912"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Pr>
          <w:rFonts w:eastAsia="Batang" w:cs="Arial"/>
          <w:szCs w:val="18"/>
          <w:lang w:val="en-US" w:eastAsia="ja-JP"/>
        </w:rPr>
        <w:tab/>
      </w:r>
      <w:r w:rsidR="00DD6DBC" w:rsidRPr="00DD6DBC">
        <w:rPr>
          <w:rFonts w:eastAsia="Batang" w:cs="Arial"/>
          <w:szCs w:val="18"/>
          <w:lang w:val="en-US" w:eastAsia="ja-JP"/>
        </w:rPr>
        <w:t>Surra, E,  Bernardo, M,  Lapa, N,  Esteves, IAAC,  Fonseca, I &amp;  Mota, JP 2018, 'Enhanced biogas production through anaerobic co-Digestion of OFMSW with maize cob waste pre-Treated with hydrogen peroxide',  Chemical Engineering Transactions, vol.</w:t>
      </w:r>
      <w:r w:rsidR="006B1A97">
        <w:rPr>
          <w:rFonts w:eastAsia="Batang" w:cs="Arial"/>
          <w:szCs w:val="18"/>
          <w:lang w:val="en-US" w:eastAsia="ja-JP"/>
        </w:rPr>
        <w:t xml:space="preserve"> </w:t>
      </w:r>
      <w:r w:rsidR="00DD6DBC" w:rsidRPr="00DD6DBC">
        <w:rPr>
          <w:rFonts w:eastAsia="Batang" w:cs="Arial"/>
          <w:szCs w:val="18"/>
          <w:lang w:val="en-US" w:eastAsia="ja-JP"/>
        </w:rPr>
        <w:t>65, pp. 121-126.</w:t>
      </w:r>
    </w:p>
    <w:p w:rsidR="00DD6DBC" w:rsidRPr="00DD6DBC" w:rsidRDefault="004D2912"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006B1A97">
        <w:rPr>
          <w:rFonts w:eastAsia="Batang" w:cs="Arial"/>
          <w:szCs w:val="18"/>
          <w:lang w:val="en-US" w:eastAsia="ja-JP"/>
        </w:rPr>
        <w:t>Tamyern, A</w:t>
      </w:r>
      <w:r w:rsidR="00DD6DBC" w:rsidRPr="00DD6DBC">
        <w:rPr>
          <w:rFonts w:eastAsia="Batang" w:cs="Arial"/>
          <w:szCs w:val="18"/>
          <w:lang w:val="en-US" w:eastAsia="ja-JP"/>
        </w:rPr>
        <w:t xml:space="preserve"> 2008. </w:t>
      </w:r>
      <w:r w:rsidR="006B1A97">
        <w:rPr>
          <w:rFonts w:eastAsia="Batang" w:cs="Arial"/>
          <w:szCs w:val="18"/>
          <w:lang w:val="en-US" w:eastAsia="ja-JP"/>
        </w:rPr>
        <w:t>‘</w:t>
      </w:r>
      <w:r w:rsidR="00DD6DBC" w:rsidRPr="00DD6DBC">
        <w:rPr>
          <w:rFonts w:eastAsia="Batang" w:cs="Arial"/>
          <w:szCs w:val="18"/>
          <w:lang w:val="en-US" w:eastAsia="ja-JP"/>
        </w:rPr>
        <w:t>Biogas production from old community waste by fermentation system</w:t>
      </w:r>
      <w:r w:rsidR="006B1A97">
        <w:rPr>
          <w:rFonts w:eastAsia="Batang" w:cs="Arial"/>
          <w:szCs w:val="18"/>
          <w:lang w:val="en-US" w:eastAsia="ja-JP"/>
        </w:rPr>
        <w:t>’</w:t>
      </w:r>
      <w:r w:rsidR="00DD6DBC" w:rsidRPr="00DD6DBC">
        <w:rPr>
          <w:rFonts w:eastAsia="Batang" w:cs="Arial"/>
          <w:szCs w:val="18"/>
          <w:lang w:val="en-US" w:eastAsia="ja-JP"/>
        </w:rPr>
        <w:t>,</w:t>
      </w:r>
      <w:r w:rsidR="006B1A97">
        <w:rPr>
          <w:rFonts w:eastAsia="Batang" w:cs="Arial"/>
          <w:szCs w:val="18"/>
          <w:lang w:val="en-US" w:eastAsia="ja-JP"/>
        </w:rPr>
        <w:t xml:space="preserve"> Masters level,</w:t>
      </w:r>
      <w:r w:rsidR="00DD6DBC" w:rsidRPr="00DD6DBC">
        <w:rPr>
          <w:rFonts w:eastAsia="Batang" w:cs="Arial"/>
          <w:szCs w:val="18"/>
          <w:lang w:val="en-US" w:eastAsia="ja-JP"/>
        </w:rPr>
        <w:t xml:space="preserve"> Chulalongkorn University.</w:t>
      </w:r>
    </w:p>
    <w:p w:rsidR="00657B00" w:rsidRPr="00657B00" w:rsidRDefault="004D2912" w:rsidP="00DD6DBC">
      <w:pPr>
        <w:pStyle w:val="ListParagraph"/>
        <w:adjustRightInd w:val="0"/>
        <w:spacing w:line="276" w:lineRule="auto"/>
        <w:ind w:left="270" w:hanging="270"/>
        <w:jc w:val="thaiDistribute"/>
        <w:rPr>
          <w:rFonts w:eastAsia="Batang" w:cs="Arial"/>
          <w:szCs w:val="18"/>
          <w:lang w:val="en-US" w:eastAsia="ja-JP"/>
        </w:rPr>
      </w:pPr>
      <w:r>
        <w:rPr>
          <w:rFonts w:eastAsia="Batang" w:cs="Arial"/>
          <w:szCs w:val="18"/>
          <w:lang w:val="en-US" w:eastAsia="ja-JP"/>
        </w:rPr>
        <w:tab/>
      </w:r>
      <w:r w:rsidR="00DD6DBC" w:rsidRPr="00DD6DBC">
        <w:rPr>
          <w:rFonts w:eastAsia="Batang" w:cs="Arial"/>
          <w:szCs w:val="18"/>
          <w:lang w:val="en-US" w:eastAsia="ja-JP"/>
        </w:rPr>
        <w:t>Wangwisitkussar</w:t>
      </w:r>
      <w:r w:rsidR="006B1A97">
        <w:rPr>
          <w:rFonts w:eastAsia="Batang" w:cs="Arial"/>
          <w:szCs w:val="18"/>
          <w:lang w:val="en-US" w:eastAsia="ja-JP"/>
        </w:rPr>
        <w:t>, A 2010,</w:t>
      </w:r>
      <w:r w:rsidR="00DD6DBC" w:rsidRPr="00DD6DBC">
        <w:rPr>
          <w:rFonts w:eastAsia="Batang" w:cs="Arial"/>
          <w:szCs w:val="18"/>
          <w:lang w:val="en-US" w:eastAsia="ja-JP"/>
        </w:rPr>
        <w:t xml:space="preserve"> </w:t>
      </w:r>
      <w:r w:rsidR="006B1A97">
        <w:rPr>
          <w:rFonts w:eastAsia="Batang" w:cs="Arial"/>
          <w:szCs w:val="18"/>
          <w:lang w:val="en-US" w:eastAsia="ja-JP"/>
        </w:rPr>
        <w:t>‘</w:t>
      </w:r>
      <w:r w:rsidR="00DD6DBC" w:rsidRPr="00DD6DBC">
        <w:rPr>
          <w:rFonts w:eastAsia="Batang" w:cs="Arial"/>
          <w:szCs w:val="18"/>
          <w:lang w:val="en-US" w:eastAsia="ja-JP"/>
        </w:rPr>
        <w:t>An Economic Analysis of the Biogas System Development Project at the Community Level: A Case Study of Thungsong Municipality Nakhon Si Thammarat Province</w:t>
      </w:r>
      <w:r w:rsidR="006B1A97">
        <w:rPr>
          <w:rFonts w:eastAsia="Batang" w:cs="Arial"/>
          <w:szCs w:val="18"/>
          <w:lang w:val="en-US" w:eastAsia="ja-JP"/>
        </w:rPr>
        <w:t>’</w:t>
      </w:r>
      <w:r w:rsidR="00DD6DBC" w:rsidRPr="00DD6DBC">
        <w:rPr>
          <w:rFonts w:eastAsia="Batang" w:cs="Arial"/>
          <w:szCs w:val="18"/>
          <w:lang w:val="en-US" w:eastAsia="ja-JP"/>
        </w:rPr>
        <w:t>,</w:t>
      </w:r>
      <w:r w:rsidR="006B1A97">
        <w:rPr>
          <w:rFonts w:eastAsia="Batang" w:cs="Arial"/>
          <w:szCs w:val="18"/>
          <w:lang w:val="en-US" w:eastAsia="ja-JP"/>
        </w:rPr>
        <w:t xml:space="preserve"> Masters level,</w:t>
      </w:r>
      <w:r w:rsidR="00DD6DBC" w:rsidRPr="00DD6DBC">
        <w:rPr>
          <w:rFonts w:eastAsia="Batang" w:cs="Arial"/>
          <w:szCs w:val="18"/>
          <w:lang w:val="en-US" w:eastAsia="ja-JP"/>
        </w:rPr>
        <w:t xml:space="preserve"> Kasetsart University.</w:t>
      </w:r>
    </w:p>
    <w:p w:rsidR="004628D2" w:rsidRDefault="00657B00" w:rsidP="00401556">
      <w:pPr>
        <w:pStyle w:val="CETHeading1"/>
        <w:numPr>
          <w:ilvl w:val="0"/>
          <w:numId w:val="0"/>
        </w:numPr>
        <w:jc w:val="thaiDistribute"/>
      </w:pPr>
      <w:r>
        <w:t xml:space="preserve"> </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00D" w:rsidRDefault="0060100D" w:rsidP="004F5E36">
      <w:r>
        <w:separator/>
      </w:r>
    </w:p>
  </w:endnote>
  <w:endnote w:type="continuationSeparator" w:id="0">
    <w:p w:rsidR="0060100D" w:rsidRDefault="0060100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H Sarabun New">
    <w:panose1 w:val="020B0500040200020003"/>
    <w:charset w:val="00"/>
    <w:family w:val="swiss"/>
    <w:pitch w:val="variable"/>
    <w:sig w:usb0="A100006F" w:usb1="5000205A" w:usb2="00000000" w:usb3="00000000" w:csb0="00010183" w:csb1="00000000"/>
  </w:font>
  <w:font w:name="AdvP6960">
    <w:altName w:val="Cambria"/>
    <w:panose1 w:val="00000000000000000000"/>
    <w:charset w:val="4D"/>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00D" w:rsidRDefault="0060100D" w:rsidP="004F5E36">
      <w:r>
        <w:separator/>
      </w:r>
    </w:p>
  </w:footnote>
  <w:footnote w:type="continuationSeparator" w:id="0">
    <w:p w:rsidR="0060100D" w:rsidRDefault="0060100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D48F1D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504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F536A9"/>
    <w:multiLevelType w:val="multilevel"/>
    <w:tmpl w:val="596CEE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 w:numId="23">
    <w:abstractNumId w:val="21"/>
  </w:num>
  <w:num w:numId="24">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56C3D"/>
    <w:rsid w:val="00062A9A"/>
    <w:rsid w:val="00065058"/>
    <w:rsid w:val="00086C39"/>
    <w:rsid w:val="000A03B2"/>
    <w:rsid w:val="000A3B79"/>
    <w:rsid w:val="000D34BE"/>
    <w:rsid w:val="000E102F"/>
    <w:rsid w:val="000E36F1"/>
    <w:rsid w:val="000E3A73"/>
    <w:rsid w:val="000E414A"/>
    <w:rsid w:val="000F093C"/>
    <w:rsid w:val="000F16BD"/>
    <w:rsid w:val="000F714C"/>
    <w:rsid w:val="000F787B"/>
    <w:rsid w:val="0012091F"/>
    <w:rsid w:val="00126BC2"/>
    <w:rsid w:val="001308B6"/>
    <w:rsid w:val="0013121F"/>
    <w:rsid w:val="00131FAB"/>
    <w:rsid w:val="00131FE6"/>
    <w:rsid w:val="0013263F"/>
    <w:rsid w:val="00134DE4"/>
    <w:rsid w:val="0013589C"/>
    <w:rsid w:val="0014034D"/>
    <w:rsid w:val="00150E59"/>
    <w:rsid w:val="00152DE3"/>
    <w:rsid w:val="00162642"/>
    <w:rsid w:val="00164CF9"/>
    <w:rsid w:val="00184AD6"/>
    <w:rsid w:val="001B0349"/>
    <w:rsid w:val="001B65C1"/>
    <w:rsid w:val="001C684B"/>
    <w:rsid w:val="001D53FC"/>
    <w:rsid w:val="001F42A5"/>
    <w:rsid w:val="001F7B9D"/>
    <w:rsid w:val="002061E6"/>
    <w:rsid w:val="002120C1"/>
    <w:rsid w:val="002224B4"/>
    <w:rsid w:val="002447EF"/>
    <w:rsid w:val="00251550"/>
    <w:rsid w:val="00252C1A"/>
    <w:rsid w:val="00263B05"/>
    <w:rsid w:val="0027221A"/>
    <w:rsid w:val="0027598F"/>
    <w:rsid w:val="00275B61"/>
    <w:rsid w:val="00282656"/>
    <w:rsid w:val="00296B83"/>
    <w:rsid w:val="002A021E"/>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0695"/>
    <w:rsid w:val="003B304B"/>
    <w:rsid w:val="003B3146"/>
    <w:rsid w:val="003B60F3"/>
    <w:rsid w:val="003F015E"/>
    <w:rsid w:val="00400414"/>
    <w:rsid w:val="00401556"/>
    <w:rsid w:val="0041003A"/>
    <w:rsid w:val="0041446B"/>
    <w:rsid w:val="0044329C"/>
    <w:rsid w:val="004577FE"/>
    <w:rsid w:val="00457B9C"/>
    <w:rsid w:val="0046164A"/>
    <w:rsid w:val="004628D2"/>
    <w:rsid w:val="00462DCD"/>
    <w:rsid w:val="004648AD"/>
    <w:rsid w:val="004703A9"/>
    <w:rsid w:val="004760DE"/>
    <w:rsid w:val="004A004E"/>
    <w:rsid w:val="004A24CF"/>
    <w:rsid w:val="004A3A19"/>
    <w:rsid w:val="004B6721"/>
    <w:rsid w:val="004C3D1D"/>
    <w:rsid w:val="004C7913"/>
    <w:rsid w:val="004D2912"/>
    <w:rsid w:val="004E4DD6"/>
    <w:rsid w:val="004F5E36"/>
    <w:rsid w:val="0050146C"/>
    <w:rsid w:val="00507B47"/>
    <w:rsid w:val="00507CC9"/>
    <w:rsid w:val="005119A5"/>
    <w:rsid w:val="0051523C"/>
    <w:rsid w:val="005278B7"/>
    <w:rsid w:val="00532016"/>
    <w:rsid w:val="005346C8"/>
    <w:rsid w:val="00543E7D"/>
    <w:rsid w:val="00546B05"/>
    <w:rsid w:val="00547A68"/>
    <w:rsid w:val="00551D55"/>
    <w:rsid w:val="005531C9"/>
    <w:rsid w:val="00557694"/>
    <w:rsid w:val="005B2110"/>
    <w:rsid w:val="005B61E6"/>
    <w:rsid w:val="005C6280"/>
    <w:rsid w:val="005C77E1"/>
    <w:rsid w:val="005D6A2F"/>
    <w:rsid w:val="005E1A82"/>
    <w:rsid w:val="005E794C"/>
    <w:rsid w:val="005F0A28"/>
    <w:rsid w:val="005F0E5E"/>
    <w:rsid w:val="00600535"/>
    <w:rsid w:val="0060100D"/>
    <w:rsid w:val="00610CD6"/>
    <w:rsid w:val="00620DEE"/>
    <w:rsid w:val="00621F92"/>
    <w:rsid w:val="00625639"/>
    <w:rsid w:val="00631B33"/>
    <w:rsid w:val="00633859"/>
    <w:rsid w:val="0064184D"/>
    <w:rsid w:val="006422CC"/>
    <w:rsid w:val="00657B00"/>
    <w:rsid w:val="00660E3E"/>
    <w:rsid w:val="00662E74"/>
    <w:rsid w:val="00680C23"/>
    <w:rsid w:val="00693766"/>
    <w:rsid w:val="006A3281"/>
    <w:rsid w:val="006A5AD2"/>
    <w:rsid w:val="006B1A97"/>
    <w:rsid w:val="006B4888"/>
    <w:rsid w:val="006C2E45"/>
    <w:rsid w:val="006C359C"/>
    <w:rsid w:val="006C5579"/>
    <w:rsid w:val="006E737D"/>
    <w:rsid w:val="0070195D"/>
    <w:rsid w:val="00707C59"/>
    <w:rsid w:val="00720A24"/>
    <w:rsid w:val="00732386"/>
    <w:rsid w:val="007447F3"/>
    <w:rsid w:val="0075499F"/>
    <w:rsid w:val="007661C8"/>
    <w:rsid w:val="0077098D"/>
    <w:rsid w:val="00791173"/>
    <w:rsid w:val="007931FA"/>
    <w:rsid w:val="007A5338"/>
    <w:rsid w:val="007A7BBA"/>
    <w:rsid w:val="007B0C50"/>
    <w:rsid w:val="007C1A43"/>
    <w:rsid w:val="007E1DC6"/>
    <w:rsid w:val="00813288"/>
    <w:rsid w:val="008168FC"/>
    <w:rsid w:val="00830996"/>
    <w:rsid w:val="008345F1"/>
    <w:rsid w:val="00865B07"/>
    <w:rsid w:val="008667EA"/>
    <w:rsid w:val="0087231D"/>
    <w:rsid w:val="0087637F"/>
    <w:rsid w:val="008904B9"/>
    <w:rsid w:val="00892AD5"/>
    <w:rsid w:val="0089654C"/>
    <w:rsid w:val="008A1512"/>
    <w:rsid w:val="008C78C1"/>
    <w:rsid w:val="008D0A9B"/>
    <w:rsid w:val="008D32B9"/>
    <w:rsid w:val="008D433B"/>
    <w:rsid w:val="008E3B8E"/>
    <w:rsid w:val="008E4C84"/>
    <w:rsid w:val="008E566E"/>
    <w:rsid w:val="008E76B3"/>
    <w:rsid w:val="0090161A"/>
    <w:rsid w:val="00901EB6"/>
    <w:rsid w:val="00904C62"/>
    <w:rsid w:val="0090781D"/>
    <w:rsid w:val="00920EEA"/>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47D01"/>
    <w:rsid w:val="00A50B20"/>
    <w:rsid w:val="00A51390"/>
    <w:rsid w:val="00A53863"/>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77A88"/>
    <w:rsid w:val="00B8686D"/>
    <w:rsid w:val="00BC30C9"/>
    <w:rsid w:val="00BE23C4"/>
    <w:rsid w:val="00BE3E58"/>
    <w:rsid w:val="00C01616"/>
    <w:rsid w:val="00C0162B"/>
    <w:rsid w:val="00C345B1"/>
    <w:rsid w:val="00C35816"/>
    <w:rsid w:val="00C40142"/>
    <w:rsid w:val="00C57182"/>
    <w:rsid w:val="00C57863"/>
    <w:rsid w:val="00C655FD"/>
    <w:rsid w:val="00C853A9"/>
    <w:rsid w:val="00C870A8"/>
    <w:rsid w:val="00C94434"/>
    <w:rsid w:val="00CA0D75"/>
    <w:rsid w:val="00CA1C95"/>
    <w:rsid w:val="00CA5A9C"/>
    <w:rsid w:val="00CB243C"/>
    <w:rsid w:val="00CD3517"/>
    <w:rsid w:val="00CD5A00"/>
    <w:rsid w:val="00CD5FE2"/>
    <w:rsid w:val="00CE7C68"/>
    <w:rsid w:val="00D02B4C"/>
    <w:rsid w:val="00D040C4"/>
    <w:rsid w:val="00D23525"/>
    <w:rsid w:val="00D321A7"/>
    <w:rsid w:val="00D57C84"/>
    <w:rsid w:val="00D6057D"/>
    <w:rsid w:val="00D84576"/>
    <w:rsid w:val="00DA1399"/>
    <w:rsid w:val="00DA24C6"/>
    <w:rsid w:val="00DA4D7B"/>
    <w:rsid w:val="00DD6DBC"/>
    <w:rsid w:val="00DE264A"/>
    <w:rsid w:val="00E02D18"/>
    <w:rsid w:val="00E041E7"/>
    <w:rsid w:val="00E20CE7"/>
    <w:rsid w:val="00E23CA1"/>
    <w:rsid w:val="00E26995"/>
    <w:rsid w:val="00E409A8"/>
    <w:rsid w:val="00E50C12"/>
    <w:rsid w:val="00E65B91"/>
    <w:rsid w:val="00E7209D"/>
    <w:rsid w:val="00E77223"/>
    <w:rsid w:val="00E8528B"/>
    <w:rsid w:val="00E85B94"/>
    <w:rsid w:val="00E978D0"/>
    <w:rsid w:val="00EA4613"/>
    <w:rsid w:val="00EA7F91"/>
    <w:rsid w:val="00EB1523"/>
    <w:rsid w:val="00EB59B8"/>
    <w:rsid w:val="00EC0E49"/>
    <w:rsid w:val="00EE0131"/>
    <w:rsid w:val="00EE1015"/>
    <w:rsid w:val="00F155B2"/>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2BD44-3CAD-459F-8D2E-91885747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BodyChar">
    <w:name w:val="Body Char"/>
    <w:link w:val="BodyCharChar"/>
    <w:rsid w:val="0050146C"/>
    <w:pPr>
      <w:tabs>
        <w:tab w:val="left" w:pos="567"/>
      </w:tabs>
      <w:spacing w:after="0" w:line="240" w:lineRule="auto"/>
      <w:jc w:val="both"/>
    </w:pPr>
    <w:rPr>
      <w:rFonts w:ascii="Times" w:eastAsiaTheme="minorEastAsia" w:hAnsi="Times" w:cs="Times New Roman"/>
      <w:color w:val="000000"/>
      <w:lang w:val="en-GB"/>
    </w:rPr>
  </w:style>
  <w:style w:type="character" w:customStyle="1" w:styleId="BodyCharChar">
    <w:name w:val="Body Char Char"/>
    <w:link w:val="BodyChar"/>
    <w:rsid w:val="0050146C"/>
    <w:rPr>
      <w:rFonts w:ascii="Times" w:eastAsiaTheme="minorEastAsia" w:hAnsi="Times" w:cs="Times New Roman"/>
      <w:color w:val="000000"/>
      <w:lang w:val="en-GB"/>
    </w:rPr>
  </w:style>
  <w:style w:type="paragraph" w:customStyle="1" w:styleId="Text">
    <w:name w:val="Text"/>
    <w:basedOn w:val="Normal"/>
    <w:rsid w:val="008D0A9B"/>
    <w:pPr>
      <w:widowControl w:val="0"/>
      <w:tabs>
        <w:tab w:val="clear" w:pos="7100"/>
      </w:tabs>
      <w:autoSpaceDE w:val="0"/>
      <w:autoSpaceDN w:val="0"/>
      <w:spacing w:line="252" w:lineRule="auto"/>
      <w:ind w:firstLine="202"/>
    </w:pPr>
    <w:rPr>
      <w:rFonts w:ascii="Times New Roman" w:eastAsia="PMingLiU" w:hAnsi="Times New Roman"/>
      <w:sz w:val="20"/>
      <w:lang w:val="en-US"/>
    </w:rPr>
  </w:style>
  <w:style w:type="paragraph" w:customStyle="1" w:styleId="subsection">
    <w:name w:val="subsection"/>
    <w:rsid w:val="008D0A9B"/>
    <w:pPr>
      <w:numPr>
        <w:ilvl w:val="1"/>
        <w:numId w:val="22"/>
      </w:numPr>
      <w:tabs>
        <w:tab w:val="left" w:pos="567"/>
      </w:tabs>
      <w:spacing w:before="240" w:after="0" w:line="240" w:lineRule="auto"/>
    </w:pPr>
    <w:rPr>
      <w:rFonts w:ascii="Times" w:eastAsiaTheme="minorEastAsia" w:hAnsi="Times" w:cs="Times New Roman"/>
      <w:i/>
      <w:iCs/>
      <w:color w:val="000000"/>
      <w:lang w:val="en-US"/>
    </w:rPr>
  </w:style>
  <w:style w:type="paragraph" w:customStyle="1" w:styleId="subsubsection">
    <w:name w:val="subsubsection"/>
    <w:autoRedefine/>
    <w:rsid w:val="008D0A9B"/>
    <w:pPr>
      <w:numPr>
        <w:ilvl w:val="2"/>
        <w:numId w:val="22"/>
      </w:numPr>
      <w:tabs>
        <w:tab w:val="left" w:pos="567"/>
      </w:tabs>
      <w:spacing w:before="240" w:after="0" w:line="240" w:lineRule="auto"/>
      <w:ind w:left="0" w:firstLine="0"/>
      <w:jc w:val="both"/>
    </w:pPr>
    <w:rPr>
      <w:rFonts w:ascii="Times" w:eastAsiaTheme="minorEastAsia" w:hAnsi="Times" w:cs="Times New Roman"/>
      <w:i/>
      <w:iCs/>
      <w:color w:val="000000"/>
      <w:lang w:val="en-US"/>
    </w:rPr>
  </w:style>
  <w:style w:type="paragraph" w:styleId="ListParagraph">
    <w:name w:val="List Paragraph"/>
    <w:basedOn w:val="Normal"/>
    <w:uiPriority w:val="34"/>
    <w:qFormat/>
    <w:rsid w:val="003B0695"/>
    <w:pPr>
      <w:ind w:left="720"/>
      <w:contextualSpacing/>
    </w:pPr>
  </w:style>
  <w:style w:type="character" w:customStyle="1" w:styleId="BodytextChar0">
    <w:name w:val="Body text Char"/>
    <w:link w:val="1"/>
    <w:rsid w:val="003B0695"/>
    <w:rPr>
      <w:rFonts w:ascii="Cambria" w:hAnsi="Cambria" w:cs="Calibri"/>
    </w:rPr>
  </w:style>
  <w:style w:type="paragraph" w:customStyle="1" w:styleId="1">
    <w:name w:val="正文文本1"/>
    <w:basedOn w:val="Normal"/>
    <w:link w:val="BodytextChar0"/>
    <w:rsid w:val="003B0695"/>
    <w:pPr>
      <w:widowControl w:val="0"/>
      <w:tabs>
        <w:tab w:val="clear" w:pos="7100"/>
      </w:tabs>
      <w:autoSpaceDE w:val="0"/>
      <w:autoSpaceDN w:val="0"/>
      <w:spacing w:line="300" w:lineRule="auto"/>
      <w:ind w:firstLine="204"/>
    </w:pPr>
    <w:rPr>
      <w:rFonts w:ascii="Cambria" w:eastAsiaTheme="minorHAnsi" w:hAnsi="Cambria" w:cs="Calibri"/>
      <w:sz w:val="22"/>
      <w:szCs w:val="22"/>
      <w:lang w:val="it-IT"/>
    </w:rPr>
  </w:style>
  <w:style w:type="paragraph" w:customStyle="1" w:styleId="TTPReference">
    <w:name w:val="TTP Reference"/>
    <w:basedOn w:val="Normal"/>
    <w:uiPriority w:val="99"/>
    <w:rsid w:val="003B0695"/>
    <w:pPr>
      <w:tabs>
        <w:tab w:val="clear" w:pos="7100"/>
        <w:tab w:val="left" w:pos="426"/>
      </w:tabs>
      <w:autoSpaceDE w:val="0"/>
      <w:autoSpaceDN w:val="0"/>
      <w:spacing w:after="120" w:line="288" w:lineRule="atLeast"/>
    </w:pPr>
    <w:rPr>
      <w:rFonts w:ascii="Times New Roman" w:eastAsia="SimSun" w:hAnsi="Times New Roman"/>
      <w:sz w:val="24"/>
      <w:szCs w:val="24"/>
      <w:lang w:val="en-US" w:eastAsia="zh-CN" w:bidi="th-TH"/>
    </w:rPr>
  </w:style>
  <w:style w:type="paragraph" w:customStyle="1" w:styleId="section">
    <w:name w:val="section"/>
    <w:link w:val="sectionChar"/>
    <w:autoRedefine/>
    <w:rsid w:val="00CB243C"/>
    <w:pPr>
      <w:spacing w:before="240" w:after="0" w:line="240" w:lineRule="auto"/>
      <w:ind w:firstLine="540"/>
      <w:jc w:val="both"/>
    </w:pPr>
    <w:rPr>
      <w:rFonts w:ascii="Arial" w:eastAsiaTheme="minorEastAsia" w:hAnsi="Arial" w:cs="Arial"/>
      <w:bCs/>
      <w:color w:val="000000" w:themeColor="text1"/>
      <w:sz w:val="18"/>
      <w:szCs w:val="18"/>
      <w:shd w:val="clear" w:color="auto" w:fill="FFFFFF"/>
      <w:lang w:val="en-US" w:bidi="th-TH"/>
    </w:rPr>
  </w:style>
  <w:style w:type="character" w:customStyle="1" w:styleId="sectionChar">
    <w:name w:val="section Char"/>
    <w:link w:val="section"/>
    <w:rsid w:val="00CB243C"/>
    <w:rPr>
      <w:rFonts w:ascii="Arial" w:eastAsiaTheme="minorEastAsia" w:hAnsi="Arial" w:cs="Arial"/>
      <w:bCs/>
      <w:color w:val="000000" w:themeColor="text1"/>
      <w:sz w:val="18"/>
      <w:szCs w:val="18"/>
      <w:lang w:val="en-US" w:bidi="th-TH"/>
    </w:rPr>
  </w:style>
  <w:style w:type="paragraph" w:customStyle="1" w:styleId="EndNoteBibliography">
    <w:name w:val="EndNote Bibliography"/>
    <w:basedOn w:val="Normal"/>
    <w:link w:val="EndNoteBibliographyChar"/>
    <w:rsid w:val="00657B00"/>
    <w:pPr>
      <w:tabs>
        <w:tab w:val="clear" w:pos="7100"/>
      </w:tabs>
      <w:spacing w:line="240" w:lineRule="auto"/>
      <w:jc w:val="left"/>
    </w:pPr>
    <w:rPr>
      <w:rFonts w:ascii="TH Sarabun New" w:eastAsiaTheme="minorHAnsi" w:hAnsi="TH Sarabun New" w:cs="TH Sarabun New"/>
      <w:noProof/>
      <w:color w:val="000000"/>
      <w:sz w:val="32"/>
      <w:szCs w:val="32"/>
      <w:lang w:val="en-US" w:bidi="th-TH"/>
    </w:rPr>
  </w:style>
  <w:style w:type="character" w:customStyle="1" w:styleId="EndNoteBibliographyChar">
    <w:name w:val="EndNote Bibliography Char"/>
    <w:basedOn w:val="DefaultParagraphFont"/>
    <w:link w:val="EndNoteBibliography"/>
    <w:rsid w:val="00657B00"/>
    <w:rPr>
      <w:rFonts w:ascii="TH Sarabun New" w:hAnsi="TH Sarabun New" w:cs="TH Sarabun New"/>
      <w:noProof/>
      <w:color w:val="000000"/>
      <w:sz w:val="32"/>
      <w:szCs w:val="32"/>
      <w:lang w:val="en-US" w:bidi="th-TH"/>
    </w:rPr>
  </w:style>
  <w:style w:type="paragraph" w:customStyle="1" w:styleId="StyleStylesubsubsectionNotItalic1">
    <w:name w:val="Style Style subsubsection + Not Italic1 +"/>
    <w:basedOn w:val="Normal"/>
    <w:link w:val="StyleStylesubsubsectionNotItalic1Char"/>
    <w:rsid w:val="00657B00"/>
    <w:pPr>
      <w:tabs>
        <w:tab w:val="clear" w:pos="7100"/>
        <w:tab w:val="left" w:pos="567"/>
      </w:tabs>
      <w:spacing w:before="240" w:line="240" w:lineRule="auto"/>
    </w:pPr>
    <w:rPr>
      <w:rFonts w:ascii="Times" w:eastAsiaTheme="minorEastAsia" w:hAnsi="Times"/>
      <w:color w:val="000000"/>
      <w:sz w:val="22"/>
      <w:szCs w:val="22"/>
      <w:lang w:val="en-US"/>
    </w:rPr>
  </w:style>
  <w:style w:type="character" w:customStyle="1" w:styleId="StyleStylesubsubsectionNotItalic1Char">
    <w:name w:val="Style Style subsubsection + Not Italic1 + Char"/>
    <w:basedOn w:val="DefaultParagraphFont"/>
    <w:link w:val="StyleStylesubsubsectionNotItalic1"/>
    <w:rsid w:val="00657B00"/>
    <w:rPr>
      <w:rFonts w:ascii="Times" w:eastAsiaTheme="minorEastAsia" w:hAnsi="Times" w:cs="Times New Roman"/>
      <w:color w:val="000000"/>
      <w:lang w:val="en-US"/>
    </w:rPr>
  </w:style>
  <w:style w:type="character" w:styleId="FootnoteReference">
    <w:name w:val="footnote reference"/>
    <w:semiHidden/>
    <w:rsid w:val="00D321A7"/>
    <w:rPr>
      <w:rFonts w:ascii="Times New Roman" w:hAnsi="Times New Roman"/>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ok-Supawat\Desktop\Conf%20ICCGE2019%20Milan\Chart%20in%20Microsoft%20Wo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ok-Supawat\Desktop\Conf%20ICCGE2019%20Milan\Chart%205%20in%20Microsoft%20Word%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ok-Supawat\Desktop\Conf%20ICCGE2019%20Milan\Chart%204%20in%20Microsoft%20Wo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ok-Supawat\Desktop\Conf%20ICCGE2019%20Milan\Chart%205%20in%20Microsoft%20Word%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a:t>Relative Biogas Production</a:t>
            </a:r>
            <a:r>
              <a:rPr lang="en-US" sz="1050" baseline="0"/>
              <a:t> </a:t>
            </a:r>
            <a:r>
              <a:rPr lang="en-US" sz="1050"/>
              <a:t>(-)</a:t>
            </a:r>
          </a:p>
        </c:rich>
      </c:tx>
      <c:layout>
        <c:manualLayout>
          <c:xMode val="edge"/>
          <c:yMode val="edge"/>
          <c:x val="2.9166725362967251E-2"/>
          <c:y val="0.17279099213415672"/>
        </c:manualLayout>
      </c:layout>
      <c:overlay val="0"/>
      <c:spPr>
        <a:noFill/>
        <a:ln>
          <a:noFill/>
        </a:ln>
        <a:effectLst/>
      </c:spPr>
    </c:title>
    <c:autoTitleDeleted val="0"/>
    <c:plotArea>
      <c:layout>
        <c:manualLayout>
          <c:layoutTarget val="inner"/>
          <c:xMode val="edge"/>
          <c:yMode val="edge"/>
          <c:x val="0.13187449213236391"/>
          <c:y val="9.9977289644043427E-2"/>
          <c:w val="0.77965884144306075"/>
          <c:h val="0.66262807116459588"/>
        </c:manualLayout>
      </c:layout>
      <c:barChart>
        <c:barDir val="col"/>
        <c:grouping val="clustered"/>
        <c:varyColors val="0"/>
        <c:ser>
          <c:idx val="0"/>
          <c:order val="0"/>
          <c:tx>
            <c:strRef>
              <c:f>'ข้อมูลสำหรับ 25 หน้า'!$C$58</c:f>
              <c:strCache>
                <c:ptCount val="1"/>
                <c:pt idx="0">
                  <c:v>OFM</c:v>
                </c:pt>
              </c:strCache>
            </c:strRef>
          </c:tx>
          <c:spPr>
            <a:solidFill>
              <a:srgbClr val="0070C0"/>
            </a:solidFill>
            <a:ln>
              <a:solidFill>
                <a:srgbClr val="0070C0"/>
              </a:solidFill>
            </a:ln>
            <a:effectLst/>
          </c:spPr>
          <c:invertIfNegative val="0"/>
          <c:cat>
            <c:strRef>
              <c:f>'ข้อมูลสำหรับ 25 หน้า'!$B$59:$B$63</c:f>
              <c:strCache>
                <c:ptCount val="5"/>
                <c:pt idx="0">
                  <c:v> 100:0</c:v>
                </c:pt>
                <c:pt idx="1">
                  <c:v> 75:25</c:v>
                </c:pt>
                <c:pt idx="2">
                  <c:v> 50:50</c:v>
                </c:pt>
                <c:pt idx="3">
                  <c:v> 25:75</c:v>
                </c:pt>
                <c:pt idx="4">
                  <c:v> 0:100</c:v>
                </c:pt>
              </c:strCache>
            </c:strRef>
          </c:cat>
          <c:val>
            <c:numRef>
              <c:f>'ข้อมูลสำหรับ 25 หน้า'!$C$59</c:f>
              <c:numCache>
                <c:formatCode>0.0</c:formatCode>
                <c:ptCount val="1"/>
                <c:pt idx="0">
                  <c:v>1</c:v>
                </c:pt>
              </c:numCache>
            </c:numRef>
          </c:val>
        </c:ser>
        <c:ser>
          <c:idx val="1"/>
          <c:order val="1"/>
          <c:tx>
            <c:strRef>
              <c:f>'ข้อมูลสำหรับ 25 หน้า'!$G$58</c:f>
              <c:strCache>
                <c:ptCount val="1"/>
                <c:pt idx="0">
                  <c:v>OFM:DW</c:v>
                </c:pt>
              </c:strCache>
            </c:strRef>
          </c:tx>
          <c:spPr>
            <a:solidFill>
              <a:srgbClr val="C00000"/>
            </a:solidFill>
            <a:ln>
              <a:solidFill>
                <a:srgbClr val="C00000"/>
              </a:solidFill>
            </a:ln>
            <a:effectLst/>
          </c:spPr>
          <c:invertIfNegative val="0"/>
          <c:cat>
            <c:strRef>
              <c:f>'ข้อมูลสำหรับ 25 หน้า'!$B$59:$B$63</c:f>
              <c:strCache>
                <c:ptCount val="5"/>
                <c:pt idx="0">
                  <c:v> 100:0</c:v>
                </c:pt>
                <c:pt idx="1">
                  <c:v> 75:25</c:v>
                </c:pt>
                <c:pt idx="2">
                  <c:v> 50:50</c:v>
                </c:pt>
                <c:pt idx="3">
                  <c:v> 25:75</c:v>
                </c:pt>
                <c:pt idx="4">
                  <c:v> 0:100</c:v>
                </c:pt>
              </c:strCache>
            </c:strRef>
          </c:cat>
          <c:val>
            <c:numRef>
              <c:f>'ข้อมูลสำหรับ 25 หน้า'!$G$59:$G$63</c:f>
              <c:numCache>
                <c:formatCode>0.0</c:formatCode>
                <c:ptCount val="5"/>
                <c:pt idx="0">
                  <c:v>0</c:v>
                </c:pt>
                <c:pt idx="1">
                  <c:v>2.1443569553805775</c:v>
                </c:pt>
                <c:pt idx="2">
                  <c:v>1.6771653543307086</c:v>
                </c:pt>
                <c:pt idx="3">
                  <c:v>1.6482939632545932</c:v>
                </c:pt>
                <c:pt idx="4">
                  <c:v>0.88976377952755903</c:v>
                </c:pt>
              </c:numCache>
            </c:numRef>
          </c:val>
        </c:ser>
        <c:ser>
          <c:idx val="2"/>
          <c:order val="2"/>
          <c:tx>
            <c:strRef>
              <c:f>'ข้อมูลสำหรับ 25 หน้า'!$D$58</c:f>
              <c:strCache>
                <c:ptCount val="1"/>
                <c:pt idx="0">
                  <c:v>OFM:BW</c:v>
                </c:pt>
              </c:strCache>
            </c:strRef>
          </c:tx>
          <c:spPr>
            <a:solidFill>
              <a:srgbClr val="FFC000"/>
            </a:solidFill>
            <a:ln>
              <a:solidFill>
                <a:srgbClr val="FFC000"/>
              </a:solidFill>
            </a:ln>
            <a:effectLst/>
          </c:spPr>
          <c:invertIfNegative val="0"/>
          <c:cat>
            <c:strRef>
              <c:f>'ข้อมูลสำหรับ 25 หน้า'!$B$59:$B$63</c:f>
              <c:strCache>
                <c:ptCount val="5"/>
                <c:pt idx="0">
                  <c:v> 100:0</c:v>
                </c:pt>
                <c:pt idx="1">
                  <c:v> 75:25</c:v>
                </c:pt>
                <c:pt idx="2">
                  <c:v> 50:50</c:v>
                </c:pt>
                <c:pt idx="3">
                  <c:v> 25:75</c:v>
                </c:pt>
                <c:pt idx="4">
                  <c:v> 0:100</c:v>
                </c:pt>
              </c:strCache>
            </c:strRef>
          </c:cat>
          <c:val>
            <c:numRef>
              <c:f>'ข้อมูลสำหรับ 25 หน้า'!$D$59:$D$63</c:f>
              <c:numCache>
                <c:formatCode>0.0</c:formatCode>
                <c:ptCount val="5"/>
                <c:pt idx="0">
                  <c:v>0</c:v>
                </c:pt>
                <c:pt idx="1">
                  <c:v>1.0971128608923886</c:v>
                </c:pt>
                <c:pt idx="2">
                  <c:v>0.96850393700787396</c:v>
                </c:pt>
                <c:pt idx="3">
                  <c:v>0.89763779527559051</c:v>
                </c:pt>
                <c:pt idx="4">
                  <c:v>0.61417322834645671</c:v>
                </c:pt>
              </c:numCache>
            </c:numRef>
          </c:val>
        </c:ser>
        <c:ser>
          <c:idx val="3"/>
          <c:order val="3"/>
          <c:tx>
            <c:strRef>
              <c:f>'ข้อมูลสำหรับ 25 หน้า'!$E$58</c:f>
              <c:strCache>
                <c:ptCount val="1"/>
                <c:pt idx="0">
                  <c:v>OFM:CW</c:v>
                </c:pt>
              </c:strCache>
            </c:strRef>
          </c:tx>
          <c:spPr>
            <a:solidFill>
              <a:srgbClr val="92D050"/>
            </a:solidFill>
            <a:ln>
              <a:solidFill>
                <a:srgbClr val="92D050"/>
              </a:solidFill>
            </a:ln>
            <a:effectLst/>
          </c:spPr>
          <c:invertIfNegative val="0"/>
          <c:cat>
            <c:strRef>
              <c:f>'ข้อมูลสำหรับ 25 หน้า'!$B$59:$B$63</c:f>
              <c:strCache>
                <c:ptCount val="5"/>
                <c:pt idx="0">
                  <c:v> 100:0</c:v>
                </c:pt>
                <c:pt idx="1">
                  <c:v> 75:25</c:v>
                </c:pt>
                <c:pt idx="2">
                  <c:v> 50:50</c:v>
                </c:pt>
                <c:pt idx="3">
                  <c:v> 25:75</c:v>
                </c:pt>
                <c:pt idx="4">
                  <c:v> 0:100</c:v>
                </c:pt>
              </c:strCache>
            </c:strRef>
          </c:cat>
          <c:val>
            <c:numRef>
              <c:f>'ข้อมูลสำหรับ 25 หน้า'!$E$59:$E$63</c:f>
              <c:numCache>
                <c:formatCode>0.0</c:formatCode>
                <c:ptCount val="5"/>
                <c:pt idx="0">
                  <c:v>0</c:v>
                </c:pt>
                <c:pt idx="1">
                  <c:v>1.2729658792650917</c:v>
                </c:pt>
                <c:pt idx="2">
                  <c:v>0.9658792650918635</c:v>
                </c:pt>
                <c:pt idx="3">
                  <c:v>0.91863517060367461</c:v>
                </c:pt>
                <c:pt idx="4">
                  <c:v>0.6692913385826772</c:v>
                </c:pt>
              </c:numCache>
            </c:numRef>
          </c:val>
        </c:ser>
        <c:ser>
          <c:idx val="4"/>
          <c:order val="4"/>
          <c:tx>
            <c:strRef>
              <c:f>'ข้อมูลสำหรับ 25 หน้า'!$F$58</c:f>
              <c:strCache>
                <c:ptCount val="1"/>
                <c:pt idx="0">
                  <c:v>OFM:EW</c:v>
                </c:pt>
              </c:strCache>
            </c:strRef>
          </c:tx>
          <c:spPr>
            <a:solidFill>
              <a:srgbClr val="7030A0"/>
            </a:solidFill>
            <a:ln>
              <a:solidFill>
                <a:srgbClr val="7030A0"/>
              </a:solidFill>
            </a:ln>
            <a:effectLst/>
          </c:spPr>
          <c:invertIfNegative val="0"/>
          <c:cat>
            <c:strRef>
              <c:f>'ข้อมูลสำหรับ 25 หน้า'!$B$59:$B$63</c:f>
              <c:strCache>
                <c:ptCount val="5"/>
                <c:pt idx="0">
                  <c:v> 100:0</c:v>
                </c:pt>
                <c:pt idx="1">
                  <c:v> 75:25</c:v>
                </c:pt>
                <c:pt idx="2">
                  <c:v> 50:50</c:v>
                </c:pt>
                <c:pt idx="3">
                  <c:v> 25:75</c:v>
                </c:pt>
                <c:pt idx="4">
                  <c:v> 0:100</c:v>
                </c:pt>
              </c:strCache>
            </c:strRef>
          </c:cat>
          <c:val>
            <c:numRef>
              <c:f>'ข้อมูลสำหรับ 25 หน้า'!$F$59:$F$63</c:f>
              <c:numCache>
                <c:formatCode>0.0</c:formatCode>
                <c:ptCount val="5"/>
                <c:pt idx="0">
                  <c:v>0</c:v>
                </c:pt>
                <c:pt idx="1">
                  <c:v>1.0104986876640421</c:v>
                </c:pt>
                <c:pt idx="2">
                  <c:v>0.62992125984251968</c:v>
                </c:pt>
                <c:pt idx="3">
                  <c:v>0.54855643044619429</c:v>
                </c:pt>
                <c:pt idx="4">
                  <c:v>7.874015748031496E-2</c:v>
                </c:pt>
              </c:numCache>
            </c:numRef>
          </c:val>
        </c:ser>
        <c:dLbls>
          <c:showLegendKey val="0"/>
          <c:showVal val="0"/>
          <c:showCatName val="0"/>
          <c:showSerName val="0"/>
          <c:showPercent val="0"/>
          <c:showBubbleSize val="0"/>
        </c:dLbls>
        <c:gapWidth val="219"/>
        <c:overlap val="-27"/>
        <c:axId val="-598404960"/>
        <c:axId val="-598385376"/>
      </c:barChart>
      <c:catAx>
        <c:axId val="-59840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385376"/>
        <c:crosses val="autoZero"/>
        <c:auto val="1"/>
        <c:lblAlgn val="ctr"/>
        <c:lblOffset val="100"/>
        <c:noMultiLvlLbl val="0"/>
      </c:catAx>
      <c:valAx>
        <c:axId val="-598385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low"/>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404960"/>
        <c:crosses val="autoZero"/>
        <c:crossBetween val="between"/>
        <c:majorUnit val="0.2"/>
      </c:valAx>
      <c:spPr>
        <a:noFill/>
        <a:ln>
          <a:noFill/>
        </a:ln>
        <a:effectLst/>
      </c:spPr>
    </c:plotArea>
    <c:legend>
      <c:legendPos val="b"/>
      <c:layout>
        <c:manualLayout>
          <c:xMode val="edge"/>
          <c:yMode val="edge"/>
          <c:x val="0.11363860467234035"/>
          <c:y val="0.860030903896145"/>
          <c:w val="0.78207877842417906"/>
          <c:h val="6.659198066083156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Relative CO</a:t>
            </a:r>
            <a:r>
              <a:rPr lang="en-US" sz="1200" baseline="-25000"/>
              <a:t>2</a:t>
            </a:r>
            <a:r>
              <a:rPr lang="en-US" sz="1200"/>
              <a:t> content</a:t>
            </a:r>
            <a:r>
              <a:rPr lang="en-US" sz="1200" baseline="0"/>
              <a:t> </a:t>
            </a:r>
            <a:r>
              <a:rPr lang="en-US" sz="1200"/>
              <a:t>(-)</a:t>
            </a:r>
          </a:p>
        </c:rich>
      </c:tx>
      <c:layout>
        <c:manualLayout>
          <c:xMode val="edge"/>
          <c:yMode val="edge"/>
          <c:x val="1.8176946631671041E-2"/>
          <c:y val="0.2048611111111111"/>
        </c:manualLayout>
      </c:layout>
      <c:overlay val="0"/>
      <c:spPr>
        <a:noFill/>
        <a:ln>
          <a:noFill/>
        </a:ln>
        <a:effectLst/>
      </c:spPr>
    </c:title>
    <c:autoTitleDeleted val="0"/>
    <c:plotArea>
      <c:layout>
        <c:manualLayout>
          <c:layoutTarget val="inner"/>
          <c:xMode val="edge"/>
          <c:yMode val="edge"/>
          <c:x val="0.13234780548264799"/>
          <c:y val="0.14093947586422426"/>
          <c:w val="0.84498341353164186"/>
          <c:h val="0.6428780704707433"/>
        </c:manualLayout>
      </c:layout>
      <c:barChart>
        <c:barDir val="col"/>
        <c:grouping val="clustered"/>
        <c:varyColors val="0"/>
        <c:ser>
          <c:idx val="0"/>
          <c:order val="0"/>
          <c:tx>
            <c:strRef>
              <c:f>'Sheet1 (2)'!$G$19</c:f>
              <c:strCache>
                <c:ptCount val="1"/>
                <c:pt idx="0">
                  <c:v>OFM</c:v>
                </c:pt>
              </c:strCache>
            </c:strRef>
          </c:tx>
          <c:spPr>
            <a:solidFill>
              <a:srgbClr val="0070C0"/>
            </a:solidFill>
            <a:ln>
              <a:solidFill>
                <a:srgbClr val="0070C0"/>
              </a:solidFill>
            </a:ln>
            <a:effectLst/>
          </c:spPr>
          <c:invertIfNegative val="0"/>
          <c:cat>
            <c:strRef>
              <c:f>'Sheet1 (2)'!$F$20:$F$24</c:f>
              <c:strCache>
                <c:ptCount val="5"/>
                <c:pt idx="0">
                  <c:v> 100:0</c:v>
                </c:pt>
                <c:pt idx="1">
                  <c:v> 75:25</c:v>
                </c:pt>
                <c:pt idx="2">
                  <c:v> 50:50</c:v>
                </c:pt>
                <c:pt idx="3">
                  <c:v> 25:75</c:v>
                </c:pt>
                <c:pt idx="4">
                  <c:v> 0:100</c:v>
                </c:pt>
              </c:strCache>
            </c:strRef>
          </c:cat>
          <c:val>
            <c:numRef>
              <c:f>'Sheet1 (2)'!$G$20:$G$24</c:f>
              <c:numCache>
                <c:formatCode>0.00</c:formatCode>
                <c:ptCount val="5"/>
                <c:pt idx="0">
                  <c:v>1</c:v>
                </c:pt>
                <c:pt idx="1">
                  <c:v>0</c:v>
                </c:pt>
                <c:pt idx="2">
                  <c:v>0</c:v>
                </c:pt>
                <c:pt idx="3">
                  <c:v>0</c:v>
                </c:pt>
                <c:pt idx="4" formatCode="General">
                  <c:v>0</c:v>
                </c:pt>
              </c:numCache>
            </c:numRef>
          </c:val>
        </c:ser>
        <c:ser>
          <c:idx val="1"/>
          <c:order val="1"/>
          <c:tx>
            <c:strRef>
              <c:f>'Sheet1 (2)'!$H$3</c:f>
              <c:strCache>
                <c:ptCount val="1"/>
                <c:pt idx="0">
                  <c:v>OFM:DW</c:v>
                </c:pt>
              </c:strCache>
            </c:strRef>
          </c:tx>
          <c:spPr>
            <a:solidFill>
              <a:srgbClr val="C00000"/>
            </a:solidFill>
            <a:ln>
              <a:solidFill>
                <a:srgbClr val="C00000"/>
              </a:solidFill>
            </a:ln>
            <a:effectLst/>
          </c:spPr>
          <c:invertIfNegative val="0"/>
          <c:cat>
            <c:strRef>
              <c:f>'Sheet1 (2)'!$F$20:$F$24</c:f>
              <c:strCache>
                <c:ptCount val="5"/>
                <c:pt idx="0">
                  <c:v> 100:0</c:v>
                </c:pt>
                <c:pt idx="1">
                  <c:v> 75:25</c:v>
                </c:pt>
                <c:pt idx="2">
                  <c:v> 50:50</c:v>
                </c:pt>
                <c:pt idx="3">
                  <c:v> 25:75</c:v>
                </c:pt>
                <c:pt idx="4">
                  <c:v> 0:100</c:v>
                </c:pt>
              </c:strCache>
            </c:strRef>
          </c:cat>
          <c:val>
            <c:numRef>
              <c:f>'Sheet1 (2)'!$H$20:$H$24</c:f>
              <c:numCache>
                <c:formatCode>0.00</c:formatCode>
                <c:ptCount val="5"/>
                <c:pt idx="0">
                  <c:v>0</c:v>
                </c:pt>
                <c:pt idx="1">
                  <c:v>0.93843283582089554</c:v>
                </c:pt>
                <c:pt idx="2">
                  <c:v>0.92910447761194037</c:v>
                </c:pt>
                <c:pt idx="3">
                  <c:v>0.87126865671641784</c:v>
                </c:pt>
                <c:pt idx="4">
                  <c:v>0.80783582089552231</c:v>
                </c:pt>
              </c:numCache>
            </c:numRef>
          </c:val>
        </c:ser>
        <c:ser>
          <c:idx val="2"/>
          <c:order val="2"/>
          <c:tx>
            <c:strRef>
              <c:f>'Sheet1 (2)'!$I$3</c:f>
              <c:strCache>
                <c:ptCount val="1"/>
                <c:pt idx="0">
                  <c:v>OFM:BW</c:v>
                </c:pt>
              </c:strCache>
            </c:strRef>
          </c:tx>
          <c:spPr>
            <a:solidFill>
              <a:srgbClr val="FFC000"/>
            </a:solidFill>
            <a:ln>
              <a:solidFill>
                <a:srgbClr val="FFFF00"/>
              </a:solidFill>
            </a:ln>
            <a:effectLst/>
          </c:spPr>
          <c:invertIfNegative val="0"/>
          <c:cat>
            <c:strRef>
              <c:f>'Sheet1 (2)'!$F$20:$F$24</c:f>
              <c:strCache>
                <c:ptCount val="5"/>
                <c:pt idx="0">
                  <c:v> 100:0</c:v>
                </c:pt>
                <c:pt idx="1">
                  <c:v> 75:25</c:v>
                </c:pt>
                <c:pt idx="2">
                  <c:v> 50:50</c:v>
                </c:pt>
                <c:pt idx="3">
                  <c:v> 25:75</c:v>
                </c:pt>
                <c:pt idx="4">
                  <c:v> 0:100</c:v>
                </c:pt>
              </c:strCache>
            </c:strRef>
          </c:cat>
          <c:val>
            <c:numRef>
              <c:f>'Sheet1 (2)'!$I$20:$I$24</c:f>
              <c:numCache>
                <c:formatCode>0.00</c:formatCode>
                <c:ptCount val="5"/>
                <c:pt idx="0">
                  <c:v>0</c:v>
                </c:pt>
                <c:pt idx="1">
                  <c:v>0.21455223880597013</c:v>
                </c:pt>
                <c:pt idx="2">
                  <c:v>0.20149253731343283</c:v>
                </c:pt>
                <c:pt idx="3">
                  <c:v>0.17164179104477612</c:v>
                </c:pt>
                <c:pt idx="4">
                  <c:v>0.16417910447761194</c:v>
                </c:pt>
              </c:numCache>
            </c:numRef>
          </c:val>
        </c:ser>
        <c:ser>
          <c:idx val="3"/>
          <c:order val="3"/>
          <c:tx>
            <c:strRef>
              <c:f>'Sheet1 (2)'!$J$3</c:f>
              <c:strCache>
                <c:ptCount val="1"/>
                <c:pt idx="0">
                  <c:v>OFM:CW</c:v>
                </c:pt>
              </c:strCache>
            </c:strRef>
          </c:tx>
          <c:spPr>
            <a:solidFill>
              <a:srgbClr val="92D050"/>
            </a:solidFill>
            <a:ln>
              <a:solidFill>
                <a:srgbClr val="92D050"/>
              </a:solidFill>
            </a:ln>
            <a:effectLst/>
          </c:spPr>
          <c:invertIfNegative val="0"/>
          <c:cat>
            <c:strRef>
              <c:f>'Sheet1 (2)'!$F$20:$F$24</c:f>
              <c:strCache>
                <c:ptCount val="5"/>
                <c:pt idx="0">
                  <c:v> 100:0</c:v>
                </c:pt>
                <c:pt idx="1">
                  <c:v> 75:25</c:v>
                </c:pt>
                <c:pt idx="2">
                  <c:v> 50:50</c:v>
                </c:pt>
                <c:pt idx="3">
                  <c:v> 25:75</c:v>
                </c:pt>
                <c:pt idx="4">
                  <c:v> 0:100</c:v>
                </c:pt>
              </c:strCache>
            </c:strRef>
          </c:cat>
          <c:val>
            <c:numRef>
              <c:f>'Sheet1 (2)'!$J$20:$J$24</c:f>
              <c:numCache>
                <c:formatCode>0.00</c:formatCode>
                <c:ptCount val="5"/>
                <c:pt idx="0">
                  <c:v>0</c:v>
                </c:pt>
                <c:pt idx="1">
                  <c:v>0.39365671641791039</c:v>
                </c:pt>
                <c:pt idx="2">
                  <c:v>0.23880597014925373</c:v>
                </c:pt>
                <c:pt idx="3">
                  <c:v>0.22761194029850745</c:v>
                </c:pt>
                <c:pt idx="4">
                  <c:v>0.18656716417910446</c:v>
                </c:pt>
              </c:numCache>
            </c:numRef>
          </c:val>
        </c:ser>
        <c:ser>
          <c:idx val="4"/>
          <c:order val="4"/>
          <c:tx>
            <c:strRef>
              <c:f>'Sheet1 (2)'!$K$3</c:f>
              <c:strCache>
                <c:ptCount val="1"/>
                <c:pt idx="0">
                  <c:v>OFM:EW</c:v>
                </c:pt>
              </c:strCache>
            </c:strRef>
          </c:tx>
          <c:spPr>
            <a:solidFill>
              <a:srgbClr val="7030A0"/>
            </a:solidFill>
            <a:ln>
              <a:solidFill>
                <a:srgbClr val="7030A0"/>
              </a:solidFill>
            </a:ln>
            <a:effectLst/>
          </c:spPr>
          <c:invertIfNegative val="0"/>
          <c:cat>
            <c:strRef>
              <c:f>'Sheet1 (2)'!$F$20:$F$24</c:f>
              <c:strCache>
                <c:ptCount val="5"/>
                <c:pt idx="0">
                  <c:v> 100:0</c:v>
                </c:pt>
                <c:pt idx="1">
                  <c:v> 75:25</c:v>
                </c:pt>
                <c:pt idx="2">
                  <c:v> 50:50</c:v>
                </c:pt>
                <c:pt idx="3">
                  <c:v> 25:75</c:v>
                </c:pt>
                <c:pt idx="4">
                  <c:v> 0:100</c:v>
                </c:pt>
              </c:strCache>
            </c:strRef>
          </c:cat>
          <c:val>
            <c:numRef>
              <c:f>'Sheet1 (2)'!$K$20:$K$24</c:f>
              <c:numCache>
                <c:formatCode>0.00</c:formatCode>
                <c:ptCount val="5"/>
                <c:pt idx="0">
                  <c:v>0</c:v>
                </c:pt>
                <c:pt idx="1">
                  <c:v>0.15111940298507462</c:v>
                </c:pt>
                <c:pt idx="2">
                  <c:v>0.1417910447761194</c:v>
                </c:pt>
                <c:pt idx="3">
                  <c:v>9.3283582089552231E-2</c:v>
                </c:pt>
                <c:pt idx="4">
                  <c:v>7.8358208955223871E-2</c:v>
                </c:pt>
              </c:numCache>
            </c:numRef>
          </c:val>
        </c:ser>
        <c:dLbls>
          <c:showLegendKey val="0"/>
          <c:showVal val="0"/>
          <c:showCatName val="0"/>
          <c:showSerName val="0"/>
          <c:showPercent val="0"/>
          <c:showBubbleSize val="0"/>
        </c:dLbls>
        <c:gapWidth val="219"/>
        <c:overlap val="-27"/>
        <c:axId val="-598402240"/>
        <c:axId val="-598379392"/>
      </c:barChart>
      <c:catAx>
        <c:axId val="-5984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379392"/>
        <c:crosses val="autoZero"/>
        <c:auto val="1"/>
        <c:lblAlgn val="ctr"/>
        <c:lblOffset val="100"/>
        <c:noMultiLvlLbl val="0"/>
      </c:catAx>
      <c:valAx>
        <c:axId val="-598379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40224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Relative CH</a:t>
            </a:r>
            <a:r>
              <a:rPr lang="en-US" sz="1200" baseline="-25000"/>
              <a:t>4</a:t>
            </a:r>
            <a:r>
              <a:rPr lang="en-US" sz="1200"/>
              <a:t> content </a:t>
            </a:r>
            <a:r>
              <a:rPr lang="en-US" sz="1200" baseline="0"/>
              <a:t>(-)</a:t>
            </a:r>
            <a:endParaRPr lang="en-US" sz="1200"/>
          </a:p>
        </c:rich>
      </c:tx>
      <c:layout>
        <c:manualLayout>
          <c:xMode val="edge"/>
          <c:yMode val="edge"/>
          <c:x val="1.6099445902595509E-2"/>
          <c:y val="0.2048611111111111"/>
        </c:manualLayout>
      </c:layout>
      <c:overlay val="0"/>
      <c:spPr>
        <a:noFill/>
        <a:ln>
          <a:noFill/>
        </a:ln>
        <a:effectLst/>
      </c:spPr>
    </c:title>
    <c:autoTitleDeleted val="0"/>
    <c:plotArea>
      <c:layout>
        <c:manualLayout>
          <c:layoutTarget val="inner"/>
          <c:xMode val="edge"/>
          <c:yMode val="edge"/>
          <c:x val="0.14623669437153688"/>
          <c:y val="0.14093947586422426"/>
          <c:w val="0.83109452464275302"/>
          <c:h val="0.6428780704707433"/>
        </c:manualLayout>
      </c:layout>
      <c:barChart>
        <c:barDir val="col"/>
        <c:grouping val="clustered"/>
        <c:varyColors val="0"/>
        <c:ser>
          <c:idx val="0"/>
          <c:order val="0"/>
          <c:tx>
            <c:strRef>
              <c:f>'Sheet1 (2)'!$G$3</c:f>
              <c:strCache>
                <c:ptCount val="1"/>
                <c:pt idx="0">
                  <c:v>OFM</c:v>
                </c:pt>
              </c:strCache>
            </c:strRef>
          </c:tx>
          <c:spPr>
            <a:solidFill>
              <a:srgbClr val="0070C0"/>
            </a:solidFill>
            <a:ln>
              <a:solidFill>
                <a:srgbClr val="00B0F0"/>
              </a:solidFill>
            </a:ln>
            <a:effectLst/>
          </c:spPr>
          <c:invertIfNegative val="0"/>
          <c:cat>
            <c:strRef>
              <c:f>'Sheet1 (2)'!$F$4:$F$8</c:f>
              <c:strCache>
                <c:ptCount val="5"/>
                <c:pt idx="0">
                  <c:v> 100:0</c:v>
                </c:pt>
                <c:pt idx="1">
                  <c:v> 75:25</c:v>
                </c:pt>
                <c:pt idx="2">
                  <c:v> 50:50</c:v>
                </c:pt>
                <c:pt idx="3">
                  <c:v> 25:75</c:v>
                </c:pt>
                <c:pt idx="4">
                  <c:v> 0:100</c:v>
                </c:pt>
              </c:strCache>
            </c:strRef>
          </c:cat>
          <c:val>
            <c:numRef>
              <c:f>'Sheet1 (2)'!$G$4:$G$8</c:f>
              <c:numCache>
                <c:formatCode>0.00</c:formatCode>
                <c:ptCount val="5"/>
                <c:pt idx="0" formatCode="General">
                  <c:v>1</c:v>
                </c:pt>
                <c:pt idx="1">
                  <c:v>0</c:v>
                </c:pt>
                <c:pt idx="2">
                  <c:v>0</c:v>
                </c:pt>
                <c:pt idx="3">
                  <c:v>0</c:v>
                </c:pt>
                <c:pt idx="4" formatCode="General">
                  <c:v>0</c:v>
                </c:pt>
              </c:numCache>
            </c:numRef>
          </c:val>
        </c:ser>
        <c:ser>
          <c:idx val="1"/>
          <c:order val="1"/>
          <c:tx>
            <c:strRef>
              <c:f>'Sheet1 (2)'!$H$3</c:f>
              <c:strCache>
                <c:ptCount val="1"/>
                <c:pt idx="0">
                  <c:v>OFM:DW</c:v>
                </c:pt>
              </c:strCache>
            </c:strRef>
          </c:tx>
          <c:spPr>
            <a:solidFill>
              <a:srgbClr val="C00000"/>
            </a:solidFill>
            <a:ln>
              <a:solidFill>
                <a:srgbClr val="C00000"/>
              </a:solidFill>
            </a:ln>
            <a:effectLst/>
          </c:spPr>
          <c:invertIfNegative val="0"/>
          <c:cat>
            <c:strRef>
              <c:f>'Sheet1 (2)'!$F$4:$F$8</c:f>
              <c:strCache>
                <c:ptCount val="5"/>
                <c:pt idx="0">
                  <c:v> 100:0</c:v>
                </c:pt>
                <c:pt idx="1">
                  <c:v> 75:25</c:v>
                </c:pt>
                <c:pt idx="2">
                  <c:v> 50:50</c:v>
                </c:pt>
                <c:pt idx="3">
                  <c:v> 25:75</c:v>
                </c:pt>
                <c:pt idx="4">
                  <c:v> 0:100</c:v>
                </c:pt>
              </c:strCache>
            </c:strRef>
          </c:cat>
          <c:val>
            <c:numRef>
              <c:f>'Sheet1 (2)'!$H$4:$H$8</c:f>
              <c:numCache>
                <c:formatCode>General</c:formatCode>
                <c:ptCount val="5"/>
                <c:pt idx="0" formatCode="0.00">
                  <c:v>0</c:v>
                </c:pt>
                <c:pt idx="1">
                  <c:v>0.85359902399349319</c:v>
                </c:pt>
                <c:pt idx="2">
                  <c:v>0.80032533550223672</c:v>
                </c:pt>
                <c:pt idx="3">
                  <c:v>0.78771858479056533</c:v>
                </c:pt>
                <c:pt idx="4">
                  <c:v>0.76209841398942657</c:v>
                </c:pt>
              </c:numCache>
            </c:numRef>
          </c:val>
        </c:ser>
        <c:ser>
          <c:idx val="2"/>
          <c:order val="2"/>
          <c:tx>
            <c:strRef>
              <c:f>'Sheet1 (2)'!$I$3</c:f>
              <c:strCache>
                <c:ptCount val="1"/>
                <c:pt idx="0">
                  <c:v>OFM:BW</c:v>
                </c:pt>
              </c:strCache>
            </c:strRef>
          </c:tx>
          <c:spPr>
            <a:solidFill>
              <a:srgbClr val="FFC000"/>
            </a:solidFill>
            <a:ln>
              <a:solidFill>
                <a:srgbClr val="FFC000"/>
              </a:solidFill>
            </a:ln>
            <a:effectLst/>
          </c:spPr>
          <c:invertIfNegative val="0"/>
          <c:cat>
            <c:strRef>
              <c:f>'Sheet1 (2)'!$F$4:$F$8</c:f>
              <c:strCache>
                <c:ptCount val="5"/>
                <c:pt idx="0">
                  <c:v> 100:0</c:v>
                </c:pt>
                <c:pt idx="1">
                  <c:v> 75:25</c:v>
                </c:pt>
                <c:pt idx="2">
                  <c:v> 50:50</c:v>
                </c:pt>
                <c:pt idx="3">
                  <c:v> 25:75</c:v>
                </c:pt>
                <c:pt idx="4">
                  <c:v> 0:100</c:v>
                </c:pt>
              </c:strCache>
            </c:strRef>
          </c:cat>
          <c:val>
            <c:numRef>
              <c:f>'Sheet1 (2)'!$I$4:$I$8</c:f>
              <c:numCache>
                <c:formatCode>General</c:formatCode>
                <c:ptCount val="5"/>
                <c:pt idx="0" formatCode="0.00">
                  <c:v>0</c:v>
                </c:pt>
                <c:pt idx="1">
                  <c:v>0.55469703131354209</c:v>
                </c:pt>
                <c:pt idx="2">
                  <c:v>0.47702318015453438</c:v>
                </c:pt>
                <c:pt idx="3">
                  <c:v>0.44814965433102888</c:v>
                </c:pt>
                <c:pt idx="4">
                  <c:v>0.40666937779585199</c:v>
                </c:pt>
              </c:numCache>
            </c:numRef>
          </c:val>
        </c:ser>
        <c:ser>
          <c:idx val="3"/>
          <c:order val="3"/>
          <c:tx>
            <c:strRef>
              <c:f>'Sheet1 (2)'!$J$3</c:f>
              <c:strCache>
                <c:ptCount val="1"/>
                <c:pt idx="0">
                  <c:v>OFM:CW</c:v>
                </c:pt>
              </c:strCache>
            </c:strRef>
          </c:tx>
          <c:spPr>
            <a:solidFill>
              <a:srgbClr val="92D050"/>
            </a:solidFill>
            <a:ln>
              <a:solidFill>
                <a:srgbClr val="92D050"/>
              </a:solidFill>
            </a:ln>
            <a:effectLst/>
          </c:spPr>
          <c:invertIfNegative val="0"/>
          <c:cat>
            <c:strRef>
              <c:f>'Sheet1 (2)'!$F$4:$F$8</c:f>
              <c:strCache>
                <c:ptCount val="5"/>
                <c:pt idx="0">
                  <c:v> 100:0</c:v>
                </c:pt>
                <c:pt idx="1">
                  <c:v> 75:25</c:v>
                </c:pt>
                <c:pt idx="2">
                  <c:v> 50:50</c:v>
                </c:pt>
                <c:pt idx="3">
                  <c:v> 25:75</c:v>
                </c:pt>
                <c:pt idx="4">
                  <c:v> 0:100</c:v>
                </c:pt>
              </c:strCache>
            </c:strRef>
          </c:cat>
          <c:val>
            <c:numRef>
              <c:f>'Sheet1 (2)'!$J$4:$J$8</c:f>
              <c:numCache>
                <c:formatCode>General</c:formatCode>
                <c:ptCount val="5"/>
                <c:pt idx="0" formatCode="0.00">
                  <c:v>0</c:v>
                </c:pt>
                <c:pt idx="1">
                  <c:v>0.64619764131760882</c:v>
                </c:pt>
                <c:pt idx="2">
                  <c:v>0.51281008540056927</c:v>
                </c:pt>
                <c:pt idx="3">
                  <c:v>0.50508336722244818</c:v>
                </c:pt>
                <c:pt idx="4">
                  <c:v>0.47214314762098414</c:v>
                </c:pt>
              </c:numCache>
            </c:numRef>
          </c:val>
        </c:ser>
        <c:ser>
          <c:idx val="4"/>
          <c:order val="4"/>
          <c:tx>
            <c:strRef>
              <c:f>'Sheet1 (2)'!$K$3</c:f>
              <c:strCache>
                <c:ptCount val="1"/>
                <c:pt idx="0">
                  <c:v>OFM:EW</c:v>
                </c:pt>
              </c:strCache>
            </c:strRef>
          </c:tx>
          <c:spPr>
            <a:solidFill>
              <a:srgbClr val="7030A0"/>
            </a:solidFill>
            <a:ln>
              <a:solidFill>
                <a:srgbClr val="7030A0"/>
              </a:solidFill>
            </a:ln>
            <a:effectLst/>
          </c:spPr>
          <c:invertIfNegative val="0"/>
          <c:cat>
            <c:strRef>
              <c:f>'Sheet1 (2)'!$F$4:$F$8</c:f>
              <c:strCache>
                <c:ptCount val="5"/>
                <c:pt idx="0">
                  <c:v> 100:0</c:v>
                </c:pt>
                <c:pt idx="1">
                  <c:v> 75:25</c:v>
                </c:pt>
                <c:pt idx="2">
                  <c:v> 50:50</c:v>
                </c:pt>
                <c:pt idx="3">
                  <c:v> 25:75</c:v>
                </c:pt>
                <c:pt idx="4">
                  <c:v> 0:100</c:v>
                </c:pt>
              </c:strCache>
            </c:strRef>
          </c:cat>
          <c:val>
            <c:numRef>
              <c:f>'Sheet1 (2)'!$K$4:$K$8</c:f>
              <c:numCache>
                <c:formatCode>General</c:formatCode>
                <c:ptCount val="5"/>
                <c:pt idx="0" formatCode="0.00">
                  <c:v>0</c:v>
                </c:pt>
                <c:pt idx="1">
                  <c:v>0.36966246441642941</c:v>
                </c:pt>
                <c:pt idx="2">
                  <c:v>0.35258235054900366</c:v>
                </c:pt>
                <c:pt idx="3">
                  <c:v>0.33631557543716956</c:v>
                </c:pt>
                <c:pt idx="4">
                  <c:v>0.3216754778365189</c:v>
                </c:pt>
              </c:numCache>
            </c:numRef>
          </c:val>
        </c:ser>
        <c:dLbls>
          <c:showLegendKey val="0"/>
          <c:showVal val="0"/>
          <c:showCatName val="0"/>
          <c:showSerName val="0"/>
          <c:showPercent val="0"/>
          <c:showBubbleSize val="0"/>
        </c:dLbls>
        <c:gapWidth val="219"/>
        <c:overlap val="-27"/>
        <c:axId val="-598389184"/>
        <c:axId val="-598376672"/>
      </c:barChart>
      <c:catAx>
        <c:axId val="-59838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376672"/>
        <c:crosses val="autoZero"/>
        <c:auto val="1"/>
        <c:lblAlgn val="ctr"/>
        <c:lblOffset val="100"/>
        <c:noMultiLvlLbl val="0"/>
      </c:catAx>
      <c:valAx>
        <c:axId val="-59837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389184"/>
        <c:crosses val="autoZero"/>
        <c:crossBetween val="between"/>
      </c:valAx>
      <c:spPr>
        <a:noFill/>
        <a:ln>
          <a:noFill/>
        </a:ln>
        <a:effectLst/>
      </c:spPr>
    </c:plotArea>
    <c:legend>
      <c:legendPos val="b"/>
      <c:layout>
        <c:manualLayout>
          <c:xMode val="edge"/>
          <c:yMode val="edge"/>
          <c:x val="0.13307451151939342"/>
          <c:y val="0.8963008530183727"/>
          <c:w val="0.75330909157188697"/>
          <c:h val="5.508803587051618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t>Relative Energy content</a:t>
            </a:r>
            <a:r>
              <a:rPr lang="en-US" sz="1100" baseline="0"/>
              <a:t> </a:t>
            </a:r>
            <a:r>
              <a:rPr lang="en-US" sz="1100"/>
              <a:t>(</a:t>
            </a:r>
            <a:r>
              <a:rPr lang="th-TH" sz="1100"/>
              <a:t>-</a:t>
            </a:r>
            <a:r>
              <a:rPr lang="en-US" sz="1100"/>
              <a:t>) </a:t>
            </a:r>
          </a:p>
        </c:rich>
      </c:tx>
      <c:layout>
        <c:manualLayout>
          <c:xMode val="edge"/>
          <c:yMode val="edge"/>
          <c:x val="4.0978966170895303E-2"/>
          <c:y val="0.21236439195100612"/>
        </c:manualLayout>
      </c:layout>
      <c:overlay val="0"/>
      <c:spPr>
        <a:noFill/>
        <a:ln>
          <a:noFill/>
        </a:ln>
        <a:effectLst/>
      </c:spPr>
    </c:title>
    <c:autoTitleDeleted val="0"/>
    <c:plotArea>
      <c:layout>
        <c:manualLayout>
          <c:layoutTarget val="inner"/>
          <c:xMode val="edge"/>
          <c:yMode val="edge"/>
          <c:x val="0.17053260648262575"/>
          <c:y val="0.14093947586422426"/>
          <c:w val="0.80679874784195815"/>
          <c:h val="0.6428780704707433"/>
        </c:manualLayout>
      </c:layout>
      <c:barChart>
        <c:barDir val="col"/>
        <c:grouping val="clustered"/>
        <c:varyColors val="0"/>
        <c:ser>
          <c:idx val="0"/>
          <c:order val="0"/>
          <c:tx>
            <c:strRef>
              <c:f>'Sheet1 (2)'!$G$3</c:f>
              <c:strCache>
                <c:ptCount val="1"/>
                <c:pt idx="0">
                  <c:v>OFM</c:v>
                </c:pt>
              </c:strCache>
            </c:strRef>
          </c:tx>
          <c:spPr>
            <a:solidFill>
              <a:srgbClr val="0070C0"/>
            </a:solidFill>
            <a:ln>
              <a:solidFill>
                <a:srgbClr val="0070C0"/>
              </a:solidFill>
            </a:ln>
            <a:effectLst/>
          </c:spPr>
          <c:invertIfNegative val="0"/>
          <c:cat>
            <c:strRef>
              <c:f>'Sheet1 (2)'!$F$4:$F$8</c:f>
              <c:strCache>
                <c:ptCount val="5"/>
                <c:pt idx="0">
                  <c:v> 100:0</c:v>
                </c:pt>
                <c:pt idx="1">
                  <c:v> 75:25</c:v>
                </c:pt>
                <c:pt idx="2">
                  <c:v> 50:50</c:v>
                </c:pt>
                <c:pt idx="3">
                  <c:v> 25:75</c:v>
                </c:pt>
                <c:pt idx="4">
                  <c:v> 0:100</c:v>
                </c:pt>
              </c:strCache>
            </c:strRef>
          </c:cat>
          <c:val>
            <c:numRef>
              <c:f>'Sheet1 (2)'!$G$4:$G$8</c:f>
              <c:numCache>
                <c:formatCode>_(* #,##0.00_);_(* \(#,##0.00\);_(* "-"??_);_(@_)</c:formatCode>
                <c:ptCount val="5"/>
                <c:pt idx="0">
                  <c:v>1</c:v>
                </c:pt>
                <c:pt idx="1">
                  <c:v>0</c:v>
                </c:pt>
                <c:pt idx="2">
                  <c:v>0</c:v>
                </c:pt>
                <c:pt idx="3">
                  <c:v>0</c:v>
                </c:pt>
                <c:pt idx="4">
                  <c:v>0</c:v>
                </c:pt>
              </c:numCache>
            </c:numRef>
          </c:val>
        </c:ser>
        <c:ser>
          <c:idx val="1"/>
          <c:order val="1"/>
          <c:tx>
            <c:strRef>
              <c:f>'Sheet1 (2)'!$H$3</c:f>
              <c:strCache>
                <c:ptCount val="1"/>
                <c:pt idx="0">
                  <c:v>OFM:DW</c:v>
                </c:pt>
              </c:strCache>
            </c:strRef>
          </c:tx>
          <c:spPr>
            <a:solidFill>
              <a:srgbClr val="C00000"/>
            </a:solidFill>
            <a:ln>
              <a:solidFill>
                <a:srgbClr val="C00000"/>
              </a:solidFill>
            </a:ln>
            <a:effectLst/>
          </c:spPr>
          <c:invertIfNegative val="0"/>
          <c:cat>
            <c:strRef>
              <c:f>'Sheet1 (2)'!$F$4:$F$8</c:f>
              <c:strCache>
                <c:ptCount val="5"/>
                <c:pt idx="0">
                  <c:v> 100:0</c:v>
                </c:pt>
                <c:pt idx="1">
                  <c:v> 75:25</c:v>
                </c:pt>
                <c:pt idx="2">
                  <c:v> 50:50</c:v>
                </c:pt>
                <c:pt idx="3">
                  <c:v> 25:75</c:v>
                </c:pt>
                <c:pt idx="4">
                  <c:v> 0:100</c:v>
                </c:pt>
              </c:strCache>
            </c:strRef>
          </c:cat>
          <c:val>
            <c:numRef>
              <c:f>'Sheet1 (2)'!$H$4:$H$8</c:f>
              <c:numCache>
                <c:formatCode>_(* #,##0.00_);_(* \(#,##0.00\);_(* "-"??_);_(@_)</c:formatCode>
                <c:ptCount val="5"/>
                <c:pt idx="0">
                  <c:v>0</c:v>
                </c:pt>
                <c:pt idx="1">
                  <c:v>1.8260461760461761</c:v>
                </c:pt>
                <c:pt idx="2">
                  <c:v>1.3423520923520924</c:v>
                </c:pt>
                <c:pt idx="3">
                  <c:v>1.2948051948051948</c:v>
                </c:pt>
                <c:pt idx="4">
                  <c:v>0.67814574314574316</c:v>
                </c:pt>
              </c:numCache>
            </c:numRef>
          </c:val>
        </c:ser>
        <c:ser>
          <c:idx val="2"/>
          <c:order val="2"/>
          <c:tx>
            <c:strRef>
              <c:f>'Sheet1 (2)'!$I$3</c:f>
              <c:strCache>
                <c:ptCount val="1"/>
                <c:pt idx="0">
                  <c:v>OFM:BW</c:v>
                </c:pt>
              </c:strCache>
            </c:strRef>
          </c:tx>
          <c:spPr>
            <a:solidFill>
              <a:srgbClr val="FFC000"/>
            </a:solidFill>
            <a:ln>
              <a:noFill/>
            </a:ln>
            <a:effectLst/>
          </c:spPr>
          <c:invertIfNegative val="0"/>
          <c:cat>
            <c:strRef>
              <c:f>'Sheet1 (2)'!$F$4:$F$8</c:f>
              <c:strCache>
                <c:ptCount val="5"/>
                <c:pt idx="0">
                  <c:v> 100:0</c:v>
                </c:pt>
                <c:pt idx="1">
                  <c:v> 75:25</c:v>
                </c:pt>
                <c:pt idx="2">
                  <c:v> 50:50</c:v>
                </c:pt>
                <c:pt idx="3">
                  <c:v> 25:75</c:v>
                </c:pt>
                <c:pt idx="4">
                  <c:v> 0:100</c:v>
                </c:pt>
              </c:strCache>
            </c:strRef>
          </c:cat>
          <c:val>
            <c:numRef>
              <c:f>'Sheet1 (2)'!$I$4:$I$8</c:f>
              <c:numCache>
                <c:formatCode>_(* #,##0.00_);_(* \(#,##0.00\);_(* "-"??_);_(@_)</c:formatCode>
                <c:ptCount val="5"/>
                <c:pt idx="0">
                  <c:v>0</c:v>
                </c:pt>
                <c:pt idx="1">
                  <c:v>0.60640620490620489</c:v>
                </c:pt>
                <c:pt idx="2">
                  <c:v>0.46203607503607502</c:v>
                </c:pt>
                <c:pt idx="3">
                  <c:v>0.40180952380952384</c:v>
                </c:pt>
                <c:pt idx="4">
                  <c:v>0.24978571428571428</c:v>
                </c:pt>
              </c:numCache>
            </c:numRef>
          </c:val>
        </c:ser>
        <c:ser>
          <c:idx val="3"/>
          <c:order val="3"/>
          <c:tx>
            <c:strRef>
              <c:f>'Sheet1 (2)'!$J$3</c:f>
              <c:strCache>
                <c:ptCount val="1"/>
                <c:pt idx="0">
                  <c:v>OFM:CW</c:v>
                </c:pt>
              </c:strCache>
            </c:strRef>
          </c:tx>
          <c:spPr>
            <a:solidFill>
              <a:srgbClr val="92D050"/>
            </a:solidFill>
            <a:ln>
              <a:solidFill>
                <a:srgbClr val="92D050"/>
              </a:solidFill>
            </a:ln>
            <a:effectLst/>
          </c:spPr>
          <c:invertIfNegative val="0"/>
          <c:cat>
            <c:strRef>
              <c:f>'Sheet1 (2)'!$F$4:$F$8</c:f>
              <c:strCache>
                <c:ptCount val="5"/>
                <c:pt idx="0">
                  <c:v> 100:0</c:v>
                </c:pt>
                <c:pt idx="1">
                  <c:v> 75:25</c:v>
                </c:pt>
                <c:pt idx="2">
                  <c:v> 50:50</c:v>
                </c:pt>
                <c:pt idx="3">
                  <c:v> 25:75</c:v>
                </c:pt>
                <c:pt idx="4">
                  <c:v> 0:100</c:v>
                </c:pt>
              </c:strCache>
            </c:strRef>
          </c:cat>
          <c:val>
            <c:numRef>
              <c:f>'Sheet1 (2)'!$J$4:$J$8</c:f>
              <c:numCache>
                <c:formatCode>_(* #,##0.00_);_(* \(#,##0.00\);_(* "-"??_);_(@_)</c:formatCode>
                <c:ptCount val="5"/>
                <c:pt idx="0">
                  <c:v>0</c:v>
                </c:pt>
                <c:pt idx="1">
                  <c:v>0.82332611832611835</c:v>
                </c:pt>
                <c:pt idx="2">
                  <c:v>0.49669913419913414</c:v>
                </c:pt>
                <c:pt idx="3">
                  <c:v>0.46477417027417028</c:v>
                </c:pt>
                <c:pt idx="4">
                  <c:v>0.31602669552669549</c:v>
                </c:pt>
              </c:numCache>
            </c:numRef>
          </c:val>
        </c:ser>
        <c:ser>
          <c:idx val="4"/>
          <c:order val="4"/>
          <c:tx>
            <c:strRef>
              <c:f>'Sheet1 (2)'!$K$3</c:f>
              <c:strCache>
                <c:ptCount val="1"/>
                <c:pt idx="0">
                  <c:v>OFM:EW</c:v>
                </c:pt>
              </c:strCache>
            </c:strRef>
          </c:tx>
          <c:spPr>
            <a:solidFill>
              <a:srgbClr val="7030A0"/>
            </a:solidFill>
            <a:ln>
              <a:solidFill>
                <a:srgbClr val="7030A0"/>
              </a:solidFill>
            </a:ln>
            <a:effectLst/>
          </c:spPr>
          <c:invertIfNegative val="0"/>
          <c:cat>
            <c:strRef>
              <c:f>'Sheet1 (2)'!$F$4:$F$8</c:f>
              <c:strCache>
                <c:ptCount val="5"/>
                <c:pt idx="0">
                  <c:v> 100:0</c:v>
                </c:pt>
                <c:pt idx="1">
                  <c:v> 75:25</c:v>
                </c:pt>
                <c:pt idx="2">
                  <c:v> 50:50</c:v>
                </c:pt>
                <c:pt idx="3">
                  <c:v> 25:75</c:v>
                </c:pt>
                <c:pt idx="4">
                  <c:v> 0:100</c:v>
                </c:pt>
              </c:strCache>
            </c:strRef>
          </c:cat>
          <c:val>
            <c:numRef>
              <c:f>'Sheet1 (2)'!$K$4:$K$8</c:f>
              <c:numCache>
                <c:formatCode>_(* #,##0.00_);_(* \(#,##0.00\);_(* "-"??_);_(@_)</c:formatCode>
                <c:ptCount val="5"/>
                <c:pt idx="0">
                  <c:v>0</c:v>
                </c:pt>
                <c:pt idx="1">
                  <c:v>0.37214141414141416</c:v>
                </c:pt>
                <c:pt idx="2">
                  <c:v>0.2221168831168831</c:v>
                </c:pt>
                <c:pt idx="3">
                  <c:v>0.18515584415584413</c:v>
                </c:pt>
                <c:pt idx="4">
                  <c:v>2.5330447330447328E-2</c:v>
                </c:pt>
              </c:numCache>
            </c:numRef>
          </c:val>
        </c:ser>
        <c:dLbls>
          <c:showLegendKey val="0"/>
          <c:showVal val="0"/>
          <c:showCatName val="0"/>
          <c:showSerName val="0"/>
          <c:showPercent val="0"/>
          <c:showBubbleSize val="0"/>
        </c:dLbls>
        <c:gapWidth val="219"/>
        <c:overlap val="-27"/>
        <c:axId val="-598401152"/>
        <c:axId val="-598401696"/>
      </c:barChart>
      <c:catAx>
        <c:axId val="-5984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401696"/>
        <c:crossesAt val="0"/>
        <c:auto val="1"/>
        <c:lblAlgn val="ctr"/>
        <c:lblOffset val="100"/>
        <c:noMultiLvlLbl val="0"/>
      </c:catAx>
      <c:valAx>
        <c:axId val="-598401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4011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39C4-5135-4D19-B3F2-30DD1397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2339</Words>
  <Characters>13338</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Supawat Vivanpatarakij</cp:lastModifiedBy>
  <cp:revision>10</cp:revision>
  <cp:lastPrinted>2019-01-10T08:03:00Z</cp:lastPrinted>
  <dcterms:created xsi:type="dcterms:W3CDTF">2019-01-10T08:04:00Z</dcterms:created>
  <dcterms:modified xsi:type="dcterms:W3CDTF">2019-04-10T02:56:00Z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