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F0D5461" w14:textId="77777777">
        <w:trPr>
          <w:trHeight w:val="852"/>
          <w:jc w:val="center"/>
        </w:trPr>
        <w:tc>
          <w:tcPr>
            <w:tcW w:w="6946" w:type="dxa"/>
            <w:vMerge w:val="restart"/>
            <w:tcBorders>
              <w:right w:val="single" w:sz="4" w:space="0" w:color="auto"/>
            </w:tcBorders>
          </w:tcPr>
          <w:p w14:paraId="0368A8FE"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PT" w:eastAsia="pt-PT"/>
              </w:rPr>
              <w:drawing>
                <wp:inline distT="0" distB="0" distL="0" distR="0" wp14:anchorId="379189F9" wp14:editId="6566F0CB">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6127DCC2"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514CD910"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C302BCF" w14:textId="77777777" w:rsidR="000A03B2" w:rsidRPr="00B57B36" w:rsidRDefault="000A03B2" w:rsidP="00CD5FE2">
            <w:pPr>
              <w:jc w:val="right"/>
            </w:pPr>
            <w:r w:rsidRPr="00B57B36">
              <w:rPr>
                <w:noProof/>
                <w:lang w:val="pt-PT" w:eastAsia="pt-PT"/>
              </w:rPr>
              <w:drawing>
                <wp:inline distT="0" distB="0" distL="0" distR="0" wp14:anchorId="393085B2" wp14:editId="1585D15D">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4C1BAC5B" w14:textId="77777777">
        <w:trPr>
          <w:trHeight w:val="567"/>
          <w:jc w:val="center"/>
        </w:trPr>
        <w:tc>
          <w:tcPr>
            <w:tcW w:w="6946" w:type="dxa"/>
            <w:vMerge/>
            <w:tcBorders>
              <w:right w:val="single" w:sz="4" w:space="0" w:color="auto"/>
            </w:tcBorders>
          </w:tcPr>
          <w:p w14:paraId="2D6ADF36"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7801E983"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C68510E"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8FA79B3"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08E2B154" w14:textId="77777777">
        <w:trPr>
          <w:trHeight w:val="68"/>
          <w:jc w:val="center"/>
        </w:trPr>
        <w:tc>
          <w:tcPr>
            <w:tcW w:w="8789" w:type="dxa"/>
            <w:gridSpan w:val="2"/>
          </w:tcPr>
          <w:p w14:paraId="5CB00137"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672B72DF"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7BB98E99"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18A06E6F" w14:textId="14B56158" w:rsidR="00E45987" w:rsidRDefault="00DF388D" w:rsidP="00DF388D">
      <w:pPr>
        <w:pStyle w:val="CETAuthors"/>
        <w:jc w:val="center"/>
        <w:rPr>
          <w:noProof w:val="0"/>
          <w:sz w:val="32"/>
        </w:rPr>
      </w:pPr>
      <w:r w:rsidRPr="00E45987">
        <w:rPr>
          <w:noProof w:val="0"/>
          <w:sz w:val="32"/>
        </w:rPr>
        <w:t xml:space="preserve">An Innovative Phenolic Resin </w:t>
      </w:r>
      <w:r>
        <w:rPr>
          <w:noProof w:val="0"/>
          <w:sz w:val="32"/>
        </w:rPr>
        <w:t>a</w:t>
      </w:r>
      <w:r w:rsidRPr="00E45987">
        <w:rPr>
          <w:noProof w:val="0"/>
          <w:sz w:val="32"/>
        </w:rPr>
        <w:t xml:space="preserve">nd </w:t>
      </w:r>
      <w:r>
        <w:rPr>
          <w:noProof w:val="0"/>
          <w:sz w:val="32"/>
        </w:rPr>
        <w:t>i</w:t>
      </w:r>
      <w:r w:rsidRPr="00E45987">
        <w:rPr>
          <w:noProof w:val="0"/>
          <w:sz w:val="32"/>
        </w:rPr>
        <w:t xml:space="preserve">ts Application </w:t>
      </w:r>
      <w:r w:rsidR="00D16D03">
        <w:rPr>
          <w:noProof w:val="0"/>
          <w:sz w:val="32"/>
        </w:rPr>
        <w:t>to</w:t>
      </w:r>
      <w:r w:rsidR="00D16D03" w:rsidRPr="00E45987">
        <w:rPr>
          <w:noProof w:val="0"/>
          <w:sz w:val="32"/>
        </w:rPr>
        <w:t xml:space="preserve"> </w:t>
      </w:r>
      <w:r w:rsidRPr="00E45987">
        <w:rPr>
          <w:noProof w:val="0"/>
          <w:sz w:val="32"/>
        </w:rPr>
        <w:t>Paracetamol Removal</w:t>
      </w:r>
    </w:p>
    <w:p w14:paraId="5DB94CB3" w14:textId="0440677A" w:rsidR="00E45987" w:rsidRPr="00E45987" w:rsidRDefault="00E45987" w:rsidP="00E45987">
      <w:pPr>
        <w:pStyle w:val="CETAuthors"/>
        <w:rPr>
          <w:lang w:val="pt-BR"/>
        </w:rPr>
      </w:pPr>
      <w:r w:rsidRPr="00E45987">
        <w:rPr>
          <w:lang w:val="pt-BR"/>
        </w:rPr>
        <w:t>Wardleison M. Moreira</w:t>
      </w:r>
      <w:r w:rsidRPr="00E45987">
        <w:rPr>
          <w:vertAlign w:val="superscript"/>
          <w:lang w:val="pt-BR"/>
        </w:rPr>
        <w:t>a</w:t>
      </w:r>
      <w:r w:rsidR="00E54321">
        <w:rPr>
          <w:vertAlign w:val="superscript"/>
          <w:lang w:val="pt-BR"/>
        </w:rPr>
        <w:t>,b</w:t>
      </w:r>
      <w:r w:rsidRPr="00E45987">
        <w:rPr>
          <w:lang w:val="pt-BR"/>
        </w:rPr>
        <w:t>*, Paula V. Viotti</w:t>
      </w:r>
      <w:r>
        <w:rPr>
          <w:vertAlign w:val="superscript"/>
          <w:lang w:val="pt-BR"/>
        </w:rPr>
        <w:t>a</w:t>
      </w:r>
      <w:r w:rsidRPr="00E45987">
        <w:rPr>
          <w:lang w:val="pt-BR"/>
        </w:rPr>
        <w:t xml:space="preserve">, </w:t>
      </w:r>
      <w:r w:rsidR="000502E0">
        <w:rPr>
          <w:lang w:val="pt-BR"/>
        </w:rPr>
        <w:t>Nicole</w:t>
      </w:r>
      <w:r w:rsidR="000502E0" w:rsidRPr="000502E0">
        <w:rPr>
          <w:lang w:val="pt-BR"/>
        </w:rPr>
        <w:t xml:space="preserve"> S</w:t>
      </w:r>
      <w:r w:rsidR="000502E0">
        <w:rPr>
          <w:lang w:val="pt-BR"/>
        </w:rPr>
        <w:t>.</w:t>
      </w:r>
      <w:r w:rsidR="000502E0" w:rsidRPr="000502E0">
        <w:rPr>
          <w:lang w:val="pt-BR"/>
        </w:rPr>
        <w:t xml:space="preserve"> Villas Boas</w:t>
      </w:r>
      <w:r w:rsidR="000502E0" w:rsidRPr="000502E0">
        <w:rPr>
          <w:vertAlign w:val="superscript"/>
          <w:lang w:val="pt-BR"/>
        </w:rPr>
        <w:t>a</w:t>
      </w:r>
      <w:r w:rsidR="000502E0">
        <w:rPr>
          <w:lang w:val="pt-BR"/>
        </w:rPr>
        <w:t xml:space="preserve">, </w:t>
      </w:r>
      <w:r w:rsidRPr="00E45987">
        <w:rPr>
          <w:lang w:val="pt-BR"/>
        </w:rPr>
        <w:t>Cristina Maria S. G. Baptista</w:t>
      </w:r>
      <w:r>
        <w:rPr>
          <w:vertAlign w:val="superscript"/>
          <w:lang w:val="pt-BR"/>
        </w:rPr>
        <w:t>b</w:t>
      </w:r>
      <w:r w:rsidRPr="00E45987">
        <w:rPr>
          <w:lang w:val="pt-BR"/>
        </w:rPr>
        <w:t>, Mara Heloisa N.O. Scaliante</w:t>
      </w:r>
      <w:r>
        <w:rPr>
          <w:vertAlign w:val="superscript"/>
          <w:lang w:val="pt-BR"/>
        </w:rPr>
        <w:t>a</w:t>
      </w:r>
      <w:r w:rsidRPr="00E45987">
        <w:rPr>
          <w:lang w:val="pt-BR"/>
        </w:rPr>
        <w:t>, Marcelino L. Gimenes</w:t>
      </w:r>
      <w:r>
        <w:rPr>
          <w:vertAlign w:val="superscript"/>
          <w:lang w:val="pt-BR"/>
        </w:rPr>
        <w:t>a</w:t>
      </w:r>
    </w:p>
    <w:p w14:paraId="28C04798" w14:textId="77777777" w:rsidR="00856F5C" w:rsidRDefault="00E978D0" w:rsidP="00E978D0">
      <w:pPr>
        <w:pStyle w:val="CETAddress"/>
      </w:pPr>
      <w:r w:rsidRPr="00B57B36">
        <w:rPr>
          <w:vertAlign w:val="superscript"/>
        </w:rPr>
        <w:t>a</w:t>
      </w:r>
      <w:r w:rsidR="00856F5C" w:rsidRPr="00856F5C">
        <w:t>State University of Maringá – Department of Chemical Engineering</w:t>
      </w:r>
      <w:r w:rsidR="00856F5C">
        <w:t xml:space="preserve"> – Maringá – Paraná – Brazil </w:t>
      </w:r>
    </w:p>
    <w:p w14:paraId="73876084" w14:textId="77777777" w:rsidR="00856F5C" w:rsidRDefault="00E978D0" w:rsidP="00E978D0">
      <w:pPr>
        <w:pStyle w:val="CETAddress"/>
      </w:pPr>
      <w:r w:rsidRPr="00B57B36">
        <w:rPr>
          <w:vertAlign w:val="superscript"/>
        </w:rPr>
        <w:t>b</w:t>
      </w:r>
      <w:r w:rsidR="00856F5C">
        <w:rPr>
          <w:vertAlign w:val="superscript"/>
        </w:rPr>
        <w:t xml:space="preserve"> </w:t>
      </w:r>
      <w:r w:rsidR="00856F5C" w:rsidRPr="00856F5C">
        <w:t>University of Coimbra – Department of Chemical Engineering</w:t>
      </w:r>
      <w:r w:rsidR="00856F5C">
        <w:t xml:space="preserve"> – Coimbra – Portugal </w:t>
      </w:r>
    </w:p>
    <w:p w14:paraId="2B8EA10A" w14:textId="77777777" w:rsidR="00856F5C" w:rsidRDefault="00856F5C" w:rsidP="00600535">
      <w:pPr>
        <w:pStyle w:val="CETBodytext"/>
        <w:rPr>
          <w:noProof/>
          <w:sz w:val="16"/>
          <w:lang w:val="en-GB"/>
        </w:rPr>
      </w:pPr>
      <w:r w:rsidRPr="00856F5C">
        <w:rPr>
          <w:noProof/>
          <w:sz w:val="16"/>
          <w:vertAlign w:val="superscript"/>
          <w:lang w:val="en-GB"/>
        </w:rPr>
        <w:t xml:space="preserve">* </w:t>
      </w:r>
      <w:r w:rsidRPr="00856F5C">
        <w:rPr>
          <w:noProof/>
          <w:sz w:val="16"/>
          <w:lang w:val="en-GB"/>
        </w:rPr>
        <w:t xml:space="preserve">Corresponding author. E-mail: </w:t>
      </w:r>
      <w:hyperlink r:id="rId10" w:history="1">
        <w:r w:rsidRPr="00856F5C">
          <w:rPr>
            <w:rStyle w:val="Hyperlink"/>
            <w:noProof/>
            <w:color w:val="auto"/>
            <w:sz w:val="16"/>
            <w:u w:val="none"/>
            <w:lang w:val="en-GB"/>
          </w:rPr>
          <w:t>wardleison@gmail.com</w:t>
        </w:r>
      </w:hyperlink>
    </w:p>
    <w:p w14:paraId="19C4C47E" w14:textId="7FC291F7" w:rsidR="00DD4B94" w:rsidRDefault="00DD4B94" w:rsidP="00DD4B94">
      <w:pPr>
        <w:pStyle w:val="CETnumberingbullets"/>
        <w:numPr>
          <w:ilvl w:val="0"/>
          <w:numId w:val="0"/>
        </w:numPr>
      </w:pPr>
    </w:p>
    <w:p w14:paraId="6666BF8B" w14:textId="222A8CE9" w:rsidR="00160F10" w:rsidRDefault="00DC7F03" w:rsidP="00604F0C">
      <w:pPr>
        <w:pStyle w:val="CETBodytext"/>
      </w:pPr>
      <w:r>
        <w:rPr>
          <w:lang w:val="en-GB"/>
        </w:rPr>
        <w:t>W</w:t>
      </w:r>
      <w:proofErr w:type="spellStart"/>
      <w:r w:rsidRPr="00FF0A2F">
        <w:t>ater</w:t>
      </w:r>
      <w:proofErr w:type="spellEnd"/>
      <w:r w:rsidRPr="00FF0A2F">
        <w:t xml:space="preserve"> scarcity has been a concern worldwide</w:t>
      </w:r>
      <w:r>
        <w:t xml:space="preserve">, </w:t>
      </w:r>
      <w:r w:rsidR="00564B7F">
        <w:t xml:space="preserve">especially since </w:t>
      </w:r>
      <w:r w:rsidR="00C25169">
        <w:t>the presence of</w:t>
      </w:r>
      <w:r w:rsidR="003F5EAF">
        <w:t xml:space="preserve"> m</w:t>
      </w:r>
      <w:r w:rsidR="003F3FD0" w:rsidRPr="003F3FD0">
        <w:t>icropollutant</w:t>
      </w:r>
      <w:r w:rsidR="00C25169">
        <w:t xml:space="preserve">s </w:t>
      </w:r>
      <w:r w:rsidR="000405EF">
        <w:t>i</w:t>
      </w:r>
      <w:r w:rsidR="00C25169">
        <w:t xml:space="preserve">n </w:t>
      </w:r>
      <w:r w:rsidR="00EB5416">
        <w:t>wastewater</w:t>
      </w:r>
      <w:r w:rsidR="00C25169">
        <w:t xml:space="preserve"> has increas</w:t>
      </w:r>
      <w:r w:rsidR="000405EF">
        <w:t>ed</w:t>
      </w:r>
      <w:r w:rsidR="00FC7BD5">
        <w:t xml:space="preserve">. </w:t>
      </w:r>
      <w:r w:rsidR="008267A2">
        <w:t>In this scenario, adsorption and advanced oxidative processes have gained increasing attention in environmental chemistry</w:t>
      </w:r>
      <w:r w:rsidR="00BC4FAF">
        <w:t xml:space="preserve">, </w:t>
      </w:r>
      <w:r w:rsidR="008267A2">
        <w:t>emerging as promising alternatives for water decontamination.</w:t>
      </w:r>
      <w:r w:rsidR="00514D64">
        <w:t xml:space="preserve"> </w:t>
      </w:r>
      <w:r w:rsidR="00AA6121">
        <w:t xml:space="preserve">Drugs are a good example of those pollutants and, among all drugs, paracetamol is a widely used one and was </w:t>
      </w:r>
      <w:r w:rsidR="00D16D03">
        <w:t xml:space="preserve">used </w:t>
      </w:r>
      <w:r w:rsidR="001D3D69">
        <w:t xml:space="preserve">in </w:t>
      </w:r>
      <w:r w:rsidR="00AA6121">
        <w:t xml:space="preserve">the current </w:t>
      </w:r>
      <w:r w:rsidR="001D3D69">
        <w:t>study</w:t>
      </w:r>
      <w:r w:rsidR="00AA6121">
        <w:t xml:space="preserve">. </w:t>
      </w:r>
      <w:r w:rsidR="00514D64" w:rsidRPr="00514D64">
        <w:t xml:space="preserve">Thus, alternative precursors of phenolic compounds, as a blend of Kraft black liquor and tannin, were used for an </w:t>
      </w:r>
      <w:r w:rsidR="002426D8" w:rsidRPr="002426D8">
        <w:t>i</w:t>
      </w:r>
      <w:r w:rsidR="00514D64" w:rsidRPr="002426D8">
        <w:t>n</w:t>
      </w:r>
      <w:r w:rsidR="00514D64" w:rsidRPr="00514D64">
        <w:t xml:space="preserve">novative </w:t>
      </w:r>
      <w:r w:rsidR="00130B36">
        <w:t xml:space="preserve">activated </w:t>
      </w:r>
      <w:r w:rsidR="00514D64" w:rsidRPr="00514D64">
        <w:t xml:space="preserve">phenolic resin </w:t>
      </w:r>
      <w:r w:rsidR="00122FE3">
        <w:t>(</w:t>
      </w:r>
      <w:r w:rsidR="002426D8">
        <w:t>APR</w:t>
      </w:r>
      <w:r w:rsidR="00122FE3">
        <w:t xml:space="preserve">) </w:t>
      </w:r>
      <w:r w:rsidR="00514D64" w:rsidRPr="00514D64">
        <w:t>production</w:t>
      </w:r>
      <w:r w:rsidR="00302228">
        <w:t xml:space="preserve"> and investigated for</w:t>
      </w:r>
      <w:r w:rsidR="004148D5">
        <w:t xml:space="preserve"> paracetamol removal</w:t>
      </w:r>
      <w:r w:rsidR="00514D64" w:rsidRPr="00514D64">
        <w:t>.</w:t>
      </w:r>
      <w:r w:rsidR="00302228">
        <w:t xml:space="preserve"> </w:t>
      </w:r>
      <w:r w:rsidR="00080BAF">
        <w:t xml:space="preserve">When </w:t>
      </w:r>
      <w:r w:rsidR="00AA6121">
        <w:t xml:space="preserve">the </w:t>
      </w:r>
      <w:r w:rsidR="008E2191">
        <w:t>APR</w:t>
      </w:r>
      <w:r w:rsidR="00AA6121">
        <w:t xml:space="preserve"> was </w:t>
      </w:r>
      <w:r w:rsidR="005C70AC">
        <w:t>used</w:t>
      </w:r>
      <w:r w:rsidR="00080BAF">
        <w:t xml:space="preserve"> </w:t>
      </w:r>
      <w:r w:rsidR="00AD19DD">
        <w:t xml:space="preserve">in a photocatalytic process, </w:t>
      </w:r>
      <w:r w:rsidR="00613F2B">
        <w:t>the</w:t>
      </w:r>
      <w:r w:rsidR="005C70AC">
        <w:t xml:space="preserve"> </w:t>
      </w:r>
      <w:r w:rsidR="00613F2B">
        <w:t xml:space="preserve">paracetamol removal </w:t>
      </w:r>
      <w:r w:rsidR="00D16D03">
        <w:t xml:space="preserve">mechanism </w:t>
      </w:r>
      <w:r w:rsidR="00613F2B">
        <w:t>was predominantly by adsorption</w:t>
      </w:r>
      <w:r w:rsidR="001B5040">
        <w:t xml:space="preserve"> rather</w:t>
      </w:r>
      <w:r w:rsidR="00613F2B">
        <w:t xml:space="preserve"> than by photocatalysis</w:t>
      </w:r>
      <w:r w:rsidR="005413CD">
        <w:t xml:space="preserve">. </w:t>
      </w:r>
      <w:r w:rsidR="00302228">
        <w:t>The p</w:t>
      </w:r>
      <w:r w:rsidR="005413CD">
        <w:t>aracetamol adsorption onto APR was almost 70</w:t>
      </w:r>
      <w:r w:rsidR="00B47013">
        <w:t xml:space="preserve"> </w:t>
      </w:r>
      <w:r w:rsidR="005413CD">
        <w:t>% higher</w:t>
      </w:r>
      <w:r w:rsidR="00FD5333">
        <w:t xml:space="preserve"> than</w:t>
      </w:r>
      <w:r w:rsidR="00705BE0">
        <w:t xml:space="preserve"> in</w:t>
      </w:r>
      <w:r w:rsidR="00FD5333">
        <w:t xml:space="preserve"> the conventional </w:t>
      </w:r>
      <w:r w:rsidR="00262887">
        <w:t>thermal</w:t>
      </w:r>
      <w:r w:rsidR="00FC11BA">
        <w:t>ly</w:t>
      </w:r>
      <w:r w:rsidR="00262887">
        <w:t xml:space="preserve"> treated </w:t>
      </w:r>
      <w:r w:rsidR="00FD5333">
        <w:t>photocatalyst</w:t>
      </w:r>
      <w:r w:rsidR="00D15148">
        <w:t>s</w:t>
      </w:r>
      <w:r w:rsidR="00427C5F" w:rsidRPr="00427C5F">
        <w:t>, encouraging</w:t>
      </w:r>
      <w:r w:rsidR="00427C5F">
        <w:t xml:space="preserve"> </w:t>
      </w:r>
      <w:r w:rsidR="00427C5F" w:rsidRPr="00427C5F">
        <w:t>a further assessment of</w:t>
      </w:r>
      <w:r w:rsidR="00F27D17">
        <w:t xml:space="preserve"> </w:t>
      </w:r>
      <w:r w:rsidR="00427C5F" w:rsidRPr="00427C5F">
        <w:t xml:space="preserve">paracetamol adsorption onto APR. </w:t>
      </w:r>
      <w:r w:rsidR="00A854DD">
        <w:t xml:space="preserve"> T</w:t>
      </w:r>
      <w:r w:rsidR="00A854DD" w:rsidRPr="00A854DD">
        <w:t xml:space="preserve">he adsorption capacity </w:t>
      </w:r>
      <w:r w:rsidR="00E031E9">
        <w:t>reached a</w:t>
      </w:r>
      <w:r w:rsidR="00A854DD" w:rsidRPr="00A854DD">
        <w:t xml:space="preserve"> maximum value for an APR weight of 0.02</w:t>
      </w:r>
      <w:r w:rsidR="00B47013">
        <w:t xml:space="preserve"> </w:t>
      </w:r>
      <w:r w:rsidR="00A854DD" w:rsidRPr="00A854DD">
        <w:t xml:space="preserve">g, </w:t>
      </w:r>
      <w:r w:rsidR="00A854DD">
        <w:t>with an</w:t>
      </w:r>
      <w:r w:rsidR="00A854DD" w:rsidRPr="00A854DD">
        <w:t xml:space="preserve"> adsorption capacity of 19.43 </w:t>
      </w:r>
      <w:proofErr w:type="gramStart"/>
      <w:r w:rsidR="00A854DD" w:rsidRPr="00A854DD">
        <w:t>mg.g</w:t>
      </w:r>
      <w:proofErr w:type="gramEnd"/>
      <w:r w:rsidR="00A854DD" w:rsidRPr="00A854DD">
        <w:rPr>
          <w:vertAlign w:val="superscript"/>
        </w:rPr>
        <w:t>-1</w:t>
      </w:r>
      <w:r w:rsidR="00A854DD" w:rsidRPr="00A854DD">
        <w:t xml:space="preserve">. Moreover, the paracetamol solution pH </w:t>
      </w:r>
      <w:r w:rsidR="00CD3F36">
        <w:t xml:space="preserve">did not show noteworthy </w:t>
      </w:r>
      <w:r w:rsidR="00A854DD" w:rsidRPr="00A854DD">
        <w:t>effect on the adsorption capacity</w:t>
      </w:r>
      <w:r w:rsidR="00B9677D">
        <w:t xml:space="preserve"> in the pH range evaluated.</w:t>
      </w:r>
      <w:r w:rsidR="00EB0175">
        <w:t xml:space="preserve"> </w:t>
      </w:r>
      <w:r w:rsidR="005C01E4">
        <w:t>Chemical</w:t>
      </w:r>
      <w:r w:rsidR="005900E6">
        <w:t xml:space="preserve"> structure characterization point</w:t>
      </w:r>
      <w:r w:rsidR="00EB0175">
        <w:t>ed out</w:t>
      </w:r>
      <w:r w:rsidR="001D782D">
        <w:t xml:space="preserve"> a </w:t>
      </w:r>
      <w:r w:rsidR="005900E6" w:rsidRPr="005C01E4">
        <w:t>variety of</w:t>
      </w:r>
      <w:r w:rsidR="00FF5010">
        <w:t xml:space="preserve"> </w:t>
      </w:r>
      <w:r w:rsidR="005900E6" w:rsidRPr="005C01E4">
        <w:t xml:space="preserve">functional groups </w:t>
      </w:r>
      <w:r w:rsidR="00CD6B5F">
        <w:t>o</w:t>
      </w:r>
      <w:r w:rsidR="00FF5010">
        <w:t xml:space="preserve">n the </w:t>
      </w:r>
      <w:r w:rsidR="005C01E4" w:rsidRPr="005C01E4">
        <w:t xml:space="preserve">APR </w:t>
      </w:r>
      <w:r w:rsidR="00FF5010">
        <w:t>surface</w:t>
      </w:r>
      <w:r w:rsidR="00304741">
        <w:t xml:space="preserve">, which </w:t>
      </w:r>
      <w:r w:rsidR="005C01E4" w:rsidRPr="005C01E4">
        <w:t xml:space="preserve">are characteristic of bio-phenolic compounds </w:t>
      </w:r>
      <w:r w:rsidR="00174BB5" w:rsidRPr="005C01E4">
        <w:t>structure</w:t>
      </w:r>
      <w:r w:rsidR="00304741">
        <w:t>.</w:t>
      </w:r>
      <w:r w:rsidR="006F6780">
        <w:t xml:space="preserve"> The </w:t>
      </w:r>
      <w:r w:rsidR="00A30C9F">
        <w:t xml:space="preserve">drug </w:t>
      </w:r>
      <w:r w:rsidR="005C01E4" w:rsidRPr="005C01E4">
        <w:t xml:space="preserve">adsorption </w:t>
      </w:r>
      <w:r w:rsidR="00A30C9F">
        <w:t xml:space="preserve">onto APR may be </w:t>
      </w:r>
      <w:r w:rsidR="006F72D7">
        <w:t>explain</w:t>
      </w:r>
      <w:r w:rsidR="00514773">
        <w:t>ed</w:t>
      </w:r>
      <w:r w:rsidR="006F72D7">
        <w:t xml:space="preserve"> </w:t>
      </w:r>
      <w:r w:rsidR="00514773">
        <w:t>by</w:t>
      </w:r>
      <w:r w:rsidR="005061D1">
        <w:t xml:space="preserve"> the</w:t>
      </w:r>
      <w:r w:rsidR="00F9797C">
        <w:t xml:space="preserve"> adsorbent - adsorbate</w:t>
      </w:r>
      <w:r w:rsidR="005C01E4" w:rsidRPr="005C01E4">
        <w:t xml:space="preserve"> π-π interactions </w:t>
      </w:r>
      <w:r w:rsidR="005061D1">
        <w:t xml:space="preserve">and hydrogen </w:t>
      </w:r>
      <w:r w:rsidR="00174BB5">
        <w:t>bonding</w:t>
      </w:r>
      <w:r w:rsidR="005964F4">
        <w:t>.</w:t>
      </w:r>
      <w:r w:rsidR="00F9797C">
        <w:t xml:space="preserve"> </w:t>
      </w:r>
      <w:r w:rsidR="00C74E83">
        <w:t xml:space="preserve">At </w:t>
      </w:r>
      <w:r w:rsidR="00CD4F9B">
        <w:t>the</w:t>
      </w:r>
      <w:r w:rsidR="00C74E83">
        <w:t xml:space="preserve"> maximum</w:t>
      </w:r>
      <w:r w:rsidR="00A854DD" w:rsidRPr="00A854DD">
        <w:t xml:space="preserve"> adsorption capacity</w:t>
      </w:r>
      <w:r w:rsidR="006F6780">
        <w:t xml:space="preserve">, </w:t>
      </w:r>
      <w:r w:rsidR="00A854DD" w:rsidRPr="00A854DD">
        <w:t xml:space="preserve">the use of APR as adsorbent </w:t>
      </w:r>
      <w:r w:rsidR="006F6780">
        <w:t>provide</w:t>
      </w:r>
      <w:r w:rsidR="00CD4F9B">
        <w:t>d</w:t>
      </w:r>
      <w:r w:rsidR="006F6780">
        <w:t xml:space="preserve"> </w:t>
      </w:r>
      <w:r w:rsidR="00A854DD" w:rsidRPr="00A854DD">
        <w:t>a paracetamol removal of about 45</w:t>
      </w:r>
      <w:r w:rsidR="00B47013">
        <w:t xml:space="preserve"> </w:t>
      </w:r>
      <w:r w:rsidR="00A854DD" w:rsidRPr="00A854DD">
        <w:t>%</w:t>
      </w:r>
      <w:r w:rsidR="00C54587">
        <w:t>, which can be increase</w:t>
      </w:r>
      <w:r w:rsidR="00F9797C">
        <w:t>d</w:t>
      </w:r>
      <w:r w:rsidR="00C54587">
        <w:t xml:space="preserve"> to</w:t>
      </w:r>
      <w:r w:rsidR="00CD4F9B">
        <w:t xml:space="preserve"> greater</w:t>
      </w:r>
      <w:r w:rsidR="00C54587" w:rsidRPr="00A854DD">
        <w:t xml:space="preserve"> than 90</w:t>
      </w:r>
      <w:r w:rsidR="00B47013">
        <w:t xml:space="preserve"> </w:t>
      </w:r>
      <w:r w:rsidR="00C54587" w:rsidRPr="00A854DD">
        <w:t>%</w:t>
      </w:r>
      <w:r w:rsidR="00C54587">
        <w:t xml:space="preserve"> by increasing t</w:t>
      </w:r>
      <w:r w:rsidR="00A854DD" w:rsidRPr="00A854DD">
        <w:t>he adsorbent weight</w:t>
      </w:r>
      <w:r w:rsidR="00C54587">
        <w:t xml:space="preserve">. </w:t>
      </w:r>
      <w:r w:rsidR="00D16D03">
        <w:t>This confirmed</w:t>
      </w:r>
      <w:r w:rsidR="00080BAF">
        <w:t xml:space="preserve"> the resin</w:t>
      </w:r>
      <w:r w:rsidR="00C4483E">
        <w:t>’s</w:t>
      </w:r>
      <w:r w:rsidR="00080BAF">
        <w:t xml:space="preserve"> potential as an adsorbent</w:t>
      </w:r>
      <w:r w:rsidR="00604F0C">
        <w:t xml:space="preserve"> </w:t>
      </w:r>
      <w:r w:rsidR="00080BAF">
        <w:t>for paracetamol removal</w:t>
      </w:r>
      <w:r w:rsidR="00604F0C">
        <w:t>.</w:t>
      </w:r>
    </w:p>
    <w:p w14:paraId="09282DED" w14:textId="77777777" w:rsidR="00600535" w:rsidRPr="00B57B36" w:rsidRDefault="00600535" w:rsidP="00600535">
      <w:pPr>
        <w:pStyle w:val="CETHeading1"/>
        <w:rPr>
          <w:lang w:val="en-GB"/>
        </w:rPr>
      </w:pPr>
      <w:r w:rsidRPr="00B57B36">
        <w:rPr>
          <w:lang w:val="en-GB"/>
        </w:rPr>
        <w:t>Introduction</w:t>
      </w:r>
    </w:p>
    <w:p w14:paraId="60E58B70" w14:textId="2D3A7896" w:rsidR="00CD27BB" w:rsidRDefault="002426D8" w:rsidP="00CD27BB">
      <w:pPr>
        <w:pStyle w:val="CETBodytext"/>
        <w:rPr>
          <w:b/>
        </w:rPr>
      </w:pPr>
      <w:r>
        <w:t>T</w:t>
      </w:r>
      <w:r w:rsidR="00FF0A2F" w:rsidRPr="00FF0A2F">
        <w:t xml:space="preserve">he population and industrial </w:t>
      </w:r>
      <w:r w:rsidR="002D6B8F">
        <w:t>production</w:t>
      </w:r>
      <w:r w:rsidR="00FF0A2F" w:rsidRPr="00FF0A2F">
        <w:t xml:space="preserve"> have increased the contamination of aquatic environments by emerging pollutants, </w:t>
      </w:r>
      <w:r w:rsidR="009C4BE8" w:rsidRPr="009C4BE8">
        <w:t>endangering water quality</w:t>
      </w:r>
      <w:r>
        <w:t xml:space="preserve">. </w:t>
      </w:r>
      <w:r w:rsidR="00FF0A2F" w:rsidRPr="00FF0A2F">
        <w:t>Among all the emerging contaminants, drugs have been the focus of innumerous research</w:t>
      </w:r>
      <w:r w:rsidR="00170836">
        <w:t xml:space="preserve"> studies</w:t>
      </w:r>
      <w:r w:rsidR="00FF0A2F" w:rsidRPr="00FF0A2F">
        <w:t xml:space="preserve">, </w:t>
      </w:r>
      <w:r w:rsidR="000B6E60" w:rsidRPr="00FF0A2F">
        <w:t>since</w:t>
      </w:r>
      <w:r w:rsidR="00FF0A2F" w:rsidRPr="00FF0A2F">
        <w:t xml:space="preserve"> their consumption ha</w:t>
      </w:r>
      <w:r w:rsidR="0053573A">
        <w:t>s</w:t>
      </w:r>
      <w:r w:rsidR="00FF0A2F" w:rsidRPr="00FF0A2F">
        <w:t xml:space="preserve"> increased considerably in recent years. That increase is </w:t>
      </w:r>
      <w:r w:rsidR="0097088D">
        <w:t xml:space="preserve">also </w:t>
      </w:r>
      <w:r w:rsidR="00FF0A2F" w:rsidRPr="00FF0A2F">
        <w:t xml:space="preserve">a consequence of their indiscriminate use. </w:t>
      </w:r>
    </w:p>
    <w:p w14:paraId="763A0B5F" w14:textId="214B0176" w:rsidR="00CD27BB" w:rsidRPr="002426D8" w:rsidRDefault="0097088D" w:rsidP="00CD27BB">
      <w:pPr>
        <w:pStyle w:val="CETBodytext"/>
      </w:pPr>
      <w:r>
        <w:t>After</w:t>
      </w:r>
      <w:r w:rsidRPr="00FF0A2F">
        <w:t xml:space="preserve"> </w:t>
      </w:r>
      <w:r w:rsidR="00FF0A2F" w:rsidRPr="00FF0A2F">
        <w:t xml:space="preserve">their therapeutic use, drugs are excreted by the human body in its original form </w:t>
      </w:r>
      <w:r w:rsidR="000B6E60" w:rsidRPr="00FF0A2F">
        <w:t>and</w:t>
      </w:r>
      <w:r w:rsidR="00FF0A2F" w:rsidRPr="00FF0A2F">
        <w:t xml:space="preserve"> as metabolites. That way, they are frequently detected in surface and ground water, and even in drinking water as biologically active substances</w:t>
      </w:r>
      <w:r w:rsidR="00CE0549">
        <w:t xml:space="preserve"> (Liu and W</w:t>
      </w:r>
      <w:r w:rsidR="001C2941">
        <w:t>ong, 2013)</w:t>
      </w:r>
      <w:r w:rsidR="00FF0A2F" w:rsidRPr="00FF0A2F">
        <w:t>. Since th</w:t>
      </w:r>
      <w:r w:rsidR="007D7FA1">
        <w:t>e</w:t>
      </w:r>
      <w:r w:rsidR="00FF0A2F" w:rsidRPr="00FF0A2F">
        <w:t>se contaminants are not biodegradable, they are not effectively removed by the conventional wastewater treatments (</w:t>
      </w:r>
      <w:proofErr w:type="spellStart"/>
      <w:r w:rsidR="00FF0A2F" w:rsidRPr="007D59EB">
        <w:t>Villaescusa</w:t>
      </w:r>
      <w:proofErr w:type="spellEnd"/>
      <w:r w:rsidR="00FF0A2F" w:rsidRPr="007D59EB">
        <w:t xml:space="preserve"> et al., 2011</w:t>
      </w:r>
      <w:r w:rsidR="00FF0A2F" w:rsidRPr="00FF0A2F">
        <w:t xml:space="preserve">). As a result, drugs are </w:t>
      </w:r>
      <w:r w:rsidR="004014FA">
        <w:t>detecte</w:t>
      </w:r>
      <w:r w:rsidR="002426D8">
        <w:t xml:space="preserve">d </w:t>
      </w:r>
      <w:r w:rsidR="00FF0A2F" w:rsidRPr="00FF0A2F">
        <w:t xml:space="preserve">in aquatic systems, causing chronic effects and ecotoxicological impacts on </w:t>
      </w:r>
      <w:r w:rsidR="00FF0A2F" w:rsidRPr="00F76CB7">
        <w:t>ecosystems (Vaiano</w:t>
      </w:r>
      <w:r w:rsidR="00B76ED5" w:rsidRPr="00F76CB7">
        <w:t xml:space="preserve"> et al.</w:t>
      </w:r>
      <w:r w:rsidR="00F76CB7" w:rsidRPr="00F76CB7">
        <w:t xml:space="preserve">, </w:t>
      </w:r>
      <w:r w:rsidR="00FF0A2F" w:rsidRPr="00F76CB7">
        <w:t>2018).</w:t>
      </w:r>
      <w:r w:rsidR="00FF0A2F" w:rsidRPr="00FF0A2F">
        <w:t xml:space="preserve"> Moreover, the harmful effects on human and animal health </w:t>
      </w:r>
      <w:r w:rsidR="00DB7FC1">
        <w:t>due to</w:t>
      </w:r>
      <w:r w:rsidR="00FF0A2F" w:rsidRPr="00FF0A2F">
        <w:t xml:space="preserve"> the presence of drugs in aquaculture are also known, such as endocrine disruption and increased resistance to pathogenic </w:t>
      </w:r>
      <w:r w:rsidR="00FF0A2F" w:rsidRPr="00ED0CD9">
        <w:t>bacteria (Yang</w:t>
      </w:r>
      <w:r w:rsidR="00ED0CD9" w:rsidRPr="00ED0CD9">
        <w:t xml:space="preserve"> et al.</w:t>
      </w:r>
      <w:r w:rsidR="00FF0A2F" w:rsidRPr="00ED0CD9">
        <w:t>, 2008).</w:t>
      </w:r>
      <w:r w:rsidR="00FF0A2F" w:rsidRPr="00FF0A2F">
        <w:t xml:space="preserve"> </w:t>
      </w:r>
    </w:p>
    <w:p w14:paraId="10156162" w14:textId="3BE2D289" w:rsidR="00FF0A2F" w:rsidRPr="00FF0A2F" w:rsidRDefault="00FF0A2F" w:rsidP="002D0A6C">
      <w:pPr>
        <w:pStyle w:val="CETBodytext"/>
      </w:pPr>
      <w:r w:rsidRPr="00FF0A2F">
        <w:t xml:space="preserve">Among all the drugs, paracetamol (N- (4-hydroxyphenyl) </w:t>
      </w:r>
      <w:proofErr w:type="spellStart"/>
      <w:r w:rsidRPr="00FF0A2F">
        <w:t>ethanamide</w:t>
      </w:r>
      <w:proofErr w:type="spellEnd"/>
      <w:r w:rsidRPr="00FF0A2F">
        <w:t xml:space="preserve">)), also known as acetaminophen, is the most used analgesic and antipyretic drug </w:t>
      </w:r>
      <w:r w:rsidRPr="00E8185E">
        <w:t>(Leyva et al., 2018</w:t>
      </w:r>
      <w:r w:rsidRPr="00836EA0">
        <w:t>; Hernández et al., 2018),</w:t>
      </w:r>
      <w:r w:rsidRPr="00FF0A2F">
        <w:t xml:space="preserve"> so that it is also part of countless formulations</w:t>
      </w:r>
      <w:r w:rsidR="004014FA">
        <w:t xml:space="preserve"> in medicines against</w:t>
      </w:r>
      <w:r w:rsidRPr="00FF0A2F">
        <w:t xml:space="preserve"> cold and flu (</w:t>
      </w:r>
      <w:r w:rsidRPr="00981C8A">
        <w:t>Marques et al., 2017).</w:t>
      </w:r>
      <w:r w:rsidRPr="00FF0A2F">
        <w:t xml:space="preserve"> </w:t>
      </w:r>
      <w:r w:rsidR="005F7E3B">
        <w:t xml:space="preserve">According to </w:t>
      </w:r>
      <w:proofErr w:type="spellStart"/>
      <w:r w:rsidR="005F7E3B">
        <w:t>Fent</w:t>
      </w:r>
      <w:proofErr w:type="spellEnd"/>
      <w:r w:rsidR="00EF3905">
        <w:t xml:space="preserve"> et al.</w:t>
      </w:r>
      <w:r w:rsidR="00903701">
        <w:t xml:space="preserve"> (2006), </w:t>
      </w:r>
      <w:r w:rsidR="00C11299">
        <w:t>p</w:t>
      </w:r>
      <w:r w:rsidR="00F645BF">
        <w:t>aracetamol is classified as</w:t>
      </w:r>
      <w:r w:rsidR="00E61F1D">
        <w:t xml:space="preserve"> a </w:t>
      </w:r>
      <w:r w:rsidR="00E61F1D" w:rsidRPr="00E61F1D">
        <w:t>Non-Steroidal Anti-Inflammatory Drugs</w:t>
      </w:r>
      <w:r w:rsidR="00E61F1D">
        <w:t xml:space="preserve"> (NSAID)</w:t>
      </w:r>
      <w:r w:rsidR="00F645BF">
        <w:t xml:space="preserve"> </w:t>
      </w:r>
      <w:r w:rsidR="0079498E">
        <w:t xml:space="preserve">and among </w:t>
      </w:r>
      <w:r w:rsidR="00B71B7E">
        <w:t xml:space="preserve">all </w:t>
      </w:r>
      <w:r w:rsidR="0079498E">
        <w:t>its a</w:t>
      </w:r>
      <w:r w:rsidR="00903701">
        <w:t>dverse effects</w:t>
      </w:r>
      <w:r w:rsidR="00B71B7E">
        <w:t xml:space="preserve">, </w:t>
      </w:r>
      <w:r w:rsidR="00896D15">
        <w:t xml:space="preserve">the </w:t>
      </w:r>
      <w:r w:rsidR="00903701">
        <w:t>formation of hepatotoxic metabolites</w:t>
      </w:r>
      <w:r w:rsidR="00896D15">
        <w:t xml:space="preserve"> </w:t>
      </w:r>
      <w:r w:rsidR="009A6288">
        <w:t xml:space="preserve">and the </w:t>
      </w:r>
      <w:r w:rsidR="00DA1660">
        <w:t>proliferation of</w:t>
      </w:r>
      <w:r w:rsidR="00ED1507">
        <w:t xml:space="preserve"> </w:t>
      </w:r>
      <w:r w:rsidR="00DA1660">
        <w:t>cultured breast cancer cells</w:t>
      </w:r>
      <w:r w:rsidR="00ED1507">
        <w:t xml:space="preserve"> are cited by the author.</w:t>
      </w:r>
      <w:r w:rsidR="00334FC3">
        <w:t xml:space="preserve"> </w:t>
      </w:r>
      <w:r w:rsidR="001E049D">
        <w:t xml:space="preserve">As a result, </w:t>
      </w:r>
      <w:r w:rsidRPr="00FF0A2F">
        <w:t xml:space="preserve">the search for efficient technologies to remove organic contaminants, especially drugs, has </w:t>
      </w:r>
      <w:r w:rsidRPr="00FF0A2F">
        <w:lastRenderedPageBreak/>
        <w:t>been challenging</w:t>
      </w:r>
      <w:r w:rsidR="001E049D">
        <w:t xml:space="preserve"> in recent years</w:t>
      </w:r>
      <w:r w:rsidRPr="00FF0A2F">
        <w:t>. In this scenario, adsorption and advanced oxidative processes have gained increasing attention in environmental chemistry</w:t>
      </w:r>
      <w:r w:rsidR="002222C3">
        <w:t xml:space="preserve">, </w:t>
      </w:r>
      <w:r w:rsidRPr="00FF0A2F">
        <w:t xml:space="preserve">emerging as promising alternatives for water decontamination. </w:t>
      </w:r>
    </w:p>
    <w:p w14:paraId="1F459930" w14:textId="5FBE0676" w:rsidR="00FF0A2F" w:rsidRPr="00FF0A2F" w:rsidRDefault="00FF0A2F" w:rsidP="00CD27BB">
      <w:pPr>
        <w:pStyle w:val="CETBodytext"/>
      </w:pPr>
      <w:r w:rsidRPr="00FF0A2F">
        <w:t>The application of advanced oxidative processes in the treatment of water, such as heterogeneous photocatalysis using titanium dioxide and zinc oxide, have been well studied due to its high catalytic efficiency, low cost and its low environmental impact (</w:t>
      </w:r>
      <w:proofErr w:type="spellStart"/>
      <w:r w:rsidRPr="00B227D3">
        <w:t>Cantarella</w:t>
      </w:r>
      <w:proofErr w:type="spellEnd"/>
      <w:r w:rsidRPr="00B227D3">
        <w:t xml:space="preserve"> et al., 2018).</w:t>
      </w:r>
      <w:r w:rsidRPr="00FF0A2F">
        <w:t xml:space="preserve"> Along with them,</w:t>
      </w:r>
      <w:r w:rsidR="00C0162E">
        <w:t xml:space="preserve"> </w:t>
      </w:r>
      <w:r w:rsidRPr="00FF0A2F">
        <w:t xml:space="preserve">adsorption is another alternative process for wastewater pollutants removal and is also part of the heterogeneous photocatalysis fundamental mechanisms. </w:t>
      </w:r>
      <w:r w:rsidR="0048153A">
        <w:t>While</w:t>
      </w:r>
      <w:r w:rsidR="0048153A" w:rsidRPr="00FF0A2F">
        <w:t xml:space="preserve"> </w:t>
      </w:r>
      <w:r w:rsidRPr="00FF0A2F">
        <w:t xml:space="preserve">the pollutant is being degraded by photocatalysis, it is also being adsorbed within the catalyst. </w:t>
      </w:r>
      <w:r w:rsidR="0048153A" w:rsidRPr="00FF0A2F">
        <w:t>Th</w:t>
      </w:r>
      <w:r w:rsidR="0048153A">
        <w:t>e contributions of these two</w:t>
      </w:r>
      <w:r w:rsidR="0048153A" w:rsidRPr="00FF0A2F">
        <w:t xml:space="preserve"> </w:t>
      </w:r>
      <w:r w:rsidRPr="00FF0A2F">
        <w:t xml:space="preserve">processes are </w:t>
      </w:r>
      <w:r w:rsidR="000A136E">
        <w:t>accounted for</w:t>
      </w:r>
      <w:r w:rsidRPr="00FF0A2F">
        <w:t xml:space="preserve"> separately, being </w:t>
      </w:r>
      <w:proofErr w:type="gramStart"/>
      <w:r w:rsidRPr="00FF0A2F">
        <w:t>the adsorption</w:t>
      </w:r>
      <w:proofErr w:type="gramEnd"/>
      <w:r w:rsidRPr="00FF0A2F">
        <w:t xml:space="preserve"> the amount of pollutant removed in the absence of UV light. When compared to the total pollutant removal in the presence of the UV light, the photocatalysis efficiency is obtained. </w:t>
      </w:r>
    </w:p>
    <w:p w14:paraId="5F39C929" w14:textId="695E40D2" w:rsidR="00CD27BB" w:rsidRPr="00CD27BB" w:rsidRDefault="007D09E7" w:rsidP="00CD27BB">
      <w:pPr>
        <w:pStyle w:val="CETBodytext"/>
        <w:rPr>
          <w:b/>
          <w:sz w:val="20"/>
        </w:rPr>
      </w:pPr>
      <w:r>
        <w:t>Several</w:t>
      </w:r>
      <w:r w:rsidR="00FF0A2F" w:rsidRPr="00FF0A2F">
        <w:t xml:space="preserve"> </w:t>
      </w:r>
      <w:r w:rsidR="002426D8">
        <w:t xml:space="preserve">residues </w:t>
      </w:r>
      <w:r w:rsidR="00FF0A2F" w:rsidRPr="00FF0A2F">
        <w:t xml:space="preserve">are </w:t>
      </w:r>
      <w:r>
        <w:t>produc</w:t>
      </w:r>
      <w:r w:rsidR="00FF0A2F" w:rsidRPr="00FF0A2F">
        <w:t xml:space="preserve">ed by the pulp and paper industry, due to the process high chemicals demand and its recovery steps. Black liquor is one of the byproducts </w:t>
      </w:r>
      <w:r w:rsidR="00A52DDF">
        <w:t>of</w:t>
      </w:r>
      <w:r w:rsidR="00FF0A2F" w:rsidRPr="00FF0A2F">
        <w:t xml:space="preserve"> the</w:t>
      </w:r>
      <w:r w:rsidR="00A52DDF">
        <w:t xml:space="preserve"> </w:t>
      </w:r>
      <w:r w:rsidR="00FF0A2F" w:rsidRPr="00FF0A2F">
        <w:t xml:space="preserve">pulping process. In order to promote </w:t>
      </w:r>
      <w:r w:rsidR="002426D8">
        <w:t xml:space="preserve">a </w:t>
      </w:r>
      <w:r w:rsidR="00FF0A2F" w:rsidRPr="00FF0A2F">
        <w:t xml:space="preserve">sustainable environment, a fraction of the black liquor can be retrieved </w:t>
      </w:r>
      <w:r w:rsidR="00D16D03">
        <w:t>for an innovative application</w:t>
      </w:r>
      <w:r w:rsidR="00FF0A2F" w:rsidRPr="00FF0A2F">
        <w:t xml:space="preserve">. Thus, alternative precursors of phenolic compounds, as a blend of </w:t>
      </w:r>
      <w:r w:rsidR="00FF0A2F" w:rsidRPr="005E308B">
        <w:t xml:space="preserve">Kraft </w:t>
      </w:r>
      <w:r w:rsidR="00FF0A2F" w:rsidRPr="00FF0A2F">
        <w:t>black liquor and tannin, were used as raw material</w:t>
      </w:r>
      <w:r w:rsidR="002D53AF">
        <w:t>s</w:t>
      </w:r>
      <w:r w:rsidR="00FF0A2F" w:rsidRPr="00FF0A2F">
        <w:t xml:space="preserve"> </w:t>
      </w:r>
      <w:r w:rsidR="00D16D03">
        <w:t>for</w:t>
      </w:r>
      <w:r w:rsidR="00D16D03" w:rsidRPr="00FF0A2F">
        <w:t xml:space="preserve"> </w:t>
      </w:r>
      <w:r w:rsidR="00FF0A2F" w:rsidRPr="00FF0A2F">
        <w:t xml:space="preserve">a condensation polymerization reaction in a basic medium, aiming the phenolic resin production. In the field of new materials and in line with the environmental protection and the concepts of sustainability, green chemistry and circular economy, this work aims to investigate the potential of an innovative phenolic resin in water treatment for removing drugs, being </w:t>
      </w:r>
      <w:proofErr w:type="gramStart"/>
      <w:r w:rsidR="00FF0A2F" w:rsidRPr="00FF0A2F">
        <w:t>the paracetamol</w:t>
      </w:r>
      <w:proofErr w:type="gramEnd"/>
      <w:r w:rsidR="00FF0A2F" w:rsidRPr="00FF0A2F">
        <w:t xml:space="preserve"> the molecular model studied.</w:t>
      </w:r>
    </w:p>
    <w:p w14:paraId="625968AD" w14:textId="2BD32B88" w:rsidR="000716F5" w:rsidRDefault="00C11F95" w:rsidP="00FF0A2F">
      <w:pPr>
        <w:pStyle w:val="CETHeading1"/>
      </w:pPr>
      <w:r w:rsidRPr="001952AF">
        <w:rPr>
          <w:sz w:val="18"/>
        </w:rPr>
        <w:t>Material</w:t>
      </w:r>
      <w:r w:rsidR="001952AF">
        <w:t xml:space="preserve"> and Methodology</w:t>
      </w:r>
    </w:p>
    <w:p w14:paraId="1B119F40" w14:textId="77777777" w:rsidR="008A78CF" w:rsidRPr="002700E3" w:rsidRDefault="000716F5" w:rsidP="002700E3">
      <w:pPr>
        <w:pStyle w:val="CETheadingx"/>
      </w:pPr>
      <w:r w:rsidRPr="002700E3">
        <w:t xml:space="preserve">Material </w:t>
      </w:r>
    </w:p>
    <w:p w14:paraId="0E170B08" w14:textId="63ABA464" w:rsidR="00C11F95" w:rsidRDefault="00C11F95" w:rsidP="00C11F95">
      <w:pPr>
        <w:pStyle w:val="CETBodytext"/>
        <w:rPr>
          <w:szCs w:val="18"/>
          <w:lang w:val="en-GB"/>
        </w:rPr>
      </w:pPr>
      <w:r w:rsidRPr="001952AF">
        <w:rPr>
          <w:szCs w:val="18"/>
          <w:lang w:val="en-GB"/>
        </w:rPr>
        <w:t>The chemicals used were:</w:t>
      </w:r>
      <w:r w:rsidR="00427125">
        <w:rPr>
          <w:szCs w:val="18"/>
          <w:lang w:val="en-GB"/>
        </w:rPr>
        <w:t xml:space="preserve"> </w:t>
      </w:r>
      <w:r w:rsidR="000A1D3A" w:rsidRPr="001952AF">
        <w:rPr>
          <w:szCs w:val="18"/>
          <w:lang w:val="en-GB"/>
        </w:rPr>
        <w:t xml:space="preserve">Tannin (SETA S/A), Industrial </w:t>
      </w:r>
      <w:r w:rsidR="000A1D3A" w:rsidRPr="005E308B">
        <w:rPr>
          <w:szCs w:val="18"/>
          <w:lang w:val="en-GB"/>
        </w:rPr>
        <w:t xml:space="preserve">Kraft </w:t>
      </w:r>
      <w:r w:rsidR="000A1D3A" w:rsidRPr="001952AF">
        <w:rPr>
          <w:szCs w:val="18"/>
          <w:lang w:val="en-GB"/>
        </w:rPr>
        <w:t>Black Liquor, Formaldehyde 37% (Synth)</w:t>
      </w:r>
      <w:r w:rsidR="0066686A" w:rsidRPr="001952AF">
        <w:rPr>
          <w:szCs w:val="18"/>
          <w:lang w:val="en-GB"/>
        </w:rPr>
        <w:t xml:space="preserve"> and</w:t>
      </w:r>
      <w:r w:rsidR="000A1D3A" w:rsidRPr="001952AF">
        <w:rPr>
          <w:szCs w:val="18"/>
          <w:lang w:val="en-GB"/>
        </w:rPr>
        <w:t xml:space="preserve"> NaOH</w:t>
      </w:r>
      <w:r w:rsidR="007E330E">
        <w:rPr>
          <w:szCs w:val="18"/>
          <w:lang w:val="en-GB"/>
        </w:rPr>
        <w:t xml:space="preserve"> </w:t>
      </w:r>
      <w:r w:rsidR="000A1D3A" w:rsidRPr="001952AF">
        <w:rPr>
          <w:szCs w:val="18"/>
          <w:lang w:val="en-GB"/>
        </w:rPr>
        <w:t>(</w:t>
      </w:r>
      <w:proofErr w:type="spellStart"/>
      <w:r w:rsidR="000A1D3A" w:rsidRPr="001952AF">
        <w:rPr>
          <w:szCs w:val="18"/>
          <w:lang w:val="en-GB"/>
        </w:rPr>
        <w:t>Vetec</w:t>
      </w:r>
      <w:proofErr w:type="spellEnd"/>
      <w:r w:rsidR="000A1D3A" w:rsidRPr="001952AF">
        <w:rPr>
          <w:szCs w:val="18"/>
          <w:lang w:val="en-GB"/>
        </w:rPr>
        <w:t>).</w:t>
      </w:r>
      <w:r w:rsidR="0071287C">
        <w:rPr>
          <w:szCs w:val="18"/>
          <w:lang w:val="en-GB"/>
        </w:rPr>
        <w:t xml:space="preserve"> T</w:t>
      </w:r>
      <w:r w:rsidR="00743404">
        <w:rPr>
          <w:szCs w:val="18"/>
          <w:lang w:val="en-GB"/>
        </w:rPr>
        <w:t>h</w:t>
      </w:r>
      <w:r w:rsidR="0071287C">
        <w:rPr>
          <w:szCs w:val="18"/>
          <w:lang w:val="en-GB"/>
        </w:rPr>
        <w:t>ermal treatment (TT) was performed on</w:t>
      </w:r>
      <w:r w:rsidR="000A1D3A" w:rsidRPr="001952AF">
        <w:rPr>
          <w:szCs w:val="18"/>
          <w:lang w:val="en-GB"/>
        </w:rPr>
        <w:t xml:space="preserve"> </w:t>
      </w:r>
      <w:proofErr w:type="spellStart"/>
      <w:r w:rsidR="0071287C" w:rsidRPr="001952AF">
        <w:rPr>
          <w:szCs w:val="18"/>
          <w:lang w:val="en-GB"/>
        </w:rPr>
        <w:t>ZnO</w:t>
      </w:r>
      <w:proofErr w:type="spellEnd"/>
      <w:r w:rsidR="0071287C" w:rsidRPr="001952AF">
        <w:rPr>
          <w:szCs w:val="18"/>
          <w:lang w:val="en-GB"/>
        </w:rPr>
        <w:t xml:space="preserve"> (Sigma-Aldrich)</w:t>
      </w:r>
      <w:r w:rsidR="0071287C">
        <w:rPr>
          <w:szCs w:val="18"/>
          <w:lang w:val="en-GB"/>
        </w:rPr>
        <w:t xml:space="preserve"> and</w:t>
      </w:r>
      <w:r w:rsidR="0071287C" w:rsidRPr="001952AF">
        <w:rPr>
          <w:szCs w:val="18"/>
          <w:lang w:val="en-GB"/>
        </w:rPr>
        <w:t xml:space="preserve"> TiO</w:t>
      </w:r>
      <w:r w:rsidR="0071287C" w:rsidRPr="001952AF">
        <w:rPr>
          <w:szCs w:val="18"/>
          <w:vertAlign w:val="subscript"/>
          <w:lang w:val="en-GB"/>
        </w:rPr>
        <w:t>2</w:t>
      </w:r>
      <w:r w:rsidR="0071287C" w:rsidRPr="001952AF">
        <w:rPr>
          <w:szCs w:val="18"/>
          <w:lang w:val="en-GB"/>
        </w:rPr>
        <w:t xml:space="preserve"> (</w:t>
      </w:r>
      <w:proofErr w:type="spellStart"/>
      <w:r w:rsidR="006921A2">
        <w:rPr>
          <w:szCs w:val="18"/>
          <w:lang w:val="en-GB"/>
        </w:rPr>
        <w:t>Kronus</w:t>
      </w:r>
      <w:proofErr w:type="spellEnd"/>
      <w:r w:rsidR="0071287C" w:rsidRPr="001952AF">
        <w:rPr>
          <w:szCs w:val="18"/>
          <w:lang w:val="en-GB"/>
        </w:rPr>
        <w:t>)</w:t>
      </w:r>
      <w:r w:rsidR="0071287C">
        <w:rPr>
          <w:szCs w:val="18"/>
          <w:lang w:val="en-GB"/>
        </w:rPr>
        <w:t xml:space="preserve"> by keeping them at 550</w:t>
      </w:r>
      <w:r w:rsidR="0071287C" w:rsidRPr="0071287C">
        <w:rPr>
          <w:vertAlign w:val="superscript"/>
        </w:rPr>
        <w:t xml:space="preserve"> </w:t>
      </w:r>
      <w:proofErr w:type="spellStart"/>
      <w:r w:rsidR="0071287C" w:rsidRPr="001952AF">
        <w:rPr>
          <w:vertAlign w:val="superscript"/>
        </w:rPr>
        <w:t>o</w:t>
      </w:r>
      <w:r w:rsidR="0071287C" w:rsidRPr="001952AF">
        <w:t>C</w:t>
      </w:r>
      <w:proofErr w:type="spellEnd"/>
      <w:r w:rsidR="0071287C">
        <w:t xml:space="preserve"> for 2 hours.</w:t>
      </w:r>
    </w:p>
    <w:p w14:paraId="250EEEE6" w14:textId="77777777" w:rsidR="00C11F95" w:rsidRPr="002700E3" w:rsidRDefault="00E07F0A" w:rsidP="002700E3">
      <w:pPr>
        <w:pStyle w:val="CETheadingx"/>
      </w:pPr>
      <w:r w:rsidRPr="002700E3">
        <w:t>Phenolic resin</w:t>
      </w:r>
      <w:r w:rsidR="00C11F95" w:rsidRPr="002700E3">
        <w:t xml:space="preserve"> preparation</w:t>
      </w:r>
    </w:p>
    <w:p w14:paraId="48EFC1D9" w14:textId="12B8EE93" w:rsidR="00EF3EE6" w:rsidRDefault="0066686A" w:rsidP="00C84D43">
      <w:pPr>
        <w:pStyle w:val="CETBodytext"/>
      </w:pPr>
      <w:r w:rsidRPr="001952AF">
        <w:t>In order to produce the phenolic resin</w:t>
      </w:r>
      <w:r w:rsidR="0014218B">
        <w:t xml:space="preserve"> (APR)</w:t>
      </w:r>
      <w:r w:rsidRPr="001952AF">
        <w:t xml:space="preserve">, a blend of </w:t>
      </w:r>
      <w:r w:rsidR="00C27464" w:rsidRPr="001952AF">
        <w:t xml:space="preserve">70g of </w:t>
      </w:r>
      <w:r w:rsidRPr="001952AF">
        <w:rPr>
          <w:i/>
        </w:rPr>
        <w:t>Kraft</w:t>
      </w:r>
      <w:r w:rsidRPr="001952AF">
        <w:t xml:space="preserve"> black liquor and </w:t>
      </w:r>
      <w:r w:rsidR="00C27464" w:rsidRPr="001952AF">
        <w:t xml:space="preserve">1.5g of </w:t>
      </w:r>
      <w:r w:rsidRPr="001952AF">
        <w:t xml:space="preserve">tannin was first </w:t>
      </w:r>
      <w:proofErr w:type="spellStart"/>
      <w:r w:rsidRPr="001952AF">
        <w:t>hydroxymethylated</w:t>
      </w:r>
      <w:proofErr w:type="spellEnd"/>
      <w:r w:rsidRPr="001952AF">
        <w:t xml:space="preserve"> with </w:t>
      </w:r>
      <w:r w:rsidR="00EF3EE6" w:rsidRPr="001952AF">
        <w:t xml:space="preserve">16g of aqueous </w:t>
      </w:r>
      <w:r w:rsidRPr="001952AF">
        <w:t xml:space="preserve">formaldehyde </w:t>
      </w:r>
      <w:r w:rsidR="00EF3EE6" w:rsidRPr="001952AF">
        <w:t xml:space="preserve">37% (w/w) </w:t>
      </w:r>
      <w:r w:rsidRPr="001952AF">
        <w:t>at 70</w:t>
      </w:r>
      <w:r w:rsidR="00C27464" w:rsidRPr="001952AF">
        <w:t xml:space="preserve"> </w:t>
      </w:r>
      <w:proofErr w:type="spellStart"/>
      <w:r w:rsidRPr="001952AF">
        <w:rPr>
          <w:vertAlign w:val="superscript"/>
        </w:rPr>
        <w:t>o</w:t>
      </w:r>
      <w:r w:rsidRPr="001952AF">
        <w:t>C</w:t>
      </w:r>
      <w:proofErr w:type="spellEnd"/>
      <w:r w:rsidR="00C27464" w:rsidRPr="001952AF">
        <w:t>, for 2 hours, under reflux. Then</w:t>
      </w:r>
      <w:r w:rsidRPr="001952AF">
        <w:t>,</w:t>
      </w:r>
      <w:r w:rsidR="00C27464" w:rsidRPr="001952AF">
        <w:t xml:space="preserve"> the blend was</w:t>
      </w:r>
      <w:r w:rsidRPr="001952AF">
        <w:t xml:space="preserve"> crosslinked and cured at 90 </w:t>
      </w:r>
      <w:proofErr w:type="spellStart"/>
      <w:r w:rsidRPr="001952AF">
        <w:rPr>
          <w:vertAlign w:val="superscript"/>
        </w:rPr>
        <w:t>o</w:t>
      </w:r>
      <w:r w:rsidRPr="001952AF">
        <w:t>C.</w:t>
      </w:r>
      <w:proofErr w:type="spellEnd"/>
      <w:r w:rsidRPr="001952AF">
        <w:t xml:space="preserve"> The</w:t>
      </w:r>
      <w:r w:rsidR="00EF3EE6" w:rsidRPr="001952AF">
        <w:t xml:space="preserve"> cured material was washed with 2:1 </w:t>
      </w:r>
      <w:proofErr w:type="spellStart"/>
      <w:proofErr w:type="gramStart"/>
      <w:r w:rsidR="00EF3EE6" w:rsidRPr="001952AF">
        <w:t>ethanol:acetone</w:t>
      </w:r>
      <w:proofErr w:type="spellEnd"/>
      <w:proofErr w:type="gramEnd"/>
      <w:r w:rsidR="00EF3EE6" w:rsidRPr="001952AF">
        <w:t xml:space="preserve"> solution and dried at room temperature. Afterwards, the </w:t>
      </w:r>
      <w:r w:rsidRPr="001952AF">
        <w:t>resin was also subjected to a heat treatment by means of a ramp</w:t>
      </w:r>
      <w:r w:rsidR="008232A1">
        <w:t xml:space="preserve"> starting</w:t>
      </w:r>
      <w:r w:rsidRPr="001952AF">
        <w:t xml:space="preserve"> at 100 °C for 30 minutes</w:t>
      </w:r>
      <w:r w:rsidR="00F852BB">
        <w:t>,</w:t>
      </w:r>
      <w:r w:rsidRPr="001952AF">
        <w:t xml:space="preserve"> followed by another at 170 °C for 2 hours, both at a rate of 5 </w:t>
      </w:r>
      <w:proofErr w:type="spellStart"/>
      <w:r w:rsidRPr="001952AF">
        <w:rPr>
          <w:vertAlign w:val="superscript"/>
        </w:rPr>
        <w:t>o</w:t>
      </w:r>
      <w:r w:rsidRPr="001952AF">
        <w:t>C</w:t>
      </w:r>
      <w:proofErr w:type="spellEnd"/>
      <w:r w:rsidRPr="001952AF">
        <w:t xml:space="preserve"> min</w:t>
      </w:r>
      <w:r w:rsidRPr="001952AF">
        <w:rPr>
          <w:vertAlign w:val="superscript"/>
        </w:rPr>
        <w:t>-1</w:t>
      </w:r>
      <w:r w:rsidRPr="001952AF">
        <w:t xml:space="preserve">. </w:t>
      </w:r>
    </w:p>
    <w:p w14:paraId="30EC88EF" w14:textId="77777777" w:rsidR="002700E3" w:rsidRPr="002700E3" w:rsidRDefault="002700E3" w:rsidP="002700E3">
      <w:pPr>
        <w:pStyle w:val="CETheadingx"/>
      </w:pPr>
      <w:r w:rsidRPr="002700E3">
        <w:t>Photocatalysis tests</w:t>
      </w:r>
    </w:p>
    <w:p w14:paraId="7D4E1043" w14:textId="15A1AB4A" w:rsidR="008A78CF" w:rsidRPr="002700E3" w:rsidRDefault="008A78CF" w:rsidP="00C84D43">
      <w:pPr>
        <w:pStyle w:val="CETBodytext"/>
      </w:pPr>
      <w:r w:rsidRPr="002700E3">
        <w:t xml:space="preserve">The photocatalytic tests were carried out in a </w:t>
      </w:r>
      <w:r w:rsidR="00B6419A" w:rsidRPr="002700E3">
        <w:t xml:space="preserve">sludge-type batch reactor, </w:t>
      </w:r>
      <w:r w:rsidR="00130B36">
        <w:t>under</w:t>
      </w:r>
      <w:r w:rsidR="00E2367D">
        <w:t xml:space="preserve"> </w:t>
      </w:r>
      <w:r w:rsidR="00B6419A" w:rsidRPr="002700E3">
        <w:t xml:space="preserve">four 15 W </w:t>
      </w:r>
      <w:r w:rsidR="00F852BB" w:rsidRPr="002700E3">
        <w:t>germicid</w:t>
      </w:r>
      <w:r w:rsidR="005E308B">
        <w:t xml:space="preserve">al </w:t>
      </w:r>
      <w:r w:rsidR="00B6419A" w:rsidRPr="002700E3">
        <w:t>UV lamps.</w:t>
      </w:r>
      <w:r w:rsidR="00530249" w:rsidRPr="002700E3">
        <w:t xml:space="preserve"> The reactor was equipped with a magnetic stirrer </w:t>
      </w:r>
      <w:r w:rsidR="00F852BB">
        <w:t xml:space="preserve">to ensure catalyst suspension </w:t>
      </w:r>
      <w:r w:rsidR="00130B36">
        <w:t xml:space="preserve">during reaction </w:t>
      </w:r>
      <w:r w:rsidR="00530249" w:rsidRPr="002700E3">
        <w:t>and a thermostat bath at 30</w:t>
      </w:r>
      <w:r w:rsidR="00B6419A" w:rsidRPr="002700E3">
        <w:t xml:space="preserve"> </w:t>
      </w:r>
      <w:r w:rsidR="00530249" w:rsidRPr="002700E3">
        <w:t>°C.</w:t>
      </w:r>
      <w:r w:rsidR="00650A9A" w:rsidRPr="002700E3">
        <w:t xml:space="preserve"> </w:t>
      </w:r>
      <w:r w:rsidR="00DC65FC" w:rsidRPr="002700E3">
        <w:t xml:space="preserve">The </w:t>
      </w:r>
      <w:r w:rsidR="00D275F3" w:rsidRPr="002700E3">
        <w:t>tests</w:t>
      </w:r>
      <w:r w:rsidR="009228B2" w:rsidRPr="002700E3">
        <w:t xml:space="preserve"> </w:t>
      </w:r>
      <w:r w:rsidR="00DC65FC" w:rsidRPr="002700E3">
        <w:t xml:space="preserve">were performed in </w:t>
      </w:r>
      <w:r w:rsidR="00D275F3" w:rsidRPr="002700E3">
        <w:t>triplicate</w:t>
      </w:r>
      <w:r w:rsidR="009228B2" w:rsidRPr="002700E3">
        <w:t xml:space="preserve"> by using 250 mL of a 50 </w:t>
      </w:r>
      <w:proofErr w:type="gramStart"/>
      <w:r w:rsidR="009228B2" w:rsidRPr="002700E3">
        <w:t>mg.L</w:t>
      </w:r>
      <w:proofErr w:type="gramEnd"/>
      <w:r w:rsidR="009228B2" w:rsidRPr="002700E3">
        <w:rPr>
          <w:vertAlign w:val="superscript"/>
        </w:rPr>
        <w:t>-1</w:t>
      </w:r>
      <w:r w:rsidR="009228B2" w:rsidRPr="002700E3">
        <w:t xml:space="preserve"> paracetamol </w:t>
      </w:r>
      <w:r w:rsidR="00386CC9">
        <w:t>aque</w:t>
      </w:r>
      <w:r w:rsidR="001842C2">
        <w:t xml:space="preserve">ous </w:t>
      </w:r>
      <w:r w:rsidR="009228B2" w:rsidRPr="002700E3">
        <w:t xml:space="preserve">solution </w:t>
      </w:r>
      <w:r w:rsidR="00752273">
        <w:t xml:space="preserve">either with </w:t>
      </w:r>
      <w:r w:rsidR="009228B2" w:rsidRPr="002700E3">
        <w:t>a catalyst concentration of 2 g.L</w:t>
      </w:r>
      <w:r w:rsidR="009228B2" w:rsidRPr="002700E3">
        <w:rPr>
          <w:vertAlign w:val="superscript"/>
        </w:rPr>
        <w:t>-1</w:t>
      </w:r>
      <w:r w:rsidR="002D7DA5" w:rsidRPr="002700E3">
        <w:rPr>
          <w:vertAlign w:val="superscript"/>
        </w:rPr>
        <w:t xml:space="preserve"> </w:t>
      </w:r>
      <w:r w:rsidR="00752273">
        <w:t>or</w:t>
      </w:r>
      <w:r w:rsidR="00752273" w:rsidRPr="005E308B">
        <w:t xml:space="preserve"> </w:t>
      </w:r>
      <w:r w:rsidR="00752273">
        <w:t xml:space="preserve">in the absence of </w:t>
      </w:r>
      <w:r w:rsidR="002D7DA5" w:rsidRPr="002700E3">
        <w:t xml:space="preserve">catalyst to evaluate the degradation </w:t>
      </w:r>
      <w:r w:rsidR="00752273">
        <w:t xml:space="preserve">only </w:t>
      </w:r>
      <w:r w:rsidR="002D7DA5" w:rsidRPr="002700E3">
        <w:t>by the UV light.</w:t>
      </w:r>
      <w:r w:rsidR="00D275F3" w:rsidRPr="002700E3">
        <w:t xml:space="preserve"> </w:t>
      </w:r>
      <w:r w:rsidRPr="002700E3">
        <w:t xml:space="preserve">Aliquots were </w:t>
      </w:r>
      <w:r w:rsidR="00C31664">
        <w:t xml:space="preserve">collected </w:t>
      </w:r>
      <w:r w:rsidR="004608F4" w:rsidRPr="002700E3">
        <w:t xml:space="preserve">after 2 hours </w:t>
      </w:r>
      <w:r w:rsidRPr="002700E3">
        <w:t xml:space="preserve">and filtered with 0.22 </w:t>
      </w:r>
      <w:proofErr w:type="spellStart"/>
      <w:r w:rsidRPr="002700E3">
        <w:t>μm</w:t>
      </w:r>
      <w:proofErr w:type="spellEnd"/>
      <w:r w:rsidR="004608F4" w:rsidRPr="002700E3">
        <w:t xml:space="preserve"> nylon membrane</w:t>
      </w:r>
      <w:r w:rsidRPr="002700E3">
        <w:t xml:space="preserve">. </w:t>
      </w:r>
      <w:r w:rsidR="00130B36">
        <w:t>The absorbance of e</w:t>
      </w:r>
      <w:r w:rsidR="00130B36" w:rsidRPr="002700E3">
        <w:t xml:space="preserve">ach </w:t>
      </w:r>
      <w:r w:rsidRPr="002700E3">
        <w:t xml:space="preserve">aliquot was measured at </w:t>
      </w:r>
      <w:r w:rsidR="00D275F3" w:rsidRPr="002700E3">
        <w:t xml:space="preserve">243 </w:t>
      </w:r>
      <w:r w:rsidRPr="002700E3">
        <w:t xml:space="preserve">nm for evaluation of the catalytic activity. </w:t>
      </w:r>
      <w:r w:rsidR="00CE1AED" w:rsidRPr="002700E3">
        <w:t>For each experiment</w:t>
      </w:r>
      <w:r w:rsidR="00752273">
        <w:t xml:space="preserve"> conditions</w:t>
      </w:r>
      <w:r w:rsidR="00CE1AED" w:rsidRPr="002700E3">
        <w:t>, the adsorption w</w:t>
      </w:r>
      <w:r w:rsidR="0065700B">
        <w:t>as</w:t>
      </w:r>
      <w:r w:rsidR="00CE1AED" w:rsidRPr="002700E3">
        <w:t xml:space="preserve"> also </w:t>
      </w:r>
      <w:r w:rsidR="00752273">
        <w:t>assessed after</w:t>
      </w:r>
      <w:r w:rsidR="00CE1AED" w:rsidRPr="002700E3">
        <w:t xml:space="preserve"> repeating the stated procedure without the UV light.</w:t>
      </w:r>
      <w:r w:rsidR="00CE1AED" w:rsidRPr="001D1D8B">
        <w:t xml:space="preserve"> </w:t>
      </w:r>
      <w:r w:rsidR="00817E96" w:rsidRPr="002700E3">
        <w:t xml:space="preserve">In order to evaluate color </w:t>
      </w:r>
      <w:r w:rsidR="00752273">
        <w:t>change</w:t>
      </w:r>
      <w:r w:rsidR="005E308B">
        <w:t xml:space="preserve"> </w:t>
      </w:r>
      <w:r w:rsidR="00817E96" w:rsidRPr="002700E3">
        <w:t>and chemicals releas</w:t>
      </w:r>
      <w:r w:rsidR="006925B9">
        <w:t>e</w:t>
      </w:r>
      <w:r w:rsidR="00817E96" w:rsidRPr="002700E3">
        <w:t xml:space="preserve">, a </w:t>
      </w:r>
      <w:r w:rsidR="00CE1AED" w:rsidRPr="002700E3">
        <w:t xml:space="preserve">control </w:t>
      </w:r>
      <w:r w:rsidR="00752273">
        <w:t xml:space="preserve">test </w:t>
      </w:r>
      <w:r w:rsidR="00283F8D" w:rsidRPr="002700E3">
        <w:t>was</w:t>
      </w:r>
      <w:r w:rsidR="00CE1AED" w:rsidRPr="002700E3">
        <w:t xml:space="preserve"> also performed for each catalyst </w:t>
      </w:r>
      <w:r w:rsidR="00817E96" w:rsidRPr="002700E3">
        <w:t xml:space="preserve">by </w:t>
      </w:r>
      <w:r w:rsidR="009103D2">
        <w:t>replacing</w:t>
      </w:r>
      <w:r w:rsidR="00817E96" w:rsidRPr="002700E3">
        <w:t xml:space="preserve"> the paracetamol solution </w:t>
      </w:r>
      <w:r w:rsidR="00690DD0">
        <w:t>by</w:t>
      </w:r>
      <w:r w:rsidR="00690DD0" w:rsidRPr="002700E3">
        <w:t xml:space="preserve"> </w:t>
      </w:r>
      <w:r w:rsidR="00817E96" w:rsidRPr="002700E3">
        <w:t xml:space="preserve">distilled water. </w:t>
      </w:r>
      <w:r w:rsidRPr="002700E3">
        <w:t xml:space="preserve">The </w:t>
      </w:r>
      <w:r w:rsidR="00817E96" w:rsidRPr="002700E3">
        <w:t xml:space="preserve">paracetamol removal </w:t>
      </w:r>
      <w:r w:rsidRPr="002700E3">
        <w:t xml:space="preserve">was calculated by </w:t>
      </w:r>
      <w:r w:rsidR="00D8398C">
        <w:t>Eq.</w:t>
      </w:r>
      <w:r w:rsidRPr="002700E3">
        <w:t xml:space="preserve"> </w:t>
      </w:r>
      <w:r w:rsidR="00F52F93">
        <w:t>(</w:t>
      </w:r>
      <w:r w:rsidRPr="002700E3">
        <w:t>1</w:t>
      </w:r>
      <w:r w:rsidR="00F52F93">
        <w:t>)</w:t>
      </w:r>
      <w:r w:rsidRPr="002700E3">
        <w:t xml:space="preserve">:  </w:t>
      </w:r>
    </w:p>
    <w:p w14:paraId="36D2D992" w14:textId="65966205" w:rsidR="00D275F3" w:rsidRPr="002700E3" w:rsidRDefault="007C647C" w:rsidP="00C84D43">
      <w:pPr>
        <w:pStyle w:val="CETEquation"/>
      </w:pPr>
      <m:oMath>
        <m:r>
          <w:rPr>
            <w:rFonts w:ascii="Cambria Math" w:hAnsi="Cambria Math"/>
          </w:rPr>
          <m:t>%R</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o</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t</m:t>
                </m:r>
              </m:sub>
            </m:sSub>
          </m:num>
          <m:den>
            <m:sSub>
              <m:sSubPr>
                <m:ctrlPr>
                  <w:rPr>
                    <w:rFonts w:ascii="Cambria Math" w:hAnsi="Cambria Math"/>
                  </w:rPr>
                </m:ctrlPr>
              </m:sSubPr>
              <m:e>
                <m:r>
                  <w:rPr>
                    <w:rFonts w:ascii="Cambria Math" w:hAnsi="Cambria Math"/>
                  </w:rPr>
                  <m:t>C</m:t>
                </m:r>
              </m:e>
              <m:sub>
                <m:r>
                  <w:rPr>
                    <w:rFonts w:ascii="Cambria Math" w:hAnsi="Cambria Math"/>
                  </w:rPr>
                  <m:t>o</m:t>
                </m:r>
              </m:sub>
            </m:sSub>
          </m:den>
        </m:f>
        <m:r>
          <w:rPr>
            <w:rFonts w:ascii="Cambria Math" w:hAnsi="Cambria Math"/>
          </w:rPr>
          <m:t>x</m:t>
        </m:r>
        <m:r>
          <m:rPr>
            <m:sty m:val="p"/>
          </m:rPr>
          <w:rPr>
            <w:rFonts w:ascii="Cambria Math" w:hAnsi="Cambria Math"/>
          </w:rPr>
          <m:t>100</m:t>
        </m:r>
      </m:oMath>
      <w:r w:rsidR="00817E96" w:rsidRPr="002700E3">
        <w:t xml:space="preserve"> </w:t>
      </w:r>
      <w:r w:rsidR="00F52F93">
        <w:t xml:space="preserve">                                                                                                                                         </w:t>
      </w:r>
      <w:r w:rsidR="00817E96" w:rsidRPr="002700E3">
        <w:t>(1)</w:t>
      </w:r>
    </w:p>
    <w:p w14:paraId="7F71C5BE" w14:textId="58715EE3" w:rsidR="00817E96" w:rsidRDefault="00817E96" w:rsidP="00C84D43">
      <w:pPr>
        <w:pStyle w:val="CETBodytext"/>
      </w:pPr>
      <w:r>
        <w:t>Where:</w:t>
      </w:r>
    </w:p>
    <w:p w14:paraId="1051FC84" w14:textId="378CEF91" w:rsidR="004579D6" w:rsidRPr="00A63A07" w:rsidRDefault="007C647C" w:rsidP="00C84D43">
      <w:pPr>
        <w:pStyle w:val="CETBodytext"/>
        <w:rPr>
          <w:lang w:val="pt-BR"/>
        </w:rPr>
      </w:pPr>
      <w:r w:rsidRPr="00A63A07">
        <w:rPr>
          <w:lang w:val="pt-BR"/>
        </w:rPr>
        <w:t>%R</w:t>
      </w:r>
      <w:r w:rsidR="004579D6" w:rsidRPr="00A63A07">
        <w:rPr>
          <w:lang w:val="pt-BR"/>
        </w:rPr>
        <w:t>: Paracetam</w:t>
      </w:r>
      <w:r w:rsidR="0030706D" w:rsidRPr="00A63A07">
        <w:rPr>
          <w:lang w:val="pt-BR"/>
        </w:rPr>
        <w:t>o</w:t>
      </w:r>
      <w:r w:rsidR="004579D6" w:rsidRPr="00A63A07">
        <w:rPr>
          <w:lang w:val="pt-BR"/>
        </w:rPr>
        <w:t xml:space="preserve">l </w:t>
      </w:r>
      <w:proofErr w:type="spellStart"/>
      <w:r w:rsidR="004579D6" w:rsidRPr="00A63A07">
        <w:rPr>
          <w:lang w:val="pt-BR"/>
        </w:rPr>
        <w:t>removal</w:t>
      </w:r>
      <w:proofErr w:type="spellEnd"/>
      <w:r w:rsidR="00A63A07" w:rsidRPr="00A63A07">
        <w:rPr>
          <w:lang w:val="pt-BR"/>
        </w:rPr>
        <w:t xml:space="preserve"> (%)</w:t>
      </w:r>
      <w:r w:rsidR="004579D6" w:rsidRPr="00A63A07">
        <w:rPr>
          <w:lang w:val="pt-BR"/>
        </w:rPr>
        <w:t>;</w:t>
      </w:r>
    </w:p>
    <w:p w14:paraId="4ABBF5D8" w14:textId="58FD3303" w:rsidR="00817E96" w:rsidRPr="00A63A07" w:rsidRDefault="00817E96" w:rsidP="00C84D43">
      <w:pPr>
        <w:pStyle w:val="CETBodytext"/>
      </w:pPr>
      <w:r w:rsidRPr="00A63A07">
        <w:t>C</w:t>
      </w:r>
      <w:r w:rsidRPr="00A63A07">
        <w:rPr>
          <w:vertAlign w:val="subscript"/>
        </w:rPr>
        <w:t>0</w:t>
      </w:r>
      <w:r w:rsidRPr="00A63A07">
        <w:t>: Paracetamol concentration</w:t>
      </w:r>
      <w:r w:rsidR="00A63A07">
        <w:t xml:space="preserve"> (</w:t>
      </w:r>
      <w:proofErr w:type="gramStart"/>
      <w:r w:rsidR="00A63A07">
        <w:t>mg.L</w:t>
      </w:r>
      <w:proofErr w:type="gramEnd"/>
      <w:r w:rsidR="00A63A07" w:rsidRPr="00AA6659">
        <w:rPr>
          <w:vertAlign w:val="superscript"/>
        </w:rPr>
        <w:t>-1</w:t>
      </w:r>
      <w:r w:rsidR="00A63A07">
        <w:t xml:space="preserve">) </w:t>
      </w:r>
      <w:r w:rsidRPr="00A63A07">
        <w:t>at t=0h</w:t>
      </w:r>
      <w:r w:rsidR="00AA6659" w:rsidRPr="00A63A07">
        <w:t>;</w:t>
      </w:r>
    </w:p>
    <w:p w14:paraId="27D347FF" w14:textId="11F61E3C" w:rsidR="00D275F3" w:rsidRDefault="00817E96" w:rsidP="00C84D43">
      <w:pPr>
        <w:pStyle w:val="CETBodytext"/>
      </w:pPr>
      <w:r>
        <w:t>C</w:t>
      </w:r>
      <w:r>
        <w:rPr>
          <w:vertAlign w:val="subscript"/>
        </w:rPr>
        <w:t>t</w:t>
      </w:r>
      <w:r>
        <w:t>: Paracetamol concentration</w:t>
      </w:r>
      <w:r w:rsidR="00A63A07">
        <w:t xml:space="preserve"> (</w:t>
      </w:r>
      <w:proofErr w:type="gramStart"/>
      <w:r w:rsidR="00A63A07">
        <w:t>mg.L</w:t>
      </w:r>
      <w:proofErr w:type="gramEnd"/>
      <w:r w:rsidR="00A63A07" w:rsidRPr="00AA6659">
        <w:rPr>
          <w:vertAlign w:val="superscript"/>
        </w:rPr>
        <w:t>-1</w:t>
      </w:r>
      <w:r w:rsidR="00A63A07">
        <w:t xml:space="preserve">) </w:t>
      </w:r>
      <w:r>
        <w:t>at t</w:t>
      </w:r>
      <w:r w:rsidR="007C647C">
        <w:t>ime t</w:t>
      </w:r>
      <w:r w:rsidR="00AA6659">
        <w:t>.</w:t>
      </w:r>
    </w:p>
    <w:p w14:paraId="6F7DC405" w14:textId="77777777" w:rsidR="00D275F3" w:rsidRPr="00C11F95" w:rsidRDefault="00D275F3" w:rsidP="00C84D43">
      <w:pPr>
        <w:pStyle w:val="CETheadingx"/>
      </w:pPr>
      <w:r>
        <w:t>Adsorption</w:t>
      </w:r>
      <w:r w:rsidRPr="00C11F95">
        <w:t xml:space="preserve"> tests</w:t>
      </w:r>
    </w:p>
    <w:p w14:paraId="46D5F179" w14:textId="7D36D257" w:rsidR="00022BE6" w:rsidRDefault="00001B3A" w:rsidP="00C84D43">
      <w:pPr>
        <w:pStyle w:val="CETBodytext"/>
      </w:pPr>
      <w:r>
        <w:t>The a</w:t>
      </w:r>
      <w:r w:rsidR="00D275F3" w:rsidRPr="0066686A">
        <w:t xml:space="preserve">dsorption </w:t>
      </w:r>
      <w:r>
        <w:t>test</w:t>
      </w:r>
      <w:r w:rsidR="00D275F3" w:rsidRPr="0066686A">
        <w:t xml:space="preserve">s were </w:t>
      </w:r>
      <w:r w:rsidR="007C1A62">
        <w:t>carried out batchwise</w:t>
      </w:r>
      <w:r w:rsidR="00022BE6">
        <w:t xml:space="preserve">. </w:t>
      </w:r>
      <w:r w:rsidR="00D275F3" w:rsidRPr="0066686A">
        <w:t xml:space="preserve">For that, </w:t>
      </w:r>
      <w:r w:rsidR="007C1A62">
        <w:t xml:space="preserve">given </w:t>
      </w:r>
      <w:r w:rsidR="00022BE6">
        <w:t>amount</w:t>
      </w:r>
      <w:r w:rsidR="000F53EC">
        <w:t>s</w:t>
      </w:r>
      <w:r w:rsidR="00D275F3" w:rsidRPr="0066686A">
        <w:t xml:space="preserve"> of the adsorbent </w:t>
      </w:r>
      <w:r w:rsidR="00022BE6">
        <w:t xml:space="preserve">(10, 20, 40, 50, 80 or 160 mg) </w:t>
      </w:r>
      <w:r w:rsidR="00D275F3" w:rsidRPr="0066686A">
        <w:t xml:space="preserve">were mixed with 20 mL of 50 </w:t>
      </w:r>
      <w:proofErr w:type="gramStart"/>
      <w:r w:rsidR="00D275F3" w:rsidRPr="0066686A">
        <w:t>mg.L</w:t>
      </w:r>
      <w:proofErr w:type="gramEnd"/>
      <w:r w:rsidR="00D275F3" w:rsidRPr="0066686A">
        <w:rPr>
          <w:vertAlign w:val="superscript"/>
        </w:rPr>
        <w:t>-1</w:t>
      </w:r>
      <w:r w:rsidR="00D275F3" w:rsidRPr="0066686A">
        <w:t xml:space="preserve"> </w:t>
      </w:r>
      <w:r w:rsidR="00022BE6">
        <w:t>paracetamol</w:t>
      </w:r>
      <w:r w:rsidR="00D275F3" w:rsidRPr="0066686A">
        <w:t xml:space="preserve"> solution</w:t>
      </w:r>
      <w:r w:rsidR="00022BE6">
        <w:t xml:space="preserve"> at </w:t>
      </w:r>
      <w:r w:rsidR="007C1A62">
        <w:t>different</w:t>
      </w:r>
      <w:r w:rsidR="00022BE6">
        <w:t xml:space="preserve"> pH (5, 6, 7, 8, 9 </w:t>
      </w:r>
      <w:r w:rsidR="000F53EC">
        <w:t>or</w:t>
      </w:r>
      <w:r w:rsidR="00022BE6">
        <w:t xml:space="preserve"> 10)</w:t>
      </w:r>
      <w:r w:rsidR="00D275F3" w:rsidRPr="0066686A">
        <w:t xml:space="preserve">. </w:t>
      </w:r>
      <w:r w:rsidR="00022BE6">
        <w:t xml:space="preserve">The </w:t>
      </w:r>
      <w:r w:rsidR="00D275F3" w:rsidRPr="0066686A">
        <w:t>adsorbate-adsorbent solution was con</w:t>
      </w:r>
      <w:r w:rsidR="00D8065E">
        <w:t>tinuousl</w:t>
      </w:r>
      <w:r w:rsidR="00D275F3" w:rsidRPr="0066686A">
        <w:t xml:space="preserve">y </w:t>
      </w:r>
      <w:r w:rsidR="007C1A62">
        <w:t>stirred</w:t>
      </w:r>
      <w:r w:rsidR="007C1A62" w:rsidRPr="0066686A">
        <w:t xml:space="preserve"> </w:t>
      </w:r>
      <w:r w:rsidR="00D275F3" w:rsidRPr="0066686A">
        <w:t xml:space="preserve">in an orbital shaker at 150 rpm and </w:t>
      </w:r>
      <w:r w:rsidR="00022BE6">
        <w:t>30</w:t>
      </w:r>
      <w:r w:rsidR="00D275F3" w:rsidRPr="0066686A">
        <w:t xml:space="preserve"> </w:t>
      </w:r>
      <w:proofErr w:type="spellStart"/>
      <w:r w:rsidR="00D275F3" w:rsidRPr="0066686A">
        <w:rPr>
          <w:vertAlign w:val="superscript"/>
        </w:rPr>
        <w:t>o</w:t>
      </w:r>
      <w:r w:rsidR="00D275F3" w:rsidRPr="0066686A">
        <w:t>C</w:t>
      </w:r>
      <w:proofErr w:type="spellEnd"/>
      <w:r w:rsidR="00586F6F">
        <w:t xml:space="preserve"> for 24 hours</w:t>
      </w:r>
      <w:r w:rsidR="00D275F3" w:rsidRPr="0066686A">
        <w:t xml:space="preserve">. </w:t>
      </w:r>
      <w:r w:rsidR="00586F6F">
        <w:t>Prior to analysis, the samples were</w:t>
      </w:r>
      <w:r w:rsidR="00586F6F" w:rsidRPr="002700E3">
        <w:t xml:space="preserve"> filtered with 0.22 </w:t>
      </w:r>
      <w:proofErr w:type="spellStart"/>
      <w:r w:rsidR="00586F6F" w:rsidRPr="002700E3">
        <w:t>μm</w:t>
      </w:r>
      <w:proofErr w:type="spellEnd"/>
      <w:r w:rsidR="00586F6F" w:rsidRPr="002700E3">
        <w:t xml:space="preserve"> nylon membrane.</w:t>
      </w:r>
      <w:r w:rsidR="00AA6659" w:rsidRPr="00AA6659">
        <w:t xml:space="preserve"> </w:t>
      </w:r>
      <w:r w:rsidR="00AA6659" w:rsidRPr="002700E3">
        <w:t>The paracetamol removal</w:t>
      </w:r>
      <w:r w:rsidR="00B246D2">
        <w:t xml:space="preserve"> </w:t>
      </w:r>
      <w:r w:rsidR="00AA6659" w:rsidRPr="002700E3">
        <w:t xml:space="preserve">was calculated by </w:t>
      </w:r>
      <w:r w:rsidR="00D8398C">
        <w:t>Eq.</w:t>
      </w:r>
      <w:r w:rsidR="00AA6659" w:rsidRPr="002700E3">
        <w:t xml:space="preserve"> </w:t>
      </w:r>
      <w:r w:rsidR="00AA6659">
        <w:t>(</w:t>
      </w:r>
      <w:r w:rsidR="00AA6659" w:rsidRPr="002700E3">
        <w:t>1</w:t>
      </w:r>
      <w:r w:rsidR="00AA6659">
        <w:t>) and the adsorption capacity (q</w:t>
      </w:r>
      <w:r w:rsidR="00EA2F86">
        <w:rPr>
          <w:vertAlign w:val="subscript"/>
        </w:rPr>
        <w:t>t</w:t>
      </w:r>
      <w:r w:rsidR="00AA6659">
        <w:t xml:space="preserve">) by </w:t>
      </w:r>
      <w:r w:rsidR="00D8398C">
        <w:t>Eq.</w:t>
      </w:r>
      <w:r w:rsidR="00AA6659">
        <w:t xml:space="preserve"> (2):</w:t>
      </w:r>
    </w:p>
    <w:p w14:paraId="189D79F7" w14:textId="1C9DCC10" w:rsidR="00AA6659" w:rsidRPr="002700E3" w:rsidRDefault="00B623DB" w:rsidP="00AA6659">
      <w:pPr>
        <w:pStyle w:val="CETEquation"/>
      </w:pPr>
      <m:oMath>
        <m:sSub>
          <m:sSubPr>
            <m:ctrlPr>
              <w:rPr>
                <w:rFonts w:ascii="Cambria Math" w:hAnsi="Cambria Math"/>
              </w:rPr>
            </m:ctrlPr>
          </m:sSubPr>
          <m:e>
            <m:r>
              <w:rPr>
                <w:rFonts w:ascii="Cambria Math" w:hAnsi="Cambria Math"/>
              </w:rPr>
              <m:t>q</m:t>
            </m:r>
          </m:e>
          <m:sub>
            <m:r>
              <w:rPr>
                <w:rFonts w:ascii="Cambria Math" w:hAnsi="Cambria Math"/>
              </w:rPr>
              <m:t>t</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o</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t</m:t>
                </m:r>
              </m:sub>
            </m:sSub>
            <m:r>
              <w:rPr>
                <w:rFonts w:ascii="Cambria Math" w:hAnsi="Cambria Math"/>
              </w:rPr>
              <m:t>).V</m:t>
            </m:r>
          </m:num>
          <m:den>
            <m:r>
              <m:rPr>
                <m:sty m:val="p"/>
              </m:rPr>
              <w:rPr>
                <w:rFonts w:ascii="Cambria Math" w:hAnsi="Cambria Math"/>
              </w:rPr>
              <m:t>m</m:t>
            </m:r>
          </m:den>
        </m:f>
      </m:oMath>
      <w:r w:rsidR="00AA6659" w:rsidRPr="002700E3">
        <w:t xml:space="preserve"> </w:t>
      </w:r>
      <w:r w:rsidR="00AA6659">
        <w:t xml:space="preserve">                                                                                                                                                    </w:t>
      </w:r>
      <w:r w:rsidR="00AA6659" w:rsidRPr="002700E3">
        <w:t>(</w:t>
      </w:r>
      <w:r w:rsidR="00AA6659">
        <w:t>2</w:t>
      </w:r>
      <w:r w:rsidR="00AA6659" w:rsidRPr="002700E3">
        <w:t>)</w:t>
      </w:r>
    </w:p>
    <w:p w14:paraId="55FF681C" w14:textId="77777777" w:rsidR="00AA6659" w:rsidRDefault="00AA6659" w:rsidP="00AA6659">
      <w:pPr>
        <w:pStyle w:val="CETBodytext"/>
      </w:pPr>
      <w:r>
        <w:lastRenderedPageBreak/>
        <w:t>Where:</w:t>
      </w:r>
    </w:p>
    <w:p w14:paraId="4249D97B" w14:textId="67FF2E6A" w:rsidR="00AA6659" w:rsidRPr="00AA6659" w:rsidRDefault="00AA6659" w:rsidP="00AA6659">
      <w:pPr>
        <w:pStyle w:val="CETBodytext"/>
      </w:pPr>
      <w:r>
        <w:t>q</w:t>
      </w:r>
      <w:r w:rsidR="00EA2F86">
        <w:rPr>
          <w:vertAlign w:val="subscript"/>
        </w:rPr>
        <w:t>t</w:t>
      </w:r>
      <w:r>
        <w:t>: Adsorption capacity (</w:t>
      </w:r>
      <w:proofErr w:type="gramStart"/>
      <w:r>
        <w:t>mg.g</w:t>
      </w:r>
      <w:proofErr w:type="gramEnd"/>
      <w:r w:rsidRPr="00AA6659">
        <w:rPr>
          <w:vertAlign w:val="superscript"/>
        </w:rPr>
        <w:t>-1</w:t>
      </w:r>
      <w:r>
        <w:t>) at t=24h;</w:t>
      </w:r>
    </w:p>
    <w:p w14:paraId="26291F53" w14:textId="77777777" w:rsidR="00AA6659" w:rsidRPr="00817E96" w:rsidRDefault="00AA6659" w:rsidP="00AA6659">
      <w:pPr>
        <w:pStyle w:val="CETBodytext"/>
      </w:pPr>
      <w:r>
        <w:t>C</w:t>
      </w:r>
      <w:r w:rsidRPr="00817E96">
        <w:rPr>
          <w:vertAlign w:val="subscript"/>
        </w:rPr>
        <w:t>0</w:t>
      </w:r>
      <w:r>
        <w:t>: Paracetamol concentration (</w:t>
      </w:r>
      <w:proofErr w:type="gramStart"/>
      <w:r>
        <w:t>mg.L</w:t>
      </w:r>
      <w:proofErr w:type="gramEnd"/>
      <w:r w:rsidRPr="00AA6659">
        <w:rPr>
          <w:vertAlign w:val="superscript"/>
        </w:rPr>
        <w:t>-1</w:t>
      </w:r>
      <w:r>
        <w:t>) at t=0h;</w:t>
      </w:r>
    </w:p>
    <w:p w14:paraId="12A36C40" w14:textId="77777777" w:rsidR="00AA6659" w:rsidRDefault="00AA6659" w:rsidP="00AA6659">
      <w:pPr>
        <w:pStyle w:val="CETBodytext"/>
      </w:pPr>
      <w:r>
        <w:t>C</w:t>
      </w:r>
      <w:r>
        <w:rPr>
          <w:vertAlign w:val="subscript"/>
        </w:rPr>
        <w:t>t</w:t>
      </w:r>
      <w:r>
        <w:t>: Paracetamol concentration (</w:t>
      </w:r>
      <w:proofErr w:type="gramStart"/>
      <w:r>
        <w:t>mg.L</w:t>
      </w:r>
      <w:proofErr w:type="gramEnd"/>
      <w:r w:rsidRPr="00AA6659">
        <w:rPr>
          <w:vertAlign w:val="superscript"/>
        </w:rPr>
        <w:t>-1</w:t>
      </w:r>
      <w:r>
        <w:t>) at t=24h;</w:t>
      </w:r>
    </w:p>
    <w:p w14:paraId="227C9676" w14:textId="77777777" w:rsidR="00AA6659" w:rsidRDefault="00AA6659" w:rsidP="00AA6659">
      <w:pPr>
        <w:pStyle w:val="CETBodytext"/>
      </w:pPr>
      <w:r>
        <w:t>V: Paracetamol solution volume (L);</w:t>
      </w:r>
    </w:p>
    <w:p w14:paraId="20A50416" w14:textId="77777777" w:rsidR="00AA6659" w:rsidRDefault="00AA6659" w:rsidP="00AA6659">
      <w:pPr>
        <w:pStyle w:val="CETBodytext"/>
      </w:pPr>
      <w:r>
        <w:t>m: Adsorbent weight (g).</w:t>
      </w:r>
    </w:p>
    <w:p w14:paraId="759A83F3" w14:textId="77777777" w:rsidR="00AA6659" w:rsidRDefault="00274932" w:rsidP="00274932">
      <w:pPr>
        <w:pStyle w:val="CETheadingx"/>
      </w:pPr>
      <w:r>
        <w:t>Characterization</w:t>
      </w:r>
    </w:p>
    <w:p w14:paraId="43C4F7D0" w14:textId="211C61A8" w:rsidR="00972856" w:rsidRDefault="00D275F3" w:rsidP="007821E2">
      <w:pPr>
        <w:pStyle w:val="CETBodytext"/>
      </w:pPr>
      <w:r w:rsidRPr="0066686A">
        <w:t xml:space="preserve">The </w:t>
      </w:r>
      <w:r w:rsidR="00022BE6">
        <w:t>paracetamol</w:t>
      </w:r>
      <w:r w:rsidRPr="0066686A">
        <w:t xml:space="preserve"> concentration </w:t>
      </w:r>
      <w:r w:rsidR="0070736F">
        <w:t xml:space="preserve">after </w:t>
      </w:r>
      <w:r w:rsidR="00274932">
        <w:t xml:space="preserve">the photocatalysis and adsorption experiments </w:t>
      </w:r>
      <w:r w:rsidRPr="0066686A">
        <w:t>was measured in an UV HACH DR5000 spectrophotometer, at a wavelength of</w:t>
      </w:r>
      <w:r w:rsidR="00D05C43">
        <w:t xml:space="preserve"> </w:t>
      </w:r>
      <w:r w:rsidRPr="0066686A">
        <w:t>2</w:t>
      </w:r>
      <w:r w:rsidR="00022BE6">
        <w:t>43</w:t>
      </w:r>
      <w:r w:rsidRPr="0066686A">
        <w:t xml:space="preserve"> nm</w:t>
      </w:r>
      <w:r w:rsidR="00696605">
        <w:t xml:space="preserve">. Moreover, the </w:t>
      </w:r>
      <w:r w:rsidR="00B861B6">
        <w:t xml:space="preserve">materials </w:t>
      </w:r>
      <w:r w:rsidR="00696605">
        <w:t>specific surface area (BET), total pore volume (at (P/P</w:t>
      </w:r>
      <w:r w:rsidR="00696605" w:rsidRPr="00696605">
        <w:rPr>
          <w:vertAlign w:val="subscript"/>
        </w:rPr>
        <w:t>0</w:t>
      </w:r>
      <w:r w:rsidR="00696605">
        <w:t xml:space="preserve"> = 0.95) and the pore size distribution (BJH)</w:t>
      </w:r>
      <w:r w:rsidR="0066686A" w:rsidRPr="0066686A">
        <w:t xml:space="preserve"> </w:t>
      </w:r>
      <w:r w:rsidR="005E308B">
        <w:t>d</w:t>
      </w:r>
      <w:r w:rsidR="007035B0">
        <w:t>ata were obtained</w:t>
      </w:r>
      <w:r w:rsidR="0066686A" w:rsidRPr="0066686A">
        <w:t xml:space="preserve"> in a </w:t>
      </w:r>
      <w:proofErr w:type="spellStart"/>
      <w:r w:rsidR="0066686A" w:rsidRPr="0066686A">
        <w:t>Quantachrome</w:t>
      </w:r>
      <w:proofErr w:type="spellEnd"/>
      <w:r w:rsidR="0066686A" w:rsidRPr="0066686A">
        <w:t xml:space="preserve"> NOVA-1200</w:t>
      </w:r>
      <w:r w:rsidR="00B861B6">
        <w:t>.</w:t>
      </w:r>
      <w:r w:rsidR="0066686A" w:rsidRPr="0066686A">
        <w:t xml:space="preserve"> </w:t>
      </w:r>
      <w:r w:rsidR="00B861B6">
        <w:t xml:space="preserve">Their </w:t>
      </w:r>
      <w:r w:rsidR="0066686A" w:rsidRPr="0066686A">
        <w:t xml:space="preserve">pH </w:t>
      </w:r>
      <w:r w:rsidR="0066686A" w:rsidRPr="00330577">
        <w:t>point of zero charge</w:t>
      </w:r>
      <w:r w:rsidR="0006379A" w:rsidRPr="00330577">
        <w:t xml:space="preserve"> </w:t>
      </w:r>
      <w:r w:rsidR="00330577" w:rsidRPr="00330577">
        <w:t>e</w:t>
      </w:r>
      <w:r w:rsidR="007035B0" w:rsidRPr="00330577">
        <w:t xml:space="preserve">valuations </w:t>
      </w:r>
      <w:r w:rsidR="0066686A" w:rsidRPr="00330577">
        <w:t xml:space="preserve">were performed </w:t>
      </w:r>
      <w:r w:rsidR="0006379A" w:rsidRPr="00330577">
        <w:rPr>
          <w:lang w:val="en-GB"/>
        </w:rPr>
        <w:t xml:space="preserve">in terms of the pH of the suspension </w:t>
      </w:r>
      <w:r w:rsidR="0066686A" w:rsidRPr="00330577">
        <w:t xml:space="preserve">according to </w:t>
      </w:r>
      <w:r w:rsidR="00B861B6" w:rsidRPr="00330577">
        <w:t xml:space="preserve">the 11-points methodology described by </w:t>
      </w:r>
      <w:proofErr w:type="spellStart"/>
      <w:r w:rsidR="0066686A" w:rsidRPr="00330577">
        <w:t>Regalbuto</w:t>
      </w:r>
      <w:proofErr w:type="spellEnd"/>
      <w:r w:rsidR="0066686A" w:rsidRPr="00330577">
        <w:t xml:space="preserve"> &amp; Robles (2004).</w:t>
      </w:r>
      <w:r w:rsidR="00FD33A2" w:rsidRPr="00330577">
        <w:t xml:space="preserve"> The catalysts</w:t>
      </w:r>
      <w:r w:rsidR="0014218B" w:rsidRPr="00330577">
        <w:t xml:space="preserve"> (TiO</w:t>
      </w:r>
      <w:r w:rsidR="0014218B" w:rsidRPr="00330577">
        <w:rPr>
          <w:vertAlign w:val="subscript"/>
        </w:rPr>
        <w:t>2</w:t>
      </w:r>
      <w:r w:rsidR="0014218B" w:rsidRPr="00330577">
        <w:t xml:space="preserve"> and </w:t>
      </w:r>
      <w:proofErr w:type="spellStart"/>
      <w:r w:rsidR="0014218B" w:rsidRPr="00330577">
        <w:t>ZnO</w:t>
      </w:r>
      <w:proofErr w:type="spellEnd"/>
      <w:r w:rsidR="0014218B" w:rsidRPr="00330577">
        <w:t>)</w:t>
      </w:r>
      <w:r w:rsidR="00FD33A2" w:rsidRPr="00330577">
        <w:t xml:space="preserve"> were characterized by X-Ray Fluorescence (</w:t>
      </w:r>
      <w:r w:rsidR="00CB4D84" w:rsidRPr="00330577">
        <w:t>XRF</w:t>
      </w:r>
      <w:r w:rsidR="00FD33A2" w:rsidRPr="00330577">
        <w:t xml:space="preserve">) in a Rigaku ZSX Mini II and the </w:t>
      </w:r>
      <w:r w:rsidR="0014218B" w:rsidRPr="00330577">
        <w:t xml:space="preserve">activated phenolic </w:t>
      </w:r>
      <w:r w:rsidR="00FD33A2" w:rsidRPr="00330577">
        <w:t>resin</w:t>
      </w:r>
      <w:r w:rsidR="0014218B" w:rsidRPr="00330577">
        <w:t xml:space="preserve"> (APR)</w:t>
      </w:r>
      <w:r w:rsidR="00FD33A2" w:rsidRPr="00330577">
        <w:t xml:space="preserve"> by Fourier-transform infrared spectroscopy (FTIR) </w:t>
      </w:r>
      <w:r w:rsidR="00B861B6" w:rsidRPr="00330577">
        <w:t>in a Bruker VERTEX 70V equipment.</w:t>
      </w:r>
    </w:p>
    <w:p w14:paraId="7663CE2F" w14:textId="77777777" w:rsidR="00071F71" w:rsidRDefault="00C62511" w:rsidP="00134039">
      <w:pPr>
        <w:pStyle w:val="CETHeading1"/>
      </w:pPr>
      <w:r>
        <w:t>R</w:t>
      </w:r>
      <w:r w:rsidR="00134039">
        <w:t>esult and Discussion</w:t>
      </w:r>
    </w:p>
    <w:p w14:paraId="6DE9E94B" w14:textId="4B0CA019" w:rsidR="00824A84" w:rsidRDefault="004977AE" w:rsidP="00824A84">
      <w:pPr>
        <w:pStyle w:val="CETBodytext"/>
      </w:pPr>
      <w:r>
        <w:t xml:space="preserve">The photocatalysis process was evaluated </w:t>
      </w:r>
      <w:r w:rsidR="009875AF">
        <w:t>by</w:t>
      </w:r>
      <w:r>
        <w:t xml:space="preserve"> the degradation of paracetamol </w:t>
      </w:r>
      <w:r w:rsidR="00C85B14">
        <w:t>in</w:t>
      </w:r>
      <w:r>
        <w:t xml:space="preserve"> wastewater</w:t>
      </w:r>
      <w:r w:rsidR="00457D03">
        <w:t xml:space="preserve">, as well as the APR </w:t>
      </w:r>
      <w:r w:rsidR="00340A5B">
        <w:t xml:space="preserve">performance </w:t>
      </w:r>
      <w:r w:rsidR="00C85B14">
        <w:t>i</w:t>
      </w:r>
      <w:r w:rsidR="00457D03">
        <w:t>n that process</w:t>
      </w:r>
      <w:r w:rsidR="003E674F">
        <w:t xml:space="preserve">. For that, </w:t>
      </w:r>
      <w:r w:rsidR="00457D03">
        <w:t>TiO</w:t>
      </w:r>
      <w:r w:rsidR="00457D03" w:rsidRPr="00457D03">
        <w:rPr>
          <w:vertAlign w:val="subscript"/>
        </w:rPr>
        <w:t>2</w:t>
      </w:r>
      <w:r w:rsidR="00457D03">
        <w:rPr>
          <w:vertAlign w:val="subscript"/>
        </w:rPr>
        <w:t xml:space="preserve"> </w:t>
      </w:r>
      <w:r w:rsidR="00457D03">
        <w:t xml:space="preserve">and </w:t>
      </w:r>
      <w:proofErr w:type="spellStart"/>
      <w:r w:rsidR="00457D03">
        <w:t>ZnO</w:t>
      </w:r>
      <w:proofErr w:type="spellEnd"/>
      <w:r w:rsidR="007E4115">
        <w:t>,</w:t>
      </w:r>
      <w:r w:rsidR="00457D03">
        <w:t xml:space="preserve"> with and without thermal treatment</w:t>
      </w:r>
      <w:r w:rsidR="007E4115">
        <w:t>,</w:t>
      </w:r>
      <w:r w:rsidR="00457D03">
        <w:t xml:space="preserve"> were used as photocatalysts</w:t>
      </w:r>
      <w:r w:rsidR="00A76119">
        <w:t xml:space="preserve"> for comparison and reference purposes</w:t>
      </w:r>
      <w:r w:rsidR="00457D03">
        <w:t xml:space="preserve">. The thermal treatment </w:t>
      </w:r>
      <w:r w:rsidR="00510E13">
        <w:t>was</w:t>
      </w:r>
      <w:r w:rsidR="00457D03">
        <w:t xml:space="preserve"> performed aiming to improve the photocatalyst activity</w:t>
      </w:r>
      <w:r w:rsidR="00717D0C">
        <w:t xml:space="preserve">, once their size and morphology are parameters of great impact on the photocatalytic </w:t>
      </w:r>
      <w:r w:rsidR="00717D0C" w:rsidRPr="001F46AC">
        <w:t>process (Teixeira</w:t>
      </w:r>
      <w:r w:rsidR="005A4C19" w:rsidRPr="001F46AC">
        <w:t xml:space="preserve"> &amp;</w:t>
      </w:r>
      <w:r w:rsidR="00717D0C" w:rsidRPr="001F46AC">
        <w:t xml:space="preserve"> Jardim</w:t>
      </w:r>
      <w:r w:rsidR="005A4C19" w:rsidRPr="001F46AC">
        <w:t xml:space="preserve">, </w:t>
      </w:r>
      <w:r w:rsidR="00717D0C" w:rsidRPr="001F46AC">
        <w:t>2004)</w:t>
      </w:r>
      <w:r w:rsidR="00457D03" w:rsidRPr="001F46AC">
        <w:t>.</w:t>
      </w:r>
      <w:r w:rsidR="00457D03">
        <w:t xml:space="preserve"> According </w:t>
      </w:r>
      <w:r w:rsidR="001F46AC">
        <w:t xml:space="preserve">to </w:t>
      </w:r>
      <w:r w:rsidR="00457D03" w:rsidRPr="002F2694">
        <w:t xml:space="preserve">Abdullah et al. (2017) </w:t>
      </w:r>
      <w:r w:rsidR="00457D03" w:rsidRPr="00407A58">
        <w:t xml:space="preserve">and </w:t>
      </w:r>
      <w:proofErr w:type="spellStart"/>
      <w:r w:rsidR="00457D03" w:rsidRPr="00407A58">
        <w:t>Zulkiflee</w:t>
      </w:r>
      <w:proofErr w:type="spellEnd"/>
      <w:r w:rsidR="00457D03" w:rsidRPr="00407A58">
        <w:t xml:space="preserve"> et al. (2016), </w:t>
      </w:r>
      <w:r w:rsidR="00457D03">
        <w:t xml:space="preserve">calcination </w:t>
      </w:r>
      <w:r w:rsidR="00896BD2">
        <w:t>increases</w:t>
      </w:r>
      <w:r w:rsidR="00457D03">
        <w:t xml:space="preserve"> the material textural properties</w:t>
      </w:r>
      <w:r w:rsidR="00896BD2">
        <w:t>, i.e.,</w:t>
      </w:r>
      <w:r w:rsidR="00DF7DDB">
        <w:t xml:space="preserve"> </w:t>
      </w:r>
      <w:r w:rsidR="00DF7DDB" w:rsidRPr="00DF7DDB">
        <w:t>particle size, porosity and specific surface increas</w:t>
      </w:r>
      <w:r w:rsidR="00DF7DDB">
        <w:t>e</w:t>
      </w:r>
      <w:r w:rsidR="00896BD2">
        <w:t>. Moreover, the authors also claim that the thermal treatment control</w:t>
      </w:r>
      <w:r w:rsidR="00BE151F">
        <w:t>s</w:t>
      </w:r>
      <w:r w:rsidR="00896BD2">
        <w:t xml:space="preserve"> t</w:t>
      </w:r>
      <w:r w:rsidR="00457D03" w:rsidRPr="00457D03">
        <w:t>he</w:t>
      </w:r>
      <w:r w:rsidR="00896BD2">
        <w:t xml:space="preserve"> materials</w:t>
      </w:r>
      <w:r w:rsidR="00457D03" w:rsidRPr="00457D03">
        <w:t xml:space="preserve"> crystalline phase</w:t>
      </w:r>
      <w:r w:rsidR="00896BD2">
        <w:t xml:space="preserve"> to a more stable structure with a homogeneous and smooth surface. </w:t>
      </w:r>
    </w:p>
    <w:p w14:paraId="41A7C4C7" w14:textId="2E8C3AF1" w:rsidR="008A3667" w:rsidRPr="00B57B36" w:rsidRDefault="008A3667" w:rsidP="00824A84">
      <w:pPr>
        <w:pStyle w:val="CETTabletitle"/>
      </w:pPr>
      <w:r w:rsidRPr="00B57B36">
        <w:t xml:space="preserve">Table 1: </w:t>
      </w:r>
      <w:r w:rsidR="00AA1F35">
        <w:t xml:space="preserve">A comparison between photocatalysis and adsorption </w:t>
      </w:r>
      <w:r w:rsidR="00BE151F">
        <w:t>up</w:t>
      </w:r>
      <w:r w:rsidR="009172C1">
        <w:t>on</w:t>
      </w:r>
      <w:r w:rsidR="00AA1F35">
        <w:t xml:space="preserve"> </w:t>
      </w:r>
      <w:r w:rsidR="009172C1">
        <w:t>p</w:t>
      </w:r>
      <w:r w:rsidR="00AA1F35">
        <w:t>aracetamol</w:t>
      </w:r>
      <w:r w:rsidR="009172C1">
        <w:t xml:space="preserve"> removal</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99"/>
        <w:gridCol w:w="3831"/>
        <w:gridCol w:w="3557"/>
      </w:tblGrid>
      <w:tr w:rsidR="008A3667" w:rsidRPr="00B57B36" w14:paraId="58DF9DBD" w14:textId="77777777" w:rsidTr="00040861">
        <w:tc>
          <w:tcPr>
            <w:tcW w:w="796" w:type="pct"/>
            <w:tcBorders>
              <w:top w:val="single" w:sz="12" w:space="0" w:color="008000"/>
              <w:bottom w:val="single" w:sz="6" w:space="0" w:color="008000"/>
            </w:tcBorders>
            <w:shd w:val="clear" w:color="auto" w:fill="FFFFFF"/>
            <w:vAlign w:val="center"/>
          </w:tcPr>
          <w:p w14:paraId="5C34DABC" w14:textId="77777777" w:rsidR="008A3667" w:rsidRPr="00952870" w:rsidRDefault="008A3667" w:rsidP="003A4AB9">
            <w:pPr>
              <w:pStyle w:val="CETBodytext"/>
              <w:rPr>
                <w:lang w:eastAsia="pt-BR"/>
              </w:rPr>
            </w:pPr>
            <w:r>
              <w:rPr>
                <w:lang w:eastAsia="pt-BR"/>
              </w:rPr>
              <w:t>CATALYST</w:t>
            </w:r>
          </w:p>
        </w:tc>
        <w:tc>
          <w:tcPr>
            <w:tcW w:w="2180" w:type="pct"/>
            <w:tcBorders>
              <w:top w:val="single" w:sz="12" w:space="0" w:color="008000"/>
              <w:bottom w:val="single" w:sz="6" w:space="0" w:color="008000"/>
            </w:tcBorders>
            <w:shd w:val="clear" w:color="auto" w:fill="FFFFFF"/>
            <w:vAlign w:val="center"/>
          </w:tcPr>
          <w:p w14:paraId="72B85355" w14:textId="684FF301" w:rsidR="008A3667" w:rsidRPr="00952870" w:rsidRDefault="007C647C" w:rsidP="003A4AB9">
            <w:pPr>
              <w:pStyle w:val="CETBodytext"/>
              <w:jc w:val="center"/>
              <w:rPr>
                <w:lang w:eastAsia="pt-BR"/>
              </w:rPr>
            </w:pPr>
            <w:r>
              <w:rPr>
                <w:lang w:eastAsia="pt-BR"/>
              </w:rPr>
              <w:t>%R</w:t>
            </w:r>
            <w:r w:rsidR="00065BAC">
              <w:rPr>
                <w:lang w:eastAsia="pt-BR"/>
              </w:rPr>
              <w:t xml:space="preserve"> </w:t>
            </w:r>
            <w:r w:rsidR="00065BAC" w:rsidRPr="00065BAC">
              <w:rPr>
                <w:vertAlign w:val="subscript"/>
                <w:lang w:eastAsia="pt-BR"/>
              </w:rPr>
              <w:t>ADSORPTION</w:t>
            </w:r>
            <w:r w:rsidR="008A3667" w:rsidRPr="00952870">
              <w:rPr>
                <w:lang w:eastAsia="pt-BR"/>
              </w:rPr>
              <w:t xml:space="preserve"> </w:t>
            </w:r>
            <w:r w:rsidR="00EF4DB7">
              <w:rPr>
                <w:vertAlign w:val="superscript"/>
                <w:lang w:eastAsia="pt-BR"/>
              </w:rPr>
              <w:t>a</w:t>
            </w:r>
          </w:p>
        </w:tc>
        <w:tc>
          <w:tcPr>
            <w:tcW w:w="2024" w:type="pct"/>
            <w:tcBorders>
              <w:top w:val="single" w:sz="12" w:space="0" w:color="008000"/>
              <w:bottom w:val="single" w:sz="6" w:space="0" w:color="008000"/>
            </w:tcBorders>
            <w:shd w:val="clear" w:color="auto" w:fill="FFFFFF"/>
            <w:vAlign w:val="center"/>
          </w:tcPr>
          <w:p w14:paraId="2461D972" w14:textId="40357237" w:rsidR="008A3667" w:rsidRPr="00952870" w:rsidRDefault="00065BAC" w:rsidP="003A4AB9">
            <w:pPr>
              <w:pStyle w:val="CETBodytext"/>
              <w:jc w:val="center"/>
              <w:rPr>
                <w:lang w:eastAsia="pt-BR"/>
              </w:rPr>
            </w:pPr>
            <w:r>
              <w:rPr>
                <w:lang w:eastAsia="pt-BR"/>
              </w:rPr>
              <w:t xml:space="preserve"> </w:t>
            </w:r>
            <w:r w:rsidR="007C647C">
              <w:rPr>
                <w:lang w:eastAsia="pt-BR"/>
              </w:rPr>
              <w:t>%R</w:t>
            </w:r>
            <w:r>
              <w:rPr>
                <w:lang w:eastAsia="pt-BR"/>
              </w:rPr>
              <w:t xml:space="preserve"> </w:t>
            </w:r>
            <w:r w:rsidR="008A3667" w:rsidRPr="00065BAC">
              <w:rPr>
                <w:vertAlign w:val="subscript"/>
                <w:lang w:eastAsia="pt-BR"/>
              </w:rPr>
              <w:t>TOTAL</w:t>
            </w:r>
            <w:r w:rsidRPr="00065BAC">
              <w:rPr>
                <w:vertAlign w:val="subscript"/>
                <w:lang w:eastAsia="pt-BR"/>
              </w:rPr>
              <w:t xml:space="preserve"> (ADSORPTION+PHOTOCATALYSIS -2</w:t>
            </w:r>
            <w:proofErr w:type="gramStart"/>
            <w:r w:rsidRPr="00065BAC">
              <w:rPr>
                <w:vertAlign w:val="subscript"/>
                <w:lang w:eastAsia="pt-BR"/>
              </w:rPr>
              <w:t>h)</w:t>
            </w:r>
            <w:r w:rsidR="00EF4DB7">
              <w:rPr>
                <w:vertAlign w:val="superscript"/>
                <w:lang w:eastAsia="pt-BR"/>
              </w:rPr>
              <w:t>a</w:t>
            </w:r>
            <w:proofErr w:type="gramEnd"/>
          </w:p>
        </w:tc>
      </w:tr>
      <w:tr w:rsidR="008A3667" w:rsidRPr="00B57B36" w14:paraId="28A9431A" w14:textId="77777777" w:rsidTr="00040861">
        <w:tc>
          <w:tcPr>
            <w:tcW w:w="796" w:type="pct"/>
            <w:shd w:val="clear" w:color="auto" w:fill="FFFFFF"/>
            <w:vAlign w:val="center"/>
          </w:tcPr>
          <w:p w14:paraId="15B345C3" w14:textId="77777777" w:rsidR="008A3667" w:rsidRPr="00952870" w:rsidRDefault="008A3667" w:rsidP="003A4AB9">
            <w:pPr>
              <w:pStyle w:val="CETBodytext"/>
              <w:rPr>
                <w:lang w:eastAsia="pt-BR"/>
              </w:rPr>
            </w:pPr>
            <w:r w:rsidRPr="00952870">
              <w:rPr>
                <w:lang w:eastAsia="pt-BR"/>
              </w:rPr>
              <w:t>Photolysis</w:t>
            </w:r>
          </w:p>
        </w:tc>
        <w:tc>
          <w:tcPr>
            <w:tcW w:w="2180" w:type="pct"/>
            <w:shd w:val="clear" w:color="auto" w:fill="FFFFFF"/>
            <w:vAlign w:val="center"/>
          </w:tcPr>
          <w:p w14:paraId="1988051C" w14:textId="77777777" w:rsidR="008A3667" w:rsidRPr="00952870" w:rsidRDefault="008A3667" w:rsidP="003A4AB9">
            <w:pPr>
              <w:pStyle w:val="CETBodytext"/>
              <w:jc w:val="center"/>
              <w:rPr>
                <w:lang w:eastAsia="pt-BR"/>
              </w:rPr>
            </w:pPr>
            <w:r w:rsidRPr="00952870">
              <w:rPr>
                <w:lang w:eastAsia="pt-BR"/>
              </w:rPr>
              <w:t>-</w:t>
            </w:r>
          </w:p>
        </w:tc>
        <w:tc>
          <w:tcPr>
            <w:tcW w:w="2024" w:type="pct"/>
            <w:shd w:val="clear" w:color="auto" w:fill="FFFFFF"/>
            <w:vAlign w:val="center"/>
          </w:tcPr>
          <w:p w14:paraId="1238D0A7" w14:textId="77777777" w:rsidR="008A3667" w:rsidRPr="00952870" w:rsidRDefault="008A3667" w:rsidP="003A4AB9">
            <w:pPr>
              <w:pStyle w:val="CETBodytext"/>
              <w:jc w:val="center"/>
              <w:rPr>
                <w:lang w:eastAsia="pt-BR"/>
              </w:rPr>
            </w:pPr>
            <w:r w:rsidRPr="00952870">
              <w:rPr>
                <w:lang w:eastAsia="pt-BR"/>
              </w:rPr>
              <w:t>3</w:t>
            </w:r>
            <w:r>
              <w:rPr>
                <w:lang w:eastAsia="pt-BR"/>
              </w:rPr>
              <w:t>.</w:t>
            </w:r>
            <w:r w:rsidRPr="00952870">
              <w:rPr>
                <w:lang w:eastAsia="pt-BR"/>
              </w:rPr>
              <w:t>25</w:t>
            </w:r>
            <w:r>
              <w:rPr>
                <w:lang w:eastAsia="pt-BR"/>
              </w:rPr>
              <w:t xml:space="preserve"> ± 2.18</w:t>
            </w:r>
          </w:p>
        </w:tc>
      </w:tr>
      <w:tr w:rsidR="008A3667" w:rsidRPr="00B57B36" w14:paraId="4F6FB0AF" w14:textId="77777777" w:rsidTr="00040861">
        <w:tc>
          <w:tcPr>
            <w:tcW w:w="796" w:type="pct"/>
            <w:shd w:val="clear" w:color="auto" w:fill="FFFFFF"/>
            <w:vAlign w:val="center"/>
          </w:tcPr>
          <w:p w14:paraId="00800B46" w14:textId="77777777" w:rsidR="008A3667" w:rsidRPr="00952870" w:rsidRDefault="008A3667" w:rsidP="003A4AB9">
            <w:pPr>
              <w:pStyle w:val="CETBodytext"/>
              <w:rPr>
                <w:lang w:eastAsia="pt-BR"/>
              </w:rPr>
            </w:pPr>
            <w:r w:rsidRPr="00952870">
              <w:rPr>
                <w:lang w:eastAsia="pt-BR"/>
              </w:rPr>
              <w:t>APR</w:t>
            </w:r>
          </w:p>
        </w:tc>
        <w:tc>
          <w:tcPr>
            <w:tcW w:w="2180" w:type="pct"/>
            <w:shd w:val="clear" w:color="auto" w:fill="FFFFFF"/>
            <w:vAlign w:val="center"/>
          </w:tcPr>
          <w:p w14:paraId="4B3D3334" w14:textId="77777777" w:rsidR="008A3667" w:rsidRPr="00952870" w:rsidRDefault="008A3667" w:rsidP="003A4AB9">
            <w:pPr>
              <w:pStyle w:val="CETBodytext"/>
              <w:jc w:val="center"/>
              <w:rPr>
                <w:lang w:eastAsia="pt-BR"/>
              </w:rPr>
            </w:pPr>
            <w:r w:rsidRPr="00952870">
              <w:rPr>
                <w:lang w:eastAsia="pt-BR"/>
              </w:rPr>
              <w:t>22</w:t>
            </w:r>
            <w:r>
              <w:rPr>
                <w:lang w:eastAsia="pt-BR"/>
              </w:rPr>
              <w:t>.</w:t>
            </w:r>
            <w:r w:rsidRPr="00952870">
              <w:rPr>
                <w:lang w:eastAsia="pt-BR"/>
              </w:rPr>
              <w:t>02</w:t>
            </w:r>
            <w:r>
              <w:rPr>
                <w:lang w:eastAsia="pt-BR"/>
              </w:rPr>
              <w:t xml:space="preserve"> ± 0.36</w:t>
            </w:r>
          </w:p>
        </w:tc>
        <w:tc>
          <w:tcPr>
            <w:tcW w:w="2024" w:type="pct"/>
            <w:shd w:val="clear" w:color="auto" w:fill="FFFFFF"/>
            <w:vAlign w:val="center"/>
          </w:tcPr>
          <w:p w14:paraId="05E22345" w14:textId="77777777" w:rsidR="008A3667" w:rsidRPr="00952870" w:rsidRDefault="008A3667" w:rsidP="003A4AB9">
            <w:pPr>
              <w:pStyle w:val="CETBodytext"/>
              <w:jc w:val="center"/>
              <w:rPr>
                <w:lang w:eastAsia="pt-BR"/>
              </w:rPr>
            </w:pPr>
            <w:r w:rsidRPr="00952870">
              <w:rPr>
                <w:lang w:eastAsia="pt-BR"/>
              </w:rPr>
              <w:t>24</w:t>
            </w:r>
            <w:r>
              <w:rPr>
                <w:lang w:eastAsia="pt-BR"/>
              </w:rPr>
              <w:t>.</w:t>
            </w:r>
            <w:r w:rsidRPr="00952870">
              <w:rPr>
                <w:lang w:eastAsia="pt-BR"/>
              </w:rPr>
              <w:t>04</w:t>
            </w:r>
            <w:r>
              <w:rPr>
                <w:lang w:eastAsia="pt-BR"/>
              </w:rPr>
              <w:t xml:space="preserve"> ± 0.36</w:t>
            </w:r>
          </w:p>
        </w:tc>
      </w:tr>
      <w:tr w:rsidR="008A3667" w:rsidRPr="00B57B36" w14:paraId="1CF2F428" w14:textId="77777777" w:rsidTr="00040861">
        <w:tc>
          <w:tcPr>
            <w:tcW w:w="796" w:type="pct"/>
            <w:shd w:val="clear" w:color="auto" w:fill="FFFFFF"/>
            <w:vAlign w:val="center"/>
          </w:tcPr>
          <w:p w14:paraId="0ADA0045" w14:textId="77777777" w:rsidR="008A3667" w:rsidRPr="00952870" w:rsidRDefault="008A3667" w:rsidP="003A4AB9">
            <w:pPr>
              <w:pStyle w:val="CETBodytext"/>
              <w:rPr>
                <w:lang w:eastAsia="pt-BR"/>
              </w:rPr>
            </w:pPr>
            <w:r w:rsidRPr="00952870">
              <w:rPr>
                <w:lang w:eastAsia="pt-BR"/>
              </w:rPr>
              <w:t>TiO</w:t>
            </w:r>
            <w:r w:rsidRPr="00952870">
              <w:rPr>
                <w:vertAlign w:val="subscript"/>
                <w:lang w:eastAsia="pt-BR"/>
              </w:rPr>
              <w:t>2</w:t>
            </w:r>
            <w:r w:rsidRPr="00952870">
              <w:rPr>
                <w:lang w:eastAsia="pt-BR"/>
              </w:rPr>
              <w:t xml:space="preserve"> </w:t>
            </w:r>
          </w:p>
        </w:tc>
        <w:tc>
          <w:tcPr>
            <w:tcW w:w="2180" w:type="pct"/>
            <w:shd w:val="clear" w:color="auto" w:fill="FFFFFF"/>
            <w:vAlign w:val="center"/>
          </w:tcPr>
          <w:p w14:paraId="6849109C" w14:textId="77777777" w:rsidR="008A3667" w:rsidRPr="00952870" w:rsidRDefault="008A3667" w:rsidP="003A4AB9">
            <w:pPr>
              <w:pStyle w:val="CETBodytext"/>
              <w:jc w:val="center"/>
              <w:rPr>
                <w:lang w:eastAsia="pt-BR"/>
              </w:rPr>
            </w:pPr>
            <w:r w:rsidRPr="00952870">
              <w:rPr>
                <w:lang w:eastAsia="pt-BR"/>
              </w:rPr>
              <w:t>4</w:t>
            </w:r>
            <w:r>
              <w:rPr>
                <w:lang w:eastAsia="pt-BR"/>
              </w:rPr>
              <w:t>.</w:t>
            </w:r>
            <w:r w:rsidRPr="00952870">
              <w:rPr>
                <w:lang w:eastAsia="pt-BR"/>
              </w:rPr>
              <w:t>52</w:t>
            </w:r>
            <w:r>
              <w:rPr>
                <w:lang w:eastAsia="pt-BR"/>
              </w:rPr>
              <w:t xml:space="preserve"> ± 2.65</w:t>
            </w:r>
          </w:p>
        </w:tc>
        <w:tc>
          <w:tcPr>
            <w:tcW w:w="2024" w:type="pct"/>
            <w:shd w:val="clear" w:color="auto" w:fill="FFFFFF"/>
            <w:vAlign w:val="center"/>
          </w:tcPr>
          <w:p w14:paraId="560F1DB1" w14:textId="77777777" w:rsidR="008A3667" w:rsidRPr="00952870" w:rsidRDefault="008A3667" w:rsidP="003A4AB9">
            <w:pPr>
              <w:pStyle w:val="CETBodytext"/>
              <w:jc w:val="center"/>
              <w:rPr>
                <w:lang w:eastAsia="pt-BR"/>
              </w:rPr>
            </w:pPr>
            <w:r w:rsidRPr="00952870">
              <w:rPr>
                <w:lang w:eastAsia="pt-BR"/>
              </w:rPr>
              <w:t>15</w:t>
            </w:r>
            <w:r>
              <w:rPr>
                <w:lang w:eastAsia="pt-BR"/>
              </w:rPr>
              <w:t>.</w:t>
            </w:r>
            <w:r w:rsidRPr="00952870">
              <w:rPr>
                <w:lang w:eastAsia="pt-BR"/>
              </w:rPr>
              <w:t>90</w:t>
            </w:r>
            <w:r>
              <w:rPr>
                <w:lang w:eastAsia="pt-BR"/>
              </w:rPr>
              <w:t xml:space="preserve"> ± 2.95</w:t>
            </w:r>
          </w:p>
        </w:tc>
      </w:tr>
      <w:tr w:rsidR="00040861" w:rsidRPr="00B57B36" w14:paraId="634DCC54" w14:textId="77777777" w:rsidTr="00040861">
        <w:tc>
          <w:tcPr>
            <w:tcW w:w="796" w:type="pct"/>
            <w:shd w:val="clear" w:color="auto" w:fill="FFFFFF"/>
            <w:vAlign w:val="center"/>
          </w:tcPr>
          <w:p w14:paraId="2F8D68BE" w14:textId="77777777" w:rsidR="00040861" w:rsidRPr="00952870" w:rsidRDefault="00040861" w:rsidP="00040861">
            <w:pPr>
              <w:pStyle w:val="CETBodytext"/>
              <w:rPr>
                <w:lang w:eastAsia="pt-BR"/>
              </w:rPr>
            </w:pPr>
            <w:r w:rsidRPr="00952870">
              <w:rPr>
                <w:lang w:eastAsia="pt-BR"/>
              </w:rPr>
              <w:t>TiO</w:t>
            </w:r>
            <w:r w:rsidRPr="00952870">
              <w:rPr>
                <w:vertAlign w:val="subscript"/>
                <w:lang w:eastAsia="pt-BR"/>
              </w:rPr>
              <w:t>2</w:t>
            </w:r>
            <w:r w:rsidRPr="00952870">
              <w:rPr>
                <w:lang w:eastAsia="pt-BR"/>
              </w:rPr>
              <w:t xml:space="preserve"> - TT</w:t>
            </w:r>
          </w:p>
        </w:tc>
        <w:tc>
          <w:tcPr>
            <w:tcW w:w="2180" w:type="pct"/>
            <w:shd w:val="clear" w:color="auto" w:fill="FFFFFF"/>
            <w:vAlign w:val="center"/>
          </w:tcPr>
          <w:p w14:paraId="5EF7FC11" w14:textId="77777777" w:rsidR="00040861" w:rsidRPr="00952870" w:rsidRDefault="00040861" w:rsidP="00040861">
            <w:pPr>
              <w:pStyle w:val="CETBodytext"/>
              <w:jc w:val="center"/>
              <w:rPr>
                <w:lang w:eastAsia="pt-BR"/>
              </w:rPr>
            </w:pPr>
            <w:r w:rsidRPr="00952870">
              <w:rPr>
                <w:lang w:eastAsia="pt-BR"/>
              </w:rPr>
              <w:t>13</w:t>
            </w:r>
            <w:r>
              <w:rPr>
                <w:lang w:eastAsia="pt-BR"/>
              </w:rPr>
              <w:t>.</w:t>
            </w:r>
            <w:r w:rsidRPr="00952870">
              <w:rPr>
                <w:lang w:eastAsia="pt-BR"/>
              </w:rPr>
              <w:t>69</w:t>
            </w:r>
            <w:r>
              <w:rPr>
                <w:lang w:eastAsia="pt-BR"/>
              </w:rPr>
              <w:t xml:space="preserve"> ± 6.96</w:t>
            </w:r>
          </w:p>
        </w:tc>
        <w:tc>
          <w:tcPr>
            <w:tcW w:w="2024" w:type="pct"/>
            <w:shd w:val="clear" w:color="auto" w:fill="FFFFFF"/>
            <w:vAlign w:val="center"/>
          </w:tcPr>
          <w:p w14:paraId="6A8DF71C" w14:textId="77777777" w:rsidR="00040861" w:rsidRPr="00952870" w:rsidRDefault="00040861" w:rsidP="00040861">
            <w:pPr>
              <w:pStyle w:val="CETBodytext"/>
              <w:jc w:val="center"/>
              <w:rPr>
                <w:lang w:eastAsia="pt-BR"/>
              </w:rPr>
            </w:pPr>
            <w:r w:rsidRPr="00952870">
              <w:rPr>
                <w:lang w:eastAsia="pt-BR"/>
              </w:rPr>
              <w:t>23</w:t>
            </w:r>
            <w:r>
              <w:rPr>
                <w:lang w:eastAsia="pt-BR"/>
              </w:rPr>
              <w:t>.</w:t>
            </w:r>
            <w:r w:rsidRPr="00952870">
              <w:rPr>
                <w:lang w:eastAsia="pt-BR"/>
              </w:rPr>
              <w:t>40</w:t>
            </w:r>
            <w:r>
              <w:rPr>
                <w:lang w:eastAsia="pt-BR"/>
              </w:rPr>
              <w:t xml:space="preserve"> ± 6.83</w:t>
            </w:r>
          </w:p>
        </w:tc>
      </w:tr>
      <w:tr w:rsidR="00040861" w:rsidRPr="00B57B36" w14:paraId="7E61B858" w14:textId="77777777" w:rsidTr="00040861">
        <w:tc>
          <w:tcPr>
            <w:tcW w:w="796" w:type="pct"/>
            <w:shd w:val="clear" w:color="auto" w:fill="FFFFFF"/>
            <w:vAlign w:val="center"/>
          </w:tcPr>
          <w:p w14:paraId="3AA4A695" w14:textId="77777777" w:rsidR="00040861" w:rsidRPr="00952870" w:rsidRDefault="00040861" w:rsidP="00040861">
            <w:pPr>
              <w:pStyle w:val="CETBodytext"/>
              <w:rPr>
                <w:lang w:eastAsia="pt-BR"/>
              </w:rPr>
            </w:pPr>
            <w:proofErr w:type="spellStart"/>
            <w:r w:rsidRPr="00952870">
              <w:rPr>
                <w:lang w:eastAsia="pt-BR"/>
              </w:rPr>
              <w:t>ZnO</w:t>
            </w:r>
            <w:proofErr w:type="spellEnd"/>
            <w:r w:rsidRPr="00952870">
              <w:rPr>
                <w:lang w:eastAsia="pt-BR"/>
              </w:rPr>
              <w:t xml:space="preserve"> </w:t>
            </w:r>
          </w:p>
        </w:tc>
        <w:tc>
          <w:tcPr>
            <w:tcW w:w="2180" w:type="pct"/>
            <w:shd w:val="clear" w:color="auto" w:fill="FFFFFF"/>
            <w:vAlign w:val="center"/>
          </w:tcPr>
          <w:p w14:paraId="59976377" w14:textId="77777777" w:rsidR="00040861" w:rsidRPr="00952870" w:rsidRDefault="00040861" w:rsidP="00040861">
            <w:pPr>
              <w:pStyle w:val="CETBodytext"/>
              <w:jc w:val="center"/>
              <w:rPr>
                <w:lang w:eastAsia="pt-BR"/>
              </w:rPr>
            </w:pPr>
            <w:r w:rsidRPr="00952870">
              <w:rPr>
                <w:lang w:eastAsia="pt-BR"/>
              </w:rPr>
              <w:t>3</w:t>
            </w:r>
            <w:r>
              <w:rPr>
                <w:lang w:eastAsia="pt-BR"/>
              </w:rPr>
              <w:t>.</w:t>
            </w:r>
            <w:r w:rsidRPr="00952870">
              <w:rPr>
                <w:lang w:eastAsia="pt-BR"/>
              </w:rPr>
              <w:t>52</w:t>
            </w:r>
            <w:r>
              <w:rPr>
                <w:lang w:eastAsia="pt-BR"/>
              </w:rPr>
              <w:t xml:space="preserve"> ± 2.46</w:t>
            </w:r>
          </w:p>
        </w:tc>
        <w:tc>
          <w:tcPr>
            <w:tcW w:w="2024" w:type="pct"/>
            <w:shd w:val="clear" w:color="auto" w:fill="FFFFFF"/>
            <w:vAlign w:val="center"/>
          </w:tcPr>
          <w:p w14:paraId="1FCFB50F" w14:textId="77777777" w:rsidR="00040861" w:rsidRPr="00952870" w:rsidRDefault="00040861" w:rsidP="00040861">
            <w:pPr>
              <w:pStyle w:val="CETBodytext"/>
              <w:jc w:val="center"/>
              <w:rPr>
                <w:lang w:eastAsia="pt-BR"/>
              </w:rPr>
            </w:pPr>
            <w:r w:rsidRPr="00952870">
              <w:rPr>
                <w:lang w:eastAsia="pt-BR"/>
              </w:rPr>
              <w:t>12</w:t>
            </w:r>
            <w:r>
              <w:rPr>
                <w:lang w:eastAsia="pt-BR"/>
              </w:rPr>
              <w:t>.</w:t>
            </w:r>
            <w:r w:rsidRPr="00952870">
              <w:rPr>
                <w:lang w:eastAsia="pt-BR"/>
              </w:rPr>
              <w:t>58</w:t>
            </w:r>
            <w:r>
              <w:rPr>
                <w:lang w:eastAsia="pt-BR"/>
              </w:rPr>
              <w:t xml:space="preserve"> ± 4.92</w:t>
            </w:r>
          </w:p>
        </w:tc>
      </w:tr>
      <w:tr w:rsidR="00040861" w:rsidRPr="00B57B36" w14:paraId="3EF49AD9" w14:textId="77777777" w:rsidTr="00040861">
        <w:tc>
          <w:tcPr>
            <w:tcW w:w="796" w:type="pct"/>
            <w:shd w:val="clear" w:color="auto" w:fill="FFFFFF"/>
            <w:vAlign w:val="center"/>
          </w:tcPr>
          <w:p w14:paraId="05E9F525" w14:textId="77777777" w:rsidR="00040861" w:rsidRPr="00952870" w:rsidRDefault="00040861" w:rsidP="00040861">
            <w:pPr>
              <w:pStyle w:val="CETBodytext"/>
              <w:rPr>
                <w:lang w:eastAsia="pt-BR"/>
              </w:rPr>
            </w:pPr>
            <w:proofErr w:type="spellStart"/>
            <w:r w:rsidRPr="00952870">
              <w:rPr>
                <w:lang w:eastAsia="pt-BR"/>
              </w:rPr>
              <w:t>ZnO</w:t>
            </w:r>
            <w:proofErr w:type="spellEnd"/>
            <w:r w:rsidRPr="00952870">
              <w:rPr>
                <w:lang w:eastAsia="pt-BR"/>
              </w:rPr>
              <w:t xml:space="preserve"> - TT</w:t>
            </w:r>
          </w:p>
        </w:tc>
        <w:tc>
          <w:tcPr>
            <w:tcW w:w="2180" w:type="pct"/>
            <w:shd w:val="clear" w:color="auto" w:fill="FFFFFF"/>
            <w:vAlign w:val="center"/>
          </w:tcPr>
          <w:p w14:paraId="7B6E3294" w14:textId="77777777" w:rsidR="00040861" w:rsidRPr="00952870" w:rsidRDefault="00040861" w:rsidP="00040861">
            <w:pPr>
              <w:pStyle w:val="CETBodytext"/>
              <w:jc w:val="center"/>
              <w:rPr>
                <w:lang w:eastAsia="pt-BR"/>
              </w:rPr>
            </w:pPr>
            <w:r w:rsidRPr="00952870">
              <w:rPr>
                <w:lang w:eastAsia="pt-BR"/>
              </w:rPr>
              <w:t>13</w:t>
            </w:r>
            <w:r>
              <w:rPr>
                <w:lang w:eastAsia="pt-BR"/>
              </w:rPr>
              <w:t>.</w:t>
            </w:r>
            <w:r w:rsidRPr="00952870">
              <w:rPr>
                <w:lang w:eastAsia="pt-BR"/>
              </w:rPr>
              <w:t>02</w:t>
            </w:r>
            <w:r>
              <w:rPr>
                <w:lang w:eastAsia="pt-BR"/>
              </w:rPr>
              <w:t xml:space="preserve"> ± 3.92</w:t>
            </w:r>
          </w:p>
        </w:tc>
        <w:tc>
          <w:tcPr>
            <w:tcW w:w="2024" w:type="pct"/>
            <w:shd w:val="clear" w:color="auto" w:fill="FFFFFF"/>
            <w:vAlign w:val="center"/>
          </w:tcPr>
          <w:p w14:paraId="4D974310" w14:textId="77777777" w:rsidR="00040861" w:rsidRPr="00952870" w:rsidRDefault="00040861" w:rsidP="00040861">
            <w:pPr>
              <w:pStyle w:val="CETBodytext"/>
              <w:jc w:val="center"/>
              <w:rPr>
                <w:lang w:eastAsia="pt-BR"/>
              </w:rPr>
            </w:pPr>
            <w:r w:rsidRPr="00952870">
              <w:rPr>
                <w:lang w:eastAsia="pt-BR"/>
              </w:rPr>
              <w:t>22</w:t>
            </w:r>
            <w:r>
              <w:rPr>
                <w:lang w:eastAsia="pt-BR"/>
              </w:rPr>
              <w:t>.</w:t>
            </w:r>
            <w:r w:rsidRPr="00952870">
              <w:rPr>
                <w:lang w:eastAsia="pt-BR"/>
              </w:rPr>
              <w:t>70</w:t>
            </w:r>
            <w:r>
              <w:rPr>
                <w:lang w:eastAsia="pt-BR"/>
              </w:rPr>
              <w:t xml:space="preserve"> ± 1.39</w:t>
            </w:r>
          </w:p>
        </w:tc>
      </w:tr>
    </w:tbl>
    <w:p w14:paraId="48E54F19" w14:textId="1F157536" w:rsidR="00952870" w:rsidRDefault="00EF4DB7" w:rsidP="008A3667">
      <w:pPr>
        <w:pStyle w:val="CETBodytext"/>
        <w:jc w:val="right"/>
      </w:pPr>
      <w:proofErr w:type="spellStart"/>
      <w:r>
        <w:rPr>
          <w:vertAlign w:val="superscript"/>
        </w:rPr>
        <w:t>a</w:t>
      </w:r>
      <w:r w:rsidR="00734FB5" w:rsidRPr="00734FB5">
        <w:t>Paracetamol</w:t>
      </w:r>
      <w:proofErr w:type="spellEnd"/>
      <w:r w:rsidR="00734FB5">
        <w:t xml:space="preserve"> concentration</w:t>
      </w:r>
      <w:r w:rsidR="00734FB5" w:rsidRPr="00734FB5">
        <w:t xml:space="preserve">: 50 </w:t>
      </w:r>
      <w:proofErr w:type="gramStart"/>
      <w:r w:rsidR="00734FB5" w:rsidRPr="00734FB5">
        <w:t>mg.L</w:t>
      </w:r>
      <w:proofErr w:type="gramEnd"/>
      <w:r w:rsidR="00734FB5" w:rsidRPr="00734FB5">
        <w:rPr>
          <w:vertAlign w:val="superscript"/>
        </w:rPr>
        <w:t>-1</w:t>
      </w:r>
      <w:r w:rsidR="00734FB5" w:rsidRPr="00734FB5">
        <w:t>; Volume: 250 mL; Catalyst we</w:t>
      </w:r>
      <w:r w:rsidR="00734FB5">
        <w:t>ight: 50 mg; pH: 7.</w:t>
      </w:r>
    </w:p>
    <w:p w14:paraId="50822A99" w14:textId="0F3DC175" w:rsidR="000763CA" w:rsidRDefault="00EB19BD" w:rsidP="009E6522">
      <w:pPr>
        <w:pStyle w:val="CETTabletitle"/>
        <w:jc w:val="both"/>
        <w:rPr>
          <w:rStyle w:val="CETBodytextCarattere"/>
          <w:i w:val="0"/>
        </w:rPr>
      </w:pPr>
      <w:r w:rsidRPr="00EB19BD">
        <w:rPr>
          <w:rStyle w:val="CETBodytextCarattere"/>
          <w:i w:val="0"/>
        </w:rPr>
        <w:t>The results in Table 1 show that</w:t>
      </w:r>
      <w:r>
        <w:rPr>
          <w:rStyle w:val="CETBodytextCarattere"/>
          <w:i w:val="0"/>
        </w:rPr>
        <w:t xml:space="preserve"> </w:t>
      </w:r>
      <w:r w:rsidR="00040861">
        <w:rPr>
          <w:rStyle w:val="CETBodytextCarattere"/>
          <w:i w:val="0"/>
        </w:rPr>
        <w:t>the catalyst</w:t>
      </w:r>
      <w:r w:rsidR="00F44B74">
        <w:rPr>
          <w:rStyle w:val="CETBodytextCarattere"/>
          <w:i w:val="0"/>
        </w:rPr>
        <w:t>s</w:t>
      </w:r>
      <w:r w:rsidR="00040861">
        <w:rPr>
          <w:rStyle w:val="CETBodytextCarattere"/>
          <w:i w:val="0"/>
        </w:rPr>
        <w:t xml:space="preserve"> play</w:t>
      </w:r>
      <w:r w:rsidR="00F44B74">
        <w:rPr>
          <w:rStyle w:val="CETBodytextCarattere"/>
          <w:i w:val="0"/>
        </w:rPr>
        <w:t>ed</w:t>
      </w:r>
      <w:r w:rsidR="00040861">
        <w:rPr>
          <w:rStyle w:val="CETBodytextCarattere"/>
          <w:i w:val="0"/>
        </w:rPr>
        <w:t xml:space="preserve"> an important role on the photocatalysis, given that the photolysis (without the catalyst) account</w:t>
      </w:r>
      <w:r w:rsidR="00F44B74">
        <w:rPr>
          <w:rStyle w:val="CETBodytextCarattere"/>
          <w:i w:val="0"/>
        </w:rPr>
        <w:t>ed</w:t>
      </w:r>
      <w:r w:rsidR="00040861">
        <w:rPr>
          <w:rStyle w:val="CETBodytextCarattere"/>
          <w:i w:val="0"/>
        </w:rPr>
        <w:t xml:space="preserve"> only for 3.25 % of paracetamol removal. However, when</w:t>
      </w:r>
      <w:r w:rsidR="00C00120">
        <w:rPr>
          <w:rStyle w:val="CETBodytextCarattere"/>
          <w:i w:val="0"/>
        </w:rPr>
        <w:t xml:space="preserve"> catalysts </w:t>
      </w:r>
      <w:r w:rsidR="00BC51E4">
        <w:rPr>
          <w:rStyle w:val="CETBodytextCarattere"/>
          <w:i w:val="0"/>
        </w:rPr>
        <w:t>wer</w:t>
      </w:r>
      <w:r w:rsidR="00C00120">
        <w:rPr>
          <w:rStyle w:val="CETBodytextCarattere"/>
          <w:i w:val="0"/>
        </w:rPr>
        <w:t xml:space="preserve">e used, the </w:t>
      </w:r>
      <w:r w:rsidR="00545B38">
        <w:rPr>
          <w:rStyle w:val="CETBodytextCarattere"/>
          <w:i w:val="0"/>
        </w:rPr>
        <w:t>%</w:t>
      </w:r>
      <w:r w:rsidR="007C647C">
        <w:rPr>
          <w:rStyle w:val="CETBodytextCarattere"/>
          <w:i w:val="0"/>
        </w:rPr>
        <w:t>R</w:t>
      </w:r>
      <w:r w:rsidR="00545B38">
        <w:rPr>
          <w:rStyle w:val="CETBodytextCarattere"/>
          <w:i w:val="0"/>
          <w:vertAlign w:val="subscript"/>
        </w:rPr>
        <w:t xml:space="preserve"> TOTAL</w:t>
      </w:r>
      <w:r w:rsidR="00545B38">
        <w:rPr>
          <w:rStyle w:val="CETBodytextCarattere"/>
          <w:i w:val="0"/>
        </w:rPr>
        <w:t xml:space="preserve"> </w:t>
      </w:r>
      <w:r w:rsidR="00BC51E4">
        <w:rPr>
          <w:rStyle w:val="CETBodytextCarattere"/>
          <w:i w:val="0"/>
        </w:rPr>
        <w:t>went</w:t>
      </w:r>
      <w:r w:rsidR="00C00120">
        <w:rPr>
          <w:rStyle w:val="CETBodytextCarattere"/>
          <w:i w:val="0"/>
        </w:rPr>
        <w:t xml:space="preserve"> up to</w:t>
      </w:r>
      <w:r w:rsidR="00040861">
        <w:rPr>
          <w:rStyle w:val="CETBodytextCarattere"/>
          <w:i w:val="0"/>
        </w:rPr>
        <w:t xml:space="preserve"> </w:t>
      </w:r>
      <w:r w:rsidR="0097792D">
        <w:rPr>
          <w:rStyle w:val="CETBodytextCarattere"/>
          <w:i w:val="0"/>
        </w:rPr>
        <w:t xml:space="preserve">an average of </w:t>
      </w:r>
      <w:r w:rsidR="00C570FB">
        <w:rPr>
          <w:rStyle w:val="CETBodytextCarattere"/>
          <w:i w:val="0"/>
        </w:rPr>
        <w:t>14</w:t>
      </w:r>
      <w:r w:rsidR="00C00120">
        <w:rPr>
          <w:rStyle w:val="CETBodytextCarattere"/>
          <w:i w:val="0"/>
        </w:rPr>
        <w:t xml:space="preserve"> and </w:t>
      </w:r>
      <w:r w:rsidR="00C570FB">
        <w:rPr>
          <w:rStyle w:val="CETBodytextCarattere"/>
          <w:i w:val="0"/>
        </w:rPr>
        <w:t>23</w:t>
      </w:r>
      <w:r w:rsidR="00C00120">
        <w:rPr>
          <w:rStyle w:val="CETBodytextCarattere"/>
          <w:i w:val="0"/>
        </w:rPr>
        <w:t xml:space="preserve"> % for the catalysts without and with </w:t>
      </w:r>
      <w:r w:rsidR="00545B38">
        <w:rPr>
          <w:rStyle w:val="CETBodytextCarattere"/>
          <w:i w:val="0"/>
        </w:rPr>
        <w:t>thermal treatment</w:t>
      </w:r>
      <w:r w:rsidR="00C00120">
        <w:rPr>
          <w:rStyle w:val="CETBodytextCarattere"/>
          <w:i w:val="0"/>
        </w:rPr>
        <w:t xml:space="preserve">, respectively. As assumed earlier, </w:t>
      </w:r>
      <w:r w:rsidR="00545B38">
        <w:rPr>
          <w:rStyle w:val="CETBodytextCarattere"/>
          <w:i w:val="0"/>
        </w:rPr>
        <w:t>thermal treatment</w:t>
      </w:r>
      <w:r w:rsidR="00360109">
        <w:rPr>
          <w:rStyle w:val="CETBodytextCarattere"/>
          <w:i w:val="0"/>
        </w:rPr>
        <w:t xml:space="preserve"> </w:t>
      </w:r>
      <w:r w:rsidR="00C00120">
        <w:rPr>
          <w:rStyle w:val="CETBodytextCarattere"/>
          <w:i w:val="0"/>
        </w:rPr>
        <w:t>improved the photocatalyst</w:t>
      </w:r>
      <w:r w:rsidR="006165E7">
        <w:rPr>
          <w:rStyle w:val="CETBodytextCarattere"/>
          <w:i w:val="0"/>
        </w:rPr>
        <w:t xml:space="preserve"> activity</w:t>
      </w:r>
      <w:r w:rsidR="00C00120">
        <w:rPr>
          <w:rStyle w:val="CETBodytextCarattere"/>
          <w:i w:val="0"/>
        </w:rPr>
        <w:t xml:space="preserve">, providing </w:t>
      </w:r>
      <w:r w:rsidR="00BF5E02">
        <w:rPr>
          <w:rStyle w:val="CETBodytextCarattere"/>
          <w:i w:val="0"/>
        </w:rPr>
        <w:t>a</w:t>
      </w:r>
      <w:r w:rsidR="00C00120">
        <w:rPr>
          <w:rStyle w:val="CETBodytextCarattere"/>
          <w:i w:val="0"/>
        </w:rPr>
        <w:t xml:space="preserve"> process improvement of about </w:t>
      </w:r>
      <w:r w:rsidR="003628A1">
        <w:rPr>
          <w:rStyle w:val="CETBodytextCarattere"/>
          <w:i w:val="0"/>
        </w:rPr>
        <w:t>47</w:t>
      </w:r>
      <w:r w:rsidR="00C00120">
        <w:rPr>
          <w:rStyle w:val="CETBodytextCarattere"/>
          <w:i w:val="0"/>
        </w:rPr>
        <w:t xml:space="preserve"> and </w:t>
      </w:r>
      <w:r w:rsidR="00727793">
        <w:rPr>
          <w:rStyle w:val="CETBodytextCarattere"/>
          <w:i w:val="0"/>
        </w:rPr>
        <w:t>8</w:t>
      </w:r>
      <w:r w:rsidR="00C00120">
        <w:rPr>
          <w:rStyle w:val="CETBodytextCarattere"/>
          <w:i w:val="0"/>
        </w:rPr>
        <w:t>0 % for TiO</w:t>
      </w:r>
      <w:r w:rsidR="00C00120" w:rsidRPr="00C00120">
        <w:rPr>
          <w:rStyle w:val="CETBodytextCarattere"/>
          <w:i w:val="0"/>
          <w:vertAlign w:val="subscript"/>
        </w:rPr>
        <w:t>2</w:t>
      </w:r>
      <w:r w:rsidR="00C00120">
        <w:rPr>
          <w:rStyle w:val="CETBodytextCarattere"/>
          <w:i w:val="0"/>
        </w:rPr>
        <w:t xml:space="preserve"> and </w:t>
      </w:r>
      <w:proofErr w:type="spellStart"/>
      <w:r w:rsidR="00C00120">
        <w:rPr>
          <w:rStyle w:val="CETBodytextCarattere"/>
          <w:i w:val="0"/>
        </w:rPr>
        <w:t>ZnO</w:t>
      </w:r>
      <w:proofErr w:type="spellEnd"/>
      <w:r w:rsidR="00C00120">
        <w:rPr>
          <w:rStyle w:val="CETBodytextCarattere"/>
          <w:i w:val="0"/>
        </w:rPr>
        <w:t>, respectively.</w:t>
      </w:r>
      <w:r w:rsidR="00B70044">
        <w:rPr>
          <w:rStyle w:val="CETBodytextCarattere"/>
          <w:i w:val="0"/>
        </w:rPr>
        <w:t xml:space="preserve"> Moreover,</w:t>
      </w:r>
      <w:r w:rsidR="002047D3">
        <w:rPr>
          <w:rStyle w:val="CETBodytextCarattere"/>
          <w:i w:val="0"/>
        </w:rPr>
        <w:t xml:space="preserve"> </w:t>
      </w:r>
      <w:r w:rsidR="00360109">
        <w:rPr>
          <w:rStyle w:val="CETBodytextCarattere"/>
          <w:i w:val="0"/>
        </w:rPr>
        <w:t>it also</w:t>
      </w:r>
      <w:r w:rsidR="002047D3">
        <w:rPr>
          <w:rStyle w:val="CETBodytextCarattere"/>
          <w:i w:val="0"/>
        </w:rPr>
        <w:t xml:space="preserve"> </w:t>
      </w:r>
      <w:r w:rsidR="00B70044">
        <w:rPr>
          <w:rStyle w:val="CETBodytextCarattere"/>
          <w:i w:val="0"/>
        </w:rPr>
        <w:t xml:space="preserve">increased the adsorption by 3 and </w:t>
      </w:r>
      <w:r w:rsidR="002E1C9C">
        <w:rPr>
          <w:rStyle w:val="CETBodytextCarattere"/>
          <w:i w:val="0"/>
        </w:rPr>
        <w:t>3.7</w:t>
      </w:r>
      <w:r w:rsidR="00B70044">
        <w:rPr>
          <w:rStyle w:val="CETBodytextCarattere"/>
          <w:i w:val="0"/>
        </w:rPr>
        <w:t xml:space="preserve"> times for TiO</w:t>
      </w:r>
      <w:r w:rsidR="00B70044" w:rsidRPr="00B70044">
        <w:rPr>
          <w:rStyle w:val="CETBodytextCarattere"/>
          <w:i w:val="0"/>
          <w:vertAlign w:val="subscript"/>
        </w:rPr>
        <w:t>2</w:t>
      </w:r>
      <w:r w:rsidR="00B70044">
        <w:rPr>
          <w:rStyle w:val="CETBodytextCarattere"/>
          <w:i w:val="0"/>
        </w:rPr>
        <w:t xml:space="preserve"> and </w:t>
      </w:r>
      <w:proofErr w:type="spellStart"/>
      <w:r w:rsidR="00B70044">
        <w:rPr>
          <w:rStyle w:val="CETBodytextCarattere"/>
          <w:i w:val="0"/>
        </w:rPr>
        <w:t>ZnO</w:t>
      </w:r>
      <w:proofErr w:type="spellEnd"/>
      <w:r w:rsidR="00B70044">
        <w:rPr>
          <w:rStyle w:val="CETBodytextCarattere"/>
          <w:i w:val="0"/>
        </w:rPr>
        <w:t xml:space="preserve"> respectively. </w:t>
      </w:r>
      <w:r w:rsidR="00C00120">
        <w:rPr>
          <w:rStyle w:val="CETBodytextCarattere"/>
          <w:i w:val="0"/>
        </w:rPr>
        <w:t xml:space="preserve">Between the photocatalyst, </w:t>
      </w:r>
      <w:r w:rsidR="00005015">
        <w:rPr>
          <w:rStyle w:val="CETBodytextCarattere"/>
          <w:i w:val="0"/>
        </w:rPr>
        <w:t>TiO</w:t>
      </w:r>
      <w:r w:rsidR="00005015" w:rsidRPr="005267C3">
        <w:rPr>
          <w:rStyle w:val="CETBodytextCarattere"/>
          <w:i w:val="0"/>
          <w:vertAlign w:val="subscript"/>
        </w:rPr>
        <w:t>2</w:t>
      </w:r>
      <w:r w:rsidR="00005015">
        <w:rPr>
          <w:rStyle w:val="CETBodytextCarattere"/>
          <w:i w:val="0"/>
        </w:rPr>
        <w:t xml:space="preserve"> stand</w:t>
      </w:r>
      <w:r w:rsidR="009E5E30">
        <w:rPr>
          <w:rStyle w:val="CETBodytextCarattere"/>
          <w:i w:val="0"/>
        </w:rPr>
        <w:t xml:space="preserve">s </w:t>
      </w:r>
      <w:r w:rsidR="00005015">
        <w:rPr>
          <w:rStyle w:val="CETBodytextCarattere"/>
          <w:i w:val="0"/>
        </w:rPr>
        <w:t xml:space="preserve">for its photoactivity </w:t>
      </w:r>
      <w:r w:rsidR="00414387">
        <w:rPr>
          <w:rStyle w:val="CETBodytextCarattere"/>
          <w:i w:val="0"/>
        </w:rPr>
        <w:t xml:space="preserve">and, </w:t>
      </w:r>
      <w:r w:rsidR="00AA7504">
        <w:rPr>
          <w:rStyle w:val="CETBodytextCarattere"/>
          <w:i w:val="0"/>
        </w:rPr>
        <w:t>without TT</w:t>
      </w:r>
      <w:r w:rsidR="00414387">
        <w:rPr>
          <w:rStyle w:val="CETBodytextCarattere"/>
          <w:i w:val="0"/>
        </w:rPr>
        <w:t>,</w:t>
      </w:r>
      <w:r w:rsidR="00AA7504">
        <w:rPr>
          <w:rStyle w:val="CETBodytextCarattere"/>
          <w:i w:val="0"/>
        </w:rPr>
        <w:t xml:space="preserve"> the </w:t>
      </w:r>
      <w:r w:rsidR="0096474A">
        <w:rPr>
          <w:rStyle w:val="CETBodytextCarattere"/>
          <w:i w:val="0"/>
        </w:rPr>
        <w:t>paracetamol removal</w:t>
      </w:r>
      <w:r w:rsidR="00AA7504">
        <w:rPr>
          <w:rStyle w:val="CETBodytextCarattere"/>
          <w:i w:val="0"/>
        </w:rPr>
        <w:t xml:space="preserve"> was </w:t>
      </w:r>
      <w:r w:rsidR="00CD31D1">
        <w:rPr>
          <w:rStyle w:val="CETBodytextCarattere"/>
          <w:i w:val="0"/>
        </w:rPr>
        <w:t>26</w:t>
      </w:r>
      <w:r w:rsidR="00414387">
        <w:rPr>
          <w:rStyle w:val="CETBodytextCarattere"/>
          <w:i w:val="0"/>
        </w:rPr>
        <w:t xml:space="preserve"> % </w:t>
      </w:r>
      <w:r w:rsidR="00AA7504">
        <w:rPr>
          <w:rStyle w:val="CETBodytextCarattere"/>
          <w:i w:val="0"/>
        </w:rPr>
        <w:t>higher</w:t>
      </w:r>
      <w:r w:rsidR="00DC249D">
        <w:rPr>
          <w:rStyle w:val="CETBodytextCarattere"/>
          <w:i w:val="0"/>
        </w:rPr>
        <w:t xml:space="preserve"> </w:t>
      </w:r>
      <w:r w:rsidR="00414387">
        <w:rPr>
          <w:rStyle w:val="CETBodytextCarattere"/>
          <w:i w:val="0"/>
        </w:rPr>
        <w:t xml:space="preserve">when compared to </w:t>
      </w:r>
      <w:proofErr w:type="spellStart"/>
      <w:r w:rsidR="00414387">
        <w:rPr>
          <w:rStyle w:val="CETBodytextCarattere"/>
          <w:i w:val="0"/>
        </w:rPr>
        <w:t>ZnO</w:t>
      </w:r>
      <w:proofErr w:type="spellEnd"/>
      <w:r w:rsidR="005028E1">
        <w:rPr>
          <w:rStyle w:val="CETBodytextCarattere"/>
          <w:i w:val="0"/>
        </w:rPr>
        <w:t>.</w:t>
      </w:r>
      <w:r w:rsidR="00DC249D">
        <w:rPr>
          <w:rStyle w:val="CETBodytextCarattere"/>
          <w:i w:val="0"/>
        </w:rPr>
        <w:t xml:space="preserve"> However, when the </w:t>
      </w:r>
      <w:r w:rsidR="00545B38">
        <w:rPr>
          <w:rStyle w:val="CETBodytextCarattere"/>
          <w:i w:val="0"/>
        </w:rPr>
        <w:t>thermal treatment</w:t>
      </w:r>
      <w:r w:rsidR="00DC249D">
        <w:rPr>
          <w:rStyle w:val="CETBodytextCarattere"/>
          <w:i w:val="0"/>
        </w:rPr>
        <w:t xml:space="preserve"> was performed</w:t>
      </w:r>
      <w:r w:rsidR="00545B38">
        <w:rPr>
          <w:rStyle w:val="CETBodytextCarattere"/>
          <w:i w:val="0"/>
        </w:rPr>
        <w:t>,</w:t>
      </w:r>
      <w:r w:rsidR="00DB742C">
        <w:rPr>
          <w:rStyle w:val="CETBodytextCarattere"/>
          <w:i w:val="0"/>
        </w:rPr>
        <w:t xml:space="preserve"> their photoactivity </w:t>
      </w:r>
      <w:r w:rsidR="009E6627">
        <w:rPr>
          <w:rStyle w:val="CETBodytextCarattere"/>
          <w:i w:val="0"/>
        </w:rPr>
        <w:t>became</w:t>
      </w:r>
      <w:r w:rsidR="00DB742C">
        <w:rPr>
          <w:rStyle w:val="CETBodytextCarattere"/>
          <w:i w:val="0"/>
        </w:rPr>
        <w:t xml:space="preserve"> </w:t>
      </w:r>
      <w:r w:rsidR="00B67309">
        <w:rPr>
          <w:rStyle w:val="CETBodytextCarattere"/>
          <w:i w:val="0"/>
        </w:rPr>
        <w:t>nearly</w:t>
      </w:r>
      <w:r w:rsidR="00DB742C">
        <w:rPr>
          <w:rStyle w:val="CETBodytextCarattere"/>
          <w:i w:val="0"/>
        </w:rPr>
        <w:t xml:space="preserve"> even, being </w:t>
      </w:r>
      <w:r w:rsidR="00110A4C">
        <w:rPr>
          <w:rStyle w:val="CETBodytextCarattere"/>
          <w:i w:val="0"/>
        </w:rPr>
        <w:t xml:space="preserve">the </w:t>
      </w:r>
      <w:r w:rsidR="00DB742C">
        <w:rPr>
          <w:rStyle w:val="CETBodytextCarattere"/>
          <w:i w:val="0"/>
        </w:rPr>
        <w:t>TiO</w:t>
      </w:r>
      <w:r w:rsidR="00DB742C" w:rsidRPr="00110A4C">
        <w:rPr>
          <w:rStyle w:val="CETBodytextCarattere"/>
          <w:i w:val="0"/>
          <w:vertAlign w:val="subscript"/>
        </w:rPr>
        <w:t>2</w:t>
      </w:r>
      <w:r w:rsidR="00110A4C">
        <w:rPr>
          <w:rStyle w:val="CETBodytextCarattere"/>
          <w:i w:val="0"/>
          <w:vertAlign w:val="subscript"/>
        </w:rPr>
        <w:t xml:space="preserve"> </w:t>
      </w:r>
      <w:r w:rsidR="00110A4C">
        <w:rPr>
          <w:rStyle w:val="CETBodytextCarattere"/>
          <w:i w:val="0"/>
        </w:rPr>
        <w:t xml:space="preserve">only </w:t>
      </w:r>
      <w:r w:rsidR="00DB742C">
        <w:rPr>
          <w:rStyle w:val="CETBodytextCarattere"/>
          <w:i w:val="0"/>
        </w:rPr>
        <w:t>3%</w:t>
      </w:r>
      <w:r w:rsidR="00110A4C">
        <w:rPr>
          <w:rStyle w:val="CETBodytextCarattere"/>
          <w:i w:val="0"/>
        </w:rPr>
        <w:t xml:space="preserve"> better tha</w:t>
      </w:r>
      <w:r w:rsidR="0086516A">
        <w:rPr>
          <w:rStyle w:val="CETBodytextCarattere"/>
          <w:i w:val="0"/>
        </w:rPr>
        <w:t>n</w:t>
      </w:r>
      <w:r w:rsidR="00110A4C">
        <w:rPr>
          <w:rStyle w:val="CETBodytextCarattere"/>
          <w:i w:val="0"/>
        </w:rPr>
        <w:t xml:space="preserve"> </w:t>
      </w:r>
      <w:proofErr w:type="spellStart"/>
      <w:r w:rsidR="00110A4C">
        <w:rPr>
          <w:rStyle w:val="CETBodytextCarattere"/>
          <w:i w:val="0"/>
        </w:rPr>
        <w:t>ZnO</w:t>
      </w:r>
      <w:proofErr w:type="spellEnd"/>
      <w:r w:rsidR="00110A4C">
        <w:rPr>
          <w:rStyle w:val="CETBodytextCarattere"/>
          <w:i w:val="0"/>
        </w:rPr>
        <w:t>.</w:t>
      </w:r>
      <w:r w:rsidR="009E6627">
        <w:rPr>
          <w:rStyle w:val="CETBodytextCarattere"/>
          <w:i w:val="0"/>
        </w:rPr>
        <w:t xml:space="preserve"> </w:t>
      </w:r>
      <w:r w:rsidR="002777B6">
        <w:rPr>
          <w:rStyle w:val="CETBodytextCarattere"/>
          <w:i w:val="0"/>
        </w:rPr>
        <w:t xml:space="preserve">A comparison between the catalysts </w:t>
      </w:r>
      <w:r w:rsidR="00800A7E" w:rsidRPr="00800A7E">
        <w:rPr>
          <w:rStyle w:val="CETBodytextCarattere"/>
          <w:i w:val="0"/>
        </w:rPr>
        <w:t>highlights</w:t>
      </w:r>
      <w:r w:rsidR="00FB1214">
        <w:rPr>
          <w:rStyle w:val="CETBodytextCarattere"/>
          <w:i w:val="0"/>
        </w:rPr>
        <w:t xml:space="preserve"> that</w:t>
      </w:r>
      <w:r w:rsidR="002777B6">
        <w:rPr>
          <w:rStyle w:val="CETBodytextCarattere"/>
          <w:i w:val="0"/>
        </w:rPr>
        <w:t xml:space="preserve"> the </w:t>
      </w:r>
      <w:r w:rsidR="00A50945">
        <w:rPr>
          <w:rStyle w:val="CETBodytextCarattere"/>
          <w:i w:val="0"/>
        </w:rPr>
        <w:t xml:space="preserve">APR has no </w:t>
      </w:r>
      <w:r w:rsidR="00E60094">
        <w:rPr>
          <w:rStyle w:val="CETBodytextCarattere"/>
          <w:i w:val="0"/>
        </w:rPr>
        <w:t>photoactivity</w:t>
      </w:r>
      <w:r w:rsidR="00422726">
        <w:rPr>
          <w:rStyle w:val="CETBodytextCarattere"/>
          <w:i w:val="0"/>
        </w:rPr>
        <w:t xml:space="preserve">, once </w:t>
      </w:r>
      <w:r w:rsidR="00C26176">
        <w:rPr>
          <w:rStyle w:val="CETBodytextCarattere"/>
          <w:i w:val="0"/>
        </w:rPr>
        <w:t xml:space="preserve">the paracetamol removal </w:t>
      </w:r>
      <w:r w:rsidR="00393DE1" w:rsidRPr="00393DE1">
        <w:rPr>
          <w:rStyle w:val="CETBodytextCarattere"/>
          <w:i w:val="0"/>
        </w:rPr>
        <w:t>occurred</w:t>
      </w:r>
      <w:r w:rsidR="00C26176">
        <w:rPr>
          <w:rStyle w:val="CETBodytextCarattere"/>
          <w:i w:val="0"/>
        </w:rPr>
        <w:t xml:space="preserve"> </w:t>
      </w:r>
      <w:r w:rsidR="00555FB9">
        <w:rPr>
          <w:rStyle w:val="CETBodytextCarattere"/>
          <w:i w:val="0"/>
        </w:rPr>
        <w:t>predominantly</w:t>
      </w:r>
      <w:r w:rsidR="00C26176">
        <w:rPr>
          <w:rStyle w:val="CETBodytextCarattere"/>
          <w:i w:val="0"/>
        </w:rPr>
        <w:t xml:space="preserve"> by</w:t>
      </w:r>
      <w:r w:rsidR="00555FB9">
        <w:rPr>
          <w:rStyle w:val="CETBodytextCarattere"/>
          <w:i w:val="0"/>
        </w:rPr>
        <w:t xml:space="preserve"> adsorption</w:t>
      </w:r>
      <w:r w:rsidR="002160B7">
        <w:rPr>
          <w:rStyle w:val="CETBodytextCarattere"/>
          <w:i w:val="0"/>
        </w:rPr>
        <w:t>.</w:t>
      </w:r>
      <w:r w:rsidR="002B73CD">
        <w:rPr>
          <w:rStyle w:val="CETBodytextCarattere"/>
          <w:i w:val="0"/>
        </w:rPr>
        <w:t xml:space="preserve"> </w:t>
      </w:r>
      <w:r w:rsidR="00F164F3">
        <w:rPr>
          <w:rStyle w:val="CETBodytextCarattere"/>
          <w:i w:val="0"/>
        </w:rPr>
        <w:t>The paracetamol</w:t>
      </w:r>
      <w:r w:rsidR="0041393D">
        <w:rPr>
          <w:rStyle w:val="CETBodytextCarattere"/>
          <w:i w:val="0"/>
        </w:rPr>
        <w:t xml:space="preserve"> removal by</w:t>
      </w:r>
      <w:r w:rsidR="00273BA0">
        <w:rPr>
          <w:rStyle w:val="CETBodytextCarattere"/>
          <w:i w:val="0"/>
        </w:rPr>
        <w:t xml:space="preserve"> </w:t>
      </w:r>
      <w:r w:rsidR="0041393D">
        <w:rPr>
          <w:rStyle w:val="CETBodytextCarattere"/>
          <w:i w:val="0"/>
        </w:rPr>
        <w:t xml:space="preserve">adsorption onto APR </w:t>
      </w:r>
      <w:r w:rsidR="000B564D">
        <w:rPr>
          <w:rStyle w:val="CETBodytextCarattere"/>
          <w:i w:val="0"/>
        </w:rPr>
        <w:t>was</w:t>
      </w:r>
      <w:r w:rsidR="006B75CE">
        <w:rPr>
          <w:rStyle w:val="CETBodytextCarattere"/>
          <w:i w:val="0"/>
        </w:rPr>
        <w:t xml:space="preserve"> </w:t>
      </w:r>
      <w:r w:rsidR="00C9373B">
        <w:rPr>
          <w:rStyle w:val="CETBodytextCarattere"/>
          <w:i w:val="0"/>
        </w:rPr>
        <w:t xml:space="preserve">about 60 and </w:t>
      </w:r>
      <w:r w:rsidR="006B75CE">
        <w:rPr>
          <w:rStyle w:val="CETBodytextCarattere"/>
          <w:i w:val="0"/>
        </w:rPr>
        <w:t>70%</w:t>
      </w:r>
      <w:r w:rsidR="00C9373B">
        <w:rPr>
          <w:rStyle w:val="CETBodytextCarattere"/>
          <w:i w:val="0"/>
        </w:rPr>
        <w:t xml:space="preserve"> greater than</w:t>
      </w:r>
      <w:r w:rsidR="00273BA0">
        <w:rPr>
          <w:rStyle w:val="CETBodytextCarattere"/>
          <w:i w:val="0"/>
        </w:rPr>
        <w:t xml:space="preserve"> the </w:t>
      </w:r>
      <w:r w:rsidR="00865C08">
        <w:rPr>
          <w:rStyle w:val="CETBodytextCarattere"/>
          <w:i w:val="0"/>
        </w:rPr>
        <w:t xml:space="preserve">adsorption onto </w:t>
      </w:r>
      <w:r w:rsidR="00273BA0">
        <w:rPr>
          <w:rStyle w:val="CETBodytextCarattere"/>
          <w:i w:val="0"/>
        </w:rPr>
        <w:t>thermal treated TiO</w:t>
      </w:r>
      <w:r w:rsidR="00273BA0" w:rsidRPr="00273BA0">
        <w:rPr>
          <w:rStyle w:val="CETBodytextCarattere"/>
          <w:i w:val="0"/>
          <w:vertAlign w:val="subscript"/>
        </w:rPr>
        <w:t>2</w:t>
      </w:r>
      <w:r w:rsidR="00273BA0">
        <w:rPr>
          <w:rStyle w:val="CETBodytextCarattere"/>
          <w:i w:val="0"/>
        </w:rPr>
        <w:t xml:space="preserve"> and </w:t>
      </w:r>
      <w:proofErr w:type="spellStart"/>
      <w:r w:rsidR="00273BA0">
        <w:rPr>
          <w:rStyle w:val="CETBodytextCarattere"/>
          <w:i w:val="0"/>
        </w:rPr>
        <w:t>ZnO</w:t>
      </w:r>
      <w:proofErr w:type="spellEnd"/>
      <w:r w:rsidR="00273BA0">
        <w:rPr>
          <w:rStyle w:val="CETBodytextCarattere"/>
          <w:i w:val="0"/>
        </w:rPr>
        <w:t>, respectively</w:t>
      </w:r>
      <w:r w:rsidR="00865C08">
        <w:rPr>
          <w:rStyle w:val="CETBodytextCarattere"/>
          <w:i w:val="0"/>
        </w:rPr>
        <w:t>.</w:t>
      </w:r>
      <w:r w:rsidR="00E803B6">
        <w:rPr>
          <w:rStyle w:val="CETBodytextCarattere"/>
          <w:i w:val="0"/>
        </w:rPr>
        <w:t xml:space="preserve"> </w:t>
      </w:r>
    </w:p>
    <w:p w14:paraId="3F3FB60C" w14:textId="0DC82783" w:rsidR="000B6E60" w:rsidRDefault="000330FB" w:rsidP="008251B4">
      <w:pPr>
        <w:pStyle w:val="CETBodytext"/>
        <w:rPr>
          <w:rStyle w:val="CETBodytextCarattere"/>
        </w:rPr>
      </w:pPr>
      <w:bookmarkStart w:id="0" w:name="_Hlk990824"/>
      <w:r w:rsidRPr="000330FB">
        <w:rPr>
          <w:rStyle w:val="CETBodytextCarattere"/>
        </w:rPr>
        <w:t>The very good</w:t>
      </w:r>
      <w:r w:rsidR="00BF1A10">
        <w:rPr>
          <w:rStyle w:val="CETBodytextCarattere"/>
        </w:rPr>
        <w:t xml:space="preserve"> </w:t>
      </w:r>
      <w:r w:rsidRPr="000330FB">
        <w:rPr>
          <w:rStyle w:val="CETBodytextCarattere"/>
        </w:rPr>
        <w:t>performance of APR in paracetamol removal by adsorption led to a more in</w:t>
      </w:r>
      <w:r w:rsidR="00696376">
        <w:rPr>
          <w:rStyle w:val="CETBodytextCarattere"/>
        </w:rPr>
        <w:t>-</w:t>
      </w:r>
      <w:r w:rsidRPr="000330FB">
        <w:rPr>
          <w:rStyle w:val="CETBodytextCarattere"/>
        </w:rPr>
        <w:t>depth study</w:t>
      </w:r>
      <w:r w:rsidR="00696376">
        <w:rPr>
          <w:rStyle w:val="CETBodytextCarattere"/>
        </w:rPr>
        <w:t xml:space="preserve"> </w:t>
      </w:r>
      <w:r w:rsidRPr="000330FB">
        <w:rPr>
          <w:rStyle w:val="CETBodytextCarattere"/>
        </w:rPr>
        <w:t>of this process.</w:t>
      </w:r>
      <w:bookmarkEnd w:id="0"/>
      <w:r w:rsidR="00696376">
        <w:rPr>
          <w:rStyle w:val="CETBodytextCarattere"/>
        </w:rPr>
        <w:t xml:space="preserve"> </w:t>
      </w:r>
      <w:r w:rsidR="008251B4" w:rsidRPr="000B6E60">
        <w:rPr>
          <w:rStyle w:val="CETBodytextCarattere"/>
        </w:rPr>
        <w:t>As</w:t>
      </w:r>
      <w:r w:rsidR="008251B4" w:rsidRPr="00C85CC4">
        <w:rPr>
          <w:rStyle w:val="CETBodytextCarattere"/>
        </w:rPr>
        <w:t xml:space="preserve"> all processes, the adsorption also has some limiting factors that </w:t>
      </w:r>
      <w:r w:rsidR="008251B4" w:rsidRPr="000B6E60">
        <w:rPr>
          <w:rStyle w:val="CETBodytextCarattere"/>
        </w:rPr>
        <w:t>need</w:t>
      </w:r>
      <w:r w:rsidR="008251B4" w:rsidRPr="00C85CC4">
        <w:rPr>
          <w:rStyle w:val="CETBodytextCarattere"/>
        </w:rPr>
        <w:t xml:space="preserve"> to be investigated in order to understand the process behavior, the type of interaction</w:t>
      </w:r>
      <w:r w:rsidR="00B67309">
        <w:rPr>
          <w:rStyle w:val="CETBodytextCarattere"/>
        </w:rPr>
        <w:t>s</w:t>
      </w:r>
      <w:r w:rsidR="008251B4" w:rsidRPr="00C85CC4">
        <w:rPr>
          <w:rStyle w:val="CETBodytextCarattere"/>
        </w:rPr>
        <w:t xml:space="preserve"> and the adsorption mechanisms.</w:t>
      </w:r>
    </w:p>
    <w:p w14:paraId="058F8FC9" w14:textId="5643F128" w:rsidR="008251B4" w:rsidRDefault="00CC759C" w:rsidP="008251B4">
      <w:pPr>
        <w:pStyle w:val="CETBodytext"/>
        <w:rPr>
          <w:rStyle w:val="CETBodytextCarattere"/>
        </w:rPr>
      </w:pPr>
      <w:r>
        <w:rPr>
          <w:rStyle w:val="CETBodytextCarattere"/>
        </w:rPr>
        <w:t>First</w:t>
      </w:r>
      <w:r w:rsidR="008251B4" w:rsidRPr="00C85CC4">
        <w:rPr>
          <w:rStyle w:val="CETBodytextCarattere"/>
        </w:rPr>
        <w:t xml:space="preserve">, APR, </w:t>
      </w:r>
      <w:proofErr w:type="spellStart"/>
      <w:r w:rsidR="008251B4" w:rsidRPr="00C85CC4">
        <w:rPr>
          <w:rStyle w:val="CETBodytextCarattere"/>
        </w:rPr>
        <w:t>ZnO</w:t>
      </w:r>
      <w:proofErr w:type="spellEnd"/>
      <w:r w:rsidR="008251B4" w:rsidRPr="00C85CC4">
        <w:rPr>
          <w:rStyle w:val="CETBodytextCarattere"/>
        </w:rPr>
        <w:t xml:space="preserve"> and TiO</w:t>
      </w:r>
      <w:r w:rsidR="008251B4" w:rsidRPr="00C85CC4">
        <w:rPr>
          <w:rStyle w:val="CETBodytextCarattere"/>
          <w:vertAlign w:val="subscript"/>
        </w:rPr>
        <w:t>2</w:t>
      </w:r>
      <w:r w:rsidR="008251B4" w:rsidRPr="00C85CC4">
        <w:rPr>
          <w:rStyle w:val="CETBodytextCarattere"/>
        </w:rPr>
        <w:t xml:space="preserve"> were characterized</w:t>
      </w:r>
      <w:r w:rsidR="002C137F">
        <w:rPr>
          <w:rStyle w:val="CETBodytextCarattere"/>
        </w:rPr>
        <w:t xml:space="preserve"> by investigating their </w:t>
      </w:r>
      <w:r w:rsidR="008251B4" w:rsidRPr="006E3887">
        <w:rPr>
          <w:rStyle w:val="CETBodytextCarattere"/>
        </w:rPr>
        <w:t>textural properties</w:t>
      </w:r>
      <w:r w:rsidR="00892550">
        <w:rPr>
          <w:rStyle w:val="CETBodytextCarattere"/>
        </w:rPr>
        <w:t xml:space="preserve"> </w:t>
      </w:r>
      <w:r w:rsidR="008251B4" w:rsidRPr="006E3887">
        <w:rPr>
          <w:rStyle w:val="CETBodytextCarattere"/>
        </w:rPr>
        <w:t>(Table 2), and chemical structure</w:t>
      </w:r>
      <w:r w:rsidR="002C137F">
        <w:rPr>
          <w:rStyle w:val="CETBodytextCarattere"/>
        </w:rPr>
        <w:t xml:space="preserve"> (Figure 1)</w:t>
      </w:r>
      <w:r w:rsidR="008251B4" w:rsidRPr="006E3887">
        <w:rPr>
          <w:rStyle w:val="CETBodytextCarattere"/>
        </w:rPr>
        <w:t xml:space="preserve">. </w:t>
      </w:r>
      <w:r w:rsidR="00743728" w:rsidRPr="00743728">
        <w:rPr>
          <w:rStyle w:val="CETBodytextCarattere"/>
        </w:rPr>
        <w:t>For</w:t>
      </w:r>
      <w:r w:rsidR="00743728">
        <w:rPr>
          <w:rStyle w:val="CETBodytextCarattere"/>
        </w:rPr>
        <w:t xml:space="preserve"> </w:t>
      </w:r>
      <w:r w:rsidR="00743728" w:rsidRPr="00330577">
        <w:rPr>
          <w:rStyle w:val="CETBodytextCarattere"/>
        </w:rPr>
        <w:t xml:space="preserve">assessing </w:t>
      </w:r>
      <w:r w:rsidR="00743728" w:rsidRPr="00743728">
        <w:rPr>
          <w:rStyle w:val="CETBodytextCarattere"/>
        </w:rPr>
        <w:t>the photocatalysts</w:t>
      </w:r>
      <w:r w:rsidR="00330577">
        <w:rPr>
          <w:rStyle w:val="CETBodytextCarattere"/>
        </w:rPr>
        <w:t>,</w:t>
      </w:r>
      <w:r w:rsidR="00743728" w:rsidRPr="00743728">
        <w:rPr>
          <w:rStyle w:val="CETBodytextCarattere"/>
        </w:rPr>
        <w:t xml:space="preserve"> XRF spectroscopy was </w:t>
      </w:r>
      <w:r w:rsidR="00C7266E">
        <w:rPr>
          <w:rStyle w:val="CETBodytextCarattere"/>
        </w:rPr>
        <w:t>used</w:t>
      </w:r>
      <w:r w:rsidR="008251B4" w:rsidRPr="006E3887">
        <w:rPr>
          <w:rStyle w:val="CETBodytextCarattere"/>
        </w:rPr>
        <w:t>,</w:t>
      </w:r>
      <w:r w:rsidR="00C7266E">
        <w:rPr>
          <w:rStyle w:val="CETBodytextCarattere"/>
        </w:rPr>
        <w:t xml:space="preserve"> as shown in</w:t>
      </w:r>
      <w:r w:rsidR="008251B4" w:rsidRPr="006E3887">
        <w:rPr>
          <w:rStyle w:val="CETBodytextCarattere"/>
        </w:rPr>
        <w:t xml:space="preserve"> Figure 1 (a) and (b). Once XRF cannot identify C, N and O elements, which </w:t>
      </w:r>
      <w:r w:rsidR="00C7266E">
        <w:rPr>
          <w:rStyle w:val="CETBodytextCarattere"/>
        </w:rPr>
        <w:t xml:space="preserve">are </w:t>
      </w:r>
      <w:r w:rsidR="00892550">
        <w:rPr>
          <w:rStyle w:val="CETBodytextCarattere"/>
        </w:rPr>
        <w:t>predomina</w:t>
      </w:r>
      <w:r w:rsidR="00C7266E">
        <w:rPr>
          <w:rStyle w:val="CETBodytextCarattere"/>
        </w:rPr>
        <w:t xml:space="preserve">nt </w:t>
      </w:r>
      <w:r w:rsidR="008251B4" w:rsidRPr="006E3887">
        <w:rPr>
          <w:rStyle w:val="CETBodytextCarattere"/>
        </w:rPr>
        <w:t xml:space="preserve">in organic materials, such as </w:t>
      </w:r>
      <w:r w:rsidR="00892550">
        <w:rPr>
          <w:rStyle w:val="CETBodytextCarattere"/>
        </w:rPr>
        <w:t xml:space="preserve">the </w:t>
      </w:r>
      <w:r w:rsidR="008251B4" w:rsidRPr="006E3887">
        <w:rPr>
          <w:rStyle w:val="CETBodytextCarattere"/>
        </w:rPr>
        <w:t xml:space="preserve">APR, its </w:t>
      </w:r>
      <w:r w:rsidR="008251B4" w:rsidRPr="00892550">
        <w:rPr>
          <w:rStyle w:val="CETBodytextCarattere"/>
        </w:rPr>
        <w:t xml:space="preserve">chemical structure </w:t>
      </w:r>
      <w:r w:rsidR="00892550" w:rsidRPr="00892550">
        <w:rPr>
          <w:rStyle w:val="CETBodytextCarattere"/>
        </w:rPr>
        <w:t>was</w:t>
      </w:r>
      <w:r w:rsidR="008251B4" w:rsidRPr="00330577">
        <w:rPr>
          <w:rStyle w:val="CETBodytextCarattere"/>
        </w:rPr>
        <w:t xml:space="preserve"> </w:t>
      </w:r>
      <w:r w:rsidR="00330577" w:rsidRPr="00330577">
        <w:rPr>
          <w:rStyle w:val="CETBodytextCarattere"/>
        </w:rPr>
        <w:t xml:space="preserve">identified </w:t>
      </w:r>
      <w:r w:rsidR="00330577">
        <w:rPr>
          <w:rStyle w:val="CETBodytextCarattere"/>
        </w:rPr>
        <w:t>by</w:t>
      </w:r>
      <w:r w:rsidR="008251B4" w:rsidRPr="00892550">
        <w:rPr>
          <w:rStyle w:val="CETBodytextCarattere"/>
        </w:rPr>
        <w:t xml:space="preserve"> FTIR spectroscopy, Figure 1 (c).</w:t>
      </w:r>
    </w:p>
    <w:p w14:paraId="0BA8ACE3" w14:textId="236C1C8A" w:rsidR="00C85DE9" w:rsidRPr="00B57B36" w:rsidRDefault="00C85DE9" w:rsidP="007611A5">
      <w:pPr>
        <w:pStyle w:val="CETTabletitle"/>
      </w:pPr>
      <w:r w:rsidRPr="00B57B36">
        <w:lastRenderedPageBreak/>
        <w:t xml:space="preserve">Table </w:t>
      </w:r>
      <w:r>
        <w:t>2</w:t>
      </w:r>
      <w:r w:rsidRPr="00B57B36">
        <w:t xml:space="preserve">: </w:t>
      </w:r>
      <w:r w:rsidR="00BF7145">
        <w:t>APR, TiO</w:t>
      </w:r>
      <w:r w:rsidR="00AA1F35" w:rsidRPr="00AA1F35">
        <w:rPr>
          <w:vertAlign w:val="subscript"/>
        </w:rPr>
        <w:t>2</w:t>
      </w:r>
      <w:r w:rsidR="00AA1F35">
        <w:t xml:space="preserve">, </w:t>
      </w:r>
      <w:proofErr w:type="spellStart"/>
      <w:r w:rsidR="00AA1F35">
        <w:t>ZnO</w:t>
      </w:r>
      <w:proofErr w:type="spellEnd"/>
      <w:r w:rsidR="00AA1F35">
        <w:t xml:space="preserve"> and Paracetamol characteristics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96"/>
        <w:gridCol w:w="2197"/>
        <w:gridCol w:w="2197"/>
        <w:gridCol w:w="2197"/>
      </w:tblGrid>
      <w:tr w:rsidR="00C85DE9" w:rsidRPr="00B57B36" w14:paraId="34E3B1F7" w14:textId="77777777" w:rsidTr="00467C7D">
        <w:trPr>
          <w:trHeight w:val="50"/>
        </w:trPr>
        <w:tc>
          <w:tcPr>
            <w:tcW w:w="1250" w:type="pct"/>
            <w:tcBorders>
              <w:top w:val="single" w:sz="12" w:space="0" w:color="008000"/>
              <w:bottom w:val="single" w:sz="6" w:space="0" w:color="008000"/>
            </w:tcBorders>
            <w:shd w:val="clear" w:color="auto" w:fill="FFFFFF"/>
            <w:vAlign w:val="center"/>
          </w:tcPr>
          <w:p w14:paraId="60FD354A" w14:textId="527BD8DC" w:rsidR="00C85DE9" w:rsidRPr="00952870" w:rsidRDefault="00C85DE9" w:rsidP="00467C7D">
            <w:pPr>
              <w:pStyle w:val="CETBodytext"/>
              <w:rPr>
                <w:lang w:eastAsia="pt-BR"/>
              </w:rPr>
            </w:pPr>
          </w:p>
        </w:tc>
        <w:tc>
          <w:tcPr>
            <w:tcW w:w="1250" w:type="pct"/>
            <w:tcBorders>
              <w:top w:val="single" w:sz="12" w:space="0" w:color="008000"/>
              <w:bottom w:val="single" w:sz="6" w:space="0" w:color="008000"/>
            </w:tcBorders>
            <w:shd w:val="clear" w:color="auto" w:fill="FFFFFF"/>
          </w:tcPr>
          <w:p w14:paraId="6CF233E4" w14:textId="77777777" w:rsidR="00C85DE9" w:rsidRPr="00134039" w:rsidRDefault="00C85DE9" w:rsidP="00467C7D">
            <w:pPr>
              <w:pStyle w:val="CETBodytext"/>
              <w:jc w:val="center"/>
            </w:pPr>
            <w:r w:rsidRPr="00134039">
              <w:t>APR</w:t>
            </w:r>
          </w:p>
        </w:tc>
        <w:tc>
          <w:tcPr>
            <w:tcW w:w="1250" w:type="pct"/>
            <w:tcBorders>
              <w:top w:val="single" w:sz="12" w:space="0" w:color="008000"/>
              <w:bottom w:val="single" w:sz="6" w:space="0" w:color="008000"/>
            </w:tcBorders>
            <w:shd w:val="clear" w:color="auto" w:fill="FFFFFF"/>
          </w:tcPr>
          <w:p w14:paraId="22BDB421" w14:textId="77777777" w:rsidR="00C85DE9" w:rsidRPr="006C7FF2" w:rsidRDefault="00C85DE9" w:rsidP="00467C7D">
            <w:pPr>
              <w:pStyle w:val="CETBodytext"/>
              <w:jc w:val="center"/>
            </w:pPr>
            <w:r w:rsidRPr="00134039">
              <w:t>TiO</w:t>
            </w:r>
            <w:r w:rsidRPr="00134039">
              <w:rPr>
                <w:vertAlign w:val="subscript"/>
              </w:rPr>
              <w:t>2</w:t>
            </w:r>
          </w:p>
        </w:tc>
        <w:tc>
          <w:tcPr>
            <w:tcW w:w="1250" w:type="pct"/>
            <w:tcBorders>
              <w:top w:val="single" w:sz="12" w:space="0" w:color="008000"/>
              <w:bottom w:val="single" w:sz="6" w:space="0" w:color="008000"/>
            </w:tcBorders>
            <w:shd w:val="clear" w:color="auto" w:fill="FFFFFF"/>
          </w:tcPr>
          <w:p w14:paraId="62B42B08" w14:textId="77777777" w:rsidR="00C85DE9" w:rsidRPr="00134039" w:rsidRDefault="00C85DE9" w:rsidP="00467C7D">
            <w:pPr>
              <w:pStyle w:val="CETBodytext"/>
              <w:jc w:val="center"/>
            </w:pPr>
            <w:proofErr w:type="spellStart"/>
            <w:r w:rsidRPr="00134039">
              <w:t>ZnO</w:t>
            </w:r>
            <w:proofErr w:type="spellEnd"/>
          </w:p>
        </w:tc>
      </w:tr>
      <w:tr w:rsidR="00C85DE9" w:rsidRPr="00B57B36" w14:paraId="3A3BEA10" w14:textId="77777777" w:rsidTr="00467C7D">
        <w:trPr>
          <w:trHeight w:val="239"/>
        </w:trPr>
        <w:tc>
          <w:tcPr>
            <w:tcW w:w="1250" w:type="pct"/>
            <w:shd w:val="clear" w:color="auto" w:fill="FFFFFF"/>
            <w:vAlign w:val="center"/>
          </w:tcPr>
          <w:p w14:paraId="1E2F2554" w14:textId="77777777" w:rsidR="00C85DE9" w:rsidRPr="00134039" w:rsidRDefault="00C85DE9" w:rsidP="00467C7D">
            <w:pPr>
              <w:pStyle w:val="CETBodytext"/>
            </w:pPr>
            <w:r w:rsidRPr="00134039">
              <w:t>S</w:t>
            </w:r>
            <w:r w:rsidRPr="00134039">
              <w:rPr>
                <w:vertAlign w:val="subscript"/>
              </w:rPr>
              <w:t>BET</w:t>
            </w:r>
            <w:r w:rsidRPr="00134039">
              <w:t xml:space="preserve"> (m</w:t>
            </w:r>
            <w:r w:rsidRPr="00134039">
              <w:rPr>
                <w:vertAlign w:val="superscript"/>
              </w:rPr>
              <w:t>2</w:t>
            </w:r>
            <w:r w:rsidRPr="00134039">
              <w:t>.g</w:t>
            </w:r>
            <w:r w:rsidRPr="00134039">
              <w:rPr>
                <w:vertAlign w:val="superscript"/>
              </w:rPr>
              <w:t>-1</w:t>
            </w:r>
            <w:r w:rsidRPr="00134039">
              <w:t>)</w:t>
            </w:r>
          </w:p>
        </w:tc>
        <w:tc>
          <w:tcPr>
            <w:tcW w:w="1250" w:type="pct"/>
            <w:shd w:val="clear" w:color="auto" w:fill="FFFFFF"/>
            <w:vAlign w:val="center"/>
          </w:tcPr>
          <w:p w14:paraId="11B7BDC4" w14:textId="77777777" w:rsidR="00C85DE9" w:rsidRPr="00134039" w:rsidRDefault="00C85DE9" w:rsidP="00467C7D">
            <w:pPr>
              <w:pStyle w:val="CETBodytext"/>
              <w:jc w:val="center"/>
            </w:pPr>
            <w:r w:rsidRPr="00134039">
              <w:t>5.759</w:t>
            </w:r>
          </w:p>
        </w:tc>
        <w:tc>
          <w:tcPr>
            <w:tcW w:w="1250" w:type="pct"/>
            <w:shd w:val="clear" w:color="auto" w:fill="FFFFFF"/>
            <w:vAlign w:val="center"/>
          </w:tcPr>
          <w:p w14:paraId="50F7CF29" w14:textId="77777777" w:rsidR="00C85DE9" w:rsidRPr="00134039" w:rsidRDefault="00C85DE9" w:rsidP="00467C7D">
            <w:pPr>
              <w:pStyle w:val="CETBodytext"/>
              <w:jc w:val="center"/>
            </w:pPr>
            <w:r w:rsidRPr="00134039">
              <w:t>44.347</w:t>
            </w:r>
          </w:p>
        </w:tc>
        <w:tc>
          <w:tcPr>
            <w:tcW w:w="1250" w:type="pct"/>
            <w:shd w:val="clear" w:color="auto" w:fill="FFFFFF"/>
          </w:tcPr>
          <w:p w14:paraId="4DD33242" w14:textId="77777777" w:rsidR="00C85DE9" w:rsidRPr="00134039" w:rsidRDefault="00C85DE9" w:rsidP="00467C7D">
            <w:pPr>
              <w:pStyle w:val="CETBodytext"/>
              <w:jc w:val="center"/>
            </w:pPr>
            <w:r w:rsidRPr="00134039">
              <w:t>11.314</w:t>
            </w:r>
          </w:p>
        </w:tc>
      </w:tr>
      <w:tr w:rsidR="00C85DE9" w:rsidRPr="00B57B36" w14:paraId="6218E4AF" w14:textId="77777777" w:rsidTr="00467C7D">
        <w:trPr>
          <w:trHeight w:val="239"/>
        </w:trPr>
        <w:tc>
          <w:tcPr>
            <w:tcW w:w="1250" w:type="pct"/>
            <w:shd w:val="clear" w:color="auto" w:fill="FFFFFF"/>
            <w:vAlign w:val="center"/>
          </w:tcPr>
          <w:p w14:paraId="278F4AB8" w14:textId="77777777" w:rsidR="00C85DE9" w:rsidRPr="00134039" w:rsidRDefault="00C85DE9" w:rsidP="00467C7D">
            <w:pPr>
              <w:pStyle w:val="CETBodytext"/>
            </w:pPr>
            <w:r w:rsidRPr="00134039">
              <w:t>V</w:t>
            </w:r>
            <w:r w:rsidRPr="00134039">
              <w:rPr>
                <w:vertAlign w:val="subscript"/>
              </w:rPr>
              <w:t>TOTAL</w:t>
            </w:r>
            <w:r w:rsidRPr="00134039">
              <w:t xml:space="preserve"> (cm</w:t>
            </w:r>
            <w:r w:rsidRPr="00134039">
              <w:rPr>
                <w:vertAlign w:val="superscript"/>
              </w:rPr>
              <w:t>3</w:t>
            </w:r>
            <w:r w:rsidRPr="00134039">
              <w:t>.g</w:t>
            </w:r>
            <w:r w:rsidRPr="00134039">
              <w:rPr>
                <w:vertAlign w:val="superscript"/>
              </w:rPr>
              <w:t>-1</w:t>
            </w:r>
            <w:r w:rsidRPr="00134039">
              <w:t>)</w:t>
            </w:r>
          </w:p>
        </w:tc>
        <w:tc>
          <w:tcPr>
            <w:tcW w:w="1250" w:type="pct"/>
            <w:shd w:val="clear" w:color="auto" w:fill="FFFFFF"/>
            <w:vAlign w:val="center"/>
          </w:tcPr>
          <w:p w14:paraId="3F3245B1" w14:textId="77777777" w:rsidR="00C85DE9" w:rsidRPr="00134039" w:rsidRDefault="00C85DE9" w:rsidP="00467C7D">
            <w:pPr>
              <w:pStyle w:val="CETBodytext"/>
              <w:jc w:val="center"/>
            </w:pPr>
            <w:r w:rsidRPr="00134039">
              <w:t>0.011</w:t>
            </w:r>
          </w:p>
        </w:tc>
        <w:tc>
          <w:tcPr>
            <w:tcW w:w="1250" w:type="pct"/>
            <w:shd w:val="clear" w:color="auto" w:fill="FFFFFF"/>
            <w:vAlign w:val="center"/>
          </w:tcPr>
          <w:p w14:paraId="06A870C5" w14:textId="77777777" w:rsidR="00C85DE9" w:rsidRPr="00134039" w:rsidRDefault="00C85DE9" w:rsidP="00467C7D">
            <w:pPr>
              <w:pStyle w:val="CETBodytext"/>
              <w:jc w:val="center"/>
            </w:pPr>
            <w:r w:rsidRPr="00134039">
              <w:t>0.182</w:t>
            </w:r>
          </w:p>
        </w:tc>
        <w:tc>
          <w:tcPr>
            <w:tcW w:w="1250" w:type="pct"/>
            <w:shd w:val="clear" w:color="auto" w:fill="FFFFFF"/>
          </w:tcPr>
          <w:p w14:paraId="06FAE467" w14:textId="77777777" w:rsidR="00C85DE9" w:rsidRPr="00134039" w:rsidRDefault="00C85DE9" w:rsidP="00467C7D">
            <w:pPr>
              <w:pStyle w:val="CETBodytext"/>
              <w:jc w:val="center"/>
            </w:pPr>
            <w:r w:rsidRPr="00134039">
              <w:t>0.06</w:t>
            </w:r>
            <w:r>
              <w:t>4</w:t>
            </w:r>
          </w:p>
        </w:tc>
      </w:tr>
      <w:tr w:rsidR="00C85DE9" w:rsidRPr="00B57B36" w14:paraId="1BEA0487" w14:textId="77777777" w:rsidTr="00467C7D">
        <w:trPr>
          <w:trHeight w:val="239"/>
        </w:trPr>
        <w:tc>
          <w:tcPr>
            <w:tcW w:w="1250" w:type="pct"/>
            <w:shd w:val="clear" w:color="auto" w:fill="FFFFFF"/>
            <w:vAlign w:val="center"/>
          </w:tcPr>
          <w:p w14:paraId="700A0049" w14:textId="77777777" w:rsidR="00C85DE9" w:rsidRPr="00134039" w:rsidRDefault="00C85DE9" w:rsidP="00467C7D">
            <w:pPr>
              <w:pStyle w:val="CETBodytext"/>
            </w:pPr>
            <w:r w:rsidRPr="00134039">
              <w:t>D</w:t>
            </w:r>
            <w:r w:rsidRPr="00134039">
              <w:rPr>
                <w:vertAlign w:val="subscript"/>
              </w:rPr>
              <w:t>AVERAGE</w:t>
            </w:r>
            <w:r w:rsidRPr="00134039">
              <w:t xml:space="preserve"> (Å)</w:t>
            </w:r>
          </w:p>
        </w:tc>
        <w:tc>
          <w:tcPr>
            <w:tcW w:w="1250" w:type="pct"/>
            <w:shd w:val="clear" w:color="auto" w:fill="FFFFFF"/>
            <w:vAlign w:val="center"/>
          </w:tcPr>
          <w:p w14:paraId="4AB9F43E" w14:textId="77777777" w:rsidR="00C85DE9" w:rsidRPr="00134039" w:rsidRDefault="00C85DE9" w:rsidP="00467C7D">
            <w:pPr>
              <w:pStyle w:val="CETBodytext"/>
              <w:jc w:val="center"/>
            </w:pPr>
            <w:r w:rsidRPr="00134039">
              <w:t>45.85</w:t>
            </w:r>
          </w:p>
        </w:tc>
        <w:tc>
          <w:tcPr>
            <w:tcW w:w="1250" w:type="pct"/>
            <w:shd w:val="clear" w:color="auto" w:fill="FFFFFF"/>
            <w:vAlign w:val="center"/>
          </w:tcPr>
          <w:p w14:paraId="5ADBD4F3" w14:textId="77777777" w:rsidR="00C85DE9" w:rsidRPr="00134039" w:rsidRDefault="00C85DE9" w:rsidP="00467C7D">
            <w:pPr>
              <w:pStyle w:val="CETBodytext"/>
              <w:jc w:val="center"/>
            </w:pPr>
            <w:r w:rsidRPr="00134039">
              <w:t>82.25</w:t>
            </w:r>
          </w:p>
        </w:tc>
        <w:tc>
          <w:tcPr>
            <w:tcW w:w="1250" w:type="pct"/>
            <w:shd w:val="clear" w:color="auto" w:fill="FFFFFF"/>
          </w:tcPr>
          <w:p w14:paraId="3E8553BB" w14:textId="77777777" w:rsidR="00C85DE9" w:rsidRPr="00134039" w:rsidRDefault="00C85DE9" w:rsidP="00467C7D">
            <w:pPr>
              <w:pStyle w:val="CETBodytext"/>
              <w:jc w:val="center"/>
            </w:pPr>
            <w:r w:rsidRPr="00134039">
              <w:t>41.32</w:t>
            </w:r>
          </w:p>
        </w:tc>
      </w:tr>
      <w:tr w:rsidR="00C85DE9" w:rsidRPr="00B57B36" w14:paraId="64DC3501" w14:textId="77777777" w:rsidTr="00467C7D">
        <w:trPr>
          <w:trHeight w:val="239"/>
        </w:trPr>
        <w:tc>
          <w:tcPr>
            <w:tcW w:w="1250" w:type="pct"/>
            <w:tcBorders>
              <w:bottom w:val="single" w:sz="4" w:space="0" w:color="008000"/>
            </w:tcBorders>
            <w:shd w:val="clear" w:color="auto" w:fill="FFFFFF"/>
            <w:vAlign w:val="center"/>
          </w:tcPr>
          <w:p w14:paraId="7BBC6F7A" w14:textId="6663A33E" w:rsidR="00C85DE9" w:rsidRPr="00134039" w:rsidRDefault="00C85DE9" w:rsidP="00467C7D">
            <w:pPr>
              <w:pStyle w:val="CETBodytext"/>
            </w:pPr>
            <w:r w:rsidRPr="00134039">
              <w:t xml:space="preserve">pH </w:t>
            </w:r>
            <w:r w:rsidRPr="00134039">
              <w:rPr>
                <w:vertAlign w:val="subscript"/>
              </w:rPr>
              <w:t>ZERO POINT CHARGE</w:t>
            </w:r>
            <w:r w:rsidRPr="00134039">
              <w:t xml:space="preserve"> (</w:t>
            </w:r>
            <w:proofErr w:type="spellStart"/>
            <w:r w:rsidRPr="00134039">
              <w:t>pH</w:t>
            </w:r>
            <w:r w:rsidR="00B40B42">
              <w:rPr>
                <w:vertAlign w:val="subscript"/>
              </w:rPr>
              <w:t>PZC</w:t>
            </w:r>
            <w:proofErr w:type="spellEnd"/>
            <w:r w:rsidRPr="00134039">
              <w:t>)</w:t>
            </w:r>
          </w:p>
        </w:tc>
        <w:tc>
          <w:tcPr>
            <w:tcW w:w="1250" w:type="pct"/>
            <w:tcBorders>
              <w:bottom w:val="single" w:sz="4" w:space="0" w:color="008000"/>
            </w:tcBorders>
            <w:shd w:val="clear" w:color="auto" w:fill="FFFFFF"/>
            <w:vAlign w:val="center"/>
          </w:tcPr>
          <w:p w14:paraId="070DA39E" w14:textId="77777777" w:rsidR="00C85DE9" w:rsidRPr="00134039" w:rsidRDefault="00C85DE9" w:rsidP="00467C7D">
            <w:pPr>
              <w:pStyle w:val="CETBodytext"/>
              <w:jc w:val="center"/>
            </w:pPr>
            <w:r w:rsidRPr="00134039">
              <w:t>8.6</w:t>
            </w:r>
          </w:p>
        </w:tc>
        <w:tc>
          <w:tcPr>
            <w:tcW w:w="1250" w:type="pct"/>
            <w:tcBorders>
              <w:bottom w:val="single" w:sz="4" w:space="0" w:color="008000"/>
            </w:tcBorders>
            <w:shd w:val="clear" w:color="auto" w:fill="FFFFFF"/>
            <w:vAlign w:val="center"/>
          </w:tcPr>
          <w:p w14:paraId="314AA776" w14:textId="77777777" w:rsidR="00C85DE9" w:rsidRPr="00134039" w:rsidRDefault="00C85DE9" w:rsidP="00467C7D">
            <w:pPr>
              <w:pStyle w:val="CETBodytext"/>
              <w:jc w:val="center"/>
            </w:pPr>
            <w:r w:rsidRPr="00134039">
              <w:t>6.1</w:t>
            </w:r>
          </w:p>
        </w:tc>
        <w:tc>
          <w:tcPr>
            <w:tcW w:w="1250" w:type="pct"/>
            <w:tcBorders>
              <w:bottom w:val="single" w:sz="4" w:space="0" w:color="008000"/>
            </w:tcBorders>
            <w:shd w:val="clear" w:color="auto" w:fill="FFFFFF"/>
          </w:tcPr>
          <w:p w14:paraId="18072326" w14:textId="77777777" w:rsidR="00C85DE9" w:rsidRPr="00134039" w:rsidRDefault="00C85DE9" w:rsidP="00467C7D">
            <w:pPr>
              <w:pStyle w:val="CETBodytext"/>
              <w:jc w:val="center"/>
            </w:pPr>
            <w:r>
              <w:t>7</w:t>
            </w:r>
            <w:r w:rsidRPr="00134039">
              <w:t>.9</w:t>
            </w:r>
          </w:p>
        </w:tc>
      </w:tr>
      <w:tr w:rsidR="00C85DE9" w:rsidRPr="00B57B36" w14:paraId="24EFACAE" w14:textId="77777777" w:rsidTr="00467C7D">
        <w:trPr>
          <w:trHeight w:val="318"/>
        </w:trPr>
        <w:tc>
          <w:tcPr>
            <w:tcW w:w="1250" w:type="pct"/>
            <w:tcBorders>
              <w:top w:val="single" w:sz="4" w:space="0" w:color="008000"/>
              <w:bottom w:val="single" w:sz="4" w:space="0" w:color="008000"/>
            </w:tcBorders>
            <w:shd w:val="clear" w:color="auto" w:fill="FFFFFF"/>
            <w:vAlign w:val="center"/>
          </w:tcPr>
          <w:p w14:paraId="6EEA5D26" w14:textId="77777777" w:rsidR="00C85DE9" w:rsidRPr="00134039" w:rsidRDefault="00C85DE9" w:rsidP="00467C7D">
            <w:pPr>
              <w:pStyle w:val="CETBodytext"/>
            </w:pPr>
          </w:p>
        </w:tc>
        <w:tc>
          <w:tcPr>
            <w:tcW w:w="1250" w:type="pct"/>
            <w:tcBorders>
              <w:top w:val="single" w:sz="4" w:space="0" w:color="008000"/>
              <w:bottom w:val="single" w:sz="4" w:space="0" w:color="008000"/>
            </w:tcBorders>
            <w:shd w:val="clear" w:color="auto" w:fill="FFFFFF"/>
            <w:vAlign w:val="center"/>
          </w:tcPr>
          <w:p w14:paraId="30046953" w14:textId="77777777" w:rsidR="00C85DE9" w:rsidRPr="00134039" w:rsidRDefault="00C85DE9" w:rsidP="00467C7D">
            <w:pPr>
              <w:pStyle w:val="CETBodytext"/>
            </w:pPr>
          </w:p>
        </w:tc>
        <w:tc>
          <w:tcPr>
            <w:tcW w:w="1250" w:type="pct"/>
            <w:tcBorders>
              <w:top w:val="single" w:sz="4" w:space="0" w:color="008000"/>
              <w:bottom w:val="single" w:sz="4" w:space="0" w:color="008000"/>
            </w:tcBorders>
            <w:shd w:val="clear" w:color="auto" w:fill="FFFFFF"/>
            <w:vAlign w:val="center"/>
          </w:tcPr>
          <w:p w14:paraId="34496BFF" w14:textId="77777777" w:rsidR="00C85DE9" w:rsidRPr="00134039" w:rsidRDefault="00C85DE9" w:rsidP="00467C7D">
            <w:pPr>
              <w:pStyle w:val="CETBodytext"/>
              <w:jc w:val="center"/>
            </w:pPr>
            <w:r w:rsidRPr="00134039">
              <w:t>PARACETAMOL</w:t>
            </w:r>
          </w:p>
        </w:tc>
        <w:tc>
          <w:tcPr>
            <w:tcW w:w="1250" w:type="pct"/>
            <w:tcBorders>
              <w:top w:val="single" w:sz="4" w:space="0" w:color="008000"/>
              <w:bottom w:val="single" w:sz="4" w:space="0" w:color="008000"/>
            </w:tcBorders>
            <w:shd w:val="clear" w:color="auto" w:fill="FFFFFF"/>
            <w:vAlign w:val="center"/>
          </w:tcPr>
          <w:p w14:paraId="7FC0DD1D" w14:textId="77777777" w:rsidR="00C85DE9" w:rsidRPr="00134039" w:rsidRDefault="00C85DE9" w:rsidP="00467C7D">
            <w:pPr>
              <w:pStyle w:val="CETBodytext"/>
            </w:pPr>
          </w:p>
        </w:tc>
      </w:tr>
      <w:tr w:rsidR="00C85DE9" w:rsidRPr="000E4A94" w14:paraId="3FCA33C9" w14:textId="77777777" w:rsidTr="00467C7D">
        <w:trPr>
          <w:trHeight w:val="80"/>
        </w:trPr>
        <w:tc>
          <w:tcPr>
            <w:tcW w:w="1250" w:type="pct"/>
            <w:tcBorders>
              <w:top w:val="single" w:sz="4" w:space="0" w:color="008000"/>
            </w:tcBorders>
            <w:shd w:val="clear" w:color="auto" w:fill="FFFFFF"/>
            <w:vAlign w:val="center"/>
          </w:tcPr>
          <w:p w14:paraId="19C04E87" w14:textId="77777777" w:rsidR="00C85DE9" w:rsidRPr="00134039" w:rsidRDefault="00C85DE9" w:rsidP="00467C7D">
            <w:pPr>
              <w:pStyle w:val="CETBodytext"/>
            </w:pPr>
            <w:r w:rsidRPr="00134039">
              <w:t>Dimensions (Å)</w:t>
            </w:r>
          </w:p>
        </w:tc>
        <w:tc>
          <w:tcPr>
            <w:tcW w:w="3750" w:type="pct"/>
            <w:gridSpan w:val="3"/>
            <w:tcBorders>
              <w:top w:val="single" w:sz="4" w:space="0" w:color="008000"/>
            </w:tcBorders>
            <w:shd w:val="clear" w:color="auto" w:fill="FFFFFF"/>
            <w:vAlign w:val="center"/>
          </w:tcPr>
          <w:p w14:paraId="0191572E" w14:textId="1C622BBC" w:rsidR="00C85DE9" w:rsidRPr="00952870" w:rsidRDefault="00C85DE9" w:rsidP="00467C7D">
            <w:pPr>
              <w:pStyle w:val="CETBodytext"/>
              <w:jc w:val="center"/>
              <w:rPr>
                <w:lang w:val="pt-BR" w:eastAsia="pt-BR"/>
              </w:rPr>
            </w:pPr>
            <w:r>
              <w:rPr>
                <w:lang w:val="pt-BR" w:eastAsia="pt-BR"/>
              </w:rPr>
              <w:t>4.6 x 7.5 x 11.9 (</w:t>
            </w:r>
            <w:proofErr w:type="spellStart"/>
            <w:r w:rsidR="009F40D7">
              <w:rPr>
                <w:lang w:val="pt-BR" w:eastAsia="pt-BR"/>
              </w:rPr>
              <w:t>monomer</w:t>
            </w:r>
            <w:proofErr w:type="spellEnd"/>
            <w:r w:rsidR="009F40D7">
              <w:rPr>
                <w:lang w:val="pt-BR" w:eastAsia="pt-BR"/>
              </w:rPr>
              <w:t>) -</w:t>
            </w:r>
            <w:r>
              <w:rPr>
                <w:lang w:val="pt-BR" w:eastAsia="pt-BR"/>
              </w:rPr>
              <w:t xml:space="preserve">   11.9 x 6.6 x 15.6 (</w:t>
            </w:r>
            <w:proofErr w:type="spellStart"/>
            <w:r>
              <w:rPr>
                <w:lang w:val="pt-BR" w:eastAsia="pt-BR"/>
              </w:rPr>
              <w:t>dimer</w:t>
            </w:r>
            <w:proofErr w:type="spellEnd"/>
            <w:r>
              <w:rPr>
                <w:lang w:val="pt-BR" w:eastAsia="pt-BR"/>
              </w:rPr>
              <w:t xml:space="preserve">) </w:t>
            </w:r>
            <w:r w:rsidRPr="000E4A94">
              <w:rPr>
                <w:vertAlign w:val="superscript"/>
                <w:lang w:val="pt-BR" w:eastAsia="pt-BR"/>
              </w:rPr>
              <w:t>a</w:t>
            </w:r>
          </w:p>
        </w:tc>
      </w:tr>
      <w:tr w:rsidR="00C85DE9" w:rsidRPr="00B57B36" w14:paraId="1F929EB8" w14:textId="77777777" w:rsidTr="00467C7D">
        <w:trPr>
          <w:trHeight w:val="80"/>
        </w:trPr>
        <w:tc>
          <w:tcPr>
            <w:tcW w:w="1250" w:type="pct"/>
            <w:shd w:val="clear" w:color="auto" w:fill="FFFFFF"/>
            <w:vAlign w:val="center"/>
          </w:tcPr>
          <w:p w14:paraId="4B318913" w14:textId="77777777" w:rsidR="00C85DE9" w:rsidRPr="00134039" w:rsidRDefault="00C85DE9" w:rsidP="00467C7D">
            <w:pPr>
              <w:pStyle w:val="CETBodytext"/>
            </w:pPr>
            <w:proofErr w:type="spellStart"/>
            <w:r w:rsidRPr="00134039">
              <w:t>pKa</w:t>
            </w:r>
            <w:proofErr w:type="spellEnd"/>
          </w:p>
        </w:tc>
        <w:tc>
          <w:tcPr>
            <w:tcW w:w="1250" w:type="pct"/>
            <w:shd w:val="clear" w:color="auto" w:fill="FFFFFF"/>
            <w:vAlign w:val="center"/>
          </w:tcPr>
          <w:p w14:paraId="46648827" w14:textId="77777777" w:rsidR="00C85DE9" w:rsidRPr="00952870" w:rsidRDefault="00C85DE9" w:rsidP="00467C7D">
            <w:pPr>
              <w:pStyle w:val="CETBodytext"/>
              <w:rPr>
                <w:lang w:val="pt-BR" w:eastAsia="pt-BR"/>
              </w:rPr>
            </w:pPr>
          </w:p>
        </w:tc>
        <w:tc>
          <w:tcPr>
            <w:tcW w:w="1250" w:type="pct"/>
            <w:shd w:val="clear" w:color="auto" w:fill="FFFFFF"/>
          </w:tcPr>
          <w:p w14:paraId="19C80960" w14:textId="77777777" w:rsidR="00C85DE9" w:rsidRPr="00952870" w:rsidRDefault="00C85DE9" w:rsidP="00467C7D">
            <w:pPr>
              <w:pStyle w:val="CETBodytext"/>
              <w:jc w:val="center"/>
              <w:rPr>
                <w:lang w:val="pt-BR" w:eastAsia="pt-BR"/>
              </w:rPr>
            </w:pPr>
            <w:r>
              <w:rPr>
                <w:lang w:val="pt-BR" w:eastAsia="pt-BR"/>
              </w:rPr>
              <w:t>9.38</w:t>
            </w:r>
            <w:r>
              <w:rPr>
                <w:vertAlign w:val="superscript"/>
                <w:lang w:val="pt-BR" w:eastAsia="pt-BR"/>
              </w:rPr>
              <w:t>b</w:t>
            </w:r>
          </w:p>
        </w:tc>
        <w:tc>
          <w:tcPr>
            <w:tcW w:w="1250" w:type="pct"/>
            <w:shd w:val="clear" w:color="auto" w:fill="FFFFFF"/>
            <w:vAlign w:val="center"/>
          </w:tcPr>
          <w:p w14:paraId="2A1C6D1C" w14:textId="77777777" w:rsidR="00C85DE9" w:rsidRPr="00952870" w:rsidRDefault="00C85DE9" w:rsidP="00467C7D">
            <w:pPr>
              <w:pStyle w:val="CETBodytext"/>
              <w:rPr>
                <w:lang w:val="pt-BR" w:eastAsia="pt-BR"/>
              </w:rPr>
            </w:pPr>
          </w:p>
        </w:tc>
      </w:tr>
    </w:tbl>
    <w:p w14:paraId="6ADD7E49" w14:textId="77777777" w:rsidR="00653927" w:rsidRDefault="00C85DE9" w:rsidP="00C85DE9">
      <w:pPr>
        <w:pStyle w:val="CETBodytext"/>
        <w:jc w:val="right"/>
      </w:pPr>
      <w:r w:rsidRPr="00F416D8">
        <w:rPr>
          <w:vertAlign w:val="superscript"/>
        </w:rPr>
        <w:t>a</w:t>
      </w:r>
      <w:r>
        <w:t xml:space="preserve"> </w:t>
      </w:r>
      <w:proofErr w:type="spellStart"/>
      <w:r w:rsidRPr="00F5376F">
        <w:t>Galhetas</w:t>
      </w:r>
      <w:proofErr w:type="spellEnd"/>
      <w:r w:rsidRPr="00F5376F">
        <w:t xml:space="preserve"> et al. (2014)</w:t>
      </w:r>
    </w:p>
    <w:p w14:paraId="4E20DDE7" w14:textId="14104914" w:rsidR="00653927" w:rsidRDefault="00C85DE9" w:rsidP="00653927">
      <w:pPr>
        <w:pStyle w:val="CETBodytext"/>
        <w:jc w:val="right"/>
        <w:rPr>
          <w:rFonts w:cs="Arial"/>
          <w:color w:val="000000" w:themeColor="text1"/>
          <w:szCs w:val="18"/>
          <w:highlight w:val="yellow"/>
          <w:lang w:val="pt-BR"/>
        </w:rPr>
      </w:pPr>
      <w:r w:rsidRPr="006340F7">
        <w:rPr>
          <w:vertAlign w:val="superscript"/>
          <w:lang w:val="pt-BR"/>
        </w:rPr>
        <w:t>b</w:t>
      </w:r>
      <w:r w:rsidRPr="006340F7">
        <w:rPr>
          <w:lang w:val="pt-BR"/>
        </w:rPr>
        <w:t xml:space="preserve"> </w:t>
      </w:r>
      <w:proofErr w:type="spellStart"/>
      <w:r w:rsidRPr="00B50EF3">
        <w:rPr>
          <w:rFonts w:cs="Arial"/>
          <w:color w:val="000000" w:themeColor="text1"/>
          <w:szCs w:val="18"/>
          <w:lang w:val="pt-BR"/>
        </w:rPr>
        <w:t>Villaescusa</w:t>
      </w:r>
      <w:proofErr w:type="spellEnd"/>
      <w:r w:rsidRPr="00B50EF3">
        <w:rPr>
          <w:rFonts w:cs="Arial"/>
          <w:color w:val="000000" w:themeColor="text1"/>
          <w:szCs w:val="18"/>
          <w:lang w:val="pt-BR"/>
        </w:rPr>
        <w:t xml:space="preserve"> et al. (2011)</w:t>
      </w:r>
    </w:p>
    <w:p w14:paraId="7E36FBAD" w14:textId="77777777" w:rsidR="005A5486" w:rsidRDefault="005A5486" w:rsidP="005A5486">
      <w:pPr>
        <w:pStyle w:val="CETBodytext"/>
        <w:rPr>
          <w:rStyle w:val="CETBodytextCarattere"/>
        </w:rPr>
      </w:pPr>
    </w:p>
    <w:p w14:paraId="52E7C512" w14:textId="33FAB78C" w:rsidR="00653927" w:rsidRDefault="00B623DB" w:rsidP="00653927">
      <w:pPr>
        <w:pStyle w:val="CETBodytext"/>
        <w:rPr>
          <w:rStyle w:val="CETBodytextCarattere"/>
        </w:rPr>
      </w:pPr>
      <w:r>
        <w:rPr>
          <w:noProof/>
        </w:rPr>
        <w:object w:dxaOrig="1440" w:dyaOrig="1440" w14:anchorId="0D98F61C">
          <v:group id="_x0000_s1026" style="position:absolute;left:0;text-align:left;margin-left:31.95pt;margin-top:67.4pt;width:386.5pt;height:303.8pt;z-index:251657216" coordorigin="1500,1411" coordsize="9992,7834">
            <v:group id="_x0000_s1027" style="position:absolute;left:1500;top:1411;width:9992;height:3969" coordorigin="1500,1411" coordsize="9992,3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500;top:1411;width:5102;height:3969;mso-position-horizontal-relative:text;mso-position-vertical-relative:text">
                <v:imagedata r:id="rId11" o:title=""/>
                <o:lock v:ext="edit" aspectratio="f"/>
              </v:shape>
              <v:shape id="_x0000_s1029" type="#_x0000_t75" style="position:absolute;left:6390;top:1411;width:5102;height:3969;mso-position-horizontal-relative:text;mso-position-vertical-relative:text">
                <v:imagedata r:id="rId12" o:title=""/>
                <o:lock v:ext="edit" aspectratio="f"/>
              </v:shape>
            </v:group>
            <v:shape id="_x0000_s1030" type="#_x0000_t75" style="position:absolute;left:3981;top:5459;width:4805;height:3786;mso-position-horizontal-relative:text;mso-position-vertical-relative:text">
              <v:imagedata r:id="rId13" o:title="" croptop="6239f" cropbottom="2339f" cropleft="7171f" cropright="7171f"/>
            </v:shape>
          </v:group>
          <o:OLEObject Type="Embed" ProgID="Origin95.Graph" ShapeID="_x0000_s1028" DrawAspect="Content" ObjectID="_1616000790" r:id="rId14"/>
          <o:OLEObject Type="Embed" ProgID="Origin95.Graph" ShapeID="_x0000_s1029" DrawAspect="Content" ObjectID="_1616000791" r:id="rId15"/>
          <o:OLEObject Type="Embed" ProgID="Origin50.Graph" ShapeID="_x0000_s1030" DrawAspect="Content" ObjectID="_1616000792" r:id="rId16"/>
        </w:object>
      </w:r>
      <w:r w:rsidR="005A5486">
        <w:rPr>
          <w:rStyle w:val="CETBodytextCarattere"/>
        </w:rPr>
        <w:t>APR t</w:t>
      </w:r>
      <w:r w:rsidR="005A5486" w:rsidRPr="00824A84">
        <w:rPr>
          <w:rStyle w:val="CETBodytextCarattere"/>
        </w:rPr>
        <w:t>extural characterization reveal</w:t>
      </w:r>
      <w:r w:rsidR="002429CE">
        <w:rPr>
          <w:rStyle w:val="CETBodytextCarattere"/>
        </w:rPr>
        <w:t>ed</w:t>
      </w:r>
      <w:r w:rsidR="005A5486" w:rsidRPr="00824A84">
        <w:rPr>
          <w:rStyle w:val="CETBodytextCarattere"/>
        </w:rPr>
        <w:t xml:space="preserve"> the p</w:t>
      </w:r>
      <w:r w:rsidR="005A5486">
        <w:rPr>
          <w:rStyle w:val="CETBodytextCarattere"/>
        </w:rPr>
        <w:t>olymer</w:t>
      </w:r>
      <w:r w:rsidR="005A5486" w:rsidRPr="00824A84">
        <w:rPr>
          <w:rStyle w:val="CETBodytextCarattere"/>
        </w:rPr>
        <w:t xml:space="preserve"> lower specific surface area</w:t>
      </w:r>
      <w:r w:rsidR="005A5486">
        <w:rPr>
          <w:rStyle w:val="CETBodytextCarattere"/>
        </w:rPr>
        <w:t xml:space="preserve"> </w:t>
      </w:r>
      <w:r w:rsidR="00200FA0">
        <w:rPr>
          <w:rStyle w:val="CETBodytextCarattere"/>
        </w:rPr>
        <w:t>when compared</w:t>
      </w:r>
      <w:r w:rsidR="00B37AE1">
        <w:rPr>
          <w:rStyle w:val="CETBodytextCarattere"/>
        </w:rPr>
        <w:t xml:space="preserve"> to</w:t>
      </w:r>
      <w:r w:rsidR="007424D0">
        <w:rPr>
          <w:rStyle w:val="CETBodytextCarattere"/>
        </w:rPr>
        <w:t xml:space="preserve"> </w:t>
      </w:r>
      <w:r w:rsidR="00B37AE1">
        <w:rPr>
          <w:rStyle w:val="CETBodytextCarattere"/>
        </w:rPr>
        <w:t xml:space="preserve">commercial adsorbents, </w:t>
      </w:r>
      <w:r w:rsidR="00B67309">
        <w:rPr>
          <w:rStyle w:val="CETBodytextCarattere"/>
        </w:rPr>
        <w:t xml:space="preserve">such </w:t>
      </w:r>
      <w:r w:rsidR="00B37AE1">
        <w:rPr>
          <w:rStyle w:val="CETBodytextCarattere"/>
        </w:rPr>
        <w:t xml:space="preserve">as the activated </w:t>
      </w:r>
      <w:r w:rsidR="00B37AE1" w:rsidRPr="00F5376F">
        <w:rPr>
          <w:rStyle w:val="CETBodytextCarattere"/>
        </w:rPr>
        <w:t>carbons</w:t>
      </w:r>
      <w:r w:rsidR="00E54CC4" w:rsidRPr="00F5376F">
        <w:rPr>
          <w:rFonts w:cs="Arial"/>
          <w:color w:val="000000" w:themeColor="text1"/>
          <w:szCs w:val="18"/>
        </w:rPr>
        <w:t xml:space="preserve"> (García-</w:t>
      </w:r>
      <w:proofErr w:type="spellStart"/>
      <w:r w:rsidR="00E54CC4" w:rsidRPr="00F5376F">
        <w:rPr>
          <w:rFonts w:cs="Arial"/>
          <w:color w:val="000000" w:themeColor="text1"/>
          <w:szCs w:val="18"/>
        </w:rPr>
        <w:t>Mateos</w:t>
      </w:r>
      <w:proofErr w:type="spellEnd"/>
      <w:r w:rsidR="00E54CC4" w:rsidRPr="00F5376F">
        <w:rPr>
          <w:rFonts w:cs="Arial"/>
          <w:color w:val="000000" w:themeColor="text1"/>
          <w:szCs w:val="18"/>
        </w:rPr>
        <w:t xml:space="preserve"> et al., 2015</w:t>
      </w:r>
      <w:r w:rsidR="00E83A87">
        <w:rPr>
          <w:rFonts w:cs="Arial"/>
          <w:color w:val="000000" w:themeColor="text1"/>
          <w:szCs w:val="18"/>
        </w:rPr>
        <w:t xml:space="preserve">; </w:t>
      </w:r>
      <w:r w:rsidR="00496F70">
        <w:rPr>
          <w:rFonts w:cs="Arial"/>
          <w:color w:val="000000" w:themeColor="text1"/>
          <w:szCs w:val="18"/>
        </w:rPr>
        <w:t>Marques et al., 201</w:t>
      </w:r>
      <w:r w:rsidR="005C173E">
        <w:rPr>
          <w:rFonts w:cs="Arial"/>
          <w:color w:val="000000" w:themeColor="text1"/>
          <w:szCs w:val="18"/>
        </w:rPr>
        <w:t>7</w:t>
      </w:r>
      <w:r w:rsidR="00E54CC4">
        <w:rPr>
          <w:rFonts w:cs="Arial"/>
          <w:color w:val="000000" w:themeColor="text1"/>
          <w:szCs w:val="18"/>
        </w:rPr>
        <w:t>)</w:t>
      </w:r>
      <w:r w:rsidR="00B37AE1">
        <w:rPr>
          <w:rStyle w:val="CETBodytextCarattere"/>
        </w:rPr>
        <w:t xml:space="preserve">. </w:t>
      </w:r>
      <w:r w:rsidR="005A5486">
        <w:t>Its</w:t>
      </w:r>
      <w:r w:rsidR="005A5486" w:rsidRPr="005C282B">
        <w:t xml:space="preserve"> </w:t>
      </w:r>
      <w:proofErr w:type="spellStart"/>
      <w:r w:rsidR="005A5486" w:rsidRPr="005C282B">
        <w:t>pH</w:t>
      </w:r>
      <w:r w:rsidR="005A5486">
        <w:rPr>
          <w:vertAlign w:val="subscript"/>
        </w:rPr>
        <w:t>PZC</w:t>
      </w:r>
      <w:proofErr w:type="spellEnd"/>
      <w:r w:rsidR="005A5486">
        <w:t xml:space="preserve"> value of</w:t>
      </w:r>
      <w:r w:rsidR="005A5486" w:rsidRPr="005C282B">
        <w:t xml:space="preserve"> 8.6 </w:t>
      </w:r>
      <w:r w:rsidR="003948E5">
        <w:t>mean</w:t>
      </w:r>
      <w:r w:rsidR="005A5486" w:rsidRPr="005C282B">
        <w:t xml:space="preserve">s </w:t>
      </w:r>
      <w:r w:rsidR="00B2232A">
        <w:t xml:space="preserve">that </w:t>
      </w:r>
      <w:r w:rsidR="005A5486" w:rsidRPr="00077333">
        <w:rPr>
          <w:rStyle w:val="CETBodytextCarattere"/>
        </w:rPr>
        <w:t xml:space="preserve">the material assumes a positive surface when suspended in a medium with pH &lt; </w:t>
      </w:r>
      <w:r w:rsidR="005A5486">
        <w:rPr>
          <w:rStyle w:val="CETBodytextCarattere"/>
        </w:rPr>
        <w:t>8.6</w:t>
      </w:r>
      <w:r w:rsidR="005A5486" w:rsidRPr="00077333">
        <w:rPr>
          <w:rStyle w:val="CETBodytextCarattere"/>
        </w:rPr>
        <w:t xml:space="preserve">, a negative surface </w:t>
      </w:r>
      <w:r w:rsidR="003948E5">
        <w:rPr>
          <w:rStyle w:val="CETBodytextCarattere"/>
        </w:rPr>
        <w:t>in</w:t>
      </w:r>
      <w:r w:rsidR="005A5486" w:rsidRPr="00077333">
        <w:rPr>
          <w:rStyle w:val="CETBodytextCarattere"/>
        </w:rPr>
        <w:t xml:space="preserve"> a medium with pH &gt; </w:t>
      </w:r>
      <w:r w:rsidR="005A5486">
        <w:rPr>
          <w:rStyle w:val="CETBodytextCarattere"/>
        </w:rPr>
        <w:t xml:space="preserve">8.6 </w:t>
      </w:r>
      <w:r w:rsidR="005A5486" w:rsidRPr="00077333">
        <w:rPr>
          <w:rStyle w:val="CETBodytextCarattere"/>
        </w:rPr>
        <w:t>and the electrical surface charges are cancelled, becoming neutral, at pH =</w:t>
      </w:r>
      <w:r w:rsidR="003B1690">
        <w:rPr>
          <w:rStyle w:val="CETBodytextCarattere"/>
        </w:rPr>
        <w:t xml:space="preserve"> </w:t>
      </w:r>
      <w:r w:rsidR="005A5486">
        <w:rPr>
          <w:rStyle w:val="CETBodytextCarattere"/>
        </w:rPr>
        <w:t>8.6</w:t>
      </w:r>
      <w:r w:rsidR="005A5486" w:rsidRPr="00077333">
        <w:rPr>
          <w:rStyle w:val="CETBodytextCarattere"/>
        </w:rPr>
        <w:t>.</w:t>
      </w:r>
      <w:r w:rsidR="005A5486">
        <w:rPr>
          <w:rStyle w:val="CETBodytextCarattere"/>
        </w:rPr>
        <w:t xml:space="preserve"> Th</w:t>
      </w:r>
      <w:r w:rsidR="00AB26C9">
        <w:rPr>
          <w:rStyle w:val="CETBodytextCarattere"/>
        </w:rPr>
        <w:t>us</w:t>
      </w:r>
      <w:r w:rsidR="005A5486">
        <w:rPr>
          <w:rStyle w:val="CETBodytextCarattere"/>
        </w:rPr>
        <w:t>, when materials are suspended in a mediu</w:t>
      </w:r>
      <w:r w:rsidR="00AB26C9">
        <w:rPr>
          <w:rStyle w:val="CETBodytextCarattere"/>
        </w:rPr>
        <w:t>m</w:t>
      </w:r>
      <w:r w:rsidR="005A5486">
        <w:rPr>
          <w:rStyle w:val="CETBodytextCarattere"/>
        </w:rPr>
        <w:t xml:space="preserve"> with pH </w:t>
      </w:r>
      <w:r w:rsidR="00F93053">
        <w:rPr>
          <w:rStyle w:val="CETBodytextCarattere"/>
        </w:rPr>
        <w:t>d</w:t>
      </w:r>
      <w:r w:rsidR="00F93053" w:rsidRPr="00F93053">
        <w:rPr>
          <w:rStyle w:val="CETBodytextCarattere"/>
        </w:rPr>
        <w:t>ifferent from its</w:t>
      </w:r>
      <w:r w:rsidR="00F93053">
        <w:rPr>
          <w:rStyle w:val="CETBodytextCarattere"/>
        </w:rPr>
        <w:t xml:space="preserve"> </w:t>
      </w:r>
      <w:proofErr w:type="spellStart"/>
      <w:r w:rsidR="005A5486">
        <w:rPr>
          <w:rStyle w:val="CETBodytextCarattere"/>
        </w:rPr>
        <w:t>pH</w:t>
      </w:r>
      <w:r w:rsidR="005A5486" w:rsidRPr="005309AB">
        <w:rPr>
          <w:rStyle w:val="CETBodytextCarattere"/>
          <w:vertAlign w:val="subscript"/>
        </w:rPr>
        <w:t>PCZ</w:t>
      </w:r>
      <w:proofErr w:type="spellEnd"/>
      <w:r w:rsidR="005A5486">
        <w:rPr>
          <w:rStyle w:val="CETBodytextCarattere"/>
        </w:rPr>
        <w:t>, a surface charge instability occurs, favoring the adsorption by electrostatic forces</w:t>
      </w:r>
      <w:r w:rsidR="005A5486" w:rsidRPr="000345F4">
        <w:rPr>
          <w:rStyle w:val="CETBodytextCarattere"/>
        </w:rPr>
        <w:t>.</w:t>
      </w:r>
    </w:p>
    <w:p w14:paraId="482C4273" w14:textId="17B42458" w:rsidR="00F16EFF" w:rsidRDefault="002213F1" w:rsidP="00653927">
      <w:pPr>
        <w:pStyle w:val="CETBodytext"/>
        <w:rPr>
          <w:rStyle w:val="CETBodytextCarattere"/>
          <w:highlight w:val="yellow"/>
        </w:rPr>
      </w:pPr>
      <w:r>
        <w:rPr>
          <w:noProof/>
          <w:lang w:val="pt-PT" w:eastAsia="pt-PT"/>
        </w:rPr>
        <mc:AlternateContent>
          <mc:Choice Requires="wpg">
            <w:drawing>
              <wp:anchor distT="0" distB="0" distL="114300" distR="114300" simplePos="0" relativeHeight="251672064" behindDoc="0" locked="0" layoutInCell="1" allowOverlap="1" wp14:anchorId="005E58AE" wp14:editId="4B301472">
                <wp:simplePos x="0" y="0"/>
                <wp:positionH relativeFrom="margin">
                  <wp:posOffset>1028065</wp:posOffset>
                </wp:positionH>
                <wp:positionV relativeFrom="paragraph">
                  <wp:posOffset>-4445</wp:posOffset>
                </wp:positionV>
                <wp:extent cx="3933825" cy="2057400"/>
                <wp:effectExtent l="0" t="0" r="28575" b="0"/>
                <wp:wrapNone/>
                <wp:docPr id="14" name="Agrupar 14"/>
                <wp:cNvGraphicFramePr/>
                <a:graphic xmlns:a="http://schemas.openxmlformats.org/drawingml/2006/main">
                  <a:graphicData uri="http://schemas.microsoft.com/office/word/2010/wordprocessingGroup">
                    <wpg:wgp>
                      <wpg:cNvGrpSpPr/>
                      <wpg:grpSpPr>
                        <a:xfrm>
                          <a:off x="0" y="0"/>
                          <a:ext cx="3933825" cy="2057400"/>
                          <a:chOff x="0" y="0"/>
                          <a:chExt cx="5038725" cy="2666835"/>
                        </a:xfrm>
                      </wpg:grpSpPr>
                      <wpg:grpSp>
                        <wpg:cNvPr id="15" name="Agrupar 15"/>
                        <wpg:cNvGrpSpPr/>
                        <wpg:grpSpPr>
                          <a:xfrm>
                            <a:off x="0" y="276225"/>
                            <a:ext cx="5038725" cy="1828800"/>
                            <a:chOff x="0" y="0"/>
                            <a:chExt cx="5038725" cy="1828800"/>
                          </a:xfrm>
                        </wpg:grpSpPr>
                        <wps:wsp>
                          <wps:cNvPr id="16" name="Retângulo 16"/>
                          <wps:cNvSpPr/>
                          <wps:spPr>
                            <a:xfrm>
                              <a:off x="0" y="1714500"/>
                              <a:ext cx="1161968" cy="114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tângulo 17"/>
                          <wps:cNvSpPr/>
                          <wps:spPr>
                            <a:xfrm>
                              <a:off x="2867025" y="0"/>
                              <a:ext cx="2171700" cy="1819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onector reto 18"/>
                          <wps:cNvCnPr/>
                          <wps:spPr>
                            <a:xfrm flipV="1">
                              <a:off x="1162050" y="9525"/>
                              <a:ext cx="1704427" cy="17049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9" name="Conector reto 19"/>
                          <wps:cNvCnPr/>
                          <wps:spPr>
                            <a:xfrm>
                              <a:off x="1162050" y="1819275"/>
                              <a:ext cx="17043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 name="Agrupar 20"/>
                        <wpg:cNvGrpSpPr/>
                        <wpg:grpSpPr>
                          <a:xfrm>
                            <a:off x="600075" y="0"/>
                            <a:ext cx="3571875" cy="2666835"/>
                            <a:chOff x="0" y="0"/>
                            <a:chExt cx="3571875" cy="2666835"/>
                          </a:xfrm>
                        </wpg:grpSpPr>
                        <wps:wsp>
                          <wps:cNvPr id="21" name="Caixa de Texto 2"/>
                          <wps:cNvSpPr txBox="1">
                            <a:spLocks noChangeArrowheads="1"/>
                          </wps:cNvSpPr>
                          <wps:spPr bwMode="auto">
                            <a:xfrm>
                              <a:off x="0" y="9525"/>
                              <a:ext cx="428625" cy="295274"/>
                            </a:xfrm>
                            <a:prstGeom prst="rect">
                              <a:avLst/>
                            </a:prstGeom>
                            <a:noFill/>
                            <a:ln w="9525">
                              <a:noFill/>
                              <a:miter lim="800000"/>
                              <a:headEnd/>
                              <a:tailEnd/>
                            </a:ln>
                          </wps:spPr>
                          <wps:txbx>
                            <w:txbxContent>
                              <w:p w14:paraId="5FFF3FE5" w14:textId="77777777" w:rsidR="0088050F" w:rsidRDefault="0088050F" w:rsidP="0088050F">
                                <w:r>
                                  <w:t>(a)</w:t>
                                </w:r>
                              </w:p>
                            </w:txbxContent>
                          </wps:txbx>
                          <wps:bodyPr rot="0" vert="horz" wrap="square" lIns="91440" tIns="45720" rIns="91440" bIns="45720" anchor="t" anchorCtr="0">
                            <a:noAutofit/>
                          </wps:bodyPr>
                        </wps:wsp>
                        <wps:wsp>
                          <wps:cNvPr id="22" name="Caixa de Texto 2"/>
                          <wps:cNvSpPr txBox="1">
                            <a:spLocks noChangeArrowheads="1"/>
                          </wps:cNvSpPr>
                          <wps:spPr bwMode="auto">
                            <a:xfrm>
                              <a:off x="3143250" y="0"/>
                              <a:ext cx="428625" cy="295274"/>
                            </a:xfrm>
                            <a:prstGeom prst="rect">
                              <a:avLst/>
                            </a:prstGeom>
                            <a:noFill/>
                            <a:ln w="9525">
                              <a:noFill/>
                              <a:miter lim="800000"/>
                              <a:headEnd/>
                              <a:tailEnd/>
                            </a:ln>
                          </wps:spPr>
                          <wps:txbx>
                            <w:txbxContent>
                              <w:p w14:paraId="51638DB4" w14:textId="77777777" w:rsidR="0088050F" w:rsidRDefault="0088050F" w:rsidP="0088050F">
                                <w:r>
                                  <w:t>(b)</w:t>
                                </w:r>
                              </w:p>
                            </w:txbxContent>
                          </wps:txbx>
                          <wps:bodyPr rot="0" vert="horz" wrap="square" lIns="91440" tIns="45720" rIns="91440" bIns="45720" anchor="t" anchorCtr="0">
                            <a:noAutofit/>
                          </wps:bodyPr>
                        </wps:wsp>
                        <wps:wsp>
                          <wps:cNvPr id="23" name="Caixa de Texto 2"/>
                          <wps:cNvSpPr txBox="1">
                            <a:spLocks noChangeArrowheads="1"/>
                          </wps:cNvSpPr>
                          <wps:spPr bwMode="auto">
                            <a:xfrm>
                              <a:off x="1581150" y="2371560"/>
                              <a:ext cx="428626" cy="295275"/>
                            </a:xfrm>
                            <a:prstGeom prst="rect">
                              <a:avLst/>
                            </a:prstGeom>
                            <a:noFill/>
                            <a:ln w="9525">
                              <a:noFill/>
                              <a:miter lim="800000"/>
                              <a:headEnd/>
                              <a:tailEnd/>
                            </a:ln>
                          </wps:spPr>
                          <wps:txbx>
                            <w:txbxContent>
                              <w:p w14:paraId="797B781D" w14:textId="77777777" w:rsidR="0088050F" w:rsidRDefault="0088050F" w:rsidP="0088050F">
                                <w:r>
                                  <w:t>(c)</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05E58AE" id="Agrupar 14" o:spid="_x0000_s1026" style="position:absolute;left:0;text-align:left;margin-left:80.95pt;margin-top:-.35pt;width:309.75pt;height:162pt;z-index:251672064;mso-position-horizontal-relative:margin;mso-width-relative:margin;mso-height-relative:margin" coordsize="50387,2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">
                <v:group id="Agrupar 15" o:spid="_x0000_s1027" style="position:absolute;top:2762;width:50387;height:18288" coordsize="5038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tângulo 16" o:spid="_x0000_s1028" style="position:absolute;top:17145;width:1161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" filled="f" strokecolor="black [3213]" strokeweight="1.5pt"/>
                  <v:rect id="Retângulo 17" o:spid="_x0000_s1029" style="position:absolute;left:28670;width:21717;height:1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" filled="f" strokecolor="black [3213]" strokeweight="1.5pt"/>
                  <v:line id="Conector reto 18" o:spid="_x0000_s1030" style="position:absolute;flip:y;visibility:visible;mso-wrap-style:square" from="11620,95" to="28664,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" strokecolor="black [3040]" strokeweight="1.5pt"/>
                  <v:line id="Conector reto 19" o:spid="_x0000_s1031" style="position:absolute;visibility:visible;mso-wrap-style:square" from="11620,18192" to="28663,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" strokecolor="black [3213]" strokeweight="1.5pt"/>
                </v:group>
                <v:group id="Agrupar 20" o:spid="_x0000_s1032" style="position:absolute;left:6000;width:35719;height:26668" coordsize="35718,2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Caixa de Texto 2" o:spid="_x0000_s1033" type="#_x0000_t202" style="position:absolute;top:95;width:428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FFF3FE5" w14:textId="77777777" w:rsidR="0088050F" w:rsidRDefault="0088050F" w:rsidP="0088050F">
                          <w:r>
                            <w:t>(a)</w:t>
                          </w:r>
                        </w:p>
                      </w:txbxContent>
                    </v:textbox>
                  </v:shape>
                  <v:shape id="Caixa de Texto 2" o:spid="_x0000_s1034" type="#_x0000_t202" style="position:absolute;left:31432;width:428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1638DB4" w14:textId="77777777" w:rsidR="0088050F" w:rsidRDefault="0088050F" w:rsidP="0088050F">
                          <w:r>
                            <w:t>(b)</w:t>
                          </w:r>
                        </w:p>
                      </w:txbxContent>
                    </v:textbox>
                  </v:shape>
                  <v:shape id="Caixa de Texto 2" o:spid="_x0000_s1035" type="#_x0000_t202" style="position:absolute;left:15811;top:23715;width:428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97B781D" w14:textId="77777777" w:rsidR="0088050F" w:rsidRDefault="0088050F" w:rsidP="0088050F">
                          <w:r>
                            <w:t>(c)</w:t>
                          </w:r>
                        </w:p>
                      </w:txbxContent>
                    </v:textbox>
                  </v:shape>
                </v:group>
                <w10:wrap anchorx="margin"/>
              </v:group>
            </w:pict>
          </mc:Fallback>
        </mc:AlternateContent>
      </w:r>
    </w:p>
    <w:p w14:paraId="13CD62E5" w14:textId="698D1583" w:rsidR="0088050F" w:rsidRDefault="0088050F" w:rsidP="0088050F"/>
    <w:p w14:paraId="4957A662" w14:textId="77777777" w:rsidR="0088050F" w:rsidRDefault="0088050F" w:rsidP="0088050F"/>
    <w:p w14:paraId="4296EA79" w14:textId="77777777" w:rsidR="0088050F" w:rsidRDefault="0088050F" w:rsidP="0088050F"/>
    <w:p w14:paraId="32ADFAE0" w14:textId="77777777" w:rsidR="0088050F" w:rsidRDefault="0088050F" w:rsidP="0088050F"/>
    <w:p w14:paraId="577E31D3" w14:textId="77777777" w:rsidR="0088050F" w:rsidRDefault="0088050F" w:rsidP="0088050F"/>
    <w:p w14:paraId="1F4A4C50" w14:textId="77777777" w:rsidR="0088050F" w:rsidRDefault="0088050F" w:rsidP="0088050F"/>
    <w:p w14:paraId="6F64EB04" w14:textId="584C824F" w:rsidR="0088050F" w:rsidRDefault="0088050F" w:rsidP="00653927">
      <w:pPr>
        <w:pStyle w:val="CETBodytext"/>
        <w:rPr>
          <w:rStyle w:val="CETBodytextCarattere"/>
        </w:rPr>
      </w:pPr>
    </w:p>
    <w:p w14:paraId="0A2FEA9E" w14:textId="6B4861AC" w:rsidR="0088050F" w:rsidRDefault="0088050F" w:rsidP="00653927">
      <w:pPr>
        <w:pStyle w:val="CETBodytext"/>
        <w:rPr>
          <w:rStyle w:val="CETBodytextCarattere"/>
        </w:rPr>
      </w:pPr>
    </w:p>
    <w:p w14:paraId="52D7FF1E" w14:textId="4362F0A6" w:rsidR="0088050F" w:rsidRDefault="0088050F" w:rsidP="00653927">
      <w:pPr>
        <w:pStyle w:val="CETBodytext"/>
        <w:rPr>
          <w:rStyle w:val="CETBodytextCarattere"/>
        </w:rPr>
      </w:pPr>
    </w:p>
    <w:p w14:paraId="45B6E679" w14:textId="14B48574" w:rsidR="0088050F" w:rsidRDefault="0088050F" w:rsidP="00653927">
      <w:pPr>
        <w:pStyle w:val="CETBodytext"/>
        <w:rPr>
          <w:rStyle w:val="CETBodytextCarattere"/>
        </w:rPr>
      </w:pPr>
      <w:bookmarkStart w:id="1" w:name="_GoBack"/>
      <w:bookmarkEnd w:id="1"/>
    </w:p>
    <w:p w14:paraId="6C707048" w14:textId="30905C63" w:rsidR="0088050F" w:rsidRDefault="0088050F" w:rsidP="00653927">
      <w:pPr>
        <w:pStyle w:val="CETBodytext"/>
        <w:rPr>
          <w:rStyle w:val="CETBodytextCarattere"/>
        </w:rPr>
      </w:pPr>
    </w:p>
    <w:p w14:paraId="2D3520E7" w14:textId="6A3BF6B6" w:rsidR="0088050F" w:rsidRDefault="0088050F" w:rsidP="00653927">
      <w:pPr>
        <w:pStyle w:val="CETBodytext"/>
        <w:rPr>
          <w:rStyle w:val="CETBodytextCarattere"/>
        </w:rPr>
      </w:pPr>
    </w:p>
    <w:p w14:paraId="1974982F" w14:textId="28FF046A" w:rsidR="0088050F" w:rsidRDefault="0088050F" w:rsidP="00653927">
      <w:pPr>
        <w:pStyle w:val="CETBodytext"/>
        <w:rPr>
          <w:rStyle w:val="CETBodytextCarattere"/>
        </w:rPr>
      </w:pPr>
    </w:p>
    <w:p w14:paraId="5A5918F8" w14:textId="271FC05B" w:rsidR="0088050F" w:rsidRDefault="0088050F" w:rsidP="00653927">
      <w:pPr>
        <w:pStyle w:val="CETBodytext"/>
        <w:rPr>
          <w:rStyle w:val="CETBodytextCarattere"/>
        </w:rPr>
      </w:pPr>
    </w:p>
    <w:p w14:paraId="082329DF" w14:textId="4809F613" w:rsidR="0088050F" w:rsidRDefault="0088050F" w:rsidP="00653927">
      <w:pPr>
        <w:pStyle w:val="CETBodytext"/>
        <w:rPr>
          <w:rStyle w:val="CETBodytextCarattere"/>
        </w:rPr>
      </w:pPr>
    </w:p>
    <w:p w14:paraId="41321B3B" w14:textId="3A4B8897" w:rsidR="0088050F" w:rsidRDefault="0088050F" w:rsidP="00653927">
      <w:pPr>
        <w:pStyle w:val="CETBodytext"/>
        <w:rPr>
          <w:rStyle w:val="CETBodytextCarattere"/>
        </w:rPr>
      </w:pPr>
    </w:p>
    <w:p w14:paraId="7EC3E0BE" w14:textId="3B91DBB3" w:rsidR="0088050F" w:rsidRDefault="0088050F" w:rsidP="00653927">
      <w:pPr>
        <w:pStyle w:val="CETBodytext"/>
        <w:rPr>
          <w:rStyle w:val="CETBodytextCarattere"/>
        </w:rPr>
      </w:pPr>
    </w:p>
    <w:p w14:paraId="65A63379" w14:textId="341193CE" w:rsidR="0088050F" w:rsidRDefault="0088050F" w:rsidP="00653927">
      <w:pPr>
        <w:pStyle w:val="CETBodytext"/>
        <w:rPr>
          <w:rStyle w:val="CETBodytextCarattere"/>
        </w:rPr>
      </w:pPr>
    </w:p>
    <w:p w14:paraId="2160206D" w14:textId="7FC8C039" w:rsidR="0088050F" w:rsidRDefault="0088050F" w:rsidP="00653927">
      <w:pPr>
        <w:pStyle w:val="CETBodytext"/>
        <w:rPr>
          <w:rStyle w:val="CETBodytextCarattere"/>
        </w:rPr>
      </w:pPr>
    </w:p>
    <w:p w14:paraId="5383479D" w14:textId="6E5F2414" w:rsidR="0088050F" w:rsidRDefault="0088050F" w:rsidP="00653927">
      <w:pPr>
        <w:pStyle w:val="CETBodytext"/>
        <w:rPr>
          <w:rStyle w:val="CETBodytextCarattere"/>
        </w:rPr>
      </w:pPr>
    </w:p>
    <w:p w14:paraId="52F80F7F" w14:textId="11775B46" w:rsidR="0088050F" w:rsidRDefault="0088050F" w:rsidP="00653927">
      <w:pPr>
        <w:pStyle w:val="CETBodytext"/>
        <w:rPr>
          <w:rStyle w:val="CETBodytextCarattere"/>
        </w:rPr>
      </w:pPr>
    </w:p>
    <w:p w14:paraId="2AF541A1" w14:textId="1DE395FB" w:rsidR="0088050F" w:rsidRDefault="0088050F" w:rsidP="00653927">
      <w:pPr>
        <w:pStyle w:val="CETBodytext"/>
        <w:rPr>
          <w:rStyle w:val="CETBodytextCarattere"/>
        </w:rPr>
      </w:pPr>
    </w:p>
    <w:p w14:paraId="3EFD8584" w14:textId="1EF7EFCC" w:rsidR="0088050F" w:rsidRDefault="0088050F" w:rsidP="00653927">
      <w:pPr>
        <w:pStyle w:val="CETBodytext"/>
        <w:rPr>
          <w:rStyle w:val="CETBodytextCarattere"/>
        </w:rPr>
      </w:pPr>
    </w:p>
    <w:p w14:paraId="28B72C98" w14:textId="163681A3" w:rsidR="0088050F" w:rsidRDefault="0088050F" w:rsidP="00653927">
      <w:pPr>
        <w:pStyle w:val="CETBodytext"/>
        <w:rPr>
          <w:rStyle w:val="CETBodytextCarattere"/>
        </w:rPr>
      </w:pPr>
    </w:p>
    <w:p w14:paraId="44180974" w14:textId="692F8CAB" w:rsidR="0088050F" w:rsidRDefault="0088050F" w:rsidP="00653927">
      <w:pPr>
        <w:pStyle w:val="CETBodytext"/>
        <w:rPr>
          <w:rStyle w:val="CETBodytextCarattere"/>
        </w:rPr>
      </w:pPr>
    </w:p>
    <w:p w14:paraId="0BA13D91" w14:textId="1068E832" w:rsidR="004750A4" w:rsidRPr="00444B33" w:rsidRDefault="004750A4" w:rsidP="004750A4">
      <w:pPr>
        <w:pStyle w:val="CETCaption"/>
        <w:rPr>
          <w:lang w:val="en-US"/>
        </w:rPr>
      </w:pPr>
      <w:r>
        <w:t>Figure 1</w:t>
      </w:r>
      <w:r w:rsidRPr="00444B33">
        <w:rPr>
          <w:lang w:val="en-US"/>
        </w:rPr>
        <w:t>: (a) XRF of Z</w:t>
      </w:r>
      <w:proofErr w:type="spellStart"/>
      <w:r>
        <w:t>nO</w:t>
      </w:r>
      <w:proofErr w:type="spellEnd"/>
      <w:r>
        <w:t xml:space="preserve"> and TiO</w:t>
      </w:r>
      <w:r w:rsidRPr="00444B33">
        <w:rPr>
          <w:vertAlign w:val="subscript"/>
        </w:rPr>
        <w:t>2</w:t>
      </w:r>
      <w:r>
        <w:t xml:space="preserve"> </w:t>
      </w:r>
      <w:r w:rsidR="00D727B9">
        <w:t>o</w:t>
      </w:r>
      <w:r>
        <w:t xml:space="preserve">n a scale of 0-100 %; (b) </w:t>
      </w:r>
      <w:r w:rsidR="00D727B9">
        <w:t>Magnificati</w:t>
      </w:r>
      <w:r>
        <w:t xml:space="preserve">on of the region 0-1 % of the </w:t>
      </w:r>
      <w:proofErr w:type="spellStart"/>
      <w:r>
        <w:t>ZnO</w:t>
      </w:r>
      <w:proofErr w:type="spellEnd"/>
      <w:r>
        <w:t xml:space="preserve"> and TiO</w:t>
      </w:r>
      <w:r w:rsidRPr="00444607">
        <w:rPr>
          <w:vertAlign w:val="subscript"/>
        </w:rPr>
        <w:t>2</w:t>
      </w:r>
      <w:r>
        <w:t xml:space="preserve"> XRF; (c) APR FTIR spectr</w:t>
      </w:r>
      <w:r w:rsidR="002513B3">
        <w:t>um</w:t>
      </w:r>
      <w:r>
        <w:t>.</w:t>
      </w:r>
    </w:p>
    <w:p w14:paraId="4ECDD667" w14:textId="625D7EAF" w:rsidR="007A4ED6" w:rsidRDefault="00AD31A5" w:rsidP="007A4ED6">
      <w:pPr>
        <w:pStyle w:val="CETBodytext"/>
      </w:pPr>
      <w:r w:rsidRPr="005456F5">
        <w:rPr>
          <w:rStyle w:val="CETBodytextCarattere"/>
        </w:rPr>
        <w:t>The material chemical structure analys</w:t>
      </w:r>
      <w:r w:rsidR="00AB4221">
        <w:rPr>
          <w:rStyle w:val="CETBodytextCarattere"/>
        </w:rPr>
        <w:t>e</w:t>
      </w:r>
      <w:r w:rsidRPr="005456F5">
        <w:rPr>
          <w:rStyle w:val="CETBodytextCarattere"/>
        </w:rPr>
        <w:t>s prove</w:t>
      </w:r>
      <w:r w:rsidR="00AB4221">
        <w:rPr>
          <w:rStyle w:val="CETBodytextCarattere"/>
        </w:rPr>
        <w:t>d</w:t>
      </w:r>
      <w:r w:rsidRPr="005456F5">
        <w:rPr>
          <w:rStyle w:val="CETBodytextCarattere"/>
        </w:rPr>
        <w:t xml:space="preserve"> the inorganic nature of </w:t>
      </w:r>
      <w:proofErr w:type="spellStart"/>
      <w:r w:rsidRPr="005456F5">
        <w:rPr>
          <w:rStyle w:val="CETBodytextCarattere"/>
        </w:rPr>
        <w:t>ZnO</w:t>
      </w:r>
      <w:proofErr w:type="spellEnd"/>
      <w:r w:rsidRPr="005456F5">
        <w:rPr>
          <w:rStyle w:val="CETBodytextCarattere"/>
        </w:rPr>
        <w:t xml:space="preserve"> and TiO2, with linkages between metals and oxygen. XRF analysis also gives </w:t>
      </w:r>
      <w:proofErr w:type="spellStart"/>
      <w:r w:rsidRPr="005456F5">
        <w:rPr>
          <w:rStyle w:val="CETBodytextCarattere"/>
        </w:rPr>
        <w:t>ZnO</w:t>
      </w:r>
      <w:proofErr w:type="spellEnd"/>
      <w:r w:rsidRPr="005456F5">
        <w:rPr>
          <w:rStyle w:val="CETBodytextCarattere"/>
        </w:rPr>
        <w:t xml:space="preserve"> and TiO</w:t>
      </w:r>
      <w:r w:rsidRPr="005309AB">
        <w:rPr>
          <w:rStyle w:val="CETBodytextCarattere"/>
          <w:vertAlign w:val="subscript"/>
        </w:rPr>
        <w:t>2</w:t>
      </w:r>
      <w:r w:rsidRPr="005456F5">
        <w:rPr>
          <w:rStyle w:val="CETBodytextCarattere"/>
        </w:rPr>
        <w:t xml:space="preserve"> purities, which are 99.3 and 99.5 %, respectively.  The organic nature of APR is noticeable by looking at the FTIR spectr</w:t>
      </w:r>
      <w:r w:rsidR="002513B3">
        <w:rPr>
          <w:rStyle w:val="CETBodytextCarattere"/>
        </w:rPr>
        <w:t>um</w:t>
      </w:r>
      <w:r w:rsidRPr="005456F5">
        <w:rPr>
          <w:rStyle w:val="CETBodytextCarattere"/>
        </w:rPr>
        <w:t>, w</w:t>
      </w:r>
      <w:r w:rsidR="002B0D70">
        <w:rPr>
          <w:rStyle w:val="CETBodytextCarattere"/>
        </w:rPr>
        <w:t>hich</w:t>
      </w:r>
      <w:r w:rsidRPr="005456F5">
        <w:rPr>
          <w:rStyle w:val="CETBodytextCarattere"/>
        </w:rPr>
        <w:t xml:space="preserve"> show</w:t>
      </w:r>
      <w:r w:rsidR="002513B3">
        <w:rPr>
          <w:rStyle w:val="CETBodytextCarattere"/>
        </w:rPr>
        <w:t xml:space="preserve">s </w:t>
      </w:r>
      <w:r w:rsidRPr="005456F5">
        <w:rPr>
          <w:rStyle w:val="CETBodytextCarattere"/>
        </w:rPr>
        <w:t>diversified organic functional groups on materials surface. Moreover, the</w:t>
      </w:r>
      <w:r w:rsidR="00FB727B">
        <w:rPr>
          <w:rStyle w:val="CETBodytextCarattere"/>
        </w:rPr>
        <w:t xml:space="preserve"> resin</w:t>
      </w:r>
      <w:r w:rsidRPr="005456F5">
        <w:rPr>
          <w:rStyle w:val="CETBodytextCarattere"/>
        </w:rPr>
        <w:t xml:space="preserve"> FTIR analysis reveal</w:t>
      </w:r>
      <w:r w:rsidR="00056F79">
        <w:rPr>
          <w:rStyle w:val="CETBodytextCarattere"/>
        </w:rPr>
        <w:t>ed</w:t>
      </w:r>
      <w:r w:rsidRPr="005456F5">
        <w:rPr>
          <w:rStyle w:val="CETBodytextCarattere"/>
        </w:rPr>
        <w:t xml:space="preserve"> the </w:t>
      </w:r>
      <w:r w:rsidR="00F17BB3">
        <w:rPr>
          <w:rStyle w:val="CETBodytextCarattere"/>
        </w:rPr>
        <w:t xml:space="preserve">presence of hydroxyl (-OH) groups </w:t>
      </w:r>
      <w:r w:rsidR="00FB727B">
        <w:rPr>
          <w:rStyle w:val="CETBodytextCarattere"/>
        </w:rPr>
        <w:t xml:space="preserve">by the </w:t>
      </w:r>
      <w:r w:rsidR="00F17BB3">
        <w:rPr>
          <w:rStyle w:val="CETBodytextCarattere"/>
        </w:rPr>
        <w:t>peak 3400 cm</w:t>
      </w:r>
      <w:r w:rsidR="00F17BB3" w:rsidRPr="00764526">
        <w:rPr>
          <w:rStyle w:val="CETBodytextCarattere"/>
          <w:vertAlign w:val="superscript"/>
        </w:rPr>
        <w:t>-1</w:t>
      </w:r>
      <w:r w:rsidR="00FB727B">
        <w:rPr>
          <w:rStyle w:val="CETBodytextCarattere"/>
        </w:rPr>
        <w:t>,</w:t>
      </w:r>
      <w:r w:rsidR="00764526">
        <w:rPr>
          <w:rStyle w:val="CETBodytextCarattere"/>
        </w:rPr>
        <w:t xml:space="preserve"> the </w:t>
      </w:r>
      <w:r w:rsidRPr="005456F5">
        <w:rPr>
          <w:rStyle w:val="CETBodytextCarattere"/>
        </w:rPr>
        <w:t xml:space="preserve">APR aromatic nature (C=C) </w:t>
      </w:r>
      <w:r w:rsidR="00FB727B">
        <w:rPr>
          <w:rStyle w:val="CETBodytextCarattere"/>
        </w:rPr>
        <w:t xml:space="preserve">is represented </w:t>
      </w:r>
      <w:r w:rsidRPr="005456F5">
        <w:rPr>
          <w:rStyle w:val="CETBodytextCarattere"/>
        </w:rPr>
        <w:t>by the peaks at 1496 and 1593 cm</w:t>
      </w:r>
      <w:r w:rsidRPr="005309AB">
        <w:rPr>
          <w:rStyle w:val="CETBodytextCarattere"/>
          <w:vertAlign w:val="superscript"/>
        </w:rPr>
        <w:t>-1</w:t>
      </w:r>
      <w:r w:rsidRPr="005456F5">
        <w:rPr>
          <w:rStyle w:val="CETBodytextCarattere"/>
        </w:rPr>
        <w:t>, and the polymer methylene (C-H)  and ether-methylene (C-H and C-O) bridges through the peaks at 2937, 1463 and 1037 cm</w:t>
      </w:r>
      <w:r w:rsidRPr="005309AB">
        <w:rPr>
          <w:rStyle w:val="CETBodytextCarattere"/>
          <w:vertAlign w:val="superscript"/>
        </w:rPr>
        <w:t>−</w:t>
      </w:r>
      <w:r w:rsidRPr="00141475">
        <w:rPr>
          <w:rStyle w:val="CETBodytextCarattere"/>
          <w:vertAlign w:val="superscript"/>
        </w:rPr>
        <w:t>1</w:t>
      </w:r>
      <w:r w:rsidRPr="00141475">
        <w:rPr>
          <w:rStyle w:val="CETBodytextCarattere"/>
        </w:rPr>
        <w:t xml:space="preserve"> (Martínez et al., 2016).</w:t>
      </w:r>
      <w:r>
        <w:rPr>
          <w:rStyle w:val="CETBodytextCarattere"/>
        </w:rPr>
        <w:t xml:space="preserve"> </w:t>
      </w:r>
      <w:r w:rsidR="0051650B" w:rsidRPr="005137BF">
        <w:rPr>
          <w:rStyle w:val="CETBodytextCarattere"/>
        </w:rPr>
        <w:t xml:space="preserve">Despite the APR low specific surface </w:t>
      </w:r>
      <w:r w:rsidR="005137BF" w:rsidRPr="005137BF">
        <w:rPr>
          <w:rStyle w:val="CETBodytextCarattere"/>
        </w:rPr>
        <w:t>area</w:t>
      </w:r>
      <w:r w:rsidR="0051650B" w:rsidRPr="005137BF">
        <w:rPr>
          <w:rStyle w:val="CETBodytextCarattere"/>
        </w:rPr>
        <w:t>, its diversifie</w:t>
      </w:r>
      <w:r w:rsidR="000861DC" w:rsidRPr="005137BF">
        <w:rPr>
          <w:rStyle w:val="CETBodytextCarattere"/>
        </w:rPr>
        <w:t xml:space="preserve">d </w:t>
      </w:r>
      <w:r w:rsidR="0051650B" w:rsidRPr="005137BF">
        <w:rPr>
          <w:rStyle w:val="CETBodytextCarattere"/>
        </w:rPr>
        <w:t>surface functional groups</w:t>
      </w:r>
      <w:r w:rsidR="007B5484" w:rsidRPr="005137BF">
        <w:rPr>
          <w:rStyle w:val="CETBodytextCarattere"/>
        </w:rPr>
        <w:t xml:space="preserve"> have </w:t>
      </w:r>
      <w:r w:rsidR="005137BF">
        <w:rPr>
          <w:rStyle w:val="CETBodytextCarattere"/>
        </w:rPr>
        <w:t xml:space="preserve">a positive impact </w:t>
      </w:r>
      <w:r w:rsidR="007B5484" w:rsidRPr="005137BF">
        <w:rPr>
          <w:rStyle w:val="CETBodytextCarattere"/>
        </w:rPr>
        <w:t>on the adsorption</w:t>
      </w:r>
      <w:r w:rsidR="002E6219">
        <w:rPr>
          <w:rStyle w:val="CETBodytextCarattere"/>
        </w:rPr>
        <w:t>,</w:t>
      </w:r>
      <w:r w:rsidR="005B159E">
        <w:rPr>
          <w:rStyle w:val="CETBodytextCarattere"/>
        </w:rPr>
        <w:t xml:space="preserve"> showing it</w:t>
      </w:r>
      <w:r w:rsidR="007B5484" w:rsidRPr="005137BF">
        <w:rPr>
          <w:rStyle w:val="CETBodytextCarattere"/>
        </w:rPr>
        <w:t>s potential for</w:t>
      </w:r>
      <w:r w:rsidR="005137BF" w:rsidRPr="005137BF">
        <w:rPr>
          <w:rStyle w:val="CETBodytextCarattere"/>
        </w:rPr>
        <w:t xml:space="preserve"> </w:t>
      </w:r>
      <w:r w:rsidR="005B159E">
        <w:rPr>
          <w:rStyle w:val="CETBodytextCarattere"/>
        </w:rPr>
        <w:t xml:space="preserve">the </w:t>
      </w:r>
      <w:r w:rsidR="005137BF" w:rsidRPr="005137BF">
        <w:rPr>
          <w:rStyle w:val="CETBodytextCarattere"/>
        </w:rPr>
        <w:t>drug removal from wastewater.</w:t>
      </w:r>
      <w:r w:rsidR="007A4ED6" w:rsidRPr="007A4ED6">
        <w:t xml:space="preserve"> </w:t>
      </w:r>
    </w:p>
    <w:p w14:paraId="49A713FF" w14:textId="77777777" w:rsidR="007A4ED6" w:rsidRDefault="007A4ED6" w:rsidP="007A4ED6">
      <w:pPr>
        <w:pStyle w:val="CETCaption"/>
      </w:pPr>
      <w:r>
        <w:rPr>
          <w:rFonts w:cs="Arial"/>
          <w:noProof/>
          <w:color w:val="000000" w:themeColor="text1"/>
          <w:szCs w:val="18"/>
          <w:lang w:val="pt-PT" w:eastAsia="pt-PT"/>
        </w:rPr>
        <w:lastRenderedPageBreak/>
        <w:drawing>
          <wp:anchor distT="0" distB="0" distL="114300" distR="114300" simplePos="0" relativeHeight="251674112" behindDoc="0" locked="0" layoutInCell="1" allowOverlap="1" wp14:anchorId="5FDB7E6F" wp14:editId="2FA95EA0">
            <wp:simplePos x="0" y="0"/>
            <wp:positionH relativeFrom="margin">
              <wp:align>center</wp:align>
            </wp:positionH>
            <wp:positionV relativeFrom="paragraph">
              <wp:posOffset>0</wp:posOffset>
            </wp:positionV>
            <wp:extent cx="2899410" cy="1907540"/>
            <wp:effectExtent l="0" t="0" r="0" b="0"/>
            <wp:wrapSquare wrapText="bothSides"/>
            <wp:docPr id="10" name="Gráfico 10">
              <a:extLst xmlns:a="http://schemas.openxmlformats.org/drawingml/2006/main"/>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29B6EAAA" w14:textId="77777777" w:rsidR="007A4ED6" w:rsidRDefault="007A4ED6" w:rsidP="007A4ED6">
      <w:pPr>
        <w:pStyle w:val="CETCaption"/>
      </w:pPr>
    </w:p>
    <w:p w14:paraId="69554B1B" w14:textId="77777777" w:rsidR="007A4ED6" w:rsidRDefault="007A4ED6" w:rsidP="007A4ED6">
      <w:pPr>
        <w:pStyle w:val="CETCaption"/>
      </w:pPr>
    </w:p>
    <w:p w14:paraId="082F325D" w14:textId="77777777" w:rsidR="007A4ED6" w:rsidRDefault="007A4ED6" w:rsidP="007A4ED6">
      <w:pPr>
        <w:pStyle w:val="CETCaption"/>
      </w:pPr>
    </w:p>
    <w:p w14:paraId="15ABCE50" w14:textId="77777777" w:rsidR="007A4ED6" w:rsidRDefault="007A4ED6" w:rsidP="007A4ED6">
      <w:pPr>
        <w:pStyle w:val="CETCaption"/>
      </w:pPr>
    </w:p>
    <w:p w14:paraId="7B169333" w14:textId="77777777" w:rsidR="007A4ED6" w:rsidRDefault="007A4ED6" w:rsidP="007A4ED6">
      <w:pPr>
        <w:pStyle w:val="CETCaption"/>
      </w:pPr>
    </w:p>
    <w:p w14:paraId="02A7DF8F" w14:textId="77777777" w:rsidR="002213F1" w:rsidRPr="002213F1" w:rsidRDefault="002213F1" w:rsidP="007A4ED6">
      <w:pPr>
        <w:pStyle w:val="CETCaption"/>
        <w:rPr>
          <w:sz w:val="2"/>
        </w:rPr>
      </w:pPr>
    </w:p>
    <w:p w14:paraId="2C19F7F3" w14:textId="0F9FDB2C" w:rsidR="007A4ED6" w:rsidRDefault="007A4ED6" w:rsidP="007A4ED6">
      <w:pPr>
        <w:pStyle w:val="CETCaption"/>
      </w:pPr>
      <w:r>
        <w:t xml:space="preserve">Figure </w:t>
      </w:r>
      <w:r w:rsidR="008B6B2A">
        <w:t>2</w:t>
      </w:r>
      <w:r w:rsidRPr="00444B33">
        <w:t>:</w:t>
      </w:r>
      <w:r>
        <w:t xml:space="preserve"> Paracetamol solution pH effect on adsorption capacity.</w:t>
      </w:r>
      <w:r>
        <w:rPr>
          <w:vertAlign w:val="superscript"/>
        </w:rPr>
        <w:t xml:space="preserve"> </w:t>
      </w:r>
      <w:r w:rsidRPr="00896747">
        <w:t xml:space="preserve">Paracetamol concentration: 50 </w:t>
      </w:r>
      <w:proofErr w:type="gramStart"/>
      <w:r w:rsidRPr="00896747">
        <w:t>mg.L</w:t>
      </w:r>
      <w:proofErr w:type="gramEnd"/>
      <w:r w:rsidRPr="00896747">
        <w:rPr>
          <w:vertAlign w:val="superscript"/>
        </w:rPr>
        <w:t>-1</w:t>
      </w:r>
      <w:r w:rsidRPr="00896747">
        <w:t xml:space="preserve">; Volume: 20 mL; </w:t>
      </w:r>
      <w:r>
        <w:t>APR</w:t>
      </w:r>
      <w:r w:rsidRPr="00896747">
        <w:t xml:space="preserve"> weight: </w:t>
      </w:r>
      <w:r>
        <w:t xml:space="preserve">50 </w:t>
      </w:r>
      <w:r w:rsidRPr="00896747">
        <w:t xml:space="preserve">mg; pH: </w:t>
      </w:r>
      <w:r>
        <w:t>5-9</w:t>
      </w:r>
      <w:r w:rsidRPr="00896747">
        <w:t>.</w:t>
      </w:r>
    </w:p>
    <w:p w14:paraId="3B26BAA7" w14:textId="21A5AB6B" w:rsidR="008D31FC" w:rsidRDefault="007A4ED6" w:rsidP="008D31FC">
      <w:pPr>
        <w:pStyle w:val="CETBodytext"/>
        <w:rPr>
          <w:rStyle w:val="CETBodytextCarattere"/>
        </w:rPr>
      </w:pPr>
      <w:r w:rsidRPr="00150051">
        <w:t>The influence of the solution pH on the paracetamol removal is i</w:t>
      </w:r>
      <w:r>
        <w:t>llustrated</w:t>
      </w:r>
      <w:r w:rsidRPr="00150051">
        <w:t xml:space="preserve"> in Figure </w:t>
      </w:r>
      <w:r w:rsidR="008B6B2A">
        <w:t>2</w:t>
      </w:r>
      <w:r w:rsidRPr="00150051">
        <w:t xml:space="preserve">. </w:t>
      </w:r>
      <w:r w:rsidRPr="003E713A">
        <w:t xml:space="preserve">The APR adsorption capacity did not show noteworthy changes </w:t>
      </w:r>
      <w:r>
        <w:t>i</w:t>
      </w:r>
      <w:r w:rsidRPr="007257EE">
        <w:t>n the pH’s range assessed</w:t>
      </w:r>
      <w:r w:rsidRPr="003E713A">
        <w:t xml:space="preserve">, </w:t>
      </w:r>
      <w:r>
        <w:t>r</w:t>
      </w:r>
      <w:r w:rsidRPr="00915E10">
        <w:t xml:space="preserve">emaining constant at an average value of </w:t>
      </w:r>
      <w:r w:rsidRPr="003E713A">
        <w:t xml:space="preserve">12 </w:t>
      </w:r>
      <w:proofErr w:type="gramStart"/>
      <w:r w:rsidRPr="003E713A">
        <w:t>mg.g</w:t>
      </w:r>
      <w:proofErr w:type="gramEnd"/>
      <w:r w:rsidRPr="003E713A">
        <w:rPr>
          <w:vertAlign w:val="superscript"/>
        </w:rPr>
        <w:t>-1</w:t>
      </w:r>
      <w:r w:rsidRPr="003E713A">
        <w:t xml:space="preserve">. </w:t>
      </w:r>
      <w:r w:rsidRPr="00A818FD">
        <w:t>Since th</w:t>
      </w:r>
      <w:r>
        <w:t>e</w:t>
      </w:r>
      <w:r w:rsidRPr="00A818FD">
        <w:t xml:space="preserve"> paracetamol </w:t>
      </w:r>
      <w:proofErr w:type="spellStart"/>
      <w:r w:rsidRPr="00A818FD">
        <w:t>pKa</w:t>
      </w:r>
      <w:proofErr w:type="spellEnd"/>
      <w:r w:rsidRPr="00A818FD">
        <w:t xml:space="preserve"> is 9.38, as shown in Table 2</w:t>
      </w:r>
      <w:r>
        <w:t xml:space="preserve">, at pH below its </w:t>
      </w:r>
      <w:proofErr w:type="spellStart"/>
      <w:r>
        <w:t>pKa</w:t>
      </w:r>
      <w:proofErr w:type="spellEnd"/>
      <w:r>
        <w:t xml:space="preserve"> the drug molecules are found deprotonated, i.e., in their molecular form. As a result, the adsorption is not dictated by the electrostatic interactions between the APR and paracetamol. </w:t>
      </w:r>
      <w:r w:rsidRPr="001E17A1">
        <w:t>Moreover,</w:t>
      </w:r>
      <w:r>
        <w:t xml:space="preserve"> </w:t>
      </w:r>
      <w:r w:rsidRPr="001E17A1">
        <w:t>the APR has a variety of s</w:t>
      </w:r>
      <w:r>
        <w:t xml:space="preserve">urface functional groups, Figure 1 (c), including aromatic rings and hydroxyl groups. Those groups are characteristic of bio-phenolic compounds structure, such as tannin and lignin. </w:t>
      </w:r>
      <w:r w:rsidRPr="008C749C">
        <w:t xml:space="preserve">As a result, </w:t>
      </w:r>
      <w:r>
        <w:t xml:space="preserve">the adsorption mechanisms are related to </w:t>
      </w:r>
      <w:r w:rsidRPr="008C749C">
        <w:t xml:space="preserve">the </w:t>
      </w:r>
      <w:r w:rsidRPr="002E0088">
        <w:t>π</w:t>
      </w:r>
      <w:r w:rsidRPr="008C749C">
        <w:t>-</w:t>
      </w:r>
      <w:r w:rsidRPr="002E0088">
        <w:t>π</w:t>
      </w:r>
      <w:r w:rsidRPr="008C749C">
        <w:t xml:space="preserve"> interactions between the aromatic rings fr</w:t>
      </w:r>
      <w:r>
        <w:t xml:space="preserve">om the APR and paracetamol. </w:t>
      </w:r>
      <w:r w:rsidRPr="00AD7172">
        <w:t xml:space="preserve">Moreover, the phenolic hydroxyl groups on the APR surface can make hydrogen bonds with the O-H and N-H linkages of the paracetamol molecule, which </w:t>
      </w:r>
      <w:r w:rsidR="00D76F86">
        <w:t>justifies</w:t>
      </w:r>
      <w:r w:rsidRPr="00AD7172">
        <w:t xml:space="preserve"> the adsorption capacity ac</w:t>
      </w:r>
      <w:r>
        <w:t>hieved (</w:t>
      </w:r>
      <w:r w:rsidRPr="00C12A96">
        <w:t>Rivera-</w:t>
      </w:r>
      <w:proofErr w:type="spellStart"/>
      <w:r w:rsidRPr="00C12A96">
        <w:t>Utrill</w:t>
      </w:r>
      <w:r>
        <w:t>a</w:t>
      </w:r>
      <w:proofErr w:type="spellEnd"/>
      <w:r w:rsidRPr="00C12A96">
        <w:t xml:space="preserve"> </w:t>
      </w:r>
      <w:r>
        <w:t>&amp;</w:t>
      </w:r>
      <w:r w:rsidRPr="00C12A96">
        <w:t xml:space="preserve"> Sánchez-Polo, 2011</w:t>
      </w:r>
      <w:r>
        <w:t xml:space="preserve">; </w:t>
      </w:r>
      <w:proofErr w:type="spellStart"/>
      <w:r w:rsidRPr="00EE79D3">
        <w:t>Villaescusa</w:t>
      </w:r>
      <w:proofErr w:type="spellEnd"/>
      <w:r>
        <w:t xml:space="preserve"> et al., 2011).</w:t>
      </w:r>
    </w:p>
    <w:p w14:paraId="66621839" w14:textId="459DD172" w:rsidR="00533F7F" w:rsidRPr="00730CFF" w:rsidRDefault="00D22088" w:rsidP="008D31FC">
      <w:pPr>
        <w:pStyle w:val="CETCaption"/>
        <w:rPr>
          <w:lang w:val="en-US"/>
        </w:rPr>
      </w:pPr>
      <w:r>
        <w:rPr>
          <w:noProof/>
          <w:lang w:val="pt-PT" w:eastAsia="pt-PT"/>
        </w:rPr>
        <mc:AlternateContent>
          <mc:Choice Requires="wpg">
            <w:drawing>
              <wp:anchor distT="0" distB="0" distL="114300" distR="114300" simplePos="0" relativeHeight="251639296" behindDoc="0" locked="0" layoutInCell="1" allowOverlap="1" wp14:anchorId="617F36CF" wp14:editId="4F25F8EA">
                <wp:simplePos x="0" y="0"/>
                <wp:positionH relativeFrom="margin">
                  <wp:posOffset>-120015</wp:posOffset>
                </wp:positionH>
                <wp:positionV relativeFrom="paragraph">
                  <wp:posOffset>0</wp:posOffset>
                </wp:positionV>
                <wp:extent cx="5819775" cy="1952625"/>
                <wp:effectExtent l="0" t="0" r="0" b="0"/>
                <wp:wrapSquare wrapText="bothSides"/>
                <wp:docPr id="4" name="Agrupar 4"/>
                <wp:cNvGraphicFramePr/>
                <a:graphic xmlns:a="http://schemas.openxmlformats.org/drawingml/2006/main">
                  <a:graphicData uri="http://schemas.microsoft.com/office/word/2010/wordprocessingGroup">
                    <wpg:wgp>
                      <wpg:cNvGrpSpPr/>
                      <wpg:grpSpPr>
                        <a:xfrm>
                          <a:off x="0" y="0"/>
                          <a:ext cx="5819775" cy="1952625"/>
                          <a:chOff x="0" y="0"/>
                          <a:chExt cx="5100955" cy="1667510"/>
                        </a:xfrm>
                      </wpg:grpSpPr>
                      <wpg:grpSp>
                        <wpg:cNvPr id="3" name="Agrupar 3"/>
                        <wpg:cNvGrpSpPr/>
                        <wpg:grpSpPr>
                          <a:xfrm>
                            <a:off x="0" y="47625"/>
                            <a:ext cx="5100955" cy="1619885"/>
                            <a:chOff x="0" y="0"/>
                            <a:chExt cx="5100955" cy="1619885"/>
                          </a:xfrm>
                        </wpg:grpSpPr>
                        <wpg:graphicFrame>
                          <wpg:cNvPr id="2" name="Gráfico 2">
                            <a:extLst>
                              <a:ext uri="{FF2B5EF4-FFF2-40B4-BE49-F238E27FC236}">
                                <a16:creationId xmlns:a16="http://schemas.microsoft.com/office/drawing/2014/main" id="{FED26F52-87A5-4F66-BFE5-FB401889A1FE}"/>
                              </a:ext>
                            </a:extLst>
                          </wpg:cNvPr>
                          <wpg:cNvFrPr/>
                          <wpg:xfrm>
                            <a:off x="0" y="0"/>
                            <a:ext cx="2519680" cy="1619885"/>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1" name="Gráfico 1">
                            <a:extLst>
                              <a:ext uri="{FF2B5EF4-FFF2-40B4-BE49-F238E27FC236}">
                                <a16:creationId xmlns:a16="http://schemas.microsoft.com/office/drawing/2014/main" id="{B1ED479C-7B59-45B8-AD2A-4F48E2D6AA4D}"/>
                              </a:ext>
                            </a:extLst>
                          </wpg:cNvPr>
                          <wpg:cNvFrPr/>
                          <wpg:xfrm>
                            <a:off x="2524125" y="0"/>
                            <a:ext cx="2576830" cy="1619885"/>
                          </wpg:xfrm>
                          <a:graphic>
                            <a:graphicData uri="http://schemas.openxmlformats.org/drawingml/2006/chart">
                              <c:chart xmlns:c="http://schemas.openxmlformats.org/drawingml/2006/chart" xmlns:r="http://schemas.openxmlformats.org/officeDocument/2006/relationships" r:id="rId19"/>
                            </a:graphicData>
                          </a:graphic>
                        </wpg:graphicFrame>
                      </wpg:grpSp>
                      <wps:wsp>
                        <wps:cNvPr id="217" name="Caixa de Texto 2"/>
                        <wps:cNvSpPr txBox="1">
                          <a:spLocks noChangeArrowheads="1"/>
                        </wps:cNvSpPr>
                        <wps:spPr bwMode="auto">
                          <a:xfrm>
                            <a:off x="0" y="0"/>
                            <a:ext cx="5048250" cy="245110"/>
                          </a:xfrm>
                          <a:prstGeom prst="rect">
                            <a:avLst/>
                          </a:prstGeom>
                          <a:noFill/>
                          <a:ln w="9525">
                            <a:noFill/>
                            <a:miter lim="800000"/>
                            <a:headEnd/>
                            <a:tailEnd/>
                          </a:ln>
                        </wps:spPr>
                        <wps:txbx>
                          <w:txbxContent>
                            <w:p w14:paraId="0F1078F9" w14:textId="5718E131" w:rsidR="00213E75" w:rsidRPr="00213E75" w:rsidRDefault="00213E75" w:rsidP="00213E75">
                              <w:pPr>
                                <w:ind w:left="360"/>
                                <w:rPr>
                                  <w:lang w:val="pt-BR"/>
                                </w:rPr>
                              </w:pPr>
                              <w:r>
                                <w:rPr>
                                  <w:lang w:val="pt-BR"/>
                                </w:rPr>
                                <w:t xml:space="preserve"> </w:t>
                              </w:r>
                              <w:r w:rsidR="007024B7">
                                <w:rPr>
                                  <w:lang w:val="pt-BR"/>
                                </w:rPr>
                                <w:t xml:space="preserve">                           </w:t>
                              </w:r>
                              <w:r w:rsidR="00CC69C5">
                                <w:rPr>
                                  <w:lang w:val="pt-BR"/>
                                </w:rPr>
                                <w:t xml:space="preserve">      </w:t>
                              </w:r>
                              <w:r w:rsidR="007024B7">
                                <w:rPr>
                                  <w:lang w:val="pt-BR"/>
                                </w:rPr>
                                <w:t xml:space="preserve"> (a) </w:t>
                              </w:r>
                              <w:r w:rsidRPr="00213E75">
                                <w:rPr>
                                  <w:lang w:val="pt-BR"/>
                                </w:rPr>
                                <w:t xml:space="preserve">                                                                       </w:t>
                              </w:r>
                              <w:r w:rsidR="00CC69C5">
                                <w:rPr>
                                  <w:lang w:val="pt-BR"/>
                                </w:rPr>
                                <w:t xml:space="preserve">           </w:t>
                              </w:r>
                              <w:r w:rsidRPr="00213E75">
                                <w:rPr>
                                  <w:lang w:val="pt-BR"/>
                                </w:rPr>
                                <w:t xml:space="preserve"> </w:t>
                              </w:r>
                              <w:proofErr w:type="gramStart"/>
                              <w:r w:rsidRPr="00213E75">
                                <w:rPr>
                                  <w:lang w:val="pt-BR"/>
                                </w:rPr>
                                <w:t xml:space="preserve"> </w:t>
                              </w:r>
                              <w:r w:rsidR="007024B7" w:rsidRPr="00213E75">
                                <w:rPr>
                                  <w:lang w:val="pt-BR"/>
                                </w:rPr>
                                <w:t xml:space="preserve">  (</w:t>
                              </w:r>
                              <w:proofErr w:type="gramEnd"/>
                              <w:r w:rsidRPr="00213E75">
                                <w:rPr>
                                  <w:lang w:val="pt-BR"/>
                                </w:rPr>
                                <w:t>b)</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17F36CF" id="Agrupar 4" o:spid="_x0000_s1036" style="position:absolute;left:0;text-align:left;margin-left:-9.45pt;margin-top:0;width:458.25pt;height:153.75pt;z-index:251639296;mso-position-horizontal-relative:margin;mso-width-relative:margin;mso-height-relative:margin" coordsize="51009,16675"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">
                <v:group id="Agrupar 3" o:spid="_x0000_s1037" style="position:absolute;top:476;width:51009;height:16199" coordsize="51009,1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Gráfico 2" o:spid="_x0000_s1038" type="#_x0000_t75" style="position:absolute;top:-7;width:25219;height:16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">
                    <v:imagedata r:id="rId20" o:title=""/>
                    <o:lock v:ext="edit" aspectratio="f"/>
                  </v:shape>
                  <v:shape id="Gráfico 1" o:spid="_x0000_s1039" type="#_x0000_t75" style="position:absolute;left:25219;top:-7;width:25807;height:16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">
                    <v:imagedata r:id="rId21" o:title=""/>
                    <o:lock v:ext="edit" aspectratio="f"/>
                  </v:shape>
                </v:group>
                <v:shape id="Caixa de Texto 2" o:spid="_x0000_s1040" type="#_x0000_t202" style="position:absolute;width:50482;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F1078F9" w14:textId="5718E131" w:rsidR="00213E75" w:rsidRPr="00213E75" w:rsidRDefault="00213E75" w:rsidP="00213E75">
                        <w:pPr>
                          <w:ind w:left="360"/>
                          <w:rPr>
                            <w:lang w:val="pt-BR"/>
                          </w:rPr>
                        </w:pPr>
                        <w:r>
                          <w:rPr>
                            <w:lang w:val="pt-BR"/>
                          </w:rPr>
                          <w:t xml:space="preserve"> </w:t>
                        </w:r>
                        <w:r w:rsidR="007024B7">
                          <w:rPr>
                            <w:lang w:val="pt-BR"/>
                          </w:rPr>
                          <w:t xml:space="preserve">                           </w:t>
                        </w:r>
                        <w:r w:rsidR="00CC69C5">
                          <w:rPr>
                            <w:lang w:val="pt-BR"/>
                          </w:rPr>
                          <w:t xml:space="preserve">      </w:t>
                        </w:r>
                        <w:r w:rsidR="007024B7">
                          <w:rPr>
                            <w:lang w:val="pt-BR"/>
                          </w:rPr>
                          <w:t xml:space="preserve"> (a) </w:t>
                        </w:r>
                        <w:r w:rsidRPr="00213E75">
                          <w:rPr>
                            <w:lang w:val="pt-BR"/>
                          </w:rPr>
                          <w:t xml:space="preserve">                                                                       </w:t>
                        </w:r>
                        <w:r w:rsidR="00CC69C5">
                          <w:rPr>
                            <w:lang w:val="pt-BR"/>
                          </w:rPr>
                          <w:t xml:space="preserve">           </w:t>
                        </w:r>
                        <w:r w:rsidRPr="00213E75">
                          <w:rPr>
                            <w:lang w:val="pt-BR"/>
                          </w:rPr>
                          <w:t xml:space="preserve"> </w:t>
                        </w:r>
                        <w:proofErr w:type="gramStart"/>
                        <w:r w:rsidRPr="00213E75">
                          <w:rPr>
                            <w:lang w:val="pt-BR"/>
                          </w:rPr>
                          <w:t xml:space="preserve"> </w:t>
                        </w:r>
                        <w:r w:rsidR="007024B7" w:rsidRPr="00213E75">
                          <w:rPr>
                            <w:lang w:val="pt-BR"/>
                          </w:rPr>
                          <w:t xml:space="preserve">  (</w:t>
                        </w:r>
                        <w:proofErr w:type="gramEnd"/>
                        <w:r w:rsidRPr="00213E75">
                          <w:rPr>
                            <w:lang w:val="pt-BR"/>
                          </w:rPr>
                          <w:t>b)</w:t>
                        </w:r>
                      </w:p>
                    </w:txbxContent>
                  </v:textbox>
                </v:shape>
                <w10:wrap type="square" anchorx="margin"/>
              </v:group>
            </w:pict>
          </mc:Fallback>
        </mc:AlternateContent>
      </w:r>
      <w:r w:rsidR="00485B44">
        <w:t xml:space="preserve">Figure </w:t>
      </w:r>
      <w:r w:rsidR="008B6B2A">
        <w:t>3</w:t>
      </w:r>
      <w:r w:rsidR="00485B44" w:rsidRPr="00444B33">
        <w:rPr>
          <w:lang w:val="en-US"/>
        </w:rPr>
        <w:t>: (a)</w:t>
      </w:r>
      <w:r w:rsidR="00C423E3">
        <w:rPr>
          <w:lang w:val="en-US"/>
        </w:rPr>
        <w:t xml:space="preserve"> </w:t>
      </w:r>
      <w:r w:rsidR="00485B44">
        <w:rPr>
          <w:lang w:val="en-US"/>
        </w:rPr>
        <w:t>APR dosage</w:t>
      </w:r>
      <w:r w:rsidR="00C423E3">
        <w:rPr>
          <w:lang w:val="en-US"/>
        </w:rPr>
        <w:t xml:space="preserve"> effect on adsorption</w:t>
      </w:r>
      <w:r w:rsidR="0035724E">
        <w:rPr>
          <w:lang w:val="en-US"/>
        </w:rPr>
        <w:t xml:space="preserve"> </w:t>
      </w:r>
      <w:r w:rsidR="00C423E3">
        <w:rPr>
          <w:lang w:val="en-US"/>
        </w:rPr>
        <w:t>capacity;</w:t>
      </w:r>
      <w:r w:rsidR="00485B44" w:rsidRPr="00444B33">
        <w:rPr>
          <w:lang w:val="en-US"/>
        </w:rPr>
        <w:t xml:space="preserve"> </w:t>
      </w:r>
      <w:r w:rsidR="00485B44">
        <w:t xml:space="preserve">(b) </w:t>
      </w:r>
      <w:r w:rsidR="00C423E3">
        <w:t>APR dosage effect on paracetamol removal.</w:t>
      </w:r>
      <w:r w:rsidR="002D03E4">
        <w:t xml:space="preserve"> </w:t>
      </w:r>
      <w:r w:rsidR="00896747" w:rsidRPr="00896747">
        <w:t xml:space="preserve">Paracetamol concentration: 50 </w:t>
      </w:r>
      <w:proofErr w:type="gramStart"/>
      <w:r w:rsidR="00896747" w:rsidRPr="00896747">
        <w:t>mg.L</w:t>
      </w:r>
      <w:proofErr w:type="gramEnd"/>
      <w:r w:rsidR="00896747" w:rsidRPr="00896747">
        <w:rPr>
          <w:vertAlign w:val="superscript"/>
        </w:rPr>
        <w:t>-1</w:t>
      </w:r>
      <w:r w:rsidR="00896747" w:rsidRPr="00896747">
        <w:t xml:space="preserve">; Volume: 20 mL; </w:t>
      </w:r>
      <w:r w:rsidR="00646E28">
        <w:t>APR</w:t>
      </w:r>
      <w:r w:rsidR="00896747" w:rsidRPr="00896747">
        <w:t xml:space="preserve"> weight: </w:t>
      </w:r>
      <w:r w:rsidR="00896747">
        <w:t xml:space="preserve">10 – 160 </w:t>
      </w:r>
      <w:r w:rsidR="00896747" w:rsidRPr="00896747">
        <w:t>mg; pH: 7.</w:t>
      </w:r>
    </w:p>
    <w:p w14:paraId="71F54F1A" w14:textId="5298D970" w:rsidR="00D43A87" w:rsidRDefault="00652EA6" w:rsidP="007A4ED6">
      <w:pPr>
        <w:pStyle w:val="CETBodytext"/>
        <w:rPr>
          <w:rStyle w:val="CETBodytextCarattere"/>
        </w:rPr>
      </w:pPr>
      <w:r>
        <w:rPr>
          <w:rFonts w:cs="Arial"/>
          <w:color w:val="000000" w:themeColor="text1"/>
          <w:szCs w:val="18"/>
        </w:rPr>
        <w:t>As the</w:t>
      </w:r>
      <w:r w:rsidR="00D25F32">
        <w:rPr>
          <w:rFonts w:cs="Arial"/>
          <w:color w:val="000000" w:themeColor="text1"/>
          <w:szCs w:val="18"/>
        </w:rPr>
        <w:t xml:space="preserve"> adsorption capacity </w:t>
      </w:r>
      <w:r w:rsidR="00D76F86">
        <w:rPr>
          <w:rFonts w:cs="Arial"/>
          <w:color w:val="000000" w:themeColor="text1"/>
          <w:szCs w:val="18"/>
        </w:rPr>
        <w:t>was not dependent on</w:t>
      </w:r>
      <w:r w:rsidR="00B744B3">
        <w:rPr>
          <w:rFonts w:cs="Arial"/>
          <w:color w:val="000000" w:themeColor="text1"/>
          <w:szCs w:val="18"/>
        </w:rPr>
        <w:t xml:space="preserve"> the paracetamol solution pH</w:t>
      </w:r>
      <w:r w:rsidR="00D76F86">
        <w:rPr>
          <w:rFonts w:cs="Arial"/>
          <w:color w:val="000000" w:themeColor="text1"/>
          <w:szCs w:val="18"/>
        </w:rPr>
        <w:t xml:space="preserve"> (Figure 2)</w:t>
      </w:r>
      <w:r w:rsidR="001D56C8">
        <w:rPr>
          <w:rFonts w:cs="Arial"/>
          <w:color w:val="000000" w:themeColor="text1"/>
          <w:szCs w:val="18"/>
        </w:rPr>
        <w:t xml:space="preserve">, </w:t>
      </w:r>
      <w:r w:rsidR="00B744B3">
        <w:rPr>
          <w:rFonts w:cs="Arial"/>
          <w:color w:val="000000" w:themeColor="text1"/>
          <w:szCs w:val="18"/>
        </w:rPr>
        <w:t>t</w:t>
      </w:r>
      <w:r w:rsidR="00BD365A" w:rsidRPr="0061410C">
        <w:rPr>
          <w:rFonts w:cs="Arial"/>
          <w:color w:val="000000" w:themeColor="text1"/>
          <w:szCs w:val="18"/>
        </w:rPr>
        <w:t xml:space="preserve">he APR dosage </w:t>
      </w:r>
      <w:r w:rsidR="00056F79">
        <w:rPr>
          <w:rFonts w:cs="Arial"/>
          <w:color w:val="000000" w:themeColor="text1"/>
          <w:szCs w:val="18"/>
        </w:rPr>
        <w:t>influence</w:t>
      </w:r>
      <w:r w:rsidR="008F5E91" w:rsidRPr="0061410C">
        <w:rPr>
          <w:rFonts w:cs="Arial"/>
          <w:color w:val="000000" w:themeColor="text1"/>
          <w:szCs w:val="18"/>
        </w:rPr>
        <w:t xml:space="preserve"> on the paracetamol adsorption was</w:t>
      </w:r>
      <w:r w:rsidR="00A96330">
        <w:rPr>
          <w:rFonts w:cs="Arial"/>
          <w:color w:val="000000" w:themeColor="text1"/>
          <w:szCs w:val="18"/>
        </w:rPr>
        <w:t xml:space="preserve"> </w:t>
      </w:r>
      <w:r w:rsidR="008F5E91" w:rsidRPr="0061410C">
        <w:rPr>
          <w:rFonts w:cs="Arial"/>
          <w:color w:val="000000" w:themeColor="text1"/>
          <w:szCs w:val="18"/>
        </w:rPr>
        <w:t xml:space="preserve">evaluated </w:t>
      </w:r>
      <w:r w:rsidR="001D56C8">
        <w:rPr>
          <w:rFonts w:cs="Arial"/>
          <w:color w:val="000000" w:themeColor="text1"/>
          <w:szCs w:val="18"/>
        </w:rPr>
        <w:t xml:space="preserve">at a neutral pH </w:t>
      </w:r>
      <w:r w:rsidR="008F5E91" w:rsidRPr="0061410C">
        <w:rPr>
          <w:rFonts w:cs="Arial"/>
          <w:color w:val="000000" w:themeColor="text1"/>
          <w:szCs w:val="18"/>
        </w:rPr>
        <w:t>by varying the APR weight</w:t>
      </w:r>
      <w:r w:rsidR="0061410C" w:rsidRPr="0061410C">
        <w:rPr>
          <w:rFonts w:cs="Arial"/>
          <w:color w:val="000000" w:themeColor="text1"/>
          <w:szCs w:val="18"/>
        </w:rPr>
        <w:t xml:space="preserve"> from 0.01 to 0.16 g, as shown in Figure </w:t>
      </w:r>
      <w:r w:rsidR="008B6B2A">
        <w:rPr>
          <w:rFonts w:cs="Arial"/>
          <w:color w:val="000000" w:themeColor="text1"/>
          <w:szCs w:val="18"/>
        </w:rPr>
        <w:t>3</w:t>
      </w:r>
      <w:r w:rsidR="0061410C" w:rsidRPr="0061410C">
        <w:rPr>
          <w:rFonts w:cs="Arial"/>
          <w:color w:val="000000" w:themeColor="text1"/>
          <w:szCs w:val="18"/>
        </w:rPr>
        <w:t xml:space="preserve">. </w:t>
      </w:r>
      <w:r w:rsidR="004859BC" w:rsidRPr="002F0F61">
        <w:rPr>
          <w:rFonts w:cs="Arial"/>
          <w:color w:val="000000" w:themeColor="text1"/>
          <w:szCs w:val="18"/>
        </w:rPr>
        <w:t>Paracetamol removal efficiency increased</w:t>
      </w:r>
      <w:r w:rsidR="002D5394" w:rsidRPr="002F0F61">
        <w:rPr>
          <w:rFonts w:cs="Arial"/>
          <w:color w:val="000000" w:themeColor="text1"/>
          <w:szCs w:val="18"/>
        </w:rPr>
        <w:t xml:space="preserve"> with the APR dosage</w:t>
      </w:r>
      <w:r w:rsidR="00CC3BE0" w:rsidRPr="002F0F61">
        <w:rPr>
          <w:rFonts w:cs="Arial"/>
          <w:color w:val="000000" w:themeColor="text1"/>
          <w:szCs w:val="18"/>
        </w:rPr>
        <w:t>.</w:t>
      </w:r>
      <w:r w:rsidR="002051DC" w:rsidRPr="002F0F61">
        <w:rPr>
          <w:rFonts w:cs="Arial"/>
          <w:color w:val="000000" w:themeColor="text1"/>
          <w:szCs w:val="18"/>
        </w:rPr>
        <w:t xml:space="preserve"> </w:t>
      </w:r>
      <w:r w:rsidR="002F0F61" w:rsidRPr="0095410F">
        <w:rPr>
          <w:rFonts w:cs="Arial"/>
          <w:color w:val="000000" w:themeColor="text1"/>
          <w:szCs w:val="18"/>
        </w:rPr>
        <w:t>Th</w:t>
      </w:r>
      <w:r w:rsidR="00654205">
        <w:rPr>
          <w:rFonts w:cs="Arial"/>
          <w:color w:val="000000" w:themeColor="text1"/>
          <w:szCs w:val="18"/>
        </w:rPr>
        <w:t xml:space="preserve">is </w:t>
      </w:r>
      <w:r w:rsidR="002F0F61" w:rsidRPr="0095410F">
        <w:rPr>
          <w:rFonts w:cs="Arial"/>
          <w:color w:val="000000" w:themeColor="text1"/>
          <w:szCs w:val="18"/>
        </w:rPr>
        <w:t>increas</w:t>
      </w:r>
      <w:r w:rsidR="00654205">
        <w:rPr>
          <w:rFonts w:cs="Arial"/>
          <w:color w:val="000000" w:themeColor="text1"/>
          <w:szCs w:val="18"/>
        </w:rPr>
        <w:t>e</w:t>
      </w:r>
      <w:r w:rsidR="0095410F" w:rsidRPr="0095410F">
        <w:rPr>
          <w:rFonts w:cs="Arial"/>
          <w:color w:val="000000" w:themeColor="text1"/>
          <w:szCs w:val="18"/>
        </w:rPr>
        <w:t xml:space="preserve"> can be </w:t>
      </w:r>
      <w:r w:rsidR="000417EE" w:rsidRPr="0095410F">
        <w:rPr>
          <w:rFonts w:cs="Arial"/>
          <w:color w:val="000000" w:themeColor="text1"/>
          <w:szCs w:val="18"/>
        </w:rPr>
        <w:t>attributed</w:t>
      </w:r>
      <w:r w:rsidR="0095410F" w:rsidRPr="0095410F">
        <w:rPr>
          <w:rFonts w:cs="Arial"/>
          <w:color w:val="000000" w:themeColor="text1"/>
          <w:szCs w:val="18"/>
        </w:rPr>
        <w:t xml:space="preserve"> to more active s</w:t>
      </w:r>
      <w:r w:rsidR="0095410F">
        <w:rPr>
          <w:rFonts w:cs="Arial"/>
          <w:color w:val="000000" w:themeColor="text1"/>
          <w:szCs w:val="18"/>
        </w:rPr>
        <w:t>ites</w:t>
      </w:r>
      <w:r w:rsidR="000417EE">
        <w:rPr>
          <w:rFonts w:cs="Arial"/>
          <w:color w:val="000000" w:themeColor="text1"/>
          <w:szCs w:val="18"/>
        </w:rPr>
        <w:t xml:space="preserve"> available for the mass transfer.</w:t>
      </w:r>
      <w:r w:rsidR="00F565BA">
        <w:rPr>
          <w:rFonts w:cs="Arial"/>
          <w:color w:val="000000" w:themeColor="text1"/>
          <w:szCs w:val="18"/>
        </w:rPr>
        <w:t xml:space="preserve"> </w:t>
      </w:r>
      <w:r w:rsidR="00F565BA" w:rsidRPr="003849F1">
        <w:rPr>
          <w:rFonts w:cs="Arial"/>
          <w:color w:val="000000" w:themeColor="text1"/>
          <w:szCs w:val="18"/>
        </w:rPr>
        <w:t>The</w:t>
      </w:r>
      <w:r w:rsidR="00FB0CDD" w:rsidRPr="003849F1">
        <w:rPr>
          <w:rFonts w:cs="Arial"/>
          <w:color w:val="000000" w:themeColor="text1"/>
          <w:szCs w:val="18"/>
        </w:rPr>
        <w:t xml:space="preserve"> hig</w:t>
      </w:r>
      <w:r w:rsidR="003849F1" w:rsidRPr="003849F1">
        <w:rPr>
          <w:rFonts w:cs="Arial"/>
          <w:color w:val="000000" w:themeColor="text1"/>
          <w:szCs w:val="18"/>
        </w:rPr>
        <w:t>hest paracetamol removal was achieved</w:t>
      </w:r>
      <w:r w:rsidR="003849F1">
        <w:rPr>
          <w:rFonts w:cs="Arial"/>
          <w:color w:val="000000" w:themeColor="text1"/>
          <w:szCs w:val="18"/>
        </w:rPr>
        <w:t xml:space="preserve"> for </w:t>
      </w:r>
      <w:r w:rsidR="00D76F86">
        <w:rPr>
          <w:rFonts w:cs="Arial"/>
          <w:color w:val="000000" w:themeColor="text1"/>
          <w:szCs w:val="18"/>
        </w:rPr>
        <w:t>a</w:t>
      </w:r>
      <w:r w:rsidR="009F40D7">
        <w:rPr>
          <w:rFonts w:cs="Arial"/>
          <w:color w:val="000000" w:themeColor="text1"/>
          <w:szCs w:val="18"/>
        </w:rPr>
        <w:t>n</w:t>
      </w:r>
      <w:r w:rsidR="00D76F86" w:rsidRPr="003849F1">
        <w:rPr>
          <w:rFonts w:cs="Arial"/>
          <w:color w:val="000000" w:themeColor="text1"/>
          <w:szCs w:val="18"/>
        </w:rPr>
        <w:t xml:space="preserve"> </w:t>
      </w:r>
      <w:r w:rsidR="00F565BA" w:rsidRPr="003849F1">
        <w:rPr>
          <w:rFonts w:cs="Arial"/>
          <w:color w:val="000000" w:themeColor="text1"/>
          <w:szCs w:val="18"/>
        </w:rPr>
        <w:t>APR weight of 0.16 g</w:t>
      </w:r>
      <w:r w:rsidR="003849F1">
        <w:rPr>
          <w:rFonts w:cs="Arial"/>
          <w:color w:val="000000" w:themeColor="text1"/>
          <w:szCs w:val="18"/>
        </w:rPr>
        <w:t>,</w:t>
      </w:r>
      <w:r w:rsidR="00DE2B02">
        <w:rPr>
          <w:rFonts w:cs="Arial"/>
          <w:color w:val="000000" w:themeColor="text1"/>
          <w:szCs w:val="18"/>
        </w:rPr>
        <w:t xml:space="preserve"> with a removal of 90%. In order to maximize</w:t>
      </w:r>
      <w:r w:rsidR="00F465C1">
        <w:rPr>
          <w:rFonts w:cs="Arial"/>
          <w:color w:val="000000" w:themeColor="text1"/>
          <w:szCs w:val="18"/>
        </w:rPr>
        <w:t xml:space="preserve"> the amount of paracetamol adsorbed by APR weight</w:t>
      </w:r>
      <w:r w:rsidR="00D44899">
        <w:rPr>
          <w:rFonts w:cs="Arial"/>
          <w:color w:val="000000" w:themeColor="text1"/>
          <w:szCs w:val="18"/>
        </w:rPr>
        <w:t xml:space="preserve">, the adsorption capacity was evaluated </w:t>
      </w:r>
      <w:r w:rsidR="0020585F">
        <w:rPr>
          <w:rFonts w:cs="Arial"/>
          <w:color w:val="000000" w:themeColor="text1"/>
          <w:szCs w:val="18"/>
        </w:rPr>
        <w:t xml:space="preserve">according to </w:t>
      </w:r>
      <w:r w:rsidR="002C67FF">
        <w:rPr>
          <w:rFonts w:cs="Arial"/>
          <w:color w:val="000000" w:themeColor="text1"/>
          <w:szCs w:val="18"/>
        </w:rPr>
        <w:t>Eq.</w:t>
      </w:r>
      <w:r w:rsidR="0020585F">
        <w:rPr>
          <w:rFonts w:cs="Arial"/>
          <w:color w:val="000000" w:themeColor="text1"/>
          <w:szCs w:val="18"/>
        </w:rPr>
        <w:t xml:space="preserve"> (2)</w:t>
      </w:r>
      <w:r w:rsidR="0087539E">
        <w:rPr>
          <w:rFonts w:cs="Arial"/>
          <w:color w:val="000000" w:themeColor="text1"/>
          <w:szCs w:val="18"/>
        </w:rPr>
        <w:t>. The maximum adsorption capacity</w:t>
      </w:r>
      <w:r w:rsidR="0023098C" w:rsidRPr="0023098C">
        <w:rPr>
          <w:rFonts w:cs="Arial"/>
          <w:color w:val="000000" w:themeColor="text1"/>
          <w:szCs w:val="18"/>
        </w:rPr>
        <w:t xml:space="preserve"> (</w:t>
      </w:r>
      <w:proofErr w:type="spellStart"/>
      <w:r w:rsidR="0023098C" w:rsidRPr="0023098C">
        <w:rPr>
          <w:rFonts w:cs="Arial"/>
          <w:color w:val="000000" w:themeColor="text1"/>
          <w:szCs w:val="18"/>
        </w:rPr>
        <w:t>q</w:t>
      </w:r>
      <w:r w:rsidR="0023098C" w:rsidRPr="0023098C">
        <w:rPr>
          <w:rFonts w:cs="Arial"/>
          <w:color w:val="000000" w:themeColor="text1"/>
          <w:szCs w:val="18"/>
          <w:vertAlign w:val="subscript"/>
        </w:rPr>
        <w:t>max</w:t>
      </w:r>
      <w:proofErr w:type="spellEnd"/>
      <w:r w:rsidR="0023098C" w:rsidRPr="0023098C">
        <w:rPr>
          <w:rFonts w:cs="Arial"/>
          <w:color w:val="000000" w:themeColor="text1"/>
          <w:szCs w:val="18"/>
        </w:rPr>
        <w:t xml:space="preserve"> = 19.43 </w:t>
      </w:r>
      <w:proofErr w:type="gramStart"/>
      <w:r w:rsidR="0023098C" w:rsidRPr="0023098C">
        <w:rPr>
          <w:rFonts w:cs="Arial"/>
          <w:color w:val="000000" w:themeColor="text1"/>
          <w:szCs w:val="18"/>
        </w:rPr>
        <w:t>mg</w:t>
      </w:r>
      <w:r w:rsidR="0023098C">
        <w:rPr>
          <w:rFonts w:cs="Arial"/>
          <w:color w:val="000000" w:themeColor="text1"/>
          <w:szCs w:val="18"/>
        </w:rPr>
        <w:t>.</w:t>
      </w:r>
      <w:r w:rsidR="0023098C" w:rsidRPr="0023098C">
        <w:rPr>
          <w:rFonts w:cs="Arial"/>
          <w:color w:val="000000" w:themeColor="text1"/>
          <w:szCs w:val="18"/>
        </w:rPr>
        <w:t>g</w:t>
      </w:r>
      <w:proofErr w:type="gramEnd"/>
      <w:r w:rsidR="0023098C" w:rsidRPr="0023098C">
        <w:rPr>
          <w:rFonts w:cs="Arial"/>
          <w:color w:val="000000" w:themeColor="text1"/>
          <w:szCs w:val="18"/>
          <w:vertAlign w:val="superscript"/>
        </w:rPr>
        <w:t>-1</w:t>
      </w:r>
      <w:r w:rsidR="0023098C" w:rsidRPr="0023098C">
        <w:rPr>
          <w:rFonts w:cs="Arial"/>
          <w:color w:val="000000" w:themeColor="text1"/>
          <w:szCs w:val="18"/>
        </w:rPr>
        <w:t>)</w:t>
      </w:r>
      <w:r w:rsidR="0023098C">
        <w:rPr>
          <w:rFonts w:cs="Arial"/>
          <w:color w:val="000000" w:themeColor="text1"/>
          <w:szCs w:val="18"/>
        </w:rPr>
        <w:t xml:space="preserve"> </w:t>
      </w:r>
      <w:r w:rsidR="0087539E">
        <w:rPr>
          <w:rFonts w:cs="Arial"/>
          <w:color w:val="000000" w:themeColor="text1"/>
          <w:szCs w:val="18"/>
        </w:rPr>
        <w:t>was achieved</w:t>
      </w:r>
      <w:r w:rsidR="0023098C">
        <w:rPr>
          <w:rFonts w:cs="Arial"/>
          <w:color w:val="000000" w:themeColor="text1"/>
          <w:szCs w:val="18"/>
        </w:rPr>
        <w:t xml:space="preserve"> for an APR weight of 0.02 g. </w:t>
      </w:r>
      <w:r w:rsidR="000D3E77">
        <w:rPr>
          <w:rFonts w:cs="Arial"/>
          <w:color w:val="000000" w:themeColor="text1"/>
          <w:szCs w:val="18"/>
        </w:rPr>
        <w:t>As the amount of APR increased</w:t>
      </w:r>
      <w:r w:rsidR="0058313C">
        <w:rPr>
          <w:rFonts w:cs="Arial"/>
          <w:color w:val="000000" w:themeColor="text1"/>
          <w:szCs w:val="18"/>
        </w:rPr>
        <w:t xml:space="preserve">, the adsorption capacity decreased. That behavior may be </w:t>
      </w:r>
      <w:r w:rsidR="00D76F86">
        <w:rPr>
          <w:rFonts w:cs="Arial"/>
          <w:color w:val="000000" w:themeColor="text1"/>
          <w:szCs w:val="18"/>
        </w:rPr>
        <w:t xml:space="preserve">a consequence of </w:t>
      </w:r>
      <w:r w:rsidR="00952C02">
        <w:rPr>
          <w:rFonts w:cs="Arial"/>
          <w:color w:val="000000" w:themeColor="text1"/>
          <w:szCs w:val="18"/>
        </w:rPr>
        <w:t xml:space="preserve">the </w:t>
      </w:r>
      <w:r w:rsidR="0058313C">
        <w:rPr>
          <w:rFonts w:cs="Arial"/>
          <w:color w:val="000000" w:themeColor="text1"/>
          <w:szCs w:val="18"/>
        </w:rPr>
        <w:t>possible</w:t>
      </w:r>
      <w:r w:rsidR="00EE1372">
        <w:rPr>
          <w:rFonts w:cs="Arial"/>
          <w:color w:val="000000" w:themeColor="text1"/>
          <w:szCs w:val="18"/>
        </w:rPr>
        <w:t xml:space="preserve"> </w:t>
      </w:r>
      <w:r w:rsidR="00952C02">
        <w:rPr>
          <w:rFonts w:cs="Arial"/>
          <w:color w:val="000000" w:themeColor="text1"/>
          <w:szCs w:val="18"/>
        </w:rPr>
        <w:t xml:space="preserve">aggregation of </w:t>
      </w:r>
      <w:r w:rsidR="00EE1372">
        <w:rPr>
          <w:rFonts w:cs="Arial"/>
          <w:color w:val="000000" w:themeColor="text1"/>
          <w:szCs w:val="18"/>
        </w:rPr>
        <w:t>APR particles</w:t>
      </w:r>
      <w:r w:rsidR="00027353">
        <w:rPr>
          <w:rFonts w:cs="Arial"/>
          <w:color w:val="000000" w:themeColor="text1"/>
          <w:szCs w:val="18"/>
        </w:rPr>
        <w:t xml:space="preserve">, </w:t>
      </w:r>
      <w:r w:rsidR="00654205" w:rsidRPr="00654205">
        <w:rPr>
          <w:rFonts w:cs="Arial"/>
          <w:color w:val="000000" w:themeColor="text1"/>
          <w:szCs w:val="18"/>
        </w:rPr>
        <w:t>limiting the diffusion</w:t>
      </w:r>
      <w:r w:rsidR="00654205">
        <w:rPr>
          <w:rFonts w:cs="Arial"/>
          <w:color w:val="000000" w:themeColor="text1"/>
          <w:szCs w:val="18"/>
        </w:rPr>
        <w:t xml:space="preserve"> </w:t>
      </w:r>
      <w:r w:rsidR="00654205" w:rsidRPr="00654205">
        <w:rPr>
          <w:rFonts w:cs="Arial"/>
          <w:color w:val="000000" w:themeColor="text1"/>
          <w:szCs w:val="18"/>
        </w:rPr>
        <w:t>rate</w:t>
      </w:r>
      <w:r w:rsidR="00027353">
        <w:rPr>
          <w:rFonts w:cs="Arial"/>
          <w:color w:val="000000" w:themeColor="text1"/>
          <w:szCs w:val="18"/>
        </w:rPr>
        <w:t xml:space="preserve"> and </w:t>
      </w:r>
      <w:r w:rsidR="00DF6084">
        <w:rPr>
          <w:rFonts w:cs="Arial"/>
          <w:color w:val="000000" w:themeColor="text1"/>
          <w:szCs w:val="18"/>
        </w:rPr>
        <w:t>making difficult</w:t>
      </w:r>
      <w:r w:rsidR="00112CDB" w:rsidRPr="00112CDB">
        <w:rPr>
          <w:rFonts w:cs="Arial"/>
          <w:color w:val="000000" w:themeColor="text1"/>
          <w:szCs w:val="18"/>
        </w:rPr>
        <w:t xml:space="preserve"> </w:t>
      </w:r>
      <w:r w:rsidR="000E556B">
        <w:rPr>
          <w:rFonts w:cs="Arial"/>
          <w:color w:val="000000" w:themeColor="text1"/>
          <w:szCs w:val="18"/>
        </w:rPr>
        <w:t xml:space="preserve">the adsorbate </w:t>
      </w:r>
      <w:r w:rsidR="00112CDB" w:rsidRPr="00112CDB">
        <w:rPr>
          <w:rFonts w:cs="Arial"/>
          <w:color w:val="000000" w:themeColor="text1"/>
          <w:szCs w:val="18"/>
        </w:rPr>
        <w:t>access to the active site</w:t>
      </w:r>
      <w:r w:rsidR="00952C02">
        <w:rPr>
          <w:rFonts w:cs="Arial"/>
          <w:color w:val="000000" w:themeColor="text1"/>
          <w:szCs w:val="18"/>
        </w:rPr>
        <w:t>s</w:t>
      </w:r>
      <w:r w:rsidR="00112CDB" w:rsidRPr="00112CDB">
        <w:rPr>
          <w:rFonts w:cs="Arial"/>
          <w:color w:val="000000" w:themeColor="text1"/>
          <w:szCs w:val="18"/>
        </w:rPr>
        <w:t>.</w:t>
      </w:r>
      <w:r w:rsidR="00942C6A" w:rsidRPr="00942C6A">
        <w:rPr>
          <w:rStyle w:val="CETBodytextCarattere"/>
        </w:rPr>
        <w:t xml:space="preserve"> </w:t>
      </w:r>
    </w:p>
    <w:p w14:paraId="6712EEB7" w14:textId="0FC7758D" w:rsidR="007F37C9" w:rsidRPr="003849F1" w:rsidRDefault="00004E31" w:rsidP="00D43A87">
      <w:pPr>
        <w:pStyle w:val="CETHeading1"/>
      </w:pPr>
      <w:r>
        <w:t>Conclusion</w:t>
      </w:r>
    </w:p>
    <w:p w14:paraId="0EE4D8A0" w14:textId="3CB92C0E" w:rsidR="00533F7F" w:rsidRPr="00942C6A" w:rsidRDefault="0098430A" w:rsidP="007E74B5">
      <w:pPr>
        <w:rPr>
          <w:rFonts w:cs="Arial"/>
          <w:color w:val="000000" w:themeColor="text1"/>
          <w:szCs w:val="18"/>
          <w:lang w:val="en-US"/>
        </w:rPr>
      </w:pPr>
      <w:r>
        <w:rPr>
          <w:rFonts w:cs="Arial"/>
          <w:color w:val="000000" w:themeColor="text1"/>
          <w:szCs w:val="18"/>
          <w:lang w:val="en-US"/>
        </w:rPr>
        <w:t xml:space="preserve">An innovative phenolic resin has been </w:t>
      </w:r>
      <w:r w:rsidR="00257537" w:rsidRPr="00257537">
        <w:rPr>
          <w:rFonts w:cs="Arial"/>
          <w:color w:val="000000" w:themeColor="text1"/>
          <w:szCs w:val="18"/>
          <w:lang w:val="en-US"/>
        </w:rPr>
        <w:t xml:space="preserve">prepared </w:t>
      </w:r>
      <w:r>
        <w:rPr>
          <w:rFonts w:cs="Arial"/>
          <w:color w:val="000000" w:themeColor="text1"/>
          <w:szCs w:val="18"/>
          <w:lang w:val="en-US"/>
        </w:rPr>
        <w:t>by</w:t>
      </w:r>
      <w:r w:rsidR="002D2B69">
        <w:rPr>
          <w:rFonts w:cs="Arial"/>
          <w:color w:val="000000" w:themeColor="text1"/>
          <w:szCs w:val="18"/>
          <w:lang w:val="en-US"/>
        </w:rPr>
        <w:t xml:space="preserve"> the </w:t>
      </w:r>
      <w:r w:rsidR="00257537" w:rsidRPr="00257537">
        <w:rPr>
          <w:rFonts w:cs="Arial"/>
          <w:color w:val="000000" w:themeColor="text1"/>
          <w:szCs w:val="18"/>
          <w:lang w:val="en-US"/>
        </w:rPr>
        <w:t>polycondensation reaction of a blend of Kraft black liquor and tannin</w:t>
      </w:r>
      <w:r w:rsidR="002D2B69">
        <w:rPr>
          <w:rFonts w:cs="Arial"/>
          <w:color w:val="000000" w:themeColor="text1"/>
          <w:szCs w:val="18"/>
          <w:lang w:val="en-US"/>
        </w:rPr>
        <w:t xml:space="preserve"> </w:t>
      </w:r>
      <w:r w:rsidR="008B025D">
        <w:rPr>
          <w:rFonts w:cs="Arial"/>
          <w:color w:val="000000" w:themeColor="text1"/>
          <w:szCs w:val="18"/>
          <w:lang w:val="en-US"/>
        </w:rPr>
        <w:t>with a t</w:t>
      </w:r>
      <w:r w:rsidR="002D2B69">
        <w:rPr>
          <w:rFonts w:cs="Arial"/>
          <w:color w:val="000000" w:themeColor="text1"/>
          <w:szCs w:val="18"/>
          <w:lang w:val="en-US"/>
        </w:rPr>
        <w:t>hermal treat</w:t>
      </w:r>
      <w:r w:rsidR="008B025D">
        <w:rPr>
          <w:rFonts w:cs="Arial"/>
          <w:color w:val="000000" w:themeColor="text1"/>
          <w:szCs w:val="18"/>
          <w:lang w:val="en-US"/>
        </w:rPr>
        <w:t>ment</w:t>
      </w:r>
      <w:r w:rsidR="002D2B69">
        <w:rPr>
          <w:rFonts w:cs="Arial"/>
          <w:color w:val="000000" w:themeColor="text1"/>
          <w:szCs w:val="18"/>
          <w:lang w:val="en-US"/>
        </w:rPr>
        <w:t xml:space="preserve"> at 170 </w:t>
      </w:r>
      <w:proofErr w:type="spellStart"/>
      <w:r w:rsidR="002D2B69" w:rsidRPr="002D2B69">
        <w:rPr>
          <w:rFonts w:cs="Arial"/>
          <w:color w:val="000000" w:themeColor="text1"/>
          <w:szCs w:val="18"/>
          <w:vertAlign w:val="superscript"/>
          <w:lang w:val="en-US"/>
        </w:rPr>
        <w:t>o</w:t>
      </w:r>
      <w:r w:rsidR="002D2B69">
        <w:rPr>
          <w:rFonts w:cs="Arial"/>
          <w:color w:val="000000" w:themeColor="text1"/>
          <w:szCs w:val="18"/>
          <w:lang w:val="en-US"/>
        </w:rPr>
        <w:t>C</w:t>
      </w:r>
      <w:proofErr w:type="spellEnd"/>
      <w:r w:rsidR="00081E22">
        <w:rPr>
          <w:rFonts w:cs="Arial"/>
          <w:color w:val="000000" w:themeColor="text1"/>
          <w:szCs w:val="18"/>
          <w:lang w:val="en-US"/>
        </w:rPr>
        <w:t xml:space="preserve"> (APR)</w:t>
      </w:r>
      <w:r w:rsidR="002D2B69">
        <w:rPr>
          <w:rFonts w:cs="Arial"/>
          <w:color w:val="000000" w:themeColor="text1"/>
          <w:szCs w:val="18"/>
          <w:lang w:val="en-US"/>
        </w:rPr>
        <w:t>.</w:t>
      </w:r>
      <w:r w:rsidR="00257537" w:rsidRPr="00257537">
        <w:rPr>
          <w:rFonts w:cs="Arial"/>
          <w:color w:val="000000" w:themeColor="text1"/>
          <w:szCs w:val="18"/>
          <w:lang w:val="en-US"/>
        </w:rPr>
        <w:t xml:space="preserve"> </w:t>
      </w:r>
      <w:r w:rsidR="00215C63">
        <w:rPr>
          <w:rFonts w:cs="Arial"/>
          <w:color w:val="000000" w:themeColor="text1"/>
          <w:szCs w:val="18"/>
          <w:lang w:val="en-US"/>
        </w:rPr>
        <w:t xml:space="preserve">Then, the </w:t>
      </w:r>
      <w:r w:rsidR="00CF1CA1">
        <w:rPr>
          <w:rFonts w:cs="Arial"/>
          <w:color w:val="000000" w:themeColor="text1"/>
          <w:szCs w:val="18"/>
          <w:lang w:val="en-US"/>
        </w:rPr>
        <w:t>material</w:t>
      </w:r>
      <w:r w:rsidR="00215C63">
        <w:rPr>
          <w:rFonts w:cs="Arial"/>
          <w:color w:val="000000" w:themeColor="text1"/>
          <w:szCs w:val="18"/>
          <w:lang w:val="en-US"/>
        </w:rPr>
        <w:t xml:space="preserve"> was evaluated </w:t>
      </w:r>
      <w:r w:rsidR="00A911A2">
        <w:rPr>
          <w:rFonts w:cs="Arial"/>
          <w:color w:val="000000" w:themeColor="text1"/>
          <w:szCs w:val="18"/>
          <w:lang w:val="en-US"/>
        </w:rPr>
        <w:t>for paracetamol removal from wastewater. When</w:t>
      </w:r>
      <w:r w:rsidR="00371113">
        <w:rPr>
          <w:rFonts w:cs="Arial"/>
          <w:color w:val="000000" w:themeColor="text1"/>
          <w:szCs w:val="18"/>
          <w:lang w:val="en-US"/>
        </w:rPr>
        <w:t xml:space="preserve"> compared to the conventional photocatalysis process, the resin stands for its adsorption</w:t>
      </w:r>
      <w:r w:rsidR="000A5545">
        <w:rPr>
          <w:rFonts w:cs="Arial"/>
          <w:color w:val="000000" w:themeColor="text1"/>
          <w:szCs w:val="18"/>
          <w:lang w:val="en-US"/>
        </w:rPr>
        <w:t xml:space="preserve"> </w:t>
      </w:r>
      <w:r w:rsidR="000A5545">
        <w:rPr>
          <w:rFonts w:cs="Arial"/>
          <w:color w:val="000000" w:themeColor="text1"/>
          <w:szCs w:val="18"/>
          <w:lang w:val="en-US"/>
        </w:rPr>
        <w:lastRenderedPageBreak/>
        <w:t xml:space="preserve">capacity </w:t>
      </w:r>
      <w:r w:rsidR="0095298E">
        <w:rPr>
          <w:rFonts w:cs="Arial"/>
          <w:color w:val="000000" w:themeColor="text1"/>
          <w:szCs w:val="18"/>
          <w:lang w:val="en-US"/>
        </w:rPr>
        <w:t xml:space="preserve">rather </w:t>
      </w:r>
      <w:r w:rsidR="000A5545">
        <w:rPr>
          <w:rFonts w:cs="Arial"/>
          <w:color w:val="000000" w:themeColor="text1"/>
          <w:szCs w:val="18"/>
          <w:lang w:val="en-US"/>
        </w:rPr>
        <w:t xml:space="preserve">than for its photoactivity. </w:t>
      </w:r>
      <w:r w:rsidR="000B6DCF">
        <w:rPr>
          <w:rFonts w:cs="Arial"/>
          <w:color w:val="000000" w:themeColor="text1"/>
          <w:szCs w:val="18"/>
          <w:lang w:val="en-US"/>
        </w:rPr>
        <w:t>T</w:t>
      </w:r>
      <w:r w:rsidR="002A1DBB">
        <w:rPr>
          <w:rFonts w:cs="Arial"/>
          <w:color w:val="000000" w:themeColor="text1"/>
          <w:szCs w:val="18"/>
          <w:lang w:val="en-US"/>
        </w:rPr>
        <w:t>he resin</w:t>
      </w:r>
      <w:r w:rsidR="00257537" w:rsidRPr="00257537">
        <w:rPr>
          <w:rFonts w:cs="Arial"/>
          <w:color w:val="000000" w:themeColor="text1"/>
          <w:szCs w:val="18"/>
          <w:lang w:val="en-US"/>
        </w:rPr>
        <w:t xml:space="preserve"> great potential for</w:t>
      </w:r>
      <w:r w:rsidR="000B6DCF">
        <w:rPr>
          <w:rFonts w:cs="Arial"/>
          <w:color w:val="000000" w:themeColor="text1"/>
          <w:szCs w:val="18"/>
          <w:lang w:val="en-US"/>
        </w:rPr>
        <w:t xml:space="preserve"> the</w:t>
      </w:r>
      <w:r w:rsidR="00257537" w:rsidRPr="00257537">
        <w:rPr>
          <w:rFonts w:cs="Arial"/>
          <w:color w:val="000000" w:themeColor="text1"/>
          <w:szCs w:val="18"/>
          <w:lang w:val="en-US"/>
        </w:rPr>
        <w:t xml:space="preserve"> adsorption </w:t>
      </w:r>
      <w:r w:rsidR="002A1DBB">
        <w:rPr>
          <w:rFonts w:cs="Arial"/>
          <w:color w:val="000000" w:themeColor="text1"/>
          <w:szCs w:val="18"/>
          <w:lang w:val="en-US"/>
        </w:rPr>
        <w:t xml:space="preserve">may be related to its </w:t>
      </w:r>
      <w:r w:rsidR="00257537" w:rsidRPr="00257537">
        <w:rPr>
          <w:rFonts w:cs="Arial"/>
          <w:color w:val="000000" w:themeColor="text1"/>
          <w:szCs w:val="18"/>
          <w:lang w:val="en-US"/>
        </w:rPr>
        <w:t>diversified surface groups</w:t>
      </w:r>
      <w:r w:rsidR="00952C02">
        <w:rPr>
          <w:rFonts w:cs="Arial"/>
          <w:color w:val="000000" w:themeColor="text1"/>
          <w:szCs w:val="18"/>
          <w:lang w:val="en-US"/>
        </w:rPr>
        <w:t>, a</w:t>
      </w:r>
      <w:r w:rsidR="002A1DBB">
        <w:rPr>
          <w:rFonts w:cs="Arial"/>
          <w:color w:val="000000" w:themeColor="text1"/>
          <w:szCs w:val="18"/>
          <w:lang w:val="en-US"/>
        </w:rPr>
        <w:t xml:space="preserve"> characteristic of bio-phenolic compounds</w:t>
      </w:r>
      <w:r w:rsidR="00257537" w:rsidRPr="00257537">
        <w:rPr>
          <w:rFonts w:cs="Arial"/>
          <w:color w:val="000000" w:themeColor="text1"/>
          <w:szCs w:val="18"/>
          <w:lang w:val="en-US"/>
        </w:rPr>
        <w:t>.</w:t>
      </w:r>
      <w:r w:rsidR="002B3139" w:rsidRPr="002B3139">
        <w:t xml:space="preserve"> </w:t>
      </w:r>
      <w:r w:rsidR="00244AC0">
        <w:t>The adsorption capacit</w:t>
      </w:r>
      <w:r w:rsidR="005C4C8D">
        <w:t xml:space="preserve">y </w:t>
      </w:r>
      <w:r w:rsidR="005C4C8D" w:rsidRPr="005C4C8D">
        <w:t>reached a maximum value of</w:t>
      </w:r>
      <w:r w:rsidR="00244AC0">
        <w:t xml:space="preserve"> </w:t>
      </w:r>
      <w:r w:rsidR="005C4C8D" w:rsidRPr="009F00ED">
        <w:t xml:space="preserve">19.43 </w:t>
      </w:r>
      <w:proofErr w:type="gramStart"/>
      <w:r w:rsidR="005C4C8D" w:rsidRPr="009F00ED">
        <w:t>mg.g</w:t>
      </w:r>
      <w:proofErr w:type="gramEnd"/>
      <w:r w:rsidR="005C4C8D" w:rsidRPr="009F00ED">
        <w:rPr>
          <w:vertAlign w:val="superscript"/>
        </w:rPr>
        <w:t>-1</w:t>
      </w:r>
      <w:r w:rsidR="005C4C8D">
        <w:t xml:space="preserve"> </w:t>
      </w:r>
      <w:r w:rsidR="00244AC0">
        <w:t xml:space="preserve">for an APR weight of </w:t>
      </w:r>
      <w:r w:rsidR="009F00ED">
        <w:t>0.02g.</w:t>
      </w:r>
      <w:r w:rsidR="00A91CFD">
        <w:t xml:space="preserve"> Moreover, the </w:t>
      </w:r>
      <w:r w:rsidR="003F5E71" w:rsidRPr="003F5E71">
        <w:t xml:space="preserve">influence of </w:t>
      </w:r>
      <w:r w:rsidR="00952C02">
        <w:t xml:space="preserve">the </w:t>
      </w:r>
      <w:r w:rsidR="003F5E71" w:rsidRPr="003F5E71">
        <w:t xml:space="preserve">pH of </w:t>
      </w:r>
      <w:r w:rsidR="00A91CFD">
        <w:t>paracetamol solution</w:t>
      </w:r>
      <w:r w:rsidR="009160B1">
        <w:t xml:space="preserve"> </w:t>
      </w:r>
      <w:r w:rsidR="00A91CFD">
        <w:t xml:space="preserve">on the adsorption capacity was also </w:t>
      </w:r>
      <w:r w:rsidR="0002523D">
        <w:t>assess</w:t>
      </w:r>
      <w:r w:rsidR="00A91CFD">
        <w:t>e</w:t>
      </w:r>
      <w:r w:rsidR="00AF5948">
        <w:t xml:space="preserve">d and no significant changes </w:t>
      </w:r>
      <w:r w:rsidR="00EE3BDC">
        <w:t xml:space="preserve">occurred in </w:t>
      </w:r>
      <w:r w:rsidR="00AF5948">
        <w:t xml:space="preserve">the pH </w:t>
      </w:r>
      <w:r w:rsidR="00EE3BDC">
        <w:t xml:space="preserve">range </w:t>
      </w:r>
      <w:r w:rsidR="00AF5948">
        <w:t>evaluated</w:t>
      </w:r>
      <w:r w:rsidR="003332CA">
        <w:t xml:space="preserve">, </w:t>
      </w:r>
      <w:r w:rsidR="00952C02">
        <w:rPr>
          <w:rFonts w:cs="Arial"/>
          <w:color w:val="000000" w:themeColor="text1"/>
          <w:szCs w:val="18"/>
          <w:lang w:val="en-US"/>
        </w:rPr>
        <w:t>remaining</w:t>
      </w:r>
      <w:r w:rsidR="00244AC0" w:rsidRPr="00244AC0">
        <w:rPr>
          <w:rFonts w:cs="Arial"/>
          <w:color w:val="000000" w:themeColor="text1"/>
          <w:szCs w:val="18"/>
          <w:lang w:val="en-US"/>
        </w:rPr>
        <w:t xml:space="preserve"> </w:t>
      </w:r>
      <w:r w:rsidR="00EE3BDC">
        <w:rPr>
          <w:rFonts w:cs="Arial"/>
          <w:color w:val="000000" w:themeColor="text1"/>
          <w:szCs w:val="18"/>
          <w:lang w:val="en-US"/>
        </w:rPr>
        <w:t>close to</w:t>
      </w:r>
      <w:r w:rsidR="00244AC0" w:rsidRPr="00244AC0">
        <w:rPr>
          <w:rFonts w:cs="Arial"/>
          <w:color w:val="000000" w:themeColor="text1"/>
          <w:szCs w:val="18"/>
          <w:lang w:val="en-US"/>
        </w:rPr>
        <w:t xml:space="preserve"> 12 </w:t>
      </w:r>
      <w:proofErr w:type="gramStart"/>
      <w:r w:rsidR="00244AC0" w:rsidRPr="00244AC0">
        <w:rPr>
          <w:rFonts w:cs="Arial"/>
          <w:color w:val="000000" w:themeColor="text1"/>
          <w:szCs w:val="18"/>
          <w:lang w:val="en-US"/>
        </w:rPr>
        <w:t>mg.g</w:t>
      </w:r>
      <w:proofErr w:type="gramEnd"/>
      <w:r w:rsidR="00244AC0" w:rsidRPr="003332CA">
        <w:rPr>
          <w:rFonts w:cs="Arial"/>
          <w:color w:val="000000" w:themeColor="text1"/>
          <w:szCs w:val="18"/>
          <w:vertAlign w:val="superscript"/>
          <w:lang w:val="en-US"/>
        </w:rPr>
        <w:t>-1</w:t>
      </w:r>
      <w:r w:rsidR="00244AC0" w:rsidRPr="00244AC0">
        <w:rPr>
          <w:rFonts w:cs="Arial"/>
          <w:color w:val="000000" w:themeColor="text1"/>
          <w:szCs w:val="18"/>
          <w:lang w:val="en-US"/>
        </w:rPr>
        <w:t>.</w:t>
      </w:r>
      <w:r w:rsidR="00D11F51">
        <w:rPr>
          <w:rFonts w:cs="Arial"/>
          <w:color w:val="000000" w:themeColor="text1"/>
          <w:szCs w:val="18"/>
          <w:lang w:val="en-US"/>
        </w:rPr>
        <w:t xml:space="preserve"> </w:t>
      </w:r>
      <w:r w:rsidR="00952C02">
        <w:rPr>
          <w:rFonts w:cs="Arial"/>
          <w:color w:val="000000" w:themeColor="text1"/>
          <w:szCs w:val="18"/>
          <w:lang w:val="en-US"/>
        </w:rPr>
        <w:t xml:space="preserve">At </w:t>
      </w:r>
      <w:r w:rsidR="002E29F5">
        <w:rPr>
          <w:rFonts w:cs="Arial"/>
          <w:color w:val="000000" w:themeColor="text1"/>
          <w:szCs w:val="18"/>
          <w:lang w:val="en-US"/>
        </w:rPr>
        <w:t>its highest adsorption capacity</w:t>
      </w:r>
      <w:r w:rsidR="00B93788">
        <w:rPr>
          <w:rFonts w:cs="Arial"/>
          <w:color w:val="000000" w:themeColor="text1"/>
          <w:szCs w:val="18"/>
          <w:lang w:val="en-US"/>
        </w:rPr>
        <w:t xml:space="preserve"> (0.02 g)</w:t>
      </w:r>
      <w:r w:rsidR="002E29F5">
        <w:rPr>
          <w:rFonts w:cs="Arial"/>
          <w:color w:val="000000" w:themeColor="text1"/>
          <w:szCs w:val="18"/>
          <w:lang w:val="en-US"/>
        </w:rPr>
        <w:t>, the use of APR</w:t>
      </w:r>
      <w:r w:rsidR="00C8248F">
        <w:rPr>
          <w:rFonts w:cs="Arial"/>
          <w:color w:val="000000" w:themeColor="text1"/>
          <w:szCs w:val="18"/>
          <w:lang w:val="en-US"/>
        </w:rPr>
        <w:t xml:space="preserve"> as adsorbent </w:t>
      </w:r>
      <w:r w:rsidR="000833E4">
        <w:rPr>
          <w:rFonts w:cs="Arial"/>
          <w:color w:val="000000" w:themeColor="text1"/>
          <w:szCs w:val="18"/>
          <w:lang w:val="en-US"/>
        </w:rPr>
        <w:t>achieved</w:t>
      </w:r>
      <w:r w:rsidR="00C8248F">
        <w:rPr>
          <w:rFonts w:cs="Arial"/>
          <w:color w:val="000000" w:themeColor="text1"/>
          <w:szCs w:val="18"/>
          <w:lang w:val="en-US"/>
        </w:rPr>
        <w:t xml:space="preserve"> a paracetamol removal of </w:t>
      </w:r>
      <w:r w:rsidR="00B93788">
        <w:rPr>
          <w:rFonts w:cs="Arial"/>
          <w:color w:val="000000" w:themeColor="text1"/>
          <w:szCs w:val="18"/>
          <w:lang w:val="en-US"/>
        </w:rPr>
        <w:t xml:space="preserve">about 45%. However, </w:t>
      </w:r>
      <w:r w:rsidR="00952C02">
        <w:rPr>
          <w:rFonts w:cs="Arial"/>
          <w:color w:val="000000" w:themeColor="text1"/>
          <w:szCs w:val="18"/>
          <w:lang w:val="en-US"/>
        </w:rPr>
        <w:t xml:space="preserve">by </w:t>
      </w:r>
      <w:r w:rsidR="00B93788">
        <w:rPr>
          <w:rFonts w:cs="Arial"/>
          <w:color w:val="000000" w:themeColor="text1"/>
          <w:szCs w:val="18"/>
          <w:lang w:val="en-US"/>
        </w:rPr>
        <w:t>increas</w:t>
      </w:r>
      <w:r w:rsidR="000833E4">
        <w:rPr>
          <w:rFonts w:cs="Arial"/>
          <w:color w:val="000000" w:themeColor="text1"/>
          <w:szCs w:val="18"/>
          <w:lang w:val="en-US"/>
        </w:rPr>
        <w:t xml:space="preserve">ing </w:t>
      </w:r>
      <w:r w:rsidR="00500E66">
        <w:rPr>
          <w:rFonts w:cs="Arial"/>
          <w:color w:val="000000" w:themeColor="text1"/>
          <w:szCs w:val="18"/>
          <w:lang w:val="en-US"/>
        </w:rPr>
        <w:t>the adsorbent weight</w:t>
      </w:r>
      <w:r w:rsidR="009D07A2">
        <w:rPr>
          <w:rFonts w:cs="Arial"/>
          <w:color w:val="000000" w:themeColor="text1"/>
          <w:szCs w:val="18"/>
          <w:lang w:val="en-US"/>
        </w:rPr>
        <w:t>,</w:t>
      </w:r>
      <w:r w:rsidR="00500E66">
        <w:rPr>
          <w:rFonts w:cs="Arial"/>
          <w:color w:val="000000" w:themeColor="text1"/>
          <w:szCs w:val="18"/>
          <w:lang w:val="en-US"/>
        </w:rPr>
        <w:t xml:space="preserve"> </w:t>
      </w:r>
      <w:r w:rsidR="00A852E0">
        <w:rPr>
          <w:rFonts w:cs="Arial"/>
          <w:color w:val="000000" w:themeColor="text1"/>
          <w:szCs w:val="18"/>
          <w:lang w:val="en-US"/>
        </w:rPr>
        <w:t>it</w:t>
      </w:r>
      <w:r w:rsidR="009D07A2">
        <w:rPr>
          <w:rFonts w:cs="Arial"/>
          <w:color w:val="000000" w:themeColor="text1"/>
          <w:szCs w:val="18"/>
          <w:lang w:val="en-US"/>
        </w:rPr>
        <w:t xml:space="preserve"> will be </w:t>
      </w:r>
      <w:r w:rsidR="00500E66">
        <w:rPr>
          <w:rFonts w:cs="Arial"/>
          <w:color w:val="000000" w:themeColor="text1"/>
          <w:szCs w:val="18"/>
          <w:lang w:val="en-US"/>
        </w:rPr>
        <w:t xml:space="preserve">possible to improve paracetamol </w:t>
      </w:r>
      <w:r w:rsidR="00A852E0">
        <w:rPr>
          <w:rFonts w:cs="Arial"/>
          <w:color w:val="000000" w:themeColor="text1"/>
          <w:szCs w:val="18"/>
          <w:lang w:val="en-US"/>
        </w:rPr>
        <w:t xml:space="preserve">removal to values </w:t>
      </w:r>
      <w:r w:rsidR="00D24FB5">
        <w:rPr>
          <w:rFonts w:cs="Arial"/>
          <w:color w:val="000000" w:themeColor="text1"/>
          <w:szCs w:val="18"/>
          <w:lang w:val="en-US"/>
        </w:rPr>
        <w:t>great</w:t>
      </w:r>
      <w:r w:rsidR="00A852E0">
        <w:rPr>
          <w:rFonts w:cs="Arial"/>
          <w:color w:val="000000" w:themeColor="text1"/>
          <w:szCs w:val="18"/>
          <w:lang w:val="en-US"/>
        </w:rPr>
        <w:t>er than 90%.</w:t>
      </w:r>
    </w:p>
    <w:p w14:paraId="2CC0E73A" w14:textId="77777777" w:rsidR="008111C5" w:rsidRPr="00770C60" w:rsidRDefault="008111C5" w:rsidP="00770C60">
      <w:pPr>
        <w:pStyle w:val="CETAcknowledgementstitle"/>
      </w:pPr>
      <w:r w:rsidRPr="00770C60">
        <w:t>Acknowledgments</w:t>
      </w:r>
    </w:p>
    <w:p w14:paraId="7F736D70" w14:textId="629B1154" w:rsidR="008111C5" w:rsidRPr="00770C60" w:rsidRDefault="007E3BC3" w:rsidP="00770C60">
      <w:pPr>
        <w:pStyle w:val="CETBodytext"/>
      </w:pPr>
      <w:r>
        <w:rPr>
          <w:lang w:val="en-GB"/>
        </w:rPr>
        <w:t>The a</w:t>
      </w:r>
      <w:proofErr w:type="spellStart"/>
      <w:r w:rsidR="00F819BD" w:rsidRPr="00770C60">
        <w:t>uthors</w:t>
      </w:r>
      <w:proofErr w:type="spellEnd"/>
      <w:r w:rsidR="00D26B01">
        <w:t xml:space="preserve"> </w:t>
      </w:r>
      <w:r w:rsidR="008E21C7">
        <w:t xml:space="preserve">gratefully </w:t>
      </w:r>
      <w:r w:rsidR="00F819BD" w:rsidRPr="00770C60">
        <w:t>acknowledge the Higher Education Personnel Improvement Coordination (CAPES) financial support.</w:t>
      </w:r>
    </w:p>
    <w:p w14:paraId="1B432627" w14:textId="77777777" w:rsidR="0080554F" w:rsidRPr="00770C60" w:rsidRDefault="0080554F" w:rsidP="00770C60">
      <w:pPr>
        <w:pStyle w:val="CETReference"/>
      </w:pPr>
      <w:r w:rsidRPr="00770C60">
        <w:t>References</w:t>
      </w:r>
    </w:p>
    <w:p w14:paraId="1411D63A" w14:textId="77777777" w:rsidR="00857FF8" w:rsidRPr="00D26B01" w:rsidRDefault="00857FF8" w:rsidP="00D26B01">
      <w:pPr>
        <w:pStyle w:val="CETReferencetext"/>
      </w:pPr>
      <w:r w:rsidRPr="00D26B01">
        <w:t xml:space="preserve">Abdullah N. S. A., </w:t>
      </w:r>
      <w:proofErr w:type="spellStart"/>
      <w:r w:rsidRPr="00D26B01">
        <w:t>So'aib</w:t>
      </w:r>
      <w:proofErr w:type="spellEnd"/>
      <w:r w:rsidRPr="00D26B01">
        <w:t xml:space="preserve"> M. S., Krishnan J., 2017, Effect of calcination temperature on </w:t>
      </w:r>
      <w:proofErr w:type="spellStart"/>
      <w:r w:rsidRPr="00D26B01">
        <w:t>ZnO</w:t>
      </w:r>
      <w:proofErr w:type="spellEnd"/>
      <w:r w:rsidRPr="00D26B01">
        <w:t xml:space="preserve">/TiO2 composite in photocatalytic treatment of phenol under visible light, Malaysian Journal of Analytical Sciences, 21, 173 – 181. </w:t>
      </w:r>
    </w:p>
    <w:p w14:paraId="302C45EC" w14:textId="4E8E43DE" w:rsidR="00857FF8" w:rsidRDefault="00857FF8" w:rsidP="00D26B01">
      <w:pPr>
        <w:pStyle w:val="CETReferencetext"/>
      </w:pPr>
      <w:proofErr w:type="spellStart"/>
      <w:r w:rsidRPr="00D26B01">
        <w:t>Cantarella</w:t>
      </w:r>
      <w:proofErr w:type="spellEnd"/>
      <w:r w:rsidRPr="00D26B01">
        <w:t xml:space="preserve"> M., Di Mauro A., </w:t>
      </w:r>
      <w:proofErr w:type="spellStart"/>
      <w:r w:rsidRPr="00D26B01">
        <w:t>Gulino</w:t>
      </w:r>
      <w:proofErr w:type="spellEnd"/>
      <w:r w:rsidRPr="00D26B01">
        <w:t xml:space="preserve"> A., </w:t>
      </w:r>
      <w:proofErr w:type="spellStart"/>
      <w:r w:rsidRPr="00D26B01">
        <w:t>Spitaleri</w:t>
      </w:r>
      <w:proofErr w:type="spellEnd"/>
      <w:r w:rsidRPr="00D26B01">
        <w:t xml:space="preserve"> L., Nicotra G., </w:t>
      </w:r>
      <w:proofErr w:type="spellStart"/>
      <w:r w:rsidRPr="00D26B01">
        <w:t>Privitera</w:t>
      </w:r>
      <w:proofErr w:type="spellEnd"/>
      <w:r w:rsidRPr="00D26B01">
        <w:t xml:space="preserve"> V., </w:t>
      </w:r>
      <w:proofErr w:type="spellStart"/>
      <w:r w:rsidRPr="00D26B01">
        <w:t>Impellizzeri</w:t>
      </w:r>
      <w:proofErr w:type="spellEnd"/>
      <w:r w:rsidRPr="00D26B01">
        <w:t xml:space="preserve"> G., 2018, Selective photodegradation of paracetamol by molecularly imprinted </w:t>
      </w:r>
      <w:proofErr w:type="spellStart"/>
      <w:r w:rsidRPr="00D26B01">
        <w:t>ZnO</w:t>
      </w:r>
      <w:proofErr w:type="spellEnd"/>
      <w:r w:rsidRPr="00D26B01">
        <w:t xml:space="preserve"> </w:t>
      </w:r>
      <w:proofErr w:type="spellStart"/>
      <w:r w:rsidRPr="00D26B01">
        <w:t>nanonuts</w:t>
      </w:r>
      <w:proofErr w:type="spellEnd"/>
      <w:r w:rsidRPr="00D26B01">
        <w:t>, Applied Catalysis B: Environmental, 238, 509 – 517.</w:t>
      </w:r>
    </w:p>
    <w:p w14:paraId="42CE8AEB" w14:textId="329AC528" w:rsidR="00334FC3" w:rsidRPr="00D26B01" w:rsidRDefault="00334FC3" w:rsidP="00D26B01">
      <w:pPr>
        <w:pStyle w:val="CETReferencetext"/>
      </w:pPr>
      <w:proofErr w:type="spellStart"/>
      <w:r>
        <w:t>Fent</w:t>
      </w:r>
      <w:proofErr w:type="spellEnd"/>
      <w:r>
        <w:t xml:space="preserve"> </w:t>
      </w:r>
      <w:r w:rsidR="00E4263F">
        <w:t xml:space="preserve">K., Weston A. A., </w:t>
      </w:r>
      <w:proofErr w:type="spellStart"/>
      <w:r w:rsidR="00E4263F">
        <w:t>Caminada</w:t>
      </w:r>
      <w:proofErr w:type="spellEnd"/>
      <w:r w:rsidR="00E4263F">
        <w:t xml:space="preserve"> D.</w:t>
      </w:r>
      <w:r w:rsidR="00F14B06">
        <w:t xml:space="preserve">, 2006, </w:t>
      </w:r>
      <w:r w:rsidR="00F14B06" w:rsidRPr="00F14B06">
        <w:t>Ecotoxicology of human pharmaceuticals</w:t>
      </w:r>
      <w:r w:rsidR="00F14B06">
        <w:t xml:space="preserve">, </w:t>
      </w:r>
      <w:r w:rsidR="0020486A" w:rsidRPr="0020486A">
        <w:t>Aquatic Toxicology</w:t>
      </w:r>
      <w:r w:rsidR="0020486A">
        <w:t xml:space="preserve">, </w:t>
      </w:r>
      <w:r w:rsidR="0020486A" w:rsidRPr="0020486A">
        <w:t>76</w:t>
      </w:r>
      <w:r w:rsidR="0020486A">
        <w:t xml:space="preserve">, </w:t>
      </w:r>
      <w:r w:rsidR="0020486A" w:rsidRPr="0020486A">
        <w:t>122</w:t>
      </w:r>
      <w:r w:rsidR="0020486A">
        <w:t xml:space="preserve"> </w:t>
      </w:r>
      <w:r w:rsidR="0020486A" w:rsidRPr="0020486A">
        <w:t>–</w:t>
      </w:r>
      <w:r w:rsidR="0020486A">
        <w:t xml:space="preserve"> </w:t>
      </w:r>
      <w:r w:rsidR="0020486A" w:rsidRPr="0020486A">
        <w:t>159</w:t>
      </w:r>
      <w:r w:rsidR="0020486A">
        <w:t>.</w:t>
      </w:r>
    </w:p>
    <w:p w14:paraId="159A78BE" w14:textId="77777777" w:rsidR="00857FF8" w:rsidRPr="00D26B01" w:rsidRDefault="00857FF8" w:rsidP="00D26B01">
      <w:pPr>
        <w:pStyle w:val="CETReferencetext"/>
      </w:pPr>
      <w:proofErr w:type="spellStart"/>
      <w:r w:rsidRPr="00D26B01">
        <w:t>Galhetas</w:t>
      </w:r>
      <w:proofErr w:type="spellEnd"/>
      <w:r w:rsidRPr="00D26B01">
        <w:t xml:space="preserve"> M., Mestre A. S., Pinto M. L., </w:t>
      </w:r>
      <w:proofErr w:type="spellStart"/>
      <w:r w:rsidRPr="00D26B01">
        <w:t>Gulyurtlu</w:t>
      </w:r>
      <w:proofErr w:type="spellEnd"/>
      <w:r w:rsidRPr="00D26B01">
        <w:t xml:space="preserve"> I., Lopes H., Carvalho A. P., 2014, Carbon-based materials prepared from pine gasification residues for acetaminophen adsorption, Chemical Engineering Journal, 240, 344 – 351. </w:t>
      </w:r>
    </w:p>
    <w:p w14:paraId="3A607DD8" w14:textId="77777777" w:rsidR="00857FF8" w:rsidRPr="00D26B01" w:rsidRDefault="00857FF8" w:rsidP="00D26B01">
      <w:pPr>
        <w:pStyle w:val="CETReferencetext"/>
      </w:pPr>
      <w:r w:rsidRPr="00D26B01">
        <w:t>García-</w:t>
      </w:r>
      <w:proofErr w:type="spellStart"/>
      <w:r w:rsidRPr="00D26B01">
        <w:t>Mateos</w:t>
      </w:r>
      <w:proofErr w:type="spellEnd"/>
      <w:r w:rsidRPr="00D26B01">
        <w:t xml:space="preserve">, F. J., Ruiz-Rosas R., </w:t>
      </w:r>
      <w:proofErr w:type="spellStart"/>
      <w:r w:rsidRPr="00D26B01">
        <w:t>Marqués</w:t>
      </w:r>
      <w:proofErr w:type="spellEnd"/>
      <w:r w:rsidRPr="00D26B01">
        <w:t xml:space="preserve"> M. D., </w:t>
      </w:r>
      <w:proofErr w:type="spellStart"/>
      <w:r w:rsidRPr="00D26B01">
        <w:t>Cotoruelo</w:t>
      </w:r>
      <w:proofErr w:type="spellEnd"/>
      <w:r w:rsidRPr="00D26B01">
        <w:t xml:space="preserve"> L. M., Rodríguez-</w:t>
      </w:r>
      <w:proofErr w:type="spellStart"/>
      <w:r w:rsidRPr="00D26B01">
        <w:t>Mirasol</w:t>
      </w:r>
      <w:proofErr w:type="spellEnd"/>
      <w:r w:rsidRPr="00D26B01">
        <w:t xml:space="preserve"> J., Cordero T., 2015, Removal of paracetamol on biomass-derived activated carbon: </w:t>
      </w:r>
      <w:proofErr w:type="spellStart"/>
      <w:r w:rsidRPr="00D26B01">
        <w:t>Modeling</w:t>
      </w:r>
      <w:proofErr w:type="spellEnd"/>
      <w:r w:rsidRPr="00D26B01">
        <w:t xml:space="preserve"> the fixed bed breakthrough curves using batch adsorption experiments, Chemical Engineering Journal, 279, 18 – 30. </w:t>
      </w:r>
    </w:p>
    <w:p w14:paraId="04289C86" w14:textId="77777777" w:rsidR="00857FF8" w:rsidRPr="00D26B01" w:rsidRDefault="00857FF8" w:rsidP="00D26B01">
      <w:pPr>
        <w:pStyle w:val="CETReferencetext"/>
      </w:pPr>
      <w:r w:rsidRPr="00D26B01">
        <w:t xml:space="preserve">Hernández R., Olvera-Rodríguez I., Guzmán C., </w:t>
      </w:r>
      <w:proofErr w:type="spellStart"/>
      <w:r w:rsidRPr="00D26B01">
        <w:t>Medel</w:t>
      </w:r>
      <w:proofErr w:type="spellEnd"/>
      <w:r w:rsidRPr="00D26B01">
        <w:t xml:space="preserve"> A., Escobar-</w:t>
      </w:r>
      <w:proofErr w:type="spellStart"/>
      <w:r w:rsidRPr="00D26B01">
        <w:t>Alarcón</w:t>
      </w:r>
      <w:proofErr w:type="spellEnd"/>
      <w:r w:rsidRPr="00D26B01">
        <w:t xml:space="preserve"> L., </w:t>
      </w:r>
      <w:proofErr w:type="spellStart"/>
      <w:r w:rsidRPr="00D26B01">
        <w:t>Brillas</w:t>
      </w:r>
      <w:proofErr w:type="spellEnd"/>
      <w:r w:rsidRPr="00D26B01">
        <w:t xml:space="preserve"> E., </w:t>
      </w:r>
      <w:proofErr w:type="spellStart"/>
      <w:r w:rsidRPr="00D26B01">
        <w:t>Sirés</w:t>
      </w:r>
      <w:proofErr w:type="spellEnd"/>
      <w:r w:rsidRPr="00D26B01">
        <w:t xml:space="preserve"> I., Esquivel K., 2018, Microwave-assisted sol-gel synthesis of an Au-TiO2 photoanode for the advanced oxidation of paracetamol as model pharmaceutical pollutant, Electrochemistry Communications, 96, 42 – 46.</w:t>
      </w:r>
    </w:p>
    <w:p w14:paraId="73E5CE2F" w14:textId="02240E4D" w:rsidR="00857FF8" w:rsidRDefault="00857FF8" w:rsidP="00D26B01">
      <w:pPr>
        <w:pStyle w:val="CETReferencetext"/>
      </w:pPr>
      <w:r w:rsidRPr="00D26B01">
        <w:t xml:space="preserve">Leyva E., Moctezuma E., Baines K. M., Noriega S., </w:t>
      </w:r>
      <w:proofErr w:type="spellStart"/>
      <w:r w:rsidRPr="00D26B01">
        <w:t>Zarazua</w:t>
      </w:r>
      <w:proofErr w:type="spellEnd"/>
      <w:r w:rsidRPr="00D26B01">
        <w:t xml:space="preserve"> E., 2018, A review on chemical advanced oxidation processes for pharmaceuticals with paracetamol as a model compound. Reaction Conditions, Intermediates and Total Mechanism, Current Organic Chemistry, 22, 2 – 17.</w:t>
      </w:r>
    </w:p>
    <w:p w14:paraId="3C456223" w14:textId="36BBB564" w:rsidR="005A204B" w:rsidRPr="00D26B01" w:rsidRDefault="005A204B" w:rsidP="00D15F2D">
      <w:pPr>
        <w:pStyle w:val="CETReferencetext"/>
      </w:pPr>
      <w:r>
        <w:t>Liu</w:t>
      </w:r>
      <w:r w:rsidR="001C2FEB">
        <w:t xml:space="preserve"> J., Wong M., 2013</w:t>
      </w:r>
      <w:r w:rsidR="00D15F2D">
        <w:t xml:space="preserve">, Pharmaceuticals and personal care products (PPCPs): A review on environmental contamination in China, </w:t>
      </w:r>
      <w:r w:rsidR="0014742F">
        <w:t xml:space="preserve">Environment International, 59, 208 </w:t>
      </w:r>
      <w:r w:rsidR="001F6495">
        <w:t>– 224.</w:t>
      </w:r>
    </w:p>
    <w:p w14:paraId="1529F1D9" w14:textId="77777777" w:rsidR="00775406" w:rsidRPr="00D26B01" w:rsidRDefault="00775406" w:rsidP="00D26B01">
      <w:pPr>
        <w:pStyle w:val="CETReferencetext"/>
      </w:pPr>
      <w:r w:rsidRPr="00D26B01">
        <w:t xml:space="preserve">Marques S. C. R., </w:t>
      </w:r>
      <w:proofErr w:type="spellStart"/>
      <w:r w:rsidRPr="00D26B01">
        <w:t>Marcuzzo</w:t>
      </w:r>
      <w:proofErr w:type="spellEnd"/>
      <w:r w:rsidRPr="00D26B01">
        <w:t xml:space="preserve"> J. M., </w:t>
      </w:r>
      <w:proofErr w:type="spellStart"/>
      <w:r w:rsidRPr="00D26B01">
        <w:t>Baldan</w:t>
      </w:r>
      <w:proofErr w:type="spellEnd"/>
      <w:r w:rsidRPr="00D26B01">
        <w:t xml:space="preserve"> M. R., Mestre A. S., Carvalho A. P., 2017, Pharmaceuticals removal by activated carbons: Role of morphology on cyclic thermal regeneration, Chemical Engineering Journal, 321, 233 – 244.</w:t>
      </w:r>
    </w:p>
    <w:p w14:paraId="06CD24BA" w14:textId="77777777" w:rsidR="00775406" w:rsidRPr="00D26B01" w:rsidRDefault="00775406" w:rsidP="00D26B01">
      <w:pPr>
        <w:pStyle w:val="CETReferencetext"/>
      </w:pPr>
      <w:r w:rsidRPr="00D26B01">
        <w:t xml:space="preserve">Martínez J. J. D., </w:t>
      </w:r>
      <w:proofErr w:type="spellStart"/>
      <w:r w:rsidRPr="00D26B01">
        <w:t>Úsuga</w:t>
      </w:r>
      <w:proofErr w:type="spellEnd"/>
      <w:r w:rsidRPr="00D26B01">
        <w:t xml:space="preserve"> L. F., Gil C., Castro C. D., Germán C. Q., 2016, Thermal study of gels obtained from </w:t>
      </w:r>
      <w:proofErr w:type="spellStart"/>
      <w:r w:rsidRPr="00D26B01">
        <w:t>resol</w:t>
      </w:r>
      <w:proofErr w:type="spellEnd"/>
      <w:r w:rsidRPr="00D26B01">
        <w:t xml:space="preserve"> type phenolic resins modified with lignin, Macromolecular Symposia, 370, 7–16.</w:t>
      </w:r>
    </w:p>
    <w:p w14:paraId="07B68BA7" w14:textId="6657E27D" w:rsidR="008055E8" w:rsidRDefault="00775406" w:rsidP="008055E8">
      <w:pPr>
        <w:pStyle w:val="CETReferencetext"/>
      </w:pPr>
      <w:proofErr w:type="spellStart"/>
      <w:r w:rsidRPr="00D26B01">
        <w:t>Regalbuto</w:t>
      </w:r>
      <w:proofErr w:type="spellEnd"/>
      <w:r w:rsidRPr="00D26B01">
        <w:t xml:space="preserve"> J. R., Robles J., 2004, The engineering of Pt/Carbon Catalyst Preparation, Report, University of Illinois, Chicago, US</w:t>
      </w:r>
      <w:r w:rsidR="00F02213">
        <w:t>A</w:t>
      </w:r>
      <w:r w:rsidRPr="00D26B01">
        <w:t xml:space="preserve">. </w:t>
      </w:r>
    </w:p>
    <w:p w14:paraId="535021C8" w14:textId="5F74B28F" w:rsidR="00775406" w:rsidRPr="008055E8" w:rsidRDefault="008055E8" w:rsidP="008055E8">
      <w:pPr>
        <w:pStyle w:val="CETReferencetext"/>
        <w:rPr>
          <w:rFonts w:cs="Arial"/>
          <w:color w:val="000000" w:themeColor="text1"/>
          <w:szCs w:val="18"/>
          <w:lang w:val="en-US"/>
        </w:rPr>
      </w:pPr>
      <w:r w:rsidRPr="00D26B01">
        <w:t>Rivera-</w:t>
      </w:r>
      <w:proofErr w:type="spellStart"/>
      <w:r w:rsidRPr="00D26B01">
        <w:t>Utrilla</w:t>
      </w:r>
      <w:proofErr w:type="spellEnd"/>
      <w:r w:rsidRPr="00D26B01">
        <w:t xml:space="preserve"> J., Sánchez-Polo M., 2011, Adsorbent-adsorbate interactions in the adsorption of organic and inorganic species on ozonized activated carbons: a short review, Adsorption, 17, 611 – 620.</w:t>
      </w:r>
    </w:p>
    <w:p w14:paraId="6BECDCAC" w14:textId="77777777" w:rsidR="00775406" w:rsidRPr="008055E8" w:rsidRDefault="00775406" w:rsidP="00D26B01">
      <w:pPr>
        <w:pStyle w:val="CETReferencetext"/>
        <w:rPr>
          <w:lang w:val="pt-BR"/>
        </w:rPr>
      </w:pPr>
      <w:r w:rsidRPr="008055E8">
        <w:rPr>
          <w:lang w:val="pt-BR"/>
        </w:rPr>
        <w:t xml:space="preserve">Teixeira C. P. A. B., Jardim W. F., “Caderno Temático: Processos Oxidativos Avançados - Conceitos Teóricos.”, </w:t>
      </w:r>
      <w:proofErr w:type="spellStart"/>
      <w:r w:rsidRPr="008055E8">
        <w:rPr>
          <w:lang w:val="pt-BR"/>
        </w:rPr>
        <w:t>State</w:t>
      </w:r>
      <w:proofErr w:type="spellEnd"/>
      <w:r w:rsidRPr="008055E8">
        <w:rPr>
          <w:lang w:val="pt-BR"/>
        </w:rPr>
        <w:t xml:space="preserve"> </w:t>
      </w:r>
      <w:proofErr w:type="spellStart"/>
      <w:r w:rsidRPr="008055E8">
        <w:rPr>
          <w:lang w:val="pt-BR"/>
        </w:rPr>
        <w:t>University</w:t>
      </w:r>
      <w:proofErr w:type="spellEnd"/>
      <w:r w:rsidRPr="008055E8">
        <w:rPr>
          <w:lang w:val="pt-BR"/>
        </w:rPr>
        <w:t xml:space="preserve"> </w:t>
      </w:r>
      <w:proofErr w:type="spellStart"/>
      <w:r w:rsidRPr="008055E8">
        <w:rPr>
          <w:lang w:val="pt-BR"/>
        </w:rPr>
        <w:t>of</w:t>
      </w:r>
      <w:proofErr w:type="spellEnd"/>
      <w:r w:rsidRPr="008055E8">
        <w:rPr>
          <w:lang w:val="pt-BR"/>
        </w:rPr>
        <w:t xml:space="preserve"> Campinas, </w:t>
      </w:r>
      <w:proofErr w:type="spellStart"/>
      <w:r w:rsidRPr="008055E8">
        <w:rPr>
          <w:lang w:val="pt-BR"/>
        </w:rPr>
        <w:t>Institute</w:t>
      </w:r>
      <w:proofErr w:type="spellEnd"/>
      <w:r w:rsidRPr="008055E8">
        <w:rPr>
          <w:lang w:val="pt-BR"/>
        </w:rPr>
        <w:t xml:space="preserve"> </w:t>
      </w:r>
      <w:proofErr w:type="spellStart"/>
      <w:r w:rsidRPr="008055E8">
        <w:rPr>
          <w:lang w:val="pt-BR"/>
        </w:rPr>
        <w:t>of</w:t>
      </w:r>
      <w:proofErr w:type="spellEnd"/>
      <w:r w:rsidRPr="008055E8">
        <w:rPr>
          <w:lang w:val="pt-BR"/>
        </w:rPr>
        <w:t xml:space="preserve"> </w:t>
      </w:r>
      <w:proofErr w:type="spellStart"/>
      <w:r w:rsidRPr="008055E8">
        <w:rPr>
          <w:lang w:val="pt-BR"/>
        </w:rPr>
        <w:t>Chemistry</w:t>
      </w:r>
      <w:proofErr w:type="spellEnd"/>
      <w:r w:rsidRPr="008055E8">
        <w:rPr>
          <w:lang w:val="pt-BR"/>
        </w:rPr>
        <w:t xml:space="preserve">, 3, Campinas, BR. </w:t>
      </w:r>
    </w:p>
    <w:p w14:paraId="42DF5205" w14:textId="77777777" w:rsidR="00775406" w:rsidRPr="00D26B01" w:rsidRDefault="00775406" w:rsidP="00D26B01">
      <w:pPr>
        <w:pStyle w:val="CETReferencetext"/>
      </w:pPr>
      <w:r w:rsidRPr="00D26B01">
        <w:t xml:space="preserve">Vaiano V., </w:t>
      </w:r>
      <w:proofErr w:type="spellStart"/>
      <w:r w:rsidRPr="00D26B01">
        <w:t>Matarangolo</w:t>
      </w:r>
      <w:proofErr w:type="spellEnd"/>
      <w:r w:rsidRPr="00D26B01">
        <w:t xml:space="preserve"> M., Sacco O., 2018, UV-LEDs floating-bed photoreactor for the removal of caffeine and paracetamol using </w:t>
      </w:r>
      <w:proofErr w:type="spellStart"/>
      <w:r w:rsidRPr="00D26B01">
        <w:t>ZnO</w:t>
      </w:r>
      <w:proofErr w:type="spellEnd"/>
      <w:r w:rsidRPr="00D26B01">
        <w:t xml:space="preserve"> supported on polystyrene pellets, Chemical Engineering Journal, 350, 703 – 713.</w:t>
      </w:r>
    </w:p>
    <w:p w14:paraId="32FFAE58" w14:textId="74233C4C" w:rsidR="007E74B5" w:rsidRPr="00D26B01" w:rsidRDefault="00036A83" w:rsidP="00D26B01">
      <w:pPr>
        <w:pStyle w:val="CETReferencetext"/>
      </w:pPr>
      <w:proofErr w:type="spellStart"/>
      <w:r w:rsidRPr="00D26B01">
        <w:t>Villaescusa</w:t>
      </w:r>
      <w:proofErr w:type="spellEnd"/>
      <w:r w:rsidR="00DB253F" w:rsidRPr="00D26B01">
        <w:t xml:space="preserve"> I</w:t>
      </w:r>
      <w:r w:rsidR="00D75FA6" w:rsidRPr="00D26B01">
        <w:t xml:space="preserve">, </w:t>
      </w:r>
      <w:proofErr w:type="spellStart"/>
      <w:r w:rsidR="00D75FA6" w:rsidRPr="00D26B01">
        <w:t>Fiol</w:t>
      </w:r>
      <w:proofErr w:type="spellEnd"/>
      <w:r w:rsidR="00D75FA6" w:rsidRPr="00D26B01">
        <w:t xml:space="preserve"> N., </w:t>
      </w:r>
      <w:proofErr w:type="spellStart"/>
      <w:r w:rsidR="00D75FA6" w:rsidRPr="00D26B01">
        <w:t>Poch</w:t>
      </w:r>
      <w:proofErr w:type="spellEnd"/>
      <w:r w:rsidR="00D75FA6" w:rsidRPr="00D26B01">
        <w:t xml:space="preserve"> J., </w:t>
      </w:r>
      <w:r w:rsidR="0089435F" w:rsidRPr="00D26B01">
        <w:t xml:space="preserve">Bianchi A., </w:t>
      </w:r>
      <w:proofErr w:type="spellStart"/>
      <w:r w:rsidR="0089435F" w:rsidRPr="00D26B01">
        <w:t>Bazzicalupi</w:t>
      </w:r>
      <w:proofErr w:type="spellEnd"/>
      <w:r w:rsidR="0089435F" w:rsidRPr="00D26B01">
        <w:t xml:space="preserve"> C., </w:t>
      </w:r>
      <w:r w:rsidR="00B06780" w:rsidRPr="00D26B01">
        <w:t>2011, Mechanism of paracetamol removal by vegetable wastes: The contribution of π–π interactions, hydrogen bonding and hydrophobic effect</w:t>
      </w:r>
      <w:r w:rsidR="00C916B8" w:rsidRPr="00D26B01">
        <w:t xml:space="preserve">, Desalination, </w:t>
      </w:r>
      <w:r w:rsidR="0088226E" w:rsidRPr="00D26B01">
        <w:t>270, 135-142.</w:t>
      </w:r>
    </w:p>
    <w:p w14:paraId="2C036C4C" w14:textId="77777777" w:rsidR="00715EB1" w:rsidRPr="00D26B01" w:rsidRDefault="00860C31" w:rsidP="00D26B01">
      <w:pPr>
        <w:pStyle w:val="CETReferencetext"/>
      </w:pPr>
      <w:r w:rsidRPr="00D26B01">
        <w:t xml:space="preserve">Yang L., </w:t>
      </w:r>
      <w:proofErr w:type="spellStart"/>
      <w:r w:rsidRPr="00D26B01">
        <w:t>Yua</w:t>
      </w:r>
      <w:proofErr w:type="spellEnd"/>
      <w:r w:rsidRPr="00D26B01">
        <w:t xml:space="preserve"> L. E., Ray</w:t>
      </w:r>
      <w:r w:rsidR="007E5980" w:rsidRPr="00D26B01">
        <w:t xml:space="preserve"> M. B., 2008, Degradation of paracetamol in aqueous solutions by TiO2 photocatalysis, </w:t>
      </w:r>
      <w:r w:rsidR="00B57636" w:rsidRPr="00D26B01">
        <w:t>Water Research, 42, 3480 – 3488.</w:t>
      </w:r>
      <w:r w:rsidR="00715EB1" w:rsidRPr="00D26B01">
        <w:t xml:space="preserve"> </w:t>
      </w:r>
    </w:p>
    <w:p w14:paraId="7E58E71D" w14:textId="6AF20A58" w:rsidR="00A574EC" w:rsidRPr="00D26B01" w:rsidRDefault="008112BF" w:rsidP="00D26B01">
      <w:pPr>
        <w:pStyle w:val="CETReferencetext"/>
      </w:pPr>
      <w:proofErr w:type="spellStart"/>
      <w:r w:rsidRPr="00D26B01">
        <w:t>Zulkiflee</w:t>
      </w:r>
      <w:proofErr w:type="spellEnd"/>
      <w:r w:rsidRPr="00D26B01">
        <w:t xml:space="preserve"> N. S., </w:t>
      </w:r>
      <w:proofErr w:type="spellStart"/>
      <w:r w:rsidRPr="00D26B01">
        <w:t>Hussin</w:t>
      </w:r>
      <w:proofErr w:type="spellEnd"/>
      <w:r w:rsidRPr="00D26B01">
        <w:t xml:space="preserve"> R., Halim J., Ibrahim M. I., Zainal M. Z., Nizam S., Rahman S. A., 2016, Characterization of TiO2/</w:t>
      </w:r>
      <w:proofErr w:type="spellStart"/>
      <w:r w:rsidRPr="00D26B01">
        <w:t>ZnO</w:t>
      </w:r>
      <w:proofErr w:type="spellEnd"/>
      <w:r w:rsidRPr="00D26B01">
        <w:t xml:space="preserve"> and TiO2/</w:t>
      </w:r>
      <w:proofErr w:type="spellStart"/>
      <w:r w:rsidRPr="00D26B01">
        <w:t>ZnO</w:t>
      </w:r>
      <w:proofErr w:type="spellEnd"/>
      <w:r w:rsidRPr="00D26B01">
        <w:t xml:space="preserve"> thin films prepared by sol-gel method, Journal of Engineering and Applied Sciences, 11, 7633 – 7637.</w:t>
      </w:r>
    </w:p>
    <w:sectPr w:rsidR="00A574EC" w:rsidRPr="00D26B01"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9940A" w14:textId="77777777" w:rsidR="00EB3D3A" w:rsidRDefault="00EB3D3A" w:rsidP="004F5E36">
      <w:r>
        <w:separator/>
      </w:r>
    </w:p>
  </w:endnote>
  <w:endnote w:type="continuationSeparator" w:id="0">
    <w:p w14:paraId="1ED2A612" w14:textId="77777777" w:rsidR="00EB3D3A" w:rsidRDefault="00EB3D3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0866A" w14:textId="77777777" w:rsidR="00EB3D3A" w:rsidRDefault="00EB3D3A" w:rsidP="004F5E36">
      <w:r>
        <w:separator/>
      </w:r>
    </w:p>
  </w:footnote>
  <w:footnote w:type="continuationSeparator" w:id="0">
    <w:p w14:paraId="1E226ABA" w14:textId="77777777" w:rsidR="00EB3D3A" w:rsidRDefault="00EB3D3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141E7B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395903"/>
    <w:multiLevelType w:val="hybridMultilevel"/>
    <w:tmpl w:val="B3AA1872"/>
    <w:lvl w:ilvl="0" w:tplc="0AF4B10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38217E"/>
    <w:multiLevelType w:val="multilevel"/>
    <w:tmpl w:val="B566B8F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156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D5418E4"/>
    <w:multiLevelType w:val="multilevel"/>
    <w:tmpl w:val="77E2B87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D110408"/>
    <w:multiLevelType w:val="hybridMultilevel"/>
    <w:tmpl w:val="ED509E36"/>
    <w:lvl w:ilvl="0" w:tplc="117E73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68B489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1983C95"/>
    <w:multiLevelType w:val="hybridMultilevel"/>
    <w:tmpl w:val="EF5A085E"/>
    <w:lvl w:ilvl="0" w:tplc="D3C6D7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5"/>
  </w:num>
  <w:num w:numId="14">
    <w:abstractNumId w:val="22"/>
  </w:num>
  <w:num w:numId="15">
    <w:abstractNumId w:val="25"/>
  </w:num>
  <w:num w:numId="16">
    <w:abstractNumId w:val="24"/>
  </w:num>
  <w:num w:numId="17">
    <w:abstractNumId w:val="14"/>
  </w:num>
  <w:num w:numId="18">
    <w:abstractNumId w:val="15"/>
    <w:lvlOverride w:ilvl="0">
      <w:startOverride w:val="1"/>
    </w:lvlOverride>
  </w:num>
  <w:num w:numId="19">
    <w:abstractNumId w:val="19"/>
  </w:num>
  <w:num w:numId="20">
    <w:abstractNumId w:val="18"/>
  </w:num>
  <w:num w:numId="21">
    <w:abstractNumId w:val="16"/>
  </w:num>
  <w:num w:numId="22">
    <w:abstractNumId w:val="17"/>
  </w:num>
  <w:num w:numId="23">
    <w:abstractNumId w:val="21"/>
  </w:num>
  <w:num w:numId="24">
    <w:abstractNumId w:val="10"/>
  </w:num>
  <w:num w:numId="25">
    <w:abstractNumId w:val="13"/>
  </w:num>
  <w:num w:numId="26">
    <w:abstractNumId w:val="1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styleLockTheme/>
  <w:styleLockQFSet/>
  <w:defaultTabStop w:val="708"/>
  <w:hyphenationZone w:val="283"/>
  <w:clickAndTypeStyle w:val="CET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B3A"/>
    <w:rsid w:val="000027C0"/>
    <w:rsid w:val="00004E31"/>
    <w:rsid w:val="00005015"/>
    <w:rsid w:val="000052FB"/>
    <w:rsid w:val="000071CA"/>
    <w:rsid w:val="00010F40"/>
    <w:rsid w:val="000117CB"/>
    <w:rsid w:val="00022BE6"/>
    <w:rsid w:val="0002523D"/>
    <w:rsid w:val="00027353"/>
    <w:rsid w:val="0003148D"/>
    <w:rsid w:val="000330FB"/>
    <w:rsid w:val="000345F4"/>
    <w:rsid w:val="000346F3"/>
    <w:rsid w:val="00036A83"/>
    <w:rsid w:val="000405EF"/>
    <w:rsid w:val="00040861"/>
    <w:rsid w:val="000417EE"/>
    <w:rsid w:val="00047D7F"/>
    <w:rsid w:val="000502E0"/>
    <w:rsid w:val="00051566"/>
    <w:rsid w:val="00051B5F"/>
    <w:rsid w:val="00056F79"/>
    <w:rsid w:val="00062A9A"/>
    <w:rsid w:val="0006379A"/>
    <w:rsid w:val="00065058"/>
    <w:rsid w:val="00065BAC"/>
    <w:rsid w:val="00065BF2"/>
    <w:rsid w:val="00070F49"/>
    <w:rsid w:val="000716F5"/>
    <w:rsid w:val="00071F71"/>
    <w:rsid w:val="0007310E"/>
    <w:rsid w:val="00075396"/>
    <w:rsid w:val="00075CF3"/>
    <w:rsid w:val="000763CA"/>
    <w:rsid w:val="00077333"/>
    <w:rsid w:val="00080B46"/>
    <w:rsid w:val="00080BAF"/>
    <w:rsid w:val="00081E22"/>
    <w:rsid w:val="00082042"/>
    <w:rsid w:val="000833E4"/>
    <w:rsid w:val="000861DC"/>
    <w:rsid w:val="00086C39"/>
    <w:rsid w:val="00087B9F"/>
    <w:rsid w:val="00092EC6"/>
    <w:rsid w:val="000940D4"/>
    <w:rsid w:val="000A03B2"/>
    <w:rsid w:val="000A136E"/>
    <w:rsid w:val="000A1D3A"/>
    <w:rsid w:val="000A3B79"/>
    <w:rsid w:val="000A5545"/>
    <w:rsid w:val="000A6B88"/>
    <w:rsid w:val="000B047F"/>
    <w:rsid w:val="000B3355"/>
    <w:rsid w:val="000B4729"/>
    <w:rsid w:val="000B564D"/>
    <w:rsid w:val="000B6DCF"/>
    <w:rsid w:val="000B6E60"/>
    <w:rsid w:val="000C2317"/>
    <w:rsid w:val="000C7171"/>
    <w:rsid w:val="000D30DA"/>
    <w:rsid w:val="000D34BE"/>
    <w:rsid w:val="000D3E77"/>
    <w:rsid w:val="000E102F"/>
    <w:rsid w:val="000E36F1"/>
    <w:rsid w:val="000E3A73"/>
    <w:rsid w:val="000E414A"/>
    <w:rsid w:val="000E43B1"/>
    <w:rsid w:val="000E4A94"/>
    <w:rsid w:val="000E556B"/>
    <w:rsid w:val="000F093C"/>
    <w:rsid w:val="000F16BD"/>
    <w:rsid w:val="000F53EC"/>
    <w:rsid w:val="000F63DD"/>
    <w:rsid w:val="000F787B"/>
    <w:rsid w:val="001053B1"/>
    <w:rsid w:val="001078AD"/>
    <w:rsid w:val="00110A4C"/>
    <w:rsid w:val="00112CDB"/>
    <w:rsid w:val="0012091F"/>
    <w:rsid w:val="00120ED0"/>
    <w:rsid w:val="00122FE3"/>
    <w:rsid w:val="0012518C"/>
    <w:rsid w:val="00125FCD"/>
    <w:rsid w:val="00126734"/>
    <w:rsid w:val="00126BC2"/>
    <w:rsid w:val="0012758E"/>
    <w:rsid w:val="001308B6"/>
    <w:rsid w:val="00130B36"/>
    <w:rsid w:val="0013121F"/>
    <w:rsid w:val="00131D56"/>
    <w:rsid w:val="00131FAB"/>
    <w:rsid w:val="00131FE6"/>
    <w:rsid w:val="0013263F"/>
    <w:rsid w:val="00132CFC"/>
    <w:rsid w:val="00132E2E"/>
    <w:rsid w:val="00132F45"/>
    <w:rsid w:val="00133DBB"/>
    <w:rsid w:val="00134039"/>
    <w:rsid w:val="00134DE4"/>
    <w:rsid w:val="0014034D"/>
    <w:rsid w:val="00141475"/>
    <w:rsid w:val="0014218B"/>
    <w:rsid w:val="00142393"/>
    <w:rsid w:val="001434D3"/>
    <w:rsid w:val="0014742F"/>
    <w:rsid w:val="00150051"/>
    <w:rsid w:val="00150E59"/>
    <w:rsid w:val="00151C0A"/>
    <w:rsid w:val="00152DE3"/>
    <w:rsid w:val="00156502"/>
    <w:rsid w:val="00160F10"/>
    <w:rsid w:val="00162642"/>
    <w:rsid w:val="00164CF9"/>
    <w:rsid w:val="001654BD"/>
    <w:rsid w:val="00166D8E"/>
    <w:rsid w:val="00170836"/>
    <w:rsid w:val="00174BB5"/>
    <w:rsid w:val="00175DEC"/>
    <w:rsid w:val="001814E8"/>
    <w:rsid w:val="0018153F"/>
    <w:rsid w:val="001815C0"/>
    <w:rsid w:val="001842C2"/>
    <w:rsid w:val="00184AD6"/>
    <w:rsid w:val="00184B9B"/>
    <w:rsid w:val="00194871"/>
    <w:rsid w:val="001952AF"/>
    <w:rsid w:val="001A5367"/>
    <w:rsid w:val="001A56BA"/>
    <w:rsid w:val="001A7111"/>
    <w:rsid w:val="001B0349"/>
    <w:rsid w:val="001B4EC9"/>
    <w:rsid w:val="001B5040"/>
    <w:rsid w:val="001B65C1"/>
    <w:rsid w:val="001B6F1E"/>
    <w:rsid w:val="001C2941"/>
    <w:rsid w:val="001C2FC8"/>
    <w:rsid w:val="001C2FEB"/>
    <w:rsid w:val="001C36E4"/>
    <w:rsid w:val="001C4B22"/>
    <w:rsid w:val="001C684B"/>
    <w:rsid w:val="001D1D8B"/>
    <w:rsid w:val="001D3D69"/>
    <w:rsid w:val="001D53FC"/>
    <w:rsid w:val="001D56C8"/>
    <w:rsid w:val="001D782D"/>
    <w:rsid w:val="001E0436"/>
    <w:rsid w:val="001E049D"/>
    <w:rsid w:val="001E17A1"/>
    <w:rsid w:val="001E4979"/>
    <w:rsid w:val="001F4016"/>
    <w:rsid w:val="001F42A5"/>
    <w:rsid w:val="001F46AC"/>
    <w:rsid w:val="001F6495"/>
    <w:rsid w:val="001F7B9D"/>
    <w:rsid w:val="00200FA0"/>
    <w:rsid w:val="00202FD7"/>
    <w:rsid w:val="002047D3"/>
    <w:rsid w:val="0020486A"/>
    <w:rsid w:val="002051DC"/>
    <w:rsid w:val="0020585F"/>
    <w:rsid w:val="00213E75"/>
    <w:rsid w:val="00215C63"/>
    <w:rsid w:val="002160B7"/>
    <w:rsid w:val="00216958"/>
    <w:rsid w:val="002213F1"/>
    <w:rsid w:val="00221B4C"/>
    <w:rsid w:val="00221C34"/>
    <w:rsid w:val="002222C3"/>
    <w:rsid w:val="002224B4"/>
    <w:rsid w:val="002233D5"/>
    <w:rsid w:val="002239AA"/>
    <w:rsid w:val="0023098C"/>
    <w:rsid w:val="00231209"/>
    <w:rsid w:val="002409C4"/>
    <w:rsid w:val="002426D8"/>
    <w:rsid w:val="002429CE"/>
    <w:rsid w:val="002447EF"/>
    <w:rsid w:val="00244AC0"/>
    <w:rsid w:val="00250F24"/>
    <w:rsid w:val="002513B3"/>
    <w:rsid w:val="00251550"/>
    <w:rsid w:val="00252C1A"/>
    <w:rsid w:val="00253BF6"/>
    <w:rsid w:val="00256C7E"/>
    <w:rsid w:val="00257537"/>
    <w:rsid w:val="00260D3C"/>
    <w:rsid w:val="00262887"/>
    <w:rsid w:val="00263B05"/>
    <w:rsid w:val="00264727"/>
    <w:rsid w:val="002700E3"/>
    <w:rsid w:val="002701F2"/>
    <w:rsid w:val="0027221A"/>
    <w:rsid w:val="00273BA0"/>
    <w:rsid w:val="00274932"/>
    <w:rsid w:val="00275B61"/>
    <w:rsid w:val="002777B6"/>
    <w:rsid w:val="00282656"/>
    <w:rsid w:val="00283F8D"/>
    <w:rsid w:val="00285358"/>
    <w:rsid w:val="00286883"/>
    <w:rsid w:val="00296B83"/>
    <w:rsid w:val="00296FE7"/>
    <w:rsid w:val="002A031B"/>
    <w:rsid w:val="002A07DC"/>
    <w:rsid w:val="002A104F"/>
    <w:rsid w:val="002A1DBB"/>
    <w:rsid w:val="002A43F4"/>
    <w:rsid w:val="002B0D70"/>
    <w:rsid w:val="002B1EFC"/>
    <w:rsid w:val="002B3139"/>
    <w:rsid w:val="002B3B41"/>
    <w:rsid w:val="002B73CD"/>
    <w:rsid w:val="002B78CE"/>
    <w:rsid w:val="002C137F"/>
    <w:rsid w:val="002C2FB6"/>
    <w:rsid w:val="002C67FF"/>
    <w:rsid w:val="002D03E4"/>
    <w:rsid w:val="002D0A6C"/>
    <w:rsid w:val="002D115D"/>
    <w:rsid w:val="002D2B69"/>
    <w:rsid w:val="002D3507"/>
    <w:rsid w:val="002D465B"/>
    <w:rsid w:val="002D5394"/>
    <w:rsid w:val="002D53AF"/>
    <w:rsid w:val="002D5A40"/>
    <w:rsid w:val="002D5BCD"/>
    <w:rsid w:val="002D6B8F"/>
    <w:rsid w:val="002D7A08"/>
    <w:rsid w:val="002D7DA5"/>
    <w:rsid w:val="002E0088"/>
    <w:rsid w:val="002E1C9C"/>
    <w:rsid w:val="002E1F11"/>
    <w:rsid w:val="002E29F5"/>
    <w:rsid w:val="002E4FA5"/>
    <w:rsid w:val="002E6219"/>
    <w:rsid w:val="002E75D5"/>
    <w:rsid w:val="002F0A26"/>
    <w:rsid w:val="002F0F61"/>
    <w:rsid w:val="002F2694"/>
    <w:rsid w:val="002F3F92"/>
    <w:rsid w:val="003009B7"/>
    <w:rsid w:val="00300E56"/>
    <w:rsid w:val="00301704"/>
    <w:rsid w:val="00302228"/>
    <w:rsid w:val="0030469C"/>
    <w:rsid w:val="00304741"/>
    <w:rsid w:val="00306BE9"/>
    <w:rsid w:val="0030706D"/>
    <w:rsid w:val="00313DA3"/>
    <w:rsid w:val="00321159"/>
    <w:rsid w:val="00321CA6"/>
    <w:rsid w:val="00323B36"/>
    <w:rsid w:val="00330577"/>
    <w:rsid w:val="00331F39"/>
    <w:rsid w:val="00332013"/>
    <w:rsid w:val="003332CA"/>
    <w:rsid w:val="00333B08"/>
    <w:rsid w:val="00334C09"/>
    <w:rsid w:val="00334FC3"/>
    <w:rsid w:val="003365E3"/>
    <w:rsid w:val="00340A5B"/>
    <w:rsid w:val="00344F00"/>
    <w:rsid w:val="00350AEF"/>
    <w:rsid w:val="0035724E"/>
    <w:rsid w:val="00360109"/>
    <w:rsid w:val="00360D87"/>
    <w:rsid w:val="003628A1"/>
    <w:rsid w:val="003646DA"/>
    <w:rsid w:val="00367295"/>
    <w:rsid w:val="00371113"/>
    <w:rsid w:val="003723D4"/>
    <w:rsid w:val="00372AB8"/>
    <w:rsid w:val="00374727"/>
    <w:rsid w:val="00380EA7"/>
    <w:rsid w:val="003849F1"/>
    <w:rsid w:val="00384CC8"/>
    <w:rsid w:val="00386CC9"/>
    <w:rsid w:val="003871FD"/>
    <w:rsid w:val="00393DE1"/>
    <w:rsid w:val="003948E5"/>
    <w:rsid w:val="003A1E30"/>
    <w:rsid w:val="003A2FA9"/>
    <w:rsid w:val="003A3D61"/>
    <w:rsid w:val="003A4AB9"/>
    <w:rsid w:val="003A5B54"/>
    <w:rsid w:val="003A5D0B"/>
    <w:rsid w:val="003A6341"/>
    <w:rsid w:val="003A7D1C"/>
    <w:rsid w:val="003B1690"/>
    <w:rsid w:val="003B2EFA"/>
    <w:rsid w:val="003B2FAB"/>
    <w:rsid w:val="003B304B"/>
    <w:rsid w:val="003B3146"/>
    <w:rsid w:val="003B3684"/>
    <w:rsid w:val="003B60F3"/>
    <w:rsid w:val="003C56A8"/>
    <w:rsid w:val="003C7B1B"/>
    <w:rsid w:val="003D1C5A"/>
    <w:rsid w:val="003E674F"/>
    <w:rsid w:val="003E713A"/>
    <w:rsid w:val="003F015E"/>
    <w:rsid w:val="003F2D22"/>
    <w:rsid w:val="003F3FD0"/>
    <w:rsid w:val="003F5E71"/>
    <w:rsid w:val="003F5EAF"/>
    <w:rsid w:val="00400414"/>
    <w:rsid w:val="004014FA"/>
    <w:rsid w:val="00405DFE"/>
    <w:rsid w:val="00405F04"/>
    <w:rsid w:val="004068C1"/>
    <w:rsid w:val="00407A58"/>
    <w:rsid w:val="0041393D"/>
    <w:rsid w:val="00414387"/>
    <w:rsid w:val="0041446B"/>
    <w:rsid w:val="004148D5"/>
    <w:rsid w:val="00415BD9"/>
    <w:rsid w:val="00422726"/>
    <w:rsid w:val="00423BDB"/>
    <w:rsid w:val="00423EBA"/>
    <w:rsid w:val="00427125"/>
    <w:rsid w:val="00427C5F"/>
    <w:rsid w:val="00434441"/>
    <w:rsid w:val="00436933"/>
    <w:rsid w:val="0044329C"/>
    <w:rsid w:val="00444607"/>
    <w:rsid w:val="00444B33"/>
    <w:rsid w:val="004577FE"/>
    <w:rsid w:val="00457957"/>
    <w:rsid w:val="004579D6"/>
    <w:rsid w:val="00457B9C"/>
    <w:rsid w:val="00457D03"/>
    <w:rsid w:val="004608F4"/>
    <w:rsid w:val="0046164A"/>
    <w:rsid w:val="004628D2"/>
    <w:rsid w:val="00462DCD"/>
    <w:rsid w:val="004648AD"/>
    <w:rsid w:val="00464FA2"/>
    <w:rsid w:val="00465D46"/>
    <w:rsid w:val="00465F00"/>
    <w:rsid w:val="004703A9"/>
    <w:rsid w:val="00474E35"/>
    <w:rsid w:val="004750A4"/>
    <w:rsid w:val="004757DC"/>
    <w:rsid w:val="004760DE"/>
    <w:rsid w:val="00476B49"/>
    <w:rsid w:val="0048000D"/>
    <w:rsid w:val="00480FBE"/>
    <w:rsid w:val="0048153A"/>
    <w:rsid w:val="004859BC"/>
    <w:rsid w:val="00485B44"/>
    <w:rsid w:val="004871B7"/>
    <w:rsid w:val="00487791"/>
    <w:rsid w:val="00490E91"/>
    <w:rsid w:val="00496F70"/>
    <w:rsid w:val="0049728B"/>
    <w:rsid w:val="004977AE"/>
    <w:rsid w:val="004A004E"/>
    <w:rsid w:val="004A24CF"/>
    <w:rsid w:val="004B35C3"/>
    <w:rsid w:val="004B6721"/>
    <w:rsid w:val="004B75B3"/>
    <w:rsid w:val="004C2618"/>
    <w:rsid w:val="004C3D1D"/>
    <w:rsid w:val="004C4643"/>
    <w:rsid w:val="004C7913"/>
    <w:rsid w:val="004D01DB"/>
    <w:rsid w:val="004D2E50"/>
    <w:rsid w:val="004D33B4"/>
    <w:rsid w:val="004D5182"/>
    <w:rsid w:val="004E4DD6"/>
    <w:rsid w:val="004F0A34"/>
    <w:rsid w:val="004F5E36"/>
    <w:rsid w:val="004F6922"/>
    <w:rsid w:val="00500E66"/>
    <w:rsid w:val="005028E1"/>
    <w:rsid w:val="00502D09"/>
    <w:rsid w:val="00505BEF"/>
    <w:rsid w:val="005061D1"/>
    <w:rsid w:val="00506F23"/>
    <w:rsid w:val="00507B47"/>
    <w:rsid w:val="00507CC9"/>
    <w:rsid w:val="005102BA"/>
    <w:rsid w:val="00510E13"/>
    <w:rsid w:val="005119A5"/>
    <w:rsid w:val="005137BF"/>
    <w:rsid w:val="00514773"/>
    <w:rsid w:val="00514D64"/>
    <w:rsid w:val="0051650B"/>
    <w:rsid w:val="00516E00"/>
    <w:rsid w:val="005240B2"/>
    <w:rsid w:val="005267C3"/>
    <w:rsid w:val="005278B7"/>
    <w:rsid w:val="00530249"/>
    <w:rsid w:val="00532016"/>
    <w:rsid w:val="00533BED"/>
    <w:rsid w:val="00533F7F"/>
    <w:rsid w:val="005346C8"/>
    <w:rsid w:val="0053573A"/>
    <w:rsid w:val="00535B86"/>
    <w:rsid w:val="00536DB0"/>
    <w:rsid w:val="005413CD"/>
    <w:rsid w:val="00543E7D"/>
    <w:rsid w:val="00544775"/>
    <w:rsid w:val="005456F5"/>
    <w:rsid w:val="00545B38"/>
    <w:rsid w:val="00546B05"/>
    <w:rsid w:val="00547A68"/>
    <w:rsid w:val="0055115C"/>
    <w:rsid w:val="0055256D"/>
    <w:rsid w:val="005531C9"/>
    <w:rsid w:val="00555FB9"/>
    <w:rsid w:val="00556F69"/>
    <w:rsid w:val="005648E9"/>
    <w:rsid w:val="00564B7F"/>
    <w:rsid w:val="00567360"/>
    <w:rsid w:val="00567747"/>
    <w:rsid w:val="0056786C"/>
    <w:rsid w:val="005735DB"/>
    <w:rsid w:val="0058313C"/>
    <w:rsid w:val="00586F6F"/>
    <w:rsid w:val="005900E6"/>
    <w:rsid w:val="00595446"/>
    <w:rsid w:val="005964F4"/>
    <w:rsid w:val="005A0089"/>
    <w:rsid w:val="005A189E"/>
    <w:rsid w:val="005A204B"/>
    <w:rsid w:val="005A4139"/>
    <w:rsid w:val="005A4C19"/>
    <w:rsid w:val="005A5486"/>
    <w:rsid w:val="005A6920"/>
    <w:rsid w:val="005B159E"/>
    <w:rsid w:val="005B2110"/>
    <w:rsid w:val="005B61E6"/>
    <w:rsid w:val="005B702F"/>
    <w:rsid w:val="005C01E4"/>
    <w:rsid w:val="005C173E"/>
    <w:rsid w:val="005C282B"/>
    <w:rsid w:val="005C3A29"/>
    <w:rsid w:val="005C450C"/>
    <w:rsid w:val="005C4C8D"/>
    <w:rsid w:val="005C70AC"/>
    <w:rsid w:val="005C77E1"/>
    <w:rsid w:val="005D1BF5"/>
    <w:rsid w:val="005D2BFC"/>
    <w:rsid w:val="005D3F63"/>
    <w:rsid w:val="005D4AE7"/>
    <w:rsid w:val="005D6A21"/>
    <w:rsid w:val="005D6A2F"/>
    <w:rsid w:val="005D7597"/>
    <w:rsid w:val="005E1A82"/>
    <w:rsid w:val="005E308B"/>
    <w:rsid w:val="005E794C"/>
    <w:rsid w:val="005F009D"/>
    <w:rsid w:val="005F0A28"/>
    <w:rsid w:val="005F0E0B"/>
    <w:rsid w:val="005F0E5E"/>
    <w:rsid w:val="005F179E"/>
    <w:rsid w:val="005F2E89"/>
    <w:rsid w:val="005F3578"/>
    <w:rsid w:val="005F6F7A"/>
    <w:rsid w:val="005F7E3B"/>
    <w:rsid w:val="00600173"/>
    <w:rsid w:val="00600535"/>
    <w:rsid w:val="0060341A"/>
    <w:rsid w:val="00604F0C"/>
    <w:rsid w:val="00605084"/>
    <w:rsid w:val="006059DE"/>
    <w:rsid w:val="006078B8"/>
    <w:rsid w:val="0060791C"/>
    <w:rsid w:val="00610CD6"/>
    <w:rsid w:val="0061398E"/>
    <w:rsid w:val="00613F2B"/>
    <w:rsid w:val="0061410C"/>
    <w:rsid w:val="006143E6"/>
    <w:rsid w:val="006165E7"/>
    <w:rsid w:val="006169A2"/>
    <w:rsid w:val="00620DEE"/>
    <w:rsid w:val="00621F92"/>
    <w:rsid w:val="00625639"/>
    <w:rsid w:val="00631B33"/>
    <w:rsid w:val="00632CC6"/>
    <w:rsid w:val="006340F7"/>
    <w:rsid w:val="0063655D"/>
    <w:rsid w:val="0063698E"/>
    <w:rsid w:val="00640965"/>
    <w:rsid w:val="0064184D"/>
    <w:rsid w:val="00641862"/>
    <w:rsid w:val="006422CC"/>
    <w:rsid w:val="00644D59"/>
    <w:rsid w:val="00646E28"/>
    <w:rsid w:val="00650072"/>
    <w:rsid w:val="006504EE"/>
    <w:rsid w:val="00650A9A"/>
    <w:rsid w:val="00652A40"/>
    <w:rsid w:val="00652EA6"/>
    <w:rsid w:val="00653927"/>
    <w:rsid w:val="00654205"/>
    <w:rsid w:val="0065700B"/>
    <w:rsid w:val="00660E3E"/>
    <w:rsid w:val="00662E74"/>
    <w:rsid w:val="0066686A"/>
    <w:rsid w:val="00677955"/>
    <w:rsid w:val="00680473"/>
    <w:rsid w:val="00680C23"/>
    <w:rsid w:val="006866F0"/>
    <w:rsid w:val="00690DD0"/>
    <w:rsid w:val="006921A2"/>
    <w:rsid w:val="006925B9"/>
    <w:rsid w:val="006927B7"/>
    <w:rsid w:val="00693766"/>
    <w:rsid w:val="00695E70"/>
    <w:rsid w:val="00696376"/>
    <w:rsid w:val="00696605"/>
    <w:rsid w:val="006A094F"/>
    <w:rsid w:val="006A28B7"/>
    <w:rsid w:val="006A3281"/>
    <w:rsid w:val="006B4888"/>
    <w:rsid w:val="006B4FD0"/>
    <w:rsid w:val="006B51C7"/>
    <w:rsid w:val="006B5465"/>
    <w:rsid w:val="006B75CE"/>
    <w:rsid w:val="006C2E45"/>
    <w:rsid w:val="006C359C"/>
    <w:rsid w:val="006C47EF"/>
    <w:rsid w:val="006C5579"/>
    <w:rsid w:val="006C7CD8"/>
    <w:rsid w:val="006C7FF2"/>
    <w:rsid w:val="006D4245"/>
    <w:rsid w:val="006E50C8"/>
    <w:rsid w:val="006E737D"/>
    <w:rsid w:val="006F2460"/>
    <w:rsid w:val="006F30A8"/>
    <w:rsid w:val="006F6780"/>
    <w:rsid w:val="006F6AF7"/>
    <w:rsid w:val="006F72D7"/>
    <w:rsid w:val="0070195D"/>
    <w:rsid w:val="007024B7"/>
    <w:rsid w:val="007035B0"/>
    <w:rsid w:val="007046A7"/>
    <w:rsid w:val="00705BE0"/>
    <w:rsid w:val="0070736F"/>
    <w:rsid w:val="0071287C"/>
    <w:rsid w:val="00715EB1"/>
    <w:rsid w:val="00717D0C"/>
    <w:rsid w:val="00720A24"/>
    <w:rsid w:val="00722BF2"/>
    <w:rsid w:val="007257EE"/>
    <w:rsid w:val="00727793"/>
    <w:rsid w:val="00730CFF"/>
    <w:rsid w:val="00731829"/>
    <w:rsid w:val="00732386"/>
    <w:rsid w:val="00733044"/>
    <w:rsid w:val="00734FB5"/>
    <w:rsid w:val="007424D0"/>
    <w:rsid w:val="00742E36"/>
    <w:rsid w:val="00743404"/>
    <w:rsid w:val="0074352D"/>
    <w:rsid w:val="00743728"/>
    <w:rsid w:val="007447F3"/>
    <w:rsid w:val="0074555C"/>
    <w:rsid w:val="00745B98"/>
    <w:rsid w:val="00752273"/>
    <w:rsid w:val="0075499F"/>
    <w:rsid w:val="007611A5"/>
    <w:rsid w:val="00763A67"/>
    <w:rsid w:val="00764526"/>
    <w:rsid w:val="007661C8"/>
    <w:rsid w:val="0076679C"/>
    <w:rsid w:val="0077098D"/>
    <w:rsid w:val="00770C60"/>
    <w:rsid w:val="00775406"/>
    <w:rsid w:val="00775CA2"/>
    <w:rsid w:val="007772F7"/>
    <w:rsid w:val="007805B8"/>
    <w:rsid w:val="00781867"/>
    <w:rsid w:val="00781D2C"/>
    <w:rsid w:val="007821E2"/>
    <w:rsid w:val="0078224F"/>
    <w:rsid w:val="00783A1E"/>
    <w:rsid w:val="00784D25"/>
    <w:rsid w:val="007931FA"/>
    <w:rsid w:val="00794403"/>
    <w:rsid w:val="0079498E"/>
    <w:rsid w:val="007A1511"/>
    <w:rsid w:val="007A1666"/>
    <w:rsid w:val="007A4420"/>
    <w:rsid w:val="007A4ED6"/>
    <w:rsid w:val="007A7BBA"/>
    <w:rsid w:val="007B0C50"/>
    <w:rsid w:val="007B5484"/>
    <w:rsid w:val="007B6D86"/>
    <w:rsid w:val="007B79A9"/>
    <w:rsid w:val="007C1A43"/>
    <w:rsid w:val="007C1A62"/>
    <w:rsid w:val="007C4852"/>
    <w:rsid w:val="007C647C"/>
    <w:rsid w:val="007D09E7"/>
    <w:rsid w:val="007D1F50"/>
    <w:rsid w:val="007D3644"/>
    <w:rsid w:val="007D50A4"/>
    <w:rsid w:val="007D59EB"/>
    <w:rsid w:val="007D7FA1"/>
    <w:rsid w:val="007E1DC6"/>
    <w:rsid w:val="007E330E"/>
    <w:rsid w:val="007E3BC3"/>
    <w:rsid w:val="007E4115"/>
    <w:rsid w:val="007E5980"/>
    <w:rsid w:val="007E74B5"/>
    <w:rsid w:val="007F00B6"/>
    <w:rsid w:val="007F37C9"/>
    <w:rsid w:val="00800A7E"/>
    <w:rsid w:val="0080554F"/>
    <w:rsid w:val="008055E8"/>
    <w:rsid w:val="00805E8C"/>
    <w:rsid w:val="0080781D"/>
    <w:rsid w:val="008111C5"/>
    <w:rsid w:val="008112BF"/>
    <w:rsid w:val="00813288"/>
    <w:rsid w:val="008168FC"/>
    <w:rsid w:val="00817E96"/>
    <w:rsid w:val="008232A1"/>
    <w:rsid w:val="00824A84"/>
    <w:rsid w:val="008251B4"/>
    <w:rsid w:val="008267A2"/>
    <w:rsid w:val="008268E2"/>
    <w:rsid w:val="00830996"/>
    <w:rsid w:val="008345F1"/>
    <w:rsid w:val="00836EA0"/>
    <w:rsid w:val="00836F26"/>
    <w:rsid w:val="00842F97"/>
    <w:rsid w:val="00852166"/>
    <w:rsid w:val="00856F5C"/>
    <w:rsid w:val="00857DCF"/>
    <w:rsid w:val="00857FF8"/>
    <w:rsid w:val="00860C31"/>
    <w:rsid w:val="00864E34"/>
    <w:rsid w:val="0086516A"/>
    <w:rsid w:val="00865B07"/>
    <w:rsid w:val="00865C08"/>
    <w:rsid w:val="008667EA"/>
    <w:rsid w:val="00867EB6"/>
    <w:rsid w:val="00872970"/>
    <w:rsid w:val="0087539E"/>
    <w:rsid w:val="0087637F"/>
    <w:rsid w:val="0088050F"/>
    <w:rsid w:val="0088226E"/>
    <w:rsid w:val="00887E79"/>
    <w:rsid w:val="008904B9"/>
    <w:rsid w:val="008917A5"/>
    <w:rsid w:val="00892550"/>
    <w:rsid w:val="00892AD5"/>
    <w:rsid w:val="0089435F"/>
    <w:rsid w:val="008965B6"/>
    <w:rsid w:val="00896747"/>
    <w:rsid w:val="00896BD2"/>
    <w:rsid w:val="00896D15"/>
    <w:rsid w:val="008A05B5"/>
    <w:rsid w:val="008A1512"/>
    <w:rsid w:val="008A3264"/>
    <w:rsid w:val="008A3667"/>
    <w:rsid w:val="008A78CF"/>
    <w:rsid w:val="008B025D"/>
    <w:rsid w:val="008B5D2D"/>
    <w:rsid w:val="008B6B2A"/>
    <w:rsid w:val="008C42F2"/>
    <w:rsid w:val="008C749C"/>
    <w:rsid w:val="008C78C1"/>
    <w:rsid w:val="008C78DC"/>
    <w:rsid w:val="008D0A64"/>
    <w:rsid w:val="008D2D80"/>
    <w:rsid w:val="008D31FC"/>
    <w:rsid w:val="008D32B9"/>
    <w:rsid w:val="008D433B"/>
    <w:rsid w:val="008D6A66"/>
    <w:rsid w:val="008D75CD"/>
    <w:rsid w:val="008D7B92"/>
    <w:rsid w:val="008E02FC"/>
    <w:rsid w:val="008E2191"/>
    <w:rsid w:val="008E21C7"/>
    <w:rsid w:val="008E2BA9"/>
    <w:rsid w:val="008E566E"/>
    <w:rsid w:val="008E76B4"/>
    <w:rsid w:val="008F04AD"/>
    <w:rsid w:val="008F1D3B"/>
    <w:rsid w:val="008F5E91"/>
    <w:rsid w:val="008F61D5"/>
    <w:rsid w:val="0090161A"/>
    <w:rsid w:val="00901EB6"/>
    <w:rsid w:val="00903701"/>
    <w:rsid w:val="00904C62"/>
    <w:rsid w:val="009103D2"/>
    <w:rsid w:val="00911997"/>
    <w:rsid w:val="00915E10"/>
    <w:rsid w:val="009160B1"/>
    <w:rsid w:val="009172C1"/>
    <w:rsid w:val="009203DE"/>
    <w:rsid w:val="009228B2"/>
    <w:rsid w:val="00923A34"/>
    <w:rsid w:val="00924DAC"/>
    <w:rsid w:val="00927058"/>
    <w:rsid w:val="0093367C"/>
    <w:rsid w:val="009411AB"/>
    <w:rsid w:val="00942C6A"/>
    <w:rsid w:val="00944A13"/>
    <w:rsid w:val="009450CE"/>
    <w:rsid w:val="00947179"/>
    <w:rsid w:val="0095164B"/>
    <w:rsid w:val="00952870"/>
    <w:rsid w:val="0095298E"/>
    <w:rsid w:val="00952C02"/>
    <w:rsid w:val="00954090"/>
    <w:rsid w:val="0095410F"/>
    <w:rsid w:val="00956DDA"/>
    <w:rsid w:val="009572BA"/>
    <w:rsid w:val="009573E7"/>
    <w:rsid w:val="009635B9"/>
    <w:rsid w:val="00963E05"/>
    <w:rsid w:val="0096474A"/>
    <w:rsid w:val="00967D54"/>
    <w:rsid w:val="0097088D"/>
    <w:rsid w:val="0097122A"/>
    <w:rsid w:val="00972856"/>
    <w:rsid w:val="00976020"/>
    <w:rsid w:val="0097792D"/>
    <w:rsid w:val="00981C8A"/>
    <w:rsid w:val="00982D41"/>
    <w:rsid w:val="00982FE2"/>
    <w:rsid w:val="0098430A"/>
    <w:rsid w:val="009875AF"/>
    <w:rsid w:val="009877F9"/>
    <w:rsid w:val="009906BD"/>
    <w:rsid w:val="00996042"/>
    <w:rsid w:val="00996483"/>
    <w:rsid w:val="00996F5A"/>
    <w:rsid w:val="009A0A3E"/>
    <w:rsid w:val="009A305A"/>
    <w:rsid w:val="009A6288"/>
    <w:rsid w:val="009B041A"/>
    <w:rsid w:val="009B6C69"/>
    <w:rsid w:val="009C3D8A"/>
    <w:rsid w:val="009C4BE8"/>
    <w:rsid w:val="009C7C86"/>
    <w:rsid w:val="009D07A2"/>
    <w:rsid w:val="009D0971"/>
    <w:rsid w:val="009D1B7B"/>
    <w:rsid w:val="009D2FF7"/>
    <w:rsid w:val="009D6BD3"/>
    <w:rsid w:val="009E0FD2"/>
    <w:rsid w:val="009E29ED"/>
    <w:rsid w:val="009E4A76"/>
    <w:rsid w:val="009E5E30"/>
    <w:rsid w:val="009E6522"/>
    <w:rsid w:val="009E6627"/>
    <w:rsid w:val="009E7884"/>
    <w:rsid w:val="009E788A"/>
    <w:rsid w:val="009F00ED"/>
    <w:rsid w:val="009F0E08"/>
    <w:rsid w:val="009F20C1"/>
    <w:rsid w:val="009F37C0"/>
    <w:rsid w:val="009F40D7"/>
    <w:rsid w:val="009F44B0"/>
    <w:rsid w:val="009F593D"/>
    <w:rsid w:val="00A01477"/>
    <w:rsid w:val="00A01478"/>
    <w:rsid w:val="00A039AE"/>
    <w:rsid w:val="00A11148"/>
    <w:rsid w:val="00A13D1D"/>
    <w:rsid w:val="00A1763D"/>
    <w:rsid w:val="00A176C8"/>
    <w:rsid w:val="00A17CEC"/>
    <w:rsid w:val="00A27EF0"/>
    <w:rsid w:val="00A30C9F"/>
    <w:rsid w:val="00A31A08"/>
    <w:rsid w:val="00A50945"/>
    <w:rsid w:val="00A50B20"/>
    <w:rsid w:val="00A51390"/>
    <w:rsid w:val="00A52DDF"/>
    <w:rsid w:val="00A574EC"/>
    <w:rsid w:val="00A60D13"/>
    <w:rsid w:val="00A63A07"/>
    <w:rsid w:val="00A64CD8"/>
    <w:rsid w:val="00A65BDF"/>
    <w:rsid w:val="00A66DE7"/>
    <w:rsid w:val="00A72042"/>
    <w:rsid w:val="00A72745"/>
    <w:rsid w:val="00A73F06"/>
    <w:rsid w:val="00A76119"/>
    <w:rsid w:val="00A76EFC"/>
    <w:rsid w:val="00A803CA"/>
    <w:rsid w:val="00A818FD"/>
    <w:rsid w:val="00A82381"/>
    <w:rsid w:val="00A852E0"/>
    <w:rsid w:val="00A854DD"/>
    <w:rsid w:val="00A91010"/>
    <w:rsid w:val="00A911A2"/>
    <w:rsid w:val="00A91CFD"/>
    <w:rsid w:val="00A96330"/>
    <w:rsid w:val="00A97F29"/>
    <w:rsid w:val="00A97F46"/>
    <w:rsid w:val="00AA1F35"/>
    <w:rsid w:val="00AA2F46"/>
    <w:rsid w:val="00AA40D2"/>
    <w:rsid w:val="00AA482C"/>
    <w:rsid w:val="00AA6121"/>
    <w:rsid w:val="00AA6659"/>
    <w:rsid w:val="00AA702E"/>
    <w:rsid w:val="00AA7504"/>
    <w:rsid w:val="00AB0964"/>
    <w:rsid w:val="00AB09BD"/>
    <w:rsid w:val="00AB0E44"/>
    <w:rsid w:val="00AB26C9"/>
    <w:rsid w:val="00AB4221"/>
    <w:rsid w:val="00AB4BDE"/>
    <w:rsid w:val="00AB5011"/>
    <w:rsid w:val="00AB698E"/>
    <w:rsid w:val="00AC135D"/>
    <w:rsid w:val="00AC1FDE"/>
    <w:rsid w:val="00AC26C6"/>
    <w:rsid w:val="00AC2889"/>
    <w:rsid w:val="00AC7368"/>
    <w:rsid w:val="00AD16B9"/>
    <w:rsid w:val="00AD19DD"/>
    <w:rsid w:val="00AD1BDA"/>
    <w:rsid w:val="00AD1D6C"/>
    <w:rsid w:val="00AD31A5"/>
    <w:rsid w:val="00AD3C0D"/>
    <w:rsid w:val="00AD6D1C"/>
    <w:rsid w:val="00AD7172"/>
    <w:rsid w:val="00AE377D"/>
    <w:rsid w:val="00AF1AD9"/>
    <w:rsid w:val="00AF3568"/>
    <w:rsid w:val="00AF3B67"/>
    <w:rsid w:val="00AF5948"/>
    <w:rsid w:val="00AF6845"/>
    <w:rsid w:val="00B06780"/>
    <w:rsid w:val="00B07CA8"/>
    <w:rsid w:val="00B14E50"/>
    <w:rsid w:val="00B17FBD"/>
    <w:rsid w:val="00B2232A"/>
    <w:rsid w:val="00B227D3"/>
    <w:rsid w:val="00B232EB"/>
    <w:rsid w:val="00B24508"/>
    <w:rsid w:val="00B246D2"/>
    <w:rsid w:val="00B3002B"/>
    <w:rsid w:val="00B315A6"/>
    <w:rsid w:val="00B31648"/>
    <w:rsid w:val="00B31813"/>
    <w:rsid w:val="00B33365"/>
    <w:rsid w:val="00B37AE1"/>
    <w:rsid w:val="00B4080B"/>
    <w:rsid w:val="00B40B42"/>
    <w:rsid w:val="00B40EC8"/>
    <w:rsid w:val="00B47013"/>
    <w:rsid w:val="00B50EF3"/>
    <w:rsid w:val="00B55316"/>
    <w:rsid w:val="00B55369"/>
    <w:rsid w:val="00B568B2"/>
    <w:rsid w:val="00B57636"/>
    <w:rsid w:val="00B57B36"/>
    <w:rsid w:val="00B623DB"/>
    <w:rsid w:val="00B62955"/>
    <w:rsid w:val="00B6419A"/>
    <w:rsid w:val="00B652C5"/>
    <w:rsid w:val="00B67309"/>
    <w:rsid w:val="00B70044"/>
    <w:rsid w:val="00B7045D"/>
    <w:rsid w:val="00B71B7E"/>
    <w:rsid w:val="00B7398D"/>
    <w:rsid w:val="00B744B3"/>
    <w:rsid w:val="00B76ED5"/>
    <w:rsid w:val="00B842F7"/>
    <w:rsid w:val="00B85119"/>
    <w:rsid w:val="00B861B6"/>
    <w:rsid w:val="00B8686D"/>
    <w:rsid w:val="00B93788"/>
    <w:rsid w:val="00B93BB3"/>
    <w:rsid w:val="00B94D8F"/>
    <w:rsid w:val="00B9677D"/>
    <w:rsid w:val="00BB01F3"/>
    <w:rsid w:val="00BB4596"/>
    <w:rsid w:val="00BB6895"/>
    <w:rsid w:val="00BC30C9"/>
    <w:rsid w:val="00BC4FAF"/>
    <w:rsid w:val="00BC51E4"/>
    <w:rsid w:val="00BD365A"/>
    <w:rsid w:val="00BD3996"/>
    <w:rsid w:val="00BE151F"/>
    <w:rsid w:val="00BE3E58"/>
    <w:rsid w:val="00BE5C7E"/>
    <w:rsid w:val="00BF0671"/>
    <w:rsid w:val="00BF1050"/>
    <w:rsid w:val="00BF177B"/>
    <w:rsid w:val="00BF1A10"/>
    <w:rsid w:val="00BF1CE3"/>
    <w:rsid w:val="00BF3059"/>
    <w:rsid w:val="00BF5E02"/>
    <w:rsid w:val="00BF7145"/>
    <w:rsid w:val="00C00120"/>
    <w:rsid w:val="00C01616"/>
    <w:rsid w:val="00C0162B"/>
    <w:rsid w:val="00C0162E"/>
    <w:rsid w:val="00C063AA"/>
    <w:rsid w:val="00C11299"/>
    <w:rsid w:val="00C11F95"/>
    <w:rsid w:val="00C12A96"/>
    <w:rsid w:val="00C153A2"/>
    <w:rsid w:val="00C167FA"/>
    <w:rsid w:val="00C16816"/>
    <w:rsid w:val="00C25169"/>
    <w:rsid w:val="00C26176"/>
    <w:rsid w:val="00C27464"/>
    <w:rsid w:val="00C30A5C"/>
    <w:rsid w:val="00C31664"/>
    <w:rsid w:val="00C32187"/>
    <w:rsid w:val="00C33B18"/>
    <w:rsid w:val="00C345B1"/>
    <w:rsid w:val="00C40142"/>
    <w:rsid w:val="00C4078C"/>
    <w:rsid w:val="00C423E3"/>
    <w:rsid w:val="00C4483E"/>
    <w:rsid w:val="00C54587"/>
    <w:rsid w:val="00C55720"/>
    <w:rsid w:val="00C570FB"/>
    <w:rsid w:val="00C57182"/>
    <w:rsid w:val="00C57863"/>
    <w:rsid w:val="00C61104"/>
    <w:rsid w:val="00C620D5"/>
    <w:rsid w:val="00C62511"/>
    <w:rsid w:val="00C63B21"/>
    <w:rsid w:val="00C655FD"/>
    <w:rsid w:val="00C7266E"/>
    <w:rsid w:val="00C74E83"/>
    <w:rsid w:val="00C8092E"/>
    <w:rsid w:val="00C8248F"/>
    <w:rsid w:val="00C82EB0"/>
    <w:rsid w:val="00C83DE5"/>
    <w:rsid w:val="00C84D43"/>
    <w:rsid w:val="00C854DE"/>
    <w:rsid w:val="00C85B14"/>
    <w:rsid w:val="00C85DE9"/>
    <w:rsid w:val="00C864EC"/>
    <w:rsid w:val="00C870A8"/>
    <w:rsid w:val="00C916B8"/>
    <w:rsid w:val="00C9373B"/>
    <w:rsid w:val="00C94434"/>
    <w:rsid w:val="00C956C0"/>
    <w:rsid w:val="00C97728"/>
    <w:rsid w:val="00CA0D75"/>
    <w:rsid w:val="00CA1C95"/>
    <w:rsid w:val="00CA3DB2"/>
    <w:rsid w:val="00CA5A9C"/>
    <w:rsid w:val="00CA64F7"/>
    <w:rsid w:val="00CA7CF8"/>
    <w:rsid w:val="00CB25C0"/>
    <w:rsid w:val="00CB4D84"/>
    <w:rsid w:val="00CB56E4"/>
    <w:rsid w:val="00CB58B2"/>
    <w:rsid w:val="00CC2355"/>
    <w:rsid w:val="00CC3BE0"/>
    <w:rsid w:val="00CC4E24"/>
    <w:rsid w:val="00CC69C5"/>
    <w:rsid w:val="00CC759C"/>
    <w:rsid w:val="00CD27BB"/>
    <w:rsid w:val="00CD31D1"/>
    <w:rsid w:val="00CD3517"/>
    <w:rsid w:val="00CD3F36"/>
    <w:rsid w:val="00CD4F9B"/>
    <w:rsid w:val="00CD5A00"/>
    <w:rsid w:val="00CD5FE2"/>
    <w:rsid w:val="00CD6B5F"/>
    <w:rsid w:val="00CE0549"/>
    <w:rsid w:val="00CE1AED"/>
    <w:rsid w:val="00CE77C6"/>
    <w:rsid w:val="00CE7C68"/>
    <w:rsid w:val="00CF0262"/>
    <w:rsid w:val="00CF1CA1"/>
    <w:rsid w:val="00CF2AFE"/>
    <w:rsid w:val="00CF52EF"/>
    <w:rsid w:val="00CF7E58"/>
    <w:rsid w:val="00D01768"/>
    <w:rsid w:val="00D02B4C"/>
    <w:rsid w:val="00D040C4"/>
    <w:rsid w:val="00D049BE"/>
    <w:rsid w:val="00D05C43"/>
    <w:rsid w:val="00D11F51"/>
    <w:rsid w:val="00D15148"/>
    <w:rsid w:val="00D15F2D"/>
    <w:rsid w:val="00D16D03"/>
    <w:rsid w:val="00D17266"/>
    <w:rsid w:val="00D22088"/>
    <w:rsid w:val="00D223CE"/>
    <w:rsid w:val="00D24FB5"/>
    <w:rsid w:val="00D25A95"/>
    <w:rsid w:val="00D25F32"/>
    <w:rsid w:val="00D26B01"/>
    <w:rsid w:val="00D275F3"/>
    <w:rsid w:val="00D2776A"/>
    <w:rsid w:val="00D31E71"/>
    <w:rsid w:val="00D43A87"/>
    <w:rsid w:val="00D44899"/>
    <w:rsid w:val="00D54BA2"/>
    <w:rsid w:val="00D54BE6"/>
    <w:rsid w:val="00D57C84"/>
    <w:rsid w:val="00D6057D"/>
    <w:rsid w:val="00D70646"/>
    <w:rsid w:val="00D70B2B"/>
    <w:rsid w:val="00D70FAA"/>
    <w:rsid w:val="00D727B9"/>
    <w:rsid w:val="00D75FA6"/>
    <w:rsid w:val="00D766C2"/>
    <w:rsid w:val="00D76F86"/>
    <w:rsid w:val="00D8065E"/>
    <w:rsid w:val="00D8398C"/>
    <w:rsid w:val="00D84576"/>
    <w:rsid w:val="00D86391"/>
    <w:rsid w:val="00D87BA3"/>
    <w:rsid w:val="00D90868"/>
    <w:rsid w:val="00D91353"/>
    <w:rsid w:val="00D91F4A"/>
    <w:rsid w:val="00D92838"/>
    <w:rsid w:val="00D93D36"/>
    <w:rsid w:val="00D95A74"/>
    <w:rsid w:val="00DA1399"/>
    <w:rsid w:val="00DA1660"/>
    <w:rsid w:val="00DA24C6"/>
    <w:rsid w:val="00DA44A7"/>
    <w:rsid w:val="00DA47CB"/>
    <w:rsid w:val="00DA4D7B"/>
    <w:rsid w:val="00DA4EF4"/>
    <w:rsid w:val="00DB253F"/>
    <w:rsid w:val="00DB2EAA"/>
    <w:rsid w:val="00DB603E"/>
    <w:rsid w:val="00DB742C"/>
    <w:rsid w:val="00DB7FC1"/>
    <w:rsid w:val="00DC249D"/>
    <w:rsid w:val="00DC65FC"/>
    <w:rsid w:val="00DC6D3C"/>
    <w:rsid w:val="00DC7F03"/>
    <w:rsid w:val="00DD11B3"/>
    <w:rsid w:val="00DD1D0C"/>
    <w:rsid w:val="00DD444C"/>
    <w:rsid w:val="00DD4B94"/>
    <w:rsid w:val="00DE264A"/>
    <w:rsid w:val="00DE2B02"/>
    <w:rsid w:val="00DF086E"/>
    <w:rsid w:val="00DF388D"/>
    <w:rsid w:val="00DF4762"/>
    <w:rsid w:val="00DF6084"/>
    <w:rsid w:val="00DF7DDB"/>
    <w:rsid w:val="00E02D18"/>
    <w:rsid w:val="00E031E9"/>
    <w:rsid w:val="00E041E7"/>
    <w:rsid w:val="00E043BE"/>
    <w:rsid w:val="00E07F0A"/>
    <w:rsid w:val="00E15374"/>
    <w:rsid w:val="00E15EB3"/>
    <w:rsid w:val="00E17BDC"/>
    <w:rsid w:val="00E22A8A"/>
    <w:rsid w:val="00E2367D"/>
    <w:rsid w:val="00E23CA1"/>
    <w:rsid w:val="00E2462B"/>
    <w:rsid w:val="00E26814"/>
    <w:rsid w:val="00E26995"/>
    <w:rsid w:val="00E279A7"/>
    <w:rsid w:val="00E30B61"/>
    <w:rsid w:val="00E31880"/>
    <w:rsid w:val="00E3340D"/>
    <w:rsid w:val="00E33AD1"/>
    <w:rsid w:val="00E344E1"/>
    <w:rsid w:val="00E409A8"/>
    <w:rsid w:val="00E4108A"/>
    <w:rsid w:val="00E4263F"/>
    <w:rsid w:val="00E45987"/>
    <w:rsid w:val="00E506C3"/>
    <w:rsid w:val="00E50C12"/>
    <w:rsid w:val="00E52C41"/>
    <w:rsid w:val="00E54321"/>
    <w:rsid w:val="00E54CC4"/>
    <w:rsid w:val="00E60094"/>
    <w:rsid w:val="00E61BDC"/>
    <w:rsid w:val="00E61F1D"/>
    <w:rsid w:val="00E65B91"/>
    <w:rsid w:val="00E71ADC"/>
    <w:rsid w:val="00E7209D"/>
    <w:rsid w:val="00E733E7"/>
    <w:rsid w:val="00E75132"/>
    <w:rsid w:val="00E77223"/>
    <w:rsid w:val="00E803B6"/>
    <w:rsid w:val="00E8185E"/>
    <w:rsid w:val="00E83A87"/>
    <w:rsid w:val="00E8528B"/>
    <w:rsid w:val="00E85B94"/>
    <w:rsid w:val="00E87C2A"/>
    <w:rsid w:val="00E908AE"/>
    <w:rsid w:val="00E95F8E"/>
    <w:rsid w:val="00E978D0"/>
    <w:rsid w:val="00EA2F86"/>
    <w:rsid w:val="00EA4613"/>
    <w:rsid w:val="00EA6FD3"/>
    <w:rsid w:val="00EA7F91"/>
    <w:rsid w:val="00EB0175"/>
    <w:rsid w:val="00EB1523"/>
    <w:rsid w:val="00EB19BD"/>
    <w:rsid w:val="00EB2001"/>
    <w:rsid w:val="00EB36B3"/>
    <w:rsid w:val="00EB3D3A"/>
    <w:rsid w:val="00EB5416"/>
    <w:rsid w:val="00EC0E49"/>
    <w:rsid w:val="00EC795C"/>
    <w:rsid w:val="00ED0CD9"/>
    <w:rsid w:val="00ED1507"/>
    <w:rsid w:val="00EE0131"/>
    <w:rsid w:val="00EE1372"/>
    <w:rsid w:val="00EE3BDC"/>
    <w:rsid w:val="00EE413B"/>
    <w:rsid w:val="00EE79D3"/>
    <w:rsid w:val="00EF3905"/>
    <w:rsid w:val="00EF3EE6"/>
    <w:rsid w:val="00EF4DB7"/>
    <w:rsid w:val="00EF5A21"/>
    <w:rsid w:val="00F02213"/>
    <w:rsid w:val="00F035A1"/>
    <w:rsid w:val="00F13ACE"/>
    <w:rsid w:val="00F14B06"/>
    <w:rsid w:val="00F155B2"/>
    <w:rsid w:val="00F15A45"/>
    <w:rsid w:val="00F163D8"/>
    <w:rsid w:val="00F164F3"/>
    <w:rsid w:val="00F16EFF"/>
    <w:rsid w:val="00F17BB3"/>
    <w:rsid w:val="00F17EC8"/>
    <w:rsid w:val="00F272CF"/>
    <w:rsid w:val="00F27D17"/>
    <w:rsid w:val="00F30C64"/>
    <w:rsid w:val="00F32CDB"/>
    <w:rsid w:val="00F40032"/>
    <w:rsid w:val="00F416D8"/>
    <w:rsid w:val="00F43CAE"/>
    <w:rsid w:val="00F44B74"/>
    <w:rsid w:val="00F465C1"/>
    <w:rsid w:val="00F52F93"/>
    <w:rsid w:val="00F5376F"/>
    <w:rsid w:val="00F53A29"/>
    <w:rsid w:val="00F54828"/>
    <w:rsid w:val="00F565BA"/>
    <w:rsid w:val="00F56E6E"/>
    <w:rsid w:val="00F63A70"/>
    <w:rsid w:val="00F645BF"/>
    <w:rsid w:val="00F73BCD"/>
    <w:rsid w:val="00F7411F"/>
    <w:rsid w:val="00F76CB7"/>
    <w:rsid w:val="00F819BD"/>
    <w:rsid w:val="00F852BB"/>
    <w:rsid w:val="00F927D5"/>
    <w:rsid w:val="00F93053"/>
    <w:rsid w:val="00F93791"/>
    <w:rsid w:val="00F937A8"/>
    <w:rsid w:val="00F93902"/>
    <w:rsid w:val="00F96BBA"/>
    <w:rsid w:val="00F9797C"/>
    <w:rsid w:val="00FA0868"/>
    <w:rsid w:val="00FA21D0"/>
    <w:rsid w:val="00FA5F5F"/>
    <w:rsid w:val="00FA7D53"/>
    <w:rsid w:val="00FB0CDD"/>
    <w:rsid w:val="00FB1214"/>
    <w:rsid w:val="00FB3152"/>
    <w:rsid w:val="00FB6DAD"/>
    <w:rsid w:val="00FB727B"/>
    <w:rsid w:val="00FB730C"/>
    <w:rsid w:val="00FC11BA"/>
    <w:rsid w:val="00FC2695"/>
    <w:rsid w:val="00FC3E03"/>
    <w:rsid w:val="00FC3FC1"/>
    <w:rsid w:val="00FC53C2"/>
    <w:rsid w:val="00FC609E"/>
    <w:rsid w:val="00FC7BD5"/>
    <w:rsid w:val="00FD1751"/>
    <w:rsid w:val="00FD33A2"/>
    <w:rsid w:val="00FD3B7A"/>
    <w:rsid w:val="00FD5333"/>
    <w:rsid w:val="00FD5D39"/>
    <w:rsid w:val="00FE40E1"/>
    <w:rsid w:val="00FF0A2F"/>
    <w:rsid w:val="00FF0D94"/>
    <w:rsid w:val="00FF4182"/>
    <w:rsid w:val="00FF5010"/>
    <w:rsid w:val="00FF5955"/>
    <w:rsid w:val="00FF6713"/>
    <w:rsid w:val="00FF7FA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100A0"/>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700E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700E3"/>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MenoPendente1">
    <w:name w:val="Menção Pendente1"/>
    <w:basedOn w:val="Fontepargpadro"/>
    <w:uiPriority w:val="99"/>
    <w:semiHidden/>
    <w:unhideWhenUsed/>
    <w:rsid w:val="00856F5C"/>
    <w:rPr>
      <w:color w:val="605E5C"/>
      <w:shd w:val="clear" w:color="auto" w:fill="E1DFDD"/>
    </w:rPr>
  </w:style>
  <w:style w:type="character" w:customStyle="1" w:styleId="fontstyle01">
    <w:name w:val="fontstyle01"/>
    <w:basedOn w:val="Fontepargpadro"/>
    <w:rsid w:val="00EB36B3"/>
    <w:rPr>
      <w:rFonts w:ascii="Times New Roman" w:hAnsi="Times New Roman" w:cs="Times New Roman" w:hint="default"/>
      <w:b w:val="0"/>
      <w:bCs w:val="0"/>
      <w:i w:val="0"/>
      <w:iCs w:val="0"/>
      <w:color w:val="000000"/>
      <w:sz w:val="24"/>
      <w:szCs w:val="24"/>
    </w:rPr>
  </w:style>
  <w:style w:type="character" w:styleId="TextodoEspaoReservado">
    <w:name w:val="Placeholder Text"/>
    <w:basedOn w:val="Fontepargpadro"/>
    <w:uiPriority w:val="99"/>
    <w:semiHidden/>
    <w:rsid w:val="00817E96"/>
    <w:rPr>
      <w:color w:val="808080"/>
    </w:rPr>
  </w:style>
  <w:style w:type="character" w:customStyle="1" w:styleId="fontstyle21">
    <w:name w:val="fontstyle21"/>
    <w:basedOn w:val="Fontepargpadro"/>
    <w:rsid w:val="004977AE"/>
    <w:rPr>
      <w:rFonts w:ascii="Calibri" w:hAnsi="Calibri" w:hint="default"/>
      <w:b w:val="0"/>
      <w:bCs w:val="0"/>
      <w:i/>
      <w:iCs/>
      <w:color w:val="000000"/>
      <w:sz w:val="22"/>
      <w:szCs w:val="22"/>
    </w:rPr>
  </w:style>
  <w:style w:type="paragraph" w:styleId="PargrafodaLista">
    <w:name w:val="List Paragraph"/>
    <w:basedOn w:val="Normal"/>
    <w:uiPriority w:val="34"/>
    <w:rsid w:val="005F3578"/>
    <w:pPr>
      <w:ind w:left="720"/>
      <w:contextualSpacing/>
    </w:pPr>
  </w:style>
  <w:style w:type="paragraph" w:styleId="Reviso">
    <w:name w:val="Revision"/>
    <w:hidden/>
    <w:uiPriority w:val="99"/>
    <w:semiHidden/>
    <w:rsid w:val="00D16D0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887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mailto:wardleison@gmail.com"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655a3e7aa040efbb/Mestrado-Doutorado/Trabalhos%20Congressos/ICHEAP/Dados%20ICHEA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655a3e7aa040efbb/Mestrado-Doutorado/Trabalhos%20Congressos/ICHEAP/Dados%20ICHEA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655a3e7aa040efbb/Mestrado-Doutorado/Trabalhos%20Congressos/ICHEAP/Dados%20ICHEAP.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26415383644053"/>
          <c:y val="9.8066793374966058E-2"/>
          <c:w val="0.79227173922847272"/>
          <c:h val="0.72656745131989409"/>
        </c:manualLayout>
      </c:layout>
      <c:scatterChart>
        <c:scatterStyle val="lineMarker"/>
        <c:varyColors val="0"/>
        <c:ser>
          <c:idx val="0"/>
          <c:order val="0"/>
          <c:spPr>
            <a:ln w="25400" cap="rnd">
              <a:noFill/>
              <a:round/>
            </a:ln>
            <a:effectLst/>
          </c:spPr>
          <c:marker>
            <c:symbol val="circle"/>
            <c:size val="3"/>
            <c:spPr>
              <a:noFill/>
              <a:ln w="9525">
                <a:solidFill>
                  <a:schemeClr val="tx1"/>
                </a:solidFill>
              </a:ln>
              <a:effectLst/>
            </c:spPr>
          </c:marker>
          <c:errBars>
            <c:errDir val="y"/>
            <c:errBarType val="both"/>
            <c:errValType val="cust"/>
            <c:noEndCap val="0"/>
            <c:plus>
              <c:numRef>
                <c:f>'[Dados ICHEAP.xlsx]Adsorção'!$P$29:$P$33</c:f>
                <c:numCache>
                  <c:formatCode>General</c:formatCode>
                  <c:ptCount val="5"/>
                  <c:pt idx="0">
                    <c:v>0.15799999999999947</c:v>
                  </c:pt>
                  <c:pt idx="1">
                    <c:v>0.26399999999999935</c:v>
                  </c:pt>
                  <c:pt idx="2">
                    <c:v>0.19599999999999973</c:v>
                  </c:pt>
                  <c:pt idx="3">
                    <c:v>0.11999999999999833</c:v>
                  </c:pt>
                  <c:pt idx="4">
                    <c:v>1.2000000000000455E-2</c:v>
                  </c:pt>
                </c:numCache>
              </c:numRef>
            </c:plus>
            <c:minus>
              <c:numRef>
                <c:f>'[Dados ICHEAP.xlsx]Adsorção'!$P$29:$P$33</c:f>
                <c:numCache>
                  <c:formatCode>General</c:formatCode>
                  <c:ptCount val="5"/>
                  <c:pt idx="0">
                    <c:v>0.15799999999999947</c:v>
                  </c:pt>
                  <c:pt idx="1">
                    <c:v>0.26399999999999935</c:v>
                  </c:pt>
                  <c:pt idx="2">
                    <c:v>0.19599999999999973</c:v>
                  </c:pt>
                  <c:pt idx="3">
                    <c:v>0.11999999999999833</c:v>
                  </c:pt>
                  <c:pt idx="4">
                    <c:v>1.2000000000000455E-2</c:v>
                  </c:pt>
                </c:numCache>
              </c:numRef>
            </c:minus>
            <c:spPr>
              <a:noFill/>
              <a:ln w="9525" cap="flat" cmpd="sng" algn="ctr">
                <a:solidFill>
                  <a:schemeClr val="tx1">
                    <a:lumMod val="65000"/>
                    <a:lumOff val="35000"/>
                  </a:schemeClr>
                </a:solidFill>
                <a:round/>
              </a:ln>
              <a:effectLst/>
            </c:spPr>
          </c:errBars>
          <c:xVal>
            <c:numRef>
              <c:f>'[Dados ICHEAP.xlsx]Adsorção'!$G$29:$G$33</c:f>
              <c:numCache>
                <c:formatCode>General</c:formatCode>
                <c:ptCount val="5"/>
                <c:pt idx="0">
                  <c:v>5</c:v>
                </c:pt>
                <c:pt idx="1">
                  <c:v>6</c:v>
                </c:pt>
                <c:pt idx="2">
                  <c:v>7</c:v>
                </c:pt>
                <c:pt idx="3">
                  <c:v>8</c:v>
                </c:pt>
                <c:pt idx="4">
                  <c:v>9</c:v>
                </c:pt>
              </c:numCache>
            </c:numRef>
          </c:xVal>
          <c:yVal>
            <c:numRef>
              <c:f>'[Dados ICHEAP.xlsx]Adsorção'!$O$29:$O$33</c:f>
              <c:numCache>
                <c:formatCode>General</c:formatCode>
                <c:ptCount val="5"/>
                <c:pt idx="0">
                  <c:v>12.641999999999998</c:v>
                </c:pt>
                <c:pt idx="1">
                  <c:v>12.283999999999999</c:v>
                </c:pt>
                <c:pt idx="2">
                  <c:v>12.895999999999999</c:v>
                </c:pt>
                <c:pt idx="3">
                  <c:v>12.768000000000001</c:v>
                </c:pt>
                <c:pt idx="4">
                  <c:v>12.335999999999999</c:v>
                </c:pt>
              </c:numCache>
            </c:numRef>
          </c:yVal>
          <c:smooth val="0"/>
          <c:extLst>
            <c:ext xmlns:c16="http://schemas.microsoft.com/office/drawing/2014/chart" uri="{C3380CC4-5D6E-409C-BE32-E72D297353CC}">
              <c16:uniqueId val="{00000000-05CF-4B11-837F-6047831BC24C}"/>
            </c:ext>
          </c:extLst>
        </c:ser>
        <c:dLbls>
          <c:showLegendKey val="0"/>
          <c:showVal val="0"/>
          <c:showCatName val="0"/>
          <c:showSerName val="0"/>
          <c:showPercent val="0"/>
          <c:showBubbleSize val="0"/>
        </c:dLbls>
        <c:axId val="470738928"/>
        <c:axId val="470736960"/>
      </c:scatterChart>
      <c:valAx>
        <c:axId val="470738928"/>
        <c:scaling>
          <c:orientation val="minMax"/>
          <c:max val="10"/>
          <c:min val="4"/>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sz="800"/>
                  <a:t>Paracetamol solution pH</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title>
        <c:numFmt formatCode="General" sourceLinked="1"/>
        <c:majorTickMark val="in"/>
        <c:minorTickMark val="in"/>
        <c:tickLblPos val="nextTo"/>
        <c:spPr>
          <a:noFill/>
          <a:ln w="317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pt-BR"/>
          </a:p>
        </c:txPr>
        <c:crossAx val="470736960"/>
        <c:crosses val="autoZero"/>
        <c:crossBetween val="midCat"/>
        <c:majorUnit val="1"/>
        <c:minorUnit val="1"/>
      </c:valAx>
      <c:valAx>
        <c:axId val="470736960"/>
        <c:scaling>
          <c:orientation val="minMax"/>
          <c:max val="25"/>
          <c:min val="0"/>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sz="800" b="0" i="0" baseline="0">
                    <a:effectLst/>
                  </a:rPr>
                  <a:t>q</a:t>
                </a:r>
                <a:r>
                  <a:rPr lang="en-US" sz="800" b="0" i="0" baseline="-25000">
                    <a:effectLst/>
                  </a:rPr>
                  <a:t>24</a:t>
                </a:r>
                <a:r>
                  <a:rPr lang="en-US" sz="800" b="0" i="0" baseline="0">
                    <a:effectLst/>
                  </a:rPr>
                  <a:t> (mg.g</a:t>
                </a:r>
                <a:r>
                  <a:rPr lang="en-US" sz="800" b="0" i="0" baseline="30000">
                    <a:effectLst/>
                  </a:rPr>
                  <a:t>-1</a:t>
                </a:r>
                <a:r>
                  <a:rPr lang="en-US" sz="800" b="0" i="0" baseline="0">
                    <a:effectLst/>
                  </a:rPr>
                  <a:t>)</a:t>
                </a:r>
                <a:endParaRPr lang="pt-BR" sz="800">
                  <a:effectLst/>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title>
        <c:numFmt formatCode="0" sourceLinked="0"/>
        <c:majorTickMark val="in"/>
        <c:minorTickMark val="in"/>
        <c:tickLblPos val="nextTo"/>
        <c:spPr>
          <a:noFill/>
          <a:ln w="317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pt-BR"/>
          </a:p>
        </c:txPr>
        <c:crossAx val="470738928"/>
        <c:crosses val="autoZero"/>
        <c:crossBetween val="midCat"/>
        <c:majorUnit val="5"/>
        <c:minorUnit val="1"/>
      </c:valAx>
      <c:spPr>
        <a:noFill/>
        <a:ln w="3175">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92594297688596"/>
          <c:y val="9.2073820055127389E-2"/>
          <c:w val="0.80254119570739146"/>
          <c:h val="0.72377607052352477"/>
        </c:manualLayout>
      </c:layout>
      <c:scatterChart>
        <c:scatterStyle val="lineMarker"/>
        <c:varyColors val="0"/>
        <c:ser>
          <c:idx val="0"/>
          <c:order val="0"/>
          <c:spPr>
            <a:ln w="25400" cap="rnd">
              <a:noFill/>
              <a:round/>
            </a:ln>
            <a:effectLst/>
          </c:spPr>
          <c:marker>
            <c:symbol val="circle"/>
            <c:size val="3"/>
            <c:spPr>
              <a:noFill/>
              <a:ln w="9525">
                <a:solidFill>
                  <a:schemeClr val="tx1"/>
                </a:solidFill>
              </a:ln>
              <a:effectLst/>
            </c:spPr>
          </c:marker>
          <c:errBars>
            <c:errDir val="y"/>
            <c:errBarType val="both"/>
            <c:errValType val="cust"/>
            <c:noEndCap val="0"/>
            <c:plus>
              <c:numRef>
                <c:f>'[Dados ICHEAP.xlsx]Adsorção'!$P$21:$P$25</c:f>
                <c:numCache>
                  <c:formatCode>General</c:formatCode>
                  <c:ptCount val="5"/>
                  <c:pt idx="0">
                    <c:v>0.27000000000000313</c:v>
                  </c:pt>
                  <c:pt idx="1">
                    <c:v>3.9999999999999147E-2</c:v>
                  </c:pt>
                  <c:pt idx="2">
                    <c:v>8.2499999999998685E-2</c:v>
                  </c:pt>
                  <c:pt idx="3">
                    <c:v>2.6250000000000107E-2</c:v>
                  </c:pt>
                  <c:pt idx="4">
                    <c:v>1.4374999999999805E-2</c:v>
                  </c:pt>
                </c:numCache>
              </c:numRef>
            </c:plus>
            <c:minus>
              <c:numRef>
                <c:f>'[Dados ICHEAP.xlsx]Adsorção'!$P$21:$P$25</c:f>
                <c:numCache>
                  <c:formatCode>General</c:formatCode>
                  <c:ptCount val="5"/>
                  <c:pt idx="0">
                    <c:v>0.27000000000000313</c:v>
                  </c:pt>
                  <c:pt idx="1">
                    <c:v>3.9999999999999147E-2</c:v>
                  </c:pt>
                  <c:pt idx="2">
                    <c:v>8.2499999999998685E-2</c:v>
                  </c:pt>
                  <c:pt idx="3">
                    <c:v>2.6250000000000107E-2</c:v>
                  </c:pt>
                  <c:pt idx="4">
                    <c:v>1.4374999999999805E-2</c:v>
                  </c:pt>
                </c:numCache>
              </c:numRef>
            </c:minus>
            <c:spPr>
              <a:noFill/>
              <a:ln w="9525" cap="flat" cmpd="sng" algn="ctr">
                <a:solidFill>
                  <a:schemeClr val="tx1">
                    <a:lumMod val="65000"/>
                    <a:lumOff val="35000"/>
                  </a:schemeClr>
                </a:solidFill>
                <a:round/>
              </a:ln>
              <a:effectLst/>
            </c:spPr>
          </c:errBars>
          <c:xVal>
            <c:numRef>
              <c:f>'[Dados ICHEAP.xlsx]Adsorção'!$E$21:$E$25</c:f>
              <c:numCache>
                <c:formatCode>General</c:formatCode>
                <c:ptCount val="5"/>
                <c:pt idx="0">
                  <c:v>0.01</c:v>
                </c:pt>
                <c:pt idx="1">
                  <c:v>0.02</c:v>
                </c:pt>
                <c:pt idx="2">
                  <c:v>0.04</c:v>
                </c:pt>
                <c:pt idx="3">
                  <c:v>0.08</c:v>
                </c:pt>
                <c:pt idx="4">
                  <c:v>0.16</c:v>
                </c:pt>
              </c:numCache>
            </c:numRef>
          </c:xVal>
          <c:yVal>
            <c:numRef>
              <c:f>'[Dados ICHEAP.xlsx]Adsorção'!$O$21:$O$25</c:f>
              <c:numCache>
                <c:formatCode>General</c:formatCode>
                <c:ptCount val="5"/>
                <c:pt idx="0">
                  <c:v>8.9900000000000162</c:v>
                </c:pt>
                <c:pt idx="1">
                  <c:v>19.470000000000006</c:v>
                </c:pt>
                <c:pt idx="2">
                  <c:v>14.377500000000005</c:v>
                </c:pt>
                <c:pt idx="3">
                  <c:v>9.5637500000000024</c:v>
                </c:pt>
                <c:pt idx="4">
                  <c:v>5.2956250000000011</c:v>
                </c:pt>
              </c:numCache>
            </c:numRef>
          </c:yVal>
          <c:smooth val="0"/>
          <c:extLst>
            <c:ext xmlns:c16="http://schemas.microsoft.com/office/drawing/2014/chart" uri="{C3380CC4-5D6E-409C-BE32-E72D297353CC}">
              <c16:uniqueId val="{00000000-06FC-4542-8BB0-8FAF3926CBD6}"/>
            </c:ext>
          </c:extLst>
        </c:ser>
        <c:dLbls>
          <c:showLegendKey val="0"/>
          <c:showVal val="0"/>
          <c:showCatName val="0"/>
          <c:showSerName val="0"/>
          <c:showPercent val="0"/>
          <c:showBubbleSize val="0"/>
        </c:dLbls>
        <c:axId val="470738928"/>
        <c:axId val="470736960"/>
      </c:scatterChart>
      <c:valAx>
        <c:axId val="470738928"/>
        <c:scaling>
          <c:orientation val="minMax"/>
          <c:max val="0.2"/>
          <c:min val="0"/>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sz="800"/>
                  <a:t>APR weight (g)</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title>
        <c:numFmt formatCode="General" sourceLinked="1"/>
        <c:majorTickMark val="in"/>
        <c:minorTickMark val="in"/>
        <c:tickLblPos val="nextTo"/>
        <c:spPr>
          <a:noFill/>
          <a:ln w="317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pt-BR"/>
          </a:p>
        </c:txPr>
        <c:crossAx val="470736960"/>
        <c:crosses val="autoZero"/>
        <c:crossBetween val="midCat"/>
        <c:majorUnit val="5.000000000000001E-2"/>
      </c:valAx>
      <c:valAx>
        <c:axId val="470736960"/>
        <c:scaling>
          <c:orientation val="minMax"/>
          <c:max val="25"/>
          <c:min val="0"/>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sz="800"/>
                  <a:t>q</a:t>
                </a:r>
                <a:r>
                  <a:rPr lang="en-US" sz="800" baseline="-25000"/>
                  <a:t>24</a:t>
                </a:r>
                <a:r>
                  <a:rPr lang="en-US" sz="800"/>
                  <a:t> (mg.g</a:t>
                </a:r>
                <a:r>
                  <a:rPr lang="en-US" sz="800" baseline="30000"/>
                  <a:t>-1</a:t>
                </a:r>
                <a:r>
                  <a:rPr lang="en-US" sz="800"/>
                  <a:t>)</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title>
        <c:numFmt formatCode="0" sourceLinked="0"/>
        <c:majorTickMark val="in"/>
        <c:minorTickMark val="in"/>
        <c:tickLblPos val="nextTo"/>
        <c:spPr>
          <a:noFill/>
          <a:ln w="317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pt-BR"/>
          </a:p>
        </c:txPr>
        <c:crossAx val="470738928"/>
        <c:crosses val="autoZero"/>
        <c:crossBetween val="midCat"/>
        <c:majorUnit val="5"/>
        <c:minorUnit val="1"/>
      </c:valAx>
      <c:spPr>
        <a:noFill/>
        <a:ln w="3175">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57231076962157"/>
          <c:y val="0.10775394549613088"/>
          <c:w val="0.77605973230674896"/>
          <c:h val="0.70025588236201952"/>
        </c:manualLayout>
      </c:layout>
      <c:scatterChart>
        <c:scatterStyle val="lineMarker"/>
        <c:varyColors val="0"/>
        <c:ser>
          <c:idx val="0"/>
          <c:order val="0"/>
          <c:spPr>
            <a:ln w="25400" cap="rnd">
              <a:noFill/>
              <a:round/>
            </a:ln>
            <a:effectLst/>
          </c:spPr>
          <c:marker>
            <c:symbol val="circle"/>
            <c:size val="3"/>
            <c:spPr>
              <a:noFill/>
              <a:ln w="3175">
                <a:solidFill>
                  <a:schemeClr val="tx1"/>
                </a:solidFill>
              </a:ln>
              <a:effectLst/>
            </c:spPr>
          </c:marker>
          <c:errBars>
            <c:errDir val="y"/>
            <c:errBarType val="both"/>
            <c:errValType val="cust"/>
            <c:noEndCap val="0"/>
            <c:plus>
              <c:numRef>
                <c:f>'[Dados ICHEAP.xlsx]ICHEAP'!$I$18:$I$22</c:f>
                <c:numCache>
                  <c:formatCode>General</c:formatCode>
                  <c:ptCount val="5"/>
                  <c:pt idx="0">
                    <c:v>0.29392553886349138</c:v>
                  </c:pt>
                  <c:pt idx="1">
                    <c:v>8.7089048552140724E-2</c:v>
                  </c:pt>
                  <c:pt idx="2">
                    <c:v>0.35924232527759159</c:v>
                  </c:pt>
                  <c:pt idx="3">
                    <c:v>0.22860875244937517</c:v>
                  </c:pt>
                  <c:pt idx="4">
                    <c:v>0.25038101458740414</c:v>
                  </c:pt>
                </c:numCache>
              </c:numRef>
            </c:plus>
            <c:minus>
              <c:numRef>
                <c:f>'[Dados ICHEAP.xlsx]ICHEAP'!$I$18:$I$22</c:f>
                <c:numCache>
                  <c:formatCode>General</c:formatCode>
                  <c:ptCount val="5"/>
                  <c:pt idx="0">
                    <c:v>0.29392553886349138</c:v>
                  </c:pt>
                  <c:pt idx="1">
                    <c:v>8.7089048552140724E-2</c:v>
                  </c:pt>
                  <c:pt idx="2">
                    <c:v>0.35924232527759159</c:v>
                  </c:pt>
                  <c:pt idx="3">
                    <c:v>0.22860875244937517</c:v>
                  </c:pt>
                  <c:pt idx="4">
                    <c:v>0.25038101458740414</c:v>
                  </c:pt>
                </c:numCache>
              </c:numRef>
            </c:minus>
            <c:spPr>
              <a:noFill/>
              <a:ln w="3175" cap="flat" cmpd="sng" algn="ctr">
                <a:solidFill>
                  <a:schemeClr val="tx1"/>
                </a:solidFill>
                <a:round/>
              </a:ln>
              <a:effectLst/>
            </c:spPr>
          </c:errBars>
          <c:xVal>
            <c:numRef>
              <c:f>'[Dados ICHEAP.xlsx]ICHEAP'!$E$18:$E$22</c:f>
              <c:numCache>
                <c:formatCode>General</c:formatCode>
                <c:ptCount val="5"/>
                <c:pt idx="0">
                  <c:v>0.01</c:v>
                </c:pt>
                <c:pt idx="1">
                  <c:v>0.02</c:v>
                </c:pt>
                <c:pt idx="2">
                  <c:v>0.04</c:v>
                </c:pt>
                <c:pt idx="3">
                  <c:v>0.08</c:v>
                </c:pt>
                <c:pt idx="4">
                  <c:v>0.16</c:v>
                </c:pt>
              </c:numCache>
            </c:numRef>
          </c:xVal>
          <c:yVal>
            <c:numRef>
              <c:f>'[Dados ICHEAP.xlsx]ICHEAP'!$H$18:$H$22</c:f>
              <c:numCache>
                <c:formatCode>0.00</c:formatCode>
                <c:ptCount val="5"/>
                <c:pt idx="0">
                  <c:v>9.7866318310472629</c:v>
                </c:pt>
                <c:pt idx="1">
                  <c:v>42.390594382756376</c:v>
                </c:pt>
                <c:pt idx="2">
                  <c:v>62.606139777922934</c:v>
                </c:pt>
                <c:pt idx="3">
                  <c:v>83.289788809057256</c:v>
                </c:pt>
                <c:pt idx="4">
                  <c:v>92.238188547790116</c:v>
                </c:pt>
              </c:numCache>
            </c:numRef>
          </c:yVal>
          <c:smooth val="0"/>
          <c:extLst>
            <c:ext xmlns:c16="http://schemas.microsoft.com/office/drawing/2014/chart" uri="{C3380CC4-5D6E-409C-BE32-E72D297353CC}">
              <c16:uniqueId val="{00000000-F6C6-4E9C-B869-D11BB12FEE7B}"/>
            </c:ext>
          </c:extLst>
        </c:ser>
        <c:dLbls>
          <c:showLegendKey val="0"/>
          <c:showVal val="0"/>
          <c:showCatName val="0"/>
          <c:showSerName val="0"/>
          <c:showPercent val="0"/>
          <c:showBubbleSize val="0"/>
        </c:dLbls>
        <c:axId val="470738928"/>
        <c:axId val="470736960"/>
      </c:scatterChart>
      <c:valAx>
        <c:axId val="470738928"/>
        <c:scaling>
          <c:orientation val="minMax"/>
          <c:max val="0.2"/>
          <c:min val="0"/>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sz="800"/>
                  <a:t>APR weight (g)</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title>
        <c:numFmt formatCode="General" sourceLinked="1"/>
        <c:majorTickMark val="in"/>
        <c:minorTickMark val="in"/>
        <c:tickLblPos val="nextTo"/>
        <c:spPr>
          <a:noFill/>
          <a:ln w="317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pt-BR"/>
          </a:p>
        </c:txPr>
        <c:crossAx val="470736960"/>
        <c:crosses val="autoZero"/>
        <c:crossBetween val="midCat"/>
        <c:majorUnit val="5.000000000000001E-2"/>
      </c:valAx>
      <c:valAx>
        <c:axId val="470736960"/>
        <c:scaling>
          <c:orientation val="minMax"/>
          <c:max val="100"/>
          <c:min val="0"/>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sz="800"/>
                  <a:t>%R</a:t>
                </a:r>
                <a:endParaRPr lang="en-US" sz="800" baseline="-25000"/>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title>
        <c:numFmt formatCode="0" sourceLinked="0"/>
        <c:majorTickMark val="in"/>
        <c:minorTickMark val="in"/>
        <c:tickLblPos val="nextTo"/>
        <c:spPr>
          <a:noFill/>
          <a:ln w="317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pt-BR"/>
          </a:p>
        </c:txPr>
        <c:crossAx val="470738928"/>
        <c:crosses val="autoZero"/>
        <c:crossBetween val="midCat"/>
        <c:majorUnit val="20"/>
        <c:minorUnit val="5"/>
      </c:valAx>
      <c:spPr>
        <a:noFill/>
        <a:ln w="3175">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E8AD5-23D4-4CE1-A630-D9B53D3A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3515</Words>
  <Characters>18987</Characters>
  <Application>Microsoft Office Word</Application>
  <DocSecurity>0</DocSecurity>
  <Lines>158</Lines>
  <Paragraphs>44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Wardleison Moreira</cp:lastModifiedBy>
  <cp:revision>15</cp:revision>
  <cp:lastPrinted>2015-05-12T18:31:00Z</cp:lastPrinted>
  <dcterms:created xsi:type="dcterms:W3CDTF">2019-04-05T14:21:00Z</dcterms:created>
  <dcterms:modified xsi:type="dcterms:W3CDTF">2019-04-05T19:20:00Z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