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en-US"/>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087E56" w:rsidRDefault="000F603C" w:rsidP="00E978D0">
      <w:pPr>
        <w:pStyle w:val="CETTitle"/>
        <w:rPr>
          <w:color w:val="000000" w:themeColor="text1"/>
        </w:rPr>
      </w:pPr>
      <w:r w:rsidRPr="00087E56">
        <w:rPr>
          <w:color w:val="000000" w:themeColor="text1"/>
        </w:rPr>
        <w:lastRenderedPageBreak/>
        <w:t xml:space="preserve">Effect of the reaction volume on the formation of </w:t>
      </w:r>
      <w:proofErr w:type="spellStart"/>
      <w:r w:rsidRPr="00087E56">
        <w:rPr>
          <w:color w:val="000000" w:themeColor="text1"/>
        </w:rPr>
        <w:t>microparticles</w:t>
      </w:r>
      <w:proofErr w:type="spellEnd"/>
      <w:r w:rsidRPr="00087E56">
        <w:rPr>
          <w:color w:val="000000" w:themeColor="text1"/>
        </w:rPr>
        <w:t xml:space="preserve"> of the </w:t>
      </w:r>
      <w:proofErr w:type="spellStart"/>
      <w:r w:rsidR="00B0222D" w:rsidRPr="00087E56">
        <w:rPr>
          <w:color w:val="000000" w:themeColor="text1"/>
        </w:rPr>
        <w:t>pequi</w:t>
      </w:r>
      <w:proofErr w:type="spellEnd"/>
      <w:r w:rsidRPr="00087E56">
        <w:rPr>
          <w:color w:val="000000" w:themeColor="text1"/>
        </w:rPr>
        <w:t xml:space="preserve"> </w:t>
      </w:r>
      <w:r w:rsidR="00B0222D" w:rsidRPr="00087E56">
        <w:rPr>
          <w:color w:val="000000" w:themeColor="text1"/>
        </w:rPr>
        <w:t>oil (</w:t>
      </w:r>
      <w:proofErr w:type="spellStart"/>
      <w:r w:rsidRPr="00087E56">
        <w:rPr>
          <w:i/>
          <w:color w:val="000000" w:themeColor="text1"/>
        </w:rPr>
        <w:t>Caryocar</w:t>
      </w:r>
      <w:proofErr w:type="spellEnd"/>
      <w:r w:rsidRPr="00087E56">
        <w:rPr>
          <w:i/>
          <w:color w:val="000000" w:themeColor="text1"/>
        </w:rPr>
        <w:t xml:space="preserve"> </w:t>
      </w:r>
      <w:proofErr w:type="spellStart"/>
      <w:r w:rsidRPr="00087E56">
        <w:rPr>
          <w:i/>
          <w:color w:val="000000" w:themeColor="text1"/>
        </w:rPr>
        <w:t>coriaceum</w:t>
      </w:r>
      <w:proofErr w:type="spellEnd"/>
      <w:r w:rsidRPr="00087E56">
        <w:rPr>
          <w:color w:val="000000" w:themeColor="text1"/>
        </w:rPr>
        <w:t xml:space="preserve"> </w:t>
      </w:r>
      <w:proofErr w:type="spellStart"/>
      <w:r w:rsidRPr="00087E56">
        <w:rPr>
          <w:color w:val="000000" w:themeColor="text1"/>
        </w:rPr>
        <w:t>Wittm</w:t>
      </w:r>
      <w:proofErr w:type="spellEnd"/>
      <w:r w:rsidRPr="00087E56">
        <w:rPr>
          <w:color w:val="000000" w:themeColor="text1"/>
        </w:rPr>
        <w:t>.</w:t>
      </w:r>
      <w:r w:rsidR="00B0222D" w:rsidRPr="00087E56">
        <w:rPr>
          <w:color w:val="000000" w:themeColor="text1"/>
        </w:rPr>
        <w:t>)</w:t>
      </w:r>
      <w:r w:rsidRPr="00087E56">
        <w:rPr>
          <w:color w:val="000000" w:themeColor="text1"/>
        </w:rPr>
        <w:t xml:space="preserve"> by complex </w:t>
      </w:r>
      <w:proofErr w:type="spellStart"/>
      <w:r w:rsidRPr="00087E56">
        <w:rPr>
          <w:color w:val="000000" w:themeColor="text1"/>
        </w:rPr>
        <w:t>coacervation</w:t>
      </w:r>
      <w:proofErr w:type="spellEnd"/>
    </w:p>
    <w:p w:rsidR="00E978D0" w:rsidRPr="006D5456" w:rsidRDefault="000F603C" w:rsidP="00AB5011">
      <w:pPr>
        <w:pStyle w:val="CETAuthors"/>
        <w:rPr>
          <w:lang w:val="pt-BR"/>
        </w:rPr>
      </w:pPr>
      <w:r w:rsidRPr="006D5456">
        <w:rPr>
          <w:lang w:val="pt-BR"/>
        </w:rPr>
        <w:t>Williara Q. Oliveira</w:t>
      </w:r>
      <w:r w:rsidRPr="006D5456">
        <w:rPr>
          <w:vertAlign w:val="superscript"/>
          <w:lang w:val="pt-BR"/>
        </w:rPr>
        <w:t>a</w:t>
      </w:r>
      <w:r w:rsidRPr="006D5456">
        <w:rPr>
          <w:lang w:val="pt-BR"/>
        </w:rPr>
        <w:t>, Antonio W. O. Araújo</w:t>
      </w:r>
      <w:r w:rsidRPr="006D5456">
        <w:rPr>
          <w:vertAlign w:val="superscript"/>
          <w:lang w:val="pt-BR"/>
        </w:rPr>
        <w:t>a</w:t>
      </w:r>
      <w:r w:rsidRPr="006D5456">
        <w:rPr>
          <w:lang w:val="pt-BR"/>
        </w:rPr>
        <w:t>, Nedio J. Wurlitzer</w:t>
      </w:r>
      <w:r w:rsidRPr="006D5456">
        <w:rPr>
          <w:vertAlign w:val="superscript"/>
          <w:lang w:val="pt-BR"/>
        </w:rPr>
        <w:t>b,</w:t>
      </w:r>
      <w:r w:rsidRPr="006D5456">
        <w:rPr>
          <w:lang w:val="pt-BR"/>
        </w:rPr>
        <w:t>*, Maria S. R. Bastos</w:t>
      </w:r>
      <w:r w:rsidRPr="006D5456">
        <w:rPr>
          <w:vertAlign w:val="superscript"/>
          <w:lang w:val="pt-BR"/>
        </w:rPr>
        <w:t>b</w:t>
      </w:r>
      <w:r w:rsidRPr="006D5456">
        <w:rPr>
          <w:lang w:val="pt-BR"/>
        </w:rPr>
        <w:t>,  Roselayne F. Furtado</w:t>
      </w:r>
      <w:r w:rsidRPr="006D5456">
        <w:rPr>
          <w:vertAlign w:val="superscript"/>
          <w:lang w:val="pt-BR"/>
        </w:rPr>
        <w:t>b</w:t>
      </w:r>
    </w:p>
    <w:p w:rsidR="00E978D0" w:rsidRPr="006D5456" w:rsidRDefault="00E978D0" w:rsidP="00E978D0">
      <w:pPr>
        <w:pStyle w:val="CETAddress"/>
        <w:rPr>
          <w:lang w:val="pt-BR"/>
        </w:rPr>
      </w:pPr>
      <w:r w:rsidRPr="00B57B36">
        <w:rPr>
          <w:vertAlign w:val="superscript"/>
        </w:rPr>
        <w:t>a</w:t>
      </w:r>
      <w:r w:rsidR="000F603C">
        <w:t>Federal University of Ceará,</w:t>
      </w:r>
      <w:r w:rsidR="006C08FC">
        <w:t xml:space="preserve"> Department of Food Technology. </w:t>
      </w:r>
      <w:r w:rsidR="006C08FC" w:rsidRPr="006D5456">
        <w:rPr>
          <w:lang w:val="pt-BR"/>
        </w:rPr>
        <w:t>Fortaleza, Brazil.</w:t>
      </w:r>
      <w:r w:rsidRPr="006D5456">
        <w:rPr>
          <w:lang w:val="pt-BR"/>
        </w:rPr>
        <w:t xml:space="preserve"> </w:t>
      </w:r>
    </w:p>
    <w:p w:rsidR="006C08FC" w:rsidRPr="006D5456" w:rsidRDefault="00E978D0" w:rsidP="006C08FC">
      <w:pPr>
        <w:pStyle w:val="CETAddress"/>
        <w:rPr>
          <w:lang w:val="pt-BR"/>
        </w:rPr>
      </w:pPr>
      <w:r w:rsidRPr="006D5456">
        <w:rPr>
          <w:vertAlign w:val="superscript"/>
          <w:lang w:val="pt-BR"/>
        </w:rPr>
        <w:t>b</w:t>
      </w:r>
      <w:r w:rsidR="000F603C" w:rsidRPr="006D5456">
        <w:rPr>
          <w:lang w:val="pt-BR"/>
        </w:rPr>
        <w:t>Embrapa Agroindústria Tropical,</w:t>
      </w:r>
      <w:r w:rsidR="006C08FC" w:rsidRPr="006D5456">
        <w:rPr>
          <w:lang w:val="pt-BR"/>
        </w:rPr>
        <w:t xml:space="preserve"> Dra Sara Mesquita 2270, 60511-110, Fortaleza, Brazil. </w:t>
      </w:r>
    </w:p>
    <w:p w:rsidR="00E978D0" w:rsidRPr="00B57B36" w:rsidRDefault="000F603C" w:rsidP="00E978D0">
      <w:pPr>
        <w:pStyle w:val="CETemail"/>
      </w:pPr>
      <w:r>
        <w:t>nedio.jair@embrapa.br</w:t>
      </w:r>
    </w:p>
    <w:p w:rsidR="00600535" w:rsidRPr="00B57B36" w:rsidRDefault="00837AAE" w:rsidP="00600535">
      <w:pPr>
        <w:pStyle w:val="CETBodytext"/>
        <w:rPr>
          <w:lang w:val="en-GB"/>
        </w:rPr>
      </w:pPr>
      <w:r>
        <w:rPr>
          <w:rFonts w:cs="Arial"/>
          <w:color w:val="222222"/>
          <w:szCs w:val="18"/>
          <w:lang w:eastAsia="pt-BR"/>
        </w:rPr>
        <w:t xml:space="preserve">The oil from </w:t>
      </w:r>
      <w:proofErr w:type="spellStart"/>
      <w:r w:rsidR="00A147BA" w:rsidRPr="00AA6BF8">
        <w:rPr>
          <w:rFonts w:cs="Arial"/>
          <w:color w:val="222222"/>
          <w:szCs w:val="18"/>
          <w:lang w:eastAsia="pt-BR"/>
        </w:rPr>
        <w:t>Pe</w:t>
      </w:r>
      <w:r>
        <w:rPr>
          <w:rFonts w:cs="Arial"/>
          <w:color w:val="222222"/>
          <w:szCs w:val="18"/>
          <w:lang w:eastAsia="pt-BR"/>
        </w:rPr>
        <w:t>qui</w:t>
      </w:r>
      <w:proofErr w:type="spellEnd"/>
      <w:r>
        <w:rPr>
          <w:rFonts w:cs="Arial"/>
          <w:color w:val="222222"/>
          <w:szCs w:val="18"/>
          <w:lang w:eastAsia="pt-BR"/>
        </w:rPr>
        <w:t xml:space="preserve"> </w:t>
      </w:r>
      <w:r w:rsidR="00D1177D">
        <w:rPr>
          <w:rFonts w:cs="Arial"/>
          <w:color w:val="222222"/>
          <w:szCs w:val="18"/>
          <w:lang w:eastAsia="pt-BR"/>
        </w:rPr>
        <w:t>pulp</w:t>
      </w:r>
      <w:r>
        <w:rPr>
          <w:rFonts w:cs="Arial"/>
          <w:color w:val="222222"/>
          <w:szCs w:val="18"/>
          <w:lang w:eastAsia="pt-BR"/>
        </w:rPr>
        <w:t xml:space="preserve">, also known as </w:t>
      </w:r>
      <w:proofErr w:type="spellStart"/>
      <w:r>
        <w:rPr>
          <w:rFonts w:cs="Arial"/>
          <w:color w:val="222222"/>
          <w:szCs w:val="18"/>
          <w:lang w:eastAsia="pt-BR"/>
        </w:rPr>
        <w:t>pequi</w:t>
      </w:r>
      <w:proofErr w:type="spellEnd"/>
      <w:r w:rsidR="00A147BA" w:rsidRPr="00AA6BF8">
        <w:rPr>
          <w:rFonts w:cs="Arial"/>
          <w:color w:val="222222"/>
          <w:szCs w:val="18"/>
          <w:lang w:eastAsia="pt-BR"/>
        </w:rPr>
        <w:t xml:space="preserve"> oil (</w:t>
      </w:r>
      <w:r>
        <w:rPr>
          <w:rFonts w:cs="Arial"/>
          <w:color w:val="222222"/>
          <w:szCs w:val="18"/>
          <w:lang w:eastAsia="pt-BR"/>
        </w:rPr>
        <w:t>PO</w:t>
      </w:r>
      <w:r w:rsidR="00A147BA" w:rsidRPr="00AA6BF8">
        <w:rPr>
          <w:rFonts w:cs="Arial"/>
          <w:color w:val="222222"/>
          <w:szCs w:val="18"/>
          <w:lang w:eastAsia="pt-BR"/>
        </w:rPr>
        <w:t xml:space="preserve">) </w:t>
      </w:r>
      <w:r>
        <w:rPr>
          <w:rFonts w:cs="Arial"/>
          <w:color w:val="222222"/>
          <w:szCs w:val="18"/>
          <w:lang w:eastAsia="pt-BR"/>
        </w:rPr>
        <w:t>is a</w:t>
      </w:r>
      <w:r w:rsidR="00A147BA" w:rsidRPr="00AA6BF8">
        <w:rPr>
          <w:rFonts w:cs="Arial"/>
          <w:color w:val="222222"/>
          <w:szCs w:val="18"/>
          <w:lang w:eastAsia="pt-BR"/>
        </w:rPr>
        <w:t xml:space="preserve"> promising bioactive for the food industry</w:t>
      </w:r>
      <w:r w:rsidR="00113542">
        <w:rPr>
          <w:rFonts w:cs="Arial"/>
          <w:color w:val="222222"/>
          <w:szCs w:val="18"/>
          <w:lang w:eastAsia="pt-BR"/>
        </w:rPr>
        <w:t>, and c</w:t>
      </w:r>
      <w:r w:rsidR="00A147BA" w:rsidRPr="00AA6BF8">
        <w:rPr>
          <w:rFonts w:cs="Arial"/>
          <w:color w:val="222222"/>
          <w:szCs w:val="18"/>
          <w:lang w:eastAsia="pt-BR"/>
        </w:rPr>
        <w:t xml:space="preserve">omplex </w:t>
      </w:r>
      <w:proofErr w:type="spellStart"/>
      <w:r w:rsidR="00A147BA" w:rsidRPr="00AA6BF8">
        <w:rPr>
          <w:rFonts w:cs="Arial"/>
          <w:color w:val="222222"/>
          <w:szCs w:val="18"/>
          <w:lang w:eastAsia="pt-BR"/>
        </w:rPr>
        <w:t>coacervation</w:t>
      </w:r>
      <w:proofErr w:type="spellEnd"/>
      <w:r w:rsidR="00A147BA" w:rsidRPr="00AA6BF8">
        <w:rPr>
          <w:rFonts w:cs="Arial"/>
          <w:color w:val="222222"/>
          <w:szCs w:val="18"/>
          <w:lang w:eastAsia="pt-BR"/>
        </w:rPr>
        <w:t xml:space="preserve"> is a simple </w:t>
      </w:r>
      <w:r w:rsidR="00113542">
        <w:rPr>
          <w:rFonts w:cs="Arial"/>
          <w:color w:val="222222"/>
          <w:szCs w:val="18"/>
          <w:lang w:eastAsia="pt-BR"/>
        </w:rPr>
        <w:t xml:space="preserve">encapsulation </w:t>
      </w:r>
      <w:r w:rsidR="00A147BA" w:rsidRPr="00AA6BF8">
        <w:rPr>
          <w:rFonts w:cs="Arial"/>
          <w:color w:val="222222"/>
          <w:szCs w:val="18"/>
          <w:lang w:eastAsia="pt-BR"/>
        </w:rPr>
        <w:t>method t</w:t>
      </w:r>
      <w:r w:rsidR="0030047E">
        <w:rPr>
          <w:rFonts w:cs="Arial"/>
          <w:color w:val="222222"/>
          <w:szCs w:val="18"/>
          <w:lang w:eastAsia="pt-BR"/>
        </w:rPr>
        <w:t>o</w:t>
      </w:r>
      <w:r w:rsidR="00A147BA" w:rsidRPr="00AA6BF8">
        <w:rPr>
          <w:rFonts w:cs="Arial"/>
          <w:color w:val="222222"/>
          <w:szCs w:val="18"/>
          <w:lang w:eastAsia="pt-BR"/>
        </w:rPr>
        <w:t xml:space="preserve"> </w:t>
      </w:r>
      <w:r w:rsidR="0030047E">
        <w:rPr>
          <w:rFonts w:cs="Arial"/>
          <w:color w:val="222222"/>
          <w:szCs w:val="18"/>
          <w:lang w:eastAsia="pt-BR"/>
        </w:rPr>
        <w:t>improve its</w:t>
      </w:r>
      <w:r w:rsidR="00A147BA" w:rsidRPr="00AA6BF8">
        <w:rPr>
          <w:rFonts w:cs="Arial"/>
          <w:color w:val="222222"/>
          <w:szCs w:val="18"/>
          <w:lang w:eastAsia="pt-BR"/>
        </w:rPr>
        <w:t xml:space="preserve"> stability </w:t>
      </w:r>
      <w:r w:rsidR="0030047E">
        <w:rPr>
          <w:rFonts w:cs="Arial"/>
          <w:color w:val="222222"/>
          <w:szCs w:val="18"/>
          <w:lang w:eastAsia="pt-BR"/>
        </w:rPr>
        <w:t xml:space="preserve">and use as </w:t>
      </w:r>
      <w:r w:rsidR="00EC1658">
        <w:rPr>
          <w:rFonts w:cs="Arial"/>
          <w:color w:val="222222"/>
          <w:szCs w:val="18"/>
          <w:lang w:eastAsia="pt-BR"/>
        </w:rPr>
        <w:t xml:space="preserve">a </w:t>
      </w:r>
      <w:r w:rsidR="0030047E">
        <w:rPr>
          <w:rFonts w:cs="Arial"/>
          <w:color w:val="222222"/>
          <w:szCs w:val="18"/>
          <w:lang w:eastAsia="pt-BR"/>
        </w:rPr>
        <w:t>food ingredient</w:t>
      </w:r>
      <w:r w:rsidR="00A147BA" w:rsidRPr="00AA6BF8">
        <w:rPr>
          <w:rFonts w:cs="Arial"/>
          <w:color w:val="222222"/>
          <w:szCs w:val="18"/>
          <w:lang w:eastAsia="pt-BR"/>
        </w:rPr>
        <w:t xml:space="preserve">. </w:t>
      </w:r>
      <w:r w:rsidR="00113542">
        <w:rPr>
          <w:rFonts w:cs="Arial"/>
          <w:color w:val="222222"/>
          <w:szCs w:val="18"/>
          <w:lang w:eastAsia="pt-BR"/>
        </w:rPr>
        <w:t>The high reaction volume used</w:t>
      </w:r>
      <w:r w:rsidR="0030047E">
        <w:rPr>
          <w:rFonts w:cs="Arial"/>
          <w:color w:val="222222"/>
          <w:szCs w:val="18"/>
          <w:lang w:eastAsia="pt-BR"/>
        </w:rPr>
        <w:t xml:space="preserve"> is considered a challenge to microcapsule production by </w:t>
      </w:r>
      <w:proofErr w:type="spellStart"/>
      <w:r w:rsidR="0030047E">
        <w:rPr>
          <w:rFonts w:cs="Arial"/>
          <w:color w:val="222222"/>
          <w:szCs w:val="18"/>
          <w:lang w:eastAsia="pt-BR"/>
        </w:rPr>
        <w:t>coacervation</w:t>
      </w:r>
      <w:proofErr w:type="spellEnd"/>
      <w:r w:rsidR="0030047E">
        <w:rPr>
          <w:rFonts w:cs="Arial"/>
          <w:color w:val="222222"/>
          <w:szCs w:val="18"/>
          <w:lang w:eastAsia="pt-BR"/>
        </w:rPr>
        <w:t xml:space="preserve"> process. </w:t>
      </w:r>
      <w:r w:rsidR="00A147BA" w:rsidRPr="00AA6BF8">
        <w:rPr>
          <w:rFonts w:cs="Arial"/>
          <w:color w:val="222222"/>
          <w:szCs w:val="18"/>
          <w:lang w:eastAsia="pt-BR"/>
        </w:rPr>
        <w:t xml:space="preserve">Therefore, the objective of this study was to </w:t>
      </w:r>
      <w:r>
        <w:rPr>
          <w:rFonts w:cs="Arial"/>
          <w:color w:val="222222"/>
          <w:szCs w:val="18"/>
          <w:lang w:eastAsia="pt-BR"/>
        </w:rPr>
        <w:t xml:space="preserve">evaluate the effect of the reaction volume </w:t>
      </w:r>
      <w:r w:rsidR="00A147BA" w:rsidRPr="00AA6BF8">
        <w:rPr>
          <w:rFonts w:cs="Arial"/>
          <w:color w:val="222222"/>
          <w:szCs w:val="18"/>
          <w:lang w:eastAsia="pt-BR"/>
        </w:rPr>
        <w:t>on the formation, morphology, size, yield</w:t>
      </w:r>
      <w:r w:rsidR="00EC1658">
        <w:rPr>
          <w:rFonts w:cs="Arial"/>
          <w:color w:val="222222"/>
          <w:szCs w:val="18"/>
          <w:lang w:eastAsia="pt-BR"/>
        </w:rPr>
        <w:t>,</w:t>
      </w:r>
      <w:r w:rsidR="00A147BA" w:rsidRPr="00AA6BF8">
        <w:rPr>
          <w:rFonts w:cs="Arial"/>
          <w:color w:val="222222"/>
          <w:szCs w:val="18"/>
          <w:lang w:eastAsia="pt-BR"/>
        </w:rPr>
        <w:t xml:space="preserve"> and efficiency of </w:t>
      </w:r>
      <w:proofErr w:type="spellStart"/>
      <w:r w:rsidR="00A147BA" w:rsidRPr="00AA6BF8">
        <w:rPr>
          <w:rFonts w:cs="Arial"/>
          <w:color w:val="222222"/>
          <w:szCs w:val="18"/>
          <w:lang w:eastAsia="pt-BR"/>
        </w:rPr>
        <w:t>pequi</w:t>
      </w:r>
      <w:proofErr w:type="spellEnd"/>
      <w:r w:rsidR="00A147BA" w:rsidRPr="00AA6BF8">
        <w:rPr>
          <w:rFonts w:cs="Arial"/>
          <w:color w:val="222222"/>
          <w:szCs w:val="18"/>
          <w:lang w:eastAsia="pt-BR"/>
        </w:rPr>
        <w:t xml:space="preserve"> microcapsules. </w:t>
      </w:r>
      <w:r>
        <w:rPr>
          <w:rFonts w:cs="Arial"/>
          <w:color w:val="222222"/>
          <w:szCs w:val="18"/>
          <w:lang w:eastAsia="pt-BR"/>
        </w:rPr>
        <w:t xml:space="preserve">The complex </w:t>
      </w:r>
      <w:proofErr w:type="spellStart"/>
      <w:r>
        <w:rPr>
          <w:rFonts w:cs="Arial"/>
          <w:color w:val="222222"/>
          <w:szCs w:val="18"/>
          <w:lang w:eastAsia="pt-BR"/>
        </w:rPr>
        <w:t>coacervation</w:t>
      </w:r>
      <w:proofErr w:type="spellEnd"/>
      <w:r>
        <w:rPr>
          <w:rFonts w:cs="Arial"/>
          <w:color w:val="222222"/>
          <w:szCs w:val="18"/>
          <w:lang w:eastAsia="pt-BR"/>
        </w:rPr>
        <w:t xml:space="preserve"> was perfo</w:t>
      </w:r>
      <w:r w:rsidR="00EC1658">
        <w:rPr>
          <w:rFonts w:cs="Arial"/>
          <w:color w:val="222222"/>
          <w:szCs w:val="18"/>
          <w:lang w:eastAsia="pt-BR"/>
        </w:rPr>
        <w:t>r</w:t>
      </w:r>
      <w:r>
        <w:rPr>
          <w:rFonts w:cs="Arial"/>
          <w:color w:val="222222"/>
          <w:szCs w:val="18"/>
          <w:lang w:eastAsia="pt-BR"/>
        </w:rPr>
        <w:t xml:space="preserve">med with wall material composed by polymers (gelatin and gum </w:t>
      </w:r>
      <w:proofErr w:type="spellStart"/>
      <w:r w:rsidR="0030047E" w:rsidRPr="00B56B4B">
        <w:rPr>
          <w:rFonts w:cs="Arial"/>
          <w:color w:val="222222"/>
          <w:szCs w:val="18"/>
          <w:lang w:eastAsia="pt-BR"/>
        </w:rPr>
        <w:t>a</w:t>
      </w:r>
      <w:r w:rsidRPr="00B56B4B">
        <w:rPr>
          <w:rFonts w:cs="Arial"/>
          <w:color w:val="222222"/>
          <w:szCs w:val="18"/>
          <w:lang w:eastAsia="pt-BR"/>
        </w:rPr>
        <w:t>rabic</w:t>
      </w:r>
      <w:proofErr w:type="spellEnd"/>
      <w:r>
        <w:rPr>
          <w:rFonts w:cs="Arial"/>
          <w:color w:val="222222"/>
          <w:szCs w:val="18"/>
          <w:lang w:eastAsia="pt-BR"/>
        </w:rPr>
        <w:t xml:space="preserve">) and </w:t>
      </w:r>
      <w:proofErr w:type="spellStart"/>
      <w:r>
        <w:rPr>
          <w:rFonts w:cs="Arial"/>
          <w:color w:val="222222"/>
          <w:szCs w:val="18"/>
          <w:lang w:eastAsia="pt-BR"/>
        </w:rPr>
        <w:t>pequi</w:t>
      </w:r>
      <w:proofErr w:type="spellEnd"/>
      <w:r>
        <w:rPr>
          <w:rFonts w:cs="Arial"/>
          <w:color w:val="222222"/>
          <w:szCs w:val="18"/>
          <w:lang w:eastAsia="pt-BR"/>
        </w:rPr>
        <w:t xml:space="preserve"> oil as </w:t>
      </w:r>
      <w:r w:rsidR="00EC1658">
        <w:rPr>
          <w:rFonts w:cs="Arial"/>
          <w:color w:val="222222"/>
          <w:szCs w:val="18"/>
          <w:lang w:eastAsia="pt-BR"/>
        </w:rPr>
        <w:t xml:space="preserve">the </w:t>
      </w:r>
      <w:r>
        <w:rPr>
          <w:rFonts w:cs="Arial"/>
          <w:color w:val="222222"/>
          <w:szCs w:val="18"/>
          <w:lang w:eastAsia="pt-BR"/>
        </w:rPr>
        <w:t xml:space="preserve">core material. </w:t>
      </w:r>
      <w:r w:rsidR="0050099C">
        <w:rPr>
          <w:rFonts w:cs="Arial"/>
          <w:color w:val="222222"/>
          <w:szCs w:val="18"/>
          <w:lang w:eastAsia="pt-BR"/>
        </w:rPr>
        <w:t xml:space="preserve">The oil was mixed with gelatin, added the polysaccharide and pH was adjusted to 3.5, to allow the </w:t>
      </w:r>
      <w:proofErr w:type="spellStart"/>
      <w:r w:rsidR="0050099C">
        <w:rPr>
          <w:rFonts w:cs="Arial"/>
          <w:color w:val="222222"/>
          <w:szCs w:val="18"/>
          <w:lang w:eastAsia="pt-BR"/>
        </w:rPr>
        <w:t>microparticle</w:t>
      </w:r>
      <w:proofErr w:type="spellEnd"/>
      <w:r w:rsidR="0050099C">
        <w:rPr>
          <w:rFonts w:cs="Arial"/>
          <w:color w:val="222222"/>
          <w:szCs w:val="18"/>
          <w:lang w:eastAsia="pt-BR"/>
        </w:rPr>
        <w:t xml:space="preserve"> formation. The reaction volume treatments T1, T2, T3</w:t>
      </w:r>
      <w:r w:rsidR="00EC1658">
        <w:rPr>
          <w:rFonts w:cs="Arial"/>
          <w:color w:val="222222"/>
          <w:szCs w:val="18"/>
          <w:lang w:eastAsia="pt-BR"/>
        </w:rPr>
        <w:t>,</w:t>
      </w:r>
      <w:r w:rsidR="0050099C">
        <w:rPr>
          <w:rFonts w:cs="Arial"/>
          <w:color w:val="222222"/>
          <w:szCs w:val="18"/>
          <w:lang w:eastAsia="pt-BR"/>
        </w:rPr>
        <w:t xml:space="preserve"> and T4, related </w:t>
      </w:r>
      <w:r w:rsidR="00D1177D">
        <w:rPr>
          <w:rFonts w:cs="Arial"/>
          <w:color w:val="222222"/>
          <w:szCs w:val="18"/>
          <w:lang w:eastAsia="pt-BR"/>
        </w:rPr>
        <w:t>t</w:t>
      </w:r>
      <w:r w:rsidR="0050099C">
        <w:rPr>
          <w:rFonts w:cs="Arial"/>
          <w:color w:val="222222"/>
          <w:szCs w:val="18"/>
          <w:lang w:eastAsia="pt-BR"/>
        </w:rPr>
        <w:t>o wall material concentration, were 0.39, 0.77, 0.58, and 1.16 g 100 mL</w:t>
      </w:r>
      <w:r w:rsidR="0050099C" w:rsidRPr="0050099C">
        <w:rPr>
          <w:rFonts w:cs="Arial"/>
          <w:color w:val="222222"/>
          <w:szCs w:val="18"/>
          <w:vertAlign w:val="superscript"/>
          <w:lang w:eastAsia="pt-BR"/>
        </w:rPr>
        <w:t>-1</w:t>
      </w:r>
      <w:r w:rsidR="0050099C">
        <w:rPr>
          <w:rFonts w:cs="Arial"/>
          <w:color w:val="222222"/>
          <w:szCs w:val="18"/>
          <w:lang w:eastAsia="pt-BR"/>
        </w:rPr>
        <w:t xml:space="preserve">, respectively.  </w:t>
      </w:r>
      <w:r w:rsidR="00113542">
        <w:rPr>
          <w:rFonts w:cs="Arial"/>
          <w:color w:val="222222"/>
          <w:szCs w:val="18"/>
          <w:lang w:eastAsia="pt-BR"/>
        </w:rPr>
        <w:t>The results</w:t>
      </w:r>
      <w:r w:rsidR="00A147BA" w:rsidRPr="00AA6BF8">
        <w:rPr>
          <w:rFonts w:cs="Arial"/>
          <w:color w:val="222222"/>
          <w:szCs w:val="18"/>
          <w:lang w:eastAsia="pt-BR"/>
        </w:rPr>
        <w:t xml:space="preserve"> </w:t>
      </w:r>
      <w:r w:rsidR="0030047E">
        <w:rPr>
          <w:rFonts w:cs="Arial"/>
          <w:color w:val="222222"/>
          <w:szCs w:val="18"/>
          <w:lang w:eastAsia="pt-BR"/>
        </w:rPr>
        <w:t>of</w:t>
      </w:r>
      <w:r w:rsidR="00A147BA" w:rsidRPr="00AA6BF8">
        <w:rPr>
          <w:rFonts w:cs="Arial"/>
          <w:color w:val="222222"/>
          <w:szCs w:val="18"/>
          <w:lang w:eastAsia="pt-BR"/>
        </w:rPr>
        <w:t xml:space="preserve"> </w:t>
      </w:r>
      <w:r w:rsidR="00113542">
        <w:rPr>
          <w:rFonts w:cs="Arial"/>
          <w:color w:val="222222"/>
          <w:szCs w:val="18"/>
          <w:lang w:eastAsia="pt-BR"/>
        </w:rPr>
        <w:t xml:space="preserve">zeta potential </w:t>
      </w:r>
      <w:r w:rsidR="0030047E">
        <w:rPr>
          <w:rFonts w:cs="Arial"/>
          <w:color w:val="222222"/>
          <w:szCs w:val="18"/>
          <w:lang w:eastAsia="pt-BR"/>
        </w:rPr>
        <w:t>were</w:t>
      </w:r>
      <w:r w:rsidR="00A147BA" w:rsidRPr="00AA6BF8">
        <w:rPr>
          <w:rFonts w:cs="Arial"/>
          <w:color w:val="222222"/>
          <w:szCs w:val="18"/>
          <w:lang w:eastAsia="pt-BR"/>
        </w:rPr>
        <w:t xml:space="preserve"> close to zero, </w:t>
      </w:r>
      <w:r w:rsidR="00113542">
        <w:rPr>
          <w:rFonts w:cs="Arial"/>
          <w:color w:val="222222"/>
          <w:szCs w:val="18"/>
          <w:lang w:eastAsia="pt-BR"/>
        </w:rPr>
        <w:t>without differences</w:t>
      </w:r>
      <w:r w:rsidR="0030047E">
        <w:rPr>
          <w:rFonts w:cs="Arial"/>
          <w:color w:val="222222"/>
          <w:szCs w:val="18"/>
          <w:lang w:eastAsia="pt-BR"/>
        </w:rPr>
        <w:t xml:space="preserve"> related to the reaction volume</w:t>
      </w:r>
      <w:r w:rsidR="00A147BA" w:rsidRPr="00AA6BF8">
        <w:rPr>
          <w:rFonts w:cs="Arial"/>
          <w:color w:val="222222"/>
          <w:szCs w:val="18"/>
          <w:lang w:eastAsia="pt-BR"/>
        </w:rPr>
        <w:t xml:space="preserve">. Optical microscopy showed that, regardless of volume, </w:t>
      </w:r>
      <w:proofErr w:type="spellStart"/>
      <w:r w:rsidR="00A147BA" w:rsidRPr="00AA6BF8">
        <w:rPr>
          <w:rFonts w:cs="Arial"/>
          <w:color w:val="222222"/>
          <w:szCs w:val="18"/>
          <w:lang w:eastAsia="pt-BR"/>
        </w:rPr>
        <w:t>microparticles</w:t>
      </w:r>
      <w:proofErr w:type="spellEnd"/>
      <w:r w:rsidR="00A147BA" w:rsidRPr="00AA6BF8">
        <w:rPr>
          <w:rFonts w:cs="Arial"/>
          <w:color w:val="222222"/>
          <w:szCs w:val="18"/>
          <w:lang w:eastAsia="pt-BR"/>
        </w:rPr>
        <w:t xml:space="preserve"> of </w:t>
      </w:r>
      <w:proofErr w:type="spellStart"/>
      <w:r w:rsidR="00A147BA" w:rsidRPr="00AA6BF8">
        <w:rPr>
          <w:rFonts w:cs="Arial"/>
          <w:color w:val="222222"/>
          <w:szCs w:val="18"/>
          <w:lang w:eastAsia="pt-BR"/>
        </w:rPr>
        <w:t>pequi</w:t>
      </w:r>
      <w:proofErr w:type="spellEnd"/>
      <w:r w:rsidR="00A147BA" w:rsidRPr="00AA6BF8">
        <w:rPr>
          <w:rFonts w:cs="Arial"/>
          <w:color w:val="222222"/>
          <w:szCs w:val="18"/>
          <w:lang w:eastAsia="pt-BR"/>
        </w:rPr>
        <w:t xml:space="preserve"> oil</w:t>
      </w:r>
      <w:r w:rsidR="00113542">
        <w:rPr>
          <w:rFonts w:cs="Arial"/>
          <w:color w:val="222222"/>
          <w:szCs w:val="18"/>
          <w:lang w:eastAsia="pt-BR"/>
        </w:rPr>
        <w:t xml:space="preserve"> presented </w:t>
      </w:r>
      <w:r w:rsidR="00A147BA" w:rsidRPr="00AA6BF8">
        <w:rPr>
          <w:rFonts w:cs="Arial"/>
          <w:color w:val="222222"/>
          <w:szCs w:val="18"/>
          <w:lang w:eastAsia="pt-BR"/>
        </w:rPr>
        <w:t xml:space="preserve">defined walls, mononuclear </w:t>
      </w:r>
      <w:r w:rsidR="00113542">
        <w:rPr>
          <w:rFonts w:cs="Arial"/>
          <w:color w:val="222222"/>
          <w:szCs w:val="18"/>
          <w:lang w:eastAsia="pt-BR"/>
        </w:rPr>
        <w:t xml:space="preserve">core </w:t>
      </w:r>
      <w:r w:rsidR="00A147BA" w:rsidRPr="00AA6BF8">
        <w:rPr>
          <w:rFonts w:cs="Arial"/>
          <w:color w:val="222222"/>
          <w:szCs w:val="18"/>
          <w:lang w:eastAsia="pt-BR"/>
        </w:rPr>
        <w:t xml:space="preserve">and </w:t>
      </w:r>
      <w:r w:rsidR="00113542">
        <w:rPr>
          <w:rFonts w:cs="Arial"/>
          <w:color w:val="222222"/>
          <w:szCs w:val="18"/>
          <w:lang w:eastAsia="pt-BR"/>
        </w:rPr>
        <w:t xml:space="preserve">particle </w:t>
      </w:r>
      <w:r w:rsidR="00A147BA" w:rsidRPr="00AA6BF8">
        <w:rPr>
          <w:rFonts w:cs="Arial"/>
          <w:color w:val="222222"/>
          <w:szCs w:val="18"/>
          <w:lang w:eastAsia="pt-BR"/>
        </w:rPr>
        <w:t xml:space="preserve">size </w:t>
      </w:r>
      <w:r w:rsidR="00113542">
        <w:rPr>
          <w:rFonts w:cs="Arial"/>
          <w:color w:val="222222"/>
          <w:szCs w:val="18"/>
          <w:lang w:eastAsia="pt-BR"/>
        </w:rPr>
        <w:t xml:space="preserve">from </w:t>
      </w:r>
      <w:r w:rsidR="00A147BA" w:rsidRPr="00AA6BF8">
        <w:rPr>
          <w:rFonts w:cs="Arial"/>
          <w:color w:val="222222"/>
          <w:szCs w:val="18"/>
          <w:lang w:eastAsia="pt-BR"/>
        </w:rPr>
        <w:t xml:space="preserve">2.71 up to 7.27 </w:t>
      </w:r>
      <w:proofErr w:type="spellStart"/>
      <w:r w:rsidR="00A147BA" w:rsidRPr="00AA6BF8">
        <w:rPr>
          <w:rFonts w:cs="Arial"/>
          <w:color w:val="222222"/>
          <w:szCs w:val="18"/>
          <w:lang w:eastAsia="pt-BR"/>
        </w:rPr>
        <w:t>μm</w:t>
      </w:r>
      <w:proofErr w:type="spellEnd"/>
      <w:r w:rsidR="00113542">
        <w:rPr>
          <w:rFonts w:cs="Arial"/>
          <w:color w:val="222222"/>
          <w:szCs w:val="18"/>
          <w:lang w:eastAsia="pt-BR"/>
        </w:rPr>
        <w:t xml:space="preserve">, adequate </w:t>
      </w:r>
      <w:r w:rsidR="00113542" w:rsidRPr="00AA6BF8">
        <w:rPr>
          <w:rFonts w:cs="Arial"/>
          <w:color w:val="222222"/>
          <w:szCs w:val="18"/>
          <w:lang w:eastAsia="pt-BR"/>
        </w:rPr>
        <w:t>for food application</w:t>
      </w:r>
      <w:r w:rsidR="00A147BA" w:rsidRPr="00AA6BF8">
        <w:rPr>
          <w:rFonts w:cs="Arial"/>
          <w:color w:val="222222"/>
          <w:szCs w:val="18"/>
          <w:lang w:eastAsia="pt-BR"/>
        </w:rPr>
        <w:t xml:space="preserve">. In a smaller reaction volume (T1 and T3), the </w:t>
      </w:r>
      <w:proofErr w:type="spellStart"/>
      <w:r w:rsidR="00D1177D">
        <w:rPr>
          <w:rFonts w:cs="Arial"/>
          <w:color w:val="222222"/>
          <w:szCs w:val="18"/>
          <w:lang w:eastAsia="pt-BR"/>
        </w:rPr>
        <w:t>coacervates</w:t>
      </w:r>
      <w:proofErr w:type="spellEnd"/>
      <w:r w:rsidR="00D1177D" w:rsidRPr="00AA6BF8">
        <w:rPr>
          <w:rFonts w:cs="Arial"/>
          <w:color w:val="222222"/>
          <w:szCs w:val="18"/>
          <w:lang w:eastAsia="pt-BR"/>
        </w:rPr>
        <w:t xml:space="preserve"> </w:t>
      </w:r>
      <w:r w:rsidR="00A147BA" w:rsidRPr="00AA6BF8">
        <w:rPr>
          <w:rFonts w:cs="Arial"/>
          <w:color w:val="222222"/>
          <w:szCs w:val="18"/>
          <w:lang w:eastAsia="pt-BR"/>
        </w:rPr>
        <w:t>were aggregated due to the increase of the chemical interactions; in higher volumes (T3 and T4) the microcapsules show</w:t>
      </w:r>
      <w:r w:rsidR="00113542">
        <w:rPr>
          <w:rFonts w:cs="Arial"/>
          <w:color w:val="222222"/>
          <w:szCs w:val="18"/>
          <w:lang w:eastAsia="pt-BR"/>
        </w:rPr>
        <w:t>ed</w:t>
      </w:r>
      <w:r w:rsidR="00A147BA" w:rsidRPr="00AA6BF8">
        <w:rPr>
          <w:rFonts w:cs="Arial"/>
          <w:color w:val="222222"/>
          <w:szCs w:val="18"/>
          <w:lang w:eastAsia="pt-BR"/>
        </w:rPr>
        <w:t xml:space="preserve"> an inverse behavior. The yield ranged from 58.40</w:t>
      </w:r>
      <w:r w:rsidR="00113542">
        <w:rPr>
          <w:rFonts w:cs="Arial"/>
          <w:color w:val="222222"/>
          <w:szCs w:val="18"/>
          <w:lang w:eastAsia="pt-BR"/>
        </w:rPr>
        <w:t xml:space="preserve"> up</w:t>
      </w:r>
      <w:r w:rsidR="00A147BA" w:rsidRPr="00AA6BF8">
        <w:rPr>
          <w:rFonts w:cs="Arial"/>
          <w:color w:val="222222"/>
          <w:szCs w:val="18"/>
          <w:lang w:eastAsia="pt-BR"/>
        </w:rPr>
        <w:t xml:space="preserve"> to 63.42</w:t>
      </w:r>
      <w:r w:rsidR="00113542">
        <w:rPr>
          <w:rFonts w:cs="Arial"/>
          <w:color w:val="222222"/>
          <w:szCs w:val="18"/>
          <w:lang w:eastAsia="pt-BR"/>
        </w:rPr>
        <w:t xml:space="preserve"> </w:t>
      </w:r>
      <w:r w:rsidR="00A147BA" w:rsidRPr="00AA6BF8">
        <w:rPr>
          <w:rFonts w:cs="Arial"/>
          <w:color w:val="222222"/>
          <w:szCs w:val="18"/>
          <w:lang w:eastAsia="pt-BR"/>
        </w:rPr>
        <w:t xml:space="preserve">%. The encapsulation efficiency exhibited high values ​​ranging from 90.05% ± 8.15 to 99.40% ± 0.21. The </w:t>
      </w:r>
      <w:r w:rsidR="00113542">
        <w:rPr>
          <w:rFonts w:cs="Arial"/>
          <w:color w:val="222222"/>
          <w:szCs w:val="18"/>
          <w:lang w:eastAsia="pt-BR"/>
        </w:rPr>
        <w:t xml:space="preserve">variation of reaction </w:t>
      </w:r>
      <w:r w:rsidR="00A147BA" w:rsidRPr="00AA6BF8">
        <w:rPr>
          <w:rFonts w:cs="Arial"/>
          <w:color w:val="222222"/>
          <w:szCs w:val="18"/>
          <w:lang w:eastAsia="pt-BR"/>
        </w:rPr>
        <w:t xml:space="preserve">volume did not influence the formation of </w:t>
      </w:r>
      <w:proofErr w:type="spellStart"/>
      <w:r w:rsidR="00A147BA" w:rsidRPr="00AA6BF8">
        <w:rPr>
          <w:rFonts w:cs="Arial"/>
          <w:color w:val="222222"/>
          <w:szCs w:val="18"/>
          <w:lang w:eastAsia="pt-BR"/>
        </w:rPr>
        <w:t>pequi</w:t>
      </w:r>
      <w:proofErr w:type="spellEnd"/>
      <w:r w:rsidR="00A147BA" w:rsidRPr="00AA6BF8">
        <w:rPr>
          <w:rFonts w:cs="Arial"/>
          <w:color w:val="222222"/>
          <w:szCs w:val="18"/>
          <w:lang w:eastAsia="pt-BR"/>
        </w:rPr>
        <w:t xml:space="preserve"> oil microcapsules in the analyzed treatments, but the </w:t>
      </w:r>
      <w:r w:rsidR="00037955">
        <w:rPr>
          <w:rFonts w:cs="Arial"/>
          <w:color w:val="222222"/>
          <w:szCs w:val="18"/>
          <w:lang w:eastAsia="pt-BR"/>
        </w:rPr>
        <w:t>dispersion</w:t>
      </w:r>
      <w:r w:rsidR="00037955" w:rsidRPr="00AA6BF8">
        <w:rPr>
          <w:rFonts w:cs="Arial"/>
          <w:color w:val="222222"/>
          <w:szCs w:val="18"/>
          <w:lang w:eastAsia="pt-BR"/>
        </w:rPr>
        <w:t xml:space="preserve"> </w:t>
      </w:r>
      <w:r w:rsidR="00A147BA" w:rsidRPr="00AA6BF8">
        <w:rPr>
          <w:rFonts w:cs="Arial"/>
          <w:color w:val="222222"/>
          <w:szCs w:val="18"/>
          <w:lang w:eastAsia="pt-BR"/>
        </w:rPr>
        <w:t>of the microcapsules changed. This study provided a new perspective on how the reaction volume influence</w:t>
      </w:r>
      <w:r w:rsidR="00EC1658">
        <w:rPr>
          <w:rFonts w:cs="Arial"/>
          <w:color w:val="222222"/>
          <w:szCs w:val="18"/>
          <w:lang w:eastAsia="pt-BR"/>
        </w:rPr>
        <w:t>s</w:t>
      </w:r>
      <w:r w:rsidR="00A147BA" w:rsidRPr="00AA6BF8">
        <w:rPr>
          <w:rFonts w:cs="Arial"/>
          <w:color w:val="222222"/>
          <w:szCs w:val="18"/>
          <w:lang w:eastAsia="pt-BR"/>
        </w:rPr>
        <w:t xml:space="preserve"> the </w:t>
      </w:r>
      <w:r w:rsidR="005C379F">
        <w:rPr>
          <w:rFonts w:cs="Arial"/>
          <w:color w:val="222222"/>
          <w:szCs w:val="18"/>
          <w:lang w:eastAsia="pt-BR"/>
        </w:rPr>
        <w:t xml:space="preserve">encapsulation by </w:t>
      </w:r>
      <w:r w:rsidR="00A147BA" w:rsidRPr="00AA6BF8">
        <w:rPr>
          <w:rFonts w:cs="Arial"/>
          <w:color w:val="222222"/>
          <w:szCs w:val="18"/>
          <w:lang w:eastAsia="pt-BR"/>
        </w:rPr>
        <w:t xml:space="preserve">complex </w:t>
      </w:r>
      <w:proofErr w:type="spellStart"/>
      <w:r w:rsidR="00A147BA" w:rsidRPr="00AA6BF8">
        <w:rPr>
          <w:rFonts w:cs="Arial"/>
          <w:color w:val="222222"/>
          <w:szCs w:val="18"/>
          <w:lang w:eastAsia="pt-BR"/>
        </w:rPr>
        <w:t>coacervation</w:t>
      </w:r>
      <w:proofErr w:type="spellEnd"/>
      <w:r w:rsidR="00600535" w:rsidRPr="00B57B36">
        <w:rPr>
          <w:lang w:val="en-GB"/>
        </w:rPr>
        <w:t>.</w:t>
      </w:r>
    </w:p>
    <w:p w:rsidR="00600535" w:rsidRPr="00B57B36" w:rsidRDefault="00600535" w:rsidP="00600535">
      <w:pPr>
        <w:pStyle w:val="CETHeading1"/>
        <w:rPr>
          <w:lang w:val="en-GB"/>
        </w:rPr>
      </w:pPr>
      <w:r w:rsidRPr="00B57B36">
        <w:rPr>
          <w:lang w:val="en-GB"/>
        </w:rPr>
        <w:t>Introduction</w:t>
      </w:r>
    </w:p>
    <w:p w:rsidR="00627C61" w:rsidRPr="00627C61" w:rsidRDefault="00E96E34" w:rsidP="00627C61">
      <w:pPr>
        <w:pStyle w:val="CETBodytext"/>
        <w:rPr>
          <w:lang w:val="en-GB"/>
        </w:rPr>
      </w:pPr>
      <w:r>
        <w:rPr>
          <w:lang w:val="en-GB"/>
        </w:rPr>
        <w:t>T</w:t>
      </w:r>
      <w:r w:rsidR="00627C61" w:rsidRPr="00627C61">
        <w:rPr>
          <w:lang w:val="en-GB"/>
        </w:rPr>
        <w:t xml:space="preserve">he </w:t>
      </w:r>
      <w:r w:rsidR="00037955">
        <w:rPr>
          <w:lang w:val="en-GB"/>
        </w:rPr>
        <w:t>pulp</w:t>
      </w:r>
      <w:r w:rsidR="00037955" w:rsidRPr="00627C61">
        <w:rPr>
          <w:lang w:val="en-GB"/>
        </w:rPr>
        <w:t xml:space="preserve"> </w:t>
      </w:r>
      <w:r w:rsidR="00627C61" w:rsidRPr="00627C61">
        <w:rPr>
          <w:lang w:val="en-GB"/>
        </w:rPr>
        <w:t xml:space="preserve">oil </w:t>
      </w:r>
      <w:r w:rsidR="00037955">
        <w:rPr>
          <w:lang w:val="en-GB"/>
        </w:rPr>
        <w:t>from</w:t>
      </w:r>
      <w:r w:rsidR="004B49F1">
        <w:rPr>
          <w:lang w:val="en-GB"/>
        </w:rPr>
        <w:t xml:space="preserve"> </w:t>
      </w:r>
      <w:proofErr w:type="spellStart"/>
      <w:r w:rsidR="00627C61" w:rsidRPr="00627C61">
        <w:rPr>
          <w:i/>
          <w:lang w:val="en-GB"/>
        </w:rPr>
        <w:t>Caryocar</w:t>
      </w:r>
      <w:proofErr w:type="spellEnd"/>
      <w:r w:rsidR="00627C61" w:rsidRPr="00627C61">
        <w:rPr>
          <w:i/>
          <w:lang w:val="en-GB"/>
        </w:rPr>
        <w:t xml:space="preserve"> </w:t>
      </w:r>
      <w:proofErr w:type="spellStart"/>
      <w:r w:rsidR="00627C61" w:rsidRPr="00627C61">
        <w:rPr>
          <w:i/>
          <w:lang w:val="en-GB"/>
        </w:rPr>
        <w:t>coriaceum</w:t>
      </w:r>
      <w:proofErr w:type="spellEnd"/>
      <w:r w:rsidR="00627C61" w:rsidRPr="00627C61">
        <w:rPr>
          <w:lang w:val="en-GB"/>
        </w:rPr>
        <w:t xml:space="preserve"> </w:t>
      </w:r>
      <w:proofErr w:type="spellStart"/>
      <w:r w:rsidR="00627C61" w:rsidRPr="00627C61">
        <w:rPr>
          <w:lang w:val="en-GB"/>
        </w:rPr>
        <w:t>Wittm</w:t>
      </w:r>
      <w:proofErr w:type="spellEnd"/>
      <w:r w:rsidR="00627C61" w:rsidRPr="00242B71">
        <w:rPr>
          <w:color w:val="000000" w:themeColor="text1"/>
          <w:lang w:val="en-GB"/>
        </w:rPr>
        <w:t xml:space="preserve">., also known as </w:t>
      </w:r>
      <w:proofErr w:type="spellStart"/>
      <w:r w:rsidR="00627C61" w:rsidRPr="00242B71">
        <w:rPr>
          <w:color w:val="000000" w:themeColor="text1"/>
          <w:lang w:val="en-GB"/>
        </w:rPr>
        <w:t>pequi</w:t>
      </w:r>
      <w:proofErr w:type="spellEnd"/>
      <w:r w:rsidR="00627C61" w:rsidRPr="00242B71">
        <w:rPr>
          <w:color w:val="000000" w:themeColor="text1"/>
          <w:lang w:val="en-GB"/>
        </w:rPr>
        <w:t xml:space="preserve"> oil (PO) has been called attention for presenting antioxidant benefits (T</w:t>
      </w:r>
      <w:r w:rsidRPr="00242B71">
        <w:rPr>
          <w:color w:val="000000" w:themeColor="text1"/>
          <w:lang w:val="en-GB"/>
        </w:rPr>
        <w:t>orres</w:t>
      </w:r>
      <w:r w:rsidR="00627C61" w:rsidRPr="00242B71">
        <w:rPr>
          <w:color w:val="000000" w:themeColor="text1"/>
          <w:lang w:val="en-GB"/>
        </w:rPr>
        <w:t xml:space="preserve"> et al., 2016); </w:t>
      </w:r>
      <w:proofErr w:type="spellStart"/>
      <w:r w:rsidR="00627C61" w:rsidRPr="00242B71">
        <w:rPr>
          <w:color w:val="000000" w:themeColor="text1"/>
          <w:lang w:val="en-GB"/>
        </w:rPr>
        <w:t>hepatoprotective</w:t>
      </w:r>
      <w:proofErr w:type="spellEnd"/>
      <w:r w:rsidR="00627C61" w:rsidRPr="00242B71">
        <w:rPr>
          <w:color w:val="000000" w:themeColor="text1"/>
          <w:lang w:val="en-GB"/>
        </w:rPr>
        <w:t xml:space="preserve"> effect (</w:t>
      </w:r>
      <w:proofErr w:type="spellStart"/>
      <w:r w:rsidR="00627C61" w:rsidRPr="00242B71">
        <w:rPr>
          <w:color w:val="000000" w:themeColor="text1"/>
          <w:lang w:val="en-GB"/>
        </w:rPr>
        <w:t>P</w:t>
      </w:r>
      <w:r w:rsidRPr="00242B71">
        <w:rPr>
          <w:color w:val="000000" w:themeColor="text1"/>
          <w:lang w:val="en-GB"/>
        </w:rPr>
        <w:t>almeira</w:t>
      </w:r>
      <w:proofErr w:type="spellEnd"/>
      <w:r w:rsidR="00627C61" w:rsidRPr="00242B71">
        <w:rPr>
          <w:color w:val="000000" w:themeColor="text1"/>
          <w:lang w:val="en-GB"/>
        </w:rPr>
        <w:t xml:space="preserve"> et al., 2016; T</w:t>
      </w:r>
      <w:r w:rsidRPr="00242B71">
        <w:rPr>
          <w:color w:val="000000" w:themeColor="text1"/>
          <w:lang w:val="en-GB"/>
        </w:rPr>
        <w:t>orres</w:t>
      </w:r>
      <w:r w:rsidR="00627C61" w:rsidRPr="00242B71">
        <w:rPr>
          <w:color w:val="000000" w:themeColor="text1"/>
          <w:lang w:val="en-GB"/>
        </w:rPr>
        <w:t xml:space="preserve"> et al., 2016); improve cardiac function by virtue of the oleic acid and caroten</w:t>
      </w:r>
      <w:r w:rsidR="0002317C" w:rsidRPr="00242B71">
        <w:rPr>
          <w:color w:val="000000" w:themeColor="text1"/>
          <w:lang w:val="en-GB"/>
        </w:rPr>
        <w:t>oids present in its composition</w:t>
      </w:r>
      <w:r w:rsidR="00627C61" w:rsidRPr="00242B71">
        <w:rPr>
          <w:color w:val="000000" w:themeColor="text1"/>
          <w:lang w:val="en-GB"/>
        </w:rPr>
        <w:t>, anti-inflammatory and lipid-lowering effects (</w:t>
      </w:r>
      <w:proofErr w:type="spellStart"/>
      <w:r w:rsidR="00627C61" w:rsidRPr="00242B71">
        <w:rPr>
          <w:color w:val="000000" w:themeColor="text1"/>
          <w:lang w:val="en-GB"/>
        </w:rPr>
        <w:t>F</w:t>
      </w:r>
      <w:r w:rsidRPr="00242B71">
        <w:rPr>
          <w:color w:val="000000" w:themeColor="text1"/>
          <w:lang w:val="en-GB"/>
        </w:rPr>
        <w:t>igueiredo</w:t>
      </w:r>
      <w:proofErr w:type="spellEnd"/>
      <w:r w:rsidR="00627C61" w:rsidRPr="00242B71">
        <w:rPr>
          <w:color w:val="000000" w:themeColor="text1"/>
          <w:lang w:val="en-GB"/>
        </w:rPr>
        <w:t xml:space="preserve"> et al., 2016; T</w:t>
      </w:r>
      <w:r w:rsidR="00D76D72">
        <w:rPr>
          <w:color w:val="000000" w:themeColor="text1"/>
          <w:lang w:val="en-GB"/>
        </w:rPr>
        <w:t>orres</w:t>
      </w:r>
      <w:r w:rsidR="00627C61" w:rsidRPr="00242B71">
        <w:rPr>
          <w:color w:val="000000" w:themeColor="text1"/>
          <w:lang w:val="en-GB"/>
        </w:rPr>
        <w:t xml:space="preserve"> et al., 2016). However, if applied directly </w:t>
      </w:r>
      <w:r w:rsidRPr="00242B71">
        <w:rPr>
          <w:color w:val="000000" w:themeColor="text1"/>
          <w:lang w:val="en-GB"/>
        </w:rPr>
        <w:t>in</w:t>
      </w:r>
      <w:r w:rsidR="00627C61" w:rsidRPr="00242B71">
        <w:rPr>
          <w:color w:val="000000" w:themeColor="text1"/>
          <w:lang w:val="en-GB"/>
        </w:rPr>
        <w:t xml:space="preserve"> the food matrix,</w:t>
      </w:r>
      <w:r w:rsidR="00037955">
        <w:rPr>
          <w:color w:val="000000" w:themeColor="text1"/>
          <w:lang w:val="en-GB"/>
        </w:rPr>
        <w:t xml:space="preserve"> it</w:t>
      </w:r>
      <w:r w:rsidR="00627C61" w:rsidRPr="00242B71">
        <w:rPr>
          <w:color w:val="000000" w:themeColor="text1"/>
          <w:lang w:val="en-GB"/>
        </w:rPr>
        <w:t xml:space="preserve"> is susceptible to oxidative degradation by stress factors due to temperature, extreme conditions of pH, O</w:t>
      </w:r>
      <w:r w:rsidR="00627C61" w:rsidRPr="00242B71">
        <w:rPr>
          <w:color w:val="000000" w:themeColor="text1"/>
          <w:vertAlign w:val="subscript"/>
          <w:lang w:val="en-GB"/>
        </w:rPr>
        <w:t>2</w:t>
      </w:r>
      <w:r w:rsidR="00627C61" w:rsidRPr="00242B71">
        <w:rPr>
          <w:color w:val="000000" w:themeColor="text1"/>
          <w:lang w:val="en-GB"/>
        </w:rPr>
        <w:t xml:space="preserve"> and light</w:t>
      </w:r>
      <w:r w:rsidRPr="00242B71">
        <w:rPr>
          <w:color w:val="000000" w:themeColor="text1"/>
          <w:lang w:val="en-GB"/>
        </w:rPr>
        <w:t xml:space="preserve">, </w:t>
      </w:r>
      <w:r w:rsidR="00627C61" w:rsidRPr="00242B71">
        <w:rPr>
          <w:color w:val="000000" w:themeColor="text1"/>
          <w:lang w:val="en-GB"/>
        </w:rPr>
        <w:t xml:space="preserve">during the production chain or in storage; reducing the </w:t>
      </w:r>
      <w:r w:rsidRPr="00242B71">
        <w:rPr>
          <w:color w:val="000000" w:themeColor="text1"/>
          <w:lang w:val="en-GB"/>
        </w:rPr>
        <w:t>shelf-</w:t>
      </w:r>
      <w:r w:rsidR="00627C61" w:rsidRPr="00242B71">
        <w:rPr>
          <w:color w:val="000000" w:themeColor="text1"/>
          <w:lang w:val="en-GB"/>
        </w:rPr>
        <w:t xml:space="preserve">life and </w:t>
      </w:r>
      <w:r w:rsidRPr="00242B71">
        <w:rPr>
          <w:color w:val="000000" w:themeColor="text1"/>
          <w:lang w:val="en-GB"/>
        </w:rPr>
        <w:t xml:space="preserve">degradation </w:t>
      </w:r>
      <w:r w:rsidR="00627C61" w:rsidRPr="00242B71">
        <w:rPr>
          <w:color w:val="000000" w:themeColor="text1"/>
          <w:lang w:val="en-GB"/>
        </w:rPr>
        <w:t xml:space="preserve">of the </w:t>
      </w:r>
      <w:r w:rsidR="00627C61" w:rsidRPr="00627C61">
        <w:rPr>
          <w:lang w:val="en-GB"/>
        </w:rPr>
        <w:t>sensorial and functional qualities (</w:t>
      </w:r>
      <w:proofErr w:type="spellStart"/>
      <w:r w:rsidR="00627C61" w:rsidRPr="00627C61">
        <w:rPr>
          <w:lang w:val="en-GB"/>
        </w:rPr>
        <w:t>H</w:t>
      </w:r>
      <w:r>
        <w:rPr>
          <w:lang w:val="en-GB"/>
        </w:rPr>
        <w:t>olken</w:t>
      </w:r>
      <w:proofErr w:type="spellEnd"/>
      <w:r w:rsidR="00627C61" w:rsidRPr="00627C61">
        <w:rPr>
          <w:lang w:val="en-GB"/>
        </w:rPr>
        <w:t xml:space="preserve"> et al., 2015).</w:t>
      </w:r>
    </w:p>
    <w:p w:rsidR="00627C61" w:rsidRPr="00DC73B7" w:rsidRDefault="00627C61" w:rsidP="00627C61">
      <w:pPr>
        <w:pStyle w:val="CETBodytext"/>
        <w:rPr>
          <w:color w:val="000000" w:themeColor="text1"/>
          <w:lang w:val="en-GB"/>
        </w:rPr>
      </w:pPr>
      <w:r w:rsidRPr="00627C61">
        <w:rPr>
          <w:lang w:val="en-GB"/>
        </w:rPr>
        <w:t xml:space="preserve">Complex </w:t>
      </w:r>
      <w:proofErr w:type="spellStart"/>
      <w:r w:rsidRPr="00627C61">
        <w:rPr>
          <w:lang w:val="en-GB"/>
        </w:rPr>
        <w:t>coacervation</w:t>
      </w:r>
      <w:proofErr w:type="spellEnd"/>
      <w:r w:rsidRPr="00627C61">
        <w:rPr>
          <w:lang w:val="en-GB"/>
        </w:rPr>
        <w:t xml:space="preserve"> (CC), as well as other encapsulation techniques, is a method t</w:t>
      </w:r>
      <w:r w:rsidR="00E96E34">
        <w:rPr>
          <w:lang w:val="en-GB"/>
        </w:rPr>
        <w:t>o</w:t>
      </w:r>
      <w:r w:rsidRPr="00627C61">
        <w:rPr>
          <w:lang w:val="en-GB"/>
        </w:rPr>
        <w:t xml:space="preserve"> prolong the stability of bioactive compounds, as well as controlling the</w:t>
      </w:r>
      <w:r w:rsidR="00E96E34">
        <w:rPr>
          <w:lang w:val="en-GB"/>
        </w:rPr>
        <w:t xml:space="preserve"> core substance</w:t>
      </w:r>
      <w:r w:rsidRPr="00627C61">
        <w:rPr>
          <w:lang w:val="en-GB"/>
        </w:rPr>
        <w:t xml:space="preserve"> release, presenting promising benefits for the food industry (</w:t>
      </w:r>
      <w:proofErr w:type="spellStart"/>
      <w:r w:rsidRPr="00627C61">
        <w:rPr>
          <w:lang w:val="en-GB"/>
        </w:rPr>
        <w:t>H</w:t>
      </w:r>
      <w:r w:rsidR="00E96E34">
        <w:rPr>
          <w:lang w:val="en-GB"/>
        </w:rPr>
        <w:t>olken</w:t>
      </w:r>
      <w:proofErr w:type="spellEnd"/>
      <w:r w:rsidRPr="00627C61">
        <w:rPr>
          <w:lang w:val="en-GB"/>
        </w:rPr>
        <w:t xml:space="preserve"> et al., 2015). Specifically for CC, active core packing </w:t>
      </w:r>
      <w:r w:rsidRPr="00DC73B7">
        <w:rPr>
          <w:color w:val="000000" w:themeColor="text1"/>
          <w:lang w:val="en-GB"/>
        </w:rPr>
        <w:t>is attributed to the interaction between the protonated amino groups of the protein and carboxyl groups of the polysaccharide</w:t>
      </w:r>
      <w:r w:rsidR="00E96E34" w:rsidRPr="00DC73B7">
        <w:rPr>
          <w:color w:val="000000" w:themeColor="text1"/>
          <w:lang w:val="en-GB"/>
        </w:rPr>
        <w:t>,</w:t>
      </w:r>
      <w:r w:rsidRPr="00DC73B7">
        <w:rPr>
          <w:color w:val="000000" w:themeColor="text1"/>
          <w:lang w:val="en-GB"/>
        </w:rPr>
        <w:t xml:space="preserve"> predominantly resulting from electrostatic forces and other intermolecular interactions, such as Van der Walls and hydrophobic interactions (T</w:t>
      </w:r>
      <w:r w:rsidR="00E96E34" w:rsidRPr="00DC73B7">
        <w:rPr>
          <w:color w:val="000000" w:themeColor="text1"/>
          <w:lang w:val="en-GB"/>
        </w:rPr>
        <w:t>urgeon et al.,</w:t>
      </w:r>
      <w:r w:rsidRPr="00DC73B7">
        <w:rPr>
          <w:color w:val="000000" w:themeColor="text1"/>
          <w:lang w:val="en-GB"/>
        </w:rPr>
        <w:t xml:space="preserve"> 2007). </w:t>
      </w:r>
      <w:r w:rsidR="00313A01" w:rsidRPr="00DC73B7">
        <w:rPr>
          <w:color w:val="000000" w:themeColor="text1"/>
          <w:lang w:val="en-GB"/>
        </w:rPr>
        <w:t>T</w:t>
      </w:r>
      <w:r w:rsidRPr="00DC73B7">
        <w:rPr>
          <w:color w:val="000000" w:themeColor="text1"/>
          <w:lang w:val="en-GB"/>
        </w:rPr>
        <w:t xml:space="preserve">he formation of microcapsules by complex </w:t>
      </w:r>
      <w:proofErr w:type="spellStart"/>
      <w:r w:rsidRPr="00DC73B7">
        <w:rPr>
          <w:color w:val="000000" w:themeColor="text1"/>
          <w:lang w:val="en-GB"/>
        </w:rPr>
        <w:t>coacervation</w:t>
      </w:r>
      <w:proofErr w:type="spellEnd"/>
      <w:r w:rsidR="00313A01" w:rsidRPr="00DC73B7">
        <w:rPr>
          <w:color w:val="000000" w:themeColor="text1"/>
          <w:lang w:val="en-GB"/>
        </w:rPr>
        <w:t xml:space="preserve"> depends </w:t>
      </w:r>
      <w:r w:rsidR="00DC73B7" w:rsidRPr="00DC73B7">
        <w:rPr>
          <w:color w:val="000000" w:themeColor="text1"/>
          <w:lang w:val="en-GB"/>
        </w:rPr>
        <w:t>on</w:t>
      </w:r>
      <w:r w:rsidR="00313A01" w:rsidRPr="00DC73B7">
        <w:rPr>
          <w:color w:val="000000" w:themeColor="text1"/>
          <w:lang w:val="en-GB"/>
        </w:rPr>
        <w:t xml:space="preserve"> the </w:t>
      </w:r>
      <w:r w:rsidRPr="00DC73B7">
        <w:rPr>
          <w:color w:val="000000" w:themeColor="text1"/>
          <w:lang w:val="en-GB"/>
        </w:rPr>
        <w:t>biopolymer concentration, molecular weight, proportion of the biopolymer pair, pH, agitation, ionic strength, temperature and others (</w:t>
      </w:r>
      <w:proofErr w:type="spellStart"/>
      <w:r w:rsidRPr="00DC73B7">
        <w:rPr>
          <w:color w:val="000000" w:themeColor="text1"/>
          <w:lang w:val="en-GB"/>
        </w:rPr>
        <w:t>E</w:t>
      </w:r>
      <w:r w:rsidR="00313A01" w:rsidRPr="00DC73B7">
        <w:rPr>
          <w:color w:val="000000" w:themeColor="text1"/>
          <w:lang w:val="en-GB"/>
        </w:rPr>
        <w:t>ghbal</w:t>
      </w:r>
      <w:proofErr w:type="spellEnd"/>
      <w:r w:rsidRPr="00DC73B7">
        <w:rPr>
          <w:color w:val="000000" w:themeColor="text1"/>
          <w:lang w:val="en-GB"/>
        </w:rPr>
        <w:t xml:space="preserve">, </w:t>
      </w:r>
      <w:proofErr w:type="spellStart"/>
      <w:r w:rsidRPr="00DC73B7">
        <w:rPr>
          <w:color w:val="000000" w:themeColor="text1"/>
          <w:lang w:val="en-GB"/>
        </w:rPr>
        <w:t>C</w:t>
      </w:r>
      <w:r w:rsidR="00313A01" w:rsidRPr="00DC73B7">
        <w:rPr>
          <w:color w:val="000000" w:themeColor="text1"/>
          <w:lang w:val="en-GB"/>
        </w:rPr>
        <w:t>houdhary</w:t>
      </w:r>
      <w:proofErr w:type="spellEnd"/>
      <w:r w:rsidRPr="00DC73B7">
        <w:rPr>
          <w:color w:val="000000" w:themeColor="text1"/>
          <w:lang w:val="en-GB"/>
        </w:rPr>
        <w:t xml:space="preserve">, 2018). In this sense, the majority of the studies </w:t>
      </w:r>
      <w:r w:rsidR="00313A01" w:rsidRPr="00DC73B7">
        <w:rPr>
          <w:color w:val="000000" w:themeColor="text1"/>
          <w:lang w:val="en-GB"/>
        </w:rPr>
        <w:lastRenderedPageBreak/>
        <w:t xml:space="preserve">with </w:t>
      </w:r>
      <w:r w:rsidRPr="00DC73B7">
        <w:rPr>
          <w:color w:val="000000" w:themeColor="text1"/>
          <w:lang w:val="en-GB"/>
        </w:rPr>
        <w:t>microcapsule formation by CC trace a system with a high reaction volume associated to a low biopolymer concentration (</w:t>
      </w:r>
      <w:proofErr w:type="spellStart"/>
      <w:r w:rsidR="00313A01" w:rsidRPr="00DC73B7">
        <w:rPr>
          <w:color w:val="000000" w:themeColor="text1"/>
          <w:lang w:val="en-GB"/>
        </w:rPr>
        <w:t>Du</w:t>
      </w:r>
      <w:r w:rsidR="00F25FE6" w:rsidRPr="00DC73B7">
        <w:rPr>
          <w:color w:val="000000" w:themeColor="text1"/>
          <w:lang w:val="en-GB"/>
        </w:rPr>
        <w:t>horani</w:t>
      </w:r>
      <w:r w:rsidR="00313A01" w:rsidRPr="00DC73B7">
        <w:rPr>
          <w:color w:val="000000" w:themeColor="text1"/>
          <w:lang w:val="en-GB"/>
        </w:rPr>
        <w:t>mana</w:t>
      </w:r>
      <w:proofErr w:type="spellEnd"/>
      <w:r w:rsidR="00F86C62">
        <w:rPr>
          <w:color w:val="000000" w:themeColor="text1"/>
          <w:lang w:val="en-GB"/>
        </w:rPr>
        <w:t xml:space="preserve"> et al., 2018</w:t>
      </w:r>
      <w:r w:rsidR="00313A01" w:rsidRPr="00DC73B7">
        <w:rPr>
          <w:color w:val="000000" w:themeColor="text1"/>
          <w:lang w:val="en-GB"/>
        </w:rPr>
        <w:t>)</w:t>
      </w:r>
      <w:r w:rsidR="00F25FE6" w:rsidRPr="00DC73B7">
        <w:rPr>
          <w:color w:val="000000" w:themeColor="text1"/>
          <w:lang w:val="en-GB"/>
        </w:rPr>
        <w:t>.</w:t>
      </w:r>
      <w:r w:rsidRPr="00DC73B7">
        <w:rPr>
          <w:color w:val="000000" w:themeColor="text1"/>
          <w:lang w:val="en-GB"/>
        </w:rPr>
        <w:t xml:space="preserve"> However, when increasing </w:t>
      </w:r>
      <w:r w:rsidR="004059AC" w:rsidRPr="00DC73B7">
        <w:rPr>
          <w:color w:val="000000" w:themeColor="text1"/>
          <w:lang w:val="en-GB"/>
        </w:rPr>
        <w:t>t</w:t>
      </w:r>
      <w:r w:rsidRPr="00DC73B7">
        <w:rPr>
          <w:color w:val="000000" w:themeColor="text1"/>
          <w:lang w:val="en-GB"/>
        </w:rPr>
        <w:t xml:space="preserve">he scale of the </w:t>
      </w:r>
      <w:proofErr w:type="spellStart"/>
      <w:r w:rsidRPr="00DC73B7">
        <w:rPr>
          <w:color w:val="000000" w:themeColor="text1"/>
          <w:lang w:val="en-GB"/>
        </w:rPr>
        <w:t>microparticles</w:t>
      </w:r>
      <w:proofErr w:type="spellEnd"/>
      <w:r w:rsidR="004059AC" w:rsidRPr="00DC73B7">
        <w:rPr>
          <w:color w:val="000000" w:themeColor="text1"/>
          <w:lang w:val="en-GB"/>
        </w:rPr>
        <w:t xml:space="preserve"> production</w:t>
      </w:r>
      <w:r w:rsidRPr="00DC73B7">
        <w:rPr>
          <w:color w:val="000000" w:themeColor="text1"/>
          <w:lang w:val="en-GB"/>
        </w:rPr>
        <w:t xml:space="preserve">, the high </w:t>
      </w:r>
      <w:r w:rsidR="004059AC" w:rsidRPr="00DC73B7">
        <w:rPr>
          <w:color w:val="000000" w:themeColor="text1"/>
          <w:lang w:val="en-GB"/>
        </w:rPr>
        <w:t>reaction</w:t>
      </w:r>
      <w:r w:rsidRPr="00DC73B7">
        <w:rPr>
          <w:color w:val="000000" w:themeColor="text1"/>
          <w:lang w:val="en-GB"/>
        </w:rPr>
        <w:t xml:space="preserve"> volume can </w:t>
      </w:r>
      <w:r w:rsidR="004059AC" w:rsidRPr="00DC73B7">
        <w:rPr>
          <w:color w:val="000000" w:themeColor="text1"/>
          <w:lang w:val="en-GB"/>
        </w:rPr>
        <w:t>be</w:t>
      </w:r>
      <w:r w:rsidRPr="00DC73B7">
        <w:rPr>
          <w:color w:val="000000" w:themeColor="text1"/>
          <w:lang w:val="en-GB"/>
        </w:rPr>
        <w:t xml:space="preserve"> expensive, </w:t>
      </w:r>
      <w:r w:rsidR="004059AC" w:rsidRPr="00DC73B7">
        <w:rPr>
          <w:color w:val="000000" w:themeColor="text1"/>
          <w:lang w:val="en-GB"/>
        </w:rPr>
        <w:t xml:space="preserve">high equipment cost and </w:t>
      </w:r>
      <w:r w:rsidRPr="00DC73B7">
        <w:rPr>
          <w:color w:val="000000" w:themeColor="text1"/>
          <w:lang w:val="en-GB"/>
        </w:rPr>
        <w:t>waste</w:t>
      </w:r>
      <w:r w:rsidR="004059AC" w:rsidRPr="00DC73B7">
        <w:rPr>
          <w:color w:val="000000" w:themeColor="text1"/>
          <w:lang w:val="en-GB"/>
        </w:rPr>
        <w:t xml:space="preserve"> </w:t>
      </w:r>
      <w:r w:rsidR="00837AAE" w:rsidRPr="00DC73B7">
        <w:rPr>
          <w:color w:val="000000" w:themeColor="text1"/>
          <w:lang w:val="en-GB"/>
        </w:rPr>
        <w:t>amount</w:t>
      </w:r>
      <w:r w:rsidRPr="00DC73B7">
        <w:rPr>
          <w:color w:val="000000" w:themeColor="text1"/>
          <w:lang w:val="en-GB"/>
        </w:rPr>
        <w:t xml:space="preserve">, thus, </w:t>
      </w:r>
      <w:r w:rsidR="00837AAE" w:rsidRPr="00DC73B7">
        <w:rPr>
          <w:color w:val="000000" w:themeColor="text1"/>
          <w:lang w:val="en-GB"/>
        </w:rPr>
        <w:t xml:space="preserve">reducing </w:t>
      </w:r>
      <w:r w:rsidRPr="00DC73B7">
        <w:rPr>
          <w:color w:val="000000" w:themeColor="text1"/>
          <w:lang w:val="en-GB"/>
        </w:rPr>
        <w:t xml:space="preserve">the viability of </w:t>
      </w:r>
      <w:r w:rsidR="00837AAE" w:rsidRPr="00DC73B7">
        <w:rPr>
          <w:color w:val="000000" w:themeColor="text1"/>
          <w:lang w:val="en-GB"/>
        </w:rPr>
        <w:t xml:space="preserve">the </w:t>
      </w:r>
      <w:r w:rsidRPr="00DC73B7">
        <w:rPr>
          <w:color w:val="000000" w:themeColor="text1"/>
          <w:lang w:val="en-GB"/>
        </w:rPr>
        <w:t>technology.</w:t>
      </w:r>
    </w:p>
    <w:p w:rsidR="00627C61" w:rsidRPr="00731A29" w:rsidRDefault="00627C61" w:rsidP="00731A29">
      <w:pPr>
        <w:pStyle w:val="CETBodytext"/>
        <w:rPr>
          <w:lang w:val="en-GB"/>
        </w:rPr>
      </w:pPr>
      <w:r w:rsidRPr="00DC73B7">
        <w:rPr>
          <w:color w:val="000000" w:themeColor="text1"/>
          <w:lang w:val="en-GB"/>
        </w:rPr>
        <w:t xml:space="preserve">Therefore, the objective of this study was to reduce the reaction volume associated with the increase in concentration, once the polymers </w:t>
      </w:r>
      <w:r w:rsidR="00F25FE6" w:rsidRPr="00DC73B7">
        <w:rPr>
          <w:color w:val="000000" w:themeColor="text1"/>
          <w:lang w:val="en-GB"/>
        </w:rPr>
        <w:t xml:space="preserve">amount in </w:t>
      </w:r>
      <w:r w:rsidRPr="00DC73B7">
        <w:rPr>
          <w:color w:val="000000" w:themeColor="text1"/>
          <w:lang w:val="en-GB"/>
        </w:rPr>
        <w:t>the system w</w:t>
      </w:r>
      <w:r w:rsidR="00F25FE6" w:rsidRPr="00DC73B7">
        <w:rPr>
          <w:color w:val="000000" w:themeColor="text1"/>
          <w:lang w:val="en-GB"/>
        </w:rPr>
        <w:t>as</w:t>
      </w:r>
      <w:r w:rsidRPr="00DC73B7">
        <w:rPr>
          <w:color w:val="000000" w:themeColor="text1"/>
          <w:lang w:val="en-GB"/>
        </w:rPr>
        <w:t xml:space="preserve"> fixed, evaluating the interference in </w:t>
      </w:r>
      <w:r w:rsidR="00DC73B7">
        <w:rPr>
          <w:lang w:val="en-GB"/>
        </w:rPr>
        <w:t xml:space="preserve">the </w:t>
      </w:r>
      <w:r w:rsidRPr="00627C61">
        <w:rPr>
          <w:lang w:val="en-GB"/>
        </w:rPr>
        <w:t xml:space="preserve">formation, morphology, process efficiency in </w:t>
      </w:r>
      <w:proofErr w:type="spellStart"/>
      <w:r w:rsidR="00FC1971">
        <w:rPr>
          <w:lang w:val="en-GB"/>
        </w:rPr>
        <w:t>pequi</w:t>
      </w:r>
      <w:proofErr w:type="spellEnd"/>
      <w:r w:rsidR="00FC1971">
        <w:rPr>
          <w:lang w:val="en-GB"/>
        </w:rPr>
        <w:t xml:space="preserve"> oil </w:t>
      </w:r>
      <w:r w:rsidRPr="00627C61">
        <w:rPr>
          <w:lang w:val="en-GB"/>
        </w:rPr>
        <w:t>microcapsule</w:t>
      </w:r>
      <w:r w:rsidR="00FC1971">
        <w:rPr>
          <w:lang w:val="en-GB"/>
        </w:rPr>
        <w:t>s</w:t>
      </w:r>
      <w:r w:rsidRPr="00627C61">
        <w:rPr>
          <w:lang w:val="en-GB"/>
        </w:rPr>
        <w:t>.</w:t>
      </w:r>
    </w:p>
    <w:p w:rsidR="00600535" w:rsidRPr="00B57B36" w:rsidRDefault="00AA48AE" w:rsidP="00600535">
      <w:pPr>
        <w:pStyle w:val="CETHeading1"/>
        <w:tabs>
          <w:tab w:val="right" w:pos="7100"/>
        </w:tabs>
        <w:jc w:val="both"/>
        <w:rPr>
          <w:lang w:val="en-GB"/>
        </w:rPr>
      </w:pPr>
      <w:r>
        <w:rPr>
          <w:lang w:val="en-GB"/>
        </w:rPr>
        <w:t>Material and methods</w:t>
      </w:r>
    </w:p>
    <w:p w:rsidR="00600535" w:rsidRPr="00252C1A" w:rsidRDefault="00AA48AE" w:rsidP="00AA48AE">
      <w:pPr>
        <w:pStyle w:val="CETheadingx"/>
      </w:pPr>
      <w:r>
        <w:t>Material</w:t>
      </w:r>
    </w:p>
    <w:p w:rsidR="00AA48AE" w:rsidRDefault="001D1345" w:rsidP="00600535">
      <w:pPr>
        <w:pStyle w:val="CETBodytext"/>
        <w:rPr>
          <w:lang w:val="en-GB"/>
        </w:rPr>
      </w:pPr>
      <w:r>
        <w:rPr>
          <w:lang w:val="en-GB"/>
        </w:rPr>
        <w:t xml:space="preserve">The oil of </w:t>
      </w:r>
      <w:proofErr w:type="spellStart"/>
      <w:r w:rsidR="00AA48AE" w:rsidRPr="00AA48AE">
        <w:rPr>
          <w:lang w:val="en-GB"/>
        </w:rPr>
        <w:t>pequi</w:t>
      </w:r>
      <w:proofErr w:type="spellEnd"/>
      <w:r>
        <w:rPr>
          <w:lang w:val="en-GB"/>
        </w:rPr>
        <w:t xml:space="preserve"> </w:t>
      </w:r>
      <w:r w:rsidR="00AA48AE" w:rsidRPr="00AA48AE">
        <w:rPr>
          <w:lang w:val="en-GB"/>
        </w:rPr>
        <w:t>(</w:t>
      </w:r>
      <w:proofErr w:type="spellStart"/>
      <w:r w:rsidR="00AA48AE" w:rsidRPr="00AA48AE">
        <w:rPr>
          <w:lang w:val="en-GB"/>
        </w:rPr>
        <w:t>Caryocar</w:t>
      </w:r>
      <w:proofErr w:type="spellEnd"/>
      <w:r w:rsidR="00AA48AE" w:rsidRPr="00AA48AE">
        <w:rPr>
          <w:lang w:val="en-GB"/>
        </w:rPr>
        <w:t xml:space="preserve"> </w:t>
      </w:r>
      <w:proofErr w:type="spellStart"/>
      <w:r w:rsidR="00AA48AE" w:rsidRPr="00AA48AE">
        <w:rPr>
          <w:lang w:val="en-GB"/>
        </w:rPr>
        <w:t>coriaceum</w:t>
      </w:r>
      <w:proofErr w:type="spellEnd"/>
      <w:r w:rsidR="00AA48AE" w:rsidRPr="00AA48AE">
        <w:rPr>
          <w:lang w:val="en-GB"/>
        </w:rPr>
        <w:t xml:space="preserve"> </w:t>
      </w:r>
      <w:proofErr w:type="spellStart"/>
      <w:r w:rsidR="00AA48AE" w:rsidRPr="00AA48AE">
        <w:rPr>
          <w:lang w:val="en-GB"/>
        </w:rPr>
        <w:t>Wittm</w:t>
      </w:r>
      <w:proofErr w:type="spellEnd"/>
      <w:r w:rsidR="00AA48AE" w:rsidRPr="00AA48AE">
        <w:rPr>
          <w:lang w:val="en-GB"/>
        </w:rPr>
        <w:t xml:space="preserve">.) </w:t>
      </w:r>
      <w:r>
        <w:rPr>
          <w:lang w:val="en-GB"/>
        </w:rPr>
        <w:t>w</w:t>
      </w:r>
      <w:r w:rsidR="00AA48AE" w:rsidRPr="00AA48AE">
        <w:rPr>
          <w:lang w:val="en-GB"/>
        </w:rPr>
        <w:t xml:space="preserve">as obtained in </w:t>
      </w:r>
      <w:proofErr w:type="spellStart"/>
      <w:r w:rsidR="00AA48AE" w:rsidRPr="00AA48AE">
        <w:rPr>
          <w:lang w:val="en-GB"/>
        </w:rPr>
        <w:t>Crato</w:t>
      </w:r>
      <w:proofErr w:type="spellEnd"/>
      <w:r w:rsidR="00AA48AE" w:rsidRPr="00AA48AE">
        <w:rPr>
          <w:lang w:val="en-GB"/>
        </w:rPr>
        <w:t xml:space="preserve">, </w:t>
      </w:r>
      <w:proofErr w:type="spellStart"/>
      <w:r w:rsidR="00AA48AE" w:rsidRPr="00AA48AE">
        <w:rPr>
          <w:lang w:val="en-GB"/>
        </w:rPr>
        <w:t>Ceará</w:t>
      </w:r>
      <w:proofErr w:type="spellEnd"/>
      <w:r w:rsidR="00AA48AE" w:rsidRPr="00AA48AE">
        <w:rPr>
          <w:lang w:val="en-GB"/>
        </w:rPr>
        <w:t xml:space="preserve">, </w:t>
      </w:r>
      <w:r w:rsidR="00AA48AE" w:rsidRPr="00DC73B7">
        <w:rPr>
          <w:color w:val="000000" w:themeColor="text1"/>
          <w:lang w:val="en-GB"/>
        </w:rPr>
        <w:t xml:space="preserve">Brazil. </w:t>
      </w:r>
      <w:r w:rsidRPr="00DC73B7">
        <w:rPr>
          <w:color w:val="000000" w:themeColor="text1"/>
          <w:lang w:val="en-GB"/>
        </w:rPr>
        <w:t xml:space="preserve">The polysaccharide </w:t>
      </w:r>
      <w:r w:rsidR="004B49F1">
        <w:rPr>
          <w:color w:val="000000" w:themeColor="text1"/>
          <w:lang w:val="en-GB"/>
        </w:rPr>
        <w:t xml:space="preserve">gum </w:t>
      </w:r>
      <w:proofErr w:type="spellStart"/>
      <w:r w:rsidRPr="00DC73B7">
        <w:rPr>
          <w:color w:val="000000" w:themeColor="text1"/>
          <w:lang w:val="en-GB"/>
        </w:rPr>
        <w:t>a</w:t>
      </w:r>
      <w:r w:rsidR="00AA48AE" w:rsidRPr="00DC73B7">
        <w:rPr>
          <w:color w:val="000000" w:themeColor="text1"/>
          <w:lang w:val="en-GB"/>
        </w:rPr>
        <w:t>rabic</w:t>
      </w:r>
      <w:proofErr w:type="spellEnd"/>
      <w:r w:rsidR="00AA48AE" w:rsidRPr="00DC73B7">
        <w:rPr>
          <w:color w:val="000000" w:themeColor="text1"/>
          <w:lang w:val="en-GB"/>
        </w:rPr>
        <w:t xml:space="preserve"> (GA)</w:t>
      </w:r>
      <w:r w:rsidRPr="00DC73B7">
        <w:rPr>
          <w:color w:val="000000" w:themeColor="text1"/>
          <w:lang w:val="en-GB"/>
        </w:rPr>
        <w:t xml:space="preserve"> was </w:t>
      </w:r>
      <w:r w:rsidR="00AA48AE" w:rsidRPr="00DC73B7">
        <w:rPr>
          <w:color w:val="000000" w:themeColor="text1"/>
          <w:lang w:val="en-GB"/>
        </w:rPr>
        <w:t xml:space="preserve">purchased from Sigma-Aldrich and </w:t>
      </w:r>
      <w:r w:rsidRPr="00DC73B7">
        <w:rPr>
          <w:color w:val="000000" w:themeColor="text1"/>
          <w:lang w:val="en-GB"/>
        </w:rPr>
        <w:t xml:space="preserve">the </w:t>
      </w:r>
      <w:proofErr w:type="spellStart"/>
      <w:r w:rsidRPr="00DC73B7">
        <w:rPr>
          <w:color w:val="000000" w:themeColor="text1"/>
          <w:lang w:val="en-GB"/>
        </w:rPr>
        <w:t>gelatin</w:t>
      </w:r>
      <w:proofErr w:type="spellEnd"/>
      <w:r w:rsidRPr="00DC73B7">
        <w:rPr>
          <w:color w:val="000000" w:themeColor="text1"/>
          <w:lang w:val="en-GB"/>
        </w:rPr>
        <w:t xml:space="preserve"> (GE) 175H30 from </w:t>
      </w:r>
      <w:proofErr w:type="spellStart"/>
      <w:r w:rsidR="00AA48AE" w:rsidRPr="00DC73B7">
        <w:rPr>
          <w:color w:val="000000" w:themeColor="text1"/>
          <w:lang w:val="en-GB"/>
        </w:rPr>
        <w:t>Rousselout</w:t>
      </w:r>
      <w:proofErr w:type="spellEnd"/>
      <w:r w:rsidR="00AA48AE" w:rsidRPr="00DC73B7">
        <w:rPr>
          <w:color w:val="000000" w:themeColor="text1"/>
          <w:lang w:val="en-GB"/>
        </w:rPr>
        <w:t>®</w:t>
      </w:r>
      <w:r w:rsidR="007C05F2" w:rsidRPr="00DC73B7">
        <w:rPr>
          <w:color w:val="000000" w:themeColor="text1"/>
          <w:lang w:val="en-GB"/>
        </w:rPr>
        <w:t>.</w:t>
      </w:r>
      <w:r w:rsidR="00AA48AE" w:rsidRPr="00DC73B7">
        <w:rPr>
          <w:color w:val="000000" w:themeColor="text1"/>
          <w:lang w:val="en-GB"/>
        </w:rPr>
        <w:t xml:space="preserve"> </w:t>
      </w:r>
      <w:r w:rsidR="007C05F2" w:rsidRPr="00DC73B7">
        <w:rPr>
          <w:color w:val="000000" w:themeColor="text1"/>
          <w:lang w:val="en-GB"/>
        </w:rPr>
        <w:t>Anal</w:t>
      </w:r>
      <w:r w:rsidR="00DC73B7">
        <w:rPr>
          <w:color w:val="000000" w:themeColor="text1"/>
          <w:lang w:val="en-GB"/>
        </w:rPr>
        <w:t>y</w:t>
      </w:r>
      <w:r w:rsidR="007C05F2" w:rsidRPr="00DC73B7">
        <w:rPr>
          <w:color w:val="000000" w:themeColor="text1"/>
          <w:lang w:val="en-GB"/>
        </w:rPr>
        <w:t>tical grade reagents were used.</w:t>
      </w:r>
      <w:r w:rsidR="00AA48AE" w:rsidRPr="00DC73B7">
        <w:rPr>
          <w:color w:val="000000" w:themeColor="text1"/>
          <w:lang w:val="en-GB"/>
        </w:rPr>
        <w:t xml:space="preserve"> The experiments were </w:t>
      </w:r>
      <w:r w:rsidR="007C05F2" w:rsidRPr="00DC73B7">
        <w:rPr>
          <w:color w:val="000000" w:themeColor="text1"/>
          <w:lang w:val="en-GB"/>
        </w:rPr>
        <w:t>performed</w:t>
      </w:r>
      <w:r w:rsidR="00AA48AE" w:rsidRPr="00DC73B7">
        <w:rPr>
          <w:color w:val="000000" w:themeColor="text1"/>
          <w:lang w:val="en-GB"/>
        </w:rPr>
        <w:t xml:space="preserve"> at the Packaging Lab </w:t>
      </w:r>
      <w:r w:rsidR="00AA48AE" w:rsidRPr="00AA48AE">
        <w:rPr>
          <w:lang w:val="en-GB"/>
        </w:rPr>
        <w:t xml:space="preserve">of </w:t>
      </w:r>
      <w:proofErr w:type="spellStart"/>
      <w:r w:rsidR="00AA48AE" w:rsidRPr="00AA48AE">
        <w:rPr>
          <w:lang w:val="en-GB"/>
        </w:rPr>
        <w:t>Embrapa</w:t>
      </w:r>
      <w:proofErr w:type="spellEnd"/>
      <w:r w:rsidR="00AA48AE" w:rsidRPr="00AA48AE">
        <w:rPr>
          <w:lang w:val="en-GB"/>
        </w:rPr>
        <w:t xml:space="preserve"> Tropical</w:t>
      </w:r>
      <w:r w:rsidR="00037955">
        <w:rPr>
          <w:lang w:val="en-GB"/>
        </w:rPr>
        <w:t xml:space="preserve"> Agroindustry</w:t>
      </w:r>
      <w:r w:rsidR="00AA48AE" w:rsidRPr="00AA48AE">
        <w:rPr>
          <w:lang w:val="en-GB"/>
        </w:rPr>
        <w:t>.</w:t>
      </w:r>
    </w:p>
    <w:p w:rsidR="00AA48AE" w:rsidRPr="00AA48AE" w:rsidRDefault="00AA48AE" w:rsidP="00AA48AE">
      <w:pPr>
        <w:pStyle w:val="CETheadingx"/>
      </w:pPr>
      <w:r w:rsidRPr="00AA48AE">
        <w:t xml:space="preserve">Microcapsules preparation by complex </w:t>
      </w:r>
      <w:proofErr w:type="spellStart"/>
      <w:r w:rsidRPr="00AA48AE">
        <w:t>coacervation</w:t>
      </w:r>
      <w:proofErr w:type="spellEnd"/>
    </w:p>
    <w:p w:rsidR="001732A3" w:rsidRDefault="00AA48AE" w:rsidP="00AA48AE">
      <w:pPr>
        <w:pStyle w:val="CETBodytext"/>
        <w:rPr>
          <w:lang w:val="en-GB"/>
        </w:rPr>
      </w:pPr>
      <w:r w:rsidRPr="00AA48AE">
        <w:rPr>
          <w:lang w:val="en-GB"/>
        </w:rPr>
        <w:t xml:space="preserve">The </w:t>
      </w:r>
      <w:r w:rsidR="00B07599">
        <w:rPr>
          <w:lang w:val="en-GB"/>
        </w:rPr>
        <w:t xml:space="preserve">treatments </w:t>
      </w:r>
      <w:r w:rsidR="00B07599" w:rsidRPr="00AA48AE">
        <w:rPr>
          <w:lang w:val="en-GB"/>
        </w:rPr>
        <w:t>T1, T2, T3 and T4</w:t>
      </w:r>
      <w:r w:rsidR="00B07599">
        <w:rPr>
          <w:lang w:val="en-GB"/>
        </w:rPr>
        <w:t xml:space="preserve"> were prepared, with </w:t>
      </w:r>
      <w:r w:rsidR="00B07599" w:rsidRPr="00AA48AE">
        <w:rPr>
          <w:lang w:val="en-GB"/>
        </w:rPr>
        <w:t>0.39, 0.58, 0.77</w:t>
      </w:r>
      <w:r w:rsidR="00B07599">
        <w:rPr>
          <w:lang w:val="en-GB"/>
        </w:rPr>
        <w:t xml:space="preserve"> and </w:t>
      </w:r>
      <w:r w:rsidR="00B07599" w:rsidRPr="00AA48AE">
        <w:rPr>
          <w:lang w:val="en-GB"/>
        </w:rPr>
        <w:t>1.16</w:t>
      </w:r>
      <w:r w:rsidR="004B49F1">
        <w:rPr>
          <w:lang w:val="en-GB"/>
        </w:rPr>
        <w:t xml:space="preserve"> </w:t>
      </w:r>
      <w:r w:rsidR="00037955">
        <w:rPr>
          <w:lang w:val="en-GB"/>
        </w:rPr>
        <w:t>g mL</w:t>
      </w:r>
      <w:r w:rsidR="00037955" w:rsidRPr="004B49F1">
        <w:rPr>
          <w:vertAlign w:val="superscript"/>
          <w:lang w:val="en-GB"/>
        </w:rPr>
        <w:t>-1</w:t>
      </w:r>
      <w:r w:rsidR="00037955">
        <w:rPr>
          <w:lang w:val="en-GB"/>
        </w:rPr>
        <w:t xml:space="preserve"> </w:t>
      </w:r>
      <w:r w:rsidR="00B07599">
        <w:rPr>
          <w:lang w:val="en-GB"/>
        </w:rPr>
        <w:t xml:space="preserve">biopolymer concentration, respectively. </w:t>
      </w:r>
      <w:r w:rsidRPr="00AA48AE">
        <w:rPr>
          <w:lang w:val="en-GB"/>
        </w:rPr>
        <w:t xml:space="preserve">The </w:t>
      </w:r>
      <w:r w:rsidR="00B07599" w:rsidRPr="00DC73B7">
        <w:rPr>
          <w:color w:val="000000" w:themeColor="text1"/>
          <w:lang w:val="en-GB"/>
        </w:rPr>
        <w:t>biopolymer was in a 1 GE:</w:t>
      </w:r>
      <w:r w:rsidR="00DC73B7" w:rsidRPr="00DC73B7">
        <w:rPr>
          <w:color w:val="000000" w:themeColor="text1"/>
          <w:lang w:val="en-GB"/>
        </w:rPr>
        <w:t xml:space="preserve"> </w:t>
      </w:r>
      <w:r w:rsidR="00B07599" w:rsidRPr="00DC73B7">
        <w:rPr>
          <w:color w:val="000000" w:themeColor="text1"/>
          <w:lang w:val="en-GB"/>
        </w:rPr>
        <w:t xml:space="preserve">1.5 GA </w:t>
      </w:r>
      <w:r w:rsidRPr="00DC73B7">
        <w:rPr>
          <w:color w:val="000000" w:themeColor="text1"/>
          <w:lang w:val="en-GB"/>
        </w:rPr>
        <w:t>proportion</w:t>
      </w:r>
      <w:r w:rsidR="00037955">
        <w:rPr>
          <w:color w:val="000000" w:themeColor="text1"/>
          <w:lang w:val="en-GB"/>
        </w:rPr>
        <w:t xml:space="preserve"> (w/w)</w:t>
      </w:r>
      <w:r w:rsidR="00B07599" w:rsidRPr="00DC73B7">
        <w:rPr>
          <w:color w:val="000000" w:themeColor="text1"/>
          <w:lang w:val="en-GB"/>
        </w:rPr>
        <w:t xml:space="preserve">, and 0.5 g of </w:t>
      </w:r>
      <w:proofErr w:type="spellStart"/>
      <w:r w:rsidR="00B07599" w:rsidRPr="00DC73B7">
        <w:rPr>
          <w:color w:val="000000" w:themeColor="text1"/>
          <w:lang w:val="en-GB"/>
        </w:rPr>
        <w:t>pequi</w:t>
      </w:r>
      <w:proofErr w:type="spellEnd"/>
      <w:r w:rsidR="00B07599" w:rsidRPr="00DC73B7">
        <w:rPr>
          <w:color w:val="000000" w:themeColor="text1"/>
          <w:lang w:val="en-GB"/>
        </w:rPr>
        <w:t xml:space="preserve"> oil as </w:t>
      </w:r>
      <w:r w:rsidR="00DC73B7" w:rsidRPr="00DC73B7">
        <w:rPr>
          <w:color w:val="000000" w:themeColor="text1"/>
          <w:lang w:val="en-GB"/>
        </w:rPr>
        <w:t xml:space="preserve">the </w:t>
      </w:r>
      <w:r w:rsidR="00B07599" w:rsidRPr="00DC73B7">
        <w:rPr>
          <w:color w:val="000000" w:themeColor="text1"/>
          <w:lang w:val="en-GB"/>
        </w:rPr>
        <w:t>core material</w:t>
      </w:r>
      <w:r w:rsidRPr="00DC73B7">
        <w:rPr>
          <w:color w:val="000000" w:themeColor="text1"/>
          <w:lang w:val="en-GB"/>
        </w:rPr>
        <w:t xml:space="preserve"> </w:t>
      </w:r>
      <w:r w:rsidR="00272591" w:rsidRPr="00DC73B7">
        <w:rPr>
          <w:color w:val="000000" w:themeColor="text1"/>
          <w:lang w:val="en-GB"/>
        </w:rPr>
        <w:t>in</w:t>
      </w:r>
      <w:r w:rsidRPr="00DC73B7">
        <w:rPr>
          <w:color w:val="000000" w:themeColor="text1"/>
          <w:lang w:val="en-GB"/>
        </w:rPr>
        <w:t xml:space="preserve"> all treatments.</w:t>
      </w:r>
      <w:r w:rsidR="00B07599" w:rsidRPr="00DC73B7">
        <w:rPr>
          <w:color w:val="000000" w:themeColor="text1"/>
          <w:lang w:val="en-GB"/>
        </w:rPr>
        <w:t xml:space="preserve"> </w:t>
      </w:r>
      <w:r w:rsidR="009D4C35" w:rsidRPr="00DC73B7">
        <w:rPr>
          <w:color w:val="000000" w:themeColor="text1"/>
          <w:lang w:val="en-GB"/>
        </w:rPr>
        <w:t xml:space="preserve">The methodology of complex </w:t>
      </w:r>
      <w:proofErr w:type="spellStart"/>
      <w:r w:rsidR="009D4C35" w:rsidRPr="00DC73B7">
        <w:rPr>
          <w:color w:val="000000" w:themeColor="text1"/>
          <w:lang w:val="en-GB"/>
        </w:rPr>
        <w:t>coacervation</w:t>
      </w:r>
      <w:proofErr w:type="spellEnd"/>
      <w:r w:rsidR="009D4C35" w:rsidRPr="00DC73B7">
        <w:rPr>
          <w:color w:val="000000" w:themeColor="text1"/>
          <w:lang w:val="en-GB"/>
        </w:rPr>
        <w:t xml:space="preserve"> </w:t>
      </w:r>
      <w:r w:rsidR="0040552B" w:rsidRPr="00DC73B7">
        <w:rPr>
          <w:color w:val="000000" w:themeColor="text1"/>
          <w:lang w:val="en-GB"/>
        </w:rPr>
        <w:t xml:space="preserve">followed the described by </w:t>
      </w:r>
      <w:proofErr w:type="spellStart"/>
      <w:r w:rsidR="0040552B" w:rsidRPr="00DC73B7">
        <w:rPr>
          <w:color w:val="000000" w:themeColor="text1"/>
        </w:rPr>
        <w:t>Timilsena</w:t>
      </w:r>
      <w:proofErr w:type="spellEnd"/>
      <w:r w:rsidR="0040552B" w:rsidRPr="00DC73B7">
        <w:rPr>
          <w:color w:val="000000" w:themeColor="text1"/>
        </w:rPr>
        <w:t xml:space="preserve"> et al. (2017). </w:t>
      </w:r>
      <w:r w:rsidR="0040552B" w:rsidRPr="00DC73B7">
        <w:rPr>
          <w:color w:val="000000" w:themeColor="text1"/>
          <w:lang w:val="en-GB"/>
        </w:rPr>
        <w:t>T</w:t>
      </w:r>
      <w:r w:rsidR="00B07599" w:rsidRPr="00DC73B7">
        <w:rPr>
          <w:color w:val="000000" w:themeColor="text1"/>
          <w:lang w:val="en-GB"/>
        </w:rPr>
        <w:t xml:space="preserve">he </w:t>
      </w:r>
      <w:proofErr w:type="spellStart"/>
      <w:r w:rsidR="001732A3" w:rsidRPr="00DC73B7">
        <w:rPr>
          <w:color w:val="000000" w:themeColor="text1"/>
          <w:lang w:val="en-GB"/>
        </w:rPr>
        <w:t>pequi</w:t>
      </w:r>
      <w:proofErr w:type="spellEnd"/>
      <w:r w:rsidR="001732A3" w:rsidRPr="00DC73B7">
        <w:rPr>
          <w:color w:val="000000" w:themeColor="text1"/>
          <w:lang w:val="en-GB"/>
        </w:rPr>
        <w:t xml:space="preserve"> oil was emulsified with GE in a distilled water solution, 10,000 rpm </w:t>
      </w:r>
      <w:r w:rsidR="00037955">
        <w:rPr>
          <w:color w:val="000000" w:themeColor="text1"/>
          <w:lang w:val="en-GB"/>
        </w:rPr>
        <w:t>for</w:t>
      </w:r>
      <w:r w:rsidR="001732A3" w:rsidRPr="00DC73B7">
        <w:rPr>
          <w:color w:val="000000" w:themeColor="text1"/>
          <w:lang w:val="en-GB"/>
        </w:rPr>
        <w:t xml:space="preserve"> 3 min with an </w:t>
      </w:r>
      <w:proofErr w:type="spellStart"/>
      <w:r w:rsidR="001732A3" w:rsidRPr="00DC73B7">
        <w:rPr>
          <w:color w:val="000000" w:themeColor="text1"/>
          <w:lang w:val="en-GB"/>
        </w:rPr>
        <w:t>ultraturrax</w:t>
      </w:r>
      <w:proofErr w:type="spellEnd"/>
      <w:r w:rsidR="001732A3" w:rsidRPr="00DC73B7">
        <w:rPr>
          <w:color w:val="000000" w:themeColor="text1"/>
          <w:lang w:val="en-GB"/>
        </w:rPr>
        <w:t xml:space="preserve"> (IKA T25, Germany), and the gum </w:t>
      </w:r>
      <w:proofErr w:type="spellStart"/>
      <w:r w:rsidR="001732A3" w:rsidRPr="00DC73B7">
        <w:rPr>
          <w:color w:val="000000" w:themeColor="text1"/>
          <w:lang w:val="en-GB"/>
        </w:rPr>
        <w:t>arabic</w:t>
      </w:r>
      <w:proofErr w:type="spellEnd"/>
      <w:r w:rsidR="001732A3" w:rsidRPr="00DC73B7">
        <w:rPr>
          <w:color w:val="000000" w:themeColor="text1"/>
          <w:lang w:val="en-GB"/>
        </w:rPr>
        <w:t xml:space="preserve"> was dispersed separately. The two dispersions were mixed and </w:t>
      </w:r>
      <w:r w:rsidR="00037955">
        <w:rPr>
          <w:color w:val="000000" w:themeColor="text1"/>
          <w:lang w:val="en-GB"/>
        </w:rPr>
        <w:t xml:space="preserve">the </w:t>
      </w:r>
      <w:r w:rsidR="001732A3" w:rsidRPr="00DC73B7">
        <w:rPr>
          <w:color w:val="000000" w:themeColor="text1"/>
          <w:lang w:val="en-GB"/>
        </w:rPr>
        <w:t>volume adjusted with distilled water up to the concentration of each treatment.</w:t>
      </w:r>
      <w:r w:rsidR="009D4C35" w:rsidRPr="00DC73B7">
        <w:rPr>
          <w:color w:val="000000" w:themeColor="text1"/>
          <w:lang w:val="en-GB"/>
        </w:rPr>
        <w:t xml:space="preserve"> The pH was adjusted to 3.5 with </w:t>
      </w:r>
      <w:proofErr w:type="spellStart"/>
      <w:r w:rsidR="009D4C35" w:rsidRPr="00DC73B7">
        <w:rPr>
          <w:rFonts w:cs="Arial"/>
          <w:color w:val="000000" w:themeColor="text1"/>
          <w:szCs w:val="18"/>
          <w:lang w:eastAsia="pt-BR"/>
        </w:rPr>
        <w:t>HCl</w:t>
      </w:r>
      <w:proofErr w:type="spellEnd"/>
      <w:r w:rsidR="009D4C35" w:rsidRPr="00DC73B7">
        <w:rPr>
          <w:rFonts w:cs="Arial"/>
          <w:color w:val="000000" w:themeColor="text1"/>
          <w:szCs w:val="18"/>
          <w:lang w:eastAsia="pt-BR"/>
        </w:rPr>
        <w:t xml:space="preserve"> (0.7 M), (this pH value was established in preliminary tests), to </w:t>
      </w:r>
      <w:r w:rsidR="009D4C35" w:rsidRPr="00DC73B7">
        <w:rPr>
          <w:color w:val="000000" w:themeColor="text1"/>
        </w:rPr>
        <w:t xml:space="preserve">protein-polysaccharide </w:t>
      </w:r>
      <w:proofErr w:type="spellStart"/>
      <w:proofErr w:type="gramStart"/>
      <w:r w:rsidR="009D4C35" w:rsidRPr="00DC73B7">
        <w:rPr>
          <w:color w:val="000000" w:themeColor="text1"/>
        </w:rPr>
        <w:t>complexation</w:t>
      </w:r>
      <w:proofErr w:type="spellEnd"/>
      <w:r w:rsidR="00037955">
        <w:rPr>
          <w:color w:val="000000" w:themeColor="text1"/>
        </w:rPr>
        <w:t xml:space="preserve"> </w:t>
      </w:r>
      <w:r w:rsidR="009D4C35" w:rsidRPr="00DC73B7">
        <w:rPr>
          <w:rFonts w:cs="Arial"/>
          <w:color w:val="000000" w:themeColor="text1"/>
          <w:szCs w:val="18"/>
          <w:lang w:eastAsia="pt-BR"/>
        </w:rPr>
        <w:t xml:space="preserve"> and</w:t>
      </w:r>
      <w:proofErr w:type="gramEnd"/>
      <w:r w:rsidR="009D4C35" w:rsidRPr="00DC73B7">
        <w:rPr>
          <w:rFonts w:cs="Arial"/>
          <w:color w:val="000000" w:themeColor="text1"/>
          <w:szCs w:val="18"/>
          <w:lang w:eastAsia="pt-BR"/>
        </w:rPr>
        <w:t xml:space="preserve"> </w:t>
      </w:r>
      <w:r w:rsidR="009D4C35">
        <w:rPr>
          <w:rFonts w:cs="Arial"/>
          <w:color w:val="222222"/>
          <w:szCs w:val="18"/>
          <w:lang w:eastAsia="pt-BR"/>
        </w:rPr>
        <w:t>the microcapsule were allowed to settle overnight</w:t>
      </w:r>
      <w:r w:rsidR="0040552B">
        <w:rPr>
          <w:rFonts w:cs="Arial"/>
          <w:color w:val="222222"/>
          <w:szCs w:val="18"/>
          <w:lang w:eastAsia="pt-BR"/>
        </w:rPr>
        <w:t xml:space="preserve">, and after </w:t>
      </w:r>
      <w:proofErr w:type="spellStart"/>
      <w:r w:rsidR="0040552B">
        <w:rPr>
          <w:rFonts w:cs="Arial"/>
          <w:color w:val="222222"/>
          <w:szCs w:val="18"/>
          <w:lang w:eastAsia="pt-BR"/>
        </w:rPr>
        <w:t>decan</w:t>
      </w:r>
      <w:r w:rsidR="00DC73B7">
        <w:rPr>
          <w:rFonts w:cs="Arial"/>
          <w:color w:val="222222"/>
          <w:szCs w:val="18"/>
          <w:lang w:eastAsia="pt-BR"/>
        </w:rPr>
        <w:t>ta</w:t>
      </w:r>
      <w:r w:rsidR="0040552B">
        <w:rPr>
          <w:rFonts w:cs="Arial"/>
          <w:color w:val="222222"/>
          <w:szCs w:val="18"/>
          <w:lang w:eastAsia="pt-BR"/>
        </w:rPr>
        <w:t>ti</w:t>
      </w:r>
      <w:r w:rsidR="00DC73B7">
        <w:rPr>
          <w:rFonts w:cs="Arial"/>
          <w:color w:val="222222"/>
          <w:szCs w:val="18"/>
          <w:lang w:eastAsia="pt-BR"/>
        </w:rPr>
        <w:t>ng</w:t>
      </w:r>
      <w:proofErr w:type="spellEnd"/>
      <w:r w:rsidR="0040552B">
        <w:rPr>
          <w:rFonts w:cs="Arial"/>
          <w:color w:val="222222"/>
          <w:szCs w:val="18"/>
          <w:lang w:eastAsia="pt-BR"/>
        </w:rPr>
        <w:t xml:space="preserve">, were centrifuged </w:t>
      </w:r>
      <w:r w:rsidR="0040552B" w:rsidRPr="00AA6BF8">
        <w:rPr>
          <w:rFonts w:cs="Arial"/>
          <w:color w:val="222222"/>
          <w:szCs w:val="18"/>
          <w:lang w:eastAsia="pt-BR"/>
        </w:rPr>
        <w:t>(10,000 rpm / 10 m )</w:t>
      </w:r>
      <w:r w:rsidR="0040552B">
        <w:rPr>
          <w:rFonts w:cs="Arial"/>
          <w:color w:val="222222"/>
          <w:szCs w:val="18"/>
          <w:lang w:eastAsia="pt-BR"/>
        </w:rPr>
        <w:t>, and lyophilized in a LP-510 freezer-dryer (</w:t>
      </w:r>
      <w:proofErr w:type="spellStart"/>
      <w:r w:rsidR="0040552B">
        <w:rPr>
          <w:rFonts w:cs="Arial"/>
          <w:color w:val="222222"/>
          <w:szCs w:val="18"/>
          <w:lang w:eastAsia="pt-BR"/>
        </w:rPr>
        <w:t>Liobrás</w:t>
      </w:r>
      <w:proofErr w:type="spellEnd"/>
      <w:r w:rsidR="0040552B">
        <w:rPr>
          <w:rFonts w:cs="Arial"/>
          <w:color w:val="222222"/>
          <w:szCs w:val="18"/>
          <w:lang w:eastAsia="pt-BR"/>
        </w:rPr>
        <w:t>, Brazil)</w:t>
      </w:r>
      <w:r w:rsidR="0040552B" w:rsidRPr="00AA6BF8">
        <w:rPr>
          <w:rFonts w:cs="Arial"/>
          <w:color w:val="222222"/>
          <w:szCs w:val="18"/>
          <w:lang w:eastAsia="pt-BR"/>
        </w:rPr>
        <w:t>.</w:t>
      </w:r>
      <w:r w:rsidR="009D4C35">
        <w:rPr>
          <w:rFonts w:cs="Arial"/>
          <w:color w:val="222222"/>
          <w:szCs w:val="18"/>
          <w:lang w:eastAsia="pt-BR"/>
        </w:rPr>
        <w:t xml:space="preserve">  </w:t>
      </w:r>
      <w:r w:rsidR="009D4C35" w:rsidRPr="00AA6BF8">
        <w:rPr>
          <w:rFonts w:cs="Arial"/>
          <w:color w:val="222222"/>
          <w:szCs w:val="18"/>
          <w:lang w:eastAsia="pt-BR"/>
        </w:rPr>
        <w:t xml:space="preserve"> </w:t>
      </w:r>
      <w:r w:rsidR="009D4C35">
        <w:rPr>
          <w:lang w:val="en-GB"/>
        </w:rPr>
        <w:t xml:space="preserve">  </w:t>
      </w:r>
      <w:r w:rsidR="001732A3">
        <w:rPr>
          <w:lang w:val="en-GB"/>
        </w:rPr>
        <w:t xml:space="preserve"> </w:t>
      </w:r>
    </w:p>
    <w:p w:rsidR="00615F2C" w:rsidRDefault="00615F2C" w:rsidP="00615F2C">
      <w:pPr>
        <w:pStyle w:val="CETheadingx"/>
      </w:pPr>
      <w:r w:rsidRPr="00615F2C">
        <w:t>Evaluation of efficiency and microcapsule parameters</w:t>
      </w:r>
    </w:p>
    <w:p w:rsidR="00615F2C" w:rsidRPr="00F45767" w:rsidRDefault="00615F2C" w:rsidP="00615F2C">
      <w:pPr>
        <w:pStyle w:val="CETBodytext"/>
        <w:rPr>
          <w:color w:val="000000" w:themeColor="text1"/>
        </w:rPr>
      </w:pPr>
      <w:r w:rsidRPr="00F45767">
        <w:rPr>
          <w:color w:val="000000" w:themeColor="text1"/>
        </w:rPr>
        <w:t xml:space="preserve">Zeta (ζ): </w:t>
      </w:r>
      <w:r w:rsidR="00676044" w:rsidRPr="00F45767">
        <w:rPr>
          <w:color w:val="000000" w:themeColor="text1"/>
        </w:rPr>
        <w:t xml:space="preserve">for </w:t>
      </w:r>
      <w:r w:rsidRPr="00F45767">
        <w:rPr>
          <w:color w:val="000000" w:themeColor="text1"/>
        </w:rPr>
        <w:t xml:space="preserve">each </w:t>
      </w:r>
      <w:r w:rsidR="00676044" w:rsidRPr="00F45767">
        <w:rPr>
          <w:color w:val="000000" w:themeColor="text1"/>
        </w:rPr>
        <w:t>treatment (</w:t>
      </w:r>
      <w:proofErr w:type="spellStart"/>
      <w:r w:rsidRPr="00F45767">
        <w:rPr>
          <w:color w:val="000000" w:themeColor="text1"/>
        </w:rPr>
        <w:t>coacervate</w:t>
      </w:r>
      <w:proofErr w:type="spellEnd"/>
      <w:r w:rsidRPr="00F45767">
        <w:rPr>
          <w:color w:val="000000" w:themeColor="text1"/>
        </w:rPr>
        <w:t xml:space="preserve"> emulsion</w:t>
      </w:r>
      <w:r w:rsidR="00676044" w:rsidRPr="00F45767">
        <w:rPr>
          <w:color w:val="000000" w:themeColor="text1"/>
        </w:rPr>
        <w:t>), t</w:t>
      </w:r>
      <w:r w:rsidRPr="00F45767">
        <w:rPr>
          <w:color w:val="000000" w:themeColor="text1"/>
        </w:rPr>
        <w:t xml:space="preserve">he zeta values were determined using </w:t>
      </w:r>
      <w:proofErr w:type="spellStart"/>
      <w:r w:rsidRPr="00F45767">
        <w:rPr>
          <w:color w:val="000000" w:themeColor="text1"/>
        </w:rPr>
        <w:t>Zetasizer</w:t>
      </w:r>
      <w:proofErr w:type="spellEnd"/>
      <w:r w:rsidRPr="00F45767">
        <w:rPr>
          <w:color w:val="000000" w:themeColor="text1"/>
        </w:rPr>
        <w:t xml:space="preserve"> Nano ZS-3000 (Malvern Instruments, Malvern, UK).</w:t>
      </w:r>
    </w:p>
    <w:p w:rsidR="00676044" w:rsidRPr="00F45767" w:rsidRDefault="00676044" w:rsidP="00676044">
      <w:pPr>
        <w:pStyle w:val="CETBodytext"/>
        <w:rPr>
          <w:color w:val="000000" w:themeColor="text1"/>
        </w:rPr>
      </w:pPr>
      <w:r w:rsidRPr="00F45767">
        <w:rPr>
          <w:color w:val="000000" w:themeColor="text1"/>
        </w:rPr>
        <w:t xml:space="preserve">Morphological characterization was performed with a Zeiss optical microscope </w:t>
      </w:r>
      <w:r w:rsidR="00F45767">
        <w:rPr>
          <w:color w:val="000000" w:themeColor="text1"/>
        </w:rPr>
        <w:t>(Z</w:t>
      </w:r>
      <w:r w:rsidR="00161ACD">
        <w:rPr>
          <w:color w:val="000000" w:themeColor="text1"/>
        </w:rPr>
        <w:t>eiss</w:t>
      </w:r>
      <w:r w:rsidR="00F45767">
        <w:rPr>
          <w:color w:val="000000" w:themeColor="text1"/>
        </w:rPr>
        <w:t xml:space="preserve"> </w:t>
      </w:r>
      <w:proofErr w:type="spellStart"/>
      <w:r w:rsidR="00F45767">
        <w:rPr>
          <w:color w:val="000000" w:themeColor="text1"/>
        </w:rPr>
        <w:t>Axio</w:t>
      </w:r>
      <w:proofErr w:type="spellEnd"/>
      <w:r w:rsidR="00F45767">
        <w:rPr>
          <w:color w:val="000000" w:themeColor="text1"/>
        </w:rPr>
        <w:t xml:space="preserve"> Imager.A2) coupled with </w:t>
      </w:r>
      <w:r w:rsidRPr="00F45767">
        <w:rPr>
          <w:color w:val="000000" w:themeColor="text1"/>
        </w:rPr>
        <w:t>a digital image acquisition system.</w:t>
      </w:r>
    </w:p>
    <w:p w:rsidR="00676044" w:rsidRPr="00F45767" w:rsidRDefault="00676044" w:rsidP="00676044">
      <w:pPr>
        <w:pStyle w:val="CETBodytext"/>
        <w:rPr>
          <w:color w:val="000000" w:themeColor="text1"/>
        </w:rPr>
      </w:pPr>
      <w:r w:rsidRPr="00F45767">
        <w:rPr>
          <w:color w:val="000000" w:themeColor="text1"/>
        </w:rPr>
        <w:t xml:space="preserve">Particle size: the microcapsules mean diameter was calculated by image analysis using the </w:t>
      </w:r>
      <w:proofErr w:type="spellStart"/>
      <w:r w:rsidRPr="00F45767">
        <w:rPr>
          <w:color w:val="000000" w:themeColor="text1"/>
        </w:rPr>
        <w:t>ImageJ</w:t>
      </w:r>
      <w:proofErr w:type="spellEnd"/>
      <w:r w:rsidRPr="00F45767">
        <w:rPr>
          <w:color w:val="000000" w:themeColor="text1"/>
        </w:rPr>
        <w:t xml:space="preserve"> software, following the methodology </w:t>
      </w:r>
      <w:proofErr w:type="spellStart"/>
      <w:r w:rsidR="001D2F3B" w:rsidRPr="00F45767">
        <w:rPr>
          <w:color w:val="000000" w:themeColor="text1"/>
        </w:rPr>
        <w:t>Comunian</w:t>
      </w:r>
      <w:proofErr w:type="spellEnd"/>
      <w:r w:rsidRPr="00F45767">
        <w:rPr>
          <w:color w:val="000000" w:themeColor="text1"/>
        </w:rPr>
        <w:t xml:space="preserve"> et al. (201</w:t>
      </w:r>
      <w:r w:rsidR="00D43C5F">
        <w:rPr>
          <w:color w:val="000000" w:themeColor="text1"/>
        </w:rPr>
        <w:t>8</w:t>
      </w:r>
      <w:r w:rsidRPr="00F45767">
        <w:rPr>
          <w:color w:val="000000" w:themeColor="text1"/>
        </w:rPr>
        <w:t>), with modifications.</w:t>
      </w:r>
    </w:p>
    <w:p w:rsidR="00676044" w:rsidRPr="00F45767" w:rsidRDefault="00676044" w:rsidP="00676044">
      <w:pPr>
        <w:pStyle w:val="CETBodytext"/>
        <w:rPr>
          <w:color w:val="000000" w:themeColor="text1"/>
        </w:rPr>
      </w:pPr>
      <w:r w:rsidRPr="00F45767">
        <w:rPr>
          <w:color w:val="000000" w:themeColor="text1"/>
        </w:rPr>
        <w:t>Yield</w:t>
      </w:r>
      <w:r w:rsidR="009C5635" w:rsidRPr="00F45767">
        <w:rPr>
          <w:color w:val="000000" w:themeColor="text1"/>
        </w:rPr>
        <w:t xml:space="preserve"> (Y)</w:t>
      </w:r>
      <w:r w:rsidRPr="00F45767">
        <w:rPr>
          <w:color w:val="000000" w:themeColor="text1"/>
        </w:rPr>
        <w:t xml:space="preserve">: the ratio between final </w:t>
      </w:r>
      <w:r w:rsidR="0030047E" w:rsidRPr="00F45767">
        <w:rPr>
          <w:color w:val="000000" w:themeColor="text1"/>
        </w:rPr>
        <w:t>weight</w:t>
      </w:r>
      <w:r w:rsidRPr="00F45767">
        <w:rPr>
          <w:color w:val="000000" w:themeColor="text1"/>
        </w:rPr>
        <w:t xml:space="preserve"> </w:t>
      </w:r>
      <w:r w:rsidR="001C5089" w:rsidRPr="00F45767">
        <w:rPr>
          <w:color w:val="000000" w:themeColor="text1"/>
        </w:rPr>
        <w:t>(</w:t>
      </w:r>
      <w:proofErr w:type="spellStart"/>
      <w:r w:rsidR="0030047E" w:rsidRPr="00F45767">
        <w:rPr>
          <w:color w:val="000000" w:themeColor="text1"/>
        </w:rPr>
        <w:t>w</w:t>
      </w:r>
      <w:r w:rsidR="001C5089" w:rsidRPr="00F45767">
        <w:rPr>
          <w:color w:val="000000" w:themeColor="text1"/>
          <w:vertAlign w:val="subscript"/>
        </w:rPr>
        <w:t>f</w:t>
      </w:r>
      <w:proofErr w:type="spellEnd"/>
      <w:r w:rsidR="001C5089" w:rsidRPr="00F45767">
        <w:rPr>
          <w:color w:val="000000" w:themeColor="text1"/>
        </w:rPr>
        <w:t xml:space="preserve">), </w:t>
      </w:r>
      <w:r w:rsidRPr="00F45767">
        <w:rPr>
          <w:color w:val="000000" w:themeColor="text1"/>
        </w:rPr>
        <w:t xml:space="preserve">after </w:t>
      </w:r>
      <w:r w:rsidR="001C5089" w:rsidRPr="00F45767">
        <w:rPr>
          <w:color w:val="000000" w:themeColor="text1"/>
        </w:rPr>
        <w:t>microcapsules freeze-drying</w:t>
      </w:r>
      <w:r w:rsidRPr="00F45767">
        <w:rPr>
          <w:color w:val="000000" w:themeColor="text1"/>
        </w:rPr>
        <w:t>,</w:t>
      </w:r>
      <w:r w:rsidR="001C5089" w:rsidRPr="00F45767">
        <w:rPr>
          <w:color w:val="000000" w:themeColor="text1"/>
        </w:rPr>
        <w:t xml:space="preserve"> and the initia</w:t>
      </w:r>
      <w:r w:rsidR="004A6455" w:rsidRPr="00F45767">
        <w:rPr>
          <w:color w:val="000000" w:themeColor="text1"/>
        </w:rPr>
        <w:t>l</w:t>
      </w:r>
      <w:r w:rsidR="001C5089" w:rsidRPr="00F45767">
        <w:rPr>
          <w:color w:val="000000" w:themeColor="text1"/>
        </w:rPr>
        <w:t xml:space="preserve"> </w:t>
      </w:r>
      <w:r w:rsidR="0030047E" w:rsidRPr="00F45767">
        <w:rPr>
          <w:color w:val="000000" w:themeColor="text1"/>
        </w:rPr>
        <w:t xml:space="preserve">weight </w:t>
      </w:r>
      <w:r w:rsidR="001C5089" w:rsidRPr="00F45767">
        <w:rPr>
          <w:color w:val="000000" w:themeColor="text1"/>
        </w:rPr>
        <w:t>(</w:t>
      </w:r>
      <w:proofErr w:type="spellStart"/>
      <w:proofErr w:type="gramStart"/>
      <w:r w:rsidR="0030047E" w:rsidRPr="00F45767">
        <w:rPr>
          <w:color w:val="000000" w:themeColor="text1"/>
        </w:rPr>
        <w:t>w</w:t>
      </w:r>
      <w:r w:rsidR="001C5089" w:rsidRPr="00F45767">
        <w:rPr>
          <w:color w:val="000000" w:themeColor="text1"/>
          <w:vertAlign w:val="subscript"/>
        </w:rPr>
        <w:t>i</w:t>
      </w:r>
      <w:proofErr w:type="spellEnd"/>
      <w:proofErr w:type="gramEnd"/>
      <w:r w:rsidR="001C5089" w:rsidRPr="00F45767">
        <w:rPr>
          <w:color w:val="000000" w:themeColor="text1"/>
        </w:rPr>
        <w:t xml:space="preserve">) </w:t>
      </w:r>
      <w:r w:rsidR="0030047E" w:rsidRPr="00F45767">
        <w:rPr>
          <w:color w:val="000000" w:themeColor="text1"/>
        </w:rPr>
        <w:t xml:space="preserve">of </w:t>
      </w:r>
      <w:r w:rsidRPr="00F45767">
        <w:rPr>
          <w:color w:val="000000" w:themeColor="text1"/>
        </w:rPr>
        <w:t>gum</w:t>
      </w:r>
      <w:r w:rsidR="0030047E" w:rsidRPr="00F45767">
        <w:rPr>
          <w:color w:val="000000" w:themeColor="text1"/>
        </w:rPr>
        <w:t xml:space="preserve"> </w:t>
      </w:r>
      <w:proofErr w:type="spellStart"/>
      <w:r w:rsidR="0030047E" w:rsidRPr="00F45767">
        <w:rPr>
          <w:color w:val="000000" w:themeColor="text1"/>
        </w:rPr>
        <w:t>arabic</w:t>
      </w:r>
      <w:proofErr w:type="spellEnd"/>
      <w:r w:rsidRPr="00F45767">
        <w:rPr>
          <w:color w:val="000000" w:themeColor="text1"/>
        </w:rPr>
        <w:t xml:space="preserve">, gelatin and </w:t>
      </w:r>
      <w:proofErr w:type="spellStart"/>
      <w:r w:rsidRPr="00F45767">
        <w:rPr>
          <w:color w:val="000000" w:themeColor="text1"/>
        </w:rPr>
        <w:t>pequi</w:t>
      </w:r>
      <w:proofErr w:type="spellEnd"/>
      <w:r w:rsidRPr="00F45767">
        <w:rPr>
          <w:color w:val="000000" w:themeColor="text1"/>
        </w:rPr>
        <w:t xml:space="preserve"> oil</w:t>
      </w:r>
      <w:r w:rsidR="00B2075E">
        <w:rPr>
          <w:color w:val="000000" w:themeColor="text1"/>
        </w:rPr>
        <w:t xml:space="preserve">, see </w:t>
      </w:r>
      <w:proofErr w:type="spellStart"/>
      <w:r w:rsidR="00B2075E">
        <w:rPr>
          <w:color w:val="000000" w:themeColor="text1"/>
        </w:rPr>
        <w:t>eguation</w:t>
      </w:r>
      <w:proofErr w:type="spellEnd"/>
      <w:r w:rsidR="00B2075E">
        <w:rPr>
          <w:color w:val="000000" w:themeColor="text1"/>
        </w:rPr>
        <w:t xml:space="preserve"> 1</w:t>
      </w:r>
      <w:r w:rsidRPr="00F45767">
        <w:rPr>
          <w:color w:val="000000" w:themeColor="text1"/>
        </w:rPr>
        <w:t xml:space="preserve"> (H</w:t>
      </w:r>
      <w:r w:rsidR="00161ACD">
        <w:rPr>
          <w:color w:val="000000" w:themeColor="text1"/>
        </w:rPr>
        <w:t>uang</w:t>
      </w:r>
      <w:r w:rsidRPr="00F45767">
        <w:rPr>
          <w:color w:val="000000" w:themeColor="text1"/>
        </w:rPr>
        <w:t xml:space="preserve"> et al., 2012).</w:t>
      </w:r>
    </w:p>
    <w:tbl>
      <w:tblPr>
        <w:tblW w:w="5000" w:type="pct"/>
        <w:tblLook w:val="04A0" w:firstRow="1" w:lastRow="0" w:firstColumn="1" w:lastColumn="0" w:noHBand="0" w:noVBand="1"/>
      </w:tblPr>
      <w:tblGrid>
        <w:gridCol w:w="8188"/>
        <w:gridCol w:w="815"/>
      </w:tblGrid>
      <w:tr w:rsidR="009C5635" w:rsidRPr="00B57B36" w:rsidTr="00C67F9D">
        <w:tc>
          <w:tcPr>
            <w:tcW w:w="8188" w:type="dxa"/>
            <w:shd w:val="clear" w:color="auto" w:fill="auto"/>
            <w:vAlign w:val="center"/>
          </w:tcPr>
          <w:p w:rsidR="009C5635" w:rsidRPr="009C5635" w:rsidRDefault="009C5635" w:rsidP="0030047E">
            <w:pPr>
              <w:pStyle w:val="CETEquation"/>
              <w:rPr>
                <w:rFonts w:cs="Arial"/>
              </w:rPr>
            </w:pPr>
            <m:oMathPara>
              <m:oMathParaPr>
                <m:jc m:val="left"/>
              </m:oMathParaPr>
              <m:oMath>
                <m:r>
                  <w:rPr>
                    <w:rFonts w:ascii="Cambria Math" w:hAnsi="Cambria Math" w:cs="Arial"/>
                    <w:szCs w:val="18"/>
                  </w:rPr>
                  <m:t>Y (%)</m:t>
                </m:r>
                <m:r>
                  <m:rPr>
                    <m:sty m:val="p"/>
                  </m:rP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f</m:t>
                        </m:r>
                      </m:sub>
                    </m:sSub>
                  </m:num>
                  <m:den>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i</m:t>
                        </m:r>
                      </m:sub>
                    </m:sSub>
                  </m:den>
                </m:f>
                <m:r>
                  <w:rPr>
                    <w:rFonts w:ascii="Cambria Math" w:hAnsi="Cambria Math" w:cs="Arial"/>
                    <w:szCs w:val="18"/>
                  </w:rPr>
                  <m:t>x</m:t>
                </m:r>
                <m:r>
                  <m:rPr>
                    <m:sty m:val="p"/>
                  </m:rPr>
                  <w:rPr>
                    <w:rFonts w:ascii="Cambria Math" w:hAnsi="Cambria Math" w:cs="Arial"/>
                    <w:szCs w:val="18"/>
                  </w:rPr>
                  <m:t xml:space="preserve"> 100</m:t>
                </m:r>
              </m:oMath>
            </m:oMathPara>
          </w:p>
        </w:tc>
        <w:tc>
          <w:tcPr>
            <w:tcW w:w="815" w:type="dxa"/>
            <w:shd w:val="clear" w:color="auto" w:fill="auto"/>
            <w:vAlign w:val="center"/>
          </w:tcPr>
          <w:p w:rsidR="009C5635" w:rsidRPr="00B57B36" w:rsidRDefault="009C5635" w:rsidP="00C67F9D">
            <w:pPr>
              <w:pStyle w:val="CETEquation"/>
              <w:jc w:val="right"/>
            </w:pPr>
            <w:r w:rsidRPr="00B57B36">
              <w:t>(1)</w:t>
            </w:r>
          </w:p>
        </w:tc>
      </w:tr>
    </w:tbl>
    <w:p w:rsidR="009C5635" w:rsidRDefault="009C5635" w:rsidP="00676044">
      <w:pPr>
        <w:pStyle w:val="CETBodytext"/>
      </w:pPr>
      <w:r w:rsidRPr="009C5635">
        <w:t xml:space="preserve">The </w:t>
      </w:r>
      <w:r w:rsidR="00430F1B">
        <w:t xml:space="preserve">encapsulation </w:t>
      </w:r>
      <w:r w:rsidRPr="009C5635">
        <w:t xml:space="preserve">efficiency </w:t>
      </w:r>
      <w:r w:rsidR="00430F1B">
        <w:t>(EE)</w:t>
      </w:r>
      <w:r>
        <w:t xml:space="preserve">, </w:t>
      </w:r>
      <w:r w:rsidR="00430F1B">
        <w:t xml:space="preserve">the amount of </w:t>
      </w:r>
      <w:r>
        <w:t xml:space="preserve">oil </w:t>
      </w:r>
      <w:r w:rsidRPr="009C5635">
        <w:t xml:space="preserve">retained in the structure of the biopolymer matrix, </w:t>
      </w:r>
      <w:r w:rsidR="00430F1B">
        <w:t xml:space="preserve">was calculated with the use of </w:t>
      </w:r>
      <w:r>
        <w:t xml:space="preserve">Equation </w:t>
      </w:r>
      <w:r w:rsidRPr="009C5635">
        <w:t xml:space="preserve">2, being </w:t>
      </w:r>
      <w:proofErr w:type="spellStart"/>
      <w:proofErr w:type="gramStart"/>
      <w:r w:rsidRPr="009C5635">
        <w:t>O</w:t>
      </w:r>
      <w:r w:rsidR="00430F1B" w:rsidRPr="00430F1B">
        <w:rPr>
          <w:vertAlign w:val="subscript"/>
        </w:rPr>
        <w:t>t</w:t>
      </w:r>
      <w:proofErr w:type="spellEnd"/>
      <w:proofErr w:type="gramEnd"/>
      <w:r w:rsidRPr="009C5635">
        <w:t xml:space="preserve"> the </w:t>
      </w:r>
      <w:r w:rsidR="00430F1B">
        <w:t xml:space="preserve">total </w:t>
      </w:r>
      <w:r w:rsidRPr="009C5635">
        <w:t xml:space="preserve">amount </w:t>
      </w:r>
      <w:r w:rsidR="00430F1B">
        <w:t xml:space="preserve">and </w:t>
      </w:r>
      <w:proofErr w:type="spellStart"/>
      <w:r w:rsidR="00430F1B">
        <w:t>O</w:t>
      </w:r>
      <w:r w:rsidR="00430F1B" w:rsidRPr="00430F1B">
        <w:rPr>
          <w:vertAlign w:val="subscript"/>
        </w:rPr>
        <w:t>s</w:t>
      </w:r>
      <w:proofErr w:type="spellEnd"/>
      <w:r w:rsidR="00430F1B">
        <w:t xml:space="preserve"> the</w:t>
      </w:r>
      <w:r w:rsidRPr="009C5635">
        <w:t xml:space="preserve"> surface oil.</w:t>
      </w:r>
      <w:r w:rsidR="00430F1B">
        <w:t xml:space="preserve"> The oil analyses w</w:t>
      </w:r>
      <w:r w:rsidR="00F45767">
        <w:t>ere</w:t>
      </w:r>
      <w:r w:rsidR="00430F1B">
        <w:t xml:space="preserve"> performed with the methodology described by Bligh and Dyer (1959), adapted by </w:t>
      </w:r>
      <w:proofErr w:type="spellStart"/>
      <w:r w:rsidR="001D2F3B">
        <w:t>Comunian</w:t>
      </w:r>
      <w:proofErr w:type="spellEnd"/>
      <w:r w:rsidR="00430F1B">
        <w:t xml:space="preserve"> et al. (2018). </w:t>
      </w:r>
      <w:r w:rsidR="0074143D">
        <w:t>The surface oil analyses w</w:t>
      </w:r>
      <w:r w:rsidR="00F45767">
        <w:t>ere</w:t>
      </w:r>
      <w:r w:rsidR="0074143D">
        <w:t xml:space="preserve"> performed without </w:t>
      </w:r>
      <w:r w:rsidR="00430F1B">
        <w:t>disruption of the dried microcapsules</w:t>
      </w:r>
      <w:r w:rsidR="0074143D">
        <w:t>, while the total oil analyses w</w:t>
      </w:r>
      <w:r w:rsidR="00F45767">
        <w:t>ere</w:t>
      </w:r>
      <w:r w:rsidR="0074143D">
        <w:t xml:space="preserve"> performed with disruption of</w:t>
      </w:r>
      <w:r w:rsidR="00430F1B">
        <w:t xml:space="preserve"> </w:t>
      </w:r>
      <w:r w:rsidR="0030047E">
        <w:t>the capsules.</w:t>
      </w:r>
      <w:r w:rsidR="0074143D">
        <w:t xml:space="preserve"> </w:t>
      </w:r>
    </w:p>
    <w:tbl>
      <w:tblPr>
        <w:tblW w:w="5000" w:type="pct"/>
        <w:tblLook w:val="04A0" w:firstRow="1" w:lastRow="0" w:firstColumn="1" w:lastColumn="0" w:noHBand="0" w:noVBand="1"/>
      </w:tblPr>
      <w:tblGrid>
        <w:gridCol w:w="8188"/>
        <w:gridCol w:w="815"/>
      </w:tblGrid>
      <w:tr w:rsidR="009C5635" w:rsidRPr="00B57B36" w:rsidTr="00C67F9D">
        <w:tc>
          <w:tcPr>
            <w:tcW w:w="8188" w:type="dxa"/>
            <w:shd w:val="clear" w:color="auto" w:fill="auto"/>
            <w:vAlign w:val="center"/>
          </w:tcPr>
          <w:p w:rsidR="009C5635" w:rsidRPr="009C5635" w:rsidRDefault="009C5635" w:rsidP="00430F1B">
            <w:pPr>
              <w:pStyle w:val="CETEquation"/>
              <w:rPr>
                <w:rFonts w:cs="Arial"/>
              </w:rPr>
            </w:pPr>
            <m:oMathPara>
              <m:oMathParaPr>
                <m:jc m:val="left"/>
              </m:oMathParaPr>
              <m:oMath>
                <m:r>
                  <w:rPr>
                    <w:rFonts w:ascii="Cambria Math" w:hAnsi="Cambria Math" w:cs="Arial"/>
                    <w:szCs w:val="18"/>
                  </w:rPr>
                  <m:t>EE (%)</m:t>
                </m:r>
                <m:r>
                  <m:rPr>
                    <m:sty m:val="p"/>
                  </m:rP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sSub>
                          <m:sSubPr>
                            <m:ctrlPr>
                              <w:rPr>
                                <w:rFonts w:ascii="Cambria Math" w:hAnsi="Cambria Math" w:cs="Arial"/>
                                <w:i/>
                                <w:szCs w:val="18"/>
                              </w:rPr>
                            </m:ctrlPr>
                          </m:sSubPr>
                          <m:e>
                            <m:r>
                              <w:rPr>
                                <w:rFonts w:ascii="Cambria Math" w:hAnsi="Cambria Math" w:cs="Arial"/>
                                <w:szCs w:val="18"/>
                              </w:rPr>
                              <m:t>O</m:t>
                            </m:r>
                          </m:e>
                          <m:sub>
                            <m:r>
                              <w:rPr>
                                <w:rFonts w:ascii="Cambria Math" w:hAnsi="Cambria Math" w:cs="Arial"/>
                                <w:szCs w:val="18"/>
                              </w:rPr>
                              <m:t>t</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O</m:t>
                            </m:r>
                          </m:e>
                          <m:sub>
                            <m:r>
                              <w:rPr>
                                <w:rFonts w:ascii="Cambria Math" w:hAnsi="Cambria Math" w:cs="Arial"/>
                                <w:szCs w:val="18"/>
                              </w:rPr>
                              <m:t>s</m:t>
                            </m:r>
                          </m:sub>
                        </m:sSub>
                      </m:e>
                      <m:sub>
                        <m:r>
                          <w:rPr>
                            <w:rFonts w:ascii="Cambria Math" w:hAnsi="Cambria Math" w:cs="Arial"/>
                            <w:color w:val="FFFFFF" w:themeColor="background1"/>
                            <w:szCs w:val="18"/>
                          </w:rPr>
                          <m:t>o</m:t>
                        </m:r>
                      </m:sub>
                    </m:sSub>
                  </m:num>
                  <m:den>
                    <m:sSub>
                      <m:sSubPr>
                        <m:ctrlPr>
                          <w:rPr>
                            <w:rFonts w:ascii="Cambria Math" w:hAnsi="Cambria Math" w:cs="Arial"/>
                            <w:i/>
                            <w:szCs w:val="18"/>
                          </w:rPr>
                        </m:ctrlPr>
                      </m:sSubPr>
                      <m:e>
                        <m:r>
                          <w:rPr>
                            <w:rFonts w:ascii="Cambria Math" w:hAnsi="Cambria Math" w:cs="Arial"/>
                            <w:szCs w:val="18"/>
                          </w:rPr>
                          <m:t>O</m:t>
                        </m:r>
                      </m:e>
                      <m:sub>
                        <m:r>
                          <w:rPr>
                            <w:rFonts w:ascii="Cambria Math" w:hAnsi="Cambria Math" w:cs="Arial"/>
                            <w:szCs w:val="18"/>
                          </w:rPr>
                          <m:t>t</m:t>
                        </m:r>
                      </m:sub>
                    </m:sSub>
                  </m:den>
                </m:f>
                <m:r>
                  <w:rPr>
                    <w:rFonts w:ascii="Cambria Math" w:hAnsi="Cambria Math" w:cs="Arial"/>
                    <w:szCs w:val="18"/>
                  </w:rPr>
                  <m:t>x</m:t>
                </m:r>
                <m:r>
                  <m:rPr>
                    <m:sty m:val="p"/>
                  </m:rPr>
                  <w:rPr>
                    <w:rFonts w:ascii="Cambria Math" w:hAnsi="Cambria Math" w:cs="Arial"/>
                    <w:szCs w:val="18"/>
                  </w:rPr>
                  <m:t xml:space="preserve"> 100</m:t>
                </m:r>
              </m:oMath>
            </m:oMathPara>
          </w:p>
        </w:tc>
        <w:tc>
          <w:tcPr>
            <w:tcW w:w="815" w:type="dxa"/>
            <w:shd w:val="clear" w:color="auto" w:fill="auto"/>
            <w:vAlign w:val="center"/>
          </w:tcPr>
          <w:p w:rsidR="009C5635" w:rsidRPr="00B57B36" w:rsidRDefault="009C5635" w:rsidP="009C5635">
            <w:pPr>
              <w:pStyle w:val="CETEquation"/>
              <w:jc w:val="right"/>
            </w:pPr>
            <w:r w:rsidRPr="00B57B36">
              <w:t>(</w:t>
            </w:r>
            <w:r>
              <w:t>2</w:t>
            </w:r>
            <w:r w:rsidRPr="00B57B36">
              <w:t>)</w:t>
            </w:r>
          </w:p>
        </w:tc>
      </w:tr>
    </w:tbl>
    <w:p w:rsidR="009C5635" w:rsidRDefault="0074143D" w:rsidP="00676044">
      <w:pPr>
        <w:pStyle w:val="CETBodytext"/>
      </w:pPr>
      <w:r w:rsidRPr="0074143D">
        <w:t xml:space="preserve">The experimental results were analyzed using the </w:t>
      </w:r>
      <w:proofErr w:type="spellStart"/>
      <w:r w:rsidRPr="0074143D">
        <w:t>Statistica</w:t>
      </w:r>
      <w:proofErr w:type="spellEnd"/>
      <w:r w:rsidRPr="0074143D">
        <w:t xml:space="preserve"> v</w:t>
      </w:r>
      <w:r>
        <w:t>.</w:t>
      </w:r>
      <w:r w:rsidR="00943285">
        <w:t xml:space="preserve"> 8.0 (</w:t>
      </w:r>
      <w:proofErr w:type="spellStart"/>
      <w:r w:rsidR="00943285">
        <w:t>Statsoft</w:t>
      </w:r>
      <w:proofErr w:type="spellEnd"/>
      <w:r w:rsidRPr="0074143D">
        <w:t xml:space="preserve"> Inc., </w:t>
      </w:r>
      <w:r w:rsidR="00943285">
        <w:t>US</w:t>
      </w:r>
      <w:r w:rsidRPr="0074143D">
        <w:t>A)</w:t>
      </w:r>
      <w:r>
        <w:t xml:space="preserve">, with </w:t>
      </w:r>
      <w:r w:rsidRPr="0074143D">
        <w:t xml:space="preserve">variance analysis (ANOVA) and Turkey </w:t>
      </w:r>
      <w:r>
        <w:t xml:space="preserve">test, with a 5% </w:t>
      </w:r>
      <w:r w:rsidRPr="0074143D">
        <w:t>significance level.</w:t>
      </w:r>
    </w:p>
    <w:p w:rsidR="006D5456" w:rsidRDefault="006D5456" w:rsidP="00676044">
      <w:pPr>
        <w:pStyle w:val="CETBodytext"/>
      </w:pPr>
    </w:p>
    <w:p w:rsidR="00AA48AE" w:rsidRPr="006D5456" w:rsidRDefault="0074143D" w:rsidP="006D5456">
      <w:pPr>
        <w:pStyle w:val="CETHeading1"/>
        <w:tabs>
          <w:tab w:val="num" w:pos="360"/>
        </w:tabs>
        <w:spacing w:before="0"/>
        <w:rPr>
          <w:sz w:val="18"/>
        </w:rPr>
      </w:pPr>
      <w:r w:rsidRPr="006D5456">
        <w:rPr>
          <w:sz w:val="18"/>
        </w:rPr>
        <w:t>Results and discussion</w:t>
      </w:r>
    </w:p>
    <w:p w:rsidR="00197A27" w:rsidRDefault="00A63B40" w:rsidP="00DE1ACD">
      <w:pPr>
        <w:pStyle w:val="CETBodytext"/>
      </w:pPr>
      <w:r>
        <w:t>In t</w:t>
      </w:r>
      <w:r w:rsidR="00DE1ACD">
        <w:t xml:space="preserve">he </w:t>
      </w:r>
      <w:r w:rsidR="001847C3">
        <w:t xml:space="preserve">steps of the complex </w:t>
      </w:r>
      <w:proofErr w:type="spellStart"/>
      <w:r w:rsidR="001847C3">
        <w:t>coacervation</w:t>
      </w:r>
      <w:proofErr w:type="spellEnd"/>
      <w:r w:rsidR="001847C3">
        <w:t xml:space="preserve">, shown in </w:t>
      </w:r>
      <w:r w:rsidR="00DE1ACD">
        <w:t>Figure 1</w:t>
      </w:r>
      <w:r w:rsidR="001847C3">
        <w:t>,</w:t>
      </w:r>
      <w:r w:rsidR="00DE1ACD">
        <w:t xml:space="preserve"> </w:t>
      </w:r>
      <w:r w:rsidR="00197A27">
        <w:t>the treatments (line A in the picture) s</w:t>
      </w:r>
      <w:r w:rsidR="001847C3">
        <w:t>hortly</w:t>
      </w:r>
      <w:r w:rsidR="00197A27">
        <w:t xml:space="preserve"> after </w:t>
      </w:r>
      <w:r w:rsidR="001847C3">
        <w:t xml:space="preserve">the </w:t>
      </w:r>
      <w:r w:rsidR="00F51086">
        <w:t>pH adjustment</w:t>
      </w:r>
      <w:r w:rsidR="00197A27">
        <w:t xml:space="preserve"> </w:t>
      </w:r>
      <w:r w:rsidR="001847C3">
        <w:t xml:space="preserve">and turbidity can be observed </w:t>
      </w:r>
      <w:r w:rsidR="00197A27">
        <w:t>caused</w:t>
      </w:r>
      <w:r w:rsidR="00DE1ACD">
        <w:t xml:space="preserve"> </w:t>
      </w:r>
      <w:r w:rsidR="001847C3">
        <w:t>by the progress</w:t>
      </w:r>
      <w:r w:rsidR="00DE1ACD">
        <w:t xml:space="preserve"> of the precipitation process</w:t>
      </w:r>
      <w:r>
        <w:t>. The</w:t>
      </w:r>
      <w:r w:rsidR="001847C3">
        <w:t xml:space="preserve"> </w:t>
      </w:r>
      <w:r w:rsidR="00DE1ACD">
        <w:t>biopolymers expel</w:t>
      </w:r>
      <w:r w:rsidR="00B2075E">
        <w:t>led</w:t>
      </w:r>
      <w:r w:rsidR="00DE1ACD">
        <w:t xml:space="preserve"> the intermolecular water, increasing the entropy of the system, leaving the solution cloud</w:t>
      </w:r>
      <w:r w:rsidR="009A7EF1">
        <w:t>ed</w:t>
      </w:r>
      <w:r w:rsidR="00DE1ACD">
        <w:t xml:space="preserve"> and</w:t>
      </w:r>
      <w:r w:rsidR="009A7EF1">
        <w:t xml:space="preserve"> </w:t>
      </w:r>
      <w:r w:rsidR="00DE1ACD">
        <w:t>the</w:t>
      </w:r>
      <w:r w:rsidR="009A7EF1">
        <w:t>n</w:t>
      </w:r>
      <w:r w:rsidR="00DE1ACD">
        <w:t xml:space="preserve"> aggregate</w:t>
      </w:r>
      <w:r w:rsidR="009A7EF1">
        <w:t>d</w:t>
      </w:r>
      <w:r w:rsidR="00DE1ACD">
        <w:t xml:space="preserve"> as a natural form of energy loss, decreasing entropy (S</w:t>
      </w:r>
      <w:r w:rsidR="00197A27">
        <w:t>ingh et al.,</w:t>
      </w:r>
      <w:r w:rsidR="00DE1ACD">
        <w:t xml:space="preserve"> 2007)</w:t>
      </w:r>
      <w:r w:rsidR="009A7EF1">
        <w:t xml:space="preserve"> and </w:t>
      </w:r>
      <w:r w:rsidR="00197A27">
        <w:t xml:space="preserve">resulting in </w:t>
      </w:r>
      <w:r w:rsidR="00DE1ACD">
        <w:t>two heterogeneous regions - one poor and one rich in polymers (</w:t>
      </w:r>
      <w:r w:rsidR="00197A27">
        <w:t>line B in the picture</w:t>
      </w:r>
      <w:r w:rsidR="00DE1ACD">
        <w:t>).</w:t>
      </w:r>
      <w:r w:rsidR="00197A27">
        <w:t xml:space="preserve"> </w:t>
      </w:r>
    </w:p>
    <w:p w:rsidR="00D71BBA" w:rsidRDefault="00160467" w:rsidP="00D71BBA">
      <w:pPr>
        <w:pStyle w:val="CETBodytext"/>
      </w:pPr>
      <w:r w:rsidRPr="00160467">
        <w:t>Greater or lesser reaction space for CC may present divergent arguments. It is known that the oil hinders the electrostatic interactions between the polymers (</w:t>
      </w:r>
      <w:proofErr w:type="spellStart"/>
      <w:r w:rsidRPr="00160467">
        <w:t>G</w:t>
      </w:r>
      <w:r w:rsidR="00F51086">
        <w:t>onçalves</w:t>
      </w:r>
      <w:proofErr w:type="spellEnd"/>
      <w:r w:rsidRPr="00160467">
        <w:t xml:space="preserve"> et al., 2018; S</w:t>
      </w:r>
      <w:r w:rsidR="00F51086">
        <w:t>hi</w:t>
      </w:r>
      <w:r w:rsidRPr="00160467">
        <w:t xml:space="preserve"> et al., 2018); the smaller and </w:t>
      </w:r>
      <w:r w:rsidRPr="00160467">
        <w:lastRenderedPageBreak/>
        <w:t>more emulsified the oil droplets in the system, the better the encapsulation. For this reason, the use of a large reaction volume is important because it increases the distance of the oil micelles, making coalescence difficult, which improves the encapsulation of the c</w:t>
      </w:r>
      <w:r w:rsidR="00756742">
        <w:t>ore</w:t>
      </w:r>
      <w:r w:rsidRPr="00160467">
        <w:t xml:space="preserve"> compound.</w:t>
      </w:r>
      <w:r>
        <w:t xml:space="preserve"> </w:t>
      </w:r>
      <w:r w:rsidR="00D71BBA">
        <w:t xml:space="preserve">The opposite </w:t>
      </w:r>
      <w:r w:rsidR="00F51086">
        <w:t>argumentation</w:t>
      </w:r>
      <w:r w:rsidR="00D71BBA">
        <w:t xml:space="preserve"> is that </w:t>
      </w:r>
      <w:r w:rsidR="00756742">
        <w:t>a</w:t>
      </w:r>
      <w:r w:rsidR="00D71BBA">
        <w:t xml:space="preserve"> smaller reaction volume decreases the space between charges, increasing the chances of interaction of the polymers.</w:t>
      </w:r>
    </w:p>
    <w:p w:rsidR="00DE1ACD" w:rsidRDefault="00D71BBA" w:rsidP="00D71BBA">
      <w:pPr>
        <w:pStyle w:val="CETBodytext"/>
      </w:pPr>
      <w:r>
        <w:t xml:space="preserve">In this study, the variation of the reaction volume after emulsion homogenization did not affect the formation of the precipitate complex at pH 3.5. Thus, it was observed that, in all the reaction volumes studied, there was precipitation of </w:t>
      </w:r>
      <w:proofErr w:type="spellStart"/>
      <w:r>
        <w:t>pequi</w:t>
      </w:r>
      <w:proofErr w:type="spellEnd"/>
      <w:r>
        <w:t xml:space="preserve"> oil microcapsules.</w:t>
      </w:r>
    </w:p>
    <w:p w:rsidR="00B22A7B" w:rsidRPr="00D71BBA" w:rsidRDefault="00B22A7B" w:rsidP="006119D2">
      <w:pPr>
        <w:pStyle w:val="CETBodytext"/>
        <w:jc w:val="left"/>
      </w:pPr>
    </w:p>
    <w:p w:rsidR="006119D2" w:rsidRPr="00B57B36" w:rsidRDefault="006119D2" w:rsidP="006119D2">
      <w:pPr>
        <w:pStyle w:val="CETBodytext"/>
        <w:jc w:val="left"/>
        <w:rPr>
          <w:lang w:val="en-GB"/>
        </w:rPr>
      </w:pPr>
      <w:r>
        <w:rPr>
          <w:noProof/>
        </w:rPr>
        <w:drawing>
          <wp:inline distT="0" distB="0" distL="0" distR="0" wp14:anchorId="0960AEE4" wp14:editId="5D2209AA">
            <wp:extent cx="4857292" cy="2762164"/>
            <wp:effectExtent l="0" t="0" r="635"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5597" cy="2761200"/>
                    </a:xfrm>
                    <a:prstGeom prst="rect">
                      <a:avLst/>
                    </a:prstGeom>
                    <a:noFill/>
                  </pic:spPr>
                </pic:pic>
              </a:graphicData>
            </a:graphic>
          </wp:inline>
        </w:drawing>
      </w:r>
    </w:p>
    <w:p w:rsidR="006119D2" w:rsidRDefault="006119D2" w:rsidP="006119D2">
      <w:pPr>
        <w:pStyle w:val="CETCaption"/>
      </w:pPr>
      <w:r w:rsidRPr="00B57B36">
        <w:t xml:space="preserve">Figure 1: </w:t>
      </w:r>
      <w:r w:rsidRPr="00676044">
        <w:t xml:space="preserve">Treatments </w:t>
      </w:r>
      <w:r w:rsidR="001672DB">
        <w:t xml:space="preserve">1-4 (reaction volume of </w:t>
      </w:r>
      <w:r w:rsidRPr="00676044">
        <w:t>200, 300, 400 and 600 mL</w:t>
      </w:r>
      <w:r w:rsidR="001672DB">
        <w:t xml:space="preserve">), being line A: </w:t>
      </w:r>
      <w:r w:rsidRPr="00676044">
        <w:t xml:space="preserve">soon after pH correction </w:t>
      </w:r>
      <w:r w:rsidR="001672DB">
        <w:t xml:space="preserve">up to </w:t>
      </w:r>
      <w:r w:rsidRPr="00676044">
        <w:t>3</w:t>
      </w:r>
      <w:proofErr w:type="gramStart"/>
      <w:r w:rsidRPr="00676044">
        <w:t>,5</w:t>
      </w:r>
      <w:proofErr w:type="gramEnd"/>
      <w:r w:rsidR="001672DB">
        <w:t>; line B</w:t>
      </w:r>
      <w:r w:rsidR="00197A27">
        <w:t>:</w:t>
      </w:r>
      <w:r w:rsidRPr="00676044">
        <w:t xml:space="preserve"> after overnight</w:t>
      </w:r>
      <w:r w:rsidR="00197A27">
        <w:t xml:space="preserve">; line C: </w:t>
      </w:r>
      <w:r w:rsidRPr="00676044">
        <w:t>after centrifugation and</w:t>
      </w:r>
      <w:r w:rsidR="00197A27">
        <w:t xml:space="preserve"> freeze-drying.</w:t>
      </w:r>
    </w:p>
    <w:p w:rsidR="00DF20C3" w:rsidRDefault="00DF20C3" w:rsidP="00DF20C3">
      <w:pPr>
        <w:pStyle w:val="CETheadingx"/>
      </w:pPr>
      <w:r>
        <w:t>Zeta (ζ)</w:t>
      </w:r>
    </w:p>
    <w:p w:rsidR="0074143D" w:rsidRPr="00FB3F49" w:rsidRDefault="00FB3F49" w:rsidP="00FB3F49">
      <w:pPr>
        <w:pStyle w:val="CETBodytext"/>
      </w:pPr>
      <w:r w:rsidRPr="00FB3F49">
        <w:t xml:space="preserve">The zeta potential results are presented in Table 1 and ranged from 0.20 to 0.65 (m / V), with no significant difference (p &lt;0.05). When a zeta value is closer to zero, complex </w:t>
      </w:r>
      <w:proofErr w:type="spellStart"/>
      <w:r w:rsidRPr="00FB3F49">
        <w:t>coacervation</w:t>
      </w:r>
      <w:proofErr w:type="spellEnd"/>
      <w:r w:rsidRPr="00FB3F49">
        <w:t xml:space="preserve"> is considered ideal (</w:t>
      </w:r>
      <w:proofErr w:type="spellStart"/>
      <w:r w:rsidRPr="00FB3F49">
        <w:t>Eghbal</w:t>
      </w:r>
      <w:proofErr w:type="spellEnd"/>
      <w:r w:rsidRPr="00FB3F49">
        <w:t xml:space="preserve"> and </w:t>
      </w:r>
      <w:proofErr w:type="spellStart"/>
      <w:r w:rsidRPr="00FB3F49">
        <w:t>Choudhary</w:t>
      </w:r>
      <w:proofErr w:type="spellEnd"/>
      <w:r w:rsidRPr="00FB3F49">
        <w:t xml:space="preserve">, 2018; </w:t>
      </w:r>
      <w:proofErr w:type="spellStart"/>
      <w:r w:rsidRPr="00FB3F49">
        <w:t>Gonçalves</w:t>
      </w:r>
      <w:proofErr w:type="spellEnd"/>
      <w:r w:rsidRPr="00FB3F49">
        <w:t xml:space="preserve"> et al., 2018). All treatments presented loads close to zero, indicating that the encapsulation of the samples was effective. Thus, it can be inferred that there was no direct relationship between the reaction volume variation and the zeta potential. The interactions between the biopolymer pairs occurred regardless of the reaction space. Specifically, T4, with higher reaction volume and lower concentration, had the highest interaction with a lower value of ζ. In turn, this suggests that low concentrations are sufficient to promote the formation of complex </w:t>
      </w:r>
      <w:proofErr w:type="spellStart"/>
      <w:r w:rsidRPr="00FB3F49">
        <w:t>coacervates</w:t>
      </w:r>
      <w:proofErr w:type="spellEnd"/>
      <w:r w:rsidRPr="00FB3F49">
        <w:t xml:space="preserve"> (</w:t>
      </w:r>
      <w:proofErr w:type="spellStart"/>
      <w:r w:rsidRPr="00FB3F49">
        <w:t>Gulão</w:t>
      </w:r>
      <w:proofErr w:type="spellEnd"/>
      <w:r w:rsidRPr="00FB3F49">
        <w:t xml:space="preserve"> et al., 2016). Yang et al.</w:t>
      </w:r>
      <w:r w:rsidR="00565A5C">
        <w:t>,</w:t>
      </w:r>
      <w:r w:rsidRPr="00FB3F49">
        <w:t xml:space="preserve"> (2012) evaluated the interactions between gum </w:t>
      </w:r>
      <w:proofErr w:type="spellStart"/>
      <w:r w:rsidRPr="00FB3F49">
        <w:t>arabic</w:t>
      </w:r>
      <w:proofErr w:type="spellEnd"/>
      <w:r w:rsidRPr="00FB3F49">
        <w:t xml:space="preserve"> and fish </w:t>
      </w:r>
      <w:r w:rsidRPr="00756742">
        <w:rPr>
          <w:color w:val="000000" w:themeColor="text1"/>
        </w:rPr>
        <w:t>gelatin</w:t>
      </w:r>
      <w:r w:rsidRPr="00FB3F49">
        <w:t xml:space="preserve"> and obtained similar results with 0.05% (w / v) polymers. In addition, </w:t>
      </w:r>
      <w:proofErr w:type="spellStart"/>
      <w:r w:rsidRPr="00FB3F49">
        <w:t>Gulão</w:t>
      </w:r>
      <w:proofErr w:type="spellEnd"/>
      <w:r w:rsidRPr="00FB3F49">
        <w:t xml:space="preserve"> et al.</w:t>
      </w:r>
      <w:r w:rsidR="00565A5C">
        <w:t>,</w:t>
      </w:r>
      <w:r w:rsidRPr="00FB3F49">
        <w:t xml:space="preserve"> (2016), obtained similar results in complex </w:t>
      </w:r>
      <w:proofErr w:type="spellStart"/>
      <w:r w:rsidRPr="00FB3F49">
        <w:t>coacervation</w:t>
      </w:r>
      <w:proofErr w:type="spellEnd"/>
      <w:r w:rsidRPr="00FB3F49">
        <w:t xml:space="preserve"> with gum </w:t>
      </w:r>
      <w:proofErr w:type="spellStart"/>
      <w:r w:rsidRPr="00FB3F49">
        <w:t>arabic</w:t>
      </w:r>
      <w:proofErr w:type="spellEnd"/>
      <w:r w:rsidRPr="00FB3F49">
        <w:t xml:space="preserve"> and </w:t>
      </w:r>
      <w:proofErr w:type="spellStart"/>
      <w:r w:rsidRPr="00FB3F49">
        <w:t>leucine</w:t>
      </w:r>
      <w:proofErr w:type="spellEnd"/>
      <w:r w:rsidRPr="00FB3F49">
        <w:t>, in concentrations of 0.03 to 0.15% (w / w) at pH of approximately 3.5.</w:t>
      </w:r>
    </w:p>
    <w:p w:rsidR="00087E56" w:rsidRPr="006119D2" w:rsidRDefault="00087E56" w:rsidP="00087E56">
      <w:pPr>
        <w:pStyle w:val="CETheadingx"/>
      </w:pPr>
      <w:r w:rsidRPr="006119D2">
        <w:t>Morphological characterization</w:t>
      </w:r>
    </w:p>
    <w:p w:rsidR="00087E56" w:rsidRPr="006D5456" w:rsidRDefault="003F7315" w:rsidP="006D5456">
      <w:pPr>
        <w:pStyle w:val="CETBodytext"/>
      </w:pPr>
      <w:r w:rsidRPr="003F7315">
        <w:t xml:space="preserve">Figure 2 </w:t>
      </w:r>
      <w:proofErr w:type="gramStart"/>
      <w:r w:rsidRPr="003F7315">
        <w:t>shows</w:t>
      </w:r>
      <w:proofErr w:type="gramEnd"/>
      <w:r w:rsidRPr="003F7315">
        <w:t xml:space="preserve"> that treatments with </w:t>
      </w:r>
      <w:proofErr w:type="spellStart"/>
      <w:r w:rsidRPr="003F7315">
        <w:t>pequi</w:t>
      </w:r>
      <w:proofErr w:type="spellEnd"/>
      <w:r w:rsidRPr="003F7315">
        <w:t xml:space="preserve"> oil microcapsules predominantly formed mononuclear structures. </w:t>
      </w:r>
      <w:proofErr w:type="spellStart"/>
      <w:r w:rsidRPr="003F7315">
        <w:t>Comunian</w:t>
      </w:r>
      <w:proofErr w:type="spellEnd"/>
      <w:r w:rsidRPr="003F7315">
        <w:t xml:space="preserve"> et al. (2018) using gelatin and gum </w:t>
      </w:r>
      <w:proofErr w:type="spellStart"/>
      <w:r w:rsidRPr="003F7315">
        <w:t>arabic</w:t>
      </w:r>
      <w:proofErr w:type="spellEnd"/>
      <w:r w:rsidRPr="003F7315">
        <w:t xml:space="preserve"> to encapsulate opium and β-</w:t>
      </w:r>
      <w:proofErr w:type="spellStart"/>
      <w:r w:rsidRPr="003F7315">
        <w:t>sitosterol</w:t>
      </w:r>
      <w:proofErr w:type="spellEnd"/>
      <w:r w:rsidRPr="003F7315">
        <w:t xml:space="preserve"> seed oil by complex </w:t>
      </w:r>
      <w:proofErr w:type="spellStart"/>
      <w:r w:rsidRPr="003F7315">
        <w:t>coacervation</w:t>
      </w:r>
      <w:proofErr w:type="spellEnd"/>
      <w:r w:rsidRPr="003F7315">
        <w:t xml:space="preserve">, </w:t>
      </w:r>
      <w:r w:rsidR="00331A00">
        <w:t xml:space="preserve">obtained </w:t>
      </w:r>
      <w:proofErr w:type="spellStart"/>
      <w:r w:rsidRPr="003F7315">
        <w:t>microparticles</w:t>
      </w:r>
      <w:proofErr w:type="spellEnd"/>
      <w:r w:rsidRPr="003F7315">
        <w:t xml:space="preserve"> with circular morphology and defined walls, similar to the results of this research, differing only in the number of nuclei </w:t>
      </w:r>
      <w:r w:rsidR="00331A00">
        <w:t xml:space="preserve">as </w:t>
      </w:r>
      <w:proofErr w:type="spellStart"/>
      <w:r w:rsidR="00331A00">
        <w:t>echium</w:t>
      </w:r>
      <w:proofErr w:type="spellEnd"/>
      <w:r w:rsidRPr="003F7315">
        <w:t xml:space="preserve"> microcapsules were </w:t>
      </w:r>
      <w:proofErr w:type="spellStart"/>
      <w:r w:rsidRPr="003F7315">
        <w:t>polynuclear</w:t>
      </w:r>
      <w:proofErr w:type="spellEnd"/>
      <w:r w:rsidRPr="003F7315">
        <w:t>. Other studies also reported a rounded structure for the GE / GA complex, but multinucleated (</w:t>
      </w:r>
      <w:proofErr w:type="spellStart"/>
      <w:r w:rsidRPr="003F7315">
        <w:t>Comunian</w:t>
      </w:r>
      <w:proofErr w:type="spellEnd"/>
      <w:r w:rsidRPr="003F7315">
        <w:t xml:space="preserve"> et al., 2016). Ma et al. (2019) analyzed the effect of processing conditions on morphology during complex gelatin / gum </w:t>
      </w:r>
      <w:proofErr w:type="spellStart"/>
      <w:r w:rsidRPr="003F7315">
        <w:t>arabic</w:t>
      </w:r>
      <w:proofErr w:type="spellEnd"/>
      <w:r w:rsidRPr="003F7315">
        <w:t xml:space="preserve"> </w:t>
      </w:r>
      <w:proofErr w:type="spellStart"/>
      <w:r w:rsidRPr="003F7315">
        <w:t>coacervation</w:t>
      </w:r>
      <w:proofErr w:type="spellEnd"/>
      <w:r w:rsidRPr="003F7315">
        <w:t xml:space="preserve"> and obtained single nucleus microcapsules, similar to this study. The treatments with lower reaction volume (T1 and T2), with higher concentration of GE / GA, presented agglomeration, forming a </w:t>
      </w:r>
      <w:proofErr w:type="spellStart"/>
      <w:r w:rsidRPr="003F7315">
        <w:t>macrosystem</w:t>
      </w:r>
      <w:proofErr w:type="spellEnd"/>
      <w:r w:rsidRPr="003F7315">
        <w:t xml:space="preserve"> similar to a </w:t>
      </w:r>
      <w:proofErr w:type="spellStart"/>
      <w:r w:rsidRPr="003F7315">
        <w:t>polynucleated</w:t>
      </w:r>
      <w:proofErr w:type="spellEnd"/>
      <w:r w:rsidRPr="003F7315">
        <w:t xml:space="preserve"> structure. It is inferred, therefore, that the formation of this structure is a result of the increase in the concentration of the polymers, especially gelatin. </w:t>
      </w:r>
      <w:proofErr w:type="spellStart"/>
      <w:r w:rsidRPr="003F7315">
        <w:t>Gonçalves</w:t>
      </w:r>
      <w:proofErr w:type="spellEnd"/>
      <w:r w:rsidRPr="003F7315">
        <w:t xml:space="preserve"> et al. (2018) reported that as the total concentration of gelatin increases in the system, the charges of the surrounding molecules are neutralized and form a stable gel network. In T3 and T4 treatments, microcapsules are less crowded and irregular, similar to the structure reported by </w:t>
      </w:r>
      <w:proofErr w:type="spellStart"/>
      <w:r w:rsidRPr="003F7315">
        <w:t>Hassana</w:t>
      </w:r>
      <w:proofErr w:type="spellEnd"/>
      <w:r w:rsidRPr="003F7315">
        <w:t xml:space="preserve"> &amp; </w:t>
      </w:r>
      <w:proofErr w:type="spellStart"/>
      <w:r w:rsidRPr="003F7315">
        <w:t>Muhamad</w:t>
      </w:r>
      <w:proofErr w:type="spellEnd"/>
      <w:r w:rsidRPr="003F7315">
        <w:t xml:space="preserve"> (2017). That is, the reaction </w:t>
      </w:r>
      <w:r w:rsidRPr="003F7315">
        <w:lastRenderedPageBreak/>
        <w:t xml:space="preserve">volume did not interfere in the formation of the microcapsules, but in the chemical interaction force of the complex. Having a more aggregate or looser loading complex may be useful for a variety of purposes, for example, more agglomerated </w:t>
      </w:r>
      <w:proofErr w:type="spellStart"/>
      <w:r w:rsidRPr="003F7315">
        <w:t>coacervates</w:t>
      </w:r>
      <w:proofErr w:type="spellEnd"/>
      <w:r w:rsidRPr="003F7315">
        <w:t xml:space="preserve"> (resulting from lower reaction volumes) may be applied to more consistent foods such as yogurts, jellies and cottage cheese; </w:t>
      </w:r>
      <w:proofErr w:type="spellStart"/>
      <w:r w:rsidRPr="003F7315">
        <w:t>coacervates</w:t>
      </w:r>
      <w:proofErr w:type="spellEnd"/>
      <w:r w:rsidRPr="003F7315">
        <w:t xml:space="preserve"> that have high </w:t>
      </w:r>
      <w:proofErr w:type="spellStart"/>
      <w:r w:rsidRPr="003F7315">
        <w:t>dispersibility</w:t>
      </w:r>
      <w:proofErr w:type="spellEnd"/>
      <w:r w:rsidRPr="003F7315">
        <w:t xml:space="preserve"> (resulting from higher reaction volumes) can be applied to more fluid foods, such as juices, dairy drinks, fermented milk, among others.</w:t>
      </w:r>
    </w:p>
    <w:p w:rsidR="0074143D" w:rsidRPr="00B57B36" w:rsidRDefault="0074143D" w:rsidP="00E97F1F">
      <w:pPr>
        <w:pStyle w:val="CETTabletitle"/>
      </w:pPr>
      <w:r w:rsidRPr="00B57B36">
        <w:t xml:space="preserve">Table 1: </w:t>
      </w:r>
      <w:r w:rsidR="002A33B5">
        <w:t xml:space="preserve">Results of encapsulation of </w:t>
      </w:r>
      <w:proofErr w:type="spellStart"/>
      <w:r w:rsidR="002A33B5">
        <w:t>pequi</w:t>
      </w:r>
      <w:proofErr w:type="spellEnd"/>
      <w:r w:rsidR="002A33B5">
        <w:t xml:space="preserve"> oil by complex </w:t>
      </w:r>
      <w:proofErr w:type="spellStart"/>
      <w:r w:rsidR="002A33B5">
        <w:t>coacervation</w:t>
      </w:r>
      <w:proofErr w:type="spellEnd"/>
      <w:r w:rsidR="002A33B5">
        <w:t xml:space="preserve"> </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49"/>
        <w:gridCol w:w="1119"/>
        <w:gridCol w:w="1409"/>
        <w:gridCol w:w="1391"/>
        <w:gridCol w:w="1246"/>
        <w:gridCol w:w="1407"/>
        <w:gridCol w:w="1366"/>
      </w:tblGrid>
      <w:tr w:rsidR="00087E56" w:rsidRPr="00B57B36" w:rsidTr="00087E56">
        <w:tc>
          <w:tcPr>
            <w:tcW w:w="849" w:type="dxa"/>
            <w:tcBorders>
              <w:top w:val="single" w:sz="12" w:space="0" w:color="008000"/>
              <w:bottom w:val="single" w:sz="6" w:space="0" w:color="008000"/>
            </w:tcBorders>
            <w:shd w:val="clear" w:color="auto" w:fill="FFFFFF"/>
          </w:tcPr>
          <w:p w:rsidR="00087E56" w:rsidRPr="00052D57" w:rsidRDefault="00087E56" w:rsidP="00C67F9D">
            <w:pPr>
              <w:jc w:val="center"/>
            </w:pPr>
            <w:r w:rsidRPr="00052D57">
              <w:t>Treatment</w:t>
            </w:r>
          </w:p>
        </w:tc>
        <w:tc>
          <w:tcPr>
            <w:tcW w:w="1119" w:type="dxa"/>
            <w:tcBorders>
              <w:top w:val="single" w:sz="12" w:space="0" w:color="008000"/>
              <w:bottom w:val="single" w:sz="6" w:space="0" w:color="008000"/>
            </w:tcBorders>
            <w:shd w:val="clear" w:color="auto" w:fill="FFFFFF"/>
          </w:tcPr>
          <w:p w:rsidR="00087E56" w:rsidRPr="00052D57" w:rsidRDefault="00087E56" w:rsidP="00C67F9D">
            <w:pPr>
              <w:jc w:val="center"/>
            </w:pPr>
            <w:r>
              <w:t>R</w:t>
            </w:r>
            <w:r w:rsidRPr="00052D57">
              <w:t>eaction</w:t>
            </w:r>
            <w:r>
              <w:t xml:space="preserve"> volume</w:t>
            </w:r>
            <w:r w:rsidRPr="00052D57">
              <w:t xml:space="preserve"> (mL)</w:t>
            </w:r>
          </w:p>
        </w:tc>
        <w:tc>
          <w:tcPr>
            <w:tcW w:w="1409" w:type="dxa"/>
            <w:tcBorders>
              <w:top w:val="single" w:sz="12" w:space="0" w:color="008000"/>
              <w:bottom w:val="single" w:sz="6" w:space="0" w:color="008000"/>
            </w:tcBorders>
            <w:shd w:val="clear" w:color="auto" w:fill="FFFFFF"/>
          </w:tcPr>
          <w:p w:rsidR="00087E56" w:rsidRPr="001C71BF" w:rsidRDefault="00087E56" w:rsidP="00C67F9D">
            <w:pPr>
              <w:pStyle w:val="CETBodytext"/>
              <w:jc w:val="center"/>
              <w:rPr>
                <w:lang w:val="en-GB"/>
              </w:rPr>
            </w:pPr>
            <w:r w:rsidRPr="001C71BF">
              <w:rPr>
                <w:lang w:val="en-GB"/>
              </w:rPr>
              <w:t>Concentration</w:t>
            </w:r>
            <w:r>
              <w:rPr>
                <w:lang w:val="en-GB"/>
              </w:rPr>
              <w:t>*</w:t>
            </w:r>
            <w:r w:rsidRPr="001C71BF">
              <w:rPr>
                <w:lang w:val="en-GB"/>
              </w:rPr>
              <w:t xml:space="preserve"> </w:t>
            </w:r>
          </w:p>
          <w:p w:rsidR="00087E56" w:rsidRPr="00B57B36" w:rsidRDefault="00087E56" w:rsidP="00C67F9D">
            <w:pPr>
              <w:pStyle w:val="CETBodytext"/>
              <w:jc w:val="center"/>
              <w:rPr>
                <w:lang w:val="en-GB"/>
              </w:rPr>
            </w:pPr>
            <w:r w:rsidRPr="001C71BF">
              <w:rPr>
                <w:lang w:val="en-GB"/>
              </w:rPr>
              <w:t>(</w:t>
            </w:r>
            <w:r>
              <w:rPr>
                <w:lang w:val="en-GB"/>
              </w:rPr>
              <w:t>g 100 mL</w:t>
            </w:r>
            <w:r w:rsidRPr="00615F2C">
              <w:rPr>
                <w:vertAlign w:val="superscript"/>
                <w:lang w:val="en-GB"/>
              </w:rPr>
              <w:t>-1</w:t>
            </w:r>
            <w:r w:rsidRPr="001C71BF">
              <w:rPr>
                <w:lang w:val="en-GB"/>
              </w:rPr>
              <w:t>)</w:t>
            </w:r>
          </w:p>
        </w:tc>
        <w:tc>
          <w:tcPr>
            <w:tcW w:w="1391" w:type="dxa"/>
            <w:tcBorders>
              <w:top w:val="single" w:sz="12" w:space="0" w:color="008000"/>
              <w:bottom w:val="single" w:sz="6" w:space="0" w:color="008000"/>
            </w:tcBorders>
            <w:shd w:val="clear" w:color="auto" w:fill="FFFFFF"/>
          </w:tcPr>
          <w:p w:rsidR="00087E56" w:rsidRPr="006D5456" w:rsidRDefault="00087E56" w:rsidP="00C67F9D">
            <w:pPr>
              <w:jc w:val="center"/>
              <w:rPr>
                <w:lang w:val="pt-BR"/>
              </w:rPr>
            </w:pPr>
            <w:proofErr w:type="spellStart"/>
            <w:r w:rsidRPr="006D5456">
              <w:rPr>
                <w:lang w:val="pt-BR"/>
              </w:rPr>
              <w:t>Zeta</w:t>
            </w:r>
            <w:proofErr w:type="spellEnd"/>
            <w:r w:rsidRPr="006D5456">
              <w:rPr>
                <w:lang w:val="pt-BR"/>
              </w:rPr>
              <w:t xml:space="preserve"> </w:t>
            </w:r>
            <w:proofErr w:type="spellStart"/>
            <w:r w:rsidRPr="006D5456">
              <w:rPr>
                <w:lang w:val="pt-BR"/>
              </w:rPr>
              <w:t>potential</w:t>
            </w:r>
            <w:proofErr w:type="spellEnd"/>
            <w:r w:rsidRPr="006D5456">
              <w:rPr>
                <w:lang w:val="pt-BR"/>
              </w:rPr>
              <w:t xml:space="preserve"> </w:t>
            </w:r>
          </w:p>
          <w:p w:rsidR="00087E56" w:rsidRPr="006D5456" w:rsidRDefault="00087E56" w:rsidP="00C67F9D">
            <w:pPr>
              <w:jc w:val="center"/>
              <w:rPr>
                <w:lang w:val="pt-BR"/>
              </w:rPr>
            </w:pPr>
            <w:r w:rsidRPr="006D5456">
              <w:rPr>
                <w:lang w:val="pt-BR"/>
              </w:rPr>
              <w:t>(</w:t>
            </w:r>
            <w:r w:rsidRPr="0043114D">
              <w:t>ζ</w:t>
            </w:r>
            <w:r w:rsidRPr="006D5456">
              <w:rPr>
                <w:lang w:val="pt-BR"/>
              </w:rPr>
              <w:t>) (</w:t>
            </w:r>
            <w:proofErr w:type="gramStart"/>
            <w:r w:rsidRPr="006D5456">
              <w:rPr>
                <w:lang w:val="pt-BR"/>
              </w:rPr>
              <w:t>m/V</w:t>
            </w:r>
            <w:proofErr w:type="gramEnd"/>
            <w:r w:rsidRPr="006D5456">
              <w:rPr>
                <w:lang w:val="pt-BR"/>
              </w:rPr>
              <w:t>)</w:t>
            </w:r>
          </w:p>
        </w:tc>
        <w:tc>
          <w:tcPr>
            <w:tcW w:w="1246" w:type="dxa"/>
            <w:tcBorders>
              <w:top w:val="single" w:sz="12" w:space="0" w:color="008000"/>
              <w:bottom w:val="single" w:sz="6" w:space="0" w:color="008000"/>
            </w:tcBorders>
            <w:shd w:val="clear" w:color="auto" w:fill="FFFFFF"/>
          </w:tcPr>
          <w:p w:rsidR="00087E56" w:rsidRPr="0043114D" w:rsidRDefault="00087E56" w:rsidP="00C67F9D">
            <w:pPr>
              <w:jc w:val="center"/>
            </w:pPr>
            <w:r w:rsidRPr="0043114D">
              <w:t>Yield (%)</w:t>
            </w:r>
          </w:p>
        </w:tc>
        <w:tc>
          <w:tcPr>
            <w:tcW w:w="1407" w:type="dxa"/>
            <w:tcBorders>
              <w:top w:val="single" w:sz="12" w:space="0" w:color="008000"/>
              <w:bottom w:val="single" w:sz="6" w:space="0" w:color="008000"/>
            </w:tcBorders>
            <w:shd w:val="clear" w:color="auto" w:fill="FFFFFF"/>
          </w:tcPr>
          <w:p w:rsidR="00087E56" w:rsidRPr="0043114D" w:rsidRDefault="00087E56" w:rsidP="00C67F9D">
            <w:pPr>
              <w:jc w:val="center"/>
            </w:pPr>
            <w:r w:rsidRPr="0043114D">
              <w:t>Encapsulation Efficiency (%)</w:t>
            </w:r>
          </w:p>
        </w:tc>
        <w:tc>
          <w:tcPr>
            <w:tcW w:w="1366" w:type="dxa"/>
            <w:tcBorders>
              <w:top w:val="single" w:sz="12" w:space="0" w:color="008000"/>
              <w:bottom w:val="single" w:sz="6" w:space="0" w:color="008000"/>
            </w:tcBorders>
            <w:shd w:val="clear" w:color="auto" w:fill="FFFFFF"/>
          </w:tcPr>
          <w:p w:rsidR="00087E56" w:rsidRPr="000C72AA" w:rsidRDefault="00087E56" w:rsidP="00C67F9D">
            <w:pPr>
              <w:jc w:val="center"/>
            </w:pPr>
            <w:proofErr w:type="spellStart"/>
            <w:r>
              <w:t>Microp</w:t>
            </w:r>
            <w:r w:rsidRPr="000C72AA">
              <w:t>article</w:t>
            </w:r>
            <w:proofErr w:type="spellEnd"/>
            <w:r w:rsidRPr="000C72AA">
              <w:t xml:space="preserve"> size (</w:t>
            </w:r>
            <w:proofErr w:type="spellStart"/>
            <w:r w:rsidRPr="000C72AA">
              <w:t>μm</w:t>
            </w:r>
            <w:proofErr w:type="spellEnd"/>
            <w:r w:rsidRPr="000C72AA">
              <w:t>)</w:t>
            </w:r>
          </w:p>
        </w:tc>
      </w:tr>
      <w:tr w:rsidR="00087E56" w:rsidRPr="00B57B36" w:rsidTr="00087E56">
        <w:tc>
          <w:tcPr>
            <w:tcW w:w="849" w:type="dxa"/>
            <w:shd w:val="clear" w:color="auto" w:fill="FFFFFF"/>
          </w:tcPr>
          <w:p w:rsidR="00087E56" w:rsidRPr="00E232DF" w:rsidRDefault="00087E56" w:rsidP="00C67F9D">
            <w:pPr>
              <w:jc w:val="center"/>
            </w:pPr>
            <w:r w:rsidRPr="00E232DF">
              <w:t>T1</w:t>
            </w:r>
          </w:p>
        </w:tc>
        <w:tc>
          <w:tcPr>
            <w:tcW w:w="1119" w:type="dxa"/>
            <w:shd w:val="clear" w:color="auto" w:fill="FFFFFF"/>
          </w:tcPr>
          <w:p w:rsidR="00087E56" w:rsidRPr="006E323F" w:rsidRDefault="00087E56" w:rsidP="00C67F9D">
            <w:pPr>
              <w:jc w:val="center"/>
            </w:pPr>
            <w:r w:rsidRPr="006E323F">
              <w:t>200</w:t>
            </w:r>
          </w:p>
        </w:tc>
        <w:tc>
          <w:tcPr>
            <w:tcW w:w="1409" w:type="dxa"/>
            <w:shd w:val="clear" w:color="auto" w:fill="FFFFFF"/>
          </w:tcPr>
          <w:p w:rsidR="00087E56" w:rsidRPr="00D54C74" w:rsidRDefault="00087E56" w:rsidP="00C67F9D">
            <w:pPr>
              <w:jc w:val="center"/>
            </w:pPr>
            <w:r w:rsidRPr="00D54C74">
              <w:t>1</w:t>
            </w:r>
            <w:r>
              <w:t>.</w:t>
            </w:r>
            <w:r w:rsidRPr="00D54C74">
              <w:t>16</w:t>
            </w:r>
          </w:p>
        </w:tc>
        <w:tc>
          <w:tcPr>
            <w:tcW w:w="1391" w:type="dxa"/>
            <w:shd w:val="clear" w:color="auto" w:fill="FFFFFF"/>
          </w:tcPr>
          <w:p w:rsidR="00087E56" w:rsidRPr="00E30F3C" w:rsidRDefault="00087E56" w:rsidP="00C67F9D">
            <w:pPr>
              <w:jc w:val="center"/>
            </w:pPr>
            <w:r w:rsidRPr="00E30F3C">
              <w:t>0</w:t>
            </w:r>
            <w:r>
              <w:t>.</w:t>
            </w:r>
            <w:r w:rsidRPr="00E30F3C">
              <w:t>57 ± 0</w:t>
            </w:r>
            <w:r>
              <w:t>.</w:t>
            </w:r>
            <w:r w:rsidRPr="00E30F3C">
              <w:t>12</w:t>
            </w:r>
            <w:r w:rsidRPr="001C71BF">
              <w:rPr>
                <w:vertAlign w:val="superscript"/>
              </w:rPr>
              <w:t>a</w:t>
            </w:r>
          </w:p>
        </w:tc>
        <w:tc>
          <w:tcPr>
            <w:tcW w:w="1246" w:type="dxa"/>
            <w:shd w:val="clear" w:color="auto" w:fill="FFFFFF"/>
          </w:tcPr>
          <w:p w:rsidR="00087E56" w:rsidRPr="00C9478F" w:rsidRDefault="00087E56" w:rsidP="00C67F9D">
            <w:pPr>
              <w:jc w:val="center"/>
            </w:pPr>
            <w:r w:rsidRPr="00C9478F">
              <w:t>58</w:t>
            </w:r>
            <w:r>
              <w:t>.</w:t>
            </w:r>
            <w:r w:rsidRPr="00C9478F">
              <w:t>40 ± 1</w:t>
            </w:r>
            <w:r>
              <w:t>.</w:t>
            </w:r>
            <w:r w:rsidRPr="00C9478F">
              <w:t>00</w:t>
            </w:r>
            <w:r w:rsidRPr="001C71BF">
              <w:rPr>
                <w:vertAlign w:val="superscript"/>
              </w:rPr>
              <w:t>a</w:t>
            </w:r>
          </w:p>
        </w:tc>
        <w:tc>
          <w:tcPr>
            <w:tcW w:w="1407" w:type="dxa"/>
            <w:shd w:val="clear" w:color="auto" w:fill="FFFFFF"/>
          </w:tcPr>
          <w:p w:rsidR="00087E56" w:rsidRPr="001631BC" w:rsidRDefault="00087E56" w:rsidP="00C67F9D">
            <w:pPr>
              <w:jc w:val="center"/>
            </w:pPr>
            <w:r w:rsidRPr="001631BC">
              <w:t>98</w:t>
            </w:r>
            <w:r>
              <w:t>.</w:t>
            </w:r>
            <w:r w:rsidRPr="001631BC">
              <w:t>98 ± 0</w:t>
            </w:r>
            <w:r>
              <w:t>.</w:t>
            </w:r>
            <w:r w:rsidRPr="001631BC">
              <w:t>72</w:t>
            </w:r>
            <w:r w:rsidRPr="001C71BF">
              <w:rPr>
                <w:vertAlign w:val="superscript"/>
              </w:rPr>
              <w:t>a</w:t>
            </w:r>
          </w:p>
        </w:tc>
        <w:tc>
          <w:tcPr>
            <w:tcW w:w="1366" w:type="dxa"/>
            <w:shd w:val="clear" w:color="auto" w:fill="FFFFFF"/>
          </w:tcPr>
          <w:p w:rsidR="00087E56" w:rsidRPr="000C72AA" w:rsidRDefault="00087E56" w:rsidP="00C67F9D">
            <w:pPr>
              <w:jc w:val="center"/>
            </w:pPr>
            <w:r w:rsidRPr="000C72AA">
              <w:t xml:space="preserve">3,15 ± 0,45 </w:t>
            </w:r>
            <w:r w:rsidRPr="00EB049E">
              <w:rPr>
                <w:vertAlign w:val="superscript"/>
              </w:rPr>
              <w:t>b</w:t>
            </w:r>
          </w:p>
        </w:tc>
      </w:tr>
      <w:tr w:rsidR="00087E56" w:rsidRPr="00B57B36" w:rsidTr="00087E56">
        <w:tc>
          <w:tcPr>
            <w:tcW w:w="849" w:type="dxa"/>
            <w:shd w:val="clear" w:color="auto" w:fill="FFFFFF"/>
          </w:tcPr>
          <w:p w:rsidR="00087E56" w:rsidRPr="00E232DF" w:rsidRDefault="00087E56" w:rsidP="00C67F9D">
            <w:pPr>
              <w:jc w:val="center"/>
            </w:pPr>
            <w:r w:rsidRPr="00E232DF">
              <w:t>T2</w:t>
            </w:r>
          </w:p>
        </w:tc>
        <w:tc>
          <w:tcPr>
            <w:tcW w:w="1119" w:type="dxa"/>
            <w:shd w:val="clear" w:color="auto" w:fill="FFFFFF"/>
          </w:tcPr>
          <w:p w:rsidR="00087E56" w:rsidRPr="006E323F" w:rsidRDefault="00087E56" w:rsidP="00C67F9D">
            <w:pPr>
              <w:jc w:val="center"/>
            </w:pPr>
            <w:r w:rsidRPr="006E323F">
              <w:t>300</w:t>
            </w:r>
          </w:p>
        </w:tc>
        <w:tc>
          <w:tcPr>
            <w:tcW w:w="1409" w:type="dxa"/>
            <w:shd w:val="clear" w:color="auto" w:fill="FFFFFF"/>
          </w:tcPr>
          <w:p w:rsidR="00087E56" w:rsidRPr="00D54C74" w:rsidRDefault="00087E56" w:rsidP="00C67F9D">
            <w:pPr>
              <w:jc w:val="center"/>
            </w:pPr>
            <w:r w:rsidRPr="00D54C74">
              <w:t>0</w:t>
            </w:r>
            <w:r>
              <w:t>.</w:t>
            </w:r>
            <w:r w:rsidRPr="00D54C74">
              <w:t>77</w:t>
            </w:r>
          </w:p>
        </w:tc>
        <w:tc>
          <w:tcPr>
            <w:tcW w:w="1391" w:type="dxa"/>
            <w:shd w:val="clear" w:color="auto" w:fill="FFFFFF"/>
          </w:tcPr>
          <w:p w:rsidR="00087E56" w:rsidRPr="00E30F3C" w:rsidRDefault="00087E56" w:rsidP="00C67F9D">
            <w:pPr>
              <w:jc w:val="center"/>
            </w:pPr>
            <w:r w:rsidRPr="00E30F3C">
              <w:t>0</w:t>
            </w:r>
            <w:r>
              <w:t>.</w:t>
            </w:r>
            <w:r w:rsidRPr="00E30F3C">
              <w:t>65 ± 0</w:t>
            </w:r>
            <w:r>
              <w:t>.</w:t>
            </w:r>
            <w:r w:rsidRPr="00E30F3C">
              <w:t>42</w:t>
            </w:r>
            <w:r w:rsidRPr="001C71BF">
              <w:rPr>
                <w:vertAlign w:val="superscript"/>
              </w:rPr>
              <w:t>a</w:t>
            </w:r>
          </w:p>
        </w:tc>
        <w:tc>
          <w:tcPr>
            <w:tcW w:w="1246" w:type="dxa"/>
            <w:shd w:val="clear" w:color="auto" w:fill="FFFFFF"/>
          </w:tcPr>
          <w:p w:rsidR="00087E56" w:rsidRPr="00C9478F" w:rsidRDefault="00087E56" w:rsidP="00C67F9D">
            <w:pPr>
              <w:jc w:val="center"/>
            </w:pPr>
            <w:r w:rsidRPr="00C9478F">
              <w:t>63</w:t>
            </w:r>
            <w:r>
              <w:t>.</w:t>
            </w:r>
            <w:r w:rsidRPr="00C9478F">
              <w:t>42 ± 0</w:t>
            </w:r>
            <w:r>
              <w:t>.</w:t>
            </w:r>
            <w:r w:rsidRPr="00C9478F">
              <w:t>46</w:t>
            </w:r>
            <w:r w:rsidRPr="001C71BF">
              <w:rPr>
                <w:vertAlign w:val="superscript"/>
              </w:rPr>
              <w:t>a</w:t>
            </w:r>
          </w:p>
        </w:tc>
        <w:tc>
          <w:tcPr>
            <w:tcW w:w="1407" w:type="dxa"/>
            <w:shd w:val="clear" w:color="auto" w:fill="FFFFFF"/>
          </w:tcPr>
          <w:p w:rsidR="00087E56" w:rsidRPr="001631BC" w:rsidRDefault="00087E56" w:rsidP="00C67F9D">
            <w:pPr>
              <w:jc w:val="center"/>
            </w:pPr>
            <w:r w:rsidRPr="001631BC">
              <w:t>90</w:t>
            </w:r>
            <w:r>
              <w:t>.</w:t>
            </w:r>
            <w:r w:rsidRPr="001631BC">
              <w:t>05 ± 8</w:t>
            </w:r>
            <w:r>
              <w:t>.</w:t>
            </w:r>
            <w:r w:rsidRPr="001631BC">
              <w:t>15</w:t>
            </w:r>
            <w:r w:rsidRPr="001C71BF">
              <w:rPr>
                <w:vertAlign w:val="superscript"/>
              </w:rPr>
              <w:t>a</w:t>
            </w:r>
          </w:p>
        </w:tc>
        <w:tc>
          <w:tcPr>
            <w:tcW w:w="1366" w:type="dxa"/>
            <w:shd w:val="clear" w:color="auto" w:fill="FFFFFF"/>
          </w:tcPr>
          <w:p w:rsidR="00087E56" w:rsidRPr="000C72AA" w:rsidRDefault="00087E56" w:rsidP="00C67F9D">
            <w:pPr>
              <w:jc w:val="center"/>
            </w:pPr>
            <w:r w:rsidRPr="000C72AA">
              <w:t xml:space="preserve">5,55 ± 0,21 </w:t>
            </w:r>
            <w:proofErr w:type="spellStart"/>
            <w:r>
              <w:rPr>
                <w:vertAlign w:val="superscript"/>
              </w:rPr>
              <w:t>ab</w:t>
            </w:r>
            <w:proofErr w:type="spellEnd"/>
          </w:p>
        </w:tc>
      </w:tr>
      <w:tr w:rsidR="00087E56" w:rsidRPr="00B57B36" w:rsidTr="00087E56">
        <w:tc>
          <w:tcPr>
            <w:tcW w:w="849" w:type="dxa"/>
            <w:shd w:val="clear" w:color="auto" w:fill="FFFFFF"/>
          </w:tcPr>
          <w:p w:rsidR="00087E56" w:rsidRPr="00E232DF" w:rsidRDefault="00087E56" w:rsidP="00C67F9D">
            <w:pPr>
              <w:jc w:val="center"/>
            </w:pPr>
            <w:r w:rsidRPr="00E232DF">
              <w:t>T3</w:t>
            </w:r>
          </w:p>
        </w:tc>
        <w:tc>
          <w:tcPr>
            <w:tcW w:w="1119" w:type="dxa"/>
            <w:shd w:val="clear" w:color="auto" w:fill="FFFFFF"/>
          </w:tcPr>
          <w:p w:rsidR="00087E56" w:rsidRPr="006E323F" w:rsidRDefault="00087E56" w:rsidP="00C67F9D">
            <w:pPr>
              <w:jc w:val="center"/>
            </w:pPr>
            <w:r w:rsidRPr="006E323F">
              <w:t>400</w:t>
            </w:r>
          </w:p>
        </w:tc>
        <w:tc>
          <w:tcPr>
            <w:tcW w:w="1409" w:type="dxa"/>
            <w:shd w:val="clear" w:color="auto" w:fill="FFFFFF"/>
          </w:tcPr>
          <w:p w:rsidR="00087E56" w:rsidRPr="00D54C74" w:rsidRDefault="00087E56" w:rsidP="00C67F9D">
            <w:pPr>
              <w:jc w:val="center"/>
            </w:pPr>
            <w:r w:rsidRPr="00D54C74">
              <w:t>0</w:t>
            </w:r>
            <w:r>
              <w:t>.</w:t>
            </w:r>
            <w:r w:rsidRPr="00D54C74">
              <w:t>58</w:t>
            </w:r>
          </w:p>
        </w:tc>
        <w:tc>
          <w:tcPr>
            <w:tcW w:w="1391" w:type="dxa"/>
            <w:shd w:val="clear" w:color="auto" w:fill="FFFFFF"/>
          </w:tcPr>
          <w:p w:rsidR="00087E56" w:rsidRPr="00E30F3C" w:rsidRDefault="00087E56" w:rsidP="00C67F9D">
            <w:pPr>
              <w:jc w:val="center"/>
            </w:pPr>
            <w:r w:rsidRPr="00E30F3C">
              <w:t>0</w:t>
            </w:r>
            <w:r>
              <w:t>.</w:t>
            </w:r>
            <w:r w:rsidRPr="00E30F3C">
              <w:t>39 ± 0</w:t>
            </w:r>
            <w:r>
              <w:t>.</w:t>
            </w:r>
            <w:r w:rsidRPr="00E30F3C">
              <w:t>15</w:t>
            </w:r>
            <w:r w:rsidRPr="001C71BF">
              <w:rPr>
                <w:vertAlign w:val="superscript"/>
              </w:rPr>
              <w:t>a</w:t>
            </w:r>
          </w:p>
        </w:tc>
        <w:tc>
          <w:tcPr>
            <w:tcW w:w="1246" w:type="dxa"/>
            <w:shd w:val="clear" w:color="auto" w:fill="FFFFFF"/>
          </w:tcPr>
          <w:p w:rsidR="00087E56" w:rsidRPr="00C9478F" w:rsidRDefault="00087E56" w:rsidP="00C67F9D">
            <w:pPr>
              <w:jc w:val="center"/>
            </w:pPr>
            <w:r w:rsidRPr="00C9478F">
              <w:t>60</w:t>
            </w:r>
            <w:r>
              <w:t>.</w:t>
            </w:r>
            <w:r w:rsidRPr="00C9478F">
              <w:t>51 ± 2</w:t>
            </w:r>
            <w:r>
              <w:t>.</w:t>
            </w:r>
            <w:r w:rsidRPr="00C9478F">
              <w:t>17</w:t>
            </w:r>
            <w:r w:rsidRPr="001C71BF">
              <w:rPr>
                <w:vertAlign w:val="superscript"/>
              </w:rPr>
              <w:t>a</w:t>
            </w:r>
          </w:p>
        </w:tc>
        <w:tc>
          <w:tcPr>
            <w:tcW w:w="1407" w:type="dxa"/>
            <w:shd w:val="clear" w:color="auto" w:fill="FFFFFF"/>
          </w:tcPr>
          <w:p w:rsidR="00087E56" w:rsidRPr="001631BC" w:rsidRDefault="00087E56" w:rsidP="00C67F9D">
            <w:pPr>
              <w:jc w:val="center"/>
            </w:pPr>
            <w:r w:rsidRPr="001631BC">
              <w:t>99</w:t>
            </w:r>
            <w:r>
              <w:t>.</w:t>
            </w:r>
            <w:r w:rsidRPr="001631BC">
              <w:t>40 ± 0</w:t>
            </w:r>
            <w:r>
              <w:t>.</w:t>
            </w:r>
            <w:r w:rsidRPr="001631BC">
              <w:t>21</w:t>
            </w:r>
            <w:r w:rsidRPr="001C71BF">
              <w:rPr>
                <w:vertAlign w:val="superscript"/>
              </w:rPr>
              <w:t>a</w:t>
            </w:r>
          </w:p>
        </w:tc>
        <w:tc>
          <w:tcPr>
            <w:tcW w:w="1366" w:type="dxa"/>
            <w:shd w:val="clear" w:color="auto" w:fill="FFFFFF"/>
          </w:tcPr>
          <w:p w:rsidR="00087E56" w:rsidRPr="000C72AA" w:rsidRDefault="00087E56" w:rsidP="00C67F9D">
            <w:pPr>
              <w:jc w:val="center"/>
            </w:pPr>
            <w:r w:rsidRPr="000C72AA">
              <w:t xml:space="preserve">2,71 ± 0,24 </w:t>
            </w:r>
            <w:r w:rsidRPr="00EB049E">
              <w:rPr>
                <w:vertAlign w:val="superscript"/>
              </w:rPr>
              <w:t>b</w:t>
            </w:r>
          </w:p>
        </w:tc>
      </w:tr>
      <w:tr w:rsidR="00087E56" w:rsidRPr="00B57B36" w:rsidTr="00087E56">
        <w:tc>
          <w:tcPr>
            <w:tcW w:w="849" w:type="dxa"/>
            <w:shd w:val="clear" w:color="auto" w:fill="FFFFFF"/>
          </w:tcPr>
          <w:p w:rsidR="00087E56" w:rsidRDefault="00087E56" w:rsidP="00C67F9D">
            <w:pPr>
              <w:jc w:val="center"/>
            </w:pPr>
            <w:r w:rsidRPr="00E232DF">
              <w:t>T4</w:t>
            </w:r>
          </w:p>
        </w:tc>
        <w:tc>
          <w:tcPr>
            <w:tcW w:w="1119" w:type="dxa"/>
            <w:shd w:val="clear" w:color="auto" w:fill="FFFFFF"/>
          </w:tcPr>
          <w:p w:rsidR="00087E56" w:rsidRDefault="00087E56" w:rsidP="00C67F9D">
            <w:pPr>
              <w:jc w:val="center"/>
            </w:pPr>
            <w:r w:rsidRPr="006E323F">
              <w:t>600</w:t>
            </w:r>
          </w:p>
        </w:tc>
        <w:tc>
          <w:tcPr>
            <w:tcW w:w="1409" w:type="dxa"/>
            <w:shd w:val="clear" w:color="auto" w:fill="FFFFFF"/>
          </w:tcPr>
          <w:p w:rsidR="00087E56" w:rsidRDefault="00087E56" w:rsidP="00C67F9D">
            <w:pPr>
              <w:jc w:val="center"/>
            </w:pPr>
            <w:r w:rsidRPr="00D54C74">
              <w:t>0</w:t>
            </w:r>
            <w:r>
              <w:t>.</w:t>
            </w:r>
            <w:r w:rsidRPr="00D54C74">
              <w:t>39</w:t>
            </w:r>
          </w:p>
        </w:tc>
        <w:tc>
          <w:tcPr>
            <w:tcW w:w="1391" w:type="dxa"/>
            <w:shd w:val="clear" w:color="auto" w:fill="FFFFFF"/>
          </w:tcPr>
          <w:p w:rsidR="00087E56" w:rsidRDefault="00087E56" w:rsidP="00C67F9D">
            <w:pPr>
              <w:jc w:val="center"/>
            </w:pPr>
            <w:r w:rsidRPr="00E30F3C">
              <w:t>0</w:t>
            </w:r>
            <w:r>
              <w:t>.</w:t>
            </w:r>
            <w:r w:rsidRPr="00E30F3C">
              <w:t>20 ± 0</w:t>
            </w:r>
            <w:r>
              <w:t>.</w:t>
            </w:r>
            <w:r w:rsidRPr="00E30F3C">
              <w:t>22</w:t>
            </w:r>
            <w:r w:rsidRPr="001C71BF">
              <w:rPr>
                <w:vertAlign w:val="superscript"/>
              </w:rPr>
              <w:t>a</w:t>
            </w:r>
          </w:p>
        </w:tc>
        <w:tc>
          <w:tcPr>
            <w:tcW w:w="1246" w:type="dxa"/>
            <w:shd w:val="clear" w:color="auto" w:fill="FFFFFF"/>
          </w:tcPr>
          <w:p w:rsidR="00087E56" w:rsidRDefault="00087E56" w:rsidP="00C67F9D">
            <w:pPr>
              <w:jc w:val="center"/>
            </w:pPr>
            <w:r w:rsidRPr="00C9478F">
              <w:t>59</w:t>
            </w:r>
            <w:r>
              <w:t>.</w:t>
            </w:r>
            <w:r w:rsidRPr="00C9478F">
              <w:t>32 ± 2</w:t>
            </w:r>
            <w:r>
              <w:t>.</w:t>
            </w:r>
            <w:r w:rsidRPr="00C9478F">
              <w:t>41</w:t>
            </w:r>
            <w:r w:rsidRPr="001C71BF">
              <w:rPr>
                <w:vertAlign w:val="superscript"/>
              </w:rPr>
              <w:t>a</w:t>
            </w:r>
          </w:p>
        </w:tc>
        <w:tc>
          <w:tcPr>
            <w:tcW w:w="1407" w:type="dxa"/>
            <w:shd w:val="clear" w:color="auto" w:fill="FFFFFF"/>
          </w:tcPr>
          <w:p w:rsidR="00087E56" w:rsidRDefault="00087E56" w:rsidP="00C67F9D">
            <w:pPr>
              <w:jc w:val="center"/>
            </w:pPr>
            <w:r w:rsidRPr="001631BC">
              <w:t>95</w:t>
            </w:r>
            <w:r>
              <w:t>.</w:t>
            </w:r>
            <w:r w:rsidRPr="001631BC">
              <w:t>67 ±1</w:t>
            </w:r>
            <w:r>
              <w:t>.</w:t>
            </w:r>
            <w:r w:rsidRPr="001631BC">
              <w:t>89</w:t>
            </w:r>
            <w:r w:rsidRPr="001C71BF">
              <w:rPr>
                <w:vertAlign w:val="superscript"/>
              </w:rPr>
              <w:t>a</w:t>
            </w:r>
          </w:p>
        </w:tc>
        <w:tc>
          <w:tcPr>
            <w:tcW w:w="1366" w:type="dxa"/>
            <w:shd w:val="clear" w:color="auto" w:fill="FFFFFF"/>
          </w:tcPr>
          <w:p w:rsidR="00087E56" w:rsidRDefault="00087E56" w:rsidP="00C67F9D">
            <w:pPr>
              <w:jc w:val="center"/>
            </w:pPr>
            <w:r w:rsidRPr="000C72AA">
              <w:t xml:space="preserve">7,27 ± 1,73 </w:t>
            </w:r>
            <w:r w:rsidRPr="00EB049E">
              <w:rPr>
                <w:vertAlign w:val="superscript"/>
              </w:rPr>
              <w:t>a</w:t>
            </w:r>
          </w:p>
        </w:tc>
      </w:tr>
    </w:tbl>
    <w:p w:rsidR="0074143D" w:rsidRPr="001C71BF" w:rsidRDefault="0074143D" w:rsidP="00087E56">
      <w:pPr>
        <w:pStyle w:val="CETBodytext"/>
        <w:ind w:right="-2"/>
        <w:rPr>
          <w:rFonts w:cs="Arial"/>
          <w:color w:val="222222"/>
          <w:szCs w:val="18"/>
          <w:lang w:eastAsia="pt-BR"/>
        </w:rPr>
      </w:pPr>
      <w:r w:rsidRPr="001C71BF">
        <w:rPr>
          <w:rFonts w:cs="Arial"/>
          <w:color w:val="222222"/>
          <w:szCs w:val="18"/>
          <w:lang w:eastAsia="pt-BR"/>
        </w:rPr>
        <w:t>Note</w:t>
      </w:r>
      <w:r>
        <w:rPr>
          <w:rFonts w:cs="Arial"/>
          <w:color w:val="222222"/>
          <w:szCs w:val="18"/>
          <w:lang w:eastAsia="pt-BR"/>
        </w:rPr>
        <w:t xml:space="preserve">: </w:t>
      </w:r>
      <w:r w:rsidR="002A33B5">
        <w:rPr>
          <w:rFonts w:cs="Arial"/>
          <w:color w:val="222222"/>
          <w:szCs w:val="18"/>
          <w:lang w:eastAsia="pt-BR"/>
        </w:rPr>
        <w:t xml:space="preserve">* </w:t>
      </w:r>
      <w:r>
        <w:rPr>
          <w:rFonts w:cs="Arial"/>
          <w:color w:val="222222"/>
          <w:szCs w:val="18"/>
          <w:lang w:eastAsia="pt-BR"/>
        </w:rPr>
        <w:t xml:space="preserve">Concentration of encapsulation </w:t>
      </w:r>
      <w:r w:rsidRPr="00EA7402">
        <w:rPr>
          <w:rFonts w:cs="Arial"/>
          <w:color w:val="000000" w:themeColor="text1"/>
          <w:szCs w:val="18"/>
          <w:lang w:eastAsia="pt-BR"/>
        </w:rPr>
        <w:t xml:space="preserve">material; </w:t>
      </w:r>
      <w:r w:rsidR="006119D2" w:rsidRPr="00EA7402">
        <w:rPr>
          <w:rFonts w:cs="Arial"/>
          <w:color w:val="000000" w:themeColor="text1"/>
          <w:szCs w:val="18"/>
          <w:lang w:eastAsia="pt-BR"/>
        </w:rPr>
        <w:t>results presented in means</w:t>
      </w:r>
      <w:r w:rsidR="002A33B5" w:rsidRPr="00EA7402">
        <w:rPr>
          <w:rFonts w:cs="Arial"/>
          <w:color w:val="000000" w:themeColor="text1"/>
          <w:szCs w:val="18"/>
          <w:lang w:eastAsia="pt-BR"/>
        </w:rPr>
        <w:t xml:space="preserve"> </w:t>
      </w:r>
      <w:r w:rsidR="006119D2" w:rsidRPr="00EA7402">
        <w:rPr>
          <w:color w:val="000000" w:themeColor="text1"/>
        </w:rPr>
        <w:t>±</w:t>
      </w:r>
      <w:r w:rsidR="002A33B5" w:rsidRPr="00EA7402">
        <w:rPr>
          <w:color w:val="000000" w:themeColor="text1"/>
        </w:rPr>
        <w:t xml:space="preserve"> </w:t>
      </w:r>
      <w:r w:rsidR="006119D2" w:rsidRPr="00EA7402">
        <w:rPr>
          <w:rFonts w:cs="Arial"/>
          <w:color w:val="000000" w:themeColor="text1"/>
          <w:szCs w:val="18"/>
          <w:lang w:eastAsia="pt-BR"/>
        </w:rPr>
        <w:t xml:space="preserve">standard deviation; </w:t>
      </w:r>
      <w:r w:rsidRPr="00EA7402">
        <w:rPr>
          <w:rFonts w:cs="Arial"/>
          <w:color w:val="000000" w:themeColor="text1"/>
          <w:szCs w:val="18"/>
          <w:lang w:eastAsia="pt-BR"/>
        </w:rPr>
        <w:t>different superscript letters</w:t>
      </w:r>
      <w:r w:rsidR="00B07599" w:rsidRPr="00EA7402">
        <w:rPr>
          <w:rFonts w:cs="Arial"/>
          <w:color w:val="000000" w:themeColor="text1"/>
          <w:szCs w:val="18"/>
          <w:lang w:eastAsia="pt-BR"/>
        </w:rPr>
        <w:t>,</w:t>
      </w:r>
      <w:r w:rsidRPr="00EA7402">
        <w:rPr>
          <w:rFonts w:cs="Arial"/>
          <w:color w:val="000000" w:themeColor="text1"/>
          <w:szCs w:val="18"/>
          <w:lang w:eastAsia="pt-BR"/>
        </w:rPr>
        <w:t xml:space="preserve"> in columns, differ statis</w:t>
      </w:r>
      <w:r w:rsidR="00EA7402" w:rsidRPr="00EA7402">
        <w:rPr>
          <w:rFonts w:cs="Arial"/>
          <w:color w:val="000000" w:themeColor="text1"/>
          <w:szCs w:val="18"/>
          <w:lang w:eastAsia="pt-BR"/>
        </w:rPr>
        <w:t>ti</w:t>
      </w:r>
      <w:r w:rsidRPr="00EA7402">
        <w:rPr>
          <w:rFonts w:cs="Arial"/>
          <w:color w:val="000000" w:themeColor="text1"/>
          <w:szCs w:val="18"/>
          <w:lang w:eastAsia="pt-BR"/>
        </w:rPr>
        <w:t xml:space="preserve">cally (p &lt; </w:t>
      </w:r>
      <w:r>
        <w:rPr>
          <w:rFonts w:cs="Arial"/>
          <w:color w:val="222222"/>
          <w:szCs w:val="18"/>
          <w:lang w:eastAsia="pt-BR"/>
        </w:rPr>
        <w:t xml:space="preserve">0.05) by </w:t>
      </w:r>
      <w:proofErr w:type="spellStart"/>
      <w:r>
        <w:rPr>
          <w:rFonts w:cs="Arial"/>
          <w:color w:val="222222"/>
          <w:szCs w:val="18"/>
          <w:lang w:eastAsia="pt-BR"/>
        </w:rPr>
        <w:t>Anova</w:t>
      </w:r>
      <w:proofErr w:type="spellEnd"/>
      <w:r>
        <w:rPr>
          <w:rFonts w:cs="Arial"/>
          <w:color w:val="222222"/>
          <w:szCs w:val="18"/>
          <w:lang w:eastAsia="pt-BR"/>
        </w:rPr>
        <w:t xml:space="preserve"> and </w:t>
      </w:r>
      <w:proofErr w:type="spellStart"/>
      <w:r>
        <w:rPr>
          <w:rFonts w:cs="Arial"/>
          <w:color w:val="222222"/>
          <w:szCs w:val="18"/>
          <w:lang w:eastAsia="pt-BR"/>
        </w:rPr>
        <w:t>Tukey</w:t>
      </w:r>
      <w:proofErr w:type="spellEnd"/>
      <w:r>
        <w:rPr>
          <w:rFonts w:cs="Arial"/>
          <w:color w:val="222222"/>
          <w:szCs w:val="18"/>
          <w:lang w:eastAsia="pt-BR"/>
        </w:rPr>
        <w:t xml:space="preserve"> test. </w:t>
      </w:r>
    </w:p>
    <w:p w:rsidR="006119D2" w:rsidRPr="006119D2" w:rsidRDefault="006119D2" w:rsidP="006119D2">
      <w:pPr>
        <w:pStyle w:val="CETheadingx"/>
      </w:pPr>
      <w:r w:rsidRPr="006119D2">
        <w:t>Particle Size</w:t>
      </w:r>
    </w:p>
    <w:p w:rsidR="0000323A" w:rsidRPr="0000323A" w:rsidRDefault="0000323A" w:rsidP="0000323A">
      <w:pPr>
        <w:pStyle w:val="CETBodytext"/>
        <w:rPr>
          <w:lang w:val="en-GB"/>
        </w:rPr>
      </w:pPr>
      <w:r w:rsidRPr="0000323A">
        <w:rPr>
          <w:lang w:val="en-GB"/>
        </w:rPr>
        <w:t xml:space="preserve">Particle size is an important parameter to be discussed. For food applications, </w:t>
      </w:r>
      <w:proofErr w:type="spellStart"/>
      <w:r w:rsidRPr="0000323A">
        <w:rPr>
          <w:lang w:val="en-GB"/>
        </w:rPr>
        <w:t>Lemetter</w:t>
      </w:r>
      <w:proofErr w:type="spellEnd"/>
      <w:r w:rsidRPr="0000323A">
        <w:rPr>
          <w:lang w:val="en-GB"/>
        </w:rPr>
        <w:t xml:space="preserve"> et al. (2009) reported that, in order to avoid an unpleasant sensation in the mouth, the particle size should be below the sensory perception</w:t>
      </w:r>
      <w:r w:rsidR="005471C2">
        <w:rPr>
          <w:lang w:val="en-GB"/>
        </w:rPr>
        <w:t xml:space="preserve"> </w:t>
      </w:r>
      <w:r w:rsidR="005471C2" w:rsidRPr="0000323A">
        <w:rPr>
          <w:lang w:val="en-GB"/>
        </w:rPr>
        <w:t>threshold</w:t>
      </w:r>
      <w:r w:rsidR="005471C2">
        <w:rPr>
          <w:lang w:val="en-GB"/>
        </w:rPr>
        <w:t>,</w:t>
      </w:r>
      <w:r w:rsidRPr="0000323A">
        <w:rPr>
          <w:lang w:val="en-GB"/>
        </w:rPr>
        <w:t xml:space="preserve"> that is, in the range of 10-25 </w:t>
      </w:r>
      <w:proofErr w:type="spellStart"/>
      <w:r w:rsidRPr="0000323A">
        <w:rPr>
          <w:lang w:val="en-GB"/>
        </w:rPr>
        <w:t>μm</w:t>
      </w:r>
      <w:proofErr w:type="spellEnd"/>
      <w:r w:rsidRPr="0000323A">
        <w:rPr>
          <w:lang w:val="en-GB"/>
        </w:rPr>
        <w:t>. Souza et al. (2018) reported that even visible particles can be projected when the goal is to prolong the bioactive release time.</w:t>
      </w:r>
    </w:p>
    <w:p w:rsidR="00EB049E" w:rsidRDefault="0000323A" w:rsidP="0000323A">
      <w:pPr>
        <w:pStyle w:val="CETBodytext"/>
        <w:rPr>
          <w:lang w:val="en-GB"/>
        </w:rPr>
      </w:pPr>
      <w:r w:rsidRPr="0000323A">
        <w:rPr>
          <w:lang w:val="en-GB"/>
        </w:rPr>
        <w:t xml:space="preserve">Table 1 shows that the samples presented values ​​ranging from 1.73 to 2.71 </w:t>
      </w:r>
      <w:proofErr w:type="spellStart"/>
      <w:r w:rsidRPr="0000323A">
        <w:rPr>
          <w:lang w:val="en-GB"/>
        </w:rPr>
        <w:t>μm</w:t>
      </w:r>
      <w:proofErr w:type="spellEnd"/>
      <w:r w:rsidRPr="0000323A">
        <w:rPr>
          <w:lang w:val="en-GB"/>
        </w:rPr>
        <w:t xml:space="preserve">, lower than those found by other authors when using </w:t>
      </w:r>
      <w:proofErr w:type="spellStart"/>
      <w:r w:rsidRPr="0000323A">
        <w:rPr>
          <w:lang w:val="en-GB"/>
        </w:rPr>
        <w:t>gelatin</w:t>
      </w:r>
      <w:proofErr w:type="spellEnd"/>
      <w:r w:rsidRPr="0000323A">
        <w:rPr>
          <w:lang w:val="en-GB"/>
        </w:rPr>
        <w:t xml:space="preserve"> and gum </w:t>
      </w:r>
      <w:proofErr w:type="spellStart"/>
      <w:r w:rsidRPr="0000323A">
        <w:rPr>
          <w:lang w:val="en-GB"/>
        </w:rPr>
        <w:t>arabic</w:t>
      </w:r>
      <w:proofErr w:type="spellEnd"/>
      <w:r w:rsidRPr="0000323A">
        <w:rPr>
          <w:lang w:val="en-GB"/>
        </w:rPr>
        <w:t xml:space="preserve"> (</w:t>
      </w:r>
      <w:proofErr w:type="spellStart"/>
      <w:r w:rsidRPr="0000323A">
        <w:rPr>
          <w:lang w:val="en-GB"/>
        </w:rPr>
        <w:t>Mendanha</w:t>
      </w:r>
      <w:proofErr w:type="spellEnd"/>
      <w:r w:rsidRPr="0000323A">
        <w:rPr>
          <w:lang w:val="en-GB"/>
        </w:rPr>
        <w:t xml:space="preserve"> et al., 2009). This is a positive factor, since small particles can lead to a lower perception of the </w:t>
      </w:r>
      <w:r w:rsidR="005471C2">
        <w:rPr>
          <w:lang w:val="en-GB"/>
        </w:rPr>
        <w:t>core</w:t>
      </w:r>
      <w:r w:rsidRPr="0000323A">
        <w:rPr>
          <w:lang w:val="en-GB"/>
        </w:rPr>
        <w:t xml:space="preserve"> compound. </w:t>
      </w:r>
      <w:proofErr w:type="spellStart"/>
      <w:proofErr w:type="gramStart"/>
      <w:r w:rsidRPr="0000323A">
        <w:rPr>
          <w:lang w:val="en-GB"/>
        </w:rPr>
        <w:t>Maner</w:t>
      </w:r>
      <w:proofErr w:type="spellEnd"/>
      <w:r w:rsidRPr="0000323A">
        <w:rPr>
          <w:lang w:val="en-GB"/>
        </w:rPr>
        <w:t xml:space="preserve"> et al., (2018), using GE / GA to encapsulate metformin hydrochloride by complex </w:t>
      </w:r>
      <w:proofErr w:type="spellStart"/>
      <w:r w:rsidRPr="0000323A">
        <w:rPr>
          <w:lang w:val="en-GB"/>
        </w:rPr>
        <w:t>coacervation</w:t>
      </w:r>
      <w:proofErr w:type="spellEnd"/>
      <w:r w:rsidRPr="0000323A">
        <w:rPr>
          <w:lang w:val="en-GB"/>
        </w:rPr>
        <w:t xml:space="preserve">, found size values ​​of 6.75 and 7.72 </w:t>
      </w:r>
      <w:proofErr w:type="spellStart"/>
      <w:r w:rsidRPr="0000323A">
        <w:rPr>
          <w:lang w:val="en-GB"/>
        </w:rPr>
        <w:t>μm</w:t>
      </w:r>
      <w:proofErr w:type="spellEnd"/>
      <w:r w:rsidRPr="0000323A">
        <w:rPr>
          <w:lang w:val="en-GB"/>
        </w:rPr>
        <w:t>, relatively close to this work.</w:t>
      </w:r>
      <w:proofErr w:type="gramEnd"/>
      <w:r w:rsidRPr="0000323A">
        <w:rPr>
          <w:lang w:val="en-GB"/>
        </w:rPr>
        <w:t xml:space="preserve"> The particle size results were not directly related to the reaction volume variation. However, it is important to note that, exceptionally, the sample with the highest reaction volume (T4) and lower biopolymer concentration also had a larger particle diameter, </w:t>
      </w:r>
      <w:r w:rsidR="000D194D">
        <w:rPr>
          <w:lang w:val="en-GB"/>
        </w:rPr>
        <w:t xml:space="preserve">similar </w:t>
      </w:r>
      <w:r w:rsidRPr="0000323A">
        <w:rPr>
          <w:lang w:val="en-GB"/>
        </w:rPr>
        <w:t xml:space="preserve">as reported by </w:t>
      </w:r>
      <w:proofErr w:type="spellStart"/>
      <w:r w:rsidRPr="0000323A">
        <w:rPr>
          <w:lang w:val="en-GB"/>
        </w:rPr>
        <w:t>Eghbal</w:t>
      </w:r>
      <w:proofErr w:type="spellEnd"/>
      <w:r w:rsidRPr="0000323A">
        <w:rPr>
          <w:lang w:val="en-GB"/>
        </w:rPr>
        <w:t xml:space="preserve"> and </w:t>
      </w:r>
      <w:proofErr w:type="spellStart"/>
      <w:r w:rsidRPr="0000323A">
        <w:rPr>
          <w:lang w:val="en-GB"/>
        </w:rPr>
        <w:t>Choudhary</w:t>
      </w:r>
      <w:proofErr w:type="spellEnd"/>
      <w:r w:rsidRPr="0000323A">
        <w:rPr>
          <w:lang w:val="en-GB"/>
        </w:rPr>
        <w:t xml:space="preserve"> (2018) and </w:t>
      </w:r>
      <w:proofErr w:type="spellStart"/>
      <w:r w:rsidRPr="0000323A">
        <w:rPr>
          <w:lang w:val="en-GB"/>
        </w:rPr>
        <w:t>Gulão</w:t>
      </w:r>
      <w:proofErr w:type="spellEnd"/>
      <w:r w:rsidRPr="0000323A">
        <w:rPr>
          <w:lang w:val="en-GB"/>
        </w:rPr>
        <w:t xml:space="preserve"> et al.</w:t>
      </w:r>
      <w:r w:rsidR="000D194D">
        <w:rPr>
          <w:lang w:val="en-GB"/>
        </w:rPr>
        <w:t>,</w:t>
      </w:r>
      <w:r w:rsidRPr="0000323A">
        <w:rPr>
          <w:lang w:val="en-GB"/>
        </w:rPr>
        <w:t xml:space="preserve"> (2016).</w:t>
      </w:r>
    </w:p>
    <w:p w:rsidR="0000323A" w:rsidRDefault="0000323A" w:rsidP="0000323A">
      <w:pPr>
        <w:pStyle w:val="CETBodytext"/>
        <w:rPr>
          <w:lang w:val="en-GB"/>
        </w:rPr>
      </w:pPr>
    </w:p>
    <w:p w:rsidR="006119D2" w:rsidRPr="006119D2" w:rsidRDefault="006119D2" w:rsidP="006119D2">
      <w:pPr>
        <w:pStyle w:val="CETBodytext"/>
        <w:rPr>
          <w:lang w:val="en-GB"/>
        </w:rPr>
      </w:pPr>
      <w:r>
        <w:rPr>
          <w:noProof/>
        </w:rPr>
        <w:drawing>
          <wp:inline distT="0" distB="0" distL="0" distR="0" wp14:anchorId="7DD9985E" wp14:editId="1FB757A5">
            <wp:extent cx="5600903" cy="3386937"/>
            <wp:effectExtent l="0" t="0" r="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520" cy="3388519"/>
                    </a:xfrm>
                    <a:prstGeom prst="rect">
                      <a:avLst/>
                    </a:prstGeom>
                    <a:noFill/>
                  </pic:spPr>
                </pic:pic>
              </a:graphicData>
            </a:graphic>
          </wp:inline>
        </w:drawing>
      </w:r>
    </w:p>
    <w:p w:rsidR="006119D2" w:rsidRDefault="006119D2" w:rsidP="00EB049E">
      <w:pPr>
        <w:pStyle w:val="CETCaption"/>
      </w:pPr>
      <w:r w:rsidRPr="006119D2">
        <w:t>Figure 2 - Micrograph</w:t>
      </w:r>
      <w:bookmarkStart w:id="0" w:name="_GoBack"/>
      <w:bookmarkEnd w:id="0"/>
      <w:r w:rsidRPr="006119D2">
        <w:t xml:space="preserve">s of microcapsules of gum </w:t>
      </w:r>
      <w:proofErr w:type="spellStart"/>
      <w:r w:rsidRPr="006119D2">
        <w:t>arabic</w:t>
      </w:r>
      <w:proofErr w:type="spellEnd"/>
      <w:r w:rsidRPr="006119D2">
        <w:t xml:space="preserve"> and </w:t>
      </w:r>
      <w:proofErr w:type="spellStart"/>
      <w:r w:rsidRPr="006119D2">
        <w:t>gelatin</w:t>
      </w:r>
      <w:proofErr w:type="spellEnd"/>
      <w:r w:rsidRPr="006119D2">
        <w:t xml:space="preserve"> with 0.5 g of </w:t>
      </w:r>
      <w:proofErr w:type="spellStart"/>
      <w:r w:rsidRPr="006119D2">
        <w:t>pequi</w:t>
      </w:r>
      <w:proofErr w:type="spellEnd"/>
      <w:r w:rsidRPr="006119D2">
        <w:t xml:space="preserve"> oil. </w:t>
      </w:r>
      <w:r w:rsidR="006C6B7D">
        <w:t>(</w:t>
      </w:r>
      <w:r w:rsidRPr="006119D2">
        <w:t xml:space="preserve">40x </w:t>
      </w:r>
      <w:r w:rsidR="006C6B7D">
        <w:t>increase and a</w:t>
      </w:r>
      <w:r w:rsidRPr="006119D2">
        <w:t xml:space="preserve"> 20 </w:t>
      </w:r>
      <w:proofErr w:type="spellStart"/>
      <w:r w:rsidRPr="006119D2">
        <w:t>μm</w:t>
      </w:r>
      <w:proofErr w:type="spellEnd"/>
      <w:r w:rsidR="006C6B7D">
        <w:t xml:space="preserve"> scale)</w:t>
      </w:r>
    </w:p>
    <w:p w:rsidR="00087E56" w:rsidRPr="00EB049E" w:rsidRDefault="00087E56" w:rsidP="00087E56">
      <w:pPr>
        <w:pStyle w:val="CETheadingx"/>
      </w:pPr>
      <w:r w:rsidRPr="00EB049E">
        <w:lastRenderedPageBreak/>
        <w:t>Yield</w:t>
      </w:r>
    </w:p>
    <w:p w:rsidR="0000323A" w:rsidRPr="0000323A" w:rsidRDefault="0000323A" w:rsidP="000D194D">
      <w:pPr>
        <w:pStyle w:val="CETheadingx"/>
        <w:numPr>
          <w:ilvl w:val="0"/>
          <w:numId w:val="0"/>
        </w:numPr>
        <w:spacing w:before="0" w:after="0" w:line="264" w:lineRule="auto"/>
        <w:jc w:val="both"/>
        <w:rPr>
          <w:b w:val="0"/>
          <w:lang w:val="en-GB"/>
        </w:rPr>
      </w:pPr>
      <w:r w:rsidRPr="0000323A">
        <w:rPr>
          <w:b w:val="0"/>
          <w:lang w:val="en-GB"/>
        </w:rPr>
        <w:t xml:space="preserve">The </w:t>
      </w:r>
      <w:r w:rsidR="000D194D">
        <w:rPr>
          <w:b w:val="0"/>
          <w:lang w:val="en-GB"/>
        </w:rPr>
        <w:t>yield</w:t>
      </w:r>
      <w:r w:rsidRPr="0000323A">
        <w:rPr>
          <w:b w:val="0"/>
          <w:lang w:val="en-GB"/>
        </w:rPr>
        <w:t xml:space="preserve"> results presented in Table 1 ranged from 58.40 to 63.42%, with no significant differences (p &lt;</w:t>
      </w:r>
      <w:r w:rsidR="000D194D">
        <w:rPr>
          <w:b w:val="0"/>
          <w:lang w:val="en-GB"/>
        </w:rPr>
        <w:t xml:space="preserve"> </w:t>
      </w:r>
      <w:r w:rsidRPr="0000323A">
        <w:rPr>
          <w:b w:val="0"/>
          <w:lang w:val="en-GB"/>
        </w:rPr>
        <w:t xml:space="preserve">0.05) between treatments. The treatments with intermediate polymer concentrations (T2 and T3) presented, respectively, a higher yield, 63.42 ± 0.46 and 60.51 ± 2.14. </w:t>
      </w:r>
      <w:proofErr w:type="gramStart"/>
      <w:r w:rsidRPr="0000323A">
        <w:rPr>
          <w:b w:val="0"/>
          <w:lang w:val="en-GB"/>
        </w:rPr>
        <w:t>Silva et al.</w:t>
      </w:r>
      <w:r w:rsidR="000D194D">
        <w:rPr>
          <w:b w:val="0"/>
          <w:lang w:val="en-GB"/>
        </w:rPr>
        <w:t>,</w:t>
      </w:r>
      <w:r w:rsidRPr="0000323A">
        <w:rPr>
          <w:b w:val="0"/>
          <w:lang w:val="en-GB"/>
        </w:rPr>
        <w:t xml:space="preserve"> (2017), encapsulating 1.0 and 2.0 g of </w:t>
      </w:r>
      <w:proofErr w:type="spellStart"/>
      <w:r w:rsidRPr="0000323A">
        <w:rPr>
          <w:b w:val="0"/>
          <w:lang w:val="en-GB"/>
        </w:rPr>
        <w:t>pequi</w:t>
      </w:r>
      <w:proofErr w:type="spellEnd"/>
      <w:r w:rsidRPr="0000323A">
        <w:rPr>
          <w:b w:val="0"/>
          <w:lang w:val="en-GB"/>
        </w:rPr>
        <w:t xml:space="preserve"> oil with gum </w:t>
      </w:r>
      <w:proofErr w:type="spellStart"/>
      <w:r w:rsidRPr="0000323A">
        <w:rPr>
          <w:b w:val="0"/>
          <w:lang w:val="en-GB"/>
        </w:rPr>
        <w:t>arabic</w:t>
      </w:r>
      <w:proofErr w:type="spellEnd"/>
      <w:r w:rsidRPr="0000323A">
        <w:rPr>
          <w:b w:val="0"/>
          <w:lang w:val="en-GB"/>
        </w:rPr>
        <w:t xml:space="preserve"> and chitosan, found yield values ​​(50-60%), close to this research.</w:t>
      </w:r>
      <w:proofErr w:type="gramEnd"/>
      <w:r w:rsidRPr="0000323A">
        <w:rPr>
          <w:b w:val="0"/>
          <w:lang w:val="en-GB"/>
        </w:rPr>
        <w:t xml:space="preserve"> Chang et al. (2016), varying the canola and chitosan in ratios of 1: 2 to 6: 1, found yields of 20 to 35%, lower than this work. Shi et al. (2018) encapsulated krill oil by complex </w:t>
      </w:r>
      <w:proofErr w:type="spellStart"/>
      <w:r w:rsidRPr="0000323A">
        <w:rPr>
          <w:b w:val="0"/>
          <w:lang w:val="en-GB"/>
        </w:rPr>
        <w:t>coacervation</w:t>
      </w:r>
      <w:proofErr w:type="spellEnd"/>
      <w:r w:rsidRPr="0000323A">
        <w:rPr>
          <w:b w:val="0"/>
          <w:lang w:val="en-GB"/>
        </w:rPr>
        <w:t xml:space="preserve"> and obtained yields of 5-15%, well below those found in this research. No relationship was found between reaction volume and yield.</w:t>
      </w:r>
    </w:p>
    <w:p w:rsidR="00EB049E" w:rsidRPr="00EB049E" w:rsidRDefault="00EB049E" w:rsidP="0000323A">
      <w:pPr>
        <w:pStyle w:val="CETheadingx"/>
      </w:pPr>
      <w:r w:rsidRPr="00EB049E">
        <w:t xml:space="preserve">Encapsulation </w:t>
      </w:r>
      <w:r w:rsidR="009E2323">
        <w:t>E</w:t>
      </w:r>
      <w:r w:rsidRPr="00EB049E">
        <w:t>fficiency (EE)</w:t>
      </w:r>
    </w:p>
    <w:p w:rsidR="00EB049E" w:rsidRPr="006119D2" w:rsidRDefault="00EB049E" w:rsidP="00EB049E">
      <w:pPr>
        <w:pStyle w:val="CETBodytext"/>
        <w:rPr>
          <w:lang w:val="en-GB"/>
        </w:rPr>
      </w:pPr>
      <w:r w:rsidRPr="00EB049E">
        <w:rPr>
          <w:lang w:val="en-GB"/>
        </w:rPr>
        <w:t>The results of encapsulation efficiency were from 90.05% to 99.40</w:t>
      </w:r>
      <w:r w:rsidR="009E2323">
        <w:rPr>
          <w:lang w:val="en-GB"/>
        </w:rPr>
        <w:t xml:space="preserve"> </w:t>
      </w:r>
      <w:r w:rsidRPr="00EB049E">
        <w:rPr>
          <w:lang w:val="en-GB"/>
        </w:rPr>
        <w:t>%, with</w:t>
      </w:r>
      <w:r w:rsidR="009E2323">
        <w:rPr>
          <w:lang w:val="en-GB"/>
        </w:rPr>
        <w:t xml:space="preserve">out </w:t>
      </w:r>
      <w:r w:rsidRPr="00EB049E">
        <w:rPr>
          <w:lang w:val="en-GB"/>
        </w:rPr>
        <w:t>difference</w:t>
      </w:r>
      <w:r w:rsidR="009E2323">
        <w:rPr>
          <w:lang w:val="en-GB"/>
        </w:rPr>
        <w:t>s (p &lt; 0.05)</w:t>
      </w:r>
      <w:r w:rsidRPr="00EB049E">
        <w:rPr>
          <w:lang w:val="en-GB"/>
        </w:rPr>
        <w:t xml:space="preserve"> between the samples. The efficiency is calculated by the difference between the </w:t>
      </w:r>
      <w:r w:rsidR="009E2323">
        <w:rPr>
          <w:lang w:val="en-GB"/>
        </w:rPr>
        <w:t xml:space="preserve">core </w:t>
      </w:r>
      <w:r w:rsidRPr="00EB049E">
        <w:rPr>
          <w:lang w:val="en-GB"/>
        </w:rPr>
        <w:t xml:space="preserve">oil </w:t>
      </w:r>
      <w:r w:rsidR="009E2323">
        <w:rPr>
          <w:lang w:val="en-GB"/>
        </w:rPr>
        <w:t xml:space="preserve">with that </w:t>
      </w:r>
      <w:r w:rsidRPr="00EB049E">
        <w:rPr>
          <w:lang w:val="en-GB"/>
        </w:rPr>
        <w:t>adsorbed in the external part of the complex (S</w:t>
      </w:r>
      <w:r w:rsidR="009E2323">
        <w:rPr>
          <w:lang w:val="en-GB"/>
        </w:rPr>
        <w:t>il</w:t>
      </w:r>
      <w:r w:rsidR="00FE671D">
        <w:rPr>
          <w:lang w:val="en-GB"/>
        </w:rPr>
        <w:t>v</w:t>
      </w:r>
      <w:r w:rsidR="009E2323">
        <w:rPr>
          <w:lang w:val="en-GB"/>
        </w:rPr>
        <w:t>a</w:t>
      </w:r>
      <w:r w:rsidRPr="00EB049E">
        <w:rPr>
          <w:lang w:val="en-GB"/>
        </w:rPr>
        <w:t xml:space="preserve"> et al., 2017). Thus, it can be inferred that regardless of the biopolymer concentrations tested, most of the encapsulated oil was retained within the microcapsules. In previous work using </w:t>
      </w:r>
      <w:proofErr w:type="spellStart"/>
      <w:r w:rsidRPr="00EB049E">
        <w:rPr>
          <w:lang w:val="en-GB"/>
        </w:rPr>
        <w:t>pequi</w:t>
      </w:r>
      <w:proofErr w:type="spellEnd"/>
      <w:r w:rsidRPr="00EB049E">
        <w:rPr>
          <w:lang w:val="en-GB"/>
        </w:rPr>
        <w:t xml:space="preserve"> oil, the authors obtained 89.29% ± 8.27 EE, which is lower than this research. </w:t>
      </w:r>
      <w:proofErr w:type="spellStart"/>
      <w:r w:rsidRPr="00EB049E">
        <w:rPr>
          <w:lang w:val="en-GB"/>
        </w:rPr>
        <w:t>Rutz</w:t>
      </w:r>
      <w:proofErr w:type="spellEnd"/>
      <w:r w:rsidRPr="00EB049E">
        <w:rPr>
          <w:lang w:val="en-GB"/>
        </w:rPr>
        <w:t xml:space="preserve"> et al.</w:t>
      </w:r>
      <w:r w:rsidR="009E2323">
        <w:rPr>
          <w:lang w:val="en-GB"/>
        </w:rPr>
        <w:t>,</w:t>
      </w:r>
      <w:r w:rsidRPr="00EB049E">
        <w:rPr>
          <w:lang w:val="en-GB"/>
        </w:rPr>
        <w:t xml:space="preserve"> (2017), encapsulat</w:t>
      </w:r>
      <w:r w:rsidR="009E2323">
        <w:rPr>
          <w:lang w:val="en-GB"/>
        </w:rPr>
        <w:t>ed</w:t>
      </w:r>
      <w:r w:rsidRPr="00EB049E">
        <w:rPr>
          <w:lang w:val="en-GB"/>
        </w:rPr>
        <w:t xml:space="preserve"> palm oil using a biopolymer concentration </w:t>
      </w:r>
      <w:proofErr w:type="gramStart"/>
      <w:r w:rsidRPr="00EB049E">
        <w:rPr>
          <w:lang w:val="en-GB"/>
        </w:rPr>
        <w:t>of 5 mg.mL</w:t>
      </w:r>
      <w:r w:rsidRPr="000D194D">
        <w:rPr>
          <w:vertAlign w:val="superscript"/>
          <w:lang w:val="en-GB"/>
        </w:rPr>
        <w:t>-1</w:t>
      </w:r>
      <w:r w:rsidRPr="00EB049E">
        <w:rPr>
          <w:lang w:val="en-GB"/>
        </w:rPr>
        <w:t>,</w:t>
      </w:r>
      <w:proofErr w:type="gramEnd"/>
      <w:r w:rsidRPr="00EB049E">
        <w:rPr>
          <w:lang w:val="en-GB"/>
        </w:rPr>
        <w:t xml:space="preserve"> </w:t>
      </w:r>
      <w:r w:rsidR="009E2323">
        <w:rPr>
          <w:lang w:val="en-GB"/>
        </w:rPr>
        <w:t xml:space="preserve">and </w:t>
      </w:r>
      <w:r w:rsidRPr="00EB049E">
        <w:rPr>
          <w:lang w:val="en-GB"/>
        </w:rPr>
        <w:t>obtained encapsulation efficiency up to 99.51% when the samples were lyophilized, similar to the results of this study. Other authors have found EE smaller than those found in this study (S</w:t>
      </w:r>
      <w:r w:rsidR="009E2323">
        <w:rPr>
          <w:lang w:val="en-GB"/>
        </w:rPr>
        <w:t>ouz</w:t>
      </w:r>
      <w:r w:rsidR="00EA7402">
        <w:rPr>
          <w:lang w:val="en-GB"/>
        </w:rPr>
        <w:t>a</w:t>
      </w:r>
      <w:r w:rsidRPr="00EB049E">
        <w:rPr>
          <w:lang w:val="en-GB"/>
        </w:rPr>
        <w:t xml:space="preserve"> et al., 2018</w:t>
      </w:r>
      <w:r w:rsidR="00C75BAF">
        <w:rPr>
          <w:lang w:val="en-GB"/>
        </w:rPr>
        <w:t xml:space="preserve">; </w:t>
      </w:r>
      <w:proofErr w:type="spellStart"/>
      <w:r w:rsidR="00C75BAF" w:rsidRPr="008A1CBA">
        <w:rPr>
          <w:lang w:val="en-GB"/>
        </w:rPr>
        <w:t>Trucillo</w:t>
      </w:r>
      <w:proofErr w:type="spellEnd"/>
      <w:r w:rsidR="00C75BAF" w:rsidRPr="008A1CBA">
        <w:rPr>
          <w:lang w:val="en-GB"/>
        </w:rPr>
        <w:t xml:space="preserve"> et al., 2017</w:t>
      </w:r>
      <w:r w:rsidRPr="00EB049E">
        <w:rPr>
          <w:lang w:val="en-GB"/>
        </w:rPr>
        <w:t>). Cruz et al.</w:t>
      </w:r>
      <w:r w:rsidR="009E2323">
        <w:rPr>
          <w:lang w:val="en-GB"/>
        </w:rPr>
        <w:t>,</w:t>
      </w:r>
      <w:r w:rsidRPr="00EB049E">
        <w:rPr>
          <w:lang w:val="en-GB"/>
        </w:rPr>
        <w:t xml:space="preserve"> (2019) studying the relationship between encapsulation efficiency and polymer concentration concluded that the concentration increase is not always sufficient to ensure adequate encapsulation of the core. Therefore, </w:t>
      </w:r>
      <w:r w:rsidR="009E2323">
        <w:rPr>
          <w:lang w:val="en-GB"/>
        </w:rPr>
        <w:t xml:space="preserve">as with </w:t>
      </w:r>
      <w:r w:rsidRPr="00EB049E">
        <w:rPr>
          <w:lang w:val="en-GB"/>
        </w:rPr>
        <w:t>the yield</w:t>
      </w:r>
      <w:r w:rsidR="009E2323">
        <w:rPr>
          <w:lang w:val="en-GB"/>
        </w:rPr>
        <w:t xml:space="preserve"> results</w:t>
      </w:r>
      <w:r w:rsidRPr="00EB049E">
        <w:rPr>
          <w:lang w:val="en-GB"/>
        </w:rPr>
        <w:t xml:space="preserve">, it was not possible to </w:t>
      </w:r>
      <w:r w:rsidR="00EA7402">
        <w:rPr>
          <w:lang w:val="en-GB"/>
        </w:rPr>
        <w:t>e</w:t>
      </w:r>
      <w:r w:rsidR="009E2323">
        <w:rPr>
          <w:lang w:val="en-GB"/>
        </w:rPr>
        <w:t>stablish</w:t>
      </w:r>
      <w:r w:rsidRPr="00EB049E">
        <w:rPr>
          <w:lang w:val="en-GB"/>
        </w:rPr>
        <w:t xml:space="preserve"> a relationship between reaction volume and encapsulation efficiency.</w:t>
      </w:r>
    </w:p>
    <w:p w:rsidR="00600535" w:rsidRPr="00B57B36" w:rsidRDefault="00600535" w:rsidP="00600535">
      <w:pPr>
        <w:pStyle w:val="CETHeading1"/>
        <w:rPr>
          <w:lang w:val="en-GB"/>
        </w:rPr>
      </w:pPr>
      <w:r w:rsidRPr="00B57B36">
        <w:rPr>
          <w:lang w:val="en-GB"/>
        </w:rPr>
        <w:t>Conclusions</w:t>
      </w:r>
    </w:p>
    <w:p w:rsidR="00F802FE" w:rsidRDefault="00F802FE" w:rsidP="000D194D">
      <w:pPr>
        <w:pStyle w:val="CETAcknowledgementstitle"/>
        <w:jc w:val="both"/>
        <w:rPr>
          <w:rFonts w:cs="Arial"/>
          <w:b w:val="0"/>
          <w:color w:val="000000" w:themeColor="text1"/>
          <w:szCs w:val="18"/>
          <w:lang w:val="en-US" w:eastAsia="pt-BR"/>
        </w:rPr>
      </w:pPr>
      <w:r w:rsidRPr="00F802FE">
        <w:rPr>
          <w:rFonts w:cs="Arial"/>
          <w:b w:val="0"/>
          <w:color w:val="000000" w:themeColor="text1"/>
          <w:szCs w:val="18"/>
          <w:lang w:val="en-US" w:eastAsia="pt-BR"/>
        </w:rPr>
        <w:t xml:space="preserve">The results of this work allow us to conclude that the reaction volume variation does not significantly influence the precipitation </w:t>
      </w:r>
      <w:proofErr w:type="gramStart"/>
      <w:r w:rsidRPr="00F802FE">
        <w:rPr>
          <w:rFonts w:cs="Arial"/>
          <w:b w:val="0"/>
          <w:color w:val="000000" w:themeColor="text1"/>
          <w:szCs w:val="18"/>
          <w:lang w:val="en-US" w:eastAsia="pt-BR"/>
        </w:rPr>
        <w:t xml:space="preserve">of </w:t>
      </w:r>
      <w:proofErr w:type="spellStart"/>
      <w:r w:rsidRPr="00F802FE">
        <w:rPr>
          <w:rFonts w:cs="Arial"/>
          <w:b w:val="0"/>
          <w:color w:val="000000" w:themeColor="text1"/>
          <w:szCs w:val="18"/>
          <w:lang w:val="en-US" w:eastAsia="pt-BR"/>
        </w:rPr>
        <w:t>pequi</w:t>
      </w:r>
      <w:proofErr w:type="spellEnd"/>
      <w:r w:rsidRPr="00F802FE">
        <w:rPr>
          <w:rFonts w:cs="Arial"/>
          <w:b w:val="0"/>
          <w:color w:val="000000" w:themeColor="text1"/>
          <w:szCs w:val="18"/>
          <w:lang w:val="en-US" w:eastAsia="pt-BR"/>
        </w:rPr>
        <w:t xml:space="preserve"> oil microcapsules nor</w:t>
      </w:r>
      <w:proofErr w:type="gramEnd"/>
      <w:r w:rsidRPr="00F802FE">
        <w:rPr>
          <w:rFonts w:cs="Arial"/>
          <w:b w:val="0"/>
          <w:color w:val="000000" w:themeColor="text1"/>
          <w:szCs w:val="18"/>
          <w:lang w:val="en-US" w:eastAsia="pt-BR"/>
        </w:rPr>
        <w:t xml:space="preserve"> in yield, efficiency and particle size since they were within the standards desired for the process. Thus, the </w:t>
      </w:r>
      <w:proofErr w:type="spellStart"/>
      <w:r w:rsidRPr="00F802FE">
        <w:rPr>
          <w:rFonts w:cs="Arial"/>
          <w:b w:val="0"/>
          <w:color w:val="000000" w:themeColor="text1"/>
          <w:szCs w:val="18"/>
          <w:lang w:val="en-US" w:eastAsia="pt-BR"/>
        </w:rPr>
        <w:t>coacervated</w:t>
      </w:r>
      <w:proofErr w:type="spellEnd"/>
      <w:r w:rsidRPr="00F802FE">
        <w:rPr>
          <w:rFonts w:cs="Arial"/>
          <w:b w:val="0"/>
          <w:color w:val="000000" w:themeColor="text1"/>
          <w:szCs w:val="18"/>
          <w:lang w:val="en-US" w:eastAsia="pt-BR"/>
        </w:rPr>
        <w:t xml:space="preserve"> gelatin / </w:t>
      </w:r>
      <w:proofErr w:type="spellStart"/>
      <w:proofErr w:type="gramStart"/>
      <w:r w:rsidRPr="00F802FE">
        <w:rPr>
          <w:rFonts w:cs="Arial"/>
          <w:b w:val="0"/>
          <w:color w:val="000000" w:themeColor="text1"/>
          <w:szCs w:val="18"/>
          <w:lang w:val="en-US" w:eastAsia="pt-BR"/>
        </w:rPr>
        <w:t>arabic</w:t>
      </w:r>
      <w:proofErr w:type="spellEnd"/>
      <w:proofErr w:type="gramEnd"/>
      <w:r w:rsidRPr="00F802FE">
        <w:rPr>
          <w:rFonts w:cs="Arial"/>
          <w:b w:val="0"/>
          <w:color w:val="000000" w:themeColor="text1"/>
          <w:szCs w:val="18"/>
          <w:lang w:val="en-US" w:eastAsia="pt-BR"/>
        </w:rPr>
        <w:t xml:space="preserve"> gum with lower reaction volume can effectively encapsulate </w:t>
      </w:r>
      <w:proofErr w:type="spellStart"/>
      <w:r w:rsidRPr="00F802FE">
        <w:rPr>
          <w:rFonts w:cs="Arial"/>
          <w:b w:val="0"/>
          <w:color w:val="000000" w:themeColor="text1"/>
          <w:szCs w:val="18"/>
          <w:lang w:val="en-US" w:eastAsia="pt-BR"/>
        </w:rPr>
        <w:t>pequi</w:t>
      </w:r>
      <w:proofErr w:type="spellEnd"/>
      <w:r w:rsidRPr="00F802FE">
        <w:rPr>
          <w:rFonts w:cs="Arial"/>
          <w:b w:val="0"/>
          <w:color w:val="000000" w:themeColor="text1"/>
          <w:szCs w:val="18"/>
          <w:lang w:val="en-US" w:eastAsia="pt-BR"/>
        </w:rPr>
        <w:t xml:space="preserve"> oil with high efficiency; however, it should be noted that more cohesive or less aggregated microcapsules may be crucial to success when employed in the food matrix. Therefore, this study provided a new perspective on how the reaction volume influences encapsulation by complex </w:t>
      </w:r>
      <w:proofErr w:type="spellStart"/>
      <w:r w:rsidRPr="00F802FE">
        <w:rPr>
          <w:rFonts w:cs="Arial"/>
          <w:b w:val="0"/>
          <w:color w:val="000000" w:themeColor="text1"/>
          <w:szCs w:val="18"/>
          <w:lang w:val="en-US" w:eastAsia="pt-BR"/>
        </w:rPr>
        <w:t>coacervation</w:t>
      </w:r>
      <w:proofErr w:type="spellEnd"/>
      <w:r w:rsidRPr="00F802FE">
        <w:rPr>
          <w:rFonts w:cs="Arial"/>
          <w:b w:val="0"/>
          <w:color w:val="000000" w:themeColor="text1"/>
          <w:szCs w:val="18"/>
          <w:lang w:val="en-US" w:eastAsia="pt-BR"/>
        </w:rPr>
        <w:t>.</w:t>
      </w:r>
    </w:p>
    <w:p w:rsidR="00600535" w:rsidRPr="00B57B36" w:rsidRDefault="00600535" w:rsidP="00600535">
      <w:pPr>
        <w:pStyle w:val="CETAcknowledgementstitle"/>
      </w:pPr>
      <w:r w:rsidRPr="00B57B36">
        <w:t>Acknowledgments</w:t>
      </w:r>
    </w:p>
    <w:p w:rsidR="00600535" w:rsidRPr="0043525E" w:rsidRDefault="00C44744" w:rsidP="00600535">
      <w:pPr>
        <w:pStyle w:val="CETBodytext"/>
        <w:rPr>
          <w:color w:val="000000" w:themeColor="text1"/>
          <w:lang w:val="en-GB"/>
        </w:rPr>
      </w:pPr>
      <w:r w:rsidRPr="0043525E">
        <w:rPr>
          <w:color w:val="000000" w:themeColor="text1"/>
          <w:lang w:val="en-GB"/>
        </w:rPr>
        <w:t xml:space="preserve">The present work was carried out with the support of the Coordination of Improvement of Higher Education Personnel - Brazil (CAPES) - Financing Code 001, project 832420 / 1999-9. The authors also thank </w:t>
      </w:r>
      <w:proofErr w:type="spellStart"/>
      <w:r w:rsidRPr="0043525E">
        <w:rPr>
          <w:color w:val="000000" w:themeColor="text1"/>
          <w:lang w:val="en-GB"/>
        </w:rPr>
        <w:t>Embrapa</w:t>
      </w:r>
      <w:proofErr w:type="spellEnd"/>
      <w:r w:rsidRPr="0043525E">
        <w:rPr>
          <w:color w:val="000000" w:themeColor="text1"/>
          <w:lang w:val="en-GB"/>
        </w:rPr>
        <w:t xml:space="preserve"> </w:t>
      </w:r>
      <w:proofErr w:type="spellStart"/>
      <w:r w:rsidRPr="0043525E">
        <w:rPr>
          <w:color w:val="000000" w:themeColor="text1"/>
          <w:lang w:val="en-GB"/>
        </w:rPr>
        <w:t>Agroindústria</w:t>
      </w:r>
      <w:proofErr w:type="spellEnd"/>
      <w:r w:rsidRPr="0043525E">
        <w:rPr>
          <w:color w:val="000000" w:themeColor="text1"/>
          <w:lang w:val="en-GB"/>
        </w:rPr>
        <w:t xml:space="preserve"> Tropical </w:t>
      </w:r>
      <w:r w:rsidR="00CD5CF3" w:rsidRPr="0043525E">
        <w:rPr>
          <w:color w:val="000000" w:themeColor="text1"/>
          <w:lang w:val="en-GB"/>
        </w:rPr>
        <w:t xml:space="preserve">for the support </w:t>
      </w:r>
      <w:r w:rsidRPr="0043525E">
        <w:rPr>
          <w:color w:val="000000" w:themeColor="text1"/>
          <w:lang w:val="en-GB"/>
        </w:rPr>
        <w:t>and</w:t>
      </w:r>
      <w:r w:rsidR="00CD5CF3" w:rsidRPr="0043525E">
        <w:rPr>
          <w:color w:val="000000" w:themeColor="text1"/>
          <w:lang w:val="en-GB"/>
        </w:rPr>
        <w:t xml:space="preserve"> to</w:t>
      </w:r>
      <w:r w:rsidRPr="0043525E">
        <w:rPr>
          <w:color w:val="000000" w:themeColor="text1"/>
          <w:lang w:val="en-GB"/>
        </w:rPr>
        <w:t xml:space="preserve"> </w:t>
      </w:r>
      <w:proofErr w:type="spellStart"/>
      <w:r w:rsidRPr="0043525E">
        <w:rPr>
          <w:color w:val="000000" w:themeColor="text1"/>
          <w:lang w:val="en-GB"/>
        </w:rPr>
        <w:t>Rousselout</w:t>
      </w:r>
      <w:proofErr w:type="spellEnd"/>
      <w:r w:rsidRPr="0043525E">
        <w:rPr>
          <w:color w:val="000000" w:themeColor="text1"/>
          <w:lang w:val="en-GB"/>
        </w:rPr>
        <w:t>® for providing 175H30 gelatine for this study.</w:t>
      </w:r>
    </w:p>
    <w:p w:rsidR="00600535" w:rsidRPr="00B57B36" w:rsidRDefault="00600535" w:rsidP="00600535">
      <w:pPr>
        <w:pStyle w:val="CETReference"/>
      </w:pPr>
      <w:r w:rsidRPr="00B57B36">
        <w:t>References</w:t>
      </w:r>
    </w:p>
    <w:p w:rsidR="00C44744" w:rsidRDefault="00C44744" w:rsidP="00C44744">
      <w:pPr>
        <w:pStyle w:val="CETReferencetext"/>
      </w:pPr>
      <w:r>
        <w:t>C</w:t>
      </w:r>
      <w:r w:rsidR="00F86C62">
        <w:t>hang</w:t>
      </w:r>
      <w:r>
        <w:t xml:space="preserve"> P</w:t>
      </w:r>
      <w:r w:rsidR="00F86C62">
        <w:t xml:space="preserve">.G., Gupta R., </w:t>
      </w:r>
      <w:proofErr w:type="spellStart"/>
      <w:r w:rsidR="00F86C62">
        <w:t>Timilsena</w:t>
      </w:r>
      <w:proofErr w:type="spellEnd"/>
      <w:r w:rsidR="00F86C62">
        <w:t xml:space="preserve"> Y.P., </w:t>
      </w:r>
      <w:proofErr w:type="spellStart"/>
      <w:r w:rsidR="00F86C62">
        <w:t>Adhikari</w:t>
      </w:r>
      <w:proofErr w:type="spellEnd"/>
      <w:r w:rsidR="00F86C62">
        <w:t xml:space="preserve"> B., 2016,</w:t>
      </w:r>
      <w:r>
        <w:t xml:space="preserve"> Optimisation of the complex </w:t>
      </w:r>
      <w:proofErr w:type="spellStart"/>
      <w:r>
        <w:t>coacervation</w:t>
      </w:r>
      <w:proofErr w:type="spellEnd"/>
      <w:r>
        <w:t xml:space="preserve"> between canola protein isolate and chitosan. </w:t>
      </w:r>
      <w:proofErr w:type="gramStart"/>
      <w:r>
        <w:t xml:space="preserve">Journal </w:t>
      </w:r>
      <w:r w:rsidR="00F86C62">
        <w:t>o</w:t>
      </w:r>
      <w:r>
        <w:t>f Food Engineering, v. 191, p.58-66.</w:t>
      </w:r>
      <w:proofErr w:type="gramEnd"/>
      <w:r>
        <w:t xml:space="preserve"> </w:t>
      </w:r>
      <w:r w:rsidR="009369D1" w:rsidRPr="00EC1658">
        <w:t>dx.doi.org/10.1016/j.jfoodeng.2016.07.008</w:t>
      </w:r>
      <w:r>
        <w:t>.</w:t>
      </w:r>
    </w:p>
    <w:p w:rsidR="009369D1" w:rsidRDefault="001D2F3B" w:rsidP="009369D1">
      <w:pPr>
        <w:pStyle w:val="CETReferencetext"/>
      </w:pPr>
      <w:proofErr w:type="spellStart"/>
      <w:r>
        <w:t>C</w:t>
      </w:r>
      <w:r w:rsidR="00EC1658">
        <w:t>omunian</w:t>
      </w:r>
      <w:proofErr w:type="spellEnd"/>
      <w:r w:rsidR="009369D1">
        <w:t xml:space="preserve"> T</w:t>
      </w:r>
      <w:r w:rsidR="00EC1658">
        <w:t>.A., Gomez-</w:t>
      </w:r>
      <w:proofErr w:type="spellStart"/>
      <w:r w:rsidR="00EC1658">
        <w:t>Estaca</w:t>
      </w:r>
      <w:proofErr w:type="spellEnd"/>
      <w:r w:rsidR="00EC1658">
        <w:t xml:space="preserve"> J., Furtado R.F., </w:t>
      </w:r>
      <w:proofErr w:type="spellStart"/>
      <w:r w:rsidR="00EC1658">
        <w:t>Conceição</w:t>
      </w:r>
      <w:proofErr w:type="spellEnd"/>
      <w:r w:rsidR="00EC1658">
        <w:t xml:space="preserve"> G.J.A., </w:t>
      </w:r>
      <w:proofErr w:type="spellStart"/>
      <w:r w:rsidR="00EC1658">
        <w:t>Moraes</w:t>
      </w:r>
      <w:proofErr w:type="spellEnd"/>
      <w:r w:rsidR="00EC1658">
        <w:t xml:space="preserve"> I.C.F., Castro I.A., </w:t>
      </w:r>
      <w:proofErr w:type="spellStart"/>
      <w:r w:rsidR="00EC1658">
        <w:t>Tr</w:t>
      </w:r>
      <w:r w:rsidR="00D43C5F">
        <w:t>i</w:t>
      </w:r>
      <w:r w:rsidR="00EC1658">
        <w:t>ndade</w:t>
      </w:r>
      <w:proofErr w:type="spellEnd"/>
      <w:r w:rsidR="00EC1658">
        <w:t xml:space="preserve"> C.S.F., 2016, Effect of different polysaccharides and </w:t>
      </w:r>
      <w:proofErr w:type="spellStart"/>
      <w:r w:rsidR="00EC1658">
        <w:t>crosslinkers</w:t>
      </w:r>
      <w:proofErr w:type="spellEnd"/>
      <w:r w:rsidR="00EC1658">
        <w:t xml:space="preserve"> on </w:t>
      </w:r>
      <w:proofErr w:type="spellStart"/>
      <w:r w:rsidR="00EC1658">
        <w:t>echium</w:t>
      </w:r>
      <w:proofErr w:type="spellEnd"/>
      <w:r w:rsidR="00EC1658">
        <w:t xml:space="preserve"> oil microcapsules.</w:t>
      </w:r>
      <w:r w:rsidR="009369D1">
        <w:t xml:space="preserve"> </w:t>
      </w:r>
      <w:proofErr w:type="gramStart"/>
      <w:r w:rsidR="009369D1">
        <w:t>Carbohydrate Polymers, v. 150, p.319-329.</w:t>
      </w:r>
      <w:proofErr w:type="gramEnd"/>
      <w:r w:rsidR="009369D1">
        <w:t xml:space="preserve"> dx.doi.org/10.1016/j.carbpol.2016.05.044.</w:t>
      </w:r>
    </w:p>
    <w:p w:rsidR="009369D1" w:rsidRPr="000D56D6" w:rsidRDefault="001D2F3B" w:rsidP="009369D1">
      <w:pPr>
        <w:pStyle w:val="CETReferencetext"/>
      </w:pPr>
      <w:proofErr w:type="spellStart"/>
      <w:r>
        <w:t>C</w:t>
      </w:r>
      <w:r w:rsidR="00D43C5F">
        <w:t>omunian</w:t>
      </w:r>
      <w:proofErr w:type="spellEnd"/>
      <w:r w:rsidR="00D43C5F">
        <w:t xml:space="preserve"> T.A., </w:t>
      </w:r>
      <w:proofErr w:type="spellStart"/>
      <w:r w:rsidR="00D43C5F">
        <w:t>Nogueira</w:t>
      </w:r>
      <w:proofErr w:type="spellEnd"/>
      <w:r w:rsidR="00D43C5F">
        <w:t xml:space="preserve"> M., </w:t>
      </w:r>
      <w:proofErr w:type="spellStart"/>
      <w:r w:rsidR="00D43C5F">
        <w:t>Scolaro</w:t>
      </w:r>
      <w:proofErr w:type="spellEnd"/>
      <w:r w:rsidR="00D43C5F">
        <w:t xml:space="preserve"> B., </w:t>
      </w:r>
      <w:proofErr w:type="spellStart"/>
      <w:r w:rsidR="00D43C5F">
        <w:t>Thomazini</w:t>
      </w:r>
      <w:proofErr w:type="spellEnd"/>
      <w:r w:rsidR="00D43C5F">
        <w:t xml:space="preserve"> M, Furtado R.F., Castro I.A., </w:t>
      </w:r>
      <w:proofErr w:type="spellStart"/>
      <w:r w:rsidR="00D43C5F">
        <w:t>Trindade</w:t>
      </w:r>
      <w:proofErr w:type="spellEnd"/>
      <w:r w:rsidR="00D43C5F">
        <w:t xml:space="preserve"> C.S.F., 2018,</w:t>
      </w:r>
      <w:r w:rsidR="009369D1" w:rsidRPr="009369D1">
        <w:t xml:space="preserve">. </w:t>
      </w:r>
      <w:proofErr w:type="gramStart"/>
      <w:r w:rsidR="009369D1" w:rsidRPr="009369D1">
        <w:t xml:space="preserve">Enhancing stability of </w:t>
      </w:r>
      <w:proofErr w:type="spellStart"/>
      <w:r w:rsidR="009369D1" w:rsidRPr="009369D1">
        <w:t>echium</w:t>
      </w:r>
      <w:proofErr w:type="spellEnd"/>
      <w:r w:rsidR="009369D1" w:rsidRPr="009369D1">
        <w:t xml:space="preserve"> seed oil and beta-</w:t>
      </w:r>
      <w:proofErr w:type="spellStart"/>
      <w:r w:rsidR="009369D1" w:rsidRPr="009369D1">
        <w:t>sitosterol</w:t>
      </w:r>
      <w:proofErr w:type="spellEnd"/>
      <w:r w:rsidR="009369D1" w:rsidRPr="009369D1">
        <w:t xml:space="preserve"> by their </w:t>
      </w:r>
      <w:proofErr w:type="spellStart"/>
      <w:r w:rsidR="009369D1" w:rsidRPr="009369D1">
        <w:t>coencapsulation</w:t>
      </w:r>
      <w:proofErr w:type="spellEnd"/>
      <w:r w:rsidR="009369D1" w:rsidRPr="009369D1">
        <w:t xml:space="preserve"> by complex </w:t>
      </w:r>
      <w:proofErr w:type="spellStart"/>
      <w:r w:rsidR="009369D1" w:rsidRPr="009369D1">
        <w:t>coacervation</w:t>
      </w:r>
      <w:proofErr w:type="spellEnd"/>
      <w:r w:rsidR="009369D1" w:rsidRPr="009369D1">
        <w:t xml:space="preserve"> using different combinations of wall materials and </w:t>
      </w:r>
      <w:proofErr w:type="spellStart"/>
      <w:r w:rsidR="009369D1" w:rsidRPr="009369D1">
        <w:t>crosslinkers</w:t>
      </w:r>
      <w:proofErr w:type="spellEnd"/>
      <w:r w:rsidR="009369D1" w:rsidRPr="009369D1">
        <w:t>.</w:t>
      </w:r>
      <w:proofErr w:type="gramEnd"/>
      <w:r w:rsidR="009369D1" w:rsidRPr="009369D1">
        <w:t xml:space="preserve"> </w:t>
      </w:r>
      <w:proofErr w:type="gramStart"/>
      <w:r w:rsidR="009369D1" w:rsidRPr="009369D1">
        <w:t>Food Chemistry, v. 252, p.277-284</w:t>
      </w:r>
      <w:r w:rsidR="00D43C5F">
        <w:t>.</w:t>
      </w:r>
      <w:proofErr w:type="gramEnd"/>
      <w:r w:rsidR="00D43C5F">
        <w:t xml:space="preserve"> </w:t>
      </w:r>
      <w:r w:rsidR="009369D1" w:rsidRPr="009369D1">
        <w:t>dx.doi.org/10.1016/j.foodchem.2018.01.121.</w:t>
      </w:r>
    </w:p>
    <w:p w:rsidR="00C44744" w:rsidRDefault="00C44744" w:rsidP="00C44744">
      <w:pPr>
        <w:pStyle w:val="CETReferencetext"/>
      </w:pPr>
      <w:r>
        <w:t>C</w:t>
      </w:r>
      <w:r w:rsidR="00F86C62">
        <w:t>ruz</w:t>
      </w:r>
      <w:r>
        <w:t xml:space="preserve"> M</w:t>
      </w:r>
      <w:r w:rsidR="00F86C62">
        <w:t xml:space="preserve">.C.R., </w:t>
      </w:r>
      <w:proofErr w:type="spellStart"/>
      <w:r w:rsidR="00F86C62">
        <w:t>Dagostin</w:t>
      </w:r>
      <w:proofErr w:type="spellEnd"/>
      <w:r w:rsidR="00F86C62">
        <w:t xml:space="preserve"> J.L.A., </w:t>
      </w:r>
      <w:proofErr w:type="spellStart"/>
      <w:r w:rsidR="00F86C62">
        <w:t>Perussello</w:t>
      </w:r>
      <w:proofErr w:type="spellEnd"/>
      <w:r w:rsidR="00F86C62">
        <w:t xml:space="preserve"> C.A., Masson M.L., 2019, </w:t>
      </w:r>
      <w:r>
        <w:t xml:space="preserve">Assessment of physicochemical characteristics, thermal stability and release profile of ascorbic acid microcapsules obtained by complex </w:t>
      </w:r>
      <w:proofErr w:type="spellStart"/>
      <w:r>
        <w:t>coacervation</w:t>
      </w:r>
      <w:proofErr w:type="spellEnd"/>
      <w:r>
        <w:t xml:space="preserve">. </w:t>
      </w:r>
      <w:proofErr w:type="gramStart"/>
      <w:r>
        <w:t>Food Hydrocolloids, v. 87,</w:t>
      </w:r>
      <w:r w:rsidR="00F86C62">
        <w:t xml:space="preserve"> p.71-82</w:t>
      </w:r>
      <w:r>
        <w:t>.</w:t>
      </w:r>
      <w:proofErr w:type="gramEnd"/>
      <w:r>
        <w:t xml:space="preserve"> dx.doi.org/10.1016/j.foodhyd.2018.07.043.</w:t>
      </w:r>
    </w:p>
    <w:p w:rsidR="00C44744" w:rsidRDefault="00F25FE6" w:rsidP="00C44744">
      <w:pPr>
        <w:pStyle w:val="CETReferencetext"/>
      </w:pPr>
      <w:proofErr w:type="spellStart"/>
      <w:r>
        <w:t>Duhoranimana</w:t>
      </w:r>
      <w:proofErr w:type="spellEnd"/>
      <w:r w:rsidR="00C44744">
        <w:t xml:space="preserve"> E</w:t>
      </w:r>
      <w:r>
        <w:t xml:space="preserve">.; Yu J.; </w:t>
      </w:r>
      <w:proofErr w:type="spellStart"/>
      <w:r w:rsidRPr="00F25FE6">
        <w:t>Mukeshimana</w:t>
      </w:r>
      <w:proofErr w:type="spellEnd"/>
      <w:r>
        <w:t xml:space="preserve"> O.; </w:t>
      </w:r>
      <w:proofErr w:type="spellStart"/>
      <w:r w:rsidRPr="00F25FE6">
        <w:t>Habinshuti</w:t>
      </w:r>
      <w:proofErr w:type="spellEnd"/>
      <w:r>
        <w:t xml:space="preserve"> I.; </w:t>
      </w:r>
      <w:proofErr w:type="spellStart"/>
      <w:r w:rsidRPr="00F25FE6">
        <w:t>Karangwa</w:t>
      </w:r>
      <w:proofErr w:type="spellEnd"/>
      <w:r>
        <w:t xml:space="preserve"> E.; </w:t>
      </w:r>
      <w:proofErr w:type="spellStart"/>
      <w:r w:rsidRPr="00F25FE6">
        <w:t>Xu</w:t>
      </w:r>
      <w:proofErr w:type="spellEnd"/>
      <w:r>
        <w:t xml:space="preserve"> X.; </w:t>
      </w:r>
      <w:proofErr w:type="spellStart"/>
      <w:r w:rsidRPr="00F25FE6">
        <w:t>Muhoza</w:t>
      </w:r>
      <w:proofErr w:type="spellEnd"/>
      <w:r>
        <w:t xml:space="preserve"> B.; </w:t>
      </w:r>
      <w:r w:rsidRPr="00F25FE6">
        <w:t>Xia</w:t>
      </w:r>
      <w:r>
        <w:t xml:space="preserve"> S.; </w:t>
      </w:r>
      <w:r w:rsidRPr="00F25FE6">
        <w:t>Zhang</w:t>
      </w:r>
      <w:r>
        <w:t xml:space="preserve"> X., 2018,</w:t>
      </w:r>
      <w:r w:rsidR="00C44744">
        <w:t xml:space="preserve"> Thermodynamic characterization of </w:t>
      </w:r>
      <w:proofErr w:type="spellStart"/>
      <w:r w:rsidR="00C44744">
        <w:t>Gelatin</w:t>
      </w:r>
      <w:proofErr w:type="spellEnd"/>
      <w:r w:rsidR="00C44744">
        <w:t xml:space="preserve">-Sodium </w:t>
      </w:r>
      <w:proofErr w:type="spellStart"/>
      <w:r w:rsidR="00C44744">
        <w:t>carboxymethyl</w:t>
      </w:r>
      <w:proofErr w:type="spellEnd"/>
      <w:r w:rsidR="00C44744">
        <w:t xml:space="preserve"> cellulose complex encapsulating Conjugated Linoleic Acid (CLA). </w:t>
      </w:r>
      <w:proofErr w:type="gramStart"/>
      <w:r w:rsidR="00C44744">
        <w:t>Food Hydrocolloids, v. 80, p.149-</w:t>
      </w:r>
      <w:r>
        <w:t>159</w:t>
      </w:r>
      <w:r w:rsidR="00F86C62">
        <w:t>.</w:t>
      </w:r>
      <w:proofErr w:type="gramEnd"/>
      <w:r w:rsidR="00F86C62">
        <w:t xml:space="preserve"> </w:t>
      </w:r>
      <w:r w:rsidR="00C44744">
        <w:t>dx.doi.org/10.1016/j.foodhyd.2018.02.011.</w:t>
      </w:r>
    </w:p>
    <w:p w:rsidR="00C44744" w:rsidRDefault="00C44744" w:rsidP="00C44744">
      <w:pPr>
        <w:pStyle w:val="CETReferencetext"/>
      </w:pPr>
      <w:proofErr w:type="spellStart"/>
      <w:r>
        <w:t>E</w:t>
      </w:r>
      <w:r w:rsidR="00F86C62">
        <w:t>ghbal</w:t>
      </w:r>
      <w:proofErr w:type="spellEnd"/>
      <w:r>
        <w:t xml:space="preserve"> N</w:t>
      </w:r>
      <w:r w:rsidR="00F86C62">
        <w:t>.,</w:t>
      </w:r>
      <w:r>
        <w:t xml:space="preserve"> </w:t>
      </w:r>
      <w:proofErr w:type="spellStart"/>
      <w:r>
        <w:t>C</w:t>
      </w:r>
      <w:r w:rsidR="00F86C62">
        <w:t>houdhary</w:t>
      </w:r>
      <w:proofErr w:type="spellEnd"/>
      <w:r>
        <w:t xml:space="preserve"> R</w:t>
      </w:r>
      <w:r w:rsidR="00F86C62">
        <w:t xml:space="preserve">., 2018, </w:t>
      </w:r>
      <w:r>
        <w:t xml:space="preserve">Complex </w:t>
      </w:r>
      <w:proofErr w:type="spellStart"/>
      <w:r>
        <w:t>coacervation</w:t>
      </w:r>
      <w:proofErr w:type="spellEnd"/>
      <w:r>
        <w:t xml:space="preserve">: Encapsulation and controlled release of active agents in food systems. </w:t>
      </w:r>
      <w:proofErr w:type="gramStart"/>
      <w:r>
        <w:t>L</w:t>
      </w:r>
      <w:r w:rsidR="00F86C62">
        <w:t>WT</w:t>
      </w:r>
      <w:r>
        <w:t>, v. 90, p.254-264</w:t>
      </w:r>
      <w:r w:rsidR="00F86C62">
        <w:t>.</w:t>
      </w:r>
      <w:proofErr w:type="gramEnd"/>
      <w:r w:rsidR="00F86C62">
        <w:t xml:space="preserve"> </w:t>
      </w:r>
      <w:r>
        <w:t>dx.doi.org/10.1016/j.lwt.2017.12.036.</w:t>
      </w:r>
    </w:p>
    <w:p w:rsidR="00C44744" w:rsidRDefault="00C44744" w:rsidP="00C44744">
      <w:pPr>
        <w:pStyle w:val="CETReferencetext"/>
      </w:pPr>
      <w:proofErr w:type="spellStart"/>
      <w:r>
        <w:lastRenderedPageBreak/>
        <w:t>F</w:t>
      </w:r>
      <w:r w:rsidR="0021362B">
        <w:t>igueiredo</w:t>
      </w:r>
      <w:proofErr w:type="spellEnd"/>
      <w:r w:rsidR="0021362B">
        <w:t xml:space="preserve"> </w:t>
      </w:r>
      <w:r>
        <w:t>P</w:t>
      </w:r>
      <w:r w:rsidR="001D2F3B">
        <w:t>.</w:t>
      </w:r>
      <w:r>
        <w:t xml:space="preserve"> R</w:t>
      </w:r>
      <w:r w:rsidR="001D2F3B">
        <w:t>.</w:t>
      </w:r>
      <w:r>
        <w:t xml:space="preserve"> L</w:t>
      </w:r>
      <w:r w:rsidR="001D2F3B">
        <w:t>.</w:t>
      </w:r>
      <w:r w:rsidR="0021362B">
        <w:t>, Oliveira I.B., Santana</w:t>
      </w:r>
      <w:r w:rsidR="008A1CBA">
        <w:t>-</w:t>
      </w:r>
      <w:proofErr w:type="spellStart"/>
      <w:r w:rsidR="0021362B">
        <w:t>Neto</w:t>
      </w:r>
      <w:proofErr w:type="spellEnd"/>
      <w:r w:rsidR="0021362B">
        <w:t xml:space="preserve"> J.B., Oliveira J.A., </w:t>
      </w:r>
      <w:proofErr w:type="spellStart"/>
      <w:r w:rsidR="0021362B">
        <w:t>Ribeiro</w:t>
      </w:r>
      <w:proofErr w:type="spellEnd"/>
      <w:r w:rsidR="0021362B">
        <w:t xml:space="preserve"> L.B., </w:t>
      </w:r>
      <w:proofErr w:type="spellStart"/>
      <w:r w:rsidR="00B045C9">
        <w:t>Viana</w:t>
      </w:r>
      <w:proofErr w:type="spellEnd"/>
      <w:r w:rsidR="00B045C9">
        <w:t xml:space="preserve"> G.S.B., Rocha T.M., Leal L.K.A.M., </w:t>
      </w:r>
      <w:proofErr w:type="spellStart"/>
      <w:r w:rsidR="00B045C9">
        <w:t>Kerntopf</w:t>
      </w:r>
      <w:proofErr w:type="spellEnd"/>
      <w:r w:rsidR="00B045C9">
        <w:t xml:space="preserve"> M.R., Felipe C.F.B., </w:t>
      </w:r>
      <w:proofErr w:type="spellStart"/>
      <w:r w:rsidR="00B045C9">
        <w:t>Coutinho</w:t>
      </w:r>
      <w:proofErr w:type="spellEnd"/>
      <w:r w:rsidR="00B045C9">
        <w:t xml:space="preserve"> H.D.M., </w:t>
      </w:r>
      <w:proofErr w:type="spellStart"/>
      <w:r w:rsidR="00B045C9">
        <w:t>Menezes</w:t>
      </w:r>
      <w:proofErr w:type="spellEnd"/>
      <w:r w:rsidR="00B045C9">
        <w:t xml:space="preserve"> I.R.A., 2016, </w:t>
      </w:r>
      <w:proofErr w:type="spellStart"/>
      <w:r>
        <w:t>Caryocar</w:t>
      </w:r>
      <w:proofErr w:type="spellEnd"/>
      <w:r>
        <w:t xml:space="preserve"> </w:t>
      </w:r>
      <w:proofErr w:type="spellStart"/>
      <w:r>
        <w:t>coriaceum</w:t>
      </w:r>
      <w:proofErr w:type="spellEnd"/>
      <w:r>
        <w:t xml:space="preserve"> </w:t>
      </w:r>
      <w:proofErr w:type="spellStart"/>
      <w:r>
        <w:t>Wittm</w:t>
      </w:r>
      <w:proofErr w:type="spellEnd"/>
      <w:r>
        <w:t>. (</w:t>
      </w:r>
      <w:proofErr w:type="spellStart"/>
      <w:r>
        <w:t>Pequi</w:t>
      </w:r>
      <w:proofErr w:type="spellEnd"/>
      <w:r>
        <w:t xml:space="preserve">) fixed oil presents </w:t>
      </w:r>
      <w:proofErr w:type="spellStart"/>
      <w:r>
        <w:t>hypolipemic</w:t>
      </w:r>
      <w:proofErr w:type="spellEnd"/>
      <w:r>
        <w:t xml:space="preserve"> and anti-inflammatory effects in vivo and in vitro. </w:t>
      </w:r>
      <w:proofErr w:type="gramStart"/>
      <w:r>
        <w:t xml:space="preserve">Journal of </w:t>
      </w:r>
      <w:proofErr w:type="spellStart"/>
      <w:r>
        <w:t>Ethnopharmacology</w:t>
      </w:r>
      <w:proofErr w:type="spellEnd"/>
      <w:r>
        <w:t>, v. 191, p.87-94.</w:t>
      </w:r>
      <w:proofErr w:type="gramEnd"/>
      <w:r>
        <w:t xml:space="preserve"> dx.doi.org/10.1016/j.jep.2016.06.038.</w:t>
      </w:r>
    </w:p>
    <w:p w:rsidR="00C44744" w:rsidRDefault="00C44744" w:rsidP="00C44744">
      <w:pPr>
        <w:pStyle w:val="CETReferencetext"/>
      </w:pPr>
      <w:proofErr w:type="spellStart"/>
      <w:r>
        <w:t>G</w:t>
      </w:r>
      <w:r w:rsidR="00B045C9">
        <w:t>onçalves</w:t>
      </w:r>
      <w:proofErr w:type="spellEnd"/>
      <w:r>
        <w:t xml:space="preserve"> N</w:t>
      </w:r>
      <w:r w:rsidR="00B045C9">
        <w:t>.</w:t>
      </w:r>
      <w:r>
        <w:t>D.</w:t>
      </w:r>
      <w:r w:rsidR="00B045C9">
        <w:t xml:space="preserve">, </w:t>
      </w:r>
      <w:proofErr w:type="spellStart"/>
      <w:r w:rsidR="00B045C9">
        <w:t>Grosso</w:t>
      </w:r>
      <w:proofErr w:type="spellEnd"/>
      <w:r w:rsidR="00B045C9">
        <w:t xml:space="preserve"> C.R.F., </w:t>
      </w:r>
      <w:proofErr w:type="spellStart"/>
      <w:r w:rsidR="00B045C9">
        <w:t>Rabelo</w:t>
      </w:r>
      <w:proofErr w:type="spellEnd"/>
      <w:r w:rsidR="00B045C9">
        <w:t xml:space="preserve"> R.S., </w:t>
      </w:r>
      <w:proofErr w:type="spellStart"/>
      <w:r w:rsidR="00B045C9">
        <w:t>Hubinger</w:t>
      </w:r>
      <w:proofErr w:type="spellEnd"/>
      <w:r w:rsidR="00B045C9">
        <w:t xml:space="preserve"> M.D., </w:t>
      </w:r>
      <w:proofErr w:type="spellStart"/>
      <w:r w:rsidR="00B045C9">
        <w:t>Prata</w:t>
      </w:r>
      <w:proofErr w:type="spellEnd"/>
      <w:r w:rsidR="00B045C9">
        <w:t xml:space="preserve"> A.S., 2018, </w:t>
      </w:r>
      <w:r>
        <w:t xml:space="preserve">Comparison of </w:t>
      </w:r>
      <w:proofErr w:type="spellStart"/>
      <w:r>
        <w:t>microparticles</w:t>
      </w:r>
      <w:proofErr w:type="spellEnd"/>
      <w:r>
        <w:t xml:space="preserve"> produced with combinations of </w:t>
      </w:r>
      <w:proofErr w:type="spellStart"/>
      <w:r>
        <w:t>gelatin</w:t>
      </w:r>
      <w:proofErr w:type="spellEnd"/>
      <w:r>
        <w:t xml:space="preserve">, chitosan and gum Arabic. </w:t>
      </w:r>
      <w:proofErr w:type="gramStart"/>
      <w:r>
        <w:t>Carbohydrate Polymers, v. 196, p.427-432.</w:t>
      </w:r>
      <w:proofErr w:type="gramEnd"/>
      <w:r>
        <w:t xml:space="preserve"> doi.org/10.1016/j.carbpol.2018.05.027.</w:t>
      </w:r>
    </w:p>
    <w:p w:rsidR="00C44744" w:rsidRDefault="00C44744" w:rsidP="00C44744">
      <w:pPr>
        <w:pStyle w:val="CETReferencetext"/>
      </w:pPr>
      <w:proofErr w:type="spellStart"/>
      <w:r>
        <w:t>G</w:t>
      </w:r>
      <w:r w:rsidR="005101D3">
        <w:t>ulão</w:t>
      </w:r>
      <w:proofErr w:type="spellEnd"/>
      <w:r>
        <w:t xml:space="preserve"> E</w:t>
      </w:r>
      <w:r w:rsidR="005319E0">
        <w:t>.</w:t>
      </w:r>
      <w:r>
        <w:t>S</w:t>
      </w:r>
      <w:r w:rsidRPr="005101D3">
        <w:t>.</w:t>
      </w:r>
      <w:r w:rsidR="005319E0" w:rsidRPr="005101D3">
        <w:t>, Souza C.J.F., Andrade C.T., Garcia-Rojas E.E</w:t>
      </w:r>
      <w:r>
        <w:t xml:space="preserve">. Complex </w:t>
      </w:r>
      <w:proofErr w:type="spellStart"/>
      <w:r>
        <w:t>coacervates</w:t>
      </w:r>
      <w:proofErr w:type="spellEnd"/>
      <w:r>
        <w:t xml:space="preserve"> obtained from peptide </w:t>
      </w:r>
      <w:proofErr w:type="spellStart"/>
      <w:r>
        <w:t>leucine</w:t>
      </w:r>
      <w:proofErr w:type="spellEnd"/>
      <w:r>
        <w:t xml:space="preserve"> and gum </w:t>
      </w:r>
      <w:proofErr w:type="spellStart"/>
      <w:r>
        <w:t>arabic</w:t>
      </w:r>
      <w:proofErr w:type="spellEnd"/>
      <w:r>
        <w:t xml:space="preserve">: Formation and characterization. </w:t>
      </w:r>
      <w:proofErr w:type="gramStart"/>
      <w:r>
        <w:t>Food Chemistry, v. 194, p.680-686, Mar. 2016.</w:t>
      </w:r>
      <w:proofErr w:type="gramEnd"/>
      <w:r>
        <w:t xml:space="preserve"> Elsevier BV. </w:t>
      </w:r>
      <w:r w:rsidR="004E5D10" w:rsidRPr="005101D3">
        <w:t>doi.org/10.1016/j.foodchem.2015.08.062</w:t>
      </w:r>
      <w:r>
        <w:t>.</w:t>
      </w:r>
    </w:p>
    <w:p w:rsidR="00C75BAF" w:rsidRPr="005101D3" w:rsidRDefault="00C75BAF" w:rsidP="00C75BAF">
      <w:pPr>
        <w:pStyle w:val="CETReferencetext"/>
      </w:pPr>
      <w:proofErr w:type="spellStart"/>
      <w:r w:rsidRPr="005101D3">
        <w:t>Hassana</w:t>
      </w:r>
      <w:proofErr w:type="spellEnd"/>
      <w:r w:rsidRPr="005101D3">
        <w:t xml:space="preserve"> N.D, </w:t>
      </w:r>
      <w:proofErr w:type="spellStart"/>
      <w:r w:rsidRPr="005101D3">
        <w:t>Muhamad</w:t>
      </w:r>
      <w:proofErr w:type="spellEnd"/>
      <w:r w:rsidRPr="005101D3">
        <w:t xml:space="preserve"> I.I, 2017, </w:t>
      </w:r>
      <w:proofErr w:type="gramStart"/>
      <w:r w:rsidRPr="005101D3">
        <w:t>Drying</w:t>
      </w:r>
      <w:proofErr w:type="gramEnd"/>
      <w:r w:rsidRPr="005101D3">
        <w:t xml:space="preserve"> and preservation of phytochemicals from </w:t>
      </w:r>
      <w:proofErr w:type="spellStart"/>
      <w:r w:rsidR="005101D3">
        <w:t>E</w:t>
      </w:r>
      <w:r w:rsidRPr="005101D3">
        <w:t>lateriospermum</w:t>
      </w:r>
      <w:proofErr w:type="spellEnd"/>
      <w:r w:rsidRPr="005101D3">
        <w:t xml:space="preserve"> </w:t>
      </w:r>
      <w:proofErr w:type="spellStart"/>
      <w:r w:rsidRPr="005101D3">
        <w:t>tapos</w:t>
      </w:r>
      <w:proofErr w:type="spellEnd"/>
      <w:r w:rsidRPr="005101D3">
        <w:t xml:space="preserve"> seed oil using combination of freeze drying and microwave technique. Chemical Engineering Transactions, v. 56, p.1003-1008. </w:t>
      </w:r>
      <w:r w:rsidR="005319E0" w:rsidRPr="005101D3">
        <w:t>Doi.org/</w:t>
      </w:r>
      <w:r w:rsidRPr="005101D3">
        <w:t>10.3303/CET1756168</w:t>
      </w:r>
    </w:p>
    <w:p w:rsidR="00C44744" w:rsidRDefault="00C44744" w:rsidP="00C44744">
      <w:pPr>
        <w:pStyle w:val="CETReferencetext"/>
      </w:pPr>
      <w:proofErr w:type="spellStart"/>
      <w:r>
        <w:t>L</w:t>
      </w:r>
      <w:r w:rsidR="005319E0">
        <w:t>emetter</w:t>
      </w:r>
      <w:proofErr w:type="spellEnd"/>
      <w:r>
        <w:t xml:space="preserve"> C. Y. G.</w:t>
      </w:r>
      <w:r w:rsidR="005319E0">
        <w:t>,</w:t>
      </w:r>
      <w:r>
        <w:t xml:space="preserve"> </w:t>
      </w:r>
      <w:proofErr w:type="spellStart"/>
      <w:r>
        <w:t>M</w:t>
      </w:r>
      <w:r w:rsidR="005319E0">
        <w:t>eeuse</w:t>
      </w:r>
      <w:proofErr w:type="spellEnd"/>
      <w:r>
        <w:t xml:space="preserve"> F. M.</w:t>
      </w:r>
      <w:r w:rsidR="005319E0">
        <w:t>,</w:t>
      </w:r>
      <w:r>
        <w:t xml:space="preserve"> </w:t>
      </w:r>
      <w:proofErr w:type="spellStart"/>
      <w:r>
        <w:t>Z</w:t>
      </w:r>
      <w:r w:rsidR="005319E0">
        <w:t>uidam</w:t>
      </w:r>
      <w:proofErr w:type="spellEnd"/>
      <w:r>
        <w:t xml:space="preserve"> N. J.</w:t>
      </w:r>
      <w:r w:rsidR="005319E0">
        <w:t>, 2009,</w:t>
      </w:r>
      <w:r>
        <w:t xml:space="preserve"> Control of the morphology and the size of complex </w:t>
      </w:r>
      <w:proofErr w:type="spellStart"/>
      <w:r>
        <w:t>coacervate</w:t>
      </w:r>
      <w:proofErr w:type="spellEnd"/>
      <w:r>
        <w:t xml:space="preserve"> microcapsules during scale-up. </w:t>
      </w:r>
      <w:proofErr w:type="spellStart"/>
      <w:proofErr w:type="gramStart"/>
      <w:r>
        <w:t>Aiche</w:t>
      </w:r>
      <w:proofErr w:type="spellEnd"/>
      <w:r>
        <w:t xml:space="preserve"> Journal, v. 55, n. 6, p.1487-1496</w:t>
      </w:r>
      <w:r w:rsidR="005319E0">
        <w:t>.</w:t>
      </w:r>
      <w:proofErr w:type="gramEnd"/>
      <w:r w:rsidR="005319E0">
        <w:t xml:space="preserve"> </w:t>
      </w:r>
      <w:r>
        <w:t>doi.org/10.1002/aic.11816.</w:t>
      </w:r>
    </w:p>
    <w:p w:rsidR="00C44744" w:rsidRDefault="00C44744" w:rsidP="00C44744">
      <w:pPr>
        <w:pStyle w:val="CETReferencetext"/>
      </w:pPr>
      <w:r>
        <w:t>M</w:t>
      </w:r>
      <w:r w:rsidR="005319E0">
        <w:t>a</w:t>
      </w:r>
      <w:r>
        <w:t xml:space="preserve"> T</w:t>
      </w:r>
      <w:r w:rsidR="005319E0">
        <w:t>., Zhao H., Wang J., Sun B., 2018,</w:t>
      </w:r>
      <w:r w:rsidRPr="00EC1658">
        <w:rPr>
          <w:color w:val="FF0000"/>
        </w:rPr>
        <w:t xml:space="preserve"> </w:t>
      </w:r>
      <w:r>
        <w:t xml:space="preserve">Effect of processing conditions on the morphology and oxidative stability of lipid microcapsules during complex </w:t>
      </w:r>
      <w:proofErr w:type="spellStart"/>
      <w:r>
        <w:t>coacervation</w:t>
      </w:r>
      <w:proofErr w:type="spellEnd"/>
      <w:r>
        <w:t xml:space="preserve">. </w:t>
      </w:r>
      <w:proofErr w:type="gramStart"/>
      <w:r>
        <w:t>Food Hydrocolloids, v. 87, p.637-643</w:t>
      </w:r>
      <w:r w:rsidR="005319E0">
        <w:t>.</w:t>
      </w:r>
      <w:proofErr w:type="gramEnd"/>
      <w:r w:rsidR="003C1140">
        <w:fldChar w:fldCharType="begin"/>
      </w:r>
      <w:r w:rsidR="003C1140">
        <w:instrText xml:space="preserve"> HYPERLINK </w:instrText>
      </w:r>
      <w:r w:rsidR="003C1140">
        <w:fldChar w:fldCharType="separate"/>
      </w:r>
      <w:r w:rsidR="003C1140">
        <w:fldChar w:fldCharType="end"/>
      </w:r>
      <w:r w:rsidR="005319E0">
        <w:t xml:space="preserve"> </w:t>
      </w:r>
      <w:r>
        <w:t>doi.org/10.1016/j.foodhyd.2018.08.053</w:t>
      </w:r>
    </w:p>
    <w:p w:rsidR="00C44744" w:rsidRDefault="00C44744" w:rsidP="00C44744">
      <w:pPr>
        <w:pStyle w:val="CETReferencetext"/>
      </w:pPr>
      <w:proofErr w:type="spellStart"/>
      <w:r>
        <w:t>M</w:t>
      </w:r>
      <w:r w:rsidR="005319E0">
        <w:t>endanha</w:t>
      </w:r>
      <w:proofErr w:type="spellEnd"/>
      <w:r w:rsidR="005319E0">
        <w:t xml:space="preserve"> D.V., Ortiz S.E.M., </w:t>
      </w:r>
      <w:proofErr w:type="spellStart"/>
      <w:r w:rsidR="005319E0">
        <w:t>Favaro-Trindade</w:t>
      </w:r>
      <w:proofErr w:type="spellEnd"/>
      <w:r w:rsidR="005319E0">
        <w:t xml:space="preserve"> C.S., </w:t>
      </w:r>
      <w:proofErr w:type="spellStart"/>
      <w:r w:rsidR="005319E0">
        <w:t>Mauri</w:t>
      </w:r>
      <w:proofErr w:type="spellEnd"/>
      <w:r w:rsidR="005319E0">
        <w:t xml:space="preserve"> A., Monterrey-Quintero E.S., </w:t>
      </w:r>
      <w:proofErr w:type="spellStart"/>
      <w:r w:rsidR="005319E0">
        <w:t>Thomazini</w:t>
      </w:r>
      <w:proofErr w:type="spellEnd"/>
      <w:r w:rsidR="005319E0">
        <w:t xml:space="preserve"> M., 2009, </w:t>
      </w:r>
      <w:r>
        <w:t xml:space="preserve">Microencapsulation of casein </w:t>
      </w:r>
      <w:proofErr w:type="spellStart"/>
      <w:r>
        <w:t>hydrolysate</w:t>
      </w:r>
      <w:proofErr w:type="spellEnd"/>
      <w:r>
        <w:t xml:space="preserve"> by complex </w:t>
      </w:r>
      <w:proofErr w:type="spellStart"/>
      <w:r>
        <w:t>coacervation</w:t>
      </w:r>
      <w:proofErr w:type="spellEnd"/>
      <w:r>
        <w:t xml:space="preserve"> with SPI / pectin. Food Research International, v. 42, n. 8, p.1099-1104</w:t>
      </w:r>
      <w:r w:rsidR="005319E0">
        <w:t xml:space="preserve">. </w:t>
      </w:r>
      <w:r>
        <w:t>doi.org/10.1016/j.foodres.2009.05.007</w:t>
      </w:r>
    </w:p>
    <w:p w:rsidR="00C44744" w:rsidRDefault="00C44744" w:rsidP="00C44744">
      <w:pPr>
        <w:pStyle w:val="CETReferencetext"/>
      </w:pPr>
      <w:proofErr w:type="spellStart"/>
      <w:r>
        <w:t>R</w:t>
      </w:r>
      <w:r w:rsidR="005319E0">
        <w:t>utz</w:t>
      </w:r>
      <w:proofErr w:type="spellEnd"/>
      <w:r w:rsidR="005319E0">
        <w:t xml:space="preserve"> J.K., </w:t>
      </w:r>
      <w:r w:rsidR="00667DF7">
        <w:t xml:space="preserve">Borges C.D., </w:t>
      </w:r>
      <w:proofErr w:type="spellStart"/>
      <w:r w:rsidR="00667DF7">
        <w:t>Zambiazi</w:t>
      </w:r>
      <w:proofErr w:type="spellEnd"/>
      <w:r w:rsidR="00667DF7">
        <w:t xml:space="preserve"> R.C., </w:t>
      </w:r>
      <w:proofErr w:type="spellStart"/>
      <w:r w:rsidR="00667DF7">
        <w:t>Crizel</w:t>
      </w:r>
      <w:proofErr w:type="spellEnd"/>
      <w:r w:rsidR="00667DF7">
        <w:t xml:space="preserve">-Cardozo M.M., </w:t>
      </w:r>
      <w:proofErr w:type="spellStart"/>
      <w:r w:rsidR="00667DF7">
        <w:t>Kuck</w:t>
      </w:r>
      <w:proofErr w:type="spellEnd"/>
      <w:r w:rsidR="00667DF7">
        <w:t xml:space="preserve"> L.S., </w:t>
      </w:r>
      <w:proofErr w:type="spellStart"/>
      <w:r w:rsidR="00667DF7">
        <w:t>Noreña</w:t>
      </w:r>
      <w:proofErr w:type="spellEnd"/>
      <w:r w:rsidR="00667DF7">
        <w:t xml:space="preserve"> C.P.Z., 2017, </w:t>
      </w:r>
      <w:r w:rsidRPr="00EC1658">
        <w:rPr>
          <w:color w:val="FF0000"/>
        </w:rPr>
        <w:t xml:space="preserve"> </w:t>
      </w:r>
      <w:r>
        <w:t xml:space="preserve">Microencapsulation of palm oil by complex </w:t>
      </w:r>
      <w:proofErr w:type="spellStart"/>
      <w:r>
        <w:t>coacervation</w:t>
      </w:r>
      <w:proofErr w:type="spellEnd"/>
      <w:r>
        <w:t xml:space="preserve"> for application in food systems. </w:t>
      </w:r>
      <w:proofErr w:type="gramStart"/>
      <w:r>
        <w:t>Food Chemistry, v. 220, p.59-66</w:t>
      </w:r>
      <w:r w:rsidR="00667DF7">
        <w:t>.</w:t>
      </w:r>
      <w:proofErr w:type="gramEnd"/>
      <w:r w:rsidR="00667DF7">
        <w:t xml:space="preserve"> </w:t>
      </w:r>
      <w:r>
        <w:t>doi.org/10.1016/j.foodchem.2016.09.194</w:t>
      </w:r>
    </w:p>
    <w:p w:rsidR="00C44744" w:rsidRDefault="00C44744" w:rsidP="00C44744">
      <w:pPr>
        <w:pStyle w:val="CETReferencetext"/>
      </w:pPr>
      <w:r>
        <w:t>S</w:t>
      </w:r>
      <w:r w:rsidR="00667DF7">
        <w:t xml:space="preserve">hi L., Beamer S.K., Yang H., </w:t>
      </w:r>
      <w:proofErr w:type="spellStart"/>
      <w:r w:rsidR="00667DF7">
        <w:t>Jaczynski</w:t>
      </w:r>
      <w:proofErr w:type="spellEnd"/>
      <w:r w:rsidR="00667DF7">
        <w:t xml:space="preserve"> J., 2018,</w:t>
      </w:r>
      <w:r>
        <w:t xml:space="preserve"> Micro-emulsification/encapsulation of krill oil by complex </w:t>
      </w:r>
      <w:proofErr w:type="spellStart"/>
      <w:r>
        <w:t>coacervation</w:t>
      </w:r>
      <w:proofErr w:type="spellEnd"/>
      <w:r>
        <w:t xml:space="preserve"> with krill protein isolated using isoelectric </w:t>
      </w:r>
      <w:proofErr w:type="spellStart"/>
      <w:r>
        <w:t>solubilization</w:t>
      </w:r>
      <w:proofErr w:type="spellEnd"/>
      <w:r>
        <w:t xml:space="preserve">/precipitation. </w:t>
      </w:r>
      <w:proofErr w:type="gramStart"/>
      <w:r>
        <w:t>Food Chemistry, v. 244, p.284-291</w:t>
      </w:r>
      <w:r w:rsidR="00667DF7">
        <w:t>.</w:t>
      </w:r>
      <w:proofErr w:type="gramEnd"/>
      <w:r w:rsidR="00667DF7">
        <w:t xml:space="preserve"> </w:t>
      </w:r>
      <w:r>
        <w:t>doi.org/10.1016/j.foodchem.2017.10.050</w:t>
      </w:r>
    </w:p>
    <w:p w:rsidR="00C44744" w:rsidRDefault="00C44744" w:rsidP="00C44744">
      <w:pPr>
        <w:pStyle w:val="CETReferencetext"/>
      </w:pPr>
      <w:proofErr w:type="gramStart"/>
      <w:r>
        <w:t>S</w:t>
      </w:r>
      <w:r w:rsidR="00667DF7">
        <w:t xml:space="preserve">ilva L.C., </w:t>
      </w:r>
      <w:proofErr w:type="spellStart"/>
      <w:r w:rsidR="00667DF7">
        <w:t>Nascimento</w:t>
      </w:r>
      <w:proofErr w:type="spellEnd"/>
      <w:r w:rsidR="00667DF7">
        <w:t xml:space="preserve"> M.A., Mendes L.G., Furtado R.F., Costa J.M.C., Cardoso A.L.H., 2017,</w:t>
      </w:r>
      <w:r>
        <w:t xml:space="preserve"> Optimization of cashew gum and chitosan for microencapsulation of </w:t>
      </w:r>
      <w:proofErr w:type="spellStart"/>
      <w:r>
        <w:t>pequi</w:t>
      </w:r>
      <w:proofErr w:type="spellEnd"/>
      <w:r>
        <w:t xml:space="preserve"> oil by complex </w:t>
      </w:r>
      <w:proofErr w:type="spellStart"/>
      <w:r>
        <w:t>coacervation</w:t>
      </w:r>
      <w:proofErr w:type="spellEnd"/>
      <w:r>
        <w:t>.</w:t>
      </w:r>
      <w:proofErr w:type="gramEnd"/>
      <w:r>
        <w:t xml:space="preserve"> </w:t>
      </w:r>
      <w:proofErr w:type="gramStart"/>
      <w:r>
        <w:t>Journal of Food Processing and Preservation, v. 42, n. 3, p.1-8</w:t>
      </w:r>
      <w:r w:rsidR="00667DF7">
        <w:t>.</w:t>
      </w:r>
      <w:proofErr w:type="gramEnd"/>
      <w:r w:rsidR="00667DF7">
        <w:t xml:space="preserve"> </w:t>
      </w:r>
      <w:r>
        <w:t>doi.org/10.1111/jfpp.13538</w:t>
      </w:r>
    </w:p>
    <w:p w:rsidR="00C44744" w:rsidRDefault="00C44744" w:rsidP="00C44744">
      <w:pPr>
        <w:pStyle w:val="CETReferencetext"/>
      </w:pPr>
      <w:r>
        <w:t>S</w:t>
      </w:r>
      <w:r w:rsidR="00667DF7">
        <w:t xml:space="preserve">ingh S.S., </w:t>
      </w:r>
      <w:proofErr w:type="spellStart"/>
      <w:r w:rsidR="00667DF7">
        <w:t>Aswal</w:t>
      </w:r>
      <w:proofErr w:type="spellEnd"/>
      <w:r w:rsidR="00667DF7">
        <w:t xml:space="preserve"> V.K., </w:t>
      </w:r>
      <w:proofErr w:type="spellStart"/>
      <w:r w:rsidR="00667DF7">
        <w:t>Bohidar</w:t>
      </w:r>
      <w:proofErr w:type="spellEnd"/>
      <w:r w:rsidR="00667DF7">
        <w:t xml:space="preserve"> H.B., 2007</w:t>
      </w:r>
      <w:proofErr w:type="gramStart"/>
      <w:r w:rsidR="00667DF7">
        <w:t>,</w:t>
      </w:r>
      <w:r>
        <w:t>Structural</w:t>
      </w:r>
      <w:proofErr w:type="gramEnd"/>
      <w:r>
        <w:t xml:space="preserve"> studies of agar–</w:t>
      </w:r>
      <w:proofErr w:type="spellStart"/>
      <w:r>
        <w:t>gelatin</w:t>
      </w:r>
      <w:proofErr w:type="spellEnd"/>
      <w:r>
        <w:t xml:space="preserve"> complex </w:t>
      </w:r>
      <w:proofErr w:type="spellStart"/>
      <w:r>
        <w:t>coacervates</w:t>
      </w:r>
      <w:proofErr w:type="spellEnd"/>
      <w:r>
        <w:t xml:space="preserve"> by small angle neutron scattering, rheology and differential scanning </w:t>
      </w:r>
      <w:proofErr w:type="spellStart"/>
      <w:r>
        <w:t>calorimetry</w:t>
      </w:r>
      <w:proofErr w:type="spellEnd"/>
      <w:r>
        <w:t xml:space="preserve">. International Journal </w:t>
      </w:r>
      <w:proofErr w:type="gramStart"/>
      <w:r>
        <w:t>Of</w:t>
      </w:r>
      <w:proofErr w:type="gramEnd"/>
      <w:r>
        <w:t xml:space="preserve"> Biological Macromolecules, v. 41, n. 3, p.301-307</w:t>
      </w:r>
      <w:r w:rsidR="00667DF7">
        <w:t xml:space="preserve">. </w:t>
      </w:r>
      <w:r>
        <w:t>doi.org/10.1016/j.ijbiomac.2007.03.009</w:t>
      </w:r>
    </w:p>
    <w:p w:rsidR="00C44744" w:rsidRDefault="00C44744" w:rsidP="00C44744">
      <w:pPr>
        <w:pStyle w:val="CETReferencetext"/>
      </w:pPr>
      <w:r>
        <w:t>S</w:t>
      </w:r>
      <w:r w:rsidR="00667DF7">
        <w:t xml:space="preserve">ouza C.J.F., Costa A.R., Souza C.F., </w:t>
      </w:r>
      <w:proofErr w:type="spellStart"/>
      <w:r w:rsidR="00667DF7">
        <w:t>Tosin</w:t>
      </w:r>
      <w:proofErr w:type="spellEnd"/>
      <w:r w:rsidR="00667DF7">
        <w:t xml:space="preserve"> F.F.S., Garcia-Rojas E.E., 2018,</w:t>
      </w:r>
      <w:r w:rsidRPr="00EC1658">
        <w:rPr>
          <w:color w:val="FF0000"/>
        </w:rPr>
        <w:t xml:space="preserve"> </w:t>
      </w:r>
      <w:r>
        <w:t xml:space="preserve">Complex </w:t>
      </w:r>
      <w:proofErr w:type="spellStart"/>
      <w:r>
        <w:t>coacervation</w:t>
      </w:r>
      <w:proofErr w:type="spellEnd"/>
      <w:r>
        <w:t xml:space="preserve"> between lysozyme and pectin: Effect of pH, salt, and biopolymer ratio. International Journal </w:t>
      </w:r>
      <w:proofErr w:type="gramStart"/>
      <w:r>
        <w:t>Of</w:t>
      </w:r>
      <w:proofErr w:type="gramEnd"/>
      <w:r>
        <w:t xml:space="preserve"> Biological Macromolecules, v. 107, p.1253-1260</w:t>
      </w:r>
      <w:r w:rsidR="00667DF7">
        <w:t xml:space="preserve">. </w:t>
      </w:r>
      <w:r>
        <w:t>doi.org/10.1016/j.ijbiomac.2017.09.104</w:t>
      </w:r>
    </w:p>
    <w:p w:rsidR="00C44744" w:rsidRDefault="00C44744" w:rsidP="00C44744">
      <w:pPr>
        <w:pStyle w:val="CETReferencetext"/>
      </w:pPr>
      <w:proofErr w:type="spellStart"/>
      <w:r>
        <w:t>T</w:t>
      </w:r>
      <w:r w:rsidR="00667DF7">
        <w:t>imilsena</w:t>
      </w:r>
      <w:proofErr w:type="spellEnd"/>
      <w:r w:rsidR="00667DF7">
        <w:t xml:space="preserve"> Y.P., Wang B., </w:t>
      </w:r>
      <w:proofErr w:type="spellStart"/>
      <w:r w:rsidR="00667DF7">
        <w:t>Adhikari</w:t>
      </w:r>
      <w:proofErr w:type="spellEnd"/>
      <w:r w:rsidR="00667DF7">
        <w:t xml:space="preserve"> R., </w:t>
      </w:r>
      <w:proofErr w:type="spellStart"/>
      <w:r w:rsidR="00667DF7">
        <w:t>Adhikari</w:t>
      </w:r>
      <w:proofErr w:type="spellEnd"/>
      <w:r w:rsidR="00667DF7">
        <w:t xml:space="preserve"> B., 2017, </w:t>
      </w:r>
      <w:r>
        <w:t xml:space="preserve">Advances in microencapsulation of polyunsaturated fatty acids (PUFAs) -rich plant oils using complex </w:t>
      </w:r>
      <w:proofErr w:type="spellStart"/>
      <w:r>
        <w:t>coacervation</w:t>
      </w:r>
      <w:proofErr w:type="spellEnd"/>
      <w:r>
        <w:t xml:space="preserve">: A review. </w:t>
      </w:r>
      <w:proofErr w:type="gramStart"/>
      <w:r>
        <w:t>Food Hydrocolloids, Melbourne, v. 69, p.369-381</w:t>
      </w:r>
      <w:r w:rsidR="00667DF7">
        <w:t>.</w:t>
      </w:r>
      <w:proofErr w:type="gramEnd"/>
      <w:r w:rsidR="003C1140">
        <w:fldChar w:fldCharType="begin"/>
      </w:r>
      <w:r w:rsidR="003C1140">
        <w:instrText xml:space="preserve"> HYPERLINK </w:instrText>
      </w:r>
      <w:r w:rsidR="003C1140">
        <w:fldChar w:fldCharType="separate"/>
      </w:r>
      <w:r w:rsidR="003C1140">
        <w:fldChar w:fldCharType="end"/>
      </w:r>
      <w:r w:rsidR="00667DF7">
        <w:t xml:space="preserve"> </w:t>
      </w:r>
      <w:r>
        <w:t>doi.org/10.1016/j.foodhyd.2017.03.007</w:t>
      </w:r>
    </w:p>
    <w:p w:rsidR="00C44744" w:rsidRDefault="00C44744" w:rsidP="00C44744">
      <w:pPr>
        <w:pStyle w:val="CETReferencetext"/>
      </w:pPr>
      <w:r>
        <w:t>T</w:t>
      </w:r>
      <w:r w:rsidR="00281130">
        <w:t xml:space="preserve">orres L.R.O., Santana F.C., Torres-Leal F.L., </w:t>
      </w:r>
      <w:proofErr w:type="spellStart"/>
      <w:r w:rsidR="00281130">
        <w:t>Melo</w:t>
      </w:r>
      <w:proofErr w:type="spellEnd"/>
      <w:r w:rsidR="00281130">
        <w:t xml:space="preserve"> I.L.P., </w:t>
      </w:r>
      <w:proofErr w:type="spellStart"/>
      <w:r w:rsidR="00281130">
        <w:t>Yoshime</w:t>
      </w:r>
      <w:proofErr w:type="spellEnd"/>
      <w:r w:rsidR="00281130">
        <w:t xml:space="preserve"> L.T., Matos-</w:t>
      </w:r>
      <w:proofErr w:type="spellStart"/>
      <w:r w:rsidR="00281130">
        <w:t>Neto</w:t>
      </w:r>
      <w:proofErr w:type="spellEnd"/>
      <w:r w:rsidR="00281130">
        <w:t xml:space="preserve"> E.M., </w:t>
      </w:r>
      <w:proofErr w:type="spellStart"/>
      <w:r w:rsidR="00281130">
        <w:t>Seelaender</w:t>
      </w:r>
      <w:proofErr w:type="spellEnd"/>
      <w:r w:rsidR="00281130">
        <w:t xml:space="preserve"> M.C.L., </w:t>
      </w:r>
      <w:proofErr w:type="spellStart"/>
      <w:r w:rsidR="00281130">
        <w:t>Araújo</w:t>
      </w:r>
      <w:proofErr w:type="spellEnd"/>
      <w:r w:rsidR="00281130">
        <w:t xml:space="preserve"> C.M.M., </w:t>
      </w:r>
      <w:proofErr w:type="spellStart"/>
      <w:r w:rsidR="00281130">
        <w:t>Cogliati</w:t>
      </w:r>
      <w:proofErr w:type="spellEnd"/>
      <w:r w:rsidR="00281130">
        <w:t xml:space="preserve"> B., Mancini-</w:t>
      </w:r>
      <w:proofErr w:type="spellStart"/>
      <w:r w:rsidR="00281130">
        <w:t>Filho</w:t>
      </w:r>
      <w:proofErr w:type="spellEnd"/>
      <w:r w:rsidR="00281130">
        <w:t xml:space="preserve"> J., 2016, </w:t>
      </w:r>
      <w:proofErr w:type="spellStart"/>
      <w:r>
        <w:t>Pequi</w:t>
      </w:r>
      <w:proofErr w:type="spellEnd"/>
      <w:r>
        <w:t xml:space="preserve"> (</w:t>
      </w:r>
      <w:proofErr w:type="spellStart"/>
      <w:r>
        <w:t>Caryocar</w:t>
      </w:r>
      <w:proofErr w:type="spellEnd"/>
      <w:r>
        <w:t xml:space="preserve"> </w:t>
      </w:r>
      <w:proofErr w:type="spellStart"/>
      <w:r>
        <w:t>brasiliense</w:t>
      </w:r>
      <w:proofErr w:type="spellEnd"/>
      <w:r>
        <w:t xml:space="preserve"> </w:t>
      </w:r>
      <w:proofErr w:type="spellStart"/>
      <w:r>
        <w:t>Camb</w:t>
      </w:r>
      <w:proofErr w:type="spellEnd"/>
      <w:r>
        <w:t>.) Almond oil attenuates carbon tetrachloride-induced acute hepatic injury in rats: Antioxidant and anti-inflammatory effects. Food And Chemical Toxicology, v. 97, p.205-216</w:t>
      </w:r>
      <w:r w:rsidR="00281130">
        <w:t xml:space="preserve">. </w:t>
      </w:r>
      <w:r>
        <w:t>doi.org/10.1016/j.fct.2016.09.009</w:t>
      </w:r>
    </w:p>
    <w:p w:rsidR="00C75BAF" w:rsidRDefault="00C44744" w:rsidP="00C75BAF">
      <w:pPr>
        <w:pStyle w:val="CETReferencetext"/>
        <w:rPr>
          <w:color w:val="E36C0A" w:themeColor="accent6" w:themeShade="BF"/>
          <w:highlight w:val="yellow"/>
          <w:lang w:val="en-US"/>
        </w:rPr>
      </w:pPr>
      <w:r>
        <w:t>T</w:t>
      </w:r>
      <w:r w:rsidR="00281130">
        <w:t xml:space="preserve">urgeon S.L., Schmitt C., Sanchez C., 2007, </w:t>
      </w:r>
      <w:r>
        <w:t xml:space="preserve">Protein-polysaccharide complexes and </w:t>
      </w:r>
      <w:proofErr w:type="spellStart"/>
      <w:r>
        <w:t>coacervates</w:t>
      </w:r>
      <w:proofErr w:type="spellEnd"/>
      <w:r>
        <w:t xml:space="preserve">. Current Opinion </w:t>
      </w:r>
      <w:proofErr w:type="gramStart"/>
      <w:r>
        <w:t>In</w:t>
      </w:r>
      <w:proofErr w:type="gramEnd"/>
      <w:r>
        <w:t xml:space="preserve"> Colloid &amp; Interface Science, Québec, v. 12, n. 4-5, p.166-178</w:t>
      </w:r>
      <w:r w:rsidR="00281130">
        <w:t xml:space="preserve">. </w:t>
      </w:r>
      <w:r>
        <w:t>doi.org/10.1016/j.cocis.2007.07.007</w:t>
      </w:r>
    </w:p>
    <w:p w:rsidR="00C75BAF" w:rsidRPr="005101D3" w:rsidRDefault="00C75BAF" w:rsidP="00C75BAF">
      <w:pPr>
        <w:pStyle w:val="CETReferencetext"/>
      </w:pPr>
      <w:proofErr w:type="spellStart"/>
      <w:proofErr w:type="gramStart"/>
      <w:r w:rsidRPr="005101D3">
        <w:t>Trucillo</w:t>
      </w:r>
      <w:proofErr w:type="spellEnd"/>
      <w:r w:rsidRPr="005101D3">
        <w:t xml:space="preserve"> P., </w:t>
      </w:r>
      <w:proofErr w:type="spellStart"/>
      <w:r w:rsidRPr="005101D3">
        <w:t>Campardelli</w:t>
      </w:r>
      <w:proofErr w:type="spellEnd"/>
      <w:r w:rsidRPr="005101D3">
        <w:t xml:space="preserve"> R., </w:t>
      </w:r>
      <w:proofErr w:type="spellStart"/>
      <w:r w:rsidRPr="005101D3">
        <w:t>Reverchon</w:t>
      </w:r>
      <w:proofErr w:type="spellEnd"/>
      <w:r w:rsidRPr="005101D3">
        <w:t xml:space="preserve"> E., 2017, Operative Parameters Optimization Production of Liposomes for the Encapsulation of Hydrophilic Compounds Using a New Supercritical Process.</w:t>
      </w:r>
      <w:proofErr w:type="gramEnd"/>
      <w:r w:rsidRPr="005101D3">
        <w:t xml:space="preserve"> Chemical Engineering Transactions, v. 57, p. 799-804. </w:t>
      </w:r>
      <w:hyperlink r:id="rId13" w:history="1">
        <w:r w:rsidRPr="005101D3">
          <w:t>doi.org/10.3303/CET1757134</w:t>
        </w:r>
      </w:hyperlink>
    </w:p>
    <w:p w:rsidR="00C44744" w:rsidRDefault="00C44744" w:rsidP="00C44744">
      <w:pPr>
        <w:pStyle w:val="CETReferencetext"/>
      </w:pPr>
      <w:proofErr w:type="gramStart"/>
      <w:r>
        <w:t>Y</w:t>
      </w:r>
      <w:r w:rsidR="00281130">
        <w:t>ang</w:t>
      </w:r>
      <w:r>
        <w:t xml:space="preserve"> Y</w:t>
      </w:r>
      <w:r w:rsidR="00281130">
        <w:t xml:space="preserve">., </w:t>
      </w:r>
      <w:proofErr w:type="spellStart"/>
      <w:r w:rsidR="00281130">
        <w:t>Anvari</w:t>
      </w:r>
      <w:proofErr w:type="spellEnd"/>
      <w:r w:rsidR="00281130">
        <w:t xml:space="preserve"> M., Pan C., Chung D., 2012, </w:t>
      </w:r>
      <w:r>
        <w:t xml:space="preserve">Characterization of interactions between fish </w:t>
      </w:r>
      <w:proofErr w:type="spellStart"/>
      <w:r>
        <w:t>gelatin</w:t>
      </w:r>
      <w:proofErr w:type="spellEnd"/>
      <w:r>
        <w:t xml:space="preserve"> and gum </w:t>
      </w:r>
      <w:proofErr w:type="spellStart"/>
      <w:r>
        <w:t>arabic</w:t>
      </w:r>
      <w:proofErr w:type="spellEnd"/>
      <w:r>
        <w:t xml:space="preserve"> in aqueous solutions.</w:t>
      </w:r>
      <w:proofErr w:type="gramEnd"/>
      <w:r>
        <w:t xml:space="preserve"> </w:t>
      </w:r>
      <w:proofErr w:type="gramStart"/>
      <w:r>
        <w:t>Food Chemistry, v. 135, n. 2, p.555-561.</w:t>
      </w:r>
      <w:proofErr w:type="gramEnd"/>
      <w:r>
        <w:t xml:space="preserve"> </w:t>
      </w:r>
      <w:r w:rsidR="00F01F95" w:rsidRPr="00F01F95">
        <w:t>doi.org/10.1016/j.foodchem.2012.05.018</w:t>
      </w:r>
    </w:p>
    <w:p w:rsidR="004628D2" w:rsidRDefault="004628D2" w:rsidP="00FA5F5F">
      <w:pPr>
        <w:pStyle w:val="CETHeading1"/>
        <w:numPr>
          <w:ilvl w:val="0"/>
          <w:numId w:val="0"/>
        </w:numPr>
      </w:pP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140" w:rsidRDefault="003C1140" w:rsidP="004F5E36">
      <w:r>
        <w:separator/>
      </w:r>
    </w:p>
  </w:endnote>
  <w:endnote w:type="continuationSeparator" w:id="0">
    <w:p w:rsidR="003C1140" w:rsidRDefault="003C114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140" w:rsidRDefault="003C1140" w:rsidP="004F5E36">
      <w:r>
        <w:separator/>
      </w:r>
    </w:p>
  </w:footnote>
  <w:footnote w:type="continuationSeparator" w:id="0">
    <w:p w:rsidR="003C1140" w:rsidRDefault="003C1140"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23A"/>
    <w:rsid w:val="000052FB"/>
    <w:rsid w:val="00010F40"/>
    <w:rsid w:val="000117CB"/>
    <w:rsid w:val="0002317C"/>
    <w:rsid w:val="0003148D"/>
    <w:rsid w:val="00037955"/>
    <w:rsid w:val="00043479"/>
    <w:rsid w:val="00047D7F"/>
    <w:rsid w:val="00051566"/>
    <w:rsid w:val="00062A9A"/>
    <w:rsid w:val="00065058"/>
    <w:rsid w:val="00086C39"/>
    <w:rsid w:val="00087E56"/>
    <w:rsid w:val="000A03B2"/>
    <w:rsid w:val="000A3B79"/>
    <w:rsid w:val="000D194D"/>
    <w:rsid w:val="000D34BE"/>
    <w:rsid w:val="000E102F"/>
    <w:rsid w:val="000E36F1"/>
    <w:rsid w:val="000E3A73"/>
    <w:rsid w:val="000E414A"/>
    <w:rsid w:val="000F093C"/>
    <w:rsid w:val="000F16BD"/>
    <w:rsid w:val="000F603C"/>
    <w:rsid w:val="000F65B2"/>
    <w:rsid w:val="000F787B"/>
    <w:rsid w:val="00113542"/>
    <w:rsid w:val="0012091F"/>
    <w:rsid w:val="00126BC2"/>
    <w:rsid w:val="001308B6"/>
    <w:rsid w:val="0013121F"/>
    <w:rsid w:val="00131FAB"/>
    <w:rsid w:val="00131FE6"/>
    <w:rsid w:val="0013263F"/>
    <w:rsid w:val="00134DE4"/>
    <w:rsid w:val="0014034D"/>
    <w:rsid w:val="00150E59"/>
    <w:rsid w:val="00152DE3"/>
    <w:rsid w:val="00160467"/>
    <w:rsid w:val="00161ACD"/>
    <w:rsid w:val="00162642"/>
    <w:rsid w:val="001647DF"/>
    <w:rsid w:val="00164CF9"/>
    <w:rsid w:val="001672DB"/>
    <w:rsid w:val="001676D1"/>
    <w:rsid w:val="001732A3"/>
    <w:rsid w:val="001847C3"/>
    <w:rsid w:val="00184AD6"/>
    <w:rsid w:val="00197A27"/>
    <w:rsid w:val="001B0349"/>
    <w:rsid w:val="001B65C1"/>
    <w:rsid w:val="001C5089"/>
    <w:rsid w:val="001C684B"/>
    <w:rsid w:val="001C71BF"/>
    <w:rsid w:val="001D1345"/>
    <w:rsid w:val="001D2F3B"/>
    <w:rsid w:val="001D53FC"/>
    <w:rsid w:val="001F42A5"/>
    <w:rsid w:val="001F58E1"/>
    <w:rsid w:val="001F5CC6"/>
    <w:rsid w:val="001F7B9D"/>
    <w:rsid w:val="0021117E"/>
    <w:rsid w:val="0021362B"/>
    <w:rsid w:val="002224B4"/>
    <w:rsid w:val="00242B71"/>
    <w:rsid w:val="002447EF"/>
    <w:rsid w:val="00251550"/>
    <w:rsid w:val="00252C1A"/>
    <w:rsid w:val="00263B05"/>
    <w:rsid w:val="0027221A"/>
    <w:rsid w:val="00272591"/>
    <w:rsid w:val="00275B61"/>
    <w:rsid w:val="00281130"/>
    <w:rsid w:val="00282656"/>
    <w:rsid w:val="00296B83"/>
    <w:rsid w:val="002A33B5"/>
    <w:rsid w:val="002B78CE"/>
    <w:rsid w:val="002C2FB6"/>
    <w:rsid w:val="002D5BCD"/>
    <w:rsid w:val="0030047E"/>
    <w:rsid w:val="003009B7"/>
    <w:rsid w:val="00300E56"/>
    <w:rsid w:val="0030469C"/>
    <w:rsid w:val="00313A01"/>
    <w:rsid w:val="00321CA6"/>
    <w:rsid w:val="00331A00"/>
    <w:rsid w:val="00334C09"/>
    <w:rsid w:val="003365E3"/>
    <w:rsid w:val="00362767"/>
    <w:rsid w:val="003723D4"/>
    <w:rsid w:val="00384CC8"/>
    <w:rsid w:val="003871FD"/>
    <w:rsid w:val="003A1E30"/>
    <w:rsid w:val="003A7D1C"/>
    <w:rsid w:val="003B304B"/>
    <w:rsid w:val="003B3146"/>
    <w:rsid w:val="003B60F3"/>
    <w:rsid w:val="003C1140"/>
    <w:rsid w:val="003E262D"/>
    <w:rsid w:val="003E5B76"/>
    <w:rsid w:val="003F015E"/>
    <w:rsid w:val="003F7315"/>
    <w:rsid w:val="00400414"/>
    <w:rsid w:val="0040552B"/>
    <w:rsid w:val="004059AC"/>
    <w:rsid w:val="0041446B"/>
    <w:rsid w:val="00417F06"/>
    <w:rsid w:val="00430F1B"/>
    <w:rsid w:val="004343AE"/>
    <w:rsid w:val="0043525E"/>
    <w:rsid w:val="0044329C"/>
    <w:rsid w:val="004577FE"/>
    <w:rsid w:val="00457B9C"/>
    <w:rsid w:val="0046164A"/>
    <w:rsid w:val="004628D2"/>
    <w:rsid w:val="00462DCD"/>
    <w:rsid w:val="004648AD"/>
    <w:rsid w:val="004703A9"/>
    <w:rsid w:val="004760DE"/>
    <w:rsid w:val="00493F4F"/>
    <w:rsid w:val="004A004E"/>
    <w:rsid w:val="004A105E"/>
    <w:rsid w:val="004A24CF"/>
    <w:rsid w:val="004A6455"/>
    <w:rsid w:val="004B49F1"/>
    <w:rsid w:val="004B6721"/>
    <w:rsid w:val="004C3D1D"/>
    <w:rsid w:val="004C7913"/>
    <w:rsid w:val="004E4DD6"/>
    <w:rsid w:val="004E5D10"/>
    <w:rsid w:val="004F5E36"/>
    <w:rsid w:val="0050099C"/>
    <w:rsid w:val="00500AC5"/>
    <w:rsid w:val="00507B47"/>
    <w:rsid w:val="00507CC9"/>
    <w:rsid w:val="005101D3"/>
    <w:rsid w:val="005119A5"/>
    <w:rsid w:val="005278B7"/>
    <w:rsid w:val="005319E0"/>
    <w:rsid w:val="00532016"/>
    <w:rsid w:val="005346C8"/>
    <w:rsid w:val="00543E7D"/>
    <w:rsid w:val="00546B05"/>
    <w:rsid w:val="005471C2"/>
    <w:rsid w:val="00547A68"/>
    <w:rsid w:val="005531C9"/>
    <w:rsid w:val="00565A5C"/>
    <w:rsid w:val="005B2110"/>
    <w:rsid w:val="005B61E6"/>
    <w:rsid w:val="005C379F"/>
    <w:rsid w:val="005C77E1"/>
    <w:rsid w:val="005D6A2F"/>
    <w:rsid w:val="005E1A82"/>
    <w:rsid w:val="005E70E8"/>
    <w:rsid w:val="005E794C"/>
    <w:rsid w:val="005F0A28"/>
    <w:rsid w:val="005F0E5E"/>
    <w:rsid w:val="00600535"/>
    <w:rsid w:val="00610CD6"/>
    <w:rsid w:val="006119D2"/>
    <w:rsid w:val="00615F2C"/>
    <w:rsid w:val="00620DEE"/>
    <w:rsid w:val="00621F92"/>
    <w:rsid w:val="00625639"/>
    <w:rsid w:val="00627C61"/>
    <w:rsid w:val="00631B33"/>
    <w:rsid w:val="0064184D"/>
    <w:rsid w:val="006422CC"/>
    <w:rsid w:val="00660E3E"/>
    <w:rsid w:val="00662E74"/>
    <w:rsid w:val="00667DF7"/>
    <w:rsid w:val="00676044"/>
    <w:rsid w:val="00680C23"/>
    <w:rsid w:val="00693766"/>
    <w:rsid w:val="006A3281"/>
    <w:rsid w:val="006B4888"/>
    <w:rsid w:val="006C08FC"/>
    <w:rsid w:val="006C2E45"/>
    <w:rsid w:val="006C359C"/>
    <w:rsid w:val="006C479F"/>
    <w:rsid w:val="006C5579"/>
    <w:rsid w:val="006C6B7D"/>
    <w:rsid w:val="006D42EB"/>
    <w:rsid w:val="006D5456"/>
    <w:rsid w:val="006E737D"/>
    <w:rsid w:val="0070195D"/>
    <w:rsid w:val="00720A24"/>
    <w:rsid w:val="00731A29"/>
    <w:rsid w:val="00732386"/>
    <w:rsid w:val="0074143D"/>
    <w:rsid w:val="007447F3"/>
    <w:rsid w:val="0075499F"/>
    <w:rsid w:val="00756742"/>
    <w:rsid w:val="007661C8"/>
    <w:rsid w:val="0077098D"/>
    <w:rsid w:val="007863B5"/>
    <w:rsid w:val="007931FA"/>
    <w:rsid w:val="007A7BBA"/>
    <w:rsid w:val="007B0C50"/>
    <w:rsid w:val="007C05F2"/>
    <w:rsid w:val="007C1A43"/>
    <w:rsid w:val="007E1DC6"/>
    <w:rsid w:val="00813288"/>
    <w:rsid w:val="008168FC"/>
    <w:rsid w:val="00830996"/>
    <w:rsid w:val="008345F1"/>
    <w:rsid w:val="00837AAE"/>
    <w:rsid w:val="00865B07"/>
    <w:rsid w:val="008667EA"/>
    <w:rsid w:val="0087637F"/>
    <w:rsid w:val="008904B9"/>
    <w:rsid w:val="00892AD5"/>
    <w:rsid w:val="008A1512"/>
    <w:rsid w:val="008A1CBA"/>
    <w:rsid w:val="008C78C1"/>
    <w:rsid w:val="008D32B9"/>
    <w:rsid w:val="008D433B"/>
    <w:rsid w:val="008D5393"/>
    <w:rsid w:val="008E566E"/>
    <w:rsid w:val="0090161A"/>
    <w:rsid w:val="00901EB6"/>
    <w:rsid w:val="00904C62"/>
    <w:rsid w:val="00924DAC"/>
    <w:rsid w:val="00927058"/>
    <w:rsid w:val="00931C3F"/>
    <w:rsid w:val="009369D1"/>
    <w:rsid w:val="00943285"/>
    <w:rsid w:val="009450CE"/>
    <w:rsid w:val="00947179"/>
    <w:rsid w:val="0095164B"/>
    <w:rsid w:val="00954090"/>
    <w:rsid w:val="009573E7"/>
    <w:rsid w:val="009635B9"/>
    <w:rsid w:val="00963E05"/>
    <w:rsid w:val="00967D54"/>
    <w:rsid w:val="00996483"/>
    <w:rsid w:val="00996F5A"/>
    <w:rsid w:val="009A0A3E"/>
    <w:rsid w:val="009A7371"/>
    <w:rsid w:val="009A7EF1"/>
    <w:rsid w:val="009B041A"/>
    <w:rsid w:val="009C5635"/>
    <w:rsid w:val="009C7C86"/>
    <w:rsid w:val="009D2FF7"/>
    <w:rsid w:val="009D4C35"/>
    <w:rsid w:val="009E2323"/>
    <w:rsid w:val="009E2668"/>
    <w:rsid w:val="009E7884"/>
    <w:rsid w:val="009E788A"/>
    <w:rsid w:val="009F0E08"/>
    <w:rsid w:val="00A10004"/>
    <w:rsid w:val="00A147BA"/>
    <w:rsid w:val="00A1763D"/>
    <w:rsid w:val="00A17CEC"/>
    <w:rsid w:val="00A20FD5"/>
    <w:rsid w:val="00A27EF0"/>
    <w:rsid w:val="00A31382"/>
    <w:rsid w:val="00A50B20"/>
    <w:rsid w:val="00A51390"/>
    <w:rsid w:val="00A60D13"/>
    <w:rsid w:val="00A63B40"/>
    <w:rsid w:val="00A72745"/>
    <w:rsid w:val="00A76EFC"/>
    <w:rsid w:val="00A8013E"/>
    <w:rsid w:val="00A91010"/>
    <w:rsid w:val="00A97F29"/>
    <w:rsid w:val="00AA48AE"/>
    <w:rsid w:val="00AA702E"/>
    <w:rsid w:val="00AB0964"/>
    <w:rsid w:val="00AB5011"/>
    <w:rsid w:val="00AC7368"/>
    <w:rsid w:val="00AD16B9"/>
    <w:rsid w:val="00AE377D"/>
    <w:rsid w:val="00B0222D"/>
    <w:rsid w:val="00B045C9"/>
    <w:rsid w:val="00B07599"/>
    <w:rsid w:val="00B17FBD"/>
    <w:rsid w:val="00B2075E"/>
    <w:rsid w:val="00B22A7B"/>
    <w:rsid w:val="00B315A6"/>
    <w:rsid w:val="00B31813"/>
    <w:rsid w:val="00B33365"/>
    <w:rsid w:val="00B56B4B"/>
    <w:rsid w:val="00B57B36"/>
    <w:rsid w:val="00B61FF5"/>
    <w:rsid w:val="00B642AF"/>
    <w:rsid w:val="00B8686D"/>
    <w:rsid w:val="00BC30C9"/>
    <w:rsid w:val="00BD0773"/>
    <w:rsid w:val="00BE191B"/>
    <w:rsid w:val="00BE3E58"/>
    <w:rsid w:val="00C01616"/>
    <w:rsid w:val="00C0162B"/>
    <w:rsid w:val="00C17A1E"/>
    <w:rsid w:val="00C345B1"/>
    <w:rsid w:val="00C40142"/>
    <w:rsid w:val="00C44744"/>
    <w:rsid w:val="00C57182"/>
    <w:rsid w:val="00C57863"/>
    <w:rsid w:val="00C655FD"/>
    <w:rsid w:val="00C67F9D"/>
    <w:rsid w:val="00C75BAF"/>
    <w:rsid w:val="00C870A8"/>
    <w:rsid w:val="00C94434"/>
    <w:rsid w:val="00C97FF5"/>
    <w:rsid w:val="00CA0D75"/>
    <w:rsid w:val="00CA1C95"/>
    <w:rsid w:val="00CA5A9C"/>
    <w:rsid w:val="00CB1A50"/>
    <w:rsid w:val="00CD3517"/>
    <w:rsid w:val="00CD5A00"/>
    <w:rsid w:val="00CD5CF3"/>
    <w:rsid w:val="00CD5FE2"/>
    <w:rsid w:val="00CE7C68"/>
    <w:rsid w:val="00D02B4C"/>
    <w:rsid w:val="00D040C4"/>
    <w:rsid w:val="00D1177D"/>
    <w:rsid w:val="00D43C5F"/>
    <w:rsid w:val="00D5277C"/>
    <w:rsid w:val="00D57C84"/>
    <w:rsid w:val="00D6057D"/>
    <w:rsid w:val="00D71BBA"/>
    <w:rsid w:val="00D76D72"/>
    <w:rsid w:val="00D830B8"/>
    <w:rsid w:val="00D84576"/>
    <w:rsid w:val="00DA1399"/>
    <w:rsid w:val="00DA24C6"/>
    <w:rsid w:val="00DA4D7B"/>
    <w:rsid w:val="00DC73B7"/>
    <w:rsid w:val="00DE1ACD"/>
    <w:rsid w:val="00DE264A"/>
    <w:rsid w:val="00DF20C3"/>
    <w:rsid w:val="00E02D18"/>
    <w:rsid w:val="00E041E7"/>
    <w:rsid w:val="00E23CA1"/>
    <w:rsid w:val="00E26995"/>
    <w:rsid w:val="00E409A8"/>
    <w:rsid w:val="00E50C12"/>
    <w:rsid w:val="00E65B91"/>
    <w:rsid w:val="00E67F49"/>
    <w:rsid w:val="00E7209D"/>
    <w:rsid w:val="00E77223"/>
    <w:rsid w:val="00E8528B"/>
    <w:rsid w:val="00E85B94"/>
    <w:rsid w:val="00E96E34"/>
    <w:rsid w:val="00E978D0"/>
    <w:rsid w:val="00E97F1F"/>
    <w:rsid w:val="00EA4613"/>
    <w:rsid w:val="00EA7402"/>
    <w:rsid w:val="00EA7F91"/>
    <w:rsid w:val="00EB049E"/>
    <w:rsid w:val="00EB1523"/>
    <w:rsid w:val="00EC0E49"/>
    <w:rsid w:val="00EC1658"/>
    <w:rsid w:val="00ED4D73"/>
    <w:rsid w:val="00EE0131"/>
    <w:rsid w:val="00EE5E73"/>
    <w:rsid w:val="00EF4F5A"/>
    <w:rsid w:val="00F01F95"/>
    <w:rsid w:val="00F155B2"/>
    <w:rsid w:val="00F25FE6"/>
    <w:rsid w:val="00F30C64"/>
    <w:rsid w:val="00F32CDB"/>
    <w:rsid w:val="00F45767"/>
    <w:rsid w:val="00F51086"/>
    <w:rsid w:val="00F63A70"/>
    <w:rsid w:val="00F802FE"/>
    <w:rsid w:val="00F86C62"/>
    <w:rsid w:val="00FA21D0"/>
    <w:rsid w:val="00FA5F5F"/>
    <w:rsid w:val="00FB06FE"/>
    <w:rsid w:val="00FB3F49"/>
    <w:rsid w:val="00FB730C"/>
    <w:rsid w:val="00FC1971"/>
    <w:rsid w:val="00FC2695"/>
    <w:rsid w:val="00FC3E03"/>
    <w:rsid w:val="00FC3FC1"/>
    <w:rsid w:val="00FE671D"/>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customStyle="1" w:styleId="tlid-translation">
    <w:name w:val="tlid-translation"/>
    <w:basedOn w:val="Fontepargpadro"/>
    <w:rsid w:val="00B207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customStyle="1" w:styleId="tlid-translation">
    <w:name w:val="tlid-translation"/>
    <w:basedOn w:val="Fontepargpadro"/>
    <w:rsid w:val="00B20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836351">
      <w:bodyDiv w:val="1"/>
      <w:marLeft w:val="0"/>
      <w:marRight w:val="0"/>
      <w:marTop w:val="0"/>
      <w:marBottom w:val="0"/>
      <w:divBdr>
        <w:top w:val="none" w:sz="0" w:space="0" w:color="auto"/>
        <w:left w:val="none" w:sz="0" w:space="0" w:color="auto"/>
        <w:bottom w:val="none" w:sz="0" w:space="0" w:color="auto"/>
        <w:right w:val="none" w:sz="0" w:space="0" w:color="auto"/>
      </w:divBdr>
      <w:divsChild>
        <w:div w:id="1799228090">
          <w:marLeft w:val="0"/>
          <w:marRight w:val="0"/>
          <w:marTop w:val="0"/>
          <w:marBottom w:val="0"/>
          <w:divBdr>
            <w:top w:val="none" w:sz="0" w:space="0" w:color="auto"/>
            <w:left w:val="none" w:sz="0" w:space="0" w:color="auto"/>
            <w:bottom w:val="none" w:sz="0" w:space="0" w:color="auto"/>
            <w:right w:val="none" w:sz="0" w:space="0" w:color="auto"/>
          </w:divBdr>
        </w:div>
        <w:div w:id="376390821">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3303/CET175713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9729A-5EC9-478C-98ED-D8BB970E2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3563</Words>
  <Characters>20314</Characters>
  <Application>Microsoft Office Word</Application>
  <DocSecurity>0</DocSecurity>
  <Lines>169</Lines>
  <Paragraphs>47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cp:lastModifiedBy>
  <cp:revision>2</cp:revision>
  <cp:lastPrinted>2019-01-11T19:05:00Z</cp:lastPrinted>
  <dcterms:created xsi:type="dcterms:W3CDTF">2019-04-03T13:44:00Z</dcterms:created>
  <dcterms:modified xsi:type="dcterms:W3CDTF">2019-04-03T13:44:00Z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