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0749793" w14:textId="77777777">
        <w:trPr>
          <w:trHeight w:val="852"/>
          <w:jc w:val="center"/>
        </w:trPr>
        <w:tc>
          <w:tcPr>
            <w:tcW w:w="6946" w:type="dxa"/>
            <w:vMerge w:val="restart"/>
            <w:tcBorders>
              <w:right w:val="single" w:sz="4" w:space="0" w:color="auto"/>
            </w:tcBorders>
          </w:tcPr>
          <w:p w14:paraId="6680F3F2"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pt-BR" w:eastAsia="pt-BR"/>
              </w:rPr>
              <w:drawing>
                <wp:inline distT="0" distB="0" distL="0" distR="0" wp14:anchorId="566EEFD9" wp14:editId="78F43677">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7C1B86EB"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4713D6D0"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F24C3B3" w14:textId="77777777" w:rsidR="000A03B2" w:rsidRPr="00B57B36" w:rsidRDefault="000A03B2" w:rsidP="00CD5FE2">
            <w:pPr>
              <w:jc w:val="right"/>
            </w:pPr>
            <w:r w:rsidRPr="00B57B36">
              <w:rPr>
                <w:noProof/>
                <w:lang w:val="pt-BR" w:eastAsia="pt-BR"/>
              </w:rPr>
              <w:drawing>
                <wp:inline distT="0" distB="0" distL="0" distR="0" wp14:anchorId="4BDA5CE1" wp14:editId="132A0213">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5A03CE12" w14:textId="77777777">
        <w:trPr>
          <w:trHeight w:val="567"/>
          <w:jc w:val="center"/>
        </w:trPr>
        <w:tc>
          <w:tcPr>
            <w:tcW w:w="6946" w:type="dxa"/>
            <w:vMerge/>
            <w:tcBorders>
              <w:right w:val="single" w:sz="4" w:space="0" w:color="auto"/>
            </w:tcBorders>
          </w:tcPr>
          <w:p w14:paraId="33E7AB4F"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59A3C56C"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AD9A443"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0A7F8AFD" w14:textId="77777777"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14:paraId="6ECBB846" w14:textId="77777777">
        <w:trPr>
          <w:trHeight w:val="68"/>
          <w:jc w:val="center"/>
        </w:trPr>
        <w:tc>
          <w:tcPr>
            <w:tcW w:w="8789" w:type="dxa"/>
            <w:gridSpan w:val="2"/>
          </w:tcPr>
          <w:p w14:paraId="5F05714A"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6ED7FB2C"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86947D9"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19F61166" w14:textId="6A3D9FF6" w:rsidR="00101141" w:rsidRDefault="00094A78" w:rsidP="0010578A">
      <w:pPr>
        <w:pStyle w:val="CETAuthors"/>
        <w:jc w:val="center"/>
        <w:rPr>
          <w:noProof w:val="0"/>
          <w:sz w:val="32"/>
        </w:rPr>
      </w:pPr>
      <w:r w:rsidRPr="00101141">
        <w:rPr>
          <w:noProof w:val="0"/>
          <w:sz w:val="32"/>
        </w:rPr>
        <w:t xml:space="preserve">Analysis </w:t>
      </w:r>
      <w:r>
        <w:rPr>
          <w:noProof w:val="0"/>
          <w:sz w:val="32"/>
        </w:rPr>
        <w:t>o</w:t>
      </w:r>
      <w:r w:rsidRPr="00101141">
        <w:rPr>
          <w:noProof w:val="0"/>
          <w:sz w:val="32"/>
        </w:rPr>
        <w:t xml:space="preserve">f Particle Growth Kinetic </w:t>
      </w:r>
      <w:r>
        <w:rPr>
          <w:noProof w:val="0"/>
          <w:sz w:val="32"/>
        </w:rPr>
        <w:t>o</w:t>
      </w:r>
      <w:r w:rsidRPr="00101141">
        <w:rPr>
          <w:noProof w:val="0"/>
          <w:sz w:val="32"/>
        </w:rPr>
        <w:t xml:space="preserve">f Pea Protein Isolate </w:t>
      </w:r>
      <w:r>
        <w:rPr>
          <w:noProof w:val="0"/>
          <w:sz w:val="32"/>
        </w:rPr>
        <w:t>i</w:t>
      </w:r>
      <w:r w:rsidRPr="00101141">
        <w:rPr>
          <w:noProof w:val="0"/>
          <w:sz w:val="32"/>
        </w:rPr>
        <w:t xml:space="preserve">n Fluidized Bed </w:t>
      </w:r>
      <w:r>
        <w:rPr>
          <w:noProof w:val="0"/>
          <w:sz w:val="32"/>
        </w:rPr>
        <w:t>b</w:t>
      </w:r>
      <w:r w:rsidRPr="00101141">
        <w:rPr>
          <w:noProof w:val="0"/>
          <w:sz w:val="32"/>
        </w:rPr>
        <w:t xml:space="preserve">y In-Line Monitoring </w:t>
      </w:r>
      <w:r>
        <w:rPr>
          <w:noProof w:val="0"/>
          <w:sz w:val="32"/>
        </w:rPr>
        <w:t>o</w:t>
      </w:r>
      <w:r w:rsidRPr="00101141">
        <w:rPr>
          <w:noProof w:val="0"/>
          <w:sz w:val="32"/>
        </w:rPr>
        <w:t>f Particle Size</w:t>
      </w:r>
    </w:p>
    <w:p w14:paraId="10062710" w14:textId="77777777" w:rsidR="00E978D0" w:rsidRPr="00101141" w:rsidRDefault="00101141" w:rsidP="00AB5011">
      <w:pPr>
        <w:pStyle w:val="CETAuthors"/>
        <w:rPr>
          <w:lang w:val="pt-BR"/>
        </w:rPr>
      </w:pPr>
      <w:r w:rsidRPr="00101141">
        <w:rPr>
          <w:lang w:val="pt-BR"/>
        </w:rPr>
        <w:t>Juliana G. Rosa</w:t>
      </w:r>
      <w:r w:rsidR="00600535" w:rsidRPr="00101141">
        <w:rPr>
          <w:vertAlign w:val="superscript"/>
          <w:lang w:val="pt-BR"/>
        </w:rPr>
        <w:t>a</w:t>
      </w:r>
      <w:r w:rsidR="00600535" w:rsidRPr="00101141">
        <w:rPr>
          <w:lang w:val="pt-BR"/>
        </w:rPr>
        <w:t xml:space="preserve">, </w:t>
      </w:r>
      <w:r w:rsidRPr="00101141">
        <w:rPr>
          <w:lang w:val="pt-BR"/>
        </w:rPr>
        <w:t>Mariana F. Ávila</w:t>
      </w:r>
      <w:r w:rsidRPr="00101141">
        <w:rPr>
          <w:vertAlign w:val="superscript"/>
          <w:lang w:val="pt-BR"/>
        </w:rPr>
        <w:t>a</w:t>
      </w:r>
      <w:r w:rsidR="00600535" w:rsidRPr="00101141">
        <w:rPr>
          <w:lang w:val="pt-BR"/>
        </w:rPr>
        <w:t xml:space="preserve">, </w:t>
      </w:r>
      <w:r w:rsidRPr="00101141">
        <w:rPr>
          <w:lang w:val="pt-BR"/>
        </w:rPr>
        <w:t>Raul F. Nascimento</w:t>
      </w:r>
      <w:r w:rsidR="00F10DDF">
        <w:rPr>
          <w:vertAlign w:val="superscript"/>
          <w:lang w:val="pt-BR"/>
        </w:rPr>
        <w:t>b</w:t>
      </w:r>
      <w:r w:rsidRPr="00101141">
        <w:rPr>
          <w:lang w:val="pt-BR"/>
        </w:rPr>
        <w:t>, Osvaldir P. Taranto</w:t>
      </w:r>
      <w:r w:rsidRPr="00101141">
        <w:rPr>
          <w:vertAlign w:val="superscript"/>
          <w:lang w:val="pt-BR"/>
        </w:rPr>
        <w:t>a</w:t>
      </w:r>
      <w:r>
        <w:rPr>
          <w:vertAlign w:val="superscript"/>
          <w:lang w:val="pt-BR"/>
        </w:rPr>
        <w:t>,*</w:t>
      </w:r>
      <w:r w:rsidRPr="00101141">
        <w:rPr>
          <w:lang w:val="pt-BR"/>
        </w:rPr>
        <w:t xml:space="preserve"> </w:t>
      </w:r>
    </w:p>
    <w:p w14:paraId="57153C58" w14:textId="77777777" w:rsidR="00E978D0" w:rsidRPr="00B57B36" w:rsidRDefault="00E978D0" w:rsidP="00F10DDF">
      <w:pPr>
        <w:pStyle w:val="CETAddress"/>
      </w:pPr>
      <w:r w:rsidRPr="00B57B36">
        <w:rPr>
          <w:vertAlign w:val="superscript"/>
        </w:rPr>
        <w:t>a</w:t>
      </w:r>
      <w:r w:rsidR="00101141" w:rsidRPr="00101141">
        <w:t>School of Chemical Engineering, University of Campinas, Albert Einstein Ave., 500, Campinas, SP, Brazil</w:t>
      </w:r>
      <w:r w:rsidRPr="00B57B36">
        <w:t xml:space="preserve"> </w:t>
      </w:r>
    </w:p>
    <w:p w14:paraId="64B8EA43" w14:textId="77777777" w:rsidR="00E978D0" w:rsidRPr="00101141" w:rsidRDefault="00F10DDF" w:rsidP="00F10DDF">
      <w:pPr>
        <w:pStyle w:val="CETAddress"/>
        <w:rPr>
          <w:lang w:val="en-US"/>
        </w:rPr>
      </w:pPr>
      <w:r>
        <w:rPr>
          <w:vertAlign w:val="superscript"/>
          <w:lang w:val="en-US"/>
        </w:rPr>
        <w:t>b</w:t>
      </w:r>
      <w:r w:rsidR="00101141" w:rsidRPr="00101141">
        <w:rPr>
          <w:lang w:val="en-US"/>
        </w:rPr>
        <w:t>School of Food Engineering, University of Campinas, Monteiro Lobato Street, 80, Campinas, SP, Brazil</w:t>
      </w:r>
    </w:p>
    <w:p w14:paraId="24FFF491" w14:textId="77777777" w:rsidR="00E978D0" w:rsidRPr="00B57B36" w:rsidRDefault="00AB5011" w:rsidP="00242279">
      <w:pPr>
        <w:pStyle w:val="CETAddress"/>
      </w:pPr>
      <w:r w:rsidRPr="00101141">
        <w:rPr>
          <w:lang w:val="en-US"/>
        </w:rPr>
        <w:t xml:space="preserve"> </w:t>
      </w:r>
      <w:r w:rsidR="00101141" w:rsidRPr="00101141">
        <w:t>val@feq.unicamp.com</w:t>
      </w:r>
    </w:p>
    <w:p w14:paraId="0A562B8E" w14:textId="77777777" w:rsidR="00F10DDF" w:rsidRDefault="00F10DDF" w:rsidP="00600535">
      <w:pPr>
        <w:pStyle w:val="CETBodytext"/>
        <w:rPr>
          <w:lang w:val="en-GB"/>
        </w:rPr>
      </w:pPr>
    </w:p>
    <w:p w14:paraId="26D1A800" w14:textId="39C9C914" w:rsidR="00DA24C6" w:rsidRPr="007D1D02" w:rsidRDefault="00612A5F" w:rsidP="007D1D02">
      <w:pPr>
        <w:pStyle w:val="CETBodytext"/>
        <w:rPr>
          <w:lang w:val="en-GB"/>
        </w:rPr>
      </w:pPr>
      <w:r w:rsidRPr="00612A5F">
        <w:rPr>
          <w:lang w:val="en-GB"/>
        </w:rPr>
        <w:t xml:space="preserve">Nowadays, there is a demand for products with good nutritional, technological and sensory characteristics. In this context, vegetable protein isolates, as pea protein, has been studied as a substitute to the soy protein, since it has higher levels of essential amino acids and vitamins. These powders are obtained commonly by spray drying that can modify the protein structure and that produces fine particles. So, to improve physicochemical properties, other processes, as agglomeration in fluidizing bed, could be used. The aim of this work was to study the influence of binder solutions characteristics on particle growth kinetics using an in-line particle size monitoring by spatial filter velocimetry. Two different </w:t>
      </w:r>
      <w:r w:rsidR="00826FA6">
        <w:rPr>
          <w:lang w:val="en-GB"/>
        </w:rPr>
        <w:t>acacia gum</w:t>
      </w:r>
      <w:r w:rsidRPr="00612A5F">
        <w:rPr>
          <w:lang w:val="en-GB"/>
        </w:rPr>
        <w:t xml:space="preserve"> solutions (0.7 and 20.0</w:t>
      </w:r>
      <w:r w:rsidR="007715D2">
        <w:rPr>
          <w:lang w:val="en-GB"/>
        </w:rPr>
        <w:t xml:space="preserve"> </w:t>
      </w:r>
      <w:r w:rsidRPr="00612A5F">
        <w:rPr>
          <w:lang w:val="en-GB"/>
        </w:rPr>
        <w:t>% w/w) were used as liquid binder. The operating conditions used were drying air temperature of 75 °C and binder flow rate of 3.0 mL/min. Atomization air pressure</w:t>
      </w:r>
      <w:r w:rsidR="00057FFE">
        <w:rPr>
          <w:lang w:val="en-GB"/>
        </w:rPr>
        <w:t xml:space="preserve"> and</w:t>
      </w:r>
      <w:r w:rsidRPr="00612A5F">
        <w:rPr>
          <w:lang w:val="en-GB"/>
        </w:rPr>
        <w:t xml:space="preserve"> atomization nozzle height were kept constant at 7.0 psi and 0.3 m, respectively. Fluid bed agglomeration was a useful method to produce instant pea protein concentrate powder under the operating conditions studied. This process produced larger particles, free-flow improved and shorter wetting time. The binder solution with higher concentration and more viscous provided a more pronounced particle growth and higher process yield. The in-line particle size monitoring was useful to observe the particle growth kinetics and the operating conditions influence on the growth kinetics and particle growth rate in fluidized bed agglomeration. It also was possible to observe that the particle growth rate oscillated during the process showing that the particle size growth results from a positive balance between agglomeration and break.</w:t>
      </w:r>
    </w:p>
    <w:p w14:paraId="5426D16E" w14:textId="77777777" w:rsidR="00600535" w:rsidRPr="00B57B36" w:rsidRDefault="00600535" w:rsidP="00600535">
      <w:pPr>
        <w:pStyle w:val="CETHeading1"/>
        <w:rPr>
          <w:lang w:val="en-GB"/>
        </w:rPr>
      </w:pPr>
      <w:r w:rsidRPr="00B57B36">
        <w:rPr>
          <w:lang w:val="en-GB"/>
        </w:rPr>
        <w:t>Introduction</w:t>
      </w:r>
    </w:p>
    <w:p w14:paraId="703D4319" w14:textId="0D33E2D4" w:rsidR="004B07D7" w:rsidRPr="004B07D7" w:rsidRDefault="00BE2979" w:rsidP="004B07D7">
      <w:pPr>
        <w:pStyle w:val="CETBodytext"/>
      </w:pPr>
      <w:r w:rsidRPr="00BE2979">
        <w:t xml:space="preserve">Food industry search for alternative proteins to replace animal proteins and derivatives from wheat and soy </w:t>
      </w:r>
      <w:r w:rsidR="00057FFE">
        <w:t>are</w:t>
      </w:r>
      <w:r w:rsidR="00057FFE" w:rsidRPr="00BE2979">
        <w:t xml:space="preserve"> </w:t>
      </w:r>
      <w:r w:rsidRPr="00BE2979">
        <w:t>a reality.</w:t>
      </w:r>
      <w:r>
        <w:t xml:space="preserve"> </w:t>
      </w:r>
      <w:r w:rsidR="00A47912" w:rsidRPr="00A47912">
        <w:t>In this context, pea protein has been highlighted since it has a higher content of some amino acids such as lysine and tryptophan than cereals, and a lower content of trypsin inhibitors than soybean</w:t>
      </w:r>
      <w:r w:rsidR="00FE1E0E">
        <w:t xml:space="preserve"> (Shevkani et al., 2015)</w:t>
      </w:r>
      <w:r w:rsidR="00A47912" w:rsidRPr="00A47912">
        <w:t>, being considered</w:t>
      </w:r>
      <w:r w:rsidR="00A47912">
        <w:t xml:space="preserve"> a food with</w:t>
      </w:r>
      <w:r w:rsidR="00A47912" w:rsidRPr="00A47912">
        <w:t xml:space="preserve"> of high nutritional value and low allergenicity</w:t>
      </w:r>
      <w:r w:rsidR="0063275C">
        <w:t xml:space="preserve"> (Lam et al., 2018)</w:t>
      </w:r>
      <w:r w:rsidR="00A47912">
        <w:t xml:space="preserve">. </w:t>
      </w:r>
      <w:r w:rsidR="009D6BC3">
        <w:t>Different processes can be used to do t</w:t>
      </w:r>
      <w:r w:rsidR="00981D3D" w:rsidRPr="00981D3D">
        <w:t>he pea protein</w:t>
      </w:r>
      <w:r w:rsidR="009D6BC3">
        <w:t xml:space="preserve"> </w:t>
      </w:r>
      <w:r w:rsidR="009D6BC3" w:rsidRPr="00981D3D">
        <w:t>extraction</w:t>
      </w:r>
      <w:r w:rsidR="00981D3D" w:rsidRPr="00981D3D">
        <w:t xml:space="preserve"> such as alkaline extraction, isoelectric precipitation and membrane separation</w:t>
      </w:r>
      <w:r w:rsidR="0063275C">
        <w:t xml:space="preserve"> (Boye et al., 2010)</w:t>
      </w:r>
      <w:r w:rsidR="009D6BC3" w:rsidRPr="005330D8">
        <w:t xml:space="preserve">. </w:t>
      </w:r>
      <w:r w:rsidR="00E04BD5" w:rsidRPr="00E04BD5">
        <w:t>Following the extraction process</w:t>
      </w:r>
      <w:r w:rsidR="00057FFE">
        <w:t>,</w:t>
      </w:r>
      <w:r w:rsidR="00E04BD5" w:rsidRPr="00E04BD5">
        <w:t xml:space="preserve"> the powdered protein is obtained by the concentrated extract spray drying.</w:t>
      </w:r>
      <w:r w:rsidR="00853643">
        <w:t xml:space="preserve"> </w:t>
      </w:r>
      <w:r w:rsidR="00D63CCB" w:rsidRPr="00D63CCB">
        <w:t xml:space="preserve">However, this process produces finer, cohesive particles that present </w:t>
      </w:r>
      <w:r w:rsidR="004B07D7">
        <w:t xml:space="preserve">poor </w:t>
      </w:r>
      <w:r w:rsidR="00D63CCB" w:rsidRPr="00D63CCB">
        <w:t xml:space="preserve">handling </w:t>
      </w:r>
      <w:r w:rsidR="004B07D7">
        <w:t xml:space="preserve">and </w:t>
      </w:r>
      <w:r w:rsidR="00D63CCB" w:rsidRPr="00D63CCB">
        <w:t>reconstitution</w:t>
      </w:r>
      <w:r w:rsidR="004B07D7">
        <w:t xml:space="preserve"> properties</w:t>
      </w:r>
      <w:r w:rsidR="0063275C">
        <w:t xml:space="preserve"> (Fuchs et al., 2006)</w:t>
      </w:r>
      <w:r w:rsidR="004B07D7" w:rsidRPr="004B07D7">
        <w:t xml:space="preserve">. </w:t>
      </w:r>
    </w:p>
    <w:p w14:paraId="794403A0" w14:textId="5E982752" w:rsidR="004B07D7" w:rsidRDefault="004B07D7" w:rsidP="00935563">
      <w:pPr>
        <w:pStyle w:val="CETBodytext"/>
      </w:pPr>
      <w:r w:rsidRPr="00521E6F">
        <w:t xml:space="preserve">Fluid bed agglomeration is a recognized process used to improve the properties of powdered materials. </w:t>
      </w:r>
      <w:r w:rsidR="001E0EDD" w:rsidRPr="00521E6F">
        <w:t xml:space="preserve">This process is widely used in pharmaceutical and food industries </w:t>
      </w:r>
      <w:r w:rsidR="00935563" w:rsidRPr="00521E6F">
        <w:t xml:space="preserve">to </w:t>
      </w:r>
      <w:r w:rsidR="001E0EDD" w:rsidRPr="00521E6F">
        <w:t xml:space="preserve">increase </w:t>
      </w:r>
      <w:r w:rsidR="00935563" w:rsidRPr="00521E6F">
        <w:t xml:space="preserve">the </w:t>
      </w:r>
      <w:r w:rsidR="001E0EDD" w:rsidRPr="00521E6F">
        <w:t>particle size, improving its flowability, handling and reconstitution properties.</w:t>
      </w:r>
      <w:r w:rsidR="00327F63" w:rsidRPr="00521E6F">
        <w:t xml:space="preserve"> </w:t>
      </w:r>
      <w:r w:rsidR="00327F63" w:rsidRPr="0057141D">
        <w:t>It is</w:t>
      </w:r>
      <w:r w:rsidR="00935563" w:rsidRPr="0057141D">
        <w:t xml:space="preserve"> a complex and at the same time versatile process as it allows drying or cooling processes to occur simultaneously with increasing </w:t>
      </w:r>
      <w:r w:rsidR="0057141D" w:rsidRPr="0057141D">
        <w:t xml:space="preserve">the </w:t>
      </w:r>
      <w:r w:rsidR="00935563" w:rsidRPr="0057141D">
        <w:t>particle size</w:t>
      </w:r>
      <w:r w:rsidR="00935563" w:rsidRPr="00521E6F">
        <w:t xml:space="preserve"> (Turchiuli et al</w:t>
      </w:r>
      <w:r w:rsidR="00327F63" w:rsidRPr="00521E6F">
        <w:t>.</w:t>
      </w:r>
      <w:r w:rsidR="00935563" w:rsidRPr="00521E6F">
        <w:t>, 2013)</w:t>
      </w:r>
      <w:r w:rsidR="00327F63" w:rsidRPr="00521E6F">
        <w:t xml:space="preserve"> </w:t>
      </w:r>
      <w:r w:rsidR="008F2FE1" w:rsidRPr="00521E6F">
        <w:t>The quality of the agglomerated product depends both on the process parameters and on the characteristics of the binder used</w:t>
      </w:r>
      <w:r w:rsidR="002E152C" w:rsidRPr="00521E6F">
        <w:t xml:space="preserve"> (Iveson et al., 2001)</w:t>
      </w:r>
      <w:r w:rsidR="009729B1" w:rsidRPr="00521E6F">
        <w:t>.</w:t>
      </w:r>
      <w:r w:rsidR="009729B1">
        <w:t xml:space="preserve"> </w:t>
      </w:r>
      <w:r w:rsidR="009729B1" w:rsidRPr="009729B1">
        <w:t xml:space="preserve">The agglomeration efficiency and </w:t>
      </w:r>
      <w:r w:rsidR="006D0C98">
        <w:t xml:space="preserve">the </w:t>
      </w:r>
      <w:r w:rsidR="009729B1" w:rsidRPr="009729B1">
        <w:t>process parameters</w:t>
      </w:r>
      <w:r w:rsidR="006D0C98">
        <w:t xml:space="preserve"> </w:t>
      </w:r>
      <w:r w:rsidR="006D0C98" w:rsidRPr="009729B1">
        <w:t>influence</w:t>
      </w:r>
      <w:r w:rsidR="009729B1" w:rsidRPr="009729B1">
        <w:t xml:space="preserve"> can be analyzed by the granule growth</w:t>
      </w:r>
      <w:r w:rsidR="0051785E">
        <w:t xml:space="preserve"> kinetics</w:t>
      </w:r>
      <w:r w:rsidR="004C1AA4">
        <w:t>, since</w:t>
      </w:r>
      <w:r w:rsidR="009729B1" w:rsidRPr="009729B1">
        <w:t xml:space="preserve"> the increase of the particle is the main objective of the agglomeration process.</w:t>
      </w:r>
    </w:p>
    <w:p w14:paraId="414C008B" w14:textId="4E4F9A97" w:rsidR="00B521CA" w:rsidRPr="009729B1" w:rsidRDefault="00B521CA" w:rsidP="00536D3F">
      <w:pPr>
        <w:pStyle w:val="CETBodytext"/>
      </w:pPr>
      <w:bookmarkStart w:id="0" w:name="_Hlk4770381"/>
      <w:r w:rsidRPr="00B521CA">
        <w:t xml:space="preserve">The </w:t>
      </w:r>
      <w:r>
        <w:t>aim</w:t>
      </w:r>
      <w:r w:rsidRPr="00B521CA">
        <w:t xml:space="preserve"> of this work</w:t>
      </w:r>
      <w:r w:rsidR="00373975">
        <w:t xml:space="preserve"> </w:t>
      </w:r>
      <w:r w:rsidR="00373975" w:rsidRPr="00373975">
        <w:t>was to analyze</w:t>
      </w:r>
      <w:r w:rsidR="00057FFE">
        <w:t>,</w:t>
      </w:r>
      <w:r w:rsidR="00373975" w:rsidRPr="00373975">
        <w:t xml:space="preserve"> by the granule growth</w:t>
      </w:r>
      <w:r w:rsidR="0051785E">
        <w:t xml:space="preserve"> kinetics</w:t>
      </w:r>
      <w:r w:rsidR="005F0905">
        <w:t xml:space="preserve"> </w:t>
      </w:r>
      <w:r w:rsidR="005F0905" w:rsidRPr="005F0905">
        <w:t>and the properties of the agglomerated material</w:t>
      </w:r>
      <w:r w:rsidR="00057FFE">
        <w:t>,</w:t>
      </w:r>
      <w:r w:rsidR="005F0905" w:rsidRPr="005F0905">
        <w:t xml:space="preserve"> </w:t>
      </w:r>
      <w:r w:rsidR="005F0905" w:rsidRPr="00A05D85">
        <w:rPr>
          <w:strike/>
        </w:rPr>
        <w:t>how</w:t>
      </w:r>
      <w:r w:rsidR="005F0905" w:rsidRPr="005F0905">
        <w:t xml:space="preserve"> </w:t>
      </w:r>
      <w:r w:rsidR="00A05D85">
        <w:t xml:space="preserve">if </w:t>
      </w:r>
      <w:r w:rsidR="005F0905" w:rsidRPr="005F0905">
        <w:t>the viscosity of the binder solution affects the agglomeration of the pea protein</w:t>
      </w:r>
      <w:bookmarkEnd w:id="0"/>
      <w:r w:rsidR="005F0905" w:rsidRPr="005F0905">
        <w:t>.</w:t>
      </w:r>
      <w:r w:rsidR="00536D3F">
        <w:t xml:space="preserve"> The spatial filter velocimetry (SFV) technique</w:t>
      </w:r>
      <w:r w:rsidR="00785E8C">
        <w:t xml:space="preserve"> </w:t>
      </w:r>
      <w:r w:rsidR="00785E8C" w:rsidRPr="00785E8C">
        <w:rPr>
          <w:rFonts w:eastAsiaTheme="minorHAnsi" w:cs="Arial"/>
          <w:szCs w:val="18"/>
        </w:rPr>
        <w:t>using Parsum probe</w:t>
      </w:r>
      <w:r w:rsidR="003A3F60" w:rsidRPr="003A3F60">
        <w:t>, a proven technique for particle size monitoring during fluidized bed agglomeration process</w:t>
      </w:r>
      <w:r w:rsidR="002E152C">
        <w:t xml:space="preserve"> (Silva and Taranto</w:t>
      </w:r>
      <w:r w:rsidR="005330D8">
        <w:t>, 2015</w:t>
      </w:r>
      <w:r w:rsidR="00E80D6D">
        <w:t xml:space="preserve">; </w:t>
      </w:r>
      <w:r w:rsidR="00E80D6D" w:rsidRPr="009F4C0A">
        <w:t>Wiegel et al., 2016</w:t>
      </w:r>
      <w:r w:rsidR="005330D8">
        <w:t>)</w:t>
      </w:r>
      <w:r w:rsidR="003A3F60" w:rsidRPr="003A3F60">
        <w:t>, was used in this work.</w:t>
      </w:r>
      <w:r w:rsidR="00B84842">
        <w:t xml:space="preserve"> </w:t>
      </w:r>
      <w:r w:rsidR="00B84842" w:rsidRPr="00B84842">
        <w:t xml:space="preserve">The </w:t>
      </w:r>
      <w:r w:rsidR="00B84842" w:rsidRPr="00B84842">
        <w:lastRenderedPageBreak/>
        <w:t xml:space="preserve">binders used were </w:t>
      </w:r>
      <w:r w:rsidR="007715D2">
        <w:t xml:space="preserve">acacia </w:t>
      </w:r>
      <w:r w:rsidR="00B84842" w:rsidRPr="00B84842">
        <w:t xml:space="preserve">gum solutions at different concentrations, since </w:t>
      </w:r>
      <w:r w:rsidR="007715D2">
        <w:t xml:space="preserve">acacia </w:t>
      </w:r>
      <w:r w:rsidR="00B84842" w:rsidRPr="00B84842">
        <w:t>gum does not reduce the pea protein</w:t>
      </w:r>
      <w:r w:rsidR="00B84842">
        <w:t xml:space="preserve"> </w:t>
      </w:r>
      <w:r w:rsidR="00B84842" w:rsidRPr="00B84842">
        <w:t xml:space="preserve">nutritional </w:t>
      </w:r>
      <w:r w:rsidR="007715D2">
        <w:t>value</w:t>
      </w:r>
      <w:r w:rsidR="00B84842" w:rsidRPr="00B84842">
        <w:t xml:space="preserve"> as it is a natural dietary fiber.</w:t>
      </w:r>
    </w:p>
    <w:p w14:paraId="1BBDB23C" w14:textId="77777777" w:rsidR="00730E0C" w:rsidRPr="00B6445E" w:rsidRDefault="00730E0C" w:rsidP="00B6445E">
      <w:pPr>
        <w:pStyle w:val="CETHeading1"/>
      </w:pPr>
      <w:r w:rsidRPr="00B6445E">
        <w:t>Material and Methods</w:t>
      </w:r>
    </w:p>
    <w:p w14:paraId="576B6430" w14:textId="77777777" w:rsidR="00730E0C" w:rsidRPr="00730E0C" w:rsidRDefault="00730E0C" w:rsidP="00730E0C">
      <w:pPr>
        <w:pStyle w:val="CETheadingx"/>
      </w:pPr>
      <w:r>
        <w:t>Material</w:t>
      </w:r>
    </w:p>
    <w:p w14:paraId="4DEF6EB6" w14:textId="77777777" w:rsidR="00365382" w:rsidRPr="00987577" w:rsidRDefault="00730E0C" w:rsidP="00987577">
      <w:pPr>
        <w:pStyle w:val="CETBodytext"/>
        <w:rPr>
          <w:rFonts w:eastAsiaTheme="minorHAnsi"/>
        </w:rPr>
      </w:pPr>
      <w:r w:rsidRPr="00987577">
        <w:t>Com</w:t>
      </w:r>
      <w:r w:rsidR="007715D2">
        <w:t>m</w:t>
      </w:r>
      <w:r w:rsidRPr="00987577">
        <w:t>ercial pea protein isolate</w:t>
      </w:r>
      <w:r w:rsidR="007715D2">
        <w:t xml:space="preserve"> (PPI)</w:t>
      </w:r>
      <w:r w:rsidRPr="00987577">
        <w:t xml:space="preserve"> (CA Gramkow®, Brazil) was used as raw material for all the agglomeration </w:t>
      </w:r>
      <w:r w:rsidRPr="00AD3424">
        <w:t>experiments.</w:t>
      </w:r>
      <w:r w:rsidR="002545A7" w:rsidRPr="00AD3424">
        <w:t xml:space="preserve"> </w:t>
      </w:r>
      <w:r w:rsidR="00AD3424" w:rsidRPr="00AD3424">
        <w:t>The PPI</w:t>
      </w:r>
      <w:r w:rsidR="00793671">
        <w:t xml:space="preserve"> </w:t>
      </w:r>
      <w:r w:rsidR="00793671" w:rsidRPr="00793671">
        <w:t>moisture content is below</w:t>
      </w:r>
      <w:r w:rsidR="00AD3424" w:rsidRPr="00AD3424">
        <w:t xml:space="preserve"> </w:t>
      </w:r>
      <w:r w:rsidR="00793671">
        <w:t>8.00</w:t>
      </w:r>
      <w:r w:rsidR="00AD3424">
        <w:t xml:space="preserve"> </w:t>
      </w:r>
      <w:r w:rsidR="00AD3424" w:rsidRPr="00AD3424">
        <w:t>%</w:t>
      </w:r>
      <w:r w:rsidR="007715D2">
        <w:t xml:space="preserve"> and it</w:t>
      </w:r>
      <w:r w:rsidR="0085593D">
        <w:t xml:space="preserve"> contains </w:t>
      </w:r>
      <w:r w:rsidR="00AD3424" w:rsidRPr="00AD3424">
        <w:t>above 80.0</w:t>
      </w:r>
      <w:r w:rsidR="007715D2">
        <w:t xml:space="preserve"> </w:t>
      </w:r>
      <w:r w:rsidR="00AD3424" w:rsidRPr="00AD3424">
        <w:t>% of protein, 1.12</w:t>
      </w:r>
      <w:r w:rsidR="007715D2">
        <w:t xml:space="preserve"> </w:t>
      </w:r>
      <w:r w:rsidR="00AD3424" w:rsidRPr="00AD3424">
        <w:t>% of fibers, 7.88</w:t>
      </w:r>
      <w:r w:rsidR="007715D2">
        <w:t xml:space="preserve"> </w:t>
      </w:r>
      <w:r w:rsidR="00AD3424" w:rsidRPr="00AD3424">
        <w:t>% of lipids, 0.28</w:t>
      </w:r>
      <w:r w:rsidR="007715D2">
        <w:t xml:space="preserve"> </w:t>
      </w:r>
      <w:r w:rsidR="00AD3424" w:rsidRPr="00AD3424">
        <w:t xml:space="preserve">% of carbohydrates, according to producer. </w:t>
      </w:r>
      <w:r w:rsidR="00365382" w:rsidRPr="00AD3424">
        <w:t xml:space="preserve">The binder aqueous solutions were prepared </w:t>
      </w:r>
      <w:r w:rsidR="007715D2">
        <w:t xml:space="preserve">using acacia gum (Spraygum BB, </w:t>
      </w:r>
      <w:r w:rsidR="00365382" w:rsidRPr="00AD3424">
        <w:t>Nexira Brasil Comercial</w:t>
      </w:r>
      <w:r w:rsidR="007715D2">
        <w:t>, Brazil</w:t>
      </w:r>
      <w:r w:rsidR="00365382" w:rsidRPr="00AD3424">
        <w:t xml:space="preserve">) at two different concentrations 0.7 and 20.0 % (w/w) and </w:t>
      </w:r>
      <w:r w:rsidR="00990F48" w:rsidRPr="00AD3424">
        <w:rPr>
          <w:rFonts w:eastAsiaTheme="minorHAnsi"/>
        </w:rPr>
        <w:t>at room temperature (± 27 °</w:t>
      </w:r>
      <w:r w:rsidR="00990F48" w:rsidRPr="00987577">
        <w:rPr>
          <w:rFonts w:eastAsiaTheme="minorHAnsi"/>
        </w:rPr>
        <w:t xml:space="preserve">C). </w:t>
      </w:r>
    </w:p>
    <w:p w14:paraId="75771DD2" w14:textId="77777777" w:rsidR="00E92828" w:rsidRDefault="00C835C9" w:rsidP="00C835C9">
      <w:pPr>
        <w:pStyle w:val="CETheadingx"/>
      </w:pPr>
      <w:r w:rsidRPr="00C835C9">
        <w:t>Characterization of raw and agglomerated</w:t>
      </w:r>
      <w:r>
        <w:t xml:space="preserve"> </w:t>
      </w:r>
      <w:r w:rsidRPr="00730E0C">
        <w:t>pea protein isolate</w:t>
      </w:r>
    </w:p>
    <w:p w14:paraId="75BFFC18" w14:textId="1CD6DBCA" w:rsidR="00987577" w:rsidRDefault="002545A7" w:rsidP="00987577">
      <w:pPr>
        <w:pStyle w:val="CETBodytext"/>
      </w:pPr>
      <w:r>
        <w:t xml:space="preserve">The raw material median particle size was measured by laser </w:t>
      </w:r>
      <w:r w:rsidRPr="003A4A52">
        <w:t xml:space="preserve">diffraction (Mastersizer 3000, MAZ3000 Malvern Instruments, Malvern, UK). The median particle size during the agglomeration </w:t>
      </w:r>
      <w:r>
        <w:t xml:space="preserve">process was evaluated </w:t>
      </w:r>
      <w:r w:rsidR="00987577">
        <w:t xml:space="preserve">by Parsum IPP70 probe (Chemnitz, Germany) that employs the </w:t>
      </w:r>
      <w:r w:rsidR="00987577" w:rsidRPr="00987577">
        <w:rPr>
          <w:rFonts w:eastAsiaTheme="minorHAnsi" w:cs="Arial"/>
          <w:szCs w:val="18"/>
        </w:rPr>
        <w:t>spatial</w:t>
      </w:r>
      <w:r w:rsidR="00987577">
        <w:rPr>
          <w:rFonts w:eastAsiaTheme="minorHAnsi" w:cs="Arial"/>
          <w:szCs w:val="18"/>
        </w:rPr>
        <w:t xml:space="preserve"> </w:t>
      </w:r>
      <w:r w:rsidR="00987577" w:rsidRPr="00987577">
        <w:rPr>
          <w:rFonts w:eastAsiaTheme="minorHAnsi" w:cs="Arial"/>
          <w:szCs w:val="18"/>
        </w:rPr>
        <w:t>filter velocimetry (SFV) technique</w:t>
      </w:r>
      <w:r w:rsidR="00987577">
        <w:rPr>
          <w:rFonts w:eastAsiaTheme="minorHAnsi" w:cs="Arial"/>
          <w:szCs w:val="18"/>
        </w:rPr>
        <w:t xml:space="preserve"> </w:t>
      </w:r>
      <w:r w:rsidR="00987577">
        <w:t>to measure size</w:t>
      </w:r>
      <w:r w:rsidR="00210CFA">
        <w:t xml:space="preserve"> </w:t>
      </w:r>
      <w:r w:rsidR="00987577">
        <w:t>of the particles.</w:t>
      </w:r>
      <w:r w:rsidR="00210CFA">
        <w:t xml:space="preserve"> The SFV </w:t>
      </w:r>
      <w:r w:rsidR="00210CFA" w:rsidRPr="00210CFA">
        <w:t>technique</w:t>
      </w:r>
      <w:r w:rsidR="00210CFA">
        <w:t xml:space="preserve"> </w:t>
      </w:r>
      <w:r w:rsidR="00210CFA" w:rsidRPr="00210CFA">
        <w:t>uses the chord length distributions to express granule</w:t>
      </w:r>
      <w:r w:rsidR="00210CFA">
        <w:t xml:space="preserve"> </w:t>
      </w:r>
      <w:r w:rsidR="00210CFA" w:rsidRPr="00210CFA">
        <w:t>size</w:t>
      </w:r>
      <w:r w:rsidR="00210CFA">
        <w:t xml:space="preserve">. The chord </w:t>
      </w:r>
      <w:r w:rsidR="00210CFA" w:rsidRPr="00210CFA">
        <w:t>measured</w:t>
      </w:r>
      <w:r w:rsidR="00210CFA">
        <w:t xml:space="preserve"> </w:t>
      </w:r>
      <w:r w:rsidR="00210CFA" w:rsidRPr="00210CFA">
        <w:t>is the distance between two points on the edge of the projected particle surface</w:t>
      </w:r>
      <w:r w:rsidR="00210CFA">
        <w:t xml:space="preserve"> </w:t>
      </w:r>
      <w:r w:rsidR="00210CFA" w:rsidRPr="00210CFA">
        <w:t>as it passes through a laser beam</w:t>
      </w:r>
      <w:r w:rsidR="00210CFA">
        <w:t>.</w:t>
      </w:r>
    </w:p>
    <w:p w14:paraId="7D89E5CE" w14:textId="5192C251" w:rsidR="009D4C81" w:rsidRDefault="009D4C81" w:rsidP="007934AA">
      <w:pPr>
        <w:pStyle w:val="CETBodytext"/>
      </w:pPr>
      <w:r w:rsidRPr="009D4C81">
        <w:t xml:space="preserve">The </w:t>
      </w:r>
      <w:r>
        <w:t>PPI</w:t>
      </w:r>
      <w:r w:rsidRPr="009D4C81">
        <w:t xml:space="preserve"> density </w:t>
      </w:r>
      <w:r>
        <w:t>was</w:t>
      </w:r>
      <w:r w:rsidRPr="009D4C81">
        <w:t xml:space="preserve"> evaluated</w:t>
      </w:r>
      <w:r w:rsidR="00210CFA">
        <w:t xml:space="preserve"> </w:t>
      </w:r>
      <w:r w:rsidR="00210CFA" w:rsidRPr="00210CFA">
        <w:t>in triplicate</w:t>
      </w:r>
      <w:r w:rsidRPr="009D4C81">
        <w:t xml:space="preserve"> by helium gas pycnometry</w:t>
      </w:r>
      <w:r>
        <w:t xml:space="preserve"> (</w:t>
      </w:r>
      <w:r w:rsidRPr="009D4C81">
        <w:t>Micromeritics</w:t>
      </w:r>
      <w:r w:rsidR="0032576B">
        <w:t xml:space="preserve">, </w:t>
      </w:r>
      <w:r w:rsidR="0032576B" w:rsidRPr="009D4C81">
        <w:t>AccuPyc 1330</w:t>
      </w:r>
      <w:r>
        <w:t>)</w:t>
      </w:r>
      <w:r w:rsidR="0032576B">
        <w:t>.</w:t>
      </w:r>
    </w:p>
    <w:p w14:paraId="613719D4" w14:textId="6AD4B753" w:rsidR="007934AA" w:rsidRDefault="002545A7" w:rsidP="007934AA">
      <w:pPr>
        <w:pStyle w:val="CETBodytext"/>
        <w:rPr>
          <w:rFonts w:eastAsiaTheme="minorHAnsi" w:cs="Arial"/>
          <w:szCs w:val="18"/>
        </w:rPr>
      </w:pPr>
      <w:r>
        <w:t>Powder flow characteristic</w:t>
      </w:r>
      <w:r w:rsidR="007934AA">
        <w:t xml:space="preserve"> </w:t>
      </w:r>
      <w:r>
        <w:t>w</w:t>
      </w:r>
      <w:r w:rsidR="00A5586D">
        <w:t>as</w:t>
      </w:r>
      <w:r>
        <w:t xml:space="preserve"> determined by the Carr index (I</w:t>
      </w:r>
      <w:r w:rsidRPr="007934AA">
        <w:rPr>
          <w:vertAlign w:val="subscript"/>
        </w:rPr>
        <w:t>Carr</w:t>
      </w:r>
      <w:r>
        <w:t>) values, as described by</w:t>
      </w:r>
      <w:r w:rsidR="002E152C">
        <w:t xml:space="preserve"> Turchiuli et al. (2005)</w:t>
      </w:r>
      <w:r>
        <w:t xml:space="preserve"> </w:t>
      </w:r>
      <w:r w:rsidR="007934AA">
        <w:t>from the bulk (ρ</w:t>
      </w:r>
      <w:r w:rsidR="007934AA" w:rsidRPr="009321FC">
        <w:rPr>
          <w:vertAlign w:val="subscript"/>
        </w:rPr>
        <w:t>b</w:t>
      </w:r>
      <w:r w:rsidR="007934AA">
        <w:t>) and tapped (ρ</w:t>
      </w:r>
      <w:r w:rsidR="007934AA" w:rsidRPr="009321FC">
        <w:rPr>
          <w:vertAlign w:val="subscript"/>
        </w:rPr>
        <w:t>t</w:t>
      </w:r>
      <w:r w:rsidR="00AF42E2">
        <w:t>) densities, as shown in Eq</w:t>
      </w:r>
      <w:r w:rsidR="007A5144">
        <w:t xml:space="preserve"> </w:t>
      </w:r>
      <w:r w:rsidR="007934AA">
        <w:t xml:space="preserve">(1). </w:t>
      </w:r>
      <w:r w:rsidR="007934AA" w:rsidRPr="007934AA">
        <w:t xml:space="preserve">The assays were done in triplicate and </w:t>
      </w:r>
      <w:r w:rsidR="007934AA">
        <w:t>t</w:t>
      </w:r>
      <w:r w:rsidR="007934AA" w:rsidRPr="007934AA">
        <w:t>he results were statistically analyzed by</w:t>
      </w:r>
      <w:r w:rsidR="007934AA">
        <w:t xml:space="preserve"> </w:t>
      </w:r>
      <w:r w:rsidR="007934AA" w:rsidRPr="007934AA">
        <w:rPr>
          <w:rFonts w:eastAsiaTheme="minorHAnsi" w:cs="Arial"/>
          <w:szCs w:val="18"/>
        </w:rPr>
        <w:t>Tukey’s test, at a significance level of 0.05.</w:t>
      </w:r>
    </w:p>
    <w:tbl>
      <w:tblPr>
        <w:tblW w:w="5000" w:type="pct"/>
        <w:tblLook w:val="04A0" w:firstRow="1" w:lastRow="0" w:firstColumn="1" w:lastColumn="0" w:noHBand="0" w:noVBand="1"/>
      </w:tblPr>
      <w:tblGrid>
        <w:gridCol w:w="7984"/>
        <w:gridCol w:w="803"/>
      </w:tblGrid>
      <w:tr w:rsidR="009321FC" w:rsidRPr="00B57B36" w14:paraId="55C56017" w14:textId="77777777" w:rsidTr="009321FC">
        <w:tc>
          <w:tcPr>
            <w:tcW w:w="8188" w:type="dxa"/>
            <w:shd w:val="clear" w:color="auto" w:fill="auto"/>
            <w:vAlign w:val="center"/>
          </w:tcPr>
          <w:p w14:paraId="19E6D6A0" w14:textId="0C915BDE" w:rsidR="009321FC" w:rsidRPr="009321FC" w:rsidRDefault="0067261D" w:rsidP="00D84AE8">
            <w:pPr>
              <w:pStyle w:val="CETEquation"/>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Carr</m:t>
                    </m:r>
                  </m:sub>
                </m:sSub>
                <m:r>
                  <w:rPr>
                    <w:rFonts w:ascii="Cambria Math" w:hAnsi="Cambria Math"/>
                  </w:rPr>
                  <m:t xml:space="preserve"> </m:t>
                </m:r>
                <m:d>
                  <m:dPr>
                    <m:ctrlPr>
                      <w:rPr>
                        <w:rFonts w:ascii="Cambria Math" w:hAnsi="Cambria Math"/>
                        <w:i/>
                      </w:rPr>
                    </m:ctrlPr>
                  </m:dPr>
                  <m:e>
                    <m:r>
                      <w:rPr>
                        <w:rFonts w:ascii="Cambria Math" w:hAnsi="Cambria Math"/>
                      </w:rPr>
                      <m:t>%</m:t>
                    </m:r>
                  </m:e>
                </m:d>
                <m:r>
                  <w:rPr>
                    <w:rFonts w:ascii="Cambria Math" w:hAnsi="Cambria Math"/>
                  </w:rPr>
                  <m:t xml:space="preserve">= </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ρ</m:t>
                                </m:r>
                              </m:e>
                              <m:sub>
                                <m:r>
                                  <w:rPr>
                                    <w:rFonts w:ascii="Cambria Math" w:hAnsi="Cambria Math"/>
                                  </w:rPr>
                                  <m:t>b</m:t>
                                </m:r>
                              </m:sub>
                            </m:sSub>
                            <m:r>
                              <w:rPr>
                                <w:rFonts w:ascii="Cambria Math" w:hAnsi="Cambria Math"/>
                              </w:rPr>
                              <m:t xml:space="preserve"> </m:t>
                            </m:r>
                          </m:e>
                        </m:d>
                      </m:num>
                      <m:den>
                        <m:sSub>
                          <m:sSubPr>
                            <m:ctrlPr>
                              <w:rPr>
                                <w:rFonts w:ascii="Cambria Math" w:hAnsi="Cambria Math"/>
                                <w:i/>
                              </w:rPr>
                            </m:ctrlPr>
                          </m:sSubPr>
                          <m:e>
                            <m:r>
                              <w:rPr>
                                <w:rFonts w:ascii="Cambria Math" w:hAnsi="Cambria Math"/>
                              </w:rPr>
                              <m:t>ρ</m:t>
                            </m:r>
                          </m:e>
                          <m:sub>
                            <m:r>
                              <w:rPr>
                                <w:rFonts w:ascii="Cambria Math" w:hAnsi="Cambria Math"/>
                              </w:rPr>
                              <m:t>t</m:t>
                            </m:r>
                          </m:sub>
                        </m:sSub>
                      </m:den>
                    </m:f>
                  </m:e>
                </m:d>
                <m:r>
                  <w:rPr>
                    <w:rFonts w:ascii="Cambria Math" w:hAnsi="Cambria Math"/>
                  </w:rPr>
                  <m:t>.100</m:t>
                </m:r>
              </m:oMath>
            </m:oMathPara>
          </w:p>
        </w:tc>
        <w:tc>
          <w:tcPr>
            <w:tcW w:w="815" w:type="dxa"/>
            <w:shd w:val="clear" w:color="auto" w:fill="auto"/>
            <w:vAlign w:val="center"/>
          </w:tcPr>
          <w:p w14:paraId="47C46E39" w14:textId="77777777" w:rsidR="009321FC" w:rsidRPr="00B57B36" w:rsidRDefault="009321FC" w:rsidP="00D84AE8">
            <w:pPr>
              <w:pStyle w:val="CETEquation"/>
              <w:jc w:val="right"/>
            </w:pPr>
            <w:r w:rsidRPr="00B57B36">
              <w:t>(1)</w:t>
            </w:r>
          </w:p>
        </w:tc>
      </w:tr>
    </w:tbl>
    <w:p w14:paraId="100434F7" w14:textId="03101B81" w:rsidR="00D96FC7" w:rsidRPr="00D96FC7" w:rsidRDefault="00D96FC7" w:rsidP="00987577">
      <w:pPr>
        <w:pStyle w:val="CETBodytext"/>
      </w:pPr>
      <w:r>
        <w:t xml:space="preserve">The powder flowability could be </w:t>
      </w:r>
      <w:r w:rsidRPr="00D96FC7">
        <w:rPr>
          <w:rFonts w:eastAsiaTheme="minorHAnsi" w:cs="Arial"/>
          <w:szCs w:val="18"/>
        </w:rPr>
        <w:t>very good</w:t>
      </w:r>
      <w:r>
        <w:rPr>
          <w:rFonts w:eastAsiaTheme="minorHAnsi" w:cs="Arial"/>
          <w:szCs w:val="18"/>
        </w:rPr>
        <w:t xml:space="preserve"> if </w:t>
      </w:r>
      <w:r w:rsidR="0054737D">
        <w:rPr>
          <w:rFonts w:eastAsiaTheme="minorHAnsi" w:cs="Arial"/>
          <w:szCs w:val="18"/>
        </w:rPr>
        <w:t>I</w:t>
      </w:r>
      <w:r w:rsidR="0054737D" w:rsidRPr="0054737D">
        <w:rPr>
          <w:rFonts w:eastAsiaTheme="minorHAnsi" w:cs="Arial"/>
          <w:szCs w:val="18"/>
          <w:vertAlign w:val="subscript"/>
        </w:rPr>
        <w:t>Carr</w:t>
      </w:r>
      <w:r>
        <w:rPr>
          <w:rFonts w:eastAsiaTheme="minorHAnsi" w:cs="Arial"/>
          <w:szCs w:val="18"/>
        </w:rPr>
        <w:t xml:space="preserve"> &lt; 15, </w:t>
      </w:r>
      <w:r w:rsidRPr="00D96FC7">
        <w:rPr>
          <w:rFonts w:eastAsiaTheme="minorHAnsi" w:cs="Arial"/>
          <w:szCs w:val="18"/>
        </w:rPr>
        <w:t>good</w:t>
      </w:r>
      <w:r>
        <w:rPr>
          <w:rFonts w:eastAsiaTheme="minorHAnsi" w:cs="Arial"/>
          <w:szCs w:val="18"/>
        </w:rPr>
        <w:t xml:space="preserve"> if 15 &lt; </w:t>
      </w:r>
      <w:r w:rsidR="0054737D">
        <w:rPr>
          <w:rFonts w:eastAsiaTheme="minorHAnsi" w:cs="Arial"/>
          <w:szCs w:val="18"/>
        </w:rPr>
        <w:t>I</w:t>
      </w:r>
      <w:r w:rsidR="0054737D" w:rsidRPr="0054737D">
        <w:rPr>
          <w:rFonts w:eastAsiaTheme="minorHAnsi" w:cs="Arial"/>
          <w:szCs w:val="18"/>
          <w:vertAlign w:val="subscript"/>
        </w:rPr>
        <w:t>Carr</w:t>
      </w:r>
      <w:r>
        <w:rPr>
          <w:rFonts w:eastAsiaTheme="minorHAnsi" w:cs="Arial"/>
          <w:szCs w:val="18"/>
        </w:rPr>
        <w:t xml:space="preserve"> &lt; 20, fair if 20 &lt; </w:t>
      </w:r>
      <w:r w:rsidR="0054737D">
        <w:rPr>
          <w:rFonts w:eastAsiaTheme="minorHAnsi" w:cs="Arial"/>
          <w:szCs w:val="18"/>
        </w:rPr>
        <w:t>I</w:t>
      </w:r>
      <w:r w:rsidR="0054737D" w:rsidRPr="0054737D">
        <w:rPr>
          <w:rFonts w:eastAsiaTheme="minorHAnsi" w:cs="Arial"/>
          <w:szCs w:val="18"/>
          <w:vertAlign w:val="subscript"/>
        </w:rPr>
        <w:t>Carr</w:t>
      </w:r>
      <w:r>
        <w:rPr>
          <w:rFonts w:eastAsiaTheme="minorHAnsi" w:cs="Arial"/>
          <w:szCs w:val="18"/>
        </w:rPr>
        <w:t xml:space="preserve"> &lt; 35, bad if 35 &lt; </w:t>
      </w:r>
      <w:r w:rsidR="0054737D">
        <w:rPr>
          <w:rFonts w:eastAsiaTheme="minorHAnsi" w:cs="Arial"/>
          <w:szCs w:val="18"/>
        </w:rPr>
        <w:t>I</w:t>
      </w:r>
      <w:r w:rsidR="0054737D" w:rsidRPr="0054737D">
        <w:rPr>
          <w:rFonts w:eastAsiaTheme="minorHAnsi" w:cs="Arial"/>
          <w:szCs w:val="18"/>
          <w:vertAlign w:val="subscript"/>
        </w:rPr>
        <w:t>Carr</w:t>
      </w:r>
      <w:r>
        <w:rPr>
          <w:rFonts w:eastAsiaTheme="minorHAnsi" w:cs="Arial"/>
          <w:szCs w:val="18"/>
        </w:rPr>
        <w:t xml:space="preserve"> &lt; 45 and very bad if </w:t>
      </w:r>
      <w:r w:rsidR="0054737D">
        <w:rPr>
          <w:rFonts w:eastAsiaTheme="minorHAnsi" w:cs="Arial"/>
          <w:szCs w:val="18"/>
        </w:rPr>
        <w:t>I</w:t>
      </w:r>
      <w:r w:rsidR="0054737D" w:rsidRPr="0054737D">
        <w:rPr>
          <w:rFonts w:eastAsiaTheme="minorHAnsi" w:cs="Arial"/>
          <w:szCs w:val="18"/>
          <w:vertAlign w:val="subscript"/>
        </w:rPr>
        <w:t>Carr</w:t>
      </w:r>
      <w:r>
        <w:rPr>
          <w:rFonts w:eastAsiaTheme="minorHAnsi" w:cs="Arial"/>
          <w:szCs w:val="18"/>
        </w:rPr>
        <w:t xml:space="preserve"> &gt; 45. </w:t>
      </w:r>
    </w:p>
    <w:p w14:paraId="0C709CB5" w14:textId="77777777" w:rsidR="00D51E3C" w:rsidRDefault="00D51E3C" w:rsidP="00987577">
      <w:pPr>
        <w:pStyle w:val="CETBodytext"/>
      </w:pPr>
      <w:r>
        <w:t xml:space="preserve">The </w:t>
      </w:r>
      <w:r w:rsidRPr="00D51E3C">
        <w:rPr>
          <w:rFonts w:eastAsiaTheme="minorHAnsi" w:cs="Arial"/>
          <w:szCs w:val="18"/>
        </w:rPr>
        <w:t>wetting time</w:t>
      </w:r>
      <w:r w:rsidR="002545A7">
        <w:t xml:space="preserve"> was the time required for the complete wetting and immersion</w:t>
      </w:r>
      <w:r w:rsidR="00AF42E2">
        <w:t xml:space="preserve"> of 3.0 g of the sample in 70 mL</w:t>
      </w:r>
      <w:r w:rsidR="002545A7">
        <w:t xml:space="preserve"> of water at room temperature</w:t>
      </w:r>
      <w:r>
        <w:t xml:space="preserve"> (</w:t>
      </w:r>
      <w:r>
        <w:rPr>
          <w:rFonts w:cs="Arial"/>
        </w:rPr>
        <w:t>±</w:t>
      </w:r>
      <w:r>
        <w:t xml:space="preserve"> 27 ºC)</w:t>
      </w:r>
      <w:r w:rsidR="002E152C">
        <w:t xml:space="preserve"> (Hogekamp and Schubert, 2003)</w:t>
      </w:r>
      <w:r w:rsidR="002545A7">
        <w:t>.</w:t>
      </w:r>
      <w:r>
        <w:t xml:space="preserve"> </w:t>
      </w:r>
    </w:p>
    <w:p w14:paraId="57388F57" w14:textId="77777777" w:rsidR="00732543" w:rsidRPr="00732543" w:rsidRDefault="00D51E3C" w:rsidP="00987577">
      <w:pPr>
        <w:pStyle w:val="CETBodytext"/>
      </w:pPr>
      <w:r>
        <w:t xml:space="preserve">The </w:t>
      </w:r>
      <w:r w:rsidRPr="00D51E3C">
        <w:t>wet basis moisture content</w:t>
      </w:r>
      <w:r>
        <w:t xml:space="preserve"> (</w:t>
      </w:r>
      <w:r w:rsidR="002545A7">
        <w:t>X</w:t>
      </w:r>
      <w:r w:rsidR="002545A7" w:rsidRPr="00D51E3C">
        <w:rPr>
          <w:vertAlign w:val="subscript"/>
        </w:rPr>
        <w:t>w.b.</w:t>
      </w:r>
      <w:r>
        <w:t>)</w:t>
      </w:r>
      <w:r w:rsidR="002545A7">
        <w:t xml:space="preserve"> wa</w:t>
      </w:r>
      <w:r>
        <w:t xml:space="preserve">s measured for the raw material and during </w:t>
      </w:r>
      <w:r w:rsidR="0069419B">
        <w:t>the</w:t>
      </w:r>
      <w:r>
        <w:t xml:space="preserve"> agglomeration process using </w:t>
      </w:r>
      <w:r w:rsidR="002545A7">
        <w:t>a halogen moisture analyzer (HR83, Mettler Toledo</w:t>
      </w:r>
      <w:r w:rsidR="00AF42E2">
        <w:t>, USA</w:t>
      </w:r>
      <w:r w:rsidR="002545A7">
        <w:t>).</w:t>
      </w:r>
      <w:r w:rsidR="00F45CB7">
        <w:t xml:space="preserve"> </w:t>
      </w:r>
      <w:r w:rsidR="00F45CB7" w:rsidRPr="00F45CB7">
        <w:t xml:space="preserve">The parameters used </w:t>
      </w:r>
      <w:r w:rsidR="00D96FC7">
        <w:t xml:space="preserve">at </w:t>
      </w:r>
      <w:r w:rsidR="00F45CB7" w:rsidRPr="00F45CB7">
        <w:t xml:space="preserve">the moisture analyzer were previously calibrated by comparison with the </w:t>
      </w:r>
      <w:r w:rsidR="00D96FC7">
        <w:t xml:space="preserve">values </w:t>
      </w:r>
      <w:r w:rsidR="00F45CB7" w:rsidRPr="00F45CB7">
        <w:t>obtained at 105 ºC for 24 h.</w:t>
      </w:r>
    </w:p>
    <w:p w14:paraId="2FDFD04D" w14:textId="77777777" w:rsidR="00E92828" w:rsidRPr="00730E0C" w:rsidRDefault="008976EE" w:rsidP="008976EE">
      <w:pPr>
        <w:pStyle w:val="CETheadingx"/>
      </w:pPr>
      <w:r>
        <w:t>Characterization of binder</w:t>
      </w:r>
      <w:r w:rsidRPr="008976EE">
        <w:t xml:space="preserve"> solutions</w:t>
      </w:r>
    </w:p>
    <w:p w14:paraId="3846EFB1" w14:textId="2E6E2F84" w:rsidR="003C1DD5" w:rsidRDefault="006F6D30" w:rsidP="00600535">
      <w:pPr>
        <w:pStyle w:val="CETBodytext"/>
      </w:pPr>
      <w:r w:rsidRPr="006F6D30">
        <w:t xml:space="preserve">The rheological behavior of </w:t>
      </w:r>
      <w:r w:rsidR="00FE0290">
        <w:t>acacia gum</w:t>
      </w:r>
      <w:r w:rsidRPr="006F6D30">
        <w:t xml:space="preserve"> solutions was determined using</w:t>
      </w:r>
      <w:r w:rsidR="003C1DD5">
        <w:t xml:space="preserve"> a </w:t>
      </w:r>
      <w:r w:rsidR="003C1DD5" w:rsidRPr="003C1DD5">
        <w:t>rheometer</w:t>
      </w:r>
      <w:r w:rsidR="003C1DD5">
        <w:t xml:space="preserve"> (</w:t>
      </w:r>
      <w:r w:rsidR="00AF42E2" w:rsidRPr="00226C61">
        <w:t>H</w:t>
      </w:r>
      <w:r w:rsidR="00AF42E2">
        <w:t>aake</w:t>
      </w:r>
      <w:r w:rsidR="00AF42E2" w:rsidRPr="00226C61">
        <w:t xml:space="preserve"> M</w:t>
      </w:r>
      <w:r w:rsidR="00AF42E2">
        <w:t>ars</w:t>
      </w:r>
      <w:r w:rsidR="00AF42E2" w:rsidRPr="00226C61">
        <w:t xml:space="preserve"> III</w:t>
      </w:r>
      <w:r w:rsidR="00AF42E2">
        <w:t xml:space="preserve">, </w:t>
      </w:r>
      <w:r w:rsidR="003C1DD5">
        <w:t xml:space="preserve">Thermo </w:t>
      </w:r>
      <w:r w:rsidR="00AF42E2">
        <w:t xml:space="preserve">Fisher </w:t>
      </w:r>
      <w:r w:rsidR="003C1DD5" w:rsidRPr="00226C61">
        <w:t>Scientific</w:t>
      </w:r>
      <w:r w:rsidR="00AF42E2">
        <w:t>, USA</w:t>
      </w:r>
      <w:r w:rsidR="003C1DD5">
        <w:t>) with a cone and plate geometry</w:t>
      </w:r>
      <w:r w:rsidRPr="006F6D30">
        <w:t xml:space="preserve"> </w:t>
      </w:r>
      <w:r w:rsidR="003C1DD5">
        <w:t>at 25 ºC.</w:t>
      </w:r>
      <w:r w:rsidR="00871C47">
        <w:t xml:space="preserve"> </w:t>
      </w:r>
      <w:r w:rsidR="00871C47" w:rsidRPr="00871C47">
        <w:t>The experimental data were fitted to the Herschel-Bulkley model</w:t>
      </w:r>
      <w:r w:rsidR="00AF42E2">
        <w:t>, Eq</w:t>
      </w:r>
      <w:r w:rsidR="00201A6B">
        <w:t xml:space="preserve"> </w:t>
      </w:r>
      <w:r w:rsidR="00871C47">
        <w:t xml:space="preserve">(2), </w:t>
      </w:r>
      <w:r w:rsidR="00871C47" w:rsidRPr="00871C47">
        <w:t xml:space="preserve">a generalized equation </w:t>
      </w:r>
      <w:r w:rsidR="00871C47">
        <w:t>that presents t</w:t>
      </w:r>
      <w:r w:rsidR="00871C47" w:rsidRPr="00871C47">
        <w:t>he yield stress parameter</w:t>
      </w:r>
      <w:r w:rsidR="00871C47">
        <w:t xml:space="preserve"> (</w:t>
      </w:r>
      <w:r w:rsidR="00DE1FCB">
        <w:rPr>
          <w:rFonts w:cs="Arial"/>
        </w:rPr>
        <w:t>σ</w:t>
      </w:r>
      <w:r w:rsidR="00DE1FCB" w:rsidRPr="00DE1FCB">
        <w:rPr>
          <w:vertAlign w:val="subscript"/>
        </w:rPr>
        <w:t>0</w:t>
      </w:r>
      <w:r w:rsidR="00871C47">
        <w:t>)</w:t>
      </w:r>
      <w:r w:rsidR="002E152C">
        <w:t xml:space="preserve"> (Steffe, 1996)</w:t>
      </w:r>
      <w:r w:rsidR="00871C47" w:rsidRPr="00871C47">
        <w:t>.</w:t>
      </w:r>
    </w:p>
    <w:tbl>
      <w:tblPr>
        <w:tblW w:w="5000" w:type="pct"/>
        <w:tblLook w:val="04A0" w:firstRow="1" w:lastRow="0" w:firstColumn="1" w:lastColumn="0" w:noHBand="0" w:noVBand="1"/>
      </w:tblPr>
      <w:tblGrid>
        <w:gridCol w:w="7983"/>
        <w:gridCol w:w="804"/>
      </w:tblGrid>
      <w:tr w:rsidR="00DE1FCB" w:rsidRPr="00B57B36" w14:paraId="5D154382" w14:textId="77777777" w:rsidTr="00093B3D">
        <w:tc>
          <w:tcPr>
            <w:tcW w:w="7983" w:type="dxa"/>
            <w:shd w:val="clear" w:color="auto" w:fill="auto"/>
            <w:vAlign w:val="center"/>
          </w:tcPr>
          <w:p w14:paraId="14662B5A" w14:textId="77777777" w:rsidR="00DE1FCB" w:rsidRPr="009321FC" w:rsidRDefault="00DE1FCB" w:rsidP="00D84AE8">
            <w:pPr>
              <w:pStyle w:val="CETEquation"/>
            </w:pPr>
            <m:oMathPara>
              <m:oMathParaPr>
                <m:jc m:val="left"/>
              </m:oMathParaPr>
              <m:oMath>
                <m:r>
                  <w:rPr>
                    <w:rFonts w:ascii="Cambria Math" w:hAnsi="Cambria Math"/>
                  </w:rPr>
                  <m:t xml:space="preserve">σ= </m:t>
                </m:r>
                <m:sSub>
                  <m:sSubPr>
                    <m:ctrlPr>
                      <w:rPr>
                        <w:rFonts w:ascii="Cambria Math" w:hAnsi="Cambria Math"/>
                        <w:i/>
                      </w:rPr>
                    </m:ctrlPr>
                  </m:sSubPr>
                  <m:e>
                    <m:r>
                      <w:rPr>
                        <w:rFonts w:ascii="Cambria Math" w:hAnsi="Cambria Math"/>
                      </w:rPr>
                      <m:t>σ</m:t>
                    </m:r>
                  </m:e>
                  <m:sub>
                    <m:r>
                      <w:rPr>
                        <w:rFonts w:ascii="Cambria Math" w:hAnsi="Cambria Math"/>
                      </w:rPr>
                      <m:t>0</m:t>
                    </m:r>
                  </m:sub>
                </m:sSub>
                <m:r>
                  <w:rPr>
                    <w:rFonts w:ascii="Cambria Math" w:hAnsi="Cambria Math"/>
                  </w:rPr>
                  <m:t>+K</m:t>
                </m:r>
                <m:sSup>
                  <m:sSupPr>
                    <m:ctrlPr>
                      <w:rPr>
                        <w:rFonts w:ascii="Cambria Math" w:hAnsi="Cambria Math"/>
                        <w:i/>
                      </w:rPr>
                    </m:ctrlPr>
                  </m:sSupPr>
                  <m:e>
                    <m:d>
                      <m:dPr>
                        <m:ctrlPr>
                          <w:rPr>
                            <w:rFonts w:ascii="Cambria Math" w:hAnsi="Cambria Math"/>
                            <w:i/>
                          </w:rPr>
                        </m:ctrlPr>
                      </m:dPr>
                      <m:e>
                        <m:acc>
                          <m:accPr>
                            <m:chr m:val="̇"/>
                            <m:ctrlPr>
                              <w:rPr>
                                <w:rFonts w:ascii="Cambria Math" w:hAnsi="Cambria Math"/>
                                <w:i/>
                              </w:rPr>
                            </m:ctrlPr>
                          </m:accPr>
                          <m:e>
                            <m:r>
                              <w:rPr>
                                <w:rFonts w:ascii="Cambria Math" w:hAnsi="Cambria Math"/>
                              </w:rPr>
                              <m:t>γ</m:t>
                            </m:r>
                          </m:e>
                        </m:acc>
                      </m:e>
                    </m:d>
                  </m:e>
                  <m:sup>
                    <m:r>
                      <w:rPr>
                        <w:rFonts w:ascii="Cambria Math" w:hAnsi="Cambria Math"/>
                      </w:rPr>
                      <m:t>n</m:t>
                    </m:r>
                  </m:sup>
                </m:sSup>
              </m:oMath>
            </m:oMathPara>
          </w:p>
        </w:tc>
        <w:tc>
          <w:tcPr>
            <w:tcW w:w="804" w:type="dxa"/>
            <w:shd w:val="clear" w:color="auto" w:fill="auto"/>
            <w:vAlign w:val="center"/>
          </w:tcPr>
          <w:p w14:paraId="2E99CB34" w14:textId="77777777" w:rsidR="00DE1FCB" w:rsidRPr="00B57B36" w:rsidRDefault="00DE1FCB" w:rsidP="00D84AE8">
            <w:pPr>
              <w:pStyle w:val="CETEquation"/>
              <w:jc w:val="right"/>
            </w:pPr>
            <w:r w:rsidRPr="00B57B36">
              <w:t>(</w:t>
            </w:r>
            <w:r>
              <w:t>2</w:t>
            </w:r>
            <w:r w:rsidRPr="00B57B36">
              <w:t>)</w:t>
            </w:r>
          </w:p>
        </w:tc>
      </w:tr>
    </w:tbl>
    <w:p w14:paraId="13CBC638" w14:textId="77777777" w:rsidR="00DE1FCB" w:rsidRDefault="00093B3D" w:rsidP="00600535">
      <w:pPr>
        <w:pStyle w:val="CETBodytext"/>
        <w:rPr>
          <w:lang w:val="en-GB"/>
        </w:rPr>
      </w:pPr>
      <w:r w:rsidRPr="00093B3D">
        <w:rPr>
          <w:lang w:val="en-GB"/>
        </w:rPr>
        <w:t xml:space="preserve">The </w:t>
      </w:r>
      <w:r w:rsidR="00ED65AC">
        <w:t>binder</w:t>
      </w:r>
      <w:r w:rsidR="00ED65AC" w:rsidRPr="008976EE">
        <w:t xml:space="preserve"> solutions</w:t>
      </w:r>
      <w:r w:rsidR="00ED65AC" w:rsidRPr="00093B3D">
        <w:rPr>
          <w:lang w:val="en-GB"/>
        </w:rPr>
        <w:t xml:space="preserve"> </w:t>
      </w:r>
      <w:r w:rsidRPr="00093B3D">
        <w:rPr>
          <w:lang w:val="en-GB"/>
        </w:rPr>
        <w:t>surface tension was determined by</w:t>
      </w:r>
      <w:r w:rsidR="00850442">
        <w:rPr>
          <w:lang w:val="en-GB"/>
        </w:rPr>
        <w:t xml:space="preserve"> </w:t>
      </w:r>
      <w:r w:rsidR="00AF42E2">
        <w:rPr>
          <w:lang w:val="en-GB"/>
        </w:rPr>
        <w:t>tensiometer (</w:t>
      </w:r>
      <w:r w:rsidR="00850442">
        <w:rPr>
          <w:lang w:val="en-GB"/>
        </w:rPr>
        <w:t>Du Noüy-</w:t>
      </w:r>
      <w:r w:rsidR="00850442" w:rsidRPr="00850442">
        <w:rPr>
          <w:lang w:val="en-GB"/>
        </w:rPr>
        <w:t>Sigma 701</w:t>
      </w:r>
      <w:r w:rsidR="00AF42E2">
        <w:rPr>
          <w:lang w:val="en-GB"/>
        </w:rPr>
        <w:t>, KSB Instruments</w:t>
      </w:r>
      <w:r w:rsidR="00850442" w:rsidRPr="00850442">
        <w:rPr>
          <w:lang w:val="en-GB"/>
        </w:rPr>
        <w:t>, Finland</w:t>
      </w:r>
      <w:r w:rsidR="00850442">
        <w:rPr>
          <w:lang w:val="en-GB"/>
        </w:rPr>
        <w:t>)</w:t>
      </w:r>
      <w:r w:rsidR="00E70824">
        <w:rPr>
          <w:lang w:val="en-GB"/>
        </w:rPr>
        <w:t xml:space="preserve"> </w:t>
      </w:r>
      <w:r w:rsidR="00E70824" w:rsidRPr="00E70824">
        <w:rPr>
          <w:lang w:val="en-GB"/>
        </w:rPr>
        <w:t>according to Wilhelmy plate method</w:t>
      </w:r>
      <w:r w:rsidR="00E70824">
        <w:rPr>
          <w:lang w:val="en-GB"/>
        </w:rPr>
        <w:t xml:space="preserve"> at room temperature (</w:t>
      </w:r>
      <w:r w:rsidR="00E70824">
        <w:rPr>
          <w:rFonts w:cs="Arial"/>
          <w:lang w:val="en-GB"/>
        </w:rPr>
        <w:t>±</w:t>
      </w:r>
      <w:r w:rsidR="00E70824">
        <w:rPr>
          <w:lang w:val="en-GB"/>
        </w:rPr>
        <w:t xml:space="preserve"> 27 ºC).</w:t>
      </w:r>
      <w:r w:rsidR="00D63FF5">
        <w:rPr>
          <w:lang w:val="en-GB"/>
        </w:rPr>
        <w:t xml:space="preserve"> </w:t>
      </w:r>
      <w:r w:rsidR="00D63FF5" w:rsidRPr="00D63FF5">
        <w:rPr>
          <w:lang w:val="en-GB"/>
        </w:rPr>
        <w:t xml:space="preserve">The value of the surface tension was the mean of </w:t>
      </w:r>
      <w:r w:rsidR="00D63FF5">
        <w:rPr>
          <w:lang w:val="en-GB"/>
        </w:rPr>
        <w:t>2</w:t>
      </w:r>
      <w:r w:rsidR="00D63FF5" w:rsidRPr="00D63FF5">
        <w:rPr>
          <w:lang w:val="en-GB"/>
        </w:rPr>
        <w:t>0 measurements</w:t>
      </w:r>
      <w:r w:rsidR="0076119C">
        <w:rPr>
          <w:lang w:val="en-GB"/>
        </w:rPr>
        <w:t xml:space="preserve">, </w:t>
      </w:r>
      <w:r w:rsidR="0076119C">
        <w:t>t</w:t>
      </w:r>
      <w:r w:rsidR="0076119C" w:rsidRPr="007934AA">
        <w:t>he results were statistically analyzed by</w:t>
      </w:r>
      <w:r w:rsidR="0076119C">
        <w:t xml:space="preserve"> </w:t>
      </w:r>
      <w:r w:rsidR="0076119C" w:rsidRPr="007934AA">
        <w:rPr>
          <w:rFonts w:eastAsiaTheme="minorHAnsi" w:cs="Arial"/>
          <w:szCs w:val="18"/>
        </w:rPr>
        <w:t>Tukey’s test, at a significance level of 0.05</w:t>
      </w:r>
      <w:r w:rsidR="0076119C">
        <w:rPr>
          <w:rFonts w:eastAsiaTheme="minorHAnsi" w:cs="Arial"/>
          <w:szCs w:val="18"/>
        </w:rPr>
        <w:t>.</w:t>
      </w:r>
    </w:p>
    <w:p w14:paraId="0B800CB7" w14:textId="77777777" w:rsidR="00DE1FCB" w:rsidRDefault="00592188" w:rsidP="00592188">
      <w:pPr>
        <w:pStyle w:val="CETheadingx"/>
        <w:rPr>
          <w:lang w:val="en-GB"/>
        </w:rPr>
      </w:pPr>
      <w:r w:rsidRPr="00592188">
        <w:rPr>
          <w:rFonts w:eastAsiaTheme="minorHAnsi"/>
        </w:rPr>
        <w:t>Equipment and agglomeration process</w:t>
      </w:r>
    </w:p>
    <w:p w14:paraId="4A748F10" w14:textId="1A919B56" w:rsidR="0098001C" w:rsidRPr="00970BCF" w:rsidRDefault="00E12BBC" w:rsidP="00970BCF">
      <w:pPr>
        <w:pStyle w:val="CETBodytext"/>
      </w:pPr>
      <w:r w:rsidRPr="00970BCF">
        <w:t>A</w:t>
      </w:r>
      <w:r w:rsidR="00BF13B3" w:rsidRPr="00970BCF">
        <w:t xml:space="preserve">gglomeration experiments were </w:t>
      </w:r>
      <w:r w:rsidRPr="00970BCF">
        <w:rPr>
          <w:rFonts w:eastAsia="TimesNewRomanPSMT"/>
        </w:rPr>
        <w:t>performed in a rotating pulsed fluidized bed (RPFB)</w:t>
      </w:r>
      <w:r w:rsidR="006D4E47" w:rsidRPr="00970BCF">
        <w:rPr>
          <w:rFonts w:eastAsia="TimesNewRomanPSMT"/>
        </w:rPr>
        <w:t xml:space="preserve"> </w:t>
      </w:r>
      <w:r w:rsidR="00BF13B3" w:rsidRPr="00970BCF">
        <w:t xml:space="preserve">constructed </w:t>
      </w:r>
      <w:r w:rsidR="00BF13B3" w:rsidRPr="00AF42E2">
        <w:rPr>
          <w:color w:val="000000" w:themeColor="text1"/>
        </w:rPr>
        <w:t>from</w:t>
      </w:r>
      <w:r w:rsidR="00BF13B3" w:rsidRPr="003B3B01">
        <w:rPr>
          <w:color w:val="FF0000"/>
        </w:rPr>
        <w:t xml:space="preserve"> </w:t>
      </w:r>
      <w:r w:rsidR="00BF13B3" w:rsidRPr="00970BCF">
        <w:t>transparent acrylic Plexiglas®. The bed</w:t>
      </w:r>
      <w:r w:rsidR="005D052B" w:rsidRPr="00970BCF">
        <w:t xml:space="preserve"> </w:t>
      </w:r>
      <w:r w:rsidR="00BF13B3" w:rsidRPr="00970BCF">
        <w:t>pressure</w:t>
      </w:r>
      <w:r w:rsidR="00057FFE">
        <w:t>-</w:t>
      </w:r>
      <w:r w:rsidR="00BF13B3" w:rsidRPr="00970BCF">
        <w:t>drop, the air temperature, and the air relative humidity were monitored and recorded</w:t>
      </w:r>
      <w:r w:rsidR="005D052B" w:rsidRPr="00970BCF">
        <w:t xml:space="preserve"> </w:t>
      </w:r>
      <w:r w:rsidR="00BF13B3" w:rsidRPr="00970BCF">
        <w:t>by a data acquisition system and processed in the LabVIEW 8.6</w:t>
      </w:r>
      <w:r w:rsidR="00BF13B3" w:rsidRPr="00AF42E2">
        <w:rPr>
          <w:vertAlign w:val="superscript"/>
        </w:rPr>
        <w:t>TM</w:t>
      </w:r>
      <w:r w:rsidR="00BF13B3" w:rsidRPr="00970BCF">
        <w:t xml:space="preserve"> software. Details of the</w:t>
      </w:r>
      <w:r w:rsidR="005D052B" w:rsidRPr="00970BCF">
        <w:t xml:space="preserve"> </w:t>
      </w:r>
      <w:r w:rsidR="00BF13B3" w:rsidRPr="00970BCF">
        <w:t>equipment and the data acquisition system are described by</w:t>
      </w:r>
      <w:r w:rsidR="002E152C">
        <w:t xml:space="preserve"> Andreola et al.</w:t>
      </w:r>
      <w:r w:rsidR="0020510E">
        <w:t xml:space="preserve"> (2016a</w:t>
      </w:r>
      <w:r w:rsidR="002E152C">
        <w:t>)</w:t>
      </w:r>
      <w:r w:rsidR="005B26F5" w:rsidRPr="00970BCF">
        <w:t xml:space="preserve">. </w:t>
      </w:r>
    </w:p>
    <w:p w14:paraId="74A136B2" w14:textId="77777777" w:rsidR="00BF13B3" w:rsidRDefault="00F63101" w:rsidP="00970BCF">
      <w:pPr>
        <w:pStyle w:val="CETBodytext"/>
        <w:rPr>
          <w:color w:val="FF0000"/>
        </w:rPr>
      </w:pPr>
      <w:r w:rsidRPr="00970BCF">
        <w:t xml:space="preserve">Two </w:t>
      </w:r>
      <w:r w:rsidR="00BF13B3" w:rsidRPr="00970BCF">
        <w:t>agglomeration</w:t>
      </w:r>
      <w:r w:rsidRPr="00970BCF">
        <w:t xml:space="preserve"> experiments were performed, in duplicate, </w:t>
      </w:r>
      <w:r w:rsidR="00BF13B3" w:rsidRPr="00970BCF">
        <w:t>to evaluate the</w:t>
      </w:r>
      <w:r w:rsidR="00D41E76" w:rsidRPr="00970BCF">
        <w:t xml:space="preserve"> </w:t>
      </w:r>
      <w:r w:rsidR="00BF13B3" w:rsidRPr="00970BCF">
        <w:t xml:space="preserve">influence of </w:t>
      </w:r>
      <w:r w:rsidR="00BD360F" w:rsidRPr="00970BCF">
        <w:t xml:space="preserve">binder solutions characteristics on particle growth kinetics </w:t>
      </w:r>
      <w:r w:rsidR="00BF13B3" w:rsidRPr="00970BCF">
        <w:t xml:space="preserve">and particle growth rate of </w:t>
      </w:r>
      <w:r w:rsidR="00AF42E2">
        <w:t>PPI</w:t>
      </w:r>
      <w:r w:rsidRPr="00970BCF">
        <w:t>.</w:t>
      </w:r>
      <w:r w:rsidR="00970BCF" w:rsidRPr="00970BCF">
        <w:t xml:space="preserve"> </w:t>
      </w:r>
      <w:r w:rsidR="00970BCF">
        <w:t xml:space="preserve">The binder solution </w:t>
      </w:r>
      <w:r w:rsidR="00970BCF" w:rsidRPr="00970BCF">
        <w:t>concentration</w:t>
      </w:r>
      <w:r w:rsidR="00970BCF">
        <w:t>s used were 0.7 % and 20.0 % (w/w)</w:t>
      </w:r>
      <w:r w:rsidR="00C15E6A">
        <w:t xml:space="preserve">, for test condition 1 and test condition 2, </w:t>
      </w:r>
      <w:r w:rsidR="00C15E6A" w:rsidRPr="00C15E6A">
        <w:t>respectively</w:t>
      </w:r>
      <w:r w:rsidR="00970BCF">
        <w:t xml:space="preserve">. </w:t>
      </w:r>
      <w:r w:rsidR="00970BCF" w:rsidRPr="00970BCF">
        <w:t>Besides the binder solution concentration</w:t>
      </w:r>
      <w:r w:rsidR="00D31E85">
        <w:t>,</w:t>
      </w:r>
      <w:r w:rsidR="00970BCF" w:rsidRPr="00970BCF">
        <w:t xml:space="preserve"> all the others </w:t>
      </w:r>
      <w:r w:rsidR="00970BCF">
        <w:rPr>
          <w:rFonts w:eastAsiaTheme="minorHAnsi"/>
        </w:rPr>
        <w:t>operat</w:t>
      </w:r>
      <w:r w:rsidR="00970BCF" w:rsidRPr="00970BCF">
        <w:rPr>
          <w:rFonts w:eastAsiaTheme="minorHAnsi"/>
        </w:rPr>
        <w:t>ional condition</w:t>
      </w:r>
      <w:r w:rsidR="00C6663C">
        <w:rPr>
          <w:rFonts w:eastAsiaTheme="minorHAnsi"/>
        </w:rPr>
        <w:t>s</w:t>
      </w:r>
      <w:r w:rsidR="00970BCF">
        <w:rPr>
          <w:rFonts w:eastAsiaTheme="minorHAnsi"/>
        </w:rPr>
        <w:t xml:space="preserve"> were the same</w:t>
      </w:r>
      <w:r w:rsidR="00AF42E2">
        <w:rPr>
          <w:rFonts w:eastAsiaTheme="minorHAnsi"/>
        </w:rPr>
        <w:t xml:space="preserve">, according to </w:t>
      </w:r>
      <w:r w:rsidR="00AF42E2" w:rsidRPr="005330D8">
        <w:rPr>
          <w:rFonts w:eastAsiaTheme="minorHAnsi"/>
        </w:rPr>
        <w:t>Nascimento et al. (2018)</w:t>
      </w:r>
      <w:r w:rsidR="00970BCF" w:rsidRPr="00970BCF">
        <w:rPr>
          <w:rFonts w:eastAsiaTheme="minorHAnsi"/>
        </w:rPr>
        <w:t xml:space="preserve">: </w:t>
      </w:r>
      <w:r w:rsidR="00970BCF" w:rsidRPr="00970BCF">
        <w:t>0.2 kg</w:t>
      </w:r>
      <w:r w:rsidR="00C6663C">
        <w:t xml:space="preserve"> of raw material</w:t>
      </w:r>
      <w:r w:rsidR="00970BCF" w:rsidRPr="00970BCF">
        <w:t>,</w:t>
      </w:r>
      <w:r w:rsidR="00C6663C">
        <w:t xml:space="preserve"> </w:t>
      </w:r>
      <w:r w:rsidR="00C6663C" w:rsidRPr="00612A5F">
        <w:rPr>
          <w:lang w:val="en-GB"/>
        </w:rPr>
        <w:t xml:space="preserve">drying air temperature </w:t>
      </w:r>
      <w:r w:rsidR="00AD651D">
        <w:rPr>
          <w:lang w:val="en-GB"/>
        </w:rPr>
        <w:t>at 75 °C,</w:t>
      </w:r>
      <w:r w:rsidR="00103340">
        <w:rPr>
          <w:lang w:val="en-GB"/>
        </w:rPr>
        <w:t xml:space="preserve"> t</w:t>
      </w:r>
      <w:r w:rsidR="00103340" w:rsidRPr="00103340">
        <w:rPr>
          <w:lang w:val="en-GB"/>
        </w:rPr>
        <w:t>he fluidizing air velocity</w:t>
      </w:r>
      <w:r w:rsidR="00AD651D">
        <w:rPr>
          <w:lang w:val="en-GB"/>
        </w:rPr>
        <w:t xml:space="preserve"> </w:t>
      </w:r>
      <w:r w:rsidR="00103340">
        <w:rPr>
          <w:lang w:val="en-GB"/>
        </w:rPr>
        <w:t xml:space="preserve">at </w:t>
      </w:r>
      <w:r w:rsidR="00AF42E2">
        <w:rPr>
          <w:lang w:val="en-GB"/>
        </w:rPr>
        <w:t>0.</w:t>
      </w:r>
      <w:r w:rsidR="00103340" w:rsidRPr="00103340">
        <w:rPr>
          <w:lang w:val="en-GB"/>
        </w:rPr>
        <w:t xml:space="preserve">39 m/s, </w:t>
      </w:r>
      <w:r w:rsidR="00C6663C" w:rsidRPr="00612A5F">
        <w:rPr>
          <w:lang w:val="en-GB"/>
        </w:rPr>
        <w:t xml:space="preserve">binder flow rate </w:t>
      </w:r>
      <w:r w:rsidR="00AD651D">
        <w:rPr>
          <w:lang w:val="en-GB"/>
        </w:rPr>
        <w:t>at</w:t>
      </w:r>
      <w:r w:rsidR="00C6663C" w:rsidRPr="00612A5F">
        <w:rPr>
          <w:lang w:val="en-GB"/>
        </w:rPr>
        <w:t xml:space="preserve"> 3.0 mL/min</w:t>
      </w:r>
      <w:r w:rsidR="00AD651D">
        <w:rPr>
          <w:lang w:val="en-GB"/>
        </w:rPr>
        <w:t>,</w:t>
      </w:r>
      <w:r w:rsidR="00970BCF" w:rsidRPr="00970BCF">
        <w:t xml:space="preserve"> nozzle height</w:t>
      </w:r>
      <w:r w:rsidR="00970BCF" w:rsidRPr="00970BCF">
        <w:rPr>
          <w:rFonts w:eastAsiaTheme="minorHAnsi"/>
        </w:rPr>
        <w:t xml:space="preserve"> </w:t>
      </w:r>
      <w:r w:rsidR="00970BCF" w:rsidRPr="00970BCF">
        <w:t xml:space="preserve">at </w:t>
      </w:r>
      <w:r w:rsidR="00970BCF">
        <w:t xml:space="preserve">0.3 </w:t>
      </w:r>
      <w:r w:rsidR="00970BCF" w:rsidRPr="00970BCF">
        <w:t>m, pulsation frequency at 4 Hz,</w:t>
      </w:r>
      <w:r w:rsidR="00AF42E2">
        <w:t xml:space="preserve"> atomizing air pressure at 7.0 p</w:t>
      </w:r>
      <w:r w:rsidR="00970BCF" w:rsidRPr="00970BCF">
        <w:t xml:space="preserve">si and </w:t>
      </w:r>
      <w:r w:rsidR="00970BCF" w:rsidRPr="005905EA">
        <w:t>binder</w:t>
      </w:r>
      <w:r w:rsidR="00970BCF" w:rsidRPr="005905EA">
        <w:rPr>
          <w:rFonts w:eastAsiaTheme="minorHAnsi"/>
        </w:rPr>
        <w:t xml:space="preserve"> </w:t>
      </w:r>
      <w:r w:rsidR="00970BCF" w:rsidRPr="005905EA">
        <w:t>amount at 76 mL.</w:t>
      </w:r>
    </w:p>
    <w:p w14:paraId="67BC3B5B" w14:textId="77777777" w:rsidR="004C7128" w:rsidRPr="00027EAB" w:rsidRDefault="004C7128" w:rsidP="00F132F3">
      <w:pPr>
        <w:pStyle w:val="CETBodytext"/>
      </w:pPr>
      <w:r w:rsidRPr="004C7128">
        <w:t xml:space="preserve">The median particle size in volume (D50v) was </w:t>
      </w:r>
      <w:r w:rsidR="00027EAB" w:rsidRPr="00027EAB">
        <w:rPr>
          <w:rFonts w:eastAsiaTheme="minorHAnsi" w:cs="Arial"/>
          <w:szCs w:val="18"/>
        </w:rPr>
        <w:t>monitored in-line using a probe</w:t>
      </w:r>
      <w:r w:rsidR="005E22F2">
        <w:rPr>
          <w:rFonts w:eastAsiaTheme="minorHAnsi" w:cs="Arial"/>
          <w:szCs w:val="18"/>
        </w:rPr>
        <w:t xml:space="preserve"> </w:t>
      </w:r>
      <w:r w:rsidR="005E22F2" w:rsidRPr="005E22F2">
        <w:rPr>
          <w:rFonts w:eastAsiaTheme="minorHAnsi" w:cs="Arial"/>
          <w:szCs w:val="18"/>
        </w:rPr>
        <w:t>that</w:t>
      </w:r>
      <w:r w:rsidR="00B141E8">
        <w:rPr>
          <w:rFonts w:eastAsiaTheme="minorHAnsi" w:cs="Arial"/>
          <w:szCs w:val="18"/>
        </w:rPr>
        <w:t xml:space="preserve"> employ</w:t>
      </w:r>
      <w:r w:rsidR="005E22F2" w:rsidRPr="005E22F2">
        <w:rPr>
          <w:rFonts w:eastAsiaTheme="minorHAnsi" w:cs="Arial"/>
          <w:szCs w:val="18"/>
        </w:rPr>
        <w:t>s the SFV principle. Details of the</w:t>
      </w:r>
      <w:r w:rsidR="00B141E8">
        <w:rPr>
          <w:rFonts w:eastAsiaTheme="minorHAnsi" w:cs="Arial"/>
          <w:szCs w:val="18"/>
        </w:rPr>
        <w:t xml:space="preserve"> </w:t>
      </w:r>
      <w:r w:rsidR="005E22F2" w:rsidRPr="005E22F2">
        <w:rPr>
          <w:rFonts w:eastAsiaTheme="minorHAnsi" w:cs="Arial"/>
          <w:szCs w:val="18"/>
        </w:rPr>
        <w:t>equipment, its accessories and methodology were described by</w:t>
      </w:r>
      <w:r w:rsidR="002E152C">
        <w:rPr>
          <w:rFonts w:eastAsiaTheme="minorHAnsi" w:cs="Arial"/>
          <w:szCs w:val="18"/>
        </w:rPr>
        <w:t xml:space="preserve"> Silva and Taranto (2015)</w:t>
      </w:r>
      <w:r w:rsidR="00CB6745">
        <w:rPr>
          <w:rFonts w:eastAsiaTheme="minorHAnsi" w:cs="Arial"/>
          <w:szCs w:val="18"/>
        </w:rPr>
        <w:t>.</w:t>
      </w:r>
      <w:r w:rsidR="00D0330F">
        <w:rPr>
          <w:rFonts w:eastAsiaTheme="minorHAnsi" w:cs="Arial"/>
          <w:szCs w:val="18"/>
        </w:rPr>
        <w:t xml:space="preserve"> </w:t>
      </w:r>
      <w:r w:rsidR="00D0330F" w:rsidRPr="00D0330F">
        <w:rPr>
          <w:rFonts w:eastAsiaTheme="minorHAnsi" w:cs="Arial"/>
          <w:szCs w:val="18"/>
        </w:rPr>
        <w:t xml:space="preserve">The </w:t>
      </w:r>
      <w:r w:rsidR="00D0330F" w:rsidRPr="00D0330F">
        <w:rPr>
          <w:rFonts w:eastAsiaTheme="minorHAnsi" w:cs="Arial"/>
          <w:szCs w:val="18"/>
        </w:rPr>
        <w:lastRenderedPageBreak/>
        <w:t>ring buffer</w:t>
      </w:r>
      <w:r w:rsidR="00D0330F">
        <w:rPr>
          <w:rFonts w:eastAsiaTheme="minorHAnsi" w:cs="Arial"/>
          <w:szCs w:val="18"/>
        </w:rPr>
        <w:t xml:space="preserve"> </w:t>
      </w:r>
      <w:r w:rsidR="00D0330F" w:rsidRPr="00D0330F">
        <w:rPr>
          <w:rFonts w:eastAsiaTheme="minorHAnsi" w:cs="Arial"/>
          <w:szCs w:val="18"/>
        </w:rPr>
        <w:t xml:space="preserve">size used in the Parsum measurements, 5000 particles, was chosen </w:t>
      </w:r>
      <w:r w:rsidR="0020510E">
        <w:rPr>
          <w:rFonts w:eastAsiaTheme="minorHAnsi" w:cs="Arial"/>
          <w:szCs w:val="18"/>
        </w:rPr>
        <w:t>based in</w:t>
      </w:r>
      <w:r w:rsidR="00D0330F">
        <w:rPr>
          <w:rFonts w:eastAsiaTheme="minorHAnsi" w:cs="Arial"/>
          <w:szCs w:val="18"/>
        </w:rPr>
        <w:t xml:space="preserve"> previous works at the same equipment</w:t>
      </w:r>
      <w:r w:rsidR="0020510E">
        <w:rPr>
          <w:rFonts w:eastAsiaTheme="minorHAnsi" w:cs="Arial"/>
          <w:szCs w:val="18"/>
        </w:rPr>
        <w:t>, according to Andreola et al.</w:t>
      </w:r>
      <w:r w:rsidR="002E152C">
        <w:rPr>
          <w:rFonts w:eastAsiaTheme="minorHAnsi" w:cs="Arial"/>
          <w:szCs w:val="18"/>
        </w:rPr>
        <w:t xml:space="preserve"> </w:t>
      </w:r>
      <w:r w:rsidR="0020510E">
        <w:rPr>
          <w:rFonts w:eastAsiaTheme="minorHAnsi" w:cs="Arial"/>
          <w:szCs w:val="18"/>
        </w:rPr>
        <w:t>(</w:t>
      </w:r>
      <w:r w:rsidR="002E152C">
        <w:rPr>
          <w:rFonts w:eastAsiaTheme="minorHAnsi" w:cs="Arial"/>
          <w:szCs w:val="18"/>
        </w:rPr>
        <w:t>2016</w:t>
      </w:r>
      <w:r w:rsidR="0020510E">
        <w:rPr>
          <w:rFonts w:eastAsiaTheme="minorHAnsi" w:cs="Arial"/>
          <w:szCs w:val="18"/>
        </w:rPr>
        <w:t>b</w:t>
      </w:r>
      <w:r w:rsidR="002E152C">
        <w:rPr>
          <w:rFonts w:eastAsiaTheme="minorHAnsi" w:cs="Arial"/>
          <w:szCs w:val="18"/>
        </w:rPr>
        <w:t xml:space="preserve">) </w:t>
      </w:r>
      <w:r w:rsidR="0020510E">
        <w:rPr>
          <w:rFonts w:eastAsiaTheme="minorHAnsi" w:cs="Arial"/>
          <w:szCs w:val="18"/>
        </w:rPr>
        <w:t>and Rosa et al.</w:t>
      </w:r>
      <w:r w:rsidR="002E152C">
        <w:rPr>
          <w:rFonts w:eastAsiaTheme="minorHAnsi" w:cs="Arial"/>
          <w:szCs w:val="18"/>
        </w:rPr>
        <w:t xml:space="preserve"> </w:t>
      </w:r>
      <w:r w:rsidR="0020510E">
        <w:rPr>
          <w:rFonts w:eastAsiaTheme="minorHAnsi" w:cs="Arial"/>
          <w:szCs w:val="18"/>
        </w:rPr>
        <w:t>(</w:t>
      </w:r>
      <w:r w:rsidR="002E152C">
        <w:rPr>
          <w:rFonts w:eastAsiaTheme="minorHAnsi" w:cs="Arial"/>
          <w:szCs w:val="18"/>
        </w:rPr>
        <w:t>2018)</w:t>
      </w:r>
      <w:r w:rsidR="00A600CF">
        <w:rPr>
          <w:rFonts w:eastAsiaTheme="minorHAnsi" w:cs="Arial"/>
          <w:szCs w:val="18"/>
        </w:rPr>
        <w:t>.</w:t>
      </w:r>
      <w:r w:rsidR="00F132F3">
        <w:rPr>
          <w:rFonts w:eastAsiaTheme="minorHAnsi" w:cs="Arial"/>
          <w:szCs w:val="18"/>
        </w:rPr>
        <w:t xml:space="preserve"> T</w:t>
      </w:r>
      <w:r w:rsidR="00F132F3" w:rsidRPr="00F132F3">
        <w:rPr>
          <w:rFonts w:eastAsiaTheme="minorHAnsi" w:cs="Arial"/>
          <w:szCs w:val="18"/>
        </w:rPr>
        <w:t xml:space="preserve">he </w:t>
      </w:r>
      <w:r w:rsidR="00F132F3">
        <w:rPr>
          <w:rFonts w:eastAsiaTheme="minorHAnsi" w:cs="Arial"/>
          <w:szCs w:val="18"/>
        </w:rPr>
        <w:t xml:space="preserve">particle </w:t>
      </w:r>
      <w:r w:rsidR="00F132F3" w:rsidRPr="00F132F3">
        <w:rPr>
          <w:rFonts w:eastAsiaTheme="minorHAnsi" w:cs="Arial"/>
          <w:szCs w:val="18"/>
        </w:rPr>
        <w:t>growth</w:t>
      </w:r>
      <w:r w:rsidR="00525C23">
        <w:rPr>
          <w:rFonts w:eastAsiaTheme="minorHAnsi" w:cs="Arial"/>
          <w:szCs w:val="18"/>
        </w:rPr>
        <w:t xml:space="preserve"> kinetic was analyzed using the data </w:t>
      </w:r>
      <w:r w:rsidR="00525C23" w:rsidRPr="00F132F3">
        <w:rPr>
          <w:rFonts w:eastAsiaTheme="minorHAnsi" w:cs="Arial"/>
          <w:szCs w:val="18"/>
        </w:rPr>
        <w:t>obtained</w:t>
      </w:r>
      <w:r w:rsidR="00525C23">
        <w:rPr>
          <w:rFonts w:eastAsiaTheme="minorHAnsi" w:cs="Arial"/>
          <w:szCs w:val="18"/>
        </w:rPr>
        <w:t xml:space="preserve"> by, </w:t>
      </w:r>
      <w:r w:rsidR="00F132F3" w:rsidRPr="00F132F3">
        <w:rPr>
          <w:rFonts w:eastAsiaTheme="minorHAnsi" w:cs="Arial"/>
          <w:szCs w:val="18"/>
        </w:rPr>
        <w:t>an appropriate software</w:t>
      </w:r>
      <w:r w:rsidR="00525C23">
        <w:rPr>
          <w:rFonts w:eastAsiaTheme="minorHAnsi" w:cs="Arial"/>
          <w:szCs w:val="18"/>
        </w:rPr>
        <w:t xml:space="preserve">, </w:t>
      </w:r>
      <w:r w:rsidR="00F132F3" w:rsidRPr="00F132F3">
        <w:rPr>
          <w:rFonts w:eastAsiaTheme="minorHAnsi" w:cs="Arial"/>
          <w:szCs w:val="18"/>
        </w:rPr>
        <w:t xml:space="preserve">Inline Particle Probe 7.14, </w:t>
      </w:r>
      <w:r w:rsidR="00525C23">
        <w:rPr>
          <w:rFonts w:eastAsiaTheme="minorHAnsi" w:cs="Arial"/>
          <w:szCs w:val="18"/>
        </w:rPr>
        <w:t>that record t</w:t>
      </w:r>
      <w:r w:rsidR="00F132F3" w:rsidRPr="00F132F3">
        <w:rPr>
          <w:rFonts w:eastAsiaTheme="minorHAnsi" w:cs="Arial"/>
          <w:szCs w:val="18"/>
        </w:rPr>
        <w:t>he particle size data and sent it to LabVIEW</w:t>
      </w:r>
      <w:r w:rsidR="00F132F3" w:rsidRPr="00C74ED9">
        <w:rPr>
          <w:rFonts w:eastAsiaTheme="minorHAnsi" w:cs="Arial"/>
          <w:szCs w:val="18"/>
          <w:vertAlign w:val="superscript"/>
        </w:rPr>
        <w:t>TM</w:t>
      </w:r>
      <w:r w:rsidR="00F132F3" w:rsidRPr="00F132F3">
        <w:rPr>
          <w:rFonts w:eastAsiaTheme="minorHAnsi" w:cs="Arial"/>
          <w:szCs w:val="18"/>
        </w:rPr>
        <w:t xml:space="preserve"> 8.6</w:t>
      </w:r>
      <w:r w:rsidR="00525C23">
        <w:rPr>
          <w:rFonts w:eastAsiaTheme="minorHAnsi" w:cs="Arial"/>
          <w:szCs w:val="18"/>
        </w:rPr>
        <w:t xml:space="preserve"> </w:t>
      </w:r>
      <w:r w:rsidR="00F132F3" w:rsidRPr="00F132F3">
        <w:rPr>
          <w:rFonts w:eastAsiaTheme="minorHAnsi" w:cs="Arial"/>
          <w:szCs w:val="18"/>
        </w:rPr>
        <w:t>software via OPC server protocol, this procedure was developed by</w:t>
      </w:r>
      <w:r w:rsidR="002E152C">
        <w:rPr>
          <w:rFonts w:eastAsiaTheme="minorHAnsi" w:cs="Arial"/>
          <w:szCs w:val="18"/>
        </w:rPr>
        <w:t xml:space="preserve"> Silva and Taranto (2015)</w:t>
      </w:r>
      <w:r w:rsidR="00525C23">
        <w:rPr>
          <w:rFonts w:eastAsiaTheme="minorHAnsi" w:cs="Arial"/>
          <w:szCs w:val="18"/>
        </w:rPr>
        <w:t>.</w:t>
      </w:r>
    </w:p>
    <w:p w14:paraId="3B3DF317" w14:textId="77777777" w:rsidR="008E1479" w:rsidRDefault="001F4D49" w:rsidP="001F4D49">
      <w:pPr>
        <w:pStyle w:val="CETHeading1"/>
      </w:pPr>
      <w:r w:rsidRPr="001F4D49">
        <w:t>Results and discussion</w:t>
      </w:r>
    </w:p>
    <w:p w14:paraId="52A39BCF" w14:textId="77777777" w:rsidR="009D5CCE" w:rsidRDefault="009D5CCE" w:rsidP="009D5CCE">
      <w:pPr>
        <w:pStyle w:val="CETheadingx"/>
      </w:pPr>
      <w:r w:rsidRPr="009D5CCE">
        <w:t>Characterization of binder solutions</w:t>
      </w:r>
    </w:p>
    <w:p w14:paraId="699D47F6" w14:textId="09A4B521" w:rsidR="0049634A" w:rsidRPr="0049634A" w:rsidRDefault="0049634A" w:rsidP="00587DD9">
      <w:pPr>
        <w:pStyle w:val="CETBodytext"/>
      </w:pPr>
      <w:r>
        <w:t>B</w:t>
      </w:r>
      <w:r w:rsidRPr="0049634A">
        <w:t xml:space="preserve">inder solutions characteristics </w:t>
      </w:r>
      <w:r w:rsidR="00D02337">
        <w:t xml:space="preserve">and the </w:t>
      </w:r>
      <w:r w:rsidRPr="0049634A">
        <w:t>Herschel-Bulkley model</w:t>
      </w:r>
      <w:r>
        <w:t xml:space="preserve"> parameters are shown at Table 1 and</w:t>
      </w:r>
      <w:r w:rsidRPr="0049634A">
        <w:t xml:space="preserve"> </w:t>
      </w:r>
      <w:r>
        <w:t>the</w:t>
      </w:r>
      <w:r w:rsidRPr="0049634A">
        <w:t xml:space="preserve"> rheological behavior</w:t>
      </w:r>
      <w:r>
        <w:t xml:space="preserve"> are shown at </w:t>
      </w:r>
      <w:r>
        <w:fldChar w:fldCharType="begin"/>
      </w:r>
      <w:r>
        <w:instrText xml:space="preserve"> REF _Ref532823896 \h </w:instrText>
      </w:r>
      <w:r>
        <w:fldChar w:fldCharType="separate"/>
      </w:r>
      <w:r w:rsidR="00521E6F">
        <w:t xml:space="preserve">Figure </w:t>
      </w:r>
      <w:r w:rsidR="00521E6F">
        <w:rPr>
          <w:noProof/>
        </w:rPr>
        <w:t>1</w:t>
      </w:r>
      <w:r>
        <w:fldChar w:fldCharType="end"/>
      </w:r>
      <w:r>
        <w:t xml:space="preserve">. </w:t>
      </w:r>
      <w:r w:rsidRPr="0049634A">
        <w:t xml:space="preserve">The apparent viscosity tends to remain constant </w:t>
      </w:r>
      <w:r w:rsidR="00D02337">
        <w:t>at</w:t>
      </w:r>
      <w:r w:rsidRPr="0049634A">
        <w:t xml:space="preserve"> shear rates above 100 s</w:t>
      </w:r>
      <w:r w:rsidRPr="00D02337">
        <w:rPr>
          <w:vertAlign w:val="superscript"/>
        </w:rPr>
        <w:t>-1</w:t>
      </w:r>
      <w:r w:rsidRPr="0049634A">
        <w:t xml:space="preserve">, so it was calculated as the mean of values </w:t>
      </w:r>
      <w:r w:rsidR="00D02337" w:rsidRPr="0049634A">
        <w:t>obtained above</w:t>
      </w:r>
      <w:r>
        <w:t xml:space="preserve"> </w:t>
      </w:r>
      <w:r w:rsidR="00D02337">
        <w:t>this value. T</w:t>
      </w:r>
      <w:r w:rsidRPr="0049634A">
        <w:t xml:space="preserve">he </w:t>
      </w:r>
      <w:r w:rsidR="00D02337" w:rsidRPr="00D02337">
        <w:t>lower concentration solution</w:t>
      </w:r>
      <w:r w:rsidR="00D02337">
        <w:t>,</w:t>
      </w:r>
      <w:r w:rsidR="00D02337" w:rsidRPr="00D02337">
        <w:t xml:space="preserve"> </w:t>
      </w:r>
      <w:r w:rsidRPr="0049634A">
        <w:t>0.7</w:t>
      </w:r>
      <w:r w:rsidR="00C74ED9">
        <w:t xml:space="preserve"> % (w/</w:t>
      </w:r>
      <w:r w:rsidRPr="0049634A">
        <w:t>w)</w:t>
      </w:r>
      <w:r w:rsidR="00D02337">
        <w:t>,</w:t>
      </w:r>
      <w:r w:rsidRPr="0049634A">
        <w:t xml:space="preserve"> approached</w:t>
      </w:r>
      <w:r w:rsidR="00D02337">
        <w:t xml:space="preserve"> to</w:t>
      </w:r>
      <w:r w:rsidRPr="0049634A">
        <w:t xml:space="preserve"> the Newtonian behavior and the solution of 20.0</w:t>
      </w:r>
      <w:r w:rsidR="00C74ED9">
        <w:t xml:space="preserve"> % (w/</w:t>
      </w:r>
      <w:r w:rsidRPr="0049634A">
        <w:t xml:space="preserve">w) exhibited non-Newtonian behavior, especially for low shear rates. </w:t>
      </w:r>
      <w:r w:rsidR="00AB59B5">
        <w:t>A</w:t>
      </w:r>
      <w:r w:rsidR="00AB59B5" w:rsidRPr="00AB59B5">
        <w:t>pparent viscosity</w:t>
      </w:r>
      <w:r w:rsidR="00AB59B5">
        <w:t xml:space="preserve"> and </w:t>
      </w:r>
      <w:r w:rsidR="00AB59B5" w:rsidRPr="00871C47">
        <w:t>yield stress</w:t>
      </w:r>
      <w:r w:rsidR="00AB59B5">
        <w:t xml:space="preserve"> were hig</w:t>
      </w:r>
      <w:r w:rsidR="00C74ED9">
        <w:t xml:space="preserve">her to the 20.0 </w:t>
      </w:r>
      <w:r w:rsidR="00AB59B5">
        <w:t>% (w/w) solution.</w:t>
      </w:r>
    </w:p>
    <w:p w14:paraId="51DE9A8F" w14:textId="25E1C76E" w:rsidR="00EB01B1" w:rsidRDefault="00EB01B1" w:rsidP="00EB01B1">
      <w:pPr>
        <w:pStyle w:val="CETTabletitle"/>
      </w:pPr>
      <w:bookmarkStart w:id="1" w:name="_Ref532821946"/>
      <w:r>
        <w:t xml:space="preserve">Table </w:t>
      </w:r>
      <w:r>
        <w:fldChar w:fldCharType="begin"/>
      </w:r>
      <w:r>
        <w:instrText xml:space="preserve"> SEQ Table \* ARABIC </w:instrText>
      </w:r>
      <w:r>
        <w:fldChar w:fldCharType="separate"/>
      </w:r>
      <w:r w:rsidR="00521E6F">
        <w:rPr>
          <w:noProof/>
        </w:rPr>
        <w:t>1</w:t>
      </w:r>
      <w:r>
        <w:fldChar w:fldCharType="end"/>
      </w:r>
      <w:bookmarkEnd w:id="1"/>
      <w:r>
        <w:t>: Herschel-Bulkley model’s p</w:t>
      </w:r>
      <w:r w:rsidRPr="00B72705">
        <w:t xml:space="preserve">arameters and apparent viscosity of </w:t>
      </w:r>
      <w:r w:rsidR="0089768A">
        <w:t>acacia gum</w:t>
      </w:r>
      <w:r w:rsidRPr="00B72705">
        <w:t xml:space="preserve"> </w:t>
      </w:r>
      <w:r w:rsidR="0089768A">
        <w:t>binder solutions</w:t>
      </w:r>
      <w:r w:rsidRPr="00B72705">
        <w:t>.</w:t>
      </w:r>
    </w:p>
    <w:tbl>
      <w:tblPr>
        <w:tblW w:w="8222"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276"/>
        <w:gridCol w:w="1134"/>
        <w:gridCol w:w="1417"/>
        <w:gridCol w:w="1276"/>
        <w:gridCol w:w="1134"/>
        <w:gridCol w:w="992"/>
        <w:gridCol w:w="993"/>
      </w:tblGrid>
      <w:tr w:rsidR="00F32AAC" w:rsidRPr="00B57B36" w14:paraId="6ED25CA9" w14:textId="77777777" w:rsidTr="00C74ED9">
        <w:tc>
          <w:tcPr>
            <w:tcW w:w="1276" w:type="dxa"/>
            <w:vMerge w:val="restart"/>
            <w:tcBorders>
              <w:top w:val="single" w:sz="12" w:space="0" w:color="008000"/>
            </w:tcBorders>
            <w:shd w:val="clear" w:color="auto" w:fill="FFFFFF"/>
          </w:tcPr>
          <w:p w14:paraId="63DC32E5" w14:textId="77777777" w:rsidR="00F32AAC" w:rsidRDefault="00F32AAC" w:rsidP="003313F7">
            <w:pPr>
              <w:pStyle w:val="CETBodytext"/>
              <w:rPr>
                <w:lang w:val="en-GB"/>
              </w:rPr>
            </w:pPr>
            <w:r>
              <w:rPr>
                <w:lang w:val="en-GB"/>
              </w:rPr>
              <w:t>Binder c</w:t>
            </w:r>
            <w:r w:rsidRPr="004C58FD">
              <w:rPr>
                <w:lang w:val="en-GB"/>
              </w:rPr>
              <w:t>oncentration</w:t>
            </w:r>
            <w:r>
              <w:rPr>
                <w:lang w:val="en-GB"/>
              </w:rPr>
              <w:t xml:space="preserve"> </w:t>
            </w:r>
            <w:r w:rsidR="00C74ED9">
              <w:rPr>
                <w:lang w:val="en-GB"/>
              </w:rPr>
              <w:t>(</w:t>
            </w:r>
            <w:r>
              <w:rPr>
                <w:lang w:val="en-GB"/>
              </w:rPr>
              <w:t>% (w/w)</w:t>
            </w:r>
            <w:r w:rsidR="00C74ED9">
              <w:rPr>
                <w:lang w:val="en-GB"/>
              </w:rPr>
              <w:t>)</w:t>
            </w:r>
          </w:p>
        </w:tc>
        <w:tc>
          <w:tcPr>
            <w:tcW w:w="1134" w:type="dxa"/>
            <w:vMerge w:val="restart"/>
            <w:tcBorders>
              <w:top w:val="single" w:sz="12" w:space="0" w:color="008000"/>
            </w:tcBorders>
            <w:shd w:val="clear" w:color="auto" w:fill="FFFFFF"/>
          </w:tcPr>
          <w:p w14:paraId="119957F5" w14:textId="77777777" w:rsidR="00F32AAC" w:rsidRPr="00177CBB" w:rsidRDefault="00F32AAC" w:rsidP="00177CBB">
            <w:r w:rsidRPr="00244770">
              <w:t>η (mPa.s)</w:t>
            </w:r>
          </w:p>
        </w:tc>
        <w:tc>
          <w:tcPr>
            <w:tcW w:w="1417" w:type="dxa"/>
            <w:vMerge w:val="restart"/>
            <w:tcBorders>
              <w:top w:val="single" w:sz="12" w:space="0" w:color="008000"/>
            </w:tcBorders>
            <w:shd w:val="clear" w:color="auto" w:fill="FFFFFF"/>
          </w:tcPr>
          <w:p w14:paraId="42D00089" w14:textId="77777777" w:rsidR="00F32AAC" w:rsidRPr="00177CBB" w:rsidRDefault="00F32AAC" w:rsidP="00C74ED9">
            <w:pPr>
              <w:pStyle w:val="CETBodytext"/>
              <w:ind w:right="-1"/>
              <w:rPr>
                <w:lang w:val="en-GB"/>
              </w:rPr>
            </w:pPr>
            <w:r>
              <w:rPr>
                <w:lang w:val="en-GB"/>
              </w:rPr>
              <w:t>S</w:t>
            </w:r>
            <w:r w:rsidRPr="00F32AAC">
              <w:rPr>
                <w:lang w:val="en-GB"/>
              </w:rPr>
              <w:t>uperficial tension</w:t>
            </w:r>
            <w:r w:rsidR="00C74ED9">
              <w:rPr>
                <w:lang w:val="en-GB"/>
              </w:rPr>
              <w:t xml:space="preserve"> (mN/</w:t>
            </w:r>
            <w:r w:rsidR="00587DD9">
              <w:rPr>
                <w:lang w:val="en-GB"/>
              </w:rPr>
              <w:t>m)</w:t>
            </w:r>
          </w:p>
        </w:tc>
        <w:tc>
          <w:tcPr>
            <w:tcW w:w="4395" w:type="dxa"/>
            <w:gridSpan w:val="4"/>
            <w:tcBorders>
              <w:top w:val="single" w:sz="12" w:space="0" w:color="008000"/>
              <w:bottom w:val="single" w:sz="6" w:space="0" w:color="008000"/>
            </w:tcBorders>
            <w:shd w:val="clear" w:color="auto" w:fill="FFFFFF"/>
          </w:tcPr>
          <w:p w14:paraId="40B159E4" w14:textId="77777777" w:rsidR="00F32AAC" w:rsidRPr="00B57B36" w:rsidRDefault="00F32AAC" w:rsidP="003313F7">
            <w:pPr>
              <w:pStyle w:val="CETBodytext"/>
              <w:ind w:right="-1"/>
              <w:rPr>
                <w:rFonts w:cs="Arial"/>
                <w:szCs w:val="18"/>
                <w:lang w:val="en-GB"/>
              </w:rPr>
            </w:pPr>
            <w:r w:rsidRPr="00177CBB">
              <w:rPr>
                <w:lang w:val="en-GB"/>
              </w:rPr>
              <w:t>Herschel-Bulkley model</w:t>
            </w:r>
            <w:r>
              <w:rPr>
                <w:lang w:val="en-GB"/>
              </w:rPr>
              <w:t xml:space="preserve"> parameters</w:t>
            </w:r>
          </w:p>
        </w:tc>
      </w:tr>
      <w:tr w:rsidR="008D52D8" w:rsidRPr="00B57B36" w14:paraId="421DD931" w14:textId="77777777" w:rsidTr="00C74ED9">
        <w:tc>
          <w:tcPr>
            <w:tcW w:w="1276" w:type="dxa"/>
            <w:vMerge/>
            <w:tcBorders>
              <w:bottom w:val="single" w:sz="6" w:space="0" w:color="008000"/>
            </w:tcBorders>
            <w:shd w:val="clear" w:color="auto" w:fill="FFFFFF"/>
          </w:tcPr>
          <w:p w14:paraId="1739C19F" w14:textId="77777777" w:rsidR="00F32AAC" w:rsidRPr="00B57B36" w:rsidRDefault="00F32AAC" w:rsidP="00177CBB">
            <w:pPr>
              <w:pStyle w:val="CETBodytext"/>
              <w:rPr>
                <w:lang w:val="en-GB"/>
              </w:rPr>
            </w:pPr>
          </w:p>
        </w:tc>
        <w:tc>
          <w:tcPr>
            <w:tcW w:w="1134" w:type="dxa"/>
            <w:vMerge/>
            <w:tcBorders>
              <w:bottom w:val="single" w:sz="6" w:space="0" w:color="008000"/>
            </w:tcBorders>
            <w:shd w:val="clear" w:color="auto" w:fill="FFFFFF"/>
          </w:tcPr>
          <w:p w14:paraId="1DC5BEEA" w14:textId="77777777" w:rsidR="00F32AAC" w:rsidRPr="00344595" w:rsidRDefault="00F32AAC" w:rsidP="00177CBB"/>
        </w:tc>
        <w:tc>
          <w:tcPr>
            <w:tcW w:w="1417" w:type="dxa"/>
            <w:vMerge/>
            <w:tcBorders>
              <w:bottom w:val="single" w:sz="6" w:space="0" w:color="008000"/>
            </w:tcBorders>
            <w:shd w:val="clear" w:color="auto" w:fill="FFFFFF"/>
          </w:tcPr>
          <w:p w14:paraId="4639DBCB" w14:textId="77777777" w:rsidR="00F32AAC" w:rsidRPr="00344595" w:rsidRDefault="00F32AAC" w:rsidP="00177CBB"/>
        </w:tc>
        <w:tc>
          <w:tcPr>
            <w:tcW w:w="1276" w:type="dxa"/>
            <w:tcBorders>
              <w:top w:val="single" w:sz="12" w:space="0" w:color="008000"/>
              <w:bottom w:val="single" w:sz="6" w:space="0" w:color="008000"/>
            </w:tcBorders>
            <w:shd w:val="clear" w:color="auto" w:fill="FFFFFF"/>
          </w:tcPr>
          <w:p w14:paraId="34B1CAD8" w14:textId="77777777" w:rsidR="00F32AAC" w:rsidRPr="00344595" w:rsidRDefault="00F32AAC" w:rsidP="00177CBB">
            <w:r w:rsidRPr="00344595">
              <w:t>σ</w:t>
            </w:r>
            <w:r w:rsidRPr="00244770">
              <w:rPr>
                <w:vertAlign w:val="subscript"/>
              </w:rPr>
              <w:t xml:space="preserve">0 </w:t>
            </w:r>
            <w:r w:rsidRPr="00344595">
              <w:t>(mPa)</w:t>
            </w:r>
          </w:p>
        </w:tc>
        <w:tc>
          <w:tcPr>
            <w:tcW w:w="1134" w:type="dxa"/>
            <w:tcBorders>
              <w:top w:val="single" w:sz="12" w:space="0" w:color="008000"/>
              <w:bottom w:val="single" w:sz="6" w:space="0" w:color="008000"/>
            </w:tcBorders>
            <w:shd w:val="clear" w:color="auto" w:fill="FFFFFF"/>
          </w:tcPr>
          <w:p w14:paraId="23BFA0FA" w14:textId="77777777" w:rsidR="00F32AAC" w:rsidRPr="00344595" w:rsidRDefault="00F32AAC" w:rsidP="00177CBB">
            <w:r w:rsidRPr="00344595">
              <w:t>k (mPa.s</w:t>
            </w:r>
            <w:r w:rsidRPr="00BE7D41">
              <w:rPr>
                <w:vertAlign w:val="superscript"/>
              </w:rPr>
              <w:t>n</w:t>
            </w:r>
            <w:r w:rsidRPr="00344595">
              <w:t>)</w:t>
            </w:r>
          </w:p>
        </w:tc>
        <w:tc>
          <w:tcPr>
            <w:tcW w:w="992" w:type="dxa"/>
            <w:tcBorders>
              <w:top w:val="single" w:sz="12" w:space="0" w:color="008000"/>
              <w:bottom w:val="single" w:sz="6" w:space="0" w:color="008000"/>
            </w:tcBorders>
            <w:shd w:val="clear" w:color="auto" w:fill="FFFFFF"/>
          </w:tcPr>
          <w:p w14:paraId="098F6EDD" w14:textId="77777777" w:rsidR="00F32AAC" w:rsidRPr="00344595" w:rsidRDefault="005330D8" w:rsidP="00177CBB">
            <w:r w:rsidRPr="00344595">
              <w:t>N</w:t>
            </w:r>
          </w:p>
        </w:tc>
        <w:tc>
          <w:tcPr>
            <w:tcW w:w="993" w:type="dxa"/>
            <w:tcBorders>
              <w:top w:val="single" w:sz="12" w:space="0" w:color="008000"/>
              <w:bottom w:val="single" w:sz="6" w:space="0" w:color="008000"/>
            </w:tcBorders>
            <w:shd w:val="clear" w:color="auto" w:fill="FFFFFF"/>
          </w:tcPr>
          <w:p w14:paraId="5E9CD82B" w14:textId="77777777" w:rsidR="00F32AAC" w:rsidRPr="00B57B36" w:rsidRDefault="00F32AAC" w:rsidP="001804E6">
            <w:pPr>
              <w:pStyle w:val="CETBodytext"/>
              <w:ind w:left="141" w:right="-1" w:hanging="141"/>
              <w:rPr>
                <w:lang w:val="en-GB"/>
              </w:rPr>
            </w:pPr>
            <w:r>
              <w:rPr>
                <w:lang w:val="en-GB"/>
              </w:rPr>
              <w:t>r</w:t>
            </w:r>
            <w:r w:rsidRPr="00244770">
              <w:rPr>
                <w:vertAlign w:val="superscript"/>
                <w:lang w:val="en-GB"/>
              </w:rPr>
              <w:t>2</w:t>
            </w:r>
          </w:p>
        </w:tc>
      </w:tr>
      <w:tr w:rsidR="00587DD9" w:rsidRPr="00B57B36" w14:paraId="76F09301" w14:textId="77777777" w:rsidTr="00C74ED9">
        <w:tc>
          <w:tcPr>
            <w:tcW w:w="1276" w:type="dxa"/>
            <w:shd w:val="clear" w:color="auto" w:fill="FFFFFF"/>
          </w:tcPr>
          <w:p w14:paraId="0E21F20A" w14:textId="77777777" w:rsidR="00F32AAC" w:rsidRPr="00B57B36" w:rsidRDefault="00F32AAC" w:rsidP="003313F7">
            <w:pPr>
              <w:pStyle w:val="CETBodytext"/>
              <w:rPr>
                <w:lang w:val="en-GB"/>
              </w:rPr>
            </w:pPr>
            <w:r>
              <w:rPr>
                <w:lang w:val="en-GB"/>
              </w:rPr>
              <w:t>0.7</w:t>
            </w:r>
          </w:p>
        </w:tc>
        <w:tc>
          <w:tcPr>
            <w:tcW w:w="1134" w:type="dxa"/>
            <w:shd w:val="clear" w:color="auto" w:fill="FFFFFF"/>
          </w:tcPr>
          <w:p w14:paraId="474F16D1" w14:textId="77777777" w:rsidR="00F32AAC" w:rsidRPr="00244770" w:rsidRDefault="00C74ED9" w:rsidP="003313F7">
            <w:pPr>
              <w:pStyle w:val="CETBodytext"/>
              <w:rPr>
                <w:lang w:val="en-GB"/>
              </w:rPr>
            </w:pPr>
            <w:r>
              <w:rPr>
                <w:lang w:val="en-GB"/>
              </w:rPr>
              <w:t>1.1 ± 0.</w:t>
            </w:r>
            <w:r w:rsidR="00F32AAC" w:rsidRPr="00244770">
              <w:rPr>
                <w:lang w:val="en-GB"/>
              </w:rPr>
              <w:t>0</w:t>
            </w:r>
          </w:p>
        </w:tc>
        <w:tc>
          <w:tcPr>
            <w:tcW w:w="1417" w:type="dxa"/>
            <w:shd w:val="clear" w:color="auto" w:fill="FFFFFF"/>
          </w:tcPr>
          <w:p w14:paraId="402B17B5" w14:textId="77777777" w:rsidR="00F32AAC" w:rsidRPr="00244770" w:rsidRDefault="00C74ED9" w:rsidP="003313F7">
            <w:pPr>
              <w:pStyle w:val="CETBodytext"/>
              <w:rPr>
                <w:lang w:val="en-GB"/>
              </w:rPr>
            </w:pPr>
            <w:r>
              <w:t>55.</w:t>
            </w:r>
            <w:r w:rsidR="00F32AAC">
              <w:t xml:space="preserve">58 </w:t>
            </w:r>
            <w:r w:rsidR="00F32AAC">
              <w:rPr>
                <w:rFonts w:cs="Arial"/>
              </w:rPr>
              <w:t>±</w:t>
            </w:r>
            <w:r>
              <w:t xml:space="preserve"> 0.</w:t>
            </w:r>
            <w:r w:rsidR="00F32AAC">
              <w:t>98</w:t>
            </w:r>
          </w:p>
        </w:tc>
        <w:tc>
          <w:tcPr>
            <w:tcW w:w="1276" w:type="dxa"/>
            <w:shd w:val="clear" w:color="auto" w:fill="FFFFFF"/>
          </w:tcPr>
          <w:p w14:paraId="5039550B" w14:textId="77777777" w:rsidR="00F32AAC" w:rsidRPr="00B57B36" w:rsidRDefault="00C74ED9" w:rsidP="003313F7">
            <w:pPr>
              <w:pStyle w:val="CETBodytext"/>
              <w:rPr>
                <w:lang w:val="en-GB"/>
              </w:rPr>
            </w:pPr>
            <w:r>
              <w:rPr>
                <w:lang w:val="en-GB"/>
              </w:rPr>
              <w:t>2.4 ± 0.</w:t>
            </w:r>
            <w:r w:rsidR="00F32AAC" w:rsidRPr="00244770">
              <w:rPr>
                <w:lang w:val="en-GB"/>
              </w:rPr>
              <w:t>6</w:t>
            </w:r>
          </w:p>
        </w:tc>
        <w:tc>
          <w:tcPr>
            <w:tcW w:w="1134" w:type="dxa"/>
            <w:shd w:val="clear" w:color="auto" w:fill="FFFFFF"/>
          </w:tcPr>
          <w:p w14:paraId="42805C1D" w14:textId="77777777" w:rsidR="00F32AAC" w:rsidRPr="00B57B36" w:rsidRDefault="00C74ED9" w:rsidP="003313F7">
            <w:pPr>
              <w:pStyle w:val="CETBodytext"/>
              <w:rPr>
                <w:lang w:val="en-GB"/>
              </w:rPr>
            </w:pPr>
            <w:r>
              <w:rPr>
                <w:lang w:val="en-GB"/>
              </w:rPr>
              <w:t>1.0 ± 0.</w:t>
            </w:r>
            <w:r w:rsidR="00F32AAC" w:rsidRPr="00244770">
              <w:rPr>
                <w:lang w:val="en-GB"/>
              </w:rPr>
              <w:t>0</w:t>
            </w:r>
          </w:p>
        </w:tc>
        <w:tc>
          <w:tcPr>
            <w:tcW w:w="992" w:type="dxa"/>
            <w:shd w:val="clear" w:color="auto" w:fill="FFFFFF"/>
          </w:tcPr>
          <w:p w14:paraId="515AAB90" w14:textId="77777777" w:rsidR="00F32AAC" w:rsidRPr="00B57B36" w:rsidRDefault="00C74ED9" w:rsidP="003313F7">
            <w:pPr>
              <w:pStyle w:val="CETBodytext"/>
              <w:ind w:right="-1"/>
              <w:rPr>
                <w:rFonts w:cs="Arial"/>
                <w:szCs w:val="18"/>
                <w:lang w:val="en-GB"/>
              </w:rPr>
            </w:pPr>
            <w:r>
              <w:rPr>
                <w:rFonts w:cs="Arial"/>
                <w:szCs w:val="18"/>
                <w:lang w:val="en-GB"/>
              </w:rPr>
              <w:t>1.02 ± 0.</w:t>
            </w:r>
            <w:r w:rsidR="00F32AAC" w:rsidRPr="00244770">
              <w:rPr>
                <w:rFonts w:cs="Arial"/>
                <w:szCs w:val="18"/>
                <w:lang w:val="en-GB"/>
              </w:rPr>
              <w:t>01</w:t>
            </w:r>
          </w:p>
        </w:tc>
        <w:tc>
          <w:tcPr>
            <w:tcW w:w="993" w:type="dxa"/>
            <w:shd w:val="clear" w:color="auto" w:fill="FFFFFF"/>
          </w:tcPr>
          <w:p w14:paraId="1E7483CA" w14:textId="77777777" w:rsidR="00F32AAC" w:rsidRPr="00B57B36" w:rsidRDefault="00C74ED9" w:rsidP="001804E6">
            <w:pPr>
              <w:pStyle w:val="CETBodytext"/>
              <w:ind w:left="141" w:right="-1" w:hanging="141"/>
              <w:rPr>
                <w:rFonts w:cs="Arial"/>
                <w:szCs w:val="18"/>
                <w:lang w:val="en-GB"/>
              </w:rPr>
            </w:pPr>
            <w:r>
              <w:rPr>
                <w:rFonts w:cs="Arial"/>
                <w:szCs w:val="18"/>
                <w:lang w:val="en-GB"/>
              </w:rPr>
              <w:t>1.</w:t>
            </w:r>
            <w:r w:rsidR="00F32AAC" w:rsidRPr="00244770">
              <w:rPr>
                <w:rFonts w:cs="Arial"/>
                <w:szCs w:val="18"/>
                <w:lang w:val="en-GB"/>
              </w:rPr>
              <w:t>000</w:t>
            </w:r>
          </w:p>
        </w:tc>
      </w:tr>
      <w:tr w:rsidR="00587DD9" w:rsidRPr="00B57B36" w14:paraId="5B709171" w14:textId="77777777" w:rsidTr="00C74ED9">
        <w:tc>
          <w:tcPr>
            <w:tcW w:w="1276" w:type="dxa"/>
            <w:tcBorders>
              <w:bottom w:val="single" w:sz="12" w:space="0" w:color="008000"/>
            </w:tcBorders>
            <w:shd w:val="clear" w:color="auto" w:fill="FFFFFF"/>
          </w:tcPr>
          <w:p w14:paraId="0644772A" w14:textId="77777777" w:rsidR="00F32AAC" w:rsidRPr="00B57B36" w:rsidRDefault="00F32AAC" w:rsidP="003313F7">
            <w:pPr>
              <w:pStyle w:val="CETBodytext"/>
              <w:rPr>
                <w:lang w:val="en-GB"/>
              </w:rPr>
            </w:pPr>
            <w:r>
              <w:rPr>
                <w:lang w:val="en-GB"/>
              </w:rPr>
              <w:t>20.0</w:t>
            </w:r>
          </w:p>
        </w:tc>
        <w:tc>
          <w:tcPr>
            <w:tcW w:w="1134" w:type="dxa"/>
            <w:tcBorders>
              <w:bottom w:val="single" w:sz="12" w:space="0" w:color="008000"/>
            </w:tcBorders>
            <w:shd w:val="clear" w:color="auto" w:fill="FFFFFF"/>
          </w:tcPr>
          <w:p w14:paraId="0B9C4C05" w14:textId="77777777" w:rsidR="00F32AAC" w:rsidRPr="00244770" w:rsidRDefault="00C74ED9" w:rsidP="003313F7">
            <w:pPr>
              <w:pStyle w:val="CETBodytext"/>
              <w:rPr>
                <w:lang w:val="en-GB"/>
              </w:rPr>
            </w:pPr>
            <w:r>
              <w:rPr>
                <w:lang w:val="en-GB"/>
              </w:rPr>
              <w:t>31.2 ± 0.</w:t>
            </w:r>
            <w:r w:rsidR="00F32AAC" w:rsidRPr="00244770">
              <w:rPr>
                <w:lang w:val="en-GB"/>
              </w:rPr>
              <w:t>4</w:t>
            </w:r>
          </w:p>
        </w:tc>
        <w:tc>
          <w:tcPr>
            <w:tcW w:w="1417" w:type="dxa"/>
            <w:tcBorders>
              <w:bottom w:val="single" w:sz="12" w:space="0" w:color="008000"/>
            </w:tcBorders>
            <w:shd w:val="clear" w:color="auto" w:fill="FFFFFF"/>
          </w:tcPr>
          <w:p w14:paraId="061D136B" w14:textId="77777777" w:rsidR="00F32AAC" w:rsidRPr="00244770" w:rsidRDefault="00C74ED9" w:rsidP="003313F7">
            <w:pPr>
              <w:pStyle w:val="CETBodytext"/>
              <w:rPr>
                <w:lang w:val="en-GB"/>
              </w:rPr>
            </w:pPr>
            <w:r>
              <w:rPr>
                <w:lang w:val="en-GB"/>
              </w:rPr>
              <w:t>47.</w:t>
            </w:r>
            <w:r w:rsidR="00733600">
              <w:rPr>
                <w:lang w:val="en-GB"/>
              </w:rPr>
              <w:t xml:space="preserve">78 </w:t>
            </w:r>
            <w:r>
              <w:rPr>
                <w:rFonts w:cs="Arial"/>
              </w:rPr>
              <w:t>± 0.</w:t>
            </w:r>
            <w:r w:rsidR="00733600">
              <w:rPr>
                <w:rFonts w:cs="Arial"/>
              </w:rPr>
              <w:t>66</w:t>
            </w:r>
          </w:p>
        </w:tc>
        <w:tc>
          <w:tcPr>
            <w:tcW w:w="1276" w:type="dxa"/>
            <w:tcBorders>
              <w:bottom w:val="single" w:sz="12" w:space="0" w:color="008000"/>
            </w:tcBorders>
            <w:shd w:val="clear" w:color="auto" w:fill="FFFFFF"/>
          </w:tcPr>
          <w:p w14:paraId="247E9ACF" w14:textId="77777777" w:rsidR="00F32AAC" w:rsidRPr="00B57B36" w:rsidRDefault="00C74ED9" w:rsidP="003313F7">
            <w:pPr>
              <w:pStyle w:val="CETBodytext"/>
              <w:rPr>
                <w:lang w:val="en-GB"/>
              </w:rPr>
            </w:pPr>
            <w:r>
              <w:rPr>
                <w:lang w:val="en-GB"/>
              </w:rPr>
              <w:t>61.6 ± 12.</w:t>
            </w:r>
            <w:r w:rsidR="00F32AAC" w:rsidRPr="00244770">
              <w:rPr>
                <w:lang w:val="en-GB"/>
              </w:rPr>
              <w:t>3</w:t>
            </w:r>
          </w:p>
        </w:tc>
        <w:tc>
          <w:tcPr>
            <w:tcW w:w="1134" w:type="dxa"/>
            <w:tcBorders>
              <w:bottom w:val="single" w:sz="12" w:space="0" w:color="008000"/>
            </w:tcBorders>
            <w:shd w:val="clear" w:color="auto" w:fill="FFFFFF"/>
          </w:tcPr>
          <w:p w14:paraId="2805ADC0" w14:textId="77777777" w:rsidR="00F32AAC" w:rsidRPr="00B57B36" w:rsidRDefault="00C74ED9" w:rsidP="003313F7">
            <w:pPr>
              <w:pStyle w:val="CETBodytext"/>
              <w:rPr>
                <w:lang w:val="en-GB"/>
              </w:rPr>
            </w:pPr>
            <w:r>
              <w:rPr>
                <w:lang w:val="en-GB"/>
              </w:rPr>
              <w:t>39.6 ± 1.</w:t>
            </w:r>
            <w:r w:rsidR="00F32AAC" w:rsidRPr="00244770">
              <w:rPr>
                <w:lang w:val="en-GB"/>
              </w:rPr>
              <w:t>1</w:t>
            </w:r>
          </w:p>
        </w:tc>
        <w:tc>
          <w:tcPr>
            <w:tcW w:w="992" w:type="dxa"/>
            <w:tcBorders>
              <w:bottom w:val="single" w:sz="12" w:space="0" w:color="008000"/>
            </w:tcBorders>
            <w:shd w:val="clear" w:color="auto" w:fill="FFFFFF"/>
          </w:tcPr>
          <w:p w14:paraId="7CE75B37" w14:textId="77777777" w:rsidR="00F32AAC" w:rsidRPr="00B57B36" w:rsidRDefault="00C74ED9" w:rsidP="003313F7">
            <w:pPr>
              <w:pStyle w:val="CETBodytext"/>
              <w:ind w:right="-1"/>
              <w:rPr>
                <w:rFonts w:cs="Arial"/>
                <w:szCs w:val="18"/>
                <w:lang w:val="en-GB"/>
              </w:rPr>
            </w:pPr>
            <w:r>
              <w:rPr>
                <w:rFonts w:cs="Arial"/>
                <w:szCs w:val="18"/>
                <w:lang w:val="en-GB"/>
              </w:rPr>
              <w:t>0.95 ± 0.</w:t>
            </w:r>
            <w:r w:rsidR="00F32AAC" w:rsidRPr="00244770">
              <w:rPr>
                <w:rFonts w:cs="Arial"/>
                <w:szCs w:val="18"/>
                <w:lang w:val="en-GB"/>
              </w:rPr>
              <w:t>00</w:t>
            </w:r>
          </w:p>
        </w:tc>
        <w:tc>
          <w:tcPr>
            <w:tcW w:w="993" w:type="dxa"/>
            <w:tcBorders>
              <w:bottom w:val="single" w:sz="12" w:space="0" w:color="008000"/>
            </w:tcBorders>
            <w:shd w:val="clear" w:color="auto" w:fill="FFFFFF"/>
          </w:tcPr>
          <w:p w14:paraId="52A33D39" w14:textId="77777777" w:rsidR="00F32AAC" w:rsidRPr="00B57B36" w:rsidRDefault="00C74ED9" w:rsidP="001804E6">
            <w:pPr>
              <w:pStyle w:val="CETBodytext"/>
              <w:ind w:left="141" w:right="-1" w:hanging="141"/>
              <w:rPr>
                <w:rFonts w:cs="Arial"/>
                <w:szCs w:val="18"/>
                <w:lang w:val="en-GB"/>
              </w:rPr>
            </w:pPr>
            <w:r>
              <w:rPr>
                <w:rFonts w:cs="Arial"/>
                <w:szCs w:val="18"/>
                <w:lang w:val="en-GB"/>
              </w:rPr>
              <w:t>1.</w:t>
            </w:r>
            <w:r w:rsidR="00F32AAC" w:rsidRPr="00244770">
              <w:rPr>
                <w:rFonts w:cs="Arial"/>
                <w:szCs w:val="18"/>
                <w:lang w:val="en-GB"/>
              </w:rPr>
              <w:t>000</w:t>
            </w:r>
          </w:p>
        </w:tc>
      </w:tr>
    </w:tbl>
    <w:p w14:paraId="08887ECF" w14:textId="77777777" w:rsidR="0049634A" w:rsidRDefault="0049634A" w:rsidP="0049634A">
      <w:pPr>
        <w:pStyle w:val="CETBodytext"/>
        <w:keepNext/>
        <w:spacing w:line="240" w:lineRule="auto"/>
      </w:pPr>
    </w:p>
    <w:p w14:paraId="77758E1B" w14:textId="77777777" w:rsidR="008658D9" w:rsidRDefault="008658D9" w:rsidP="0049634A">
      <w:pPr>
        <w:pStyle w:val="CETBodytext"/>
        <w:keepNext/>
        <w:spacing w:line="240" w:lineRule="auto"/>
      </w:pPr>
    </w:p>
    <w:p w14:paraId="73D9A9E0" w14:textId="77777777" w:rsidR="008658D9" w:rsidRDefault="008658D9" w:rsidP="0049634A">
      <w:pPr>
        <w:pStyle w:val="CETBodytext"/>
        <w:keepNext/>
        <w:spacing w:line="240" w:lineRule="auto"/>
      </w:pPr>
      <w:r>
        <w:rPr>
          <w:noProof/>
          <w:lang w:val="pt-BR" w:eastAsia="pt-BR"/>
        </w:rPr>
        <w:drawing>
          <wp:inline distT="0" distB="0" distL="0" distR="0" wp14:anchorId="4D9E60AD" wp14:editId="4FEFBB84">
            <wp:extent cx="2700000" cy="2231284"/>
            <wp:effectExtent l="0" t="0" r="571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2231284"/>
                    </a:xfrm>
                    <a:prstGeom prst="rect">
                      <a:avLst/>
                    </a:prstGeom>
                    <a:noFill/>
                  </pic:spPr>
                </pic:pic>
              </a:graphicData>
            </a:graphic>
          </wp:inline>
        </w:drawing>
      </w:r>
    </w:p>
    <w:p w14:paraId="0056F130" w14:textId="6DA69C69" w:rsidR="004C58FD" w:rsidRDefault="0049634A" w:rsidP="0049634A">
      <w:pPr>
        <w:pStyle w:val="CETCaption"/>
      </w:pPr>
      <w:bookmarkStart w:id="2" w:name="_Ref532823896"/>
      <w:r>
        <w:t xml:space="preserve">Figure </w:t>
      </w:r>
      <w:r>
        <w:fldChar w:fldCharType="begin"/>
      </w:r>
      <w:r>
        <w:instrText xml:space="preserve"> SEQ Figure \* ARABIC </w:instrText>
      </w:r>
      <w:r>
        <w:fldChar w:fldCharType="separate"/>
      </w:r>
      <w:r w:rsidR="00521E6F">
        <w:rPr>
          <w:noProof/>
        </w:rPr>
        <w:t>1</w:t>
      </w:r>
      <w:r>
        <w:fldChar w:fldCharType="end"/>
      </w:r>
      <w:bookmarkEnd w:id="2"/>
      <w:r>
        <w:t xml:space="preserve">: </w:t>
      </w:r>
      <w:r w:rsidRPr="00383253">
        <w:t xml:space="preserve">Apparent viscosity as a function of the </w:t>
      </w:r>
      <w:r>
        <w:t>shear</w:t>
      </w:r>
      <w:r w:rsidRPr="00383253">
        <w:t xml:space="preserve"> rate for</w:t>
      </w:r>
      <w:r>
        <w:t xml:space="preserve"> acacia</w:t>
      </w:r>
      <w:r w:rsidRPr="00383253">
        <w:t xml:space="preserve"> gum solutions at 25ºC.</w:t>
      </w:r>
    </w:p>
    <w:p w14:paraId="226F66D3" w14:textId="77777777" w:rsidR="004C58FD" w:rsidRDefault="00AB59B5" w:rsidP="00AB59B5">
      <w:pPr>
        <w:pStyle w:val="CETheadingx"/>
      </w:pPr>
      <w:r>
        <w:t>A</w:t>
      </w:r>
      <w:r w:rsidR="001F1D3A" w:rsidRPr="001F1D3A">
        <w:t>gglomeration process</w:t>
      </w:r>
      <w:r w:rsidR="001F1D3A">
        <w:t xml:space="preserve"> and</w:t>
      </w:r>
      <w:r>
        <w:t xml:space="preserve"> particle growth kinetic </w:t>
      </w:r>
    </w:p>
    <w:p w14:paraId="26C882D3" w14:textId="77777777" w:rsidR="00511192" w:rsidRDefault="00C74ED9" w:rsidP="00511192">
      <w:pPr>
        <w:pStyle w:val="CETBodytext"/>
      </w:pPr>
      <w:r>
        <w:rPr>
          <w:lang w:val="en-GB"/>
        </w:rPr>
        <w:t xml:space="preserve">The </w:t>
      </w:r>
      <w:r>
        <w:t>PPI</w:t>
      </w:r>
      <w:r w:rsidR="00F553CC">
        <w:rPr>
          <w:lang w:val="en-GB"/>
        </w:rPr>
        <w:t xml:space="preserve"> density was </w:t>
      </w:r>
      <w:r w:rsidR="00F553CC" w:rsidRPr="00F553CC">
        <w:rPr>
          <w:rFonts w:eastAsiaTheme="minorHAnsi" w:cs="Arial"/>
          <w:szCs w:val="18"/>
        </w:rPr>
        <w:t>1.2659 ± 0.0035 g/cm</w:t>
      </w:r>
      <w:r w:rsidR="00F553CC" w:rsidRPr="00F553CC">
        <w:rPr>
          <w:rFonts w:eastAsiaTheme="minorHAnsi" w:cs="Arial"/>
          <w:szCs w:val="18"/>
          <w:vertAlign w:val="superscript"/>
        </w:rPr>
        <w:t>3</w:t>
      </w:r>
      <w:r w:rsidR="008C59E5">
        <w:rPr>
          <w:rFonts w:eastAsiaTheme="minorHAnsi" w:cs="Arial"/>
          <w:szCs w:val="18"/>
        </w:rPr>
        <w:t xml:space="preserve"> and</w:t>
      </w:r>
      <w:r w:rsidR="00F553CC">
        <w:rPr>
          <w:rFonts w:eastAsiaTheme="minorHAnsi" w:cs="Arial"/>
          <w:szCs w:val="18"/>
        </w:rPr>
        <w:t xml:space="preserve"> its </w:t>
      </w:r>
      <w:r w:rsidR="00F553CC" w:rsidRPr="00F553CC">
        <w:rPr>
          <w:rFonts w:eastAsiaTheme="minorHAnsi" w:cs="Arial"/>
          <w:szCs w:val="18"/>
        </w:rPr>
        <w:t xml:space="preserve">characteristic sizes D10v, D50v and D90v </w:t>
      </w:r>
      <w:r w:rsidR="00F553CC">
        <w:rPr>
          <w:rFonts w:eastAsiaTheme="minorHAnsi" w:cs="Arial"/>
          <w:szCs w:val="18"/>
        </w:rPr>
        <w:t>were</w:t>
      </w:r>
      <w:r>
        <w:t xml:space="preserve"> 33.30 ± 0.17; 81.00 ± 0.61 e 181.92 ± 1.</w:t>
      </w:r>
      <w:r w:rsidR="00F553CC" w:rsidRPr="00F553CC">
        <w:t xml:space="preserve">93 μm, </w:t>
      </w:r>
      <w:r w:rsidR="00F553CC" w:rsidRPr="00F553CC">
        <w:rPr>
          <w:rFonts w:eastAsiaTheme="minorHAnsi" w:cs="Arial"/>
          <w:szCs w:val="18"/>
        </w:rPr>
        <w:t>respectively</w:t>
      </w:r>
      <w:r w:rsidR="008C59E5">
        <w:t>. T</w:t>
      </w:r>
      <w:r w:rsidR="008C59E5" w:rsidRPr="008C59E5">
        <w:t>he</w:t>
      </w:r>
      <w:r w:rsidR="00EB591D">
        <w:t xml:space="preserve"> raw material</w:t>
      </w:r>
      <w:r w:rsidR="008C59E5" w:rsidRPr="008C59E5">
        <w:t xml:space="preserve"> </w:t>
      </w:r>
      <w:r w:rsidR="00EB591D">
        <w:t>fluidization behavior could be classified a</w:t>
      </w:r>
      <w:r w:rsidR="00511192">
        <w:t>s pertaining to Geldart group A and the mi</w:t>
      </w:r>
      <w:r>
        <w:t>nimum fluidizing air velocity (v</w:t>
      </w:r>
      <w:r w:rsidR="00511192" w:rsidRPr="00511192">
        <w:rPr>
          <w:vertAlign w:val="subscript"/>
        </w:rPr>
        <w:t>mf</w:t>
      </w:r>
      <w:r>
        <w:t>) was equal to 0.31 m/</w:t>
      </w:r>
      <w:r w:rsidR="00511192" w:rsidRPr="00511192">
        <w:t>s</w:t>
      </w:r>
      <w:r w:rsidR="00511192">
        <w:t>.</w:t>
      </w:r>
      <w:r w:rsidR="00511192" w:rsidRPr="00511192">
        <w:t xml:space="preserve"> </w:t>
      </w:r>
    </w:p>
    <w:p w14:paraId="0453584E" w14:textId="73189C35" w:rsidR="00870CA6" w:rsidRPr="00870CA6" w:rsidRDefault="00D768D6" w:rsidP="00F167E3">
      <w:pPr>
        <w:pStyle w:val="CETBodytext"/>
      </w:pPr>
      <w:r w:rsidRPr="00D768D6">
        <w:t xml:space="preserve">The agglomeration </w:t>
      </w:r>
      <w:r w:rsidR="00A3602A">
        <w:t xml:space="preserve">tests were </w:t>
      </w:r>
      <w:r w:rsidR="007E5EF3">
        <w:t>reproducible,</w:t>
      </w:r>
      <w:r w:rsidR="00A3602A">
        <w:t xml:space="preserve"> </w:t>
      </w:r>
      <w:r w:rsidR="00A3602A" w:rsidRPr="00A3602A">
        <w:t xml:space="preserve">and the two acacia gum solutions were efficient binder for the </w:t>
      </w:r>
      <w:r w:rsidR="00C74ED9">
        <w:t>PPI</w:t>
      </w:r>
      <w:r w:rsidRPr="00D768D6">
        <w:t xml:space="preserve">, as shown in Figure </w:t>
      </w:r>
      <w:r w:rsidR="00552E0B">
        <w:t>2</w:t>
      </w:r>
      <w:r w:rsidRPr="00D768D6">
        <w:t>.</w:t>
      </w:r>
      <w:r w:rsidR="00E23A5F">
        <w:t xml:space="preserve"> </w:t>
      </w:r>
      <w:r w:rsidR="00E23A5F" w:rsidRPr="00554585">
        <w:t>The PPI median particle si</w:t>
      </w:r>
      <w:r w:rsidR="00510EB8" w:rsidRPr="00554585">
        <w:t>ze (</w:t>
      </w:r>
      <w:r w:rsidR="00E23A5F" w:rsidRPr="00554585">
        <w:t>D50v</w:t>
      </w:r>
      <w:r w:rsidR="00510EB8" w:rsidRPr="00554585">
        <w:t>)</w:t>
      </w:r>
      <w:r w:rsidR="00E23A5F" w:rsidRPr="00554585">
        <w:t xml:space="preserve"> was 297.5 </w:t>
      </w:r>
      <w:r w:rsidR="00E23A5F" w:rsidRPr="00554585">
        <w:rPr>
          <w:rFonts w:cs="Arial"/>
        </w:rPr>
        <w:t>±</w:t>
      </w:r>
      <w:r w:rsidR="00C74ED9" w:rsidRPr="00554585">
        <w:t xml:space="preserve"> 6.2 </w:t>
      </w:r>
      <w:r w:rsidR="00E23A5F" w:rsidRPr="00554585">
        <w:rPr>
          <w:rFonts w:cs="Arial"/>
        </w:rPr>
        <w:t>µ</w:t>
      </w:r>
      <w:r w:rsidR="00C74ED9" w:rsidRPr="00554585">
        <w:t>m</w:t>
      </w:r>
      <w:r w:rsidR="008F2AE5" w:rsidRPr="00554585">
        <w:t xml:space="preserve"> </w:t>
      </w:r>
      <w:r w:rsidR="000D5FDC" w:rsidRPr="00554585">
        <w:t>to</w:t>
      </w:r>
      <w:r w:rsidR="008F2AE5" w:rsidRPr="00554585">
        <w:t xml:space="preserve"> the agglomeration</w:t>
      </w:r>
      <w:r w:rsidR="00510EB8" w:rsidRPr="00554585">
        <w:t>s</w:t>
      </w:r>
      <w:r w:rsidR="008F2AE5" w:rsidRPr="00554585">
        <w:t xml:space="preserve"> process</w:t>
      </w:r>
      <w:r w:rsidR="00510EB8" w:rsidRPr="00554585">
        <w:t>es</w:t>
      </w:r>
      <w:r w:rsidR="008F2AE5" w:rsidRPr="00554585">
        <w:t xml:space="preserve"> with 0.7 %</w:t>
      </w:r>
      <w:r w:rsidR="00510EB8" w:rsidRPr="00554585">
        <w:t xml:space="preserve"> </w:t>
      </w:r>
      <w:r w:rsidR="008F2AE5" w:rsidRPr="00554585">
        <w:t xml:space="preserve">(w/w) solution and 370.7 </w:t>
      </w:r>
      <w:r w:rsidR="008F2AE5" w:rsidRPr="00554585">
        <w:rPr>
          <w:rFonts w:cs="Arial"/>
        </w:rPr>
        <w:t>± 7.1 µ</w:t>
      </w:r>
      <w:r w:rsidR="00C74ED9" w:rsidRPr="00554585">
        <w:t>m</w:t>
      </w:r>
      <w:r w:rsidR="008F2AE5" w:rsidRPr="00554585">
        <w:t xml:space="preserve"> </w:t>
      </w:r>
      <w:r w:rsidR="000D5FDC" w:rsidRPr="00554585">
        <w:t xml:space="preserve">to the agglomerations processes with </w:t>
      </w:r>
      <w:r w:rsidR="008F2AE5" w:rsidRPr="00554585">
        <w:t>20.0 % (w/w)</w:t>
      </w:r>
      <w:r w:rsidR="00510EB8" w:rsidRPr="00554585">
        <w:t xml:space="preserve"> solution.</w:t>
      </w:r>
      <w:r w:rsidR="00554585" w:rsidRPr="00554585">
        <w:t xml:space="preserve"> </w:t>
      </w:r>
      <w:r w:rsidR="00870CA6" w:rsidRPr="00870CA6">
        <w:t>The increase in particle size was relatively higher than that observed by Dacanal and Menegali (2010) for of soy protein agglomeration using maltodextrin solutions (10 and 50 %) and similar to that observed by Andreola et al., 2016 for rice protein using hydrolyzed collagen solution (10 and 30 %) as binder.</w:t>
      </w:r>
    </w:p>
    <w:p w14:paraId="754F962A" w14:textId="0358E4EF" w:rsidR="00F167E3" w:rsidRPr="002E152C" w:rsidRDefault="00C541D9" w:rsidP="00F167E3">
      <w:pPr>
        <w:pStyle w:val="CETBodytext"/>
      </w:pPr>
      <w:r>
        <w:t>T</w:t>
      </w:r>
      <w:r w:rsidR="000D5FDC" w:rsidRPr="000D5FDC">
        <w:t>he</w:t>
      </w:r>
      <w:r>
        <w:t xml:space="preserve"> </w:t>
      </w:r>
      <w:r w:rsidRPr="000D5FDC">
        <w:t>binder solution</w:t>
      </w:r>
      <w:r>
        <w:t xml:space="preserve"> </w:t>
      </w:r>
      <w:r w:rsidRPr="000D5FDC">
        <w:t>concentration</w:t>
      </w:r>
      <w:r w:rsidR="000D5FDC" w:rsidRPr="000D5FDC">
        <w:t xml:space="preserve"> increase </w:t>
      </w:r>
      <w:r w:rsidRPr="00C541D9">
        <w:t xml:space="preserve">promoted a larger increase </w:t>
      </w:r>
      <w:r>
        <w:t>on PPI</w:t>
      </w:r>
      <w:r w:rsidRPr="00C541D9">
        <w:t xml:space="preserve"> particle size</w:t>
      </w:r>
      <w:r w:rsidR="00004942">
        <w:t xml:space="preserve">. </w:t>
      </w:r>
      <w:r w:rsidR="00DD5AFA" w:rsidRPr="00DD5AFA">
        <w:t>Several factors can affect the adhesion strength between the particles and their growth, the binder solution viscosity and interfacial parameters that involve the binder surface ten</w:t>
      </w:r>
      <w:r w:rsidR="00DD5AFA">
        <w:t>sion are among the main factors</w:t>
      </w:r>
      <w:r w:rsidR="005330D8">
        <w:t xml:space="preserve"> (Hemati et al., 2003)</w:t>
      </w:r>
      <w:r w:rsidR="00CE586F" w:rsidRPr="00DD5AFA">
        <w:t xml:space="preserve">. </w:t>
      </w:r>
      <w:r w:rsidR="00E11A70" w:rsidRPr="00E11A70">
        <w:t>The agglomeration process involves the wetting of the particles followed by the collision between moist particles which may aggregate together or simply rebound.</w:t>
      </w:r>
      <w:r w:rsidR="00E11A70">
        <w:t xml:space="preserve"> </w:t>
      </w:r>
      <w:r w:rsidR="00E16F36" w:rsidRPr="00E16F36">
        <w:t xml:space="preserve">The rebound ratio will be lower for more viscous binders that </w:t>
      </w:r>
      <w:r w:rsidR="00E16F36" w:rsidRPr="00E16F36">
        <w:lastRenderedPageBreak/>
        <w:t>are able to dissipate the kinetic energy</w:t>
      </w:r>
      <w:r w:rsidR="00F72BD2" w:rsidRPr="00E16F36">
        <w:t xml:space="preserve"> for successful aggregation</w:t>
      </w:r>
      <w:r w:rsidR="002E152C">
        <w:t xml:space="preserve"> (Tan et al., 2006)</w:t>
      </w:r>
      <w:r w:rsidR="00F72BD2" w:rsidRPr="00E16F36">
        <w:t>.</w:t>
      </w:r>
      <w:r w:rsidR="00D8048D">
        <w:t xml:space="preserve"> </w:t>
      </w:r>
      <w:r w:rsidR="009A7582" w:rsidRPr="0010578A">
        <w:t>For the studied conditions, the increase in the gum acacia concentration resulted on a small change at the binder solution surface tension as shown at Table 1. So, the largest particle increase, when a 20.0 % (w/w) binder solution was used, was attributed to the increase at the binder solution viscosity</w:t>
      </w:r>
      <w:r w:rsidR="009A7582">
        <w:t xml:space="preserve">. </w:t>
      </w:r>
      <w:r w:rsidR="00C504DE" w:rsidRPr="00C504DE">
        <w:t xml:space="preserve">Similar behaviors were observed for rice protein </w:t>
      </w:r>
      <w:r w:rsidR="00FB2653">
        <w:t xml:space="preserve">concentrate </w:t>
      </w:r>
      <w:r w:rsidR="00C504DE" w:rsidRPr="00C504DE">
        <w:t xml:space="preserve">agglomeration when the </w:t>
      </w:r>
      <w:r w:rsidR="0007766B" w:rsidRPr="00C504DE">
        <w:t xml:space="preserve">hydrolyzed collagen solution </w:t>
      </w:r>
      <w:r w:rsidR="00C504DE" w:rsidRPr="00C504DE">
        <w:t xml:space="preserve">concentration </w:t>
      </w:r>
      <w:r w:rsidR="003E7ED8">
        <w:t>increased from 10</w:t>
      </w:r>
      <w:r w:rsidR="003E7ED8" w:rsidRPr="00C504DE">
        <w:t xml:space="preserve"> </w:t>
      </w:r>
      <w:r w:rsidR="00C504DE" w:rsidRPr="00C504DE">
        <w:t>% to 30</w:t>
      </w:r>
      <w:r w:rsidR="00C74ED9">
        <w:t xml:space="preserve"> </w:t>
      </w:r>
      <w:r w:rsidR="00C504DE" w:rsidRPr="00C504DE">
        <w:t>%</w:t>
      </w:r>
      <w:r w:rsidR="003E7ED8">
        <w:t xml:space="preserve"> (w/w)</w:t>
      </w:r>
      <w:r w:rsidR="002E152C">
        <w:t xml:space="preserve"> </w:t>
      </w:r>
      <w:r w:rsidR="005330D8" w:rsidRPr="005330D8">
        <w:t>(Andreola et al., 2016b</w:t>
      </w:r>
      <w:r w:rsidR="002E152C" w:rsidRPr="005330D8">
        <w:t>)</w:t>
      </w:r>
      <w:r w:rsidR="00F167E3">
        <w:t xml:space="preserve"> </w:t>
      </w:r>
      <w:r w:rsidR="00FB2653">
        <w:t xml:space="preserve">and </w:t>
      </w:r>
      <w:r w:rsidR="009B5EB1">
        <w:t xml:space="preserve">also </w:t>
      </w:r>
      <w:r w:rsidR="00FB2653" w:rsidRPr="00FB2653">
        <w:t>for the agglomeration of soy protein isolate with maltodextrin solutions when the concentration increased from 0 to 10</w:t>
      </w:r>
      <w:r w:rsidR="001804E6">
        <w:t xml:space="preserve"> </w:t>
      </w:r>
      <w:r w:rsidR="00FB2653" w:rsidRPr="00FB2653">
        <w:t>%</w:t>
      </w:r>
      <w:r w:rsidR="00FB2653">
        <w:t xml:space="preserve"> (w/w)</w:t>
      </w:r>
      <w:r w:rsidR="002E152C">
        <w:t xml:space="preserve"> (Dacanal and Menegalli, 2010)</w:t>
      </w:r>
      <w:r w:rsidR="005330D8">
        <w:t>.</w:t>
      </w:r>
    </w:p>
    <w:p w14:paraId="0940CE56" w14:textId="646F6B82" w:rsidR="00EB1D9B" w:rsidRDefault="0011332D" w:rsidP="00F167E3">
      <w:pPr>
        <w:pStyle w:val="CETBodytext"/>
      </w:pPr>
      <w:r w:rsidRPr="0011332D">
        <w:t xml:space="preserve">Agglomeration kinetics </w:t>
      </w:r>
      <w:r>
        <w:t xml:space="preserve">that presents </w:t>
      </w:r>
      <w:r w:rsidR="0086631C" w:rsidRPr="0011332D">
        <w:rPr>
          <w:rFonts w:eastAsiaTheme="minorHAnsi" w:cs="Arial"/>
          <w:szCs w:val="18"/>
        </w:rPr>
        <w:t>the median particle size</w:t>
      </w:r>
      <w:r w:rsidR="0086631C">
        <w:t xml:space="preserve"> </w:t>
      </w:r>
      <w:r w:rsidRPr="0011332D">
        <w:rPr>
          <w:rFonts w:eastAsiaTheme="minorHAnsi" w:cs="Arial"/>
          <w:szCs w:val="18"/>
        </w:rPr>
        <w:t xml:space="preserve">evolution </w:t>
      </w:r>
      <w:r w:rsidRPr="0011332D">
        <w:t xml:space="preserve">for </w:t>
      </w:r>
      <w:r w:rsidR="00452FB5" w:rsidRPr="00452FB5">
        <w:t xml:space="preserve">each of the </w:t>
      </w:r>
      <w:r w:rsidR="00452FB5">
        <w:t xml:space="preserve">agglomeration </w:t>
      </w:r>
      <w:r w:rsidR="00452FB5" w:rsidRPr="00452FB5">
        <w:t xml:space="preserve">conditions tested are </w:t>
      </w:r>
      <w:r w:rsidRPr="0011332D">
        <w:t xml:space="preserve">shown in </w:t>
      </w:r>
      <w:r w:rsidR="00452FB5">
        <w:t>F</w:t>
      </w:r>
      <w:r w:rsidRPr="0011332D">
        <w:t>igure</w:t>
      </w:r>
      <w:r w:rsidR="00452FB5">
        <w:t xml:space="preserve"> 2.</w:t>
      </w:r>
      <w:r w:rsidR="00C07331">
        <w:t xml:space="preserve"> </w:t>
      </w:r>
      <w:r w:rsidR="00C07331" w:rsidRPr="00C07331">
        <w:t>It is possible to observe that the</w:t>
      </w:r>
      <w:r w:rsidR="001F72BD">
        <w:t xml:space="preserve"> increase at binder solution concentration </w:t>
      </w:r>
      <w:r w:rsidR="001F72BD" w:rsidRPr="001F72BD">
        <w:t>modified</w:t>
      </w:r>
      <w:r w:rsidR="001F72BD">
        <w:t xml:space="preserve"> the particle growth behavior. </w:t>
      </w:r>
      <w:r w:rsidR="00EB1D9B" w:rsidRPr="00EB1D9B">
        <w:t>In the tests using a binder solution with a concentration equal to 0.7</w:t>
      </w:r>
      <w:r w:rsidR="001804E6">
        <w:t xml:space="preserve"> % (w/</w:t>
      </w:r>
      <w:r w:rsidR="00EB1D9B" w:rsidRPr="00EB1D9B">
        <w:t>w), the growth was continuous and less accentuated than in that test in which a binder solution with a concentration equal to 20.0</w:t>
      </w:r>
      <w:r w:rsidR="001804E6">
        <w:t xml:space="preserve"> % (w/</w:t>
      </w:r>
      <w:r w:rsidR="00EB1D9B" w:rsidRPr="00EB1D9B">
        <w:t>w).</w:t>
      </w:r>
      <w:r w:rsidR="00351165">
        <w:t xml:space="preserve"> </w:t>
      </w:r>
      <w:r w:rsidR="000919A8" w:rsidRPr="000919A8">
        <w:t>When the most concentrated binder solution was used, the growth rate was high during almost all the process and decrease in the last minutes</w:t>
      </w:r>
      <w:r w:rsidR="00351165" w:rsidRPr="00351165">
        <w:t>. In addition, a small breakage of the granules can also be observed. This behavior may indicate that a bead boundary size has been reached for these conditions.</w:t>
      </w:r>
    </w:p>
    <w:p w14:paraId="16385D23" w14:textId="77777777" w:rsidR="00B93E43" w:rsidRDefault="00B93E43" w:rsidP="00F167E3">
      <w:pPr>
        <w:pStyle w:val="CETBodytext"/>
      </w:pPr>
    </w:p>
    <w:p w14:paraId="0B59BB6B" w14:textId="77777777" w:rsidR="00B93E43" w:rsidRDefault="00B93E43" w:rsidP="00F167E3">
      <w:pPr>
        <w:pStyle w:val="CETBodytext"/>
      </w:pPr>
      <w:r>
        <w:rPr>
          <w:noProof/>
          <w:lang w:val="pt-BR" w:eastAsia="pt-BR"/>
        </w:rPr>
        <w:drawing>
          <wp:inline distT="0" distB="0" distL="0" distR="0" wp14:anchorId="3AF99BA8" wp14:editId="14D55AAB">
            <wp:extent cx="5472000" cy="25771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2000" cy="2577160"/>
                    </a:xfrm>
                    <a:prstGeom prst="rect">
                      <a:avLst/>
                    </a:prstGeom>
                    <a:noFill/>
                  </pic:spPr>
                </pic:pic>
              </a:graphicData>
            </a:graphic>
          </wp:inline>
        </w:drawing>
      </w:r>
    </w:p>
    <w:p w14:paraId="0C77B817" w14:textId="77777777" w:rsidR="00400EDA" w:rsidRPr="00C15E6A" w:rsidRDefault="00C15E6A" w:rsidP="00C15E6A">
      <w:pPr>
        <w:pStyle w:val="CETCaption"/>
      </w:pPr>
      <w:r>
        <w:t>Figure 2: G</w:t>
      </w:r>
      <w:r w:rsidRPr="00C15E6A">
        <w:t>rowth kinetics of the PPI particle</w:t>
      </w:r>
      <w:r>
        <w:t>s for (a) test 1</w:t>
      </w:r>
      <w:r w:rsidR="00121C79">
        <w:t>, with 0.7 % (w/w) solution</w:t>
      </w:r>
      <w:r>
        <w:t xml:space="preserve"> and (b) test 2</w:t>
      </w:r>
      <w:r w:rsidR="00121C79">
        <w:t>, with 20.0 % (w/w) solution</w:t>
      </w:r>
      <w:r w:rsidR="00B93E43">
        <w:t>.</w:t>
      </w:r>
    </w:p>
    <w:p w14:paraId="67DDF104" w14:textId="048D3135" w:rsidR="00F162A5" w:rsidRDefault="008E065B" w:rsidP="008B583A">
      <w:pPr>
        <w:pStyle w:val="CETBodytext"/>
        <w:rPr>
          <w:rFonts w:eastAsiaTheme="minorHAnsi"/>
        </w:rPr>
      </w:pPr>
      <w:r w:rsidRPr="008E065B">
        <w:rPr>
          <w:rFonts w:eastAsiaTheme="minorHAnsi"/>
        </w:rPr>
        <w:t>The process yield was 44.7 ± 3.2</w:t>
      </w:r>
      <w:r w:rsidR="001804E6">
        <w:rPr>
          <w:rFonts w:eastAsiaTheme="minorHAnsi"/>
        </w:rPr>
        <w:t xml:space="preserve"> </w:t>
      </w:r>
      <w:r w:rsidRPr="008E065B">
        <w:rPr>
          <w:rFonts w:eastAsiaTheme="minorHAnsi"/>
        </w:rPr>
        <w:t>% when the</w:t>
      </w:r>
      <w:r>
        <w:rPr>
          <w:rFonts w:eastAsiaTheme="minorHAnsi"/>
        </w:rPr>
        <w:t xml:space="preserve"> 0.7</w:t>
      </w:r>
      <w:r w:rsidR="001804E6">
        <w:rPr>
          <w:rFonts w:eastAsiaTheme="minorHAnsi"/>
        </w:rPr>
        <w:t xml:space="preserve"> </w:t>
      </w:r>
      <w:r>
        <w:rPr>
          <w:rFonts w:eastAsiaTheme="minorHAnsi"/>
        </w:rPr>
        <w:t>% (w/</w:t>
      </w:r>
      <w:r w:rsidRPr="008E065B">
        <w:rPr>
          <w:rFonts w:eastAsiaTheme="minorHAnsi"/>
        </w:rPr>
        <w:t>w) binder solution was used</w:t>
      </w:r>
      <w:r w:rsidR="00B96078">
        <w:rPr>
          <w:rFonts w:eastAsiaTheme="minorHAnsi"/>
        </w:rPr>
        <w:t xml:space="preserve"> and </w:t>
      </w:r>
      <w:r w:rsidR="00B96078" w:rsidRPr="00B96078">
        <w:rPr>
          <w:rFonts w:eastAsiaTheme="minorHAnsi"/>
        </w:rPr>
        <w:t>61.3 ± 3.6</w:t>
      </w:r>
      <w:r w:rsidR="001804E6">
        <w:rPr>
          <w:rFonts w:eastAsiaTheme="minorHAnsi"/>
        </w:rPr>
        <w:t xml:space="preserve"> </w:t>
      </w:r>
      <w:r w:rsidR="00B96078" w:rsidRPr="00B96078">
        <w:rPr>
          <w:rFonts w:eastAsiaTheme="minorHAnsi"/>
        </w:rPr>
        <w:t>% for the agglomeration processes with the 20</w:t>
      </w:r>
      <w:r w:rsidR="001804E6">
        <w:rPr>
          <w:rFonts w:eastAsiaTheme="minorHAnsi"/>
        </w:rPr>
        <w:t xml:space="preserve"> </w:t>
      </w:r>
      <w:r w:rsidR="00B96078" w:rsidRPr="00B96078">
        <w:rPr>
          <w:rFonts w:eastAsiaTheme="minorHAnsi"/>
        </w:rPr>
        <w:t>% (w/w)</w:t>
      </w:r>
      <w:r w:rsidR="00B96078">
        <w:rPr>
          <w:rFonts w:eastAsiaTheme="minorHAnsi"/>
        </w:rPr>
        <w:t xml:space="preserve"> solution.</w:t>
      </w:r>
      <w:r w:rsidR="00283ED3">
        <w:rPr>
          <w:rFonts w:eastAsiaTheme="minorHAnsi"/>
        </w:rPr>
        <w:t xml:space="preserve"> </w:t>
      </w:r>
      <w:r w:rsidR="00CB6E92" w:rsidRPr="00283ED3">
        <w:rPr>
          <w:rFonts w:eastAsiaTheme="minorHAnsi"/>
        </w:rPr>
        <w:t xml:space="preserve">Thereby, </w:t>
      </w:r>
      <w:r w:rsidR="00283ED3" w:rsidRPr="00283ED3">
        <w:rPr>
          <w:rFonts w:eastAsiaTheme="minorHAnsi"/>
        </w:rPr>
        <w:t xml:space="preserve">the increase </w:t>
      </w:r>
      <w:r w:rsidR="00283ED3">
        <w:rPr>
          <w:rFonts w:eastAsiaTheme="minorHAnsi"/>
        </w:rPr>
        <w:t>at</w:t>
      </w:r>
      <w:r w:rsidR="00283ED3" w:rsidRPr="00283ED3">
        <w:rPr>
          <w:rFonts w:eastAsiaTheme="minorHAnsi"/>
        </w:rPr>
        <w:t xml:space="preserve"> the</w:t>
      </w:r>
      <w:r w:rsidR="00283ED3">
        <w:rPr>
          <w:rFonts w:eastAsiaTheme="minorHAnsi"/>
        </w:rPr>
        <w:t xml:space="preserve"> </w:t>
      </w:r>
      <w:r w:rsidR="00283ED3" w:rsidRPr="00283ED3">
        <w:rPr>
          <w:rFonts w:eastAsiaTheme="minorHAnsi"/>
        </w:rPr>
        <w:t>binder solution concentration provided higher yield</w:t>
      </w:r>
      <w:r w:rsidR="00283ED3">
        <w:rPr>
          <w:rFonts w:eastAsiaTheme="minorHAnsi"/>
        </w:rPr>
        <w:t>.</w:t>
      </w:r>
      <w:r w:rsidR="00F162A5">
        <w:rPr>
          <w:rFonts w:eastAsiaTheme="minorHAnsi"/>
        </w:rPr>
        <w:t xml:space="preserve"> The faster increase at</w:t>
      </w:r>
      <w:r w:rsidR="00F162A5" w:rsidRPr="00F162A5">
        <w:rPr>
          <w:rFonts w:eastAsiaTheme="minorHAnsi"/>
        </w:rPr>
        <w:t xml:space="preserve"> </w:t>
      </w:r>
      <w:r w:rsidR="00F162A5">
        <w:rPr>
          <w:rFonts w:eastAsiaTheme="minorHAnsi"/>
        </w:rPr>
        <w:t xml:space="preserve">the </w:t>
      </w:r>
      <w:r w:rsidR="00F162A5" w:rsidRPr="00F162A5">
        <w:rPr>
          <w:rFonts w:eastAsiaTheme="minorHAnsi"/>
        </w:rPr>
        <w:t>particle size for the test 2 explains this result, since the main</w:t>
      </w:r>
      <w:r w:rsidR="008F12C7">
        <w:rPr>
          <w:rFonts w:eastAsiaTheme="minorHAnsi"/>
        </w:rPr>
        <w:t xml:space="preserve"> material</w:t>
      </w:r>
      <w:r w:rsidR="00F162A5" w:rsidRPr="00F162A5">
        <w:rPr>
          <w:rFonts w:eastAsiaTheme="minorHAnsi"/>
        </w:rPr>
        <w:t xml:space="preserve"> loss factor was the entrainment of the fine particles. </w:t>
      </w:r>
      <w:r w:rsidR="00801D1C" w:rsidRPr="00801D1C">
        <w:rPr>
          <w:rFonts w:eastAsiaTheme="minorHAnsi"/>
        </w:rPr>
        <w:t>Th</w:t>
      </w:r>
      <w:r w:rsidR="00801D1C">
        <w:rPr>
          <w:rFonts w:eastAsiaTheme="minorHAnsi"/>
        </w:rPr>
        <w:t>is</w:t>
      </w:r>
      <w:r w:rsidR="00801D1C" w:rsidRPr="00801D1C">
        <w:rPr>
          <w:rFonts w:eastAsiaTheme="minorHAnsi"/>
        </w:rPr>
        <w:t xml:space="preserve"> highe</w:t>
      </w:r>
      <w:r w:rsidR="00801D1C">
        <w:rPr>
          <w:rFonts w:eastAsiaTheme="minorHAnsi"/>
        </w:rPr>
        <w:t>r</w:t>
      </w:r>
      <w:r w:rsidR="00801D1C" w:rsidRPr="00801D1C">
        <w:rPr>
          <w:rFonts w:eastAsiaTheme="minorHAnsi"/>
        </w:rPr>
        <w:t xml:space="preserve"> particle growth rate</w:t>
      </w:r>
      <w:r w:rsidR="00276A36">
        <w:rPr>
          <w:rFonts w:eastAsiaTheme="minorHAnsi"/>
        </w:rPr>
        <w:t xml:space="preserve"> </w:t>
      </w:r>
      <w:r w:rsidR="00801D1C" w:rsidRPr="00801D1C">
        <w:rPr>
          <w:rFonts w:eastAsiaTheme="minorHAnsi"/>
        </w:rPr>
        <w:t>reduces</w:t>
      </w:r>
      <w:r w:rsidR="00276A36">
        <w:rPr>
          <w:rFonts w:eastAsiaTheme="minorHAnsi"/>
        </w:rPr>
        <w:t xml:space="preserve"> </w:t>
      </w:r>
      <w:r w:rsidR="00276A36" w:rsidRPr="00276A36">
        <w:rPr>
          <w:rFonts w:eastAsiaTheme="minorHAnsi"/>
        </w:rPr>
        <w:t>faster</w:t>
      </w:r>
      <w:r w:rsidR="00276A36">
        <w:rPr>
          <w:rFonts w:eastAsiaTheme="minorHAnsi"/>
        </w:rPr>
        <w:t xml:space="preserve"> </w:t>
      </w:r>
      <w:r w:rsidR="00801D1C" w:rsidRPr="00801D1C">
        <w:rPr>
          <w:rFonts w:eastAsiaTheme="minorHAnsi"/>
        </w:rPr>
        <w:t xml:space="preserve">the amount of very fine particles and thus </w:t>
      </w:r>
      <w:r w:rsidR="00801D1C" w:rsidRPr="008B583A">
        <w:t>decreases</w:t>
      </w:r>
      <w:r w:rsidR="00801D1C" w:rsidRPr="00801D1C">
        <w:rPr>
          <w:rFonts w:eastAsiaTheme="minorHAnsi"/>
        </w:rPr>
        <w:t xml:space="preserve"> the amount of material entrained</w:t>
      </w:r>
      <w:r w:rsidR="008B583A">
        <w:rPr>
          <w:rFonts w:eastAsiaTheme="minorHAnsi"/>
        </w:rPr>
        <w:t xml:space="preserve">. </w:t>
      </w:r>
      <w:r w:rsidR="008B583A" w:rsidRPr="008B583A">
        <w:rPr>
          <w:rFonts w:eastAsiaTheme="minorHAnsi"/>
        </w:rPr>
        <w:t xml:space="preserve">It is possible to notice that for </w:t>
      </w:r>
      <w:r w:rsidR="008B583A">
        <w:rPr>
          <w:rFonts w:eastAsiaTheme="minorHAnsi"/>
        </w:rPr>
        <w:t xml:space="preserve">the </w:t>
      </w:r>
      <w:r w:rsidR="008B583A" w:rsidRPr="008B583A">
        <w:rPr>
          <w:rFonts w:eastAsiaTheme="minorHAnsi"/>
        </w:rPr>
        <w:t>test 1 more than 60.0</w:t>
      </w:r>
      <w:r w:rsidR="001804E6">
        <w:rPr>
          <w:rFonts w:eastAsiaTheme="minorHAnsi"/>
        </w:rPr>
        <w:t xml:space="preserve"> </w:t>
      </w:r>
      <w:r w:rsidR="008B583A" w:rsidRPr="008B583A">
        <w:rPr>
          <w:rFonts w:eastAsiaTheme="minorHAnsi"/>
        </w:rPr>
        <w:t xml:space="preserve">% of the particles are smaller than 150 </w:t>
      </w:r>
      <w:r w:rsidR="008B583A">
        <w:rPr>
          <w:rFonts w:eastAsiaTheme="minorHAnsi"/>
        </w:rPr>
        <w:t>µ</w:t>
      </w:r>
      <w:r w:rsidR="008B583A" w:rsidRPr="008B583A">
        <w:rPr>
          <w:rFonts w:eastAsiaTheme="minorHAnsi"/>
        </w:rPr>
        <w:t xml:space="preserve">m, </w:t>
      </w:r>
      <w:r w:rsidR="008B583A">
        <w:rPr>
          <w:rFonts w:eastAsiaTheme="minorHAnsi"/>
        </w:rPr>
        <w:t>and</w:t>
      </w:r>
      <w:r w:rsidR="008B583A" w:rsidRPr="008B583A">
        <w:rPr>
          <w:rFonts w:eastAsiaTheme="minorHAnsi"/>
        </w:rPr>
        <w:t xml:space="preserve"> for the test 2, at the same time, particles smaller than 150 </w:t>
      </w:r>
      <w:r w:rsidR="008B583A">
        <w:rPr>
          <w:rFonts w:eastAsiaTheme="minorHAnsi"/>
        </w:rPr>
        <w:t>µ</w:t>
      </w:r>
      <w:r w:rsidR="008B583A" w:rsidRPr="008B583A">
        <w:rPr>
          <w:rFonts w:eastAsiaTheme="minorHAnsi"/>
        </w:rPr>
        <w:t>m corresponds to just over 40.0</w:t>
      </w:r>
      <w:r w:rsidR="001804E6">
        <w:rPr>
          <w:rFonts w:eastAsiaTheme="minorHAnsi"/>
        </w:rPr>
        <w:t xml:space="preserve"> </w:t>
      </w:r>
      <w:r w:rsidR="008B583A" w:rsidRPr="008B583A">
        <w:rPr>
          <w:rFonts w:eastAsiaTheme="minorHAnsi"/>
        </w:rPr>
        <w:t>%.</w:t>
      </w:r>
    </w:p>
    <w:p w14:paraId="48741C2A" w14:textId="703E921E" w:rsidR="00AF199D" w:rsidRDefault="00F03474" w:rsidP="008B583A">
      <w:pPr>
        <w:pStyle w:val="CETBodytext"/>
        <w:spacing w:before="240"/>
      </w:pPr>
      <w:r>
        <w:rPr>
          <w:noProof/>
          <w:lang w:val="pt-BR" w:eastAsia="pt-BR"/>
        </w:rPr>
        <w:drawing>
          <wp:inline distT="0" distB="0" distL="0" distR="0" wp14:anchorId="3828F973" wp14:editId="6D10E1FE">
            <wp:extent cx="3020768" cy="1692000"/>
            <wp:effectExtent l="0" t="0" r="8255"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0768" cy="1692000"/>
                    </a:xfrm>
                    <a:prstGeom prst="rect">
                      <a:avLst/>
                    </a:prstGeom>
                    <a:noFill/>
                  </pic:spPr>
                </pic:pic>
              </a:graphicData>
            </a:graphic>
          </wp:inline>
        </w:drawing>
      </w:r>
    </w:p>
    <w:p w14:paraId="29695ECF" w14:textId="77777777" w:rsidR="00BE6D90" w:rsidRPr="00C15E6A" w:rsidRDefault="00BE6D90" w:rsidP="00554585">
      <w:pPr>
        <w:pStyle w:val="CETCaption"/>
        <w:spacing w:before="0"/>
      </w:pPr>
      <w:r>
        <w:t>Figure 3: Particle size distributions at fractions and the cumulative curve obtained by Parsum probe after 3 minutes</w:t>
      </w:r>
      <w:r w:rsidR="00D50418">
        <w:t xml:space="preserve"> </w:t>
      </w:r>
      <w:r>
        <w:t>process agglomeration for (a) test 1</w:t>
      </w:r>
      <w:r w:rsidR="001804E6">
        <w:t xml:space="preserve"> and</w:t>
      </w:r>
      <w:r>
        <w:t xml:space="preserve"> (b) test 2.</w:t>
      </w:r>
    </w:p>
    <w:p w14:paraId="4A670616" w14:textId="77777777" w:rsidR="00BE6D90" w:rsidRDefault="002C1964" w:rsidP="00A67F57">
      <w:pPr>
        <w:pStyle w:val="CETheadingx"/>
      </w:pPr>
      <w:r w:rsidRPr="002C1964">
        <w:lastRenderedPageBreak/>
        <w:t xml:space="preserve">Characterization of </w:t>
      </w:r>
      <w:r w:rsidR="0047043B">
        <w:t xml:space="preserve">raw and </w:t>
      </w:r>
      <w:r w:rsidRPr="002C1964">
        <w:t>agglomerated pea protein isolate</w:t>
      </w:r>
    </w:p>
    <w:p w14:paraId="6D61607E" w14:textId="217C3CFC" w:rsidR="00474D27" w:rsidRDefault="009B5EB1" w:rsidP="0047043B">
      <w:pPr>
        <w:pStyle w:val="CETBodytext"/>
      </w:pPr>
      <w:r>
        <w:t>The m</w:t>
      </w:r>
      <w:r w:rsidR="001804E6">
        <w:t>aterial moisture content,</w:t>
      </w:r>
      <w:r w:rsidR="00474D27" w:rsidRPr="00474D27">
        <w:t xml:space="preserve"> I</w:t>
      </w:r>
      <w:r w:rsidR="00474D27" w:rsidRPr="00474D27">
        <w:rPr>
          <w:vertAlign w:val="subscript"/>
        </w:rPr>
        <w:t>Carr</w:t>
      </w:r>
      <w:r w:rsidR="001804E6">
        <w:t xml:space="preserve"> and</w:t>
      </w:r>
      <w:r w:rsidR="00474D27" w:rsidRPr="00474D27">
        <w:t xml:space="preserve"> flowability </w:t>
      </w:r>
      <w:r w:rsidR="00474D27">
        <w:t xml:space="preserve">for the raw and agglomerated PPI </w:t>
      </w:r>
      <w:r w:rsidR="00474D27" w:rsidRPr="00474D27">
        <w:t>are shown at Table 2</w:t>
      </w:r>
      <w:r w:rsidR="0020510E">
        <w:t xml:space="preserve"> and Figure 4</w:t>
      </w:r>
      <w:r w:rsidR="00474D27" w:rsidRPr="00474D27">
        <w:t>.</w:t>
      </w:r>
      <w:r w:rsidR="00474D27">
        <w:t xml:space="preserve"> </w:t>
      </w:r>
      <w:r w:rsidR="00474D27" w:rsidRPr="00474D27">
        <w:t xml:space="preserve">The moisture content varied according to the </w:t>
      </w:r>
      <w:r w:rsidR="00474D27">
        <w:t xml:space="preserve">test </w:t>
      </w:r>
      <w:r w:rsidR="00474D27" w:rsidRPr="00474D27">
        <w:t>conditions used</w:t>
      </w:r>
      <w:r w:rsidR="00AB09B2">
        <w:t xml:space="preserve">. </w:t>
      </w:r>
      <w:r w:rsidR="00AB09B2" w:rsidRPr="00AB09B2">
        <w:t>The agglomeration process with less concentrated solution produced granules with moisture above the limit established by the raw material</w:t>
      </w:r>
      <w:r w:rsidR="00DA21C6">
        <w:t xml:space="preserve"> supplier</w:t>
      </w:r>
      <w:r w:rsidR="00AB09B2" w:rsidRPr="00AB09B2">
        <w:t>.</w:t>
      </w:r>
      <w:r w:rsidR="00F92CDA">
        <w:t xml:space="preserve"> </w:t>
      </w:r>
      <w:r w:rsidR="00F92CDA" w:rsidRPr="00F92CDA">
        <w:t xml:space="preserve">The high moisture content may </w:t>
      </w:r>
      <w:r w:rsidR="00F92CDA">
        <w:t>reduce</w:t>
      </w:r>
      <w:r w:rsidR="00F92CDA" w:rsidRPr="00F92CDA">
        <w:t xml:space="preserve"> the </w:t>
      </w:r>
      <w:r w:rsidR="00F92CDA">
        <w:t xml:space="preserve">material </w:t>
      </w:r>
      <w:r w:rsidR="00F92CDA" w:rsidRPr="00F92CDA">
        <w:t xml:space="preserve">stability during </w:t>
      </w:r>
      <w:r w:rsidR="00F92CDA">
        <w:t xml:space="preserve">the </w:t>
      </w:r>
      <w:r w:rsidR="00F92CDA" w:rsidRPr="00F92CDA">
        <w:t>storage</w:t>
      </w:r>
      <w:r w:rsidR="00F92CDA">
        <w:t>.</w:t>
      </w:r>
      <w:r w:rsidR="006C35AF">
        <w:t xml:space="preserve"> </w:t>
      </w:r>
      <w:r w:rsidR="006C35AF" w:rsidRPr="006C35AF">
        <w:t xml:space="preserve">This could be bypassed with a drying period shortly after </w:t>
      </w:r>
      <w:r w:rsidR="00F14033">
        <w:t xml:space="preserve">the end </w:t>
      </w:r>
      <w:r w:rsidR="00663BD6">
        <w:t>of the</w:t>
      </w:r>
      <w:r w:rsidR="00F14033">
        <w:t xml:space="preserve"> </w:t>
      </w:r>
      <w:r w:rsidR="006C35AF" w:rsidRPr="006C35AF">
        <w:t>of the binder solution</w:t>
      </w:r>
      <w:r w:rsidR="00903D48">
        <w:t xml:space="preserve"> </w:t>
      </w:r>
      <w:r w:rsidR="00903D48" w:rsidRPr="006C35AF">
        <w:t>sprinkling</w:t>
      </w:r>
      <w:r w:rsidR="006C35AF" w:rsidRPr="006C35AF">
        <w:t>.</w:t>
      </w:r>
      <w:r w:rsidR="00B02629">
        <w:t xml:space="preserve"> </w:t>
      </w:r>
      <w:r w:rsidR="002B3712" w:rsidRPr="002B3712">
        <w:t xml:space="preserve">In contrast, when using more concentrated solution the material moisture was within the limit and lower than the raw material moisture, </w:t>
      </w:r>
      <w:r w:rsidR="0061404B" w:rsidRPr="0061404B">
        <w:t>even though there is no drying period after spraying the binder solution</w:t>
      </w:r>
      <w:r w:rsidR="0061404B">
        <w:t>. The PPI flowability level changed from fair to very good for the agglomerated produced on both conditions.</w:t>
      </w:r>
      <w:r w:rsidR="00035405">
        <w:t xml:space="preserve"> </w:t>
      </w:r>
      <w:r w:rsidR="00035405" w:rsidRPr="00035405">
        <w:t>In this way, the</w:t>
      </w:r>
      <w:r w:rsidR="00035405">
        <w:t xml:space="preserve"> </w:t>
      </w:r>
      <w:r w:rsidR="00035405" w:rsidRPr="00035405">
        <w:t>binder solution</w:t>
      </w:r>
      <w:r w:rsidR="00035405">
        <w:t xml:space="preserve"> </w:t>
      </w:r>
      <w:r w:rsidR="00035405" w:rsidRPr="00035405">
        <w:t>concentration did not influence this product characterist</w:t>
      </w:r>
      <w:r w:rsidR="00035405">
        <w:t>ic</w:t>
      </w:r>
      <w:r w:rsidR="00035405" w:rsidRPr="00035405">
        <w:t>.</w:t>
      </w:r>
      <w:r w:rsidR="00101DBF">
        <w:t xml:space="preserve"> Similar result was found for the flowability by</w:t>
      </w:r>
      <w:r w:rsidR="0020510E">
        <w:t xml:space="preserve"> Andreola et al.</w:t>
      </w:r>
      <w:r w:rsidR="005330D8">
        <w:t xml:space="preserve"> </w:t>
      </w:r>
      <w:r w:rsidR="0020510E">
        <w:t>(</w:t>
      </w:r>
      <w:r w:rsidR="005330D8">
        <w:t>2016a</w:t>
      </w:r>
      <w:r w:rsidR="002E152C">
        <w:t>)</w:t>
      </w:r>
      <w:r w:rsidR="00101DBF">
        <w:t>.</w:t>
      </w:r>
      <w:r w:rsidR="00CB49E8">
        <w:t xml:space="preserve"> </w:t>
      </w:r>
      <w:r w:rsidR="00CB49E8" w:rsidRPr="00CB49E8">
        <w:t>The PPI obtained during the agglomeration with 0.7</w:t>
      </w:r>
      <w:r w:rsidR="001804E6">
        <w:t xml:space="preserve"> </w:t>
      </w:r>
      <w:r w:rsidR="00CB49E8" w:rsidRPr="00CB49E8">
        <w:t>% solution showed shorter wetting time</w:t>
      </w:r>
      <w:r w:rsidR="00CB49E8">
        <w:t xml:space="preserve"> </w:t>
      </w:r>
      <w:r w:rsidR="00CB49E8" w:rsidRPr="00CB49E8">
        <w:t>but the reduction in wetting time was also quite significant for the agglomerate with 20.0</w:t>
      </w:r>
      <w:r w:rsidR="001804E6">
        <w:t xml:space="preserve"> </w:t>
      </w:r>
      <w:r w:rsidR="00CB49E8" w:rsidRPr="00CB49E8">
        <w:t xml:space="preserve">% solution when compared to the wetting time of the raw </w:t>
      </w:r>
      <w:r w:rsidR="00CB49E8">
        <w:t>PPI</w:t>
      </w:r>
      <w:r w:rsidR="00CB49E8" w:rsidRPr="00CB49E8">
        <w:t>.</w:t>
      </w:r>
      <w:r w:rsidR="0061404B">
        <w:t xml:space="preserve"> </w:t>
      </w:r>
    </w:p>
    <w:p w14:paraId="4BBFAE32" w14:textId="77777777" w:rsidR="00105306" w:rsidRPr="00D768D6" w:rsidRDefault="00D768D6" w:rsidP="00D768D6">
      <w:pPr>
        <w:pStyle w:val="CETTabletitle"/>
        <w:rPr>
          <w:lang w:val="en-US"/>
        </w:rPr>
      </w:pPr>
      <w:r>
        <w:t>Table 2: Properties</w:t>
      </w:r>
      <w:r w:rsidRPr="00D768D6">
        <w:t xml:space="preserve"> of raw and agglomerated </w:t>
      </w:r>
      <w:r>
        <w:t>pea protein isolate.</w:t>
      </w:r>
    </w:p>
    <w:tbl>
      <w:tblPr>
        <w:tblW w:w="7088"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127"/>
        <w:gridCol w:w="1417"/>
        <w:gridCol w:w="1276"/>
        <w:gridCol w:w="1417"/>
        <w:gridCol w:w="851"/>
      </w:tblGrid>
      <w:tr w:rsidR="003B1185" w:rsidRPr="00B57B36" w14:paraId="390A33DD" w14:textId="77777777" w:rsidTr="009A7582">
        <w:trPr>
          <w:trHeight w:val="270"/>
        </w:trPr>
        <w:tc>
          <w:tcPr>
            <w:tcW w:w="2127" w:type="dxa"/>
            <w:tcBorders>
              <w:top w:val="single" w:sz="12" w:space="0" w:color="008000"/>
              <w:bottom w:val="single" w:sz="8" w:space="0" w:color="008000"/>
            </w:tcBorders>
            <w:shd w:val="clear" w:color="auto" w:fill="FFFFFF"/>
          </w:tcPr>
          <w:p w14:paraId="138A87B6" w14:textId="77777777" w:rsidR="003B1185" w:rsidRDefault="003B1185" w:rsidP="00F5655C">
            <w:pPr>
              <w:pStyle w:val="CETBodytext"/>
              <w:rPr>
                <w:lang w:val="en-GB"/>
              </w:rPr>
            </w:pPr>
            <w:r>
              <w:rPr>
                <w:lang w:val="en-GB"/>
              </w:rPr>
              <w:t>Material</w:t>
            </w:r>
          </w:p>
        </w:tc>
        <w:tc>
          <w:tcPr>
            <w:tcW w:w="1417" w:type="dxa"/>
            <w:tcBorders>
              <w:top w:val="single" w:sz="12" w:space="0" w:color="008000"/>
              <w:bottom w:val="single" w:sz="8" w:space="0" w:color="008000"/>
            </w:tcBorders>
            <w:shd w:val="clear" w:color="auto" w:fill="FFFFFF"/>
          </w:tcPr>
          <w:p w14:paraId="448518E6" w14:textId="77777777" w:rsidR="003B1185" w:rsidRPr="00177CBB" w:rsidRDefault="003B1185" w:rsidP="00F5655C">
            <w:r>
              <w:t>X</w:t>
            </w:r>
            <w:r w:rsidR="00190481">
              <w:t xml:space="preserve"> </w:t>
            </w:r>
            <w:r w:rsidR="001804E6">
              <w:t>(</w:t>
            </w:r>
            <w:r w:rsidR="00190481">
              <w:t>%</w:t>
            </w:r>
            <w:r>
              <w:t xml:space="preserve"> (w.b.)</w:t>
            </w:r>
            <w:r w:rsidR="001804E6">
              <w:t>)</w:t>
            </w:r>
          </w:p>
        </w:tc>
        <w:tc>
          <w:tcPr>
            <w:tcW w:w="1276" w:type="dxa"/>
            <w:tcBorders>
              <w:top w:val="single" w:sz="12" w:space="0" w:color="008000"/>
              <w:bottom w:val="single" w:sz="8" w:space="0" w:color="008000"/>
            </w:tcBorders>
            <w:shd w:val="clear" w:color="auto" w:fill="FFFFFF"/>
          </w:tcPr>
          <w:p w14:paraId="411909D8" w14:textId="77777777" w:rsidR="003B1185" w:rsidRPr="00177CBB" w:rsidRDefault="008905C3" w:rsidP="00F5655C">
            <w:pPr>
              <w:pStyle w:val="CETBodytext"/>
              <w:ind w:right="-1"/>
              <w:rPr>
                <w:lang w:val="en-GB"/>
              </w:rPr>
            </w:pPr>
            <w:r>
              <w:rPr>
                <w:lang w:val="en-GB"/>
              </w:rPr>
              <w:t>I</w:t>
            </w:r>
            <w:r w:rsidRPr="008905C3">
              <w:rPr>
                <w:vertAlign w:val="subscript"/>
                <w:lang w:val="en-GB"/>
              </w:rPr>
              <w:t>Carr</w:t>
            </w:r>
            <w:r>
              <w:rPr>
                <w:lang w:val="en-GB"/>
              </w:rPr>
              <w:t xml:space="preserve"> (%)</w:t>
            </w:r>
          </w:p>
        </w:tc>
        <w:tc>
          <w:tcPr>
            <w:tcW w:w="1417" w:type="dxa"/>
            <w:tcBorders>
              <w:top w:val="single" w:sz="12" w:space="0" w:color="008000"/>
              <w:bottom w:val="single" w:sz="8" w:space="0" w:color="008000"/>
            </w:tcBorders>
            <w:shd w:val="clear" w:color="auto" w:fill="FFFFFF"/>
          </w:tcPr>
          <w:p w14:paraId="789B7896" w14:textId="77777777" w:rsidR="003B1185" w:rsidRPr="00C76691" w:rsidRDefault="003B1185" w:rsidP="00F5655C">
            <w:r>
              <w:t>Flowability</w:t>
            </w:r>
          </w:p>
        </w:tc>
        <w:tc>
          <w:tcPr>
            <w:tcW w:w="851" w:type="dxa"/>
            <w:tcBorders>
              <w:top w:val="single" w:sz="12" w:space="0" w:color="008000"/>
              <w:bottom w:val="single" w:sz="8" w:space="0" w:color="008000"/>
            </w:tcBorders>
            <w:shd w:val="clear" w:color="auto" w:fill="FFFFFF"/>
          </w:tcPr>
          <w:p w14:paraId="7F6DF984" w14:textId="77777777" w:rsidR="003B1185" w:rsidRDefault="003B1185" w:rsidP="00F5655C">
            <w:r>
              <w:t>wt (s)</w:t>
            </w:r>
          </w:p>
        </w:tc>
      </w:tr>
      <w:tr w:rsidR="003B1185" w:rsidRPr="00B57B36" w14:paraId="5FA4B0E7" w14:textId="77777777" w:rsidTr="009A7582">
        <w:trPr>
          <w:trHeight w:val="270"/>
        </w:trPr>
        <w:tc>
          <w:tcPr>
            <w:tcW w:w="2127" w:type="dxa"/>
            <w:tcBorders>
              <w:top w:val="single" w:sz="8" w:space="0" w:color="008000"/>
            </w:tcBorders>
            <w:shd w:val="clear" w:color="auto" w:fill="FFFFFF"/>
          </w:tcPr>
          <w:p w14:paraId="57748950" w14:textId="77777777" w:rsidR="003B1185" w:rsidRDefault="003B1185" w:rsidP="00F5655C">
            <w:pPr>
              <w:pStyle w:val="CETBodytext"/>
              <w:rPr>
                <w:lang w:val="en-GB"/>
              </w:rPr>
            </w:pPr>
            <w:r>
              <w:rPr>
                <w:lang w:val="en-GB"/>
              </w:rPr>
              <w:t>Raw PPI</w:t>
            </w:r>
          </w:p>
        </w:tc>
        <w:tc>
          <w:tcPr>
            <w:tcW w:w="1417" w:type="dxa"/>
            <w:tcBorders>
              <w:top w:val="single" w:sz="8" w:space="0" w:color="008000"/>
            </w:tcBorders>
            <w:shd w:val="clear" w:color="auto" w:fill="FFFFFF"/>
          </w:tcPr>
          <w:p w14:paraId="2CC4AEB6" w14:textId="77777777" w:rsidR="003B1185" w:rsidRPr="00244770" w:rsidRDefault="003B1185" w:rsidP="00F5655C">
            <w:pPr>
              <w:pStyle w:val="CETBodytext"/>
              <w:rPr>
                <w:lang w:val="en-GB"/>
              </w:rPr>
            </w:pPr>
            <w:r>
              <w:rPr>
                <w:lang w:val="en-GB"/>
              </w:rPr>
              <w:t xml:space="preserve">7.81 </w:t>
            </w:r>
            <w:r>
              <w:rPr>
                <w:rFonts w:cs="Arial"/>
                <w:lang w:val="en-GB"/>
              </w:rPr>
              <w:t>± 0.14</w:t>
            </w:r>
            <w:r w:rsidR="0034384E" w:rsidRPr="00190481">
              <w:rPr>
                <w:rFonts w:cs="Arial"/>
                <w:vertAlign w:val="superscript"/>
                <w:lang w:val="en-GB"/>
              </w:rPr>
              <w:t>a</w:t>
            </w:r>
          </w:p>
        </w:tc>
        <w:tc>
          <w:tcPr>
            <w:tcW w:w="1276" w:type="dxa"/>
            <w:tcBorders>
              <w:top w:val="single" w:sz="8" w:space="0" w:color="008000"/>
            </w:tcBorders>
            <w:shd w:val="clear" w:color="auto" w:fill="FFFFFF"/>
          </w:tcPr>
          <w:p w14:paraId="106F3E22" w14:textId="77777777" w:rsidR="003B1185" w:rsidRDefault="003B1185" w:rsidP="00F5655C">
            <w:pPr>
              <w:pStyle w:val="CETBodytext"/>
            </w:pPr>
            <w:r>
              <w:t>23</w:t>
            </w:r>
            <w:r w:rsidR="0034384E">
              <w:t>.</w:t>
            </w:r>
            <w:r>
              <w:t xml:space="preserve">5 </w:t>
            </w:r>
            <w:r>
              <w:rPr>
                <w:rFonts w:cs="Arial"/>
              </w:rPr>
              <w:t>±</w:t>
            </w:r>
            <w:r>
              <w:t xml:space="preserve"> 2,7</w:t>
            </w:r>
            <w:r w:rsidR="00FD6CF8" w:rsidRPr="00190481">
              <w:rPr>
                <w:vertAlign w:val="superscript"/>
              </w:rPr>
              <w:t>a</w:t>
            </w:r>
            <w:r>
              <w:t xml:space="preserve"> </w:t>
            </w:r>
          </w:p>
        </w:tc>
        <w:tc>
          <w:tcPr>
            <w:tcW w:w="1417" w:type="dxa"/>
            <w:tcBorders>
              <w:top w:val="single" w:sz="8" w:space="0" w:color="008000"/>
            </w:tcBorders>
            <w:shd w:val="clear" w:color="auto" w:fill="FFFFFF"/>
          </w:tcPr>
          <w:p w14:paraId="16AF52CE" w14:textId="77777777" w:rsidR="003B1185" w:rsidRPr="00244770" w:rsidRDefault="003B1185" w:rsidP="00F5655C">
            <w:pPr>
              <w:pStyle w:val="CETBodytext"/>
              <w:rPr>
                <w:lang w:val="en-GB"/>
              </w:rPr>
            </w:pPr>
            <w:r>
              <w:rPr>
                <w:lang w:val="en-GB"/>
              </w:rPr>
              <w:t>Fair</w:t>
            </w:r>
          </w:p>
        </w:tc>
        <w:tc>
          <w:tcPr>
            <w:tcW w:w="851" w:type="dxa"/>
            <w:tcBorders>
              <w:top w:val="single" w:sz="8" w:space="0" w:color="008000"/>
            </w:tcBorders>
            <w:shd w:val="clear" w:color="auto" w:fill="FFFFFF"/>
          </w:tcPr>
          <w:p w14:paraId="5F086201" w14:textId="77777777" w:rsidR="003B1185" w:rsidRDefault="000955B9" w:rsidP="00F5655C">
            <w:pPr>
              <w:pStyle w:val="CETBodytext"/>
              <w:rPr>
                <w:lang w:val="en-GB"/>
              </w:rPr>
            </w:pPr>
            <w:r>
              <w:rPr>
                <w:lang w:val="en-GB"/>
              </w:rPr>
              <w:t>300</w:t>
            </w:r>
            <w:bookmarkStart w:id="3" w:name="_GoBack"/>
            <w:bookmarkEnd w:id="3"/>
          </w:p>
        </w:tc>
      </w:tr>
      <w:tr w:rsidR="003B1185" w:rsidRPr="00B57B36" w14:paraId="7AC3C61F" w14:textId="77777777" w:rsidTr="009A7582">
        <w:trPr>
          <w:trHeight w:val="270"/>
        </w:trPr>
        <w:tc>
          <w:tcPr>
            <w:tcW w:w="2127" w:type="dxa"/>
            <w:shd w:val="clear" w:color="auto" w:fill="FFFFFF"/>
          </w:tcPr>
          <w:p w14:paraId="4C238760" w14:textId="77777777" w:rsidR="003B1185" w:rsidRDefault="003B1185" w:rsidP="00F5655C">
            <w:pPr>
              <w:pStyle w:val="CETBodytext"/>
              <w:rPr>
                <w:lang w:val="en-GB"/>
              </w:rPr>
            </w:pPr>
            <w:r>
              <w:rPr>
                <w:lang w:val="en-GB"/>
              </w:rPr>
              <w:t>Ag</w:t>
            </w:r>
            <w:r w:rsidR="001804E6">
              <w:rPr>
                <w:lang w:val="en-GB"/>
              </w:rPr>
              <w:t>g</w:t>
            </w:r>
            <w:r>
              <w:rPr>
                <w:lang w:val="en-GB"/>
              </w:rPr>
              <w:t>lomerated test 1</w:t>
            </w:r>
          </w:p>
        </w:tc>
        <w:tc>
          <w:tcPr>
            <w:tcW w:w="1417" w:type="dxa"/>
            <w:shd w:val="clear" w:color="auto" w:fill="FFFFFF"/>
          </w:tcPr>
          <w:p w14:paraId="0A0D5894" w14:textId="77777777" w:rsidR="003B1185" w:rsidRPr="00244770" w:rsidRDefault="003B1185" w:rsidP="00F5655C">
            <w:pPr>
              <w:pStyle w:val="CETBodytext"/>
              <w:rPr>
                <w:lang w:val="en-GB"/>
              </w:rPr>
            </w:pPr>
            <w:r>
              <w:rPr>
                <w:lang w:val="en-GB"/>
              </w:rPr>
              <w:t>9.</w:t>
            </w:r>
            <w:r w:rsidR="00552E0B">
              <w:rPr>
                <w:lang w:val="en-GB"/>
              </w:rPr>
              <w:t>35</w:t>
            </w:r>
            <w:r>
              <w:rPr>
                <w:lang w:val="en-GB"/>
              </w:rPr>
              <w:t xml:space="preserve"> </w:t>
            </w:r>
            <w:r>
              <w:rPr>
                <w:rFonts w:cs="Arial"/>
                <w:lang w:val="en-GB"/>
              </w:rPr>
              <w:t>± 0.</w:t>
            </w:r>
            <w:r w:rsidR="00552E0B">
              <w:rPr>
                <w:rFonts w:cs="Arial"/>
                <w:lang w:val="en-GB"/>
              </w:rPr>
              <w:t>3</w:t>
            </w:r>
            <w:r>
              <w:rPr>
                <w:rFonts w:cs="Arial"/>
                <w:lang w:val="en-GB"/>
              </w:rPr>
              <w:t>2</w:t>
            </w:r>
            <w:r w:rsidR="0034384E" w:rsidRPr="00190481">
              <w:rPr>
                <w:rFonts w:cs="Arial"/>
                <w:vertAlign w:val="superscript"/>
                <w:lang w:val="en-GB"/>
              </w:rPr>
              <w:t>b</w:t>
            </w:r>
          </w:p>
        </w:tc>
        <w:tc>
          <w:tcPr>
            <w:tcW w:w="1276" w:type="dxa"/>
            <w:shd w:val="clear" w:color="auto" w:fill="FFFFFF"/>
          </w:tcPr>
          <w:p w14:paraId="3D0BCC0E" w14:textId="77777777" w:rsidR="003B1185" w:rsidRDefault="0034384E" w:rsidP="00F5655C">
            <w:pPr>
              <w:pStyle w:val="CETBodytext"/>
            </w:pPr>
            <w:r>
              <w:t>13.0</w:t>
            </w:r>
            <w:r w:rsidR="003B1185">
              <w:t xml:space="preserve"> </w:t>
            </w:r>
            <w:r w:rsidR="003B1185">
              <w:rPr>
                <w:rFonts w:cs="Arial"/>
              </w:rPr>
              <w:t>±</w:t>
            </w:r>
            <w:r w:rsidR="003B1185">
              <w:t xml:space="preserve"> </w:t>
            </w:r>
            <w:r>
              <w:t>1.1</w:t>
            </w:r>
            <w:r w:rsidR="00FD6CF8" w:rsidRPr="00190481">
              <w:rPr>
                <w:vertAlign w:val="superscript"/>
              </w:rPr>
              <w:t>b</w:t>
            </w:r>
          </w:p>
        </w:tc>
        <w:tc>
          <w:tcPr>
            <w:tcW w:w="1417" w:type="dxa"/>
            <w:shd w:val="clear" w:color="auto" w:fill="FFFFFF"/>
          </w:tcPr>
          <w:p w14:paraId="08A007F6" w14:textId="77777777" w:rsidR="003B1185" w:rsidRPr="00244770" w:rsidRDefault="003B1185" w:rsidP="00F5655C">
            <w:pPr>
              <w:pStyle w:val="CETBodytext"/>
              <w:rPr>
                <w:lang w:val="en-GB"/>
              </w:rPr>
            </w:pPr>
            <w:r w:rsidRPr="00F5655C">
              <w:rPr>
                <w:lang w:val="en-GB"/>
              </w:rPr>
              <w:t>Very good</w:t>
            </w:r>
          </w:p>
        </w:tc>
        <w:tc>
          <w:tcPr>
            <w:tcW w:w="851" w:type="dxa"/>
            <w:shd w:val="clear" w:color="auto" w:fill="FFFFFF"/>
          </w:tcPr>
          <w:p w14:paraId="7E5E17CB" w14:textId="77777777" w:rsidR="003B1185" w:rsidRPr="00F5655C" w:rsidRDefault="000955B9" w:rsidP="00F5655C">
            <w:pPr>
              <w:pStyle w:val="CETBodytext"/>
              <w:rPr>
                <w:lang w:val="en-GB"/>
              </w:rPr>
            </w:pPr>
            <w:r>
              <w:rPr>
                <w:lang w:val="en-GB"/>
              </w:rPr>
              <w:t>6</w:t>
            </w:r>
          </w:p>
        </w:tc>
      </w:tr>
      <w:tr w:rsidR="00114C2B" w:rsidRPr="00B57B36" w14:paraId="77927BA5" w14:textId="77777777" w:rsidTr="009A7582">
        <w:trPr>
          <w:trHeight w:val="270"/>
        </w:trPr>
        <w:tc>
          <w:tcPr>
            <w:tcW w:w="2127" w:type="dxa"/>
            <w:shd w:val="clear" w:color="auto" w:fill="FFFFFF"/>
          </w:tcPr>
          <w:p w14:paraId="43948B5F" w14:textId="77777777" w:rsidR="00114C2B" w:rsidRDefault="00114C2B" w:rsidP="00F5655C">
            <w:pPr>
              <w:pStyle w:val="CETBodytext"/>
              <w:rPr>
                <w:lang w:val="en-GB"/>
              </w:rPr>
            </w:pPr>
            <w:r>
              <w:rPr>
                <w:lang w:val="en-GB"/>
              </w:rPr>
              <w:t>Ag</w:t>
            </w:r>
            <w:r w:rsidR="001804E6">
              <w:rPr>
                <w:lang w:val="en-GB"/>
              </w:rPr>
              <w:t>g</w:t>
            </w:r>
            <w:r>
              <w:rPr>
                <w:lang w:val="en-GB"/>
              </w:rPr>
              <w:t>lomerated test 2</w:t>
            </w:r>
          </w:p>
        </w:tc>
        <w:tc>
          <w:tcPr>
            <w:tcW w:w="1417" w:type="dxa"/>
            <w:shd w:val="clear" w:color="auto" w:fill="FFFFFF"/>
          </w:tcPr>
          <w:p w14:paraId="34B39BF2" w14:textId="77777777" w:rsidR="00114C2B" w:rsidRPr="00244770" w:rsidRDefault="00552E0B" w:rsidP="00F5655C">
            <w:pPr>
              <w:pStyle w:val="CETBodytext"/>
              <w:rPr>
                <w:lang w:val="en-GB"/>
              </w:rPr>
            </w:pPr>
            <w:r>
              <w:rPr>
                <w:lang w:val="en-GB"/>
              </w:rPr>
              <w:t>6</w:t>
            </w:r>
            <w:r w:rsidR="0034384E">
              <w:rPr>
                <w:lang w:val="en-GB"/>
              </w:rPr>
              <w:t>.</w:t>
            </w:r>
            <w:r>
              <w:rPr>
                <w:lang w:val="en-GB"/>
              </w:rPr>
              <w:t>94</w:t>
            </w:r>
            <w:r w:rsidR="00114C2B">
              <w:rPr>
                <w:lang w:val="en-GB"/>
              </w:rPr>
              <w:t xml:space="preserve"> </w:t>
            </w:r>
            <w:r w:rsidR="00114C2B">
              <w:rPr>
                <w:rFonts w:cs="Arial"/>
                <w:lang w:val="en-GB"/>
              </w:rPr>
              <w:t>± 0.1</w:t>
            </w:r>
            <w:r>
              <w:rPr>
                <w:rFonts w:cs="Arial"/>
                <w:lang w:val="en-GB"/>
              </w:rPr>
              <w:t>1</w:t>
            </w:r>
            <w:r w:rsidR="0034384E" w:rsidRPr="00190481">
              <w:rPr>
                <w:rFonts w:cs="Arial"/>
                <w:vertAlign w:val="superscript"/>
                <w:lang w:val="en-GB"/>
              </w:rPr>
              <w:t>c</w:t>
            </w:r>
          </w:p>
        </w:tc>
        <w:tc>
          <w:tcPr>
            <w:tcW w:w="1276" w:type="dxa"/>
            <w:shd w:val="clear" w:color="auto" w:fill="FFFFFF"/>
          </w:tcPr>
          <w:p w14:paraId="697263FC" w14:textId="77777777" w:rsidR="00114C2B" w:rsidRDefault="00114C2B" w:rsidP="00F5655C">
            <w:pPr>
              <w:pStyle w:val="CETBodytext"/>
            </w:pPr>
            <w:r>
              <w:rPr>
                <w:lang w:val="en-GB"/>
              </w:rPr>
              <w:t xml:space="preserve">13,2 </w:t>
            </w:r>
            <w:r>
              <w:rPr>
                <w:rFonts w:cs="Arial"/>
                <w:lang w:val="en-GB"/>
              </w:rPr>
              <w:t>±</w:t>
            </w:r>
            <w:r>
              <w:rPr>
                <w:lang w:val="en-GB"/>
              </w:rPr>
              <w:t xml:space="preserve"> </w:t>
            </w:r>
            <w:r w:rsidR="0034384E">
              <w:rPr>
                <w:lang w:val="en-GB"/>
              </w:rPr>
              <w:t>1.5</w:t>
            </w:r>
            <w:r w:rsidR="00FD6CF8" w:rsidRPr="00190481">
              <w:rPr>
                <w:vertAlign w:val="superscript"/>
                <w:lang w:val="en-GB"/>
              </w:rPr>
              <w:t>b</w:t>
            </w:r>
          </w:p>
        </w:tc>
        <w:tc>
          <w:tcPr>
            <w:tcW w:w="1417" w:type="dxa"/>
            <w:shd w:val="clear" w:color="auto" w:fill="FFFFFF"/>
          </w:tcPr>
          <w:p w14:paraId="6472A8EA" w14:textId="77777777" w:rsidR="00114C2B" w:rsidRPr="00244770" w:rsidRDefault="00114C2B" w:rsidP="00F5655C">
            <w:pPr>
              <w:pStyle w:val="CETBodytext"/>
              <w:rPr>
                <w:lang w:val="en-GB"/>
              </w:rPr>
            </w:pPr>
            <w:r w:rsidRPr="00F5655C">
              <w:rPr>
                <w:lang w:val="en-GB"/>
              </w:rPr>
              <w:t>Very good</w:t>
            </w:r>
          </w:p>
        </w:tc>
        <w:tc>
          <w:tcPr>
            <w:tcW w:w="851" w:type="dxa"/>
            <w:shd w:val="clear" w:color="auto" w:fill="FFFFFF"/>
          </w:tcPr>
          <w:p w14:paraId="1DC70834" w14:textId="77777777" w:rsidR="00114C2B" w:rsidRPr="00F5655C" w:rsidRDefault="00114C2B" w:rsidP="00F5655C">
            <w:pPr>
              <w:pStyle w:val="CETBodytext"/>
              <w:rPr>
                <w:lang w:val="en-GB"/>
              </w:rPr>
            </w:pPr>
            <w:r>
              <w:rPr>
                <w:lang w:val="en-GB"/>
              </w:rPr>
              <w:t>3</w:t>
            </w:r>
          </w:p>
        </w:tc>
      </w:tr>
    </w:tbl>
    <w:p w14:paraId="499E5117" w14:textId="77777777" w:rsidR="00105306" w:rsidRDefault="00190481" w:rsidP="00190481">
      <w:pPr>
        <w:pStyle w:val="CETBodytext"/>
      </w:pPr>
      <w:r w:rsidRPr="007E57CE">
        <w:t>X: moisture content; I</w:t>
      </w:r>
      <w:r w:rsidRPr="007E57CE">
        <w:rPr>
          <w:vertAlign w:val="subscript"/>
        </w:rPr>
        <w:t>Carr</w:t>
      </w:r>
      <w:r w:rsidRPr="007E57CE">
        <w:t xml:space="preserve">: </w:t>
      </w:r>
      <w:r w:rsidR="00937CF7" w:rsidRPr="007E57CE">
        <w:t xml:space="preserve">Carr index; wt: wetting time. </w:t>
      </w:r>
      <w:r w:rsidRPr="007E57CE">
        <w:t>Mean values in the same column with different letters are significantly different (p &lt; 0.05).</w:t>
      </w:r>
    </w:p>
    <w:p w14:paraId="5999CBC7" w14:textId="77777777" w:rsidR="0020510E" w:rsidRDefault="0020510E" w:rsidP="00190481">
      <w:pPr>
        <w:pStyle w:val="CETBodytext"/>
      </w:pPr>
    </w:p>
    <w:p w14:paraId="7C2B64C2" w14:textId="65271B16" w:rsidR="0020510E" w:rsidRDefault="00075261" w:rsidP="00190481">
      <w:pPr>
        <w:pStyle w:val="CETBodytext"/>
      </w:pPr>
      <w:r>
        <w:rPr>
          <w:noProof/>
          <w:lang w:val="pt-BR" w:eastAsia="pt-BR"/>
        </w:rPr>
        <w:drawing>
          <wp:inline distT="0" distB="0" distL="0" distR="0" wp14:anchorId="2B1196B0" wp14:editId="209A93DC">
            <wp:extent cx="5541645" cy="2895600"/>
            <wp:effectExtent l="0" t="0" r="190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1645" cy="2895600"/>
                    </a:xfrm>
                    <a:prstGeom prst="rect">
                      <a:avLst/>
                    </a:prstGeom>
                    <a:noFill/>
                  </pic:spPr>
                </pic:pic>
              </a:graphicData>
            </a:graphic>
          </wp:inline>
        </w:drawing>
      </w:r>
    </w:p>
    <w:p w14:paraId="27C57405" w14:textId="77777777" w:rsidR="0020510E" w:rsidRPr="004C4838" w:rsidRDefault="0020510E" w:rsidP="0020510E">
      <w:pPr>
        <w:pStyle w:val="CETBodytext"/>
        <w:rPr>
          <w:i/>
        </w:rPr>
      </w:pPr>
      <w:r w:rsidRPr="004C4838">
        <w:rPr>
          <w:i/>
        </w:rPr>
        <w:t xml:space="preserve">Figure 4: Wetting time tests for (a) raw PPI and </w:t>
      </w:r>
      <w:r w:rsidR="004C4838">
        <w:rPr>
          <w:i/>
        </w:rPr>
        <w:t xml:space="preserve">(b) </w:t>
      </w:r>
      <w:r w:rsidRPr="004C4838">
        <w:rPr>
          <w:i/>
        </w:rPr>
        <w:t xml:space="preserve">agglomerated </w:t>
      </w:r>
      <w:r w:rsidR="004C4838">
        <w:rPr>
          <w:i/>
        </w:rPr>
        <w:t>test 1 and (c) agglomerated test 2.</w:t>
      </w:r>
    </w:p>
    <w:p w14:paraId="5D009BF0" w14:textId="77777777" w:rsidR="00742FCB" w:rsidRDefault="00742FCB" w:rsidP="00742FCB">
      <w:pPr>
        <w:pStyle w:val="CETHeading1"/>
      </w:pPr>
      <w:r>
        <w:t>Conclusions</w:t>
      </w:r>
    </w:p>
    <w:p w14:paraId="7B6B21E5" w14:textId="1BD15267" w:rsidR="008658D9" w:rsidRDefault="008658D9" w:rsidP="006410FA">
      <w:pPr>
        <w:pStyle w:val="CETBodytext"/>
      </w:pPr>
      <w:r w:rsidRPr="008658D9">
        <w:t xml:space="preserve">The process and binder solutions used proved to be efficient </w:t>
      </w:r>
      <w:r>
        <w:t xml:space="preserve">for PPI </w:t>
      </w:r>
      <w:r w:rsidR="006410FA" w:rsidRPr="008658D9">
        <w:t>agglomeration.</w:t>
      </w:r>
      <w:r w:rsidR="006410FA" w:rsidRPr="006410FA">
        <w:t xml:space="preserve"> The use of more concentrated solution favors the particle growth kinetics </w:t>
      </w:r>
      <w:r w:rsidRPr="006410FA">
        <w:t xml:space="preserve">and </w:t>
      </w:r>
      <w:r w:rsidR="006410FA" w:rsidRPr="006410FA">
        <w:t xml:space="preserve">the </w:t>
      </w:r>
      <w:r w:rsidR="006410FA">
        <w:t xml:space="preserve">final </w:t>
      </w:r>
      <w:r w:rsidR="006410FA" w:rsidRPr="006410FA">
        <w:t>mean</w:t>
      </w:r>
      <w:r w:rsidR="006410FA">
        <w:t xml:space="preserve"> </w:t>
      </w:r>
      <w:r w:rsidRPr="006410FA">
        <w:t xml:space="preserve">particle size, </w:t>
      </w:r>
      <w:r w:rsidR="006410FA">
        <w:t xml:space="preserve">since the 20.0% w/w solution produced agglomerates 25% higher than the 0.7% w/w one. </w:t>
      </w:r>
      <w:r w:rsidR="00075261" w:rsidRPr="00075261">
        <w:t>However, it is important to emphasize that the concentration of the solution limit</w:t>
      </w:r>
      <w:r w:rsidR="000B0386">
        <w:t>s</w:t>
      </w:r>
      <w:r w:rsidR="00075261" w:rsidRPr="00075261">
        <w:t xml:space="preserve"> by the quality of the formed spray</w:t>
      </w:r>
      <w:r w:rsidR="000B0386">
        <w:t xml:space="preserve"> drops, in our experimental set-up,  since as the concentration increases, the</w:t>
      </w:r>
      <w:r w:rsidR="00075261" w:rsidRPr="00075261">
        <w:t xml:space="preserve"> viscosity </w:t>
      </w:r>
      <w:r w:rsidR="000B0386">
        <w:t xml:space="preserve">also </w:t>
      </w:r>
      <w:r w:rsidR="00075261" w:rsidRPr="00075261">
        <w:t>increases</w:t>
      </w:r>
      <w:r w:rsidR="000B0386">
        <w:t xml:space="preserve"> </w:t>
      </w:r>
      <w:r w:rsidR="00075261" w:rsidRPr="00075261">
        <w:t>.</w:t>
      </w:r>
      <w:r w:rsidR="00075261">
        <w:t xml:space="preserve"> </w:t>
      </w:r>
      <w:r w:rsidRPr="008658D9">
        <w:t>The agglomeration process with 20.0</w:t>
      </w:r>
      <w:r w:rsidR="001804E6">
        <w:t xml:space="preserve"> </w:t>
      </w:r>
      <w:r w:rsidRPr="008658D9">
        <w:t>% solution was also more advantageous than the one using 0.7</w:t>
      </w:r>
      <w:r w:rsidR="001804E6">
        <w:t xml:space="preserve"> </w:t>
      </w:r>
      <w:r w:rsidRPr="008658D9">
        <w:t>% solution, because even in the absence of a drying period it produced granules with adequate moisture for storage. This means a saving of energy and time in the processing of this material. The agglomerated material had good flow properties and a short wetting time.</w:t>
      </w:r>
    </w:p>
    <w:p w14:paraId="1654D17F" w14:textId="77777777" w:rsidR="00870CA6" w:rsidRPr="0054737D" w:rsidRDefault="00870CA6">
      <w:pPr>
        <w:tabs>
          <w:tab w:val="clear" w:pos="7100"/>
        </w:tabs>
        <w:spacing w:after="200" w:line="276" w:lineRule="auto"/>
        <w:jc w:val="left"/>
        <w:rPr>
          <w:b/>
          <w:lang w:val="en-US"/>
        </w:rPr>
      </w:pPr>
      <w:r w:rsidRPr="0054737D">
        <w:rPr>
          <w:lang w:val="en-US"/>
        </w:rPr>
        <w:br w:type="page"/>
      </w:r>
    </w:p>
    <w:p w14:paraId="58005AFB" w14:textId="73DA3CA1" w:rsidR="00E36D5D" w:rsidRPr="004C2619" w:rsidRDefault="00E36D5D" w:rsidP="00E36D5D">
      <w:pPr>
        <w:pStyle w:val="CETAcknowledgementstitle"/>
        <w:rPr>
          <w:lang w:val="pt-BR"/>
        </w:rPr>
      </w:pPr>
      <w:r w:rsidRPr="004C2619">
        <w:rPr>
          <w:lang w:val="pt-BR"/>
        </w:rPr>
        <w:lastRenderedPageBreak/>
        <w:t>Acknowledgments</w:t>
      </w:r>
    </w:p>
    <w:p w14:paraId="20AF34B7" w14:textId="77777777" w:rsidR="00E36D5D" w:rsidRPr="00131570" w:rsidRDefault="00A4187A" w:rsidP="00E36D5D">
      <w:pPr>
        <w:pStyle w:val="CETBodytext"/>
      </w:pPr>
      <w:r w:rsidRPr="00A4187A">
        <w:rPr>
          <w:lang w:val="pt-BR"/>
        </w:rPr>
        <w:t>This study was supported by grants and fellowships from CAPES (Coordenação de Aperfeiçoamento de Pessoal de Nível Superior), CNPq (Conselho Nacional de Desenvolvimento Científico e Tecnológico)</w:t>
      </w:r>
      <w:r>
        <w:rPr>
          <w:lang w:val="pt-BR"/>
        </w:rPr>
        <w:t xml:space="preserve">. </w:t>
      </w:r>
      <w:r w:rsidR="00131570" w:rsidRPr="00131570">
        <w:t>Our Acknowledgments to</w:t>
      </w:r>
      <w:r w:rsidR="00BA3220">
        <w:t xml:space="preserve"> the</w:t>
      </w:r>
      <w:r w:rsidR="00131570" w:rsidRPr="00131570">
        <w:t xml:space="preserve"> Instituto Federal do Esp</w:t>
      </w:r>
      <w:r w:rsidR="00131570">
        <w:t>í</w:t>
      </w:r>
      <w:r w:rsidR="00131570" w:rsidRPr="00131570">
        <w:t xml:space="preserve">rito Santo (Ifes) </w:t>
      </w:r>
      <w:r w:rsidR="00BA3220" w:rsidRPr="00131570">
        <w:t>for</w:t>
      </w:r>
      <w:r w:rsidR="00131570" w:rsidRPr="00131570">
        <w:t xml:space="preserve"> the support and encouragement</w:t>
      </w:r>
      <w:r w:rsidRPr="00131570">
        <w:t>.</w:t>
      </w:r>
    </w:p>
    <w:p w14:paraId="7C8608AC" w14:textId="77777777" w:rsidR="005B26F5" w:rsidRDefault="005B26F5" w:rsidP="005B26F5">
      <w:pPr>
        <w:pStyle w:val="CETReference"/>
        <w:rPr>
          <w:lang w:val="en-US"/>
        </w:rPr>
      </w:pPr>
      <w:r w:rsidRPr="007715D2">
        <w:rPr>
          <w:lang w:val="en-US"/>
        </w:rPr>
        <w:t>References</w:t>
      </w:r>
    </w:p>
    <w:p w14:paraId="3D07B787" w14:textId="77777777" w:rsidR="002E152C" w:rsidRDefault="007B26F1" w:rsidP="005330D8">
      <w:pPr>
        <w:pStyle w:val="CETReference"/>
        <w:spacing w:before="0" w:after="0" w:line="264" w:lineRule="auto"/>
        <w:ind w:left="284" w:hanging="284"/>
        <w:jc w:val="both"/>
        <w:rPr>
          <w:b w:val="0"/>
          <w:lang w:val="en-US"/>
        </w:rPr>
      </w:pPr>
      <w:r>
        <w:rPr>
          <w:b w:val="0"/>
          <w:lang w:val="en-US"/>
        </w:rPr>
        <w:t>Andreola K., Silva</w:t>
      </w:r>
      <w:r w:rsidR="002E152C" w:rsidRPr="007B26F1">
        <w:rPr>
          <w:b w:val="0"/>
          <w:lang w:val="en-US"/>
        </w:rPr>
        <w:t xml:space="preserve"> C.A.M.,</w:t>
      </w:r>
      <w:r>
        <w:rPr>
          <w:b w:val="0"/>
          <w:lang w:val="en-US"/>
        </w:rPr>
        <w:t xml:space="preserve"> Taranto</w:t>
      </w:r>
      <w:r w:rsidR="002E152C" w:rsidRPr="007B26F1">
        <w:rPr>
          <w:b w:val="0"/>
          <w:lang w:val="en-US"/>
        </w:rPr>
        <w:t xml:space="preserve"> O.P., 2016a, </w:t>
      </w:r>
      <w:r w:rsidR="00C20357">
        <w:rPr>
          <w:b w:val="0"/>
          <w:lang w:val="en-US"/>
        </w:rPr>
        <w:t>A</w:t>
      </w:r>
      <w:r w:rsidR="00C20357" w:rsidRPr="007B26F1">
        <w:rPr>
          <w:b w:val="0"/>
          <w:lang w:val="en-US"/>
        </w:rPr>
        <w:t>gglomeration and drying of rice protein concentrate in a rotating pulsed</w:t>
      </w:r>
      <w:r w:rsidR="00C20357">
        <w:rPr>
          <w:b w:val="0"/>
          <w:lang w:val="en-US"/>
        </w:rPr>
        <w:t xml:space="preserve"> fluidized bed: in-line</w:t>
      </w:r>
      <w:r w:rsidR="00C20357" w:rsidRPr="007B26F1">
        <w:rPr>
          <w:b w:val="0"/>
          <w:lang w:val="en-US"/>
        </w:rPr>
        <w:t xml:space="preserve"> </w:t>
      </w:r>
      <w:r w:rsidR="00C20357">
        <w:rPr>
          <w:b w:val="0"/>
          <w:lang w:val="en-US"/>
        </w:rPr>
        <w:t>monitoring of particle size</w:t>
      </w:r>
      <w:r>
        <w:rPr>
          <w:b w:val="0"/>
          <w:lang w:val="en-US"/>
        </w:rPr>
        <w:t>, 20th International Drying Symposium, Gifu, Japan.</w:t>
      </w:r>
    </w:p>
    <w:p w14:paraId="6C18986C" w14:textId="4120B9D7" w:rsidR="007B26F1" w:rsidRDefault="007B26F1" w:rsidP="005330D8">
      <w:pPr>
        <w:pStyle w:val="CETReference"/>
        <w:spacing w:before="0" w:after="0" w:line="264" w:lineRule="auto"/>
        <w:ind w:left="284" w:hanging="284"/>
        <w:jc w:val="both"/>
        <w:rPr>
          <w:b w:val="0"/>
          <w:lang w:val="en-US"/>
        </w:rPr>
      </w:pPr>
      <w:r>
        <w:rPr>
          <w:b w:val="0"/>
          <w:lang w:val="en-US"/>
        </w:rPr>
        <w:t>Andreola K., Silva</w:t>
      </w:r>
      <w:r w:rsidRPr="007B26F1">
        <w:rPr>
          <w:b w:val="0"/>
          <w:lang w:val="en-US"/>
        </w:rPr>
        <w:t xml:space="preserve"> C.A.M., Tara</w:t>
      </w:r>
      <w:r>
        <w:rPr>
          <w:b w:val="0"/>
          <w:lang w:val="en-US"/>
        </w:rPr>
        <w:t>nto O.P., 2016b</w:t>
      </w:r>
      <w:r w:rsidRPr="007B26F1">
        <w:rPr>
          <w:b w:val="0"/>
          <w:lang w:val="en-US"/>
        </w:rPr>
        <w:t xml:space="preserve">, </w:t>
      </w:r>
      <w:r w:rsidR="00C20357">
        <w:rPr>
          <w:b w:val="0"/>
          <w:lang w:val="en-US"/>
        </w:rPr>
        <w:t xml:space="preserve">Production of instant rice protein concentrate by </w:t>
      </w:r>
      <w:r w:rsidR="006410FA">
        <w:rPr>
          <w:b w:val="0"/>
          <w:lang w:val="en-US"/>
        </w:rPr>
        <w:t>rotating pulsed</w:t>
      </w:r>
      <w:r w:rsidR="00C20357">
        <w:rPr>
          <w:b w:val="0"/>
          <w:lang w:val="en-US"/>
        </w:rPr>
        <w:t xml:space="preserve"> fluidized bed agglomeration u</w:t>
      </w:r>
      <w:r w:rsidR="00C20357" w:rsidRPr="00C20357">
        <w:rPr>
          <w:b w:val="0"/>
          <w:lang w:val="en-US"/>
        </w:rPr>
        <w:t>sin</w:t>
      </w:r>
      <w:r w:rsidR="00C20357">
        <w:rPr>
          <w:b w:val="0"/>
          <w:lang w:val="en-US"/>
        </w:rPr>
        <w:t>g hydrolyzed collagen solution as binder,</w:t>
      </w:r>
      <w:r w:rsidR="00C20357" w:rsidRPr="00C20357">
        <w:rPr>
          <w:b w:val="0"/>
          <w:lang w:val="en-US"/>
        </w:rPr>
        <w:t xml:space="preserve"> Chemical Engine</w:t>
      </w:r>
      <w:r w:rsidR="00C20357">
        <w:rPr>
          <w:b w:val="0"/>
          <w:lang w:val="en-US"/>
        </w:rPr>
        <w:t>ering Transactions, 49, 6</w:t>
      </w:r>
      <w:r>
        <w:rPr>
          <w:b w:val="0"/>
          <w:lang w:val="en-US"/>
        </w:rPr>
        <w:t>.</w:t>
      </w:r>
    </w:p>
    <w:p w14:paraId="069C5409" w14:textId="77777777" w:rsidR="007B26F1" w:rsidRDefault="007B26F1" w:rsidP="005330D8">
      <w:pPr>
        <w:pStyle w:val="CETReference"/>
        <w:spacing w:before="0" w:after="0" w:line="264" w:lineRule="auto"/>
        <w:ind w:left="284" w:hanging="284"/>
        <w:jc w:val="both"/>
        <w:rPr>
          <w:b w:val="0"/>
          <w:lang w:val="en-US"/>
        </w:rPr>
      </w:pPr>
      <w:r>
        <w:rPr>
          <w:b w:val="0"/>
          <w:lang w:val="en-US"/>
        </w:rPr>
        <w:t>Boye J.I., Aksay S., Roufik S., Ribéreau S., Mondor M., Farnworth E., Rajamohamed</w:t>
      </w:r>
      <w:r w:rsidR="00C20357">
        <w:rPr>
          <w:b w:val="0"/>
          <w:lang w:val="en-US"/>
        </w:rPr>
        <w:t xml:space="preserve"> S.H., 2010, Comparison of the functional properties of pea, c</w:t>
      </w:r>
      <w:r>
        <w:rPr>
          <w:b w:val="0"/>
          <w:lang w:val="en-US"/>
        </w:rPr>
        <w:t>hickpea a</w:t>
      </w:r>
      <w:r w:rsidR="00C20357">
        <w:rPr>
          <w:b w:val="0"/>
          <w:lang w:val="en-US"/>
        </w:rPr>
        <w:t>nd lentil p</w:t>
      </w:r>
      <w:r w:rsidRPr="007B26F1">
        <w:rPr>
          <w:b w:val="0"/>
          <w:lang w:val="en-US"/>
        </w:rPr>
        <w:t>rote</w:t>
      </w:r>
      <w:r w:rsidR="00C20357">
        <w:rPr>
          <w:b w:val="0"/>
          <w:lang w:val="en-US"/>
        </w:rPr>
        <w:t>in concentrates processed using u</w:t>
      </w:r>
      <w:r>
        <w:rPr>
          <w:b w:val="0"/>
          <w:lang w:val="en-US"/>
        </w:rPr>
        <w:t>ltrafiltration a</w:t>
      </w:r>
      <w:r w:rsidR="00C20357">
        <w:rPr>
          <w:b w:val="0"/>
          <w:lang w:val="en-US"/>
        </w:rPr>
        <w:t>nd i</w:t>
      </w:r>
      <w:r w:rsidRPr="007B26F1">
        <w:rPr>
          <w:b w:val="0"/>
          <w:lang w:val="en-US"/>
        </w:rPr>
        <w:t>soel</w:t>
      </w:r>
      <w:r w:rsidR="00C20357">
        <w:rPr>
          <w:b w:val="0"/>
          <w:lang w:val="en-US"/>
        </w:rPr>
        <w:t>ectric precipitation t</w:t>
      </w:r>
      <w:r>
        <w:rPr>
          <w:b w:val="0"/>
          <w:lang w:val="en-US"/>
        </w:rPr>
        <w:t>echniques,</w:t>
      </w:r>
      <w:r w:rsidRPr="007B26F1">
        <w:rPr>
          <w:b w:val="0"/>
          <w:lang w:val="en-US"/>
        </w:rPr>
        <w:t xml:space="preserve"> </w:t>
      </w:r>
      <w:r w:rsidR="00332AC8">
        <w:rPr>
          <w:b w:val="0"/>
          <w:lang w:val="en-US"/>
        </w:rPr>
        <w:t>Food Research International, 43</w:t>
      </w:r>
      <w:r>
        <w:rPr>
          <w:b w:val="0"/>
          <w:lang w:val="en-US"/>
        </w:rPr>
        <w:t>, 537–</w:t>
      </w:r>
      <w:r w:rsidRPr="007B26F1">
        <w:rPr>
          <w:b w:val="0"/>
          <w:lang w:val="en-US"/>
        </w:rPr>
        <w:t>546</w:t>
      </w:r>
      <w:r>
        <w:rPr>
          <w:b w:val="0"/>
          <w:lang w:val="en-US"/>
        </w:rPr>
        <w:t>.</w:t>
      </w:r>
    </w:p>
    <w:p w14:paraId="365086DB" w14:textId="77777777" w:rsidR="00C20357" w:rsidRDefault="00C20357" w:rsidP="005330D8">
      <w:pPr>
        <w:pStyle w:val="CETReference"/>
        <w:spacing w:before="0" w:after="0" w:line="264" w:lineRule="auto"/>
        <w:ind w:left="284" w:hanging="284"/>
        <w:jc w:val="both"/>
        <w:rPr>
          <w:b w:val="0"/>
          <w:lang w:val="en-US"/>
        </w:rPr>
      </w:pPr>
      <w:r>
        <w:rPr>
          <w:b w:val="0"/>
          <w:lang w:val="en-US"/>
        </w:rPr>
        <w:t>Dacanal G., Menegalli F., 2010, Selection of operational parameters for the production of Instant soy protein isolate by pulsed fluid bed agglomer</w:t>
      </w:r>
      <w:r w:rsidR="00332AC8">
        <w:rPr>
          <w:b w:val="0"/>
          <w:lang w:val="en-US"/>
        </w:rPr>
        <w:t>ation, Powder Technology, 203</w:t>
      </w:r>
      <w:r>
        <w:rPr>
          <w:b w:val="0"/>
          <w:lang w:val="en-US"/>
        </w:rPr>
        <w:t>, 565–573.</w:t>
      </w:r>
    </w:p>
    <w:p w14:paraId="4A525221" w14:textId="77777777" w:rsidR="00C20357" w:rsidRDefault="00C20357" w:rsidP="005330D8">
      <w:pPr>
        <w:pStyle w:val="CETReference"/>
        <w:spacing w:before="0" w:after="0" w:line="264" w:lineRule="auto"/>
        <w:ind w:left="284" w:hanging="284"/>
        <w:jc w:val="both"/>
        <w:rPr>
          <w:b w:val="0"/>
          <w:lang w:val="en-US"/>
        </w:rPr>
      </w:pPr>
      <w:r>
        <w:rPr>
          <w:b w:val="0"/>
          <w:lang w:val="en-US"/>
        </w:rPr>
        <w:t xml:space="preserve">Fuchs M., Turchiuli C., Bohin M., Cuvelier M.E., Ordonnoud C., </w:t>
      </w:r>
      <w:r w:rsidRPr="00C20357">
        <w:rPr>
          <w:b w:val="0"/>
          <w:lang w:val="en-US"/>
        </w:rPr>
        <w:t>Peyrat-Maillard</w:t>
      </w:r>
      <w:r>
        <w:rPr>
          <w:b w:val="0"/>
          <w:lang w:val="en-US"/>
        </w:rPr>
        <w:t xml:space="preserve"> M.N., </w:t>
      </w:r>
      <w:r w:rsidRPr="00C20357">
        <w:rPr>
          <w:b w:val="0"/>
          <w:lang w:val="en-US"/>
        </w:rPr>
        <w:t>Dumoulin</w:t>
      </w:r>
      <w:r>
        <w:rPr>
          <w:b w:val="0"/>
          <w:lang w:val="en-US"/>
        </w:rPr>
        <w:t xml:space="preserve"> E., 2006, Encapsulation of o</w:t>
      </w:r>
      <w:r w:rsidR="00332AC8">
        <w:rPr>
          <w:b w:val="0"/>
          <w:lang w:val="en-US"/>
        </w:rPr>
        <w:t>il in powder using spray drying and fluidised bed agglomeration, Journal o</w:t>
      </w:r>
      <w:r w:rsidRPr="00C20357">
        <w:rPr>
          <w:b w:val="0"/>
          <w:lang w:val="en-US"/>
        </w:rPr>
        <w:t>f Food Engineering, 75,</w:t>
      </w:r>
      <w:r w:rsidR="00332AC8">
        <w:rPr>
          <w:b w:val="0"/>
          <w:lang w:val="en-US"/>
        </w:rPr>
        <w:t xml:space="preserve"> 27–</w:t>
      </w:r>
      <w:r w:rsidRPr="00C20357">
        <w:rPr>
          <w:b w:val="0"/>
          <w:lang w:val="en-US"/>
        </w:rPr>
        <w:t>35</w:t>
      </w:r>
      <w:r>
        <w:rPr>
          <w:b w:val="0"/>
          <w:lang w:val="en-US"/>
        </w:rPr>
        <w:t>.</w:t>
      </w:r>
    </w:p>
    <w:p w14:paraId="53259C45" w14:textId="77777777" w:rsidR="00332AC8" w:rsidRDefault="00332AC8" w:rsidP="005330D8">
      <w:pPr>
        <w:pStyle w:val="CETReference"/>
        <w:spacing w:before="0" w:after="0" w:line="264" w:lineRule="auto"/>
        <w:ind w:left="284" w:hanging="284"/>
        <w:jc w:val="both"/>
        <w:rPr>
          <w:b w:val="0"/>
          <w:lang w:val="en-US"/>
        </w:rPr>
      </w:pPr>
      <w:r>
        <w:rPr>
          <w:b w:val="0"/>
          <w:lang w:val="en-US"/>
        </w:rPr>
        <w:t xml:space="preserve">Hemati M., </w:t>
      </w:r>
      <w:r w:rsidRPr="00332AC8">
        <w:rPr>
          <w:b w:val="0"/>
          <w:lang w:val="en-US"/>
        </w:rPr>
        <w:t>Cherif</w:t>
      </w:r>
      <w:r>
        <w:rPr>
          <w:b w:val="0"/>
          <w:lang w:val="en-US"/>
        </w:rPr>
        <w:t xml:space="preserve"> R.</w:t>
      </w:r>
      <w:r w:rsidRPr="00332AC8">
        <w:rPr>
          <w:b w:val="0"/>
          <w:lang w:val="en-US"/>
        </w:rPr>
        <w:t>, Saleh</w:t>
      </w:r>
      <w:r>
        <w:rPr>
          <w:b w:val="0"/>
          <w:lang w:val="en-US"/>
        </w:rPr>
        <w:t xml:space="preserve"> K.</w:t>
      </w:r>
      <w:r w:rsidRPr="00332AC8">
        <w:rPr>
          <w:b w:val="0"/>
          <w:lang w:val="en-US"/>
        </w:rPr>
        <w:t>, Pont</w:t>
      </w:r>
      <w:r>
        <w:rPr>
          <w:b w:val="0"/>
          <w:lang w:val="en-US"/>
        </w:rPr>
        <w:t xml:space="preserve"> V., 2003, </w:t>
      </w:r>
      <w:r w:rsidRPr="00332AC8">
        <w:rPr>
          <w:b w:val="0"/>
          <w:lang w:val="en-US"/>
        </w:rPr>
        <w:t>Fluidized bed coating and granulation: influence of process-related variables and physicochemical properties on the growth kinetics</w:t>
      </w:r>
      <w:r>
        <w:rPr>
          <w:b w:val="0"/>
          <w:lang w:val="en-US"/>
        </w:rPr>
        <w:t>, Powder Technology, 130, 18–34.</w:t>
      </w:r>
    </w:p>
    <w:p w14:paraId="64E8EC90" w14:textId="77777777" w:rsidR="00332AC8" w:rsidRDefault="00332AC8" w:rsidP="005330D8">
      <w:pPr>
        <w:pStyle w:val="CETReference"/>
        <w:spacing w:before="0" w:after="0" w:line="264" w:lineRule="auto"/>
        <w:ind w:left="284" w:hanging="284"/>
        <w:jc w:val="both"/>
        <w:rPr>
          <w:b w:val="0"/>
          <w:lang w:val="en-US"/>
        </w:rPr>
      </w:pPr>
      <w:r>
        <w:rPr>
          <w:b w:val="0"/>
          <w:lang w:val="en-US"/>
        </w:rPr>
        <w:t>Hogekamp S., Schubert H., 2003, Rehydration of food powders, Food and Science Technology International, 9, 223–235.</w:t>
      </w:r>
    </w:p>
    <w:p w14:paraId="56C846EC" w14:textId="77777777" w:rsidR="00332AC8" w:rsidRDefault="00332AC8" w:rsidP="005330D8">
      <w:pPr>
        <w:pStyle w:val="CETReference"/>
        <w:spacing w:before="0" w:after="0" w:line="264" w:lineRule="auto"/>
        <w:ind w:left="284" w:hanging="284"/>
        <w:jc w:val="both"/>
        <w:rPr>
          <w:b w:val="0"/>
          <w:lang w:val="en-US"/>
        </w:rPr>
      </w:pPr>
      <w:r>
        <w:rPr>
          <w:b w:val="0"/>
          <w:lang w:val="en-US"/>
        </w:rPr>
        <w:t xml:space="preserve">Iveson S.M., Litster J.D., </w:t>
      </w:r>
      <w:r w:rsidRPr="00332AC8">
        <w:rPr>
          <w:b w:val="0"/>
          <w:lang w:val="en-US"/>
        </w:rPr>
        <w:t>Hapgood</w:t>
      </w:r>
      <w:r>
        <w:rPr>
          <w:b w:val="0"/>
          <w:lang w:val="en-US"/>
        </w:rPr>
        <w:t xml:space="preserve"> K., </w:t>
      </w:r>
      <w:r w:rsidRPr="00332AC8">
        <w:rPr>
          <w:b w:val="0"/>
          <w:lang w:val="en-US"/>
        </w:rPr>
        <w:t>Ennis</w:t>
      </w:r>
      <w:r>
        <w:rPr>
          <w:b w:val="0"/>
          <w:lang w:val="en-US"/>
        </w:rPr>
        <w:t xml:space="preserve"> B.J., 2001, </w:t>
      </w:r>
      <w:r w:rsidRPr="00332AC8">
        <w:rPr>
          <w:b w:val="0"/>
          <w:lang w:val="en-US"/>
        </w:rPr>
        <w:t>Nucleation, growth and breakage phenomena in agitated wet granulation processes: a review</w:t>
      </w:r>
      <w:r>
        <w:rPr>
          <w:b w:val="0"/>
          <w:lang w:val="en-US"/>
        </w:rPr>
        <w:t>, Powder Technology, 117, 3–39.</w:t>
      </w:r>
    </w:p>
    <w:p w14:paraId="5C55BA2D" w14:textId="77777777" w:rsidR="00332AC8" w:rsidRDefault="00332AC8" w:rsidP="005330D8">
      <w:pPr>
        <w:pStyle w:val="CETReference"/>
        <w:spacing w:before="0" w:after="0" w:line="264" w:lineRule="auto"/>
        <w:ind w:left="284" w:hanging="284"/>
        <w:jc w:val="both"/>
        <w:rPr>
          <w:b w:val="0"/>
          <w:lang w:val="en-US"/>
        </w:rPr>
      </w:pPr>
      <w:r>
        <w:rPr>
          <w:b w:val="0"/>
          <w:lang w:val="en-US"/>
        </w:rPr>
        <w:t xml:space="preserve">Lam, A.C.Y., Can Karaca A., Tyler R.T., Nickerson M.T., 2018, </w:t>
      </w:r>
      <w:r w:rsidRPr="00332AC8">
        <w:rPr>
          <w:b w:val="0"/>
          <w:lang w:val="en-US"/>
        </w:rPr>
        <w:t>Pea protein isolates: Structure, extraction, and functionality</w:t>
      </w:r>
      <w:r>
        <w:rPr>
          <w:b w:val="0"/>
          <w:lang w:val="en-US"/>
        </w:rPr>
        <w:t>, Food Reviews International, 34, 126–147.</w:t>
      </w:r>
    </w:p>
    <w:p w14:paraId="5FD44682" w14:textId="77777777" w:rsidR="004D38B1" w:rsidRPr="004D38B1" w:rsidRDefault="004D38B1" w:rsidP="005330D8">
      <w:pPr>
        <w:pStyle w:val="CETReference"/>
        <w:spacing w:before="0" w:after="0" w:line="264" w:lineRule="auto"/>
        <w:ind w:left="284" w:hanging="284"/>
        <w:jc w:val="both"/>
        <w:rPr>
          <w:b w:val="0"/>
          <w:lang w:val="en-US"/>
        </w:rPr>
      </w:pPr>
      <w:r w:rsidRPr="004D38B1">
        <w:rPr>
          <w:b w:val="0"/>
          <w:lang w:val="en-US"/>
        </w:rPr>
        <w:t>Nascimento R.F., Andreola K., Rosa J.G., Taranto O.P., 2018, Improvement of pea protein isolate po</w:t>
      </w:r>
      <w:r>
        <w:rPr>
          <w:b w:val="0"/>
          <w:lang w:val="en-US"/>
        </w:rPr>
        <w:t>w</w:t>
      </w:r>
      <w:r w:rsidRPr="004D38B1">
        <w:rPr>
          <w:b w:val="0"/>
          <w:lang w:val="en-US"/>
        </w:rPr>
        <w:t>der properties by agglomeration in a f</w:t>
      </w:r>
      <w:r>
        <w:rPr>
          <w:b w:val="0"/>
          <w:lang w:val="en-US"/>
        </w:rPr>
        <w:t>luidized bed: comparison between binder solutions, 21st International Drying Symposium, Valencia, Spain, 1431–</w:t>
      </w:r>
      <w:r w:rsidRPr="004D38B1">
        <w:rPr>
          <w:b w:val="0"/>
          <w:lang w:val="en-US"/>
        </w:rPr>
        <w:t>1438</w:t>
      </w:r>
      <w:r>
        <w:rPr>
          <w:b w:val="0"/>
          <w:lang w:val="en-US"/>
        </w:rPr>
        <w:t>.</w:t>
      </w:r>
    </w:p>
    <w:p w14:paraId="6DA1D439" w14:textId="77777777" w:rsidR="00332AC8" w:rsidRDefault="00332AC8" w:rsidP="005330D8">
      <w:pPr>
        <w:pStyle w:val="CETReference"/>
        <w:spacing w:before="0" w:after="0" w:line="264" w:lineRule="auto"/>
        <w:ind w:left="284" w:hanging="284"/>
        <w:jc w:val="both"/>
        <w:rPr>
          <w:b w:val="0"/>
          <w:lang w:val="en-US"/>
        </w:rPr>
      </w:pPr>
      <w:r w:rsidRPr="004D38B1">
        <w:rPr>
          <w:b w:val="0"/>
          <w:lang w:val="en-US"/>
        </w:rPr>
        <w:t>Rosa J.G.,</w:t>
      </w:r>
      <w:r w:rsidR="004D38B1" w:rsidRPr="004D38B1">
        <w:rPr>
          <w:b w:val="0"/>
          <w:lang w:val="en-US"/>
        </w:rPr>
        <w:t xml:space="preserve"> Nascimento R.F., Andreola K., Taranto O.P., 2018, </w:t>
      </w:r>
      <w:r w:rsidR="004D38B1">
        <w:rPr>
          <w:b w:val="0"/>
          <w:lang w:val="en-US"/>
        </w:rPr>
        <w:t>Influence of drying conditions on the a</w:t>
      </w:r>
      <w:r w:rsidR="004D38B1" w:rsidRPr="004D38B1">
        <w:rPr>
          <w:b w:val="0"/>
          <w:lang w:val="en-US"/>
        </w:rPr>
        <w:t>c</w:t>
      </w:r>
      <w:r w:rsidR="004D38B1">
        <w:rPr>
          <w:b w:val="0"/>
          <w:lang w:val="en-US"/>
        </w:rPr>
        <w:t>acia gum particle growth in fluidized bed agglomeration: in-line monitoring of particle s</w:t>
      </w:r>
      <w:r w:rsidR="004D38B1" w:rsidRPr="004D38B1">
        <w:rPr>
          <w:b w:val="0"/>
          <w:lang w:val="en-US"/>
        </w:rPr>
        <w:t>ize</w:t>
      </w:r>
      <w:r w:rsidR="004D38B1">
        <w:rPr>
          <w:b w:val="0"/>
          <w:lang w:val="en-US"/>
        </w:rPr>
        <w:t>, 21st International Drying Symposium, Valencia, Spain, 1439–1446.</w:t>
      </w:r>
    </w:p>
    <w:p w14:paraId="7457773B" w14:textId="77777777" w:rsidR="004D38B1" w:rsidRPr="004D38B1" w:rsidRDefault="004D38B1" w:rsidP="005330D8">
      <w:pPr>
        <w:pStyle w:val="CETReference"/>
        <w:spacing w:before="0" w:after="0" w:line="264" w:lineRule="auto"/>
        <w:ind w:left="284" w:hanging="284"/>
        <w:jc w:val="both"/>
        <w:rPr>
          <w:b w:val="0"/>
          <w:lang w:val="en-US"/>
        </w:rPr>
      </w:pPr>
      <w:r w:rsidRPr="004D38B1">
        <w:rPr>
          <w:b w:val="0"/>
          <w:lang w:val="en-US"/>
        </w:rPr>
        <w:t>Shevkani K., Singh N., Kaur A., Rana J.C</w:t>
      </w:r>
      <w:r>
        <w:rPr>
          <w:b w:val="0"/>
          <w:lang w:val="en-US"/>
        </w:rPr>
        <w:t>., 2015, Structural and functional characterization of kidney bean and field pea protein isolates: a comparative s</w:t>
      </w:r>
      <w:r w:rsidRPr="004D38B1">
        <w:rPr>
          <w:b w:val="0"/>
          <w:lang w:val="en-US"/>
        </w:rPr>
        <w:t>tudy, Food</w:t>
      </w:r>
      <w:r>
        <w:rPr>
          <w:b w:val="0"/>
          <w:lang w:val="en-US"/>
        </w:rPr>
        <w:t xml:space="preserve"> Hydrocolloids, 43, 679–</w:t>
      </w:r>
      <w:r w:rsidRPr="004D38B1">
        <w:rPr>
          <w:b w:val="0"/>
          <w:lang w:val="en-US"/>
        </w:rPr>
        <w:t>689.</w:t>
      </w:r>
    </w:p>
    <w:p w14:paraId="5A85FB42" w14:textId="77777777" w:rsidR="004D38B1" w:rsidRPr="004D38B1" w:rsidRDefault="004D38B1" w:rsidP="005330D8">
      <w:pPr>
        <w:pStyle w:val="CETReference"/>
        <w:spacing w:before="0" w:after="0" w:line="264" w:lineRule="auto"/>
        <w:ind w:left="284" w:hanging="284"/>
        <w:jc w:val="both"/>
        <w:rPr>
          <w:b w:val="0"/>
          <w:lang w:val="en-US"/>
        </w:rPr>
      </w:pPr>
      <w:r>
        <w:rPr>
          <w:b w:val="0"/>
          <w:lang w:val="en-US"/>
        </w:rPr>
        <w:t>Silva C.A.M., Taranto O.P., 2015, Real-time monitoring of gas-solid fluidized bed granulation and coating process: evolution of particle size, fluidization regime transitions, and psychometric p</w:t>
      </w:r>
      <w:r w:rsidRPr="004D38B1">
        <w:rPr>
          <w:b w:val="0"/>
          <w:lang w:val="en-US"/>
        </w:rPr>
        <w:t xml:space="preserve">arameters, Drying Technology, </w:t>
      </w:r>
      <w:r>
        <w:rPr>
          <w:b w:val="0"/>
          <w:lang w:val="en-US"/>
        </w:rPr>
        <w:t>33, 1929–</w:t>
      </w:r>
      <w:r w:rsidRPr="004D38B1">
        <w:rPr>
          <w:b w:val="0"/>
          <w:lang w:val="en-US"/>
        </w:rPr>
        <w:t xml:space="preserve">1948. </w:t>
      </w:r>
    </w:p>
    <w:p w14:paraId="6104F14F" w14:textId="77777777" w:rsidR="004D38B1" w:rsidRPr="004D38B1" w:rsidRDefault="004D38B1" w:rsidP="005330D8">
      <w:pPr>
        <w:pStyle w:val="CETReference"/>
        <w:spacing w:before="0" w:after="0" w:line="264" w:lineRule="auto"/>
        <w:ind w:left="284" w:hanging="284"/>
        <w:jc w:val="both"/>
        <w:rPr>
          <w:b w:val="0"/>
          <w:lang w:val="en-US"/>
        </w:rPr>
      </w:pPr>
      <w:r>
        <w:rPr>
          <w:b w:val="0"/>
          <w:lang w:val="en-US"/>
        </w:rPr>
        <w:t>Steffe J.F.</w:t>
      </w:r>
      <w:r w:rsidRPr="004D38B1">
        <w:rPr>
          <w:b w:val="0"/>
          <w:lang w:val="en-US"/>
        </w:rPr>
        <w:t xml:space="preserve"> (</w:t>
      </w:r>
      <w:r>
        <w:rPr>
          <w:b w:val="0"/>
          <w:lang w:val="en-US"/>
        </w:rPr>
        <w:t>Ed), 1996, Rheological Methods i</w:t>
      </w:r>
      <w:r w:rsidRPr="004D38B1">
        <w:rPr>
          <w:b w:val="0"/>
          <w:lang w:val="en-US"/>
        </w:rPr>
        <w:t xml:space="preserve">n Food Process Engineering, Freeman Press, East Lansing, MI, USA. </w:t>
      </w:r>
    </w:p>
    <w:p w14:paraId="15AA57D7" w14:textId="77777777" w:rsidR="004D38B1" w:rsidRPr="004D38B1" w:rsidRDefault="004D38B1" w:rsidP="005330D8">
      <w:pPr>
        <w:pStyle w:val="CETReference"/>
        <w:spacing w:before="0" w:after="0" w:line="264" w:lineRule="auto"/>
        <w:ind w:left="284" w:hanging="284"/>
        <w:jc w:val="both"/>
        <w:rPr>
          <w:b w:val="0"/>
          <w:lang w:val="en-US"/>
        </w:rPr>
      </w:pPr>
      <w:r w:rsidRPr="004D38B1">
        <w:rPr>
          <w:b w:val="0"/>
          <w:lang w:val="en-US"/>
        </w:rPr>
        <w:t>Tan H., Salman A</w:t>
      </w:r>
      <w:r>
        <w:rPr>
          <w:b w:val="0"/>
          <w:lang w:val="en-US"/>
        </w:rPr>
        <w:t>., Hounslow M., 2006, Kinetics of fluidised bed melt granulation I: the effect of process v</w:t>
      </w:r>
      <w:r w:rsidRPr="004D38B1">
        <w:rPr>
          <w:b w:val="0"/>
          <w:lang w:val="en-US"/>
        </w:rPr>
        <w:t>ariables, Chemical Engin</w:t>
      </w:r>
      <w:r w:rsidR="005330D8">
        <w:rPr>
          <w:b w:val="0"/>
          <w:lang w:val="en-US"/>
        </w:rPr>
        <w:t>eering Science, 61, 1585–1601.</w:t>
      </w:r>
    </w:p>
    <w:p w14:paraId="42F89B69" w14:textId="62CBA85E" w:rsidR="004D38B1" w:rsidRDefault="004D38B1" w:rsidP="005330D8">
      <w:pPr>
        <w:pStyle w:val="CETReference"/>
        <w:spacing w:before="0" w:after="0" w:line="264" w:lineRule="auto"/>
        <w:ind w:left="284" w:hanging="284"/>
        <w:jc w:val="both"/>
        <w:rPr>
          <w:b w:val="0"/>
          <w:lang w:val="en-US"/>
        </w:rPr>
      </w:pPr>
      <w:r w:rsidRPr="005330D8">
        <w:rPr>
          <w:b w:val="0"/>
          <w:lang w:val="en-US"/>
        </w:rPr>
        <w:t>Turchiuli C., Eloualia Z., El</w:t>
      </w:r>
      <w:r w:rsidR="005330D8" w:rsidRPr="005330D8">
        <w:rPr>
          <w:b w:val="0"/>
          <w:lang w:val="en-US"/>
        </w:rPr>
        <w:t xml:space="preserve"> Mansouri N., Dumoulin E., 2005,</w:t>
      </w:r>
      <w:r w:rsidRPr="005330D8">
        <w:rPr>
          <w:b w:val="0"/>
          <w:lang w:val="en-US"/>
        </w:rPr>
        <w:t xml:space="preserve"> </w:t>
      </w:r>
      <w:r w:rsidR="005330D8">
        <w:rPr>
          <w:b w:val="0"/>
          <w:lang w:val="en-US"/>
        </w:rPr>
        <w:t>Fluidised bed a</w:t>
      </w:r>
      <w:r w:rsidRPr="004D38B1">
        <w:rPr>
          <w:b w:val="0"/>
          <w:lang w:val="en-US"/>
        </w:rPr>
        <w:t xml:space="preserve">gglomeration: </w:t>
      </w:r>
      <w:r w:rsidR="005330D8">
        <w:rPr>
          <w:b w:val="0"/>
          <w:lang w:val="en-US"/>
        </w:rPr>
        <w:t>agglomerates shape and end-use p</w:t>
      </w:r>
      <w:r w:rsidRPr="004D38B1">
        <w:rPr>
          <w:b w:val="0"/>
          <w:lang w:val="en-US"/>
        </w:rPr>
        <w:t>roperties, Powder Technology, 157, 168</w:t>
      </w:r>
      <w:r w:rsidR="005330D8">
        <w:rPr>
          <w:b w:val="0"/>
          <w:lang w:val="en-US"/>
        </w:rPr>
        <w:t>–</w:t>
      </w:r>
      <w:r w:rsidRPr="004D38B1">
        <w:rPr>
          <w:b w:val="0"/>
          <w:lang w:val="en-US"/>
        </w:rPr>
        <w:t>175.</w:t>
      </w:r>
    </w:p>
    <w:p w14:paraId="3A071B21" w14:textId="3A5EB545" w:rsidR="00935563" w:rsidRDefault="00935563" w:rsidP="005330D8">
      <w:pPr>
        <w:pStyle w:val="CETReference"/>
        <w:spacing w:before="0" w:after="0" w:line="264" w:lineRule="auto"/>
        <w:ind w:left="284" w:hanging="284"/>
        <w:jc w:val="both"/>
        <w:rPr>
          <w:b w:val="0"/>
          <w:lang w:val="en-US"/>
        </w:rPr>
      </w:pPr>
      <w:r w:rsidRPr="00935563">
        <w:rPr>
          <w:b w:val="0"/>
          <w:lang w:val="en-US"/>
        </w:rPr>
        <w:t>T</w:t>
      </w:r>
      <w:r>
        <w:rPr>
          <w:b w:val="0"/>
          <w:lang w:val="en-US"/>
        </w:rPr>
        <w:t>urchiuli</w:t>
      </w:r>
      <w:r w:rsidRPr="00935563">
        <w:rPr>
          <w:b w:val="0"/>
          <w:lang w:val="en-US"/>
        </w:rPr>
        <w:t>, C.; S</w:t>
      </w:r>
      <w:r>
        <w:rPr>
          <w:b w:val="0"/>
          <w:lang w:val="en-US"/>
        </w:rPr>
        <w:t>mail</w:t>
      </w:r>
      <w:r w:rsidRPr="00935563">
        <w:rPr>
          <w:b w:val="0"/>
          <w:lang w:val="en-US"/>
        </w:rPr>
        <w:t>, R.; D</w:t>
      </w:r>
      <w:r>
        <w:rPr>
          <w:b w:val="0"/>
          <w:lang w:val="en-US"/>
        </w:rPr>
        <w:t>umoulin</w:t>
      </w:r>
      <w:r w:rsidRPr="00935563">
        <w:rPr>
          <w:b w:val="0"/>
          <w:lang w:val="en-US"/>
        </w:rPr>
        <w:t>, E.</w:t>
      </w:r>
      <w:r>
        <w:rPr>
          <w:b w:val="0"/>
          <w:lang w:val="en-US"/>
        </w:rPr>
        <w:t>, 2013,</w:t>
      </w:r>
      <w:r w:rsidRPr="00935563">
        <w:rPr>
          <w:b w:val="0"/>
          <w:lang w:val="en-US"/>
        </w:rPr>
        <w:t xml:space="preserve"> Fluidized bed agglomeration of skim milk powder: Analysis of sampling for the follow-up of agglomerate growth. Powder Technology, v. 238, 161-168</w:t>
      </w:r>
      <w:r>
        <w:rPr>
          <w:b w:val="0"/>
          <w:lang w:val="en-US"/>
        </w:rPr>
        <w:t>.</w:t>
      </w:r>
    </w:p>
    <w:p w14:paraId="5E5CE17F" w14:textId="0CCA119C" w:rsidR="00E80D6D" w:rsidRPr="004D38B1" w:rsidRDefault="00E80D6D" w:rsidP="005330D8">
      <w:pPr>
        <w:pStyle w:val="CETReference"/>
        <w:spacing w:before="0" w:after="0" w:line="264" w:lineRule="auto"/>
        <w:ind w:left="284" w:hanging="284"/>
        <w:jc w:val="both"/>
        <w:rPr>
          <w:b w:val="0"/>
          <w:lang w:val="en-US"/>
        </w:rPr>
      </w:pPr>
      <w:r w:rsidRPr="00E80D6D">
        <w:rPr>
          <w:b w:val="0"/>
          <w:lang w:val="en-US"/>
        </w:rPr>
        <w:t>Wiegel, D., Eckardt, G., Priese, F., Wolf, B., 2016. In-line particlesize measurement and agglomeration detection of pelletfluidized bed coating by spatial filter velocimetry. PowderTechnol. 301, 261–267.</w:t>
      </w:r>
    </w:p>
    <w:sectPr w:rsidR="00E80D6D" w:rsidRPr="004D38B1" w:rsidSect="0077098D">
      <w:type w:val="continuous"/>
      <w:pgSz w:w="11906" w:h="16838" w:code="9"/>
      <w:pgMar w:top="1701" w:right="1418" w:bottom="1701" w:left="1701" w:header="1701" w:footer="0"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FDD432" w16cid:durableId="1FF192BA"/>
  <w16cid:commentId w16cid:paraId="363C5275" w16cid:durableId="1FF1A67C"/>
  <w16cid:commentId w16cid:paraId="26F82CA8" w16cid:durableId="1FF1A68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28D263" w14:textId="77777777" w:rsidR="0067261D" w:rsidRDefault="0067261D" w:rsidP="004F5E36">
      <w:r>
        <w:separator/>
      </w:r>
    </w:p>
  </w:endnote>
  <w:endnote w:type="continuationSeparator" w:id="0">
    <w:p w14:paraId="41BE4BD8" w14:textId="77777777" w:rsidR="0067261D" w:rsidRDefault="0067261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EA55E" w14:textId="77777777" w:rsidR="0067261D" w:rsidRDefault="0067261D" w:rsidP="004F5E36">
      <w:r>
        <w:separator/>
      </w:r>
    </w:p>
  </w:footnote>
  <w:footnote w:type="continuationSeparator" w:id="0">
    <w:p w14:paraId="7D4640F0" w14:textId="77777777" w:rsidR="0067261D" w:rsidRDefault="0067261D"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3050FDAC"/>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0&lt;/Suspended&gt;&lt;/ENInstantFormat&gt;"/>
    <w:docVar w:name="EN.Layout" w:val="&lt;ENLayout&gt;&lt;Style&gt;ABNT (Author-Date)&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0E414A"/>
    <w:rsid w:val="000027C0"/>
    <w:rsid w:val="00004942"/>
    <w:rsid w:val="000052FB"/>
    <w:rsid w:val="000063CE"/>
    <w:rsid w:val="00010F40"/>
    <w:rsid w:val="000117CB"/>
    <w:rsid w:val="00012ABC"/>
    <w:rsid w:val="000168B7"/>
    <w:rsid w:val="00022815"/>
    <w:rsid w:val="00026CF7"/>
    <w:rsid w:val="00027EAB"/>
    <w:rsid w:val="0003148D"/>
    <w:rsid w:val="00035405"/>
    <w:rsid w:val="00040224"/>
    <w:rsid w:val="00047D7F"/>
    <w:rsid w:val="00051566"/>
    <w:rsid w:val="00057FFE"/>
    <w:rsid w:val="00060F59"/>
    <w:rsid w:val="00062A9A"/>
    <w:rsid w:val="00065058"/>
    <w:rsid w:val="000716FD"/>
    <w:rsid w:val="00075261"/>
    <w:rsid w:val="0007766B"/>
    <w:rsid w:val="00086C39"/>
    <w:rsid w:val="000919A8"/>
    <w:rsid w:val="00093B3D"/>
    <w:rsid w:val="00094A78"/>
    <w:rsid w:val="000955B9"/>
    <w:rsid w:val="000A03B2"/>
    <w:rsid w:val="000A3B79"/>
    <w:rsid w:val="000B0386"/>
    <w:rsid w:val="000B172E"/>
    <w:rsid w:val="000B2A4B"/>
    <w:rsid w:val="000C275D"/>
    <w:rsid w:val="000D34BE"/>
    <w:rsid w:val="000D5FDC"/>
    <w:rsid w:val="000E102F"/>
    <w:rsid w:val="000E36F1"/>
    <w:rsid w:val="000E3A73"/>
    <w:rsid w:val="000E3F50"/>
    <w:rsid w:val="000E414A"/>
    <w:rsid w:val="000F093C"/>
    <w:rsid w:val="000F16BD"/>
    <w:rsid w:val="000F18A3"/>
    <w:rsid w:val="000F6CF6"/>
    <w:rsid w:val="000F787B"/>
    <w:rsid w:val="00101141"/>
    <w:rsid w:val="00101DBF"/>
    <w:rsid w:val="00103340"/>
    <w:rsid w:val="00105306"/>
    <w:rsid w:val="0010578A"/>
    <w:rsid w:val="00111E7E"/>
    <w:rsid w:val="0011332D"/>
    <w:rsid w:val="00114C2B"/>
    <w:rsid w:val="0012091F"/>
    <w:rsid w:val="00121C79"/>
    <w:rsid w:val="00124E48"/>
    <w:rsid w:val="00126BC2"/>
    <w:rsid w:val="001308B6"/>
    <w:rsid w:val="0013121F"/>
    <w:rsid w:val="00131570"/>
    <w:rsid w:val="00131FAB"/>
    <w:rsid w:val="00131FE6"/>
    <w:rsid w:val="0013263F"/>
    <w:rsid w:val="00134DE4"/>
    <w:rsid w:val="0014034D"/>
    <w:rsid w:val="00145CFB"/>
    <w:rsid w:val="0014664C"/>
    <w:rsid w:val="00150E59"/>
    <w:rsid w:val="00152DE3"/>
    <w:rsid w:val="00154FCC"/>
    <w:rsid w:val="00162642"/>
    <w:rsid w:val="00164CF9"/>
    <w:rsid w:val="00177CBB"/>
    <w:rsid w:val="001804E6"/>
    <w:rsid w:val="00184AD6"/>
    <w:rsid w:val="00190481"/>
    <w:rsid w:val="00192B5F"/>
    <w:rsid w:val="001962C4"/>
    <w:rsid w:val="001A0BBC"/>
    <w:rsid w:val="001A1A40"/>
    <w:rsid w:val="001B0349"/>
    <w:rsid w:val="001B134C"/>
    <w:rsid w:val="001B65C1"/>
    <w:rsid w:val="001B7781"/>
    <w:rsid w:val="001C684B"/>
    <w:rsid w:val="001D53FC"/>
    <w:rsid w:val="001E0EBF"/>
    <w:rsid w:val="001E0EDD"/>
    <w:rsid w:val="001F1533"/>
    <w:rsid w:val="001F1D3A"/>
    <w:rsid w:val="001F42A5"/>
    <w:rsid w:val="001F4D49"/>
    <w:rsid w:val="001F72BD"/>
    <w:rsid w:val="001F7B9D"/>
    <w:rsid w:val="00201A6B"/>
    <w:rsid w:val="0020510E"/>
    <w:rsid w:val="00210CFA"/>
    <w:rsid w:val="002224B4"/>
    <w:rsid w:val="00223A17"/>
    <w:rsid w:val="00242279"/>
    <w:rsid w:val="00244770"/>
    <w:rsid w:val="002447EF"/>
    <w:rsid w:val="002449D8"/>
    <w:rsid w:val="00251550"/>
    <w:rsid w:val="00252C1A"/>
    <w:rsid w:val="002545A7"/>
    <w:rsid w:val="00263B05"/>
    <w:rsid w:val="0027221A"/>
    <w:rsid w:val="0027415C"/>
    <w:rsid w:val="00274D48"/>
    <w:rsid w:val="00275B61"/>
    <w:rsid w:val="00276A36"/>
    <w:rsid w:val="00282656"/>
    <w:rsid w:val="00283ED3"/>
    <w:rsid w:val="0028789D"/>
    <w:rsid w:val="00292F49"/>
    <w:rsid w:val="00296B83"/>
    <w:rsid w:val="002B3712"/>
    <w:rsid w:val="002B78CE"/>
    <w:rsid w:val="002C0A41"/>
    <w:rsid w:val="002C1964"/>
    <w:rsid w:val="002C2FB6"/>
    <w:rsid w:val="002C74A9"/>
    <w:rsid w:val="002D5BCD"/>
    <w:rsid w:val="002D72F8"/>
    <w:rsid w:val="002E152C"/>
    <w:rsid w:val="002E7E30"/>
    <w:rsid w:val="002F3318"/>
    <w:rsid w:val="003009B7"/>
    <w:rsid w:val="00300E56"/>
    <w:rsid w:val="00302CAE"/>
    <w:rsid w:val="0030469C"/>
    <w:rsid w:val="00305FC2"/>
    <w:rsid w:val="003124DD"/>
    <w:rsid w:val="00321CA6"/>
    <w:rsid w:val="003255E3"/>
    <w:rsid w:val="0032576B"/>
    <w:rsid w:val="00327F63"/>
    <w:rsid w:val="00332AC8"/>
    <w:rsid w:val="00334C09"/>
    <w:rsid w:val="00334E7E"/>
    <w:rsid w:val="003365E3"/>
    <w:rsid w:val="0034384E"/>
    <w:rsid w:val="00351165"/>
    <w:rsid w:val="00353C07"/>
    <w:rsid w:val="00365382"/>
    <w:rsid w:val="00371B69"/>
    <w:rsid w:val="003723D4"/>
    <w:rsid w:val="003737A0"/>
    <w:rsid w:val="00373975"/>
    <w:rsid w:val="003812B2"/>
    <w:rsid w:val="00384CC8"/>
    <w:rsid w:val="003871FD"/>
    <w:rsid w:val="003A0DB4"/>
    <w:rsid w:val="003A1E30"/>
    <w:rsid w:val="003A346E"/>
    <w:rsid w:val="003A3F60"/>
    <w:rsid w:val="003A4A52"/>
    <w:rsid w:val="003A7D1C"/>
    <w:rsid w:val="003B1185"/>
    <w:rsid w:val="003B13B4"/>
    <w:rsid w:val="003B304B"/>
    <w:rsid w:val="003B3146"/>
    <w:rsid w:val="003B3B01"/>
    <w:rsid w:val="003B60F3"/>
    <w:rsid w:val="003C15F5"/>
    <w:rsid w:val="003C1DD5"/>
    <w:rsid w:val="003C42EA"/>
    <w:rsid w:val="003C6D6B"/>
    <w:rsid w:val="003D6AEC"/>
    <w:rsid w:val="003E556A"/>
    <w:rsid w:val="003E7ED8"/>
    <w:rsid w:val="003F015E"/>
    <w:rsid w:val="003F0AB3"/>
    <w:rsid w:val="00400414"/>
    <w:rsid w:val="00400EDA"/>
    <w:rsid w:val="00413B72"/>
    <w:rsid w:val="0041446B"/>
    <w:rsid w:val="00414CA0"/>
    <w:rsid w:val="00425490"/>
    <w:rsid w:val="004354B2"/>
    <w:rsid w:val="00437FD5"/>
    <w:rsid w:val="0044329C"/>
    <w:rsid w:val="00447DE9"/>
    <w:rsid w:val="00452FB5"/>
    <w:rsid w:val="004577FE"/>
    <w:rsid w:val="00457B9C"/>
    <w:rsid w:val="0046164A"/>
    <w:rsid w:val="004628D2"/>
    <w:rsid w:val="00462DCD"/>
    <w:rsid w:val="004648AD"/>
    <w:rsid w:val="004703A9"/>
    <w:rsid w:val="0047043B"/>
    <w:rsid w:val="00470BDF"/>
    <w:rsid w:val="00473827"/>
    <w:rsid w:val="00474D27"/>
    <w:rsid w:val="004760DE"/>
    <w:rsid w:val="004800AD"/>
    <w:rsid w:val="00493A02"/>
    <w:rsid w:val="0049634A"/>
    <w:rsid w:val="004A004E"/>
    <w:rsid w:val="004A24CF"/>
    <w:rsid w:val="004B07D7"/>
    <w:rsid w:val="004B6721"/>
    <w:rsid w:val="004C1AA4"/>
    <w:rsid w:val="004C2619"/>
    <w:rsid w:val="004C3D1D"/>
    <w:rsid w:val="004C4838"/>
    <w:rsid w:val="004C58FD"/>
    <w:rsid w:val="004C7128"/>
    <w:rsid w:val="004C7913"/>
    <w:rsid w:val="004D03D1"/>
    <w:rsid w:val="004D38B1"/>
    <w:rsid w:val="004E4DD6"/>
    <w:rsid w:val="004E4F5C"/>
    <w:rsid w:val="004F5E36"/>
    <w:rsid w:val="00507B47"/>
    <w:rsid w:val="00507CC9"/>
    <w:rsid w:val="00510EB8"/>
    <w:rsid w:val="00511192"/>
    <w:rsid w:val="005119A5"/>
    <w:rsid w:val="00514610"/>
    <w:rsid w:val="0051785E"/>
    <w:rsid w:val="005206B5"/>
    <w:rsid w:val="00521E6F"/>
    <w:rsid w:val="00525C23"/>
    <w:rsid w:val="005278B7"/>
    <w:rsid w:val="00532016"/>
    <w:rsid w:val="005330D8"/>
    <w:rsid w:val="005346C8"/>
    <w:rsid w:val="00536D3F"/>
    <w:rsid w:val="00543E7D"/>
    <w:rsid w:val="00544AC1"/>
    <w:rsid w:val="0054606E"/>
    <w:rsid w:val="00546B05"/>
    <w:rsid w:val="0054737D"/>
    <w:rsid w:val="00547A68"/>
    <w:rsid w:val="00552DCE"/>
    <w:rsid w:val="00552E0B"/>
    <w:rsid w:val="00553166"/>
    <w:rsid w:val="005531C9"/>
    <w:rsid w:val="00554585"/>
    <w:rsid w:val="00556DB6"/>
    <w:rsid w:val="00561DEC"/>
    <w:rsid w:val="0057141D"/>
    <w:rsid w:val="00574404"/>
    <w:rsid w:val="00587DD9"/>
    <w:rsid w:val="005905EA"/>
    <w:rsid w:val="00592188"/>
    <w:rsid w:val="005B0380"/>
    <w:rsid w:val="005B2110"/>
    <w:rsid w:val="005B26F5"/>
    <w:rsid w:val="005B61E6"/>
    <w:rsid w:val="005C77E1"/>
    <w:rsid w:val="005D052B"/>
    <w:rsid w:val="005D6A2F"/>
    <w:rsid w:val="005E1A82"/>
    <w:rsid w:val="005E22F2"/>
    <w:rsid w:val="005E4583"/>
    <w:rsid w:val="005E69A6"/>
    <w:rsid w:val="005E794C"/>
    <w:rsid w:val="005F0905"/>
    <w:rsid w:val="005F0A28"/>
    <w:rsid w:val="005F0E5E"/>
    <w:rsid w:val="005F4B51"/>
    <w:rsid w:val="00600535"/>
    <w:rsid w:val="0060188A"/>
    <w:rsid w:val="00610CD6"/>
    <w:rsid w:val="00612A5F"/>
    <w:rsid w:val="00613A6F"/>
    <w:rsid w:val="0061404B"/>
    <w:rsid w:val="00620DEE"/>
    <w:rsid w:val="00621F92"/>
    <w:rsid w:val="00623206"/>
    <w:rsid w:val="00625639"/>
    <w:rsid w:val="00631B33"/>
    <w:rsid w:val="0063275C"/>
    <w:rsid w:val="00636FB5"/>
    <w:rsid w:val="006410FA"/>
    <w:rsid w:val="0064184D"/>
    <w:rsid w:val="006422CC"/>
    <w:rsid w:val="006459F1"/>
    <w:rsid w:val="0065047D"/>
    <w:rsid w:val="00660E3E"/>
    <w:rsid w:val="00661F2E"/>
    <w:rsid w:val="00662E74"/>
    <w:rsid w:val="00662E9A"/>
    <w:rsid w:val="00663BD6"/>
    <w:rsid w:val="0067261D"/>
    <w:rsid w:val="00673ADF"/>
    <w:rsid w:val="00680C23"/>
    <w:rsid w:val="00693766"/>
    <w:rsid w:val="0069419B"/>
    <w:rsid w:val="006A3281"/>
    <w:rsid w:val="006B4888"/>
    <w:rsid w:val="006C2E45"/>
    <w:rsid w:val="006C359C"/>
    <w:rsid w:val="006C35AF"/>
    <w:rsid w:val="006C5579"/>
    <w:rsid w:val="006D0C98"/>
    <w:rsid w:val="006D4E47"/>
    <w:rsid w:val="006E0586"/>
    <w:rsid w:val="006E0C92"/>
    <w:rsid w:val="006E58D2"/>
    <w:rsid w:val="006E67A4"/>
    <w:rsid w:val="006E737D"/>
    <w:rsid w:val="006F3469"/>
    <w:rsid w:val="006F6D30"/>
    <w:rsid w:val="0070195D"/>
    <w:rsid w:val="0071694E"/>
    <w:rsid w:val="00720A24"/>
    <w:rsid w:val="0072748E"/>
    <w:rsid w:val="00730E0C"/>
    <w:rsid w:val="00732386"/>
    <w:rsid w:val="00732543"/>
    <w:rsid w:val="00733600"/>
    <w:rsid w:val="007357FD"/>
    <w:rsid w:val="00742FCB"/>
    <w:rsid w:val="007447F3"/>
    <w:rsid w:val="0075499F"/>
    <w:rsid w:val="0076119C"/>
    <w:rsid w:val="007661C8"/>
    <w:rsid w:val="00767F9E"/>
    <w:rsid w:val="0077098D"/>
    <w:rsid w:val="007715D2"/>
    <w:rsid w:val="007740CE"/>
    <w:rsid w:val="00785E8C"/>
    <w:rsid w:val="007931FA"/>
    <w:rsid w:val="007934AA"/>
    <w:rsid w:val="00793671"/>
    <w:rsid w:val="007A5144"/>
    <w:rsid w:val="007A7BBA"/>
    <w:rsid w:val="007B0C50"/>
    <w:rsid w:val="007B0ECA"/>
    <w:rsid w:val="007B26F1"/>
    <w:rsid w:val="007B7DBA"/>
    <w:rsid w:val="007C1A43"/>
    <w:rsid w:val="007D1D02"/>
    <w:rsid w:val="007D6038"/>
    <w:rsid w:val="007E1DC6"/>
    <w:rsid w:val="007E57CE"/>
    <w:rsid w:val="007E5EF3"/>
    <w:rsid w:val="007F357C"/>
    <w:rsid w:val="00801D1C"/>
    <w:rsid w:val="00802802"/>
    <w:rsid w:val="00813288"/>
    <w:rsid w:val="00813E1D"/>
    <w:rsid w:val="008168FC"/>
    <w:rsid w:val="00826FA6"/>
    <w:rsid w:val="00830996"/>
    <w:rsid w:val="00832130"/>
    <w:rsid w:val="008345F1"/>
    <w:rsid w:val="00842C0D"/>
    <w:rsid w:val="00844688"/>
    <w:rsid w:val="00850442"/>
    <w:rsid w:val="00850DA2"/>
    <w:rsid w:val="00853643"/>
    <w:rsid w:val="0085593D"/>
    <w:rsid w:val="008658D9"/>
    <w:rsid w:val="00865B07"/>
    <w:rsid w:val="0086631C"/>
    <w:rsid w:val="008667EA"/>
    <w:rsid w:val="00870CA6"/>
    <w:rsid w:val="00871C47"/>
    <w:rsid w:val="0087637F"/>
    <w:rsid w:val="008904B9"/>
    <w:rsid w:val="008905C3"/>
    <w:rsid w:val="00892AD5"/>
    <w:rsid w:val="00894C89"/>
    <w:rsid w:val="00897560"/>
    <w:rsid w:val="0089768A"/>
    <w:rsid w:val="008976EE"/>
    <w:rsid w:val="008A1512"/>
    <w:rsid w:val="008A2EE3"/>
    <w:rsid w:val="008B583A"/>
    <w:rsid w:val="008B6424"/>
    <w:rsid w:val="008C0AFE"/>
    <w:rsid w:val="008C59E5"/>
    <w:rsid w:val="008C78C1"/>
    <w:rsid w:val="008D32B9"/>
    <w:rsid w:val="008D433B"/>
    <w:rsid w:val="008D52D8"/>
    <w:rsid w:val="008E065B"/>
    <w:rsid w:val="008E1479"/>
    <w:rsid w:val="008E566E"/>
    <w:rsid w:val="008E7E6E"/>
    <w:rsid w:val="008F12C7"/>
    <w:rsid w:val="008F2AE5"/>
    <w:rsid w:val="008F2FE1"/>
    <w:rsid w:val="008F342E"/>
    <w:rsid w:val="0090161A"/>
    <w:rsid w:val="00901EB6"/>
    <w:rsid w:val="00903D48"/>
    <w:rsid w:val="00904C62"/>
    <w:rsid w:val="00905D46"/>
    <w:rsid w:val="00924BFB"/>
    <w:rsid w:val="00924DAC"/>
    <w:rsid w:val="00927058"/>
    <w:rsid w:val="009321FC"/>
    <w:rsid w:val="00934DB6"/>
    <w:rsid w:val="00935563"/>
    <w:rsid w:val="00937CF7"/>
    <w:rsid w:val="00942C00"/>
    <w:rsid w:val="009450CE"/>
    <w:rsid w:val="00947179"/>
    <w:rsid w:val="0095164B"/>
    <w:rsid w:val="00954090"/>
    <w:rsid w:val="0095670D"/>
    <w:rsid w:val="009573E7"/>
    <w:rsid w:val="009635B9"/>
    <w:rsid w:val="00963E05"/>
    <w:rsid w:val="0096553B"/>
    <w:rsid w:val="00967D54"/>
    <w:rsid w:val="00970BCF"/>
    <w:rsid w:val="009729B1"/>
    <w:rsid w:val="0098001C"/>
    <w:rsid w:val="00981D3D"/>
    <w:rsid w:val="00987577"/>
    <w:rsid w:val="00990F48"/>
    <w:rsid w:val="00993F75"/>
    <w:rsid w:val="00996483"/>
    <w:rsid w:val="00996F5A"/>
    <w:rsid w:val="009A0A3E"/>
    <w:rsid w:val="009A44CB"/>
    <w:rsid w:val="009A7582"/>
    <w:rsid w:val="009B041A"/>
    <w:rsid w:val="009B47C2"/>
    <w:rsid w:val="009B5EB1"/>
    <w:rsid w:val="009B6236"/>
    <w:rsid w:val="009C7C86"/>
    <w:rsid w:val="009D253C"/>
    <w:rsid w:val="009D2A68"/>
    <w:rsid w:val="009D2FF7"/>
    <w:rsid w:val="009D4C81"/>
    <w:rsid w:val="009D5CCE"/>
    <w:rsid w:val="009D6BC3"/>
    <w:rsid w:val="009E0C35"/>
    <w:rsid w:val="009E37D7"/>
    <w:rsid w:val="009E7884"/>
    <w:rsid w:val="009E788A"/>
    <w:rsid w:val="009F0E08"/>
    <w:rsid w:val="009F3FDF"/>
    <w:rsid w:val="009F4C0A"/>
    <w:rsid w:val="00A00196"/>
    <w:rsid w:val="00A001C6"/>
    <w:rsid w:val="00A04B95"/>
    <w:rsid w:val="00A05D85"/>
    <w:rsid w:val="00A1763D"/>
    <w:rsid w:val="00A17CEC"/>
    <w:rsid w:val="00A24437"/>
    <w:rsid w:val="00A27EF0"/>
    <w:rsid w:val="00A3602A"/>
    <w:rsid w:val="00A4187A"/>
    <w:rsid w:val="00A47912"/>
    <w:rsid w:val="00A50B20"/>
    <w:rsid w:val="00A51390"/>
    <w:rsid w:val="00A5586D"/>
    <w:rsid w:val="00A600CF"/>
    <w:rsid w:val="00A60D13"/>
    <w:rsid w:val="00A6172C"/>
    <w:rsid w:val="00A628F9"/>
    <w:rsid w:val="00A67F57"/>
    <w:rsid w:val="00A72745"/>
    <w:rsid w:val="00A76EFC"/>
    <w:rsid w:val="00A82921"/>
    <w:rsid w:val="00A8504F"/>
    <w:rsid w:val="00A901AA"/>
    <w:rsid w:val="00A91010"/>
    <w:rsid w:val="00A97F29"/>
    <w:rsid w:val="00AA702E"/>
    <w:rsid w:val="00AB0964"/>
    <w:rsid w:val="00AB09B2"/>
    <w:rsid w:val="00AB2908"/>
    <w:rsid w:val="00AB408B"/>
    <w:rsid w:val="00AB5011"/>
    <w:rsid w:val="00AB59B5"/>
    <w:rsid w:val="00AC7368"/>
    <w:rsid w:val="00AD16B9"/>
    <w:rsid w:val="00AD3424"/>
    <w:rsid w:val="00AD651D"/>
    <w:rsid w:val="00AE377D"/>
    <w:rsid w:val="00AF199D"/>
    <w:rsid w:val="00AF42E2"/>
    <w:rsid w:val="00B005CC"/>
    <w:rsid w:val="00B02629"/>
    <w:rsid w:val="00B071A1"/>
    <w:rsid w:val="00B141E8"/>
    <w:rsid w:val="00B17FBD"/>
    <w:rsid w:val="00B20479"/>
    <w:rsid w:val="00B25E3F"/>
    <w:rsid w:val="00B30EFB"/>
    <w:rsid w:val="00B315A6"/>
    <w:rsid w:val="00B31813"/>
    <w:rsid w:val="00B33365"/>
    <w:rsid w:val="00B40DE8"/>
    <w:rsid w:val="00B41738"/>
    <w:rsid w:val="00B446A7"/>
    <w:rsid w:val="00B521CA"/>
    <w:rsid w:val="00B57B36"/>
    <w:rsid w:val="00B6445E"/>
    <w:rsid w:val="00B64DDF"/>
    <w:rsid w:val="00B84842"/>
    <w:rsid w:val="00B8686D"/>
    <w:rsid w:val="00B87579"/>
    <w:rsid w:val="00B93E43"/>
    <w:rsid w:val="00B96078"/>
    <w:rsid w:val="00BA3220"/>
    <w:rsid w:val="00BB4341"/>
    <w:rsid w:val="00BC30C9"/>
    <w:rsid w:val="00BD360F"/>
    <w:rsid w:val="00BD4552"/>
    <w:rsid w:val="00BD6A19"/>
    <w:rsid w:val="00BE08A7"/>
    <w:rsid w:val="00BE2979"/>
    <w:rsid w:val="00BE3E58"/>
    <w:rsid w:val="00BE6D90"/>
    <w:rsid w:val="00BE7D41"/>
    <w:rsid w:val="00BF13B3"/>
    <w:rsid w:val="00BF4354"/>
    <w:rsid w:val="00C0152C"/>
    <w:rsid w:val="00C01616"/>
    <w:rsid w:val="00C0162B"/>
    <w:rsid w:val="00C05DBB"/>
    <w:rsid w:val="00C07331"/>
    <w:rsid w:val="00C15E6A"/>
    <w:rsid w:val="00C20357"/>
    <w:rsid w:val="00C219B2"/>
    <w:rsid w:val="00C272E0"/>
    <w:rsid w:val="00C345B1"/>
    <w:rsid w:val="00C40142"/>
    <w:rsid w:val="00C504DE"/>
    <w:rsid w:val="00C541D9"/>
    <w:rsid w:val="00C564DF"/>
    <w:rsid w:val="00C57182"/>
    <w:rsid w:val="00C57863"/>
    <w:rsid w:val="00C655FD"/>
    <w:rsid w:val="00C6663C"/>
    <w:rsid w:val="00C74E9D"/>
    <w:rsid w:val="00C74ED9"/>
    <w:rsid w:val="00C76691"/>
    <w:rsid w:val="00C82317"/>
    <w:rsid w:val="00C835C9"/>
    <w:rsid w:val="00C86ADD"/>
    <w:rsid w:val="00C870A8"/>
    <w:rsid w:val="00C93F6C"/>
    <w:rsid w:val="00C94434"/>
    <w:rsid w:val="00CA05E6"/>
    <w:rsid w:val="00CA0D75"/>
    <w:rsid w:val="00CA1C95"/>
    <w:rsid w:val="00CA5A9C"/>
    <w:rsid w:val="00CB49E8"/>
    <w:rsid w:val="00CB6745"/>
    <w:rsid w:val="00CB6E92"/>
    <w:rsid w:val="00CD3517"/>
    <w:rsid w:val="00CD5A00"/>
    <w:rsid w:val="00CD5FE2"/>
    <w:rsid w:val="00CE586F"/>
    <w:rsid w:val="00CE7C68"/>
    <w:rsid w:val="00CF00EE"/>
    <w:rsid w:val="00D02337"/>
    <w:rsid w:val="00D02B4C"/>
    <w:rsid w:val="00D0330F"/>
    <w:rsid w:val="00D040C4"/>
    <w:rsid w:val="00D05C74"/>
    <w:rsid w:val="00D1374E"/>
    <w:rsid w:val="00D20071"/>
    <w:rsid w:val="00D31E85"/>
    <w:rsid w:val="00D36FB2"/>
    <w:rsid w:val="00D41E76"/>
    <w:rsid w:val="00D46098"/>
    <w:rsid w:val="00D50418"/>
    <w:rsid w:val="00D51E3C"/>
    <w:rsid w:val="00D57C84"/>
    <w:rsid w:val="00D6057D"/>
    <w:rsid w:val="00D60A0F"/>
    <w:rsid w:val="00D63CCB"/>
    <w:rsid w:val="00D63FF5"/>
    <w:rsid w:val="00D73561"/>
    <w:rsid w:val="00D768D6"/>
    <w:rsid w:val="00D8048D"/>
    <w:rsid w:val="00D84576"/>
    <w:rsid w:val="00D90C99"/>
    <w:rsid w:val="00D96FC7"/>
    <w:rsid w:val="00DA03E5"/>
    <w:rsid w:val="00DA1399"/>
    <w:rsid w:val="00DA21C6"/>
    <w:rsid w:val="00DA24C6"/>
    <w:rsid w:val="00DA4D7B"/>
    <w:rsid w:val="00DC5C28"/>
    <w:rsid w:val="00DD5AFA"/>
    <w:rsid w:val="00DE002A"/>
    <w:rsid w:val="00DE1FCB"/>
    <w:rsid w:val="00DE264A"/>
    <w:rsid w:val="00DE3D11"/>
    <w:rsid w:val="00E006A3"/>
    <w:rsid w:val="00E02D18"/>
    <w:rsid w:val="00E041E7"/>
    <w:rsid w:val="00E04BD5"/>
    <w:rsid w:val="00E11A70"/>
    <w:rsid w:val="00E12BBC"/>
    <w:rsid w:val="00E16F36"/>
    <w:rsid w:val="00E23A5F"/>
    <w:rsid w:val="00E23CA1"/>
    <w:rsid w:val="00E26995"/>
    <w:rsid w:val="00E27AF0"/>
    <w:rsid w:val="00E31416"/>
    <w:rsid w:val="00E331A1"/>
    <w:rsid w:val="00E36D5D"/>
    <w:rsid w:val="00E409A8"/>
    <w:rsid w:val="00E42D62"/>
    <w:rsid w:val="00E50C12"/>
    <w:rsid w:val="00E60AE6"/>
    <w:rsid w:val="00E63008"/>
    <w:rsid w:val="00E65B91"/>
    <w:rsid w:val="00E70824"/>
    <w:rsid w:val="00E71177"/>
    <w:rsid w:val="00E7209D"/>
    <w:rsid w:val="00E77223"/>
    <w:rsid w:val="00E80D6D"/>
    <w:rsid w:val="00E8528B"/>
    <w:rsid w:val="00E85B94"/>
    <w:rsid w:val="00E8664D"/>
    <w:rsid w:val="00E92828"/>
    <w:rsid w:val="00E93554"/>
    <w:rsid w:val="00E94A2F"/>
    <w:rsid w:val="00E978D0"/>
    <w:rsid w:val="00EA4613"/>
    <w:rsid w:val="00EA7F91"/>
    <w:rsid w:val="00EB01B1"/>
    <w:rsid w:val="00EB1523"/>
    <w:rsid w:val="00EB1D9B"/>
    <w:rsid w:val="00EB591D"/>
    <w:rsid w:val="00EC0E49"/>
    <w:rsid w:val="00ED65AC"/>
    <w:rsid w:val="00EE0131"/>
    <w:rsid w:val="00EE64A8"/>
    <w:rsid w:val="00EF42BB"/>
    <w:rsid w:val="00F03474"/>
    <w:rsid w:val="00F0775C"/>
    <w:rsid w:val="00F10DDF"/>
    <w:rsid w:val="00F132F3"/>
    <w:rsid w:val="00F14033"/>
    <w:rsid w:val="00F155B2"/>
    <w:rsid w:val="00F162A5"/>
    <w:rsid w:val="00F167E3"/>
    <w:rsid w:val="00F30C64"/>
    <w:rsid w:val="00F32AAC"/>
    <w:rsid w:val="00F32CDB"/>
    <w:rsid w:val="00F34D11"/>
    <w:rsid w:val="00F41923"/>
    <w:rsid w:val="00F45CB7"/>
    <w:rsid w:val="00F553CC"/>
    <w:rsid w:val="00F5655C"/>
    <w:rsid w:val="00F63101"/>
    <w:rsid w:val="00F63A70"/>
    <w:rsid w:val="00F72BD2"/>
    <w:rsid w:val="00F92CDA"/>
    <w:rsid w:val="00FA21D0"/>
    <w:rsid w:val="00FA42C2"/>
    <w:rsid w:val="00FA5F5F"/>
    <w:rsid w:val="00FB2653"/>
    <w:rsid w:val="00FB730C"/>
    <w:rsid w:val="00FC2695"/>
    <w:rsid w:val="00FC3E03"/>
    <w:rsid w:val="00FC3FC1"/>
    <w:rsid w:val="00FD233E"/>
    <w:rsid w:val="00FD35BA"/>
    <w:rsid w:val="00FD6CF8"/>
    <w:rsid w:val="00FE0290"/>
    <w:rsid w:val="00FE1E0E"/>
    <w:rsid w:val="00FF143F"/>
    <w:rsid w:val="00FF4910"/>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4E54B"/>
  <w15:docId w15:val="{4D2FC671-93A4-45DF-A605-02EEDAAF1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9D5CCE"/>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9D5CCE"/>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customStyle="1" w:styleId="EndNoteBibliographyTitle">
    <w:name w:val="EndNote Bibliography Title"/>
    <w:basedOn w:val="Normal"/>
    <w:link w:val="EndNoteBibliographyTitleChar"/>
    <w:rsid w:val="007934AA"/>
    <w:pPr>
      <w:jc w:val="center"/>
    </w:pPr>
    <w:rPr>
      <w:rFonts w:cs="Arial"/>
      <w:noProof/>
      <w:sz w:val="20"/>
      <w:lang w:val="en-US"/>
    </w:rPr>
  </w:style>
  <w:style w:type="character" w:customStyle="1" w:styleId="EndNoteBibliographyTitleChar">
    <w:name w:val="EndNote Bibliography Title Char"/>
    <w:basedOn w:val="CETBodytextCarattere"/>
    <w:link w:val="EndNoteBibliographyTitle"/>
    <w:rsid w:val="007934AA"/>
    <w:rPr>
      <w:rFonts w:ascii="Arial" w:eastAsia="Times New Roman" w:hAnsi="Arial" w:cs="Arial"/>
      <w:noProof/>
      <w:sz w:val="20"/>
      <w:szCs w:val="20"/>
      <w:lang w:val="en-US"/>
    </w:rPr>
  </w:style>
  <w:style w:type="paragraph" w:customStyle="1" w:styleId="EndNoteBibliography">
    <w:name w:val="EndNote Bibliography"/>
    <w:basedOn w:val="Normal"/>
    <w:link w:val="EndNoteBibliographyChar"/>
    <w:rsid w:val="007934AA"/>
    <w:pPr>
      <w:spacing w:line="240" w:lineRule="auto"/>
      <w:jc w:val="left"/>
    </w:pPr>
    <w:rPr>
      <w:rFonts w:cs="Arial"/>
      <w:noProof/>
      <w:sz w:val="20"/>
      <w:lang w:val="en-US"/>
    </w:rPr>
  </w:style>
  <w:style w:type="character" w:customStyle="1" w:styleId="EndNoteBibliographyChar">
    <w:name w:val="EndNote Bibliography Char"/>
    <w:basedOn w:val="CETBodytextCarattere"/>
    <w:link w:val="EndNoteBibliography"/>
    <w:rsid w:val="007934AA"/>
    <w:rPr>
      <w:rFonts w:ascii="Arial" w:eastAsia="Times New Roman" w:hAnsi="Arial" w:cs="Arial"/>
      <w:noProof/>
      <w:sz w:val="20"/>
      <w:szCs w:val="20"/>
      <w:lang w:val="en-US"/>
    </w:rPr>
  </w:style>
  <w:style w:type="character" w:styleId="TextodoEspaoReservado">
    <w:name w:val="Placeholder Text"/>
    <w:basedOn w:val="Fontepargpadro"/>
    <w:uiPriority w:val="99"/>
    <w:semiHidden/>
    <w:rsid w:val="009321F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779582">
      <w:bodyDiv w:val="1"/>
      <w:marLeft w:val="0"/>
      <w:marRight w:val="0"/>
      <w:marTop w:val="0"/>
      <w:marBottom w:val="0"/>
      <w:divBdr>
        <w:top w:val="none" w:sz="0" w:space="0" w:color="auto"/>
        <w:left w:val="none" w:sz="0" w:space="0" w:color="auto"/>
        <w:bottom w:val="none" w:sz="0" w:space="0" w:color="auto"/>
        <w:right w:val="none" w:sz="0" w:space="0" w:color="auto"/>
      </w:divBdr>
    </w:div>
    <w:div w:id="58662217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22798">
      <w:bodyDiv w:val="1"/>
      <w:marLeft w:val="0"/>
      <w:marRight w:val="0"/>
      <w:marTop w:val="0"/>
      <w:marBottom w:val="0"/>
      <w:divBdr>
        <w:top w:val="none" w:sz="0" w:space="0" w:color="auto"/>
        <w:left w:val="none" w:sz="0" w:space="0" w:color="auto"/>
        <w:bottom w:val="none" w:sz="0" w:space="0" w:color="auto"/>
        <w:right w:val="none" w:sz="0" w:space="0" w:color="auto"/>
      </w:divBdr>
    </w:div>
    <w:div w:id="1343436845">
      <w:bodyDiv w:val="1"/>
      <w:marLeft w:val="0"/>
      <w:marRight w:val="0"/>
      <w:marTop w:val="0"/>
      <w:marBottom w:val="0"/>
      <w:divBdr>
        <w:top w:val="none" w:sz="0" w:space="0" w:color="auto"/>
        <w:left w:val="none" w:sz="0" w:space="0" w:color="auto"/>
        <w:bottom w:val="none" w:sz="0" w:space="0" w:color="auto"/>
        <w:right w:val="none" w:sz="0" w:space="0" w:color="auto"/>
      </w:divBdr>
      <w:divsChild>
        <w:div w:id="704059392">
          <w:marLeft w:val="0"/>
          <w:marRight w:val="0"/>
          <w:marTop w:val="90"/>
          <w:marBottom w:val="9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4E5C8FFE-AF16-4FDF-A470-67CAEDCF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3359</Words>
  <Characters>18144</Characters>
  <Application>Microsoft Office Word</Application>
  <DocSecurity>0</DocSecurity>
  <Lines>151</Lines>
  <Paragraphs>42</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21461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Osvaldir Taranto</cp:lastModifiedBy>
  <cp:revision>3</cp:revision>
  <cp:lastPrinted>2015-05-12T18:31:00Z</cp:lastPrinted>
  <dcterms:created xsi:type="dcterms:W3CDTF">2019-04-09T17:28:00Z</dcterms:created>
  <dcterms:modified xsi:type="dcterms:W3CDTF">2019-04-09T17:29:00Z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