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F562D79" w14:textId="77777777">
        <w:trPr>
          <w:trHeight w:val="852"/>
          <w:jc w:val="center"/>
        </w:trPr>
        <w:tc>
          <w:tcPr>
            <w:tcW w:w="6946" w:type="dxa"/>
            <w:vMerge w:val="restart"/>
            <w:tcBorders>
              <w:right w:val="single" w:sz="4" w:space="0" w:color="auto"/>
            </w:tcBorders>
          </w:tcPr>
          <w:p w14:paraId="6E437B22"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4801101F" wp14:editId="6BD4511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DD7C276"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94BED20"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0D4D0AD" w14:textId="77777777" w:rsidR="000A03B2" w:rsidRPr="00B57B36" w:rsidRDefault="000A03B2" w:rsidP="00CD5FE2">
            <w:pPr>
              <w:jc w:val="right"/>
            </w:pPr>
            <w:r w:rsidRPr="00B57B36">
              <w:rPr>
                <w:noProof/>
                <w:lang w:eastAsia="en-GB"/>
              </w:rPr>
              <w:drawing>
                <wp:inline distT="0" distB="0" distL="0" distR="0" wp14:anchorId="4B3906A0" wp14:editId="65C0056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3C7F6A0" w14:textId="77777777">
        <w:trPr>
          <w:trHeight w:val="567"/>
          <w:jc w:val="center"/>
        </w:trPr>
        <w:tc>
          <w:tcPr>
            <w:tcW w:w="6946" w:type="dxa"/>
            <w:vMerge/>
            <w:tcBorders>
              <w:right w:val="single" w:sz="4" w:space="0" w:color="auto"/>
            </w:tcBorders>
          </w:tcPr>
          <w:p w14:paraId="281B76BE"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0A718BC"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56CC999"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197EE29A"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0291AC19" w14:textId="77777777">
        <w:trPr>
          <w:trHeight w:val="68"/>
          <w:jc w:val="center"/>
        </w:trPr>
        <w:tc>
          <w:tcPr>
            <w:tcW w:w="8789" w:type="dxa"/>
            <w:gridSpan w:val="2"/>
          </w:tcPr>
          <w:p w14:paraId="194D394F"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29C55BB"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983E14C"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366EC84" w14:textId="77777777" w:rsidR="00E978D0" w:rsidRPr="00215BA5" w:rsidRDefault="009D725C" w:rsidP="00215BA5">
      <w:pPr>
        <w:pStyle w:val="CETTitle"/>
      </w:pPr>
      <w:r w:rsidRPr="00215BA5">
        <w:t>Application of conventional and novel low-temperature CO</w:t>
      </w:r>
      <w:r w:rsidRPr="00C87EB7">
        <w:rPr>
          <w:vertAlign w:val="subscript"/>
        </w:rPr>
        <w:t>2</w:t>
      </w:r>
      <w:r w:rsidRPr="00215BA5">
        <w:t xml:space="preserve"> removal processes to LNG production at different CO</w:t>
      </w:r>
      <w:r w:rsidRPr="00C87EB7">
        <w:rPr>
          <w:vertAlign w:val="subscript"/>
        </w:rPr>
        <w:t>2</w:t>
      </w:r>
      <w:r w:rsidRPr="00215BA5">
        <w:t xml:space="preserve"> concentrations in natural gas</w:t>
      </w:r>
    </w:p>
    <w:p w14:paraId="5E8C4E81" w14:textId="37F2DC01" w:rsidR="00E978D0" w:rsidRPr="009D725C" w:rsidRDefault="009D725C" w:rsidP="00AB5011">
      <w:pPr>
        <w:pStyle w:val="CETAuthors"/>
        <w:rPr>
          <w:lang w:val="it-IT"/>
        </w:rPr>
      </w:pPr>
      <w:r w:rsidRPr="009D725C">
        <w:rPr>
          <w:lang w:val="it-IT"/>
        </w:rPr>
        <w:t>Giorgia De Guido</w:t>
      </w:r>
      <w:r w:rsidR="00600535" w:rsidRPr="009D725C">
        <w:rPr>
          <w:lang w:val="it-IT"/>
        </w:rPr>
        <w:t xml:space="preserve">*, </w:t>
      </w:r>
      <w:r w:rsidRPr="009D725C">
        <w:rPr>
          <w:lang w:val="it-IT"/>
        </w:rPr>
        <w:t xml:space="preserve">Laura A. </w:t>
      </w:r>
      <w:r>
        <w:rPr>
          <w:lang w:val="it-IT"/>
        </w:rPr>
        <w:t>Pellegrini</w:t>
      </w:r>
    </w:p>
    <w:p w14:paraId="47ACA0CD" w14:textId="5FB332C4" w:rsidR="009D725C" w:rsidRPr="009D725C" w:rsidRDefault="009D725C" w:rsidP="009D725C">
      <w:pPr>
        <w:pStyle w:val="CETAddress"/>
        <w:rPr>
          <w:lang w:val="it-IT"/>
        </w:rPr>
      </w:pPr>
      <w:r w:rsidRPr="009D725C">
        <w:rPr>
          <w:lang w:val="it-IT"/>
        </w:rPr>
        <w:t>Dipartimento di Chimica, Materiali e Ingegneria Chimica “G. Natta”, Politecnico di Milan</w:t>
      </w:r>
      <w:r w:rsidR="0047357B">
        <w:rPr>
          <w:lang w:val="it-IT"/>
        </w:rPr>
        <w:t xml:space="preserve">o, Piazza Leonardo da Vinci 32,     </w:t>
      </w:r>
      <w:r>
        <w:rPr>
          <w:lang w:val="it-IT"/>
        </w:rPr>
        <w:t xml:space="preserve">  </w:t>
      </w:r>
      <w:r w:rsidRPr="009D725C">
        <w:rPr>
          <w:lang w:val="it-IT"/>
        </w:rPr>
        <w:t>I-20133 Milano, Italy</w:t>
      </w:r>
    </w:p>
    <w:p w14:paraId="44A1AE91" w14:textId="7E9A65D9" w:rsidR="00E978D0" w:rsidRPr="00B57B36" w:rsidRDefault="009D725C" w:rsidP="00E978D0">
      <w:pPr>
        <w:pStyle w:val="CETemail"/>
      </w:pPr>
      <w:r w:rsidRPr="009D725C">
        <w:t>giorgia.deguido@polimi.it</w:t>
      </w:r>
    </w:p>
    <w:p w14:paraId="481ED527" w14:textId="77777777" w:rsidR="006B4A15" w:rsidRDefault="006B4A15" w:rsidP="006B4A15">
      <w:pPr>
        <w:pStyle w:val="CETBodytext"/>
        <w:ind w:firstLine="284"/>
      </w:pPr>
    </w:p>
    <w:p w14:paraId="2DB14961" w14:textId="3D2E683B" w:rsidR="006B4A15" w:rsidRPr="00281836" w:rsidRDefault="006B4A15" w:rsidP="00281836">
      <w:pPr>
        <w:pStyle w:val="CETBodytext"/>
      </w:pPr>
      <w:r w:rsidRPr="00281836">
        <w:t>Future energy scenario</w:t>
      </w:r>
      <w:r w:rsidR="00E968A7" w:rsidRPr="00281836">
        <w:t>s</w:t>
      </w:r>
      <w:r w:rsidRPr="00281836">
        <w:t xml:space="preserve"> forecast an increase in the global energy demand. To meet that, although renewable energy resources will be the fastest growing ones, fossil fuels will remain the main so</w:t>
      </w:r>
      <w:r w:rsidR="00E968A7" w:rsidRPr="00281836">
        <w:t>urce of energy. Natural gas</w:t>
      </w:r>
      <w:r w:rsidRPr="00281836">
        <w:t xml:space="preserve">, in particular, is considered an effective short to mid-term bridge fuel to a low-carbon future, as an environmentally-friendly fuel. These factors have led to consider the exploitation of those low-quality </w:t>
      </w:r>
      <w:r w:rsidR="00E968A7" w:rsidRPr="00281836">
        <w:t>natural gas</w:t>
      </w:r>
      <w:r w:rsidRPr="00281836">
        <w:t xml:space="preserve"> reserves that were left undeveloped in the past because of the high H</w:t>
      </w:r>
      <w:r w:rsidRPr="00F023B7">
        <w:rPr>
          <w:vertAlign w:val="subscript"/>
        </w:rPr>
        <w:t>2</w:t>
      </w:r>
      <w:r w:rsidRPr="00281836">
        <w:t>S and/or CO</w:t>
      </w:r>
      <w:r w:rsidRPr="00F023B7">
        <w:rPr>
          <w:vertAlign w:val="subscript"/>
        </w:rPr>
        <w:t>2</w:t>
      </w:r>
      <w:r w:rsidRPr="00281836">
        <w:t xml:space="preserve"> content and the absence of technologies suitable for their profitable exploitation</w:t>
      </w:r>
      <w:r w:rsidR="00DB7893" w:rsidRPr="00281836">
        <w:t>.</w:t>
      </w:r>
    </w:p>
    <w:p w14:paraId="295DEF28" w14:textId="1CEBC398" w:rsidR="009D725C" w:rsidRPr="00281836" w:rsidRDefault="009D725C" w:rsidP="00281836">
      <w:pPr>
        <w:pStyle w:val="CETBodytext"/>
      </w:pPr>
      <w:r w:rsidRPr="00281836">
        <w:t>In recent years, many studies have been carried out to develop new technologies that make the production of natural gas from these reserves economically viable: the most promising technologies have turned out to be the low-temperature ones. However, no research has been carried out on the performances of the whole LNG</w:t>
      </w:r>
      <w:r w:rsidR="009E6916" w:rsidRPr="00281836">
        <w:t xml:space="preserve"> (liquefied natural gas)</w:t>
      </w:r>
      <w:r w:rsidRPr="00281836">
        <w:t xml:space="preserve"> production process, requiring the coupling between the acid gas removal step and the liquefaction one.</w:t>
      </w:r>
    </w:p>
    <w:p w14:paraId="13AC8D07" w14:textId="77777777" w:rsidR="009D725C" w:rsidRPr="00281836" w:rsidRDefault="009D725C" w:rsidP="00281836">
      <w:pPr>
        <w:pStyle w:val="CETBodytext"/>
      </w:pPr>
      <w:r w:rsidRPr="00281836">
        <w:t>This work aims at studying the energy demand of the purification and liquefaction of several acid natural gas streams composed of methane and CO</w:t>
      </w:r>
      <w:r w:rsidRPr="00F023B7">
        <w:rPr>
          <w:vertAlign w:val="subscript"/>
        </w:rPr>
        <w:t>2</w:t>
      </w:r>
      <w:r w:rsidRPr="00281836">
        <w:t>, which differ from each other because of the CO</w:t>
      </w:r>
      <w:r w:rsidRPr="00F023B7">
        <w:rPr>
          <w:vertAlign w:val="subscript"/>
        </w:rPr>
        <w:t>2</w:t>
      </w:r>
      <w:r w:rsidRPr="00281836">
        <w:t xml:space="preserve"> content.</w:t>
      </w:r>
    </w:p>
    <w:p w14:paraId="5DAB018F" w14:textId="1F781AD5" w:rsidR="009D725C" w:rsidRPr="00281836" w:rsidRDefault="009D725C" w:rsidP="00281836">
      <w:pPr>
        <w:pStyle w:val="CETBodytext"/>
      </w:pPr>
      <w:r w:rsidRPr="00281836">
        <w:t>The conventional amine chemical a</w:t>
      </w:r>
      <w:r w:rsidR="00B55050" w:rsidRPr="00281836">
        <w:t>bsorption process, where Methyl</w:t>
      </w:r>
      <w:r w:rsidRPr="00281836">
        <w:t>DiEthanolAmine (MDEA) is used a</w:t>
      </w:r>
      <w:r w:rsidR="00B55050" w:rsidRPr="00281836">
        <w:t xml:space="preserve">s solvent, is compared with a </w:t>
      </w:r>
      <w:r w:rsidRPr="00281836">
        <w:t xml:space="preserve">recently developed dual pressure low-temperature distillation </w:t>
      </w:r>
      <w:r w:rsidR="00B55050" w:rsidRPr="00281836">
        <w:t>process</w:t>
      </w:r>
      <w:r w:rsidR="00527A97" w:rsidRPr="00281836">
        <w:t xml:space="preserve"> (DCCD</w:t>
      </w:r>
      <w:r w:rsidR="00527A97" w:rsidRPr="00F023B7">
        <w:rPr>
          <w:vertAlign w:val="superscript"/>
        </w:rPr>
        <w:t>TM</w:t>
      </w:r>
      <w:r w:rsidR="00527A97" w:rsidRPr="00281836">
        <w:t>)</w:t>
      </w:r>
      <w:r w:rsidRPr="00281836">
        <w:t xml:space="preserve"> for CO</w:t>
      </w:r>
      <w:r w:rsidRPr="00F023B7">
        <w:rPr>
          <w:vertAlign w:val="subscript"/>
        </w:rPr>
        <w:t>2</w:t>
      </w:r>
      <w:r w:rsidRPr="00281836">
        <w:t xml:space="preserve"> removal from natural gas. Downstream of the acid gas removal step, the Propane Precooled Mixed Refrigerant (C3MR) technology has been considered for the liquefaction of natural gas. The aim is to understand whether there is an advantage related to the coupling of a low-temperature purification technology with the liquefaction of the sweet natural gas in terms of energy consumptions and efficiency of the overall process.</w:t>
      </w:r>
    </w:p>
    <w:p w14:paraId="0467B7C0" w14:textId="77777777" w:rsidR="009D725C" w:rsidRPr="00281836" w:rsidRDefault="009D725C" w:rsidP="00281836">
      <w:pPr>
        <w:pStyle w:val="CETBodytext"/>
      </w:pPr>
      <w:r w:rsidRPr="00281836">
        <w:t>The results of the simulations performed in Aspen HYSYS</w:t>
      </w:r>
      <w:r w:rsidRPr="00F023B7">
        <w:rPr>
          <w:vertAlign w:val="superscript"/>
        </w:rPr>
        <w:t xml:space="preserve">® </w:t>
      </w:r>
      <w:r w:rsidRPr="00281836">
        <w:t>V9.0 are utilized to carry out the energy analysis (based on the net equivalent methane method), and the exergy analysis (based on the second-law efficiency). The handouts allow assessing which is the most convenient acid gas removal technology for LNG production, depending on the CO</w:t>
      </w:r>
      <w:r w:rsidRPr="00F023B7">
        <w:rPr>
          <w:vertAlign w:val="subscript"/>
        </w:rPr>
        <w:t>2</w:t>
      </w:r>
      <w:r w:rsidRPr="00281836">
        <w:t xml:space="preserve"> content in the raw natural gas.</w:t>
      </w:r>
    </w:p>
    <w:p w14:paraId="1A00EA56" w14:textId="77777777" w:rsidR="00600535" w:rsidRPr="00B57B36" w:rsidRDefault="00600535" w:rsidP="00600535">
      <w:pPr>
        <w:pStyle w:val="CETHeading1"/>
        <w:rPr>
          <w:lang w:val="en-GB"/>
        </w:rPr>
      </w:pPr>
      <w:r w:rsidRPr="00B57B36">
        <w:rPr>
          <w:lang w:val="en-GB"/>
        </w:rPr>
        <w:t>Introduction</w:t>
      </w:r>
    </w:p>
    <w:p w14:paraId="302AB7D1" w14:textId="06E9D879" w:rsidR="007931FA" w:rsidRDefault="006B4A15" w:rsidP="00DB7893">
      <w:pPr>
        <w:pStyle w:val="CETBodytext"/>
        <w:spacing w:line="288" w:lineRule="auto"/>
      </w:pPr>
      <w:r w:rsidRPr="009D725C">
        <w:rPr>
          <w:lang w:val="en-GB"/>
        </w:rPr>
        <w:t>The energy transition towards a zero-carbon energy sector poses several new challenges. Renewable energy is the fastest-growing energy source</w:t>
      </w:r>
      <w:r w:rsidR="00E968A7">
        <w:rPr>
          <w:lang w:val="en-GB"/>
        </w:rPr>
        <w:t xml:space="preserve"> </w:t>
      </w:r>
      <w:r w:rsidR="00E968A7" w:rsidRPr="006B4A15">
        <w:t>(BP, 2018)</w:t>
      </w:r>
      <w:r w:rsidRPr="009D725C">
        <w:rPr>
          <w:lang w:val="en-GB"/>
        </w:rPr>
        <w:t xml:space="preserve">, accounting for 40% of the increase in primary energy. However, the ever-increasing world energy demand makes it difficult to provide sufficient energy while, at the same time, phasing out fossil energy. Among fossil fuels, natural gas </w:t>
      </w:r>
      <w:r w:rsidR="00DB7893">
        <w:rPr>
          <w:lang w:val="en-GB"/>
        </w:rPr>
        <w:t xml:space="preserve">(NG) </w:t>
      </w:r>
      <w:r w:rsidRPr="009D725C">
        <w:rPr>
          <w:lang w:val="en-GB"/>
        </w:rPr>
        <w:t xml:space="preserve">grows much faster than either oil or coal, being an environmentally-friendly fuel supported by the continuing expansion of </w:t>
      </w:r>
      <w:r w:rsidR="00DB7893">
        <w:rPr>
          <w:lang w:val="en-GB"/>
        </w:rPr>
        <w:t>liquefied natural gas (</w:t>
      </w:r>
      <w:r w:rsidRPr="009D725C">
        <w:rPr>
          <w:lang w:val="en-GB"/>
        </w:rPr>
        <w:t>LNG</w:t>
      </w:r>
      <w:r w:rsidR="00DB7893">
        <w:rPr>
          <w:lang w:val="en-GB"/>
        </w:rPr>
        <w:t>)</w:t>
      </w:r>
      <w:r w:rsidRPr="009D725C">
        <w:rPr>
          <w:lang w:val="en-GB"/>
        </w:rPr>
        <w:t xml:space="preserve">, increasing the availability of gas globally. As a result, sub-quality (particularly because of the high acid gas content) and remote gas reserves that were left undeveloped in the past are now considered for exploitation. The </w:t>
      </w:r>
      <w:r w:rsidRPr="009D725C">
        <w:rPr>
          <w:lang w:val="en-GB"/>
        </w:rPr>
        <w:lastRenderedPageBreak/>
        <w:t>conventional technologies currently available for acid gas removal from natural gas are not the most suitable ones to treat these natural gas fields because, as the acid gas content increases, the energy penalty of the purification step increases as well.</w:t>
      </w:r>
      <w:r w:rsidR="00DB7893">
        <w:rPr>
          <w:lang w:val="en-GB"/>
        </w:rPr>
        <w:t xml:space="preserve"> D</w:t>
      </w:r>
      <w:r w:rsidR="00DB7893">
        <w:t>espite the different technologies</w:t>
      </w:r>
      <w:r w:rsidR="00B55050" w:rsidRPr="00B2291D">
        <w:t xml:space="preserve"> currently available (De Guido et al., 2017)</w:t>
      </w:r>
      <w:r w:rsidR="00DB7893">
        <w:t xml:space="preserve">, </w:t>
      </w:r>
      <w:r w:rsidR="00EB2505" w:rsidRPr="00B2291D">
        <w:t xml:space="preserve">in recent years novel </w:t>
      </w:r>
      <w:r w:rsidR="00DB7893">
        <w:t>ones</w:t>
      </w:r>
      <w:r w:rsidR="00EB2505" w:rsidRPr="00B2291D">
        <w:t xml:space="preserve"> (mainly low-temperature/cryogenic ones) have been proposed for </w:t>
      </w:r>
      <w:r w:rsidR="00DB7893">
        <w:t>a profitable exploitation of these low-quality gas reserves</w:t>
      </w:r>
      <w:r w:rsidR="00EB2505" w:rsidRPr="00B2291D">
        <w:t>. The growing</w:t>
      </w:r>
      <w:r w:rsidR="00EB2505">
        <w:t xml:space="preserve"> importance of NG is accompanied by that of LNG, which is the preferred method of tran</w:t>
      </w:r>
      <w:r w:rsidR="007551D7">
        <w:t xml:space="preserve">sportation over long distances, i.e. greater </w:t>
      </w:r>
      <w:r w:rsidR="007551D7" w:rsidRPr="00B2291D">
        <w:t>than 3500 km</w:t>
      </w:r>
      <w:r w:rsidR="00EB2505" w:rsidRPr="00B2291D">
        <w:t xml:space="preserve"> (Lim et al., 2013)</w:t>
      </w:r>
      <w:r w:rsidR="007551D7" w:rsidRPr="00B2291D">
        <w:t>, and is becoming a viable, environmentally-fri</w:t>
      </w:r>
      <w:r w:rsidR="0028261A" w:rsidRPr="00B2291D">
        <w:t>e</w:t>
      </w:r>
      <w:r w:rsidR="007551D7" w:rsidRPr="00B2291D">
        <w:t>ndly alternative to marine fuel oil for ship propulsion (Iannaccone et al., 2018)</w:t>
      </w:r>
      <w:r w:rsidR="00EB2505" w:rsidRPr="00B2291D">
        <w:t>. In order to produce LNG, NG must be intensively purified from its contaminants, such as CO</w:t>
      </w:r>
      <w:r w:rsidR="00EB2505" w:rsidRPr="00B2291D">
        <w:rPr>
          <w:vertAlign w:val="subscript"/>
        </w:rPr>
        <w:t>2</w:t>
      </w:r>
      <w:r w:rsidR="00EB2505" w:rsidRPr="00B2291D">
        <w:t xml:space="preserve"> </w:t>
      </w:r>
      <w:r w:rsidR="00E85DA5" w:rsidRPr="00B2291D">
        <w:t>that</w:t>
      </w:r>
      <w:r w:rsidR="00EB2505">
        <w:t xml:space="preserve"> would freeze at the low temperatures the liquefaction process is carried out. Therefore, the development of low-quality NG reserves for LNG production poses new challenges to the gas processing industry, requiring novel technologies for CO</w:t>
      </w:r>
      <w:r w:rsidR="00EB2505" w:rsidRPr="00E85DA5">
        <w:rPr>
          <w:vertAlign w:val="subscript"/>
        </w:rPr>
        <w:t>2</w:t>
      </w:r>
      <w:r w:rsidR="00EB2505">
        <w:t xml:space="preserve"> removal from NG and the adjustment of the liquefaction process, currently designed for a purified NG stream coming from a conventional acid gas removal process and, thus, at ambient temperature or higher.</w:t>
      </w:r>
    </w:p>
    <w:p w14:paraId="6169DABB" w14:textId="7ECD7838" w:rsidR="00EB2505" w:rsidRDefault="00EB2505" w:rsidP="00EB2505">
      <w:pPr>
        <w:pStyle w:val="CETBodytext"/>
      </w:pPr>
      <w:r>
        <w:t>The aim of this work is to compare an established CO</w:t>
      </w:r>
      <w:r w:rsidRPr="005E2991">
        <w:rPr>
          <w:vertAlign w:val="subscript"/>
        </w:rPr>
        <w:t>2</w:t>
      </w:r>
      <w:r>
        <w:t xml:space="preserve"> removal technology (i.e., chemical absorption with </w:t>
      </w:r>
      <w:r w:rsidR="005E2991">
        <w:t xml:space="preserve">a </w:t>
      </w:r>
      <w:r>
        <w:t>MDEA</w:t>
      </w:r>
      <w:r w:rsidR="005E2991">
        <w:t xml:space="preserve"> aqueous solution containing 40 wt% MDEA</w:t>
      </w:r>
      <w:r>
        <w:t xml:space="preserve">) with a novel one based </w:t>
      </w:r>
      <w:r w:rsidR="003A5E0D">
        <w:t>on low</w:t>
      </w:r>
      <w:r w:rsidR="0028261A">
        <w:t>-</w:t>
      </w:r>
      <w:r w:rsidR="003A5E0D">
        <w:t>temperature distillation (known as DCCD</w:t>
      </w:r>
      <w:r w:rsidR="003A5E0D" w:rsidRPr="005E2991">
        <w:rPr>
          <w:vertAlign w:val="superscript"/>
        </w:rPr>
        <w:t>TM</w:t>
      </w:r>
      <w:r w:rsidR="003A5E0D">
        <w:t xml:space="preserve">) for the purification of NG in view of LNG production. Then, the C3MR </w:t>
      </w:r>
      <w:r w:rsidR="003B6811">
        <w:t xml:space="preserve">process </w:t>
      </w:r>
      <w:r w:rsidR="003A5E0D">
        <w:t>has been considered for liquefaction downstream each CO</w:t>
      </w:r>
      <w:r w:rsidR="003A5E0D" w:rsidRPr="005E2991">
        <w:rPr>
          <w:vertAlign w:val="subscript"/>
        </w:rPr>
        <w:t>2</w:t>
      </w:r>
      <w:r w:rsidR="003A5E0D">
        <w:t xml:space="preserve"> removal process. A previous </w:t>
      </w:r>
      <w:r w:rsidR="003A5E0D" w:rsidRPr="00B2291D">
        <w:t>work (Pellegrini et al., 201</w:t>
      </w:r>
      <w:r w:rsidR="00B2796D" w:rsidRPr="00B2291D">
        <w:t>9</w:t>
      </w:r>
      <w:r w:rsidR="003A5E0D" w:rsidRPr="00B2291D">
        <w:t>) studied</w:t>
      </w:r>
      <w:r w:rsidR="003A5E0D">
        <w:t xml:space="preserve"> this for a real NG mixture with a fixed CO</w:t>
      </w:r>
      <w:r w:rsidR="003A5E0D" w:rsidRPr="005E2991">
        <w:rPr>
          <w:vertAlign w:val="subscript"/>
        </w:rPr>
        <w:t>2</w:t>
      </w:r>
      <w:r w:rsidR="003A5E0D">
        <w:t xml:space="preserve"> concentration. </w:t>
      </w:r>
      <w:r w:rsidR="0028261A">
        <w:t>However, one may wonder: how does the CO</w:t>
      </w:r>
      <w:r w:rsidR="0028261A" w:rsidRPr="0028261A">
        <w:rPr>
          <w:vertAlign w:val="subscript"/>
        </w:rPr>
        <w:t>2</w:t>
      </w:r>
      <w:r w:rsidR="0028261A">
        <w:t xml:space="preserve"> content in raw NG affect the comparison? Therefore</w:t>
      </w:r>
      <w:r w:rsidR="003A5E0D">
        <w:t>, the analysis presented in this work takes into account different CO</w:t>
      </w:r>
      <w:r w:rsidR="003A5E0D" w:rsidRPr="005E2991">
        <w:rPr>
          <w:vertAlign w:val="subscript"/>
        </w:rPr>
        <w:t>2</w:t>
      </w:r>
      <w:r w:rsidR="003A5E0D">
        <w:t xml:space="preserve"> contents to unders</w:t>
      </w:r>
      <w:r w:rsidR="003A5E0D" w:rsidRPr="001E1E83">
        <w:t>tand which is the breakeven point between the two NG purification technologies. S</w:t>
      </w:r>
      <w:r w:rsidR="003A5E0D" w:rsidRPr="00B2291D">
        <w:t>imulations have been performed in Aspen Hysys</w:t>
      </w:r>
      <w:r w:rsidR="003A5E0D" w:rsidRPr="00B2291D">
        <w:rPr>
          <w:vertAlign w:val="superscript"/>
        </w:rPr>
        <w:t>®</w:t>
      </w:r>
      <w:r w:rsidR="003A5E0D" w:rsidRPr="00B2291D">
        <w:t xml:space="preserve"> V9.0 (AspenTech, 2016) and</w:t>
      </w:r>
      <w:r w:rsidR="003A5E0D">
        <w:t xml:space="preserve"> the comparison has been carried out </w:t>
      </w:r>
      <w:r w:rsidR="00CC5248">
        <w:t xml:space="preserve">by means of an energy analysis </w:t>
      </w:r>
      <w:r w:rsidR="003A5E0D">
        <w:t xml:space="preserve">based on the net equivalent methane </w:t>
      </w:r>
      <w:r w:rsidR="003A5E0D" w:rsidRPr="00B2291D">
        <w:t>approach (</w:t>
      </w:r>
      <w:r w:rsidR="00037D6F" w:rsidRPr="00B2291D">
        <w:t>Pellegrini et al., 2018</w:t>
      </w:r>
      <w:r w:rsidR="00CC5248">
        <w:t>),</w:t>
      </w:r>
      <w:r w:rsidR="003A5E0D" w:rsidRPr="00B2291D">
        <w:t xml:space="preserve"> and</w:t>
      </w:r>
      <w:r w:rsidR="003A5E0D">
        <w:t xml:space="preserve"> on an exergy analysis.</w:t>
      </w:r>
    </w:p>
    <w:p w14:paraId="66AFFB57" w14:textId="43B49E74" w:rsidR="006A25EC" w:rsidRPr="005B4C45" w:rsidRDefault="006A25EC" w:rsidP="005B4C45">
      <w:pPr>
        <w:pStyle w:val="CETHeading1"/>
        <w:rPr>
          <w:lang w:val="en-GB"/>
        </w:rPr>
      </w:pPr>
      <w:r>
        <w:rPr>
          <w:lang w:val="en-GB"/>
        </w:rPr>
        <w:t>Methods</w:t>
      </w:r>
    </w:p>
    <w:p w14:paraId="084A270E" w14:textId="77777777" w:rsidR="00600535" w:rsidRPr="00B57B36" w:rsidRDefault="006A25EC" w:rsidP="00FA5F5F">
      <w:pPr>
        <w:pStyle w:val="CETheadingx"/>
      </w:pPr>
      <w:r>
        <w:t>Acid gas removal</w:t>
      </w:r>
    </w:p>
    <w:p w14:paraId="43061750" w14:textId="77777777" w:rsidR="00325E3E" w:rsidRDefault="0075122D" w:rsidP="00325E3E">
      <w:pPr>
        <w:pStyle w:val="CETBodytext"/>
        <w:rPr>
          <w:lang w:val="en-GB"/>
        </w:rPr>
      </w:pPr>
      <w:r>
        <w:rPr>
          <w:lang w:val="en-GB"/>
        </w:rPr>
        <w:t>The scheme</w:t>
      </w:r>
      <w:r w:rsidR="005B4C45">
        <w:rPr>
          <w:lang w:val="en-GB"/>
        </w:rPr>
        <w:t xml:space="preserve"> of </w:t>
      </w:r>
      <w:r>
        <w:rPr>
          <w:lang w:val="en-GB"/>
        </w:rPr>
        <w:t xml:space="preserve">the </w:t>
      </w:r>
      <w:r w:rsidR="00B2796D">
        <w:rPr>
          <w:lang w:val="en-GB"/>
        </w:rPr>
        <w:t>acid gas removal unit (</w:t>
      </w:r>
      <w:r>
        <w:rPr>
          <w:lang w:val="en-GB"/>
        </w:rPr>
        <w:t>AGRU</w:t>
      </w:r>
      <w:r w:rsidR="00B2796D">
        <w:rPr>
          <w:lang w:val="en-GB"/>
        </w:rPr>
        <w:t>)</w:t>
      </w:r>
      <w:r>
        <w:rPr>
          <w:lang w:val="en-GB"/>
        </w:rPr>
        <w:t xml:space="preserve"> </w:t>
      </w:r>
      <w:r w:rsidRPr="00B2291D">
        <w:rPr>
          <w:lang w:val="en-GB"/>
        </w:rPr>
        <w:t>is</w:t>
      </w:r>
      <w:r w:rsidR="005B4C45" w:rsidRPr="00B2291D">
        <w:rPr>
          <w:lang w:val="en-GB"/>
        </w:rPr>
        <w:t xml:space="preserve"> </w:t>
      </w:r>
      <w:r w:rsidR="00ED3CD5" w:rsidRPr="00B2291D">
        <w:rPr>
          <w:lang w:val="en-GB"/>
        </w:rPr>
        <w:t>shown</w:t>
      </w:r>
      <w:r w:rsidR="005B4C45" w:rsidRPr="00B2291D">
        <w:rPr>
          <w:lang w:val="en-GB"/>
        </w:rPr>
        <w:t xml:space="preserve"> in Figure </w:t>
      </w:r>
      <w:r w:rsidR="00B2796D" w:rsidRPr="00B2291D">
        <w:rPr>
          <w:lang w:val="en-GB"/>
        </w:rPr>
        <w:t>1</w:t>
      </w:r>
      <w:r w:rsidR="005B4C45" w:rsidRPr="00B2291D">
        <w:rPr>
          <w:lang w:val="en-GB"/>
        </w:rPr>
        <w:t xml:space="preserve"> for the MDEA case and in Figure </w:t>
      </w:r>
      <w:r w:rsidR="00B2796D" w:rsidRPr="00B2291D">
        <w:rPr>
          <w:lang w:val="en-GB"/>
        </w:rPr>
        <w:t>2</w:t>
      </w:r>
      <w:r w:rsidR="005B4C45">
        <w:rPr>
          <w:lang w:val="en-GB"/>
        </w:rPr>
        <w:t xml:space="preserve"> for the </w:t>
      </w:r>
      <w:r w:rsidR="00B2796D">
        <w:rPr>
          <w:lang w:val="en-GB"/>
        </w:rPr>
        <w:t>DCCD</w:t>
      </w:r>
      <w:r w:rsidR="00B2796D" w:rsidRPr="00B2796D">
        <w:rPr>
          <w:vertAlign w:val="superscript"/>
          <w:lang w:val="en-GB"/>
        </w:rPr>
        <w:t>TM</w:t>
      </w:r>
      <w:r w:rsidR="005B4C45">
        <w:rPr>
          <w:lang w:val="en-GB"/>
        </w:rPr>
        <w:t xml:space="preserve"> case.</w:t>
      </w:r>
      <w:r w:rsidR="00ED3CD5">
        <w:rPr>
          <w:lang w:val="en-GB"/>
        </w:rPr>
        <w:t xml:space="preserve"> In both cases, the feed stream has been assumed to be a binary mixture of CH</w:t>
      </w:r>
      <w:r w:rsidR="00ED3CD5" w:rsidRPr="00ED3CD5">
        <w:rPr>
          <w:vertAlign w:val="subscript"/>
          <w:lang w:val="en-GB"/>
        </w:rPr>
        <w:t>4</w:t>
      </w:r>
      <w:r w:rsidR="00ED3CD5">
        <w:rPr>
          <w:lang w:val="en-GB"/>
        </w:rPr>
        <w:t xml:space="preserve"> and CO</w:t>
      </w:r>
      <w:r w:rsidR="00ED3CD5" w:rsidRPr="00ED3CD5">
        <w:rPr>
          <w:vertAlign w:val="subscript"/>
          <w:lang w:val="en-GB"/>
        </w:rPr>
        <w:t>2</w:t>
      </w:r>
      <w:r w:rsidR="00ED3CD5">
        <w:rPr>
          <w:lang w:val="en-GB"/>
        </w:rPr>
        <w:t xml:space="preserve"> at 35°C and 50 bar, available at 5000 kmol/h. The CO</w:t>
      </w:r>
      <w:r w:rsidR="00ED3CD5" w:rsidRPr="00ED3CD5">
        <w:rPr>
          <w:vertAlign w:val="subscript"/>
          <w:lang w:val="en-GB"/>
        </w:rPr>
        <w:t>2</w:t>
      </w:r>
      <w:r w:rsidR="00ED3CD5">
        <w:rPr>
          <w:lang w:val="en-GB"/>
        </w:rPr>
        <w:t xml:space="preserve"> content has been varied in the range 10-70 % on a molar basis. Moreover, the target purity for the NG exiting the AGRU has been fixed at 50 ppm of CO</w:t>
      </w:r>
      <w:r w:rsidR="00ED3CD5" w:rsidRPr="005E2991">
        <w:rPr>
          <w:vertAlign w:val="subscript"/>
          <w:lang w:val="en-GB"/>
        </w:rPr>
        <w:t>2</w:t>
      </w:r>
      <w:r w:rsidR="00ED3CD5">
        <w:rPr>
          <w:lang w:val="en-GB"/>
        </w:rPr>
        <w:t xml:space="preserve"> (reaching sometimes slightly lower values in the MDEA case), as recommended for LNG production to avoid freezing </w:t>
      </w:r>
      <w:r w:rsidR="00ED3CD5" w:rsidRPr="00B2291D">
        <w:rPr>
          <w:lang w:val="en-GB"/>
        </w:rPr>
        <w:t>problems (GPSA, 2004).</w:t>
      </w:r>
      <w:r w:rsidR="005E2991" w:rsidRPr="00B2291D">
        <w:rPr>
          <w:lang w:val="en-GB"/>
        </w:rPr>
        <w:t xml:space="preserve"> As for the</w:t>
      </w:r>
      <w:r w:rsidR="005E2991">
        <w:rPr>
          <w:lang w:val="en-GB"/>
        </w:rPr>
        <w:t xml:space="preserve"> CO</w:t>
      </w:r>
      <w:r w:rsidR="005E2991" w:rsidRPr="0075122D">
        <w:rPr>
          <w:vertAlign w:val="subscript"/>
          <w:lang w:val="en-GB"/>
        </w:rPr>
        <w:t>2</w:t>
      </w:r>
      <w:r w:rsidR="005E2991">
        <w:rPr>
          <w:lang w:val="en-GB"/>
        </w:rPr>
        <w:t xml:space="preserve"> stream separated in the AGRU, it has been further processe</w:t>
      </w:r>
      <w:r>
        <w:rPr>
          <w:lang w:val="en-GB"/>
        </w:rPr>
        <w:t>d</w:t>
      </w:r>
      <w:r w:rsidR="005E2991">
        <w:rPr>
          <w:lang w:val="en-GB"/>
        </w:rPr>
        <w:t xml:space="preserve"> when separated from NG by chemical absorption in order to obtain it as a liquid </w:t>
      </w:r>
      <w:r w:rsidR="005E2991" w:rsidRPr="00B2291D">
        <w:rPr>
          <w:lang w:val="en-GB"/>
        </w:rPr>
        <w:t xml:space="preserve">under pressure (i.e., 50 bar), which makes it </w:t>
      </w:r>
      <w:r w:rsidR="00B2796D" w:rsidRPr="00B2291D">
        <w:rPr>
          <w:lang w:val="en-GB"/>
        </w:rPr>
        <w:t xml:space="preserve">more readily </w:t>
      </w:r>
      <w:r w:rsidR="005E2991" w:rsidRPr="00B2291D">
        <w:rPr>
          <w:lang w:val="en-GB"/>
        </w:rPr>
        <w:t>suitable for further applications, such as for Enhanced Oil Recovery</w:t>
      </w:r>
      <w:r w:rsidR="00B2796D" w:rsidRPr="00B2291D">
        <w:rPr>
          <w:lang w:val="en-GB"/>
        </w:rPr>
        <w:t xml:space="preserve"> (Mazzoccoli et al., 2013)</w:t>
      </w:r>
      <w:r w:rsidR="005E2991" w:rsidRPr="00B2291D">
        <w:rPr>
          <w:lang w:val="en-GB"/>
        </w:rPr>
        <w:t xml:space="preserve">. </w:t>
      </w:r>
      <w:r w:rsidR="0042023E" w:rsidRPr="00B2291D">
        <w:rPr>
          <w:lang w:val="en-GB"/>
        </w:rPr>
        <w:t>Thus, the CO</w:t>
      </w:r>
      <w:r w:rsidR="0042023E" w:rsidRPr="00B2291D">
        <w:rPr>
          <w:vertAlign w:val="subscript"/>
          <w:lang w:val="en-GB"/>
        </w:rPr>
        <w:t>2</w:t>
      </w:r>
      <w:r w:rsidR="0042023E" w:rsidRPr="00B2291D">
        <w:rPr>
          <w:lang w:val="en-GB"/>
        </w:rPr>
        <w:t xml:space="preserve"> withdrawn wet and at low pressure from the top of the </w:t>
      </w:r>
      <w:r w:rsidRPr="00B2291D">
        <w:rPr>
          <w:lang w:val="en-GB"/>
        </w:rPr>
        <w:t>R</w:t>
      </w:r>
      <w:r w:rsidR="0042023E" w:rsidRPr="00B2291D">
        <w:rPr>
          <w:lang w:val="en-GB"/>
        </w:rPr>
        <w:t>egenerator has been sent to an inter-refrigerated compression train (made up of three stages) to bring it at the desired</w:t>
      </w:r>
      <w:r w:rsidR="0042023E">
        <w:rPr>
          <w:lang w:val="en-GB"/>
        </w:rPr>
        <w:t xml:space="preserve"> final conditions.</w:t>
      </w:r>
      <w:r>
        <w:rPr>
          <w:lang w:val="en-GB"/>
        </w:rPr>
        <w:t xml:space="preserve"> </w:t>
      </w:r>
      <w:r w:rsidR="005E2991">
        <w:rPr>
          <w:lang w:val="en-GB"/>
        </w:rPr>
        <w:t xml:space="preserve">For the simulation of the chemical absorption process, the Acid Gas – Chemical Solvents property package available in Aspen </w:t>
      </w:r>
      <w:r w:rsidR="005E2991" w:rsidRPr="00B2291D">
        <w:rPr>
          <w:lang w:val="en-GB"/>
        </w:rPr>
        <w:t>Hysys</w:t>
      </w:r>
      <w:r w:rsidR="005E2991" w:rsidRPr="00B2291D">
        <w:rPr>
          <w:vertAlign w:val="superscript"/>
          <w:lang w:val="en-GB"/>
        </w:rPr>
        <w:t>®</w:t>
      </w:r>
      <w:r w:rsidR="005E2991" w:rsidRPr="00B2291D">
        <w:rPr>
          <w:lang w:val="en-GB"/>
        </w:rPr>
        <w:t xml:space="preserve"> V9.0</w:t>
      </w:r>
      <w:r w:rsidR="004036B7" w:rsidRPr="00B2291D">
        <w:rPr>
          <w:lang w:val="en-GB"/>
        </w:rPr>
        <w:t xml:space="preserve"> (AspenTech, 2016)</w:t>
      </w:r>
      <w:r w:rsidR="005E2991" w:rsidRPr="00B2291D">
        <w:rPr>
          <w:lang w:val="en-GB"/>
        </w:rPr>
        <w:t xml:space="preserve"> has been used: it is based on the Electrolyte Non-Random Two Liquid thermodynamic model and involves all the equilibrium and kinetic reactions required for rigorous calculations (Dyment and Watana</w:t>
      </w:r>
      <w:r w:rsidR="00554F1A" w:rsidRPr="00B2291D">
        <w:rPr>
          <w:lang w:val="en-GB"/>
        </w:rPr>
        <w:t>s</w:t>
      </w:r>
      <w:r w:rsidR="005E2991" w:rsidRPr="00B2291D">
        <w:rPr>
          <w:lang w:val="en-GB"/>
        </w:rPr>
        <w:t>iri, 2015).</w:t>
      </w:r>
      <w:r w:rsidR="007C2185" w:rsidRPr="00B2291D">
        <w:rPr>
          <w:lang w:val="en-GB"/>
        </w:rPr>
        <w:t xml:space="preserve"> The internal configuration has been setup in accordance with the information found in the literature (</w:t>
      </w:r>
      <w:r w:rsidR="004036B7" w:rsidRPr="00B2291D">
        <w:rPr>
          <w:lang w:val="en-GB"/>
        </w:rPr>
        <w:t>Pellegrini et al., 2019</w:t>
      </w:r>
      <w:r w:rsidR="007C2185" w:rsidRPr="00B2291D">
        <w:rPr>
          <w:lang w:val="en-GB"/>
        </w:rPr>
        <w:t>).</w:t>
      </w:r>
      <w:r w:rsidR="00325E3E" w:rsidRPr="00B2291D">
        <w:rPr>
          <w:lang w:val="en-GB"/>
        </w:rPr>
        <w:t xml:space="preserve"> Moreover, a rich loading of 0.45 moles of CO</w:t>
      </w:r>
      <w:r w:rsidR="00325E3E" w:rsidRPr="00B2291D">
        <w:rPr>
          <w:vertAlign w:val="subscript"/>
          <w:lang w:val="en-GB"/>
        </w:rPr>
        <w:t>2</w:t>
      </w:r>
      <w:r w:rsidR="00325E3E" w:rsidRPr="00B2291D">
        <w:rPr>
          <w:lang w:val="en-GB"/>
        </w:rPr>
        <w:t xml:space="preserve"> per mole of MDEA has been chosen and the lean loading has been assumed to be 1/100 of the rich loading (Pellegrini et al., 2015) by changing the specification on the duty at the reboiler of the solvent regeneration column. Simulations</w:t>
      </w:r>
      <w:r w:rsidR="00325E3E">
        <w:rPr>
          <w:lang w:val="en-GB"/>
        </w:rPr>
        <w:t xml:space="preserve"> have been performed using the Advanced Modelling mode, which uses the rigorous rate-based modelling technique.</w:t>
      </w:r>
    </w:p>
    <w:p w14:paraId="5BB91EF1" w14:textId="77777777" w:rsidR="00325E3E" w:rsidRPr="00B57B36" w:rsidRDefault="00325E3E" w:rsidP="00325E3E">
      <w:pPr>
        <w:pStyle w:val="CETBodytext"/>
        <w:rPr>
          <w:lang w:val="en-GB"/>
        </w:rPr>
      </w:pPr>
      <w:r>
        <w:rPr>
          <w:lang w:val="en-GB"/>
        </w:rPr>
        <w:t xml:space="preserve">As for the novel technology </w:t>
      </w:r>
      <w:r w:rsidRPr="00F50831">
        <w:rPr>
          <w:lang w:val="en-GB"/>
        </w:rPr>
        <w:t>illustrated in Figure 2, it consists</w:t>
      </w:r>
      <w:r>
        <w:rPr>
          <w:lang w:val="en-GB"/>
        </w:rPr>
        <w:t xml:space="preserve"> of a low-temperature distillation process carried out in two columns operated at different pressures (namely, 50 bar for the HP Column and 40 bar for the LP Column) to by-</w:t>
      </w:r>
      <w:r w:rsidRPr="00B2291D">
        <w:rPr>
          <w:lang w:val="en-GB"/>
        </w:rPr>
        <w:t>pass the solid-liquid-vapour locus of the CH</w:t>
      </w:r>
      <w:r w:rsidRPr="00B2291D">
        <w:rPr>
          <w:vertAlign w:val="subscript"/>
          <w:lang w:val="en-GB"/>
        </w:rPr>
        <w:t>4</w:t>
      </w:r>
      <w:r w:rsidRPr="00B2291D">
        <w:rPr>
          <w:lang w:val="en-GB"/>
        </w:rPr>
        <w:t>-CO</w:t>
      </w:r>
      <w:r w:rsidRPr="00B2291D">
        <w:rPr>
          <w:vertAlign w:val="subscript"/>
          <w:lang w:val="en-GB"/>
        </w:rPr>
        <w:t>2</w:t>
      </w:r>
      <w:r w:rsidRPr="00B2291D">
        <w:rPr>
          <w:lang w:val="en-GB"/>
        </w:rPr>
        <w:t xml:space="preserve"> system. A detailed description of it can be found in the literature (Pellegrini, 2014): process specifications have been assigned on the basis of the available information and simulations have been performed in Aspen Hysys</w:t>
      </w:r>
      <w:r w:rsidRPr="00B2291D">
        <w:rPr>
          <w:vertAlign w:val="superscript"/>
          <w:lang w:val="en-GB"/>
        </w:rPr>
        <w:t>®</w:t>
      </w:r>
      <w:r w:rsidRPr="00B2291D">
        <w:rPr>
          <w:lang w:val="en-GB"/>
        </w:rPr>
        <w:t xml:space="preserve"> V9.0 (AspenTech, 2016), using the Soave-Redlich-Kwong (Soave, 1972) Equation of State.</w:t>
      </w:r>
    </w:p>
    <w:p w14:paraId="6CB51D01" w14:textId="77777777" w:rsidR="00F1490A" w:rsidRDefault="00F1490A" w:rsidP="00F1490A">
      <w:pPr>
        <w:pStyle w:val="CETheadingx"/>
      </w:pPr>
      <w:r>
        <w:t>Liquefaction</w:t>
      </w:r>
    </w:p>
    <w:p w14:paraId="7B26A9CB" w14:textId="429B533F" w:rsidR="00F1490A" w:rsidRDefault="00F1490A" w:rsidP="00F1490A">
      <w:pPr>
        <w:pStyle w:val="CETBodytext"/>
        <w:rPr>
          <w:lang w:val="en-GB"/>
        </w:rPr>
      </w:pPr>
      <w:r>
        <w:rPr>
          <w:lang w:val="en-GB"/>
        </w:rPr>
        <w:t xml:space="preserve">For </w:t>
      </w:r>
      <w:r w:rsidRPr="00B2291D">
        <w:rPr>
          <w:lang w:val="en-GB"/>
        </w:rPr>
        <w:t>the simulation of the liquefaction process downstream each AGRU, the APCI Propane Precooled Mixed refrigerant (C3MR) has been considered as the most widespread one. A detailed explanation about it is given by Venkatarathnam (2008). Since the optimization of the liquefaction step is out of the scope of this work, the configuration presented by Venkatarathnam (2008) has been taken as refe</w:t>
      </w:r>
      <w:r w:rsidR="007F377E">
        <w:rPr>
          <w:lang w:val="en-GB"/>
        </w:rPr>
        <w:t xml:space="preserve">rence. However, the composition </w:t>
      </w:r>
      <w:r w:rsidR="00933B14">
        <w:rPr>
          <w:lang w:val="en-GB"/>
        </w:rPr>
        <w:lastRenderedPageBreak/>
        <w:t xml:space="preserve">and the flow rate of </w:t>
      </w:r>
      <w:r w:rsidRPr="00B2291D">
        <w:rPr>
          <w:lang w:val="en-GB"/>
        </w:rPr>
        <w:t>the mixed refrigerant</w:t>
      </w:r>
      <w:r w:rsidR="00933B14">
        <w:rPr>
          <w:lang w:val="en-GB"/>
        </w:rPr>
        <w:t xml:space="preserve">, as well as the flow rate of the propane in the pre-cooling step, have </w:t>
      </w:r>
      <w:r w:rsidRPr="00B2291D">
        <w:rPr>
          <w:lang w:val="en-GB"/>
        </w:rPr>
        <w:t>been</w:t>
      </w:r>
      <w:r w:rsidR="00933B14">
        <w:rPr>
          <w:lang w:val="en-GB"/>
        </w:rPr>
        <w:t xml:space="preserve"> </w:t>
      </w:r>
      <w:r w:rsidRPr="00B2291D">
        <w:rPr>
          <w:lang w:val="en-GB"/>
        </w:rPr>
        <w:t xml:space="preserve">adjusted </w:t>
      </w:r>
      <w:r w:rsidR="00933B14">
        <w:rPr>
          <w:lang w:val="en-GB"/>
        </w:rPr>
        <w:t xml:space="preserve">for each case study in order </w:t>
      </w:r>
      <w:r w:rsidRPr="00B2291D">
        <w:rPr>
          <w:lang w:val="en-GB"/>
        </w:rPr>
        <w:t>to have a</w:t>
      </w:r>
      <w:r>
        <w:rPr>
          <w:lang w:val="en-GB"/>
        </w:rPr>
        <w:t xml:space="preserve"> minimum temperature approach of 3 °C in heat exchangers. Moreover, some changes have been also made in the case of the purified NG obtained in the DCCD</w:t>
      </w:r>
      <w:r w:rsidRPr="00BD5AD8">
        <w:rPr>
          <w:vertAlign w:val="superscript"/>
          <w:lang w:val="en-GB"/>
        </w:rPr>
        <w:t>TM</w:t>
      </w:r>
      <w:r>
        <w:rPr>
          <w:lang w:val="en-GB"/>
        </w:rPr>
        <w:t xml:space="preserve"> case, to make the liquefaction process suitable to treat a NG stream at low-temperature (i.e., -87 °C): in this case, the NG stream enters the liquefaction process bypassing the pre-cooling </w:t>
      </w:r>
      <w:r w:rsidR="002E773A">
        <w:rPr>
          <w:lang w:val="en-GB"/>
        </w:rPr>
        <w:t xml:space="preserve">step </w:t>
      </w:r>
      <w:r>
        <w:rPr>
          <w:lang w:val="en-GB"/>
        </w:rPr>
        <w:t>with propane.</w:t>
      </w:r>
    </w:p>
    <w:p w14:paraId="5E987A46" w14:textId="665AC360" w:rsidR="00ED3CD5" w:rsidRDefault="00ED3CD5" w:rsidP="00600535">
      <w:pPr>
        <w:pStyle w:val="CETBodytext"/>
        <w:rPr>
          <w:lang w:val="en-GB"/>
        </w:rPr>
      </w:pPr>
    </w:p>
    <w:p w14:paraId="101DF313" w14:textId="7F5B18DD" w:rsidR="005B4C45" w:rsidRDefault="00A57E03" w:rsidP="0075122D">
      <w:pPr>
        <w:pStyle w:val="CETBodytext"/>
        <w:keepNext/>
        <w:rPr>
          <w:lang w:val="en-GB"/>
        </w:rPr>
      </w:pPr>
      <w:r>
        <w:rPr>
          <w:noProof/>
          <w:lang w:val="en-GB" w:eastAsia="en-GB"/>
        </w:rPr>
        <w:pict w14:anchorId="6E3A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95pt">
            <v:imagedata r:id="rId10" o:title="Amine Plant_spec"/>
          </v:shape>
        </w:pict>
      </w:r>
    </w:p>
    <w:p w14:paraId="40D3E207" w14:textId="26AB7670" w:rsidR="00ED3CD5" w:rsidRPr="00B57B36" w:rsidRDefault="00ED3CD5" w:rsidP="00ED3CD5">
      <w:pPr>
        <w:pStyle w:val="CETCaption"/>
      </w:pPr>
      <w:r w:rsidRPr="004036B7">
        <w:t xml:space="preserve">Figure </w:t>
      </w:r>
      <w:r w:rsidR="004036B7" w:rsidRPr="004036B7">
        <w:t>1</w:t>
      </w:r>
      <w:r w:rsidRPr="004036B7">
        <w:t>: Scheme of the MDEA process</w:t>
      </w:r>
    </w:p>
    <w:p w14:paraId="1CBAAEE2" w14:textId="3FFA99C0" w:rsidR="00ED3CD5" w:rsidRDefault="00A57E03" w:rsidP="0075122D">
      <w:pPr>
        <w:pStyle w:val="CETBodytext"/>
        <w:keepNext/>
        <w:rPr>
          <w:lang w:val="en-GB"/>
        </w:rPr>
      </w:pPr>
      <w:r>
        <w:rPr>
          <w:noProof/>
          <w:lang w:val="en-GB" w:eastAsia="en-GB"/>
        </w:rPr>
        <w:pict w14:anchorId="2E7EFAC8">
          <v:shape id="_x0000_i1026" type="#_x0000_t75" style="width:357.5pt;height:229pt;mso-position-vertical:absolute">
            <v:imagedata r:id="rId11" o:title="DPLT_spec"/>
          </v:shape>
        </w:pict>
      </w:r>
    </w:p>
    <w:p w14:paraId="09725912" w14:textId="229D88C0" w:rsidR="00ED3CD5" w:rsidRPr="00B57B36" w:rsidRDefault="00ED3CD5" w:rsidP="00ED3CD5">
      <w:pPr>
        <w:pStyle w:val="CETCaption"/>
      </w:pPr>
      <w:r w:rsidRPr="004036B7">
        <w:t xml:space="preserve">Figure </w:t>
      </w:r>
      <w:r w:rsidR="004036B7" w:rsidRPr="004036B7">
        <w:t>2</w:t>
      </w:r>
      <w:r w:rsidRPr="004036B7">
        <w:t>: Scheme of the D</w:t>
      </w:r>
      <w:r w:rsidR="004036B7">
        <w:t>CCD</w:t>
      </w:r>
      <w:r w:rsidR="004036B7" w:rsidRPr="004036B7">
        <w:rPr>
          <w:vertAlign w:val="superscript"/>
        </w:rPr>
        <w:t>TM</w:t>
      </w:r>
      <w:r w:rsidRPr="004036B7">
        <w:t xml:space="preserve"> process</w:t>
      </w:r>
    </w:p>
    <w:p w14:paraId="08409652" w14:textId="022DDAF9" w:rsidR="006A25EC" w:rsidRPr="00B57B36" w:rsidRDefault="006A25EC" w:rsidP="006A25EC">
      <w:pPr>
        <w:pStyle w:val="CETheadingx"/>
      </w:pPr>
      <w:r>
        <w:t xml:space="preserve">Energy and </w:t>
      </w:r>
      <w:r w:rsidR="00BD5AD8">
        <w:t>e</w:t>
      </w:r>
      <w:r>
        <w:t xml:space="preserve">xergy </w:t>
      </w:r>
      <w:r w:rsidR="00BD5AD8">
        <w:t>a</w:t>
      </w:r>
      <w:r>
        <w:t>nalysis</w:t>
      </w:r>
    </w:p>
    <w:p w14:paraId="3CD9299E" w14:textId="609D0FE4" w:rsidR="006A25EC" w:rsidRDefault="0042023E" w:rsidP="006A25EC">
      <w:pPr>
        <w:pStyle w:val="CETBodytext"/>
        <w:rPr>
          <w:lang w:val="en-GB"/>
        </w:rPr>
      </w:pPr>
      <w:r>
        <w:rPr>
          <w:lang w:val="en-GB"/>
        </w:rPr>
        <w:t xml:space="preserve">The performances of the processes analysed for LNG production, comprising the AGRU (either by MDEA absorption or by low-temperature distillation) and the liquefaction process, have been evaluated by means of </w:t>
      </w:r>
      <w:r w:rsidR="00136452">
        <w:rPr>
          <w:lang w:val="en-GB"/>
        </w:rPr>
        <w:t xml:space="preserve">an </w:t>
      </w:r>
      <w:r>
        <w:rPr>
          <w:lang w:val="en-GB"/>
        </w:rPr>
        <w:t>energy and</w:t>
      </w:r>
      <w:r w:rsidR="00136452">
        <w:rPr>
          <w:lang w:val="en-GB"/>
        </w:rPr>
        <w:t xml:space="preserve"> an</w:t>
      </w:r>
      <w:r>
        <w:rPr>
          <w:lang w:val="en-GB"/>
        </w:rPr>
        <w:t xml:space="preserve"> exergy analysis. The energy analysis is based on the net equivalent methane approach, which is detailed in a </w:t>
      </w:r>
      <w:r w:rsidRPr="00B2291D">
        <w:rPr>
          <w:lang w:val="en-GB"/>
        </w:rPr>
        <w:t>previous work (</w:t>
      </w:r>
      <w:r w:rsidR="00BD5AD8" w:rsidRPr="00B2291D">
        <w:rPr>
          <w:lang w:val="en-GB"/>
        </w:rPr>
        <w:t>De Guido et al., 2018</w:t>
      </w:r>
      <w:r w:rsidRPr="00B2291D">
        <w:rPr>
          <w:lang w:val="en-GB"/>
        </w:rPr>
        <w:t>), where</w:t>
      </w:r>
      <w:r>
        <w:rPr>
          <w:lang w:val="en-GB"/>
        </w:rPr>
        <w:t xml:space="preserve"> also all the involved parameters can be found. </w:t>
      </w:r>
      <w:r w:rsidR="006A25EC">
        <w:rPr>
          <w:lang w:val="en-GB"/>
        </w:rPr>
        <w:t>Results of the energy analysis are reported in the next section in terms of specific energy consumption</w:t>
      </w:r>
      <w:r w:rsidR="003B729C">
        <w:rPr>
          <w:lang w:val="en-GB"/>
        </w:rPr>
        <w:t xml:space="preserve"> (SEC)</w:t>
      </w:r>
      <w:r w:rsidR="006A25EC">
        <w:rPr>
          <w:lang w:val="en-GB"/>
        </w:rPr>
        <w:t xml:space="preserve"> defined</w:t>
      </w:r>
      <w:r w:rsidR="007F377E" w:rsidRPr="0051542E">
        <w:rPr>
          <w:lang w:val="en-GB"/>
        </w:rPr>
        <w:t>, Eq(1)</w:t>
      </w:r>
      <w:r w:rsidR="007F377E">
        <w:rPr>
          <w:lang w:val="en-GB"/>
        </w:rPr>
        <w:t>,</w:t>
      </w:r>
      <w:r w:rsidR="006A25EC">
        <w:rPr>
          <w:lang w:val="en-GB"/>
        </w:rPr>
        <w:t xml:space="preserve"> as the ratio between the flow rate of equivalent methane and that of the methane processe</w:t>
      </w:r>
      <w:r w:rsidR="00583301">
        <w:rPr>
          <w:lang w:val="en-GB"/>
        </w:rPr>
        <w:t>d</w:t>
      </w:r>
      <w:r w:rsidR="006A25EC">
        <w:rPr>
          <w:lang w:val="en-GB"/>
        </w:rPr>
        <w:t xml:space="preserve"> in the plant</w:t>
      </w:r>
      <w:r w:rsidR="006A25EC" w:rsidRPr="0051542E">
        <w:rPr>
          <w:lang w:val="en-GB"/>
        </w:rPr>
        <w:t>.</w:t>
      </w:r>
    </w:p>
    <w:tbl>
      <w:tblPr>
        <w:tblW w:w="5000" w:type="pct"/>
        <w:tblLook w:val="04A0" w:firstRow="1" w:lastRow="0" w:firstColumn="1" w:lastColumn="0" w:noHBand="0" w:noVBand="1"/>
      </w:tblPr>
      <w:tblGrid>
        <w:gridCol w:w="7985"/>
        <w:gridCol w:w="802"/>
      </w:tblGrid>
      <w:tr w:rsidR="006A25EC" w:rsidRPr="00B57B36" w14:paraId="0BC6C75B" w14:textId="77777777" w:rsidTr="007F3E9D">
        <w:tc>
          <w:tcPr>
            <w:tcW w:w="8188" w:type="dxa"/>
            <w:shd w:val="clear" w:color="auto" w:fill="auto"/>
            <w:vAlign w:val="center"/>
          </w:tcPr>
          <w:p w14:paraId="721E5AB4" w14:textId="488EC2C0" w:rsidR="006A25EC" w:rsidRPr="00583301" w:rsidRDefault="00325E3E" w:rsidP="00F028A9">
            <w:pPr>
              <w:pStyle w:val="CETEquation"/>
            </w:pPr>
            <w:r w:rsidRPr="00583301">
              <w:rPr>
                <w:noProof/>
                <w:position w:val="-34"/>
                <w:lang w:eastAsia="en-GB"/>
              </w:rPr>
              <w:object w:dxaOrig="2020" w:dyaOrig="760" w14:anchorId="0AB623A4">
                <v:shape id="_x0000_i1027" type="#_x0000_t75" style="width:93.5pt;height:35.5pt" o:ole="">
                  <v:imagedata r:id="rId12" o:title=""/>
                </v:shape>
                <o:OLEObject Type="Embed" ProgID="Equation.DSMT4" ShapeID="_x0000_i1027" DrawAspect="Content" ObjectID="_1616867461" r:id="rId13"/>
              </w:object>
            </w:r>
          </w:p>
        </w:tc>
        <w:tc>
          <w:tcPr>
            <w:tcW w:w="815" w:type="dxa"/>
            <w:shd w:val="clear" w:color="auto" w:fill="auto"/>
            <w:vAlign w:val="center"/>
          </w:tcPr>
          <w:p w14:paraId="118A9019" w14:textId="4FB60C6F" w:rsidR="006A25EC" w:rsidRPr="00B57B36" w:rsidRDefault="006A25EC" w:rsidP="0051542E">
            <w:pPr>
              <w:pStyle w:val="CETEquation"/>
              <w:jc w:val="right"/>
            </w:pPr>
            <w:r w:rsidRPr="00583301">
              <w:t>(</w:t>
            </w:r>
            <w:r w:rsidR="0051542E" w:rsidRPr="00583301">
              <w:t>1</w:t>
            </w:r>
            <w:r w:rsidRPr="00583301">
              <w:t>)</w:t>
            </w:r>
          </w:p>
        </w:tc>
      </w:tr>
    </w:tbl>
    <w:p w14:paraId="11A0371E" w14:textId="0FA229BE" w:rsidR="0063318C" w:rsidRDefault="0042023E" w:rsidP="006A25EC">
      <w:pPr>
        <w:pStyle w:val="CETBodytext"/>
        <w:rPr>
          <w:lang w:val="en-GB"/>
        </w:rPr>
      </w:pPr>
      <w:r>
        <w:rPr>
          <w:lang w:val="en-GB"/>
        </w:rPr>
        <w:t xml:space="preserve">As for the exergy analysis, </w:t>
      </w:r>
      <w:r w:rsidR="00E91E07">
        <w:rPr>
          <w:lang w:val="en-GB"/>
        </w:rPr>
        <w:t xml:space="preserve">it </w:t>
      </w:r>
      <w:r w:rsidR="0063318C">
        <w:rPr>
          <w:lang w:val="en-GB"/>
        </w:rPr>
        <w:t>helps accounting for the quality of different energy forms through the property called exergy, which is the maximum possible work that a system delivers as it undergoes a reversible process from the specified initial st</w:t>
      </w:r>
      <w:r w:rsidR="00032C22">
        <w:rPr>
          <w:lang w:val="en-GB"/>
        </w:rPr>
        <w:t>ate to that of the environment. The exergy analysis involved the calculation of the exergy of inlet and outlet process streams</w:t>
      </w:r>
      <w:r w:rsidR="009E0814">
        <w:rPr>
          <w:lang w:val="en-GB"/>
        </w:rPr>
        <w:t xml:space="preserve">, of the exergy associated with a work transfer and of that associated with a heat transfer. As for the exergy of process streams, it has been assumed to be the sum of the physical and chemical exergy, neglecting nuclear effects, magnetism, electricity and surface tension, and also neglecting kinetic and potential exergies, which are generally not relevant in chemical processes. </w:t>
      </w:r>
      <w:r w:rsidR="00E91E07" w:rsidRPr="00B2291D">
        <w:rPr>
          <w:lang w:val="en-GB"/>
        </w:rPr>
        <w:t>The reader can refer to Kotas (1985) for</w:t>
      </w:r>
      <w:r w:rsidR="00E91E07">
        <w:rPr>
          <w:lang w:val="en-GB"/>
        </w:rPr>
        <w:t xml:space="preserve"> more details about this. </w:t>
      </w:r>
      <w:r w:rsidR="001E00E9">
        <w:rPr>
          <w:lang w:val="en-GB"/>
        </w:rPr>
        <w:t>T</w:t>
      </w:r>
      <w:r w:rsidR="00E91E07" w:rsidRPr="00002605">
        <w:rPr>
          <w:lang w:val="en-GB"/>
        </w:rPr>
        <w:t xml:space="preserve">he </w:t>
      </w:r>
      <w:r w:rsidR="0063318C">
        <w:rPr>
          <w:lang w:val="en-GB"/>
        </w:rPr>
        <w:t xml:space="preserve">second-law </w:t>
      </w:r>
      <w:r w:rsidR="00E91E07" w:rsidRPr="00002605">
        <w:rPr>
          <w:lang w:val="en-GB"/>
        </w:rPr>
        <w:t>efficiency</w:t>
      </w:r>
      <w:r w:rsidR="001E00E9">
        <w:rPr>
          <w:lang w:val="en-GB"/>
        </w:rPr>
        <w:t xml:space="preserve"> </w:t>
      </w:r>
      <w:r w:rsidR="00E91E07" w:rsidRPr="00002605">
        <w:rPr>
          <w:lang w:val="en-GB"/>
        </w:rPr>
        <w:t>has been used to compare the diffe</w:t>
      </w:r>
      <w:r w:rsidR="00E91E07">
        <w:rPr>
          <w:lang w:val="en-GB"/>
        </w:rPr>
        <w:t xml:space="preserve">rent case </w:t>
      </w:r>
      <w:r w:rsidR="0063318C">
        <w:rPr>
          <w:lang w:val="en-GB"/>
        </w:rPr>
        <w:t xml:space="preserve">studies considered in this work: it is defined according to Eq(2), where the exergy recovered is given by the difference between the total outlet, </w:t>
      </w:r>
      <m:oMath>
        <m:acc>
          <m:accPr>
            <m:chr m:val="̇"/>
            <m:ctrlPr>
              <w:rPr>
                <w:rFonts w:ascii="Cambria Math" w:hAnsi="Cambria Math"/>
                <w:i/>
                <w:lang w:val="en-GB"/>
              </w:rPr>
            </m:ctrlPr>
          </m:accPr>
          <m:e>
            <m:r>
              <w:rPr>
                <w:rFonts w:ascii="Cambria Math" w:hAnsi="Cambria Math"/>
                <w:lang w:val="en-GB"/>
              </w:rPr>
              <m:t>Ex</m:t>
            </m:r>
          </m:e>
        </m:acc>
      </m:oMath>
      <w:r w:rsidR="0063318C" w:rsidRPr="00554F1A">
        <w:rPr>
          <w:i/>
          <w:vertAlign w:val="subscript"/>
          <w:lang w:val="en-GB"/>
        </w:rPr>
        <w:t>out</w:t>
      </w:r>
      <w:r w:rsidR="0063318C">
        <w:rPr>
          <w:lang w:val="en-GB"/>
        </w:rPr>
        <w:t xml:space="preserve">, and inlet, </w:t>
      </w:r>
      <m:oMath>
        <m:acc>
          <m:accPr>
            <m:chr m:val="̇"/>
            <m:ctrlPr>
              <w:rPr>
                <w:rFonts w:ascii="Cambria Math" w:hAnsi="Cambria Math"/>
                <w:i/>
                <w:lang w:val="en-GB"/>
              </w:rPr>
            </m:ctrlPr>
          </m:accPr>
          <m:e>
            <m:r>
              <w:rPr>
                <w:rFonts w:ascii="Cambria Math" w:hAnsi="Cambria Math"/>
                <w:lang w:val="en-GB"/>
              </w:rPr>
              <m:t>Ex</m:t>
            </m:r>
          </m:e>
        </m:acc>
      </m:oMath>
      <w:r w:rsidR="0063318C" w:rsidRPr="00554F1A">
        <w:rPr>
          <w:i/>
          <w:vertAlign w:val="subscript"/>
          <w:lang w:val="en-GB"/>
        </w:rPr>
        <w:t>in</w:t>
      </w:r>
      <w:r w:rsidR="0063318C">
        <w:rPr>
          <w:lang w:val="en-GB"/>
        </w:rPr>
        <w:t xml:space="preserve">, material exergy, and the exergy supplied is the sum of the exergy associated with </w:t>
      </w:r>
      <w:r w:rsidR="00FB4F95">
        <w:rPr>
          <w:lang w:val="en-GB"/>
        </w:rPr>
        <w:t xml:space="preserve">the </w:t>
      </w:r>
      <w:r w:rsidR="00365184">
        <w:rPr>
          <w:lang w:val="en-GB"/>
        </w:rPr>
        <w:t>total</w:t>
      </w:r>
      <w:r w:rsidR="0063318C" w:rsidRPr="00B2291D">
        <w:rPr>
          <w:lang w:val="en-GB"/>
        </w:rPr>
        <w:t xml:space="preserve"> work transfer (</w:t>
      </w:r>
      <m:oMath>
        <m:acc>
          <m:accPr>
            <m:chr m:val="̇"/>
            <m:ctrlPr>
              <w:rPr>
                <w:rFonts w:ascii="Cambria Math" w:hAnsi="Cambria Math"/>
                <w:i/>
                <w:lang w:val="en-GB"/>
              </w:rPr>
            </m:ctrlPr>
          </m:accPr>
          <m:e>
            <m:r>
              <w:rPr>
                <w:rFonts w:ascii="Cambria Math" w:hAnsi="Cambria Math"/>
                <w:lang w:val="en-GB"/>
              </w:rPr>
              <m:t>Ex</m:t>
            </m:r>
          </m:e>
        </m:acc>
      </m:oMath>
      <w:r w:rsidR="0063318C" w:rsidRPr="00B2291D">
        <w:rPr>
          <w:i/>
          <w:vertAlign w:val="subscript"/>
          <w:lang w:val="en-GB"/>
        </w:rPr>
        <w:t>W</w:t>
      </w:r>
      <w:r w:rsidR="0063318C" w:rsidRPr="00B2291D">
        <w:rPr>
          <w:lang w:val="en-GB"/>
        </w:rPr>
        <w:t>) and heat transfer (</w:t>
      </w:r>
      <m:oMath>
        <m:acc>
          <m:accPr>
            <m:chr m:val="̇"/>
            <m:ctrlPr>
              <w:rPr>
                <w:rFonts w:ascii="Cambria Math" w:hAnsi="Cambria Math"/>
                <w:i/>
                <w:lang w:val="en-GB"/>
              </w:rPr>
            </m:ctrlPr>
          </m:accPr>
          <m:e>
            <m:r>
              <w:rPr>
                <w:rFonts w:ascii="Cambria Math" w:hAnsi="Cambria Math"/>
                <w:lang w:val="en-GB"/>
              </w:rPr>
              <m:t>Ex</m:t>
            </m:r>
          </m:e>
        </m:acc>
      </m:oMath>
      <w:r w:rsidR="0063318C" w:rsidRPr="00B2291D">
        <w:rPr>
          <w:i/>
          <w:vertAlign w:val="subscript"/>
          <w:lang w:val="en-GB"/>
        </w:rPr>
        <w:t>Q</w:t>
      </w:r>
      <w:r w:rsidR="0063318C" w:rsidRPr="00B2291D">
        <w:rPr>
          <w:lang w:val="en-GB"/>
        </w:rPr>
        <w:t>).</w:t>
      </w:r>
      <w:r w:rsidR="0063318C">
        <w:rPr>
          <w:lang w:val="en-GB"/>
        </w:rPr>
        <w:t xml:space="preserve"> The data required for the calculation of </w:t>
      </w:r>
      <w:r w:rsidR="00AA499C">
        <w:rPr>
          <w:lang w:val="en-GB"/>
        </w:rPr>
        <w:t xml:space="preserve">each term </w:t>
      </w:r>
      <w:r w:rsidR="0063318C">
        <w:rPr>
          <w:lang w:val="en-GB"/>
        </w:rPr>
        <w:t>have been taken from the process simulator.</w:t>
      </w:r>
    </w:p>
    <w:tbl>
      <w:tblPr>
        <w:tblW w:w="5000" w:type="pct"/>
        <w:tblLook w:val="04A0" w:firstRow="1" w:lastRow="0" w:firstColumn="1" w:lastColumn="0" w:noHBand="0" w:noVBand="1"/>
      </w:tblPr>
      <w:tblGrid>
        <w:gridCol w:w="7988"/>
        <w:gridCol w:w="799"/>
      </w:tblGrid>
      <w:tr w:rsidR="00E91E07" w:rsidRPr="00B57B36" w14:paraId="37B9AB4B" w14:textId="77777777" w:rsidTr="00CA02C3">
        <w:tc>
          <w:tcPr>
            <w:tcW w:w="8188" w:type="dxa"/>
            <w:shd w:val="clear" w:color="auto" w:fill="auto"/>
            <w:vAlign w:val="center"/>
          </w:tcPr>
          <w:p w14:paraId="6A6D7283" w14:textId="150C7810" w:rsidR="00E91E07" w:rsidRPr="00583301" w:rsidRDefault="0063318C" w:rsidP="00CA02C3">
            <w:pPr>
              <w:pStyle w:val="CETEquation"/>
            </w:pPr>
            <w:r w:rsidRPr="00583301">
              <w:rPr>
                <w:noProof/>
                <w:position w:val="-32"/>
                <w:lang w:eastAsia="en-GB"/>
              </w:rPr>
              <w:object w:dxaOrig="3519" w:dyaOrig="740" w14:anchorId="75DE72F8">
                <v:shape id="_x0000_i1028" type="#_x0000_t75" style="width:157.5pt;height:33pt" o:ole="">
                  <v:imagedata r:id="rId14" o:title=""/>
                </v:shape>
                <o:OLEObject Type="Embed" ProgID="Equation.DSMT4" ShapeID="_x0000_i1028" DrawAspect="Content" ObjectID="_1616867462" r:id="rId15"/>
              </w:object>
            </w:r>
          </w:p>
        </w:tc>
        <w:tc>
          <w:tcPr>
            <w:tcW w:w="815" w:type="dxa"/>
            <w:shd w:val="clear" w:color="auto" w:fill="auto"/>
            <w:vAlign w:val="center"/>
          </w:tcPr>
          <w:p w14:paraId="03CF032E" w14:textId="1039193D" w:rsidR="00E91E07" w:rsidRPr="00583301" w:rsidRDefault="00E91E07" w:rsidP="00583301">
            <w:pPr>
              <w:pStyle w:val="CETEquation"/>
              <w:jc w:val="right"/>
            </w:pPr>
            <w:r w:rsidRPr="00583301">
              <w:t>(</w:t>
            </w:r>
            <w:r w:rsidR="00583301" w:rsidRPr="00583301">
              <w:t>2</w:t>
            </w:r>
            <w:r w:rsidRPr="00583301">
              <w:t>)</w:t>
            </w:r>
          </w:p>
        </w:tc>
      </w:tr>
    </w:tbl>
    <w:p w14:paraId="57D25B27" w14:textId="77777777" w:rsidR="00600535" w:rsidRPr="00B57B36" w:rsidRDefault="006A25EC" w:rsidP="00600535">
      <w:pPr>
        <w:pStyle w:val="CETHeading1"/>
        <w:tabs>
          <w:tab w:val="clear" w:pos="360"/>
          <w:tab w:val="right" w:pos="7100"/>
        </w:tabs>
        <w:jc w:val="both"/>
        <w:rPr>
          <w:lang w:val="en-GB"/>
        </w:rPr>
      </w:pPr>
      <w:r>
        <w:rPr>
          <w:lang w:val="en-GB"/>
        </w:rPr>
        <w:t>Results</w:t>
      </w:r>
    </w:p>
    <w:p w14:paraId="3BFFCD5F" w14:textId="77777777" w:rsidR="00600535" w:rsidRPr="00B57B36" w:rsidRDefault="006A25EC" w:rsidP="00FA5F5F">
      <w:pPr>
        <w:pStyle w:val="CETheadingx"/>
      </w:pPr>
      <w:r>
        <w:t>Energy analysis</w:t>
      </w:r>
    </w:p>
    <w:p w14:paraId="1A3013B2" w14:textId="32122E74" w:rsidR="002B35EE" w:rsidRDefault="006A25EC" w:rsidP="00600535">
      <w:pPr>
        <w:pStyle w:val="CETBodytext"/>
        <w:rPr>
          <w:lang w:val="en-GB"/>
        </w:rPr>
      </w:pPr>
      <w:r>
        <w:rPr>
          <w:lang w:val="en-GB"/>
        </w:rPr>
        <w:t xml:space="preserve">Restricting the attention to the AGRU only, results are </w:t>
      </w:r>
      <w:r w:rsidRPr="00540F91">
        <w:rPr>
          <w:lang w:val="en-GB"/>
        </w:rPr>
        <w:t xml:space="preserve">illustrated in Figure </w:t>
      </w:r>
      <w:r w:rsidR="00540F91" w:rsidRPr="00540F91">
        <w:rPr>
          <w:lang w:val="en-GB"/>
        </w:rPr>
        <w:t>3</w:t>
      </w:r>
      <w:r w:rsidR="00240EB3">
        <w:rPr>
          <w:lang w:val="en-GB"/>
        </w:rPr>
        <w:t>a</w:t>
      </w:r>
      <w:r w:rsidRPr="00540F91">
        <w:rPr>
          <w:lang w:val="en-GB"/>
        </w:rPr>
        <w:t xml:space="preserve"> as a fu</w:t>
      </w:r>
      <w:r>
        <w:rPr>
          <w:lang w:val="en-GB"/>
        </w:rPr>
        <w:t>nction of the CO</w:t>
      </w:r>
      <w:r w:rsidRPr="003B729C">
        <w:rPr>
          <w:vertAlign w:val="subscript"/>
          <w:lang w:val="en-GB"/>
        </w:rPr>
        <w:t>2</w:t>
      </w:r>
      <w:r w:rsidR="00B2291D">
        <w:rPr>
          <w:lang w:val="en-GB"/>
        </w:rPr>
        <w:t xml:space="preserve"> content (</w:t>
      </w:r>
      <w:r>
        <w:rPr>
          <w:lang w:val="en-GB"/>
        </w:rPr>
        <w:t>mol</w:t>
      </w:r>
      <w:r w:rsidR="00B2291D">
        <w:rPr>
          <w:lang w:val="en-GB"/>
        </w:rPr>
        <w:t>%</w:t>
      </w:r>
      <w:r>
        <w:rPr>
          <w:lang w:val="en-GB"/>
        </w:rPr>
        <w:t xml:space="preserve">) in the NG feed stream for the two technologies. </w:t>
      </w:r>
    </w:p>
    <w:p w14:paraId="64292C90" w14:textId="7F6C305F" w:rsidR="002B35EE" w:rsidRDefault="001D56B9" w:rsidP="00600535">
      <w:pPr>
        <w:pStyle w:val="CETBodytext"/>
        <w:rPr>
          <w:lang w:val="en-GB"/>
        </w:rPr>
      </w:pPr>
      <w:r w:rsidRPr="001D56B9">
        <w:rPr>
          <w:noProof/>
          <w:lang w:val="en-GB" w:eastAsia="en-GB"/>
        </w:rPr>
        <w:drawing>
          <wp:inline distT="0" distB="0" distL="0" distR="0" wp14:anchorId="3D8C4751" wp14:editId="788672BB">
            <wp:extent cx="2764800" cy="2019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4800" cy="2019600"/>
                    </a:xfrm>
                    <a:prstGeom prst="rect">
                      <a:avLst/>
                    </a:prstGeom>
                    <a:noFill/>
                    <a:ln>
                      <a:noFill/>
                    </a:ln>
                  </pic:spPr>
                </pic:pic>
              </a:graphicData>
            </a:graphic>
          </wp:inline>
        </w:drawing>
      </w:r>
      <w:r w:rsidR="00240EB3">
        <w:rPr>
          <w:lang w:val="en-GB"/>
        </w:rPr>
        <w:t>a)</w:t>
      </w:r>
      <w:r w:rsidR="00240EB3" w:rsidRPr="00240EB3">
        <w:t xml:space="preserve"> </w:t>
      </w:r>
      <w:r w:rsidR="00240EB3" w:rsidRPr="00240EB3">
        <w:rPr>
          <w:noProof/>
          <w:lang w:val="en-GB" w:eastAsia="en-GB"/>
        </w:rPr>
        <w:drawing>
          <wp:inline distT="0" distB="0" distL="0" distR="0" wp14:anchorId="687F35F7" wp14:editId="3E4A10EF">
            <wp:extent cx="2563200" cy="200520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3200" cy="2005200"/>
                    </a:xfrm>
                    <a:prstGeom prst="rect">
                      <a:avLst/>
                    </a:prstGeom>
                    <a:noFill/>
                    <a:ln>
                      <a:noFill/>
                    </a:ln>
                  </pic:spPr>
                </pic:pic>
              </a:graphicData>
            </a:graphic>
          </wp:inline>
        </w:drawing>
      </w:r>
      <w:r w:rsidR="00240EB3">
        <w:t>b)</w:t>
      </w:r>
    </w:p>
    <w:p w14:paraId="6F132FDF" w14:textId="08AC724C" w:rsidR="002B35EE" w:rsidRPr="00B57B36" w:rsidRDefault="002B35EE" w:rsidP="002B35EE">
      <w:pPr>
        <w:pStyle w:val="CETCaption"/>
      </w:pPr>
      <w:r w:rsidRPr="001D56B9">
        <w:t xml:space="preserve">Figure </w:t>
      </w:r>
      <w:r w:rsidR="001D56B9" w:rsidRPr="001D56B9">
        <w:t>3</w:t>
      </w:r>
      <w:r w:rsidRPr="001D56B9">
        <w:t xml:space="preserve">: </w:t>
      </w:r>
      <w:r w:rsidR="003B729C" w:rsidRPr="001D56B9">
        <w:t xml:space="preserve">Specific energy consumption </w:t>
      </w:r>
      <w:r w:rsidR="002E773A">
        <w:t xml:space="preserve">(SEC) </w:t>
      </w:r>
      <w:r w:rsidR="00240EB3" w:rsidRPr="001D56B9">
        <w:t>at different CO</w:t>
      </w:r>
      <w:r w:rsidR="00240EB3" w:rsidRPr="001D56B9">
        <w:rPr>
          <w:vertAlign w:val="subscript"/>
        </w:rPr>
        <w:t>2</w:t>
      </w:r>
      <w:r w:rsidR="00240EB3" w:rsidRPr="001D56B9">
        <w:t xml:space="preserve"> contents in the NG feed stream </w:t>
      </w:r>
      <w:r w:rsidR="003B729C" w:rsidRPr="001D56B9">
        <w:t>for</w:t>
      </w:r>
      <w:r w:rsidR="00240EB3">
        <w:t>: a)</w:t>
      </w:r>
      <w:r w:rsidR="003B729C" w:rsidRPr="001D56B9">
        <w:t xml:space="preserve"> the MDEA process (solid </w:t>
      </w:r>
      <w:r w:rsidR="00DB297D" w:rsidRPr="001D56B9">
        <w:t>red</w:t>
      </w:r>
      <w:r w:rsidR="003B729C" w:rsidRPr="001D56B9">
        <w:t xml:space="preserve"> line) and for the D</w:t>
      </w:r>
      <w:r w:rsidR="00FB4F95">
        <w:t>CCD</w:t>
      </w:r>
      <w:r w:rsidR="00FB4F95" w:rsidRPr="00FB4F95">
        <w:rPr>
          <w:vertAlign w:val="superscript"/>
        </w:rPr>
        <w:t>TM</w:t>
      </w:r>
      <w:r w:rsidR="003B729C" w:rsidRPr="001D56B9">
        <w:t xml:space="preserve"> process (dashed </w:t>
      </w:r>
      <w:r w:rsidR="00DB297D" w:rsidRPr="001D56B9">
        <w:t>green</w:t>
      </w:r>
      <w:r w:rsidR="00240EB3">
        <w:t xml:space="preserve"> line); b) the overall (AGRU + liquefaction) process</w:t>
      </w:r>
    </w:p>
    <w:p w14:paraId="5F76860F" w14:textId="583FE4A0" w:rsidR="00600535" w:rsidRDefault="006A25EC" w:rsidP="00600535">
      <w:pPr>
        <w:pStyle w:val="CETBodytext"/>
        <w:rPr>
          <w:lang w:val="en-GB"/>
        </w:rPr>
      </w:pPr>
      <w:r>
        <w:rPr>
          <w:lang w:val="en-GB"/>
        </w:rPr>
        <w:t>The energy requirements of the MDEA process are related to: the reboiler of the solvent regenerator, the pump for solvent recycle, the CO</w:t>
      </w:r>
      <w:r w:rsidRPr="003B729C">
        <w:rPr>
          <w:vertAlign w:val="subscript"/>
          <w:lang w:val="en-GB"/>
        </w:rPr>
        <w:t>2</w:t>
      </w:r>
      <w:r>
        <w:rPr>
          <w:lang w:val="en-GB"/>
        </w:rPr>
        <w:t xml:space="preserve"> compression train and the cooling duty required to bring the CO</w:t>
      </w:r>
      <w:r w:rsidRPr="003B729C">
        <w:rPr>
          <w:vertAlign w:val="subscript"/>
          <w:lang w:val="en-GB"/>
        </w:rPr>
        <w:t>2</w:t>
      </w:r>
      <w:r>
        <w:rPr>
          <w:lang w:val="en-GB"/>
        </w:rPr>
        <w:t xml:space="preserve"> stream </w:t>
      </w:r>
      <w:r w:rsidR="00D654CE">
        <w:rPr>
          <w:lang w:val="en-GB"/>
        </w:rPr>
        <w:t>to</w:t>
      </w:r>
      <w:r>
        <w:rPr>
          <w:lang w:val="en-GB"/>
        </w:rPr>
        <w:t xml:space="preserve"> the desired final conditions. As for the </w:t>
      </w:r>
      <w:r w:rsidR="001D56B9">
        <w:rPr>
          <w:lang w:val="en-GB"/>
        </w:rPr>
        <w:t>DCCD</w:t>
      </w:r>
      <w:r w:rsidR="001D56B9" w:rsidRPr="001D56B9">
        <w:rPr>
          <w:vertAlign w:val="superscript"/>
          <w:lang w:val="en-GB"/>
        </w:rPr>
        <w:t>TM</w:t>
      </w:r>
      <w:r>
        <w:rPr>
          <w:lang w:val="en-GB"/>
        </w:rPr>
        <w:t xml:space="preserve"> process, the energy requirements are related to the need for pre-cooling the feed stream</w:t>
      </w:r>
      <w:r w:rsidR="00E32F8A">
        <w:rPr>
          <w:lang w:val="en-GB"/>
        </w:rPr>
        <w:t xml:space="preserve"> to its dew-point temperature</w:t>
      </w:r>
      <w:r>
        <w:rPr>
          <w:lang w:val="en-GB"/>
        </w:rPr>
        <w:t xml:space="preserve">, </w:t>
      </w:r>
      <w:r w:rsidR="00A57E03">
        <w:rPr>
          <w:lang w:val="en-GB"/>
        </w:rPr>
        <w:t xml:space="preserve">for cooling </w:t>
      </w:r>
      <w:r>
        <w:rPr>
          <w:lang w:val="en-GB"/>
        </w:rPr>
        <w:t xml:space="preserve">the liquid stream fed to the LP </w:t>
      </w:r>
      <w:r w:rsidR="001D56B9">
        <w:rPr>
          <w:lang w:val="en-GB"/>
        </w:rPr>
        <w:t>C</w:t>
      </w:r>
      <w:r>
        <w:rPr>
          <w:lang w:val="en-GB"/>
        </w:rPr>
        <w:t xml:space="preserve">olumn and </w:t>
      </w:r>
      <w:r w:rsidR="00A57E03">
        <w:rPr>
          <w:lang w:val="en-GB"/>
        </w:rPr>
        <w:t>for providing the cooling duty at the</w:t>
      </w:r>
      <w:r>
        <w:rPr>
          <w:lang w:val="en-GB"/>
        </w:rPr>
        <w:t xml:space="preserve"> condenser </w:t>
      </w:r>
      <w:r w:rsidRPr="001D56B9">
        <w:rPr>
          <w:lang w:val="en-GB"/>
        </w:rPr>
        <w:t xml:space="preserve">of the LP </w:t>
      </w:r>
      <w:r w:rsidR="001D56B9" w:rsidRPr="001D56B9">
        <w:rPr>
          <w:lang w:val="en-GB"/>
        </w:rPr>
        <w:t>C</w:t>
      </w:r>
      <w:r w:rsidRPr="001D56B9">
        <w:rPr>
          <w:lang w:val="en-GB"/>
        </w:rPr>
        <w:t xml:space="preserve">olumn, as well as </w:t>
      </w:r>
      <w:r w:rsidR="002E773A">
        <w:rPr>
          <w:lang w:val="en-GB"/>
        </w:rPr>
        <w:t>to</w:t>
      </w:r>
      <w:r w:rsidRPr="001D56B9">
        <w:rPr>
          <w:lang w:val="en-GB"/>
        </w:rPr>
        <w:t xml:space="preserve"> the pump that increases the pressure of the reflux stream to the HP </w:t>
      </w:r>
      <w:r w:rsidR="001D56B9" w:rsidRPr="001D56B9">
        <w:rPr>
          <w:lang w:val="en-GB"/>
        </w:rPr>
        <w:t>C</w:t>
      </w:r>
      <w:r w:rsidRPr="001D56B9">
        <w:rPr>
          <w:lang w:val="en-GB"/>
        </w:rPr>
        <w:t xml:space="preserve">olumn. Figure </w:t>
      </w:r>
      <w:r w:rsidR="001D56B9" w:rsidRPr="001D56B9">
        <w:rPr>
          <w:lang w:val="en-GB"/>
        </w:rPr>
        <w:t>3</w:t>
      </w:r>
      <w:r w:rsidR="00240EB3">
        <w:rPr>
          <w:lang w:val="en-GB"/>
        </w:rPr>
        <w:t>a</w:t>
      </w:r>
      <w:r w:rsidRPr="001D56B9">
        <w:rPr>
          <w:lang w:val="en-GB"/>
        </w:rPr>
        <w:t xml:space="preserve"> shows that, by increasing the CO</w:t>
      </w:r>
      <w:r w:rsidRPr="001D56B9">
        <w:rPr>
          <w:vertAlign w:val="subscript"/>
          <w:lang w:val="en-GB"/>
        </w:rPr>
        <w:t>2</w:t>
      </w:r>
      <w:r w:rsidRPr="001D56B9">
        <w:rPr>
          <w:lang w:val="en-GB"/>
        </w:rPr>
        <w:t xml:space="preserve"> content in the NG feed stream, the energy consumption of each AGR technology increases</w:t>
      </w:r>
      <w:r w:rsidR="001D56B9" w:rsidRPr="001D56B9">
        <w:rPr>
          <w:lang w:val="en-GB"/>
        </w:rPr>
        <w:t>,</w:t>
      </w:r>
      <w:r w:rsidRPr="001D56B9">
        <w:rPr>
          <w:lang w:val="en-GB"/>
        </w:rPr>
        <w:t xml:space="preserve"> and this occurs at a higher rate in the case of the conventional technology. The increase for the </w:t>
      </w:r>
      <w:r w:rsidR="001D56B9" w:rsidRPr="001D56B9">
        <w:rPr>
          <w:lang w:val="en-GB"/>
        </w:rPr>
        <w:t>DCCD</w:t>
      </w:r>
      <w:r w:rsidR="001D56B9" w:rsidRPr="001D56B9">
        <w:rPr>
          <w:vertAlign w:val="superscript"/>
          <w:lang w:val="en-GB"/>
        </w:rPr>
        <w:t>TM</w:t>
      </w:r>
      <w:r w:rsidRPr="001D56B9">
        <w:rPr>
          <w:lang w:val="en-GB"/>
        </w:rPr>
        <w:t xml:space="preserve"> process seems to </w:t>
      </w:r>
      <w:r w:rsidR="00FA485E" w:rsidRPr="001D56B9">
        <w:rPr>
          <w:lang w:val="en-GB"/>
        </w:rPr>
        <w:t>be linear at low CO</w:t>
      </w:r>
      <w:r w:rsidR="00FA485E" w:rsidRPr="001D56B9">
        <w:rPr>
          <w:vertAlign w:val="subscript"/>
          <w:lang w:val="en-GB"/>
        </w:rPr>
        <w:t>2</w:t>
      </w:r>
      <w:r w:rsidR="00FA485E" w:rsidRPr="001D56B9">
        <w:rPr>
          <w:lang w:val="en-GB"/>
        </w:rPr>
        <w:t xml:space="preserve"> concentrations and, then, it exhibits a</w:t>
      </w:r>
      <w:r w:rsidR="00D654CE">
        <w:rPr>
          <w:lang w:val="en-GB"/>
        </w:rPr>
        <w:t>n</w:t>
      </w:r>
      <w:r w:rsidR="00FA485E" w:rsidRPr="001D56B9">
        <w:rPr>
          <w:lang w:val="en-GB"/>
        </w:rPr>
        <w:t xml:space="preserve"> exponential increase. This ca</w:t>
      </w:r>
      <w:r w:rsidR="003B729C" w:rsidRPr="001D56B9">
        <w:rPr>
          <w:lang w:val="en-GB"/>
        </w:rPr>
        <w:t>n</w:t>
      </w:r>
      <w:r w:rsidR="00FA485E" w:rsidRPr="001D56B9">
        <w:rPr>
          <w:lang w:val="en-GB"/>
        </w:rPr>
        <w:t xml:space="preserve"> be explained considering the way the two main energy contributions increase: on the one hand, there is the cooling </w:t>
      </w:r>
      <w:r w:rsidR="003B729C" w:rsidRPr="001D56B9">
        <w:rPr>
          <w:lang w:val="en-GB"/>
        </w:rPr>
        <w:t>d</w:t>
      </w:r>
      <w:r w:rsidR="00FA485E" w:rsidRPr="001D56B9">
        <w:rPr>
          <w:lang w:val="en-GB"/>
        </w:rPr>
        <w:t xml:space="preserve">uty required at the condenser of the LP </w:t>
      </w:r>
      <w:r w:rsidR="001D56B9" w:rsidRPr="001D56B9">
        <w:rPr>
          <w:lang w:val="en-GB"/>
        </w:rPr>
        <w:t>C</w:t>
      </w:r>
      <w:r w:rsidR="00FA485E" w:rsidRPr="001D56B9">
        <w:rPr>
          <w:lang w:val="en-GB"/>
        </w:rPr>
        <w:t>olumn, which accounts to a higher extent at low CO</w:t>
      </w:r>
      <w:r w:rsidR="00FA485E" w:rsidRPr="001D56B9">
        <w:rPr>
          <w:vertAlign w:val="subscript"/>
          <w:lang w:val="en-GB"/>
        </w:rPr>
        <w:t>2</w:t>
      </w:r>
      <w:r w:rsidR="00FA485E" w:rsidRPr="001D56B9">
        <w:rPr>
          <w:lang w:val="en-GB"/>
        </w:rPr>
        <w:t xml:space="preserve"> concentrations and increases linearly with the CO</w:t>
      </w:r>
      <w:r w:rsidR="00FA485E" w:rsidRPr="001D56B9">
        <w:rPr>
          <w:vertAlign w:val="subscript"/>
          <w:lang w:val="en-GB"/>
        </w:rPr>
        <w:t>2</w:t>
      </w:r>
      <w:r w:rsidR="00FA485E" w:rsidRPr="001D56B9">
        <w:rPr>
          <w:lang w:val="en-GB"/>
        </w:rPr>
        <w:t xml:space="preserve"> content in the NG feed stream; on the other hand, there is the duty required for cooling down the stream fed as liquid to the LP </w:t>
      </w:r>
      <w:r w:rsidR="001D56B9" w:rsidRPr="001D56B9">
        <w:rPr>
          <w:lang w:val="en-GB"/>
        </w:rPr>
        <w:t>C</w:t>
      </w:r>
      <w:r w:rsidR="00FA485E" w:rsidRPr="001D56B9">
        <w:rPr>
          <w:lang w:val="en-GB"/>
        </w:rPr>
        <w:t xml:space="preserve">olumn, which </w:t>
      </w:r>
      <w:r w:rsidR="00A57E03">
        <w:rPr>
          <w:lang w:val="en-GB"/>
        </w:rPr>
        <w:t>exhibit</w:t>
      </w:r>
      <w:r w:rsidR="00A57E03">
        <w:rPr>
          <w:lang w:val="en-GB"/>
        </w:rPr>
        <w:t>s</w:t>
      </w:r>
      <w:r w:rsidR="00A57E03" w:rsidRPr="001D56B9">
        <w:rPr>
          <w:lang w:val="en-GB"/>
        </w:rPr>
        <w:t xml:space="preserve"> an exponential </w:t>
      </w:r>
      <w:r w:rsidR="00A57E03">
        <w:rPr>
          <w:lang w:val="en-GB"/>
        </w:rPr>
        <w:t xml:space="preserve">increase and </w:t>
      </w:r>
      <w:r w:rsidR="00FA485E" w:rsidRPr="001D56B9">
        <w:rPr>
          <w:lang w:val="en-GB"/>
        </w:rPr>
        <w:t>becomes more important at high CO</w:t>
      </w:r>
      <w:r w:rsidR="00FA485E" w:rsidRPr="001D56B9">
        <w:rPr>
          <w:vertAlign w:val="subscript"/>
          <w:lang w:val="en-GB"/>
        </w:rPr>
        <w:t>2</w:t>
      </w:r>
      <w:r w:rsidR="00FA485E" w:rsidRPr="001D56B9">
        <w:rPr>
          <w:lang w:val="en-GB"/>
        </w:rPr>
        <w:t xml:space="preserve"> </w:t>
      </w:r>
      <w:r w:rsidR="00FA485E" w:rsidRPr="001D56B9">
        <w:rPr>
          <w:lang w:val="en-GB"/>
        </w:rPr>
        <w:lastRenderedPageBreak/>
        <w:t>concentrations. Therefore, the result</w:t>
      </w:r>
      <w:r w:rsidR="004C1E75" w:rsidRPr="001D56B9">
        <w:rPr>
          <w:lang w:val="en-GB"/>
        </w:rPr>
        <w:t>s illustr</w:t>
      </w:r>
      <w:r w:rsidR="00FA485E" w:rsidRPr="001D56B9">
        <w:rPr>
          <w:lang w:val="en-GB"/>
        </w:rPr>
        <w:t xml:space="preserve">ated in Figure </w:t>
      </w:r>
      <w:r w:rsidR="001D56B9" w:rsidRPr="001D56B9">
        <w:rPr>
          <w:lang w:val="en-GB"/>
        </w:rPr>
        <w:t>3</w:t>
      </w:r>
      <w:r w:rsidR="00240EB3">
        <w:rPr>
          <w:lang w:val="en-GB"/>
        </w:rPr>
        <w:t>a</w:t>
      </w:r>
      <w:r w:rsidR="00FA485E" w:rsidRPr="001D56B9">
        <w:rPr>
          <w:lang w:val="en-GB"/>
        </w:rPr>
        <w:t xml:space="preserve"> prov</w:t>
      </w:r>
      <w:r w:rsidR="0058749C">
        <w:rPr>
          <w:lang w:val="en-GB"/>
        </w:rPr>
        <w:t>e</w:t>
      </w:r>
      <w:r w:rsidR="003B729C" w:rsidRPr="001D56B9">
        <w:rPr>
          <w:lang w:val="en-GB"/>
        </w:rPr>
        <w:t xml:space="preserve"> the advantage of using a low</w:t>
      </w:r>
      <w:r w:rsidR="00FA485E" w:rsidRPr="001D56B9">
        <w:rPr>
          <w:lang w:val="en-GB"/>
        </w:rPr>
        <w:t>-temperature technology for the explo</w:t>
      </w:r>
      <w:r w:rsidR="003B729C" w:rsidRPr="001D56B9">
        <w:rPr>
          <w:lang w:val="en-GB"/>
        </w:rPr>
        <w:t>i</w:t>
      </w:r>
      <w:r w:rsidR="00FA485E" w:rsidRPr="001D56B9">
        <w:rPr>
          <w:lang w:val="en-GB"/>
        </w:rPr>
        <w:t>tation of NG reserves characterized by</w:t>
      </w:r>
      <w:r w:rsidR="00FA485E">
        <w:rPr>
          <w:lang w:val="en-GB"/>
        </w:rPr>
        <w:t xml:space="preserve"> a high CO</w:t>
      </w:r>
      <w:r w:rsidR="00FA485E" w:rsidRPr="003B729C">
        <w:rPr>
          <w:vertAlign w:val="subscript"/>
          <w:lang w:val="en-GB"/>
        </w:rPr>
        <w:t>2</w:t>
      </w:r>
      <w:r w:rsidR="00FA485E">
        <w:rPr>
          <w:lang w:val="en-GB"/>
        </w:rPr>
        <w:t xml:space="preserve"> content.</w:t>
      </w:r>
    </w:p>
    <w:p w14:paraId="6101D167" w14:textId="7808C77E" w:rsidR="00FA485E" w:rsidRDefault="00FA485E" w:rsidP="00600535">
      <w:pPr>
        <w:pStyle w:val="CETBodytext"/>
        <w:rPr>
          <w:lang w:val="en-GB"/>
        </w:rPr>
      </w:pPr>
      <w:r>
        <w:rPr>
          <w:lang w:val="en-GB"/>
        </w:rPr>
        <w:t xml:space="preserve">As for the liquefaction process, the </w:t>
      </w:r>
      <w:r w:rsidR="006D5997">
        <w:rPr>
          <w:lang w:val="en-GB"/>
        </w:rPr>
        <w:t>SEC</w:t>
      </w:r>
      <w:r>
        <w:rPr>
          <w:lang w:val="en-GB"/>
        </w:rPr>
        <w:t xml:space="preserve"> is not affected by the C</w:t>
      </w:r>
      <w:r w:rsidR="006D5997">
        <w:rPr>
          <w:lang w:val="en-GB"/>
        </w:rPr>
        <w:t>O</w:t>
      </w:r>
      <w:r w:rsidRPr="006D5997">
        <w:rPr>
          <w:vertAlign w:val="subscript"/>
          <w:lang w:val="en-GB"/>
        </w:rPr>
        <w:t>2</w:t>
      </w:r>
      <w:r>
        <w:rPr>
          <w:lang w:val="en-GB"/>
        </w:rPr>
        <w:t xml:space="preserve"> content in the NG feed stream. This is quite obvious, considering that</w:t>
      </w:r>
      <w:r w:rsidR="006D5997">
        <w:rPr>
          <w:lang w:val="en-GB"/>
        </w:rPr>
        <w:t>,</w:t>
      </w:r>
      <w:r>
        <w:rPr>
          <w:lang w:val="en-GB"/>
        </w:rPr>
        <w:t xml:space="preserve"> as it increases, both the net equivalent methane required for liquefaction and the methane in the NG feed stream decrease proportionally to each other. </w:t>
      </w:r>
      <w:r w:rsidR="001D56B9">
        <w:rPr>
          <w:lang w:val="en-GB"/>
        </w:rPr>
        <w:t>Moreover,</w:t>
      </w:r>
      <w:r>
        <w:rPr>
          <w:lang w:val="en-GB"/>
        </w:rPr>
        <w:t xml:space="preserve"> the liquefaction of the NG purified in the </w:t>
      </w:r>
      <w:r w:rsidR="001D56B9" w:rsidRPr="001D56B9">
        <w:rPr>
          <w:lang w:val="en-GB"/>
        </w:rPr>
        <w:t>DCCD</w:t>
      </w:r>
      <w:r w:rsidR="001D56B9" w:rsidRPr="001D56B9">
        <w:rPr>
          <w:vertAlign w:val="superscript"/>
          <w:lang w:val="en-GB"/>
        </w:rPr>
        <w:t>TM</w:t>
      </w:r>
      <w:r>
        <w:rPr>
          <w:lang w:val="en-GB"/>
        </w:rPr>
        <w:t xml:space="preserve"> process</w:t>
      </w:r>
      <w:r w:rsidR="006D5997">
        <w:rPr>
          <w:lang w:val="en-GB"/>
        </w:rPr>
        <w:t xml:space="preserve"> </w:t>
      </w:r>
      <w:r w:rsidR="00C43CC7">
        <w:rPr>
          <w:lang w:val="en-GB"/>
        </w:rPr>
        <w:t>turns out to be</w:t>
      </w:r>
      <w:r w:rsidR="006D5997">
        <w:rPr>
          <w:lang w:val="en-GB"/>
        </w:rPr>
        <w:t xml:space="preserve"> less energy-intensive (its SEC </w:t>
      </w:r>
      <w:r>
        <w:rPr>
          <w:lang w:val="en-GB"/>
        </w:rPr>
        <w:t>amounts to 2.4</w:t>
      </w:r>
      <w:r w:rsidR="00E51460">
        <w:rPr>
          <w:lang w:val="en-GB"/>
        </w:rPr>
        <w:t xml:space="preserve"> </w:t>
      </w:r>
      <w:r>
        <w:rPr>
          <w:lang w:val="en-GB"/>
        </w:rPr>
        <w:t>% of the processe</w:t>
      </w:r>
      <w:r w:rsidR="006D5997">
        <w:rPr>
          <w:lang w:val="en-GB"/>
        </w:rPr>
        <w:t>d</w:t>
      </w:r>
      <w:r>
        <w:rPr>
          <w:lang w:val="en-GB"/>
        </w:rPr>
        <w:t xml:space="preserve"> methane, against 4.7</w:t>
      </w:r>
      <w:r w:rsidR="00E51460">
        <w:rPr>
          <w:lang w:val="en-GB"/>
        </w:rPr>
        <w:t xml:space="preserve"> </w:t>
      </w:r>
      <w:r>
        <w:rPr>
          <w:lang w:val="en-GB"/>
        </w:rPr>
        <w:t>% for the</w:t>
      </w:r>
      <w:r w:rsidR="006D5997">
        <w:rPr>
          <w:lang w:val="en-GB"/>
        </w:rPr>
        <w:t xml:space="preserve"> M</w:t>
      </w:r>
      <w:r>
        <w:rPr>
          <w:lang w:val="en-GB"/>
        </w:rPr>
        <w:t>DEA case), thanks to the synergy between the temperature levels at which both the AGR</w:t>
      </w:r>
      <w:r w:rsidR="00C43CC7">
        <w:rPr>
          <w:lang w:val="en-GB"/>
        </w:rPr>
        <w:t>U</w:t>
      </w:r>
      <w:r>
        <w:rPr>
          <w:lang w:val="en-GB"/>
        </w:rPr>
        <w:t xml:space="preserve"> and </w:t>
      </w:r>
      <w:r w:rsidR="00C43CC7">
        <w:rPr>
          <w:lang w:val="en-GB"/>
        </w:rPr>
        <w:t>the liquefaction</w:t>
      </w:r>
      <w:r>
        <w:rPr>
          <w:lang w:val="en-GB"/>
        </w:rPr>
        <w:t xml:space="preserve"> are operated, which allows using less refrigerant.</w:t>
      </w:r>
    </w:p>
    <w:p w14:paraId="19B37F38" w14:textId="759AA690" w:rsidR="00600535" w:rsidRDefault="00FA485E" w:rsidP="00600535">
      <w:pPr>
        <w:pStyle w:val="CETBodytext"/>
        <w:rPr>
          <w:lang w:val="en-GB"/>
        </w:rPr>
      </w:pPr>
      <w:r>
        <w:rPr>
          <w:lang w:val="en-GB"/>
        </w:rPr>
        <w:t xml:space="preserve">Therefore, by combining the results obtained from the energy analysis applied to the AGRU and to the downstream liquefaction, it follows that the </w:t>
      </w:r>
      <w:r w:rsidR="006D5997">
        <w:rPr>
          <w:lang w:val="en-GB"/>
        </w:rPr>
        <w:t>SEC</w:t>
      </w:r>
      <w:r>
        <w:rPr>
          <w:lang w:val="en-GB"/>
        </w:rPr>
        <w:t xml:space="preserve"> for the overall process has the same trend as that shown for the AGRU only </w:t>
      </w:r>
      <w:r w:rsidRPr="00C43CC7">
        <w:rPr>
          <w:lang w:val="en-GB"/>
        </w:rPr>
        <w:t xml:space="preserve">in Figure </w:t>
      </w:r>
      <w:r w:rsidR="00C43CC7" w:rsidRPr="00C43CC7">
        <w:rPr>
          <w:lang w:val="en-GB"/>
        </w:rPr>
        <w:t>3</w:t>
      </w:r>
      <w:r w:rsidR="00240EB3">
        <w:rPr>
          <w:lang w:val="en-GB"/>
        </w:rPr>
        <w:t>a, shifted towards higher values (Figure 3b) because of the contribution related to the liquefaction step</w:t>
      </w:r>
      <w:r w:rsidR="006D5997" w:rsidRPr="00C43CC7">
        <w:rPr>
          <w:lang w:val="en-GB"/>
        </w:rPr>
        <w:t>. I</w:t>
      </w:r>
      <w:r w:rsidRPr="00C43CC7">
        <w:rPr>
          <w:lang w:val="en-GB"/>
        </w:rPr>
        <w:t>t</w:t>
      </w:r>
      <w:r>
        <w:rPr>
          <w:lang w:val="en-GB"/>
        </w:rPr>
        <w:t xml:space="preserve"> is interesting to point out that</w:t>
      </w:r>
      <w:r w:rsidR="006D5997">
        <w:rPr>
          <w:lang w:val="en-GB"/>
        </w:rPr>
        <w:t>,</w:t>
      </w:r>
      <w:r>
        <w:rPr>
          <w:lang w:val="en-GB"/>
        </w:rPr>
        <w:t xml:space="preserve"> when the CO</w:t>
      </w:r>
      <w:r w:rsidRPr="006D5997">
        <w:rPr>
          <w:vertAlign w:val="subscript"/>
          <w:lang w:val="en-GB"/>
        </w:rPr>
        <w:t>2</w:t>
      </w:r>
      <w:r>
        <w:rPr>
          <w:lang w:val="en-GB"/>
        </w:rPr>
        <w:t xml:space="preserve"> removal is carried out by MDEA absorption, the energy consumption related to liquefaction is much higher than that related to the AGRU at low concentration</w:t>
      </w:r>
      <w:r w:rsidR="006D5997">
        <w:rPr>
          <w:lang w:val="en-GB"/>
        </w:rPr>
        <w:t>s</w:t>
      </w:r>
      <w:r>
        <w:rPr>
          <w:lang w:val="en-GB"/>
        </w:rPr>
        <w:t xml:space="preserve"> in the NG feed </w:t>
      </w:r>
      <w:r w:rsidRPr="00C43CC7">
        <w:rPr>
          <w:lang w:val="en-GB"/>
        </w:rPr>
        <w:t>stream</w:t>
      </w:r>
      <w:r w:rsidR="00212489" w:rsidRPr="00C43CC7">
        <w:rPr>
          <w:lang w:val="en-GB"/>
        </w:rPr>
        <w:t xml:space="preserve"> (Figure </w:t>
      </w:r>
      <w:r w:rsidR="00C43CC7" w:rsidRPr="00C43CC7">
        <w:rPr>
          <w:lang w:val="en-GB"/>
        </w:rPr>
        <w:t>4</w:t>
      </w:r>
      <w:r w:rsidR="00212489" w:rsidRPr="00C43CC7">
        <w:rPr>
          <w:lang w:val="en-GB"/>
        </w:rPr>
        <w:t>a)</w:t>
      </w:r>
      <w:r w:rsidRPr="00C43CC7">
        <w:rPr>
          <w:lang w:val="en-GB"/>
        </w:rPr>
        <w:t>, but the reverse occurs at high CO</w:t>
      </w:r>
      <w:r w:rsidRPr="00C43CC7">
        <w:rPr>
          <w:vertAlign w:val="subscript"/>
          <w:lang w:val="en-GB"/>
        </w:rPr>
        <w:t>2</w:t>
      </w:r>
      <w:r w:rsidRPr="00C43CC7">
        <w:rPr>
          <w:lang w:val="en-GB"/>
        </w:rPr>
        <w:t xml:space="preserve"> concentrations. On the contrary, if NG is purified through the </w:t>
      </w:r>
      <w:r w:rsidR="00C43CC7" w:rsidRPr="00C43CC7">
        <w:rPr>
          <w:lang w:val="en-GB"/>
        </w:rPr>
        <w:t>DCCD</w:t>
      </w:r>
      <w:r w:rsidR="00C43CC7" w:rsidRPr="00C43CC7">
        <w:rPr>
          <w:vertAlign w:val="superscript"/>
          <w:lang w:val="en-GB"/>
        </w:rPr>
        <w:t>TM</w:t>
      </w:r>
      <w:r w:rsidRPr="00C43CC7">
        <w:rPr>
          <w:lang w:val="en-GB"/>
        </w:rPr>
        <w:t xml:space="preserve"> process, at low CO</w:t>
      </w:r>
      <w:r w:rsidRPr="00C43CC7">
        <w:rPr>
          <w:vertAlign w:val="subscript"/>
          <w:lang w:val="en-GB"/>
        </w:rPr>
        <w:t>2</w:t>
      </w:r>
      <w:r w:rsidRPr="00C43CC7">
        <w:rPr>
          <w:lang w:val="en-GB"/>
        </w:rPr>
        <w:t xml:space="preserve"> concentrations in the NG feed stream the energy consumption is almost equally split between the AGRU and the liquefaction step</w:t>
      </w:r>
      <w:r w:rsidR="00212489" w:rsidRPr="00C43CC7">
        <w:rPr>
          <w:lang w:val="en-GB"/>
        </w:rPr>
        <w:t xml:space="preserve"> (Figure </w:t>
      </w:r>
      <w:r w:rsidR="00C43CC7" w:rsidRPr="00C43CC7">
        <w:rPr>
          <w:lang w:val="en-GB"/>
        </w:rPr>
        <w:t>4</w:t>
      </w:r>
      <w:r w:rsidR="00212489" w:rsidRPr="00C43CC7">
        <w:rPr>
          <w:lang w:val="en-GB"/>
        </w:rPr>
        <w:t>b)</w:t>
      </w:r>
      <w:r w:rsidRPr="00C43CC7">
        <w:rPr>
          <w:lang w:val="en-GB"/>
        </w:rPr>
        <w:t>, but</w:t>
      </w:r>
      <w:r>
        <w:rPr>
          <w:lang w:val="en-GB"/>
        </w:rPr>
        <w:t xml:space="preserve"> for high CO</w:t>
      </w:r>
      <w:r w:rsidRPr="006D5997">
        <w:rPr>
          <w:vertAlign w:val="subscript"/>
          <w:lang w:val="en-GB"/>
        </w:rPr>
        <w:t>2</w:t>
      </w:r>
      <w:r>
        <w:rPr>
          <w:lang w:val="en-GB"/>
        </w:rPr>
        <w:t xml:space="preserve"> contents the one related to the AGRU never reaches the amount required in the MDEA case.</w:t>
      </w:r>
    </w:p>
    <w:p w14:paraId="0D9200F1" w14:textId="442C8754" w:rsidR="00212489" w:rsidRDefault="00907066" w:rsidP="00DB297D">
      <w:pPr>
        <w:pStyle w:val="CETBodytext"/>
        <w:rPr>
          <w:lang w:val="en-GB"/>
        </w:rPr>
      </w:pPr>
      <w:r w:rsidRPr="00907066">
        <w:drawing>
          <wp:inline distT="0" distB="0" distL="0" distR="0" wp14:anchorId="0A6BB84D" wp14:editId="45B8E7CD">
            <wp:extent cx="2595600" cy="171360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5600" cy="1713600"/>
                    </a:xfrm>
                    <a:prstGeom prst="rect">
                      <a:avLst/>
                    </a:prstGeom>
                    <a:noFill/>
                    <a:ln>
                      <a:noFill/>
                    </a:ln>
                  </pic:spPr>
                </pic:pic>
              </a:graphicData>
            </a:graphic>
          </wp:inline>
        </w:drawing>
      </w:r>
      <w:r w:rsidR="003651EC" w:rsidRPr="003651EC">
        <w:t xml:space="preserve"> </w:t>
      </w:r>
      <w:r w:rsidR="00DB297D">
        <w:rPr>
          <w:lang w:val="en-GB"/>
        </w:rPr>
        <w:t>a)</w:t>
      </w:r>
      <w:r w:rsidR="00D4124C" w:rsidRPr="00D4124C">
        <w:t xml:space="preserve"> </w:t>
      </w:r>
      <w:r w:rsidRPr="00907066">
        <w:drawing>
          <wp:inline distT="0" distB="0" distL="0" distR="0" wp14:anchorId="73A9D75D" wp14:editId="7B5080BF">
            <wp:extent cx="2588400" cy="1713600"/>
            <wp:effectExtent l="0" t="0" r="254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88400" cy="1713600"/>
                    </a:xfrm>
                    <a:prstGeom prst="rect">
                      <a:avLst/>
                    </a:prstGeom>
                    <a:noFill/>
                    <a:ln>
                      <a:noFill/>
                    </a:ln>
                  </pic:spPr>
                </pic:pic>
              </a:graphicData>
            </a:graphic>
          </wp:inline>
        </w:drawing>
      </w:r>
      <w:r w:rsidR="003651EC" w:rsidRPr="003651EC">
        <w:t xml:space="preserve"> </w:t>
      </w:r>
      <w:r w:rsidR="00212489">
        <w:rPr>
          <w:lang w:val="en-GB"/>
        </w:rPr>
        <w:t>b)</w:t>
      </w:r>
    </w:p>
    <w:p w14:paraId="51D937C8" w14:textId="7E6D7316" w:rsidR="000E5159" w:rsidRPr="00214B51" w:rsidRDefault="000E5159" w:rsidP="000E5159">
      <w:pPr>
        <w:pStyle w:val="CETCaption"/>
      </w:pPr>
      <w:r w:rsidRPr="00C43CC7">
        <w:t xml:space="preserve">Figure </w:t>
      </w:r>
      <w:r w:rsidR="00C43CC7" w:rsidRPr="00C43CC7">
        <w:t>4</w:t>
      </w:r>
      <w:r w:rsidRPr="00C43CC7">
        <w:t>: Share of energy requirements for the AGRU and liquefaction: a) AGR by MDEA absorption; b) AGR by</w:t>
      </w:r>
      <w:r w:rsidR="00E51460">
        <w:t xml:space="preserve"> </w:t>
      </w:r>
      <w:r w:rsidR="009F7279">
        <w:t>the</w:t>
      </w:r>
      <w:r w:rsidRPr="00C43CC7">
        <w:t xml:space="preserve"> </w:t>
      </w:r>
      <w:r w:rsidR="00214B51">
        <w:t>DCCD</w:t>
      </w:r>
      <w:r w:rsidR="00214B51" w:rsidRPr="00214B51">
        <w:rPr>
          <w:vertAlign w:val="superscript"/>
        </w:rPr>
        <w:t>TM</w:t>
      </w:r>
      <w:r w:rsidR="00214B51">
        <w:t xml:space="preserve"> process</w:t>
      </w:r>
    </w:p>
    <w:p w14:paraId="669514E1" w14:textId="77777777" w:rsidR="00600535" w:rsidRPr="00B57B36" w:rsidRDefault="006A25EC" w:rsidP="00FA5F5F">
      <w:pPr>
        <w:pStyle w:val="CETheadingx"/>
      </w:pPr>
      <w:r>
        <w:t>Exergy analysis</w:t>
      </w:r>
    </w:p>
    <w:p w14:paraId="08018A50" w14:textId="5CDF0505" w:rsidR="006D5997" w:rsidRDefault="00B548F5" w:rsidP="006A25EC">
      <w:pPr>
        <w:pStyle w:val="CETBodytext"/>
        <w:rPr>
          <w:lang w:val="en-GB"/>
        </w:rPr>
      </w:pPr>
      <w:r>
        <w:rPr>
          <w:lang w:val="en-GB"/>
        </w:rPr>
        <w:t xml:space="preserve">Results </w:t>
      </w:r>
      <w:r w:rsidR="00F657EF">
        <w:rPr>
          <w:lang w:val="en-GB"/>
        </w:rPr>
        <w:t xml:space="preserve">of the exergy analysis </w:t>
      </w:r>
      <w:r>
        <w:rPr>
          <w:lang w:val="en-GB"/>
        </w:rPr>
        <w:t xml:space="preserve">for the AGRU using the two technologies taken into account in this work are </w:t>
      </w:r>
      <w:r w:rsidRPr="00F657EF">
        <w:rPr>
          <w:lang w:val="en-GB"/>
        </w:rPr>
        <w:t xml:space="preserve">illustrated in Figure </w:t>
      </w:r>
      <w:r w:rsidR="00F657EF" w:rsidRPr="00F657EF">
        <w:rPr>
          <w:lang w:val="en-GB"/>
        </w:rPr>
        <w:t>5</w:t>
      </w:r>
      <w:r w:rsidRPr="00F657EF">
        <w:rPr>
          <w:lang w:val="en-GB"/>
        </w:rPr>
        <w:t>.</w:t>
      </w:r>
      <w:r>
        <w:rPr>
          <w:lang w:val="en-GB"/>
        </w:rPr>
        <w:t xml:space="preserve"> </w:t>
      </w:r>
    </w:p>
    <w:p w14:paraId="7E623489" w14:textId="613A77C8" w:rsidR="006D5997" w:rsidRDefault="00285EDE" w:rsidP="006A25EC">
      <w:pPr>
        <w:pStyle w:val="CETBodytext"/>
        <w:rPr>
          <w:lang w:val="en-GB"/>
        </w:rPr>
      </w:pPr>
      <w:r w:rsidRPr="00285EDE">
        <w:drawing>
          <wp:inline distT="0" distB="0" distL="0" distR="0" wp14:anchorId="4F4421B1" wp14:editId="4483417D">
            <wp:extent cx="2764800" cy="20016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4800" cy="2001600"/>
                    </a:xfrm>
                    <a:prstGeom prst="rect">
                      <a:avLst/>
                    </a:prstGeom>
                    <a:noFill/>
                    <a:ln>
                      <a:noFill/>
                    </a:ln>
                  </pic:spPr>
                </pic:pic>
              </a:graphicData>
            </a:graphic>
          </wp:inline>
        </w:drawing>
      </w:r>
    </w:p>
    <w:p w14:paraId="013D0CE3" w14:textId="0AFFD209" w:rsidR="006D5997" w:rsidRPr="00B57B36" w:rsidRDefault="006D5997" w:rsidP="006D5997">
      <w:pPr>
        <w:pStyle w:val="CETCaption"/>
      </w:pPr>
      <w:r w:rsidRPr="00322C8F">
        <w:t xml:space="preserve">Figure </w:t>
      </w:r>
      <w:r w:rsidR="00F657EF" w:rsidRPr="00322C8F">
        <w:t>5</w:t>
      </w:r>
      <w:r w:rsidRPr="00322C8F">
        <w:t xml:space="preserve">: </w:t>
      </w:r>
      <w:r w:rsidR="00212489" w:rsidRPr="00322C8F">
        <w:t>Second-law efficiency for t</w:t>
      </w:r>
      <w:r w:rsidRPr="00322C8F">
        <w:t>h</w:t>
      </w:r>
      <w:bookmarkStart w:id="0" w:name="_GoBack"/>
      <w:bookmarkEnd w:id="0"/>
      <w:r w:rsidRPr="00322C8F">
        <w:t xml:space="preserve">e MDEA process (solid </w:t>
      </w:r>
      <w:r w:rsidR="000E5159" w:rsidRPr="00322C8F">
        <w:t>red</w:t>
      </w:r>
      <w:r w:rsidRPr="00322C8F">
        <w:t xml:space="preserve"> line) and for the D</w:t>
      </w:r>
      <w:r w:rsidR="00322C8F" w:rsidRPr="00322C8F">
        <w:t>CCD</w:t>
      </w:r>
      <w:r w:rsidR="00322C8F" w:rsidRPr="00322C8F">
        <w:rPr>
          <w:vertAlign w:val="superscript"/>
        </w:rPr>
        <w:t>TM</w:t>
      </w:r>
      <w:r w:rsidRPr="00322C8F">
        <w:t xml:space="preserve"> process (dashed </w:t>
      </w:r>
      <w:r w:rsidR="000E5159" w:rsidRPr="00322C8F">
        <w:t>green</w:t>
      </w:r>
      <w:r w:rsidRPr="00322C8F">
        <w:t xml:space="preserve"> line) at different CO</w:t>
      </w:r>
      <w:r w:rsidRPr="00322C8F">
        <w:rPr>
          <w:vertAlign w:val="subscript"/>
        </w:rPr>
        <w:t>2</w:t>
      </w:r>
      <w:r w:rsidRPr="00322C8F">
        <w:t xml:space="preserve"> contents in the NG feed stream</w:t>
      </w:r>
    </w:p>
    <w:p w14:paraId="004EF354" w14:textId="362203C8" w:rsidR="00600535" w:rsidRPr="00F1490A" w:rsidRDefault="006D5997" w:rsidP="006A25EC">
      <w:pPr>
        <w:pStyle w:val="CETBodytext"/>
        <w:rPr>
          <w:lang w:val="en-GB"/>
        </w:rPr>
      </w:pPr>
      <w:r>
        <w:rPr>
          <w:lang w:val="en-GB"/>
        </w:rPr>
        <w:t>I</w:t>
      </w:r>
      <w:r w:rsidR="00B548F5">
        <w:rPr>
          <w:lang w:val="en-GB"/>
        </w:rPr>
        <w:t>t is possible to observe that the trend as a function of the CO</w:t>
      </w:r>
      <w:r w:rsidR="00B548F5" w:rsidRPr="00212489">
        <w:rPr>
          <w:vertAlign w:val="subscript"/>
          <w:lang w:val="en-GB"/>
        </w:rPr>
        <w:t>2</w:t>
      </w:r>
      <w:r w:rsidR="00B548F5">
        <w:rPr>
          <w:lang w:val="en-GB"/>
        </w:rPr>
        <w:t xml:space="preserve"> content in the NG feed stream is different for the two cases, with that for the </w:t>
      </w:r>
      <w:r w:rsidR="00967320">
        <w:rPr>
          <w:lang w:val="en-GB"/>
        </w:rPr>
        <w:t>DCCD</w:t>
      </w:r>
      <w:r w:rsidR="00967320" w:rsidRPr="00967320">
        <w:rPr>
          <w:vertAlign w:val="superscript"/>
          <w:lang w:val="en-GB"/>
        </w:rPr>
        <w:t>TM</w:t>
      </w:r>
      <w:r w:rsidR="00B548F5">
        <w:rPr>
          <w:lang w:val="en-GB"/>
        </w:rPr>
        <w:t xml:space="preserve"> technology that reaches a maximum at about 40 mol% CO</w:t>
      </w:r>
      <w:r w:rsidR="00B548F5" w:rsidRPr="00212489">
        <w:rPr>
          <w:vertAlign w:val="subscript"/>
          <w:lang w:val="en-GB"/>
        </w:rPr>
        <w:t>2</w:t>
      </w:r>
      <w:r w:rsidR="00B548F5">
        <w:rPr>
          <w:lang w:val="en-GB"/>
        </w:rPr>
        <w:t xml:space="preserve"> and is, however, always higher than that for the MDEA case,</w:t>
      </w:r>
      <w:r w:rsidR="002E773A">
        <w:rPr>
          <w:lang w:val="en-GB"/>
        </w:rPr>
        <w:t xml:space="preserve"> which exhibits</w:t>
      </w:r>
      <w:r w:rsidR="00B548F5">
        <w:rPr>
          <w:lang w:val="en-GB"/>
        </w:rPr>
        <w:t xml:space="preserve"> a decreasing trend in the whole investigated range. A</w:t>
      </w:r>
      <w:r w:rsidR="00212489">
        <w:rPr>
          <w:lang w:val="en-GB"/>
        </w:rPr>
        <w:t>n</w:t>
      </w:r>
      <w:r w:rsidR="00B548F5">
        <w:rPr>
          <w:lang w:val="en-GB"/>
        </w:rPr>
        <w:t xml:space="preserve"> analysis of the different terms that contribute to the definition of the </w:t>
      </w:r>
      <w:r w:rsidR="00E32F8A">
        <w:rPr>
          <w:lang w:val="en-GB"/>
        </w:rPr>
        <w:t>second-law</w:t>
      </w:r>
      <w:r w:rsidR="00B548F5">
        <w:rPr>
          <w:lang w:val="en-GB"/>
        </w:rPr>
        <w:t xml:space="preserve"> efficiency has suggested </w:t>
      </w:r>
      <w:r w:rsidR="00B548F5">
        <w:rPr>
          <w:lang w:val="en-GB"/>
        </w:rPr>
        <w:lastRenderedPageBreak/>
        <w:t xml:space="preserve">that the maximum trend observed in the </w:t>
      </w:r>
      <w:r w:rsidR="00402A6B">
        <w:rPr>
          <w:lang w:val="en-GB"/>
        </w:rPr>
        <w:t>DCCD</w:t>
      </w:r>
      <w:r w:rsidR="00402A6B" w:rsidRPr="00967320">
        <w:rPr>
          <w:vertAlign w:val="superscript"/>
          <w:lang w:val="en-GB"/>
        </w:rPr>
        <w:t>T</w:t>
      </w:r>
      <w:r w:rsidR="00402A6B" w:rsidRPr="00F1490A">
        <w:rPr>
          <w:vertAlign w:val="superscript"/>
          <w:lang w:val="en-GB"/>
        </w:rPr>
        <w:t>M</w:t>
      </w:r>
      <w:r w:rsidR="00B548F5" w:rsidRPr="00F1490A">
        <w:rPr>
          <w:lang w:val="en-GB"/>
        </w:rPr>
        <w:t xml:space="preserve"> case is due to the variation of the difference between the total outlet and inlet material exergy of the process at increasing CO</w:t>
      </w:r>
      <w:r w:rsidR="00B548F5" w:rsidRPr="00F1490A">
        <w:rPr>
          <w:vertAlign w:val="subscript"/>
          <w:lang w:val="en-GB"/>
        </w:rPr>
        <w:t>2</w:t>
      </w:r>
      <w:r w:rsidR="00B548F5" w:rsidRPr="00F1490A">
        <w:rPr>
          <w:lang w:val="en-GB"/>
        </w:rPr>
        <w:t xml:space="preserve"> content in the NG feed stream. </w:t>
      </w:r>
    </w:p>
    <w:p w14:paraId="6FD98D18" w14:textId="7CE7CD17" w:rsidR="00B548F5" w:rsidRDefault="00B548F5" w:rsidP="006A25EC">
      <w:pPr>
        <w:pStyle w:val="CETBodytext"/>
        <w:rPr>
          <w:lang w:val="en-GB"/>
        </w:rPr>
      </w:pPr>
      <w:r w:rsidRPr="00F1490A">
        <w:rPr>
          <w:lang w:val="en-GB"/>
        </w:rPr>
        <w:t>Considering, then, the liquefaction process, the second</w:t>
      </w:r>
      <w:r w:rsidR="00E32F8A" w:rsidRPr="00F1490A">
        <w:rPr>
          <w:lang w:val="en-GB"/>
        </w:rPr>
        <w:t>-</w:t>
      </w:r>
      <w:r w:rsidRPr="00F1490A">
        <w:rPr>
          <w:lang w:val="en-GB"/>
        </w:rPr>
        <w:t>law efficiency is not affected by the CO</w:t>
      </w:r>
      <w:r w:rsidRPr="00F1490A">
        <w:rPr>
          <w:vertAlign w:val="subscript"/>
          <w:lang w:val="en-GB"/>
        </w:rPr>
        <w:t>2</w:t>
      </w:r>
      <w:r w:rsidRPr="00F1490A">
        <w:rPr>
          <w:lang w:val="en-GB"/>
        </w:rPr>
        <w:t xml:space="preserve"> conten</w:t>
      </w:r>
      <w:r>
        <w:rPr>
          <w:lang w:val="en-GB"/>
        </w:rPr>
        <w:t>t in the NG feed stream</w:t>
      </w:r>
      <w:r w:rsidR="00212489">
        <w:rPr>
          <w:lang w:val="en-GB"/>
        </w:rPr>
        <w:t>,</w:t>
      </w:r>
      <w:r>
        <w:rPr>
          <w:lang w:val="en-GB"/>
        </w:rPr>
        <w:t xml:space="preserve"> and it is always higher in the </w:t>
      </w:r>
      <w:r w:rsidR="00402A6B">
        <w:rPr>
          <w:lang w:val="en-GB"/>
        </w:rPr>
        <w:t>DCCD</w:t>
      </w:r>
      <w:r w:rsidR="00402A6B" w:rsidRPr="00967320">
        <w:rPr>
          <w:vertAlign w:val="superscript"/>
          <w:lang w:val="en-GB"/>
        </w:rPr>
        <w:t>TM</w:t>
      </w:r>
      <w:r>
        <w:rPr>
          <w:lang w:val="en-GB"/>
        </w:rPr>
        <w:t xml:space="preserve"> case for the same reasons previously explained.</w:t>
      </w:r>
    </w:p>
    <w:p w14:paraId="0806B8AD" w14:textId="5EC11792" w:rsidR="00B548F5" w:rsidRDefault="00B548F5" w:rsidP="006A25EC">
      <w:pPr>
        <w:pStyle w:val="CETBodytext"/>
        <w:rPr>
          <w:lang w:val="en-GB"/>
        </w:rPr>
      </w:pPr>
      <w:r>
        <w:rPr>
          <w:lang w:val="en-GB"/>
        </w:rPr>
        <w:t xml:space="preserve">Therefore, summing up the results discussed above separately for the AGRU and for the liquefaction section, it is possible to infer that the efficiency of the overall plant </w:t>
      </w:r>
      <w:r w:rsidR="00402A6B">
        <w:rPr>
          <w:lang w:val="en-GB"/>
        </w:rPr>
        <w:t xml:space="preserve">(comprising the AGRU and the liquefaction) </w:t>
      </w:r>
      <w:r>
        <w:rPr>
          <w:lang w:val="en-GB"/>
        </w:rPr>
        <w:t xml:space="preserve">has a trend similar to that </w:t>
      </w:r>
      <w:r w:rsidRPr="00402A6B">
        <w:rPr>
          <w:lang w:val="en-GB"/>
        </w:rPr>
        <w:t xml:space="preserve">shown in Figure </w:t>
      </w:r>
      <w:r w:rsidR="00402A6B" w:rsidRPr="00402A6B">
        <w:rPr>
          <w:lang w:val="en-GB"/>
        </w:rPr>
        <w:t>5</w:t>
      </w:r>
      <w:r w:rsidRPr="00402A6B">
        <w:rPr>
          <w:lang w:val="en-GB"/>
        </w:rPr>
        <w:t xml:space="preserve"> for</w:t>
      </w:r>
      <w:r>
        <w:rPr>
          <w:lang w:val="en-GB"/>
        </w:rPr>
        <w:t xml:space="preserve"> the AGRU only.</w:t>
      </w:r>
    </w:p>
    <w:p w14:paraId="527E2238" w14:textId="77777777" w:rsidR="00600535" w:rsidRPr="00B57B36" w:rsidRDefault="00600535" w:rsidP="00600535">
      <w:pPr>
        <w:pStyle w:val="CETHeading1"/>
        <w:rPr>
          <w:lang w:val="en-GB"/>
        </w:rPr>
      </w:pPr>
      <w:r w:rsidRPr="00B57B36">
        <w:rPr>
          <w:lang w:val="en-GB"/>
        </w:rPr>
        <w:t>Conclusions</w:t>
      </w:r>
    </w:p>
    <w:p w14:paraId="4BF3914A" w14:textId="5A4B45AE" w:rsidR="00B548F5" w:rsidRPr="00B57B36" w:rsidRDefault="00B548F5" w:rsidP="00600535">
      <w:pPr>
        <w:pStyle w:val="CETBodytext"/>
        <w:rPr>
          <w:lang w:val="en-GB"/>
        </w:rPr>
      </w:pPr>
      <w:r>
        <w:rPr>
          <w:lang w:val="en-GB"/>
        </w:rPr>
        <w:t>In this work, two CO</w:t>
      </w:r>
      <w:r w:rsidRPr="0042023E">
        <w:rPr>
          <w:vertAlign w:val="subscript"/>
          <w:lang w:val="en-GB"/>
        </w:rPr>
        <w:t>2</w:t>
      </w:r>
      <w:r>
        <w:rPr>
          <w:lang w:val="en-GB"/>
        </w:rPr>
        <w:t xml:space="preserve"> removal technologies (namely, conventional MDEA absorption and a novel dual pressure low-temperature distillation scheme</w:t>
      </w:r>
      <w:r w:rsidR="00E51460">
        <w:rPr>
          <w:lang w:val="en-GB"/>
        </w:rPr>
        <w:t xml:space="preserve"> known as DCCD</w:t>
      </w:r>
      <w:r w:rsidR="00E51460" w:rsidRPr="00E51460">
        <w:rPr>
          <w:vertAlign w:val="superscript"/>
          <w:lang w:val="en-GB"/>
        </w:rPr>
        <w:t>TM</w:t>
      </w:r>
      <w:r>
        <w:rPr>
          <w:lang w:val="en-GB"/>
        </w:rPr>
        <w:t>) combined with the C3MR liquefaction process have been analysed to asses their performa</w:t>
      </w:r>
      <w:r w:rsidR="0042023E">
        <w:rPr>
          <w:lang w:val="en-GB"/>
        </w:rPr>
        <w:t>n</w:t>
      </w:r>
      <w:r>
        <w:rPr>
          <w:lang w:val="en-GB"/>
        </w:rPr>
        <w:t>ces for different CO</w:t>
      </w:r>
      <w:r w:rsidRPr="0042023E">
        <w:rPr>
          <w:vertAlign w:val="subscript"/>
          <w:lang w:val="en-GB"/>
        </w:rPr>
        <w:t>2</w:t>
      </w:r>
      <w:r>
        <w:rPr>
          <w:lang w:val="en-GB"/>
        </w:rPr>
        <w:t xml:space="preserve"> co</w:t>
      </w:r>
      <w:r w:rsidR="0042023E">
        <w:rPr>
          <w:lang w:val="en-GB"/>
        </w:rPr>
        <w:t>n</w:t>
      </w:r>
      <w:r>
        <w:rPr>
          <w:lang w:val="en-GB"/>
        </w:rPr>
        <w:t>ce</w:t>
      </w:r>
      <w:r w:rsidR="0042023E">
        <w:rPr>
          <w:lang w:val="en-GB"/>
        </w:rPr>
        <w:t>n</w:t>
      </w:r>
      <w:r>
        <w:rPr>
          <w:lang w:val="en-GB"/>
        </w:rPr>
        <w:t>trations in the natural gas feed stream, ranging from 10 to 70</w:t>
      </w:r>
      <w:r w:rsidR="00325E3E">
        <w:rPr>
          <w:lang w:val="en-GB"/>
        </w:rPr>
        <w:t xml:space="preserve"> % on a molar basis</w:t>
      </w:r>
      <w:r>
        <w:rPr>
          <w:lang w:val="en-GB"/>
        </w:rPr>
        <w:t xml:space="preserve">. The performances of the resulting schemes </w:t>
      </w:r>
      <w:r w:rsidR="00325E3E">
        <w:rPr>
          <w:lang w:val="en-GB"/>
        </w:rPr>
        <w:t>simulated</w:t>
      </w:r>
      <w:r>
        <w:rPr>
          <w:lang w:val="en-GB"/>
        </w:rPr>
        <w:t xml:space="preserve"> in Aspen Hysys</w:t>
      </w:r>
      <w:r w:rsidRPr="004C1E75">
        <w:rPr>
          <w:vertAlign w:val="superscript"/>
          <w:lang w:val="en-GB"/>
        </w:rPr>
        <w:t>®</w:t>
      </w:r>
      <w:r>
        <w:rPr>
          <w:lang w:val="en-GB"/>
        </w:rPr>
        <w:t xml:space="preserve"> V9.0 have been assessed by means of an energy and </w:t>
      </w:r>
      <w:r w:rsidR="00325E3E">
        <w:rPr>
          <w:lang w:val="en-GB"/>
        </w:rPr>
        <w:t xml:space="preserve">an </w:t>
      </w:r>
      <w:r>
        <w:rPr>
          <w:lang w:val="en-GB"/>
        </w:rPr>
        <w:t xml:space="preserve">exergy analysis. For both the MDEA </w:t>
      </w:r>
      <w:r w:rsidRPr="001D6D40">
        <w:rPr>
          <w:lang w:val="en-GB"/>
        </w:rPr>
        <w:t xml:space="preserve">and </w:t>
      </w:r>
      <w:r w:rsidR="00325E3E">
        <w:rPr>
          <w:lang w:val="en-GB"/>
        </w:rPr>
        <w:t>DCCD</w:t>
      </w:r>
      <w:r w:rsidR="00325E3E" w:rsidRPr="00325E3E">
        <w:rPr>
          <w:vertAlign w:val="superscript"/>
          <w:lang w:val="en-GB"/>
        </w:rPr>
        <w:t>TM</w:t>
      </w:r>
      <w:r w:rsidRPr="001D6D40">
        <w:rPr>
          <w:lang w:val="en-GB"/>
        </w:rPr>
        <w:t xml:space="preserve"> process</w:t>
      </w:r>
      <w:r w:rsidR="00325E3E">
        <w:rPr>
          <w:lang w:val="en-GB"/>
        </w:rPr>
        <w:t>es</w:t>
      </w:r>
      <w:r w:rsidRPr="001D6D40">
        <w:rPr>
          <w:lang w:val="en-GB"/>
        </w:rPr>
        <w:t>, the specific net equivalent methane consumption increases with the increase of the CO</w:t>
      </w:r>
      <w:r w:rsidRPr="001D6D40">
        <w:rPr>
          <w:vertAlign w:val="subscript"/>
          <w:lang w:val="en-GB"/>
        </w:rPr>
        <w:t>2</w:t>
      </w:r>
      <w:r w:rsidRPr="001D6D40">
        <w:rPr>
          <w:lang w:val="en-GB"/>
        </w:rPr>
        <w:t xml:space="preserve"> concentration (from </w:t>
      </w:r>
      <w:r w:rsidR="001D6D40" w:rsidRPr="001D6D40">
        <w:rPr>
          <w:lang w:val="en-GB"/>
        </w:rPr>
        <w:t>2.7%</w:t>
      </w:r>
      <w:r w:rsidRPr="001D6D40">
        <w:rPr>
          <w:lang w:val="en-GB"/>
        </w:rPr>
        <w:t xml:space="preserve"> to </w:t>
      </w:r>
      <w:r w:rsidR="001D6D40" w:rsidRPr="001D6D40">
        <w:rPr>
          <w:lang w:val="en-GB"/>
        </w:rPr>
        <w:t>55.8%</w:t>
      </w:r>
      <w:r w:rsidRPr="001D6D40">
        <w:rPr>
          <w:lang w:val="en-GB"/>
        </w:rPr>
        <w:t xml:space="preserve"> for the MDEA case, and from </w:t>
      </w:r>
      <w:r w:rsidR="001D6D40" w:rsidRPr="001D6D40">
        <w:rPr>
          <w:lang w:val="en-GB"/>
        </w:rPr>
        <w:t>2.7%</w:t>
      </w:r>
      <w:r w:rsidRPr="001D6D40">
        <w:rPr>
          <w:lang w:val="en-GB"/>
        </w:rPr>
        <w:t xml:space="preserve"> to </w:t>
      </w:r>
      <w:r w:rsidR="001D6D40" w:rsidRPr="001D6D40">
        <w:rPr>
          <w:lang w:val="en-GB"/>
        </w:rPr>
        <w:t>9.9%</w:t>
      </w:r>
      <w:r w:rsidRPr="001D6D40">
        <w:rPr>
          <w:lang w:val="en-GB"/>
        </w:rPr>
        <w:t xml:space="preserve"> </w:t>
      </w:r>
      <w:r w:rsidR="001D6D40" w:rsidRPr="001D6D40">
        <w:rPr>
          <w:lang w:val="en-GB"/>
        </w:rPr>
        <w:t>f</w:t>
      </w:r>
      <w:r w:rsidRPr="001D6D40">
        <w:rPr>
          <w:lang w:val="en-GB"/>
        </w:rPr>
        <w:t xml:space="preserve">or the </w:t>
      </w:r>
      <w:r w:rsidR="001D6D40" w:rsidRPr="001D6D40">
        <w:rPr>
          <w:lang w:val="en-GB"/>
        </w:rPr>
        <w:t>DCCD</w:t>
      </w:r>
      <w:r w:rsidR="001D6D40" w:rsidRPr="001D6D40">
        <w:rPr>
          <w:vertAlign w:val="superscript"/>
          <w:lang w:val="en-GB"/>
        </w:rPr>
        <w:t>TM</w:t>
      </w:r>
      <w:r w:rsidR="001D6D40" w:rsidRPr="001D6D40">
        <w:rPr>
          <w:lang w:val="en-GB"/>
        </w:rPr>
        <w:t xml:space="preserve"> one</w:t>
      </w:r>
      <w:r w:rsidRPr="001D6D40">
        <w:rPr>
          <w:lang w:val="en-GB"/>
        </w:rPr>
        <w:t>), at</w:t>
      </w:r>
      <w:r>
        <w:rPr>
          <w:lang w:val="en-GB"/>
        </w:rPr>
        <w:t xml:space="preserve"> a higher rate in the former case. The </w:t>
      </w:r>
      <w:r w:rsidR="00325E3E" w:rsidRPr="001D6D40">
        <w:rPr>
          <w:lang w:val="en-GB"/>
        </w:rPr>
        <w:t>DCCD</w:t>
      </w:r>
      <w:r w:rsidR="00325E3E" w:rsidRPr="001D6D40">
        <w:rPr>
          <w:vertAlign w:val="superscript"/>
          <w:lang w:val="en-GB"/>
        </w:rPr>
        <w:t>TM</w:t>
      </w:r>
      <w:r w:rsidR="00325E3E">
        <w:rPr>
          <w:lang w:val="en-GB"/>
        </w:rPr>
        <w:t xml:space="preserve"> </w:t>
      </w:r>
      <w:r>
        <w:rPr>
          <w:lang w:val="en-GB"/>
        </w:rPr>
        <w:t>technology applied to CO</w:t>
      </w:r>
      <w:r w:rsidRPr="0042023E">
        <w:rPr>
          <w:vertAlign w:val="subscript"/>
          <w:lang w:val="en-GB"/>
        </w:rPr>
        <w:t>2</w:t>
      </w:r>
      <w:r>
        <w:rPr>
          <w:lang w:val="en-GB"/>
        </w:rPr>
        <w:t xml:space="preserve"> removal down to levels suitable for LN</w:t>
      </w:r>
      <w:r w:rsidR="00B65609">
        <w:rPr>
          <w:lang w:val="en-GB"/>
        </w:rPr>
        <w:t>G</w:t>
      </w:r>
      <w:r>
        <w:rPr>
          <w:lang w:val="en-GB"/>
        </w:rPr>
        <w:t xml:space="preserve"> production result</w:t>
      </w:r>
      <w:r w:rsidR="00325E3E">
        <w:rPr>
          <w:lang w:val="en-GB"/>
        </w:rPr>
        <w:t>s</w:t>
      </w:r>
      <w:r>
        <w:rPr>
          <w:lang w:val="en-GB"/>
        </w:rPr>
        <w:t xml:space="preserve"> to be less energy-demand</w:t>
      </w:r>
      <w:r w:rsidR="00325E3E">
        <w:rPr>
          <w:lang w:val="en-GB"/>
        </w:rPr>
        <w:t>ing and to have a hig</w:t>
      </w:r>
      <w:r w:rsidR="00325E3E" w:rsidRPr="00E32F8A">
        <w:rPr>
          <w:lang w:val="en-GB"/>
        </w:rPr>
        <w:t xml:space="preserve">her </w:t>
      </w:r>
      <w:r w:rsidR="00E32F8A" w:rsidRPr="00E32F8A">
        <w:rPr>
          <w:lang w:val="en-GB"/>
        </w:rPr>
        <w:t>second-law</w:t>
      </w:r>
      <w:r w:rsidR="00325E3E" w:rsidRPr="00E32F8A">
        <w:rPr>
          <w:lang w:val="en-GB"/>
        </w:rPr>
        <w:t xml:space="preserve"> </w:t>
      </w:r>
      <w:r w:rsidRPr="00E32F8A">
        <w:rPr>
          <w:lang w:val="en-GB"/>
        </w:rPr>
        <w:t xml:space="preserve">efficiency </w:t>
      </w:r>
      <w:r w:rsidR="00325E3E" w:rsidRPr="00E32F8A">
        <w:rPr>
          <w:lang w:val="en-GB"/>
        </w:rPr>
        <w:t>(u</w:t>
      </w:r>
      <w:r w:rsidR="00325E3E">
        <w:rPr>
          <w:lang w:val="en-GB"/>
        </w:rPr>
        <w:t xml:space="preserve">p to 37%) </w:t>
      </w:r>
      <w:r>
        <w:rPr>
          <w:lang w:val="en-GB"/>
        </w:rPr>
        <w:t>in the whole investigated range of CO</w:t>
      </w:r>
      <w:r w:rsidRPr="0042023E">
        <w:rPr>
          <w:vertAlign w:val="subscript"/>
          <w:lang w:val="en-GB"/>
        </w:rPr>
        <w:t>2</w:t>
      </w:r>
      <w:r>
        <w:rPr>
          <w:lang w:val="en-GB"/>
        </w:rPr>
        <w:t xml:space="preserve"> concentrations. </w:t>
      </w:r>
      <w:r w:rsidR="00B65609">
        <w:rPr>
          <w:lang w:val="en-GB"/>
        </w:rPr>
        <w:t xml:space="preserve">On the contrary, this parameter has no influence on the downstream liquefaction process, which turns out to be less energy-demanding and more efficient when coupled with </w:t>
      </w:r>
      <w:r w:rsidR="0042023E">
        <w:rPr>
          <w:lang w:val="en-GB"/>
        </w:rPr>
        <w:t>the</w:t>
      </w:r>
      <w:r w:rsidR="00B65609">
        <w:rPr>
          <w:lang w:val="en-GB"/>
        </w:rPr>
        <w:t xml:space="preserve"> low-temperature AGR technolog</w:t>
      </w:r>
      <w:r w:rsidR="00B65609" w:rsidRPr="009C420C">
        <w:rPr>
          <w:lang w:val="en-GB"/>
        </w:rPr>
        <w:t>y. Thus, considering the overall results, it is possible to state that, using a low-temperature CO</w:t>
      </w:r>
      <w:r w:rsidR="00B65609" w:rsidRPr="009C420C">
        <w:rPr>
          <w:vertAlign w:val="subscript"/>
          <w:lang w:val="en-GB"/>
        </w:rPr>
        <w:t>2</w:t>
      </w:r>
      <w:r w:rsidR="00B65609" w:rsidRPr="009C420C">
        <w:rPr>
          <w:lang w:val="en-GB"/>
        </w:rPr>
        <w:t xml:space="preserve"> removal technology w</w:t>
      </w:r>
      <w:r w:rsidR="0042023E" w:rsidRPr="009C420C">
        <w:rPr>
          <w:lang w:val="en-GB"/>
        </w:rPr>
        <w:t>hen</w:t>
      </w:r>
      <w:r w:rsidR="00B65609" w:rsidRPr="009C420C">
        <w:rPr>
          <w:lang w:val="en-GB"/>
        </w:rPr>
        <w:t xml:space="preserve"> NG must be purified to obtain LNG </w:t>
      </w:r>
      <w:r w:rsidR="009C420C" w:rsidRPr="009C420C">
        <w:rPr>
          <w:lang w:val="en-GB"/>
        </w:rPr>
        <w:t xml:space="preserve">the breakeven point between it and the conventional MDEA absorption process lies below a </w:t>
      </w:r>
      <w:r w:rsidR="00B65609" w:rsidRPr="009C420C">
        <w:rPr>
          <w:lang w:val="en-GB"/>
        </w:rPr>
        <w:t>CO</w:t>
      </w:r>
      <w:r w:rsidR="00B65609" w:rsidRPr="009C420C">
        <w:rPr>
          <w:vertAlign w:val="subscript"/>
          <w:lang w:val="en-GB"/>
        </w:rPr>
        <w:t>2</w:t>
      </w:r>
      <w:r w:rsidR="00B65609" w:rsidRPr="009C420C">
        <w:rPr>
          <w:lang w:val="en-GB"/>
        </w:rPr>
        <w:t xml:space="preserve"> inlet concentrations </w:t>
      </w:r>
      <w:r w:rsidR="009C420C" w:rsidRPr="009C420C">
        <w:rPr>
          <w:lang w:val="en-GB"/>
        </w:rPr>
        <w:t xml:space="preserve">of 10 mol%, </w:t>
      </w:r>
      <w:r w:rsidR="00B65609" w:rsidRPr="009C420C">
        <w:rPr>
          <w:lang w:val="en-GB"/>
        </w:rPr>
        <w:t>reducing the energy consumptions related to the entire process, to a higher extent as the CO</w:t>
      </w:r>
      <w:r w:rsidR="00B65609" w:rsidRPr="009C420C">
        <w:rPr>
          <w:vertAlign w:val="subscript"/>
          <w:lang w:val="en-GB"/>
        </w:rPr>
        <w:t>2</w:t>
      </w:r>
      <w:r w:rsidR="00B65609" w:rsidRPr="009C420C">
        <w:rPr>
          <w:lang w:val="en-GB"/>
        </w:rPr>
        <w:t xml:space="preserve"> c</w:t>
      </w:r>
      <w:r w:rsidR="0042023E" w:rsidRPr="009C420C">
        <w:rPr>
          <w:lang w:val="en-GB"/>
        </w:rPr>
        <w:t>o</w:t>
      </w:r>
      <w:r w:rsidR="00B65609" w:rsidRPr="009C420C">
        <w:rPr>
          <w:lang w:val="en-GB"/>
        </w:rPr>
        <w:t>n</w:t>
      </w:r>
      <w:r w:rsidR="0042023E" w:rsidRPr="009C420C">
        <w:rPr>
          <w:lang w:val="en-GB"/>
        </w:rPr>
        <w:t>c</w:t>
      </w:r>
      <w:r w:rsidR="00B65609" w:rsidRPr="009C420C">
        <w:rPr>
          <w:lang w:val="en-GB"/>
        </w:rPr>
        <w:t>entration reaches very high values. This c</w:t>
      </w:r>
      <w:r w:rsidR="00B65609">
        <w:rPr>
          <w:lang w:val="en-GB"/>
        </w:rPr>
        <w:t>ertainly requires further studies, aimed at optimizing the liquefaction processes that are currently properly designed considering a feed stream at ambient or higher temperatures, so that they can treat a purified natural gas stream already available at low temperature.</w:t>
      </w:r>
    </w:p>
    <w:p w14:paraId="5A19A0A5" w14:textId="77777777" w:rsidR="00600535" w:rsidRPr="00B57B36" w:rsidRDefault="00600535" w:rsidP="00600535">
      <w:pPr>
        <w:pStyle w:val="CETReference"/>
      </w:pPr>
      <w:r w:rsidRPr="00B57B36">
        <w:t>References</w:t>
      </w:r>
    </w:p>
    <w:p w14:paraId="3C20CFB5" w14:textId="6E719256" w:rsidR="00CE131B" w:rsidRPr="00B2291D" w:rsidRDefault="000220B7" w:rsidP="00CE131B">
      <w:pPr>
        <w:pStyle w:val="CETReferencetext"/>
      </w:pPr>
      <w:r>
        <w:t>AspenTech, 2016,</w:t>
      </w:r>
      <w:r w:rsidR="00CE131B" w:rsidRPr="00B2291D">
        <w:t xml:space="preserve"> Aspen </w:t>
      </w:r>
      <w:r w:rsidR="00EC50F2">
        <w:t>Hysy</w:t>
      </w:r>
      <w:r w:rsidR="00CE131B" w:rsidRPr="00B2291D">
        <w:t>s</w:t>
      </w:r>
      <w:r w:rsidR="00CE131B" w:rsidRPr="00B2291D">
        <w:rPr>
          <w:vertAlign w:val="superscript"/>
        </w:rPr>
        <w:t>®</w:t>
      </w:r>
      <w:r w:rsidR="00CE131B" w:rsidRPr="00B2291D">
        <w:t>, Burlington, MA, United States.</w:t>
      </w:r>
    </w:p>
    <w:p w14:paraId="2434AED6" w14:textId="663226BE" w:rsidR="006B4888" w:rsidRPr="00B2291D" w:rsidRDefault="00B25470" w:rsidP="006B4888">
      <w:pPr>
        <w:pStyle w:val="CETReferencetext"/>
      </w:pPr>
      <w:r w:rsidRPr="00B2291D">
        <w:t>BP, 2018</w:t>
      </w:r>
      <w:r w:rsidR="000220B7">
        <w:t>,</w:t>
      </w:r>
      <w:r w:rsidR="00CE131B" w:rsidRPr="00B2291D">
        <w:t xml:space="preserve"> </w:t>
      </w:r>
      <w:r w:rsidR="000220B7">
        <w:t xml:space="preserve">BP Energy Outlook 2018 edition, </w:t>
      </w:r>
      <w:r w:rsidR="00CE131B" w:rsidRPr="00B2291D">
        <w:t>BP p</w:t>
      </w:r>
      <w:r w:rsidR="00A80852">
        <w:t>.</w:t>
      </w:r>
      <w:r w:rsidR="00CE131B" w:rsidRPr="00B2291D">
        <w:t>l</w:t>
      </w:r>
      <w:r w:rsidR="00A80852">
        <w:t>.</w:t>
      </w:r>
      <w:r w:rsidR="00CE131B" w:rsidRPr="00B2291D">
        <w:t>c</w:t>
      </w:r>
      <w:r w:rsidR="00A80852">
        <w:t>.</w:t>
      </w:r>
      <w:r w:rsidR="00CE131B" w:rsidRPr="00B2291D">
        <w:t>, London, UK.</w:t>
      </w:r>
    </w:p>
    <w:p w14:paraId="50E08CA5" w14:textId="60B93561" w:rsidR="00BF1985" w:rsidRPr="00B2291D" w:rsidRDefault="00CF41FF" w:rsidP="006B4888">
      <w:pPr>
        <w:pStyle w:val="CETReferencetext"/>
      </w:pPr>
      <w:r w:rsidRPr="00B2291D">
        <w:t xml:space="preserve">De </w:t>
      </w:r>
      <w:r w:rsidR="00BF1985" w:rsidRPr="00B2291D">
        <w:t>Guido G., Pellegrini L.</w:t>
      </w:r>
      <w:r w:rsidR="000220B7">
        <w:t>A., Besagni G., Inzoli F., 2017,</w:t>
      </w:r>
      <w:r w:rsidR="00BF1985" w:rsidRPr="00B2291D">
        <w:t xml:space="preserve"> Acid gas removal fr</w:t>
      </w:r>
      <w:r w:rsidR="000220B7">
        <w:t>om natural gas by water washing,</w:t>
      </w:r>
      <w:r w:rsidR="00BF1985" w:rsidRPr="00B2291D">
        <w:t> </w:t>
      </w:r>
      <w:r w:rsidR="00BF1985" w:rsidRPr="00B2291D">
        <w:rPr>
          <w:iCs/>
        </w:rPr>
        <w:t>Chemical Engineering Transactions</w:t>
      </w:r>
      <w:r w:rsidR="00BF1985" w:rsidRPr="00B2291D">
        <w:t>, </w:t>
      </w:r>
      <w:r w:rsidR="00BF1985" w:rsidRPr="00B2291D">
        <w:rPr>
          <w:iCs/>
        </w:rPr>
        <w:t>57</w:t>
      </w:r>
      <w:r w:rsidR="00BF1985" w:rsidRPr="00B2291D">
        <w:t>, 1129-1134.</w:t>
      </w:r>
    </w:p>
    <w:p w14:paraId="096EB54A" w14:textId="1072ED6D" w:rsidR="00CF41FF" w:rsidRPr="00B2291D" w:rsidRDefault="00CF41FF" w:rsidP="006B4888">
      <w:pPr>
        <w:pStyle w:val="CETReferencetext"/>
      </w:pPr>
      <w:r w:rsidRPr="00B2291D">
        <w:t>De Guido G., Fo</w:t>
      </w:r>
      <w:r w:rsidR="000220B7">
        <w:t>gli M.R., Pellegrini L.A., 2018,</w:t>
      </w:r>
      <w:r w:rsidRPr="00B2291D">
        <w:t xml:space="preserve"> Effect of heavy hydrocarbons on CO</w:t>
      </w:r>
      <w:r w:rsidRPr="00B2291D">
        <w:rPr>
          <w:vertAlign w:val="subscript"/>
        </w:rPr>
        <w:t>2</w:t>
      </w:r>
      <w:r w:rsidRPr="00B2291D">
        <w:t xml:space="preserve"> removal from natural gas </w:t>
      </w:r>
      <w:r w:rsidR="000220B7">
        <w:t>by low-temperature distillation,</w:t>
      </w:r>
      <w:r w:rsidRPr="00B2291D">
        <w:t> </w:t>
      </w:r>
      <w:r w:rsidRPr="00B2291D">
        <w:rPr>
          <w:iCs/>
        </w:rPr>
        <w:t xml:space="preserve">Industrial </w:t>
      </w:r>
      <w:r w:rsidR="00D075FC">
        <w:rPr>
          <w:iCs/>
        </w:rPr>
        <w:t>and</w:t>
      </w:r>
      <w:r w:rsidRPr="00B2291D">
        <w:rPr>
          <w:iCs/>
        </w:rPr>
        <w:t xml:space="preserve"> Engineering Chemistry Research</w:t>
      </w:r>
      <w:r w:rsidRPr="00B2291D">
        <w:t>, </w:t>
      </w:r>
      <w:r w:rsidRPr="00B2291D">
        <w:rPr>
          <w:iCs/>
        </w:rPr>
        <w:t>57</w:t>
      </w:r>
      <w:r w:rsidRPr="00B2291D">
        <w:t>, 7245-7256.</w:t>
      </w:r>
    </w:p>
    <w:p w14:paraId="10EA38B1" w14:textId="679026AB" w:rsidR="00B25470" w:rsidRPr="00B2291D" w:rsidRDefault="00B25470" w:rsidP="006B4888">
      <w:pPr>
        <w:pStyle w:val="CETReferencetext"/>
      </w:pPr>
      <w:r w:rsidRPr="00B2291D">
        <w:t>Dyment and Watana</w:t>
      </w:r>
      <w:r w:rsidR="00CE131B" w:rsidRPr="00B2291D">
        <w:t>s</w:t>
      </w:r>
      <w:r w:rsidRPr="00B2291D">
        <w:t>iri, 2015</w:t>
      </w:r>
      <w:r w:rsidR="00CE131B" w:rsidRPr="00B2291D">
        <w:t>. Acid Gas Cleaning using Amine Solvents: Validation with Experimental and Plant Data, AspenTech white paper</w:t>
      </w:r>
      <w:r w:rsidR="00AB2033">
        <w:t xml:space="preserve">, Aspen Technology Inc., </w:t>
      </w:r>
      <w:r w:rsidR="002B1470">
        <w:t xml:space="preserve">Bedford, </w:t>
      </w:r>
      <w:r w:rsidR="00AB2033">
        <w:t>MA, USA</w:t>
      </w:r>
      <w:r w:rsidR="00CE131B" w:rsidRPr="00B2291D">
        <w:t>.</w:t>
      </w:r>
    </w:p>
    <w:p w14:paraId="184705C5" w14:textId="2915A37C" w:rsidR="00B25470" w:rsidRPr="00B2291D" w:rsidRDefault="00B25470" w:rsidP="006B4888">
      <w:pPr>
        <w:pStyle w:val="CETReferencetext"/>
      </w:pPr>
      <w:r w:rsidRPr="00B2291D">
        <w:t>GPSA</w:t>
      </w:r>
      <w:r w:rsidR="00CE131B" w:rsidRPr="00B2291D">
        <w:t xml:space="preserve"> Engineering Data Book</w:t>
      </w:r>
      <w:r w:rsidRPr="00B2291D">
        <w:t>, 2004</w:t>
      </w:r>
      <w:r w:rsidR="000220B7">
        <w:t>,</w:t>
      </w:r>
      <w:r w:rsidR="00CE131B" w:rsidRPr="00B2291D">
        <w:t xml:space="preserve"> 12</w:t>
      </w:r>
      <w:r w:rsidR="00CE131B" w:rsidRPr="00B2291D">
        <w:rPr>
          <w:vertAlign w:val="superscript"/>
        </w:rPr>
        <w:t>th</w:t>
      </w:r>
      <w:r w:rsidR="00345CC6">
        <w:t xml:space="preserve"> ed., Tulsa, OK, USA</w:t>
      </w:r>
      <w:r w:rsidR="00CE131B" w:rsidRPr="00B2291D">
        <w:t>.</w:t>
      </w:r>
    </w:p>
    <w:p w14:paraId="0A69C365" w14:textId="3FABBDB5" w:rsidR="00853880" w:rsidRPr="00B2291D" w:rsidRDefault="00853880" w:rsidP="006B4888">
      <w:pPr>
        <w:pStyle w:val="CETReferencetext"/>
      </w:pPr>
      <w:r w:rsidRPr="000220B7">
        <w:t>Iannaccone T.</w:t>
      </w:r>
      <w:r w:rsidR="000220B7" w:rsidRPr="000220B7">
        <w:t>, Landucci G., Cozzani V., 2018,</w:t>
      </w:r>
      <w:r w:rsidRPr="000220B7">
        <w:t xml:space="preserve"> </w:t>
      </w:r>
      <w:r w:rsidRPr="00B2291D">
        <w:t>Inherent Safety Assessment of LNG Fuelled Ships and Bunkering Operation</w:t>
      </w:r>
      <w:r w:rsidR="000220B7">
        <w:t>s: a Consequence-based Approach,</w:t>
      </w:r>
      <w:r w:rsidRPr="00B2291D">
        <w:t> </w:t>
      </w:r>
      <w:r w:rsidRPr="00B2291D">
        <w:rPr>
          <w:iCs/>
        </w:rPr>
        <w:t>Chemical Engineering Transactions</w:t>
      </w:r>
      <w:r w:rsidRPr="00B2291D">
        <w:t>, </w:t>
      </w:r>
      <w:r w:rsidRPr="00B2291D">
        <w:rPr>
          <w:iCs/>
        </w:rPr>
        <w:t>67</w:t>
      </w:r>
      <w:r w:rsidRPr="00B2291D">
        <w:t>, 121-126.</w:t>
      </w:r>
    </w:p>
    <w:p w14:paraId="15389340" w14:textId="01651BFE" w:rsidR="00554F1A" w:rsidRPr="00B2291D" w:rsidRDefault="000220B7" w:rsidP="006B4888">
      <w:pPr>
        <w:pStyle w:val="CETReferencetext"/>
      </w:pPr>
      <w:r>
        <w:t>Kotas T.J., 1985,</w:t>
      </w:r>
      <w:r w:rsidR="00554F1A" w:rsidRPr="00B2291D">
        <w:t xml:space="preserve"> The Exergy m</w:t>
      </w:r>
      <w:r>
        <w:t>ethod of Thermal Plant Analysis,</w:t>
      </w:r>
      <w:r w:rsidR="00554F1A" w:rsidRPr="00B2291D">
        <w:t xml:space="preserve"> </w:t>
      </w:r>
      <w:r w:rsidR="00653C2F">
        <w:t xml:space="preserve">Butterworths, </w:t>
      </w:r>
      <w:r w:rsidR="00554F1A" w:rsidRPr="00B2291D">
        <w:t xml:space="preserve">Anchor Brendon Ltd, </w:t>
      </w:r>
      <w:r w:rsidR="00653C2F">
        <w:t xml:space="preserve">Tiptree, </w:t>
      </w:r>
      <w:r w:rsidR="00554F1A" w:rsidRPr="00B2291D">
        <w:t>Essex</w:t>
      </w:r>
      <w:r w:rsidR="00653C2F">
        <w:t>, UK</w:t>
      </w:r>
      <w:r w:rsidR="00554F1A" w:rsidRPr="00B2291D">
        <w:t>.</w:t>
      </w:r>
    </w:p>
    <w:p w14:paraId="6D02CDFF" w14:textId="081ABC45" w:rsidR="00B25470" w:rsidRPr="00B2291D" w:rsidRDefault="00B25470" w:rsidP="006B4888">
      <w:pPr>
        <w:pStyle w:val="CETReferencetext"/>
      </w:pPr>
      <w:r w:rsidRPr="00B2291D">
        <w:t xml:space="preserve">Lim </w:t>
      </w:r>
      <w:r w:rsidR="000220B7">
        <w:t>W., Choi K., Moon I., 2013,</w:t>
      </w:r>
      <w:r w:rsidR="00CE131B" w:rsidRPr="00B2291D">
        <w:t xml:space="preserve"> Current Status and Perspectives of Liquefied</w:t>
      </w:r>
      <w:r w:rsidR="000220B7">
        <w:t xml:space="preserve"> Natural Gas (LNG) Plant Design,</w:t>
      </w:r>
      <w:r w:rsidR="00CE131B" w:rsidRPr="00B2291D">
        <w:t xml:space="preserve"> Industrial and Engineering Chemistry Research, 52, 3065-3088.</w:t>
      </w:r>
    </w:p>
    <w:p w14:paraId="1292C20A" w14:textId="1FDA0A82" w:rsidR="00893310" w:rsidRPr="00B2291D" w:rsidRDefault="004D0619" w:rsidP="00893310">
      <w:pPr>
        <w:pStyle w:val="CETReferencetext"/>
      </w:pPr>
      <w:r w:rsidRPr="00B2291D">
        <w:t xml:space="preserve">Mazzoccoli M., De Guido G., Bosio B., </w:t>
      </w:r>
      <w:r w:rsidR="000220B7">
        <w:t>Arato E., Pellegrini L.A., 2013,</w:t>
      </w:r>
      <w:r w:rsidRPr="00B2291D">
        <w:t xml:space="preserve"> CO</w:t>
      </w:r>
      <w:r w:rsidRPr="00B2291D">
        <w:rPr>
          <w:vertAlign w:val="subscript"/>
        </w:rPr>
        <w:t>2</w:t>
      </w:r>
      <w:r w:rsidRPr="00B2291D">
        <w:t>-mixture properties for pipeline tr</w:t>
      </w:r>
      <w:r w:rsidR="000220B7">
        <w:t>ansportation in the CCS process,</w:t>
      </w:r>
      <w:r w:rsidRPr="00B2291D">
        <w:t> </w:t>
      </w:r>
      <w:r w:rsidRPr="00B2291D">
        <w:rPr>
          <w:iCs/>
        </w:rPr>
        <w:t>Chemical Engineering Transactions</w:t>
      </w:r>
      <w:r w:rsidRPr="00B2291D">
        <w:t>, </w:t>
      </w:r>
      <w:r w:rsidRPr="00B2291D">
        <w:rPr>
          <w:iCs/>
        </w:rPr>
        <w:t>32</w:t>
      </w:r>
      <w:r w:rsidRPr="00B2291D">
        <w:t>, 1861-1866.</w:t>
      </w:r>
    </w:p>
    <w:p w14:paraId="6152B20E" w14:textId="31C7434E" w:rsidR="00893310" w:rsidRPr="000220B7" w:rsidRDefault="000220B7" w:rsidP="006B4888">
      <w:pPr>
        <w:pStyle w:val="CETReferencetext"/>
      </w:pPr>
      <w:r>
        <w:t>Pellegrini, 2014,</w:t>
      </w:r>
      <w:r w:rsidR="00893310" w:rsidRPr="00B2291D">
        <w:t xml:space="preserve"> Process for the removal of CO</w:t>
      </w:r>
      <w:r w:rsidR="00893310" w:rsidRPr="00B2291D">
        <w:rPr>
          <w:vertAlign w:val="subscript"/>
        </w:rPr>
        <w:t>2</w:t>
      </w:r>
      <w:r>
        <w:t xml:space="preserve"> from acid gas,</w:t>
      </w:r>
      <w:r w:rsidR="00893310" w:rsidRPr="00B2291D">
        <w:t xml:space="preserve"> </w:t>
      </w:r>
      <w:r w:rsidR="00893310" w:rsidRPr="000220B7">
        <w:t>Patent WO 2014/054945 A2.</w:t>
      </w:r>
    </w:p>
    <w:p w14:paraId="6028DD33" w14:textId="0B621296" w:rsidR="00B25470" w:rsidRPr="00B2291D" w:rsidRDefault="00B25470" w:rsidP="006B4888">
      <w:pPr>
        <w:pStyle w:val="CETReferencetext"/>
      </w:pPr>
      <w:r w:rsidRPr="000220B7">
        <w:t>Pellegrini</w:t>
      </w:r>
      <w:r w:rsidR="00CE131B" w:rsidRPr="000220B7">
        <w:t xml:space="preserve"> L.A., Langè S., B</w:t>
      </w:r>
      <w:r w:rsidR="000220B7" w:rsidRPr="000220B7">
        <w:t>accanelli M., De Guido G., 2015,</w:t>
      </w:r>
      <w:r w:rsidR="00CE131B" w:rsidRPr="000220B7">
        <w:t xml:space="preserve"> </w:t>
      </w:r>
      <w:r w:rsidR="00CE131B" w:rsidRPr="00B2291D">
        <w:t>Techno-economic Analysis of LNG Production Using Cryogenic vs. Conventional Techniqu</w:t>
      </w:r>
      <w:r w:rsidR="000220B7">
        <w:t>es for Natural Gas Purification,</w:t>
      </w:r>
      <w:r w:rsidR="00CE131B" w:rsidRPr="00B2291D">
        <w:t xml:space="preserve"> 12</w:t>
      </w:r>
      <w:r w:rsidR="00CE131B" w:rsidRPr="00B2291D">
        <w:rPr>
          <w:vertAlign w:val="superscript"/>
        </w:rPr>
        <w:t>th</w:t>
      </w:r>
      <w:r w:rsidR="00CE131B" w:rsidRPr="00B2291D">
        <w:t xml:space="preserve"> Offshore Mediterranean Conference and Exhibition, </w:t>
      </w:r>
      <w:r w:rsidR="004E3CDD">
        <w:t xml:space="preserve">25-27 </w:t>
      </w:r>
      <w:r w:rsidR="00CE131B" w:rsidRPr="00B2291D">
        <w:t xml:space="preserve">March 2015, Ravenna, Italy. </w:t>
      </w:r>
    </w:p>
    <w:p w14:paraId="68136E1A" w14:textId="673B35A3" w:rsidR="00B2796D" w:rsidRPr="000220B7" w:rsidRDefault="00B2796D" w:rsidP="006B4888">
      <w:pPr>
        <w:pStyle w:val="CETReferencetext"/>
      </w:pPr>
      <w:r w:rsidRPr="00B2291D">
        <w:t>Pellegrini L.</w:t>
      </w:r>
      <w:r w:rsidR="000220B7">
        <w:t>A., De Guido G., Langé S., 2018,</w:t>
      </w:r>
      <w:r w:rsidRPr="00B2291D">
        <w:t xml:space="preserve"> Biogas to liquefied biomethane via cryogenic upgrading technologie</w:t>
      </w:r>
      <w:r w:rsidR="000220B7">
        <w:t>s,</w:t>
      </w:r>
      <w:r w:rsidRPr="00B2291D">
        <w:t> </w:t>
      </w:r>
      <w:r w:rsidRPr="000220B7">
        <w:rPr>
          <w:iCs/>
        </w:rPr>
        <w:t>Renewable Energy</w:t>
      </w:r>
      <w:r w:rsidRPr="000220B7">
        <w:t>, </w:t>
      </w:r>
      <w:r w:rsidRPr="000220B7">
        <w:rPr>
          <w:iCs/>
        </w:rPr>
        <w:t>124</w:t>
      </w:r>
      <w:r w:rsidRPr="000220B7">
        <w:t>, 75-83.</w:t>
      </w:r>
    </w:p>
    <w:p w14:paraId="7316BD5C" w14:textId="5A0C2B2C" w:rsidR="00C478E7" w:rsidRPr="00B2291D" w:rsidRDefault="00C478E7" w:rsidP="006B4888">
      <w:pPr>
        <w:pStyle w:val="CETReferencetext"/>
      </w:pPr>
      <w:r w:rsidRPr="000220B7">
        <w:t xml:space="preserve">Pellegrini L.A., </w:t>
      </w:r>
      <w:r w:rsidR="000220B7" w:rsidRPr="000220B7">
        <w:t>De Guido G., Valentina V., 2019,</w:t>
      </w:r>
      <w:r w:rsidRPr="000220B7">
        <w:t xml:space="preserve"> </w:t>
      </w:r>
      <w:r w:rsidRPr="00B2291D">
        <w:t>Energy and exergy analysis of acid gas removal proces</w:t>
      </w:r>
      <w:r w:rsidR="000220B7">
        <w:t>ses in the LNG production chain,</w:t>
      </w:r>
      <w:r w:rsidRPr="00B2291D">
        <w:t xml:space="preserve"> </w:t>
      </w:r>
      <w:r w:rsidRPr="00B2291D">
        <w:rPr>
          <w:iCs/>
        </w:rPr>
        <w:t>Journal of Natural Gas Science and Engineering</w:t>
      </w:r>
      <w:r w:rsidRPr="00B2291D">
        <w:t xml:space="preserve">, </w:t>
      </w:r>
      <w:r w:rsidRPr="00B2291D">
        <w:rPr>
          <w:iCs/>
        </w:rPr>
        <w:t>61</w:t>
      </w:r>
      <w:r w:rsidRPr="00B2291D">
        <w:t>, 303-319.</w:t>
      </w:r>
    </w:p>
    <w:p w14:paraId="0CE644E7" w14:textId="06E3ECD3" w:rsidR="009202C9" w:rsidRPr="00B2291D" w:rsidRDefault="000220B7" w:rsidP="006B4888">
      <w:pPr>
        <w:pStyle w:val="CETReferencetext"/>
      </w:pPr>
      <w:r>
        <w:t>Soave G., 1972,</w:t>
      </w:r>
      <w:r w:rsidR="009202C9" w:rsidRPr="00B2291D">
        <w:t xml:space="preserve"> Equilibrium constants from a modified </w:t>
      </w:r>
      <w:r>
        <w:t>Redlich-Kwong equation of state,</w:t>
      </w:r>
      <w:r w:rsidR="009202C9" w:rsidRPr="00B2291D">
        <w:t xml:space="preserve"> </w:t>
      </w:r>
      <w:r w:rsidR="009202C9" w:rsidRPr="00B2291D">
        <w:rPr>
          <w:iCs/>
        </w:rPr>
        <w:t>Chemical Engineering Science</w:t>
      </w:r>
      <w:r w:rsidR="009202C9" w:rsidRPr="00B2291D">
        <w:t xml:space="preserve">, </w:t>
      </w:r>
      <w:r w:rsidR="009202C9" w:rsidRPr="00B2291D">
        <w:rPr>
          <w:iCs/>
        </w:rPr>
        <w:t>27</w:t>
      </w:r>
      <w:r w:rsidR="009202C9" w:rsidRPr="00B2291D">
        <w:t>, 1197-1203.</w:t>
      </w:r>
    </w:p>
    <w:p w14:paraId="142419DE" w14:textId="29143080" w:rsidR="004628D2" w:rsidRPr="00CE131B" w:rsidRDefault="00B25470" w:rsidP="00C478E7">
      <w:pPr>
        <w:pStyle w:val="CETReferencetext"/>
      </w:pPr>
      <w:r w:rsidRPr="00B2291D">
        <w:t xml:space="preserve">Venkatarathnam </w:t>
      </w:r>
      <w:r w:rsidR="00CE131B" w:rsidRPr="00B2291D">
        <w:t xml:space="preserve">G., </w:t>
      </w:r>
      <w:r w:rsidRPr="00B2291D">
        <w:t>2008</w:t>
      </w:r>
      <w:r w:rsidR="000220B7">
        <w:t>,</w:t>
      </w:r>
      <w:r w:rsidR="00CE131B" w:rsidRPr="00B2291D">
        <w:t xml:space="preserve"> Cryogenic Mixed Refrigerant Processes. Springer</w:t>
      </w:r>
      <w:r w:rsidR="00AB2033">
        <w:t xml:space="preserve"> Science+Business Media, LLC, New York, NY, USA</w:t>
      </w:r>
      <w:r w:rsidR="00CE131B" w:rsidRPr="00B2291D">
        <w:t>.</w:t>
      </w:r>
    </w:p>
    <w:sectPr w:rsidR="004628D2" w:rsidRPr="00CE131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02C8" w14:textId="77777777" w:rsidR="00030452" w:rsidRDefault="00030452" w:rsidP="004F5E36">
      <w:r>
        <w:separator/>
      </w:r>
    </w:p>
  </w:endnote>
  <w:endnote w:type="continuationSeparator" w:id="0">
    <w:p w14:paraId="7705E362" w14:textId="77777777" w:rsidR="00030452" w:rsidRDefault="000304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DA1B4" w14:textId="77777777" w:rsidR="00030452" w:rsidRDefault="00030452" w:rsidP="004F5E36">
      <w:r>
        <w:separator/>
      </w:r>
    </w:p>
  </w:footnote>
  <w:footnote w:type="continuationSeparator" w:id="0">
    <w:p w14:paraId="2FBC3BC0" w14:textId="77777777" w:rsidR="00030452" w:rsidRDefault="0003045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5864C2"/>
    <w:multiLevelType w:val="hybridMultilevel"/>
    <w:tmpl w:val="85A80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605"/>
    <w:rsid w:val="000027C0"/>
    <w:rsid w:val="000052FB"/>
    <w:rsid w:val="00010F40"/>
    <w:rsid w:val="000117CB"/>
    <w:rsid w:val="000220B7"/>
    <w:rsid w:val="00022501"/>
    <w:rsid w:val="00030452"/>
    <w:rsid w:val="0003148D"/>
    <w:rsid w:val="00032C22"/>
    <w:rsid w:val="00037D6F"/>
    <w:rsid w:val="00047D7F"/>
    <w:rsid w:val="00051566"/>
    <w:rsid w:val="00062A9A"/>
    <w:rsid w:val="00065058"/>
    <w:rsid w:val="00086C39"/>
    <w:rsid w:val="000A03B2"/>
    <w:rsid w:val="000A3B79"/>
    <w:rsid w:val="000C20D9"/>
    <w:rsid w:val="000D34BE"/>
    <w:rsid w:val="000E102F"/>
    <w:rsid w:val="000E36F1"/>
    <w:rsid w:val="000E3A73"/>
    <w:rsid w:val="000E414A"/>
    <w:rsid w:val="000E5159"/>
    <w:rsid w:val="000F093C"/>
    <w:rsid w:val="000F16BD"/>
    <w:rsid w:val="000F787B"/>
    <w:rsid w:val="0012091F"/>
    <w:rsid w:val="00126BC2"/>
    <w:rsid w:val="001308B6"/>
    <w:rsid w:val="0013121F"/>
    <w:rsid w:val="00131FAB"/>
    <w:rsid w:val="00131FE6"/>
    <w:rsid w:val="0013263F"/>
    <w:rsid w:val="00134DE4"/>
    <w:rsid w:val="00136452"/>
    <w:rsid w:val="0014034D"/>
    <w:rsid w:val="00150E59"/>
    <w:rsid w:val="00152DE3"/>
    <w:rsid w:val="00162642"/>
    <w:rsid w:val="00164CF9"/>
    <w:rsid w:val="00184AD6"/>
    <w:rsid w:val="001B0349"/>
    <w:rsid w:val="001B65C1"/>
    <w:rsid w:val="001C684B"/>
    <w:rsid w:val="001D53FC"/>
    <w:rsid w:val="001D56B9"/>
    <w:rsid w:val="001D6D40"/>
    <w:rsid w:val="001E00E9"/>
    <w:rsid w:val="001E1E83"/>
    <w:rsid w:val="001F42A5"/>
    <w:rsid w:val="001F7B9D"/>
    <w:rsid w:val="00212489"/>
    <w:rsid w:val="00214B51"/>
    <w:rsid w:val="00215BA5"/>
    <w:rsid w:val="002224B4"/>
    <w:rsid w:val="00240EB3"/>
    <w:rsid w:val="002447EF"/>
    <w:rsid w:val="00251550"/>
    <w:rsid w:val="00252C1A"/>
    <w:rsid w:val="00263B05"/>
    <w:rsid w:val="0027221A"/>
    <w:rsid w:val="00275B61"/>
    <w:rsid w:val="00281836"/>
    <w:rsid w:val="0028261A"/>
    <w:rsid w:val="00282656"/>
    <w:rsid w:val="00285EDE"/>
    <w:rsid w:val="00296B83"/>
    <w:rsid w:val="002B0FEB"/>
    <w:rsid w:val="002B1470"/>
    <w:rsid w:val="002B35EE"/>
    <w:rsid w:val="002B3C10"/>
    <w:rsid w:val="002B78CE"/>
    <w:rsid w:val="002C2FB6"/>
    <w:rsid w:val="002D5BCD"/>
    <w:rsid w:val="002E773A"/>
    <w:rsid w:val="003009B7"/>
    <w:rsid w:val="00300E56"/>
    <w:rsid w:val="0030469C"/>
    <w:rsid w:val="003140A1"/>
    <w:rsid w:val="00321CA6"/>
    <w:rsid w:val="00322C8F"/>
    <w:rsid w:val="00325E3E"/>
    <w:rsid w:val="00331E18"/>
    <w:rsid w:val="00334C09"/>
    <w:rsid w:val="003365E3"/>
    <w:rsid w:val="00345CC6"/>
    <w:rsid w:val="00365184"/>
    <w:rsid w:val="003651EC"/>
    <w:rsid w:val="003723D4"/>
    <w:rsid w:val="00384CC8"/>
    <w:rsid w:val="003871FD"/>
    <w:rsid w:val="003A1E30"/>
    <w:rsid w:val="003A5E0D"/>
    <w:rsid w:val="003A7D1C"/>
    <w:rsid w:val="003B304B"/>
    <w:rsid w:val="003B3146"/>
    <w:rsid w:val="003B60F3"/>
    <w:rsid w:val="003B6811"/>
    <w:rsid w:val="003B729C"/>
    <w:rsid w:val="003F015E"/>
    <w:rsid w:val="00400414"/>
    <w:rsid w:val="00402A6B"/>
    <w:rsid w:val="004036B7"/>
    <w:rsid w:val="00412814"/>
    <w:rsid w:val="0041446B"/>
    <w:rsid w:val="0042023E"/>
    <w:rsid w:val="0044329C"/>
    <w:rsid w:val="004577FE"/>
    <w:rsid w:val="00457B9C"/>
    <w:rsid w:val="0046164A"/>
    <w:rsid w:val="004628D2"/>
    <w:rsid w:val="00462DCD"/>
    <w:rsid w:val="004648AD"/>
    <w:rsid w:val="004703A9"/>
    <w:rsid w:val="0047357B"/>
    <w:rsid w:val="004760DE"/>
    <w:rsid w:val="004A004E"/>
    <w:rsid w:val="004A24CF"/>
    <w:rsid w:val="004B6721"/>
    <w:rsid w:val="004C1E75"/>
    <w:rsid w:val="004C3D1D"/>
    <w:rsid w:val="004C7913"/>
    <w:rsid w:val="004D0619"/>
    <w:rsid w:val="004E3CDD"/>
    <w:rsid w:val="004E4DD6"/>
    <w:rsid w:val="004F5E36"/>
    <w:rsid w:val="00507B47"/>
    <w:rsid w:val="00507CC9"/>
    <w:rsid w:val="005119A5"/>
    <w:rsid w:val="0051542E"/>
    <w:rsid w:val="005278B7"/>
    <w:rsid w:val="00527A97"/>
    <w:rsid w:val="00532016"/>
    <w:rsid w:val="005346C8"/>
    <w:rsid w:val="00540F91"/>
    <w:rsid w:val="00543E7D"/>
    <w:rsid w:val="00546B05"/>
    <w:rsid w:val="00547550"/>
    <w:rsid w:val="00547A68"/>
    <w:rsid w:val="005531C9"/>
    <w:rsid w:val="00554F1A"/>
    <w:rsid w:val="00576A81"/>
    <w:rsid w:val="00583301"/>
    <w:rsid w:val="0058749C"/>
    <w:rsid w:val="005B2110"/>
    <w:rsid w:val="005B4C45"/>
    <w:rsid w:val="005B61E6"/>
    <w:rsid w:val="005C77E1"/>
    <w:rsid w:val="005D11E7"/>
    <w:rsid w:val="005D6A2F"/>
    <w:rsid w:val="005E1A82"/>
    <w:rsid w:val="005E2991"/>
    <w:rsid w:val="005E794C"/>
    <w:rsid w:val="005F0A28"/>
    <w:rsid w:val="005F0E5E"/>
    <w:rsid w:val="00600535"/>
    <w:rsid w:val="006022A1"/>
    <w:rsid w:val="00610CD6"/>
    <w:rsid w:val="00620DEE"/>
    <w:rsid w:val="00621F92"/>
    <w:rsid w:val="006234D8"/>
    <w:rsid w:val="00625639"/>
    <w:rsid w:val="00631B33"/>
    <w:rsid w:val="0063318C"/>
    <w:rsid w:val="0064184D"/>
    <w:rsid w:val="006422CC"/>
    <w:rsid w:val="00651382"/>
    <w:rsid w:val="00653C2F"/>
    <w:rsid w:val="00660E3E"/>
    <w:rsid w:val="00662E74"/>
    <w:rsid w:val="00680C23"/>
    <w:rsid w:val="00693766"/>
    <w:rsid w:val="006A25EC"/>
    <w:rsid w:val="006A3281"/>
    <w:rsid w:val="006B4888"/>
    <w:rsid w:val="006B4A15"/>
    <w:rsid w:val="006C2E45"/>
    <w:rsid w:val="006C359C"/>
    <w:rsid w:val="006C5579"/>
    <w:rsid w:val="006D5997"/>
    <w:rsid w:val="006E737D"/>
    <w:rsid w:val="0070195D"/>
    <w:rsid w:val="00720A24"/>
    <w:rsid w:val="00732386"/>
    <w:rsid w:val="007327DC"/>
    <w:rsid w:val="007447F3"/>
    <w:rsid w:val="0075122D"/>
    <w:rsid w:val="0075499F"/>
    <w:rsid w:val="007551D7"/>
    <w:rsid w:val="007661C8"/>
    <w:rsid w:val="0077098D"/>
    <w:rsid w:val="007931FA"/>
    <w:rsid w:val="007A3702"/>
    <w:rsid w:val="007A7BBA"/>
    <w:rsid w:val="007B0C50"/>
    <w:rsid w:val="007C1A43"/>
    <w:rsid w:val="007C2185"/>
    <w:rsid w:val="007C582E"/>
    <w:rsid w:val="007E1DC6"/>
    <w:rsid w:val="007F377E"/>
    <w:rsid w:val="007F48A6"/>
    <w:rsid w:val="00813288"/>
    <w:rsid w:val="008168FC"/>
    <w:rsid w:val="0082054E"/>
    <w:rsid w:val="00822562"/>
    <w:rsid w:val="00830996"/>
    <w:rsid w:val="008345F1"/>
    <w:rsid w:val="008435B8"/>
    <w:rsid w:val="00853880"/>
    <w:rsid w:val="00865B07"/>
    <w:rsid w:val="008667EA"/>
    <w:rsid w:val="0087637F"/>
    <w:rsid w:val="008904B9"/>
    <w:rsid w:val="00892AD5"/>
    <w:rsid w:val="00893310"/>
    <w:rsid w:val="008A1512"/>
    <w:rsid w:val="008B19EA"/>
    <w:rsid w:val="008C401F"/>
    <w:rsid w:val="008C78C1"/>
    <w:rsid w:val="008D32B9"/>
    <w:rsid w:val="008D433B"/>
    <w:rsid w:val="008E0582"/>
    <w:rsid w:val="008E566E"/>
    <w:rsid w:val="0090161A"/>
    <w:rsid w:val="00901EB6"/>
    <w:rsid w:val="00904C62"/>
    <w:rsid w:val="00907066"/>
    <w:rsid w:val="009202C9"/>
    <w:rsid w:val="00924DAC"/>
    <w:rsid w:val="00927058"/>
    <w:rsid w:val="00931510"/>
    <w:rsid w:val="00933B14"/>
    <w:rsid w:val="009450CE"/>
    <w:rsid w:val="00947179"/>
    <w:rsid w:val="0095164B"/>
    <w:rsid w:val="00952CEC"/>
    <w:rsid w:val="00952F40"/>
    <w:rsid w:val="00954090"/>
    <w:rsid w:val="009573E7"/>
    <w:rsid w:val="009635B9"/>
    <w:rsid w:val="00963E05"/>
    <w:rsid w:val="00967320"/>
    <w:rsid w:val="00967D54"/>
    <w:rsid w:val="00983D8B"/>
    <w:rsid w:val="00996483"/>
    <w:rsid w:val="00996F5A"/>
    <w:rsid w:val="009A0A3E"/>
    <w:rsid w:val="009B041A"/>
    <w:rsid w:val="009C420C"/>
    <w:rsid w:val="009C7C86"/>
    <w:rsid w:val="009D2FF7"/>
    <w:rsid w:val="009D725C"/>
    <w:rsid w:val="009E0814"/>
    <w:rsid w:val="009E6916"/>
    <w:rsid w:val="009E7884"/>
    <w:rsid w:val="009E788A"/>
    <w:rsid w:val="009F0E08"/>
    <w:rsid w:val="009F7279"/>
    <w:rsid w:val="00A03A1A"/>
    <w:rsid w:val="00A1378C"/>
    <w:rsid w:val="00A1763D"/>
    <w:rsid w:val="00A17CEC"/>
    <w:rsid w:val="00A27EF0"/>
    <w:rsid w:val="00A50B20"/>
    <w:rsid w:val="00A51390"/>
    <w:rsid w:val="00A57E03"/>
    <w:rsid w:val="00A60D13"/>
    <w:rsid w:val="00A72745"/>
    <w:rsid w:val="00A76EFC"/>
    <w:rsid w:val="00A77085"/>
    <w:rsid w:val="00A80601"/>
    <w:rsid w:val="00A80852"/>
    <w:rsid w:val="00A91010"/>
    <w:rsid w:val="00A97F29"/>
    <w:rsid w:val="00AA499C"/>
    <w:rsid w:val="00AA702E"/>
    <w:rsid w:val="00AB0964"/>
    <w:rsid w:val="00AB2033"/>
    <w:rsid w:val="00AB5011"/>
    <w:rsid w:val="00AC7368"/>
    <w:rsid w:val="00AD16B9"/>
    <w:rsid w:val="00AE377D"/>
    <w:rsid w:val="00B17FBD"/>
    <w:rsid w:val="00B2291D"/>
    <w:rsid w:val="00B25470"/>
    <w:rsid w:val="00B2796D"/>
    <w:rsid w:val="00B315A6"/>
    <w:rsid w:val="00B31813"/>
    <w:rsid w:val="00B33365"/>
    <w:rsid w:val="00B548F5"/>
    <w:rsid w:val="00B55050"/>
    <w:rsid w:val="00B57B36"/>
    <w:rsid w:val="00B65609"/>
    <w:rsid w:val="00B8686D"/>
    <w:rsid w:val="00B96B7D"/>
    <w:rsid w:val="00BC30C9"/>
    <w:rsid w:val="00BD5AD8"/>
    <w:rsid w:val="00BE3E58"/>
    <w:rsid w:val="00BF1985"/>
    <w:rsid w:val="00C01616"/>
    <w:rsid w:val="00C0162B"/>
    <w:rsid w:val="00C345B1"/>
    <w:rsid w:val="00C40142"/>
    <w:rsid w:val="00C43CC7"/>
    <w:rsid w:val="00C478E7"/>
    <w:rsid w:val="00C57182"/>
    <w:rsid w:val="00C57863"/>
    <w:rsid w:val="00C655FD"/>
    <w:rsid w:val="00C870A8"/>
    <w:rsid w:val="00C87EB7"/>
    <w:rsid w:val="00C94434"/>
    <w:rsid w:val="00CA0D75"/>
    <w:rsid w:val="00CA1C95"/>
    <w:rsid w:val="00CA231D"/>
    <w:rsid w:val="00CA5A9C"/>
    <w:rsid w:val="00CC5248"/>
    <w:rsid w:val="00CD3517"/>
    <w:rsid w:val="00CD5A00"/>
    <w:rsid w:val="00CD5FE2"/>
    <w:rsid w:val="00CE131B"/>
    <w:rsid w:val="00CE7C68"/>
    <w:rsid w:val="00CF41FF"/>
    <w:rsid w:val="00D02B4C"/>
    <w:rsid w:val="00D040C4"/>
    <w:rsid w:val="00D075FC"/>
    <w:rsid w:val="00D4124C"/>
    <w:rsid w:val="00D57C84"/>
    <w:rsid w:val="00D6057D"/>
    <w:rsid w:val="00D654CE"/>
    <w:rsid w:val="00D84576"/>
    <w:rsid w:val="00D857FD"/>
    <w:rsid w:val="00DA1399"/>
    <w:rsid w:val="00DA24C6"/>
    <w:rsid w:val="00DA4D7B"/>
    <w:rsid w:val="00DB297D"/>
    <w:rsid w:val="00DB7893"/>
    <w:rsid w:val="00DB7F30"/>
    <w:rsid w:val="00DE264A"/>
    <w:rsid w:val="00E02D18"/>
    <w:rsid w:val="00E041E7"/>
    <w:rsid w:val="00E23CA1"/>
    <w:rsid w:val="00E26995"/>
    <w:rsid w:val="00E32F8A"/>
    <w:rsid w:val="00E409A8"/>
    <w:rsid w:val="00E50C12"/>
    <w:rsid w:val="00E51460"/>
    <w:rsid w:val="00E65AEA"/>
    <w:rsid w:val="00E65B91"/>
    <w:rsid w:val="00E7209D"/>
    <w:rsid w:val="00E77223"/>
    <w:rsid w:val="00E8528B"/>
    <w:rsid w:val="00E85B94"/>
    <w:rsid w:val="00E85DA5"/>
    <w:rsid w:val="00E91E07"/>
    <w:rsid w:val="00E968A7"/>
    <w:rsid w:val="00E978D0"/>
    <w:rsid w:val="00EA4613"/>
    <w:rsid w:val="00EA70A3"/>
    <w:rsid w:val="00EA7F91"/>
    <w:rsid w:val="00EB1523"/>
    <w:rsid w:val="00EB2505"/>
    <w:rsid w:val="00EC0E49"/>
    <w:rsid w:val="00EC50F2"/>
    <w:rsid w:val="00ED3CD5"/>
    <w:rsid w:val="00EE0131"/>
    <w:rsid w:val="00F023B7"/>
    <w:rsid w:val="00F028A9"/>
    <w:rsid w:val="00F1490A"/>
    <w:rsid w:val="00F155B2"/>
    <w:rsid w:val="00F30C64"/>
    <w:rsid w:val="00F32CDB"/>
    <w:rsid w:val="00F50831"/>
    <w:rsid w:val="00F63A70"/>
    <w:rsid w:val="00F657EF"/>
    <w:rsid w:val="00FA21D0"/>
    <w:rsid w:val="00FA485E"/>
    <w:rsid w:val="00FA4EE9"/>
    <w:rsid w:val="00FA5F5F"/>
    <w:rsid w:val="00FB4F95"/>
    <w:rsid w:val="00FB569E"/>
    <w:rsid w:val="00FB730C"/>
    <w:rsid w:val="00FC2695"/>
    <w:rsid w:val="00FC3E03"/>
    <w:rsid w:val="00FC3FC1"/>
    <w:rsid w:val="00FE77FA"/>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D34E7"/>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9506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44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BB94-555D-4CCB-A07B-2E0FEBCA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6</Pages>
  <Words>3165</Words>
  <Characters>18047</Characters>
  <Application>Microsoft Office Word</Application>
  <DocSecurity>0</DocSecurity>
  <Lines>150</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Giorgia De Guido</cp:lastModifiedBy>
  <cp:revision>130</cp:revision>
  <cp:lastPrinted>2019-01-30T09:29:00Z</cp:lastPrinted>
  <dcterms:created xsi:type="dcterms:W3CDTF">2018-09-26T07:07:00Z</dcterms:created>
  <dcterms:modified xsi:type="dcterms:W3CDTF">2019-04-15T19:04:00Z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TWinEqns">
    <vt:bool>true</vt:bool>
  </property>
</Properties>
</file>