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46FC90C1" w14:textId="77777777">
        <w:trPr>
          <w:trHeight w:val="852"/>
          <w:jc w:val="center"/>
        </w:trPr>
        <w:tc>
          <w:tcPr>
            <w:tcW w:w="6946" w:type="dxa"/>
            <w:vMerge w:val="restart"/>
            <w:tcBorders>
              <w:right w:val="single" w:sz="4" w:space="0" w:color="auto"/>
            </w:tcBorders>
          </w:tcPr>
          <w:p w14:paraId="232AA715"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ru-RU" w:eastAsia="ru-RU"/>
              </w:rPr>
              <w:drawing>
                <wp:inline distT="0" distB="0" distL="0" distR="0" wp14:anchorId="2DC1FFD0" wp14:editId="067FA5A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6589317"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F0FB79D"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1903EF35" w14:textId="77777777" w:rsidR="000A03B2" w:rsidRPr="00B57B36" w:rsidRDefault="000A03B2" w:rsidP="00CD5FE2">
            <w:pPr>
              <w:jc w:val="right"/>
            </w:pPr>
            <w:r w:rsidRPr="00B57B36">
              <w:rPr>
                <w:noProof/>
                <w:lang w:val="ru-RU" w:eastAsia="ru-RU"/>
              </w:rPr>
              <w:drawing>
                <wp:inline distT="0" distB="0" distL="0" distR="0" wp14:anchorId="6A01EDDF" wp14:editId="670F82C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E896BE0" w14:textId="77777777">
        <w:trPr>
          <w:trHeight w:val="567"/>
          <w:jc w:val="center"/>
        </w:trPr>
        <w:tc>
          <w:tcPr>
            <w:tcW w:w="6946" w:type="dxa"/>
            <w:vMerge/>
            <w:tcBorders>
              <w:right w:val="single" w:sz="4" w:space="0" w:color="auto"/>
            </w:tcBorders>
          </w:tcPr>
          <w:p w14:paraId="624A276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1D6C52E"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7574DFA"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B57489D"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260EA982" w14:textId="77777777">
        <w:trPr>
          <w:trHeight w:val="68"/>
          <w:jc w:val="center"/>
        </w:trPr>
        <w:tc>
          <w:tcPr>
            <w:tcW w:w="8789" w:type="dxa"/>
            <w:gridSpan w:val="2"/>
          </w:tcPr>
          <w:p w14:paraId="08FC5D1A"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48C5110"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B8999C6" w14:textId="77777777" w:rsidR="00E978D0" w:rsidRPr="00B57B36" w:rsidRDefault="0092471F" w:rsidP="00E978D0">
      <w:pPr>
        <w:pStyle w:val="CETTitle"/>
      </w:pPr>
      <w:r w:rsidRPr="0092471F">
        <w:t xml:space="preserve">Microstructural features of ternary powder compacts </w:t>
      </w:r>
    </w:p>
    <w:p w14:paraId="08DD0797" w14:textId="77777777" w:rsidR="0092471F" w:rsidRDefault="0092471F" w:rsidP="0092471F">
      <w:pPr>
        <w:pStyle w:val="CETAuthors"/>
      </w:pPr>
      <w:r w:rsidRPr="0092471F">
        <w:t>Zhanibek Akhmetov</w:t>
      </w:r>
      <w:r w:rsidR="00600535" w:rsidRPr="00B57B36">
        <w:rPr>
          <w:vertAlign w:val="superscript"/>
        </w:rPr>
        <w:t>a</w:t>
      </w:r>
      <w:r w:rsidR="00600535" w:rsidRPr="00B57B36">
        <w:t xml:space="preserve">, </w:t>
      </w:r>
      <w:r w:rsidRPr="0092471F">
        <w:t>Aidana Boribayeva</w:t>
      </w:r>
      <w:r w:rsidRPr="00B57B36">
        <w:rPr>
          <w:vertAlign w:val="superscript"/>
        </w:rPr>
        <w:t>a</w:t>
      </w:r>
      <w:r w:rsidRPr="0092471F">
        <w:t>, Zhazira Be</w:t>
      </w:r>
      <w:r>
        <w:t>rkinova</w:t>
      </w:r>
      <w:r w:rsidRPr="00B57B36">
        <w:rPr>
          <w:vertAlign w:val="superscript"/>
        </w:rPr>
        <w:t>a</w:t>
      </w:r>
      <w:r>
        <w:rPr>
          <w:vertAlign w:val="superscript"/>
        </w:rPr>
        <w:t>,</w:t>
      </w:r>
      <w:r w:rsidRPr="0092471F">
        <w:rPr>
          <w:vertAlign w:val="superscript"/>
        </w:rPr>
        <w:t xml:space="preserve"> </w:t>
      </w:r>
      <w:r w:rsidRPr="00B57B36">
        <w:rPr>
          <w:vertAlign w:val="superscript"/>
        </w:rPr>
        <w:t>b</w:t>
      </w:r>
      <w:r>
        <w:t>, Assiya Yermukhambetova</w:t>
      </w:r>
      <w:r w:rsidRPr="00B57B36">
        <w:rPr>
          <w:vertAlign w:val="superscript"/>
        </w:rPr>
        <w:t>a</w:t>
      </w:r>
      <w:r w:rsidR="007F08FA">
        <w:rPr>
          <w:vertAlign w:val="superscript"/>
        </w:rPr>
        <w:t>,</w:t>
      </w:r>
      <w:r w:rsidR="007F08FA" w:rsidRPr="0092471F">
        <w:rPr>
          <w:vertAlign w:val="superscript"/>
        </w:rPr>
        <w:t xml:space="preserve"> </w:t>
      </w:r>
      <w:r w:rsidR="007F08FA" w:rsidRPr="00B57B36">
        <w:rPr>
          <w:vertAlign w:val="superscript"/>
        </w:rPr>
        <w:t>b</w:t>
      </w:r>
      <w:r>
        <w:t xml:space="preserve">, </w:t>
      </w:r>
      <w:r w:rsidRPr="0092471F">
        <w:t>Boris Golman</w:t>
      </w:r>
      <w:r w:rsidRPr="00B57B36">
        <w:rPr>
          <w:vertAlign w:val="superscript"/>
        </w:rPr>
        <w:t>a</w:t>
      </w:r>
      <w:r w:rsidRPr="00B57B36">
        <w:t>*</w:t>
      </w:r>
      <w:r>
        <w:t>.</w:t>
      </w:r>
    </w:p>
    <w:p w14:paraId="2278EA59" w14:textId="77777777" w:rsidR="00E978D0" w:rsidRDefault="00E978D0" w:rsidP="00565B53">
      <w:pPr>
        <w:pStyle w:val="CETAddress"/>
      </w:pPr>
      <w:r w:rsidRPr="00B57B36">
        <w:rPr>
          <w:vertAlign w:val="superscript"/>
        </w:rPr>
        <w:t>a</w:t>
      </w:r>
      <w:r w:rsidR="0092471F" w:rsidRPr="0092471F">
        <w:t>Department of Chemical and Materials Engineering, School of Engineering, Nazarbayev University, 53 Kabanbay Batyr Ave., Astana, 010000, Kazakhstan</w:t>
      </w:r>
      <w:r w:rsidRPr="00B57B36">
        <w:t xml:space="preserve"> </w:t>
      </w:r>
    </w:p>
    <w:p w14:paraId="13C31E8B" w14:textId="77777777" w:rsidR="0092471F" w:rsidRDefault="00AB2C19" w:rsidP="00565B53">
      <w:pPr>
        <w:pStyle w:val="CETAddress"/>
      </w:pPr>
      <w:r>
        <w:rPr>
          <w:vertAlign w:val="superscript"/>
        </w:rPr>
        <w:t>b</w:t>
      </w:r>
      <w:r w:rsidR="0092471F" w:rsidRPr="0092471F">
        <w:t>N</w:t>
      </w:r>
      <w:r w:rsidR="00DC63E8">
        <w:t>ational Laboratory Astana, N</w:t>
      </w:r>
      <w:r w:rsidR="0092471F" w:rsidRPr="0092471F">
        <w:t>azarbayev University, 53 Kabanbay Batyr Ave., Astana, 010000, Kazakhstan</w:t>
      </w:r>
      <w:r w:rsidR="0092471F" w:rsidRPr="00B57B36">
        <w:t xml:space="preserve"> </w:t>
      </w:r>
    </w:p>
    <w:p w14:paraId="3F77758A" w14:textId="77777777" w:rsidR="00DC63E8" w:rsidRDefault="00DC63E8" w:rsidP="00DC63E8">
      <w:pPr>
        <w:pStyle w:val="CETemail"/>
      </w:pPr>
      <w:r w:rsidRPr="00DC63E8">
        <w:t>*</w:t>
      </w:r>
      <w:r>
        <w:t xml:space="preserve"> </w:t>
      </w:r>
      <w:r w:rsidRPr="00DC63E8">
        <w:t xml:space="preserve">boris.golman@nu.edu.kz </w:t>
      </w:r>
      <w:r>
        <w:t xml:space="preserve"> </w:t>
      </w:r>
      <w:r w:rsidR="00AB5011">
        <w:t xml:space="preserve"> </w:t>
      </w:r>
    </w:p>
    <w:p w14:paraId="64E50E11" w14:textId="598812FD" w:rsidR="00203F81" w:rsidRPr="00B57B36" w:rsidRDefault="00C13141" w:rsidP="00203F81">
      <w:pPr>
        <w:pStyle w:val="CETBodytext"/>
        <w:rPr>
          <w:lang w:val="en-GB"/>
        </w:rPr>
      </w:pPr>
      <w:bookmarkStart w:id="0" w:name="_Hlk495475023"/>
      <w:r>
        <w:rPr>
          <w:lang w:val="en-GB"/>
        </w:rPr>
        <w:t>In this study t</w:t>
      </w:r>
      <w:r w:rsidR="00203F81" w:rsidRPr="00203F81">
        <w:rPr>
          <w:lang w:val="en-GB"/>
        </w:rPr>
        <w:t xml:space="preserve">he microstructure features of ternary powder compacts of different size ratios and various volume fractions are investigated. Particle compacts are generated by particle growth model using a </w:t>
      </w:r>
      <w:r w:rsidR="0015685C">
        <w:rPr>
          <w:lang w:val="en-GB"/>
        </w:rPr>
        <w:t>d</w:t>
      </w:r>
      <w:r w:rsidR="0015685C" w:rsidRPr="00203F81">
        <w:rPr>
          <w:lang w:val="en-GB"/>
        </w:rPr>
        <w:t xml:space="preserve">iscrete </w:t>
      </w:r>
      <w:r w:rsidR="0015685C">
        <w:rPr>
          <w:lang w:val="en-GB"/>
        </w:rPr>
        <w:t>e</w:t>
      </w:r>
      <w:r w:rsidR="00662B80">
        <w:rPr>
          <w:lang w:val="en-GB"/>
        </w:rPr>
        <w:t>l</w:t>
      </w:r>
      <w:r w:rsidR="0015685C" w:rsidRPr="00203F81">
        <w:rPr>
          <w:lang w:val="en-GB"/>
        </w:rPr>
        <w:t xml:space="preserve">ement </w:t>
      </w:r>
      <w:r w:rsidR="0015685C">
        <w:rPr>
          <w:lang w:val="en-GB"/>
        </w:rPr>
        <w:t>m</w:t>
      </w:r>
      <w:r w:rsidR="0015685C" w:rsidRPr="00203F81">
        <w:rPr>
          <w:lang w:val="en-GB"/>
        </w:rPr>
        <w:t xml:space="preserve">ethod </w:t>
      </w:r>
      <w:r w:rsidR="00203F81" w:rsidRPr="00203F81">
        <w:rPr>
          <w:lang w:val="en-GB"/>
        </w:rPr>
        <w:t>approach. The particles of three different sizes are placed randomly without overlap in a 3D box at given volume fractions. Then, the particle sizes increase to reach the desired</w:t>
      </w:r>
      <w:r w:rsidR="00662B80">
        <w:rPr>
          <w:lang w:val="en-GB"/>
        </w:rPr>
        <w:t xml:space="preserve"> particle size</w:t>
      </w:r>
      <w:r w:rsidR="007B5A49">
        <w:rPr>
          <w:lang w:val="en-GB"/>
        </w:rPr>
        <w:t xml:space="preserve">. </w:t>
      </w:r>
      <w:r w:rsidR="00203F81" w:rsidRPr="00203F81">
        <w:rPr>
          <w:lang w:val="en-GB"/>
        </w:rPr>
        <w:t xml:space="preserve">The microstructural properties of powder compacts are </w:t>
      </w:r>
      <w:r w:rsidR="0015685C" w:rsidRPr="00203F81">
        <w:rPr>
          <w:lang w:val="en-GB"/>
        </w:rPr>
        <w:t>analysed</w:t>
      </w:r>
      <w:r w:rsidR="00203F81" w:rsidRPr="00203F81">
        <w:rPr>
          <w:lang w:val="en-GB"/>
        </w:rPr>
        <w:t xml:space="preserve"> using</w:t>
      </w:r>
      <w:r w:rsidR="00203F81">
        <w:rPr>
          <w:lang w:val="en-GB"/>
        </w:rPr>
        <w:t xml:space="preserve"> a radical Voronoi tessellation. </w:t>
      </w:r>
      <w:r w:rsidR="00203F81" w:rsidRPr="00203F81">
        <w:rPr>
          <w:lang w:val="en-GB"/>
        </w:rPr>
        <w:t>The obtained results confirm that microstructural characteristics of powder compacts are influenced by size ratios and volume fractions of large, medium and small components of the ternary mixture.</w:t>
      </w:r>
    </w:p>
    <w:bookmarkEnd w:id="0"/>
    <w:p w14:paraId="42598156" w14:textId="77777777" w:rsidR="00600535" w:rsidRPr="00B57B36" w:rsidRDefault="00600535" w:rsidP="007B5A49">
      <w:pPr>
        <w:pStyle w:val="CETHeading1"/>
        <w:ind w:hanging="8730"/>
        <w:rPr>
          <w:lang w:val="en-GB"/>
        </w:rPr>
      </w:pPr>
      <w:r w:rsidRPr="00B57B36">
        <w:rPr>
          <w:lang w:val="en-GB"/>
        </w:rPr>
        <w:t>Introduction</w:t>
      </w:r>
    </w:p>
    <w:p w14:paraId="7EC38DF0" w14:textId="7EF4187C" w:rsidR="00C13141" w:rsidRDefault="00C13141" w:rsidP="00600535">
      <w:pPr>
        <w:pStyle w:val="CETBodytext"/>
        <w:rPr>
          <w:lang w:val="en-GB"/>
        </w:rPr>
      </w:pPr>
      <w:r w:rsidRPr="00C13141">
        <w:rPr>
          <w:lang w:val="en-GB"/>
        </w:rPr>
        <w:t>Microstructural characterization of materials plays a large role</w:t>
      </w:r>
      <w:r w:rsidR="00662B80">
        <w:rPr>
          <w:lang w:val="en-GB"/>
        </w:rPr>
        <w:t xml:space="preserve"> in</w:t>
      </w:r>
      <w:r w:rsidRPr="00C13141">
        <w:rPr>
          <w:lang w:val="en-GB"/>
        </w:rPr>
        <w:t xml:space="preserve"> solving different existing issues in materials research, physics and chemistry of solid states etc</w:t>
      </w:r>
      <w:proofErr w:type="gramStart"/>
      <w:r w:rsidRPr="00C13141">
        <w:rPr>
          <w:lang w:val="en-GB"/>
        </w:rPr>
        <w:t>..</w:t>
      </w:r>
      <w:proofErr w:type="gramEnd"/>
      <w:r w:rsidRPr="00C13141">
        <w:rPr>
          <w:lang w:val="en-GB"/>
        </w:rPr>
        <w:t xml:space="preserve"> In particular, </w:t>
      </w:r>
      <w:r w:rsidRPr="00575251">
        <w:rPr>
          <w:lang w:val="en-GB"/>
        </w:rPr>
        <w:t>rechargeable lithium (Li)-ion batteries technology is found in numerous applications and is the leading contender for transportation applications. In these applications, high-power performance and low-cost solutions are required</w:t>
      </w:r>
      <w:r w:rsidR="00565B53" w:rsidRPr="00575251">
        <w:rPr>
          <w:lang w:val="en-GB"/>
        </w:rPr>
        <w:t xml:space="preserve"> (Bruce et al. 2012, Chu et al. 2012)</w:t>
      </w:r>
      <w:r w:rsidRPr="00575251">
        <w:rPr>
          <w:lang w:val="en-GB"/>
        </w:rPr>
        <w:t>. Thus, to increase the energy density using the state-of-the-art lithium battery technologies the ratio of active material over the total battery weight is raised by making the electrode thicker or denser</w:t>
      </w:r>
      <w:r w:rsidR="00565B53" w:rsidRPr="00575251">
        <w:rPr>
          <w:lang w:val="en-GB"/>
        </w:rPr>
        <w:t xml:space="preserve"> (</w:t>
      </w:r>
      <w:proofErr w:type="spellStart"/>
      <w:r w:rsidR="00575251" w:rsidRPr="00575251">
        <w:rPr>
          <w:lang w:val="en-GB"/>
        </w:rPr>
        <w:t>Malifrage</w:t>
      </w:r>
      <w:proofErr w:type="spellEnd"/>
      <w:r w:rsidR="00575251" w:rsidRPr="00575251">
        <w:rPr>
          <w:lang w:val="en-GB"/>
        </w:rPr>
        <w:t xml:space="preserve"> et al. 2018</w:t>
      </w:r>
      <w:r w:rsidR="00565B53" w:rsidRPr="00575251">
        <w:rPr>
          <w:lang w:val="en-GB"/>
        </w:rPr>
        <w:t>)</w:t>
      </w:r>
      <w:r w:rsidRPr="00575251">
        <w:rPr>
          <w:lang w:val="en-GB"/>
        </w:rPr>
        <w:t>. However, by packing more material in thick electrodes, the effect of the porous electrode morphology on</w:t>
      </w:r>
      <w:r w:rsidR="00C777BB">
        <w:rPr>
          <w:lang w:val="en-GB"/>
        </w:rPr>
        <w:t xml:space="preserve"> energy</w:t>
      </w:r>
      <w:r w:rsidRPr="00575251">
        <w:rPr>
          <w:lang w:val="en-GB"/>
        </w:rPr>
        <w:t xml:space="preserve"> power</w:t>
      </w:r>
      <w:r w:rsidR="00C777BB">
        <w:rPr>
          <w:lang w:val="en-GB"/>
        </w:rPr>
        <w:t xml:space="preserve"> becomes more pronounced</w:t>
      </w:r>
      <w:r w:rsidRPr="00575251">
        <w:rPr>
          <w:lang w:val="en-GB"/>
        </w:rPr>
        <w:t>, as it gives rise to the lithium-ion diffusion limitations across the electrode and, thus, may reduce the battery lifetime. In order to be able to model the electrode microstructure</w:t>
      </w:r>
      <w:r w:rsidRPr="00C13141">
        <w:rPr>
          <w:lang w:val="en-GB"/>
        </w:rPr>
        <w:t xml:space="preserve"> accurately, it is necessary to acknowledge the particulate nature of such structures.</w:t>
      </w:r>
      <w:r>
        <w:rPr>
          <w:lang w:val="en-GB"/>
        </w:rPr>
        <w:t xml:space="preserve"> </w:t>
      </w:r>
    </w:p>
    <w:p w14:paraId="2F293E41" w14:textId="4A88ECBF" w:rsidR="00235FEC" w:rsidRDefault="00C13141" w:rsidP="00600535">
      <w:pPr>
        <w:pStyle w:val="CETBodytext"/>
        <w:rPr>
          <w:lang w:val="en-GB"/>
        </w:rPr>
      </w:pPr>
      <w:r>
        <w:rPr>
          <w:lang w:val="en-GB"/>
        </w:rPr>
        <w:t xml:space="preserve">An important element in the understanding of particulate nature </w:t>
      </w:r>
      <w:r w:rsidR="00C777BB">
        <w:rPr>
          <w:lang w:val="en-GB"/>
        </w:rPr>
        <w:t xml:space="preserve">of electrode </w:t>
      </w:r>
      <w:r>
        <w:rPr>
          <w:lang w:val="en-GB"/>
        </w:rPr>
        <w:t xml:space="preserve">is the description of local arrangement of the </w:t>
      </w:r>
      <w:r w:rsidR="00C777BB">
        <w:rPr>
          <w:lang w:val="en-GB"/>
        </w:rPr>
        <w:t>particle</w:t>
      </w:r>
      <w:r>
        <w:rPr>
          <w:lang w:val="en-GB"/>
        </w:rPr>
        <w:t xml:space="preserve">s and </w:t>
      </w:r>
      <w:r w:rsidR="00C777BB">
        <w:rPr>
          <w:lang w:val="en-GB"/>
        </w:rPr>
        <w:t>their interactions</w:t>
      </w:r>
      <w:r>
        <w:rPr>
          <w:lang w:val="en-GB"/>
        </w:rPr>
        <w:t xml:space="preserve">. </w:t>
      </w:r>
      <w:r w:rsidR="00751ACC">
        <w:rPr>
          <w:lang w:val="en-GB"/>
        </w:rPr>
        <w:t xml:space="preserve">This element </w:t>
      </w:r>
      <w:r>
        <w:rPr>
          <w:lang w:val="en-GB"/>
        </w:rPr>
        <w:t>can be descri</w:t>
      </w:r>
      <w:r w:rsidR="00751ACC">
        <w:rPr>
          <w:lang w:val="en-GB"/>
        </w:rPr>
        <w:t>b</w:t>
      </w:r>
      <w:r>
        <w:rPr>
          <w:lang w:val="en-GB"/>
        </w:rPr>
        <w:t xml:space="preserve">ed through the statistical properties of </w:t>
      </w:r>
      <w:proofErr w:type="spellStart"/>
      <w:r w:rsidR="007B5A49">
        <w:rPr>
          <w:lang w:val="en-GB"/>
        </w:rPr>
        <w:t>V</w:t>
      </w:r>
      <w:r>
        <w:rPr>
          <w:lang w:val="en-GB"/>
        </w:rPr>
        <w:t>oronoi</w:t>
      </w:r>
      <w:proofErr w:type="spellEnd"/>
      <w:r>
        <w:rPr>
          <w:lang w:val="en-GB"/>
        </w:rPr>
        <w:t xml:space="preserve"> cell</w:t>
      </w:r>
      <w:r w:rsidR="00751ACC">
        <w:rPr>
          <w:lang w:val="en-GB"/>
        </w:rPr>
        <w:t>s related to each particle</w:t>
      </w:r>
      <w:r>
        <w:rPr>
          <w:lang w:val="en-GB"/>
        </w:rPr>
        <w:t>.</w:t>
      </w:r>
      <w:r w:rsidR="00235FEC">
        <w:rPr>
          <w:lang w:val="en-GB"/>
        </w:rPr>
        <w:t xml:space="preserve"> The tessellation approach based on Voronoi diagrams proved to be a powerful method to model and investigate particle packings in different applications</w:t>
      </w:r>
      <w:r w:rsidR="00575251">
        <w:rPr>
          <w:lang w:val="en-GB"/>
        </w:rPr>
        <w:t xml:space="preserve"> (</w:t>
      </w:r>
      <w:r w:rsidR="00575251">
        <w:t>Rycroft, 2009</w:t>
      </w:r>
      <w:r w:rsidR="00575251">
        <w:rPr>
          <w:lang w:val="en-GB"/>
        </w:rPr>
        <w:t>).</w:t>
      </w:r>
      <w:r w:rsidR="00565B53">
        <w:rPr>
          <w:lang w:val="en-GB"/>
        </w:rPr>
        <w:t xml:space="preserve"> </w:t>
      </w:r>
    </w:p>
    <w:p w14:paraId="5C460613" w14:textId="19DE9976" w:rsidR="00235FEC" w:rsidRDefault="00C13141" w:rsidP="00600535">
      <w:pPr>
        <w:pStyle w:val="CETBodytext"/>
        <w:rPr>
          <w:lang w:val="en-GB"/>
        </w:rPr>
      </w:pPr>
      <w:r>
        <w:rPr>
          <w:lang w:val="en-GB"/>
        </w:rPr>
        <w:t xml:space="preserve">In </w:t>
      </w:r>
      <w:r w:rsidRPr="00DF2A86">
        <w:rPr>
          <w:lang w:val="en-GB"/>
        </w:rPr>
        <w:t>Y</w:t>
      </w:r>
      <w:r w:rsidR="00235FEC" w:rsidRPr="00DF2A86">
        <w:rPr>
          <w:lang w:val="en-GB"/>
        </w:rPr>
        <w:t>i</w:t>
      </w:r>
      <w:r w:rsidRPr="00DF2A86">
        <w:rPr>
          <w:lang w:val="en-GB"/>
        </w:rPr>
        <w:t xml:space="preserve"> et al.,</w:t>
      </w:r>
      <w:r w:rsidRPr="00EF780C">
        <w:rPr>
          <w:lang w:val="en-GB"/>
        </w:rPr>
        <w:t xml:space="preserve"> 2012 </w:t>
      </w:r>
      <w:r w:rsidR="00C1029A">
        <w:rPr>
          <w:lang w:val="en-GB"/>
        </w:rPr>
        <w:t xml:space="preserve">the </w:t>
      </w:r>
      <w:r>
        <w:rPr>
          <w:lang w:val="en-GB"/>
        </w:rPr>
        <w:t xml:space="preserve">radical tessellation of ternary mixture was employed to study the packing structure, </w:t>
      </w:r>
      <w:r w:rsidR="00C1029A">
        <w:rPr>
          <w:lang w:val="en-GB"/>
        </w:rPr>
        <w:t xml:space="preserve">and </w:t>
      </w:r>
      <w:r>
        <w:rPr>
          <w:lang w:val="en-GB"/>
        </w:rPr>
        <w:t>it was shown that t</w:t>
      </w:r>
      <w:r w:rsidRPr="00C13141">
        <w:rPr>
          <w:lang w:val="en-GB"/>
        </w:rPr>
        <w:t xml:space="preserve">he </w:t>
      </w:r>
      <w:r w:rsidR="00DB421B">
        <w:rPr>
          <w:lang w:val="en-GB"/>
        </w:rPr>
        <w:t xml:space="preserve">packing </w:t>
      </w:r>
      <w:proofErr w:type="gramStart"/>
      <w:r w:rsidRPr="00C13141">
        <w:rPr>
          <w:lang w:val="en-GB"/>
        </w:rPr>
        <w:t xml:space="preserve">properties  </w:t>
      </w:r>
      <w:r>
        <w:rPr>
          <w:lang w:val="en-GB"/>
        </w:rPr>
        <w:t>are</w:t>
      </w:r>
      <w:proofErr w:type="gramEnd"/>
      <w:r w:rsidRPr="00C13141">
        <w:rPr>
          <w:lang w:val="en-GB"/>
        </w:rPr>
        <w:t xml:space="preserve"> strongly dependent on the volume fractions</w:t>
      </w:r>
      <w:r w:rsidR="00C1029A">
        <w:rPr>
          <w:lang w:val="en-GB"/>
        </w:rPr>
        <w:t xml:space="preserve"> </w:t>
      </w:r>
      <w:r w:rsidR="00C1029A" w:rsidRPr="00C13141">
        <w:rPr>
          <w:lang w:val="en-GB"/>
        </w:rPr>
        <w:t>of each component of a mixture</w:t>
      </w:r>
      <w:r w:rsidRPr="00C13141">
        <w:rPr>
          <w:lang w:val="en-GB"/>
        </w:rPr>
        <w:t xml:space="preserve">. </w:t>
      </w:r>
    </w:p>
    <w:p w14:paraId="0563E52B" w14:textId="4DABB1A7" w:rsidR="00600535" w:rsidRDefault="00235FEC" w:rsidP="00600535">
      <w:pPr>
        <w:pStyle w:val="CETBodytext"/>
        <w:rPr>
          <w:lang w:val="en-GB"/>
        </w:rPr>
      </w:pPr>
      <w:proofErr w:type="spellStart"/>
      <w:r w:rsidRPr="00235FEC">
        <w:rPr>
          <w:lang w:val="en-GB"/>
        </w:rPr>
        <w:t>Randrianalisoa</w:t>
      </w:r>
      <w:proofErr w:type="spellEnd"/>
      <w:r w:rsidRPr="00235FEC">
        <w:rPr>
          <w:lang w:val="en-GB"/>
        </w:rPr>
        <w:t xml:space="preserve"> and </w:t>
      </w:r>
      <w:proofErr w:type="spellStart"/>
      <w:r w:rsidRPr="00235FEC">
        <w:rPr>
          <w:lang w:val="en-GB"/>
        </w:rPr>
        <w:t>Baillis</w:t>
      </w:r>
      <w:proofErr w:type="spellEnd"/>
      <w:r w:rsidRPr="00235FEC">
        <w:rPr>
          <w:lang w:val="en-GB"/>
        </w:rPr>
        <w:t xml:space="preserve"> (2014)</w:t>
      </w:r>
      <w:r>
        <w:rPr>
          <w:lang w:val="en-GB"/>
        </w:rPr>
        <w:t xml:space="preserve"> applied </w:t>
      </w:r>
      <w:r w:rsidR="00C1029A">
        <w:rPr>
          <w:lang w:val="en-GB"/>
        </w:rPr>
        <w:t xml:space="preserve">the </w:t>
      </w:r>
      <w:proofErr w:type="spellStart"/>
      <w:r>
        <w:rPr>
          <w:lang w:val="en-GB"/>
        </w:rPr>
        <w:t>Voronoi</w:t>
      </w:r>
      <w:proofErr w:type="spellEnd"/>
      <w:r>
        <w:rPr>
          <w:lang w:val="en-GB"/>
        </w:rPr>
        <w:t xml:space="preserve"> </w:t>
      </w:r>
      <w:proofErr w:type="spellStart"/>
      <w:r>
        <w:rPr>
          <w:lang w:val="en-GB"/>
        </w:rPr>
        <w:t>tesselation</w:t>
      </w:r>
      <w:proofErr w:type="spellEnd"/>
      <w:r>
        <w:rPr>
          <w:lang w:val="en-GB"/>
        </w:rPr>
        <w:t xml:space="preserve"> method </w:t>
      </w:r>
      <w:r w:rsidR="00C1029A">
        <w:rPr>
          <w:lang w:val="en-GB"/>
        </w:rPr>
        <w:t>to</w:t>
      </w:r>
      <w:r>
        <w:rPr>
          <w:lang w:val="en-GB"/>
        </w:rPr>
        <w:t xml:space="preserve"> dense packing of spheres to get the topological information needed to feed analytical thermal models. </w:t>
      </w:r>
      <w:r w:rsidR="00C13141" w:rsidRPr="00C13141">
        <w:rPr>
          <w:lang w:val="en-GB"/>
        </w:rPr>
        <w:t xml:space="preserve">The authors </w:t>
      </w:r>
      <w:r>
        <w:rPr>
          <w:lang w:val="en-GB"/>
        </w:rPr>
        <w:t>generate</w:t>
      </w:r>
      <w:r w:rsidR="002D0D0D">
        <w:rPr>
          <w:lang w:val="en-GB"/>
        </w:rPr>
        <w:t>d the packing structures by appl</w:t>
      </w:r>
      <w:r>
        <w:rPr>
          <w:lang w:val="en-GB"/>
        </w:rPr>
        <w:t>ying</w:t>
      </w:r>
      <w:r w:rsidR="002D0D0D">
        <w:rPr>
          <w:lang w:val="en-GB"/>
        </w:rPr>
        <w:t xml:space="preserve"> </w:t>
      </w:r>
      <w:r w:rsidR="001268D3">
        <w:rPr>
          <w:lang w:val="en-GB"/>
        </w:rPr>
        <w:t xml:space="preserve">the </w:t>
      </w:r>
      <w:r w:rsidR="002D0D0D">
        <w:rPr>
          <w:lang w:val="en-GB"/>
        </w:rPr>
        <w:t xml:space="preserve">Discrete Element Method </w:t>
      </w:r>
      <w:r w:rsidR="001268D3">
        <w:rPr>
          <w:lang w:val="en-GB"/>
        </w:rPr>
        <w:t xml:space="preserve">(DEM) </w:t>
      </w:r>
      <w:r w:rsidR="002D0D0D">
        <w:rPr>
          <w:lang w:val="en-GB"/>
        </w:rPr>
        <w:t>under artificial gravity. They</w:t>
      </w:r>
      <w:r>
        <w:rPr>
          <w:lang w:val="en-GB"/>
        </w:rPr>
        <w:t xml:space="preserve"> </w:t>
      </w:r>
      <w:r w:rsidR="00C13141" w:rsidRPr="00C13141">
        <w:rPr>
          <w:lang w:val="en-GB"/>
        </w:rPr>
        <w:t xml:space="preserve">concluded that the radical tessellation can be successfully used to model different properties of multi-sized packings and </w:t>
      </w:r>
      <w:r w:rsidR="00DF2A86">
        <w:rPr>
          <w:lang w:val="en-GB"/>
        </w:rPr>
        <w:t xml:space="preserve">assist in </w:t>
      </w:r>
      <w:r w:rsidR="00C13141" w:rsidRPr="00C13141">
        <w:rPr>
          <w:lang w:val="en-GB"/>
        </w:rPr>
        <w:t>the development of a predictive method to describe the effect of the particle size distribution on the structural properties of the packing of particles.</w:t>
      </w:r>
      <w:r w:rsidR="00600535" w:rsidRPr="00FA5F5F">
        <w:rPr>
          <w:lang w:val="en-GB"/>
        </w:rPr>
        <w:t xml:space="preserve"> </w:t>
      </w:r>
    </w:p>
    <w:p w14:paraId="645B4310" w14:textId="76CF64BA" w:rsidR="005B42CD" w:rsidRPr="00FA5F5F" w:rsidRDefault="005B42CD" w:rsidP="00600535">
      <w:pPr>
        <w:pStyle w:val="CETBodytext"/>
        <w:rPr>
          <w:lang w:val="en-GB"/>
        </w:rPr>
      </w:pPr>
      <w:r>
        <w:rPr>
          <w:lang w:val="en-GB"/>
        </w:rPr>
        <w:t>In this study</w:t>
      </w:r>
      <w:r w:rsidR="002D0D0D">
        <w:rPr>
          <w:lang w:val="en-GB"/>
        </w:rPr>
        <w:t>,</w:t>
      </w:r>
      <w:r>
        <w:rPr>
          <w:lang w:val="en-GB"/>
        </w:rPr>
        <w:t xml:space="preserve"> </w:t>
      </w:r>
      <w:r w:rsidR="00751ACC">
        <w:rPr>
          <w:lang w:val="en-GB"/>
        </w:rPr>
        <w:t>the</w:t>
      </w:r>
      <w:r w:rsidR="002D0D0D">
        <w:rPr>
          <w:lang w:val="en-GB"/>
        </w:rPr>
        <w:t xml:space="preserve"> radical Voronoi tessellation </w:t>
      </w:r>
      <w:r w:rsidR="00751ACC">
        <w:rPr>
          <w:lang w:val="en-GB"/>
        </w:rPr>
        <w:t xml:space="preserve">is performed </w:t>
      </w:r>
      <w:r w:rsidR="002D0D0D" w:rsidRPr="002D0D0D">
        <w:rPr>
          <w:lang w:val="en-GB"/>
        </w:rPr>
        <w:t>to the analysis of packing structure of polydisperse pa</w:t>
      </w:r>
      <w:r w:rsidR="002D0D0D">
        <w:rPr>
          <w:lang w:val="en-GB"/>
        </w:rPr>
        <w:t>rticles compact generated by D</w:t>
      </w:r>
      <w:r w:rsidR="00751ACC">
        <w:rPr>
          <w:lang w:val="en-GB"/>
        </w:rPr>
        <w:t>EM</w:t>
      </w:r>
      <w:r w:rsidR="002D0D0D">
        <w:rPr>
          <w:lang w:val="en-GB"/>
        </w:rPr>
        <w:t xml:space="preserve"> with different size ratio and volume fraction</w:t>
      </w:r>
      <w:r w:rsidR="0062328B">
        <w:rPr>
          <w:lang w:val="en-GB"/>
        </w:rPr>
        <w:t xml:space="preserve"> by applying </w:t>
      </w:r>
      <w:r w:rsidR="00BC4026">
        <w:rPr>
          <w:lang w:val="en-GB"/>
        </w:rPr>
        <w:t xml:space="preserve">the </w:t>
      </w:r>
      <w:r w:rsidR="0062328B">
        <w:rPr>
          <w:lang w:val="en-GB"/>
        </w:rPr>
        <w:t>growth rate method</w:t>
      </w:r>
      <w:r w:rsidR="002D0D0D">
        <w:rPr>
          <w:lang w:val="en-GB"/>
        </w:rPr>
        <w:t xml:space="preserve">. </w:t>
      </w:r>
    </w:p>
    <w:p w14:paraId="1C28AF9B" w14:textId="77777777" w:rsidR="00282694" w:rsidRDefault="00282694" w:rsidP="007B5A49">
      <w:pPr>
        <w:pStyle w:val="CETHeading1"/>
        <w:tabs>
          <w:tab w:val="clear" w:pos="360"/>
          <w:tab w:val="right" w:pos="7100"/>
        </w:tabs>
        <w:ind w:hanging="8730"/>
        <w:jc w:val="both"/>
        <w:rPr>
          <w:lang w:val="en-GB"/>
        </w:rPr>
      </w:pPr>
      <w:r>
        <w:rPr>
          <w:lang w:val="en-GB"/>
        </w:rPr>
        <w:lastRenderedPageBreak/>
        <w:t>Methodology</w:t>
      </w:r>
    </w:p>
    <w:p w14:paraId="5FE58B46" w14:textId="77777777" w:rsidR="00CA6594" w:rsidRDefault="00282694" w:rsidP="00282694">
      <w:pPr>
        <w:pStyle w:val="CETBodytext"/>
        <w:rPr>
          <w:lang w:val="en-GB"/>
        </w:rPr>
      </w:pPr>
      <w:r w:rsidRPr="00282694">
        <w:rPr>
          <w:lang w:val="en-GB"/>
        </w:rPr>
        <w:t xml:space="preserve">The assessment of the </w:t>
      </w:r>
      <w:r w:rsidRPr="00282694">
        <w:rPr>
          <w:lang w:val="en-GB"/>
        </w:rPr>
        <w:t>packing structure of particle compacts involved several steps</w:t>
      </w:r>
      <w:r w:rsidR="00CA6594">
        <w:rPr>
          <w:lang w:val="en-GB"/>
        </w:rPr>
        <w:t xml:space="preserve">: 1) packing compact generation by DEM; 2) </w:t>
      </w:r>
      <w:proofErr w:type="spellStart"/>
      <w:r w:rsidR="00CA6594">
        <w:rPr>
          <w:lang w:val="en-GB"/>
        </w:rPr>
        <w:t>Voronoi</w:t>
      </w:r>
      <w:proofErr w:type="spellEnd"/>
      <w:r w:rsidR="00CA6594">
        <w:rPr>
          <w:lang w:val="en-GB"/>
        </w:rPr>
        <w:t xml:space="preserve"> </w:t>
      </w:r>
      <w:proofErr w:type="spellStart"/>
      <w:r w:rsidR="00CA6594">
        <w:rPr>
          <w:lang w:val="en-GB"/>
        </w:rPr>
        <w:t>tesselation</w:t>
      </w:r>
      <w:proofErr w:type="spellEnd"/>
      <w:r w:rsidR="00CA6594">
        <w:rPr>
          <w:lang w:val="en-GB"/>
        </w:rPr>
        <w:t xml:space="preserve"> on the structures; 3) analysis of Voronoi statistical data and correlation to the structural properties.</w:t>
      </w:r>
    </w:p>
    <w:p w14:paraId="041CDE97" w14:textId="3F17A561" w:rsidR="00CA6594" w:rsidRDefault="001268D3" w:rsidP="00282694">
      <w:pPr>
        <w:pStyle w:val="CETBodytext"/>
        <w:rPr>
          <w:lang w:val="en-GB"/>
        </w:rPr>
      </w:pPr>
      <w:r>
        <w:rPr>
          <w:lang w:val="en-GB"/>
        </w:rPr>
        <w:t xml:space="preserve">DEM </w:t>
      </w:r>
      <w:r w:rsidR="00282694" w:rsidRPr="00282694">
        <w:rPr>
          <w:lang w:val="en-GB"/>
        </w:rPr>
        <w:t xml:space="preserve">was used to </w:t>
      </w:r>
      <w:r>
        <w:rPr>
          <w:lang w:val="en-GB"/>
        </w:rPr>
        <w:t>generate</w:t>
      </w:r>
      <w:r w:rsidR="00282694" w:rsidRPr="00282694">
        <w:rPr>
          <w:lang w:val="en-GB"/>
        </w:rPr>
        <w:t xml:space="preserve"> the compact</w:t>
      </w:r>
      <w:r w:rsidR="001D6175">
        <w:rPr>
          <w:lang w:val="en-GB"/>
        </w:rPr>
        <w:t>s</w:t>
      </w:r>
      <w:r w:rsidR="00282694" w:rsidRPr="00282694">
        <w:rPr>
          <w:lang w:val="en-GB"/>
        </w:rPr>
        <w:t xml:space="preserve"> </w:t>
      </w:r>
      <w:r w:rsidRPr="001268D3">
        <w:rPr>
          <w:lang w:val="en-GB"/>
        </w:rPr>
        <w:t xml:space="preserve">of polydisperse </w:t>
      </w:r>
      <w:r w:rsidRPr="00282694">
        <w:rPr>
          <w:lang w:val="en-GB"/>
        </w:rPr>
        <w:t>spherical</w:t>
      </w:r>
      <w:r w:rsidRPr="001268D3">
        <w:rPr>
          <w:lang w:val="en-GB"/>
        </w:rPr>
        <w:t xml:space="preserve"> particles</w:t>
      </w:r>
      <w:r>
        <w:rPr>
          <w:lang w:val="en-GB"/>
        </w:rPr>
        <w:t xml:space="preserve">. </w:t>
      </w:r>
      <w:r w:rsidR="00282694" w:rsidRPr="00282694">
        <w:rPr>
          <w:lang w:val="en-GB"/>
        </w:rPr>
        <w:t>The simulations were carried out within a 3D-box with the sides of ten times the largest particle diameter in both x and y directions and 3.0 m in a z direction. The boundary conditions were periodic along x- and y-ax</w:t>
      </w:r>
      <w:r w:rsidR="00CA6594">
        <w:rPr>
          <w:lang w:val="en-GB"/>
        </w:rPr>
        <w:t xml:space="preserve">es and fixed along the z-axis. </w:t>
      </w:r>
      <w:r w:rsidR="00282694" w:rsidRPr="00282694">
        <w:rPr>
          <w:lang w:val="en-GB"/>
        </w:rPr>
        <w:t xml:space="preserve">Using periodic boundaries </w:t>
      </w:r>
      <w:r w:rsidR="00B31C38">
        <w:rPr>
          <w:lang w:val="en-GB"/>
        </w:rPr>
        <w:t>reduces</w:t>
      </w:r>
      <w:r w:rsidR="00CA6594">
        <w:rPr>
          <w:lang w:val="en-GB"/>
        </w:rPr>
        <w:t xml:space="preserve"> the wall effect </w:t>
      </w:r>
      <w:r w:rsidR="00282694" w:rsidRPr="00282694">
        <w:rPr>
          <w:lang w:val="en-GB"/>
        </w:rPr>
        <w:t xml:space="preserve">on particle compaction. The growth rate method was </w:t>
      </w:r>
      <w:r w:rsidR="00CA6594">
        <w:rPr>
          <w:lang w:val="en-GB"/>
        </w:rPr>
        <w:t>applied</w:t>
      </w:r>
      <w:r w:rsidR="00282694" w:rsidRPr="00282694">
        <w:rPr>
          <w:lang w:val="en-GB"/>
        </w:rPr>
        <w:t xml:space="preserve"> to generate the packing </w:t>
      </w:r>
      <w:r w:rsidR="00282694" w:rsidRPr="00575251">
        <w:rPr>
          <w:lang w:val="en-GB"/>
        </w:rPr>
        <w:t>structure (</w:t>
      </w:r>
      <w:proofErr w:type="spellStart"/>
      <w:r w:rsidR="00CA6594" w:rsidRPr="00575251">
        <w:rPr>
          <w:lang w:val="en-GB"/>
        </w:rPr>
        <w:t>Giménez</w:t>
      </w:r>
      <w:proofErr w:type="spellEnd"/>
      <w:r w:rsidR="00CA6594" w:rsidRPr="00575251">
        <w:rPr>
          <w:lang w:val="en-GB"/>
        </w:rPr>
        <w:t xml:space="preserve"> et al., 2018</w:t>
      </w:r>
      <w:r w:rsidR="00282694" w:rsidRPr="00575251">
        <w:rPr>
          <w:lang w:val="en-GB"/>
        </w:rPr>
        <w:t>)</w:t>
      </w:r>
      <w:r w:rsidR="00CA6594" w:rsidRPr="00575251">
        <w:rPr>
          <w:lang w:val="en-GB"/>
        </w:rPr>
        <w:t>.</w:t>
      </w:r>
    </w:p>
    <w:p w14:paraId="6293F862" w14:textId="77777777" w:rsidR="00CA6594" w:rsidRDefault="00282694" w:rsidP="00282694">
      <w:pPr>
        <w:pStyle w:val="CETBodytext"/>
        <w:rPr>
          <w:lang w:val="en-GB"/>
        </w:rPr>
      </w:pPr>
      <w:r w:rsidRPr="00282694">
        <w:rPr>
          <w:lang w:val="en-GB"/>
        </w:rPr>
        <w:t xml:space="preserve">Initially, a ternary mixture of spherical particles of specified composition with sizes reduced by a factor of 0.6 of desired ones was randomly distributed in the 3D-box without any overlaps. As the simulation process started, the particles were allowed to grow until they reach the desired size. The growth rate was controlled to avoid excessive particle overlap. The particle growth was carried out for 50,000 time steps and, then, the simulation continued for another 20,000 steps to relax the </w:t>
      </w:r>
      <w:r w:rsidR="00CA6594">
        <w:rPr>
          <w:lang w:val="en-GB"/>
        </w:rPr>
        <w:t>particle structure in such a way,</w:t>
      </w:r>
      <w:r w:rsidRPr="00282694">
        <w:rPr>
          <w:lang w:val="en-GB"/>
        </w:rPr>
        <w:t xml:space="preserve"> that particles have a more stable position in the box. </w:t>
      </w:r>
    </w:p>
    <w:p w14:paraId="61ACA3E9" w14:textId="554F2E19" w:rsidR="00CA6594" w:rsidRPr="00575251" w:rsidRDefault="00282694" w:rsidP="00282694">
      <w:pPr>
        <w:pStyle w:val="CETBodytext"/>
        <w:rPr>
          <w:lang w:val="en-GB"/>
        </w:rPr>
      </w:pPr>
      <w:r w:rsidRPr="00282694">
        <w:rPr>
          <w:lang w:val="en-GB"/>
        </w:rPr>
        <w:t>Application of the growth rate method permits to achieve the desired packing density of particle compact without using the drag and gravitational forces</w:t>
      </w:r>
      <w:r w:rsidR="000151BE">
        <w:rPr>
          <w:lang w:val="en-GB"/>
        </w:rPr>
        <w:t xml:space="preserve">. Thus, </w:t>
      </w:r>
      <w:r w:rsidR="00CA6594">
        <w:rPr>
          <w:lang w:val="en-GB"/>
        </w:rPr>
        <w:t xml:space="preserve">a stable </w:t>
      </w:r>
      <w:r w:rsidR="00CA6594" w:rsidRPr="00575251">
        <w:rPr>
          <w:lang w:val="en-GB"/>
        </w:rPr>
        <w:t>system</w:t>
      </w:r>
      <w:r w:rsidR="000151BE">
        <w:rPr>
          <w:lang w:val="en-GB"/>
        </w:rPr>
        <w:t xml:space="preserve"> can be formed</w:t>
      </w:r>
      <w:r w:rsidR="00CA6594" w:rsidRPr="00575251">
        <w:rPr>
          <w:lang w:val="en-GB"/>
        </w:rPr>
        <w:t xml:space="preserve"> without performing any compression of the particles</w:t>
      </w:r>
      <w:r w:rsidR="000151BE">
        <w:rPr>
          <w:lang w:val="en-GB"/>
        </w:rPr>
        <w:t>.</w:t>
      </w:r>
      <w:r w:rsidR="00CA6594" w:rsidRPr="00575251">
        <w:rPr>
          <w:lang w:val="en-GB"/>
        </w:rPr>
        <w:t xml:space="preserve"> </w:t>
      </w:r>
      <w:proofErr w:type="gramStart"/>
      <w:r w:rsidR="000151BE">
        <w:rPr>
          <w:lang w:val="en-GB"/>
        </w:rPr>
        <w:t>As the result the final compact structure by growth rate method would differ from the one formed by gravitational deposition method.</w:t>
      </w:r>
      <w:proofErr w:type="gramEnd"/>
      <w:r w:rsidR="000151BE">
        <w:rPr>
          <w:lang w:val="en-GB"/>
        </w:rPr>
        <w:t xml:space="preserve"> </w:t>
      </w:r>
      <w:r w:rsidR="00575251" w:rsidRPr="00575251">
        <w:rPr>
          <w:lang w:val="en-GB"/>
        </w:rPr>
        <w:t>(</w:t>
      </w:r>
      <w:r w:rsidRPr="00575251">
        <w:rPr>
          <w:lang w:val="en-GB"/>
        </w:rPr>
        <w:t>Gimenez and et al., 2018</w:t>
      </w:r>
      <w:r w:rsidR="00575251" w:rsidRPr="00575251">
        <w:rPr>
          <w:lang w:val="en-GB"/>
        </w:rPr>
        <w:t>)</w:t>
      </w:r>
      <w:r w:rsidRPr="00575251">
        <w:rPr>
          <w:lang w:val="en-GB"/>
        </w:rPr>
        <w:t>. The ternary particle mixtures of two size ratios</w:t>
      </w:r>
      <w:r w:rsidR="00CA6594" w:rsidRPr="00575251">
        <w:rPr>
          <w:lang w:val="en-GB"/>
        </w:rPr>
        <w:t xml:space="preserve"> Case A 1:2:4 and Case B 1:2</w:t>
      </w:r>
      <w:r w:rsidR="00757C80">
        <w:rPr>
          <w:lang w:val="en-GB"/>
        </w:rPr>
        <w:t>:</w:t>
      </w:r>
      <w:r w:rsidR="00CA6594" w:rsidRPr="00575251">
        <w:rPr>
          <w:lang w:val="en-GB"/>
        </w:rPr>
        <w:t xml:space="preserve">8, with varying volume fractions </w:t>
      </w:r>
      <w:r w:rsidRPr="00575251">
        <w:rPr>
          <w:lang w:val="en-GB"/>
        </w:rPr>
        <w:t xml:space="preserve">were used in </w:t>
      </w:r>
      <w:r w:rsidR="00CA6594" w:rsidRPr="00575251">
        <w:rPr>
          <w:lang w:val="en-GB"/>
        </w:rPr>
        <w:t xml:space="preserve">the </w:t>
      </w:r>
      <w:r w:rsidRPr="00575251">
        <w:rPr>
          <w:lang w:val="en-GB"/>
        </w:rPr>
        <w:t xml:space="preserve">simulations. </w:t>
      </w:r>
    </w:p>
    <w:p w14:paraId="37191975" w14:textId="6A8C6301" w:rsidR="00282694" w:rsidRDefault="00282694" w:rsidP="00282694">
      <w:pPr>
        <w:pStyle w:val="CETBodytext"/>
        <w:rPr>
          <w:lang w:val="en-GB"/>
        </w:rPr>
      </w:pPr>
      <w:r w:rsidRPr="00575251">
        <w:rPr>
          <w:lang w:val="en-GB"/>
        </w:rPr>
        <w:t>An open-source software package LIGGGHTS was utilized to generate the compacts of ternary particle mixtures employing DEM. The input parameters for DEM simulations are</w:t>
      </w:r>
      <w:r w:rsidRPr="00282694">
        <w:rPr>
          <w:lang w:val="en-GB"/>
        </w:rPr>
        <w:t xml:space="preserve"> summarized in Table 1</w:t>
      </w:r>
      <w:r w:rsidR="000151BE">
        <w:rPr>
          <w:lang w:val="en-GB"/>
        </w:rPr>
        <w:t>.</w:t>
      </w:r>
    </w:p>
    <w:p w14:paraId="58F261FD" w14:textId="77777777" w:rsidR="00282694" w:rsidRDefault="00282694" w:rsidP="00282694">
      <w:pPr>
        <w:pStyle w:val="CETBodytext"/>
        <w:rPr>
          <w:lang w:val="en-GB"/>
        </w:rPr>
      </w:pPr>
    </w:p>
    <w:p w14:paraId="65A6017F" w14:textId="77777777" w:rsidR="00282694" w:rsidRPr="00282694" w:rsidRDefault="00282694" w:rsidP="00765AF9">
      <w:pPr>
        <w:pStyle w:val="CETTabletitle"/>
      </w:pPr>
      <w:r w:rsidRPr="00282694">
        <w:t>Table 1: Input values for simulating the packing of ternary mixtures of spheres.</w:t>
      </w:r>
    </w:p>
    <w:tbl>
      <w:tblPr>
        <w:tblStyle w:val="afffb"/>
        <w:tblW w:w="0" w:type="auto"/>
        <w:tblLook w:val="04A0" w:firstRow="1" w:lastRow="0" w:firstColumn="1" w:lastColumn="0" w:noHBand="0" w:noVBand="1"/>
      </w:tblPr>
      <w:tblGrid>
        <w:gridCol w:w="4253"/>
        <w:gridCol w:w="2338"/>
      </w:tblGrid>
      <w:tr w:rsidR="00282694" w:rsidRPr="007842D2" w14:paraId="423C6161" w14:textId="77777777" w:rsidTr="00FC5E96">
        <w:tc>
          <w:tcPr>
            <w:tcW w:w="4253" w:type="dxa"/>
            <w:tcBorders>
              <w:left w:val="nil"/>
              <w:bottom w:val="single" w:sz="4" w:space="0" w:color="auto"/>
            </w:tcBorders>
          </w:tcPr>
          <w:p w14:paraId="2C945621" w14:textId="77777777" w:rsidR="00282694" w:rsidRPr="007842D2" w:rsidRDefault="00282694" w:rsidP="00FC5E96">
            <w:pPr>
              <w:rPr>
                <w:rFonts w:cs="Arial"/>
                <w:szCs w:val="18"/>
              </w:rPr>
            </w:pPr>
            <w:r w:rsidRPr="007842D2">
              <w:rPr>
                <w:rFonts w:cs="Arial"/>
                <w:szCs w:val="18"/>
              </w:rPr>
              <w:t xml:space="preserve">Parameters </w:t>
            </w:r>
          </w:p>
        </w:tc>
        <w:tc>
          <w:tcPr>
            <w:tcW w:w="2338" w:type="dxa"/>
            <w:tcBorders>
              <w:bottom w:val="single" w:sz="4" w:space="0" w:color="auto"/>
              <w:right w:val="nil"/>
            </w:tcBorders>
          </w:tcPr>
          <w:p w14:paraId="51B90688" w14:textId="77777777" w:rsidR="00282694" w:rsidRPr="007842D2" w:rsidRDefault="00282694" w:rsidP="00FC5E96">
            <w:pPr>
              <w:rPr>
                <w:rFonts w:cs="Arial"/>
                <w:szCs w:val="18"/>
              </w:rPr>
            </w:pPr>
            <w:r w:rsidRPr="007842D2">
              <w:rPr>
                <w:rFonts w:cs="Arial"/>
                <w:szCs w:val="18"/>
              </w:rPr>
              <w:t>Value</w:t>
            </w:r>
          </w:p>
        </w:tc>
      </w:tr>
      <w:tr w:rsidR="00282694" w:rsidRPr="007842D2" w14:paraId="2C349C8B" w14:textId="77777777" w:rsidTr="00FC5E96">
        <w:tc>
          <w:tcPr>
            <w:tcW w:w="4253" w:type="dxa"/>
            <w:tcBorders>
              <w:left w:val="nil"/>
              <w:bottom w:val="nil"/>
            </w:tcBorders>
          </w:tcPr>
          <w:p w14:paraId="21709524" w14:textId="77777777" w:rsidR="00282694" w:rsidRPr="007842D2" w:rsidRDefault="00282694" w:rsidP="00FC5E96">
            <w:pPr>
              <w:rPr>
                <w:rFonts w:cs="Arial"/>
                <w:szCs w:val="18"/>
              </w:rPr>
            </w:pPr>
            <w:r w:rsidRPr="007842D2">
              <w:rPr>
                <w:rFonts w:cs="Arial"/>
                <w:szCs w:val="18"/>
              </w:rPr>
              <w:t>Particle size, r (mm)</w:t>
            </w:r>
          </w:p>
        </w:tc>
        <w:tc>
          <w:tcPr>
            <w:tcW w:w="2338" w:type="dxa"/>
            <w:tcBorders>
              <w:bottom w:val="nil"/>
              <w:right w:val="nil"/>
            </w:tcBorders>
          </w:tcPr>
          <w:p w14:paraId="771643D1" w14:textId="77777777" w:rsidR="00282694" w:rsidRPr="007842D2" w:rsidRDefault="00282694" w:rsidP="00FC5E96">
            <w:pPr>
              <w:rPr>
                <w:rFonts w:cs="Arial"/>
                <w:szCs w:val="18"/>
              </w:rPr>
            </w:pPr>
            <w:r w:rsidRPr="007842D2">
              <w:rPr>
                <w:rFonts w:cs="Arial"/>
                <w:szCs w:val="18"/>
              </w:rPr>
              <w:t>2x4x8 and 2x4x16</w:t>
            </w:r>
          </w:p>
        </w:tc>
      </w:tr>
      <w:tr w:rsidR="00282694" w:rsidRPr="007842D2" w14:paraId="0DBB1939" w14:textId="77777777" w:rsidTr="00FC5E96">
        <w:tc>
          <w:tcPr>
            <w:tcW w:w="4253" w:type="dxa"/>
            <w:tcBorders>
              <w:top w:val="nil"/>
              <w:left w:val="nil"/>
              <w:bottom w:val="nil"/>
            </w:tcBorders>
          </w:tcPr>
          <w:p w14:paraId="79663E75" w14:textId="77777777" w:rsidR="00282694" w:rsidRPr="007842D2" w:rsidRDefault="00282694" w:rsidP="00FC5E96">
            <w:pPr>
              <w:rPr>
                <w:rFonts w:cs="Arial"/>
                <w:szCs w:val="18"/>
              </w:rPr>
            </w:pPr>
            <w:r w:rsidRPr="007842D2">
              <w:rPr>
                <w:rFonts w:cs="Arial"/>
                <w:szCs w:val="18"/>
              </w:rPr>
              <w:t>Size ratio</w:t>
            </w:r>
          </w:p>
        </w:tc>
        <w:tc>
          <w:tcPr>
            <w:tcW w:w="2338" w:type="dxa"/>
            <w:tcBorders>
              <w:top w:val="nil"/>
              <w:bottom w:val="nil"/>
              <w:right w:val="nil"/>
            </w:tcBorders>
          </w:tcPr>
          <w:p w14:paraId="62771706" w14:textId="77777777" w:rsidR="00282694" w:rsidRPr="007842D2" w:rsidRDefault="00282694" w:rsidP="00FC5E96">
            <w:pPr>
              <w:rPr>
                <w:rFonts w:cs="Arial"/>
                <w:szCs w:val="18"/>
              </w:rPr>
            </w:pPr>
            <w:r w:rsidRPr="007842D2">
              <w:rPr>
                <w:rFonts w:cs="Arial"/>
                <w:szCs w:val="18"/>
              </w:rPr>
              <w:t>1x2x4, 1x2x8</w:t>
            </w:r>
          </w:p>
        </w:tc>
      </w:tr>
      <w:tr w:rsidR="00282694" w:rsidRPr="007842D2" w14:paraId="79E825D4" w14:textId="77777777" w:rsidTr="00FC5E96">
        <w:tc>
          <w:tcPr>
            <w:tcW w:w="4253" w:type="dxa"/>
            <w:tcBorders>
              <w:top w:val="nil"/>
              <w:left w:val="nil"/>
              <w:bottom w:val="nil"/>
            </w:tcBorders>
          </w:tcPr>
          <w:p w14:paraId="5DC36397" w14:textId="77777777" w:rsidR="00282694" w:rsidRPr="007842D2" w:rsidRDefault="00282694" w:rsidP="00FC5E96">
            <w:pPr>
              <w:rPr>
                <w:rFonts w:cs="Arial"/>
                <w:szCs w:val="18"/>
              </w:rPr>
            </w:pPr>
            <w:r w:rsidRPr="007842D2">
              <w:rPr>
                <w:rFonts w:cs="Arial"/>
                <w:szCs w:val="18"/>
              </w:rPr>
              <w:t>Particle density, ρ (kg/m</w:t>
            </w:r>
            <w:r w:rsidRPr="007842D2">
              <w:rPr>
                <w:rFonts w:cs="Arial"/>
                <w:szCs w:val="18"/>
                <w:vertAlign w:val="superscript"/>
              </w:rPr>
              <w:t>3</w:t>
            </w:r>
            <w:r w:rsidRPr="007842D2">
              <w:rPr>
                <w:rFonts w:cs="Arial"/>
                <w:szCs w:val="18"/>
              </w:rPr>
              <w:t>)</w:t>
            </w:r>
          </w:p>
        </w:tc>
        <w:tc>
          <w:tcPr>
            <w:tcW w:w="2338" w:type="dxa"/>
            <w:tcBorders>
              <w:top w:val="nil"/>
              <w:bottom w:val="nil"/>
              <w:right w:val="nil"/>
            </w:tcBorders>
          </w:tcPr>
          <w:p w14:paraId="2BD0876D" w14:textId="77777777" w:rsidR="00282694" w:rsidRPr="007842D2" w:rsidRDefault="00282694" w:rsidP="00FC5E96">
            <w:pPr>
              <w:rPr>
                <w:rFonts w:cs="Arial"/>
                <w:szCs w:val="18"/>
              </w:rPr>
            </w:pPr>
            <w:r w:rsidRPr="007842D2">
              <w:rPr>
                <w:rFonts w:cs="Arial"/>
                <w:szCs w:val="18"/>
              </w:rPr>
              <w:t>2500</w:t>
            </w:r>
          </w:p>
        </w:tc>
      </w:tr>
      <w:tr w:rsidR="00282694" w:rsidRPr="007842D2" w14:paraId="04B697E7" w14:textId="77777777" w:rsidTr="00FC5E96">
        <w:tc>
          <w:tcPr>
            <w:tcW w:w="4253" w:type="dxa"/>
            <w:tcBorders>
              <w:top w:val="nil"/>
              <w:left w:val="nil"/>
              <w:bottom w:val="nil"/>
              <w:right w:val="single" w:sz="4" w:space="0" w:color="auto"/>
            </w:tcBorders>
          </w:tcPr>
          <w:p w14:paraId="5A002FEC" w14:textId="77777777" w:rsidR="00282694" w:rsidRPr="007842D2" w:rsidRDefault="00282694" w:rsidP="00FC5E96">
            <w:pPr>
              <w:rPr>
                <w:rFonts w:cs="Arial"/>
                <w:szCs w:val="18"/>
              </w:rPr>
            </w:pPr>
            <w:r w:rsidRPr="007842D2">
              <w:rPr>
                <w:rFonts w:cs="Arial"/>
                <w:szCs w:val="18"/>
              </w:rPr>
              <w:t>Number of particles, N</w:t>
            </w:r>
          </w:p>
        </w:tc>
        <w:tc>
          <w:tcPr>
            <w:tcW w:w="2338" w:type="dxa"/>
            <w:tcBorders>
              <w:top w:val="nil"/>
              <w:left w:val="single" w:sz="4" w:space="0" w:color="auto"/>
              <w:bottom w:val="nil"/>
              <w:right w:val="nil"/>
            </w:tcBorders>
          </w:tcPr>
          <w:p w14:paraId="543B5EF4" w14:textId="77777777" w:rsidR="00282694" w:rsidRPr="007842D2" w:rsidRDefault="00282694" w:rsidP="00FC5E96">
            <w:pPr>
              <w:rPr>
                <w:rFonts w:cs="Arial"/>
                <w:szCs w:val="18"/>
              </w:rPr>
            </w:pPr>
            <w:r w:rsidRPr="007842D2">
              <w:rPr>
                <w:rFonts w:cs="Arial"/>
                <w:szCs w:val="18"/>
              </w:rPr>
              <w:t>5000-70000</w:t>
            </w:r>
          </w:p>
        </w:tc>
      </w:tr>
      <w:tr w:rsidR="00282694" w:rsidRPr="007842D2" w14:paraId="2E822A14" w14:textId="77777777" w:rsidTr="00FC5E96">
        <w:tc>
          <w:tcPr>
            <w:tcW w:w="4253" w:type="dxa"/>
            <w:tcBorders>
              <w:top w:val="nil"/>
              <w:left w:val="nil"/>
              <w:bottom w:val="nil"/>
            </w:tcBorders>
          </w:tcPr>
          <w:p w14:paraId="6BEE238D" w14:textId="77777777" w:rsidR="00282694" w:rsidRPr="007842D2" w:rsidRDefault="00282694" w:rsidP="00FC5E96">
            <w:pPr>
              <w:rPr>
                <w:rFonts w:cs="Arial"/>
                <w:szCs w:val="18"/>
              </w:rPr>
            </w:pPr>
            <w:r w:rsidRPr="007842D2">
              <w:rPr>
                <w:rFonts w:cs="Arial"/>
                <w:szCs w:val="18"/>
              </w:rPr>
              <w:t>Poisson ratio, ơ</w:t>
            </w:r>
          </w:p>
        </w:tc>
        <w:tc>
          <w:tcPr>
            <w:tcW w:w="2338" w:type="dxa"/>
            <w:tcBorders>
              <w:top w:val="nil"/>
              <w:bottom w:val="nil"/>
              <w:right w:val="nil"/>
            </w:tcBorders>
          </w:tcPr>
          <w:p w14:paraId="29D6BFA0" w14:textId="77777777" w:rsidR="00282694" w:rsidRPr="007842D2" w:rsidRDefault="00282694" w:rsidP="00FC5E96">
            <w:pPr>
              <w:rPr>
                <w:rFonts w:cs="Arial"/>
                <w:szCs w:val="18"/>
              </w:rPr>
            </w:pPr>
            <w:r w:rsidRPr="007842D2">
              <w:rPr>
                <w:rFonts w:cs="Arial"/>
                <w:szCs w:val="18"/>
              </w:rPr>
              <w:t>0.45</w:t>
            </w:r>
          </w:p>
        </w:tc>
      </w:tr>
      <w:tr w:rsidR="00282694" w:rsidRPr="007842D2" w14:paraId="23F8638D" w14:textId="77777777" w:rsidTr="00FC5E96">
        <w:tc>
          <w:tcPr>
            <w:tcW w:w="4253" w:type="dxa"/>
            <w:tcBorders>
              <w:top w:val="nil"/>
              <w:left w:val="nil"/>
              <w:bottom w:val="nil"/>
              <w:right w:val="single" w:sz="4" w:space="0" w:color="auto"/>
            </w:tcBorders>
          </w:tcPr>
          <w:p w14:paraId="529509A5" w14:textId="77777777" w:rsidR="00282694" w:rsidRPr="007842D2" w:rsidRDefault="00282694" w:rsidP="00FC5E96">
            <w:pPr>
              <w:rPr>
                <w:rFonts w:cs="Arial"/>
                <w:szCs w:val="18"/>
              </w:rPr>
            </w:pPr>
            <w:r w:rsidRPr="007842D2">
              <w:rPr>
                <w:rFonts w:cs="Arial"/>
                <w:szCs w:val="18"/>
              </w:rPr>
              <w:t>Time step (s)</w:t>
            </w:r>
          </w:p>
        </w:tc>
        <w:tc>
          <w:tcPr>
            <w:tcW w:w="2338" w:type="dxa"/>
            <w:tcBorders>
              <w:top w:val="nil"/>
              <w:left w:val="single" w:sz="4" w:space="0" w:color="auto"/>
              <w:bottom w:val="nil"/>
              <w:right w:val="nil"/>
            </w:tcBorders>
          </w:tcPr>
          <w:p w14:paraId="3A9FEA9D" w14:textId="77777777" w:rsidR="00282694" w:rsidRPr="007842D2" w:rsidRDefault="00DF2A86" w:rsidP="00FC5E96">
            <w:pPr>
              <w:rPr>
                <w:rFonts w:cs="Arial"/>
                <w:szCs w:val="18"/>
              </w:rPr>
            </w:pPr>
            <w:r>
              <w:rPr>
                <w:rFonts w:cs="Arial"/>
                <w:szCs w:val="18"/>
              </w:rPr>
              <w:t>1.0</w:t>
            </w:r>
            <w:r w:rsidR="00282694" w:rsidRPr="007842D2">
              <w:rPr>
                <w:rFonts w:cs="Arial"/>
                <w:szCs w:val="18"/>
              </w:rPr>
              <w:t>e-5</w:t>
            </w:r>
          </w:p>
        </w:tc>
      </w:tr>
      <w:tr w:rsidR="00282694" w:rsidRPr="007842D2" w14:paraId="3394FBCD" w14:textId="77777777" w:rsidTr="00FC5E96">
        <w:tc>
          <w:tcPr>
            <w:tcW w:w="4253" w:type="dxa"/>
            <w:tcBorders>
              <w:top w:val="nil"/>
              <w:left w:val="nil"/>
            </w:tcBorders>
          </w:tcPr>
          <w:p w14:paraId="0B0FDBE3" w14:textId="77777777" w:rsidR="00282694" w:rsidRPr="007842D2" w:rsidRDefault="00282694" w:rsidP="00FC5E96">
            <w:pPr>
              <w:rPr>
                <w:rFonts w:cs="Arial"/>
                <w:szCs w:val="18"/>
              </w:rPr>
            </w:pPr>
            <w:r w:rsidRPr="007842D2">
              <w:rPr>
                <w:rFonts w:cs="Arial"/>
                <w:szCs w:val="18"/>
              </w:rPr>
              <w:t>Young’s modulus, Y (N/m</w:t>
            </w:r>
            <w:r w:rsidRPr="007842D2">
              <w:rPr>
                <w:rFonts w:cs="Arial"/>
                <w:szCs w:val="18"/>
                <w:vertAlign w:val="superscript"/>
              </w:rPr>
              <w:t>2</w:t>
            </w:r>
            <w:r w:rsidRPr="007842D2">
              <w:rPr>
                <w:rFonts w:cs="Arial"/>
                <w:szCs w:val="18"/>
              </w:rPr>
              <w:t>)</w:t>
            </w:r>
          </w:p>
        </w:tc>
        <w:tc>
          <w:tcPr>
            <w:tcW w:w="2338" w:type="dxa"/>
            <w:tcBorders>
              <w:top w:val="nil"/>
              <w:right w:val="nil"/>
            </w:tcBorders>
          </w:tcPr>
          <w:p w14:paraId="7A7347C3" w14:textId="77777777" w:rsidR="00282694" w:rsidRPr="007842D2" w:rsidRDefault="00282694" w:rsidP="00FC5E96">
            <w:pPr>
              <w:rPr>
                <w:rFonts w:cs="Arial"/>
                <w:szCs w:val="18"/>
              </w:rPr>
            </w:pPr>
            <w:r w:rsidRPr="007842D2">
              <w:rPr>
                <w:rFonts w:cs="Arial"/>
                <w:szCs w:val="18"/>
              </w:rPr>
              <w:t>5.e6</w:t>
            </w:r>
          </w:p>
        </w:tc>
      </w:tr>
    </w:tbl>
    <w:p w14:paraId="758CB9F7" w14:textId="77777777" w:rsidR="00B31C38" w:rsidRDefault="00B31C38" w:rsidP="00B31C38">
      <w:pPr>
        <w:pStyle w:val="CETBodytext"/>
        <w:rPr>
          <w:lang w:val="en-GB"/>
        </w:rPr>
      </w:pPr>
    </w:p>
    <w:p w14:paraId="32C73869" w14:textId="77777777" w:rsidR="00B31C38" w:rsidRPr="00B31C38" w:rsidRDefault="00B31C38" w:rsidP="00B31C38">
      <w:pPr>
        <w:pStyle w:val="CETBodytext"/>
        <w:rPr>
          <w:lang w:val="en-GB"/>
        </w:rPr>
      </w:pPr>
      <w:r w:rsidRPr="00B31C38">
        <w:rPr>
          <w:lang w:val="en-GB"/>
        </w:rPr>
        <w:t xml:space="preserve">The packing density of the powder compact was calculated by taking into account the overlap of spherical </w:t>
      </w:r>
      <w:r w:rsidRPr="00B31C38">
        <w:rPr>
          <w:lang w:val="en-GB"/>
        </w:rPr>
        <w:t>particles with each other and the walls. The sample of powder compact used for the analysis was cut from the 3D box by decreasing the length, depth, and height of the box by 25% to avoid wall effect.</w:t>
      </w:r>
    </w:p>
    <w:p w14:paraId="1FCBDB67" w14:textId="29D9FA8B" w:rsidR="00282694" w:rsidRPr="00282694" w:rsidRDefault="00B31C38" w:rsidP="00B31C38">
      <w:pPr>
        <w:pStyle w:val="CETBodytext"/>
        <w:rPr>
          <w:lang w:val="en-GB"/>
        </w:rPr>
      </w:pPr>
      <w:r w:rsidRPr="00B31C38">
        <w:rPr>
          <w:lang w:val="en-GB"/>
        </w:rPr>
        <w:t xml:space="preserve">A radical Voronoi tessellation was used for the analysis of the packing structure of particle compacts. The open-source software package </w:t>
      </w:r>
      <w:proofErr w:type="spellStart"/>
      <w:r w:rsidRPr="00B31C38">
        <w:rPr>
          <w:lang w:val="en-GB"/>
        </w:rPr>
        <w:t>voro</w:t>
      </w:r>
      <w:proofErr w:type="spellEnd"/>
      <w:r w:rsidRPr="00B31C38">
        <w:rPr>
          <w:lang w:val="en-GB"/>
        </w:rPr>
        <w:t xml:space="preserve">++ was adopted to carry out the tessellation and divide the compact into Voronoi cells as well as to </w:t>
      </w:r>
      <w:r>
        <w:rPr>
          <w:lang w:val="en-GB"/>
        </w:rPr>
        <w:t xml:space="preserve">compute cell parameters, i.e. </w:t>
      </w:r>
      <w:r w:rsidRPr="00B31C38">
        <w:rPr>
          <w:lang w:val="en-GB"/>
        </w:rPr>
        <w:t xml:space="preserve">cell volume, number of faces, total surface area, and others </w:t>
      </w:r>
      <w:r w:rsidR="00DF70E9">
        <w:rPr>
          <w:lang w:val="en-GB"/>
        </w:rPr>
        <w:t>(</w:t>
      </w:r>
      <w:r w:rsidRPr="00B31C38">
        <w:rPr>
          <w:lang w:val="en-GB"/>
        </w:rPr>
        <w:t>Rycroft, 2009</w:t>
      </w:r>
      <w:r w:rsidR="00DF70E9">
        <w:rPr>
          <w:lang w:val="en-GB"/>
        </w:rPr>
        <w:t>)</w:t>
      </w:r>
      <w:r w:rsidRPr="00B31C38">
        <w:rPr>
          <w:lang w:val="en-GB"/>
        </w:rPr>
        <w:t>. The Voronoi tessellation divides the compact porous space into cells in such a way that each cell in the form of polyhed</w:t>
      </w:r>
      <w:r w:rsidR="00DF2A86">
        <w:rPr>
          <w:lang w:val="en-GB"/>
        </w:rPr>
        <w:t>ron contains only one particle,</w:t>
      </w:r>
      <w:r w:rsidRPr="00B31C38">
        <w:rPr>
          <w:lang w:val="en-GB"/>
        </w:rPr>
        <w:t xml:space="preserve"> and there is no overlap between cells. </w:t>
      </w:r>
      <w:r w:rsidRPr="00575251">
        <w:rPr>
          <w:lang w:val="en-GB"/>
        </w:rPr>
        <w:t xml:space="preserve">The open-source software POV-Ray was used to visualize the structure of packed compact and its Voronoi </w:t>
      </w:r>
      <w:r w:rsidR="00575251" w:rsidRPr="00575251">
        <w:rPr>
          <w:lang w:val="en-GB"/>
        </w:rPr>
        <w:t>network</w:t>
      </w:r>
      <w:r w:rsidRPr="00575251">
        <w:rPr>
          <w:lang w:val="en-GB"/>
        </w:rPr>
        <w:t>.</w:t>
      </w:r>
    </w:p>
    <w:p w14:paraId="6AACCE4A" w14:textId="77777777" w:rsidR="00600535" w:rsidRPr="00B57B36" w:rsidRDefault="00203F81" w:rsidP="007B5A49">
      <w:pPr>
        <w:pStyle w:val="CETHeading1"/>
        <w:tabs>
          <w:tab w:val="clear" w:pos="360"/>
          <w:tab w:val="right" w:pos="7100"/>
        </w:tabs>
        <w:ind w:hanging="8730"/>
        <w:jc w:val="both"/>
        <w:rPr>
          <w:lang w:val="en-GB"/>
        </w:rPr>
      </w:pPr>
      <w:r>
        <w:rPr>
          <w:lang w:val="en-GB"/>
        </w:rPr>
        <w:t xml:space="preserve">Results and Discussion </w:t>
      </w:r>
    </w:p>
    <w:p w14:paraId="09A40E46" w14:textId="0F8610E5" w:rsidR="000151BE" w:rsidRDefault="00B14902" w:rsidP="00600535">
      <w:pPr>
        <w:pStyle w:val="CETBodytext"/>
        <w:rPr>
          <w:lang w:val="en-GB"/>
        </w:rPr>
      </w:pPr>
      <w:r>
        <w:rPr>
          <w:lang w:val="en-GB"/>
        </w:rPr>
        <w:t>The results from DEM generation</w:t>
      </w:r>
      <w:r w:rsidR="000151BE">
        <w:rPr>
          <w:lang w:val="en-GB"/>
        </w:rPr>
        <w:t xml:space="preserve"> </w:t>
      </w:r>
      <w:r>
        <w:rPr>
          <w:lang w:val="en-GB"/>
        </w:rPr>
        <w:t>are summarized in</w:t>
      </w:r>
      <w:r w:rsidR="000151BE">
        <w:rPr>
          <w:lang w:val="en-GB"/>
        </w:rPr>
        <w:t xml:space="preserve"> T</w:t>
      </w:r>
      <w:r>
        <w:rPr>
          <w:lang w:val="en-GB"/>
        </w:rPr>
        <w:t>able 2.</w:t>
      </w:r>
      <w:r w:rsidR="00193855">
        <w:rPr>
          <w:lang w:val="en-GB"/>
        </w:rPr>
        <w:t xml:space="preserve"> </w:t>
      </w:r>
      <w:r w:rsidR="000151BE">
        <w:rPr>
          <w:lang w:val="en-GB"/>
        </w:rPr>
        <w:t xml:space="preserve">Fig.1 illustrates </w:t>
      </w:r>
      <w:proofErr w:type="spellStart"/>
      <w:r w:rsidR="00203F81" w:rsidRPr="00203F81">
        <w:rPr>
          <w:lang w:val="en-GB"/>
        </w:rPr>
        <w:t>Voronoi</w:t>
      </w:r>
      <w:proofErr w:type="spellEnd"/>
      <w:r w:rsidR="00203F81" w:rsidRPr="00203F81">
        <w:rPr>
          <w:lang w:val="en-GB"/>
        </w:rPr>
        <w:t xml:space="preserve"> </w:t>
      </w:r>
      <w:proofErr w:type="spellStart"/>
      <w:r w:rsidR="00203F81" w:rsidRPr="00203F81">
        <w:rPr>
          <w:lang w:val="en-GB"/>
        </w:rPr>
        <w:t>tesselation</w:t>
      </w:r>
      <w:proofErr w:type="spellEnd"/>
      <w:r w:rsidR="00203F81" w:rsidRPr="00203F81">
        <w:rPr>
          <w:lang w:val="en-GB"/>
        </w:rPr>
        <w:t xml:space="preserve"> </w:t>
      </w:r>
      <w:r w:rsidR="000151BE">
        <w:rPr>
          <w:lang w:val="en-GB"/>
        </w:rPr>
        <w:t>for the highest and lowest packing densities for both cases A and B.</w:t>
      </w:r>
    </w:p>
    <w:p w14:paraId="144159ED" w14:textId="6968353F" w:rsidR="00087A41" w:rsidRPr="00282694" w:rsidRDefault="00087A41" w:rsidP="00087A41">
      <w:pPr>
        <w:pStyle w:val="CETBodytext"/>
        <w:rPr>
          <w:lang w:val="en-GB"/>
        </w:rPr>
      </w:pPr>
    </w:p>
    <w:p w14:paraId="2A239D80" w14:textId="77777777" w:rsidR="00087A41" w:rsidRDefault="00087A41" w:rsidP="00600535">
      <w:pPr>
        <w:pStyle w:val="CETBodytext"/>
        <w:rPr>
          <w:lang w:val="en-GB"/>
        </w:rPr>
      </w:pPr>
    </w:p>
    <w:p w14:paraId="335DFBE0" w14:textId="77777777" w:rsidR="00087A41" w:rsidRDefault="00087A41" w:rsidP="00600535">
      <w:pPr>
        <w:pStyle w:val="CETBodytext"/>
        <w:rPr>
          <w:lang w:val="en-GB"/>
        </w:rPr>
      </w:pPr>
    </w:p>
    <w:p w14:paraId="37947D54" w14:textId="77777777" w:rsidR="00203F81" w:rsidRDefault="00203F81" w:rsidP="00282694">
      <w:pPr>
        <w:pStyle w:val="CETBodytext"/>
        <w:jc w:val="left"/>
        <w:rPr>
          <w:lang w:val="en-GB"/>
        </w:rPr>
      </w:pPr>
      <w:r>
        <w:rPr>
          <w:noProof/>
          <w:lang w:val="ru-RU" w:eastAsia="ru-RU"/>
        </w:rPr>
        <w:lastRenderedPageBreak/>
        <w:drawing>
          <wp:inline distT="0" distB="0" distL="0" distR="0" wp14:anchorId="5919661C" wp14:editId="3E6F1B23">
            <wp:extent cx="5273748" cy="264640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2121" cy="2650608"/>
                    </a:xfrm>
                    <a:prstGeom prst="rect">
                      <a:avLst/>
                    </a:prstGeom>
                    <a:noFill/>
                  </pic:spPr>
                </pic:pic>
              </a:graphicData>
            </a:graphic>
          </wp:inline>
        </w:drawing>
      </w:r>
    </w:p>
    <w:p w14:paraId="5698E382" w14:textId="77777777" w:rsidR="00203F81" w:rsidRPr="00765AF9" w:rsidRDefault="00203F81" w:rsidP="00765AF9">
      <w:pPr>
        <w:pStyle w:val="CETBodytextItalic"/>
      </w:pPr>
      <w:r w:rsidRPr="00765AF9">
        <w:t xml:space="preserve">Figure 1.  Voronoi tessellation  a) </w:t>
      </w:r>
      <w:r w:rsidR="00282694" w:rsidRPr="00765AF9">
        <w:t xml:space="preserve">Case A </w:t>
      </w:r>
      <w:r w:rsidR="00DF2A86">
        <w:t>1:2:4, A</w:t>
      </w:r>
      <w:r w:rsidR="006923A0" w:rsidRPr="00BF42FA">
        <w:rPr>
          <w:lang w:val="en-US"/>
        </w:rPr>
        <w:t>1</w:t>
      </w:r>
      <w:r w:rsidR="00DF2A86">
        <w:t>, low</w:t>
      </w:r>
      <w:r w:rsidRPr="00765AF9">
        <w:t xml:space="preserve"> packing </w:t>
      </w:r>
      <w:r w:rsidR="00B14902" w:rsidRPr="00765AF9">
        <w:t>density</w:t>
      </w:r>
      <w:r w:rsidR="00282694" w:rsidRPr="00765AF9">
        <w:t>;</w:t>
      </w:r>
      <w:r w:rsidRPr="00765AF9">
        <w:t xml:space="preserve"> b) </w:t>
      </w:r>
      <w:r w:rsidR="00282694" w:rsidRPr="00765AF9">
        <w:t xml:space="preserve">Case A </w:t>
      </w:r>
      <w:r w:rsidRPr="00765AF9">
        <w:t xml:space="preserve">1:2:4, A6, high packing </w:t>
      </w:r>
      <w:r w:rsidR="00B14902" w:rsidRPr="00765AF9">
        <w:t>density</w:t>
      </w:r>
      <w:r w:rsidR="00282694" w:rsidRPr="00765AF9">
        <w:t>; c)  Case B 1:2:8, B</w:t>
      </w:r>
      <w:r w:rsidR="00DF2A86">
        <w:t>2, low</w:t>
      </w:r>
      <w:r w:rsidR="00282694" w:rsidRPr="00765AF9">
        <w:t xml:space="preserve"> packing </w:t>
      </w:r>
      <w:r w:rsidR="00B14902" w:rsidRPr="00765AF9">
        <w:t>density</w:t>
      </w:r>
      <w:r w:rsidR="00282694" w:rsidRPr="00765AF9">
        <w:t>; d) Case B 1:2:8, B</w:t>
      </w:r>
      <w:r w:rsidR="00C045A5" w:rsidRPr="00BF42FA">
        <w:rPr>
          <w:lang w:val="en-US"/>
        </w:rPr>
        <w:t>4</w:t>
      </w:r>
      <w:r w:rsidR="00282694" w:rsidRPr="00765AF9">
        <w:t xml:space="preserve">, high packing </w:t>
      </w:r>
      <w:r w:rsidR="00B14902" w:rsidRPr="00765AF9">
        <w:t>density</w:t>
      </w:r>
    </w:p>
    <w:p w14:paraId="425CC83F" w14:textId="5602EDDD" w:rsidR="00087A41" w:rsidRPr="00FC5E96" w:rsidRDefault="00087A41" w:rsidP="00087A41">
      <w:pPr>
        <w:pStyle w:val="CETTabletitle"/>
      </w:pPr>
      <w:r w:rsidRPr="007B5A49">
        <w:t>Table 2</w:t>
      </w:r>
      <w:r w:rsidR="007B5A49">
        <w:t>:</w:t>
      </w:r>
      <w:r w:rsidRPr="007B5A49">
        <w:t xml:space="preserve"> Packing density and structural properties</w:t>
      </w:r>
      <w:r w:rsidR="00193855">
        <w:t xml:space="preserve"> of ternary powder compact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412"/>
        <w:gridCol w:w="537"/>
        <w:gridCol w:w="537"/>
        <w:gridCol w:w="537"/>
        <w:gridCol w:w="1435"/>
        <w:gridCol w:w="611"/>
        <w:gridCol w:w="412"/>
        <w:gridCol w:w="537"/>
        <w:gridCol w:w="537"/>
        <w:gridCol w:w="537"/>
        <w:gridCol w:w="1435"/>
      </w:tblGrid>
      <w:tr w:rsidR="006923A0" w:rsidRPr="002A13EC" w14:paraId="46402070" w14:textId="77777777" w:rsidTr="00EE526B">
        <w:trPr>
          <w:trHeight w:val="438"/>
          <w:jc w:val="center"/>
        </w:trPr>
        <w:tc>
          <w:tcPr>
            <w:tcW w:w="0" w:type="auto"/>
            <w:vMerge w:val="restart"/>
            <w:textDirection w:val="btLr"/>
          </w:tcPr>
          <w:p w14:paraId="7C7AE071" w14:textId="77777777" w:rsidR="006923A0" w:rsidRPr="002A13EC" w:rsidRDefault="006923A0" w:rsidP="00EE526B">
            <w:pPr>
              <w:spacing w:after="200" w:line="240" w:lineRule="auto"/>
              <w:ind w:left="113" w:right="113"/>
              <w:jc w:val="center"/>
              <w:rPr>
                <w:rFonts w:cs="Arial"/>
                <w:b/>
                <w:color w:val="000000"/>
                <w:sz w:val="16"/>
                <w:szCs w:val="18"/>
              </w:rPr>
            </w:pPr>
            <w:r w:rsidRPr="002A13EC">
              <w:rPr>
                <w:rFonts w:cs="Arial"/>
                <w:b/>
                <w:color w:val="000000"/>
                <w:sz w:val="16"/>
                <w:szCs w:val="18"/>
              </w:rPr>
              <w:t>Case A 1:2:4</w:t>
            </w:r>
          </w:p>
        </w:tc>
        <w:tc>
          <w:tcPr>
            <w:tcW w:w="0" w:type="auto"/>
            <w:vMerge w:val="restart"/>
            <w:vAlign w:val="center"/>
          </w:tcPr>
          <w:p w14:paraId="11013ACD" w14:textId="77777777" w:rsidR="006923A0" w:rsidRPr="002A13EC" w:rsidRDefault="006923A0" w:rsidP="00EE526B">
            <w:pPr>
              <w:spacing w:line="240" w:lineRule="auto"/>
              <w:jc w:val="left"/>
              <w:rPr>
                <w:rFonts w:cs="Arial"/>
                <w:b/>
                <w:color w:val="000000"/>
                <w:sz w:val="16"/>
                <w:szCs w:val="18"/>
                <w:lang w:val="en-US"/>
              </w:rPr>
            </w:pPr>
            <w:r w:rsidRPr="002A13EC">
              <w:rPr>
                <w:rFonts w:cs="Arial"/>
                <w:b/>
                <w:color w:val="000000"/>
                <w:sz w:val="16"/>
                <w:szCs w:val="18"/>
              </w:rPr>
              <w:t>№</w:t>
            </w:r>
          </w:p>
        </w:tc>
        <w:tc>
          <w:tcPr>
            <w:tcW w:w="0" w:type="auto"/>
            <w:gridSpan w:val="3"/>
            <w:shd w:val="clear" w:color="auto" w:fill="auto"/>
            <w:noWrap/>
            <w:vAlign w:val="center"/>
            <w:hideMark/>
          </w:tcPr>
          <w:p w14:paraId="773985BD" w14:textId="77777777" w:rsidR="006923A0" w:rsidRPr="002A13EC" w:rsidRDefault="006923A0" w:rsidP="00EE526B">
            <w:pPr>
              <w:spacing w:line="240" w:lineRule="auto"/>
              <w:jc w:val="left"/>
              <w:rPr>
                <w:rFonts w:cs="Arial"/>
                <w:b/>
                <w:color w:val="000000"/>
                <w:sz w:val="16"/>
                <w:szCs w:val="18"/>
              </w:rPr>
            </w:pPr>
            <w:r w:rsidRPr="002A13EC">
              <w:rPr>
                <w:rFonts w:cs="Arial"/>
                <w:b/>
                <w:color w:val="000000"/>
                <w:sz w:val="16"/>
                <w:szCs w:val="18"/>
              </w:rPr>
              <w:t>Volume fractions</w:t>
            </w:r>
          </w:p>
        </w:tc>
        <w:tc>
          <w:tcPr>
            <w:tcW w:w="0" w:type="auto"/>
            <w:vMerge w:val="restart"/>
            <w:shd w:val="clear" w:color="auto" w:fill="auto"/>
            <w:vAlign w:val="center"/>
            <w:hideMark/>
          </w:tcPr>
          <w:p w14:paraId="74CC977F" w14:textId="77777777" w:rsidR="006923A0" w:rsidRPr="002A13EC" w:rsidRDefault="006923A0" w:rsidP="00EE526B">
            <w:pPr>
              <w:spacing w:line="240" w:lineRule="auto"/>
              <w:jc w:val="left"/>
              <w:rPr>
                <w:rFonts w:cs="Arial"/>
                <w:b/>
                <w:color w:val="000000"/>
                <w:sz w:val="16"/>
                <w:szCs w:val="18"/>
              </w:rPr>
            </w:pPr>
            <w:r w:rsidRPr="002A13EC">
              <w:rPr>
                <w:rFonts w:cs="Arial"/>
                <w:b/>
                <w:color w:val="000000"/>
                <w:sz w:val="16"/>
                <w:szCs w:val="18"/>
              </w:rPr>
              <w:t>Packing density</w:t>
            </w:r>
          </w:p>
          <w:p w14:paraId="67DCDC72" w14:textId="77777777" w:rsidR="006923A0" w:rsidRPr="002A13EC" w:rsidRDefault="006923A0" w:rsidP="00EE526B">
            <w:pPr>
              <w:spacing w:line="240" w:lineRule="auto"/>
              <w:jc w:val="left"/>
              <w:rPr>
                <w:rFonts w:cs="Arial"/>
                <w:b/>
                <w:color w:val="000000"/>
                <w:sz w:val="16"/>
                <w:szCs w:val="18"/>
              </w:rPr>
            </w:pPr>
          </w:p>
        </w:tc>
        <w:tc>
          <w:tcPr>
            <w:tcW w:w="598" w:type="dxa"/>
            <w:vMerge w:val="restart"/>
            <w:textDirection w:val="btLr"/>
          </w:tcPr>
          <w:p w14:paraId="1F01DE41" w14:textId="77777777" w:rsidR="006923A0" w:rsidRPr="002A13EC" w:rsidRDefault="006923A0" w:rsidP="00EE526B">
            <w:pPr>
              <w:spacing w:after="200" w:line="240" w:lineRule="auto"/>
              <w:ind w:left="113" w:right="113"/>
              <w:jc w:val="center"/>
              <w:rPr>
                <w:rFonts w:cs="Arial"/>
                <w:b/>
                <w:color w:val="000000"/>
                <w:sz w:val="16"/>
                <w:szCs w:val="18"/>
              </w:rPr>
            </w:pPr>
            <w:r w:rsidRPr="002A13EC">
              <w:rPr>
                <w:rFonts w:cs="Arial"/>
                <w:b/>
                <w:color w:val="000000"/>
                <w:sz w:val="16"/>
                <w:szCs w:val="18"/>
              </w:rPr>
              <w:t>Case B 1:2:8</w:t>
            </w:r>
          </w:p>
        </w:tc>
        <w:tc>
          <w:tcPr>
            <w:tcW w:w="364" w:type="dxa"/>
            <w:vMerge w:val="restart"/>
            <w:vAlign w:val="center"/>
          </w:tcPr>
          <w:p w14:paraId="25B8191D" w14:textId="77777777" w:rsidR="006923A0" w:rsidRPr="002A13EC" w:rsidRDefault="006923A0" w:rsidP="00EE526B">
            <w:pPr>
              <w:spacing w:line="240" w:lineRule="auto"/>
              <w:jc w:val="center"/>
              <w:rPr>
                <w:rFonts w:cs="Arial"/>
                <w:b/>
                <w:color w:val="000000"/>
                <w:sz w:val="16"/>
                <w:szCs w:val="18"/>
              </w:rPr>
            </w:pPr>
            <w:r w:rsidRPr="002A13EC">
              <w:rPr>
                <w:rFonts w:cs="Arial"/>
                <w:b/>
                <w:color w:val="000000"/>
                <w:sz w:val="16"/>
                <w:szCs w:val="18"/>
              </w:rPr>
              <w:t>№</w:t>
            </w:r>
          </w:p>
        </w:tc>
        <w:tc>
          <w:tcPr>
            <w:tcW w:w="0" w:type="auto"/>
            <w:gridSpan w:val="3"/>
            <w:vAlign w:val="center"/>
          </w:tcPr>
          <w:p w14:paraId="22A83B8A" w14:textId="77777777" w:rsidR="006923A0" w:rsidRPr="002A13EC" w:rsidRDefault="006923A0" w:rsidP="00EE526B">
            <w:pPr>
              <w:spacing w:line="240" w:lineRule="auto"/>
              <w:jc w:val="center"/>
              <w:rPr>
                <w:rFonts w:cs="Arial"/>
                <w:b/>
                <w:color w:val="000000"/>
                <w:sz w:val="16"/>
                <w:szCs w:val="18"/>
              </w:rPr>
            </w:pPr>
            <w:r w:rsidRPr="002A13EC">
              <w:rPr>
                <w:rFonts w:cs="Arial"/>
                <w:b/>
                <w:color w:val="000000"/>
                <w:sz w:val="16"/>
                <w:szCs w:val="18"/>
              </w:rPr>
              <w:t>Volume fractions</w:t>
            </w:r>
          </w:p>
        </w:tc>
        <w:tc>
          <w:tcPr>
            <w:tcW w:w="0" w:type="auto"/>
            <w:vMerge w:val="restart"/>
            <w:vAlign w:val="center"/>
          </w:tcPr>
          <w:p w14:paraId="2B00D3FB" w14:textId="77777777" w:rsidR="006923A0" w:rsidRPr="002A13EC" w:rsidRDefault="006923A0" w:rsidP="00EE526B">
            <w:pPr>
              <w:spacing w:line="240" w:lineRule="auto"/>
              <w:jc w:val="center"/>
              <w:rPr>
                <w:rFonts w:cs="Arial"/>
                <w:b/>
                <w:color w:val="000000"/>
                <w:sz w:val="16"/>
                <w:szCs w:val="18"/>
              </w:rPr>
            </w:pPr>
            <w:r w:rsidRPr="002A13EC">
              <w:rPr>
                <w:rFonts w:cs="Arial"/>
                <w:b/>
                <w:color w:val="000000"/>
                <w:sz w:val="16"/>
                <w:szCs w:val="18"/>
              </w:rPr>
              <w:t>Packing density</w:t>
            </w:r>
          </w:p>
          <w:p w14:paraId="59D11C86" w14:textId="77777777" w:rsidR="006923A0" w:rsidRPr="002A13EC" w:rsidRDefault="006923A0" w:rsidP="00EE526B">
            <w:pPr>
              <w:spacing w:line="240" w:lineRule="auto"/>
              <w:jc w:val="center"/>
              <w:rPr>
                <w:rFonts w:cs="Arial"/>
                <w:b/>
                <w:color w:val="000000"/>
                <w:sz w:val="16"/>
                <w:szCs w:val="18"/>
              </w:rPr>
            </w:pPr>
          </w:p>
        </w:tc>
      </w:tr>
      <w:tr w:rsidR="006923A0" w:rsidRPr="002A13EC" w14:paraId="60A0EEDD" w14:textId="77777777" w:rsidTr="00EE526B">
        <w:trPr>
          <w:trHeight w:val="300"/>
          <w:jc w:val="center"/>
        </w:trPr>
        <w:tc>
          <w:tcPr>
            <w:tcW w:w="0" w:type="auto"/>
            <w:vMerge/>
          </w:tcPr>
          <w:p w14:paraId="252947C6" w14:textId="77777777" w:rsidR="006923A0" w:rsidRPr="002A13EC" w:rsidRDefault="006923A0" w:rsidP="00EE526B">
            <w:pPr>
              <w:spacing w:after="200" w:line="240" w:lineRule="auto"/>
              <w:ind w:left="113" w:right="113"/>
              <w:jc w:val="center"/>
              <w:rPr>
                <w:rFonts w:cs="Arial"/>
                <w:b/>
                <w:color w:val="000000"/>
                <w:sz w:val="16"/>
                <w:szCs w:val="18"/>
              </w:rPr>
            </w:pPr>
          </w:p>
        </w:tc>
        <w:tc>
          <w:tcPr>
            <w:tcW w:w="0" w:type="auto"/>
            <w:vMerge/>
          </w:tcPr>
          <w:p w14:paraId="3BB33DAA" w14:textId="77777777" w:rsidR="006923A0" w:rsidRPr="002A13EC" w:rsidRDefault="006923A0" w:rsidP="00EE526B">
            <w:pPr>
              <w:spacing w:line="240" w:lineRule="auto"/>
              <w:jc w:val="center"/>
              <w:rPr>
                <w:rFonts w:cs="Arial"/>
                <w:b/>
                <w:color w:val="000000"/>
                <w:sz w:val="16"/>
                <w:szCs w:val="18"/>
              </w:rPr>
            </w:pPr>
          </w:p>
        </w:tc>
        <w:tc>
          <w:tcPr>
            <w:tcW w:w="0" w:type="auto"/>
            <w:shd w:val="clear" w:color="auto" w:fill="auto"/>
            <w:noWrap/>
            <w:vAlign w:val="center"/>
            <w:hideMark/>
          </w:tcPr>
          <w:p w14:paraId="66516837" w14:textId="77777777" w:rsidR="006923A0" w:rsidRPr="002A13EC" w:rsidRDefault="006923A0" w:rsidP="00EE526B">
            <w:pPr>
              <w:spacing w:line="240" w:lineRule="auto"/>
              <w:jc w:val="center"/>
              <w:rPr>
                <w:rFonts w:cs="Arial"/>
                <w:b/>
                <w:color w:val="000000"/>
                <w:sz w:val="16"/>
                <w:szCs w:val="18"/>
              </w:rPr>
            </w:pPr>
            <w:r w:rsidRPr="002A13EC">
              <w:rPr>
                <w:rFonts w:cs="Arial"/>
                <w:b/>
                <w:color w:val="000000"/>
                <w:sz w:val="16"/>
                <w:szCs w:val="18"/>
              </w:rPr>
              <w:t>x</w:t>
            </w:r>
            <w:r w:rsidRPr="002A13EC">
              <w:rPr>
                <w:rFonts w:cs="Arial"/>
                <w:b/>
                <w:color w:val="000000"/>
                <w:sz w:val="16"/>
                <w:szCs w:val="18"/>
                <w:vertAlign w:val="subscript"/>
              </w:rPr>
              <w:t>l</w:t>
            </w:r>
          </w:p>
        </w:tc>
        <w:tc>
          <w:tcPr>
            <w:tcW w:w="0" w:type="auto"/>
            <w:shd w:val="clear" w:color="auto" w:fill="auto"/>
            <w:noWrap/>
            <w:vAlign w:val="center"/>
            <w:hideMark/>
          </w:tcPr>
          <w:p w14:paraId="5C17EE6E" w14:textId="77777777" w:rsidR="006923A0" w:rsidRPr="002A13EC" w:rsidRDefault="006923A0" w:rsidP="00EE526B">
            <w:pPr>
              <w:spacing w:line="240" w:lineRule="auto"/>
              <w:jc w:val="center"/>
              <w:rPr>
                <w:rFonts w:cs="Arial"/>
                <w:b/>
                <w:color w:val="000000"/>
                <w:sz w:val="16"/>
                <w:szCs w:val="18"/>
              </w:rPr>
            </w:pPr>
            <w:proofErr w:type="spellStart"/>
            <w:r w:rsidRPr="002A13EC">
              <w:rPr>
                <w:rFonts w:cs="Arial"/>
                <w:b/>
                <w:color w:val="000000"/>
                <w:sz w:val="16"/>
                <w:szCs w:val="18"/>
              </w:rPr>
              <w:t>x</w:t>
            </w:r>
            <w:r w:rsidRPr="002A13EC">
              <w:rPr>
                <w:rFonts w:cs="Arial"/>
                <w:b/>
                <w:color w:val="000000"/>
                <w:sz w:val="16"/>
                <w:szCs w:val="18"/>
                <w:vertAlign w:val="subscript"/>
              </w:rPr>
              <w:t>m</w:t>
            </w:r>
            <w:proofErr w:type="spellEnd"/>
          </w:p>
        </w:tc>
        <w:tc>
          <w:tcPr>
            <w:tcW w:w="0" w:type="auto"/>
            <w:shd w:val="clear" w:color="auto" w:fill="auto"/>
            <w:noWrap/>
            <w:vAlign w:val="center"/>
            <w:hideMark/>
          </w:tcPr>
          <w:p w14:paraId="1D22D3BF" w14:textId="77777777" w:rsidR="006923A0" w:rsidRPr="002A13EC" w:rsidRDefault="006923A0" w:rsidP="00EE526B">
            <w:pPr>
              <w:spacing w:line="240" w:lineRule="auto"/>
              <w:jc w:val="center"/>
              <w:rPr>
                <w:rFonts w:cs="Arial"/>
                <w:b/>
                <w:color w:val="000000"/>
                <w:sz w:val="16"/>
                <w:szCs w:val="18"/>
              </w:rPr>
            </w:pPr>
            <w:proofErr w:type="spellStart"/>
            <w:r w:rsidRPr="002A13EC">
              <w:rPr>
                <w:rFonts w:cs="Arial"/>
                <w:b/>
                <w:color w:val="000000"/>
                <w:sz w:val="16"/>
                <w:szCs w:val="18"/>
              </w:rPr>
              <w:t>x</w:t>
            </w:r>
            <w:r w:rsidRPr="002A13EC">
              <w:rPr>
                <w:rFonts w:cs="Arial"/>
                <w:b/>
                <w:color w:val="000000"/>
                <w:sz w:val="16"/>
                <w:szCs w:val="18"/>
                <w:vertAlign w:val="subscript"/>
              </w:rPr>
              <w:t>s</w:t>
            </w:r>
            <w:proofErr w:type="spellEnd"/>
          </w:p>
        </w:tc>
        <w:tc>
          <w:tcPr>
            <w:tcW w:w="0" w:type="auto"/>
            <w:vMerge/>
            <w:shd w:val="clear" w:color="auto" w:fill="auto"/>
            <w:noWrap/>
            <w:vAlign w:val="center"/>
            <w:hideMark/>
          </w:tcPr>
          <w:p w14:paraId="5C21FB6F" w14:textId="77777777" w:rsidR="006923A0" w:rsidRPr="002A13EC" w:rsidRDefault="006923A0" w:rsidP="00EE526B">
            <w:pPr>
              <w:spacing w:line="240" w:lineRule="auto"/>
              <w:jc w:val="center"/>
              <w:rPr>
                <w:rFonts w:cs="Arial"/>
                <w:b/>
                <w:color w:val="000000"/>
                <w:sz w:val="16"/>
                <w:szCs w:val="18"/>
              </w:rPr>
            </w:pPr>
          </w:p>
        </w:tc>
        <w:tc>
          <w:tcPr>
            <w:tcW w:w="598" w:type="dxa"/>
            <w:vMerge/>
          </w:tcPr>
          <w:p w14:paraId="1EB7C23E" w14:textId="77777777" w:rsidR="006923A0" w:rsidRPr="002A13EC" w:rsidRDefault="006923A0" w:rsidP="00EE526B">
            <w:pPr>
              <w:spacing w:after="200" w:line="240" w:lineRule="auto"/>
              <w:ind w:left="113" w:right="113"/>
              <w:jc w:val="center"/>
              <w:rPr>
                <w:rFonts w:cs="Arial"/>
                <w:b/>
                <w:color w:val="000000"/>
                <w:sz w:val="16"/>
                <w:szCs w:val="18"/>
              </w:rPr>
            </w:pPr>
          </w:p>
        </w:tc>
        <w:tc>
          <w:tcPr>
            <w:tcW w:w="364" w:type="dxa"/>
            <w:vMerge/>
          </w:tcPr>
          <w:p w14:paraId="0AA3941A" w14:textId="77777777" w:rsidR="006923A0" w:rsidRPr="002A13EC" w:rsidRDefault="006923A0" w:rsidP="00EE526B">
            <w:pPr>
              <w:spacing w:line="240" w:lineRule="auto"/>
              <w:jc w:val="center"/>
              <w:rPr>
                <w:rFonts w:cs="Arial"/>
                <w:b/>
                <w:color w:val="000000"/>
                <w:sz w:val="16"/>
                <w:szCs w:val="18"/>
              </w:rPr>
            </w:pPr>
          </w:p>
        </w:tc>
        <w:tc>
          <w:tcPr>
            <w:tcW w:w="0" w:type="auto"/>
            <w:vAlign w:val="center"/>
          </w:tcPr>
          <w:p w14:paraId="4075592D" w14:textId="77777777" w:rsidR="006923A0" w:rsidRPr="002A13EC" w:rsidRDefault="006923A0" w:rsidP="00EE526B">
            <w:pPr>
              <w:spacing w:line="240" w:lineRule="auto"/>
              <w:jc w:val="center"/>
              <w:rPr>
                <w:rFonts w:cs="Arial"/>
                <w:b/>
                <w:color w:val="000000"/>
                <w:sz w:val="16"/>
                <w:szCs w:val="18"/>
              </w:rPr>
            </w:pPr>
            <w:r w:rsidRPr="002A13EC">
              <w:rPr>
                <w:rFonts w:cs="Arial"/>
                <w:b/>
                <w:color w:val="000000"/>
                <w:sz w:val="16"/>
                <w:szCs w:val="18"/>
              </w:rPr>
              <w:t>x</w:t>
            </w:r>
            <w:r w:rsidRPr="002A13EC">
              <w:rPr>
                <w:rFonts w:cs="Arial"/>
                <w:b/>
                <w:color w:val="000000"/>
                <w:sz w:val="16"/>
                <w:szCs w:val="18"/>
                <w:vertAlign w:val="subscript"/>
              </w:rPr>
              <w:t>l</w:t>
            </w:r>
          </w:p>
        </w:tc>
        <w:tc>
          <w:tcPr>
            <w:tcW w:w="0" w:type="auto"/>
            <w:vAlign w:val="center"/>
          </w:tcPr>
          <w:p w14:paraId="70EAE1DF" w14:textId="77777777" w:rsidR="006923A0" w:rsidRPr="002A13EC" w:rsidRDefault="006923A0" w:rsidP="00EE526B">
            <w:pPr>
              <w:spacing w:line="240" w:lineRule="auto"/>
              <w:jc w:val="center"/>
              <w:rPr>
                <w:rFonts w:cs="Arial"/>
                <w:b/>
                <w:color w:val="000000"/>
                <w:sz w:val="16"/>
                <w:szCs w:val="18"/>
              </w:rPr>
            </w:pPr>
            <w:proofErr w:type="spellStart"/>
            <w:r w:rsidRPr="002A13EC">
              <w:rPr>
                <w:rFonts w:cs="Arial"/>
                <w:b/>
                <w:color w:val="000000"/>
                <w:sz w:val="16"/>
                <w:szCs w:val="18"/>
              </w:rPr>
              <w:t>x</w:t>
            </w:r>
            <w:r w:rsidRPr="002A13EC">
              <w:rPr>
                <w:rFonts w:cs="Arial"/>
                <w:b/>
                <w:color w:val="000000"/>
                <w:sz w:val="16"/>
                <w:szCs w:val="18"/>
                <w:vertAlign w:val="subscript"/>
              </w:rPr>
              <w:t>m</w:t>
            </w:r>
            <w:proofErr w:type="spellEnd"/>
          </w:p>
        </w:tc>
        <w:tc>
          <w:tcPr>
            <w:tcW w:w="0" w:type="auto"/>
            <w:vAlign w:val="center"/>
          </w:tcPr>
          <w:p w14:paraId="7DE80FA2" w14:textId="77777777" w:rsidR="006923A0" w:rsidRPr="002A13EC" w:rsidRDefault="006923A0" w:rsidP="00EE526B">
            <w:pPr>
              <w:spacing w:line="240" w:lineRule="auto"/>
              <w:jc w:val="center"/>
              <w:rPr>
                <w:rFonts w:cs="Arial"/>
                <w:b/>
                <w:color w:val="000000"/>
                <w:sz w:val="16"/>
                <w:szCs w:val="18"/>
              </w:rPr>
            </w:pPr>
            <w:proofErr w:type="spellStart"/>
            <w:r w:rsidRPr="002A13EC">
              <w:rPr>
                <w:rFonts w:cs="Arial"/>
                <w:b/>
                <w:color w:val="000000"/>
                <w:sz w:val="16"/>
                <w:szCs w:val="18"/>
              </w:rPr>
              <w:t>x</w:t>
            </w:r>
            <w:r w:rsidRPr="002A13EC">
              <w:rPr>
                <w:rFonts w:cs="Arial"/>
                <w:b/>
                <w:color w:val="000000"/>
                <w:sz w:val="16"/>
                <w:szCs w:val="18"/>
                <w:vertAlign w:val="subscript"/>
              </w:rPr>
              <w:t>s</w:t>
            </w:r>
            <w:proofErr w:type="spellEnd"/>
          </w:p>
        </w:tc>
        <w:tc>
          <w:tcPr>
            <w:tcW w:w="0" w:type="auto"/>
            <w:vMerge/>
          </w:tcPr>
          <w:p w14:paraId="4AACC225" w14:textId="77777777" w:rsidR="006923A0" w:rsidRPr="002A13EC" w:rsidRDefault="006923A0" w:rsidP="00EE526B">
            <w:pPr>
              <w:spacing w:line="240" w:lineRule="auto"/>
              <w:jc w:val="center"/>
              <w:rPr>
                <w:rFonts w:cs="Arial"/>
                <w:b/>
                <w:color w:val="000000"/>
                <w:sz w:val="16"/>
                <w:szCs w:val="18"/>
              </w:rPr>
            </w:pPr>
          </w:p>
        </w:tc>
      </w:tr>
      <w:tr w:rsidR="006923A0" w:rsidRPr="002A13EC" w14:paraId="68F5F0FB" w14:textId="77777777" w:rsidTr="00EE526B">
        <w:trPr>
          <w:trHeight w:val="300"/>
          <w:jc w:val="center"/>
        </w:trPr>
        <w:tc>
          <w:tcPr>
            <w:tcW w:w="0" w:type="auto"/>
            <w:vMerge/>
            <w:textDirection w:val="btLr"/>
          </w:tcPr>
          <w:p w14:paraId="18F883EE" w14:textId="77777777" w:rsidR="006923A0" w:rsidRPr="002A13EC" w:rsidRDefault="006923A0" w:rsidP="00EE526B">
            <w:pPr>
              <w:spacing w:line="240" w:lineRule="auto"/>
              <w:ind w:left="113" w:right="113"/>
              <w:jc w:val="center"/>
              <w:rPr>
                <w:rFonts w:cs="Arial"/>
                <w:b/>
                <w:color w:val="000000"/>
                <w:sz w:val="16"/>
                <w:szCs w:val="18"/>
              </w:rPr>
            </w:pPr>
          </w:p>
        </w:tc>
        <w:tc>
          <w:tcPr>
            <w:tcW w:w="0" w:type="auto"/>
            <w:shd w:val="clear" w:color="auto" w:fill="auto"/>
            <w:noWrap/>
            <w:vAlign w:val="center"/>
            <w:hideMark/>
          </w:tcPr>
          <w:p w14:paraId="10EA0DA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A1</w:t>
            </w:r>
          </w:p>
        </w:tc>
        <w:tc>
          <w:tcPr>
            <w:tcW w:w="0" w:type="auto"/>
            <w:shd w:val="clear" w:color="auto" w:fill="auto"/>
            <w:noWrap/>
            <w:vAlign w:val="center"/>
            <w:hideMark/>
          </w:tcPr>
          <w:p w14:paraId="7E1B022E"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90%</w:t>
            </w:r>
          </w:p>
        </w:tc>
        <w:tc>
          <w:tcPr>
            <w:tcW w:w="0" w:type="auto"/>
            <w:shd w:val="clear" w:color="auto" w:fill="auto"/>
            <w:noWrap/>
            <w:vAlign w:val="center"/>
            <w:hideMark/>
          </w:tcPr>
          <w:p w14:paraId="6D2F8D3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w:t>
            </w:r>
          </w:p>
        </w:tc>
        <w:tc>
          <w:tcPr>
            <w:tcW w:w="0" w:type="auto"/>
            <w:shd w:val="clear" w:color="auto" w:fill="auto"/>
            <w:noWrap/>
            <w:vAlign w:val="center"/>
            <w:hideMark/>
          </w:tcPr>
          <w:p w14:paraId="5449E74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w:t>
            </w:r>
          </w:p>
        </w:tc>
        <w:tc>
          <w:tcPr>
            <w:tcW w:w="0" w:type="auto"/>
            <w:shd w:val="clear" w:color="auto" w:fill="auto"/>
            <w:noWrap/>
            <w:vAlign w:val="center"/>
            <w:hideMark/>
          </w:tcPr>
          <w:p w14:paraId="323A565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0.754</w:t>
            </w:r>
          </w:p>
        </w:tc>
        <w:tc>
          <w:tcPr>
            <w:tcW w:w="598" w:type="dxa"/>
            <w:vMerge/>
            <w:textDirection w:val="btLr"/>
          </w:tcPr>
          <w:p w14:paraId="030F8015" w14:textId="77777777" w:rsidR="006923A0" w:rsidRPr="002A13EC" w:rsidRDefault="006923A0" w:rsidP="00EE526B">
            <w:pPr>
              <w:spacing w:line="240" w:lineRule="auto"/>
              <w:ind w:left="113" w:right="113"/>
              <w:jc w:val="center"/>
              <w:rPr>
                <w:rFonts w:cs="Arial"/>
                <w:b/>
                <w:color w:val="000000"/>
                <w:sz w:val="16"/>
                <w:szCs w:val="18"/>
              </w:rPr>
            </w:pPr>
          </w:p>
        </w:tc>
        <w:tc>
          <w:tcPr>
            <w:tcW w:w="364" w:type="dxa"/>
            <w:vAlign w:val="center"/>
          </w:tcPr>
          <w:p w14:paraId="04B160C0"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B1</w:t>
            </w:r>
          </w:p>
        </w:tc>
        <w:tc>
          <w:tcPr>
            <w:tcW w:w="0" w:type="auto"/>
            <w:vAlign w:val="center"/>
          </w:tcPr>
          <w:p w14:paraId="23D9654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90%</w:t>
            </w:r>
          </w:p>
        </w:tc>
        <w:tc>
          <w:tcPr>
            <w:tcW w:w="0" w:type="auto"/>
            <w:vAlign w:val="center"/>
          </w:tcPr>
          <w:p w14:paraId="660FB9E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w:t>
            </w:r>
          </w:p>
        </w:tc>
        <w:tc>
          <w:tcPr>
            <w:tcW w:w="0" w:type="auto"/>
            <w:vAlign w:val="center"/>
          </w:tcPr>
          <w:p w14:paraId="045C222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w:t>
            </w:r>
          </w:p>
        </w:tc>
        <w:tc>
          <w:tcPr>
            <w:tcW w:w="0" w:type="auto"/>
            <w:vAlign w:val="center"/>
          </w:tcPr>
          <w:p w14:paraId="5D964585"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0.744</w:t>
            </w:r>
          </w:p>
        </w:tc>
      </w:tr>
      <w:tr w:rsidR="006923A0" w:rsidRPr="002A13EC" w14:paraId="56C19BB8" w14:textId="77777777" w:rsidTr="00EE526B">
        <w:trPr>
          <w:trHeight w:val="300"/>
          <w:jc w:val="center"/>
        </w:trPr>
        <w:tc>
          <w:tcPr>
            <w:tcW w:w="0" w:type="auto"/>
            <w:vMerge/>
          </w:tcPr>
          <w:p w14:paraId="3E2ABC14"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087E1E8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A2</w:t>
            </w:r>
          </w:p>
        </w:tc>
        <w:tc>
          <w:tcPr>
            <w:tcW w:w="0" w:type="auto"/>
            <w:shd w:val="clear" w:color="auto" w:fill="auto"/>
            <w:noWrap/>
            <w:vAlign w:val="center"/>
            <w:hideMark/>
          </w:tcPr>
          <w:p w14:paraId="696559D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80%</w:t>
            </w:r>
          </w:p>
        </w:tc>
        <w:tc>
          <w:tcPr>
            <w:tcW w:w="0" w:type="auto"/>
            <w:shd w:val="clear" w:color="auto" w:fill="auto"/>
            <w:noWrap/>
            <w:vAlign w:val="center"/>
            <w:hideMark/>
          </w:tcPr>
          <w:p w14:paraId="703537B1"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shd w:val="clear" w:color="auto" w:fill="auto"/>
            <w:noWrap/>
            <w:vAlign w:val="center"/>
            <w:hideMark/>
          </w:tcPr>
          <w:p w14:paraId="44A67B4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shd w:val="clear" w:color="auto" w:fill="auto"/>
            <w:noWrap/>
            <w:vAlign w:val="center"/>
            <w:hideMark/>
          </w:tcPr>
          <w:p w14:paraId="41D46E45"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0.762</w:t>
            </w:r>
          </w:p>
        </w:tc>
        <w:tc>
          <w:tcPr>
            <w:tcW w:w="598" w:type="dxa"/>
            <w:vMerge/>
          </w:tcPr>
          <w:p w14:paraId="0D97233D"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7A2F8A4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B2</w:t>
            </w:r>
          </w:p>
        </w:tc>
        <w:tc>
          <w:tcPr>
            <w:tcW w:w="0" w:type="auto"/>
            <w:vAlign w:val="center"/>
          </w:tcPr>
          <w:p w14:paraId="0CD91C6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80%</w:t>
            </w:r>
          </w:p>
        </w:tc>
        <w:tc>
          <w:tcPr>
            <w:tcW w:w="0" w:type="auto"/>
            <w:vAlign w:val="center"/>
          </w:tcPr>
          <w:p w14:paraId="0022E43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vAlign w:val="center"/>
          </w:tcPr>
          <w:p w14:paraId="5599310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vAlign w:val="center"/>
          </w:tcPr>
          <w:p w14:paraId="70FA8B5E"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0.760</w:t>
            </w:r>
          </w:p>
        </w:tc>
      </w:tr>
      <w:tr w:rsidR="006923A0" w:rsidRPr="002A13EC" w14:paraId="189DD2A4" w14:textId="77777777" w:rsidTr="00EE526B">
        <w:trPr>
          <w:trHeight w:val="300"/>
          <w:jc w:val="center"/>
        </w:trPr>
        <w:tc>
          <w:tcPr>
            <w:tcW w:w="0" w:type="auto"/>
            <w:vMerge/>
          </w:tcPr>
          <w:p w14:paraId="5C7FC45F"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tcPr>
          <w:p w14:paraId="2C9D6B3F"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A3</w:t>
            </w:r>
          </w:p>
        </w:tc>
        <w:tc>
          <w:tcPr>
            <w:tcW w:w="0" w:type="auto"/>
            <w:shd w:val="clear" w:color="auto" w:fill="auto"/>
            <w:noWrap/>
            <w:vAlign w:val="center"/>
          </w:tcPr>
          <w:p w14:paraId="2E28179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70%</w:t>
            </w:r>
          </w:p>
        </w:tc>
        <w:tc>
          <w:tcPr>
            <w:tcW w:w="0" w:type="auto"/>
            <w:shd w:val="clear" w:color="auto" w:fill="auto"/>
            <w:noWrap/>
            <w:vAlign w:val="center"/>
          </w:tcPr>
          <w:p w14:paraId="531DF58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15%</w:t>
            </w:r>
          </w:p>
        </w:tc>
        <w:tc>
          <w:tcPr>
            <w:tcW w:w="0" w:type="auto"/>
            <w:shd w:val="clear" w:color="auto" w:fill="auto"/>
            <w:noWrap/>
            <w:vAlign w:val="center"/>
          </w:tcPr>
          <w:p w14:paraId="3F61885F"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15%</w:t>
            </w:r>
          </w:p>
        </w:tc>
        <w:tc>
          <w:tcPr>
            <w:tcW w:w="0" w:type="auto"/>
            <w:shd w:val="clear" w:color="auto" w:fill="auto"/>
            <w:noWrap/>
            <w:vAlign w:val="center"/>
          </w:tcPr>
          <w:p w14:paraId="1BB98B2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0.767</w:t>
            </w:r>
          </w:p>
        </w:tc>
        <w:tc>
          <w:tcPr>
            <w:tcW w:w="598" w:type="dxa"/>
            <w:vMerge/>
          </w:tcPr>
          <w:p w14:paraId="381C9E41"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3CEFEED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B3</w:t>
            </w:r>
          </w:p>
        </w:tc>
        <w:tc>
          <w:tcPr>
            <w:tcW w:w="0" w:type="auto"/>
            <w:vAlign w:val="center"/>
          </w:tcPr>
          <w:p w14:paraId="5BAA960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70%</w:t>
            </w:r>
          </w:p>
        </w:tc>
        <w:tc>
          <w:tcPr>
            <w:tcW w:w="0" w:type="auto"/>
            <w:vAlign w:val="center"/>
          </w:tcPr>
          <w:p w14:paraId="3A4A884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15%</w:t>
            </w:r>
          </w:p>
        </w:tc>
        <w:tc>
          <w:tcPr>
            <w:tcW w:w="0" w:type="auto"/>
            <w:vAlign w:val="center"/>
          </w:tcPr>
          <w:p w14:paraId="585AB75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15%</w:t>
            </w:r>
          </w:p>
        </w:tc>
        <w:tc>
          <w:tcPr>
            <w:tcW w:w="0" w:type="auto"/>
            <w:vAlign w:val="center"/>
          </w:tcPr>
          <w:p w14:paraId="2B37D97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0.757</w:t>
            </w:r>
          </w:p>
        </w:tc>
      </w:tr>
      <w:tr w:rsidR="006923A0" w:rsidRPr="002A13EC" w14:paraId="257CD450" w14:textId="77777777" w:rsidTr="00EE526B">
        <w:trPr>
          <w:trHeight w:val="300"/>
          <w:jc w:val="center"/>
        </w:trPr>
        <w:tc>
          <w:tcPr>
            <w:tcW w:w="0" w:type="auto"/>
            <w:vMerge/>
          </w:tcPr>
          <w:p w14:paraId="79A6AA74"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09E60BE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A4</w:t>
            </w:r>
          </w:p>
        </w:tc>
        <w:tc>
          <w:tcPr>
            <w:tcW w:w="0" w:type="auto"/>
            <w:shd w:val="clear" w:color="auto" w:fill="auto"/>
            <w:noWrap/>
            <w:vAlign w:val="center"/>
            <w:hideMark/>
          </w:tcPr>
          <w:p w14:paraId="5963FFE0"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60%</w:t>
            </w:r>
          </w:p>
        </w:tc>
        <w:tc>
          <w:tcPr>
            <w:tcW w:w="0" w:type="auto"/>
            <w:shd w:val="clear" w:color="auto" w:fill="auto"/>
            <w:noWrap/>
            <w:vAlign w:val="center"/>
            <w:hideMark/>
          </w:tcPr>
          <w:p w14:paraId="6C5C157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20%</w:t>
            </w:r>
          </w:p>
        </w:tc>
        <w:tc>
          <w:tcPr>
            <w:tcW w:w="0" w:type="auto"/>
            <w:shd w:val="clear" w:color="auto" w:fill="auto"/>
            <w:noWrap/>
            <w:vAlign w:val="center"/>
            <w:hideMark/>
          </w:tcPr>
          <w:p w14:paraId="23B0F91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20%</w:t>
            </w:r>
          </w:p>
        </w:tc>
        <w:tc>
          <w:tcPr>
            <w:tcW w:w="0" w:type="auto"/>
            <w:shd w:val="clear" w:color="auto" w:fill="auto"/>
            <w:noWrap/>
            <w:vAlign w:val="center"/>
            <w:hideMark/>
          </w:tcPr>
          <w:p w14:paraId="5751708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0.776</w:t>
            </w:r>
          </w:p>
        </w:tc>
        <w:tc>
          <w:tcPr>
            <w:tcW w:w="598" w:type="dxa"/>
            <w:vMerge/>
          </w:tcPr>
          <w:p w14:paraId="6A56BE36"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1CCC0F4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B4</w:t>
            </w:r>
          </w:p>
        </w:tc>
        <w:tc>
          <w:tcPr>
            <w:tcW w:w="0" w:type="auto"/>
            <w:vAlign w:val="center"/>
          </w:tcPr>
          <w:p w14:paraId="5B732C0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60%</w:t>
            </w:r>
          </w:p>
        </w:tc>
        <w:tc>
          <w:tcPr>
            <w:tcW w:w="0" w:type="auto"/>
            <w:vAlign w:val="center"/>
          </w:tcPr>
          <w:p w14:paraId="6C6DC1F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20%</w:t>
            </w:r>
          </w:p>
        </w:tc>
        <w:tc>
          <w:tcPr>
            <w:tcW w:w="0" w:type="auto"/>
            <w:vAlign w:val="center"/>
          </w:tcPr>
          <w:p w14:paraId="49B7195D" w14:textId="77777777" w:rsidR="006923A0" w:rsidRPr="002A13EC" w:rsidRDefault="00C045A5" w:rsidP="00EE526B">
            <w:pPr>
              <w:spacing w:line="240" w:lineRule="auto"/>
              <w:jc w:val="center"/>
              <w:rPr>
                <w:rFonts w:cs="Arial"/>
                <w:color w:val="000000"/>
                <w:sz w:val="16"/>
                <w:szCs w:val="18"/>
              </w:rPr>
            </w:pPr>
            <w:r>
              <w:rPr>
                <w:rFonts w:cs="Arial"/>
                <w:color w:val="000000"/>
                <w:sz w:val="16"/>
                <w:szCs w:val="18"/>
              </w:rPr>
              <w:t>20</w:t>
            </w:r>
            <w:r w:rsidR="006923A0" w:rsidRPr="002A13EC">
              <w:rPr>
                <w:rFonts w:cs="Arial"/>
                <w:color w:val="000000"/>
                <w:sz w:val="16"/>
                <w:szCs w:val="18"/>
              </w:rPr>
              <w:t>%</w:t>
            </w:r>
          </w:p>
        </w:tc>
        <w:tc>
          <w:tcPr>
            <w:tcW w:w="0" w:type="auto"/>
            <w:vAlign w:val="center"/>
          </w:tcPr>
          <w:p w14:paraId="1054EFB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0.779</w:t>
            </w:r>
          </w:p>
        </w:tc>
      </w:tr>
      <w:tr w:rsidR="006923A0" w:rsidRPr="002A13EC" w14:paraId="2F80DEF4" w14:textId="77777777" w:rsidTr="00EE526B">
        <w:trPr>
          <w:trHeight w:val="300"/>
          <w:jc w:val="center"/>
        </w:trPr>
        <w:tc>
          <w:tcPr>
            <w:tcW w:w="0" w:type="auto"/>
            <w:vMerge/>
          </w:tcPr>
          <w:p w14:paraId="40E9C792"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639A02F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A5</w:t>
            </w:r>
          </w:p>
        </w:tc>
        <w:tc>
          <w:tcPr>
            <w:tcW w:w="0" w:type="auto"/>
            <w:shd w:val="clear" w:color="auto" w:fill="auto"/>
            <w:noWrap/>
            <w:vAlign w:val="center"/>
            <w:hideMark/>
          </w:tcPr>
          <w:p w14:paraId="26703F75"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50%</w:t>
            </w:r>
          </w:p>
        </w:tc>
        <w:tc>
          <w:tcPr>
            <w:tcW w:w="0" w:type="auto"/>
            <w:shd w:val="clear" w:color="auto" w:fill="auto"/>
            <w:noWrap/>
            <w:vAlign w:val="center"/>
            <w:hideMark/>
          </w:tcPr>
          <w:p w14:paraId="3B3F25C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25%</w:t>
            </w:r>
          </w:p>
        </w:tc>
        <w:tc>
          <w:tcPr>
            <w:tcW w:w="0" w:type="auto"/>
            <w:shd w:val="clear" w:color="auto" w:fill="auto"/>
            <w:noWrap/>
            <w:vAlign w:val="center"/>
            <w:hideMark/>
          </w:tcPr>
          <w:p w14:paraId="0099E91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25%</w:t>
            </w:r>
          </w:p>
        </w:tc>
        <w:tc>
          <w:tcPr>
            <w:tcW w:w="0" w:type="auto"/>
            <w:shd w:val="clear" w:color="auto" w:fill="auto"/>
            <w:noWrap/>
            <w:vAlign w:val="center"/>
            <w:hideMark/>
          </w:tcPr>
          <w:p w14:paraId="2B8FD300"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0.777</w:t>
            </w:r>
          </w:p>
        </w:tc>
        <w:tc>
          <w:tcPr>
            <w:tcW w:w="598" w:type="dxa"/>
            <w:vMerge/>
          </w:tcPr>
          <w:p w14:paraId="479E70F5"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246030B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B5</w:t>
            </w:r>
          </w:p>
        </w:tc>
        <w:tc>
          <w:tcPr>
            <w:tcW w:w="0" w:type="auto"/>
            <w:vAlign w:val="center"/>
          </w:tcPr>
          <w:p w14:paraId="1938FBF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50%</w:t>
            </w:r>
          </w:p>
        </w:tc>
        <w:tc>
          <w:tcPr>
            <w:tcW w:w="0" w:type="auto"/>
            <w:vAlign w:val="center"/>
          </w:tcPr>
          <w:p w14:paraId="3A275B1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25%</w:t>
            </w:r>
          </w:p>
        </w:tc>
        <w:tc>
          <w:tcPr>
            <w:tcW w:w="0" w:type="auto"/>
            <w:vAlign w:val="center"/>
          </w:tcPr>
          <w:p w14:paraId="12DE872E"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25%</w:t>
            </w:r>
          </w:p>
        </w:tc>
        <w:tc>
          <w:tcPr>
            <w:tcW w:w="0" w:type="auto"/>
            <w:vAlign w:val="center"/>
          </w:tcPr>
          <w:p w14:paraId="7DF4B2E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0.763</w:t>
            </w:r>
          </w:p>
        </w:tc>
      </w:tr>
      <w:tr w:rsidR="006923A0" w:rsidRPr="002A13EC" w14:paraId="5AFC2C82" w14:textId="77777777" w:rsidTr="00EE526B">
        <w:trPr>
          <w:trHeight w:val="300"/>
          <w:jc w:val="center"/>
        </w:trPr>
        <w:tc>
          <w:tcPr>
            <w:tcW w:w="0" w:type="auto"/>
            <w:vMerge/>
          </w:tcPr>
          <w:p w14:paraId="7DF5FA99"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609BB61E"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A6</w:t>
            </w:r>
          </w:p>
        </w:tc>
        <w:tc>
          <w:tcPr>
            <w:tcW w:w="0" w:type="auto"/>
            <w:shd w:val="clear" w:color="auto" w:fill="auto"/>
            <w:noWrap/>
            <w:vAlign w:val="center"/>
            <w:hideMark/>
          </w:tcPr>
          <w:p w14:paraId="50A6848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shd w:val="clear" w:color="auto" w:fill="auto"/>
            <w:noWrap/>
            <w:vAlign w:val="center"/>
            <w:hideMark/>
          </w:tcPr>
          <w:p w14:paraId="1F36EA8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shd w:val="clear" w:color="auto" w:fill="auto"/>
            <w:noWrap/>
            <w:vAlign w:val="center"/>
            <w:hideMark/>
          </w:tcPr>
          <w:p w14:paraId="18D06C2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shd w:val="clear" w:color="auto" w:fill="auto"/>
            <w:noWrap/>
            <w:vAlign w:val="center"/>
            <w:hideMark/>
          </w:tcPr>
          <w:p w14:paraId="0ED1DA9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0.777</w:t>
            </w:r>
          </w:p>
        </w:tc>
        <w:tc>
          <w:tcPr>
            <w:tcW w:w="598" w:type="dxa"/>
            <w:vMerge/>
          </w:tcPr>
          <w:p w14:paraId="23BC15E5"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01A0C4C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B6</w:t>
            </w:r>
          </w:p>
        </w:tc>
        <w:tc>
          <w:tcPr>
            <w:tcW w:w="0" w:type="auto"/>
            <w:vAlign w:val="center"/>
          </w:tcPr>
          <w:p w14:paraId="0FA94D20"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vAlign w:val="center"/>
          </w:tcPr>
          <w:p w14:paraId="6D0087C2"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vAlign w:val="center"/>
          </w:tcPr>
          <w:p w14:paraId="48651F9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vAlign w:val="center"/>
          </w:tcPr>
          <w:p w14:paraId="6A79BAB2"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0.763</w:t>
            </w:r>
          </w:p>
        </w:tc>
      </w:tr>
      <w:tr w:rsidR="006923A0" w:rsidRPr="002A13EC" w14:paraId="1ECB31AE" w14:textId="77777777" w:rsidTr="00EE526B">
        <w:trPr>
          <w:trHeight w:val="300"/>
          <w:jc w:val="center"/>
        </w:trPr>
        <w:tc>
          <w:tcPr>
            <w:tcW w:w="0" w:type="auto"/>
            <w:vMerge/>
          </w:tcPr>
          <w:p w14:paraId="17445C02"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348A77F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A7</w:t>
            </w:r>
          </w:p>
        </w:tc>
        <w:tc>
          <w:tcPr>
            <w:tcW w:w="0" w:type="auto"/>
            <w:shd w:val="clear" w:color="auto" w:fill="auto"/>
            <w:noWrap/>
            <w:vAlign w:val="center"/>
            <w:hideMark/>
          </w:tcPr>
          <w:p w14:paraId="3F292442"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shd w:val="clear" w:color="auto" w:fill="auto"/>
            <w:noWrap/>
            <w:vAlign w:val="center"/>
            <w:hideMark/>
          </w:tcPr>
          <w:p w14:paraId="2860D68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35%</w:t>
            </w:r>
          </w:p>
        </w:tc>
        <w:tc>
          <w:tcPr>
            <w:tcW w:w="0" w:type="auto"/>
            <w:shd w:val="clear" w:color="auto" w:fill="auto"/>
            <w:noWrap/>
            <w:vAlign w:val="center"/>
            <w:hideMark/>
          </w:tcPr>
          <w:p w14:paraId="2613287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35%</w:t>
            </w:r>
          </w:p>
        </w:tc>
        <w:tc>
          <w:tcPr>
            <w:tcW w:w="0" w:type="auto"/>
            <w:shd w:val="clear" w:color="auto" w:fill="auto"/>
            <w:noWrap/>
            <w:vAlign w:val="center"/>
            <w:hideMark/>
          </w:tcPr>
          <w:p w14:paraId="4803A615"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0.775</w:t>
            </w:r>
          </w:p>
        </w:tc>
        <w:tc>
          <w:tcPr>
            <w:tcW w:w="598" w:type="dxa"/>
            <w:vMerge/>
          </w:tcPr>
          <w:p w14:paraId="4F075975"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67FFB192"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B7</w:t>
            </w:r>
          </w:p>
        </w:tc>
        <w:tc>
          <w:tcPr>
            <w:tcW w:w="0" w:type="auto"/>
            <w:vAlign w:val="center"/>
          </w:tcPr>
          <w:p w14:paraId="574C269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30%</w:t>
            </w:r>
          </w:p>
        </w:tc>
        <w:tc>
          <w:tcPr>
            <w:tcW w:w="0" w:type="auto"/>
            <w:vAlign w:val="center"/>
          </w:tcPr>
          <w:p w14:paraId="1F719F6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35%</w:t>
            </w:r>
          </w:p>
        </w:tc>
        <w:tc>
          <w:tcPr>
            <w:tcW w:w="0" w:type="auto"/>
            <w:vAlign w:val="center"/>
          </w:tcPr>
          <w:p w14:paraId="64FC70B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35%</w:t>
            </w:r>
          </w:p>
        </w:tc>
        <w:tc>
          <w:tcPr>
            <w:tcW w:w="0" w:type="auto"/>
            <w:vAlign w:val="center"/>
          </w:tcPr>
          <w:p w14:paraId="437C9E21"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0.766</w:t>
            </w:r>
          </w:p>
        </w:tc>
      </w:tr>
      <w:tr w:rsidR="006923A0" w:rsidRPr="002A13EC" w14:paraId="28ABDE92" w14:textId="77777777" w:rsidTr="00EE526B">
        <w:trPr>
          <w:trHeight w:val="300"/>
          <w:jc w:val="center"/>
        </w:trPr>
        <w:tc>
          <w:tcPr>
            <w:tcW w:w="0" w:type="auto"/>
            <w:vMerge/>
          </w:tcPr>
          <w:p w14:paraId="743DA3F1"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7BC75C8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A8</w:t>
            </w:r>
          </w:p>
        </w:tc>
        <w:tc>
          <w:tcPr>
            <w:tcW w:w="0" w:type="auto"/>
            <w:shd w:val="clear" w:color="auto" w:fill="auto"/>
            <w:noWrap/>
            <w:vAlign w:val="center"/>
            <w:hideMark/>
          </w:tcPr>
          <w:p w14:paraId="2A36346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20%</w:t>
            </w:r>
          </w:p>
        </w:tc>
        <w:tc>
          <w:tcPr>
            <w:tcW w:w="0" w:type="auto"/>
            <w:shd w:val="clear" w:color="auto" w:fill="auto"/>
            <w:noWrap/>
            <w:vAlign w:val="center"/>
            <w:hideMark/>
          </w:tcPr>
          <w:p w14:paraId="7C8579FB"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shd w:val="clear" w:color="auto" w:fill="auto"/>
            <w:noWrap/>
            <w:vAlign w:val="center"/>
            <w:hideMark/>
          </w:tcPr>
          <w:p w14:paraId="27A58A3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shd w:val="clear" w:color="auto" w:fill="auto"/>
            <w:noWrap/>
            <w:vAlign w:val="center"/>
            <w:hideMark/>
          </w:tcPr>
          <w:p w14:paraId="14B45FE3"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0.774</w:t>
            </w:r>
          </w:p>
        </w:tc>
        <w:tc>
          <w:tcPr>
            <w:tcW w:w="598" w:type="dxa"/>
            <w:vMerge/>
          </w:tcPr>
          <w:p w14:paraId="66CF3D43"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376E1D3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B8</w:t>
            </w:r>
          </w:p>
        </w:tc>
        <w:tc>
          <w:tcPr>
            <w:tcW w:w="0" w:type="auto"/>
            <w:vAlign w:val="center"/>
          </w:tcPr>
          <w:p w14:paraId="166393B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20%</w:t>
            </w:r>
          </w:p>
        </w:tc>
        <w:tc>
          <w:tcPr>
            <w:tcW w:w="0" w:type="auto"/>
            <w:vAlign w:val="center"/>
          </w:tcPr>
          <w:p w14:paraId="05266099"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vAlign w:val="center"/>
          </w:tcPr>
          <w:p w14:paraId="2C5478E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40%</w:t>
            </w:r>
          </w:p>
        </w:tc>
        <w:tc>
          <w:tcPr>
            <w:tcW w:w="0" w:type="auto"/>
            <w:vAlign w:val="center"/>
          </w:tcPr>
          <w:p w14:paraId="3FAE9C38"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0.767</w:t>
            </w:r>
          </w:p>
        </w:tc>
      </w:tr>
      <w:tr w:rsidR="006923A0" w:rsidRPr="002A13EC" w14:paraId="044F153F" w14:textId="77777777" w:rsidTr="00EE526B">
        <w:trPr>
          <w:trHeight w:val="300"/>
          <w:jc w:val="center"/>
        </w:trPr>
        <w:tc>
          <w:tcPr>
            <w:tcW w:w="0" w:type="auto"/>
            <w:vMerge/>
          </w:tcPr>
          <w:p w14:paraId="648652CA" w14:textId="77777777" w:rsidR="006923A0" w:rsidRPr="002A13EC" w:rsidRDefault="006923A0" w:rsidP="00EE526B">
            <w:pPr>
              <w:spacing w:line="240" w:lineRule="auto"/>
              <w:jc w:val="center"/>
              <w:rPr>
                <w:rFonts w:cs="Arial"/>
                <w:color w:val="000000"/>
                <w:sz w:val="16"/>
                <w:szCs w:val="18"/>
              </w:rPr>
            </w:pPr>
          </w:p>
        </w:tc>
        <w:tc>
          <w:tcPr>
            <w:tcW w:w="0" w:type="auto"/>
            <w:shd w:val="clear" w:color="auto" w:fill="auto"/>
            <w:noWrap/>
            <w:vAlign w:val="center"/>
            <w:hideMark/>
          </w:tcPr>
          <w:p w14:paraId="102301BA"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A9</w:t>
            </w:r>
          </w:p>
        </w:tc>
        <w:tc>
          <w:tcPr>
            <w:tcW w:w="0" w:type="auto"/>
            <w:shd w:val="clear" w:color="auto" w:fill="auto"/>
            <w:noWrap/>
            <w:vAlign w:val="center"/>
            <w:hideMark/>
          </w:tcPr>
          <w:p w14:paraId="2A05F71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shd w:val="clear" w:color="auto" w:fill="auto"/>
            <w:noWrap/>
            <w:vAlign w:val="center"/>
            <w:hideMark/>
          </w:tcPr>
          <w:p w14:paraId="41E501E0"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45%</w:t>
            </w:r>
          </w:p>
        </w:tc>
        <w:tc>
          <w:tcPr>
            <w:tcW w:w="0" w:type="auto"/>
            <w:shd w:val="clear" w:color="auto" w:fill="auto"/>
            <w:noWrap/>
            <w:vAlign w:val="center"/>
            <w:hideMark/>
          </w:tcPr>
          <w:p w14:paraId="0985C406"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45%</w:t>
            </w:r>
          </w:p>
        </w:tc>
        <w:tc>
          <w:tcPr>
            <w:tcW w:w="0" w:type="auto"/>
            <w:shd w:val="clear" w:color="auto" w:fill="auto"/>
            <w:noWrap/>
            <w:vAlign w:val="center"/>
            <w:hideMark/>
          </w:tcPr>
          <w:p w14:paraId="6BBDBEE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0.773</w:t>
            </w:r>
          </w:p>
        </w:tc>
        <w:tc>
          <w:tcPr>
            <w:tcW w:w="598" w:type="dxa"/>
            <w:vMerge/>
          </w:tcPr>
          <w:p w14:paraId="6951312E" w14:textId="77777777" w:rsidR="006923A0" w:rsidRPr="002A13EC" w:rsidRDefault="006923A0" w:rsidP="00EE526B">
            <w:pPr>
              <w:spacing w:line="240" w:lineRule="auto"/>
              <w:jc w:val="center"/>
              <w:rPr>
                <w:rFonts w:cs="Arial"/>
                <w:color w:val="000000"/>
                <w:sz w:val="16"/>
                <w:szCs w:val="18"/>
              </w:rPr>
            </w:pPr>
          </w:p>
        </w:tc>
        <w:tc>
          <w:tcPr>
            <w:tcW w:w="364" w:type="dxa"/>
            <w:vAlign w:val="center"/>
          </w:tcPr>
          <w:p w14:paraId="6AD89164"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B9</w:t>
            </w:r>
          </w:p>
        </w:tc>
        <w:tc>
          <w:tcPr>
            <w:tcW w:w="0" w:type="auto"/>
            <w:vAlign w:val="center"/>
          </w:tcPr>
          <w:p w14:paraId="114EA7CF"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10%</w:t>
            </w:r>
          </w:p>
        </w:tc>
        <w:tc>
          <w:tcPr>
            <w:tcW w:w="0" w:type="auto"/>
            <w:vAlign w:val="center"/>
          </w:tcPr>
          <w:p w14:paraId="11887B0E"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45%</w:t>
            </w:r>
          </w:p>
        </w:tc>
        <w:tc>
          <w:tcPr>
            <w:tcW w:w="0" w:type="auto"/>
            <w:vAlign w:val="center"/>
          </w:tcPr>
          <w:p w14:paraId="3BE58D2C"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45%</w:t>
            </w:r>
          </w:p>
        </w:tc>
        <w:tc>
          <w:tcPr>
            <w:tcW w:w="0" w:type="auto"/>
            <w:vAlign w:val="center"/>
          </w:tcPr>
          <w:p w14:paraId="70659697" w14:textId="77777777" w:rsidR="006923A0" w:rsidRPr="002A13EC" w:rsidRDefault="006923A0" w:rsidP="00EE526B">
            <w:pPr>
              <w:spacing w:line="240" w:lineRule="auto"/>
              <w:jc w:val="center"/>
              <w:rPr>
                <w:rFonts w:cs="Arial"/>
                <w:color w:val="000000"/>
                <w:sz w:val="16"/>
                <w:szCs w:val="18"/>
              </w:rPr>
            </w:pPr>
            <w:r w:rsidRPr="002A13EC">
              <w:rPr>
                <w:rFonts w:cs="Arial"/>
                <w:color w:val="000000"/>
                <w:sz w:val="16"/>
                <w:szCs w:val="18"/>
              </w:rPr>
              <w:t>0.768</w:t>
            </w:r>
          </w:p>
        </w:tc>
      </w:tr>
    </w:tbl>
    <w:p w14:paraId="68EEC510" w14:textId="77777777" w:rsidR="00087A41" w:rsidRDefault="00087A41" w:rsidP="00600535">
      <w:pPr>
        <w:pStyle w:val="CETBodytext"/>
        <w:rPr>
          <w:i/>
          <w:lang w:val="en-GB"/>
        </w:rPr>
      </w:pPr>
    </w:p>
    <w:p w14:paraId="4855E865" w14:textId="774692D1" w:rsidR="0037254D" w:rsidRDefault="00C045A5" w:rsidP="00282694">
      <w:pPr>
        <w:pStyle w:val="CETBodytext"/>
        <w:rPr>
          <w:lang w:val="en-GB"/>
        </w:rPr>
      </w:pPr>
      <w:r w:rsidRPr="00BF42FA">
        <w:rPr>
          <w:lang w:val="en-GB"/>
        </w:rPr>
        <w:t xml:space="preserve">In both cases A and B the lowest packing density is observed for the sample with 90:5:5 volume </w:t>
      </w:r>
      <w:proofErr w:type="gramStart"/>
      <w:r w:rsidRPr="00BF42FA">
        <w:rPr>
          <w:lang w:val="en-GB"/>
        </w:rPr>
        <w:t>fraction</w:t>
      </w:r>
      <w:proofErr w:type="gramEnd"/>
      <w:r w:rsidRPr="00BF42FA">
        <w:rPr>
          <w:lang w:val="en-GB"/>
        </w:rPr>
        <w:t>, however</w:t>
      </w:r>
      <w:r w:rsidR="00193855">
        <w:rPr>
          <w:lang w:val="en-GB"/>
        </w:rPr>
        <w:t>,</w:t>
      </w:r>
      <w:r w:rsidRPr="00BF42FA">
        <w:rPr>
          <w:lang w:val="en-GB"/>
        </w:rPr>
        <w:t xml:space="preserve"> in case A the change in particle density with </w:t>
      </w:r>
      <w:r w:rsidR="00193855">
        <w:rPr>
          <w:lang w:val="en-GB"/>
        </w:rPr>
        <w:t>volume fraction</w:t>
      </w:r>
      <w:r w:rsidRPr="00BF42FA">
        <w:rPr>
          <w:lang w:val="en-GB"/>
        </w:rPr>
        <w:t xml:space="preserve"> occurred more slowly and then remained nearly constant. In case B</w:t>
      </w:r>
      <w:r w:rsidR="00193855">
        <w:rPr>
          <w:lang w:val="en-GB"/>
        </w:rPr>
        <w:t>,</w:t>
      </w:r>
      <w:r w:rsidRPr="00BF42FA">
        <w:rPr>
          <w:lang w:val="en-GB"/>
        </w:rPr>
        <w:t xml:space="preserve"> </w:t>
      </w:r>
      <w:r w:rsidR="00193855" w:rsidRPr="00BF42FA">
        <w:rPr>
          <w:lang w:val="en-GB"/>
        </w:rPr>
        <w:t>the rate of change in packing density</w:t>
      </w:r>
      <w:r w:rsidR="00193855" w:rsidRPr="00BF42FA" w:rsidDel="00193855">
        <w:rPr>
          <w:lang w:val="en-GB"/>
        </w:rPr>
        <w:t xml:space="preserve"> </w:t>
      </w:r>
      <w:r w:rsidR="00193855">
        <w:rPr>
          <w:lang w:val="en-GB"/>
        </w:rPr>
        <w:t>with volume fractions is more visible compare to case A</w:t>
      </w:r>
      <w:r w:rsidR="0037254D">
        <w:rPr>
          <w:lang w:val="en-GB"/>
        </w:rPr>
        <w:t xml:space="preserve"> </w:t>
      </w:r>
      <w:r w:rsidR="00193855">
        <w:rPr>
          <w:lang w:val="en-GB"/>
        </w:rPr>
        <w:t>volume fraction</w:t>
      </w:r>
      <w:r w:rsidRPr="00BF42FA">
        <w:rPr>
          <w:lang w:val="en-GB"/>
        </w:rPr>
        <w:t xml:space="preserve">. </w:t>
      </w:r>
      <w:r w:rsidR="00193855">
        <w:rPr>
          <w:lang w:val="en-GB"/>
        </w:rPr>
        <w:t>The highest packing density of 0.779 was achieved in sample B4</w:t>
      </w:r>
      <w:r w:rsidR="0037254D">
        <w:rPr>
          <w:lang w:val="en-GB"/>
        </w:rPr>
        <w:t xml:space="preserve"> with 60% of large particles, </w:t>
      </w:r>
      <w:r w:rsidR="0037254D">
        <w:rPr>
          <w:lang w:val="en-GB"/>
        </w:rPr>
        <w:t xml:space="preserve">20% of medium and small particles for the particle size ratio 1:2:8 due to optimum proportion of large to medium and small particles’ sizes. </w:t>
      </w:r>
      <w:r w:rsidR="00946F25" w:rsidRPr="00946F25">
        <w:rPr>
          <w:lang w:val="en-GB"/>
        </w:rPr>
        <w:t>Regarding optimization of the volumetric fractions for maximizing the packing d</w:t>
      </w:r>
      <w:r w:rsidR="00946F25">
        <w:rPr>
          <w:lang w:val="en-GB"/>
        </w:rPr>
        <w:t xml:space="preserve">ensity, it can be seen that both </w:t>
      </w:r>
      <w:r w:rsidR="00946F25" w:rsidRPr="00946F25">
        <w:rPr>
          <w:lang w:val="en-GB"/>
        </w:rPr>
        <w:t xml:space="preserve">volume fraction </w:t>
      </w:r>
      <w:r w:rsidR="00946F25">
        <w:rPr>
          <w:lang w:val="en-GB"/>
        </w:rPr>
        <w:t>and initial size ratio are important.</w:t>
      </w:r>
      <w:r w:rsidR="00BF42FA">
        <w:rPr>
          <w:lang w:val="en-GB"/>
        </w:rPr>
        <w:t xml:space="preserve"> </w:t>
      </w:r>
    </w:p>
    <w:p w14:paraId="2B0AD2FA" w14:textId="4E19A182" w:rsidR="00282694" w:rsidRPr="00282694" w:rsidRDefault="00951236" w:rsidP="00282694">
      <w:pPr>
        <w:pStyle w:val="CETBodytext"/>
        <w:rPr>
          <w:lang w:val="en-GB"/>
        </w:rPr>
      </w:pPr>
      <w:r>
        <w:rPr>
          <w:lang w:val="en-GB"/>
        </w:rPr>
        <w:t>Further</w:t>
      </w:r>
      <w:r w:rsidR="00BF42FA">
        <w:rPr>
          <w:lang w:val="en-GB"/>
        </w:rPr>
        <w:t>,</w:t>
      </w:r>
      <w:r>
        <w:rPr>
          <w:lang w:val="en-GB"/>
        </w:rPr>
        <w:t xml:space="preserve"> to </w:t>
      </w:r>
      <w:r w:rsidR="00BF42FA">
        <w:rPr>
          <w:lang w:val="en-GB"/>
        </w:rPr>
        <w:t xml:space="preserve">analyse </w:t>
      </w:r>
      <w:r>
        <w:rPr>
          <w:lang w:val="en-GB"/>
        </w:rPr>
        <w:t xml:space="preserve">the packing characteristics of DEM generated structures </w:t>
      </w:r>
      <w:r w:rsidR="00282694" w:rsidRPr="00282694">
        <w:rPr>
          <w:lang w:val="en-GB"/>
        </w:rPr>
        <w:t xml:space="preserve"> </w:t>
      </w:r>
      <w:r w:rsidR="00033AC4" w:rsidRPr="00282694">
        <w:rPr>
          <w:lang w:val="en-GB"/>
        </w:rPr>
        <w:t xml:space="preserve">the following statistical data </w:t>
      </w:r>
      <w:r w:rsidR="00282694" w:rsidRPr="00282694">
        <w:rPr>
          <w:lang w:val="en-GB"/>
        </w:rPr>
        <w:t>w</w:t>
      </w:r>
      <w:r w:rsidR="00033AC4">
        <w:rPr>
          <w:lang w:val="en-GB"/>
        </w:rPr>
        <w:t>as</w:t>
      </w:r>
      <w:r w:rsidR="00282694" w:rsidRPr="00282694">
        <w:rPr>
          <w:lang w:val="en-GB"/>
        </w:rPr>
        <w:t xml:space="preserve"> considered</w:t>
      </w:r>
      <w:r>
        <w:rPr>
          <w:lang w:val="en-GB"/>
        </w:rPr>
        <w:t xml:space="preserve"> from the radical tessellation </w:t>
      </w:r>
      <w:r w:rsidR="00282694" w:rsidRPr="00282694">
        <w:rPr>
          <w:lang w:val="en-GB"/>
        </w:rPr>
        <w:t>: 1) the polyhedron face related properties: the number of edges, e, perimeter, L, and area, A, of polyhedron face; 2) the polyhedron related properties: the number of faces, f, surface area, S, and volume, V, per polyhedron.</w:t>
      </w:r>
    </w:p>
    <w:p w14:paraId="594C8454" w14:textId="114CECF5" w:rsidR="00282694" w:rsidRDefault="00282694" w:rsidP="00282694">
      <w:pPr>
        <w:pStyle w:val="CETBodytext"/>
        <w:rPr>
          <w:lang w:val="en-GB"/>
        </w:rPr>
      </w:pPr>
      <w:r w:rsidRPr="00282694">
        <w:rPr>
          <w:lang w:val="en-GB"/>
        </w:rPr>
        <w:t>The main indicators arising from the cell analysis - topological properties, the widely used in the structural analysis parameters</w:t>
      </w:r>
      <w:r w:rsidR="0037254D">
        <w:rPr>
          <w:lang w:val="en-GB"/>
        </w:rPr>
        <w:t>, i.e.</w:t>
      </w:r>
      <w:r w:rsidR="007B5A49">
        <w:rPr>
          <w:lang w:val="en-GB"/>
        </w:rPr>
        <w:t xml:space="preserve"> </w:t>
      </w:r>
      <w:r w:rsidRPr="00282694">
        <w:rPr>
          <w:lang w:val="en-GB"/>
        </w:rPr>
        <w:t>the number of edges and the number of faces</w:t>
      </w:r>
      <w:r w:rsidR="0037254D">
        <w:rPr>
          <w:lang w:val="en-GB"/>
        </w:rPr>
        <w:t xml:space="preserve"> and</w:t>
      </w:r>
      <w:r w:rsidRPr="00282694">
        <w:rPr>
          <w:lang w:val="en-GB"/>
        </w:rPr>
        <w:t xml:space="preserve"> metric properties</w:t>
      </w:r>
      <w:r w:rsidR="0037254D">
        <w:rPr>
          <w:lang w:val="en-GB"/>
        </w:rPr>
        <w:t>, i.e.</w:t>
      </w:r>
      <w:r w:rsidRPr="00282694">
        <w:rPr>
          <w:lang w:val="en-GB"/>
        </w:rPr>
        <w:t xml:space="preserve"> volume per polyhedron, surface area </w:t>
      </w:r>
      <w:r w:rsidR="0037254D">
        <w:rPr>
          <w:lang w:val="en-GB"/>
        </w:rPr>
        <w:t>are</w:t>
      </w:r>
      <w:r w:rsidRPr="00282694">
        <w:rPr>
          <w:lang w:val="en-GB"/>
        </w:rPr>
        <w:t xml:space="preserve"> compared as </w:t>
      </w:r>
      <w:r w:rsidR="0037254D">
        <w:rPr>
          <w:lang w:val="en-GB"/>
        </w:rPr>
        <w:t xml:space="preserve">the corresponding </w:t>
      </w:r>
      <w:r w:rsidRPr="00282694">
        <w:rPr>
          <w:lang w:val="en-GB"/>
        </w:rPr>
        <w:t xml:space="preserve">probability distributions functions </w:t>
      </w:r>
      <w:r w:rsidR="00DF70E9">
        <w:rPr>
          <w:lang w:val="en-GB"/>
        </w:rPr>
        <w:t>for various</w:t>
      </w:r>
      <w:r w:rsidR="00DF70E9" w:rsidRPr="00282694">
        <w:rPr>
          <w:lang w:val="en-GB"/>
        </w:rPr>
        <w:t xml:space="preserve"> </w:t>
      </w:r>
      <w:r w:rsidRPr="00282694">
        <w:rPr>
          <w:lang w:val="en-GB"/>
        </w:rPr>
        <w:t>volume fractions and size rations.</w:t>
      </w:r>
    </w:p>
    <w:p w14:paraId="46A19BD4" w14:textId="323539A0" w:rsidR="00F63255" w:rsidRDefault="00282694" w:rsidP="00282694">
      <w:pPr>
        <w:pStyle w:val="CETBodytext"/>
        <w:rPr>
          <w:lang w:val="en-GB"/>
        </w:rPr>
      </w:pPr>
      <w:r w:rsidRPr="00282694">
        <w:rPr>
          <w:lang w:val="en-GB"/>
        </w:rPr>
        <w:t xml:space="preserve">In this study  a similar approach </w:t>
      </w:r>
      <w:r w:rsidR="00033AC4">
        <w:rPr>
          <w:lang w:val="en-GB"/>
        </w:rPr>
        <w:t xml:space="preserve">to </w:t>
      </w:r>
      <w:r w:rsidR="00F44013" w:rsidRPr="00575251">
        <w:rPr>
          <w:lang w:val="en-GB"/>
        </w:rPr>
        <w:t>Yi et al, 2012</w:t>
      </w:r>
      <w:r w:rsidRPr="00575251">
        <w:rPr>
          <w:lang w:val="en-GB"/>
        </w:rPr>
        <w:t xml:space="preserve"> </w:t>
      </w:r>
      <w:r w:rsidR="00033AC4">
        <w:rPr>
          <w:lang w:val="en-GB"/>
        </w:rPr>
        <w:t xml:space="preserve">was applied, thus </w:t>
      </w:r>
      <w:r w:rsidRPr="00282694">
        <w:rPr>
          <w:lang w:val="en-GB"/>
        </w:rPr>
        <w:t xml:space="preserve"> </w:t>
      </w:r>
      <w:r w:rsidR="00033AC4">
        <w:rPr>
          <w:lang w:val="en-GB"/>
        </w:rPr>
        <w:t xml:space="preserve">for </w:t>
      </w:r>
      <w:r w:rsidRPr="00282694">
        <w:rPr>
          <w:lang w:val="en-GB"/>
        </w:rPr>
        <w:t xml:space="preserve">each property </w:t>
      </w:r>
      <w:r w:rsidR="00033AC4" w:rsidRPr="007B5A49">
        <w:rPr>
          <w:rFonts w:ascii="Times New Roman" w:hAnsi="Times New Roman"/>
          <w:i/>
          <w:lang w:val="en-GB"/>
        </w:rPr>
        <w:t xml:space="preserve">x </w:t>
      </w:r>
      <w:r w:rsidR="00033AC4" w:rsidRPr="00282694">
        <w:rPr>
          <w:lang w:val="en-GB"/>
        </w:rPr>
        <w:t>its mean value for the whole packing</w:t>
      </w:r>
      <w:r w:rsidR="00033AC4">
        <w:rPr>
          <w:lang w:val="en-GB"/>
        </w:rPr>
        <w:t xml:space="preserve"> was considered </w:t>
      </w:r>
      <w:r w:rsidRPr="00282694">
        <w:rPr>
          <w:lang w:val="en-GB"/>
        </w:rPr>
        <w:t xml:space="preserve">, </w:t>
      </w:r>
      <w:r w:rsidR="00F44013" w:rsidRPr="00282694">
        <w:rPr>
          <w:lang w:val="en-GB"/>
        </w:rPr>
        <w:t>denoted</w:t>
      </w:r>
      <w:r w:rsidRPr="00282694">
        <w:rPr>
          <w:lang w:val="en-GB"/>
        </w:rPr>
        <w:t xml:space="preserve"> as </w:t>
      </w:r>
      <w:r w:rsidRPr="007B5A49">
        <w:rPr>
          <w:rFonts w:ascii="Cambria Math" w:hAnsi="Cambria Math" w:cs="Cambria Math"/>
          <w:i/>
          <w:lang w:val="en-GB"/>
        </w:rPr>
        <w:t>⋖</w:t>
      </w:r>
      <w:r w:rsidRPr="007B5A49">
        <w:rPr>
          <w:rFonts w:ascii="Times New Roman" w:hAnsi="Times New Roman"/>
          <w:i/>
          <w:lang w:val="en-GB"/>
        </w:rPr>
        <w:t>x</w:t>
      </w:r>
      <w:r w:rsidRPr="007B5A49">
        <w:rPr>
          <w:rFonts w:ascii="Cambria Math" w:hAnsi="Cambria Math" w:cs="Cambria Math"/>
          <w:i/>
          <w:lang w:val="en-GB"/>
        </w:rPr>
        <w:t>⋗</w:t>
      </w:r>
      <w:r w:rsidRPr="00282694">
        <w:rPr>
          <w:lang w:val="en-GB"/>
        </w:rPr>
        <w:t xml:space="preserve">, and that for each </w:t>
      </w:r>
      <w:r w:rsidR="00F44013" w:rsidRPr="00282694">
        <w:rPr>
          <w:lang w:val="en-GB"/>
        </w:rPr>
        <w:t>component</w:t>
      </w:r>
      <w:r w:rsidRPr="00282694">
        <w:rPr>
          <w:lang w:val="en-GB"/>
        </w:rPr>
        <w:t xml:space="preserve"> </w:t>
      </w:r>
      <w:proofErr w:type="spellStart"/>
      <w:r w:rsidRPr="00282694">
        <w:rPr>
          <w:lang w:val="en-GB"/>
        </w:rPr>
        <w:t>i</w:t>
      </w:r>
      <w:proofErr w:type="spellEnd"/>
      <w:r w:rsidRPr="00282694">
        <w:rPr>
          <w:lang w:val="en-GB"/>
        </w:rPr>
        <w:t xml:space="preserve"> namely devoted</w:t>
      </w:r>
      <w:r w:rsidR="00F63255">
        <w:rPr>
          <w:lang w:val="en-GB"/>
        </w:rPr>
        <w:t xml:space="preserve"> </w:t>
      </w:r>
      <w:r w:rsidR="00F63255" w:rsidRPr="00282694">
        <w:rPr>
          <w:rFonts w:ascii="Cambria Math" w:hAnsi="Cambria Math" w:cs="Cambria Math"/>
          <w:lang w:val="en-GB"/>
        </w:rPr>
        <w:t>⋖</w:t>
      </w:r>
      <w:r w:rsidR="00F63255" w:rsidRPr="00BB0F11">
        <w:rPr>
          <w:rFonts w:ascii="Times New Roman" w:hAnsi="Times New Roman"/>
          <w:i/>
          <w:lang w:val="en-GB"/>
        </w:rPr>
        <w:t>x</w:t>
      </w:r>
      <w:r w:rsidR="00F63255" w:rsidRPr="007B5A49">
        <w:rPr>
          <w:rFonts w:ascii="Times New Roman" w:hAnsi="Times New Roman"/>
          <w:i/>
          <w:vertAlign w:val="subscript"/>
          <w:lang w:val="en-GB"/>
        </w:rPr>
        <w:t>i</w:t>
      </w:r>
      <w:r w:rsidR="00F63255" w:rsidRPr="00282694">
        <w:rPr>
          <w:rFonts w:ascii="Cambria Math" w:hAnsi="Cambria Math" w:cs="Cambria Math"/>
          <w:lang w:val="en-GB"/>
        </w:rPr>
        <w:t>⋗</w:t>
      </w:r>
      <w:r w:rsidRPr="00282694">
        <w:rPr>
          <w:lang w:val="en-GB"/>
        </w:rPr>
        <w:t xml:space="preserve"> where </w:t>
      </w:r>
      <w:proofErr w:type="spellStart"/>
      <w:r w:rsidRPr="007B5A49">
        <w:rPr>
          <w:i/>
          <w:lang w:val="en-GB"/>
        </w:rPr>
        <w:t>i</w:t>
      </w:r>
      <w:proofErr w:type="spellEnd"/>
      <w:r w:rsidRPr="00282694">
        <w:rPr>
          <w:lang w:val="en-GB"/>
        </w:rPr>
        <w:t xml:space="preserve"> = L (large particles), M (medium particles) and S (</w:t>
      </w:r>
      <w:r w:rsidR="00F44013" w:rsidRPr="00282694">
        <w:rPr>
          <w:lang w:val="en-GB"/>
        </w:rPr>
        <w:t>small</w:t>
      </w:r>
      <w:r w:rsidRPr="00282694">
        <w:rPr>
          <w:lang w:val="en-GB"/>
        </w:rPr>
        <w:t xml:space="preserve"> particles)</w:t>
      </w:r>
      <w:r w:rsidR="00F63255">
        <w:rPr>
          <w:lang w:val="en-GB"/>
        </w:rPr>
        <w:t>.</w:t>
      </w:r>
    </w:p>
    <w:p w14:paraId="006E3BA9" w14:textId="77777777" w:rsidR="00F63255" w:rsidRDefault="00F63255" w:rsidP="00282694">
      <w:pPr>
        <w:pStyle w:val="CETBodytext"/>
        <w:rPr>
          <w:lang w:val="en-GB"/>
        </w:rPr>
      </w:pPr>
    </w:p>
    <w:p w14:paraId="008BCB52" w14:textId="76653FF4" w:rsidR="00F63255" w:rsidRPr="00CF3D5F" w:rsidRDefault="002477E9" w:rsidP="00F63255">
      <w:pPr>
        <w:pStyle w:val="CETEquation"/>
      </w:pPr>
      <m:oMath>
        <m:d>
          <m:dPr>
            <m:begChr m:val="〈"/>
            <m:endChr m:val="〉"/>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nary>
      </m:oMath>
      <w:r w:rsidR="00F63255" w:rsidRPr="00CF3D5F">
        <w:rPr>
          <w:rFonts w:eastAsiaTheme="minorEastAsia"/>
        </w:rPr>
        <w:t xml:space="preserve">                   </w:t>
      </w:r>
      <w:r w:rsidR="00F63255">
        <w:rPr>
          <w:rFonts w:eastAsiaTheme="minorEastAsia"/>
        </w:rPr>
        <w:t xml:space="preserve">                                                                                                                             </w:t>
      </w:r>
      <w:r w:rsidR="00F63255" w:rsidRPr="00CF3D5F">
        <w:rPr>
          <w:rFonts w:eastAsiaTheme="minorEastAsia"/>
        </w:rPr>
        <w:t xml:space="preserve">    (</w:t>
      </w:r>
      <w:r w:rsidR="00F63255">
        <w:rPr>
          <w:rFonts w:eastAsiaTheme="minorEastAsia"/>
        </w:rPr>
        <w:t>1</w:t>
      </w:r>
      <w:r w:rsidR="00F63255" w:rsidRPr="00CF3D5F">
        <w:rPr>
          <w:rFonts w:eastAsiaTheme="minorEastAsia"/>
        </w:rPr>
        <w:t>)</w:t>
      </w:r>
    </w:p>
    <w:p w14:paraId="5A84D79B" w14:textId="77777777" w:rsidR="00F63255" w:rsidRDefault="00F63255" w:rsidP="00282694">
      <w:pPr>
        <w:pStyle w:val="CETBodytext"/>
        <w:rPr>
          <w:lang w:val="en-GB"/>
        </w:rPr>
      </w:pPr>
    </w:p>
    <w:p w14:paraId="677D7D9A" w14:textId="78A15F15" w:rsidR="00282694" w:rsidRDefault="00033AC4" w:rsidP="00282694">
      <w:pPr>
        <w:pStyle w:val="CETBodytext"/>
        <w:rPr>
          <w:lang w:val="en-GB"/>
        </w:rPr>
      </w:pPr>
      <w:r>
        <w:rPr>
          <w:lang w:val="en-GB"/>
        </w:rPr>
        <w:t>T</w:t>
      </w:r>
      <w:r w:rsidR="00282694" w:rsidRPr="00282694">
        <w:rPr>
          <w:lang w:val="en-GB"/>
        </w:rPr>
        <w:t xml:space="preserve">he </w:t>
      </w:r>
      <w:r w:rsidR="00F44013" w:rsidRPr="00282694">
        <w:rPr>
          <w:lang w:val="en-GB"/>
        </w:rPr>
        <w:t>probability</w:t>
      </w:r>
      <w:r w:rsidR="00282694" w:rsidRPr="00282694">
        <w:rPr>
          <w:lang w:val="en-GB"/>
        </w:rPr>
        <w:t xml:space="preserve"> density for each component, </w:t>
      </w:r>
      <w:r w:rsidR="00F63255" w:rsidRPr="004337A4">
        <w:rPr>
          <w:i/>
          <w:lang w:val="en-GB"/>
        </w:rPr>
        <w:t>p(x</w:t>
      </w:r>
      <w:r w:rsidR="00F63255" w:rsidRPr="004337A4">
        <w:rPr>
          <w:i/>
          <w:vertAlign w:val="subscript"/>
          <w:lang w:val="en-GB"/>
        </w:rPr>
        <w:t>i</w:t>
      </w:r>
      <w:r w:rsidR="00F63255" w:rsidRPr="004337A4">
        <w:rPr>
          <w:i/>
          <w:lang w:val="en-GB"/>
        </w:rPr>
        <w:t>)</w:t>
      </w:r>
      <w:r w:rsidR="00F63255">
        <w:rPr>
          <w:i/>
          <w:lang w:val="en-GB"/>
        </w:rPr>
        <w:t xml:space="preserve">, </w:t>
      </w:r>
      <w:r w:rsidR="00282694" w:rsidRPr="00282694">
        <w:rPr>
          <w:lang w:val="en-GB"/>
        </w:rPr>
        <w:t>as well as for</w:t>
      </w:r>
      <w:r w:rsidR="00F63255">
        <w:rPr>
          <w:lang w:val="en-GB"/>
        </w:rPr>
        <w:t xml:space="preserve"> the</w:t>
      </w:r>
      <w:r w:rsidR="00282694" w:rsidRPr="00282694">
        <w:rPr>
          <w:lang w:val="en-GB"/>
        </w:rPr>
        <w:t xml:space="preserve"> total</w:t>
      </w:r>
      <w:r w:rsidR="00F63255">
        <w:rPr>
          <w:lang w:val="en-GB"/>
        </w:rPr>
        <w:t xml:space="preserve"> probability density </w:t>
      </w:r>
      <w:r w:rsidR="00282694" w:rsidRPr="00282694">
        <w:rPr>
          <w:lang w:val="en-GB"/>
        </w:rPr>
        <w:t>for one property</w:t>
      </w:r>
      <w:r w:rsidR="00F63255">
        <w:rPr>
          <w:lang w:val="en-GB"/>
        </w:rPr>
        <w:t xml:space="preserve"> are calculated </w:t>
      </w:r>
      <w:proofErr w:type="spellStart"/>
      <w:r w:rsidR="00F63255">
        <w:rPr>
          <w:lang w:val="en-GB"/>
        </w:rPr>
        <w:t>is</w:t>
      </w:r>
      <w:r w:rsidR="00282694" w:rsidRPr="003C6C75">
        <w:rPr>
          <w:i/>
          <w:lang w:val="en-GB"/>
        </w:rPr>
        <w:t>p</w:t>
      </w:r>
      <w:proofErr w:type="spellEnd"/>
      <w:r w:rsidR="00282694" w:rsidRPr="003C6C75">
        <w:rPr>
          <w:i/>
          <w:lang w:val="en-GB"/>
        </w:rPr>
        <w:t>(x).</w:t>
      </w:r>
    </w:p>
    <w:p w14:paraId="54487D26" w14:textId="61C9A83B" w:rsidR="00282694" w:rsidRPr="00CF3D5F" w:rsidRDefault="00282694" w:rsidP="00CF3D5F">
      <w:pPr>
        <w:pStyle w:val="CETEquation"/>
      </w:pPr>
      <m:oMath>
        <m:r>
          <w:rPr>
            <w:rFonts w:ascii="Cambria Math" w:hAnsi="Cambria Math"/>
            <w:noProof/>
          </w:rPr>
          <m:t>p</m:t>
        </m:r>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oMath>
      <w:r w:rsidRPr="00CF3D5F">
        <w:rPr>
          <w:rFonts w:eastAsiaTheme="minorEastAsia"/>
        </w:rPr>
        <w:t xml:space="preserve">          </w:t>
      </w:r>
      <w:r w:rsidR="00CF3D5F">
        <w:rPr>
          <w:rFonts w:eastAsiaTheme="minorEastAsia"/>
        </w:rPr>
        <w:t xml:space="preserve">                                                                                                                             </w:t>
      </w:r>
      <w:r w:rsidRPr="00CF3D5F">
        <w:rPr>
          <w:rFonts w:eastAsiaTheme="minorEastAsia"/>
        </w:rPr>
        <w:t xml:space="preserve">        (</w:t>
      </w:r>
      <w:r w:rsidR="00F63255">
        <w:rPr>
          <w:rFonts w:eastAsiaTheme="minorEastAsia"/>
        </w:rPr>
        <w:t>2</w:t>
      </w:r>
      <w:r w:rsidRPr="00CF3D5F">
        <w:rPr>
          <w:rFonts w:eastAsiaTheme="minorEastAsia"/>
        </w:rPr>
        <w:t>)</w:t>
      </w:r>
    </w:p>
    <w:p w14:paraId="247DDDB6" w14:textId="299697AE" w:rsidR="00282694" w:rsidRPr="00282694" w:rsidRDefault="00282694" w:rsidP="00282694">
      <w:pPr>
        <w:pStyle w:val="CETBodytext"/>
        <w:rPr>
          <w:lang w:val="en-GB"/>
        </w:rPr>
      </w:pPr>
      <w:r w:rsidRPr="00282694">
        <w:rPr>
          <w:lang w:val="en-GB"/>
        </w:rPr>
        <w:t>Fig. 2</w:t>
      </w:r>
      <w:r w:rsidR="00F44013">
        <w:rPr>
          <w:lang w:val="en-GB"/>
        </w:rPr>
        <w:t xml:space="preserve"> shows the distribution of the </w:t>
      </w:r>
      <w:r w:rsidR="00DF2A86">
        <w:rPr>
          <w:lang w:val="en-GB"/>
        </w:rPr>
        <w:t>number of faces</w:t>
      </w:r>
      <w:r w:rsidR="00F63255">
        <w:rPr>
          <w:lang w:val="en-GB"/>
        </w:rPr>
        <w:t xml:space="preserve"> per polyhedron for Case A and B</w:t>
      </w:r>
      <w:r w:rsidR="00DF2A86">
        <w:rPr>
          <w:lang w:val="en-GB"/>
        </w:rPr>
        <w:t>. T</w:t>
      </w:r>
      <w:r w:rsidRPr="00282694">
        <w:rPr>
          <w:lang w:val="en-GB"/>
        </w:rPr>
        <w:t xml:space="preserve">he trend </w:t>
      </w:r>
      <w:r w:rsidR="00F44013" w:rsidRPr="00282694">
        <w:rPr>
          <w:lang w:val="en-GB"/>
        </w:rPr>
        <w:t>observe</w:t>
      </w:r>
      <w:r w:rsidR="0062328B">
        <w:rPr>
          <w:lang w:val="en-GB"/>
        </w:rPr>
        <w:t>d in this study</w:t>
      </w:r>
      <w:r w:rsidRPr="00282694">
        <w:rPr>
          <w:lang w:val="en-GB"/>
        </w:rPr>
        <w:t xml:space="preserve"> for the effect of volume fractions</w:t>
      </w:r>
      <w:r w:rsidR="00F63255">
        <w:rPr>
          <w:lang w:val="en-GB"/>
        </w:rPr>
        <w:t xml:space="preserve"> on the probability distributions functions of face number</w:t>
      </w:r>
      <w:r w:rsidRPr="00282694">
        <w:rPr>
          <w:lang w:val="en-GB"/>
        </w:rPr>
        <w:t xml:space="preserve"> is similar to </w:t>
      </w:r>
      <w:r w:rsidR="00F44013">
        <w:rPr>
          <w:lang w:val="en-GB"/>
        </w:rPr>
        <w:t xml:space="preserve">what was described in </w:t>
      </w:r>
      <w:r w:rsidR="00EF780C">
        <w:rPr>
          <w:lang w:val="en-GB"/>
        </w:rPr>
        <w:t>(</w:t>
      </w:r>
      <w:r w:rsidR="00F44013">
        <w:rPr>
          <w:lang w:val="en-GB"/>
        </w:rPr>
        <w:t>Yi et al. 2012</w:t>
      </w:r>
      <w:r w:rsidR="00EF780C">
        <w:rPr>
          <w:lang w:val="en-GB"/>
        </w:rPr>
        <w:t>)</w:t>
      </w:r>
      <w:r w:rsidR="00CD118B">
        <w:rPr>
          <w:lang w:val="en-GB"/>
        </w:rPr>
        <w:t>.</w:t>
      </w:r>
      <w:r w:rsidRPr="00282694">
        <w:rPr>
          <w:lang w:val="en-GB"/>
        </w:rPr>
        <w:t xml:space="preserve"> </w:t>
      </w:r>
      <w:r w:rsidR="00CD118B">
        <w:rPr>
          <w:lang w:val="en-GB"/>
        </w:rPr>
        <w:t>T</w:t>
      </w:r>
      <w:r w:rsidRPr="00282694">
        <w:rPr>
          <w:lang w:val="en-GB"/>
        </w:rPr>
        <w:t>he three peaks occur in all functions</w:t>
      </w:r>
      <w:r w:rsidR="00CD118B">
        <w:rPr>
          <w:lang w:val="en-GB"/>
        </w:rPr>
        <w:t xml:space="preserve"> </w:t>
      </w:r>
      <w:r w:rsidRPr="00282694">
        <w:rPr>
          <w:lang w:val="en-GB"/>
        </w:rPr>
        <w:t xml:space="preserve">although in </w:t>
      </w:r>
      <w:r w:rsidR="00F44013">
        <w:rPr>
          <w:lang w:val="en-GB"/>
        </w:rPr>
        <w:t>the C</w:t>
      </w:r>
      <w:r w:rsidRPr="00282694">
        <w:rPr>
          <w:lang w:val="en-GB"/>
        </w:rPr>
        <w:t>ase A when the proportion of the l</w:t>
      </w:r>
      <w:r w:rsidR="00F44013">
        <w:rPr>
          <w:lang w:val="en-GB"/>
        </w:rPr>
        <w:t>arge particles increases the peak</w:t>
      </w:r>
      <w:r w:rsidRPr="00282694">
        <w:rPr>
          <w:lang w:val="en-GB"/>
        </w:rPr>
        <w:t xml:space="preserve"> </w:t>
      </w:r>
      <w:r w:rsidR="00F44013" w:rsidRPr="00282694">
        <w:rPr>
          <w:lang w:val="en-GB"/>
        </w:rPr>
        <w:t>height</w:t>
      </w:r>
      <w:r w:rsidR="00F44013">
        <w:rPr>
          <w:lang w:val="en-GB"/>
        </w:rPr>
        <w:t xml:space="preserve"> that corresponds to the</w:t>
      </w:r>
      <w:r w:rsidRPr="00282694">
        <w:rPr>
          <w:lang w:val="en-GB"/>
        </w:rPr>
        <w:t xml:space="preserve"> small component becomes </w:t>
      </w:r>
      <w:r w:rsidR="00CD118B">
        <w:rPr>
          <w:lang w:val="en-GB"/>
        </w:rPr>
        <w:t>low</w:t>
      </w:r>
      <w:r w:rsidRPr="00282694">
        <w:rPr>
          <w:lang w:val="en-GB"/>
        </w:rPr>
        <w:t>er and vice versa for the proportion of small particles</w:t>
      </w:r>
      <w:r w:rsidR="0062328B">
        <w:rPr>
          <w:lang w:val="en-GB"/>
        </w:rPr>
        <w:t xml:space="preserve"> is increased</w:t>
      </w:r>
      <w:r w:rsidRPr="00282694">
        <w:rPr>
          <w:lang w:val="en-GB"/>
        </w:rPr>
        <w:t xml:space="preserve">. A different </w:t>
      </w:r>
      <w:r w:rsidR="00F44013" w:rsidRPr="00282694">
        <w:rPr>
          <w:lang w:val="en-GB"/>
        </w:rPr>
        <w:t>pattern</w:t>
      </w:r>
      <w:r w:rsidRPr="00282694">
        <w:rPr>
          <w:lang w:val="en-GB"/>
        </w:rPr>
        <w:t xml:space="preserve"> </w:t>
      </w:r>
      <w:r w:rsidR="00CD118B">
        <w:rPr>
          <w:lang w:val="en-GB"/>
        </w:rPr>
        <w:t xml:space="preserve">is </w:t>
      </w:r>
      <w:r w:rsidR="00F44013" w:rsidRPr="00282694">
        <w:rPr>
          <w:lang w:val="en-GB"/>
        </w:rPr>
        <w:t>observed</w:t>
      </w:r>
      <w:r w:rsidRPr="00282694">
        <w:rPr>
          <w:lang w:val="en-GB"/>
        </w:rPr>
        <w:t xml:space="preserve"> for</w:t>
      </w:r>
      <w:r w:rsidR="00F44013">
        <w:rPr>
          <w:lang w:val="en-GB"/>
        </w:rPr>
        <w:t xml:space="preserve"> the</w:t>
      </w:r>
      <w:r w:rsidRPr="00282694">
        <w:rPr>
          <w:lang w:val="en-GB"/>
        </w:rPr>
        <w:t xml:space="preserve"> </w:t>
      </w:r>
      <w:r w:rsidR="00F44013">
        <w:rPr>
          <w:lang w:val="en-GB"/>
        </w:rPr>
        <w:t>C</w:t>
      </w:r>
      <w:r w:rsidRPr="00282694">
        <w:rPr>
          <w:lang w:val="en-GB"/>
        </w:rPr>
        <w:t xml:space="preserve">ase B, where the ratio of the </w:t>
      </w:r>
      <w:r w:rsidR="00CD118B">
        <w:rPr>
          <w:lang w:val="en-GB"/>
        </w:rPr>
        <w:t>large</w:t>
      </w:r>
      <w:r w:rsidRPr="00282694">
        <w:rPr>
          <w:lang w:val="en-GB"/>
        </w:rPr>
        <w:t xml:space="preserve"> component</w:t>
      </w:r>
      <w:r w:rsidR="00CD118B">
        <w:rPr>
          <w:lang w:val="en-GB"/>
        </w:rPr>
        <w:t xml:space="preserve"> was twice higher compare to case A</w:t>
      </w:r>
      <w:r w:rsidRPr="00282694">
        <w:rPr>
          <w:lang w:val="en-GB"/>
        </w:rPr>
        <w:t>. The number of faces</w:t>
      </w:r>
      <w:r w:rsidR="00CD118B">
        <w:rPr>
          <w:lang w:val="en-GB"/>
        </w:rPr>
        <w:t xml:space="preserve"> in case B</w:t>
      </w:r>
      <w:r w:rsidRPr="00282694">
        <w:rPr>
          <w:lang w:val="en-GB"/>
        </w:rPr>
        <w:t xml:space="preserve"> has increased dramatically compare to case A, the two peaks corresponding to medium and </w:t>
      </w:r>
      <w:r w:rsidR="00CD118B">
        <w:rPr>
          <w:lang w:val="en-GB"/>
        </w:rPr>
        <w:t>small</w:t>
      </w:r>
      <w:r w:rsidR="00CD118B" w:rsidRPr="00282694">
        <w:rPr>
          <w:lang w:val="en-GB"/>
        </w:rPr>
        <w:t xml:space="preserve"> </w:t>
      </w:r>
      <w:r w:rsidRPr="00282694">
        <w:rPr>
          <w:lang w:val="en-GB"/>
        </w:rPr>
        <w:t>component</w:t>
      </w:r>
      <w:r w:rsidR="00CD118B">
        <w:rPr>
          <w:lang w:val="en-GB"/>
        </w:rPr>
        <w:t>s</w:t>
      </w:r>
      <w:r w:rsidR="0062328B">
        <w:rPr>
          <w:lang w:val="en-GB"/>
        </w:rPr>
        <w:t xml:space="preserve"> are</w:t>
      </w:r>
      <w:r w:rsidRPr="00282694">
        <w:rPr>
          <w:lang w:val="en-GB"/>
        </w:rPr>
        <w:t xml:space="preserve"> less visible</w:t>
      </w:r>
      <w:r w:rsidR="00CD118B">
        <w:rPr>
          <w:lang w:val="en-GB"/>
        </w:rPr>
        <w:t xml:space="preserve"> and close to each other</w:t>
      </w:r>
      <w:r w:rsidRPr="00282694">
        <w:rPr>
          <w:lang w:val="en-GB"/>
        </w:rPr>
        <w:t xml:space="preserve">.  </w:t>
      </w:r>
    </w:p>
    <w:p w14:paraId="0BAF5D6C" w14:textId="4B11646F" w:rsidR="00282694" w:rsidRDefault="00282694" w:rsidP="00282694">
      <w:pPr>
        <w:pStyle w:val="CETBodytext"/>
        <w:rPr>
          <w:lang w:val="en-GB"/>
        </w:rPr>
      </w:pPr>
      <w:r w:rsidRPr="007B5A49">
        <w:rPr>
          <w:lang w:val="en-GB"/>
        </w:rPr>
        <w:t>Fig. 3</w:t>
      </w:r>
      <w:r w:rsidR="00F44013" w:rsidRPr="007B5A49">
        <w:rPr>
          <w:lang w:val="en-GB"/>
        </w:rPr>
        <w:t xml:space="preserve"> shows the </w:t>
      </w:r>
      <w:r w:rsidR="00EF780C" w:rsidRPr="007B5A49">
        <w:rPr>
          <w:lang w:val="en-GB"/>
        </w:rPr>
        <w:t>probability distributions of the number of edges as functions of volume fractions nearly constant</w:t>
      </w:r>
      <w:r w:rsidR="00CD118B" w:rsidRPr="007B5A49">
        <w:rPr>
          <w:lang w:val="en-GB"/>
        </w:rPr>
        <w:t xml:space="preserve"> and does not change with size ratio, the similar pattern was observed</w:t>
      </w:r>
      <w:r w:rsidR="00EF780C" w:rsidRPr="007B5A49">
        <w:rPr>
          <w:lang w:val="en-GB"/>
        </w:rPr>
        <w:t xml:space="preserve"> in</w:t>
      </w:r>
      <w:r w:rsidR="00B14902" w:rsidRPr="007B5A49">
        <w:rPr>
          <w:lang w:val="en-GB"/>
        </w:rPr>
        <w:t xml:space="preserve"> Yi et al. 2012 on ternary mixtures</w:t>
      </w:r>
      <w:proofErr w:type="gramStart"/>
      <w:r w:rsidR="00B14902" w:rsidRPr="007B5A49">
        <w:rPr>
          <w:lang w:val="en-GB"/>
        </w:rPr>
        <w:t>,</w:t>
      </w:r>
      <w:r w:rsidR="00EF780C" w:rsidRPr="007B5A49">
        <w:rPr>
          <w:lang w:val="en-GB"/>
        </w:rPr>
        <w:t>.</w:t>
      </w:r>
      <w:proofErr w:type="gramEnd"/>
      <w:r w:rsidR="00B14902" w:rsidRPr="007B5A49">
        <w:rPr>
          <w:lang w:val="en-GB"/>
        </w:rPr>
        <w:t xml:space="preserve"> </w:t>
      </w:r>
      <w:r w:rsidR="00223D9A" w:rsidRPr="007B5A49">
        <w:rPr>
          <w:lang w:val="en-GB"/>
        </w:rPr>
        <w:t>In general, the overall mean numbers of faces and edges are in the same range for different size ratios and volume fractions, however the metric properties for each component varies significantly with volume fractions.</w:t>
      </w:r>
      <w:r w:rsidR="00223D9A" w:rsidRPr="00223D9A">
        <w:rPr>
          <w:lang w:val="en-GB"/>
        </w:rPr>
        <w:t xml:space="preserve"> </w:t>
      </w:r>
      <w:r w:rsidRPr="00282694">
        <w:rPr>
          <w:lang w:val="en-GB"/>
        </w:rPr>
        <w:t xml:space="preserve"> </w:t>
      </w:r>
    </w:p>
    <w:p w14:paraId="619FA497" w14:textId="77777777" w:rsidR="00282694" w:rsidRDefault="00282694" w:rsidP="00282694">
      <w:pPr>
        <w:pStyle w:val="CETBodytext"/>
        <w:jc w:val="left"/>
        <w:rPr>
          <w:lang w:val="en-GB"/>
        </w:rPr>
      </w:pPr>
      <w:r>
        <w:rPr>
          <w:noProof/>
          <w:lang w:val="ru-RU" w:eastAsia="ru-RU"/>
        </w:rPr>
        <w:drawing>
          <wp:inline distT="0" distB="0" distL="0" distR="0" wp14:anchorId="4770D4D2" wp14:editId="4EA16497">
            <wp:extent cx="5117804" cy="25847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437" cy="2587079"/>
                    </a:xfrm>
                    <a:prstGeom prst="rect">
                      <a:avLst/>
                    </a:prstGeom>
                    <a:noFill/>
                  </pic:spPr>
                </pic:pic>
              </a:graphicData>
            </a:graphic>
          </wp:inline>
        </w:drawing>
      </w:r>
    </w:p>
    <w:p w14:paraId="447A2313" w14:textId="77777777" w:rsidR="00282694" w:rsidRPr="00282694" w:rsidRDefault="00282694" w:rsidP="00282694">
      <w:pPr>
        <w:pStyle w:val="CETBodytext"/>
        <w:rPr>
          <w:i/>
          <w:lang w:val="en-GB"/>
        </w:rPr>
      </w:pPr>
      <w:r w:rsidRPr="00282694">
        <w:rPr>
          <w:rFonts w:cs="Arial"/>
          <w:i/>
          <w:lang w:val="en-GB"/>
        </w:rPr>
        <w:t xml:space="preserve">Figure 2.  Distributions of face number per </w:t>
      </w:r>
      <w:proofErr w:type="gramStart"/>
      <w:r w:rsidRPr="00282694">
        <w:rPr>
          <w:rFonts w:cs="Arial"/>
          <w:i/>
          <w:lang w:val="en-GB"/>
        </w:rPr>
        <w:t>polyhedron  for</w:t>
      </w:r>
      <w:proofErr w:type="gramEnd"/>
      <w:r w:rsidRPr="00282694">
        <w:rPr>
          <w:rFonts w:cs="Arial"/>
          <w:i/>
          <w:lang w:val="en-GB"/>
        </w:rPr>
        <w:t xml:space="preserve"> a) Case A 1:2:4 b) case B 1:2:</w:t>
      </w:r>
      <w:r w:rsidRPr="00282694">
        <w:rPr>
          <w:rFonts w:cs="Arial"/>
          <w:i/>
        </w:rPr>
        <w:t>8</w:t>
      </w:r>
    </w:p>
    <w:p w14:paraId="1CA07129" w14:textId="77777777" w:rsidR="00282694" w:rsidRDefault="00BF42FA" w:rsidP="00282694">
      <w:pPr>
        <w:pStyle w:val="CETBodytext"/>
        <w:jc w:val="left"/>
        <w:rPr>
          <w:lang w:val="en-GB"/>
        </w:rPr>
      </w:pPr>
      <w:r>
        <w:rPr>
          <w:noProof/>
          <w:lang w:val="ru-RU" w:eastAsia="ru-RU"/>
        </w:rPr>
        <w:drawing>
          <wp:inline distT="0" distB="0" distL="0" distR="0" wp14:anchorId="209CC8B4" wp14:editId="39CC5EAF">
            <wp:extent cx="4784651" cy="25284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622" cy="2530066"/>
                    </a:xfrm>
                    <a:prstGeom prst="rect">
                      <a:avLst/>
                    </a:prstGeom>
                    <a:noFill/>
                  </pic:spPr>
                </pic:pic>
              </a:graphicData>
            </a:graphic>
          </wp:inline>
        </w:drawing>
      </w:r>
    </w:p>
    <w:p w14:paraId="522202E4" w14:textId="66AD1409" w:rsidR="00282694" w:rsidRDefault="00282694" w:rsidP="00282694">
      <w:pPr>
        <w:pStyle w:val="CETBodytext"/>
        <w:rPr>
          <w:i/>
          <w:lang w:val="en-GB"/>
        </w:rPr>
      </w:pPr>
      <w:r w:rsidRPr="007B5A49">
        <w:rPr>
          <w:i/>
          <w:lang w:val="en-GB"/>
        </w:rPr>
        <w:t xml:space="preserve">Figure 3.  Distributions of edge number per polyhedron for a) Case A 1:2:4 b) </w:t>
      </w:r>
      <w:r w:rsidR="00EF780C" w:rsidRPr="007B5A49">
        <w:rPr>
          <w:i/>
          <w:lang w:val="en-GB"/>
        </w:rPr>
        <w:t xml:space="preserve">Case </w:t>
      </w:r>
      <w:r w:rsidRPr="007B5A49">
        <w:rPr>
          <w:i/>
          <w:lang w:val="en-GB"/>
        </w:rPr>
        <w:t>B 1:2:8</w:t>
      </w:r>
    </w:p>
    <w:p w14:paraId="7DD5CC3A" w14:textId="77777777" w:rsidR="00BA0D4B" w:rsidRDefault="00BA0D4B" w:rsidP="00282694">
      <w:pPr>
        <w:pStyle w:val="CETBodytext"/>
        <w:rPr>
          <w:i/>
          <w:lang w:val="en-GB"/>
        </w:rPr>
      </w:pPr>
    </w:p>
    <w:p w14:paraId="0E08C063" w14:textId="1A7D7D1E" w:rsidR="00BA0D4B" w:rsidRDefault="00BA0D4B" w:rsidP="00BA0D4B">
      <w:pPr>
        <w:pStyle w:val="CETBodytext"/>
        <w:rPr>
          <w:lang w:val="en-GB"/>
        </w:rPr>
      </w:pPr>
      <w:r w:rsidRPr="00BA0D4B">
        <w:rPr>
          <w:lang w:val="en-GB"/>
        </w:rPr>
        <w:lastRenderedPageBreak/>
        <w:t>The distributions</w:t>
      </w:r>
      <w:r w:rsidR="00F44013">
        <w:rPr>
          <w:lang w:val="en-GB"/>
        </w:rPr>
        <w:t xml:space="preserve"> of </w:t>
      </w:r>
      <w:r w:rsidR="003C6C75">
        <w:rPr>
          <w:lang w:val="en-GB"/>
        </w:rPr>
        <w:t>cell volumes</w:t>
      </w:r>
      <w:r w:rsidR="00F44013">
        <w:rPr>
          <w:lang w:val="en-GB"/>
        </w:rPr>
        <w:t xml:space="preserve"> are shown in</w:t>
      </w:r>
      <w:r w:rsidR="007B5A49">
        <w:rPr>
          <w:lang w:val="en-GB"/>
        </w:rPr>
        <w:t xml:space="preserve"> Fig. </w:t>
      </w:r>
      <w:r w:rsidR="00F44013">
        <w:rPr>
          <w:lang w:val="en-GB"/>
        </w:rPr>
        <w:t xml:space="preserve">4 </w:t>
      </w:r>
      <w:r w:rsidRPr="00BA0D4B">
        <w:rPr>
          <w:lang w:val="en-GB"/>
        </w:rPr>
        <w:t>with three peaks in both cases. Each peak corresponds to small, medium or large components</w:t>
      </w:r>
      <w:r w:rsidR="00B50717">
        <w:rPr>
          <w:lang w:val="en-GB"/>
        </w:rPr>
        <w:t xml:space="preserve"> in ascending order</w:t>
      </w:r>
      <w:r w:rsidRPr="00BA0D4B">
        <w:rPr>
          <w:lang w:val="en-GB"/>
        </w:rPr>
        <w:t xml:space="preserve"> and are distinguishable from each other in Case A. An increase in the volume fraction increases the</w:t>
      </w:r>
      <w:r w:rsidR="003C6C75">
        <w:rPr>
          <w:lang w:val="en-GB"/>
        </w:rPr>
        <w:t xml:space="preserve"> peak of the</w:t>
      </w:r>
      <w:r w:rsidRPr="00BA0D4B">
        <w:rPr>
          <w:lang w:val="en-GB"/>
        </w:rPr>
        <w:t xml:space="preserve"> respectful component and thus the other peaks are moving correspondingly. </w:t>
      </w:r>
      <w:r w:rsidR="00BF42FA">
        <w:rPr>
          <w:lang w:val="en-GB"/>
        </w:rPr>
        <w:t>In</w:t>
      </w:r>
      <w:r w:rsidRPr="00BA0D4B">
        <w:rPr>
          <w:lang w:val="en-GB"/>
        </w:rPr>
        <w:t xml:space="preserve"> Case B</w:t>
      </w:r>
      <w:r w:rsidR="003C6C75">
        <w:rPr>
          <w:lang w:val="en-GB"/>
        </w:rPr>
        <w:t xml:space="preserve"> three</w:t>
      </w:r>
      <w:r w:rsidRPr="00BA0D4B">
        <w:rPr>
          <w:lang w:val="en-GB"/>
        </w:rPr>
        <w:t xml:space="preserve"> peaks can still be observed, but the third peak is less visible</w:t>
      </w:r>
      <w:r w:rsidR="003C6C75">
        <w:rPr>
          <w:lang w:val="en-GB"/>
        </w:rPr>
        <w:t>.</w:t>
      </w:r>
      <w:r w:rsidRPr="00BA0D4B">
        <w:rPr>
          <w:lang w:val="en-GB"/>
        </w:rPr>
        <w:t xml:space="preserve"> </w:t>
      </w:r>
      <w:r w:rsidR="003C6C75">
        <w:rPr>
          <w:lang w:val="en-GB"/>
        </w:rPr>
        <w:t>T</w:t>
      </w:r>
      <w:r w:rsidRPr="00BA0D4B">
        <w:rPr>
          <w:lang w:val="en-GB"/>
        </w:rPr>
        <w:t xml:space="preserve">he two other </w:t>
      </w:r>
      <w:r w:rsidR="003C6C75">
        <w:rPr>
          <w:lang w:val="en-GB"/>
        </w:rPr>
        <w:t xml:space="preserve">peaks </w:t>
      </w:r>
      <w:r w:rsidRPr="00BA0D4B">
        <w:rPr>
          <w:lang w:val="en-GB"/>
        </w:rPr>
        <w:t>are close to each other and</w:t>
      </w:r>
      <w:r w:rsidR="003C6C75" w:rsidRPr="003C6C75">
        <w:rPr>
          <w:lang w:val="en-GB"/>
        </w:rPr>
        <w:t xml:space="preserve"> </w:t>
      </w:r>
      <w:r w:rsidR="003C6C75">
        <w:rPr>
          <w:lang w:val="en-GB"/>
        </w:rPr>
        <w:t>d</w:t>
      </w:r>
      <w:r w:rsidR="003C6C75" w:rsidRPr="00BA0D4B">
        <w:rPr>
          <w:lang w:val="en-GB"/>
        </w:rPr>
        <w:t>o not tend to move</w:t>
      </w:r>
      <w:r w:rsidRPr="00BA0D4B">
        <w:rPr>
          <w:lang w:val="en-GB"/>
        </w:rPr>
        <w:t xml:space="preserve"> with varying the volume fractions.</w:t>
      </w:r>
      <w:r>
        <w:rPr>
          <w:lang w:val="en-GB"/>
        </w:rPr>
        <w:t xml:space="preserve"> </w:t>
      </w:r>
    </w:p>
    <w:p w14:paraId="00C95E6D" w14:textId="0A53F648" w:rsidR="00BA0D4B" w:rsidRPr="007B5A49" w:rsidRDefault="00BA0D4B" w:rsidP="00BA0D4B">
      <w:pPr>
        <w:pStyle w:val="CETBodytext"/>
        <w:rPr>
          <w:lang w:val="en-GB"/>
        </w:rPr>
      </w:pPr>
      <w:r w:rsidRPr="007B5A49">
        <w:rPr>
          <w:lang w:val="en-GB"/>
        </w:rPr>
        <w:t>Thus, the structural properties of ternary system depend not only on the volume fraction</w:t>
      </w:r>
      <w:r w:rsidR="00220B35" w:rsidRPr="007B5A49">
        <w:rPr>
          <w:lang w:val="en-GB"/>
        </w:rPr>
        <w:t xml:space="preserve"> as it was previously </w:t>
      </w:r>
      <w:r w:rsidR="00BF42FA" w:rsidRPr="007B5A49">
        <w:rPr>
          <w:lang w:val="en-GB"/>
        </w:rPr>
        <w:t xml:space="preserve">demonstrated </w:t>
      </w:r>
      <w:r w:rsidR="00220B35" w:rsidRPr="007B5A49">
        <w:rPr>
          <w:lang w:val="en-GB"/>
        </w:rPr>
        <w:t xml:space="preserve">by Yi et al. 2012 with the </w:t>
      </w:r>
      <w:r w:rsidR="003C6C75" w:rsidRPr="007B5A49">
        <w:rPr>
          <w:lang w:val="en-GB"/>
        </w:rPr>
        <w:t xml:space="preserve">particle </w:t>
      </w:r>
      <w:r w:rsidR="00220B35" w:rsidRPr="007B5A49">
        <w:rPr>
          <w:lang w:val="en-GB"/>
        </w:rPr>
        <w:t>ratio of 1:1.8:3</w:t>
      </w:r>
      <w:r w:rsidRPr="007B5A49">
        <w:rPr>
          <w:lang w:val="en-GB"/>
        </w:rPr>
        <w:t>, but a</w:t>
      </w:r>
      <w:r w:rsidR="00DF2A86" w:rsidRPr="007B5A49">
        <w:rPr>
          <w:lang w:val="en-GB"/>
        </w:rPr>
        <w:t xml:space="preserve">lso on the </w:t>
      </w:r>
      <w:r w:rsidR="003C6C75" w:rsidRPr="007B5A49">
        <w:rPr>
          <w:lang w:val="en-GB"/>
        </w:rPr>
        <w:t>change of particle</w:t>
      </w:r>
      <w:r w:rsidR="00DF2A86" w:rsidRPr="007B5A49">
        <w:rPr>
          <w:lang w:val="en-GB"/>
        </w:rPr>
        <w:t xml:space="preserve"> </w:t>
      </w:r>
      <w:r w:rsidR="003C6C75" w:rsidRPr="007B5A49">
        <w:rPr>
          <w:lang w:val="en-GB"/>
        </w:rPr>
        <w:t xml:space="preserve">size </w:t>
      </w:r>
      <w:r w:rsidR="00DF2A86" w:rsidRPr="007B5A49">
        <w:rPr>
          <w:lang w:val="en-GB"/>
        </w:rPr>
        <w:t>ratio</w:t>
      </w:r>
      <w:r w:rsidRPr="007B5A49">
        <w:rPr>
          <w:lang w:val="en-GB"/>
        </w:rPr>
        <w:t>.</w:t>
      </w:r>
      <w:r w:rsidR="00220B35" w:rsidRPr="007B5A49">
        <w:rPr>
          <w:lang w:val="en-GB"/>
        </w:rPr>
        <w:t xml:space="preserve"> Moreover, th</w:t>
      </w:r>
      <w:r w:rsidR="003C6C75" w:rsidRPr="007B5A49">
        <w:rPr>
          <w:lang w:val="en-GB"/>
        </w:rPr>
        <w:t>e</w:t>
      </w:r>
      <w:r w:rsidR="00220B35" w:rsidRPr="007B5A49">
        <w:rPr>
          <w:lang w:val="en-GB"/>
        </w:rPr>
        <w:t xml:space="preserve"> dependence on the volume fraction is becoming less observable with </w:t>
      </w:r>
      <w:r w:rsidR="00BF42FA" w:rsidRPr="007B5A49">
        <w:rPr>
          <w:lang w:val="en-GB"/>
        </w:rPr>
        <w:t xml:space="preserve">the </w:t>
      </w:r>
      <w:r w:rsidR="00220B35" w:rsidRPr="007B5A49">
        <w:rPr>
          <w:lang w:val="en-GB"/>
        </w:rPr>
        <w:t xml:space="preserve">increasing ratio of dominating large component </w:t>
      </w:r>
      <w:r w:rsidR="00BF42FA" w:rsidRPr="007B5A49">
        <w:rPr>
          <w:lang w:val="en-GB"/>
        </w:rPr>
        <w:t>(</w:t>
      </w:r>
      <w:r w:rsidR="00220B35" w:rsidRPr="007B5A49">
        <w:rPr>
          <w:lang w:val="en-GB"/>
        </w:rPr>
        <w:t>from 1:2:4 to 1:2:8</w:t>
      </w:r>
      <w:r w:rsidR="00EF780C" w:rsidRPr="007B5A49">
        <w:rPr>
          <w:lang w:val="en-GB"/>
        </w:rPr>
        <w:t xml:space="preserve"> of small, medium and large components correspondingly</w:t>
      </w:r>
      <w:r w:rsidR="00BF42FA" w:rsidRPr="007B5A49">
        <w:rPr>
          <w:lang w:val="en-GB"/>
        </w:rPr>
        <w:t>)</w:t>
      </w:r>
      <w:r w:rsidR="00220B35" w:rsidRPr="007B5A49">
        <w:rPr>
          <w:lang w:val="en-GB"/>
        </w:rPr>
        <w:t xml:space="preserve">. </w:t>
      </w:r>
    </w:p>
    <w:p w14:paraId="3B91D0A3" w14:textId="4E341B21" w:rsidR="0046033D" w:rsidRPr="007B5A49" w:rsidRDefault="007B5A49" w:rsidP="00BA0D4B">
      <w:pPr>
        <w:pStyle w:val="CETBodytext"/>
        <w:rPr>
          <w:lang w:val="en-GB"/>
        </w:rPr>
      </w:pPr>
      <w:r>
        <w:rPr>
          <w:lang w:val="en-GB"/>
        </w:rPr>
        <w:t>Fig.</w:t>
      </w:r>
      <w:r w:rsidR="004D5D11" w:rsidRPr="007B5A49">
        <w:rPr>
          <w:lang w:val="en-GB"/>
        </w:rPr>
        <w:t xml:space="preserve"> 5 and 6 summarize</w:t>
      </w:r>
      <w:r w:rsidR="00BA0D4B" w:rsidRPr="007B5A49">
        <w:rPr>
          <w:lang w:val="en-GB"/>
        </w:rPr>
        <w:t xml:space="preserve"> the mean values of number of faces as a function of volume fractions for Case A and Case B</w:t>
      </w:r>
      <w:r w:rsidR="004D5D11" w:rsidRPr="007B5A49">
        <w:rPr>
          <w:lang w:val="en-GB"/>
        </w:rPr>
        <w:t>,</w:t>
      </w:r>
      <w:r w:rsidR="00BA0D4B" w:rsidRPr="007B5A49">
        <w:rPr>
          <w:lang w:val="en-GB"/>
        </w:rPr>
        <w:t xml:space="preserve"> respectively. It can be observed that for the Case B with </w:t>
      </w:r>
      <w:r w:rsidR="0046033D" w:rsidRPr="007B5A49">
        <w:rPr>
          <w:lang w:val="en-GB"/>
        </w:rPr>
        <w:t>greater</w:t>
      </w:r>
      <w:r w:rsidR="00BA0D4B" w:rsidRPr="007B5A49">
        <w:rPr>
          <w:lang w:val="en-GB"/>
        </w:rPr>
        <w:t xml:space="preserve"> </w:t>
      </w:r>
      <w:r w:rsidR="0046033D" w:rsidRPr="007B5A49">
        <w:rPr>
          <w:lang w:val="en-GB"/>
        </w:rPr>
        <w:t>volume fraction</w:t>
      </w:r>
      <w:r w:rsidR="00BA0D4B" w:rsidRPr="007B5A49">
        <w:rPr>
          <w:lang w:val="en-GB"/>
        </w:rPr>
        <w:t xml:space="preserve"> of small component the </w:t>
      </w:r>
      <w:r w:rsidR="004D5D11" w:rsidRPr="007B5A49">
        <w:rPr>
          <w:lang w:val="en-GB"/>
        </w:rPr>
        <w:t>number of faces for the large component is</w:t>
      </w:r>
      <w:r w:rsidR="00BA0D4B" w:rsidRPr="007B5A49">
        <w:rPr>
          <w:lang w:val="en-GB"/>
        </w:rPr>
        <w:t xml:space="preserve"> significantly </w:t>
      </w:r>
      <w:r w:rsidR="0046033D" w:rsidRPr="007B5A49">
        <w:rPr>
          <w:lang w:val="en-GB"/>
        </w:rPr>
        <w:t>higher compare</w:t>
      </w:r>
      <w:r w:rsidR="00BA0D4B" w:rsidRPr="007B5A49">
        <w:rPr>
          <w:lang w:val="en-GB"/>
        </w:rPr>
        <w:t xml:space="preserve"> to the Case A</w:t>
      </w:r>
      <w:r w:rsidR="0046033D" w:rsidRPr="007B5A49">
        <w:rPr>
          <w:lang w:val="en-GB"/>
        </w:rPr>
        <w:t>.</w:t>
      </w:r>
    </w:p>
    <w:p w14:paraId="48382183" w14:textId="6504F5BB" w:rsidR="00BF42FA" w:rsidRDefault="0046033D" w:rsidP="00BA0D4B">
      <w:pPr>
        <w:pStyle w:val="CETBodytext"/>
        <w:rPr>
          <w:lang w:val="en-GB"/>
        </w:rPr>
      </w:pPr>
      <w:r w:rsidRPr="007B5A49">
        <w:rPr>
          <w:lang w:val="en-GB"/>
        </w:rPr>
        <w:t>This</w:t>
      </w:r>
      <w:r w:rsidR="007B5A49">
        <w:rPr>
          <w:lang w:val="en-GB"/>
        </w:rPr>
        <w:t xml:space="preserve"> is due to the higher number of</w:t>
      </w:r>
      <w:r w:rsidRPr="007B5A49">
        <w:rPr>
          <w:lang w:val="en-GB"/>
        </w:rPr>
        <w:t xml:space="preserve"> </w:t>
      </w:r>
      <w:r w:rsidR="00BA0D4B" w:rsidRPr="007B5A49">
        <w:rPr>
          <w:lang w:val="en-GB"/>
        </w:rPr>
        <w:t>small particl</w:t>
      </w:r>
      <w:r w:rsidR="00BA0D4B" w:rsidRPr="00C06C3E">
        <w:rPr>
          <w:lang w:val="en-GB"/>
        </w:rPr>
        <w:t>es</w:t>
      </w:r>
      <w:r w:rsidRPr="00C06C3E">
        <w:rPr>
          <w:lang w:val="en-GB"/>
        </w:rPr>
        <w:t xml:space="preserve"> </w:t>
      </w:r>
      <w:r w:rsidR="004D5D11" w:rsidRPr="00C06C3E">
        <w:rPr>
          <w:lang w:val="en-GB"/>
        </w:rPr>
        <w:t>surround</w:t>
      </w:r>
      <w:r w:rsidRPr="00C06C3E">
        <w:rPr>
          <w:lang w:val="en-GB"/>
        </w:rPr>
        <w:t>s</w:t>
      </w:r>
      <w:r w:rsidR="004D5D11" w:rsidRPr="00C06C3E">
        <w:rPr>
          <w:lang w:val="en-GB"/>
        </w:rPr>
        <w:t xml:space="preserve"> the large particles</w:t>
      </w:r>
      <w:r w:rsidRPr="00C06C3E">
        <w:rPr>
          <w:lang w:val="en-GB"/>
        </w:rPr>
        <w:t xml:space="preserve"> of greater sizes</w:t>
      </w:r>
      <w:r w:rsidR="004D5D11" w:rsidRPr="00C06C3E">
        <w:rPr>
          <w:lang w:val="en-GB"/>
        </w:rPr>
        <w:t>, thus more interactions</w:t>
      </w:r>
      <w:r w:rsidR="00B50717" w:rsidRPr="00C06C3E">
        <w:rPr>
          <w:lang w:val="en-GB"/>
        </w:rPr>
        <w:t xml:space="preserve"> per each cell</w:t>
      </w:r>
      <w:r w:rsidRPr="00C06C3E">
        <w:rPr>
          <w:lang w:val="en-GB"/>
        </w:rPr>
        <w:t xml:space="preserve"> resulting in more faces per </w:t>
      </w:r>
      <w:r w:rsidR="00C06C3E" w:rsidRPr="00C06C3E">
        <w:rPr>
          <w:lang w:val="en-GB"/>
        </w:rPr>
        <w:t>polyhedron of large component</w:t>
      </w:r>
      <w:r w:rsidR="00BA0D4B" w:rsidRPr="00C06C3E">
        <w:rPr>
          <w:lang w:val="en-GB"/>
        </w:rPr>
        <w:t>.</w:t>
      </w:r>
      <w:r w:rsidR="00BF42FA" w:rsidRPr="00C06C3E">
        <w:rPr>
          <w:lang w:val="en-GB"/>
        </w:rPr>
        <w:t xml:space="preserve"> </w:t>
      </w:r>
      <w:r w:rsidR="00B50717" w:rsidRPr="00C06C3E">
        <w:rPr>
          <w:lang w:val="en-GB"/>
        </w:rPr>
        <w:t xml:space="preserve">Based on the above discussion, there is a strong dependence between properties of radical tessellation </w:t>
      </w:r>
      <w:r w:rsidR="00C06C3E" w:rsidRPr="00C06C3E">
        <w:rPr>
          <w:lang w:val="en-GB"/>
        </w:rPr>
        <w:t>and</w:t>
      </w:r>
      <w:r w:rsidR="00B50717" w:rsidRPr="00C06C3E">
        <w:rPr>
          <w:lang w:val="en-GB"/>
        </w:rPr>
        <w:t xml:space="preserve"> volume fractions</w:t>
      </w:r>
      <w:r w:rsidR="00C06C3E" w:rsidRPr="00C06C3E">
        <w:rPr>
          <w:lang w:val="en-GB"/>
        </w:rPr>
        <w:t xml:space="preserve"> of ternary mixture</w:t>
      </w:r>
      <w:r w:rsidR="00B50717" w:rsidRPr="00C06C3E">
        <w:rPr>
          <w:lang w:val="en-GB"/>
        </w:rPr>
        <w:t>, and</w:t>
      </w:r>
      <w:r w:rsidR="00C06C3E" w:rsidRPr="00C06C3E">
        <w:rPr>
          <w:lang w:val="en-GB"/>
        </w:rPr>
        <w:t xml:space="preserve"> this dependence is also affected by the particle size ratio.</w:t>
      </w:r>
      <w:r w:rsidR="00B50717" w:rsidRPr="00C06C3E">
        <w:rPr>
          <w:lang w:val="en-GB"/>
        </w:rPr>
        <w:t xml:space="preserve"> </w:t>
      </w:r>
    </w:p>
    <w:p w14:paraId="2C6A74FC" w14:textId="77777777" w:rsidR="00BA0D4B" w:rsidRDefault="00BA0D4B" w:rsidP="00BA0D4B">
      <w:pPr>
        <w:pStyle w:val="CETBodytext"/>
        <w:rPr>
          <w:lang w:val="en-GB"/>
        </w:rPr>
      </w:pPr>
      <w:r>
        <w:rPr>
          <w:noProof/>
          <w:lang w:val="ru-RU" w:eastAsia="ru-RU"/>
        </w:rPr>
        <w:drawing>
          <wp:inline distT="0" distB="0" distL="0" distR="0" wp14:anchorId="70592960" wp14:editId="279544DB">
            <wp:extent cx="4855534" cy="233251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3506" cy="2336343"/>
                    </a:xfrm>
                    <a:prstGeom prst="rect">
                      <a:avLst/>
                    </a:prstGeom>
                    <a:noFill/>
                  </pic:spPr>
                </pic:pic>
              </a:graphicData>
            </a:graphic>
          </wp:inline>
        </w:drawing>
      </w:r>
    </w:p>
    <w:p w14:paraId="0B16B70D" w14:textId="77777777" w:rsidR="00BA0D4B" w:rsidRDefault="00BA0D4B" w:rsidP="00BA0D4B">
      <w:pPr>
        <w:pStyle w:val="CETBodytext"/>
        <w:rPr>
          <w:i/>
          <w:lang w:val="en-GB"/>
        </w:rPr>
      </w:pPr>
      <w:r w:rsidRPr="00BA0D4B">
        <w:rPr>
          <w:i/>
          <w:lang w:val="en-GB"/>
        </w:rPr>
        <w:t>Figure 4.  Distributions of polyhedron –related metric properties, polyhedron volume for a) Case A 1:2:4 b) case B 1:2:8</w:t>
      </w:r>
    </w:p>
    <w:p w14:paraId="1D6065B2" w14:textId="6D40506A" w:rsidR="00BA0D4B" w:rsidRDefault="007B5A49" w:rsidP="00BA0D4B">
      <w:pPr>
        <w:pStyle w:val="CETBodytext"/>
        <w:rPr>
          <w:i/>
          <w:lang w:val="en-GB"/>
        </w:rPr>
      </w:pPr>
      <w:r>
        <w:rPr>
          <w:i/>
          <w:noProof/>
          <w:lang w:val="ru-RU" w:eastAsia="ru-RU"/>
        </w:rPr>
        <w:drawing>
          <wp:inline distT="0" distB="0" distL="0" distR="0" wp14:anchorId="1B793C42" wp14:editId="65492E94">
            <wp:extent cx="6374921" cy="19474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4921" cy="1947452"/>
                    </a:xfrm>
                    <a:prstGeom prst="rect">
                      <a:avLst/>
                    </a:prstGeom>
                    <a:noFill/>
                  </pic:spPr>
                </pic:pic>
              </a:graphicData>
            </a:graphic>
          </wp:inline>
        </w:drawing>
      </w:r>
      <w:proofErr w:type="gramStart"/>
      <w:r w:rsidR="00BA0D4B">
        <w:rPr>
          <w:i/>
          <w:lang w:val="en-GB"/>
        </w:rPr>
        <w:t>Figure</w:t>
      </w:r>
      <w:r w:rsidR="00BA0D4B" w:rsidRPr="00BA0D4B">
        <w:rPr>
          <w:i/>
          <w:lang w:val="en-GB"/>
        </w:rPr>
        <w:t xml:space="preserve"> 5</w:t>
      </w:r>
      <w:r w:rsidR="00BA0D4B">
        <w:rPr>
          <w:i/>
          <w:lang w:val="en-GB"/>
        </w:rPr>
        <w:t>.</w:t>
      </w:r>
      <w:proofErr w:type="gramEnd"/>
      <w:r w:rsidR="00BA0D4B" w:rsidRPr="00BA0D4B">
        <w:rPr>
          <w:i/>
          <w:lang w:val="en-GB"/>
        </w:rPr>
        <w:t xml:space="preserve"> Number of faces per polyhedron of a) small components; b) medium components c) large components as a function of volume fractions Case A (1:2:4)</w:t>
      </w:r>
    </w:p>
    <w:p w14:paraId="162A1E8E" w14:textId="6283ED43" w:rsidR="00BA0D4B" w:rsidRDefault="007B5A49" w:rsidP="00BA0D4B">
      <w:pPr>
        <w:pStyle w:val="CETBodytext"/>
        <w:rPr>
          <w:i/>
          <w:lang w:val="en-GB"/>
        </w:rPr>
      </w:pPr>
      <w:r>
        <w:rPr>
          <w:i/>
          <w:noProof/>
          <w:lang w:val="ru-RU" w:eastAsia="ru-RU"/>
        </w:rPr>
        <w:lastRenderedPageBreak/>
        <w:drawing>
          <wp:inline distT="0" distB="0" distL="0" distR="0" wp14:anchorId="63709EC2" wp14:editId="4CFF5CA7">
            <wp:extent cx="5745193" cy="17161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0916" cy="1717868"/>
                    </a:xfrm>
                    <a:prstGeom prst="rect">
                      <a:avLst/>
                    </a:prstGeom>
                    <a:noFill/>
                  </pic:spPr>
                </pic:pic>
              </a:graphicData>
            </a:graphic>
          </wp:inline>
        </w:drawing>
      </w:r>
    </w:p>
    <w:p w14:paraId="68E2F81A" w14:textId="77777777" w:rsidR="00BA0D4B" w:rsidRPr="00BA0D4B" w:rsidRDefault="00BA0D4B" w:rsidP="00BA0D4B">
      <w:pPr>
        <w:pStyle w:val="CETBodytext"/>
        <w:rPr>
          <w:i/>
          <w:lang w:val="en-GB"/>
        </w:rPr>
      </w:pPr>
      <w:proofErr w:type="gramStart"/>
      <w:r w:rsidRPr="00BA0D4B">
        <w:rPr>
          <w:i/>
          <w:lang w:val="en-GB"/>
        </w:rPr>
        <w:t xml:space="preserve">Figure </w:t>
      </w:r>
      <w:r>
        <w:rPr>
          <w:i/>
          <w:lang w:val="en-GB"/>
        </w:rPr>
        <w:t>6</w:t>
      </w:r>
      <w:r w:rsidRPr="00BA0D4B">
        <w:rPr>
          <w:i/>
          <w:lang w:val="en-GB"/>
        </w:rPr>
        <w:t>.</w:t>
      </w:r>
      <w:proofErr w:type="gramEnd"/>
      <w:r w:rsidRPr="00BA0D4B">
        <w:rPr>
          <w:i/>
          <w:lang w:val="en-GB"/>
        </w:rPr>
        <w:t xml:space="preserve"> Number of faces per polyhedron of a) small components; b) medium components c) large components as a function of volume fractions Case B (1:2:8)</w:t>
      </w:r>
    </w:p>
    <w:p w14:paraId="6654DCB7" w14:textId="77777777" w:rsidR="00600535" w:rsidRPr="00B57B36" w:rsidRDefault="00600535" w:rsidP="007B5A49">
      <w:pPr>
        <w:pStyle w:val="CETHeading1"/>
        <w:ind w:hanging="8730"/>
        <w:rPr>
          <w:lang w:val="en-GB"/>
        </w:rPr>
      </w:pPr>
      <w:r w:rsidRPr="00B57B36">
        <w:rPr>
          <w:lang w:val="en-GB"/>
        </w:rPr>
        <w:t>Conclusions</w:t>
      </w:r>
    </w:p>
    <w:p w14:paraId="732AF9C7" w14:textId="216DD0ED" w:rsidR="007F4CAB" w:rsidRDefault="00FF2E40" w:rsidP="00FF2E40">
      <w:pPr>
        <w:pStyle w:val="CETBodytext"/>
        <w:rPr>
          <w:lang w:val="en-GB"/>
        </w:rPr>
      </w:pPr>
      <w:r w:rsidRPr="00FF2E40">
        <w:rPr>
          <w:lang w:val="en-GB"/>
        </w:rPr>
        <w:t>Relatively few studies have examined the</w:t>
      </w:r>
      <w:r>
        <w:rPr>
          <w:lang w:val="en-GB"/>
        </w:rPr>
        <w:t xml:space="preserve"> </w:t>
      </w:r>
      <w:r w:rsidRPr="00FF2E40">
        <w:rPr>
          <w:lang w:val="en-GB"/>
        </w:rPr>
        <w:t>geometric properties of</w:t>
      </w:r>
      <w:r>
        <w:rPr>
          <w:lang w:val="en-GB"/>
        </w:rPr>
        <w:t xml:space="preserve"> ternary powder compact </w:t>
      </w:r>
      <w:r w:rsidRPr="00FF2E40">
        <w:rPr>
          <w:lang w:val="en-GB"/>
        </w:rPr>
        <w:t>with different volume fractions of particles</w:t>
      </w:r>
      <w:r>
        <w:rPr>
          <w:lang w:val="en-GB"/>
        </w:rPr>
        <w:t xml:space="preserve"> </w:t>
      </w:r>
      <w:r w:rsidRPr="00FF2E40">
        <w:rPr>
          <w:lang w:val="en-GB"/>
        </w:rPr>
        <w:t>with various sizes.</w:t>
      </w:r>
      <w:r>
        <w:rPr>
          <w:lang w:val="en-GB"/>
        </w:rPr>
        <w:t xml:space="preserve"> In this paper m</w:t>
      </w:r>
      <w:r w:rsidR="007F4CAB" w:rsidRPr="007F4CAB">
        <w:rPr>
          <w:lang w:val="en-GB"/>
        </w:rPr>
        <w:t xml:space="preserve">icrostructural features of ternary powder compacts of spheres with two different size ratios 1:2:4 and 1:2:8 were </w:t>
      </w:r>
      <w:r w:rsidR="00A61E25" w:rsidRPr="007F4CAB">
        <w:rPr>
          <w:lang w:val="en-GB"/>
        </w:rPr>
        <w:t>analysed</w:t>
      </w:r>
      <w:r w:rsidR="007F4CAB" w:rsidRPr="007F4CAB">
        <w:rPr>
          <w:lang w:val="en-GB"/>
        </w:rPr>
        <w:t xml:space="preserve"> through the statistical properties of their Voronoi cells. The packing compacts were generated by DEM with growth rate method that allows eliminating the particles compression due to artificial forces</w:t>
      </w:r>
      <w:r w:rsidR="00FB2265">
        <w:rPr>
          <w:lang w:val="en-GB"/>
        </w:rPr>
        <w:t xml:space="preserve"> arising in gravitational deposition method</w:t>
      </w:r>
      <w:r w:rsidR="007F4CAB" w:rsidRPr="007F4CAB">
        <w:rPr>
          <w:lang w:val="en-GB"/>
        </w:rPr>
        <w:t>. The overall mean numbers of faces and edges of Voronoi cells are in the same range for different size ratios and volume fractions, however the metric properties for each component varies significantly with volume fractions. The mean values</w:t>
      </w:r>
      <w:r w:rsidR="007B5A49">
        <w:rPr>
          <w:lang w:val="en-GB"/>
        </w:rPr>
        <w:t xml:space="preserve"> </w:t>
      </w:r>
      <w:r w:rsidR="007F4CAB" w:rsidRPr="007F4CAB">
        <w:rPr>
          <w:lang w:val="en-GB"/>
        </w:rPr>
        <w:t xml:space="preserve">are affected by the particle size ratios as well as by the volume fractions. These results can further help in understanding of the packings of </w:t>
      </w:r>
      <w:r w:rsidR="007F4CAB" w:rsidRPr="007F4CAB">
        <w:rPr>
          <w:lang w:val="en-GB"/>
        </w:rPr>
        <w:t>particles and provide structure models for evaluating transport properties of these packings.</w:t>
      </w:r>
      <w:r w:rsidRPr="00FF2E40">
        <w:t xml:space="preserve"> </w:t>
      </w:r>
    </w:p>
    <w:p w14:paraId="52BD4672" w14:textId="77777777" w:rsidR="00600535" w:rsidRPr="00B57B36" w:rsidRDefault="00600535" w:rsidP="00600535">
      <w:pPr>
        <w:pStyle w:val="CETAcknowledgementstitle"/>
      </w:pPr>
      <w:r w:rsidRPr="00B57B36">
        <w:t>Acknowledgments</w:t>
      </w:r>
    </w:p>
    <w:p w14:paraId="424466B2" w14:textId="77777777" w:rsidR="00600535" w:rsidRPr="00B57B36" w:rsidRDefault="00E83090" w:rsidP="00E83090">
      <w:pPr>
        <w:pStyle w:val="CETBodytext"/>
        <w:rPr>
          <w:lang w:val="en-GB"/>
        </w:rPr>
      </w:pPr>
      <w:r w:rsidRPr="00E83090">
        <w:rPr>
          <w:lang w:val="en-GB"/>
        </w:rPr>
        <w:t xml:space="preserve">This research was partially funded under the program BR05236789 </w:t>
      </w:r>
      <w:r>
        <w:rPr>
          <w:lang w:val="en-GB"/>
        </w:rPr>
        <w:t>“</w:t>
      </w:r>
      <w:r w:rsidRPr="00E83090">
        <w:rPr>
          <w:lang w:val="en-GB"/>
        </w:rPr>
        <w:t>Innovative Materials and Systems</w:t>
      </w:r>
      <w:r>
        <w:rPr>
          <w:lang w:val="en-GB"/>
        </w:rPr>
        <w:t xml:space="preserve"> </w:t>
      </w:r>
      <w:r w:rsidRPr="00E83090">
        <w:rPr>
          <w:lang w:val="en-GB"/>
        </w:rPr>
        <w:t>for Energy Conversion and Storage</w:t>
      </w:r>
      <w:r>
        <w:rPr>
          <w:lang w:val="en-GB"/>
        </w:rPr>
        <w:t>”</w:t>
      </w:r>
      <w:r w:rsidRPr="00E83090">
        <w:rPr>
          <w:lang w:val="en-GB"/>
        </w:rPr>
        <w:t>; by the Ministry of Education and Science of the Republic of</w:t>
      </w:r>
      <w:r>
        <w:rPr>
          <w:lang w:val="en-GB"/>
        </w:rPr>
        <w:t xml:space="preserve"> </w:t>
      </w:r>
      <w:r w:rsidRPr="00E83090">
        <w:rPr>
          <w:lang w:val="en-GB"/>
        </w:rPr>
        <w:t>Kazakhstan.</w:t>
      </w:r>
    </w:p>
    <w:p w14:paraId="552487FD" w14:textId="77777777" w:rsidR="00600535" w:rsidRPr="00B57B36" w:rsidRDefault="00600535" w:rsidP="00600535">
      <w:pPr>
        <w:pStyle w:val="CETReference"/>
      </w:pPr>
      <w:r w:rsidRPr="00B57B36">
        <w:t>References</w:t>
      </w:r>
    </w:p>
    <w:p w14:paraId="7581E021" w14:textId="77777777" w:rsidR="00600535" w:rsidRPr="00B57B36" w:rsidRDefault="00600535" w:rsidP="002F47FA">
      <w:pPr>
        <w:pStyle w:val="CETBodytext"/>
        <w:ind w:left="720"/>
        <w:rPr>
          <w:lang w:val="en-GB"/>
        </w:rPr>
      </w:pPr>
      <w:r w:rsidRPr="00B57B36">
        <w:rPr>
          <w:lang w:val="en-GB"/>
        </w:rPr>
        <w:t xml:space="preserve"> </w:t>
      </w:r>
    </w:p>
    <w:p w14:paraId="12804F6C" w14:textId="40CE5E68" w:rsidR="00565B53" w:rsidRDefault="00565B53" w:rsidP="00565B53">
      <w:pPr>
        <w:pStyle w:val="CETReferencetext"/>
      </w:pPr>
      <w:proofErr w:type="spellStart"/>
      <w:r>
        <w:t>Annic</w:t>
      </w:r>
      <w:proofErr w:type="spellEnd"/>
      <w:r>
        <w:t xml:space="preserve"> C., J. </w:t>
      </w:r>
      <w:proofErr w:type="spellStart"/>
      <w:r>
        <w:t>Troadec</w:t>
      </w:r>
      <w:proofErr w:type="spellEnd"/>
      <w:r>
        <w:t xml:space="preserve">, A. </w:t>
      </w:r>
      <w:proofErr w:type="spellStart"/>
      <w:r>
        <w:t>Gervois</w:t>
      </w:r>
      <w:proofErr w:type="spellEnd"/>
      <w:r w:rsidR="00FA2208">
        <w:t xml:space="preserve">, J. </w:t>
      </w:r>
      <w:proofErr w:type="spellStart"/>
      <w:r w:rsidR="00FA2208">
        <w:t>Lemaître</w:t>
      </w:r>
      <w:proofErr w:type="spellEnd"/>
      <w:r w:rsidR="00FA2208">
        <w:t xml:space="preserve">, M. Ammi, et al., 1994, </w:t>
      </w:r>
      <w:r>
        <w:t xml:space="preserve">Experimental study of radical </w:t>
      </w:r>
      <w:proofErr w:type="spellStart"/>
      <w:r>
        <w:t>tesselations</w:t>
      </w:r>
      <w:proofErr w:type="spellEnd"/>
      <w:r>
        <w:t xml:space="preserve"> of assemblies of discs with size distribution. </w:t>
      </w:r>
      <w:proofErr w:type="gramStart"/>
      <w:r>
        <w:t>Journal de Physique I, EDP Sciences, 4 (1), pp.115-125.</w:t>
      </w:r>
      <w:proofErr w:type="gramEnd"/>
      <w:r>
        <w:t xml:space="preserve"> </w:t>
      </w:r>
    </w:p>
    <w:p w14:paraId="5F739868" w14:textId="3BD6C2E5" w:rsidR="00565B53" w:rsidRPr="000D56D6" w:rsidRDefault="00565B53" w:rsidP="00565B53">
      <w:pPr>
        <w:pStyle w:val="CETReferencetext"/>
      </w:pPr>
      <w:proofErr w:type="spellStart"/>
      <w:r w:rsidRPr="00565B53">
        <w:t>Antwerpen</w:t>
      </w:r>
      <w:proofErr w:type="spellEnd"/>
      <w:r w:rsidRPr="00565B53">
        <w:t xml:space="preserve"> W. Van, Du Toit C. G., and Rousseau P. G.,</w:t>
      </w:r>
      <w:r w:rsidR="00FA2208">
        <w:t xml:space="preserve"> 2010,</w:t>
      </w:r>
      <w:r w:rsidRPr="00565B53">
        <w:t xml:space="preserve"> A review of correlations to model the packing structure and effective thermal conductivity in packed beds of mono-sized spherical particles, Nuclear Engineering and Design, V. 240, 1803-1818</w:t>
      </w:r>
    </w:p>
    <w:p w14:paraId="70AAB421" w14:textId="77777777" w:rsidR="00081198" w:rsidRDefault="00081198" w:rsidP="00565B53">
      <w:pPr>
        <w:pStyle w:val="CETReferencetext"/>
      </w:pPr>
      <w:proofErr w:type="gramStart"/>
      <w:r>
        <w:t xml:space="preserve">Bruce P. and </w:t>
      </w:r>
      <w:proofErr w:type="spellStart"/>
      <w:r>
        <w:t>Freunberger</w:t>
      </w:r>
      <w:proofErr w:type="spellEnd"/>
      <w:r w:rsidRPr="00081198">
        <w:t xml:space="preserve"> </w:t>
      </w:r>
      <w:r>
        <w:t xml:space="preserve">S., 2012, </w:t>
      </w:r>
      <w:r w:rsidRPr="00047E41">
        <w:t>Li-O2 and Li-S batteries with high energy storage, Nat. Mater., vol. 11</w:t>
      </w:r>
      <w:r>
        <w:t>, 19–30</w:t>
      </w:r>
      <w:r w:rsidR="00565B53">
        <w:t>.</w:t>
      </w:r>
      <w:proofErr w:type="gramEnd"/>
    </w:p>
    <w:p w14:paraId="5FCD5AD6" w14:textId="77777777" w:rsidR="002F47FA" w:rsidRDefault="002F47FA" w:rsidP="00565B53">
      <w:pPr>
        <w:pStyle w:val="CETReferencetext"/>
      </w:pPr>
      <w:r>
        <w:t>Chu, S.</w:t>
      </w:r>
      <w:r w:rsidR="00081198">
        <w:t>,</w:t>
      </w:r>
      <w:r>
        <w:t xml:space="preserve"> </w:t>
      </w:r>
      <w:r w:rsidR="00081198" w:rsidRPr="00081198">
        <w:t>Majumdar</w:t>
      </w:r>
      <w:r w:rsidR="00081198">
        <w:t xml:space="preserve"> </w:t>
      </w:r>
      <w:proofErr w:type="gramStart"/>
      <w:r w:rsidR="00081198">
        <w:t>A.</w:t>
      </w:r>
      <w:r>
        <w:t>.</w:t>
      </w:r>
      <w:proofErr w:type="gramEnd"/>
      <w:r>
        <w:t xml:space="preserve"> </w:t>
      </w:r>
      <w:r w:rsidR="00081198">
        <w:t>2012, Opportunities and challenges for a su</w:t>
      </w:r>
      <w:bookmarkStart w:id="1" w:name="_GoBack"/>
      <w:bookmarkEnd w:id="1"/>
      <w:r w:rsidR="00081198">
        <w:t>stainable energy future, Nature 488, 294–303</w:t>
      </w:r>
      <w:r>
        <w:t>.</w:t>
      </w:r>
    </w:p>
    <w:p w14:paraId="64229F87" w14:textId="77777777" w:rsidR="00575251" w:rsidRDefault="00575251" w:rsidP="00575251">
      <w:pPr>
        <w:pStyle w:val="CETReferencetext"/>
      </w:pPr>
      <w:r w:rsidRPr="00575251">
        <w:t xml:space="preserve">Gimenez </w:t>
      </w:r>
      <w:r>
        <w:t xml:space="preserve">C.S, </w:t>
      </w:r>
      <w:r w:rsidRPr="00575251">
        <w:t>Finke B</w:t>
      </w:r>
      <w:r>
        <w:t>.</w:t>
      </w:r>
      <w:r w:rsidRPr="00575251">
        <w:t>, Nowak C</w:t>
      </w:r>
      <w:r>
        <w:t>.</w:t>
      </w:r>
      <w:r w:rsidRPr="00575251">
        <w:t xml:space="preserve">, </w:t>
      </w:r>
      <w:proofErr w:type="spellStart"/>
      <w:r w:rsidRPr="00575251">
        <w:t>Schilde</w:t>
      </w:r>
      <w:proofErr w:type="spellEnd"/>
      <w:r w:rsidRPr="00575251">
        <w:t xml:space="preserve"> C</w:t>
      </w:r>
      <w:r>
        <w:t>.</w:t>
      </w:r>
      <w:r w:rsidRPr="00575251">
        <w:t xml:space="preserve">, </w:t>
      </w:r>
      <w:proofErr w:type="spellStart"/>
      <w:r w:rsidRPr="00575251">
        <w:t>Kwade</w:t>
      </w:r>
      <w:proofErr w:type="spellEnd"/>
      <w:r>
        <w:t xml:space="preserve"> A., 2018, Structural and mechanical characterization of lithium-ion battery electrodes via DEM simulations, Advanced Powder Technology,  29, </w:t>
      </w:r>
      <w:r w:rsidRPr="00575251">
        <w:t>2312–2321</w:t>
      </w:r>
    </w:p>
    <w:p w14:paraId="1F4EEB71" w14:textId="48088CC7" w:rsidR="00047E41" w:rsidRDefault="00081198" w:rsidP="00565B53">
      <w:pPr>
        <w:pStyle w:val="CETReferencetext"/>
      </w:pPr>
      <w:proofErr w:type="spellStart"/>
      <w:proofErr w:type="gramStart"/>
      <w:r>
        <w:t>Malifarge</w:t>
      </w:r>
      <w:proofErr w:type="spellEnd"/>
      <w:r w:rsidRPr="00081198">
        <w:t>, B</w:t>
      </w:r>
      <w:r>
        <w:t>.</w:t>
      </w:r>
      <w:r w:rsidRPr="00081198">
        <w:t xml:space="preserve"> D</w:t>
      </w:r>
      <w:r>
        <w:t>.</w:t>
      </w:r>
      <w:r w:rsidRPr="00081198">
        <w:t xml:space="preserve"> and </w:t>
      </w:r>
      <w:proofErr w:type="spellStart"/>
      <w:r>
        <w:t>Delacourt</w:t>
      </w:r>
      <w:proofErr w:type="spellEnd"/>
      <w:r>
        <w:t xml:space="preserve"> </w:t>
      </w:r>
      <w:r w:rsidRPr="00081198">
        <w:t>C</w:t>
      </w:r>
      <w:r>
        <w:t>., 2018</w:t>
      </w:r>
      <w:r w:rsidR="00FA2208">
        <w:t>,</w:t>
      </w:r>
      <w:r>
        <w:t xml:space="preserve"> </w:t>
      </w:r>
      <w:r w:rsidRPr="00081198">
        <w:t xml:space="preserve">Experimental and </w:t>
      </w:r>
      <w:proofErr w:type="spellStart"/>
      <w:r w:rsidRPr="00081198">
        <w:t>Modeling</w:t>
      </w:r>
      <w:proofErr w:type="spellEnd"/>
      <w:r w:rsidRPr="00081198">
        <w:t xml:space="preserve"> Analysis of Graphite Electrodes with Various Thicknesses and Porosities for High-Energy-Density Li-Ion Batteries</w:t>
      </w:r>
      <w:r>
        <w:t xml:space="preserve">, </w:t>
      </w:r>
      <w:r w:rsidRPr="00081198">
        <w:t xml:space="preserve">J. </w:t>
      </w:r>
      <w:proofErr w:type="spellStart"/>
      <w:r w:rsidRPr="00081198">
        <w:t>Electrochem</w:t>
      </w:r>
      <w:proofErr w:type="spellEnd"/>
      <w:r w:rsidRPr="00081198">
        <w:t>.</w:t>
      </w:r>
      <w:proofErr w:type="gramEnd"/>
      <w:r w:rsidRPr="00081198">
        <w:t xml:space="preserve"> Soc. 2018 volume 165, issue 7, A1275-A1287</w:t>
      </w:r>
      <w:r w:rsidR="00565B53">
        <w:t>.</w:t>
      </w:r>
    </w:p>
    <w:p w14:paraId="31AB0905" w14:textId="341C67C8" w:rsidR="00565B53" w:rsidRDefault="00565B53" w:rsidP="00565B53">
      <w:pPr>
        <w:pStyle w:val="CETReferencetext"/>
      </w:pPr>
      <w:proofErr w:type="spellStart"/>
      <w:r w:rsidRPr="00565B53">
        <w:t>Randrianalisoa</w:t>
      </w:r>
      <w:proofErr w:type="spellEnd"/>
      <w:r w:rsidRPr="00565B53">
        <w:t xml:space="preserve"> J. and </w:t>
      </w:r>
      <w:proofErr w:type="spellStart"/>
      <w:r w:rsidRPr="00565B53">
        <w:t>Baillis</w:t>
      </w:r>
      <w:proofErr w:type="spellEnd"/>
      <w:r w:rsidRPr="00565B53">
        <w:t xml:space="preserve"> D.,</w:t>
      </w:r>
      <w:r w:rsidR="00FA2208">
        <w:t>2014,</w:t>
      </w:r>
      <w:r w:rsidRPr="00565B53">
        <w:t xml:space="preserve"> Thermal conductive and radiative properties of solid foams: Traditional and recent advanced modelling approaches, C. R. Physique, V. 15, 683–695.</w:t>
      </w:r>
    </w:p>
    <w:p w14:paraId="0985DCC9" w14:textId="77777777" w:rsidR="00E65B91" w:rsidRDefault="002F47FA" w:rsidP="00565B53">
      <w:pPr>
        <w:pStyle w:val="CETReferencetext"/>
      </w:pPr>
      <w:r>
        <w:t xml:space="preserve">Rycroft C. </w:t>
      </w:r>
      <w:r w:rsidR="00081198">
        <w:t xml:space="preserve">2009, </w:t>
      </w:r>
      <w:r w:rsidR="00081198" w:rsidRPr="00081198">
        <w:t>VORO++: A three-dimensional Voronoi cell library in C++</w:t>
      </w:r>
      <w:r w:rsidR="00081198">
        <w:t xml:space="preserve">, Chaos </w:t>
      </w:r>
      <w:proofErr w:type="gramStart"/>
      <w:r w:rsidR="00081198">
        <w:t xml:space="preserve">19,041111 </w:t>
      </w:r>
      <w:r>
        <w:t xml:space="preserve"> .</w:t>
      </w:r>
      <w:proofErr w:type="gramEnd"/>
    </w:p>
    <w:p w14:paraId="6F73C7EF" w14:textId="77777777" w:rsidR="002F47FA" w:rsidRDefault="00081198" w:rsidP="00565B53">
      <w:pPr>
        <w:pStyle w:val="CETReferencetext"/>
      </w:pPr>
      <w:r>
        <w:t xml:space="preserve">Yi </w:t>
      </w:r>
      <w:r w:rsidRPr="00081198">
        <w:t>Y. L.</w:t>
      </w:r>
      <w:r>
        <w:t xml:space="preserve">, </w:t>
      </w:r>
      <w:r w:rsidRPr="00081198">
        <w:t>Dong K.J., Zou R.P., Yu A.B.</w:t>
      </w:r>
      <w:r>
        <w:t xml:space="preserve">, 2012, </w:t>
      </w:r>
      <w:r w:rsidRPr="00081198">
        <w:t>Radical tessellation of the packing of ternary mixtures of spheres</w:t>
      </w:r>
      <w:r w:rsidR="00565B53">
        <w:t xml:space="preserve">, </w:t>
      </w:r>
      <w:r w:rsidR="00565B53" w:rsidRPr="00565B53">
        <w:t>Powder Technology</w:t>
      </w:r>
      <w:r w:rsidR="00565B53">
        <w:t>, 224, 129-137.</w:t>
      </w:r>
      <w:r w:rsidRPr="00081198">
        <w:t xml:space="preserve"> </w:t>
      </w:r>
    </w:p>
    <w:p w14:paraId="47CA0F83" w14:textId="77777777" w:rsidR="004628D2" w:rsidRDefault="004628D2" w:rsidP="00565B53">
      <w:pPr>
        <w:pStyle w:val="CETReferencetext"/>
      </w:pPr>
    </w:p>
    <w:sectPr w:rsidR="004628D2" w:rsidSect="00FC5E96">
      <w:pgSz w:w="11906" w:h="16838" w:code="9"/>
      <w:pgMar w:top="1701" w:right="1418" w:bottom="1701" w:left="1701" w:header="1701" w:footer="0" w:gutter="0"/>
      <w:cols w:space="708"/>
      <w:formProt w:val="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175FB3" w15:done="0"/>
  <w15:commentEx w15:paraId="3ABF0E00" w15:done="0"/>
  <w15:commentEx w15:paraId="4E88E3C6" w15:done="0"/>
  <w15:commentEx w15:paraId="74971199" w15:done="0"/>
  <w15:commentEx w15:paraId="628AFF49" w15:done="0"/>
  <w15:commentEx w15:paraId="09707228" w15:done="0"/>
  <w15:commentEx w15:paraId="362B10CE" w15:done="0"/>
  <w15:commentEx w15:paraId="5AC13E58" w15:done="0"/>
  <w15:commentEx w15:paraId="366F28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175FB3" w16cid:durableId="205EFF6F"/>
  <w16cid:commentId w16cid:paraId="4E88E3C6" w16cid:durableId="205F00C4"/>
  <w16cid:commentId w16cid:paraId="74971199" w16cid:durableId="205F01E8"/>
  <w16cid:commentId w16cid:paraId="362B10CE" w16cid:durableId="205F025C"/>
  <w16cid:commentId w16cid:paraId="5AC13E58" w16cid:durableId="205F03C6"/>
  <w16cid:commentId w16cid:paraId="366F2822" w16cid:durableId="205F05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78756" w14:textId="77777777" w:rsidR="002477E9" w:rsidRDefault="002477E9" w:rsidP="004F5E36">
      <w:r>
        <w:separator/>
      </w:r>
    </w:p>
  </w:endnote>
  <w:endnote w:type="continuationSeparator" w:id="0">
    <w:p w14:paraId="1E656D96" w14:textId="77777777" w:rsidR="002477E9" w:rsidRDefault="002477E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B8F53" w14:textId="77777777" w:rsidR="002477E9" w:rsidRDefault="002477E9" w:rsidP="004F5E36">
      <w:r>
        <w:separator/>
      </w:r>
    </w:p>
  </w:footnote>
  <w:footnote w:type="continuationSeparator" w:id="0">
    <w:p w14:paraId="1D5684A3" w14:textId="77777777" w:rsidR="002477E9" w:rsidRDefault="002477E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nsid w:val="FFFFFF7E"/>
    <w:multiLevelType w:val="singleLevel"/>
    <w:tmpl w:val="408CBE96"/>
    <w:lvl w:ilvl="0">
      <w:start w:val="1"/>
      <w:numFmt w:val="decimal"/>
      <w:pStyle w:val="3"/>
      <w:lvlText w:val="%1."/>
      <w:lvlJc w:val="left"/>
      <w:pPr>
        <w:tabs>
          <w:tab w:val="num" w:pos="926"/>
        </w:tabs>
        <w:ind w:left="926" w:hanging="360"/>
      </w:pPr>
    </w:lvl>
  </w:abstractNum>
  <w:abstractNum w:abstractNumId="3">
    <w:nsid w:val="FFFFFF7F"/>
    <w:multiLevelType w:val="singleLevel"/>
    <w:tmpl w:val="CFC0B388"/>
    <w:lvl w:ilvl="0">
      <w:start w:val="1"/>
      <w:numFmt w:val="decimal"/>
      <w:pStyle w:val="2"/>
      <w:lvlText w:val="%1."/>
      <w:lvlJc w:val="left"/>
      <w:pPr>
        <w:tabs>
          <w:tab w:val="num" w:pos="643"/>
        </w:tabs>
        <w:ind w:left="643" w:hanging="360"/>
      </w:pPr>
    </w:lvl>
  </w:abstractNum>
  <w:abstractNum w:abstractNumId="4">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a"/>
      <w:lvlText w:val="%1."/>
      <w:lvlJc w:val="left"/>
      <w:pPr>
        <w:tabs>
          <w:tab w:val="num" w:pos="360"/>
        </w:tabs>
        <w:ind w:left="360" w:hanging="360"/>
      </w:pPr>
    </w:lvl>
  </w:abstractNum>
  <w:abstractNum w:abstractNumId="9">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873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ris Golman">
    <w15:presenceInfo w15:providerId="Windows Live" w15:userId="8e85eca9d22ec9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51BE"/>
    <w:rsid w:val="0003148D"/>
    <w:rsid w:val="00033AC4"/>
    <w:rsid w:val="00047D7F"/>
    <w:rsid w:val="00047E41"/>
    <w:rsid w:val="00051566"/>
    <w:rsid w:val="00062A9A"/>
    <w:rsid w:val="00065058"/>
    <w:rsid w:val="00081198"/>
    <w:rsid w:val="00086C39"/>
    <w:rsid w:val="00087A41"/>
    <w:rsid w:val="000A03B2"/>
    <w:rsid w:val="000A3B79"/>
    <w:rsid w:val="000D34BE"/>
    <w:rsid w:val="000D4187"/>
    <w:rsid w:val="000E102F"/>
    <w:rsid w:val="000E36F1"/>
    <w:rsid w:val="000E3A73"/>
    <w:rsid w:val="000E414A"/>
    <w:rsid w:val="000F093C"/>
    <w:rsid w:val="000F16BD"/>
    <w:rsid w:val="000F787B"/>
    <w:rsid w:val="0012091F"/>
    <w:rsid w:val="001268D3"/>
    <w:rsid w:val="00126BC2"/>
    <w:rsid w:val="001308B6"/>
    <w:rsid w:val="0013121F"/>
    <w:rsid w:val="00131FAB"/>
    <w:rsid w:val="00131FE6"/>
    <w:rsid w:val="0013263F"/>
    <w:rsid w:val="00134DE4"/>
    <w:rsid w:val="0014034D"/>
    <w:rsid w:val="00150E59"/>
    <w:rsid w:val="00152DE3"/>
    <w:rsid w:val="0015685C"/>
    <w:rsid w:val="00162642"/>
    <w:rsid w:val="00164CF9"/>
    <w:rsid w:val="00184AD6"/>
    <w:rsid w:val="001916A7"/>
    <w:rsid w:val="00193855"/>
    <w:rsid w:val="001B0349"/>
    <w:rsid w:val="001B65C1"/>
    <w:rsid w:val="001C684B"/>
    <w:rsid w:val="001D53FC"/>
    <w:rsid w:val="001D6175"/>
    <w:rsid w:val="001F42A5"/>
    <w:rsid w:val="001F7B9D"/>
    <w:rsid w:val="00203F81"/>
    <w:rsid w:val="00220B35"/>
    <w:rsid w:val="002224B4"/>
    <w:rsid w:val="00223D9A"/>
    <w:rsid w:val="00235FEC"/>
    <w:rsid w:val="002447EF"/>
    <w:rsid w:val="002477E9"/>
    <w:rsid w:val="00251550"/>
    <w:rsid w:val="00252C1A"/>
    <w:rsid w:val="00263B05"/>
    <w:rsid w:val="0027221A"/>
    <w:rsid w:val="00275B61"/>
    <w:rsid w:val="00282656"/>
    <w:rsid w:val="00282694"/>
    <w:rsid w:val="00296B83"/>
    <w:rsid w:val="002B78CE"/>
    <w:rsid w:val="002C2FB6"/>
    <w:rsid w:val="002D0D0D"/>
    <w:rsid w:val="002D5BCD"/>
    <w:rsid w:val="002F47FA"/>
    <w:rsid w:val="003009B7"/>
    <w:rsid w:val="00300E56"/>
    <w:rsid w:val="0030469C"/>
    <w:rsid w:val="00321CA6"/>
    <w:rsid w:val="00334C09"/>
    <w:rsid w:val="003365E3"/>
    <w:rsid w:val="003723D4"/>
    <w:rsid w:val="0037254D"/>
    <w:rsid w:val="00384CC8"/>
    <w:rsid w:val="003871FD"/>
    <w:rsid w:val="003A1E30"/>
    <w:rsid w:val="003A7D1C"/>
    <w:rsid w:val="003B304B"/>
    <w:rsid w:val="003B3146"/>
    <w:rsid w:val="003B60F3"/>
    <w:rsid w:val="003C6C75"/>
    <w:rsid w:val="003F015E"/>
    <w:rsid w:val="00400414"/>
    <w:rsid w:val="0041446B"/>
    <w:rsid w:val="0044329C"/>
    <w:rsid w:val="004577FE"/>
    <w:rsid w:val="00457B9C"/>
    <w:rsid w:val="0046033D"/>
    <w:rsid w:val="0046164A"/>
    <w:rsid w:val="004628D2"/>
    <w:rsid w:val="00462DCD"/>
    <w:rsid w:val="004648AD"/>
    <w:rsid w:val="004703A9"/>
    <w:rsid w:val="004760DE"/>
    <w:rsid w:val="004A004E"/>
    <w:rsid w:val="004A24CF"/>
    <w:rsid w:val="004B6721"/>
    <w:rsid w:val="004C3D1D"/>
    <w:rsid w:val="004C7913"/>
    <w:rsid w:val="004D5D11"/>
    <w:rsid w:val="004E4DD6"/>
    <w:rsid w:val="004F5E36"/>
    <w:rsid w:val="00507B47"/>
    <w:rsid w:val="00507CC9"/>
    <w:rsid w:val="005119A5"/>
    <w:rsid w:val="00525D66"/>
    <w:rsid w:val="005278B7"/>
    <w:rsid w:val="00532016"/>
    <w:rsid w:val="005346C8"/>
    <w:rsid w:val="00543E7D"/>
    <w:rsid w:val="00544AE3"/>
    <w:rsid w:val="00546B05"/>
    <w:rsid w:val="00547A68"/>
    <w:rsid w:val="005531C9"/>
    <w:rsid w:val="00565B53"/>
    <w:rsid w:val="00575251"/>
    <w:rsid w:val="005B2110"/>
    <w:rsid w:val="005B42CD"/>
    <w:rsid w:val="005B5D8A"/>
    <w:rsid w:val="005B61E6"/>
    <w:rsid w:val="005C77E1"/>
    <w:rsid w:val="005D6A2F"/>
    <w:rsid w:val="005E1A82"/>
    <w:rsid w:val="005E794C"/>
    <w:rsid w:val="005F0A28"/>
    <w:rsid w:val="005F0E5E"/>
    <w:rsid w:val="00600535"/>
    <w:rsid w:val="00610CD6"/>
    <w:rsid w:val="00620DEE"/>
    <w:rsid w:val="00621F92"/>
    <w:rsid w:val="0062328B"/>
    <w:rsid w:val="00625639"/>
    <w:rsid w:val="00631B33"/>
    <w:rsid w:val="0064184D"/>
    <w:rsid w:val="006422CC"/>
    <w:rsid w:val="00660E3E"/>
    <w:rsid w:val="00662B80"/>
    <w:rsid w:val="00662E74"/>
    <w:rsid w:val="00680C23"/>
    <w:rsid w:val="006923A0"/>
    <w:rsid w:val="00693766"/>
    <w:rsid w:val="006A3281"/>
    <w:rsid w:val="006B4888"/>
    <w:rsid w:val="006C2E45"/>
    <w:rsid w:val="006C359C"/>
    <w:rsid w:val="006C5579"/>
    <w:rsid w:val="006E737D"/>
    <w:rsid w:val="0070195D"/>
    <w:rsid w:val="00720A24"/>
    <w:rsid w:val="00732386"/>
    <w:rsid w:val="0074146F"/>
    <w:rsid w:val="007447F3"/>
    <w:rsid w:val="00751ACC"/>
    <w:rsid w:val="0075499F"/>
    <w:rsid w:val="00757C80"/>
    <w:rsid w:val="007637EB"/>
    <w:rsid w:val="00765AF9"/>
    <w:rsid w:val="007661C8"/>
    <w:rsid w:val="0077098D"/>
    <w:rsid w:val="007842D2"/>
    <w:rsid w:val="007931FA"/>
    <w:rsid w:val="007A7BBA"/>
    <w:rsid w:val="007B0C50"/>
    <w:rsid w:val="007B5A49"/>
    <w:rsid w:val="007C1A43"/>
    <w:rsid w:val="007E1DC6"/>
    <w:rsid w:val="007E2502"/>
    <w:rsid w:val="007F08FA"/>
    <w:rsid w:val="007F4CAB"/>
    <w:rsid w:val="00813288"/>
    <w:rsid w:val="008168FC"/>
    <w:rsid w:val="00830996"/>
    <w:rsid w:val="008345F1"/>
    <w:rsid w:val="0084711A"/>
    <w:rsid w:val="0085237E"/>
    <w:rsid w:val="008620E7"/>
    <w:rsid w:val="00865B07"/>
    <w:rsid w:val="008667EA"/>
    <w:rsid w:val="0087637F"/>
    <w:rsid w:val="008904B9"/>
    <w:rsid w:val="00892AD5"/>
    <w:rsid w:val="008A1512"/>
    <w:rsid w:val="008C78C1"/>
    <w:rsid w:val="008D32B9"/>
    <w:rsid w:val="008D433B"/>
    <w:rsid w:val="008E566E"/>
    <w:rsid w:val="0090161A"/>
    <w:rsid w:val="00901EB6"/>
    <w:rsid w:val="00904C62"/>
    <w:rsid w:val="009173EC"/>
    <w:rsid w:val="0092471F"/>
    <w:rsid w:val="00924DAC"/>
    <w:rsid w:val="00927058"/>
    <w:rsid w:val="009450CE"/>
    <w:rsid w:val="00946F25"/>
    <w:rsid w:val="00947179"/>
    <w:rsid w:val="00951236"/>
    <w:rsid w:val="0095164B"/>
    <w:rsid w:val="00954090"/>
    <w:rsid w:val="009573E7"/>
    <w:rsid w:val="009635B9"/>
    <w:rsid w:val="00963E05"/>
    <w:rsid w:val="00967D54"/>
    <w:rsid w:val="00996483"/>
    <w:rsid w:val="00996F5A"/>
    <w:rsid w:val="009A0A3E"/>
    <w:rsid w:val="009B041A"/>
    <w:rsid w:val="009C17BF"/>
    <w:rsid w:val="009C7C86"/>
    <w:rsid w:val="009D2FF7"/>
    <w:rsid w:val="009E7884"/>
    <w:rsid w:val="009E788A"/>
    <w:rsid w:val="009F0E08"/>
    <w:rsid w:val="00A1763D"/>
    <w:rsid w:val="00A17CEC"/>
    <w:rsid w:val="00A27EF0"/>
    <w:rsid w:val="00A50B20"/>
    <w:rsid w:val="00A51390"/>
    <w:rsid w:val="00A60D13"/>
    <w:rsid w:val="00A61E25"/>
    <w:rsid w:val="00A72745"/>
    <w:rsid w:val="00A76EFC"/>
    <w:rsid w:val="00A91010"/>
    <w:rsid w:val="00A97F29"/>
    <w:rsid w:val="00AA702E"/>
    <w:rsid w:val="00AB0964"/>
    <w:rsid w:val="00AB2C19"/>
    <w:rsid w:val="00AB5011"/>
    <w:rsid w:val="00AC7368"/>
    <w:rsid w:val="00AD16B9"/>
    <w:rsid w:val="00AE377D"/>
    <w:rsid w:val="00AF27EB"/>
    <w:rsid w:val="00B14902"/>
    <w:rsid w:val="00B17FBD"/>
    <w:rsid w:val="00B315A6"/>
    <w:rsid w:val="00B31813"/>
    <w:rsid w:val="00B31C38"/>
    <w:rsid w:val="00B33365"/>
    <w:rsid w:val="00B50717"/>
    <w:rsid w:val="00B57B36"/>
    <w:rsid w:val="00B8686D"/>
    <w:rsid w:val="00BA0D4B"/>
    <w:rsid w:val="00BC30C9"/>
    <w:rsid w:val="00BC4026"/>
    <w:rsid w:val="00BE3E58"/>
    <w:rsid w:val="00BF42FA"/>
    <w:rsid w:val="00C01616"/>
    <w:rsid w:val="00C0162B"/>
    <w:rsid w:val="00C045A5"/>
    <w:rsid w:val="00C06C3E"/>
    <w:rsid w:val="00C1029A"/>
    <w:rsid w:val="00C13141"/>
    <w:rsid w:val="00C345B1"/>
    <w:rsid w:val="00C40142"/>
    <w:rsid w:val="00C50EAB"/>
    <w:rsid w:val="00C57182"/>
    <w:rsid w:val="00C57863"/>
    <w:rsid w:val="00C655FD"/>
    <w:rsid w:val="00C7184A"/>
    <w:rsid w:val="00C777BB"/>
    <w:rsid w:val="00C870A8"/>
    <w:rsid w:val="00C94434"/>
    <w:rsid w:val="00CA0D75"/>
    <w:rsid w:val="00CA1C95"/>
    <w:rsid w:val="00CA5A9C"/>
    <w:rsid w:val="00CA6594"/>
    <w:rsid w:val="00CB76C5"/>
    <w:rsid w:val="00CD118B"/>
    <w:rsid w:val="00CD3517"/>
    <w:rsid w:val="00CD5A00"/>
    <w:rsid w:val="00CD5FE2"/>
    <w:rsid w:val="00CE7C68"/>
    <w:rsid w:val="00CF3D5F"/>
    <w:rsid w:val="00D02B4C"/>
    <w:rsid w:val="00D040C4"/>
    <w:rsid w:val="00D57C84"/>
    <w:rsid w:val="00D6057D"/>
    <w:rsid w:val="00D84576"/>
    <w:rsid w:val="00DA1399"/>
    <w:rsid w:val="00DA24C6"/>
    <w:rsid w:val="00DA4D7B"/>
    <w:rsid w:val="00DB421B"/>
    <w:rsid w:val="00DC63E8"/>
    <w:rsid w:val="00DE264A"/>
    <w:rsid w:val="00DF2A86"/>
    <w:rsid w:val="00DF70E9"/>
    <w:rsid w:val="00E02D18"/>
    <w:rsid w:val="00E041E7"/>
    <w:rsid w:val="00E23CA1"/>
    <w:rsid w:val="00E26995"/>
    <w:rsid w:val="00E409A8"/>
    <w:rsid w:val="00E50C12"/>
    <w:rsid w:val="00E61EDF"/>
    <w:rsid w:val="00E65B91"/>
    <w:rsid w:val="00E7209D"/>
    <w:rsid w:val="00E77223"/>
    <w:rsid w:val="00E83090"/>
    <w:rsid w:val="00E8528B"/>
    <w:rsid w:val="00E85B94"/>
    <w:rsid w:val="00E978D0"/>
    <w:rsid w:val="00EA4613"/>
    <w:rsid w:val="00EA7F91"/>
    <w:rsid w:val="00EB1523"/>
    <w:rsid w:val="00EC0E49"/>
    <w:rsid w:val="00EE0131"/>
    <w:rsid w:val="00EF780C"/>
    <w:rsid w:val="00F155B2"/>
    <w:rsid w:val="00F30C64"/>
    <w:rsid w:val="00F32CDB"/>
    <w:rsid w:val="00F44013"/>
    <w:rsid w:val="00F52E7C"/>
    <w:rsid w:val="00F63255"/>
    <w:rsid w:val="00F63A70"/>
    <w:rsid w:val="00FA21D0"/>
    <w:rsid w:val="00FA2208"/>
    <w:rsid w:val="00FA5F5F"/>
    <w:rsid w:val="00FB2265"/>
    <w:rsid w:val="00FB730C"/>
    <w:rsid w:val="00FC2695"/>
    <w:rsid w:val="00FC3E03"/>
    <w:rsid w:val="00FC3FC1"/>
    <w:rsid w:val="00FC5E96"/>
    <w:rsid w:val="00FF2E40"/>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A5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A0F6-435C-4725-BF87-E8022735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2548</Words>
  <Characters>14528</Characters>
  <Application>Microsoft Office Word</Application>
  <DocSecurity>0</DocSecurity>
  <Lines>121</Lines>
  <Paragraphs>34</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admin</cp:lastModifiedBy>
  <cp:revision>12</cp:revision>
  <cp:lastPrinted>2015-05-12T18:31:00Z</cp:lastPrinted>
  <dcterms:created xsi:type="dcterms:W3CDTF">2019-04-15T07:14:00Z</dcterms:created>
  <dcterms:modified xsi:type="dcterms:W3CDTF">2019-04-15T10:38:00Z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http://www.zotero.org/styles/journal-of-electroanalytical-chemistry</vt:lpwstr>
  </property>
  <property fmtid="{D5CDD505-2E9C-101B-9397-08002B2CF9AE}" pid="17" name="Mendeley Recent Style Name 6_1">
    <vt:lpwstr>Journal of Electroanalytical Chemistry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