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5E46C7" w14:paraId="76CDACB3" w14:textId="77777777">
        <w:trPr>
          <w:trHeight w:val="852"/>
          <w:jc w:val="center"/>
        </w:trPr>
        <w:tc>
          <w:tcPr>
            <w:tcW w:w="6946" w:type="dxa"/>
            <w:vMerge w:val="restart"/>
            <w:tcBorders>
              <w:right w:val="single" w:sz="4" w:space="0" w:color="auto"/>
            </w:tcBorders>
          </w:tcPr>
          <w:p w14:paraId="46349CF3" w14:textId="77777777" w:rsidR="000A03B2" w:rsidRPr="005E46C7" w:rsidRDefault="000A03B2" w:rsidP="00DE264A">
            <w:pPr>
              <w:tabs>
                <w:tab w:val="left" w:pos="-108"/>
              </w:tabs>
              <w:ind w:left="-108"/>
              <w:jc w:val="left"/>
              <w:rPr>
                <w:rFonts w:cs="Arial"/>
                <w:b/>
                <w:bCs/>
                <w:i/>
                <w:iCs/>
                <w:color w:val="000066"/>
                <w:sz w:val="12"/>
                <w:szCs w:val="12"/>
                <w:lang w:eastAsia="it-IT"/>
              </w:rPr>
            </w:pPr>
            <w:r w:rsidRPr="005E46C7">
              <w:rPr>
                <w:rFonts w:ascii="AdvP6960" w:hAnsi="AdvP6960" w:cs="AdvP6960"/>
                <w:noProof/>
                <w:color w:val="241F20"/>
                <w:szCs w:val="18"/>
                <w:lang w:eastAsia="en-GB"/>
              </w:rPr>
              <w:drawing>
                <wp:inline distT="0" distB="0" distL="0" distR="0" wp14:anchorId="56C475B4" wp14:editId="49E44D69">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5E46C7">
              <w:rPr>
                <w:rFonts w:ascii="AdvP6960" w:hAnsi="AdvP6960" w:cs="AdvP6960"/>
                <w:color w:val="241F20"/>
                <w:szCs w:val="18"/>
                <w:lang w:eastAsia="it-IT"/>
              </w:rPr>
              <w:t xml:space="preserve"> </w:t>
            </w:r>
            <w:r w:rsidRPr="005E46C7">
              <w:rPr>
                <w:rFonts w:cs="Arial"/>
                <w:b/>
                <w:bCs/>
                <w:i/>
                <w:iCs/>
                <w:color w:val="000066"/>
                <w:sz w:val="24"/>
                <w:szCs w:val="24"/>
                <w:lang w:eastAsia="it-IT"/>
              </w:rPr>
              <w:t>CHEMICAL ENGINEERING</w:t>
            </w:r>
            <w:r w:rsidRPr="005E46C7">
              <w:rPr>
                <w:rFonts w:cs="Arial"/>
                <w:b/>
                <w:bCs/>
                <w:i/>
                <w:iCs/>
                <w:color w:val="0033FF"/>
                <w:sz w:val="24"/>
                <w:szCs w:val="24"/>
                <w:lang w:eastAsia="it-IT"/>
              </w:rPr>
              <w:t xml:space="preserve"> </w:t>
            </w:r>
            <w:r w:rsidRPr="005E46C7">
              <w:rPr>
                <w:rFonts w:cs="Arial"/>
                <w:b/>
                <w:bCs/>
                <w:i/>
                <w:iCs/>
                <w:color w:val="666666"/>
                <w:sz w:val="24"/>
                <w:szCs w:val="24"/>
                <w:lang w:eastAsia="it-IT"/>
              </w:rPr>
              <w:t>TRANSACTIONS</w:t>
            </w:r>
            <w:r w:rsidRPr="005E46C7">
              <w:rPr>
                <w:color w:val="333333"/>
                <w:sz w:val="24"/>
                <w:szCs w:val="24"/>
                <w:lang w:eastAsia="it-IT"/>
              </w:rPr>
              <w:t xml:space="preserve"> </w:t>
            </w:r>
            <w:r w:rsidRPr="005E46C7">
              <w:rPr>
                <w:rFonts w:cs="Arial"/>
                <w:b/>
                <w:bCs/>
                <w:i/>
                <w:iCs/>
                <w:color w:val="000066"/>
                <w:sz w:val="27"/>
                <w:szCs w:val="27"/>
                <w:lang w:eastAsia="it-IT"/>
              </w:rPr>
              <w:br/>
            </w:r>
          </w:p>
          <w:p w14:paraId="6B75FC2D" w14:textId="77777777" w:rsidR="000A03B2" w:rsidRPr="005E46C7" w:rsidRDefault="00A76EFC" w:rsidP="009635B9">
            <w:pPr>
              <w:tabs>
                <w:tab w:val="left" w:pos="-108"/>
              </w:tabs>
              <w:ind w:left="-108"/>
              <w:rPr>
                <w:rFonts w:cs="Arial"/>
                <w:b/>
                <w:bCs/>
                <w:i/>
                <w:iCs/>
                <w:color w:val="000066"/>
                <w:sz w:val="22"/>
                <w:szCs w:val="22"/>
                <w:lang w:eastAsia="it-IT"/>
              </w:rPr>
            </w:pPr>
            <w:r w:rsidRPr="005E46C7">
              <w:rPr>
                <w:rFonts w:cs="Arial"/>
                <w:b/>
                <w:bCs/>
                <w:i/>
                <w:iCs/>
                <w:color w:val="000066"/>
                <w:sz w:val="22"/>
                <w:szCs w:val="22"/>
                <w:lang w:eastAsia="it-IT"/>
              </w:rPr>
              <w:t xml:space="preserve">VOL. </w:t>
            </w:r>
            <w:r w:rsidR="007931FA" w:rsidRPr="005E46C7">
              <w:rPr>
                <w:rFonts w:cs="Arial"/>
                <w:b/>
                <w:bCs/>
                <w:i/>
                <w:iCs/>
                <w:color w:val="000066"/>
                <w:sz w:val="22"/>
                <w:szCs w:val="22"/>
                <w:lang w:eastAsia="it-IT"/>
              </w:rPr>
              <w:t>7</w:t>
            </w:r>
            <w:r w:rsidR="009635B9" w:rsidRPr="005E46C7">
              <w:rPr>
                <w:rFonts w:cs="Arial"/>
                <w:b/>
                <w:bCs/>
                <w:i/>
                <w:iCs/>
                <w:color w:val="000066"/>
                <w:sz w:val="22"/>
                <w:szCs w:val="22"/>
                <w:lang w:eastAsia="it-IT"/>
              </w:rPr>
              <w:t>6</w:t>
            </w:r>
            <w:r w:rsidR="00FA5F5F" w:rsidRPr="005E46C7">
              <w:rPr>
                <w:rFonts w:cs="Arial"/>
                <w:b/>
                <w:bCs/>
                <w:i/>
                <w:iCs/>
                <w:color w:val="000066"/>
                <w:sz w:val="22"/>
                <w:szCs w:val="22"/>
                <w:lang w:eastAsia="it-IT"/>
              </w:rPr>
              <w:t>, 201</w:t>
            </w:r>
            <w:r w:rsidR="007931FA" w:rsidRPr="005E46C7">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28584BC0" w14:textId="77777777" w:rsidR="000A03B2" w:rsidRPr="005E46C7" w:rsidRDefault="000A03B2" w:rsidP="00CD5FE2">
            <w:pPr>
              <w:spacing w:line="140" w:lineRule="atLeast"/>
              <w:jc w:val="right"/>
              <w:rPr>
                <w:rFonts w:cs="Arial"/>
                <w:sz w:val="14"/>
                <w:szCs w:val="14"/>
              </w:rPr>
            </w:pPr>
            <w:r w:rsidRPr="005E46C7">
              <w:rPr>
                <w:rFonts w:cs="Arial"/>
                <w:sz w:val="14"/>
                <w:szCs w:val="14"/>
              </w:rPr>
              <w:t>A publication of</w:t>
            </w:r>
          </w:p>
          <w:p w14:paraId="5E5ED2E6" w14:textId="77777777" w:rsidR="000A03B2" w:rsidRPr="005E46C7" w:rsidRDefault="000A03B2" w:rsidP="00CD5FE2">
            <w:pPr>
              <w:jc w:val="right"/>
            </w:pPr>
            <w:r w:rsidRPr="005E46C7">
              <w:rPr>
                <w:noProof/>
                <w:lang w:eastAsia="en-GB"/>
              </w:rPr>
              <w:drawing>
                <wp:inline distT="0" distB="0" distL="0" distR="0" wp14:anchorId="567A98DF" wp14:editId="38479A26">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E46C7" w14:paraId="730BAD19" w14:textId="77777777">
        <w:trPr>
          <w:trHeight w:val="567"/>
          <w:jc w:val="center"/>
        </w:trPr>
        <w:tc>
          <w:tcPr>
            <w:tcW w:w="6946" w:type="dxa"/>
            <w:vMerge/>
            <w:tcBorders>
              <w:right w:val="single" w:sz="4" w:space="0" w:color="auto"/>
            </w:tcBorders>
          </w:tcPr>
          <w:p w14:paraId="4B67457D" w14:textId="77777777" w:rsidR="000A03B2" w:rsidRPr="005E46C7" w:rsidRDefault="000A03B2" w:rsidP="00CD5FE2">
            <w:pPr>
              <w:tabs>
                <w:tab w:val="left" w:pos="-108"/>
              </w:tabs>
            </w:pPr>
          </w:p>
        </w:tc>
        <w:tc>
          <w:tcPr>
            <w:tcW w:w="1843" w:type="dxa"/>
            <w:tcBorders>
              <w:left w:val="single" w:sz="4" w:space="0" w:color="auto"/>
              <w:bottom w:val="nil"/>
              <w:right w:val="single" w:sz="4" w:space="0" w:color="auto"/>
            </w:tcBorders>
          </w:tcPr>
          <w:p w14:paraId="53E1ACFE" w14:textId="77777777" w:rsidR="000A03B2" w:rsidRPr="005E46C7" w:rsidRDefault="000A03B2" w:rsidP="00CD5FE2">
            <w:pPr>
              <w:spacing w:line="140" w:lineRule="atLeast"/>
              <w:jc w:val="right"/>
              <w:rPr>
                <w:rFonts w:cs="Arial"/>
                <w:sz w:val="14"/>
                <w:szCs w:val="14"/>
              </w:rPr>
            </w:pPr>
            <w:r w:rsidRPr="005E46C7">
              <w:rPr>
                <w:rFonts w:cs="Arial"/>
                <w:sz w:val="14"/>
                <w:szCs w:val="14"/>
              </w:rPr>
              <w:t>The Italian Association</w:t>
            </w:r>
          </w:p>
          <w:p w14:paraId="13B66B49" w14:textId="77777777" w:rsidR="000A03B2" w:rsidRPr="005E46C7" w:rsidRDefault="000A03B2" w:rsidP="00CD5FE2">
            <w:pPr>
              <w:spacing w:line="140" w:lineRule="atLeast"/>
              <w:jc w:val="right"/>
              <w:rPr>
                <w:rFonts w:cs="Arial"/>
                <w:sz w:val="14"/>
                <w:szCs w:val="14"/>
              </w:rPr>
            </w:pPr>
            <w:r w:rsidRPr="005E46C7">
              <w:rPr>
                <w:rFonts w:cs="Arial"/>
                <w:sz w:val="14"/>
                <w:szCs w:val="14"/>
              </w:rPr>
              <w:t>of Chemical Engineering</w:t>
            </w:r>
          </w:p>
          <w:p w14:paraId="583E8F48" w14:textId="77777777" w:rsidR="000A03B2" w:rsidRPr="005E46C7" w:rsidRDefault="000A03B2" w:rsidP="00162642">
            <w:pPr>
              <w:spacing w:line="140" w:lineRule="atLeast"/>
              <w:jc w:val="right"/>
              <w:rPr>
                <w:rFonts w:cs="Arial"/>
                <w:sz w:val="14"/>
                <w:szCs w:val="14"/>
              </w:rPr>
            </w:pPr>
            <w:r w:rsidRPr="005E46C7">
              <w:rPr>
                <w:rFonts w:cs="Arial"/>
                <w:sz w:val="14"/>
                <w:szCs w:val="14"/>
              </w:rPr>
              <w:t xml:space="preserve">Online at </w:t>
            </w:r>
            <w:r w:rsidR="00162642" w:rsidRPr="005E46C7">
              <w:rPr>
                <w:rFonts w:cs="Arial"/>
                <w:sz w:val="14"/>
                <w:szCs w:val="14"/>
              </w:rPr>
              <w:t>www.cetjournal.it</w:t>
            </w:r>
          </w:p>
        </w:tc>
      </w:tr>
      <w:tr w:rsidR="000A03B2" w:rsidRPr="005E46C7" w14:paraId="587EB244" w14:textId="77777777">
        <w:trPr>
          <w:trHeight w:val="68"/>
          <w:jc w:val="center"/>
        </w:trPr>
        <w:tc>
          <w:tcPr>
            <w:tcW w:w="8789" w:type="dxa"/>
            <w:gridSpan w:val="2"/>
          </w:tcPr>
          <w:p w14:paraId="21FC8029" w14:textId="77777777" w:rsidR="00300E56" w:rsidRPr="005E46C7" w:rsidRDefault="00300E56" w:rsidP="003365E3">
            <w:pPr>
              <w:ind w:left="-107"/>
              <w:rPr>
                <w:lang w:val="it-IT"/>
              </w:rPr>
            </w:pPr>
            <w:r w:rsidRPr="005E46C7">
              <w:rPr>
                <w:rFonts w:ascii="Tahoma" w:hAnsi="Tahoma" w:cs="Tahoma"/>
                <w:iCs/>
                <w:color w:val="333333"/>
                <w:sz w:val="14"/>
                <w:szCs w:val="14"/>
                <w:lang w:val="it-IT" w:eastAsia="it-IT"/>
              </w:rPr>
              <w:t>Guest Editors:</w:t>
            </w:r>
            <w:r w:rsidR="00904C62" w:rsidRPr="005E46C7">
              <w:rPr>
                <w:rFonts w:ascii="Tahoma" w:hAnsi="Tahoma" w:cs="Tahoma"/>
                <w:iCs/>
                <w:color w:val="333333"/>
                <w:sz w:val="14"/>
                <w:szCs w:val="14"/>
                <w:lang w:val="it-IT" w:eastAsia="it-IT"/>
              </w:rPr>
              <w:t xml:space="preserve"> </w:t>
            </w:r>
            <w:r w:rsidR="009635B9" w:rsidRPr="005E46C7">
              <w:rPr>
                <w:rFonts w:ascii="Tahoma" w:hAnsi="Tahoma" w:cs="Tahoma"/>
                <w:sz w:val="14"/>
                <w:szCs w:val="14"/>
                <w:lang w:val="it-IT"/>
              </w:rPr>
              <w:t>Sauro Pierucci,</w:t>
            </w:r>
            <w:r w:rsidR="003B60F3" w:rsidRPr="005E46C7">
              <w:rPr>
                <w:rFonts w:ascii="Tahoma" w:hAnsi="Tahoma" w:cs="Tahoma"/>
                <w:sz w:val="14"/>
                <w:szCs w:val="14"/>
                <w:lang w:val="it-IT"/>
              </w:rPr>
              <w:t xml:space="preserve"> </w:t>
            </w:r>
            <w:r w:rsidR="00047D7F" w:rsidRPr="005E46C7">
              <w:rPr>
                <w:rFonts w:ascii="Tahoma" w:hAnsi="Tahoma" w:cs="Tahoma"/>
                <w:sz w:val="14"/>
                <w:szCs w:val="14"/>
                <w:shd w:val="clear" w:color="auto" w:fill="FFFFFF"/>
                <w:lang w:val="it-IT"/>
              </w:rPr>
              <w:t>Jiří Jaromír Klemeš</w:t>
            </w:r>
            <w:r w:rsidR="00252C1A" w:rsidRPr="005E46C7">
              <w:rPr>
                <w:rFonts w:ascii="Tahoma" w:hAnsi="Tahoma" w:cs="Tahoma"/>
                <w:sz w:val="14"/>
                <w:szCs w:val="14"/>
                <w:shd w:val="clear" w:color="auto" w:fill="FFFFFF"/>
                <w:lang w:val="it-IT"/>
              </w:rPr>
              <w:t>, Laura Piazza</w:t>
            </w:r>
          </w:p>
          <w:p w14:paraId="6ECD63E8" w14:textId="77777777" w:rsidR="000A03B2" w:rsidRPr="005E46C7" w:rsidRDefault="00FA5F5F" w:rsidP="00131FAB">
            <w:pPr>
              <w:tabs>
                <w:tab w:val="left" w:pos="-108"/>
              </w:tabs>
              <w:spacing w:line="140" w:lineRule="atLeast"/>
              <w:ind w:left="-107"/>
              <w:jc w:val="left"/>
            </w:pPr>
            <w:r w:rsidRPr="005E46C7">
              <w:rPr>
                <w:rFonts w:ascii="Tahoma" w:hAnsi="Tahoma" w:cs="Tahoma"/>
                <w:iCs/>
                <w:color w:val="333333"/>
                <w:sz w:val="14"/>
                <w:szCs w:val="14"/>
                <w:lang w:eastAsia="it-IT"/>
              </w:rPr>
              <w:t>Copyright © 201</w:t>
            </w:r>
            <w:r w:rsidR="007931FA" w:rsidRPr="005E46C7">
              <w:rPr>
                <w:rFonts w:ascii="Tahoma" w:hAnsi="Tahoma" w:cs="Tahoma"/>
                <w:iCs/>
                <w:color w:val="333333"/>
                <w:sz w:val="14"/>
                <w:szCs w:val="14"/>
                <w:lang w:eastAsia="it-IT"/>
              </w:rPr>
              <w:t>9</w:t>
            </w:r>
            <w:r w:rsidR="00904C62" w:rsidRPr="005E46C7">
              <w:rPr>
                <w:rFonts w:ascii="Tahoma" w:hAnsi="Tahoma" w:cs="Tahoma"/>
                <w:iCs/>
                <w:color w:val="333333"/>
                <w:sz w:val="14"/>
                <w:szCs w:val="14"/>
                <w:lang w:eastAsia="it-IT"/>
              </w:rPr>
              <w:t>, AIDIC Servizi S.r.l.</w:t>
            </w:r>
            <w:r w:rsidR="00300E56" w:rsidRPr="005E46C7">
              <w:rPr>
                <w:rFonts w:ascii="Tahoma" w:hAnsi="Tahoma" w:cs="Tahoma"/>
                <w:iCs/>
                <w:color w:val="333333"/>
                <w:sz w:val="14"/>
                <w:szCs w:val="14"/>
                <w:lang w:eastAsia="it-IT"/>
              </w:rPr>
              <w:br/>
            </w:r>
            <w:r w:rsidR="00300E56" w:rsidRPr="005E46C7">
              <w:rPr>
                <w:rFonts w:ascii="Tahoma" w:hAnsi="Tahoma" w:cs="Tahoma"/>
                <w:b/>
                <w:iCs/>
                <w:color w:val="000000"/>
                <w:sz w:val="14"/>
                <w:szCs w:val="14"/>
                <w:lang w:eastAsia="it-IT"/>
              </w:rPr>
              <w:t>ISBN</w:t>
            </w:r>
            <w:r w:rsidR="00300E56" w:rsidRPr="005E46C7">
              <w:rPr>
                <w:rFonts w:ascii="Tahoma" w:hAnsi="Tahoma" w:cs="Tahoma"/>
                <w:iCs/>
                <w:color w:val="000000"/>
                <w:sz w:val="14"/>
                <w:szCs w:val="14"/>
                <w:lang w:eastAsia="it-IT"/>
              </w:rPr>
              <w:t xml:space="preserve"> </w:t>
            </w:r>
            <w:r w:rsidR="008D32B9" w:rsidRPr="005E46C7">
              <w:rPr>
                <w:rFonts w:ascii="Tahoma" w:hAnsi="Tahoma" w:cs="Tahoma"/>
                <w:sz w:val="14"/>
                <w:szCs w:val="14"/>
              </w:rPr>
              <w:t>978-88-95608-</w:t>
            </w:r>
            <w:r w:rsidR="009635B9" w:rsidRPr="005E46C7">
              <w:rPr>
                <w:rFonts w:ascii="Tahoma" w:hAnsi="Tahoma" w:cs="Tahoma"/>
                <w:sz w:val="14"/>
                <w:szCs w:val="14"/>
              </w:rPr>
              <w:t>73</w:t>
            </w:r>
            <w:r w:rsidR="008D32B9" w:rsidRPr="005E46C7">
              <w:rPr>
                <w:rFonts w:ascii="Tahoma" w:hAnsi="Tahoma" w:cs="Tahoma"/>
                <w:sz w:val="14"/>
                <w:szCs w:val="14"/>
              </w:rPr>
              <w:t>-</w:t>
            </w:r>
            <w:r w:rsidR="009635B9" w:rsidRPr="005E46C7">
              <w:rPr>
                <w:rFonts w:ascii="Tahoma" w:hAnsi="Tahoma" w:cs="Tahoma"/>
                <w:sz w:val="14"/>
                <w:szCs w:val="14"/>
              </w:rPr>
              <w:t>0</w:t>
            </w:r>
            <w:r w:rsidR="00300E56" w:rsidRPr="005E46C7">
              <w:rPr>
                <w:rFonts w:ascii="Tahoma" w:hAnsi="Tahoma" w:cs="Tahoma"/>
                <w:iCs/>
                <w:color w:val="333333"/>
                <w:sz w:val="14"/>
                <w:szCs w:val="14"/>
                <w:lang w:eastAsia="it-IT"/>
              </w:rPr>
              <w:t xml:space="preserve">; </w:t>
            </w:r>
            <w:r w:rsidR="00300E56" w:rsidRPr="005E46C7">
              <w:rPr>
                <w:rFonts w:ascii="Tahoma" w:hAnsi="Tahoma" w:cs="Tahoma"/>
                <w:b/>
                <w:iCs/>
                <w:color w:val="333333"/>
                <w:sz w:val="14"/>
                <w:szCs w:val="14"/>
                <w:lang w:eastAsia="it-IT"/>
              </w:rPr>
              <w:t>ISSN</w:t>
            </w:r>
            <w:r w:rsidR="00300E56" w:rsidRPr="005E46C7">
              <w:rPr>
                <w:rFonts w:ascii="Tahoma" w:hAnsi="Tahoma" w:cs="Tahoma"/>
                <w:iCs/>
                <w:color w:val="333333"/>
                <w:sz w:val="14"/>
                <w:szCs w:val="14"/>
                <w:lang w:eastAsia="it-IT"/>
              </w:rPr>
              <w:t xml:space="preserve"> 2283-9216</w:t>
            </w:r>
          </w:p>
        </w:tc>
      </w:tr>
    </w:tbl>
    <w:p w14:paraId="0F89C5A1" w14:textId="77777777" w:rsidR="000A03B2" w:rsidRPr="005E46C7" w:rsidRDefault="000A03B2" w:rsidP="000A03B2">
      <w:pPr>
        <w:pStyle w:val="CETAuthors"/>
        <w:sectPr w:rsidR="000A03B2" w:rsidRPr="005E46C7">
          <w:type w:val="continuous"/>
          <w:pgSz w:w="11906" w:h="16838" w:code="9"/>
          <w:pgMar w:top="1701" w:right="1418" w:bottom="1701" w:left="1701" w:header="1701" w:footer="0" w:gutter="0"/>
          <w:cols w:space="708"/>
          <w:titlePg/>
          <w:docGrid w:linePitch="360"/>
        </w:sectPr>
      </w:pPr>
    </w:p>
    <w:p w14:paraId="336F6CAF" w14:textId="77777777" w:rsidR="00E978D0" w:rsidRPr="005E46C7" w:rsidRDefault="004F4CF1" w:rsidP="00E978D0">
      <w:pPr>
        <w:pStyle w:val="CETTitle"/>
      </w:pPr>
      <w:r w:rsidRPr="005E46C7">
        <w:t>ANALYIS OF LIQUID MIXING AND SOLID DISSOLUTION FOR PHARMACEUTICAL MANUFACTURING IN STIRRED TANKS</w:t>
      </w:r>
    </w:p>
    <w:p w14:paraId="54A93C15" w14:textId="77777777" w:rsidR="00E978D0" w:rsidRPr="005E46C7" w:rsidRDefault="004F4CF1" w:rsidP="00AB5011">
      <w:pPr>
        <w:pStyle w:val="CETAuthors"/>
        <w:rPr>
          <w:lang w:val="it-IT"/>
        </w:rPr>
      </w:pPr>
      <w:r w:rsidRPr="005E46C7">
        <w:rPr>
          <w:lang w:val="it-IT"/>
        </w:rPr>
        <w:t>Francesco Maluta</w:t>
      </w:r>
      <w:r w:rsidRPr="005E46C7">
        <w:rPr>
          <w:vertAlign w:val="superscript"/>
          <w:lang w:val="it-IT"/>
        </w:rPr>
        <w:t>a,*</w:t>
      </w:r>
      <w:r w:rsidRPr="005E46C7">
        <w:rPr>
          <w:lang w:val="it-IT"/>
        </w:rPr>
        <w:t>, Giuseppina Montante</w:t>
      </w:r>
      <w:r w:rsidRPr="005E46C7">
        <w:rPr>
          <w:vertAlign w:val="superscript"/>
          <w:lang w:val="it-IT"/>
        </w:rPr>
        <w:t>b</w:t>
      </w:r>
      <w:r w:rsidRPr="005E46C7">
        <w:rPr>
          <w:lang w:val="it-IT"/>
        </w:rPr>
        <w:t>, Alessandro Paglianti</w:t>
      </w:r>
      <w:r w:rsidRPr="005E46C7">
        <w:rPr>
          <w:vertAlign w:val="superscript"/>
          <w:lang w:val="it-IT"/>
        </w:rPr>
        <w:t>a</w:t>
      </w:r>
    </w:p>
    <w:p w14:paraId="7B72C88B" w14:textId="77777777" w:rsidR="00E978D0" w:rsidRPr="005E46C7" w:rsidRDefault="00E978D0" w:rsidP="00E978D0">
      <w:pPr>
        <w:pStyle w:val="CETAddress"/>
      </w:pPr>
      <w:r w:rsidRPr="005E46C7">
        <w:rPr>
          <w:vertAlign w:val="superscript"/>
        </w:rPr>
        <w:t>a</w:t>
      </w:r>
      <w:r w:rsidR="004F4CF1" w:rsidRPr="005E46C7">
        <w:t>Department of Civil, Chemical, Environmental and Materials Engineering, University of Bologna, via Terracini 34, 40131 Bologna, Italy</w:t>
      </w:r>
      <w:r w:rsidRPr="005E46C7">
        <w:t xml:space="preserve"> </w:t>
      </w:r>
    </w:p>
    <w:p w14:paraId="7D84714E" w14:textId="77777777" w:rsidR="00E978D0" w:rsidRPr="005E46C7" w:rsidRDefault="00E978D0" w:rsidP="00E978D0">
      <w:pPr>
        <w:pStyle w:val="CETAddress"/>
      </w:pPr>
      <w:r w:rsidRPr="005E46C7">
        <w:rPr>
          <w:vertAlign w:val="superscript"/>
        </w:rPr>
        <w:t>b</w:t>
      </w:r>
      <w:r w:rsidR="004F4CF1" w:rsidRPr="005E46C7">
        <w:t>Department of Industrial Chemistry “Toso Montanari”, University of Bologna, via Terracini 34, 40131 Bologna, Italy</w:t>
      </w:r>
    </w:p>
    <w:p w14:paraId="5CFBC46E" w14:textId="77777777" w:rsidR="00E978D0" w:rsidRPr="005E46C7" w:rsidRDefault="00627163" w:rsidP="00E978D0">
      <w:pPr>
        <w:pStyle w:val="CETemail"/>
      </w:pPr>
      <w:r w:rsidRPr="005E46C7">
        <w:t>francesco.maluta2@unibo.it</w:t>
      </w:r>
    </w:p>
    <w:p w14:paraId="41AB9CFB" w14:textId="4B618E50" w:rsidR="00830883" w:rsidRPr="005E46C7" w:rsidRDefault="00830883" w:rsidP="00600535">
      <w:pPr>
        <w:pStyle w:val="CETBodytext"/>
        <w:rPr>
          <w:lang w:val="en-GB"/>
        </w:rPr>
      </w:pPr>
      <w:bookmarkStart w:id="0" w:name="_Hlk495475023"/>
      <w:r w:rsidRPr="005E46C7">
        <w:rPr>
          <w:lang w:val="en-GB"/>
        </w:rPr>
        <w:t xml:space="preserve">This work concerns solid-liquid mass transfer in stirred tanks and is </w:t>
      </w:r>
      <w:r w:rsidR="00154211" w:rsidRPr="005E46C7">
        <w:rPr>
          <w:lang w:val="en-GB"/>
        </w:rPr>
        <w:t>focused</w:t>
      </w:r>
      <w:r w:rsidRPr="005E46C7">
        <w:rPr>
          <w:lang w:val="en-GB"/>
        </w:rPr>
        <w:t xml:space="preserve"> on the analysis of experimental data collected during the dissolution of different solid materials in laboratory and industrial equipment. The times required for the solid dissolution and for the liquid mixing are considered</w:t>
      </w:r>
      <w:r w:rsidR="00154211" w:rsidRPr="005E46C7">
        <w:rPr>
          <w:lang w:val="en-GB"/>
        </w:rPr>
        <w:t>, since they</w:t>
      </w:r>
      <w:r w:rsidRPr="005E46C7">
        <w:rPr>
          <w:lang w:val="en-GB"/>
        </w:rPr>
        <w:t xml:space="preserve"> </w:t>
      </w:r>
      <w:r w:rsidR="00154211" w:rsidRPr="005E46C7">
        <w:rPr>
          <w:lang w:val="en-GB"/>
        </w:rPr>
        <w:t>are</w:t>
      </w:r>
      <w:r w:rsidRPr="005E46C7">
        <w:rPr>
          <w:lang w:val="en-GB"/>
        </w:rPr>
        <w:t xml:space="preserve"> key parameters of the operation. The adoption of literature correlations, which are proved to </w:t>
      </w:r>
      <w:r w:rsidR="00255154" w:rsidRPr="005E46C7">
        <w:rPr>
          <w:lang w:val="en-GB"/>
        </w:rPr>
        <w:t>be applicable for the estimation of</w:t>
      </w:r>
      <w:r w:rsidRPr="005E46C7">
        <w:rPr>
          <w:lang w:val="en-GB"/>
        </w:rPr>
        <w:t xml:space="preserve"> the two characteristic times in </w:t>
      </w:r>
      <w:r w:rsidR="00154211" w:rsidRPr="005E46C7">
        <w:rPr>
          <w:lang w:val="en-GB"/>
        </w:rPr>
        <w:t>different</w:t>
      </w:r>
      <w:r w:rsidRPr="005E46C7">
        <w:rPr>
          <w:lang w:val="en-GB"/>
        </w:rPr>
        <w:t xml:space="preserve"> applications, is suggested for </w:t>
      </w:r>
      <w:r w:rsidR="00A64F77" w:rsidRPr="005E46C7">
        <w:rPr>
          <w:lang w:val="en-GB"/>
        </w:rPr>
        <w:t>obtaining useful indications on</w:t>
      </w:r>
      <w:r w:rsidRPr="005E46C7">
        <w:rPr>
          <w:lang w:val="en-GB"/>
        </w:rPr>
        <w:t xml:space="preserve"> the dissolution operation depending on the equipment scale, coupling the approaches suggested so far for the analysis of liquid blending and solid dissolution processes. Available literature data concerning particle dissolution in pharmaceutical processes are </w:t>
      </w:r>
      <w:r w:rsidR="00F473F2" w:rsidRPr="005E46C7">
        <w:rPr>
          <w:lang w:val="en-GB"/>
        </w:rPr>
        <w:t>taken</w:t>
      </w:r>
      <w:r w:rsidRPr="005E46C7">
        <w:rPr>
          <w:lang w:val="en-GB"/>
        </w:rPr>
        <w:t xml:space="preserve"> for the model</w:t>
      </w:r>
      <w:r w:rsidR="004A1F41" w:rsidRPr="005E46C7">
        <w:rPr>
          <w:lang w:val="en-GB"/>
        </w:rPr>
        <w:t>s</w:t>
      </w:r>
      <w:r w:rsidR="00D814A5" w:rsidRPr="00D814A5">
        <w:rPr>
          <w:lang w:val="en-GB"/>
        </w:rPr>
        <w:t xml:space="preserve"> </w:t>
      </w:r>
      <w:r w:rsidRPr="005E46C7">
        <w:rPr>
          <w:lang w:val="en-GB"/>
        </w:rPr>
        <w:t>assessment. The applicability of the proposed method to the dissolution of powders for the home care industry is also considered. The outcome of this investigation can be adopted as a simple guideline for the selection of the operating conditions of the stirred vessels and for a proper choice of the solid size as a function of the vessel scale.</w:t>
      </w:r>
    </w:p>
    <w:bookmarkEnd w:id="0"/>
    <w:p w14:paraId="6FB22E09" w14:textId="77777777" w:rsidR="00600535" w:rsidRPr="005E46C7" w:rsidRDefault="00600535" w:rsidP="00600535">
      <w:pPr>
        <w:pStyle w:val="CETHeading1"/>
        <w:rPr>
          <w:lang w:val="en-GB"/>
        </w:rPr>
      </w:pPr>
      <w:r w:rsidRPr="005E46C7">
        <w:rPr>
          <w:lang w:val="en-GB"/>
        </w:rPr>
        <w:t>Introduction</w:t>
      </w:r>
    </w:p>
    <w:p w14:paraId="219CFBD8" w14:textId="77777777" w:rsidR="00830883" w:rsidRPr="005E46C7" w:rsidRDefault="00012E93" w:rsidP="00830883">
      <w:pPr>
        <w:pStyle w:val="CETBodytext"/>
        <w:rPr>
          <w:lang w:val="en-GB"/>
        </w:rPr>
      </w:pPr>
      <w:r w:rsidRPr="005E46C7">
        <w:rPr>
          <w:lang w:val="en-GB"/>
        </w:rPr>
        <w:t>M</w:t>
      </w:r>
      <w:r w:rsidR="00830883" w:rsidRPr="005E46C7">
        <w:rPr>
          <w:lang w:val="en-GB"/>
        </w:rPr>
        <w:t xml:space="preserve">ixing and dissolution </w:t>
      </w:r>
      <w:r w:rsidR="005A11A7" w:rsidRPr="005E46C7">
        <w:rPr>
          <w:lang w:val="en-GB"/>
        </w:rPr>
        <w:t xml:space="preserve">are </w:t>
      </w:r>
      <w:r w:rsidR="00A1630E" w:rsidRPr="005E46C7">
        <w:rPr>
          <w:lang w:val="en-GB"/>
        </w:rPr>
        <w:t>essential unit</w:t>
      </w:r>
      <w:r w:rsidR="005A11A7" w:rsidRPr="005E46C7">
        <w:rPr>
          <w:lang w:val="en-GB"/>
        </w:rPr>
        <w:t xml:space="preserve"> operations in the pharmaceutical </w:t>
      </w:r>
      <w:r w:rsidR="00A1630E" w:rsidRPr="005E46C7">
        <w:rPr>
          <w:lang w:val="en-GB"/>
        </w:rPr>
        <w:t>industry</w:t>
      </w:r>
      <w:r w:rsidR="005A11A7" w:rsidRPr="005E46C7">
        <w:rPr>
          <w:lang w:val="en-GB"/>
        </w:rPr>
        <w:t xml:space="preserve"> (</w:t>
      </w:r>
      <w:r w:rsidR="00B94AE9" w:rsidRPr="005E46C7">
        <w:rPr>
          <w:lang w:val="en-GB"/>
        </w:rPr>
        <w:t xml:space="preserve">Hörmann </w:t>
      </w:r>
      <w:r w:rsidRPr="005E46C7">
        <w:rPr>
          <w:lang w:val="en-GB"/>
        </w:rPr>
        <w:t>et al., 2011)</w:t>
      </w:r>
      <w:r w:rsidR="005A11A7" w:rsidRPr="005E46C7">
        <w:rPr>
          <w:lang w:val="en-GB"/>
        </w:rPr>
        <w:t xml:space="preserve"> </w:t>
      </w:r>
      <w:r w:rsidR="00A1630E" w:rsidRPr="005E46C7">
        <w:rPr>
          <w:lang w:val="en-GB"/>
        </w:rPr>
        <w:t xml:space="preserve">for the production of liquid dosage forms and for the characterization of solid </w:t>
      </w:r>
      <w:r w:rsidR="008863BC" w:rsidRPr="005E46C7">
        <w:rPr>
          <w:lang w:val="en-GB"/>
        </w:rPr>
        <w:t>dosage drugs</w:t>
      </w:r>
      <w:r w:rsidR="002E769F" w:rsidRPr="005E46C7">
        <w:rPr>
          <w:lang w:val="en-GB"/>
        </w:rPr>
        <w:t xml:space="preserve"> (Wang and Armenante, </w:t>
      </w:r>
      <w:r w:rsidR="009F2117" w:rsidRPr="005E46C7">
        <w:rPr>
          <w:lang w:val="en-GB"/>
        </w:rPr>
        <w:t>2016)</w:t>
      </w:r>
      <w:r w:rsidR="00A1630E" w:rsidRPr="005E46C7">
        <w:rPr>
          <w:lang w:val="en-GB"/>
        </w:rPr>
        <w:t xml:space="preserve">. </w:t>
      </w:r>
      <w:r w:rsidR="008863BC" w:rsidRPr="005E46C7">
        <w:rPr>
          <w:lang w:val="en-GB"/>
        </w:rPr>
        <w:t>A</w:t>
      </w:r>
      <w:r w:rsidR="006769AC" w:rsidRPr="005E46C7">
        <w:rPr>
          <w:lang w:val="en-GB"/>
        </w:rPr>
        <w:t>dditional research</w:t>
      </w:r>
      <w:r w:rsidR="005A11A7" w:rsidRPr="005E46C7">
        <w:rPr>
          <w:lang w:val="en-GB"/>
        </w:rPr>
        <w:t xml:space="preserve"> contributions in this field </w:t>
      </w:r>
      <w:r w:rsidR="00B67328" w:rsidRPr="005E46C7">
        <w:rPr>
          <w:lang w:val="en-GB"/>
        </w:rPr>
        <w:t>can help in</w:t>
      </w:r>
      <w:r w:rsidRPr="005E46C7">
        <w:rPr>
          <w:lang w:val="en-GB"/>
        </w:rPr>
        <w:t xml:space="preserve"> address</w:t>
      </w:r>
      <w:r w:rsidR="00B67328" w:rsidRPr="005E46C7">
        <w:rPr>
          <w:lang w:val="en-GB"/>
        </w:rPr>
        <w:t>ing</w:t>
      </w:r>
      <w:r w:rsidRPr="005E46C7">
        <w:rPr>
          <w:lang w:val="en-GB"/>
        </w:rPr>
        <w:t xml:space="preserve"> several basic questions arising i</w:t>
      </w:r>
      <w:r w:rsidR="006769AC" w:rsidRPr="005E46C7">
        <w:rPr>
          <w:lang w:val="en-GB"/>
        </w:rPr>
        <w:t xml:space="preserve">n the scale up </w:t>
      </w:r>
      <w:r w:rsidRPr="005E46C7">
        <w:rPr>
          <w:lang w:val="en-GB"/>
        </w:rPr>
        <w:t>from lab scale to manufacturing vessels (Koganti et al., 2010)</w:t>
      </w:r>
      <w:r w:rsidR="00B67328" w:rsidRPr="005E46C7">
        <w:rPr>
          <w:lang w:val="en-GB"/>
        </w:rPr>
        <w:t xml:space="preserve">, with positive impacts also in other sectors where powder dissolution plays a significant role, </w:t>
      </w:r>
      <w:r w:rsidR="00311D23" w:rsidRPr="005E46C7">
        <w:rPr>
          <w:lang w:val="en-GB"/>
        </w:rPr>
        <w:t xml:space="preserve">such </w:t>
      </w:r>
      <w:r w:rsidR="00B67328" w:rsidRPr="005E46C7">
        <w:rPr>
          <w:lang w:val="en-GB"/>
        </w:rPr>
        <w:t xml:space="preserve">as in the </w:t>
      </w:r>
      <w:r w:rsidR="008863BC" w:rsidRPr="005E46C7">
        <w:rPr>
          <w:lang w:val="en-GB"/>
        </w:rPr>
        <w:t>f</w:t>
      </w:r>
      <w:r w:rsidR="00D51E7B" w:rsidRPr="005E46C7">
        <w:rPr>
          <w:lang w:val="en-GB"/>
        </w:rPr>
        <w:t xml:space="preserve">ood (Aliakbarian et al., 2017) and </w:t>
      </w:r>
      <w:r w:rsidR="00B67328" w:rsidRPr="005E46C7">
        <w:rPr>
          <w:lang w:val="en-GB"/>
        </w:rPr>
        <w:t xml:space="preserve">in the </w:t>
      </w:r>
      <w:r w:rsidR="00D51E7B" w:rsidRPr="005E46C7">
        <w:rPr>
          <w:lang w:val="en-GB"/>
        </w:rPr>
        <w:t>home care industr</w:t>
      </w:r>
      <w:r w:rsidR="00311D23" w:rsidRPr="005E46C7">
        <w:rPr>
          <w:lang w:val="en-GB"/>
        </w:rPr>
        <w:t>ies</w:t>
      </w:r>
      <w:r w:rsidR="00D51E7B" w:rsidRPr="005E46C7">
        <w:rPr>
          <w:lang w:val="en-GB"/>
        </w:rPr>
        <w:t xml:space="preserve"> (Mutch et al., 2019).</w:t>
      </w:r>
    </w:p>
    <w:p w14:paraId="1E764897" w14:textId="77777777" w:rsidR="00830883" w:rsidRPr="005E46C7" w:rsidRDefault="00830883" w:rsidP="00830883">
      <w:pPr>
        <w:pStyle w:val="CETBodytext"/>
        <w:rPr>
          <w:lang w:val="en-GB"/>
        </w:rPr>
      </w:pPr>
      <w:r w:rsidRPr="005E46C7">
        <w:rPr>
          <w:lang w:val="en-GB"/>
        </w:rPr>
        <w:t xml:space="preserve">Solid dissolution and liquid mixing </w:t>
      </w:r>
      <w:r w:rsidR="009174E2" w:rsidRPr="005E46C7">
        <w:rPr>
          <w:lang w:val="en-GB"/>
        </w:rPr>
        <w:t xml:space="preserve">during solid dissolution </w:t>
      </w:r>
      <w:r w:rsidRPr="005E46C7">
        <w:rPr>
          <w:lang w:val="en-GB"/>
        </w:rPr>
        <w:t xml:space="preserve">are strongly related, </w:t>
      </w:r>
      <w:r w:rsidR="00194DBD" w:rsidRPr="005E46C7">
        <w:rPr>
          <w:lang w:val="en-GB"/>
        </w:rPr>
        <w:t xml:space="preserve">since the concentration of the dissolved material in the liquid phase </w:t>
      </w:r>
      <w:r w:rsidR="00385D3F" w:rsidRPr="005E46C7">
        <w:rPr>
          <w:lang w:val="en-GB"/>
        </w:rPr>
        <w:t>affects</w:t>
      </w:r>
      <w:r w:rsidR="00194DBD" w:rsidRPr="005E46C7">
        <w:rPr>
          <w:lang w:val="en-GB"/>
        </w:rPr>
        <w:t xml:space="preserve"> the mass transfer driving force and ultimately the</w:t>
      </w:r>
      <w:r w:rsidRPr="005E46C7">
        <w:rPr>
          <w:lang w:val="en-GB"/>
        </w:rPr>
        <w:t xml:space="preserve"> mass transfer rate. </w:t>
      </w:r>
      <w:r w:rsidR="00194DBD" w:rsidRPr="005E46C7">
        <w:rPr>
          <w:lang w:val="en-GB"/>
        </w:rPr>
        <w:t xml:space="preserve">As a result, liquid mixing during dissolution might be either uninfluential or important, depending on the </w:t>
      </w:r>
      <w:r w:rsidR="007D35C7" w:rsidRPr="005E46C7">
        <w:rPr>
          <w:lang w:val="en-GB"/>
        </w:rPr>
        <w:t>solid size</w:t>
      </w:r>
      <w:r w:rsidR="00194DBD" w:rsidRPr="005E46C7">
        <w:rPr>
          <w:lang w:val="en-GB"/>
        </w:rPr>
        <w:t xml:space="preserve"> and the vessel </w:t>
      </w:r>
      <w:r w:rsidR="007D35C7" w:rsidRPr="005E46C7">
        <w:rPr>
          <w:lang w:val="en-GB"/>
        </w:rPr>
        <w:t>scale</w:t>
      </w:r>
      <w:r w:rsidR="00194DBD" w:rsidRPr="005E46C7">
        <w:rPr>
          <w:lang w:val="en-GB"/>
        </w:rPr>
        <w:t xml:space="preserve">. </w:t>
      </w:r>
      <w:r w:rsidRPr="005E46C7">
        <w:rPr>
          <w:lang w:val="en-GB"/>
        </w:rPr>
        <w:t xml:space="preserve">In order to consider the two processes and their </w:t>
      </w:r>
      <w:r w:rsidR="00B94AE9" w:rsidRPr="005E46C7">
        <w:rPr>
          <w:lang w:val="en-GB"/>
        </w:rPr>
        <w:t xml:space="preserve">possible </w:t>
      </w:r>
      <w:r w:rsidRPr="005E46C7">
        <w:rPr>
          <w:lang w:val="en-GB"/>
        </w:rPr>
        <w:t xml:space="preserve">interactions, the characteristic times </w:t>
      </w:r>
      <w:r w:rsidR="00194DBD" w:rsidRPr="005E46C7">
        <w:rPr>
          <w:lang w:val="en-GB"/>
        </w:rPr>
        <w:t xml:space="preserve">of the two processes </w:t>
      </w:r>
      <w:r w:rsidRPr="005E46C7">
        <w:rPr>
          <w:lang w:val="en-GB"/>
        </w:rPr>
        <w:t>are</w:t>
      </w:r>
      <w:r w:rsidR="002E769F" w:rsidRPr="005E46C7">
        <w:rPr>
          <w:lang w:val="en-GB"/>
        </w:rPr>
        <w:t xml:space="preserve"> </w:t>
      </w:r>
      <w:r w:rsidR="00FC546A" w:rsidRPr="005E46C7">
        <w:rPr>
          <w:lang w:val="en-GB"/>
        </w:rPr>
        <w:t>specifically</w:t>
      </w:r>
      <w:r w:rsidRPr="005E46C7">
        <w:rPr>
          <w:lang w:val="en-GB"/>
        </w:rPr>
        <w:t xml:space="preserve"> considered in </w:t>
      </w:r>
      <w:r w:rsidR="00FC546A" w:rsidRPr="005E46C7">
        <w:rPr>
          <w:lang w:val="en-GB"/>
        </w:rPr>
        <w:t>this work</w:t>
      </w:r>
      <w:r w:rsidRPr="005E46C7">
        <w:rPr>
          <w:lang w:val="en-GB"/>
        </w:rPr>
        <w:t>.</w:t>
      </w:r>
    </w:p>
    <w:p w14:paraId="3ACB8865" w14:textId="2B210A19" w:rsidR="00E15D70" w:rsidRPr="005E46C7" w:rsidRDefault="002E29F7" w:rsidP="00600535">
      <w:pPr>
        <w:pStyle w:val="CETBodytext"/>
        <w:rPr>
          <w:lang w:val="en-GB"/>
        </w:rPr>
      </w:pPr>
      <w:r w:rsidRPr="005E46C7">
        <w:rPr>
          <w:lang w:val="en-GB"/>
        </w:rPr>
        <w:t xml:space="preserve">The current knowledge on solid-liquid mixing </w:t>
      </w:r>
      <w:r w:rsidR="00311D23" w:rsidRPr="005E46C7">
        <w:rPr>
          <w:lang w:val="en-GB"/>
        </w:rPr>
        <w:t>covers several aspects. M</w:t>
      </w:r>
      <w:r w:rsidRPr="005E46C7">
        <w:rPr>
          <w:lang w:val="en-GB"/>
        </w:rPr>
        <w:t xml:space="preserve">any useful investigations have been carried out </w:t>
      </w:r>
      <w:r w:rsidR="008B5E71" w:rsidRPr="005E46C7">
        <w:rPr>
          <w:lang w:val="en-GB"/>
        </w:rPr>
        <w:t xml:space="preserve">for example on the solid distribution in baffled (Fajner et al., </w:t>
      </w:r>
      <w:r w:rsidR="002E769F" w:rsidRPr="005E46C7">
        <w:rPr>
          <w:lang w:val="en-GB"/>
        </w:rPr>
        <w:t>2008</w:t>
      </w:r>
      <w:r w:rsidR="008B5E71" w:rsidRPr="005E46C7">
        <w:rPr>
          <w:lang w:val="en-GB"/>
        </w:rPr>
        <w:t xml:space="preserve">) and unbaffled stirred vessels </w:t>
      </w:r>
      <w:r w:rsidR="002E769F" w:rsidRPr="005E46C7">
        <w:rPr>
          <w:lang w:val="en-GB"/>
        </w:rPr>
        <w:t xml:space="preserve">(Tamburini et al., </w:t>
      </w:r>
      <w:r w:rsidR="008B5E71" w:rsidRPr="005E46C7">
        <w:rPr>
          <w:lang w:val="en-GB"/>
        </w:rPr>
        <w:t>2017)</w:t>
      </w:r>
      <w:r w:rsidR="009174E2" w:rsidRPr="005E46C7">
        <w:rPr>
          <w:lang w:val="en-GB"/>
        </w:rPr>
        <w:t>, on the liquid mixing time in dilute and dense solid-liquid systems</w:t>
      </w:r>
      <w:r w:rsidR="00311D23" w:rsidRPr="005E46C7">
        <w:rPr>
          <w:lang w:val="en-GB"/>
        </w:rPr>
        <w:t xml:space="preserve"> (</w:t>
      </w:r>
      <w:r w:rsidR="00B94AE9" w:rsidRPr="005E46C7">
        <w:rPr>
          <w:lang w:val="en-GB"/>
        </w:rPr>
        <w:t>Paglianti</w:t>
      </w:r>
      <w:r w:rsidR="00311D23" w:rsidRPr="005E46C7">
        <w:rPr>
          <w:lang w:val="en-GB"/>
        </w:rPr>
        <w:t xml:space="preserve"> et </w:t>
      </w:r>
      <w:r w:rsidR="00311D23" w:rsidRPr="00D814A5">
        <w:rPr>
          <w:lang w:val="en-GB"/>
        </w:rPr>
        <w:t>al</w:t>
      </w:r>
      <w:r w:rsidR="00FB163C" w:rsidRPr="00D814A5">
        <w:rPr>
          <w:lang w:val="en-GB"/>
        </w:rPr>
        <w:t>.</w:t>
      </w:r>
      <w:r w:rsidR="00311D23" w:rsidRPr="00D814A5">
        <w:rPr>
          <w:lang w:val="en-GB"/>
        </w:rPr>
        <w:t>,</w:t>
      </w:r>
      <w:r w:rsidR="00311D23" w:rsidRPr="005E46C7">
        <w:rPr>
          <w:lang w:val="en-GB"/>
        </w:rPr>
        <w:t xml:space="preserve"> 2017)</w:t>
      </w:r>
      <w:r w:rsidR="009174E2" w:rsidRPr="005E46C7">
        <w:rPr>
          <w:lang w:val="en-GB"/>
        </w:rPr>
        <w:t xml:space="preserve">, on the experimental </w:t>
      </w:r>
      <w:r w:rsidR="002E769F" w:rsidRPr="005E46C7">
        <w:rPr>
          <w:lang w:val="en-GB"/>
        </w:rPr>
        <w:t xml:space="preserve">(Montante et al., 2012) </w:t>
      </w:r>
      <w:r w:rsidR="009174E2" w:rsidRPr="005E46C7">
        <w:rPr>
          <w:lang w:val="en-GB"/>
        </w:rPr>
        <w:t xml:space="preserve">and numerical </w:t>
      </w:r>
      <w:r w:rsidR="00385D3F" w:rsidRPr="005E46C7">
        <w:rPr>
          <w:lang w:val="en-GB"/>
        </w:rPr>
        <w:t xml:space="preserve">(Derksen, 2012) </w:t>
      </w:r>
      <w:r w:rsidR="009174E2" w:rsidRPr="005E46C7">
        <w:rPr>
          <w:lang w:val="en-GB"/>
        </w:rPr>
        <w:t>determination of solid-liquid flow fields and turbulent characteristics</w:t>
      </w:r>
      <w:r w:rsidR="008B5E71" w:rsidRPr="005E46C7">
        <w:rPr>
          <w:lang w:val="en-GB"/>
        </w:rPr>
        <w:t xml:space="preserve">. </w:t>
      </w:r>
    </w:p>
    <w:p w14:paraId="2D3C65BB" w14:textId="2D8D245E" w:rsidR="00385D3F" w:rsidRPr="005E46C7" w:rsidRDefault="00385D3F" w:rsidP="00600535">
      <w:pPr>
        <w:pStyle w:val="CETBodytext"/>
        <w:rPr>
          <w:lang w:val="en-GB"/>
        </w:rPr>
      </w:pPr>
      <w:r w:rsidRPr="005E46C7">
        <w:rPr>
          <w:lang w:val="en-GB"/>
        </w:rPr>
        <w:t xml:space="preserve">Solid dissolution in stirred tanks has been comparatively less widely investigated with respect to </w:t>
      </w:r>
      <w:r w:rsidR="00AF34BD" w:rsidRPr="005E46C7">
        <w:rPr>
          <w:lang w:val="en-GB"/>
        </w:rPr>
        <w:t>liquid</w:t>
      </w:r>
      <w:r w:rsidRPr="005E46C7">
        <w:rPr>
          <w:lang w:val="en-GB"/>
        </w:rPr>
        <w:t xml:space="preserve"> mixing, but for both operations literature correlations </w:t>
      </w:r>
      <w:r w:rsidR="00AF34BD" w:rsidRPr="005E46C7">
        <w:rPr>
          <w:lang w:val="en-GB"/>
        </w:rPr>
        <w:t xml:space="preserve">for the estimation of the characteristic times </w:t>
      </w:r>
      <w:r w:rsidRPr="005E46C7">
        <w:rPr>
          <w:lang w:val="en-GB"/>
        </w:rPr>
        <w:t xml:space="preserve">have been identified based on experimental data collected in a </w:t>
      </w:r>
      <w:r w:rsidR="00AF34BD" w:rsidRPr="005E46C7">
        <w:rPr>
          <w:lang w:val="en-GB"/>
        </w:rPr>
        <w:t>variety</w:t>
      </w:r>
      <w:r w:rsidRPr="005E46C7">
        <w:rPr>
          <w:lang w:val="en-GB"/>
        </w:rPr>
        <w:t xml:space="preserve"> of conditions</w:t>
      </w:r>
      <w:r w:rsidR="00AF34BD" w:rsidRPr="005E46C7">
        <w:rPr>
          <w:lang w:val="en-GB"/>
        </w:rPr>
        <w:t>. In the following</w:t>
      </w:r>
      <w:r w:rsidR="003701F5" w:rsidRPr="005E46C7">
        <w:rPr>
          <w:lang w:val="en-GB"/>
        </w:rPr>
        <w:t>,</w:t>
      </w:r>
      <w:r w:rsidR="00AF34BD" w:rsidRPr="005E46C7">
        <w:rPr>
          <w:lang w:val="en-GB"/>
        </w:rPr>
        <w:t xml:space="preserve"> </w:t>
      </w:r>
      <w:r w:rsidR="009B3646" w:rsidRPr="005E46C7">
        <w:rPr>
          <w:lang w:val="en-GB"/>
        </w:rPr>
        <w:t>selected correlation</w:t>
      </w:r>
      <w:r w:rsidR="00846047" w:rsidRPr="005E46C7">
        <w:rPr>
          <w:lang w:val="en-GB"/>
        </w:rPr>
        <w:t>s</w:t>
      </w:r>
      <w:r w:rsidR="009B3646" w:rsidRPr="005E46C7">
        <w:rPr>
          <w:lang w:val="en-GB"/>
        </w:rPr>
        <w:t xml:space="preserve"> are considered</w:t>
      </w:r>
      <w:r w:rsidR="00A64F77" w:rsidRPr="005E46C7">
        <w:rPr>
          <w:lang w:val="en-GB"/>
        </w:rPr>
        <w:t>.</w:t>
      </w:r>
      <w:r w:rsidR="009B3646" w:rsidRPr="005E46C7">
        <w:rPr>
          <w:lang w:val="en-GB"/>
        </w:rPr>
        <w:t xml:space="preserve"> </w:t>
      </w:r>
      <w:r w:rsidR="00A64F77" w:rsidRPr="005E46C7">
        <w:rPr>
          <w:lang w:val="en-GB"/>
        </w:rPr>
        <w:t>Modifications</w:t>
      </w:r>
      <w:r w:rsidR="00E15D70" w:rsidRPr="005E46C7">
        <w:rPr>
          <w:lang w:val="en-GB"/>
        </w:rPr>
        <w:t xml:space="preserve"> for taking into account the specific </w:t>
      </w:r>
      <w:r w:rsidR="00A64F77" w:rsidRPr="005E46C7">
        <w:rPr>
          <w:lang w:val="en-GB"/>
        </w:rPr>
        <w:t xml:space="preserve">geometrical </w:t>
      </w:r>
      <w:r w:rsidR="00E15D70" w:rsidRPr="005E46C7">
        <w:rPr>
          <w:lang w:val="en-GB"/>
        </w:rPr>
        <w:t xml:space="preserve">features of </w:t>
      </w:r>
      <w:r w:rsidR="009B3646" w:rsidRPr="005E46C7">
        <w:rPr>
          <w:lang w:val="en-GB"/>
        </w:rPr>
        <w:t xml:space="preserve">stirred tanks </w:t>
      </w:r>
      <w:r w:rsidR="00E15D70" w:rsidRPr="005E46C7">
        <w:rPr>
          <w:lang w:val="en-GB"/>
        </w:rPr>
        <w:t>adopted in pharmaceutical</w:t>
      </w:r>
      <w:r w:rsidR="009B3646" w:rsidRPr="005E46C7">
        <w:rPr>
          <w:lang w:val="en-GB"/>
        </w:rPr>
        <w:t xml:space="preserve"> </w:t>
      </w:r>
      <w:r w:rsidR="00E15D70" w:rsidRPr="005E46C7">
        <w:rPr>
          <w:lang w:val="en-GB"/>
        </w:rPr>
        <w:t>and home care applications</w:t>
      </w:r>
      <w:r w:rsidR="00A64F77" w:rsidRPr="005E46C7">
        <w:rPr>
          <w:lang w:val="en-GB"/>
        </w:rPr>
        <w:t xml:space="preserve"> are not applied, since in most cases industrial equipment are not </w:t>
      </w:r>
      <w:r w:rsidR="00085BB0" w:rsidRPr="005E46C7">
        <w:rPr>
          <w:lang w:val="en-GB"/>
        </w:rPr>
        <w:t xml:space="preserve">as thoroughly </w:t>
      </w:r>
      <w:r w:rsidR="00A64F77" w:rsidRPr="005E46C7">
        <w:rPr>
          <w:lang w:val="en-GB"/>
        </w:rPr>
        <w:t xml:space="preserve">characterised as the laboratory scale stirred tanks, making </w:t>
      </w:r>
      <w:r w:rsidR="00085BB0" w:rsidRPr="005E46C7">
        <w:rPr>
          <w:lang w:val="en-GB"/>
        </w:rPr>
        <w:t xml:space="preserve">it </w:t>
      </w:r>
      <w:r w:rsidR="00A64F77" w:rsidRPr="005E46C7">
        <w:rPr>
          <w:lang w:val="en-GB"/>
        </w:rPr>
        <w:t xml:space="preserve">impossible to accurately account </w:t>
      </w:r>
      <w:r w:rsidR="00A64F77" w:rsidRPr="005E46C7">
        <w:rPr>
          <w:lang w:val="en-GB"/>
        </w:rPr>
        <w:lastRenderedPageBreak/>
        <w:t>for the unconventional geometry effects on the characteristic variables</w:t>
      </w:r>
      <w:r w:rsidR="00846047" w:rsidRPr="005E46C7">
        <w:rPr>
          <w:lang w:val="en-GB"/>
        </w:rPr>
        <w:t xml:space="preserve"> included in the correlations</w:t>
      </w:r>
      <w:r w:rsidR="00A64F77" w:rsidRPr="005E46C7">
        <w:rPr>
          <w:lang w:val="en-GB"/>
        </w:rPr>
        <w:t>, such as the impeller power number</w:t>
      </w:r>
      <w:r w:rsidR="00E15D70" w:rsidRPr="005E46C7">
        <w:rPr>
          <w:lang w:val="en-GB"/>
        </w:rPr>
        <w:t xml:space="preserve">. </w:t>
      </w:r>
      <w:r w:rsidR="00B0610B" w:rsidRPr="005E46C7">
        <w:rPr>
          <w:lang w:val="en-GB"/>
        </w:rPr>
        <w:t>As a difference with previous investigation</w:t>
      </w:r>
      <w:r w:rsidR="003701F5" w:rsidRPr="005E46C7">
        <w:rPr>
          <w:lang w:val="en-GB"/>
        </w:rPr>
        <w:t>s</w:t>
      </w:r>
      <w:r w:rsidR="00B0610B" w:rsidRPr="005E46C7">
        <w:rPr>
          <w:lang w:val="en-GB"/>
        </w:rPr>
        <w:t>, t</w:t>
      </w:r>
      <w:r w:rsidR="00E15D70" w:rsidRPr="005E46C7">
        <w:rPr>
          <w:lang w:val="en-GB"/>
        </w:rPr>
        <w:t>he calculation</w:t>
      </w:r>
      <w:r w:rsidR="009B3646" w:rsidRPr="005E46C7">
        <w:rPr>
          <w:lang w:val="en-GB"/>
        </w:rPr>
        <w:t xml:space="preserve"> and the comparison of the liquid mixing time and the solid dissolution time </w:t>
      </w:r>
      <w:r w:rsidR="003701F5" w:rsidRPr="005E46C7">
        <w:rPr>
          <w:lang w:val="en-GB"/>
        </w:rPr>
        <w:t xml:space="preserve">considered in the following </w:t>
      </w:r>
      <w:r w:rsidR="004A1F41" w:rsidRPr="005E46C7">
        <w:rPr>
          <w:lang w:val="en-GB"/>
        </w:rPr>
        <w:t>concern</w:t>
      </w:r>
      <w:r w:rsidR="00B0610B" w:rsidRPr="005E46C7">
        <w:rPr>
          <w:lang w:val="en-GB"/>
        </w:rPr>
        <w:t xml:space="preserve"> pharmaceutical and home care production processes. </w:t>
      </w:r>
      <w:r w:rsidR="00E15D70" w:rsidRPr="005E46C7">
        <w:rPr>
          <w:lang w:val="en-GB"/>
        </w:rPr>
        <w:t xml:space="preserve"> </w:t>
      </w:r>
      <w:r w:rsidR="009B3646" w:rsidRPr="005E46C7">
        <w:rPr>
          <w:lang w:val="en-GB"/>
        </w:rPr>
        <w:t xml:space="preserve"> </w:t>
      </w:r>
      <w:r w:rsidRPr="005E46C7">
        <w:rPr>
          <w:lang w:val="en-GB"/>
        </w:rPr>
        <w:t xml:space="preserve"> </w:t>
      </w:r>
    </w:p>
    <w:p w14:paraId="01178503" w14:textId="77777777" w:rsidR="00600535" w:rsidRPr="005E46C7" w:rsidRDefault="008B5E71" w:rsidP="00600535">
      <w:pPr>
        <w:pStyle w:val="CETHeading1"/>
        <w:tabs>
          <w:tab w:val="right" w:pos="7100"/>
        </w:tabs>
        <w:jc w:val="both"/>
        <w:rPr>
          <w:lang w:val="en-GB"/>
        </w:rPr>
      </w:pPr>
      <w:r w:rsidRPr="005E46C7">
        <w:rPr>
          <w:lang w:val="en-GB"/>
        </w:rPr>
        <w:t>Methods</w:t>
      </w:r>
    </w:p>
    <w:p w14:paraId="7E5681E7" w14:textId="4F935752" w:rsidR="008B5E71" w:rsidRPr="005E46C7" w:rsidRDefault="008B5E71" w:rsidP="008B5E71">
      <w:pPr>
        <w:pStyle w:val="CETBodytext"/>
        <w:rPr>
          <w:lang w:val="en-GB"/>
        </w:rPr>
      </w:pPr>
      <w:r w:rsidRPr="005E46C7">
        <w:rPr>
          <w:lang w:val="en-GB"/>
        </w:rPr>
        <w:t xml:space="preserve">The liquid </w:t>
      </w:r>
      <w:r w:rsidR="00C007D7" w:rsidRPr="005E46C7">
        <w:rPr>
          <w:lang w:val="en-GB"/>
        </w:rPr>
        <w:t>mixing time for achieving the x</w:t>
      </w:r>
      <w:r w:rsidRPr="005E46C7">
        <w:rPr>
          <w:lang w:val="en-GB"/>
        </w:rPr>
        <w:t>% homogeneity level of a passive tracer, t</w:t>
      </w:r>
      <w:r w:rsidRPr="005E46C7">
        <w:rPr>
          <w:vertAlign w:val="subscript"/>
          <w:lang w:val="en-GB"/>
        </w:rPr>
        <w:t>m,x</w:t>
      </w:r>
      <w:r w:rsidRPr="005E46C7">
        <w:rPr>
          <w:lang w:val="en-GB"/>
        </w:rPr>
        <w:t xml:space="preserve">, in turbulent </w:t>
      </w:r>
      <w:r w:rsidR="00450F94" w:rsidRPr="005E46C7">
        <w:rPr>
          <w:lang w:val="en-GB"/>
        </w:rPr>
        <w:t xml:space="preserve">single phase </w:t>
      </w:r>
      <w:r w:rsidRPr="005E46C7">
        <w:rPr>
          <w:lang w:val="en-GB"/>
        </w:rPr>
        <w:t xml:space="preserve">baffled stirred tanks can be estimated by </w:t>
      </w:r>
      <w:r w:rsidR="00690B06" w:rsidRPr="005E46C7">
        <w:rPr>
          <w:lang w:val="en-GB"/>
        </w:rPr>
        <w:t>the</w:t>
      </w:r>
      <w:r w:rsidRPr="005E46C7">
        <w:rPr>
          <w:lang w:val="en-GB"/>
        </w:rPr>
        <w:t xml:space="preserve"> well-known correlation </w:t>
      </w:r>
      <w:r w:rsidR="00690B06" w:rsidRPr="005E46C7">
        <w:rPr>
          <w:lang w:val="en-GB"/>
        </w:rPr>
        <w:t>of</w:t>
      </w:r>
      <w:r w:rsidRPr="005E46C7">
        <w:rPr>
          <w:lang w:val="en-GB"/>
        </w:rPr>
        <w:t xml:space="preserve"> Grenville and Nienow (2004</w:t>
      </w:r>
      <w:r w:rsidR="00450F94" w:rsidRPr="005E46C7">
        <w:rPr>
          <w:lang w:val="en-GB"/>
        </w:rPr>
        <w:t xml:space="preserve">) </w:t>
      </w:r>
      <w:r w:rsidR="00690B06" w:rsidRPr="005E46C7">
        <w:rPr>
          <w:lang w:val="en-GB"/>
        </w:rPr>
        <w:t>for t</w:t>
      </w:r>
      <w:r w:rsidR="00690B06" w:rsidRPr="005E46C7">
        <w:rPr>
          <w:vertAlign w:val="subscript"/>
          <w:lang w:val="en-GB"/>
        </w:rPr>
        <w:t>m,95</w:t>
      </w:r>
      <w:r w:rsidR="00690B06" w:rsidRPr="005E46C7">
        <w:rPr>
          <w:lang w:val="en-GB"/>
        </w:rPr>
        <w:t xml:space="preserve"> adding</w:t>
      </w:r>
      <w:r w:rsidR="00450F94" w:rsidRPr="005E46C7">
        <w:rPr>
          <w:lang w:val="en-GB"/>
        </w:rPr>
        <w:t xml:space="preserve"> </w:t>
      </w:r>
      <w:r w:rsidR="00690B06" w:rsidRPr="005E46C7">
        <w:rPr>
          <w:lang w:val="en-GB"/>
        </w:rPr>
        <w:t xml:space="preserve">the </w:t>
      </w:r>
      <w:r w:rsidR="00146F77" w:rsidRPr="005E46C7">
        <w:rPr>
          <w:lang w:val="en-GB"/>
        </w:rPr>
        <w:t>widely accepted</w:t>
      </w:r>
      <w:r w:rsidR="00FB163C">
        <w:rPr>
          <w:lang w:val="en-GB"/>
        </w:rPr>
        <w:t xml:space="preserve"> </w:t>
      </w:r>
      <w:r w:rsidR="00690B06" w:rsidRPr="005E46C7">
        <w:rPr>
          <w:lang w:val="en-GB"/>
        </w:rPr>
        <w:t xml:space="preserve">hypothesis that the tracer concentration decays exponentially being </w:t>
      </w:r>
      <w:r w:rsidR="00450F94" w:rsidRPr="005E46C7">
        <w:rPr>
          <w:lang w:val="en-GB"/>
        </w:rPr>
        <w:t>the blending a first order process</w:t>
      </w:r>
      <w:r w:rsidR="003C2964" w:rsidRPr="005E46C7">
        <w:rPr>
          <w:lang w:val="en-GB"/>
        </w:rPr>
        <w:t xml:space="preserve"> </w:t>
      </w:r>
      <w:r w:rsidR="009F6079" w:rsidRPr="005E46C7">
        <w:rPr>
          <w:lang w:val="en-GB"/>
        </w:rPr>
        <w:t>(Magelli et al., 2013)</w:t>
      </w:r>
      <w:r w:rsidR="00690B06" w:rsidRPr="005E46C7">
        <w:rPr>
          <w:lang w:val="en-GB"/>
        </w:rPr>
        <w:t>. The resulting correlation reads as</w:t>
      </w:r>
      <w:r w:rsidR="00450F94" w:rsidRPr="005E46C7">
        <w:rPr>
          <w:lang w:val="en-GB"/>
        </w:rPr>
        <w:t>:</w:t>
      </w:r>
    </w:p>
    <w:p w14:paraId="57C27580" w14:textId="77777777" w:rsidR="008B5E71" w:rsidRPr="005E46C7" w:rsidRDefault="002C2B60" w:rsidP="00D0553F">
      <w:pPr>
        <w:pStyle w:val="CETEquation"/>
      </w:pPr>
      <m:oMath>
        <m:sSub>
          <m:sSubPr>
            <m:ctrlPr>
              <w:rPr>
                <w:rFonts w:ascii="Cambria Math" w:hAnsi="Cambria Math"/>
              </w:rPr>
            </m:ctrlPr>
          </m:sSubPr>
          <m:e>
            <m:r>
              <w:rPr>
                <w:rFonts w:ascii="Cambria Math" w:hAnsi="Cambria Math"/>
              </w:rPr>
              <m:t>t</m:t>
            </m:r>
          </m:e>
          <m:sub>
            <m:r>
              <w:rPr>
                <w:rFonts w:ascii="Cambria Math" w:hAnsi="Cambria Math"/>
              </w:rPr>
              <m:t>m</m:t>
            </m:r>
            <m:r>
              <m:rPr>
                <m:sty m:val="p"/>
              </m:rPr>
              <w:rPr>
                <w:rFonts w:ascii="Cambria Math" w:hAnsi="Cambria Math"/>
              </w:rPr>
              <m:t>,</m:t>
            </m:r>
            <m:r>
              <w:rPr>
                <w:rFonts w:ascii="Cambria Math" w:hAnsi="Cambria Math"/>
              </w:rPr>
              <m:t>x</m:t>
            </m:r>
          </m:sub>
        </m:sSub>
        <m:r>
          <m:rPr>
            <m:sty m:val="p"/>
          </m:rPr>
          <w:rPr>
            <w:rFonts w:ascii="Cambria Math" w:hAnsi="Cambria Math"/>
          </w:rPr>
          <m:t>=</m:t>
        </m:r>
        <m:f>
          <m:fPr>
            <m:ctrlPr>
              <w:rPr>
                <w:rFonts w:ascii="Cambria Math" w:hAnsi="Cambria Math"/>
              </w:rPr>
            </m:ctrlPr>
          </m:fPr>
          <m:num>
            <m:r>
              <m:rPr>
                <m:sty m:val="p"/>
              </m:rPr>
              <w:rPr>
                <w:rFonts w:ascii="Cambria Math" w:hAnsi="Cambria Math"/>
              </w:rPr>
              <m:t>5.2</m:t>
            </m:r>
          </m:num>
          <m:den>
            <m:sSubSup>
              <m:sSubSupPr>
                <m:ctrlPr>
                  <w:rPr>
                    <w:rFonts w:ascii="Cambria Math" w:hAnsi="Cambria Math"/>
                  </w:rPr>
                </m:ctrlPr>
              </m:sSubSupPr>
              <m:e>
                <m:r>
                  <w:rPr>
                    <w:rFonts w:ascii="Cambria Math" w:hAnsi="Cambria Math"/>
                  </w:rPr>
                  <m:t>N</m:t>
                </m:r>
              </m:e>
              <m:sub>
                <m:r>
                  <w:rPr>
                    <w:rFonts w:ascii="Cambria Math" w:hAnsi="Cambria Math"/>
                  </w:rPr>
                  <m:t>p</m:t>
                </m:r>
              </m:sub>
              <m:sup>
                <m:f>
                  <m:fPr>
                    <m:type m:val="skw"/>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sup>
            </m:sSubSup>
            <m:r>
              <w:rPr>
                <w:rFonts w:ascii="Cambria Math" w:hAnsi="Cambria Math"/>
              </w:rPr>
              <m:t>N</m:t>
            </m:r>
          </m:den>
        </m:f>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T</m:t>
                    </m:r>
                  </m:num>
                  <m:den>
                    <m:r>
                      <w:rPr>
                        <w:rFonts w:ascii="Cambria Math" w:hAnsi="Cambria Math"/>
                      </w:rPr>
                      <m:t>D</m:t>
                    </m:r>
                  </m:den>
                </m:f>
              </m:e>
            </m:d>
          </m:e>
          <m:sup>
            <m:r>
              <m:rPr>
                <m:sty m:val="p"/>
              </m:rPr>
              <w:rPr>
                <w:rFonts w:ascii="Cambria Math" w:hAnsi="Cambria Math"/>
              </w:rPr>
              <m:t>2</m:t>
            </m:r>
          </m:sup>
        </m:sSup>
        <m:f>
          <m:fPr>
            <m:ctrlPr>
              <w:rPr>
                <w:rFonts w:ascii="Cambria Math" w:hAnsi="Cambria Math"/>
              </w:rPr>
            </m:ctrlPr>
          </m:fPr>
          <m:num>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r>
                      <m:rPr>
                        <m:sty m:val="p"/>
                      </m:rPr>
                      <w:rPr>
                        <w:rFonts w:ascii="Cambria Math" w:hAnsi="Cambria Math"/>
                      </w:rPr>
                      <m:t>1-</m:t>
                    </m:r>
                    <m:r>
                      <w:rPr>
                        <w:rFonts w:ascii="Cambria Math" w:hAnsi="Cambria Math"/>
                      </w:rPr>
                      <m:t>x</m:t>
                    </m:r>
                    <m:r>
                      <m:rPr>
                        <m:sty m:val="p"/>
                      </m:rPr>
                      <w:rPr>
                        <w:rFonts w:ascii="Cambria Math" w:hAnsi="Cambria Math"/>
                      </w:rPr>
                      <m:t>/100</m:t>
                    </m:r>
                  </m:e>
                </m:d>
              </m:e>
            </m:func>
          </m:num>
          <m:den>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r>
                      <m:rPr>
                        <m:sty m:val="p"/>
                      </m:rPr>
                      <w:rPr>
                        <w:rFonts w:ascii="Cambria Math" w:hAnsi="Cambria Math"/>
                      </w:rPr>
                      <m:t>1-0.95</m:t>
                    </m:r>
                  </m:e>
                </m:d>
              </m:e>
            </m:func>
          </m:den>
        </m:f>
      </m:oMath>
      <w:r w:rsidR="00D0553F" w:rsidRPr="005E46C7">
        <w:tab/>
      </w:r>
      <w:r w:rsidR="00C007D7" w:rsidRPr="005E46C7">
        <w:t>(1)</w:t>
      </w:r>
    </w:p>
    <w:p w14:paraId="5A229B2C" w14:textId="77777777" w:rsidR="008B5E71" w:rsidRPr="005E46C7" w:rsidRDefault="00C007D7" w:rsidP="008B5E71">
      <w:pPr>
        <w:pStyle w:val="CETBodytext"/>
        <w:rPr>
          <w:lang w:val="en-GB"/>
        </w:rPr>
      </w:pPr>
      <w:r w:rsidRPr="005E46C7">
        <w:rPr>
          <w:lang w:val="en-GB"/>
        </w:rPr>
        <w:t>where T is the tank diameter, D is the impeller diameter, N</w:t>
      </w:r>
      <w:r w:rsidRPr="005E46C7">
        <w:rPr>
          <w:vertAlign w:val="subscript"/>
          <w:lang w:val="en-GB"/>
        </w:rPr>
        <w:t>p</w:t>
      </w:r>
      <w:r w:rsidRPr="005E46C7">
        <w:rPr>
          <w:lang w:val="en-GB"/>
        </w:rPr>
        <w:t xml:space="preserve"> is the impeller power number</w:t>
      </w:r>
      <w:r w:rsidR="00D0553F" w:rsidRPr="005E46C7">
        <w:rPr>
          <w:lang w:val="en-GB"/>
        </w:rPr>
        <w:t xml:space="preserve"> and</w:t>
      </w:r>
      <w:r w:rsidRPr="005E46C7">
        <w:rPr>
          <w:lang w:val="en-GB"/>
        </w:rPr>
        <w:t xml:space="preserve"> N is the impeller speed. </w:t>
      </w:r>
    </w:p>
    <w:p w14:paraId="7CA7C17F" w14:textId="57C50AC8" w:rsidR="008B5E71" w:rsidRPr="005E46C7" w:rsidRDefault="008B5E71" w:rsidP="008B5E71">
      <w:pPr>
        <w:pStyle w:val="CETBodytext"/>
        <w:rPr>
          <w:lang w:val="en-GB"/>
        </w:rPr>
      </w:pPr>
      <w:r w:rsidRPr="005E46C7">
        <w:rPr>
          <w:lang w:val="en-GB"/>
        </w:rPr>
        <w:t xml:space="preserve">The time required to achieve the dissolution of the x% of the initial solid </w:t>
      </w:r>
      <w:r w:rsidR="00D0553F" w:rsidRPr="005E46C7">
        <w:rPr>
          <w:lang w:val="en-GB"/>
        </w:rPr>
        <w:t>material</w:t>
      </w:r>
      <w:r w:rsidRPr="005E46C7">
        <w:rPr>
          <w:lang w:val="en-GB"/>
        </w:rPr>
        <w:t>, t</w:t>
      </w:r>
      <w:r w:rsidRPr="005E46C7">
        <w:rPr>
          <w:vertAlign w:val="subscript"/>
          <w:lang w:val="en-GB"/>
        </w:rPr>
        <w:t>d,x</w:t>
      </w:r>
      <w:r w:rsidRPr="005E46C7">
        <w:rPr>
          <w:lang w:val="en-GB"/>
        </w:rPr>
        <w:t xml:space="preserve">, is </w:t>
      </w:r>
      <w:r w:rsidR="0056758C" w:rsidRPr="005E46C7">
        <w:rPr>
          <w:lang w:val="en-GB"/>
        </w:rPr>
        <w:t xml:space="preserve">obtained </w:t>
      </w:r>
      <w:r w:rsidRPr="005E46C7">
        <w:rPr>
          <w:lang w:val="en-GB"/>
        </w:rPr>
        <w:t>following Nienow and Miles (1978)</w:t>
      </w:r>
      <w:r w:rsidR="0056758C" w:rsidRPr="005E46C7">
        <w:rPr>
          <w:lang w:val="en-GB"/>
        </w:rPr>
        <w:t xml:space="preserve"> and considering</w:t>
      </w:r>
      <w:r w:rsidRPr="005E46C7">
        <w:rPr>
          <w:lang w:val="en-GB"/>
        </w:rPr>
        <w:t xml:space="preserve"> </w:t>
      </w:r>
      <w:r w:rsidR="0056758C" w:rsidRPr="005E46C7">
        <w:rPr>
          <w:lang w:val="en-GB"/>
        </w:rPr>
        <w:t xml:space="preserve">the mass transfer coefficient very weakly </w:t>
      </w:r>
      <w:r w:rsidR="0056758C" w:rsidRPr="00D814A5">
        <w:rPr>
          <w:lang w:val="en-GB"/>
        </w:rPr>
        <w:t>depend</w:t>
      </w:r>
      <w:r w:rsidR="00FB163C" w:rsidRPr="00D814A5">
        <w:rPr>
          <w:lang w:val="en-GB"/>
        </w:rPr>
        <w:t>e</w:t>
      </w:r>
      <w:r w:rsidR="0056758C" w:rsidRPr="00D814A5">
        <w:rPr>
          <w:lang w:val="en-GB"/>
        </w:rPr>
        <w:t>nt</w:t>
      </w:r>
      <w:r w:rsidRPr="00D814A5">
        <w:rPr>
          <w:lang w:val="en-GB"/>
        </w:rPr>
        <w:t xml:space="preserve"> </w:t>
      </w:r>
      <w:r w:rsidR="0056758C" w:rsidRPr="00D814A5">
        <w:rPr>
          <w:lang w:val="en-GB"/>
        </w:rPr>
        <w:t>on</w:t>
      </w:r>
      <w:r w:rsidRPr="00D814A5">
        <w:rPr>
          <w:lang w:val="en-GB"/>
        </w:rPr>
        <w:t xml:space="preserve"> particle</w:t>
      </w:r>
      <w:r w:rsidRPr="005E46C7">
        <w:rPr>
          <w:lang w:val="en-GB"/>
        </w:rPr>
        <w:t xml:space="preserve"> size (Carletti et al., 2018)</w:t>
      </w:r>
      <w:r w:rsidR="0056758C" w:rsidRPr="005E46C7">
        <w:rPr>
          <w:lang w:val="en-GB"/>
        </w:rPr>
        <w:t xml:space="preserve">, as: </w:t>
      </w:r>
    </w:p>
    <w:p w14:paraId="4AB70F29" w14:textId="77777777" w:rsidR="002D47BA" w:rsidRPr="005E46C7" w:rsidRDefault="002C2B60" w:rsidP="00D0553F">
      <w:pPr>
        <w:pStyle w:val="CETEquation"/>
      </w:pPr>
      <m:oMath>
        <m:sSub>
          <m:sSubPr>
            <m:ctrlPr>
              <w:rPr>
                <w:rFonts w:ascii="Cambria Math" w:hAnsi="Cambria Math"/>
              </w:rPr>
            </m:ctrlPr>
          </m:sSubPr>
          <m:e>
            <m:r>
              <w:rPr>
                <w:rFonts w:ascii="Cambria Math" w:hAnsi="Cambria Math"/>
              </w:rPr>
              <m:t>t</m:t>
            </m:r>
          </m:e>
          <m:sub>
            <m:r>
              <w:rPr>
                <w:rFonts w:ascii="Cambria Math" w:hAnsi="Cambria Math"/>
              </w:rPr>
              <m:t>d</m:t>
            </m:r>
            <m:r>
              <m:rPr>
                <m:sty m:val="p"/>
              </m:rPr>
              <w:rPr>
                <w:rFonts w:ascii="Cambria Math" w:hAnsi="Cambria Math"/>
              </w:rPr>
              <m:t>,</m:t>
            </m:r>
            <m:r>
              <w:rPr>
                <w:rFonts w:ascii="Cambria Math" w:hAnsi="Cambria Math"/>
              </w:rPr>
              <m:t>x</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s</m:t>
                </m:r>
              </m:sub>
            </m:sSub>
            <m:r>
              <w:rPr>
                <w:rFonts w:ascii="Cambria Math" w:hAnsi="Cambria Math"/>
              </w:rPr>
              <m:t>(1-α</m:t>
            </m:r>
            <m:sSubSup>
              <m:sSubSupPr>
                <m:ctrlPr>
                  <w:rPr>
                    <w:rFonts w:ascii="Cambria Math" w:hAnsi="Cambria Math"/>
                  </w:rPr>
                </m:ctrlPr>
              </m:sSubSupPr>
              <m:e>
                <m:r>
                  <w:rPr>
                    <w:rFonts w:ascii="Cambria Math" w:hAnsi="Cambria Math"/>
                  </w:rPr>
                  <m:t>)d</m:t>
                </m:r>
              </m:e>
              <m:sub>
                <m:r>
                  <w:rPr>
                    <w:rFonts w:ascii="Cambria Math" w:hAnsi="Cambria Math"/>
                  </w:rPr>
                  <m:t>p</m:t>
                </m:r>
              </m:sub>
              <m:sup>
                <m:r>
                  <m:rPr>
                    <m:sty m:val="p"/>
                  </m:rPr>
                  <w:rPr>
                    <w:rFonts w:ascii="Cambria Math" w:hAnsi="Cambria Math"/>
                  </w:rPr>
                  <m:t>2</m:t>
                </m:r>
              </m:sup>
            </m:sSubSup>
          </m:num>
          <m:den>
            <m:r>
              <w:rPr>
                <w:rFonts w:ascii="Cambria Math" w:hAnsi="Cambria Math"/>
              </w:rPr>
              <m:t>Sh</m:t>
            </m:r>
            <m:sSub>
              <m:sSubPr>
                <m:ctrlPr>
                  <w:rPr>
                    <w:rFonts w:ascii="Cambria Math" w:hAnsi="Cambria Math"/>
                  </w:rPr>
                </m:ctrlPr>
              </m:sSubPr>
              <m:e>
                <m:r>
                  <m:rPr>
                    <m:sty m:val="p"/>
                  </m:rPr>
                  <w:rPr>
                    <w:rFonts w:ascii="Cambria Math" w:hAnsi="Cambria Math"/>
                  </w:rPr>
                  <m:t xml:space="preserve"> </m:t>
                </m:r>
                <m:r>
                  <w:rPr>
                    <w:rFonts w:ascii="Cambria Math" w:hAnsi="Cambria Math"/>
                  </w:rPr>
                  <m:t>D</m:t>
                </m:r>
              </m:e>
              <m:sub>
                <m:r>
                  <w:rPr>
                    <w:rFonts w:ascii="Cambria Math" w:hAnsi="Cambria Math"/>
                  </w:rPr>
                  <m:t>j</m:t>
                </m:r>
              </m:sub>
            </m:sSub>
            <m:r>
              <m:rPr>
                <m:sty m:val="p"/>
              </m:rPr>
              <w:rPr>
                <w:rFonts w:ascii="Cambria Math" w:hAnsi="Cambria Math"/>
              </w:rPr>
              <m:t xml:space="preserve"> 2 </m:t>
            </m:r>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sat</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m:t>
                    </m:r>
                  </m:sub>
                </m:sSub>
              </m:e>
            </m:d>
          </m:den>
        </m:f>
        <m:d>
          <m:dPr>
            <m:ctrlPr>
              <w:rPr>
                <w:rFonts w:ascii="Cambria Math" w:hAnsi="Cambria Math"/>
              </w:rPr>
            </m:ctrlPr>
          </m:dPr>
          <m:e>
            <m:r>
              <m:rPr>
                <m:sty m:val="p"/>
              </m:rPr>
              <w:rPr>
                <w:rFonts w:ascii="Cambria Math" w:hAnsi="Cambria Math"/>
              </w:rPr>
              <m:t>1-</m:t>
            </m:r>
            <m:rad>
              <m:radPr>
                <m:ctrlPr>
                  <w:rPr>
                    <w:rFonts w:ascii="Cambria Math" w:eastAsiaTheme="minorEastAsia" w:hAnsi="Cambria Math"/>
                  </w:rPr>
                </m:ctrlPr>
              </m:radPr>
              <m:deg>
                <m:r>
                  <m:rPr>
                    <m:sty m:val="p"/>
                  </m:rPr>
                  <w:rPr>
                    <w:rFonts w:ascii="Cambria Math" w:hAnsi="Cambria Math"/>
                  </w:rPr>
                  <m:t>3</m:t>
                </m:r>
              </m:deg>
              <m:e>
                <m:f>
                  <m:fPr>
                    <m:ctrlPr>
                      <w:rPr>
                        <w:rFonts w:ascii="Cambria Math" w:eastAsiaTheme="minorEastAsia" w:hAnsi="Cambria Math"/>
                      </w:rPr>
                    </m:ctrlPr>
                  </m:fPr>
                  <m:num>
                    <m:d>
                      <m:dPr>
                        <m:ctrlPr>
                          <w:rPr>
                            <w:rFonts w:ascii="Cambria Math" w:eastAsiaTheme="minorEastAsia" w:hAnsi="Cambria Math"/>
                          </w:rPr>
                        </m:ctrlPr>
                      </m:dPr>
                      <m:e>
                        <m:r>
                          <m:rPr>
                            <m:sty m:val="p"/>
                          </m:rPr>
                          <w:rPr>
                            <w:rFonts w:ascii="Cambria Math" w:eastAsiaTheme="minorEastAsia" w:hAnsi="Cambria Math"/>
                          </w:rPr>
                          <m:t>100-</m:t>
                        </m:r>
                        <m:r>
                          <w:rPr>
                            <w:rFonts w:ascii="Cambria Math" w:eastAsiaTheme="minorEastAsia" w:hAnsi="Cambria Math"/>
                          </w:rPr>
                          <m:t>x</m:t>
                        </m:r>
                      </m:e>
                    </m:d>
                  </m:num>
                  <m:den>
                    <m:r>
                      <m:rPr>
                        <m:sty m:val="p"/>
                      </m:rPr>
                      <w:rPr>
                        <w:rFonts w:ascii="Cambria Math" w:eastAsiaTheme="minorEastAsia" w:hAnsi="Cambria Math"/>
                      </w:rPr>
                      <m:t>100</m:t>
                    </m:r>
                  </m:den>
                </m:f>
              </m:e>
            </m:rad>
          </m:e>
        </m:d>
      </m:oMath>
      <w:r w:rsidR="00D0553F" w:rsidRPr="005E46C7">
        <w:tab/>
        <w:t>(2)</w:t>
      </w:r>
    </w:p>
    <w:p w14:paraId="6BCD72A1" w14:textId="77777777" w:rsidR="0056758C" w:rsidRPr="005E46C7" w:rsidRDefault="008B5E71" w:rsidP="008B5E71">
      <w:pPr>
        <w:pStyle w:val="CETBodytext"/>
        <w:rPr>
          <w:lang w:val="en-GB"/>
        </w:rPr>
      </w:pPr>
      <w:r w:rsidRPr="005E46C7">
        <w:rPr>
          <w:lang w:val="en-GB"/>
        </w:rPr>
        <w:t xml:space="preserve">where </w:t>
      </w:r>
      <w:r w:rsidRPr="005E46C7">
        <w:rPr>
          <w:rFonts w:ascii="Symbol" w:hAnsi="Symbol"/>
          <w:lang w:val="en-GB"/>
        </w:rPr>
        <w:t></w:t>
      </w:r>
      <w:r w:rsidRPr="005E46C7">
        <w:rPr>
          <w:vertAlign w:val="subscript"/>
          <w:lang w:val="en-GB"/>
        </w:rPr>
        <w:t>s</w:t>
      </w:r>
      <w:r w:rsidRPr="005E46C7">
        <w:rPr>
          <w:lang w:val="en-GB"/>
        </w:rPr>
        <w:t xml:space="preserve"> is the solid density,</w:t>
      </w:r>
      <w:r w:rsidR="0056758C" w:rsidRPr="005E46C7">
        <w:rPr>
          <w:lang w:val="en-GB"/>
        </w:rPr>
        <w:t xml:space="preserve"> d</w:t>
      </w:r>
      <w:r w:rsidR="0056758C" w:rsidRPr="005E46C7">
        <w:rPr>
          <w:vertAlign w:val="subscript"/>
          <w:lang w:val="en-GB"/>
        </w:rPr>
        <w:t>p</w:t>
      </w:r>
      <w:r w:rsidR="0056758C" w:rsidRPr="005E46C7">
        <w:rPr>
          <w:lang w:val="en-GB"/>
        </w:rPr>
        <w:t xml:space="preserve"> is the initial solid size,</w:t>
      </w:r>
      <w:r w:rsidRPr="005E46C7">
        <w:rPr>
          <w:lang w:val="en-GB"/>
        </w:rPr>
        <w:t xml:space="preserve"> D</w:t>
      </w:r>
      <w:r w:rsidRPr="005E46C7">
        <w:rPr>
          <w:vertAlign w:val="subscript"/>
          <w:lang w:val="en-GB"/>
        </w:rPr>
        <w:t>j</w:t>
      </w:r>
      <w:r w:rsidRPr="005E46C7">
        <w:rPr>
          <w:lang w:val="en-GB"/>
        </w:rPr>
        <w:t xml:space="preserve"> is the molecular diffusivity of the material and the mass transfer driving force is given by the difference between the dissolved material concentration in the saturated liquid solution, C</w:t>
      </w:r>
      <w:r w:rsidRPr="005E46C7">
        <w:rPr>
          <w:vertAlign w:val="subscript"/>
          <w:lang w:val="en-GB"/>
        </w:rPr>
        <w:t>sat</w:t>
      </w:r>
      <w:r w:rsidRPr="005E46C7">
        <w:rPr>
          <w:lang w:val="en-GB"/>
        </w:rPr>
        <w:t>, and the material concentration in the bulk of the liquid phase, C</w:t>
      </w:r>
      <w:r w:rsidRPr="005E46C7">
        <w:rPr>
          <w:vertAlign w:val="subscript"/>
          <w:lang w:val="en-GB"/>
        </w:rPr>
        <w:t>∞</w:t>
      </w:r>
      <w:r w:rsidRPr="005E46C7">
        <w:rPr>
          <w:lang w:val="en-GB"/>
        </w:rPr>
        <w:t xml:space="preserve">. </w:t>
      </w:r>
      <w:r w:rsidR="001D71C1" w:rsidRPr="005E46C7">
        <w:rPr>
          <w:lang w:val="en-GB"/>
        </w:rPr>
        <w:t xml:space="preserve">In order to </w:t>
      </w:r>
      <w:r w:rsidR="004A1F41" w:rsidRPr="005E46C7">
        <w:rPr>
          <w:lang w:val="en-GB"/>
        </w:rPr>
        <w:t>take into account</w:t>
      </w:r>
      <w:r w:rsidR="001D71C1" w:rsidRPr="005E46C7">
        <w:rPr>
          <w:lang w:val="en-GB"/>
        </w:rPr>
        <w:t xml:space="preserve"> also the case of porous granules, in Eq(2) the void fraction of the particles, </w:t>
      </w:r>
      <w:r w:rsidR="001D71C1" w:rsidRPr="005E46C7">
        <w:rPr>
          <w:rFonts w:ascii="Symbol" w:hAnsi="Symbol"/>
          <w:lang w:val="en-GB"/>
        </w:rPr>
        <w:t></w:t>
      </w:r>
      <w:r w:rsidR="001D71C1" w:rsidRPr="005E46C7">
        <w:rPr>
          <w:lang w:val="en-GB"/>
        </w:rPr>
        <w:t xml:space="preserve">, is included here, that was not considered previously since the correlations were developed for compact materials only. </w:t>
      </w:r>
    </w:p>
    <w:p w14:paraId="43B3896B" w14:textId="77777777" w:rsidR="008B5E71" w:rsidRPr="005E46C7" w:rsidRDefault="0056758C" w:rsidP="008B5E71">
      <w:pPr>
        <w:pStyle w:val="CETBodytext"/>
        <w:rPr>
          <w:lang w:val="en-GB"/>
        </w:rPr>
      </w:pPr>
      <w:r w:rsidRPr="005E46C7">
        <w:rPr>
          <w:lang w:val="en-GB"/>
        </w:rPr>
        <w:t>In the following, t</w:t>
      </w:r>
      <w:r w:rsidR="008B5E71" w:rsidRPr="005E46C7">
        <w:rPr>
          <w:lang w:val="en-GB"/>
        </w:rPr>
        <w:t>he Sherwood number, Sh, is estimated by the correlation recently proposed by Carletti et al. (2018), as:</w:t>
      </w:r>
    </w:p>
    <w:p w14:paraId="59AB9C52" w14:textId="77777777" w:rsidR="008B5E71" w:rsidRPr="005E46C7" w:rsidRDefault="00C33057" w:rsidP="00D0553F">
      <w:pPr>
        <w:pStyle w:val="CETEquation"/>
      </w:pPr>
      <m:oMath>
        <m:r>
          <w:rPr>
            <w:rFonts w:ascii="Cambria Math" w:hAnsi="Cambria Math"/>
          </w:rPr>
          <m:t>Sh</m:t>
        </m:r>
        <m:r>
          <m:rPr>
            <m:sty m:val="p"/>
          </m:rPr>
          <w:rPr>
            <w:rFonts w:ascii="Cambria Math" w:hAnsi="Cambria Math"/>
          </w:rPr>
          <m:t xml:space="preserve">=2+ </m:t>
        </m:r>
        <m:sSubSup>
          <m:sSubSupPr>
            <m:ctrlPr>
              <w:rPr>
                <w:rFonts w:ascii="Cambria Math" w:hAnsi="Cambria Math"/>
              </w:rPr>
            </m:ctrlPr>
          </m:sSubSupPr>
          <m:e>
            <m:r>
              <m:rPr>
                <m:sty m:val="p"/>
              </m:rPr>
              <w:rPr>
                <w:rFonts w:ascii="Cambria Math" w:hAnsi="Cambria Math"/>
              </w:rPr>
              <m:t xml:space="preserve">0.0096 </m:t>
            </m:r>
            <m:r>
              <w:rPr>
                <w:rFonts w:ascii="Cambria Math" w:hAnsi="Cambria Math"/>
              </w:rPr>
              <m:t>Re</m:t>
            </m:r>
          </m:e>
          <m:sub>
            <m:r>
              <w:rPr>
                <w:rFonts w:ascii="Cambria Math" w:hAnsi="Cambria Math"/>
              </w:rPr>
              <m:t>p</m:t>
            </m:r>
          </m:sub>
          <m:sup>
            <m:r>
              <m:rPr>
                <m:sty m:val="p"/>
              </m:rPr>
              <w:rPr>
                <w:rFonts w:ascii="Cambria Math" w:hAnsi="Cambria Math"/>
              </w:rPr>
              <m:t>2/3</m:t>
            </m:r>
          </m:sup>
        </m:sSubSup>
        <m:r>
          <m:rPr>
            <m:sty m:val="p"/>
          </m:rPr>
          <w:rPr>
            <w:rFonts w:ascii="Cambria Math" w:hAnsi="Cambria Math"/>
          </w:rPr>
          <m:t xml:space="preserve"> </m:t>
        </m:r>
        <m:sSup>
          <m:sSupPr>
            <m:ctrlPr>
              <w:rPr>
                <w:rFonts w:ascii="Cambria Math" w:hAnsi="Cambria Math"/>
              </w:rPr>
            </m:ctrlPr>
          </m:sSupPr>
          <m:e>
            <m:r>
              <w:rPr>
                <w:rFonts w:ascii="Cambria Math" w:hAnsi="Cambria Math"/>
              </w:rPr>
              <m:t>Ar</m:t>
            </m:r>
          </m:e>
          <m:sup>
            <m:r>
              <m:rPr>
                <m:sty m:val="p"/>
              </m:rPr>
              <w:rPr>
                <w:rFonts w:ascii="Cambria Math" w:hAnsi="Cambria Math"/>
              </w:rPr>
              <m:t>0.16</m:t>
            </m:r>
          </m:sup>
        </m:sSup>
        <m:r>
          <m:rPr>
            <m:sty m:val="p"/>
          </m:rPr>
          <w:rPr>
            <w:rFonts w:ascii="Cambria Math" w:hAnsi="Cambria Math"/>
          </w:rPr>
          <m:t xml:space="preserve"> </m:t>
        </m:r>
        <m:sSup>
          <m:sSupPr>
            <m:ctrlPr>
              <w:rPr>
                <w:rFonts w:ascii="Cambria Math" w:hAnsi="Cambria Math"/>
              </w:rPr>
            </m:ctrlPr>
          </m:sSupPr>
          <m:e>
            <m:r>
              <w:rPr>
                <w:rFonts w:ascii="Cambria Math" w:hAnsi="Cambria Math"/>
              </w:rPr>
              <m:t>Sc</m:t>
            </m:r>
          </m:e>
          <m:sup>
            <m:r>
              <m:rPr>
                <m:sty m:val="p"/>
              </m:rPr>
              <w:rPr>
                <w:rFonts w:ascii="Cambria Math" w:hAnsi="Cambria Math"/>
              </w:rPr>
              <m:t>1/3</m:t>
            </m:r>
          </m:sup>
        </m:sSup>
      </m:oMath>
      <w:r w:rsidR="00D0553F" w:rsidRPr="005E46C7">
        <w:tab/>
        <w:t>(3)</w:t>
      </w:r>
    </w:p>
    <w:p w14:paraId="2798D673" w14:textId="77777777" w:rsidR="008B5E71" w:rsidRPr="005E46C7" w:rsidRDefault="008B5E71" w:rsidP="00D0553F">
      <w:pPr>
        <w:pStyle w:val="CETBodytext"/>
        <w:rPr>
          <w:szCs w:val="18"/>
        </w:rPr>
      </w:pPr>
      <w:r w:rsidRPr="005E46C7">
        <w:t xml:space="preserve">where </w:t>
      </w:r>
      <w:r w:rsidR="00D0553F" w:rsidRPr="005E46C7">
        <w:t xml:space="preserve">the Archimedes number, Ar, and the Schmidt number, Sc, </w:t>
      </w:r>
      <w:r w:rsidR="00C54026" w:rsidRPr="005E46C7">
        <w:t>have the</w:t>
      </w:r>
      <w:r w:rsidR="00D0553F" w:rsidRPr="005E46C7">
        <w:t xml:space="preserve"> usual </w:t>
      </w:r>
      <w:r w:rsidR="00C54026" w:rsidRPr="005E46C7">
        <w:t>meaning</w:t>
      </w:r>
      <w:r w:rsidR="00D0553F" w:rsidRPr="005E46C7">
        <w:t xml:space="preserve"> and the particle Reynolds number, Re</w:t>
      </w:r>
      <w:r w:rsidR="00D0553F" w:rsidRPr="005E46C7">
        <w:rPr>
          <w:vertAlign w:val="subscript"/>
        </w:rPr>
        <w:t>p</w:t>
      </w:r>
      <w:r w:rsidR="0056758C" w:rsidRPr="005E46C7">
        <w:t xml:space="preserve">, is defined </w:t>
      </w:r>
      <w:r w:rsidRPr="005E46C7">
        <w:t xml:space="preserve">as </w:t>
      </w:r>
      <m:oMath>
        <m:sSub>
          <m:sSubPr>
            <m:ctrlPr>
              <w:rPr>
                <w:rFonts w:ascii="Cambria Math" w:eastAsia="Calibri" w:hAnsi="Cambria Math"/>
                <w:i/>
                <w:szCs w:val="18"/>
              </w:rPr>
            </m:ctrlPr>
          </m:sSubPr>
          <m:e>
            <m:r>
              <w:rPr>
                <w:rFonts w:ascii="Cambria Math" w:eastAsia="Calibri" w:hAnsi="Cambria Math"/>
                <w:szCs w:val="18"/>
              </w:rPr>
              <m:t>Re</m:t>
            </m:r>
          </m:e>
          <m:sub>
            <m:r>
              <w:rPr>
                <w:rFonts w:ascii="Cambria Math" w:eastAsia="Calibri" w:hAnsi="Cambria Math"/>
                <w:szCs w:val="18"/>
              </w:rPr>
              <m:t>p</m:t>
            </m:r>
          </m:sub>
        </m:sSub>
        <m:r>
          <w:rPr>
            <w:rFonts w:ascii="Cambria Math" w:eastAsia="Calibri" w:hAnsi="Cambria Math"/>
            <w:szCs w:val="18"/>
          </w:rPr>
          <m:t>=</m:t>
        </m:r>
        <m:f>
          <m:fPr>
            <m:type m:val="lin"/>
            <m:ctrlPr>
              <w:rPr>
                <w:rFonts w:ascii="Cambria Math" w:eastAsia="Calibri" w:hAnsi="Cambria Math"/>
                <w:i/>
                <w:szCs w:val="18"/>
              </w:rPr>
            </m:ctrlPr>
          </m:fPr>
          <m:num>
            <m:r>
              <w:rPr>
                <w:rFonts w:ascii="Cambria Math" w:eastAsia="Calibri" w:hAnsi="Cambria Math"/>
                <w:szCs w:val="18"/>
              </w:rPr>
              <m:t>πND</m:t>
            </m:r>
            <m:sSub>
              <m:sSubPr>
                <m:ctrlPr>
                  <w:rPr>
                    <w:rFonts w:ascii="Cambria Math" w:eastAsia="Calibri" w:hAnsi="Cambria Math"/>
                    <w:i/>
                    <w:szCs w:val="18"/>
                  </w:rPr>
                </m:ctrlPr>
              </m:sSubPr>
              <m:e>
                <m:r>
                  <w:rPr>
                    <w:rFonts w:ascii="Cambria Math" w:eastAsia="Calibri" w:hAnsi="Cambria Math"/>
                    <w:szCs w:val="18"/>
                  </w:rPr>
                  <m:t>d</m:t>
                </m:r>
              </m:e>
              <m:sub>
                <m:r>
                  <w:rPr>
                    <w:rFonts w:ascii="Cambria Math" w:eastAsia="Calibri" w:hAnsi="Cambria Math"/>
                    <w:szCs w:val="18"/>
                  </w:rPr>
                  <m:t>p</m:t>
                </m:r>
              </m:sub>
            </m:sSub>
            <m:sSub>
              <m:sSubPr>
                <m:ctrlPr>
                  <w:rPr>
                    <w:rFonts w:ascii="Cambria Math" w:eastAsia="Calibri" w:hAnsi="Cambria Math"/>
                    <w:i/>
                    <w:szCs w:val="18"/>
                  </w:rPr>
                </m:ctrlPr>
              </m:sSubPr>
              <m:e>
                <m:r>
                  <w:rPr>
                    <w:rFonts w:ascii="Cambria Math" w:eastAsia="Calibri" w:hAnsi="Cambria Math"/>
                    <w:szCs w:val="18"/>
                  </w:rPr>
                  <m:t>ρ</m:t>
                </m:r>
              </m:e>
              <m:sub>
                <m:r>
                  <w:rPr>
                    <w:rFonts w:ascii="Cambria Math" w:eastAsia="Calibri" w:hAnsi="Cambria Math"/>
                    <w:szCs w:val="18"/>
                  </w:rPr>
                  <m:t>l</m:t>
                </m:r>
              </m:sub>
            </m:sSub>
          </m:num>
          <m:den>
            <m:r>
              <w:rPr>
                <w:rFonts w:ascii="Cambria Math" w:eastAsia="Calibri" w:hAnsi="Cambria Math"/>
                <w:szCs w:val="18"/>
              </w:rPr>
              <m:t>µ</m:t>
            </m:r>
          </m:den>
        </m:f>
      </m:oMath>
      <w:r w:rsidR="00D0553F" w:rsidRPr="005E46C7">
        <w:rPr>
          <w:szCs w:val="18"/>
        </w:rPr>
        <w:t>.</w:t>
      </w:r>
    </w:p>
    <w:p w14:paraId="2D67B965" w14:textId="1AB90856" w:rsidR="00600535" w:rsidRPr="005E46C7" w:rsidRDefault="008B5E71" w:rsidP="008B5E71">
      <w:pPr>
        <w:pStyle w:val="CETBodytext"/>
        <w:rPr>
          <w:lang w:val="en-GB"/>
        </w:rPr>
      </w:pPr>
      <w:r w:rsidRPr="005E46C7">
        <w:rPr>
          <w:lang w:val="en-GB"/>
        </w:rPr>
        <w:t xml:space="preserve">The correlations </w:t>
      </w:r>
      <w:r w:rsidR="004439C7" w:rsidRPr="005E46C7">
        <w:rPr>
          <w:lang w:val="en-GB"/>
        </w:rPr>
        <w:t>were</w:t>
      </w:r>
      <w:r w:rsidRPr="005E46C7">
        <w:rPr>
          <w:lang w:val="en-GB"/>
        </w:rPr>
        <w:t xml:space="preserve"> derived mainly from data collected in standard geometry stirred vessels</w:t>
      </w:r>
      <w:r w:rsidR="00450F94" w:rsidRPr="005E46C7">
        <w:rPr>
          <w:lang w:val="en-GB"/>
        </w:rPr>
        <w:t xml:space="preserve">. In addition, Eq(1) is based on data collected in single phase stirred tanks and its applicability for estimating the liquid mixing during solid dissolution has </w:t>
      </w:r>
      <w:r w:rsidR="009F6079" w:rsidRPr="005E46C7">
        <w:rPr>
          <w:lang w:val="en-GB"/>
        </w:rPr>
        <w:t>been recently assessed only in the case of salt particle dissolution in conventional geometry stirred tanks</w:t>
      </w:r>
      <w:r w:rsidR="00026E1D" w:rsidRPr="005E46C7">
        <w:rPr>
          <w:lang w:val="en-GB"/>
        </w:rPr>
        <w:t xml:space="preserve"> (Montante et al., 2018</w:t>
      </w:r>
      <w:r w:rsidR="00026E1D" w:rsidRPr="00D814A5">
        <w:rPr>
          <w:lang w:val="en-GB"/>
        </w:rPr>
        <w:t>)</w:t>
      </w:r>
      <w:r w:rsidR="00450F94" w:rsidRPr="00D814A5">
        <w:rPr>
          <w:lang w:val="en-GB"/>
        </w:rPr>
        <w:t>.</w:t>
      </w:r>
      <w:r w:rsidRPr="00D814A5">
        <w:rPr>
          <w:lang w:val="en-GB"/>
        </w:rPr>
        <w:t xml:space="preserve"> </w:t>
      </w:r>
      <w:r w:rsidR="00094654" w:rsidRPr="00D814A5">
        <w:rPr>
          <w:lang w:val="en-GB"/>
        </w:rPr>
        <w:t>Therefore, a specific evaluation is required for assessing the applicability of Eqs(1)-(3) to the estimation of the liquid mixing time and the solid dissolution time dependency on the geometrical characteristics and working conditions of stirred vessels adopted in the fields of pharmaceutical manufacturing.</w:t>
      </w:r>
      <w:r w:rsidR="00094654" w:rsidRPr="00B57B36">
        <w:rPr>
          <w:lang w:val="en-GB"/>
        </w:rPr>
        <w:t xml:space="preserve"> </w:t>
      </w:r>
    </w:p>
    <w:p w14:paraId="7F401355" w14:textId="77777777" w:rsidR="00600535" w:rsidRPr="005E46C7" w:rsidRDefault="008B5E71" w:rsidP="00600535">
      <w:pPr>
        <w:pStyle w:val="CETHeading1"/>
        <w:rPr>
          <w:lang w:val="en-GB"/>
        </w:rPr>
      </w:pPr>
      <w:r w:rsidRPr="005E46C7">
        <w:rPr>
          <w:lang w:val="en-GB"/>
        </w:rPr>
        <w:t>Results and discussion</w:t>
      </w:r>
    </w:p>
    <w:p w14:paraId="58329432" w14:textId="77777777" w:rsidR="005C23BE" w:rsidRPr="005E46C7" w:rsidRDefault="005C23BE" w:rsidP="005C23BE">
      <w:pPr>
        <w:pStyle w:val="CETBodytext"/>
        <w:rPr>
          <w:lang w:val="en-GB"/>
        </w:rPr>
      </w:pPr>
      <w:r w:rsidRPr="005E46C7">
        <w:rPr>
          <w:lang w:val="en-GB"/>
        </w:rPr>
        <w:t xml:space="preserve">The applicability of </w:t>
      </w:r>
      <w:r w:rsidR="00894DDD" w:rsidRPr="005E46C7">
        <w:rPr>
          <w:lang w:val="en-GB"/>
        </w:rPr>
        <w:t xml:space="preserve">the </w:t>
      </w:r>
      <w:r w:rsidRPr="005E46C7">
        <w:rPr>
          <w:lang w:val="en-GB"/>
        </w:rPr>
        <w:t>selected literature correlations for the estimation of the liquid mixing time during the solid dissolution and the solid dissolution time in stirred tanks is checked in the following using experimental data available in the open literature as a benchmark. Since the attention is focuse</w:t>
      </w:r>
      <w:r w:rsidR="004A1F41" w:rsidRPr="005E46C7">
        <w:rPr>
          <w:lang w:val="en-GB"/>
        </w:rPr>
        <w:t>d</w:t>
      </w:r>
      <w:r w:rsidRPr="005E46C7">
        <w:rPr>
          <w:lang w:val="en-GB"/>
        </w:rPr>
        <w:t xml:space="preserve"> on pharmaceutical manufacturing, the data reported in the works by Koganti et al., (2010) and Lin et al. (2015) are considered. In addition, the results reported by Cao et al. (2016) concerning solid powder for home care industry are also adopted for widening the range of the investigated conditions. </w:t>
      </w:r>
      <w:r w:rsidR="00221156" w:rsidRPr="005E46C7">
        <w:rPr>
          <w:lang w:val="en-GB"/>
        </w:rPr>
        <w:t xml:space="preserve">In all cases, the </w:t>
      </w:r>
      <w:r w:rsidR="003C2964" w:rsidRPr="005E46C7">
        <w:rPr>
          <w:lang w:val="en-GB"/>
        </w:rPr>
        <w:t xml:space="preserve">achievement of the </w:t>
      </w:r>
      <w:r w:rsidR="00221156" w:rsidRPr="005E46C7">
        <w:rPr>
          <w:lang w:val="en-GB"/>
        </w:rPr>
        <w:t xml:space="preserve">95% liquid homogeneity level and </w:t>
      </w:r>
      <w:r w:rsidR="003C2964" w:rsidRPr="005E46C7">
        <w:rPr>
          <w:lang w:val="en-GB"/>
        </w:rPr>
        <w:t xml:space="preserve">of </w:t>
      </w:r>
      <w:r w:rsidR="00221156" w:rsidRPr="005E46C7">
        <w:rPr>
          <w:lang w:val="en-GB"/>
        </w:rPr>
        <w:t xml:space="preserve">the 95% solid dissolution </w:t>
      </w:r>
      <w:r w:rsidR="003C2964" w:rsidRPr="005E46C7">
        <w:rPr>
          <w:lang w:val="en-GB"/>
        </w:rPr>
        <w:t>is</w:t>
      </w:r>
      <w:r w:rsidR="00221156" w:rsidRPr="005E46C7">
        <w:rPr>
          <w:lang w:val="en-GB"/>
        </w:rPr>
        <w:t xml:space="preserve"> considered.</w:t>
      </w:r>
    </w:p>
    <w:p w14:paraId="276C26CB" w14:textId="77777777" w:rsidR="005C23BE" w:rsidRPr="005E46C7" w:rsidRDefault="005C23BE" w:rsidP="005C23BE">
      <w:pPr>
        <w:pStyle w:val="CETBodytext"/>
        <w:rPr>
          <w:lang w:val="en-GB"/>
        </w:rPr>
      </w:pPr>
      <w:r w:rsidRPr="005E46C7">
        <w:rPr>
          <w:lang w:val="en-GB"/>
        </w:rPr>
        <w:t xml:space="preserve">Koganti et al. (2010) provided the liquid mixing time of a methylparaben solution and the solid dissolution time of propylparaben particles of </w:t>
      </w:r>
      <w:r w:rsidR="00A64F77" w:rsidRPr="005E46C7">
        <w:rPr>
          <w:lang w:val="en-GB"/>
        </w:rPr>
        <w:t xml:space="preserve">volume weighted size </w:t>
      </w:r>
      <w:r w:rsidR="00917CC5" w:rsidRPr="005E46C7">
        <w:rPr>
          <w:lang w:val="en-GB"/>
        </w:rPr>
        <w:t>equal</w:t>
      </w:r>
      <w:r w:rsidR="00A64F77" w:rsidRPr="005E46C7">
        <w:rPr>
          <w:lang w:val="en-GB"/>
        </w:rPr>
        <w:t xml:space="preserve"> to </w:t>
      </w:r>
      <w:r w:rsidRPr="005E46C7">
        <w:rPr>
          <w:lang w:val="en-GB"/>
        </w:rPr>
        <w:t xml:space="preserve">179 </w:t>
      </w:r>
      <w:r w:rsidRPr="005E46C7">
        <w:rPr>
          <w:rFonts w:ascii="Symbol" w:hAnsi="Symbol"/>
          <w:lang w:val="en-GB"/>
        </w:rPr>
        <w:t></w:t>
      </w:r>
      <w:r w:rsidRPr="005E46C7">
        <w:rPr>
          <w:lang w:val="en-GB"/>
        </w:rPr>
        <w:t>m</w:t>
      </w:r>
      <w:r w:rsidR="00DB499E" w:rsidRPr="005E46C7">
        <w:rPr>
          <w:lang w:val="en-GB"/>
        </w:rPr>
        <w:t xml:space="preserve">, that corresponds to </w:t>
      </w:r>
      <w:r w:rsidR="00A64F77" w:rsidRPr="005E46C7">
        <w:rPr>
          <w:lang w:val="en-GB"/>
        </w:rPr>
        <w:t xml:space="preserve">the area weighted size of </w:t>
      </w:r>
      <w:r w:rsidR="00DB499E" w:rsidRPr="005E46C7">
        <w:rPr>
          <w:lang w:val="en-GB"/>
        </w:rPr>
        <w:t xml:space="preserve">23 </w:t>
      </w:r>
      <w:r w:rsidR="00DB499E" w:rsidRPr="005E46C7">
        <w:rPr>
          <w:rFonts w:ascii="Symbol" w:hAnsi="Symbol"/>
          <w:lang w:val="en-GB"/>
        </w:rPr>
        <w:t></w:t>
      </w:r>
      <w:r w:rsidR="00DB499E" w:rsidRPr="005E46C7">
        <w:rPr>
          <w:lang w:val="en-GB"/>
        </w:rPr>
        <w:t xml:space="preserve">m, </w:t>
      </w:r>
      <w:r w:rsidRPr="005E46C7">
        <w:rPr>
          <w:lang w:val="en-GB"/>
        </w:rPr>
        <w:t>in non-standard unbaffled stirred tanks provided with two off-</w:t>
      </w:r>
      <w:r w:rsidR="00894DDD" w:rsidRPr="005E46C7">
        <w:rPr>
          <w:lang w:val="en-GB"/>
        </w:rPr>
        <w:t>centred</w:t>
      </w:r>
      <w:r w:rsidRPr="005E46C7">
        <w:rPr>
          <w:lang w:val="en-GB"/>
        </w:rPr>
        <w:t xml:space="preserve"> impellers at laboratory (2</w:t>
      </w:r>
      <w:r w:rsidR="00894DDD" w:rsidRPr="005E46C7">
        <w:rPr>
          <w:lang w:val="en-GB"/>
        </w:rPr>
        <w:t>L) and at industrial scales (4</w:t>
      </w:r>
      <w:r w:rsidRPr="005E46C7">
        <w:rPr>
          <w:lang w:val="en-GB"/>
        </w:rPr>
        <w:t>m</w:t>
      </w:r>
      <w:r w:rsidRPr="005E46C7">
        <w:rPr>
          <w:vertAlign w:val="superscript"/>
          <w:lang w:val="en-GB"/>
        </w:rPr>
        <w:t>3</w:t>
      </w:r>
      <w:r w:rsidRPr="005E46C7">
        <w:rPr>
          <w:lang w:val="en-GB"/>
        </w:rPr>
        <w:t xml:space="preserve">). </w:t>
      </w:r>
      <w:r w:rsidR="000869A5" w:rsidRPr="005E46C7">
        <w:rPr>
          <w:lang w:val="en-GB"/>
        </w:rPr>
        <w:t xml:space="preserve">The geometry of the two vessels was similar, but not identical. </w:t>
      </w:r>
      <w:r w:rsidRPr="005E46C7">
        <w:rPr>
          <w:lang w:val="en-GB"/>
        </w:rPr>
        <w:t xml:space="preserve">The final concentration of the dissolved propylparaben was much less than the saturation solubility. </w:t>
      </w:r>
    </w:p>
    <w:p w14:paraId="7B191169" w14:textId="47818B15" w:rsidR="00221156" w:rsidRPr="005E46C7" w:rsidRDefault="006B651C" w:rsidP="00221156">
      <w:pPr>
        <w:pStyle w:val="CETBodytext"/>
        <w:rPr>
          <w:strike/>
        </w:rPr>
      </w:pPr>
      <w:r w:rsidRPr="005E46C7">
        <w:rPr>
          <w:lang w:val="en-GB"/>
        </w:rPr>
        <w:t xml:space="preserve">As shown in Figure 1, despite the uncertainties due to </w:t>
      </w:r>
      <w:r w:rsidR="000869A5" w:rsidRPr="005E46C7">
        <w:rPr>
          <w:lang w:val="en-GB"/>
        </w:rPr>
        <w:t xml:space="preserve">the specific </w:t>
      </w:r>
      <w:r w:rsidRPr="005E46C7">
        <w:rPr>
          <w:lang w:val="en-GB"/>
        </w:rPr>
        <w:t>geometry, t</w:t>
      </w:r>
      <w:r w:rsidR="005C23BE" w:rsidRPr="005E46C7">
        <w:rPr>
          <w:lang w:val="en-GB"/>
        </w:rPr>
        <w:t>he dependency of the mixing time on the impeller speed is well</w:t>
      </w:r>
      <w:r w:rsidR="00832939" w:rsidRPr="005E46C7">
        <w:rPr>
          <w:lang w:val="en-GB"/>
        </w:rPr>
        <w:t xml:space="preserve"> accounted for by Eq</w:t>
      </w:r>
      <w:r w:rsidR="005C23BE" w:rsidRPr="005E46C7">
        <w:rPr>
          <w:lang w:val="en-GB"/>
        </w:rPr>
        <w:t>(</w:t>
      </w:r>
      <w:r w:rsidR="00DC28C9" w:rsidRPr="005E46C7">
        <w:rPr>
          <w:lang w:val="en-GB"/>
        </w:rPr>
        <w:t>1</w:t>
      </w:r>
      <w:r w:rsidR="005C23BE" w:rsidRPr="005E46C7">
        <w:rPr>
          <w:lang w:val="en-GB"/>
        </w:rPr>
        <w:t>)</w:t>
      </w:r>
      <w:r w:rsidR="00832939" w:rsidRPr="005E46C7">
        <w:rPr>
          <w:lang w:val="en-GB"/>
        </w:rPr>
        <w:t>,</w:t>
      </w:r>
      <w:r w:rsidR="005C23BE" w:rsidRPr="005E46C7">
        <w:rPr>
          <w:lang w:val="en-GB"/>
        </w:rPr>
        <w:t xml:space="preserve"> </w:t>
      </w:r>
      <w:r w:rsidRPr="005E46C7">
        <w:rPr>
          <w:lang w:val="en-GB"/>
        </w:rPr>
        <w:t>as</w:t>
      </w:r>
      <w:r w:rsidR="00832939" w:rsidRPr="005E46C7">
        <w:rPr>
          <w:lang w:val="en-GB"/>
        </w:rPr>
        <w:t xml:space="preserve"> </w:t>
      </w:r>
      <w:r w:rsidR="005C23BE" w:rsidRPr="005E46C7">
        <w:rPr>
          <w:lang w:val="en-GB"/>
        </w:rPr>
        <w:t xml:space="preserve">the experimental mixing time data collected </w:t>
      </w:r>
      <w:r w:rsidR="00894DDD" w:rsidRPr="005E46C7">
        <w:rPr>
          <w:lang w:val="en-GB"/>
        </w:rPr>
        <w:t xml:space="preserve">by Koganti et al. (2010) </w:t>
      </w:r>
      <w:r w:rsidR="005C23BE" w:rsidRPr="005E46C7">
        <w:rPr>
          <w:lang w:val="en-GB"/>
        </w:rPr>
        <w:t xml:space="preserve">in the large scale tank filled at 2.5 </w:t>
      </w:r>
      <w:r w:rsidR="005C23BE" w:rsidRPr="00D814A5">
        <w:rPr>
          <w:lang w:val="en-GB"/>
        </w:rPr>
        <w:t>m</w:t>
      </w:r>
      <w:r w:rsidR="005C23BE" w:rsidRPr="00D814A5">
        <w:rPr>
          <w:vertAlign w:val="superscript"/>
          <w:lang w:val="en-GB"/>
        </w:rPr>
        <w:t>3</w:t>
      </w:r>
      <w:r w:rsidR="005C23BE" w:rsidRPr="00D814A5">
        <w:rPr>
          <w:lang w:val="en-GB"/>
        </w:rPr>
        <w:t xml:space="preserve">, </w:t>
      </w:r>
      <w:r w:rsidR="005C23BE" w:rsidRPr="005E46C7">
        <w:rPr>
          <w:lang w:val="en-GB"/>
        </w:rPr>
        <w:t>equal to 55 s at N=45 rpm and 27 s at N=75 rpm</w:t>
      </w:r>
      <w:r w:rsidR="00832939" w:rsidRPr="005E46C7">
        <w:rPr>
          <w:lang w:val="en-GB"/>
        </w:rPr>
        <w:t xml:space="preserve">, </w:t>
      </w:r>
      <w:r w:rsidR="00832939" w:rsidRPr="005E46C7">
        <w:rPr>
          <w:lang w:val="en-GB"/>
        </w:rPr>
        <w:lastRenderedPageBreak/>
        <w:t xml:space="preserve">are </w:t>
      </w:r>
      <w:r w:rsidRPr="005E46C7">
        <w:rPr>
          <w:lang w:val="en-GB"/>
        </w:rPr>
        <w:t>well predicted</w:t>
      </w:r>
      <w:r w:rsidR="00221156" w:rsidRPr="005E46C7">
        <w:rPr>
          <w:lang w:val="en-GB"/>
        </w:rPr>
        <w:t>. It is worth observing that in Eq(1) the impeller power number of a single PBT in an unbaffled stirred tank equal to 0.643 is used, as suggested by Armenante et al. (1997), due to the lack of more specific data.</w:t>
      </w:r>
    </w:p>
    <w:p w14:paraId="0BBDD6EB" w14:textId="77777777" w:rsidR="00DC28C9" w:rsidRPr="005E46C7" w:rsidRDefault="00DC28C9" w:rsidP="00DC28C9">
      <w:pPr>
        <w:pStyle w:val="CETBodytext"/>
        <w:jc w:val="center"/>
        <w:rPr>
          <w:lang w:val="en-GB"/>
        </w:rPr>
      </w:pPr>
      <w:r w:rsidRPr="005E46C7">
        <w:rPr>
          <w:noProof/>
          <w:lang w:val="en-GB" w:eastAsia="en-GB"/>
        </w:rPr>
        <w:drawing>
          <wp:inline distT="0" distB="0" distL="0" distR="0" wp14:anchorId="2DF1764D" wp14:editId="2354414A">
            <wp:extent cx="2970000" cy="1782000"/>
            <wp:effectExtent l="0" t="0" r="1905"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0000" cy="1782000"/>
                    </a:xfrm>
                    <a:prstGeom prst="rect">
                      <a:avLst/>
                    </a:prstGeom>
                    <a:noFill/>
                  </pic:spPr>
                </pic:pic>
              </a:graphicData>
            </a:graphic>
          </wp:inline>
        </w:drawing>
      </w:r>
    </w:p>
    <w:p w14:paraId="0CEAACE5" w14:textId="77777777" w:rsidR="00DC28C9" w:rsidRPr="005E46C7" w:rsidRDefault="00DC28C9" w:rsidP="00DC28C9">
      <w:pPr>
        <w:pStyle w:val="CETCaption"/>
      </w:pPr>
      <w:r w:rsidRPr="005E46C7">
        <w:t>Figure 1: Comparison between the experimental data of Koganti et al. (2010) and the computed values of the mixing time.</w:t>
      </w:r>
    </w:p>
    <w:p w14:paraId="21F79786" w14:textId="350615A3" w:rsidR="005C23BE" w:rsidRPr="005E46C7" w:rsidRDefault="005C23BE" w:rsidP="005C23BE">
      <w:pPr>
        <w:pStyle w:val="CETBodytext"/>
        <w:rPr>
          <w:strike/>
          <w:lang w:val="en-GB"/>
        </w:rPr>
      </w:pPr>
      <w:r w:rsidRPr="005E46C7">
        <w:rPr>
          <w:lang w:val="en-GB"/>
        </w:rPr>
        <w:t>The comparison between the experimental values of the dissolution time and the computed results obtained by Eq</w:t>
      </w:r>
      <w:r w:rsidR="00894DDD" w:rsidRPr="005E46C7">
        <w:rPr>
          <w:lang w:val="en-GB"/>
        </w:rPr>
        <w:t>s</w:t>
      </w:r>
      <w:r w:rsidRPr="005E46C7">
        <w:rPr>
          <w:lang w:val="en-GB"/>
        </w:rPr>
        <w:t xml:space="preserve">(2) </w:t>
      </w:r>
      <w:r w:rsidR="00894DDD" w:rsidRPr="005E46C7">
        <w:rPr>
          <w:lang w:val="en-GB"/>
        </w:rPr>
        <w:t xml:space="preserve">and (3) </w:t>
      </w:r>
      <w:r w:rsidRPr="005E46C7">
        <w:rPr>
          <w:lang w:val="en-GB"/>
        </w:rPr>
        <w:t xml:space="preserve">is shown in Figure </w:t>
      </w:r>
      <w:r w:rsidR="00832939" w:rsidRPr="005E46C7">
        <w:rPr>
          <w:lang w:val="en-GB"/>
        </w:rPr>
        <w:t>2</w:t>
      </w:r>
      <w:r w:rsidR="00F473F2" w:rsidRPr="005E46C7">
        <w:rPr>
          <w:lang w:val="en-GB"/>
        </w:rPr>
        <w:t>(</w:t>
      </w:r>
      <w:r w:rsidR="00E5194B" w:rsidRPr="005E46C7">
        <w:rPr>
          <w:lang w:val="en-GB"/>
        </w:rPr>
        <w:t>a</w:t>
      </w:r>
      <w:r w:rsidR="00F473F2" w:rsidRPr="005E46C7">
        <w:rPr>
          <w:lang w:val="en-GB"/>
        </w:rPr>
        <w:t>)</w:t>
      </w:r>
      <w:r w:rsidRPr="005E46C7">
        <w:rPr>
          <w:lang w:val="en-GB"/>
        </w:rPr>
        <w:t xml:space="preserve">. </w:t>
      </w:r>
      <w:r w:rsidR="00181C31" w:rsidRPr="005E46C7">
        <w:rPr>
          <w:lang w:val="en-GB"/>
        </w:rPr>
        <w:t xml:space="preserve">The model constants are adopted without modifications with respect to </w:t>
      </w:r>
      <w:r w:rsidR="00181C31" w:rsidRPr="00D814A5">
        <w:rPr>
          <w:lang w:val="en-GB"/>
        </w:rPr>
        <w:t>th</w:t>
      </w:r>
      <w:r w:rsidR="00094654" w:rsidRPr="00D814A5">
        <w:rPr>
          <w:lang w:val="en-GB"/>
        </w:rPr>
        <w:t>ose</w:t>
      </w:r>
      <w:r w:rsidR="00181C31" w:rsidRPr="005E46C7">
        <w:rPr>
          <w:lang w:val="en-GB"/>
        </w:rPr>
        <w:t xml:space="preserve"> provided in the original investigations, therefore the unbaffled configuration effect, if any, is not accounted for. </w:t>
      </w:r>
    </w:p>
    <w:p w14:paraId="327CAA5A" w14:textId="77777777" w:rsidR="00E5194B" w:rsidRPr="005E46C7" w:rsidRDefault="00E5194B" w:rsidP="005C23BE">
      <w:pPr>
        <w:pStyle w:val="CETBodytext"/>
        <w:rPr>
          <w:lang w:val="en-GB"/>
        </w:rPr>
        <w:sectPr w:rsidR="00E5194B" w:rsidRPr="005E46C7" w:rsidSect="0077098D">
          <w:type w:val="continuous"/>
          <w:pgSz w:w="11906" w:h="16838" w:code="9"/>
          <w:pgMar w:top="1701" w:right="1418" w:bottom="1701" w:left="1701" w:header="1701" w:footer="0" w:gutter="0"/>
          <w:cols w:space="708"/>
          <w:formProt w:val="0"/>
          <w:titlePg/>
          <w:docGrid w:linePitch="360"/>
        </w:sectPr>
      </w:pPr>
    </w:p>
    <w:p w14:paraId="739FFAC9" w14:textId="77777777" w:rsidR="005C23BE" w:rsidRPr="005E46C7" w:rsidRDefault="00A75872" w:rsidP="00A75872">
      <w:pPr>
        <w:pStyle w:val="CETBodytext"/>
        <w:jc w:val="center"/>
        <w:rPr>
          <w:lang w:val="en-GB"/>
        </w:rPr>
      </w:pPr>
      <w:r w:rsidRPr="005E46C7">
        <w:rPr>
          <w:noProof/>
          <w:lang w:val="en-GB" w:eastAsia="en-GB"/>
        </w:rPr>
        <w:drawing>
          <wp:inline distT="0" distB="0" distL="0" distR="0" wp14:anchorId="72597B23" wp14:editId="6DD5E3F3">
            <wp:extent cx="2797200" cy="1479600"/>
            <wp:effectExtent l="0" t="0" r="3175"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7200" cy="1479600"/>
                    </a:xfrm>
                    <a:prstGeom prst="rect">
                      <a:avLst/>
                    </a:prstGeom>
                    <a:noFill/>
                  </pic:spPr>
                </pic:pic>
              </a:graphicData>
            </a:graphic>
          </wp:inline>
        </w:drawing>
      </w:r>
    </w:p>
    <w:p w14:paraId="5B64E4C8" w14:textId="77777777" w:rsidR="00F36507" w:rsidRPr="005E46C7" w:rsidRDefault="00060C93" w:rsidP="00060C93">
      <w:pPr>
        <w:pStyle w:val="CETCaption"/>
        <w:tabs>
          <w:tab w:val="center" w:pos="2268"/>
        </w:tabs>
      </w:pPr>
      <w:r w:rsidRPr="005E46C7">
        <w:tab/>
        <w:t>(a)</w:t>
      </w:r>
    </w:p>
    <w:p w14:paraId="48A9BEEC" w14:textId="77777777" w:rsidR="005C23BE" w:rsidRPr="005E46C7" w:rsidRDefault="00C55928" w:rsidP="00894DDD">
      <w:pPr>
        <w:pStyle w:val="CETCaption"/>
      </w:pPr>
      <w:r w:rsidRPr="005E46C7">
        <w:rPr>
          <w:noProof/>
          <w:lang w:eastAsia="en-GB"/>
        </w:rPr>
        <w:drawing>
          <wp:inline distT="0" distB="0" distL="0" distR="0" wp14:anchorId="4196D365" wp14:editId="523895BE">
            <wp:extent cx="2793600" cy="1479600"/>
            <wp:effectExtent l="0" t="0" r="6985" b="635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3600" cy="1479600"/>
                    </a:xfrm>
                    <a:prstGeom prst="rect">
                      <a:avLst/>
                    </a:prstGeom>
                    <a:noFill/>
                  </pic:spPr>
                </pic:pic>
              </a:graphicData>
            </a:graphic>
          </wp:inline>
        </w:drawing>
      </w:r>
    </w:p>
    <w:p w14:paraId="330E3DA6" w14:textId="77777777" w:rsidR="00E5194B" w:rsidRPr="005E46C7" w:rsidRDefault="00060C93" w:rsidP="00060C93">
      <w:pPr>
        <w:pStyle w:val="CETCaption"/>
        <w:tabs>
          <w:tab w:val="center" w:pos="2268"/>
        </w:tabs>
        <w:sectPr w:rsidR="00E5194B" w:rsidRPr="005E46C7" w:rsidSect="00E5194B">
          <w:type w:val="continuous"/>
          <w:pgSz w:w="11906" w:h="16838" w:code="9"/>
          <w:pgMar w:top="1701" w:right="1418" w:bottom="1701" w:left="1701" w:header="1701" w:footer="0" w:gutter="0"/>
          <w:cols w:num="2" w:space="708"/>
          <w:formProt w:val="0"/>
          <w:titlePg/>
          <w:docGrid w:linePitch="360"/>
        </w:sectPr>
      </w:pPr>
      <w:r w:rsidRPr="005E46C7">
        <w:tab/>
        <w:t>(b)</w:t>
      </w:r>
    </w:p>
    <w:p w14:paraId="445FE1F2" w14:textId="77777777" w:rsidR="00060C93" w:rsidRPr="005E46C7" w:rsidRDefault="00060C93" w:rsidP="00060C93">
      <w:pPr>
        <w:pStyle w:val="CETCaption"/>
      </w:pPr>
      <w:r w:rsidRPr="005E46C7">
        <w:t>Figure 2: Comparison between the experimental data of Koganti et al. (2010) and the computed values of the dissolution time</w:t>
      </w:r>
      <w:r w:rsidR="00111E81" w:rsidRPr="005E46C7">
        <w:t>.</w:t>
      </w:r>
      <w:r w:rsidRPr="005E46C7">
        <w:t xml:space="preserve"> (a)</w:t>
      </w:r>
      <w:r w:rsidR="00111E81" w:rsidRPr="005E46C7">
        <w:t xml:space="preserve"> Eq</w:t>
      </w:r>
      <w:r w:rsidRPr="005E46C7">
        <w:t>(3)</w:t>
      </w:r>
      <w:r w:rsidR="00111E81" w:rsidRPr="005E46C7">
        <w:t>, (b) Eq</w:t>
      </w:r>
      <w:r w:rsidRPr="005E46C7">
        <w:t>(4).</w:t>
      </w:r>
    </w:p>
    <w:p w14:paraId="2D6BD62F" w14:textId="77777777" w:rsidR="00E5194B" w:rsidRPr="005E46C7" w:rsidRDefault="00181C31" w:rsidP="00E5194B">
      <w:pPr>
        <w:pStyle w:val="CETBodytext"/>
        <w:rPr>
          <w:lang w:val="en-GB"/>
        </w:rPr>
      </w:pPr>
      <w:r w:rsidRPr="005E46C7">
        <w:rPr>
          <w:lang w:val="en-GB"/>
        </w:rPr>
        <w:t xml:space="preserve">A significant different agreement is obtained for the two scales. </w:t>
      </w:r>
      <w:r w:rsidR="00D77A58" w:rsidRPr="005E46C7">
        <w:rPr>
          <w:lang w:val="en-GB"/>
        </w:rPr>
        <w:t>The discrepanc</w:t>
      </w:r>
      <w:r w:rsidR="00221156" w:rsidRPr="005E46C7">
        <w:rPr>
          <w:lang w:val="en-GB"/>
        </w:rPr>
        <w:t>ies, which are larger for the 4 m</w:t>
      </w:r>
      <w:r w:rsidR="00221156" w:rsidRPr="005E46C7">
        <w:rPr>
          <w:vertAlign w:val="superscript"/>
          <w:lang w:val="en-GB"/>
        </w:rPr>
        <w:t>3</w:t>
      </w:r>
      <w:r w:rsidR="00221156" w:rsidRPr="005E46C7">
        <w:rPr>
          <w:lang w:val="en-GB"/>
        </w:rPr>
        <w:t xml:space="preserve"> vessel, </w:t>
      </w:r>
      <w:r w:rsidRPr="005E46C7">
        <w:rPr>
          <w:lang w:val="en-GB"/>
        </w:rPr>
        <w:t xml:space="preserve">might be due to possible air ingestion from the liquid free surface that can take place </w:t>
      </w:r>
      <w:r w:rsidR="006B651C" w:rsidRPr="005E46C7">
        <w:rPr>
          <w:lang w:val="en-GB"/>
        </w:rPr>
        <w:t xml:space="preserve">particularly </w:t>
      </w:r>
      <w:r w:rsidRPr="005E46C7">
        <w:rPr>
          <w:lang w:val="en-GB"/>
        </w:rPr>
        <w:t xml:space="preserve">at industrial scale, considering the position </w:t>
      </w:r>
      <w:r w:rsidR="006B651C" w:rsidRPr="005E46C7">
        <w:rPr>
          <w:lang w:val="en-GB"/>
        </w:rPr>
        <w:t>and</w:t>
      </w:r>
      <w:r w:rsidRPr="005E46C7">
        <w:rPr>
          <w:lang w:val="en-GB"/>
        </w:rPr>
        <w:t xml:space="preserve"> the </w:t>
      </w:r>
      <w:r w:rsidR="00917CC5" w:rsidRPr="005E46C7">
        <w:rPr>
          <w:lang w:val="en-GB"/>
        </w:rPr>
        <w:t>Reynolds number</w:t>
      </w:r>
      <w:r w:rsidRPr="005E46C7">
        <w:rPr>
          <w:lang w:val="en-GB"/>
        </w:rPr>
        <w:t xml:space="preserve"> of the </w:t>
      </w:r>
      <w:r w:rsidR="00D77A58" w:rsidRPr="005E46C7">
        <w:rPr>
          <w:lang w:val="en-GB"/>
        </w:rPr>
        <w:t>upper impeller</w:t>
      </w:r>
      <w:r w:rsidR="001701F5" w:rsidRPr="005E46C7">
        <w:rPr>
          <w:lang w:val="en-GB"/>
        </w:rPr>
        <w:t xml:space="preserve">. </w:t>
      </w:r>
      <w:r w:rsidR="00E5194B" w:rsidRPr="005E46C7">
        <w:rPr>
          <w:lang w:val="en-GB"/>
        </w:rPr>
        <w:t>A</w:t>
      </w:r>
      <w:r w:rsidR="00221156" w:rsidRPr="005E46C7">
        <w:rPr>
          <w:lang w:val="en-GB"/>
        </w:rPr>
        <w:t>dditional</w:t>
      </w:r>
      <w:r w:rsidR="001701F5" w:rsidRPr="005E46C7">
        <w:rPr>
          <w:lang w:val="en-GB"/>
        </w:rPr>
        <w:t xml:space="preserve"> reason</w:t>
      </w:r>
      <w:r w:rsidR="00E5194B" w:rsidRPr="005E46C7">
        <w:rPr>
          <w:lang w:val="en-GB"/>
        </w:rPr>
        <w:t>s</w:t>
      </w:r>
      <w:r w:rsidR="00F473F2" w:rsidRPr="005E46C7">
        <w:rPr>
          <w:lang w:val="en-GB"/>
        </w:rPr>
        <w:t xml:space="preserve"> </w:t>
      </w:r>
      <w:r w:rsidRPr="005E46C7">
        <w:rPr>
          <w:lang w:val="en-GB"/>
        </w:rPr>
        <w:t>might be due to</w:t>
      </w:r>
      <w:r w:rsidR="001701F5" w:rsidRPr="005E46C7">
        <w:rPr>
          <w:lang w:val="en-GB"/>
        </w:rPr>
        <w:t xml:space="preserve"> the different weight of the </w:t>
      </w:r>
      <w:r w:rsidR="006B651C" w:rsidRPr="005E46C7">
        <w:rPr>
          <w:lang w:val="en-GB"/>
        </w:rPr>
        <w:t xml:space="preserve">liquid </w:t>
      </w:r>
      <w:r w:rsidR="001701F5" w:rsidRPr="005E46C7">
        <w:rPr>
          <w:lang w:val="en-GB"/>
        </w:rPr>
        <w:t>mixing time</w:t>
      </w:r>
      <w:r w:rsidRPr="005E46C7">
        <w:rPr>
          <w:lang w:val="en-GB"/>
        </w:rPr>
        <w:t xml:space="preserve"> with</w:t>
      </w:r>
      <w:r w:rsidR="001701F5" w:rsidRPr="005E46C7">
        <w:rPr>
          <w:lang w:val="en-GB"/>
        </w:rPr>
        <w:t xml:space="preserve"> respect to the dissolutio</w:t>
      </w:r>
      <w:r w:rsidR="00221156" w:rsidRPr="005E46C7">
        <w:rPr>
          <w:lang w:val="en-GB"/>
        </w:rPr>
        <w:t>n time</w:t>
      </w:r>
      <w:r w:rsidR="001701F5" w:rsidRPr="005E46C7">
        <w:rPr>
          <w:lang w:val="en-GB"/>
        </w:rPr>
        <w:t xml:space="preserve"> in the two scales </w:t>
      </w:r>
      <w:r w:rsidRPr="005E46C7">
        <w:rPr>
          <w:lang w:val="en-GB"/>
        </w:rPr>
        <w:t>under consideration</w:t>
      </w:r>
      <w:r w:rsidR="00E5194B" w:rsidRPr="005E46C7">
        <w:rPr>
          <w:lang w:val="en-GB"/>
        </w:rPr>
        <w:t xml:space="preserve"> </w:t>
      </w:r>
      <w:r w:rsidR="00111E81" w:rsidRPr="005E46C7">
        <w:rPr>
          <w:lang w:val="en-GB"/>
        </w:rPr>
        <w:t>and to</w:t>
      </w:r>
      <w:r w:rsidR="00E5194B" w:rsidRPr="005E46C7">
        <w:rPr>
          <w:lang w:val="en-GB"/>
        </w:rPr>
        <w:t xml:space="preserve"> </w:t>
      </w:r>
      <w:r w:rsidR="00111E81" w:rsidRPr="005E46C7">
        <w:rPr>
          <w:lang w:val="en-GB"/>
        </w:rPr>
        <w:t xml:space="preserve">a different characteristic liquid velocity dependency </w:t>
      </w:r>
      <w:r w:rsidR="00AF0ED5" w:rsidRPr="005E46C7">
        <w:rPr>
          <w:lang w:val="en-GB"/>
        </w:rPr>
        <w:t>for unbaffled stirred tanks</w:t>
      </w:r>
      <w:r w:rsidR="00A60D5D" w:rsidRPr="005E46C7">
        <w:rPr>
          <w:lang w:val="en-GB"/>
        </w:rPr>
        <w:t xml:space="preserve"> with respect to baffled ones</w:t>
      </w:r>
      <w:r w:rsidR="0061010B" w:rsidRPr="005E46C7">
        <w:rPr>
          <w:lang w:val="en-GB"/>
        </w:rPr>
        <w:t>. In particular, combining the results of Nagata (1975) and Ramírez-Gómez et al. (2015), that showed that ratio between liquid flow number and power number is constant, and the results of Scargiali et al. (2013), that reported a dependency of N</w:t>
      </w:r>
      <w:r w:rsidR="0061010B" w:rsidRPr="005E46C7">
        <w:rPr>
          <w:vertAlign w:val="subscript"/>
          <w:lang w:val="en-GB"/>
        </w:rPr>
        <w:t>p</w:t>
      </w:r>
      <w:r w:rsidR="0061010B" w:rsidRPr="005E46C7">
        <w:rPr>
          <w:lang w:val="en-GB"/>
        </w:rPr>
        <w:t xml:space="preserve"> on </w:t>
      </w:r>
      <w:r w:rsidR="00E5194B" w:rsidRPr="005E46C7">
        <w:rPr>
          <w:lang w:val="en-GB"/>
        </w:rPr>
        <w:t xml:space="preserve">the </w:t>
      </w:r>
      <w:r w:rsidR="0061010B" w:rsidRPr="005E46C7">
        <w:rPr>
          <w:lang w:val="en-GB"/>
        </w:rPr>
        <w:t>rotational</w:t>
      </w:r>
      <w:r w:rsidR="00E5194B" w:rsidRPr="005E46C7">
        <w:rPr>
          <w:lang w:val="en-GB"/>
        </w:rPr>
        <w:t xml:space="preserve"> Reynolds number</w:t>
      </w:r>
      <w:r w:rsidR="00A60D5D" w:rsidRPr="005E46C7">
        <w:rPr>
          <w:lang w:val="en-GB"/>
        </w:rPr>
        <w:t xml:space="preserve"> </w:t>
      </w:r>
      <w:r w:rsidR="0061010B" w:rsidRPr="005E46C7">
        <w:rPr>
          <w:lang w:val="en-GB"/>
        </w:rPr>
        <w:t>to the power of -0.3, Eq(3) can be empirically modified in</w:t>
      </w:r>
      <w:r w:rsidR="00A60D5D" w:rsidRPr="005E46C7">
        <w:rPr>
          <w:lang w:val="en-GB"/>
        </w:rPr>
        <w:t xml:space="preserve"> order to account for this specific feature of unbaffled tanks</w:t>
      </w:r>
      <w:r w:rsidR="0002046C" w:rsidRPr="005E46C7">
        <w:rPr>
          <w:lang w:val="en-GB"/>
        </w:rPr>
        <w:t>,</w:t>
      </w:r>
      <w:r w:rsidR="0061010B" w:rsidRPr="005E46C7">
        <w:rPr>
          <w:lang w:val="en-GB"/>
        </w:rPr>
        <w:t xml:space="preserve"> neglecting the term 2, </w:t>
      </w:r>
      <w:r w:rsidR="004C3120" w:rsidRPr="005E46C7">
        <w:rPr>
          <w:lang w:val="en-GB"/>
        </w:rPr>
        <w:t>it becomes</w:t>
      </w:r>
      <w:r w:rsidR="00C33057" w:rsidRPr="005E46C7">
        <w:rPr>
          <w:lang w:val="en-GB"/>
        </w:rPr>
        <w:t>:</w:t>
      </w:r>
    </w:p>
    <w:p w14:paraId="1D0497AD" w14:textId="77777777" w:rsidR="00C33057" w:rsidRPr="005E46C7" w:rsidRDefault="00C33057" w:rsidP="00C33057">
      <w:pPr>
        <w:pStyle w:val="CETEquation"/>
      </w:pPr>
      <m:oMath>
        <m:r>
          <w:rPr>
            <w:rFonts w:ascii="Cambria Math" w:hAnsi="Cambria Math"/>
          </w:rPr>
          <m:t>Sh</m:t>
        </m:r>
        <m:r>
          <m:rPr>
            <m:sty m:val="p"/>
          </m:rPr>
          <w:rPr>
            <w:rFonts w:ascii="Cambria Math" w:hAnsi="Cambria Math"/>
          </w:rPr>
          <m:t xml:space="preserve">=0.166 </m:t>
        </m:r>
        <m:d>
          <m:dPr>
            <m:begChr m:val="["/>
            <m:endChr m:val="]"/>
            <m:ctrlPr>
              <w:rPr>
                <w:rFonts w:ascii="Cambria Math" w:hAnsi="Cambria Math"/>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Re</m:t>
                    </m:r>
                    <m:ctrlPr>
                      <w:rPr>
                        <w:rFonts w:ascii="Cambria Math" w:hAnsi="Cambria Math"/>
                      </w:rPr>
                    </m:ctrlPr>
                  </m:e>
                  <m:sub>
                    <m:r>
                      <w:rPr>
                        <w:rFonts w:ascii="Cambria Math" w:hAnsi="Cambria Math"/>
                      </w:rPr>
                      <m:t>p</m:t>
                    </m:r>
                  </m:sub>
                </m:sSub>
                <m:d>
                  <m:dPr>
                    <m:ctrlPr>
                      <w:rPr>
                        <w:rFonts w:ascii="Cambria Math" w:hAnsi="Cambria Math"/>
                        <w:i/>
                      </w:rPr>
                    </m:ctrlPr>
                  </m:dPr>
                  <m:e>
                    <m:f>
                      <m:fPr>
                        <m:ctrlPr>
                          <w:rPr>
                            <w:rFonts w:ascii="Cambria Math" w:hAnsi="Cambria Math"/>
                            <w:i/>
                            <w:sz w:val="24"/>
                            <w:szCs w:val="24"/>
                          </w:rPr>
                        </m:ctrlPr>
                      </m:fPr>
                      <m:num>
                        <m:r>
                          <w:rPr>
                            <w:rFonts w:ascii="Cambria Math" w:hAnsi="Cambria Math"/>
                            <w:sz w:val="24"/>
                            <w:szCs w:val="24"/>
                          </w:rPr>
                          <m:t>N</m:t>
                        </m:r>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r>
                          <w:rPr>
                            <w:rFonts w:ascii="Cambria Math" w:hAnsi="Cambria Math"/>
                            <w:sz w:val="24"/>
                            <w:szCs w:val="24"/>
                          </w:rPr>
                          <m:t>ρ</m:t>
                        </m:r>
                        <m:ctrlPr>
                          <w:rPr>
                            <w:rFonts w:ascii="Cambria Math" w:hAnsi="Cambria Math"/>
                            <w:i/>
                          </w:rPr>
                        </m:ctrlPr>
                      </m:num>
                      <m:den>
                        <m:r>
                          <w:rPr>
                            <w:rFonts w:ascii="Cambria Math" w:hAnsi="Cambria Math"/>
                            <w:sz w:val="24"/>
                            <w:szCs w:val="24"/>
                          </w:rPr>
                          <m:t>μ</m:t>
                        </m:r>
                      </m:den>
                    </m:f>
                  </m:e>
                </m:d>
                <m:ctrlPr>
                  <w:rPr>
                    <w:rFonts w:ascii="Cambria Math" w:hAnsi="Cambria Math"/>
                  </w:rPr>
                </m:ctrlPr>
              </m:e>
              <m:sup>
                <m:r>
                  <w:rPr>
                    <w:rFonts w:ascii="Cambria Math" w:hAnsi="Cambria Math"/>
                  </w:rPr>
                  <m:t>-0.3</m:t>
                </m:r>
              </m:sup>
            </m:sSup>
          </m:e>
        </m:d>
        <m:r>
          <m:rPr>
            <m:sty m:val="p"/>
          </m:rPr>
          <w:rPr>
            <w:rFonts w:ascii="Cambria Math" w:hAnsi="Cambria Math"/>
          </w:rPr>
          <m:t xml:space="preserve">  </m:t>
        </m:r>
        <m:sSup>
          <m:sSupPr>
            <m:ctrlPr>
              <w:rPr>
                <w:rFonts w:ascii="Cambria Math" w:hAnsi="Cambria Math"/>
              </w:rPr>
            </m:ctrlPr>
          </m:sSupPr>
          <m:e>
            <m:r>
              <w:rPr>
                <w:rFonts w:ascii="Cambria Math" w:hAnsi="Cambria Math"/>
              </w:rPr>
              <m:t>Ar</m:t>
            </m:r>
          </m:e>
          <m:sup>
            <m:r>
              <m:rPr>
                <m:sty m:val="p"/>
              </m:rPr>
              <w:rPr>
                <w:rFonts w:ascii="Cambria Math" w:hAnsi="Cambria Math"/>
              </w:rPr>
              <m:t>0.16</m:t>
            </m:r>
          </m:sup>
        </m:sSup>
        <m:r>
          <m:rPr>
            <m:sty m:val="p"/>
          </m:rPr>
          <w:rPr>
            <w:rFonts w:ascii="Cambria Math" w:hAnsi="Cambria Math"/>
          </w:rPr>
          <m:t xml:space="preserve"> </m:t>
        </m:r>
        <m:sSup>
          <m:sSupPr>
            <m:ctrlPr>
              <w:rPr>
                <w:rFonts w:ascii="Cambria Math" w:hAnsi="Cambria Math"/>
              </w:rPr>
            </m:ctrlPr>
          </m:sSupPr>
          <m:e>
            <m:r>
              <w:rPr>
                <w:rFonts w:ascii="Cambria Math" w:hAnsi="Cambria Math"/>
              </w:rPr>
              <m:t>Sc</m:t>
            </m:r>
          </m:e>
          <m:sup>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sup>
        </m:sSup>
      </m:oMath>
      <w:r w:rsidRPr="005E46C7">
        <w:tab/>
        <w:t>(4)</w:t>
      </w:r>
    </w:p>
    <w:p w14:paraId="543B9014" w14:textId="77777777" w:rsidR="00E5194B" w:rsidRPr="005E46C7" w:rsidRDefault="00E5194B" w:rsidP="00181C31">
      <w:pPr>
        <w:pStyle w:val="CETBodytext"/>
        <w:rPr>
          <w:lang w:val="en-GB"/>
        </w:rPr>
      </w:pPr>
    </w:p>
    <w:p w14:paraId="0C132D01" w14:textId="50225FBA" w:rsidR="00227885" w:rsidRPr="005E46C7" w:rsidRDefault="004C3120" w:rsidP="005C23BE">
      <w:pPr>
        <w:pStyle w:val="CETBodytext"/>
        <w:rPr>
          <w:lang w:val="en-GB"/>
        </w:rPr>
      </w:pPr>
      <w:r w:rsidRPr="005E46C7">
        <w:rPr>
          <w:lang w:val="en-GB"/>
        </w:rPr>
        <w:t>As can be observed in Figure 2</w:t>
      </w:r>
      <w:r w:rsidR="00111E81" w:rsidRPr="005E46C7">
        <w:rPr>
          <w:lang w:val="en-GB"/>
        </w:rPr>
        <w:t>(</w:t>
      </w:r>
      <w:r w:rsidR="00227885" w:rsidRPr="005E46C7">
        <w:rPr>
          <w:lang w:val="en-GB"/>
        </w:rPr>
        <w:t>b</w:t>
      </w:r>
      <w:r w:rsidR="00111E81" w:rsidRPr="005E46C7">
        <w:rPr>
          <w:lang w:val="en-GB"/>
        </w:rPr>
        <w:t>)</w:t>
      </w:r>
      <w:r w:rsidR="00AF0ED5" w:rsidRPr="005E46C7">
        <w:rPr>
          <w:lang w:val="en-GB"/>
        </w:rPr>
        <w:t xml:space="preserve">, by </w:t>
      </w:r>
      <w:r w:rsidR="00AF0ED5" w:rsidRPr="00D814A5">
        <w:rPr>
          <w:lang w:val="en-GB"/>
        </w:rPr>
        <w:t>Eq</w:t>
      </w:r>
      <w:r w:rsidR="00FB163C" w:rsidRPr="00D814A5">
        <w:rPr>
          <w:lang w:val="en-GB"/>
        </w:rPr>
        <w:t>(</w:t>
      </w:r>
      <w:r w:rsidR="00AF0ED5" w:rsidRPr="00D814A5">
        <w:rPr>
          <w:lang w:val="en-GB"/>
        </w:rPr>
        <w:t>4</w:t>
      </w:r>
      <w:r w:rsidR="00FB163C" w:rsidRPr="00D814A5">
        <w:rPr>
          <w:lang w:val="en-GB"/>
        </w:rPr>
        <w:t>)</w:t>
      </w:r>
      <w:r w:rsidR="00AF0ED5" w:rsidRPr="005E46C7">
        <w:rPr>
          <w:lang w:val="en-GB"/>
        </w:rPr>
        <w:t xml:space="preserve"> </w:t>
      </w:r>
      <w:r w:rsidR="00227885" w:rsidRPr="005E46C7">
        <w:rPr>
          <w:lang w:val="en-GB"/>
        </w:rPr>
        <w:t>t</w:t>
      </w:r>
      <w:r w:rsidR="00681414" w:rsidRPr="005E46C7">
        <w:rPr>
          <w:lang w:val="en-GB"/>
        </w:rPr>
        <w:t xml:space="preserve">he scatter between </w:t>
      </w:r>
      <w:r w:rsidR="0002046C" w:rsidRPr="005E46C7">
        <w:rPr>
          <w:lang w:val="en-GB"/>
        </w:rPr>
        <w:t xml:space="preserve">the </w:t>
      </w:r>
      <w:r w:rsidR="00681414" w:rsidRPr="005E46C7">
        <w:rPr>
          <w:lang w:val="en-GB"/>
        </w:rPr>
        <w:t xml:space="preserve">experimental and </w:t>
      </w:r>
      <w:r w:rsidRPr="005E46C7">
        <w:rPr>
          <w:lang w:val="en-GB"/>
        </w:rPr>
        <w:t xml:space="preserve">the </w:t>
      </w:r>
      <w:r w:rsidR="00681414" w:rsidRPr="005E46C7">
        <w:rPr>
          <w:lang w:val="en-GB"/>
        </w:rPr>
        <w:t xml:space="preserve">computed data </w:t>
      </w:r>
      <w:r w:rsidR="00AF0ED5" w:rsidRPr="005E46C7">
        <w:rPr>
          <w:lang w:val="en-GB"/>
        </w:rPr>
        <w:t>is</w:t>
      </w:r>
      <w:r w:rsidR="00227885" w:rsidRPr="005E46C7">
        <w:rPr>
          <w:lang w:val="en-GB"/>
        </w:rPr>
        <w:t xml:space="preserve"> reduced</w:t>
      </w:r>
      <w:r w:rsidR="00681414" w:rsidRPr="005E46C7">
        <w:rPr>
          <w:lang w:val="en-GB"/>
        </w:rPr>
        <w:t xml:space="preserve">. In the </w:t>
      </w:r>
      <w:r w:rsidR="00AF0ED5" w:rsidRPr="00D814A5">
        <w:rPr>
          <w:lang w:val="en-GB"/>
        </w:rPr>
        <w:t>following,</w:t>
      </w:r>
      <w:r w:rsidR="00681414" w:rsidRPr="00D814A5">
        <w:rPr>
          <w:lang w:val="en-GB"/>
        </w:rPr>
        <w:t xml:space="preserve"> Eq</w:t>
      </w:r>
      <w:r w:rsidR="00FB163C" w:rsidRPr="00D814A5">
        <w:rPr>
          <w:lang w:val="en-GB"/>
        </w:rPr>
        <w:t>(</w:t>
      </w:r>
      <w:r w:rsidR="00681414" w:rsidRPr="00D814A5">
        <w:rPr>
          <w:lang w:val="en-GB"/>
        </w:rPr>
        <w:t>4</w:t>
      </w:r>
      <w:r w:rsidR="00FB163C" w:rsidRPr="00D814A5">
        <w:rPr>
          <w:lang w:val="en-GB"/>
        </w:rPr>
        <w:t>)</w:t>
      </w:r>
      <w:r w:rsidR="00681414" w:rsidRPr="00D814A5">
        <w:rPr>
          <w:lang w:val="en-GB"/>
        </w:rPr>
        <w:t xml:space="preserve"> </w:t>
      </w:r>
      <w:r w:rsidR="00227885" w:rsidRPr="00D814A5">
        <w:rPr>
          <w:lang w:val="en-GB"/>
        </w:rPr>
        <w:t>will</w:t>
      </w:r>
      <w:r w:rsidR="00227885" w:rsidRPr="005E46C7">
        <w:rPr>
          <w:lang w:val="en-GB"/>
        </w:rPr>
        <w:t xml:space="preserve"> </w:t>
      </w:r>
      <w:r w:rsidR="00681414" w:rsidRPr="005E46C7">
        <w:rPr>
          <w:lang w:val="en-GB"/>
        </w:rPr>
        <w:t>not</w:t>
      </w:r>
      <w:r w:rsidR="00227885" w:rsidRPr="005E46C7">
        <w:rPr>
          <w:lang w:val="en-GB"/>
        </w:rPr>
        <w:t xml:space="preserve"> be</w:t>
      </w:r>
      <w:r w:rsidR="00681414" w:rsidRPr="005E46C7">
        <w:rPr>
          <w:lang w:val="en-GB"/>
        </w:rPr>
        <w:t xml:space="preserve"> used</w:t>
      </w:r>
      <w:r w:rsidRPr="005E46C7">
        <w:rPr>
          <w:lang w:val="en-GB"/>
        </w:rPr>
        <w:t xml:space="preserve">, since </w:t>
      </w:r>
      <w:r w:rsidR="005E46C7" w:rsidRPr="005E46C7">
        <w:rPr>
          <w:lang w:val="en-GB"/>
        </w:rPr>
        <w:t>it should be validated more extensively</w:t>
      </w:r>
      <w:r w:rsidRPr="005E46C7">
        <w:rPr>
          <w:lang w:val="en-GB"/>
        </w:rPr>
        <w:t>.</w:t>
      </w:r>
    </w:p>
    <w:p w14:paraId="56B23BC1" w14:textId="77777777" w:rsidR="005C23BE" w:rsidRPr="005E46C7" w:rsidRDefault="005C23BE" w:rsidP="005C23BE">
      <w:pPr>
        <w:pStyle w:val="CETBodytext"/>
        <w:rPr>
          <w:lang w:val="en-GB"/>
        </w:rPr>
      </w:pPr>
      <w:r w:rsidRPr="005E46C7">
        <w:rPr>
          <w:lang w:val="en-GB"/>
        </w:rPr>
        <w:t xml:space="preserve">The experimental data by Lin et al. (2015) relevant to the dissolution of Dimethyl fumarate particles of 710-1000 </w:t>
      </w:r>
      <w:r w:rsidRPr="005E46C7">
        <w:rPr>
          <w:rFonts w:ascii="Symbol" w:hAnsi="Symbol"/>
          <w:lang w:val="en-GB"/>
        </w:rPr>
        <w:t></w:t>
      </w:r>
      <w:r w:rsidRPr="005E46C7">
        <w:rPr>
          <w:lang w:val="en-GB"/>
        </w:rPr>
        <w:t xml:space="preserve">m size in Type II dissolution test stations at N=100rpm are analysed and shown in Figure </w:t>
      </w:r>
      <w:r w:rsidR="00181C31" w:rsidRPr="005E46C7">
        <w:rPr>
          <w:lang w:val="en-GB"/>
        </w:rPr>
        <w:t>3</w:t>
      </w:r>
      <w:r w:rsidR="000A3316" w:rsidRPr="005E46C7">
        <w:rPr>
          <w:lang w:val="en-GB"/>
        </w:rPr>
        <w:t>.</w:t>
      </w:r>
      <w:r w:rsidRPr="005E46C7">
        <w:rPr>
          <w:lang w:val="en-GB"/>
        </w:rPr>
        <w:t xml:space="preserve"> </w:t>
      </w:r>
      <w:r w:rsidR="00114BBE" w:rsidRPr="005E46C7">
        <w:rPr>
          <w:lang w:val="en-GB"/>
        </w:rPr>
        <w:t xml:space="preserve">Also in this </w:t>
      </w:r>
      <w:r w:rsidR="00114BBE" w:rsidRPr="005E46C7">
        <w:rPr>
          <w:lang w:val="en-GB"/>
        </w:rPr>
        <w:lastRenderedPageBreak/>
        <w:t xml:space="preserve">case, </w:t>
      </w:r>
      <w:r w:rsidR="006B651C" w:rsidRPr="005E46C7">
        <w:rPr>
          <w:lang w:val="en-GB"/>
        </w:rPr>
        <w:t>the</w:t>
      </w:r>
      <w:r w:rsidRPr="005E46C7">
        <w:rPr>
          <w:lang w:val="en-GB"/>
        </w:rPr>
        <w:t xml:space="preserve"> estimation of the dissolution time </w:t>
      </w:r>
      <w:r w:rsidR="006B651C" w:rsidRPr="005E46C7">
        <w:rPr>
          <w:lang w:val="en-GB"/>
        </w:rPr>
        <w:t>is not accurate, but the correlations allow to obtain meaningful data for comparing different conditions and for assessing the relative importance of mixing and dissolution</w:t>
      </w:r>
      <w:r w:rsidRPr="005E46C7">
        <w:rPr>
          <w:lang w:val="en-GB"/>
        </w:rPr>
        <w:t>.</w:t>
      </w:r>
    </w:p>
    <w:p w14:paraId="0EAB4464" w14:textId="77777777" w:rsidR="005C23BE" w:rsidRPr="005E46C7" w:rsidRDefault="001701F5" w:rsidP="001701F5">
      <w:pPr>
        <w:pStyle w:val="CETBodytext"/>
        <w:jc w:val="center"/>
        <w:rPr>
          <w:lang w:val="en-GB"/>
        </w:rPr>
      </w:pPr>
      <w:r w:rsidRPr="005E46C7">
        <w:rPr>
          <w:noProof/>
          <w:lang w:val="en-GB" w:eastAsia="en-GB"/>
        </w:rPr>
        <w:drawing>
          <wp:inline distT="0" distB="0" distL="0" distR="0" wp14:anchorId="5FD581DF" wp14:editId="1CE43EC7">
            <wp:extent cx="2970000" cy="1782000"/>
            <wp:effectExtent l="0" t="0" r="1905"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0000" cy="1782000"/>
                    </a:xfrm>
                    <a:prstGeom prst="rect">
                      <a:avLst/>
                    </a:prstGeom>
                    <a:noFill/>
                  </pic:spPr>
                </pic:pic>
              </a:graphicData>
            </a:graphic>
          </wp:inline>
        </w:drawing>
      </w:r>
    </w:p>
    <w:p w14:paraId="5B6B6BAC" w14:textId="77777777" w:rsidR="000A3316" w:rsidRPr="005E46C7" w:rsidRDefault="000A3316" w:rsidP="000A3316">
      <w:pPr>
        <w:pStyle w:val="CETCaption"/>
      </w:pPr>
      <w:r w:rsidRPr="005E46C7">
        <w:t xml:space="preserve">Figure </w:t>
      </w:r>
      <w:r w:rsidR="00181C31" w:rsidRPr="005E46C7">
        <w:t>3</w:t>
      </w:r>
      <w:r w:rsidRPr="005E46C7">
        <w:t>: Comparison between the experimental data of Lin et al. (2015) and the computed values of the dissolution time.</w:t>
      </w:r>
    </w:p>
    <w:p w14:paraId="430E79EE" w14:textId="6A5223DC" w:rsidR="005C23BE" w:rsidRPr="005E46C7" w:rsidRDefault="005C23BE" w:rsidP="005C23BE">
      <w:pPr>
        <w:pStyle w:val="CETBodytext"/>
        <w:rPr>
          <w:lang w:val="en-GB"/>
        </w:rPr>
      </w:pPr>
      <w:r w:rsidRPr="005E46C7">
        <w:rPr>
          <w:lang w:val="en-GB"/>
        </w:rPr>
        <w:t xml:space="preserve">Finally, the same </w:t>
      </w:r>
      <w:r w:rsidR="000A3316" w:rsidRPr="005E46C7">
        <w:rPr>
          <w:lang w:val="en-GB"/>
        </w:rPr>
        <w:t>correlations</w:t>
      </w:r>
      <w:r w:rsidRPr="005E46C7">
        <w:rPr>
          <w:lang w:val="en-GB"/>
        </w:rPr>
        <w:t xml:space="preserve"> </w:t>
      </w:r>
      <w:r w:rsidR="000A3316" w:rsidRPr="005E46C7">
        <w:rPr>
          <w:lang w:val="en-GB"/>
        </w:rPr>
        <w:t>are</w:t>
      </w:r>
      <w:r w:rsidRPr="005E46C7">
        <w:rPr>
          <w:lang w:val="en-GB"/>
        </w:rPr>
        <w:t xml:space="preserve"> </w:t>
      </w:r>
      <w:r w:rsidR="000A3316" w:rsidRPr="005E46C7">
        <w:rPr>
          <w:lang w:val="en-GB"/>
        </w:rPr>
        <w:t>applied to</w:t>
      </w:r>
      <w:r w:rsidRPr="005E46C7">
        <w:rPr>
          <w:lang w:val="en-GB"/>
        </w:rPr>
        <w:t xml:space="preserve"> </w:t>
      </w:r>
      <w:r w:rsidR="000A3316" w:rsidRPr="005E46C7">
        <w:rPr>
          <w:lang w:val="en-GB"/>
        </w:rPr>
        <w:t>the case</w:t>
      </w:r>
      <w:r w:rsidR="000869A5" w:rsidRPr="005E46C7">
        <w:rPr>
          <w:lang w:val="en-GB"/>
        </w:rPr>
        <w:t>s</w:t>
      </w:r>
      <w:r w:rsidR="000A3316" w:rsidRPr="005E46C7">
        <w:rPr>
          <w:lang w:val="en-GB"/>
        </w:rPr>
        <w:t xml:space="preserve"> investigated</w:t>
      </w:r>
      <w:r w:rsidRPr="005E46C7">
        <w:rPr>
          <w:lang w:val="en-GB"/>
        </w:rPr>
        <w:t xml:space="preserve"> by Cao et al. (2016)</w:t>
      </w:r>
      <w:r w:rsidR="000A3316" w:rsidRPr="005E46C7">
        <w:rPr>
          <w:lang w:val="en-GB"/>
        </w:rPr>
        <w:t>, who adopted</w:t>
      </w:r>
      <w:r w:rsidRPr="005E46C7">
        <w:rPr>
          <w:lang w:val="en-GB"/>
        </w:rPr>
        <w:t xml:space="preserve"> a </w:t>
      </w:r>
      <w:r w:rsidR="00B02FF9" w:rsidRPr="005E46C7">
        <w:rPr>
          <w:lang w:val="en-GB"/>
        </w:rPr>
        <w:t>dissolution testing</w:t>
      </w:r>
      <w:r w:rsidRPr="005E46C7">
        <w:rPr>
          <w:lang w:val="en-GB"/>
        </w:rPr>
        <w:t xml:space="preserve"> apparatus </w:t>
      </w:r>
      <w:r w:rsidR="00B02FF9" w:rsidRPr="005E46C7">
        <w:rPr>
          <w:lang w:val="en-GB"/>
        </w:rPr>
        <w:t xml:space="preserve">PTWS 610 </w:t>
      </w:r>
      <w:r w:rsidRPr="005E46C7">
        <w:rPr>
          <w:lang w:val="en-GB"/>
        </w:rPr>
        <w:t>for the dissolution of Na</w:t>
      </w:r>
      <w:r w:rsidRPr="005E46C7">
        <w:rPr>
          <w:vertAlign w:val="subscript"/>
          <w:lang w:val="en-GB"/>
        </w:rPr>
        <w:t>2</w:t>
      </w:r>
      <w:r w:rsidRPr="005E46C7">
        <w:rPr>
          <w:lang w:val="en-GB"/>
        </w:rPr>
        <w:t>CO</w:t>
      </w:r>
      <w:r w:rsidRPr="005E46C7">
        <w:rPr>
          <w:vertAlign w:val="subscript"/>
          <w:lang w:val="en-GB"/>
        </w:rPr>
        <w:t>3</w:t>
      </w:r>
      <w:r w:rsidRPr="005E46C7">
        <w:rPr>
          <w:lang w:val="en-GB"/>
        </w:rPr>
        <w:t xml:space="preserve"> particles </w:t>
      </w:r>
      <w:r w:rsidR="00B02FF9" w:rsidRPr="005E46C7">
        <w:rPr>
          <w:lang w:val="en-GB"/>
        </w:rPr>
        <w:t xml:space="preserve">of a wide size range (50-1400 </w:t>
      </w:r>
      <w:r w:rsidR="00B02FF9" w:rsidRPr="005E46C7">
        <w:rPr>
          <w:rFonts w:ascii="Symbol" w:hAnsi="Symbol"/>
          <w:lang w:val="en-GB"/>
        </w:rPr>
        <w:t></w:t>
      </w:r>
      <w:r w:rsidR="00B02FF9" w:rsidRPr="005E46C7">
        <w:rPr>
          <w:lang w:val="en-GB"/>
        </w:rPr>
        <w:t xml:space="preserve">m) </w:t>
      </w:r>
      <w:r w:rsidRPr="005E46C7">
        <w:rPr>
          <w:lang w:val="en-GB"/>
        </w:rPr>
        <w:t xml:space="preserve">and </w:t>
      </w:r>
      <w:r w:rsidR="000869A5" w:rsidRPr="005E46C7">
        <w:rPr>
          <w:lang w:val="en-GB"/>
        </w:rPr>
        <w:t xml:space="preserve">two different </w:t>
      </w:r>
      <w:r w:rsidR="00B02FF9" w:rsidRPr="005E46C7">
        <w:rPr>
          <w:lang w:val="en-GB"/>
        </w:rPr>
        <w:t xml:space="preserve">narrower </w:t>
      </w:r>
      <w:r w:rsidR="000869A5" w:rsidRPr="005E46C7">
        <w:rPr>
          <w:lang w:val="en-GB"/>
        </w:rPr>
        <w:t xml:space="preserve">size ranges </w:t>
      </w:r>
      <w:r w:rsidR="00B02FF9" w:rsidRPr="005E46C7">
        <w:rPr>
          <w:lang w:val="en-GB"/>
        </w:rPr>
        <w:t xml:space="preserve">(355-425 </w:t>
      </w:r>
      <w:r w:rsidR="00B02FF9" w:rsidRPr="005E46C7">
        <w:rPr>
          <w:rFonts w:ascii="Symbol" w:hAnsi="Symbol"/>
          <w:lang w:val="en-GB"/>
        </w:rPr>
        <w:t></w:t>
      </w:r>
      <w:r w:rsidR="00B02FF9" w:rsidRPr="005E46C7">
        <w:rPr>
          <w:lang w:val="en-GB"/>
        </w:rPr>
        <w:t xml:space="preserve">m and 425-600 </w:t>
      </w:r>
      <w:r w:rsidR="00B02FF9" w:rsidRPr="005E46C7">
        <w:rPr>
          <w:rFonts w:ascii="Symbol" w:hAnsi="Symbol"/>
          <w:lang w:val="en-GB"/>
        </w:rPr>
        <w:t></w:t>
      </w:r>
      <w:r w:rsidR="00B02FF9" w:rsidRPr="005E46C7">
        <w:rPr>
          <w:lang w:val="en-GB"/>
        </w:rPr>
        <w:t xml:space="preserve">m) </w:t>
      </w:r>
      <w:r w:rsidR="000869A5" w:rsidRPr="005E46C7">
        <w:rPr>
          <w:lang w:val="en-GB"/>
        </w:rPr>
        <w:t>of a</w:t>
      </w:r>
      <w:r w:rsidRPr="005E46C7">
        <w:rPr>
          <w:lang w:val="en-GB"/>
        </w:rPr>
        <w:t xml:space="preserve"> multi-ingredients powder, named Pandora</w:t>
      </w:r>
      <w:r w:rsidR="00C271A7" w:rsidRPr="005E46C7">
        <w:rPr>
          <w:lang w:val="en-GB"/>
        </w:rPr>
        <w:t>. As a difference with the other particles considered so far</w:t>
      </w:r>
      <w:r w:rsidR="00C96C25" w:rsidRPr="005E46C7">
        <w:rPr>
          <w:lang w:val="en-GB"/>
        </w:rPr>
        <w:t>,</w:t>
      </w:r>
      <w:r w:rsidR="00C271A7" w:rsidRPr="005E46C7">
        <w:rPr>
          <w:lang w:val="en-GB"/>
        </w:rPr>
        <w:t xml:space="preserve"> that are compact,</w:t>
      </w:r>
      <w:r w:rsidR="009F1BA0" w:rsidRPr="005E46C7">
        <w:rPr>
          <w:lang w:val="en-GB"/>
        </w:rPr>
        <w:t xml:space="preserve"> </w:t>
      </w:r>
      <w:r w:rsidR="00B02FF9" w:rsidRPr="005E46C7">
        <w:rPr>
          <w:lang w:val="en-GB"/>
        </w:rPr>
        <w:t xml:space="preserve">both the size cuts of </w:t>
      </w:r>
      <w:r w:rsidR="00C271A7" w:rsidRPr="005E46C7">
        <w:rPr>
          <w:lang w:val="en-GB"/>
        </w:rPr>
        <w:t xml:space="preserve">the Pandora particles </w:t>
      </w:r>
      <w:r w:rsidR="00B02FF9" w:rsidRPr="005E46C7">
        <w:rPr>
          <w:lang w:val="en-GB"/>
        </w:rPr>
        <w:t>were</w:t>
      </w:r>
      <w:r w:rsidR="00C271A7" w:rsidRPr="005E46C7">
        <w:rPr>
          <w:lang w:val="en-GB"/>
        </w:rPr>
        <w:t xml:space="preserve"> </w:t>
      </w:r>
      <w:r w:rsidR="009F1BA0" w:rsidRPr="005E46C7">
        <w:rPr>
          <w:lang w:val="en-GB"/>
        </w:rPr>
        <w:t xml:space="preserve">characterized by </w:t>
      </w:r>
      <w:r w:rsidR="00181C31" w:rsidRPr="005E46C7">
        <w:rPr>
          <w:lang w:val="en-GB"/>
        </w:rPr>
        <w:t xml:space="preserve">a porosity </w:t>
      </w:r>
      <w:r w:rsidR="009F1BA0" w:rsidRPr="005E46C7">
        <w:rPr>
          <w:rFonts w:ascii="Symbol" w:hAnsi="Symbol"/>
          <w:lang w:val="en-GB"/>
        </w:rPr>
        <w:t></w:t>
      </w:r>
      <w:r w:rsidR="00181C31" w:rsidRPr="005E46C7">
        <w:rPr>
          <w:lang w:val="en-GB"/>
        </w:rPr>
        <w:t xml:space="preserve"> of </w:t>
      </w:r>
      <w:r w:rsidR="009F1BA0" w:rsidRPr="005E46C7">
        <w:rPr>
          <w:lang w:val="en-GB"/>
        </w:rPr>
        <w:t>0.41</w:t>
      </w:r>
      <w:r w:rsidRPr="005E46C7">
        <w:rPr>
          <w:lang w:val="en-GB"/>
        </w:rPr>
        <w:t xml:space="preserve">. </w:t>
      </w:r>
      <w:r w:rsidR="000A3316" w:rsidRPr="005E46C7">
        <w:rPr>
          <w:lang w:val="en-GB"/>
        </w:rPr>
        <w:t>T</w:t>
      </w:r>
      <w:r w:rsidRPr="005E46C7">
        <w:rPr>
          <w:lang w:val="en-GB"/>
        </w:rPr>
        <w:t xml:space="preserve">he experimental </w:t>
      </w:r>
      <w:r w:rsidR="000A3316" w:rsidRPr="005E46C7">
        <w:rPr>
          <w:lang w:val="en-GB"/>
        </w:rPr>
        <w:t>dissolution time data are</w:t>
      </w:r>
      <w:r w:rsidRPr="005E46C7">
        <w:rPr>
          <w:lang w:val="en-GB"/>
        </w:rPr>
        <w:t xml:space="preserve"> plotted against the </w:t>
      </w:r>
      <w:r w:rsidR="000A3316" w:rsidRPr="005E46C7">
        <w:rPr>
          <w:lang w:val="en-GB"/>
        </w:rPr>
        <w:t xml:space="preserve">computed values in Figure </w:t>
      </w:r>
      <w:r w:rsidR="00181C31" w:rsidRPr="005E46C7">
        <w:rPr>
          <w:lang w:val="en-GB"/>
        </w:rPr>
        <w:t>4</w:t>
      </w:r>
      <w:r w:rsidR="009F6735" w:rsidRPr="005E46C7">
        <w:rPr>
          <w:lang w:val="en-GB"/>
        </w:rPr>
        <w:t xml:space="preserve">. </w:t>
      </w:r>
      <w:r w:rsidRPr="005E46C7">
        <w:rPr>
          <w:lang w:val="en-GB"/>
        </w:rPr>
        <w:t xml:space="preserve">The comparison between the </w:t>
      </w:r>
      <w:r w:rsidR="009F6735" w:rsidRPr="005E46C7">
        <w:rPr>
          <w:lang w:val="en-GB"/>
        </w:rPr>
        <w:t xml:space="preserve">results </w:t>
      </w:r>
      <w:r w:rsidR="009F6735" w:rsidRPr="00D814A5">
        <w:rPr>
          <w:lang w:val="en-GB"/>
        </w:rPr>
        <w:t xml:space="preserve">shown </w:t>
      </w:r>
      <w:r w:rsidR="00094654" w:rsidRPr="00D814A5">
        <w:rPr>
          <w:lang w:val="en-GB"/>
        </w:rPr>
        <w:t>in</w:t>
      </w:r>
      <w:r w:rsidR="00094654">
        <w:rPr>
          <w:lang w:val="en-GB"/>
        </w:rPr>
        <w:t xml:space="preserve"> </w:t>
      </w:r>
      <w:r w:rsidR="009F6735" w:rsidRPr="005E46C7">
        <w:rPr>
          <w:lang w:val="en-GB"/>
        </w:rPr>
        <w:t xml:space="preserve">Figure </w:t>
      </w:r>
      <w:r w:rsidR="00181C31" w:rsidRPr="005E46C7">
        <w:rPr>
          <w:lang w:val="en-GB"/>
        </w:rPr>
        <w:t>4</w:t>
      </w:r>
      <w:r w:rsidR="009F6735" w:rsidRPr="005E46C7">
        <w:rPr>
          <w:lang w:val="en-GB"/>
        </w:rPr>
        <w:t xml:space="preserve"> </w:t>
      </w:r>
      <w:r w:rsidRPr="005E46C7">
        <w:rPr>
          <w:lang w:val="en-GB"/>
        </w:rPr>
        <w:t xml:space="preserve">clearly </w:t>
      </w:r>
      <w:r w:rsidR="00C271A7" w:rsidRPr="005E46C7">
        <w:rPr>
          <w:lang w:val="en-GB"/>
        </w:rPr>
        <w:t>demonstrate</w:t>
      </w:r>
      <w:r w:rsidR="000869A5" w:rsidRPr="005E46C7">
        <w:rPr>
          <w:lang w:val="en-GB"/>
        </w:rPr>
        <w:t>s</w:t>
      </w:r>
      <w:r w:rsidRPr="005E46C7">
        <w:rPr>
          <w:lang w:val="en-GB"/>
        </w:rPr>
        <w:t xml:space="preserve"> that the equation suggested by Carletti et al. (2018)</w:t>
      </w:r>
      <w:r w:rsidR="009F1BA0" w:rsidRPr="005E46C7">
        <w:rPr>
          <w:lang w:val="en-GB"/>
        </w:rPr>
        <w:t xml:space="preserve">, </w:t>
      </w:r>
      <w:r w:rsidR="00181C31" w:rsidRPr="005E46C7">
        <w:rPr>
          <w:lang w:val="en-GB"/>
        </w:rPr>
        <w:t xml:space="preserve">provides an </w:t>
      </w:r>
      <w:r w:rsidR="009F6735" w:rsidRPr="005E46C7">
        <w:rPr>
          <w:lang w:val="en-GB"/>
        </w:rPr>
        <w:t xml:space="preserve">acceptable estimation of the </w:t>
      </w:r>
      <w:r w:rsidRPr="005E46C7">
        <w:rPr>
          <w:lang w:val="en-GB"/>
        </w:rPr>
        <w:t xml:space="preserve">dissolution </w:t>
      </w:r>
      <w:r w:rsidR="009F6735" w:rsidRPr="005E46C7">
        <w:rPr>
          <w:lang w:val="en-GB"/>
        </w:rPr>
        <w:t>time</w:t>
      </w:r>
      <w:r w:rsidRPr="005E46C7">
        <w:rPr>
          <w:lang w:val="en-GB"/>
        </w:rPr>
        <w:t xml:space="preserve"> </w:t>
      </w:r>
      <w:r w:rsidR="009F6735" w:rsidRPr="005E46C7">
        <w:rPr>
          <w:lang w:val="en-GB"/>
        </w:rPr>
        <w:t xml:space="preserve">for </w:t>
      </w:r>
      <w:r w:rsidRPr="005E46C7">
        <w:rPr>
          <w:lang w:val="en-GB"/>
        </w:rPr>
        <w:t>both the Pandora and the Na</w:t>
      </w:r>
      <w:r w:rsidRPr="005E46C7">
        <w:rPr>
          <w:vertAlign w:val="subscript"/>
          <w:lang w:val="en-GB"/>
        </w:rPr>
        <w:t>2</w:t>
      </w:r>
      <w:r w:rsidRPr="005E46C7">
        <w:rPr>
          <w:lang w:val="en-GB"/>
        </w:rPr>
        <w:t>CO</w:t>
      </w:r>
      <w:r w:rsidRPr="005E46C7">
        <w:rPr>
          <w:vertAlign w:val="subscript"/>
          <w:lang w:val="en-GB"/>
        </w:rPr>
        <w:t>3</w:t>
      </w:r>
      <w:r w:rsidRPr="005E46C7">
        <w:rPr>
          <w:lang w:val="en-GB"/>
        </w:rPr>
        <w:t xml:space="preserve"> particles</w:t>
      </w:r>
      <w:r w:rsidR="00C271A7" w:rsidRPr="005E46C7">
        <w:rPr>
          <w:lang w:val="en-GB"/>
        </w:rPr>
        <w:t>, without introducing any adjustable parameters to take into account for the specific geometry</w:t>
      </w:r>
      <w:r w:rsidR="00B02FF9" w:rsidRPr="005E46C7">
        <w:rPr>
          <w:lang w:val="en-GB"/>
        </w:rPr>
        <w:t xml:space="preserve"> of the dissolution ap</w:t>
      </w:r>
      <w:r w:rsidR="00282773" w:rsidRPr="005E46C7">
        <w:rPr>
          <w:lang w:val="en-GB"/>
        </w:rPr>
        <w:t>p</w:t>
      </w:r>
      <w:r w:rsidR="00B02FF9" w:rsidRPr="005E46C7">
        <w:rPr>
          <w:lang w:val="en-GB"/>
        </w:rPr>
        <w:t>aratus</w:t>
      </w:r>
      <w:r w:rsidRPr="005E46C7">
        <w:rPr>
          <w:lang w:val="en-GB"/>
        </w:rPr>
        <w:t xml:space="preserve">. </w:t>
      </w:r>
    </w:p>
    <w:p w14:paraId="1D686E23" w14:textId="77777777" w:rsidR="005C23BE" w:rsidRPr="005E46C7" w:rsidRDefault="001C756F" w:rsidP="001701F5">
      <w:pPr>
        <w:pStyle w:val="CETBodytext"/>
        <w:jc w:val="center"/>
        <w:rPr>
          <w:lang w:val="en-GB"/>
        </w:rPr>
      </w:pPr>
      <w:r w:rsidRPr="005E46C7">
        <w:rPr>
          <w:noProof/>
          <w:lang w:val="en-GB" w:eastAsia="en-GB"/>
        </w:rPr>
        <w:drawing>
          <wp:inline distT="0" distB="0" distL="0" distR="0" wp14:anchorId="7B4907F2" wp14:editId="3BC2BCD6">
            <wp:extent cx="2977200" cy="1785600"/>
            <wp:effectExtent l="0" t="0" r="0"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7200" cy="1785600"/>
                    </a:xfrm>
                    <a:prstGeom prst="rect">
                      <a:avLst/>
                    </a:prstGeom>
                    <a:noFill/>
                  </pic:spPr>
                </pic:pic>
              </a:graphicData>
            </a:graphic>
          </wp:inline>
        </w:drawing>
      </w:r>
    </w:p>
    <w:p w14:paraId="4A5603EA" w14:textId="77777777" w:rsidR="005C23BE" w:rsidRPr="005E46C7" w:rsidRDefault="005C23BE" w:rsidP="005C23BE">
      <w:pPr>
        <w:pStyle w:val="CETCaption"/>
      </w:pPr>
      <w:r w:rsidRPr="005E46C7">
        <w:t xml:space="preserve">Figure </w:t>
      </w:r>
      <w:r w:rsidR="005946BE" w:rsidRPr="005E46C7">
        <w:t>4</w:t>
      </w:r>
      <w:r w:rsidRPr="005E46C7">
        <w:t xml:space="preserve"> Comparison between experimental data </w:t>
      </w:r>
      <w:r w:rsidR="009F6735" w:rsidRPr="005E46C7">
        <w:t>of</w:t>
      </w:r>
      <w:r w:rsidRPr="005E46C7">
        <w:t xml:space="preserve"> Cao et al. </w:t>
      </w:r>
      <w:r w:rsidR="009F6735" w:rsidRPr="005E46C7">
        <w:t>(2016)</w:t>
      </w:r>
      <w:r w:rsidRPr="005E46C7">
        <w:t xml:space="preserve"> and computed </w:t>
      </w:r>
      <w:r w:rsidR="009F6735" w:rsidRPr="005E46C7">
        <w:t xml:space="preserve">values of the </w:t>
      </w:r>
      <w:r w:rsidRPr="005E46C7">
        <w:t xml:space="preserve">dissolution time. </w:t>
      </w:r>
    </w:p>
    <w:p w14:paraId="188984B4" w14:textId="3BBF65A8" w:rsidR="00094654" w:rsidRDefault="00BB1E5E" w:rsidP="00C271A7">
      <w:pPr>
        <w:pStyle w:val="CETBodytext"/>
        <w:rPr>
          <w:lang w:val="en-GB"/>
        </w:rPr>
      </w:pPr>
      <w:r w:rsidRPr="005E46C7">
        <w:rPr>
          <w:lang w:val="en-GB"/>
        </w:rPr>
        <w:t xml:space="preserve">Being the selected correlations able to provide a reasonable estimate of the two characteristic times, </w:t>
      </w:r>
      <w:r w:rsidR="00674872" w:rsidRPr="005E46C7">
        <w:rPr>
          <w:lang w:val="en-GB"/>
        </w:rPr>
        <w:t>although to a different exten</w:t>
      </w:r>
      <w:r w:rsidR="00F473F2" w:rsidRPr="005E46C7">
        <w:rPr>
          <w:lang w:val="en-GB"/>
        </w:rPr>
        <w:t>t</w:t>
      </w:r>
      <w:r w:rsidR="00674872" w:rsidRPr="005E46C7">
        <w:rPr>
          <w:lang w:val="en-GB"/>
        </w:rPr>
        <w:t xml:space="preserve"> depending on the specific case, </w:t>
      </w:r>
      <w:r w:rsidR="005C23BE" w:rsidRPr="005E46C7">
        <w:rPr>
          <w:lang w:val="en-GB"/>
        </w:rPr>
        <w:t xml:space="preserve">some </w:t>
      </w:r>
      <w:r w:rsidRPr="005E46C7">
        <w:rPr>
          <w:lang w:val="en-GB"/>
        </w:rPr>
        <w:t>considerations</w:t>
      </w:r>
      <w:r w:rsidR="005C23BE" w:rsidRPr="005E46C7">
        <w:rPr>
          <w:lang w:val="en-GB"/>
        </w:rPr>
        <w:t xml:space="preserve"> can be </w:t>
      </w:r>
      <w:r w:rsidR="001D71C1" w:rsidRPr="005E46C7">
        <w:rPr>
          <w:lang w:val="en-GB"/>
        </w:rPr>
        <w:t>made</w:t>
      </w:r>
      <w:r w:rsidR="005C23BE" w:rsidRPr="005E46C7">
        <w:rPr>
          <w:lang w:val="en-GB"/>
        </w:rPr>
        <w:t xml:space="preserve"> on the effect of tank and particle sizes on the dissolution process</w:t>
      </w:r>
      <w:r w:rsidR="00094654" w:rsidRPr="005C23BE">
        <w:rPr>
          <w:lang w:val="en-GB"/>
        </w:rPr>
        <w:t xml:space="preserve">. </w:t>
      </w:r>
    </w:p>
    <w:p w14:paraId="330813E5" w14:textId="2865C1B4" w:rsidR="001D71C1" w:rsidRPr="005E46C7" w:rsidRDefault="00C96C25" w:rsidP="00C271A7">
      <w:pPr>
        <w:pStyle w:val="CETBodytext"/>
        <w:rPr>
          <w:lang w:val="en-GB"/>
        </w:rPr>
      </w:pPr>
      <w:r w:rsidRPr="005E46C7">
        <w:rPr>
          <w:lang w:val="en-GB"/>
        </w:rPr>
        <w:t>In order to show the usefulness of the a-priori adoption of the correlations considered above, the example of standard geometry tanks stirred by a single Rushton turbine providing equal power</w:t>
      </w:r>
      <w:r w:rsidR="007C1FD9" w:rsidRPr="005E46C7">
        <w:rPr>
          <w:lang w:val="en-GB"/>
        </w:rPr>
        <w:t>, P,</w:t>
      </w:r>
      <w:r w:rsidRPr="005E46C7">
        <w:rPr>
          <w:lang w:val="en-GB"/>
        </w:rPr>
        <w:t xml:space="preserve"> per unit mass</w:t>
      </w:r>
      <w:r w:rsidR="007C1FD9" w:rsidRPr="005E46C7">
        <w:rPr>
          <w:lang w:val="en-GB"/>
        </w:rPr>
        <w:t xml:space="preserve"> of the stirred </w:t>
      </w:r>
      <w:r w:rsidR="007C1FD9" w:rsidRPr="00D814A5">
        <w:rPr>
          <w:lang w:val="en-GB"/>
        </w:rPr>
        <w:t>liquid</w:t>
      </w:r>
      <w:r w:rsidRPr="00D814A5">
        <w:rPr>
          <w:lang w:val="en-GB"/>
        </w:rPr>
        <w:t>, P/</w:t>
      </w:r>
      <m:oMath>
        <m:sSub>
          <m:sSubPr>
            <m:ctrlPr>
              <w:rPr>
                <w:rFonts w:ascii="Cambria Math" w:eastAsia="Calibri" w:hAnsi="Cambria Math"/>
                <w:i/>
                <w:szCs w:val="18"/>
              </w:rPr>
            </m:ctrlPr>
          </m:sSubPr>
          <m:e>
            <m:r>
              <w:rPr>
                <w:rFonts w:ascii="Cambria Math" w:eastAsia="Calibri" w:hAnsi="Cambria Math"/>
                <w:szCs w:val="18"/>
              </w:rPr>
              <m:t>ρ</m:t>
            </m:r>
          </m:e>
          <m:sub>
            <m:r>
              <w:rPr>
                <w:rFonts w:ascii="Cambria Math" w:eastAsia="Calibri" w:hAnsi="Cambria Math"/>
                <w:szCs w:val="18"/>
              </w:rPr>
              <m:t>L</m:t>
            </m:r>
          </m:sub>
        </m:sSub>
      </m:oMath>
      <w:r w:rsidRPr="00D814A5">
        <w:rPr>
          <w:lang w:val="en-GB"/>
        </w:rPr>
        <w:t>V is considered</w:t>
      </w:r>
      <w:r w:rsidRPr="005E46C7">
        <w:rPr>
          <w:lang w:val="en-GB"/>
        </w:rPr>
        <w:t xml:space="preserve">. </w:t>
      </w:r>
    </w:p>
    <w:p w14:paraId="57EFF794" w14:textId="3A17E290" w:rsidR="00C271A7" w:rsidRPr="005E46C7" w:rsidRDefault="00C96C25" w:rsidP="00C271A7">
      <w:pPr>
        <w:pStyle w:val="CETBodytext"/>
        <w:rPr>
          <w:lang w:val="en-GB"/>
        </w:rPr>
      </w:pPr>
      <w:r w:rsidRPr="005E46C7">
        <w:rPr>
          <w:lang w:val="en-GB"/>
        </w:rPr>
        <w:t>I</w:t>
      </w:r>
      <w:r w:rsidR="003F38AC" w:rsidRPr="005E46C7">
        <w:rPr>
          <w:lang w:val="en-GB"/>
        </w:rPr>
        <w:t xml:space="preserve">n Figure </w:t>
      </w:r>
      <w:r w:rsidR="00674872" w:rsidRPr="005E46C7">
        <w:rPr>
          <w:lang w:val="en-GB"/>
        </w:rPr>
        <w:t>5</w:t>
      </w:r>
      <w:r w:rsidR="003F38AC" w:rsidRPr="005E46C7">
        <w:rPr>
          <w:lang w:val="en-GB"/>
        </w:rPr>
        <w:t xml:space="preserve">, </w:t>
      </w:r>
      <w:r w:rsidR="005C23BE" w:rsidRPr="005E46C7">
        <w:rPr>
          <w:lang w:val="en-GB"/>
        </w:rPr>
        <w:t xml:space="preserve">the effect of the particle and tank sizes on the </w:t>
      </w:r>
      <w:r w:rsidR="003F38AC" w:rsidRPr="005E46C7">
        <w:rPr>
          <w:lang w:val="en-GB"/>
        </w:rPr>
        <w:t xml:space="preserve">dissolution </w:t>
      </w:r>
      <w:r w:rsidR="00D1146D">
        <w:rPr>
          <w:lang w:val="en-GB"/>
        </w:rPr>
        <w:t>of NaCl in water</w:t>
      </w:r>
      <w:bookmarkStart w:id="1" w:name="_GoBack"/>
      <w:bookmarkEnd w:id="1"/>
      <w:r w:rsidR="003F38AC" w:rsidRPr="005E46C7">
        <w:rPr>
          <w:lang w:val="en-GB"/>
        </w:rPr>
        <w:t xml:space="preserve"> </w:t>
      </w:r>
      <w:r w:rsidRPr="005E46C7">
        <w:rPr>
          <w:lang w:val="en-GB"/>
        </w:rPr>
        <w:t xml:space="preserve">is shown and the significant variation </w:t>
      </w:r>
      <w:r w:rsidR="0071673A" w:rsidRPr="005E46C7">
        <w:rPr>
          <w:lang w:val="en-GB"/>
        </w:rPr>
        <w:t>with the vessel size</w:t>
      </w:r>
      <w:r w:rsidRPr="005E46C7">
        <w:rPr>
          <w:lang w:val="en-GB"/>
        </w:rPr>
        <w:t xml:space="preserve"> is apparent</w:t>
      </w:r>
      <w:r w:rsidR="005F5147" w:rsidRPr="005E46C7">
        <w:rPr>
          <w:lang w:val="en-GB"/>
        </w:rPr>
        <w:t>.</w:t>
      </w:r>
      <w:r w:rsidRPr="005E46C7">
        <w:rPr>
          <w:lang w:val="en-GB"/>
        </w:rPr>
        <w:t xml:space="preserve"> </w:t>
      </w:r>
      <w:r w:rsidR="00C271A7" w:rsidRPr="005E46C7">
        <w:rPr>
          <w:lang w:val="en-GB"/>
        </w:rPr>
        <w:t xml:space="preserve">Indeed, the ratio between </w:t>
      </w:r>
      <w:r w:rsidR="00C271A7" w:rsidRPr="00D814A5">
        <w:rPr>
          <w:lang w:val="en-GB"/>
        </w:rPr>
        <w:t xml:space="preserve">the two </w:t>
      </w:r>
      <w:r w:rsidR="00094654" w:rsidRPr="00D814A5">
        <w:rPr>
          <w:lang w:val="en-GB"/>
        </w:rPr>
        <w:t xml:space="preserve">characteristic </w:t>
      </w:r>
      <w:r w:rsidR="00C271A7" w:rsidRPr="00D814A5">
        <w:rPr>
          <w:lang w:val="en-GB"/>
        </w:rPr>
        <w:t>times</w:t>
      </w:r>
      <w:r w:rsidR="00C271A7" w:rsidRPr="005E46C7">
        <w:rPr>
          <w:lang w:val="en-GB"/>
        </w:rPr>
        <w:t xml:space="preserve"> suggests that the boundary between the </w:t>
      </w:r>
      <w:r w:rsidRPr="005E46C7">
        <w:rPr>
          <w:lang w:val="en-GB"/>
        </w:rPr>
        <w:t>conditions</w:t>
      </w:r>
      <w:r w:rsidR="00C271A7" w:rsidRPr="005E46C7">
        <w:rPr>
          <w:lang w:val="en-GB"/>
        </w:rPr>
        <w:t xml:space="preserve"> </w:t>
      </w:r>
      <w:r w:rsidRPr="005E46C7">
        <w:rPr>
          <w:lang w:val="en-GB"/>
        </w:rPr>
        <w:t>for which the dissolution is unaffected or influenced by</w:t>
      </w:r>
      <w:r w:rsidR="00C271A7" w:rsidRPr="005E46C7">
        <w:rPr>
          <w:lang w:val="en-GB"/>
        </w:rPr>
        <w:t xml:space="preserve"> the liquid mixing depends on a combination of the two parameters. </w:t>
      </w:r>
      <w:r w:rsidR="001C756F" w:rsidRPr="005E46C7">
        <w:rPr>
          <w:lang w:val="en-GB"/>
        </w:rPr>
        <w:t xml:space="preserve">It is worth noticing that increasing </w:t>
      </w:r>
      <w:r w:rsidR="001C756F" w:rsidRPr="00D814A5">
        <w:rPr>
          <w:lang w:val="en-GB"/>
        </w:rPr>
        <w:t>the tank size</w:t>
      </w:r>
      <w:r w:rsidR="00F703AB" w:rsidRPr="00D814A5">
        <w:rPr>
          <w:lang w:val="en-GB"/>
        </w:rPr>
        <w:t xml:space="preserve">, in a dissolution process working with a constant specific power input, </w:t>
      </w:r>
      <w:r w:rsidR="00094654" w:rsidRPr="00D814A5">
        <w:rPr>
          <w:lang w:val="en-GB"/>
        </w:rPr>
        <w:t>the mixing time could be longer with respect to the time required for the solid dissolution</w:t>
      </w:r>
      <w:r w:rsidR="00F703AB" w:rsidRPr="00D814A5">
        <w:rPr>
          <w:lang w:val="en-GB"/>
        </w:rPr>
        <w:t>. In Figure 6 the effect of the impeller speed and</w:t>
      </w:r>
      <w:r w:rsidR="00F703AB" w:rsidRPr="005E46C7">
        <w:rPr>
          <w:lang w:val="en-GB"/>
        </w:rPr>
        <w:t xml:space="preserve"> particle size in a vessel of constant size</w:t>
      </w:r>
      <w:r w:rsidRPr="005E46C7">
        <w:rPr>
          <w:lang w:val="en-GB"/>
        </w:rPr>
        <w:t xml:space="preserve"> is reported</w:t>
      </w:r>
      <w:r w:rsidR="00F703AB" w:rsidRPr="005E46C7">
        <w:rPr>
          <w:lang w:val="en-GB"/>
        </w:rPr>
        <w:t xml:space="preserve">. It is interesting to notice that </w:t>
      </w:r>
      <w:r w:rsidR="007C1FD9" w:rsidRPr="005E46C7">
        <w:rPr>
          <w:lang w:val="en-GB"/>
        </w:rPr>
        <w:t xml:space="preserve">below a critical value, </w:t>
      </w:r>
      <w:r w:rsidR="00F703AB" w:rsidRPr="005E46C7">
        <w:rPr>
          <w:lang w:val="en-GB"/>
        </w:rPr>
        <w:t xml:space="preserve">the </w:t>
      </w:r>
      <w:r w:rsidR="00F703AB" w:rsidRPr="005E46C7">
        <w:rPr>
          <w:lang w:val="en-GB"/>
        </w:rPr>
        <w:lastRenderedPageBreak/>
        <w:t xml:space="preserve">particle size </w:t>
      </w:r>
      <w:r w:rsidR="007C1FD9" w:rsidRPr="005E46C7">
        <w:rPr>
          <w:lang w:val="en-GB"/>
        </w:rPr>
        <w:t>does not</w:t>
      </w:r>
      <w:r w:rsidR="00F703AB" w:rsidRPr="005E46C7">
        <w:rPr>
          <w:lang w:val="en-GB"/>
        </w:rPr>
        <w:t xml:space="preserve"> </w:t>
      </w:r>
      <w:r w:rsidR="007C1FD9" w:rsidRPr="005E46C7">
        <w:rPr>
          <w:lang w:val="en-GB"/>
        </w:rPr>
        <w:t>a</w:t>
      </w:r>
      <w:r w:rsidR="00F703AB" w:rsidRPr="005E46C7">
        <w:rPr>
          <w:lang w:val="en-GB"/>
        </w:rPr>
        <w:t>ffect the characteristic time of the process</w:t>
      </w:r>
      <w:r w:rsidR="007C1FD9" w:rsidRPr="005E46C7">
        <w:rPr>
          <w:lang w:val="en-GB"/>
        </w:rPr>
        <w:t>,</w:t>
      </w:r>
      <w:r w:rsidR="00F703AB" w:rsidRPr="005E46C7">
        <w:rPr>
          <w:lang w:val="en-GB"/>
        </w:rPr>
        <w:t xml:space="preserve"> because the </w:t>
      </w:r>
      <w:r w:rsidR="007C1FD9" w:rsidRPr="005E46C7">
        <w:rPr>
          <w:lang w:val="en-GB"/>
        </w:rPr>
        <w:t xml:space="preserve">liquid </w:t>
      </w:r>
      <w:r w:rsidR="00F703AB" w:rsidRPr="005E46C7">
        <w:rPr>
          <w:lang w:val="en-GB"/>
        </w:rPr>
        <w:t xml:space="preserve">mixing time </w:t>
      </w:r>
      <w:r w:rsidR="007C1FD9" w:rsidRPr="005E46C7">
        <w:rPr>
          <w:lang w:val="en-GB"/>
        </w:rPr>
        <w:t xml:space="preserve">is longer than </w:t>
      </w:r>
      <w:r w:rsidR="00F703AB" w:rsidRPr="005E46C7">
        <w:rPr>
          <w:lang w:val="en-GB"/>
        </w:rPr>
        <w:t>the time necessary for dissolving the particles.</w:t>
      </w:r>
    </w:p>
    <w:p w14:paraId="2BF9DC3B" w14:textId="77777777" w:rsidR="003F38AC" w:rsidRPr="005E46C7" w:rsidRDefault="00F703AB" w:rsidP="00F703AB">
      <w:pPr>
        <w:pStyle w:val="CETBodytext"/>
        <w:jc w:val="center"/>
        <w:rPr>
          <w:lang w:val="en-GB"/>
        </w:rPr>
      </w:pPr>
      <w:r w:rsidRPr="005E46C7">
        <w:rPr>
          <w:noProof/>
          <w:lang w:val="en-GB" w:eastAsia="en-GB"/>
        </w:rPr>
        <w:drawing>
          <wp:inline distT="0" distB="0" distL="0" distR="0" wp14:anchorId="38D32334" wp14:editId="16FA43FB">
            <wp:extent cx="3211200" cy="2242800"/>
            <wp:effectExtent l="0" t="0" r="8255" b="571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1200" cy="2242800"/>
                    </a:xfrm>
                    <a:prstGeom prst="rect">
                      <a:avLst/>
                    </a:prstGeom>
                    <a:noFill/>
                  </pic:spPr>
                </pic:pic>
              </a:graphicData>
            </a:graphic>
          </wp:inline>
        </w:drawing>
      </w:r>
    </w:p>
    <w:p w14:paraId="2B8299C1" w14:textId="77777777" w:rsidR="005C23BE" w:rsidRPr="005E46C7" w:rsidRDefault="003F38AC" w:rsidP="003F38AC">
      <w:pPr>
        <w:pStyle w:val="CETCaption"/>
      </w:pPr>
      <w:r w:rsidRPr="005E46C7">
        <w:t xml:space="preserve">Figure </w:t>
      </w:r>
      <w:r w:rsidR="0080288C" w:rsidRPr="005E46C7">
        <w:t>5</w:t>
      </w:r>
      <w:r w:rsidRPr="005E46C7">
        <w:t xml:space="preserve">. Ratio between the solid dissolution time and </w:t>
      </w:r>
      <w:r w:rsidR="00E5612D" w:rsidRPr="005E46C7">
        <w:t xml:space="preserve">the </w:t>
      </w:r>
      <w:r w:rsidRPr="005E46C7">
        <w:t>liquid mixing time as a function the particle size and the tank size. P/</w:t>
      </w:r>
      <w:r w:rsidRPr="005E46C7">
        <w:rPr>
          <w:rFonts w:ascii="Symbol" w:hAnsi="Symbol"/>
        </w:rPr>
        <w:t></w:t>
      </w:r>
      <w:r w:rsidRPr="005E46C7">
        <w:rPr>
          <w:vertAlign w:val="subscript"/>
        </w:rPr>
        <w:t>L</w:t>
      </w:r>
      <w:r w:rsidRPr="005E46C7">
        <w:t xml:space="preserve">V=0.16W/kg. </w:t>
      </w:r>
    </w:p>
    <w:p w14:paraId="4C513E2E" w14:textId="77777777" w:rsidR="00917CC5" w:rsidRPr="005E46C7" w:rsidRDefault="00F703AB" w:rsidP="00917CC5">
      <w:pPr>
        <w:pStyle w:val="CETCaption"/>
        <w:jc w:val="center"/>
      </w:pPr>
      <w:r w:rsidRPr="005E46C7">
        <w:rPr>
          <w:noProof/>
          <w:lang w:eastAsia="en-GB"/>
        </w:rPr>
        <w:drawing>
          <wp:inline distT="0" distB="0" distL="0" distR="0" wp14:anchorId="1A0EAF9B" wp14:editId="4073825C">
            <wp:extent cx="3211200" cy="2242800"/>
            <wp:effectExtent l="0" t="0" r="8255" b="571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11200" cy="2242800"/>
                    </a:xfrm>
                    <a:prstGeom prst="rect">
                      <a:avLst/>
                    </a:prstGeom>
                    <a:noFill/>
                  </pic:spPr>
                </pic:pic>
              </a:graphicData>
            </a:graphic>
          </wp:inline>
        </w:drawing>
      </w:r>
    </w:p>
    <w:p w14:paraId="63CB45F9" w14:textId="77777777" w:rsidR="00917CC5" w:rsidRPr="005E46C7" w:rsidRDefault="00917CC5" w:rsidP="00917CC5">
      <w:pPr>
        <w:pStyle w:val="CETCaption"/>
      </w:pPr>
      <w:r w:rsidRPr="005E46C7">
        <w:t xml:space="preserve">Figure </w:t>
      </w:r>
      <w:r w:rsidR="00F703AB" w:rsidRPr="005E46C7">
        <w:t>6</w:t>
      </w:r>
      <w:r w:rsidRPr="005E46C7">
        <w:t>. Ratio between the solid dissolution time and the liquid mixing time as a function the particle size and the impeller speed. T=0.48 m.</w:t>
      </w:r>
    </w:p>
    <w:p w14:paraId="08484471" w14:textId="77777777" w:rsidR="0071673A" w:rsidRPr="005E46C7" w:rsidRDefault="0071673A" w:rsidP="0071673A">
      <w:pPr>
        <w:pStyle w:val="CETHeading1"/>
      </w:pPr>
      <w:r w:rsidRPr="005E46C7">
        <w:t>Conclusions</w:t>
      </w:r>
    </w:p>
    <w:p w14:paraId="57765481" w14:textId="0C293EF7" w:rsidR="008B5E71" w:rsidRPr="005E46C7" w:rsidRDefault="005C23BE" w:rsidP="0071673A">
      <w:pPr>
        <w:pStyle w:val="CETBodytext"/>
        <w:rPr>
          <w:lang w:val="en-GB"/>
        </w:rPr>
      </w:pPr>
      <w:r w:rsidRPr="005E46C7">
        <w:rPr>
          <w:lang w:val="en-GB"/>
        </w:rPr>
        <w:t>In this work</w:t>
      </w:r>
      <w:r w:rsidR="0071673A" w:rsidRPr="005E46C7">
        <w:rPr>
          <w:lang w:val="en-GB"/>
        </w:rPr>
        <w:t>,</w:t>
      </w:r>
      <w:r w:rsidRPr="005E46C7">
        <w:rPr>
          <w:lang w:val="en-GB"/>
        </w:rPr>
        <w:t xml:space="preserve"> an analysis on the dissolution process for pharmaceutical manufacturing has been carried out</w:t>
      </w:r>
      <w:r w:rsidR="0071673A" w:rsidRPr="005E46C7">
        <w:rPr>
          <w:lang w:val="en-GB"/>
        </w:rPr>
        <w:t xml:space="preserve"> based on two</w:t>
      </w:r>
      <w:r w:rsidRPr="005E46C7">
        <w:rPr>
          <w:lang w:val="en-GB"/>
        </w:rPr>
        <w:t xml:space="preserve"> different characteristic times, the </w:t>
      </w:r>
      <w:r w:rsidR="0071673A" w:rsidRPr="005E46C7">
        <w:rPr>
          <w:lang w:val="en-GB"/>
        </w:rPr>
        <w:t>liquid mixing</w:t>
      </w:r>
      <w:r w:rsidRPr="005E46C7">
        <w:rPr>
          <w:lang w:val="en-GB"/>
        </w:rPr>
        <w:t xml:space="preserve"> time, </w:t>
      </w:r>
      <w:r w:rsidR="0071673A" w:rsidRPr="005E46C7">
        <w:rPr>
          <w:lang w:val="en-GB"/>
        </w:rPr>
        <w:t>that</w:t>
      </w:r>
      <w:r w:rsidRPr="005E46C7">
        <w:rPr>
          <w:lang w:val="en-GB"/>
        </w:rPr>
        <w:t xml:space="preserve"> is the time necessary for reducing </w:t>
      </w:r>
      <w:r w:rsidR="0071673A" w:rsidRPr="005E46C7">
        <w:rPr>
          <w:lang w:val="en-GB"/>
        </w:rPr>
        <w:t>the</w:t>
      </w:r>
      <w:r w:rsidRPr="005E46C7">
        <w:rPr>
          <w:lang w:val="en-GB"/>
        </w:rPr>
        <w:t xml:space="preserve"> </w:t>
      </w:r>
      <w:r w:rsidR="0071673A" w:rsidRPr="005E46C7">
        <w:rPr>
          <w:lang w:val="en-GB"/>
        </w:rPr>
        <w:t xml:space="preserve">dissolved material </w:t>
      </w:r>
      <w:r w:rsidRPr="005E46C7">
        <w:rPr>
          <w:lang w:val="en-GB"/>
        </w:rPr>
        <w:t xml:space="preserve">inhomogeneity below a critical value, and </w:t>
      </w:r>
      <w:r w:rsidR="0071673A" w:rsidRPr="005E46C7">
        <w:rPr>
          <w:lang w:val="en-GB"/>
        </w:rPr>
        <w:t xml:space="preserve">the </w:t>
      </w:r>
      <w:r w:rsidRPr="005E46C7">
        <w:rPr>
          <w:lang w:val="en-GB"/>
        </w:rPr>
        <w:t xml:space="preserve">dissolution time, </w:t>
      </w:r>
      <w:r w:rsidR="0071673A" w:rsidRPr="005E46C7">
        <w:rPr>
          <w:lang w:val="en-GB"/>
        </w:rPr>
        <w:t>that</w:t>
      </w:r>
      <w:r w:rsidRPr="005E46C7">
        <w:rPr>
          <w:lang w:val="en-GB"/>
        </w:rPr>
        <w:t xml:space="preserve"> is the time necessary for dissolving the solid particles. The analysis </w:t>
      </w:r>
      <w:r w:rsidR="007C1FD9" w:rsidRPr="005E46C7">
        <w:rPr>
          <w:lang w:val="en-GB"/>
        </w:rPr>
        <w:t>highlights</w:t>
      </w:r>
      <w:r w:rsidRPr="005E46C7">
        <w:rPr>
          <w:lang w:val="en-GB"/>
        </w:rPr>
        <w:t xml:space="preserve"> that</w:t>
      </w:r>
      <w:r w:rsidR="007C1FD9" w:rsidRPr="005E46C7">
        <w:rPr>
          <w:lang w:val="en-GB"/>
        </w:rPr>
        <w:t xml:space="preserve"> by available literature correlations the two characteristic times can be estimated with a different level of accuracy, depending on the availability of reliable values of the correlation parameters, which are often not </w:t>
      </w:r>
      <w:r w:rsidR="00303A6A" w:rsidRPr="005E46C7">
        <w:rPr>
          <w:lang w:val="en-GB"/>
        </w:rPr>
        <w:t>collected</w:t>
      </w:r>
      <w:r w:rsidR="007C1FD9" w:rsidRPr="005E46C7">
        <w:rPr>
          <w:lang w:val="en-GB"/>
        </w:rPr>
        <w:t xml:space="preserve"> </w:t>
      </w:r>
      <w:r w:rsidR="00303A6A" w:rsidRPr="005E46C7">
        <w:rPr>
          <w:lang w:val="en-GB"/>
        </w:rPr>
        <w:t>for</w:t>
      </w:r>
      <w:r w:rsidR="007C1FD9" w:rsidRPr="005E46C7">
        <w:rPr>
          <w:lang w:val="en-GB"/>
        </w:rPr>
        <w:t xml:space="preserve"> industrial geometry stirred tanks. Based on the available literature data, at least a rough estimation of</w:t>
      </w:r>
      <w:r w:rsidRPr="005E46C7">
        <w:rPr>
          <w:lang w:val="en-GB"/>
        </w:rPr>
        <w:t xml:space="preserve"> </w:t>
      </w:r>
      <w:r w:rsidR="0071673A" w:rsidRPr="005E46C7">
        <w:rPr>
          <w:lang w:val="en-GB"/>
        </w:rPr>
        <w:t>the liquid</w:t>
      </w:r>
      <w:r w:rsidRPr="005E46C7">
        <w:rPr>
          <w:lang w:val="en-GB"/>
        </w:rPr>
        <w:t xml:space="preserve"> </w:t>
      </w:r>
      <w:r w:rsidR="00FD5873" w:rsidRPr="005E46C7">
        <w:rPr>
          <w:lang w:val="en-GB"/>
        </w:rPr>
        <w:t xml:space="preserve">mixing </w:t>
      </w:r>
      <w:r w:rsidRPr="005E46C7">
        <w:rPr>
          <w:lang w:val="en-GB"/>
        </w:rPr>
        <w:t xml:space="preserve">time can be </w:t>
      </w:r>
      <w:r w:rsidR="00D5356F" w:rsidRPr="005E46C7">
        <w:rPr>
          <w:lang w:val="en-GB"/>
        </w:rPr>
        <w:t>obtained</w:t>
      </w:r>
      <w:r w:rsidRPr="005E46C7">
        <w:rPr>
          <w:lang w:val="en-GB"/>
        </w:rPr>
        <w:t xml:space="preserve"> </w:t>
      </w:r>
      <w:r w:rsidR="007C1FD9" w:rsidRPr="005E46C7">
        <w:rPr>
          <w:lang w:val="en-GB"/>
        </w:rPr>
        <w:t>by</w:t>
      </w:r>
      <w:r w:rsidRPr="005E46C7">
        <w:rPr>
          <w:lang w:val="en-GB"/>
        </w:rPr>
        <w:t xml:space="preserve"> the Grenville </w:t>
      </w:r>
      <w:r w:rsidR="0071673A" w:rsidRPr="005E46C7">
        <w:rPr>
          <w:lang w:val="en-GB"/>
        </w:rPr>
        <w:t xml:space="preserve">and Nienow </w:t>
      </w:r>
      <w:r w:rsidR="007C1FD9" w:rsidRPr="005E46C7">
        <w:rPr>
          <w:lang w:val="en-GB"/>
        </w:rPr>
        <w:t xml:space="preserve">(2004) </w:t>
      </w:r>
      <w:r w:rsidR="0071673A" w:rsidRPr="005E46C7">
        <w:rPr>
          <w:lang w:val="en-GB"/>
        </w:rPr>
        <w:t xml:space="preserve">correlation, </w:t>
      </w:r>
      <w:r w:rsidRPr="005E46C7">
        <w:rPr>
          <w:lang w:val="en-GB"/>
        </w:rPr>
        <w:t xml:space="preserve">while the dissolution time can be computed </w:t>
      </w:r>
      <w:r w:rsidR="0071673A" w:rsidRPr="005E46C7">
        <w:rPr>
          <w:lang w:val="en-GB"/>
        </w:rPr>
        <w:t>followin</w:t>
      </w:r>
      <w:r w:rsidR="00FD5873" w:rsidRPr="005E46C7">
        <w:rPr>
          <w:lang w:val="en-GB"/>
        </w:rPr>
        <w:t>g</w:t>
      </w:r>
      <w:r w:rsidR="0071673A" w:rsidRPr="005E46C7">
        <w:rPr>
          <w:lang w:val="en-GB"/>
        </w:rPr>
        <w:t xml:space="preserve"> Nienow and Miles </w:t>
      </w:r>
      <w:r w:rsidR="007C1FD9" w:rsidRPr="005E46C7">
        <w:rPr>
          <w:lang w:val="en-GB"/>
        </w:rPr>
        <w:t xml:space="preserve">(1978) </w:t>
      </w:r>
      <w:r w:rsidR="0071673A" w:rsidRPr="005E46C7">
        <w:rPr>
          <w:lang w:val="en-GB"/>
        </w:rPr>
        <w:t xml:space="preserve">and </w:t>
      </w:r>
      <w:r w:rsidRPr="005E46C7">
        <w:rPr>
          <w:lang w:val="en-GB"/>
        </w:rPr>
        <w:t>using the equation suggested by Carletti et al.</w:t>
      </w:r>
      <w:r w:rsidR="0071673A" w:rsidRPr="005E46C7">
        <w:rPr>
          <w:lang w:val="en-GB"/>
        </w:rPr>
        <w:t xml:space="preserve"> </w:t>
      </w:r>
      <w:r w:rsidR="007C1FD9" w:rsidRPr="005E46C7">
        <w:rPr>
          <w:lang w:val="en-GB"/>
        </w:rPr>
        <w:t xml:space="preserve">(2018) </w:t>
      </w:r>
      <w:r w:rsidR="0071673A" w:rsidRPr="005E46C7">
        <w:rPr>
          <w:lang w:val="en-GB"/>
        </w:rPr>
        <w:t>for the mass transfer coefficient estimation</w:t>
      </w:r>
      <w:r w:rsidRPr="005E46C7">
        <w:rPr>
          <w:lang w:val="en-GB"/>
        </w:rPr>
        <w:t xml:space="preserve">. </w:t>
      </w:r>
      <w:r w:rsidR="0071673A" w:rsidRPr="005E46C7">
        <w:rPr>
          <w:lang w:val="en-GB"/>
        </w:rPr>
        <w:t>T</w:t>
      </w:r>
      <w:r w:rsidRPr="005E46C7">
        <w:rPr>
          <w:lang w:val="en-GB"/>
        </w:rPr>
        <w:t xml:space="preserve">he ratio between the </w:t>
      </w:r>
      <w:r w:rsidR="00094654" w:rsidRPr="00D814A5">
        <w:rPr>
          <w:lang w:val="en-GB"/>
        </w:rPr>
        <w:t>above-mentioned</w:t>
      </w:r>
      <w:r w:rsidRPr="005E46C7">
        <w:rPr>
          <w:lang w:val="en-GB"/>
        </w:rPr>
        <w:t xml:space="preserve"> characteristic times is not constant, but depends </w:t>
      </w:r>
      <w:r w:rsidR="0071673A" w:rsidRPr="005E46C7">
        <w:rPr>
          <w:lang w:val="en-GB"/>
        </w:rPr>
        <w:t>on</w:t>
      </w:r>
      <w:r w:rsidRPr="005E46C7">
        <w:rPr>
          <w:lang w:val="en-GB"/>
        </w:rPr>
        <w:t xml:space="preserve"> the particle </w:t>
      </w:r>
      <w:r w:rsidR="0071673A" w:rsidRPr="005E46C7">
        <w:rPr>
          <w:lang w:val="en-GB"/>
        </w:rPr>
        <w:t xml:space="preserve">size </w:t>
      </w:r>
      <w:r w:rsidRPr="005E46C7">
        <w:rPr>
          <w:lang w:val="en-GB"/>
        </w:rPr>
        <w:t xml:space="preserve">and the tank </w:t>
      </w:r>
      <w:r w:rsidR="0071673A" w:rsidRPr="005E46C7">
        <w:rPr>
          <w:lang w:val="en-GB"/>
        </w:rPr>
        <w:t>scale</w:t>
      </w:r>
      <w:r w:rsidRPr="005E46C7">
        <w:rPr>
          <w:lang w:val="en-GB"/>
        </w:rPr>
        <w:t xml:space="preserve">. In particular reducing the particle size, at the same </w:t>
      </w:r>
      <w:r w:rsidR="00917CC5" w:rsidRPr="005E46C7">
        <w:rPr>
          <w:lang w:val="en-GB"/>
        </w:rPr>
        <w:t>power input</w:t>
      </w:r>
      <w:r w:rsidRPr="005E46C7">
        <w:rPr>
          <w:lang w:val="en-GB"/>
        </w:rPr>
        <w:t>, the dissolution time is reduced</w:t>
      </w:r>
      <w:r w:rsidR="00AD3387" w:rsidRPr="005E46C7">
        <w:rPr>
          <w:lang w:val="en-GB"/>
        </w:rPr>
        <w:t>,</w:t>
      </w:r>
      <w:r w:rsidRPr="005E46C7">
        <w:rPr>
          <w:lang w:val="en-GB"/>
        </w:rPr>
        <w:t xml:space="preserve"> </w:t>
      </w:r>
      <w:r w:rsidR="00FD5873" w:rsidRPr="005E46C7">
        <w:rPr>
          <w:lang w:val="en-GB"/>
        </w:rPr>
        <w:t>while</w:t>
      </w:r>
      <w:r w:rsidRPr="005E46C7">
        <w:rPr>
          <w:lang w:val="en-GB"/>
        </w:rPr>
        <w:t xml:space="preserve"> the </w:t>
      </w:r>
      <w:r w:rsidR="0071673A" w:rsidRPr="005E46C7">
        <w:rPr>
          <w:lang w:val="en-GB"/>
        </w:rPr>
        <w:t>mixing</w:t>
      </w:r>
      <w:r w:rsidRPr="005E46C7">
        <w:rPr>
          <w:lang w:val="en-GB"/>
        </w:rPr>
        <w:t xml:space="preserve"> time does not change. This observation has important effects on the industrial processes, because reducing the particle size below a critical value </w:t>
      </w:r>
      <w:r w:rsidR="0071673A" w:rsidRPr="005E46C7">
        <w:rPr>
          <w:lang w:val="en-GB"/>
        </w:rPr>
        <w:t>does</w:t>
      </w:r>
      <w:r w:rsidRPr="005E46C7">
        <w:rPr>
          <w:lang w:val="en-GB"/>
        </w:rPr>
        <w:t xml:space="preserve"> no</w:t>
      </w:r>
      <w:r w:rsidR="0071673A" w:rsidRPr="005E46C7">
        <w:rPr>
          <w:lang w:val="en-GB"/>
        </w:rPr>
        <w:t>t</w:t>
      </w:r>
      <w:r w:rsidRPr="005E46C7">
        <w:rPr>
          <w:lang w:val="en-GB"/>
        </w:rPr>
        <w:t xml:space="preserve"> influence the characteristic time of the process when it is controlled by the </w:t>
      </w:r>
      <w:r w:rsidR="0071673A" w:rsidRPr="005E46C7">
        <w:rPr>
          <w:lang w:val="en-GB"/>
        </w:rPr>
        <w:t>mixing</w:t>
      </w:r>
      <w:r w:rsidRPr="005E46C7">
        <w:rPr>
          <w:lang w:val="en-GB"/>
        </w:rPr>
        <w:t xml:space="preserve"> time. Moreover, working at the same specific power input the relative importance of dissolution and </w:t>
      </w:r>
      <w:r w:rsidR="0071673A" w:rsidRPr="005E46C7">
        <w:rPr>
          <w:lang w:val="en-GB"/>
        </w:rPr>
        <w:t>mixing</w:t>
      </w:r>
      <w:r w:rsidRPr="005E46C7">
        <w:rPr>
          <w:lang w:val="en-GB"/>
        </w:rPr>
        <w:t xml:space="preserve"> time change</w:t>
      </w:r>
      <w:r w:rsidR="0071673A" w:rsidRPr="005E46C7">
        <w:rPr>
          <w:lang w:val="en-GB"/>
        </w:rPr>
        <w:t>s with the scale</w:t>
      </w:r>
      <w:r w:rsidRPr="005E46C7">
        <w:rPr>
          <w:lang w:val="en-GB"/>
        </w:rPr>
        <w:t>. In particular</w:t>
      </w:r>
      <w:r w:rsidR="007C1FD9" w:rsidRPr="005E46C7">
        <w:rPr>
          <w:lang w:val="en-GB"/>
        </w:rPr>
        <w:t>,</w:t>
      </w:r>
      <w:r w:rsidRPr="005E46C7">
        <w:rPr>
          <w:lang w:val="en-GB"/>
        </w:rPr>
        <w:t xml:space="preserve"> increasing the tank size the dissolution time decreases while the </w:t>
      </w:r>
      <w:r w:rsidR="0071673A" w:rsidRPr="005E46C7">
        <w:rPr>
          <w:lang w:val="en-GB"/>
        </w:rPr>
        <w:t>mixing</w:t>
      </w:r>
      <w:r w:rsidRPr="005E46C7">
        <w:rPr>
          <w:lang w:val="en-GB"/>
        </w:rPr>
        <w:t xml:space="preserve"> time increases. This means </w:t>
      </w:r>
      <w:r w:rsidRPr="005E46C7">
        <w:rPr>
          <w:lang w:val="en-GB"/>
        </w:rPr>
        <w:lastRenderedPageBreak/>
        <w:t>that in large tank</w:t>
      </w:r>
      <w:r w:rsidR="0071673A" w:rsidRPr="005E46C7">
        <w:rPr>
          <w:lang w:val="en-GB"/>
        </w:rPr>
        <w:t>s</w:t>
      </w:r>
      <w:r w:rsidRPr="005E46C7">
        <w:rPr>
          <w:lang w:val="en-GB"/>
        </w:rPr>
        <w:t xml:space="preserve"> the assumption of homogeneous concentration in the liquid phase is not </w:t>
      </w:r>
      <w:r w:rsidR="00FD5873" w:rsidRPr="005E46C7">
        <w:rPr>
          <w:lang w:val="en-GB"/>
        </w:rPr>
        <w:t>satisfied</w:t>
      </w:r>
      <w:r w:rsidRPr="005E46C7">
        <w:rPr>
          <w:lang w:val="en-GB"/>
        </w:rPr>
        <w:t xml:space="preserve"> and for a correct simulation of the process the local concentration of the dissolved salt </w:t>
      </w:r>
      <w:r w:rsidR="0071673A" w:rsidRPr="005E46C7">
        <w:rPr>
          <w:lang w:val="en-GB"/>
        </w:rPr>
        <w:t>should</w:t>
      </w:r>
      <w:r w:rsidRPr="005E46C7">
        <w:rPr>
          <w:lang w:val="en-GB"/>
        </w:rPr>
        <w:t xml:space="preserve"> be </w:t>
      </w:r>
      <w:r w:rsidR="0071673A" w:rsidRPr="005E46C7">
        <w:rPr>
          <w:lang w:val="en-GB"/>
        </w:rPr>
        <w:t>adopted</w:t>
      </w:r>
      <w:r w:rsidRPr="005E46C7">
        <w:rPr>
          <w:lang w:val="en-GB"/>
        </w:rPr>
        <w:t>.</w:t>
      </w:r>
    </w:p>
    <w:p w14:paraId="7194AE34" w14:textId="77777777" w:rsidR="00600535" w:rsidRPr="005E46C7" w:rsidRDefault="00600535" w:rsidP="00600535">
      <w:pPr>
        <w:pStyle w:val="CETReference"/>
      </w:pPr>
      <w:r w:rsidRPr="005E46C7">
        <w:t>References</w:t>
      </w:r>
    </w:p>
    <w:p w14:paraId="6FEBFCD2" w14:textId="77777777" w:rsidR="00C271A7" w:rsidRPr="005E46C7" w:rsidRDefault="00C271A7" w:rsidP="00723CB5">
      <w:pPr>
        <w:pStyle w:val="CETBodytext"/>
        <w:rPr>
          <w:lang w:val="en-GB"/>
        </w:rPr>
      </w:pPr>
      <w:r w:rsidRPr="005E46C7">
        <w:rPr>
          <w:lang w:val="en-GB"/>
        </w:rPr>
        <w:t>Aliakbarian B., Casazza A.A., Nani A., Perego P., 2017, Production of chocolate powdered beverage with enhanced instant properties, Chemical Engineering Transactions, 57, 877-882.</w:t>
      </w:r>
    </w:p>
    <w:p w14:paraId="4B4EEEE9" w14:textId="77777777" w:rsidR="00C271A7" w:rsidRPr="005E46C7" w:rsidRDefault="00C271A7" w:rsidP="00674872">
      <w:pPr>
        <w:pStyle w:val="CETBodytext"/>
        <w:rPr>
          <w:lang w:val="en-GB"/>
        </w:rPr>
      </w:pPr>
      <w:r w:rsidRPr="005E46C7">
        <w:rPr>
          <w:lang w:val="en-GB"/>
        </w:rPr>
        <w:t>Armenante P.M., Luo C., Chou C-C., Fort I., Medek J. 1997, Velocity profiles in a closed, unbaffled vessel: comparison between experimental LDV data and numerical CFD predictions, Chemical Engineering Science, 52, 3483-3492.</w:t>
      </w:r>
    </w:p>
    <w:p w14:paraId="2E304CC4" w14:textId="77777777" w:rsidR="00C271A7" w:rsidRPr="005E46C7" w:rsidRDefault="00C271A7" w:rsidP="008B5E71">
      <w:pPr>
        <w:pStyle w:val="CETBodytext"/>
        <w:rPr>
          <w:lang w:val="en-GB"/>
        </w:rPr>
      </w:pPr>
      <w:r w:rsidRPr="005E46C7">
        <w:rPr>
          <w:lang w:val="en-GB"/>
        </w:rPr>
        <w:t>Cao H., Amador C., Jia X., Li Y., Ding Y., 2016,</w:t>
      </w:r>
      <w:r w:rsidR="00AA1E3B" w:rsidRPr="005E46C7">
        <w:rPr>
          <w:lang w:val="en-GB"/>
        </w:rPr>
        <w:t xml:space="preserve"> </w:t>
      </w:r>
      <w:r w:rsidRPr="005E46C7">
        <w:rPr>
          <w:lang w:val="en-GB"/>
        </w:rPr>
        <w:t xml:space="preserve">A modelling framework for bulk particles dissolving in turbulent regime, Chemical Engineering Research and Design, 114, 108-118. </w:t>
      </w:r>
    </w:p>
    <w:p w14:paraId="0DFDD92B" w14:textId="77777777" w:rsidR="00C271A7" w:rsidRPr="005E46C7" w:rsidRDefault="00C271A7" w:rsidP="008B5E71">
      <w:pPr>
        <w:pStyle w:val="CETBodytext"/>
        <w:rPr>
          <w:lang w:val="en-GB"/>
        </w:rPr>
      </w:pPr>
      <w:r w:rsidRPr="005E46C7">
        <w:rPr>
          <w:lang w:val="en-GB"/>
        </w:rPr>
        <w:t xml:space="preserve">Carletti C., Bikic S., Montante G., Paglianti A., 2018; Mass transfer in dilute solid−liquid stirred tanks, Industrial and Engineering Chemistry Research, 57, 6505-6515.  </w:t>
      </w:r>
    </w:p>
    <w:p w14:paraId="5E80F18E" w14:textId="77777777" w:rsidR="00C271A7" w:rsidRPr="005E46C7" w:rsidRDefault="00C271A7" w:rsidP="00311D23">
      <w:pPr>
        <w:pStyle w:val="CETBodytext"/>
        <w:rPr>
          <w:lang w:val="en-GB"/>
        </w:rPr>
      </w:pPr>
      <w:r w:rsidRPr="005E46C7">
        <w:rPr>
          <w:lang w:val="en-GB"/>
        </w:rPr>
        <w:t>Derksen, J.J., 2012, Highly resolved simulations of solids suspension in a small mixing tank, AIChE Journal, 58, 3266-3278.</w:t>
      </w:r>
    </w:p>
    <w:p w14:paraId="13BFB180" w14:textId="77777777" w:rsidR="00C271A7" w:rsidRPr="005E46C7" w:rsidRDefault="00C271A7" w:rsidP="005D26FA">
      <w:pPr>
        <w:pStyle w:val="CETBodytext"/>
        <w:rPr>
          <w:lang w:val="en-GB"/>
        </w:rPr>
      </w:pPr>
      <w:r w:rsidRPr="005E46C7">
        <w:rPr>
          <w:lang w:val="en-GB"/>
        </w:rPr>
        <w:t>Fajner D., Pinelli D., Ghadge R.S., Montante G., Paglianti A., Magelli F., 2008, Solids distribution and rising velocity of buoyant solid particles in a vessel stirred with multiple impellers, Chemical Engineering Science, 63, 5876-5882.</w:t>
      </w:r>
    </w:p>
    <w:p w14:paraId="3C0937F8" w14:textId="77777777" w:rsidR="00373C0F" w:rsidRPr="005E46C7" w:rsidRDefault="00373C0F" w:rsidP="008B5E71">
      <w:pPr>
        <w:pStyle w:val="CETBodytext"/>
        <w:rPr>
          <w:lang w:val="en-GB"/>
        </w:rPr>
      </w:pPr>
      <w:r w:rsidRPr="005E46C7">
        <w:rPr>
          <w:lang w:val="en-GB"/>
        </w:rPr>
        <w:tab/>
        <w:t>Grenville R.K., A.W. Nienow, 2004</w:t>
      </w:r>
      <w:r w:rsidR="00EC6376" w:rsidRPr="005E46C7">
        <w:rPr>
          <w:lang w:val="en-GB"/>
        </w:rPr>
        <w:t>,</w:t>
      </w:r>
      <w:r w:rsidRPr="005E46C7">
        <w:rPr>
          <w:lang w:val="en-GB"/>
        </w:rPr>
        <w:t xml:space="preserve"> Blending of miscible liquids in E.L. Paul, V.A. Atiemo-Obeng, S.M. Kresta (Eds.), Handbook of Industrial Mixing: Science and Practice, Wiley-Interscience, Hoboken, NJ (Chapter 9).</w:t>
      </w:r>
    </w:p>
    <w:p w14:paraId="48B4EEF9" w14:textId="77777777" w:rsidR="00C271A7" w:rsidRPr="005E46C7" w:rsidRDefault="00C271A7" w:rsidP="008B5E71">
      <w:pPr>
        <w:pStyle w:val="CETBodytext"/>
        <w:rPr>
          <w:lang w:val="en-GB"/>
        </w:rPr>
      </w:pPr>
      <w:r w:rsidRPr="005E46C7">
        <w:rPr>
          <w:lang w:val="en-GB"/>
        </w:rPr>
        <w:t>Hörmann T., Suzzi D., Khinast J.G., 2011, Mixing and dissolution processes of pharmaceutical bulk materials in stirred tanks: Experimental and numerical investigations, Industrial and Engineering Chemistry Research 50, 12011-12025.</w:t>
      </w:r>
    </w:p>
    <w:p w14:paraId="6040A40A" w14:textId="77777777" w:rsidR="00C271A7" w:rsidRPr="005E46C7" w:rsidRDefault="00C271A7" w:rsidP="008B5E71">
      <w:pPr>
        <w:pStyle w:val="CETBodytext"/>
        <w:rPr>
          <w:lang w:val="en-GB"/>
        </w:rPr>
      </w:pPr>
      <w:r w:rsidRPr="005E46C7">
        <w:rPr>
          <w:lang w:val="en-GB"/>
        </w:rPr>
        <w:t xml:space="preserve">Koganti V., Carroll F., Ferraina R., Falk R., Waghmare Y., Berry M., Liu Y., Norris K., Leasure R., Gaudio J., 2010, Application of modeling to scale-up dissolution in pharmaceutical manufacturing AAPS PharmSciTech, 11, 1541-1548. </w:t>
      </w:r>
    </w:p>
    <w:p w14:paraId="2AE20ED1" w14:textId="77777777" w:rsidR="00C271A7" w:rsidRPr="005E46C7" w:rsidRDefault="00C271A7" w:rsidP="008B5E71">
      <w:pPr>
        <w:pStyle w:val="CETBodytext"/>
        <w:rPr>
          <w:lang w:val="en-GB"/>
        </w:rPr>
      </w:pPr>
      <w:r w:rsidRPr="005E46C7">
        <w:rPr>
          <w:lang w:val="en-GB"/>
        </w:rPr>
        <w:t>Lin P.Y., Lee H.L., Chen C.W., Lee T., 2015, Effects of baffle configuration and tank size on spherical agglomerates of dimethyl fumarate in a common stirred tank, International Journal of Pharmaceutics 495, 886-894.</w:t>
      </w:r>
    </w:p>
    <w:p w14:paraId="3D5F3314" w14:textId="77777777" w:rsidR="00C271A7" w:rsidRPr="005E46C7" w:rsidRDefault="00C271A7" w:rsidP="008B5E71">
      <w:pPr>
        <w:pStyle w:val="CETBodytext"/>
        <w:rPr>
          <w:lang w:val="en-GB"/>
        </w:rPr>
      </w:pPr>
      <w:r w:rsidRPr="005E46C7">
        <w:rPr>
          <w:lang w:val="en-GB"/>
        </w:rPr>
        <w:t xml:space="preserve">Magelli F., Montante G., Pinelli D., Paglianti A., 2013, Mixing time in high aspect ratio vessels stirred with multiple impellers, Chemical Engineering Science, 101, 712-720.  </w:t>
      </w:r>
    </w:p>
    <w:p w14:paraId="0837673A" w14:textId="77777777" w:rsidR="00373C0F" w:rsidRPr="005E46C7" w:rsidRDefault="00373C0F" w:rsidP="00373C0F">
      <w:pPr>
        <w:pStyle w:val="CETBodytext"/>
        <w:rPr>
          <w:lang w:val="en-GB"/>
        </w:rPr>
      </w:pPr>
      <w:r w:rsidRPr="005E46C7">
        <w:rPr>
          <w:lang w:val="en-GB"/>
        </w:rPr>
        <w:t>Montante G., Paglianti A., Magelli F., 2012, Analysis of dilute solid-liquid suspensions in turbulent stirred tanks, Chemical Engineering Research and Design, 90, 1448-1456.</w:t>
      </w:r>
    </w:p>
    <w:p w14:paraId="507FD132" w14:textId="77777777" w:rsidR="00C271A7" w:rsidRPr="005E46C7" w:rsidRDefault="00C271A7" w:rsidP="00B70203">
      <w:pPr>
        <w:pStyle w:val="CETBodytext"/>
        <w:rPr>
          <w:lang w:val="en-GB"/>
        </w:rPr>
      </w:pPr>
      <w:r w:rsidRPr="005E46C7">
        <w:rPr>
          <w:lang w:val="en-GB"/>
        </w:rPr>
        <w:t>Montante G., Carletti C., Paglianti A., 2018, Liquid Homogenization and Solids Dissolution in Stirred Tanks, Proceedings of The 16</w:t>
      </w:r>
      <w:r w:rsidRPr="005E46C7">
        <w:rPr>
          <w:vertAlign w:val="superscript"/>
          <w:lang w:val="en-GB"/>
        </w:rPr>
        <w:t>th</w:t>
      </w:r>
      <w:r w:rsidRPr="005E46C7">
        <w:rPr>
          <w:lang w:val="en-GB"/>
        </w:rPr>
        <w:t xml:space="preserve"> European Conference on Mixing – Mixing 16 9-12 September 2018, Toulouse, France, paper 186, pp. 1-4.</w:t>
      </w:r>
    </w:p>
    <w:p w14:paraId="52893CAF" w14:textId="77777777" w:rsidR="00C271A7" w:rsidRPr="005E46C7" w:rsidRDefault="00C271A7" w:rsidP="00D51E7B">
      <w:pPr>
        <w:pStyle w:val="CETBodytext"/>
        <w:rPr>
          <w:lang w:val="en-GB"/>
        </w:rPr>
      </w:pPr>
      <w:r w:rsidRPr="005E46C7">
        <w:rPr>
          <w:lang w:val="en-GB"/>
        </w:rPr>
        <w:t>Mutch G.A., Hapgood K.P., Shen R., Selomulya C., 2019, An investigation on the dissolution qualities of foam granulated products, Powder Technology, 343, 693-704.</w:t>
      </w:r>
    </w:p>
    <w:p w14:paraId="75E9F763" w14:textId="77777777" w:rsidR="00C374C3" w:rsidRPr="005E46C7" w:rsidRDefault="00C374C3" w:rsidP="008B5E71">
      <w:pPr>
        <w:pStyle w:val="CETBodytext"/>
      </w:pPr>
      <w:r w:rsidRPr="005E46C7">
        <w:t xml:space="preserve">Nagata S. 1975, Mixing Principles and applications John Wiley &amp; Sons Inc. </w:t>
      </w:r>
    </w:p>
    <w:p w14:paraId="2BC48DCC" w14:textId="77777777" w:rsidR="00C271A7" w:rsidRPr="005E46C7" w:rsidRDefault="00C271A7" w:rsidP="008B5E71">
      <w:pPr>
        <w:pStyle w:val="CETBodytext"/>
        <w:rPr>
          <w:lang w:val="en-GB"/>
        </w:rPr>
      </w:pPr>
      <w:r w:rsidRPr="005E46C7">
        <w:rPr>
          <w:lang w:val="en-GB"/>
        </w:rPr>
        <w:t xml:space="preserve">Nienow A.W., Miles D., 1978, The effect of impeller/tank, configurations on fluid-particle mass transfer, The Chemical Engineering Journal, 15, 13-24.  </w:t>
      </w:r>
    </w:p>
    <w:p w14:paraId="2E809644" w14:textId="77777777" w:rsidR="00C271A7" w:rsidRPr="005E46C7" w:rsidRDefault="00C271A7" w:rsidP="00B5299A">
      <w:pPr>
        <w:pStyle w:val="CETBodytext"/>
        <w:rPr>
          <w:lang w:val="en-GB"/>
        </w:rPr>
      </w:pPr>
      <w:r w:rsidRPr="005E46C7">
        <w:rPr>
          <w:lang w:val="en-GB"/>
        </w:rPr>
        <w:t>Paglianti A., Carletti C., Montante G., 2017, Liquid Mixing Time in Dense Solid-Liquid Stirred Tanks, Chemical Engineering and Technology, 40, 862-869.</w:t>
      </w:r>
    </w:p>
    <w:p w14:paraId="1611694D" w14:textId="77777777" w:rsidR="00C374C3" w:rsidRPr="005E46C7" w:rsidRDefault="00C374C3" w:rsidP="00C374C3">
      <w:pPr>
        <w:pStyle w:val="CETBodytext"/>
      </w:pPr>
      <w:r w:rsidRPr="005E46C7">
        <w:t>Ramírez-Gómez R., García-Cortés D., Martínez-de Jesús G., Gonzales-Brambila M.M., Alonso A., Martínez-Delgadillo S.A., Ramírez-Muñoz J.</w:t>
      </w:r>
      <w:r w:rsidR="005E46C7" w:rsidRPr="005E46C7">
        <w:t>,</w:t>
      </w:r>
      <w:r w:rsidRPr="005E46C7">
        <w:t xml:space="preserve"> 2015, Performance Evaluation of Two High-Shear Impellers in an Unbaffled Stirred Tank</w:t>
      </w:r>
      <w:r w:rsidR="005E46C7" w:rsidRPr="005E46C7">
        <w:t xml:space="preserve">, </w:t>
      </w:r>
      <w:r w:rsidRPr="005E46C7">
        <w:t>Chemical Engineering and Technology</w:t>
      </w:r>
      <w:r w:rsidR="005E46C7" w:rsidRPr="005E46C7">
        <w:t>,</w:t>
      </w:r>
      <w:r w:rsidRPr="005E46C7">
        <w:t xml:space="preserve"> 38</w:t>
      </w:r>
      <w:r w:rsidR="005E46C7" w:rsidRPr="005E46C7">
        <w:t>,</w:t>
      </w:r>
      <w:r w:rsidRPr="005E46C7">
        <w:t xml:space="preserve"> 1519-1529.</w:t>
      </w:r>
    </w:p>
    <w:p w14:paraId="35016419" w14:textId="77777777" w:rsidR="00C374C3" w:rsidRPr="005E46C7" w:rsidRDefault="00C374C3" w:rsidP="00C374C3">
      <w:pPr>
        <w:pStyle w:val="CETBodytext"/>
        <w:rPr>
          <w:lang w:val="en-GB"/>
        </w:rPr>
      </w:pPr>
      <w:r w:rsidRPr="005E46C7">
        <w:t>Scargiali F., Busciglio A., Grisafi F., Tamburini A., Micale G., Brucato A.</w:t>
      </w:r>
      <w:r w:rsidR="005E46C7" w:rsidRPr="005E46C7">
        <w:t>,</w:t>
      </w:r>
      <w:r w:rsidRPr="005E46C7">
        <w:t xml:space="preserve"> </w:t>
      </w:r>
      <w:r w:rsidRPr="005E46C7">
        <w:rPr>
          <w:lang w:val="en-GB"/>
        </w:rPr>
        <w:t>2013, Power consumption in uncovered unbaffled stirred tanks: Influence of the viscosity and flow regime</w:t>
      </w:r>
      <w:r w:rsidR="005E46C7" w:rsidRPr="005E46C7">
        <w:rPr>
          <w:lang w:val="en-GB"/>
        </w:rPr>
        <w:t>,</w:t>
      </w:r>
      <w:r w:rsidRPr="005E46C7">
        <w:rPr>
          <w:lang w:val="en-GB"/>
        </w:rPr>
        <w:t xml:space="preserve"> Industrial and </w:t>
      </w:r>
      <w:r w:rsidR="00AF0ED5" w:rsidRPr="005E46C7">
        <w:rPr>
          <w:lang w:val="en-GB"/>
        </w:rPr>
        <w:t>Engineering Chemistry Research</w:t>
      </w:r>
      <w:r w:rsidR="005E46C7" w:rsidRPr="005E46C7">
        <w:rPr>
          <w:lang w:val="en-GB"/>
        </w:rPr>
        <w:t>,</w:t>
      </w:r>
      <w:r w:rsidR="00AF0ED5" w:rsidRPr="005E46C7">
        <w:rPr>
          <w:lang w:val="en-GB"/>
        </w:rPr>
        <w:t xml:space="preserve"> </w:t>
      </w:r>
      <w:r w:rsidRPr="005E46C7">
        <w:rPr>
          <w:lang w:val="en-GB"/>
        </w:rPr>
        <w:t>52</w:t>
      </w:r>
      <w:r w:rsidR="005E46C7" w:rsidRPr="005E46C7">
        <w:rPr>
          <w:lang w:val="en-GB"/>
        </w:rPr>
        <w:t>,</w:t>
      </w:r>
      <w:r w:rsidRPr="005E46C7">
        <w:rPr>
          <w:lang w:val="en-GB"/>
        </w:rPr>
        <w:t xml:space="preserve"> 14998-15005.</w:t>
      </w:r>
    </w:p>
    <w:p w14:paraId="1169E49B" w14:textId="77777777" w:rsidR="00C271A7" w:rsidRPr="005E46C7" w:rsidRDefault="00C271A7" w:rsidP="00723CB5">
      <w:pPr>
        <w:pStyle w:val="CETBodytext"/>
        <w:rPr>
          <w:lang w:val="en-GB"/>
        </w:rPr>
      </w:pPr>
      <w:r w:rsidRPr="005E46C7">
        <w:rPr>
          <w:lang w:val="en-GB"/>
        </w:rPr>
        <w:t>Tamburini, A., Scargiali, F., Micale, G., Brucato, A., 2017, Particle distribution in unbaffled stirred vessels, Chemical Engineering Transactions, 57, 1315-1320.</w:t>
      </w:r>
    </w:p>
    <w:p w14:paraId="2673D9C3" w14:textId="77777777" w:rsidR="00C271A7" w:rsidRDefault="00C271A7" w:rsidP="002E769F">
      <w:pPr>
        <w:pStyle w:val="CETBodytext"/>
        <w:rPr>
          <w:lang w:val="en-GB"/>
        </w:rPr>
      </w:pPr>
      <w:r w:rsidRPr="005E46C7">
        <w:rPr>
          <w:lang w:val="en-GB"/>
        </w:rPr>
        <w:t>Wang B., Armenante P.M., 2016, Experimental and computational determination of the hydrodynamics of mini vessel dissolution testing systems, International Journal of Pharmaceutics, 510, 336-349.</w:t>
      </w:r>
    </w:p>
    <w:p w14:paraId="4575E44F" w14:textId="77777777" w:rsidR="00DB499E" w:rsidRPr="00C374C3" w:rsidRDefault="00DB499E" w:rsidP="002E769F">
      <w:pPr>
        <w:pStyle w:val="CETBodytext"/>
      </w:pPr>
    </w:p>
    <w:sectPr w:rsidR="00DB499E" w:rsidRPr="00C374C3"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D8AFF" w14:textId="77777777" w:rsidR="002C2B60" w:rsidRDefault="002C2B60" w:rsidP="004F5E36">
      <w:r>
        <w:separator/>
      </w:r>
    </w:p>
  </w:endnote>
  <w:endnote w:type="continuationSeparator" w:id="0">
    <w:p w14:paraId="5F749C28" w14:textId="77777777" w:rsidR="002C2B60" w:rsidRDefault="002C2B6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6483A" w14:textId="77777777" w:rsidR="002C2B60" w:rsidRDefault="002C2B60" w:rsidP="004F5E36">
      <w:r>
        <w:separator/>
      </w:r>
    </w:p>
  </w:footnote>
  <w:footnote w:type="continuationSeparator" w:id="0">
    <w:p w14:paraId="63D7897E" w14:textId="77777777" w:rsidR="002C2B60" w:rsidRDefault="002C2B60"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2E93"/>
    <w:rsid w:val="0002046C"/>
    <w:rsid w:val="00026E1D"/>
    <w:rsid w:val="0003148D"/>
    <w:rsid w:val="00032D82"/>
    <w:rsid w:val="00047D7F"/>
    <w:rsid w:val="00051566"/>
    <w:rsid w:val="00060C93"/>
    <w:rsid w:val="00062A9A"/>
    <w:rsid w:val="00065058"/>
    <w:rsid w:val="00085BB0"/>
    <w:rsid w:val="000869A5"/>
    <w:rsid w:val="00086C39"/>
    <w:rsid w:val="000942F0"/>
    <w:rsid w:val="00094654"/>
    <w:rsid w:val="000A03B2"/>
    <w:rsid w:val="000A3316"/>
    <w:rsid w:val="000A3B79"/>
    <w:rsid w:val="000B3FFC"/>
    <w:rsid w:val="000D34BE"/>
    <w:rsid w:val="000E102F"/>
    <w:rsid w:val="000E36F1"/>
    <w:rsid w:val="000E3A73"/>
    <w:rsid w:val="000E414A"/>
    <w:rsid w:val="000F093C"/>
    <w:rsid w:val="000F16BD"/>
    <w:rsid w:val="000F787B"/>
    <w:rsid w:val="00111E81"/>
    <w:rsid w:val="00114BBE"/>
    <w:rsid w:val="0012091F"/>
    <w:rsid w:val="00126BC2"/>
    <w:rsid w:val="001308B6"/>
    <w:rsid w:val="0013121F"/>
    <w:rsid w:val="00131FAB"/>
    <w:rsid w:val="00131FE6"/>
    <w:rsid w:val="0013263F"/>
    <w:rsid w:val="00134DE4"/>
    <w:rsid w:val="0014034D"/>
    <w:rsid w:val="00146F77"/>
    <w:rsid w:val="00150E59"/>
    <w:rsid w:val="00152DE3"/>
    <w:rsid w:val="00154211"/>
    <w:rsid w:val="00162642"/>
    <w:rsid w:val="00164CF9"/>
    <w:rsid w:val="001701F5"/>
    <w:rsid w:val="00181C31"/>
    <w:rsid w:val="00184AD6"/>
    <w:rsid w:val="00187B51"/>
    <w:rsid w:val="001929FA"/>
    <w:rsid w:val="00194DBD"/>
    <w:rsid w:val="001B0349"/>
    <w:rsid w:val="001B65C1"/>
    <w:rsid w:val="001C684B"/>
    <w:rsid w:val="001C756F"/>
    <w:rsid w:val="001D53FC"/>
    <w:rsid w:val="001D71C1"/>
    <w:rsid w:val="001D736F"/>
    <w:rsid w:val="001F42A5"/>
    <w:rsid w:val="001F7B9D"/>
    <w:rsid w:val="002106D2"/>
    <w:rsid w:val="00220B6C"/>
    <w:rsid w:val="00221156"/>
    <w:rsid w:val="002224B4"/>
    <w:rsid w:val="00227885"/>
    <w:rsid w:val="002447EF"/>
    <w:rsid w:val="00251550"/>
    <w:rsid w:val="00252C1A"/>
    <w:rsid w:val="00255154"/>
    <w:rsid w:val="00263B05"/>
    <w:rsid w:val="0027221A"/>
    <w:rsid w:val="00275B61"/>
    <w:rsid w:val="00282656"/>
    <w:rsid w:val="00282773"/>
    <w:rsid w:val="00296B83"/>
    <w:rsid w:val="002B78CE"/>
    <w:rsid w:val="002C2B60"/>
    <w:rsid w:val="002C2BE7"/>
    <w:rsid w:val="002C2FB6"/>
    <w:rsid w:val="002D47BA"/>
    <w:rsid w:val="002D5BCD"/>
    <w:rsid w:val="002E29F7"/>
    <w:rsid w:val="002E769F"/>
    <w:rsid w:val="003009B7"/>
    <w:rsid w:val="00300E56"/>
    <w:rsid w:val="00303A6A"/>
    <w:rsid w:val="0030469C"/>
    <w:rsid w:val="00311D23"/>
    <w:rsid w:val="00321CA6"/>
    <w:rsid w:val="00322ED4"/>
    <w:rsid w:val="00334C09"/>
    <w:rsid w:val="003365E3"/>
    <w:rsid w:val="00366D3A"/>
    <w:rsid w:val="003701F5"/>
    <w:rsid w:val="003723D4"/>
    <w:rsid w:val="00373C0F"/>
    <w:rsid w:val="00384CC8"/>
    <w:rsid w:val="00385D3F"/>
    <w:rsid w:val="003871FD"/>
    <w:rsid w:val="003A1E30"/>
    <w:rsid w:val="003A7D1C"/>
    <w:rsid w:val="003B304B"/>
    <w:rsid w:val="003B3146"/>
    <w:rsid w:val="003B60F3"/>
    <w:rsid w:val="003C2964"/>
    <w:rsid w:val="003E2CAC"/>
    <w:rsid w:val="003F015E"/>
    <w:rsid w:val="003F38AC"/>
    <w:rsid w:val="00400414"/>
    <w:rsid w:val="0041446B"/>
    <w:rsid w:val="0044329C"/>
    <w:rsid w:val="004439C7"/>
    <w:rsid w:val="00450F94"/>
    <w:rsid w:val="004577FE"/>
    <w:rsid w:val="00457B9C"/>
    <w:rsid w:val="0046164A"/>
    <w:rsid w:val="004628D2"/>
    <w:rsid w:val="00462DCD"/>
    <w:rsid w:val="004648AD"/>
    <w:rsid w:val="004703A9"/>
    <w:rsid w:val="004760DE"/>
    <w:rsid w:val="004A004E"/>
    <w:rsid w:val="004A1F41"/>
    <w:rsid w:val="004A24CF"/>
    <w:rsid w:val="004B6721"/>
    <w:rsid w:val="004C3120"/>
    <w:rsid w:val="004C3D1D"/>
    <w:rsid w:val="004C3DA7"/>
    <w:rsid w:val="004C7913"/>
    <w:rsid w:val="004E4DD6"/>
    <w:rsid w:val="004F4CF1"/>
    <w:rsid w:val="004F5E36"/>
    <w:rsid w:val="00505422"/>
    <w:rsid w:val="0050780A"/>
    <w:rsid w:val="00507B47"/>
    <w:rsid w:val="00507CC9"/>
    <w:rsid w:val="005119A5"/>
    <w:rsid w:val="005278B7"/>
    <w:rsid w:val="00532016"/>
    <w:rsid w:val="005346C8"/>
    <w:rsid w:val="00543E7D"/>
    <w:rsid w:val="00546B05"/>
    <w:rsid w:val="00547A68"/>
    <w:rsid w:val="00551C91"/>
    <w:rsid w:val="005531C9"/>
    <w:rsid w:val="0056758C"/>
    <w:rsid w:val="005946BE"/>
    <w:rsid w:val="005A11A7"/>
    <w:rsid w:val="005B2110"/>
    <w:rsid w:val="005B61E6"/>
    <w:rsid w:val="005C23BE"/>
    <w:rsid w:val="005C77E1"/>
    <w:rsid w:val="005D26FA"/>
    <w:rsid w:val="005D6A2F"/>
    <w:rsid w:val="005E1A82"/>
    <w:rsid w:val="005E242A"/>
    <w:rsid w:val="005E46C7"/>
    <w:rsid w:val="005E529A"/>
    <w:rsid w:val="005E794C"/>
    <w:rsid w:val="005F0A28"/>
    <w:rsid w:val="005F0E5E"/>
    <w:rsid w:val="005F479E"/>
    <w:rsid w:val="005F5147"/>
    <w:rsid w:val="00600535"/>
    <w:rsid w:val="0061010B"/>
    <w:rsid w:val="00610CD6"/>
    <w:rsid w:val="00613742"/>
    <w:rsid w:val="00614CA2"/>
    <w:rsid w:val="00620DEE"/>
    <w:rsid w:val="00621F92"/>
    <w:rsid w:val="00625639"/>
    <w:rsid w:val="00627163"/>
    <w:rsid w:val="00631B33"/>
    <w:rsid w:val="00632594"/>
    <w:rsid w:val="0064184D"/>
    <w:rsid w:val="006422CC"/>
    <w:rsid w:val="0064337A"/>
    <w:rsid w:val="006445E0"/>
    <w:rsid w:val="00653A7F"/>
    <w:rsid w:val="00660E3E"/>
    <w:rsid w:val="00662E74"/>
    <w:rsid w:val="00674872"/>
    <w:rsid w:val="006769AC"/>
    <w:rsid w:val="00680C23"/>
    <w:rsid w:val="00681414"/>
    <w:rsid w:val="00690B06"/>
    <w:rsid w:val="00693766"/>
    <w:rsid w:val="006A3281"/>
    <w:rsid w:val="006B4888"/>
    <w:rsid w:val="006B5684"/>
    <w:rsid w:val="006B651C"/>
    <w:rsid w:val="006C2E45"/>
    <w:rsid w:val="006C359C"/>
    <w:rsid w:val="006C5579"/>
    <w:rsid w:val="006D6425"/>
    <w:rsid w:val="006E737D"/>
    <w:rsid w:val="0070195D"/>
    <w:rsid w:val="0071673A"/>
    <w:rsid w:val="00720A24"/>
    <w:rsid w:val="00723CB5"/>
    <w:rsid w:val="00732386"/>
    <w:rsid w:val="007447F3"/>
    <w:rsid w:val="0075499F"/>
    <w:rsid w:val="00757600"/>
    <w:rsid w:val="007661C8"/>
    <w:rsid w:val="0077098D"/>
    <w:rsid w:val="007931FA"/>
    <w:rsid w:val="007A7BBA"/>
    <w:rsid w:val="007B0C50"/>
    <w:rsid w:val="007C1A43"/>
    <w:rsid w:val="007C1FD9"/>
    <w:rsid w:val="007D35C7"/>
    <w:rsid w:val="007E1DC6"/>
    <w:rsid w:val="0080288C"/>
    <w:rsid w:val="00813288"/>
    <w:rsid w:val="008168FC"/>
    <w:rsid w:val="00830883"/>
    <w:rsid w:val="00830996"/>
    <w:rsid w:val="00832939"/>
    <w:rsid w:val="008345F1"/>
    <w:rsid w:val="00846047"/>
    <w:rsid w:val="00862206"/>
    <w:rsid w:val="00865B07"/>
    <w:rsid w:val="008667EA"/>
    <w:rsid w:val="0087637F"/>
    <w:rsid w:val="008863BC"/>
    <w:rsid w:val="008904B9"/>
    <w:rsid w:val="00892AD5"/>
    <w:rsid w:val="00894DDD"/>
    <w:rsid w:val="008A1512"/>
    <w:rsid w:val="008B5E71"/>
    <w:rsid w:val="008C78C1"/>
    <w:rsid w:val="008D32B9"/>
    <w:rsid w:val="008D433B"/>
    <w:rsid w:val="008E1C3E"/>
    <w:rsid w:val="008E566E"/>
    <w:rsid w:val="0090161A"/>
    <w:rsid w:val="00901EB6"/>
    <w:rsid w:val="0090291D"/>
    <w:rsid w:val="00904C62"/>
    <w:rsid w:val="009174E2"/>
    <w:rsid w:val="00917CC5"/>
    <w:rsid w:val="00924DAC"/>
    <w:rsid w:val="00927058"/>
    <w:rsid w:val="009450CE"/>
    <w:rsid w:val="00947179"/>
    <w:rsid w:val="0095164B"/>
    <w:rsid w:val="00954090"/>
    <w:rsid w:val="009573E7"/>
    <w:rsid w:val="009635B9"/>
    <w:rsid w:val="00963E05"/>
    <w:rsid w:val="00967D54"/>
    <w:rsid w:val="00973CBF"/>
    <w:rsid w:val="00974A81"/>
    <w:rsid w:val="00996483"/>
    <w:rsid w:val="00996567"/>
    <w:rsid w:val="00996F5A"/>
    <w:rsid w:val="009A0A3E"/>
    <w:rsid w:val="009B041A"/>
    <w:rsid w:val="009B3646"/>
    <w:rsid w:val="009C7C86"/>
    <w:rsid w:val="009D204D"/>
    <w:rsid w:val="009D2FF7"/>
    <w:rsid w:val="009E7884"/>
    <w:rsid w:val="009E788A"/>
    <w:rsid w:val="009F0E08"/>
    <w:rsid w:val="009F1BA0"/>
    <w:rsid w:val="009F2117"/>
    <w:rsid w:val="009F6079"/>
    <w:rsid w:val="009F6735"/>
    <w:rsid w:val="009F7EC3"/>
    <w:rsid w:val="00A1630E"/>
    <w:rsid w:val="00A1763D"/>
    <w:rsid w:val="00A17CEC"/>
    <w:rsid w:val="00A27EF0"/>
    <w:rsid w:val="00A50B20"/>
    <w:rsid w:val="00A51390"/>
    <w:rsid w:val="00A60D13"/>
    <w:rsid w:val="00A60D5D"/>
    <w:rsid w:val="00A64F77"/>
    <w:rsid w:val="00A72745"/>
    <w:rsid w:val="00A75872"/>
    <w:rsid w:val="00A76EFC"/>
    <w:rsid w:val="00A85D6B"/>
    <w:rsid w:val="00A91010"/>
    <w:rsid w:val="00A97F29"/>
    <w:rsid w:val="00AA1E3B"/>
    <w:rsid w:val="00AA702E"/>
    <w:rsid w:val="00AA745B"/>
    <w:rsid w:val="00AB0964"/>
    <w:rsid w:val="00AB5011"/>
    <w:rsid w:val="00AC7368"/>
    <w:rsid w:val="00AD16B9"/>
    <w:rsid w:val="00AD3387"/>
    <w:rsid w:val="00AE377D"/>
    <w:rsid w:val="00AF0ED5"/>
    <w:rsid w:val="00AF34BD"/>
    <w:rsid w:val="00B02FF9"/>
    <w:rsid w:val="00B0610B"/>
    <w:rsid w:val="00B1453C"/>
    <w:rsid w:val="00B17FBD"/>
    <w:rsid w:val="00B315A6"/>
    <w:rsid w:val="00B31813"/>
    <w:rsid w:val="00B33365"/>
    <w:rsid w:val="00B43F26"/>
    <w:rsid w:val="00B5144D"/>
    <w:rsid w:val="00B5299A"/>
    <w:rsid w:val="00B57B36"/>
    <w:rsid w:val="00B67328"/>
    <w:rsid w:val="00B70203"/>
    <w:rsid w:val="00B8686D"/>
    <w:rsid w:val="00B94AE9"/>
    <w:rsid w:val="00B95E97"/>
    <w:rsid w:val="00BB1E5E"/>
    <w:rsid w:val="00BC30C9"/>
    <w:rsid w:val="00BE3E58"/>
    <w:rsid w:val="00C007D7"/>
    <w:rsid w:val="00C01616"/>
    <w:rsid w:val="00C0162B"/>
    <w:rsid w:val="00C2274A"/>
    <w:rsid w:val="00C271A7"/>
    <w:rsid w:val="00C33057"/>
    <w:rsid w:val="00C345B1"/>
    <w:rsid w:val="00C374C3"/>
    <w:rsid w:val="00C40142"/>
    <w:rsid w:val="00C54026"/>
    <w:rsid w:val="00C55928"/>
    <w:rsid w:val="00C57182"/>
    <w:rsid w:val="00C57863"/>
    <w:rsid w:val="00C655FD"/>
    <w:rsid w:val="00C870A8"/>
    <w:rsid w:val="00C94434"/>
    <w:rsid w:val="00C96C25"/>
    <w:rsid w:val="00CA0D75"/>
    <w:rsid w:val="00CA1C95"/>
    <w:rsid w:val="00CA5A9C"/>
    <w:rsid w:val="00CC7AF6"/>
    <w:rsid w:val="00CD3517"/>
    <w:rsid w:val="00CD5A00"/>
    <w:rsid w:val="00CD5FE2"/>
    <w:rsid w:val="00CE7C68"/>
    <w:rsid w:val="00CF5D1E"/>
    <w:rsid w:val="00D02B4C"/>
    <w:rsid w:val="00D040C4"/>
    <w:rsid w:val="00D0553F"/>
    <w:rsid w:val="00D1146D"/>
    <w:rsid w:val="00D51E7B"/>
    <w:rsid w:val="00D5356F"/>
    <w:rsid w:val="00D57C84"/>
    <w:rsid w:val="00D6057D"/>
    <w:rsid w:val="00D77A58"/>
    <w:rsid w:val="00D814A5"/>
    <w:rsid w:val="00D84576"/>
    <w:rsid w:val="00DA1399"/>
    <w:rsid w:val="00DA24C6"/>
    <w:rsid w:val="00DA4D7B"/>
    <w:rsid w:val="00DB499E"/>
    <w:rsid w:val="00DC28C9"/>
    <w:rsid w:val="00DE264A"/>
    <w:rsid w:val="00E02D18"/>
    <w:rsid w:val="00E041E7"/>
    <w:rsid w:val="00E15D70"/>
    <w:rsid w:val="00E23CA1"/>
    <w:rsid w:val="00E26995"/>
    <w:rsid w:val="00E409A8"/>
    <w:rsid w:val="00E50C12"/>
    <w:rsid w:val="00E5194B"/>
    <w:rsid w:val="00E5612D"/>
    <w:rsid w:val="00E65B91"/>
    <w:rsid w:val="00E7209D"/>
    <w:rsid w:val="00E77223"/>
    <w:rsid w:val="00E8528B"/>
    <w:rsid w:val="00E85B94"/>
    <w:rsid w:val="00E978D0"/>
    <w:rsid w:val="00EA4613"/>
    <w:rsid w:val="00EA7F91"/>
    <w:rsid w:val="00EB1523"/>
    <w:rsid w:val="00EB73D4"/>
    <w:rsid w:val="00EC0E49"/>
    <w:rsid w:val="00EC6376"/>
    <w:rsid w:val="00EE0131"/>
    <w:rsid w:val="00EE5E3C"/>
    <w:rsid w:val="00F151B7"/>
    <w:rsid w:val="00F155B2"/>
    <w:rsid w:val="00F30C64"/>
    <w:rsid w:val="00F32CDB"/>
    <w:rsid w:val="00F36507"/>
    <w:rsid w:val="00F473F2"/>
    <w:rsid w:val="00F6165F"/>
    <w:rsid w:val="00F63A70"/>
    <w:rsid w:val="00F703AB"/>
    <w:rsid w:val="00FA21D0"/>
    <w:rsid w:val="00FA5F5F"/>
    <w:rsid w:val="00FB163C"/>
    <w:rsid w:val="00FB730C"/>
    <w:rsid w:val="00FC0048"/>
    <w:rsid w:val="00FC2695"/>
    <w:rsid w:val="00FC3E03"/>
    <w:rsid w:val="00FC3FC1"/>
    <w:rsid w:val="00FC546A"/>
    <w:rsid w:val="00FD5873"/>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A0744"/>
  <w15:docId w15:val="{BBC006B0-A955-4015-A0CC-0C092A82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7E98F-3497-4502-A410-8CFB6354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3034</Words>
  <Characters>17299</Characters>
  <Application>Microsoft Office Word</Application>
  <DocSecurity>0</DocSecurity>
  <Lines>144</Lines>
  <Paragraphs>40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Giuseppina Maria Rosa Montante</cp:lastModifiedBy>
  <cp:revision>7</cp:revision>
  <cp:lastPrinted>2015-05-12T18:31:00Z</cp:lastPrinted>
  <dcterms:created xsi:type="dcterms:W3CDTF">2019-04-05T15:00:00Z</dcterms:created>
  <dcterms:modified xsi:type="dcterms:W3CDTF">2019-04-08T11:27:00Z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