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eastAsia="en-GB"/>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eastAsia="en-GB"/>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635B9" w:rsidRPr="00252C1A">
              <w:rPr>
                <w:rFonts w:ascii="Tahoma" w:hAnsi="Tahoma" w:cs="Tahoma"/>
                <w:sz w:val="14"/>
                <w:szCs w:val="14"/>
                <w:lang w:val="it-IT"/>
              </w:rPr>
              <w:t>Sauro Pierucci,</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rsidSect="00C64FA6">
          <w:type w:val="continuous"/>
          <w:pgSz w:w="11906" w:h="16838" w:code="9"/>
          <w:pgMar w:top="1701" w:right="1418" w:bottom="1701" w:left="1701" w:header="1701" w:footer="0" w:gutter="0"/>
          <w:cols w:space="708"/>
          <w:titlePg/>
          <w:docGrid w:linePitch="360"/>
        </w:sectPr>
      </w:pPr>
    </w:p>
    <w:p w:rsidR="00322FE3" w:rsidRDefault="00322FE3" w:rsidP="00322FE3">
      <w:pPr>
        <w:spacing w:line="240" w:lineRule="auto"/>
        <w:jc w:val="center"/>
        <w:rPr>
          <w:rFonts w:cs="Arial"/>
          <w:bCs/>
          <w:sz w:val="32"/>
          <w:szCs w:val="28"/>
        </w:rPr>
      </w:pPr>
      <w:r w:rsidRPr="00E203E3">
        <w:rPr>
          <w:rFonts w:cs="Arial"/>
          <w:bCs/>
          <w:sz w:val="32"/>
          <w:szCs w:val="28"/>
        </w:rPr>
        <w:lastRenderedPageBreak/>
        <w:t>A Semi-Empirical Model for Estimation of Pressure Drop Coefficient of a Conical Diffuser</w:t>
      </w:r>
    </w:p>
    <w:p w:rsidR="008609CA" w:rsidRPr="00E203E3" w:rsidRDefault="008609CA" w:rsidP="008609CA">
      <w:pPr>
        <w:spacing w:line="240" w:lineRule="auto"/>
        <w:rPr>
          <w:rFonts w:cs="Arial"/>
          <w:bCs/>
          <w:sz w:val="32"/>
          <w:szCs w:val="28"/>
        </w:rPr>
      </w:pPr>
    </w:p>
    <w:p w:rsidR="00E978D0" w:rsidRPr="00B57B36" w:rsidRDefault="00A211E7" w:rsidP="00AB5011">
      <w:pPr>
        <w:pStyle w:val="CETAuthors"/>
      </w:pPr>
      <w:r w:rsidRPr="00837563">
        <w:rPr>
          <w:rFonts w:cs="Arial"/>
          <w:szCs w:val="24"/>
        </w:rPr>
        <w:t>Samuel A. Mfon</w:t>
      </w:r>
      <w:r w:rsidRPr="00837563">
        <w:rPr>
          <w:rFonts w:cs="Arial"/>
          <w:b/>
          <w:szCs w:val="24"/>
          <w:vertAlign w:val="superscript"/>
        </w:rPr>
        <w:t>a</w:t>
      </w:r>
      <w:r w:rsidRPr="00837563">
        <w:rPr>
          <w:rFonts w:cs="Arial"/>
          <w:szCs w:val="24"/>
        </w:rPr>
        <w:t>, Sunday B. Alabi</w:t>
      </w:r>
      <w:r w:rsidRPr="00837563">
        <w:rPr>
          <w:rFonts w:cs="Arial"/>
          <w:b/>
          <w:szCs w:val="24"/>
          <w:vertAlign w:val="superscript"/>
        </w:rPr>
        <w:t>a</w:t>
      </w:r>
      <w:r w:rsidRPr="00837563">
        <w:rPr>
          <w:rFonts w:cs="Arial"/>
          <w:b/>
          <w:sz w:val="28"/>
          <w:szCs w:val="28"/>
          <w:vertAlign w:val="superscript"/>
        </w:rPr>
        <w:t>*</w:t>
      </w:r>
      <w:r w:rsidRPr="00837563">
        <w:rPr>
          <w:rFonts w:cs="Arial"/>
          <w:szCs w:val="24"/>
        </w:rPr>
        <w:t>, Etim S. Udoetok</w:t>
      </w:r>
      <w:r w:rsidRPr="00837563">
        <w:rPr>
          <w:rFonts w:cs="Arial"/>
          <w:b/>
          <w:szCs w:val="24"/>
          <w:vertAlign w:val="superscript"/>
        </w:rPr>
        <w:t>b</w:t>
      </w:r>
      <w:r w:rsidRPr="00837563">
        <w:rPr>
          <w:rFonts w:cs="Arial"/>
          <w:szCs w:val="24"/>
        </w:rPr>
        <w:t>, Uchechukwu H. Offor</w:t>
      </w:r>
      <w:r w:rsidRPr="00837563">
        <w:rPr>
          <w:rFonts w:cs="Arial"/>
          <w:b/>
          <w:szCs w:val="24"/>
          <w:vertAlign w:val="superscript"/>
        </w:rPr>
        <w:t>a</w:t>
      </w:r>
      <w:r w:rsidRPr="00837563">
        <w:rPr>
          <w:rFonts w:cs="Arial"/>
          <w:szCs w:val="24"/>
        </w:rPr>
        <w:t>, Emmanuel U. Nsek</w:t>
      </w:r>
      <w:r w:rsidRPr="00462C60">
        <w:rPr>
          <w:rFonts w:cs="Arial"/>
          <w:b/>
          <w:szCs w:val="24"/>
          <w:vertAlign w:val="superscript"/>
        </w:rPr>
        <w:t>a</w:t>
      </w:r>
      <w:r w:rsidRPr="00837563">
        <w:rPr>
          <w:rFonts w:cs="Arial"/>
          <w:szCs w:val="24"/>
        </w:rPr>
        <w:t>, Zdenek Tomas</w:t>
      </w:r>
      <w:r w:rsidRPr="00837563">
        <w:rPr>
          <w:rFonts w:cs="Arial"/>
          <w:b/>
          <w:szCs w:val="24"/>
          <w:vertAlign w:val="superscript"/>
        </w:rPr>
        <w:t>c</w:t>
      </w:r>
      <w:r w:rsidRPr="00837563">
        <w:rPr>
          <w:rFonts w:cs="Arial"/>
          <w:szCs w:val="24"/>
        </w:rPr>
        <w:t>, Tomas Miklík</w:t>
      </w:r>
      <w:r w:rsidRPr="00837563">
        <w:rPr>
          <w:rFonts w:cs="Arial"/>
          <w:b/>
          <w:szCs w:val="24"/>
          <w:vertAlign w:val="superscript"/>
        </w:rPr>
        <w:t>c</w:t>
      </w:r>
    </w:p>
    <w:p w:rsidR="00A211E7" w:rsidRPr="00837563" w:rsidRDefault="00A211E7" w:rsidP="004B72D6">
      <w:pPr>
        <w:pStyle w:val="CETAddress"/>
      </w:pPr>
      <w:r w:rsidRPr="00837563">
        <w:rPr>
          <w:b/>
          <w:vertAlign w:val="superscript"/>
        </w:rPr>
        <w:t>a</w:t>
      </w:r>
      <w:r w:rsidRPr="00837563">
        <w:t>Department of Chemical and Petroleum Engineering, University of Uyo, Nigeria</w:t>
      </w:r>
    </w:p>
    <w:p w:rsidR="00A211E7" w:rsidRPr="00837563" w:rsidRDefault="00A211E7" w:rsidP="004B72D6">
      <w:pPr>
        <w:pStyle w:val="CETAddress"/>
      </w:pPr>
      <w:r w:rsidRPr="00837563">
        <w:rPr>
          <w:b/>
          <w:vertAlign w:val="superscript"/>
        </w:rPr>
        <w:t>b</w:t>
      </w:r>
      <w:r w:rsidRPr="00837563">
        <w:t>Department of Mechanical and Aerospace Engineering, University of Uyo, Nigeria</w:t>
      </w:r>
    </w:p>
    <w:p w:rsidR="00A211E7" w:rsidRDefault="00A211E7" w:rsidP="004B72D6">
      <w:pPr>
        <w:pStyle w:val="CETAddress"/>
        <w:rPr>
          <w:shd w:val="clear" w:color="auto" w:fill="FFFFFF"/>
        </w:rPr>
      </w:pPr>
      <w:r w:rsidRPr="00837563">
        <w:rPr>
          <w:b/>
          <w:vertAlign w:val="superscript"/>
        </w:rPr>
        <w:t>c</w:t>
      </w:r>
      <w:r w:rsidRPr="00837563">
        <w:t xml:space="preserve">GE Power, </w:t>
      </w:r>
      <w:r w:rsidRPr="00837563">
        <w:rPr>
          <w:shd w:val="clear" w:color="auto" w:fill="FFFFFF"/>
        </w:rPr>
        <w:t>Olomoucká 3419/7  618 00 Brno, Czech Republic</w:t>
      </w:r>
    </w:p>
    <w:p w:rsidR="00E978D0" w:rsidRPr="008415D5" w:rsidRDefault="00A211E7" w:rsidP="004B72D6">
      <w:pPr>
        <w:pStyle w:val="CETAddress"/>
        <w:spacing w:after="240"/>
        <w:rPr>
          <w:szCs w:val="16"/>
        </w:rPr>
      </w:pPr>
      <w:r w:rsidRPr="008415D5">
        <w:rPr>
          <w:rFonts w:cs="Arial"/>
          <w:szCs w:val="16"/>
        </w:rPr>
        <w:t>sundayalabi@uniuyo.edu.ng</w:t>
      </w:r>
    </w:p>
    <w:p w:rsidR="00A211E7" w:rsidRPr="00046122" w:rsidRDefault="00A211E7" w:rsidP="004B72D6">
      <w:pPr>
        <w:pStyle w:val="CETBodytext"/>
        <w:spacing w:after="240"/>
        <w:rPr>
          <w:rFonts w:cs="Arial"/>
        </w:rPr>
      </w:pPr>
      <w:r w:rsidRPr="00046122">
        <w:rPr>
          <w:rFonts w:cs="Arial"/>
        </w:rPr>
        <w:t xml:space="preserve">Diffusers are widely used in technical practice in order to make the transition from a tube/pipe or duct of smaller section to a larger one. Low pressure drop across a diffuser is highly required to save pumping or ventilation work. Diffuser pressure drop is caused by enhanced turbulence of the flow, separation of the boundary layer from the diffuser walls and violent vortex formation. As a result, the precise pressure drop coefficient estimation is of high importance. The pressure drop coefficient </w:t>
      </w:r>
      <w:r w:rsidRPr="00046122">
        <w:rPr>
          <w:rFonts w:cs="Arial"/>
          <w:noProof/>
        </w:rPr>
        <w:t>(</w:t>
      </w:r>
      <w:r w:rsidR="00046122" w:rsidRPr="00046122">
        <w:rPr>
          <w:rFonts w:cs="Arial"/>
          <w:noProof/>
        </w:rPr>
        <w:t>ζ</w:t>
      </w:r>
      <w:r w:rsidR="00046122" w:rsidRPr="00046122">
        <w:rPr>
          <w:rFonts w:cs="Arial"/>
          <w:noProof/>
          <w:vertAlign w:val="subscript"/>
        </w:rPr>
        <w:t>d</w:t>
      </w:r>
      <w:r w:rsidRPr="00046122">
        <w:rPr>
          <w:rFonts w:cs="Arial"/>
        </w:rPr>
        <w:t xml:space="preserve">) of a diffuser depends on diffuser geometry and flow parameters. </w:t>
      </w:r>
      <w:r w:rsidRPr="00046122">
        <w:rPr>
          <w:rFonts w:cs="Arial"/>
          <w:noProof/>
        </w:rPr>
        <w:t xml:space="preserve">Traditionally, a number of models must be combined and used with the data obtained from tables (with 2-D interpolation) and charts in a series of steps to obtain </w:t>
      </w:r>
      <w:r w:rsidR="00046122" w:rsidRPr="00046122">
        <w:rPr>
          <w:rFonts w:cs="Arial"/>
          <w:noProof/>
        </w:rPr>
        <w:t>ζ</w:t>
      </w:r>
      <w:r w:rsidR="00046122" w:rsidRPr="00046122">
        <w:rPr>
          <w:rFonts w:cs="Arial"/>
          <w:noProof/>
          <w:vertAlign w:val="subscript"/>
        </w:rPr>
        <w:t>d</w:t>
      </w:r>
      <w:r w:rsidRPr="00046122">
        <w:rPr>
          <w:rFonts w:cs="Arial"/>
          <w:noProof/>
        </w:rPr>
        <w:t xml:space="preserve">. This approach is not suitable for computer-based simulations.  Consequently, in this study, a semi-empirical model, for estimating </w:t>
      </w:r>
      <w:r w:rsidR="00046122" w:rsidRPr="00046122">
        <w:rPr>
          <w:rFonts w:cs="Arial"/>
          <w:noProof/>
        </w:rPr>
        <w:t>ζ</w:t>
      </w:r>
      <w:r w:rsidR="00046122" w:rsidRPr="00046122">
        <w:rPr>
          <w:rFonts w:cs="Arial"/>
          <w:noProof/>
          <w:vertAlign w:val="subscript"/>
        </w:rPr>
        <w:t>d</w:t>
      </w:r>
      <w:r w:rsidRPr="00046122">
        <w:rPr>
          <w:rFonts w:cs="Arial"/>
          <w:noProof/>
        </w:rPr>
        <w:t xml:space="preserve"> of a conical diffuser, as an explicit function of the flow parameters and the diffuser geometry, is developed. </w:t>
      </w:r>
      <w:r w:rsidRPr="00046122">
        <w:rPr>
          <w:rFonts w:cs="Arial"/>
        </w:rPr>
        <w:t>The model was validated using literature data. The performance indices which were obtained as high R</w:t>
      </w:r>
      <w:r w:rsidRPr="00046122">
        <w:rPr>
          <w:rFonts w:cs="Arial"/>
          <w:vertAlign w:val="superscript"/>
        </w:rPr>
        <w:t>2</w:t>
      </w:r>
      <w:r w:rsidRPr="00046122">
        <w:rPr>
          <w:rFonts w:cs="Arial"/>
        </w:rPr>
        <w:t>=0.9942, low mean absolute relative error (MeARE)=4.04%, low root mean squared error (RMSE)=0.0192 are an indication that the proposed model is accurate enough for computer-based simulations and performance evaluation of a conical diffuser over a wide range of operating conditions.</w:t>
      </w:r>
    </w:p>
    <w:p w:rsidR="00600535" w:rsidRPr="00B57B36" w:rsidRDefault="00600535" w:rsidP="00600535">
      <w:pPr>
        <w:pStyle w:val="CETHeading1"/>
        <w:rPr>
          <w:lang w:val="en-GB"/>
        </w:rPr>
      </w:pPr>
      <w:r w:rsidRPr="00B57B36">
        <w:rPr>
          <w:lang w:val="en-GB"/>
        </w:rPr>
        <w:t>Introduction</w:t>
      </w:r>
    </w:p>
    <w:p w:rsidR="00D049D5" w:rsidRDefault="00D049D5" w:rsidP="00D049D5">
      <w:pPr>
        <w:pStyle w:val="CETBodytext"/>
        <w:rPr>
          <w:bCs/>
        </w:rPr>
      </w:pPr>
      <w:r w:rsidRPr="00A211E7">
        <w:t>Many industrial applications require piping systems to provide energy and deliver efficient products. For example, for the design of ventilation and air-conditioning systems, it is important to know the fan static pressure requirements for a given flow rate.</w:t>
      </w:r>
      <w:r w:rsidR="00B44736">
        <w:t xml:space="preserve"> Pipes of different sizes can be connected in order to deliver the required flow. In order to reduce head losses,</w:t>
      </w:r>
      <w:r w:rsidRPr="00A211E7">
        <w:t xml:space="preserve"> </w:t>
      </w:r>
      <w:r w:rsidR="00B44736">
        <w:rPr>
          <w:rFonts w:cs="Arial"/>
        </w:rPr>
        <w:t>d</w:t>
      </w:r>
      <w:r w:rsidR="00B44736" w:rsidRPr="00046122">
        <w:rPr>
          <w:rFonts w:cs="Arial"/>
        </w:rPr>
        <w:t>iffusers are widely used in technical practice to make the transition from a tube/pipe or duct of smaller section to a larger one</w:t>
      </w:r>
      <w:r w:rsidR="00B44736">
        <w:rPr>
          <w:rFonts w:cs="Arial"/>
        </w:rPr>
        <w:t>.</w:t>
      </w:r>
      <w:r w:rsidR="00B44736" w:rsidRPr="00A211E7">
        <w:rPr>
          <w:bCs/>
        </w:rPr>
        <w:t xml:space="preserve"> </w:t>
      </w:r>
      <w:r w:rsidRPr="00A211E7">
        <w:rPr>
          <w:bCs/>
        </w:rPr>
        <w:t>Diffusers are extensively used in centrifugal compressors, axial flow compressors, ramjets, combustion chambers, inlet portions of jet engines, etc. (Keerthana and Jamuna Rani, 2012).</w:t>
      </w:r>
    </w:p>
    <w:p w:rsidR="00E7522E" w:rsidRDefault="00A211E7" w:rsidP="004B72D6">
      <w:pPr>
        <w:pStyle w:val="CETBodytext"/>
        <w:rPr>
          <w:szCs w:val="18"/>
        </w:rPr>
      </w:pPr>
      <w:r w:rsidRPr="00A211E7">
        <w:t xml:space="preserve">A diffuser is a smoothly expanding tubular section used to make the transition from a tube or channel of smaller cross section to a large one thereby converting the kinetic energy of flow into potential energy or of velocity pressure into static pressure with minimum total pressure losses. It is a device that causes a pressure drop at the output region (suction region downstream of the diffuser). The pressure drop caused, accelerates the fluid particles passing through the inner region of the diffuser, and increases the flow velocity </w:t>
      </w:r>
      <w:r w:rsidR="00E7522E">
        <w:t>near the entrance (Idelchik, 199</w:t>
      </w:r>
      <w:r w:rsidRPr="00A211E7">
        <w:t>6; Karunakaran and Ganesa</w:t>
      </w:r>
      <w:r w:rsidRPr="00A211E7">
        <w:rPr>
          <w:i/>
          <w:iCs/>
        </w:rPr>
        <w:t>.</w:t>
      </w:r>
      <w:r w:rsidRPr="00A211E7">
        <w:t>, 2009). The static pressure, a</w:t>
      </w:r>
      <w:r w:rsidR="00E7522E">
        <w:t>lso known as the “wall pressure,</w:t>
      </w:r>
      <w:r w:rsidRPr="00A211E7">
        <w:t xml:space="preserve">” is the stationary force applied on the unit area of the walls of the pipe. In a flow system, as the fluid transits from the inlet collector, pressure is reserved and builds up due to continuous flow and this pressure is needed as the velocity decreases downstream of inlet duct to maintain the flow from the exit duct of the diffuser to the straight pipe. The static-pressure rise reflects </w:t>
      </w:r>
      <w:r w:rsidRPr="00A211E7">
        <w:rPr>
          <w:bCs/>
        </w:rPr>
        <w:t xml:space="preserve">the </w:t>
      </w:r>
      <w:r w:rsidRPr="00A211E7">
        <w:t xml:space="preserve">ability of the diffuser to accomplish its purpose, which is to convert kinetic energy into pressure energy. The static pressure rise quantity, given </w:t>
      </w:r>
      <w:r w:rsidRPr="00A211E7">
        <w:rPr>
          <w:bCs/>
        </w:rPr>
        <w:t xml:space="preserve">in </w:t>
      </w:r>
      <w:r w:rsidRPr="00A211E7">
        <w:t xml:space="preserve">terms of the diffuser effectiveness, </w:t>
      </w:r>
      <w:r w:rsidRPr="00A211E7">
        <w:rPr>
          <w:bCs/>
        </w:rPr>
        <w:t xml:space="preserve">is </w:t>
      </w:r>
      <w:r w:rsidRPr="00A211E7">
        <w:t xml:space="preserve">defined </w:t>
      </w:r>
      <w:r w:rsidRPr="00A211E7">
        <w:rPr>
          <w:bCs/>
        </w:rPr>
        <w:t xml:space="preserve">as </w:t>
      </w:r>
      <w:r w:rsidRPr="00A211E7">
        <w:t xml:space="preserve">the actual rise in pressure energy divided by the ideal reduction in kinetic energy (Karunakaran </w:t>
      </w:r>
      <w:r w:rsidRPr="00A211E7">
        <w:rPr>
          <w:iCs/>
        </w:rPr>
        <w:t>and Ganesa</w:t>
      </w:r>
      <w:r w:rsidRPr="00A211E7">
        <w:t>, 2009).</w:t>
      </w:r>
      <w:r w:rsidRPr="00A211E7">
        <w:rPr>
          <w:rFonts w:eastAsia="TimesNewRoman"/>
        </w:rPr>
        <w:t xml:space="preserve"> </w:t>
      </w:r>
    </w:p>
    <w:p w:rsidR="00A211E7" w:rsidRPr="00653874" w:rsidRDefault="004577F8" w:rsidP="004B72D6">
      <w:pPr>
        <w:pStyle w:val="CETBodytext"/>
        <w:rPr>
          <w:bCs/>
        </w:rPr>
      </w:pPr>
      <w:r>
        <w:rPr>
          <w:szCs w:val="18"/>
        </w:rPr>
        <w:lastRenderedPageBreak/>
        <w:t xml:space="preserve">Low pressure drop across a </w:t>
      </w:r>
      <w:r w:rsidR="00A211E7" w:rsidRPr="005F0443">
        <w:rPr>
          <w:szCs w:val="18"/>
        </w:rPr>
        <w:t xml:space="preserve">diffuser is highly required to save pumping or ventilation work. As a result, the precise estimation of pressure drop coefficient </w:t>
      </w:r>
      <w:r w:rsidR="00A211E7" w:rsidRPr="005F0443">
        <w:rPr>
          <w:noProof/>
          <w:szCs w:val="18"/>
        </w:rPr>
        <w:t>(</w:t>
      </w:r>
      <w:r w:rsidR="00046122" w:rsidRPr="00046122">
        <w:rPr>
          <w:rFonts w:cs="Arial"/>
          <w:noProof/>
        </w:rPr>
        <w:t>ζ</w:t>
      </w:r>
      <w:r w:rsidR="00046122" w:rsidRPr="00046122">
        <w:rPr>
          <w:rFonts w:cs="Arial"/>
          <w:noProof/>
          <w:vertAlign w:val="subscript"/>
        </w:rPr>
        <w:t>d</w:t>
      </w:r>
      <w:r w:rsidR="00A211E7" w:rsidRPr="005F0443">
        <w:rPr>
          <w:szCs w:val="18"/>
        </w:rPr>
        <w:t xml:space="preserve">) is of high importance. Unfortunately, </w:t>
      </w:r>
      <w:r w:rsidR="00A211E7" w:rsidRPr="005F0443">
        <w:rPr>
          <w:noProof/>
          <w:szCs w:val="18"/>
        </w:rPr>
        <w:t xml:space="preserve">traditionally, a number of models must be combined and used with the data obtained from tables (with 2D interpolation) and charts in a series of steps to obtain </w:t>
      </w:r>
      <w:r w:rsidR="00046122" w:rsidRPr="00046122">
        <w:rPr>
          <w:rFonts w:cs="Arial"/>
          <w:noProof/>
        </w:rPr>
        <w:t>ζ</w:t>
      </w:r>
      <w:r w:rsidR="00046122" w:rsidRPr="00046122">
        <w:rPr>
          <w:rFonts w:cs="Arial"/>
          <w:noProof/>
          <w:vertAlign w:val="subscript"/>
        </w:rPr>
        <w:t>d</w:t>
      </w:r>
      <w:r w:rsidR="00A211E7" w:rsidRPr="005F0443">
        <w:rPr>
          <w:noProof/>
          <w:szCs w:val="18"/>
        </w:rPr>
        <w:t>. This approach is</w:t>
      </w:r>
      <w:r w:rsidR="00096C03">
        <w:rPr>
          <w:noProof/>
          <w:szCs w:val="18"/>
        </w:rPr>
        <w:t xml:space="preserve"> cumbersome and</w:t>
      </w:r>
      <w:r w:rsidR="00A211E7" w:rsidRPr="005F0443">
        <w:rPr>
          <w:noProof/>
          <w:szCs w:val="18"/>
        </w:rPr>
        <w:t xml:space="preserve"> not suitable for computer-based simulations.  Therefore, the main contribution of this paper is the development of a single semi-empirical model for estimating </w:t>
      </w:r>
      <w:r w:rsidR="00046122" w:rsidRPr="00046122">
        <w:rPr>
          <w:rFonts w:cs="Arial"/>
          <w:noProof/>
        </w:rPr>
        <w:t>ζ</w:t>
      </w:r>
      <w:r w:rsidR="00046122" w:rsidRPr="00046122">
        <w:rPr>
          <w:rFonts w:cs="Arial"/>
          <w:noProof/>
          <w:vertAlign w:val="subscript"/>
        </w:rPr>
        <w:t>d</w:t>
      </w:r>
      <w:r w:rsidR="00A211E7" w:rsidRPr="005F0443">
        <w:rPr>
          <w:noProof/>
          <w:szCs w:val="18"/>
        </w:rPr>
        <w:t xml:space="preserve"> of a conical diffuser as an explicit function of the flow parameters and the diffuser geometry. The model development, its performance evaluation and conclusions are presented in the subsequent sections.</w:t>
      </w:r>
    </w:p>
    <w:p w:rsidR="00600535" w:rsidRPr="00A211E7" w:rsidRDefault="00A211E7" w:rsidP="00A211E7">
      <w:pPr>
        <w:pStyle w:val="CETHeading1"/>
        <w:numPr>
          <w:ilvl w:val="1"/>
          <w:numId w:val="22"/>
        </w:numPr>
        <w:tabs>
          <w:tab w:val="right" w:pos="7100"/>
        </w:tabs>
        <w:jc w:val="both"/>
        <w:rPr>
          <w:lang w:val="en-GB"/>
        </w:rPr>
      </w:pPr>
      <w:r w:rsidRPr="00A211E7">
        <w:rPr>
          <w:lang w:val="en-GB"/>
        </w:rPr>
        <w:t>Development of the Proposed Semi-Empirical Model</w:t>
      </w:r>
    </w:p>
    <w:p w:rsidR="005F0443" w:rsidRPr="00046122" w:rsidRDefault="00A211E7" w:rsidP="00046122">
      <w:pPr>
        <w:pStyle w:val="CETBodytext"/>
        <w:rPr>
          <w:rFonts w:cs="Arial"/>
        </w:rPr>
      </w:pPr>
      <w:r w:rsidRPr="00046122">
        <w:rPr>
          <w:rFonts w:cs="Arial"/>
        </w:rPr>
        <w:t xml:space="preserve">For a diffuser installed in a piping network, and for a fully developed turbulent flow and uniform velocity distribution, </w:t>
      </w:r>
      <w:r w:rsidR="00046122" w:rsidRPr="00046122">
        <w:rPr>
          <w:rFonts w:cs="Arial"/>
          <w:noProof/>
        </w:rPr>
        <w:t>ζ</w:t>
      </w:r>
      <w:r w:rsidR="00046122" w:rsidRPr="00046122">
        <w:rPr>
          <w:rFonts w:cs="Arial"/>
          <w:noProof/>
          <w:vertAlign w:val="subscript"/>
        </w:rPr>
        <w:t>d</w:t>
      </w:r>
      <w:r w:rsidRPr="00046122">
        <w:rPr>
          <w:rFonts w:cs="Arial"/>
        </w:rPr>
        <w:t xml:space="preserve">, a function of </w:t>
      </w:r>
      <w:r w:rsidRPr="00046122">
        <w:rPr>
          <w:rFonts w:cs="Arial"/>
          <w:bCs/>
        </w:rPr>
        <w:t>diffuser angl</w:t>
      </w:r>
      <w:r w:rsidR="00046122" w:rsidRPr="00046122">
        <w:rPr>
          <w:rFonts w:cs="Arial"/>
          <w:bCs/>
        </w:rPr>
        <w:t>e(</w:t>
      </w:r>
      <w:r w:rsidR="00046122" w:rsidRPr="00046122">
        <w:rPr>
          <w:rFonts w:cs="Arial"/>
          <w:bCs/>
          <w:i/>
        </w:rPr>
        <w:t>α</w:t>
      </w:r>
      <w:r w:rsidR="00046122" w:rsidRPr="00046122">
        <w:rPr>
          <w:rFonts w:cs="Arial"/>
          <w:bCs/>
        </w:rPr>
        <w:t>)</w:t>
      </w:r>
      <w:r w:rsidRPr="00046122">
        <w:rPr>
          <w:rFonts w:cs="Arial"/>
        </w:rPr>
        <w:t xml:space="preserve">, diffuser areas ratio </w:t>
      </w:r>
      <w:r w:rsidR="00046122" w:rsidRPr="00046122">
        <w:rPr>
          <w:rFonts w:cs="Arial"/>
        </w:rPr>
        <w:t>(</w:t>
      </w:r>
      <w:r w:rsidR="00046122" w:rsidRPr="00046122">
        <w:rPr>
          <w:rFonts w:cs="Arial"/>
          <w:i/>
        </w:rPr>
        <w:t>n</w:t>
      </w:r>
      <w:r w:rsidR="00046122" w:rsidRPr="00046122">
        <w:rPr>
          <w:rFonts w:cs="Arial"/>
          <w:i/>
          <w:vertAlign w:val="subscript"/>
        </w:rPr>
        <w:t>ar</w:t>
      </w:r>
      <w:r w:rsidRPr="00046122">
        <w:rPr>
          <w:rFonts w:cs="Arial"/>
        </w:rPr>
        <w:t>) and Reynolds number (Re), is read off from tables (</w:t>
      </w:r>
      <w:r w:rsidR="00E7522E" w:rsidRPr="00046122">
        <w:rPr>
          <w:rFonts w:cs="Arial"/>
        </w:rPr>
        <w:t xml:space="preserve">see </w:t>
      </w:r>
      <w:r w:rsidRPr="00046122">
        <w:rPr>
          <w:rFonts w:cs="Arial"/>
        </w:rPr>
        <w:t xml:space="preserve">Idelchik, 1996). This manual approach of obtaining </w:t>
      </w:r>
      <w:r w:rsidR="00046122" w:rsidRPr="00046122">
        <w:rPr>
          <w:rFonts w:cs="Arial"/>
          <w:noProof/>
        </w:rPr>
        <w:t>ζ</w:t>
      </w:r>
      <w:r w:rsidR="00046122" w:rsidRPr="00046122">
        <w:rPr>
          <w:rFonts w:cs="Arial"/>
          <w:noProof/>
          <w:vertAlign w:val="subscript"/>
        </w:rPr>
        <w:t>d</w:t>
      </w:r>
      <w:r w:rsidRPr="00046122">
        <w:rPr>
          <w:rFonts w:cs="Arial"/>
        </w:rPr>
        <w:t xml:space="preserve"> is not suitable for computer-based simulations. Based on the generalization of experimental data on the losses of diffusers installed in a system, </w:t>
      </w:r>
      <w:r w:rsidR="00046122" w:rsidRPr="00046122">
        <w:rPr>
          <w:rFonts w:cs="Arial"/>
          <w:noProof/>
        </w:rPr>
        <w:t>ζ</w:t>
      </w:r>
      <w:r w:rsidR="00046122" w:rsidRPr="00046122">
        <w:rPr>
          <w:rFonts w:cs="Arial"/>
          <w:noProof/>
          <w:vertAlign w:val="subscript"/>
        </w:rPr>
        <w:t>d</w:t>
      </w:r>
      <w:r w:rsidRPr="00046122">
        <w:rPr>
          <w:rFonts w:cs="Arial"/>
        </w:rPr>
        <w:t xml:space="preserve"> is given in Eq(1) (Chernyavskiy </w:t>
      </w:r>
      <w:r w:rsidRPr="00046122">
        <w:rPr>
          <w:rFonts w:cs="Arial"/>
          <w:iCs/>
        </w:rPr>
        <w:t>et al</w:t>
      </w:r>
      <w:r w:rsidRPr="00046122">
        <w:rPr>
          <w:rFonts w:cs="Arial"/>
          <w:i/>
          <w:iCs/>
        </w:rPr>
        <w:t>.</w:t>
      </w:r>
      <w:r w:rsidRPr="00046122">
        <w:rPr>
          <w:rFonts w:cs="Arial"/>
        </w:rPr>
        <w:t xml:space="preserve">, 1985, 1986), where </w:t>
      </w:r>
      <w:r w:rsidR="00046122" w:rsidRPr="00046122">
        <w:rPr>
          <w:rFonts w:cs="Arial"/>
          <w:noProof/>
        </w:rPr>
        <w:t>ζ'</w:t>
      </w:r>
      <w:r w:rsidR="00046122" w:rsidRPr="00046122">
        <w:rPr>
          <w:rFonts w:cs="Arial"/>
          <w:i/>
          <w:noProof/>
          <w:vertAlign w:val="subscript"/>
        </w:rPr>
        <w:t>fr</w:t>
      </w:r>
      <w:r w:rsidR="00046122" w:rsidRPr="00046122">
        <w:rPr>
          <w:rFonts w:cs="Arial"/>
        </w:rPr>
        <w:t xml:space="preserve"> </w:t>
      </w:r>
      <w:r w:rsidRPr="00046122">
        <w:rPr>
          <w:rFonts w:cs="Arial"/>
        </w:rPr>
        <w:t>is the hydraulic fri</w:t>
      </w:r>
      <w:r w:rsidR="00096C03" w:rsidRPr="00046122">
        <w:rPr>
          <w:rFonts w:cs="Arial"/>
        </w:rPr>
        <w:t xml:space="preserve">ction pressure loss coefficient, </w:t>
      </w:r>
      <w:r w:rsidR="00046122" w:rsidRPr="00046122">
        <w:rPr>
          <w:rFonts w:cs="Arial"/>
          <w:noProof/>
        </w:rPr>
        <w:t>ζ</w:t>
      </w:r>
      <w:r w:rsidR="00046122" w:rsidRPr="00046122">
        <w:rPr>
          <w:rFonts w:cs="Arial"/>
          <w:i/>
          <w:noProof/>
          <w:vertAlign w:val="subscript"/>
        </w:rPr>
        <w:t>un</w:t>
      </w:r>
      <w:r w:rsidR="00096C03" w:rsidRPr="00046122">
        <w:rPr>
          <w:rFonts w:cs="Arial"/>
        </w:rPr>
        <w:t xml:space="preserve"> and </w:t>
      </w:r>
      <w:r w:rsidR="00046122" w:rsidRPr="00046122">
        <w:rPr>
          <w:rFonts w:cs="Arial"/>
          <w:noProof/>
        </w:rPr>
        <w:t>ζ</w:t>
      </w:r>
      <w:r w:rsidR="00046122" w:rsidRPr="00046122">
        <w:rPr>
          <w:rFonts w:cs="Arial"/>
          <w:i/>
          <w:noProof/>
          <w:vertAlign w:val="subscript"/>
        </w:rPr>
        <w:t>non</w:t>
      </w:r>
      <w:r w:rsidR="00046122" w:rsidRPr="00046122">
        <w:rPr>
          <w:rFonts w:cs="Arial"/>
        </w:rPr>
        <w:t xml:space="preserve"> </w:t>
      </w:r>
      <w:r w:rsidR="00096C03" w:rsidRPr="00046122">
        <w:rPr>
          <w:rFonts w:cs="Arial"/>
        </w:rPr>
        <w:t>are the coefficients which account for expansion losses in the diffuser with a</w:t>
      </w:r>
    </w:p>
    <w:tbl>
      <w:tblPr>
        <w:tblW w:w="5000" w:type="pct"/>
        <w:tblLook w:val="04A0"/>
      </w:tblPr>
      <w:tblGrid>
        <w:gridCol w:w="8188"/>
        <w:gridCol w:w="815"/>
      </w:tblGrid>
      <w:tr w:rsidR="001C25D1" w:rsidRPr="00E363EF" w:rsidTr="00F907DD">
        <w:tc>
          <w:tcPr>
            <w:tcW w:w="8188" w:type="dxa"/>
            <w:shd w:val="clear" w:color="auto" w:fill="auto"/>
          </w:tcPr>
          <w:p w:rsidR="001C25D1" w:rsidRPr="004B4596" w:rsidRDefault="008B3402" w:rsidP="008B3402">
            <w:pPr>
              <w:pStyle w:val="CETEquation"/>
            </w:pPr>
            <w:r w:rsidRPr="008B65B9">
              <w:object w:dxaOrig="1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22.45pt" o:ole="">
                  <v:imagedata r:id="rId10" o:title=""/>
                </v:shape>
                <o:OLEObject Type="Embed" ProgID="Equation.DSMT4" ShapeID="_x0000_i1025" DrawAspect="Content" ObjectID="_1616785194" r:id="rId11"/>
              </w:object>
            </w:r>
          </w:p>
        </w:tc>
        <w:tc>
          <w:tcPr>
            <w:tcW w:w="815" w:type="dxa"/>
            <w:shd w:val="clear" w:color="auto" w:fill="auto"/>
          </w:tcPr>
          <w:p w:rsidR="001C25D1" w:rsidRPr="004B4596" w:rsidRDefault="00046122" w:rsidP="00F907DD">
            <w:pPr>
              <w:rPr>
                <w:rFonts w:cs="Arial"/>
                <w:szCs w:val="18"/>
              </w:rPr>
            </w:pPr>
            <w:r>
              <w:rPr>
                <w:rFonts w:cs="Arial"/>
                <w:szCs w:val="18"/>
              </w:rPr>
              <w:t xml:space="preserve">       (1)</w:t>
            </w:r>
          </w:p>
        </w:tc>
      </w:tr>
    </w:tbl>
    <w:p w:rsidR="006046B4" w:rsidRPr="00046122" w:rsidRDefault="006046B4" w:rsidP="00E94355">
      <w:pPr>
        <w:pStyle w:val="CETBodytext"/>
        <w:rPr>
          <w:rFonts w:cs="Arial"/>
          <w:szCs w:val="18"/>
        </w:rPr>
      </w:pPr>
      <w:r w:rsidRPr="00E94355">
        <w:t xml:space="preserve">uniform velocity profile in its initial section and non-uniform velocity profile in its initial section, respectively. According to Chernyavskiy et al. (1985, 1986), assuming the flow through the diffuser is fully developed and the velocity profile is uniform, </w:t>
      </w:r>
      <w:r w:rsidR="00046122" w:rsidRPr="00046122">
        <w:rPr>
          <w:rFonts w:cs="Arial"/>
          <w:noProof/>
        </w:rPr>
        <w:t>ζ</w:t>
      </w:r>
      <w:r w:rsidR="00046122" w:rsidRPr="00046122">
        <w:rPr>
          <w:rFonts w:cs="Arial"/>
          <w:i/>
          <w:noProof/>
          <w:vertAlign w:val="subscript"/>
        </w:rPr>
        <w:t>non</w:t>
      </w:r>
      <w:r w:rsidR="00046122" w:rsidRPr="00E94355">
        <w:t xml:space="preserve"> </w:t>
      </w:r>
      <w:r w:rsidRPr="00E94355">
        <w:t xml:space="preserve">is considered to be negligible. Moreover, for a conical diffuser, </w:t>
      </w:r>
      <w:r w:rsidR="00046122" w:rsidRPr="00046122">
        <w:rPr>
          <w:rFonts w:cs="Arial"/>
          <w:noProof/>
        </w:rPr>
        <w:t>ζ</w:t>
      </w:r>
      <w:r w:rsidR="00046122" w:rsidRPr="00046122">
        <w:rPr>
          <w:rFonts w:cs="Arial"/>
          <w:i/>
          <w:noProof/>
          <w:vertAlign w:val="subscript"/>
        </w:rPr>
        <w:t>un</w:t>
      </w:r>
      <w:r w:rsidR="00046122">
        <w:t xml:space="preserve"> is given in Eq</w:t>
      </w:r>
      <w:r w:rsidRPr="00E94355">
        <w:t>(2), where the shock coefficient</w:t>
      </w:r>
      <w:r w:rsidR="00046122">
        <w:t xml:space="preserve"> </w:t>
      </w:r>
      <w:r w:rsidR="00046122" w:rsidRPr="00046122">
        <w:rPr>
          <w:rFonts w:cs="Arial"/>
          <w:i/>
        </w:rPr>
        <w:t>ϕ</w:t>
      </w:r>
      <w:r w:rsidR="00046122">
        <w:rPr>
          <w:rFonts w:cs="Arial"/>
          <w:i/>
        </w:rPr>
        <w:t>=</w:t>
      </w:r>
      <w:r w:rsidR="00046122">
        <w:rPr>
          <w:rFonts w:cs="Arial"/>
          <w:i/>
          <w:szCs w:val="18"/>
        </w:rPr>
        <w:t>f(</w:t>
      </w:r>
      <w:r w:rsidR="00046122">
        <w:rPr>
          <w:rFonts w:ascii="Times New Roman" w:hAnsi="Times New Roman"/>
          <w:i/>
          <w:szCs w:val="18"/>
        </w:rPr>
        <w:t>α</w:t>
      </w:r>
      <w:r w:rsidR="00046122">
        <w:rPr>
          <w:rFonts w:cs="Arial"/>
          <w:i/>
          <w:szCs w:val="18"/>
        </w:rPr>
        <w:t>,Re)</w:t>
      </w:r>
      <w:r w:rsidR="00046122">
        <w:rPr>
          <w:rFonts w:cs="Arial"/>
          <w:szCs w:val="18"/>
        </w:rPr>
        <w:t>.</w:t>
      </w:r>
    </w:p>
    <w:tbl>
      <w:tblPr>
        <w:tblW w:w="5000" w:type="pct"/>
        <w:tblLook w:val="04A0"/>
      </w:tblPr>
      <w:tblGrid>
        <w:gridCol w:w="8188"/>
        <w:gridCol w:w="815"/>
      </w:tblGrid>
      <w:tr w:rsidR="008E4659" w:rsidRPr="00B57B36" w:rsidTr="00F907DD">
        <w:tc>
          <w:tcPr>
            <w:tcW w:w="8188" w:type="dxa"/>
            <w:shd w:val="clear" w:color="auto" w:fill="auto"/>
            <w:vAlign w:val="center"/>
          </w:tcPr>
          <w:p w:rsidR="008E4659" w:rsidRPr="00B57B36" w:rsidRDefault="00046122" w:rsidP="00F907DD">
            <w:pPr>
              <w:pStyle w:val="CETEquation"/>
            </w:pPr>
            <w:r w:rsidRPr="008B65B9">
              <w:rPr>
                <w:rFonts w:cs="Arial"/>
                <w:position w:val="-30"/>
                <w:szCs w:val="18"/>
              </w:rPr>
              <w:object w:dxaOrig="1820" w:dyaOrig="780">
                <v:shape id="_x0000_i1026" type="#_x0000_t75" style="width:109.6pt;height:47.25pt" o:ole="">
                  <v:imagedata r:id="rId12" o:title=""/>
                </v:shape>
                <o:OLEObject Type="Embed" ProgID="Equation.DSMT4" ShapeID="_x0000_i1026" DrawAspect="Content" ObjectID="_1616785195" r:id="rId13"/>
              </w:object>
            </w:r>
          </w:p>
        </w:tc>
        <w:tc>
          <w:tcPr>
            <w:tcW w:w="815" w:type="dxa"/>
            <w:shd w:val="clear" w:color="auto" w:fill="auto"/>
            <w:vAlign w:val="center"/>
          </w:tcPr>
          <w:p w:rsidR="008E4659" w:rsidRPr="00B57B36" w:rsidRDefault="008E4659" w:rsidP="00F907DD">
            <w:pPr>
              <w:pStyle w:val="CETEquation"/>
              <w:jc w:val="right"/>
            </w:pPr>
            <w:r>
              <w:t>(2</w:t>
            </w:r>
            <w:r w:rsidRPr="00B57B36">
              <w:t>)</w:t>
            </w:r>
          </w:p>
        </w:tc>
      </w:tr>
    </w:tbl>
    <w:p w:rsidR="008E4659" w:rsidRPr="004B72D6" w:rsidRDefault="006046B4" w:rsidP="004B72D6">
      <w:pPr>
        <w:pStyle w:val="CETBodytext"/>
      </w:pPr>
      <w:r w:rsidRPr="004B72D6">
        <w:t xml:space="preserve">For a uniform velocity profile and fully developed flow, </w:t>
      </w:r>
      <w:r w:rsidR="00046122" w:rsidRPr="00046122">
        <w:rPr>
          <w:rFonts w:cs="Arial"/>
          <w:noProof/>
        </w:rPr>
        <w:t>ζ'</w:t>
      </w:r>
      <w:r w:rsidR="00046122" w:rsidRPr="00046122">
        <w:rPr>
          <w:rFonts w:cs="Arial"/>
          <w:i/>
          <w:noProof/>
          <w:vertAlign w:val="subscript"/>
        </w:rPr>
        <w:t>fr</w:t>
      </w:r>
      <w:r w:rsidR="00046122" w:rsidRPr="004B72D6">
        <w:t xml:space="preserve"> </w:t>
      </w:r>
      <w:r w:rsidRPr="004B72D6">
        <w:t xml:space="preserve">is given in Eq(3) (Idelchik, 1947, 1954, cited in Idelchik, 1996), where </w:t>
      </w:r>
      <w:r w:rsidR="00046122">
        <w:rPr>
          <w:rFonts w:cs="Arial"/>
          <w:i/>
        </w:rPr>
        <w:t>λ</w:t>
      </w:r>
      <w:r w:rsidR="004577F8">
        <w:t xml:space="preserve"> is the friction </w:t>
      </w:r>
      <w:r w:rsidRPr="004B72D6">
        <w:t xml:space="preserve">factor and is a function of Re and relative roughness (ε/D) of the diffuser.    </w:t>
      </w:r>
    </w:p>
    <w:tbl>
      <w:tblPr>
        <w:tblW w:w="5000" w:type="pct"/>
        <w:tblLook w:val="04A0"/>
      </w:tblPr>
      <w:tblGrid>
        <w:gridCol w:w="8188"/>
        <w:gridCol w:w="815"/>
      </w:tblGrid>
      <w:tr w:rsidR="008E4659" w:rsidRPr="00B57B36" w:rsidTr="00F907DD">
        <w:tc>
          <w:tcPr>
            <w:tcW w:w="8188" w:type="dxa"/>
            <w:shd w:val="clear" w:color="auto" w:fill="auto"/>
            <w:vAlign w:val="center"/>
          </w:tcPr>
          <w:p w:rsidR="008E4659" w:rsidRPr="00B57B36" w:rsidRDefault="00046122" w:rsidP="00F907DD">
            <w:pPr>
              <w:pStyle w:val="CETEquation"/>
            </w:pPr>
            <w:r w:rsidRPr="008B65B9">
              <w:rPr>
                <w:rFonts w:cs="Arial"/>
                <w:position w:val="-32"/>
                <w:szCs w:val="18"/>
              </w:rPr>
              <w:object w:dxaOrig="2060" w:dyaOrig="760">
                <v:shape id="_x0000_i1027" type="#_x0000_t75" style="width:109.6pt;height:40.35pt" o:ole="">
                  <v:imagedata r:id="rId14" o:title=""/>
                </v:shape>
                <o:OLEObject Type="Embed" ProgID="Equation.DSMT4" ShapeID="_x0000_i1027" DrawAspect="Content" ObjectID="_1616785196" r:id="rId15"/>
              </w:object>
            </w:r>
          </w:p>
        </w:tc>
        <w:tc>
          <w:tcPr>
            <w:tcW w:w="815" w:type="dxa"/>
            <w:shd w:val="clear" w:color="auto" w:fill="auto"/>
            <w:vAlign w:val="center"/>
          </w:tcPr>
          <w:p w:rsidR="008E4659" w:rsidRPr="00B57B36" w:rsidRDefault="008E4659" w:rsidP="00F907DD">
            <w:pPr>
              <w:pStyle w:val="CETEquation"/>
              <w:jc w:val="right"/>
            </w:pPr>
            <w:r>
              <w:t>(3</w:t>
            </w:r>
            <w:r w:rsidRPr="00B57B36">
              <w:t>)</w:t>
            </w:r>
          </w:p>
        </w:tc>
      </w:tr>
    </w:tbl>
    <w:p w:rsidR="008E4659" w:rsidRDefault="006046B4" w:rsidP="004B72D6">
      <w:pPr>
        <w:pStyle w:val="CETBodytext"/>
      </w:pPr>
      <w:r w:rsidRPr="006046B4">
        <w:t>Considering the above assumptions and substituting Eq(2) and Eq(3) into Eq(1), Eq(4) is obtaine</w:t>
      </w:r>
      <w:r w:rsidR="00275060">
        <w:t>d</w:t>
      </w:r>
      <w:r w:rsidR="00E7522E">
        <w:t>.</w:t>
      </w:r>
    </w:p>
    <w:tbl>
      <w:tblPr>
        <w:tblW w:w="5000" w:type="pct"/>
        <w:tblLook w:val="04A0"/>
      </w:tblPr>
      <w:tblGrid>
        <w:gridCol w:w="8188"/>
        <w:gridCol w:w="815"/>
      </w:tblGrid>
      <w:tr w:rsidR="008E4659" w:rsidRPr="00B57B36" w:rsidTr="00F907DD">
        <w:tc>
          <w:tcPr>
            <w:tcW w:w="8188" w:type="dxa"/>
            <w:shd w:val="clear" w:color="auto" w:fill="auto"/>
            <w:vAlign w:val="center"/>
          </w:tcPr>
          <w:p w:rsidR="008E4659" w:rsidRPr="00B57B36" w:rsidRDefault="00046122" w:rsidP="00F907DD">
            <w:pPr>
              <w:pStyle w:val="CETEquation"/>
            </w:pPr>
            <w:r w:rsidRPr="008B65B9">
              <w:rPr>
                <w:rFonts w:cs="Arial"/>
                <w:position w:val="-32"/>
                <w:szCs w:val="18"/>
              </w:rPr>
              <w:object w:dxaOrig="3420" w:dyaOrig="800">
                <v:shape id="_x0000_i1028" type="#_x0000_t75" style="width:186.65pt;height:43.55pt" o:ole="">
                  <v:imagedata r:id="rId16" o:title=""/>
                </v:shape>
                <o:OLEObject Type="Embed" ProgID="Equation.DSMT4" ShapeID="_x0000_i1028" DrawAspect="Content" ObjectID="_1616785197" r:id="rId17"/>
              </w:object>
            </w:r>
          </w:p>
        </w:tc>
        <w:tc>
          <w:tcPr>
            <w:tcW w:w="815" w:type="dxa"/>
            <w:shd w:val="clear" w:color="auto" w:fill="auto"/>
            <w:vAlign w:val="center"/>
          </w:tcPr>
          <w:p w:rsidR="008E4659" w:rsidRPr="00B57B36" w:rsidRDefault="008E4659" w:rsidP="00F907DD">
            <w:pPr>
              <w:pStyle w:val="CETEquation"/>
              <w:jc w:val="right"/>
            </w:pPr>
            <w:r>
              <w:t>(4</w:t>
            </w:r>
            <w:r w:rsidRPr="00B57B36">
              <w:t>)</w:t>
            </w:r>
          </w:p>
        </w:tc>
      </w:tr>
    </w:tbl>
    <w:p w:rsidR="00E94355" w:rsidRPr="004B1FC9" w:rsidRDefault="00145DD1" w:rsidP="00560912">
      <w:pPr>
        <w:pStyle w:val="CETBodytext"/>
      </w:pPr>
      <w:r w:rsidRPr="004B1FC9">
        <w:t>Reliable explicit models for describ</w:t>
      </w:r>
      <w:r w:rsidR="00046122">
        <w:t>ing ϕ and λ are required in Eq</w:t>
      </w:r>
      <w:r w:rsidRPr="004B1FC9">
        <w:t xml:space="preserve">(4) to obtain a complete explicit pressure drop coefficient model. </w:t>
      </w:r>
      <w:r w:rsidR="00904479" w:rsidRPr="004B1FC9">
        <w:t xml:space="preserve">Till date, ϕ, which is a function of </w:t>
      </w:r>
      <w:r w:rsidR="00904479" w:rsidRPr="004B1FC9">
        <w:sym w:font="Symbol" w:char="F061"/>
      </w:r>
      <w:r w:rsidR="00904479" w:rsidRPr="004B1FC9">
        <w:t xml:space="preserve"> and Re, </w:t>
      </w:r>
      <w:r w:rsidR="006046B4" w:rsidRPr="004B1FC9">
        <w:t xml:space="preserve">can only be obtained from either a table or chart in the </w:t>
      </w:r>
      <w:r w:rsidR="00904479" w:rsidRPr="004B1FC9">
        <w:t xml:space="preserve">open </w:t>
      </w:r>
      <w:r w:rsidR="00BE79A2" w:rsidRPr="004B1FC9">
        <w:t>literature. Consequently, 39</w:t>
      </w:r>
      <w:r w:rsidR="006046B4" w:rsidRPr="004B1FC9">
        <w:t xml:space="preserve"> data</w:t>
      </w:r>
      <w:r w:rsidR="00BE79A2" w:rsidRPr="004B1FC9">
        <w:t>sets</w:t>
      </w:r>
      <w:r w:rsidR="006046B4" w:rsidRPr="004B1FC9">
        <w:t xml:space="preserve"> </w:t>
      </w:r>
      <w:r w:rsidR="00BE79A2" w:rsidRPr="004B1FC9">
        <w:t xml:space="preserve">containing shock coefficient values </w:t>
      </w:r>
      <w:r w:rsidR="006046B4" w:rsidRPr="004B1FC9">
        <w:t>for conical di</w:t>
      </w:r>
      <w:r w:rsidR="00E65004" w:rsidRPr="004B1FC9">
        <w:t>ffusers</w:t>
      </w:r>
      <w:r w:rsidR="00BE79A2" w:rsidRPr="004B1FC9">
        <w:t xml:space="preserve"> were obtained for Reynolds numbers between 50000 and 600000 and divergence angles between 5</w:t>
      </w:r>
      <w:r w:rsidR="00BE79A2" w:rsidRPr="004B1FC9">
        <w:rPr>
          <w:vertAlign w:val="superscript"/>
        </w:rPr>
        <w:t xml:space="preserve">0 </w:t>
      </w:r>
      <w:r w:rsidR="00BE79A2" w:rsidRPr="004B1FC9">
        <w:t>and</w:t>
      </w:r>
      <w:r w:rsidR="00BE79A2" w:rsidRPr="004B1FC9">
        <w:rPr>
          <w:vertAlign w:val="superscript"/>
        </w:rPr>
        <w:t xml:space="preserve"> </w:t>
      </w:r>
      <w:r w:rsidR="00BE79A2" w:rsidRPr="004B1FC9">
        <w:t>180</w:t>
      </w:r>
      <w:r w:rsidR="00BE79A2" w:rsidRPr="004B1FC9">
        <w:rPr>
          <w:vertAlign w:val="superscript"/>
        </w:rPr>
        <w:t>0</w:t>
      </w:r>
      <w:r w:rsidR="00BE79A2" w:rsidRPr="004B1FC9">
        <w:t xml:space="preserve"> (see Idelchik, 1996). </w:t>
      </w:r>
      <w:r w:rsidR="00856DC1" w:rsidRPr="004B1FC9">
        <w:t>Three almost overla</w:t>
      </w:r>
      <w:r w:rsidR="00D458D1" w:rsidRPr="004B1FC9">
        <w:t>pping sigmoid curves were obtained by</w:t>
      </w:r>
      <w:r w:rsidR="00856DC1" w:rsidRPr="004B1FC9">
        <w:t xml:space="preserve"> plotting</w:t>
      </w:r>
      <w:r w:rsidR="00E94355" w:rsidRPr="004B1FC9">
        <w:t xml:space="preserve"> the shock coefficient </w:t>
      </w:r>
      <w:r w:rsidR="00046122">
        <w:t>(</w:t>
      </w:r>
      <w:r w:rsidR="00046122" w:rsidRPr="00046122">
        <w:rPr>
          <w:rFonts w:cs="Arial"/>
          <w:i/>
        </w:rPr>
        <w:t>ϕ</w:t>
      </w:r>
      <w:r w:rsidR="00E94355" w:rsidRPr="004B1FC9">
        <w:t>)</w:t>
      </w:r>
      <w:r w:rsidR="00856DC1" w:rsidRPr="004B1FC9">
        <w:t xml:space="preserve"> values</w:t>
      </w:r>
      <w:r w:rsidR="00E94355" w:rsidRPr="004B1FC9">
        <w:t xml:space="preserve"> against the divergence angle </w:t>
      </w:r>
      <w:r w:rsidR="00E94355" w:rsidRPr="00046122">
        <w:rPr>
          <w:i/>
        </w:rPr>
        <w:sym w:font="Symbol" w:char="F061"/>
      </w:r>
      <w:r w:rsidR="00856DC1" w:rsidRPr="004B1FC9">
        <w:t>,</w:t>
      </w:r>
      <w:r w:rsidR="002760A9" w:rsidRPr="004B1FC9">
        <w:t xml:space="preserve"> at</w:t>
      </w:r>
      <w:r w:rsidRPr="004B1FC9">
        <w:t xml:space="preserve"> three</w:t>
      </w:r>
      <w:r w:rsidR="00E94355" w:rsidRPr="004B1FC9">
        <w:t xml:space="preserve"> constant values of Reynolds number </w:t>
      </w:r>
      <w:r w:rsidR="002760A9" w:rsidRPr="004B1FC9">
        <w:t>(</w:t>
      </w:r>
      <w:r w:rsidR="00E94355" w:rsidRPr="004B1FC9">
        <w:t>Re</w:t>
      </w:r>
      <w:r w:rsidR="002760A9" w:rsidRPr="004B1FC9">
        <w:t>=</w:t>
      </w:r>
      <w:r w:rsidR="00E94355" w:rsidRPr="004B1FC9">
        <w:t>50000, 200000 and 600000) using Microsoft Excel Spreadsheet</w:t>
      </w:r>
      <w:r w:rsidR="00856DC1" w:rsidRPr="004B1FC9">
        <w:t>.</w:t>
      </w:r>
      <w:r w:rsidR="00E94355" w:rsidRPr="004B1FC9">
        <w:t xml:space="preserve"> </w:t>
      </w:r>
      <w:r w:rsidR="00D458D1" w:rsidRPr="004B1FC9">
        <w:t>The sigmoid curves are as shown in</w:t>
      </w:r>
      <w:r w:rsidR="00E94355" w:rsidRPr="004B1FC9">
        <w:t xml:space="preserve"> Figure </w:t>
      </w:r>
      <w:r w:rsidR="00DE4A61" w:rsidRPr="004B1FC9">
        <w:t>1. It is observed that each of the</w:t>
      </w:r>
      <w:r w:rsidR="00520B69" w:rsidRPr="004B1FC9">
        <w:t xml:space="preserve"> curves can easily be described by a </w:t>
      </w:r>
      <w:r w:rsidR="00E94355" w:rsidRPr="004B1FC9">
        <w:t>logistic function w</w:t>
      </w:r>
      <w:r w:rsidR="00856DC1" w:rsidRPr="004B1FC9">
        <w:t>hich is</w:t>
      </w:r>
      <w:r w:rsidR="00E94355" w:rsidRPr="004B1FC9">
        <w:t xml:space="preserve"> defined by the formula</w:t>
      </w:r>
      <w:r w:rsidR="00520B69" w:rsidRPr="004B1FC9">
        <w:t xml:space="preserve"> given in</w:t>
      </w:r>
      <w:r w:rsidR="00856DC1" w:rsidRPr="004B1FC9">
        <w:t xml:space="preserve"> Eq(5)</w:t>
      </w:r>
      <w:r w:rsidR="00520B69" w:rsidRPr="004B1FC9">
        <w:t>.</w:t>
      </w:r>
    </w:p>
    <w:p w:rsidR="00E94355" w:rsidRPr="00DB06ED" w:rsidRDefault="00046122" w:rsidP="00E94355">
      <w:pPr>
        <w:pStyle w:val="CETEquation"/>
        <w:rPr>
          <w:rFonts w:eastAsiaTheme="minorEastAsia"/>
        </w:rPr>
      </w:pPr>
      <w:r w:rsidRPr="008B65B9">
        <w:rPr>
          <w:rFonts w:cs="Arial"/>
          <w:position w:val="-28"/>
          <w:szCs w:val="18"/>
        </w:rPr>
        <w:object w:dxaOrig="1719" w:dyaOrig="639">
          <v:shape id="_x0000_i1029" type="#_x0000_t75" style="width:101.35pt;height:38.05pt" o:ole="">
            <v:imagedata r:id="rId18" o:title=""/>
          </v:shape>
          <o:OLEObject Type="Embed" ProgID="Equation.DSMT4" ShapeID="_x0000_i1029" DrawAspect="Content" ObjectID="_1616785198" r:id="rId19"/>
        </w:object>
      </w:r>
      <w:r w:rsidR="00E94355">
        <w:rPr>
          <w:rFonts w:eastAsiaTheme="minorEastAsia"/>
        </w:rPr>
        <w:tab/>
      </w:r>
      <w:r w:rsidR="00E94355">
        <w:rPr>
          <w:rFonts w:eastAsiaTheme="minorEastAsia"/>
        </w:rPr>
        <w:tab/>
      </w:r>
      <w:r w:rsidR="00E94355">
        <w:rPr>
          <w:rFonts w:eastAsiaTheme="minorEastAsia"/>
        </w:rPr>
        <w:tab/>
        <w:t xml:space="preserve"> (5</w:t>
      </w:r>
      <w:r w:rsidR="00E94355" w:rsidRPr="00DB06ED">
        <w:rPr>
          <w:rFonts w:eastAsiaTheme="minorEastAsia"/>
        </w:rPr>
        <w:t>)</w:t>
      </w:r>
    </w:p>
    <w:p w:rsidR="00E94355" w:rsidRPr="00DB06ED" w:rsidRDefault="003F56D3" w:rsidP="00E94355">
      <w:pPr>
        <w:pStyle w:val="CETBodytext"/>
        <w:spacing w:before="240"/>
        <w:rPr>
          <w:rFonts w:eastAsiaTheme="minorEastAsia"/>
        </w:rPr>
      </w:pPr>
      <w:r>
        <w:rPr>
          <w:rFonts w:eastAsiaTheme="minorEastAsia"/>
          <w:noProof/>
          <w:lang w:val="en-GB" w:eastAsia="en-GB"/>
        </w:rPr>
        <w:lastRenderedPageBreak/>
        <w:drawing>
          <wp:inline distT="0" distB="0" distL="0" distR="0">
            <wp:extent cx="5579745" cy="3084830"/>
            <wp:effectExtent l="19050" t="0" r="1905" b="0"/>
            <wp:docPr id="4" name="Picture 3" descr="Figure 1 Upd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Updated.png"/>
                    <pic:cNvPicPr/>
                  </pic:nvPicPr>
                  <pic:blipFill>
                    <a:blip r:embed="rId20"/>
                    <a:stretch>
                      <a:fillRect/>
                    </a:stretch>
                  </pic:blipFill>
                  <pic:spPr>
                    <a:xfrm>
                      <a:off x="0" y="0"/>
                      <a:ext cx="5579745" cy="3084830"/>
                    </a:xfrm>
                    <a:prstGeom prst="rect">
                      <a:avLst/>
                    </a:prstGeom>
                  </pic:spPr>
                </pic:pic>
              </a:graphicData>
            </a:graphic>
          </wp:inline>
        </w:drawing>
      </w:r>
    </w:p>
    <w:p w:rsidR="00E94355" w:rsidRPr="00DB06ED" w:rsidRDefault="00E94355" w:rsidP="00E94355">
      <w:pPr>
        <w:pStyle w:val="CETCaption"/>
        <w:rPr>
          <w:rFonts w:eastAsiaTheme="minorEastAsia"/>
        </w:rPr>
      </w:pPr>
      <w:r w:rsidRPr="00DB06ED">
        <w:rPr>
          <w:rFonts w:eastAsiaTheme="minorEastAsia"/>
        </w:rPr>
        <w:t xml:space="preserve">Figure 1: Graphical representation of shock coefficient vs divergence </w:t>
      </w:r>
      <w:r w:rsidR="00D458D1">
        <w:rPr>
          <w:rFonts w:eastAsiaTheme="minorEastAsia"/>
        </w:rPr>
        <w:t>angle at different Reynolds numbers</w:t>
      </w:r>
      <w:r w:rsidRPr="00DB06ED">
        <w:rPr>
          <w:rFonts w:eastAsiaTheme="minorEastAsia"/>
        </w:rPr>
        <w:t>.</w:t>
      </w:r>
    </w:p>
    <w:p w:rsidR="00F46E3B" w:rsidRDefault="00F46E3B" w:rsidP="00E94355">
      <w:pPr>
        <w:pStyle w:val="CETBodytext"/>
        <w:rPr>
          <w:rFonts w:eastAsiaTheme="minorEastAsia"/>
        </w:rPr>
      </w:pPr>
    </w:p>
    <w:p w:rsidR="00E94355" w:rsidRPr="00DB06ED" w:rsidRDefault="00520B69" w:rsidP="00E94355">
      <w:pPr>
        <w:pStyle w:val="CETBodytext"/>
        <w:rPr>
          <w:rFonts w:eastAsiaTheme="minorEastAsia"/>
        </w:rPr>
      </w:pPr>
      <w:r>
        <w:rPr>
          <w:rFonts w:eastAsiaTheme="minorEastAsia"/>
        </w:rPr>
        <w:t>At</w:t>
      </w:r>
      <w:r w:rsidR="00296699">
        <w:rPr>
          <w:rFonts w:eastAsiaTheme="minorEastAsia"/>
        </w:rPr>
        <w:t xml:space="preserve"> a fixed</w:t>
      </w:r>
      <w:r w:rsidR="00E94355" w:rsidRPr="00DB06ED">
        <w:rPr>
          <w:rFonts w:eastAsiaTheme="minorEastAsia"/>
        </w:rPr>
        <w:t xml:space="preserve"> Reynolds number</w:t>
      </w:r>
      <w:r w:rsidR="00DE4A61">
        <w:rPr>
          <w:rFonts w:eastAsiaTheme="minorEastAsia"/>
        </w:rPr>
        <w:t xml:space="preserve"> and varying </w:t>
      </w:r>
      <w:r w:rsidR="00DE4A61" w:rsidRPr="004B1FC9">
        <w:sym w:font="Symbol" w:char="F061"/>
      </w:r>
      <w:r w:rsidR="00E94355" w:rsidRPr="00DB06ED">
        <w:rPr>
          <w:rFonts w:eastAsiaTheme="minorEastAsia"/>
        </w:rPr>
        <w:t>,</w:t>
      </w:r>
      <w:r>
        <w:rPr>
          <w:rFonts w:eastAsiaTheme="minorEastAsia"/>
        </w:rPr>
        <w:t xml:space="preserve"> </w:t>
      </w:r>
      <w:r w:rsidR="00AF5F10">
        <w:rPr>
          <w:rFonts w:eastAsiaTheme="minorEastAsia"/>
        </w:rPr>
        <w:t>S (x) in Eq</w:t>
      </w:r>
      <w:r w:rsidR="00296699">
        <w:rPr>
          <w:rFonts w:eastAsiaTheme="minorEastAsia"/>
        </w:rPr>
        <w:t xml:space="preserve">(5) was replaced by </w:t>
      </w:r>
      <w:r w:rsidR="00296699" w:rsidRPr="00046122">
        <w:rPr>
          <w:bCs/>
          <w:i/>
        </w:rPr>
        <w:sym w:font="Symbol" w:char="F066"/>
      </w:r>
      <w:r w:rsidR="00296699">
        <w:rPr>
          <w:bCs/>
        </w:rPr>
        <w:t>(</w:t>
      </w:r>
      <w:r w:rsidR="00296699" w:rsidRPr="00DB06ED">
        <w:sym w:font="Symbol" w:char="F061"/>
      </w:r>
      <w:r w:rsidR="00046122">
        <w:t>) to obtain Eq</w:t>
      </w:r>
      <w:r w:rsidR="00296699">
        <w:t>(6).</w:t>
      </w:r>
    </w:p>
    <w:p w:rsidR="00E94355" w:rsidRPr="00E94355" w:rsidRDefault="00046122" w:rsidP="00E94355">
      <w:pPr>
        <w:pStyle w:val="CETEquation"/>
        <w:rPr>
          <w:rFonts w:eastAsiaTheme="minorEastAsia"/>
        </w:rPr>
      </w:pPr>
      <w:r w:rsidRPr="008B65B9">
        <w:rPr>
          <w:rFonts w:cs="Arial"/>
          <w:position w:val="-28"/>
          <w:szCs w:val="18"/>
        </w:rPr>
        <w:object w:dxaOrig="1440" w:dyaOrig="639">
          <v:shape id="_x0000_i1030" type="#_x0000_t75" style="width:84.85pt;height:38.05pt" o:ole="">
            <v:imagedata r:id="rId21" o:title=""/>
          </v:shape>
          <o:OLEObject Type="Embed" ProgID="Equation.DSMT4" ShapeID="_x0000_i1030" DrawAspect="Content" ObjectID="_1616785199" r:id="rId22"/>
        </w:object>
      </w:r>
      <w:r w:rsidR="00E94355" w:rsidRPr="00E94355">
        <w:rPr>
          <w:rFonts w:eastAsiaTheme="minorEastAsia"/>
        </w:rPr>
        <w:tab/>
      </w:r>
      <w:r w:rsidR="00E94355" w:rsidRPr="00E94355">
        <w:rPr>
          <w:rFonts w:eastAsiaTheme="minorEastAsia"/>
        </w:rPr>
        <w:tab/>
      </w:r>
      <w:r w:rsidR="00E94355" w:rsidRPr="00E94355">
        <w:rPr>
          <w:rFonts w:eastAsiaTheme="minorEastAsia"/>
        </w:rPr>
        <w:tab/>
      </w:r>
      <w:r w:rsidR="00E94355">
        <w:rPr>
          <w:rFonts w:eastAsiaTheme="minorEastAsia"/>
        </w:rPr>
        <w:t xml:space="preserve"> (6</w:t>
      </w:r>
      <w:r w:rsidR="00E94355" w:rsidRPr="00E94355">
        <w:rPr>
          <w:rFonts w:eastAsiaTheme="minorEastAsia"/>
        </w:rPr>
        <w:t>)</w:t>
      </w:r>
    </w:p>
    <w:p w:rsidR="00E94355" w:rsidRPr="00DB06ED" w:rsidRDefault="00296699" w:rsidP="00E94355">
      <w:pPr>
        <w:pStyle w:val="CETBodytext"/>
        <w:rPr>
          <w:rFonts w:eastAsiaTheme="minorEastAsia"/>
        </w:rPr>
      </w:pPr>
      <w:r>
        <w:rPr>
          <w:rFonts w:eastAsiaTheme="minorEastAsia"/>
        </w:rPr>
        <w:t>Us</w:t>
      </w:r>
      <w:r w:rsidR="00045858">
        <w:rPr>
          <w:rFonts w:eastAsiaTheme="minorEastAsia"/>
        </w:rPr>
        <w:t>in</w:t>
      </w:r>
      <w:r w:rsidR="00DE4A61">
        <w:rPr>
          <w:rFonts w:eastAsiaTheme="minorEastAsia"/>
        </w:rPr>
        <w:t>g MATLAB Curve Fitting tools, for</w:t>
      </w:r>
      <w:r w:rsidR="00045858">
        <w:rPr>
          <w:rFonts w:eastAsiaTheme="minorEastAsia"/>
        </w:rPr>
        <w:t xml:space="preserve"> each </w:t>
      </w:r>
      <w:r w:rsidR="00DE4A61">
        <w:rPr>
          <w:rFonts w:eastAsiaTheme="minorEastAsia"/>
        </w:rPr>
        <w:t xml:space="preserve">of the three </w:t>
      </w:r>
      <w:r w:rsidR="00E94355" w:rsidRPr="00DB06ED">
        <w:rPr>
          <w:rFonts w:eastAsiaTheme="minorEastAsia"/>
        </w:rPr>
        <w:t>Reynolds number</w:t>
      </w:r>
      <w:r w:rsidR="00DE4A61">
        <w:rPr>
          <w:rFonts w:eastAsiaTheme="minorEastAsia"/>
        </w:rPr>
        <w:t>s</w:t>
      </w:r>
      <w:r w:rsidR="00E94355" w:rsidRPr="00DB06ED">
        <w:rPr>
          <w:rFonts w:eastAsiaTheme="minorEastAsia"/>
        </w:rPr>
        <w:t xml:space="preserve">, </w:t>
      </w:r>
      <w:r w:rsidR="00045858">
        <w:rPr>
          <w:rFonts w:eastAsiaTheme="minorEastAsia"/>
        </w:rPr>
        <w:t xml:space="preserve">preliminary values of </w:t>
      </w:r>
      <w:r w:rsidR="00DE4A61">
        <w:rPr>
          <w:rFonts w:eastAsiaTheme="minorEastAsia"/>
        </w:rPr>
        <w:t>‘</w:t>
      </w:r>
      <w:r w:rsidR="00E94355" w:rsidRPr="00DB06ED">
        <w:rPr>
          <w:rFonts w:eastAsiaTheme="minorEastAsia"/>
        </w:rPr>
        <w:t>a</w:t>
      </w:r>
      <w:r w:rsidR="00DE4A61">
        <w:rPr>
          <w:rFonts w:eastAsiaTheme="minorEastAsia"/>
        </w:rPr>
        <w:t>’</w:t>
      </w:r>
      <w:r w:rsidR="00E94355" w:rsidRPr="00DB06ED">
        <w:rPr>
          <w:rFonts w:eastAsiaTheme="minorEastAsia"/>
        </w:rPr>
        <w:t xml:space="preserve"> and </w:t>
      </w:r>
      <w:r w:rsidR="00DE4A61">
        <w:rPr>
          <w:rFonts w:eastAsiaTheme="minorEastAsia"/>
        </w:rPr>
        <w:t>‘</w:t>
      </w:r>
      <w:r w:rsidR="00E94355" w:rsidRPr="00DB06ED">
        <w:rPr>
          <w:rFonts w:eastAsiaTheme="minorEastAsia"/>
        </w:rPr>
        <w:t>b</w:t>
      </w:r>
      <w:r w:rsidR="00DE4A61">
        <w:rPr>
          <w:rFonts w:eastAsiaTheme="minorEastAsia"/>
        </w:rPr>
        <w:t>’</w:t>
      </w:r>
      <w:r w:rsidR="00E94355" w:rsidRPr="00DB06ED">
        <w:rPr>
          <w:rFonts w:eastAsiaTheme="minorEastAsia"/>
        </w:rPr>
        <w:t xml:space="preserve"> </w:t>
      </w:r>
      <w:r w:rsidR="00045858">
        <w:rPr>
          <w:rFonts w:eastAsiaTheme="minorEastAsia"/>
        </w:rPr>
        <w:t xml:space="preserve">were obtained. Using </w:t>
      </w:r>
      <w:r w:rsidR="00E94355" w:rsidRPr="00DB06ED">
        <w:rPr>
          <w:rFonts w:eastAsiaTheme="minorEastAsia"/>
        </w:rPr>
        <w:t>Micro</w:t>
      </w:r>
      <w:r w:rsidR="00045858">
        <w:rPr>
          <w:rFonts w:eastAsiaTheme="minorEastAsia"/>
        </w:rPr>
        <w:t>soft Excel Spreadsheet, a linear relationship</w:t>
      </w:r>
      <w:r w:rsidR="00E94355" w:rsidRPr="00DB06ED">
        <w:rPr>
          <w:rFonts w:eastAsiaTheme="minorEastAsia"/>
        </w:rPr>
        <w:t xml:space="preserve"> </w:t>
      </w:r>
      <w:r w:rsidR="00046122">
        <w:rPr>
          <w:rFonts w:eastAsiaTheme="minorEastAsia"/>
        </w:rPr>
        <w:t>as given in Eq</w:t>
      </w:r>
      <w:r w:rsidR="00045858">
        <w:rPr>
          <w:rFonts w:eastAsiaTheme="minorEastAsia"/>
        </w:rPr>
        <w:t>(7) was obtained between ‘a’ and Re.</w:t>
      </w:r>
    </w:p>
    <w:p w:rsidR="00E94355" w:rsidRPr="00E94355" w:rsidRDefault="00046122" w:rsidP="00E94355">
      <w:pPr>
        <w:pStyle w:val="CETEquation"/>
        <w:rPr>
          <w:rFonts w:eastAsiaTheme="minorEastAsia"/>
        </w:rPr>
      </w:pPr>
      <w:r w:rsidRPr="008B65B9">
        <w:rPr>
          <w:rFonts w:cs="Arial"/>
          <w:position w:val="-12"/>
          <w:szCs w:val="18"/>
        </w:rPr>
        <w:object w:dxaOrig="2439" w:dyaOrig="360">
          <v:shape id="_x0000_i1031" type="#_x0000_t75" style="width:109.6pt;height:15.6pt" o:ole="">
            <v:imagedata r:id="rId23" o:title=""/>
          </v:shape>
          <o:OLEObject Type="Embed" ProgID="Equation.DSMT4" ShapeID="_x0000_i1031" DrawAspect="Content" ObjectID="_1616785200" r:id="rId24"/>
        </w:object>
      </w:r>
      <w:r w:rsidR="00E94355" w:rsidRPr="00E94355">
        <w:rPr>
          <w:rFonts w:eastAsiaTheme="minorEastAsia"/>
          <w:szCs w:val="18"/>
        </w:rPr>
        <w:t xml:space="preserve">      </w:t>
      </w:r>
      <w:r w:rsidR="00E94355" w:rsidRPr="00E94355">
        <w:rPr>
          <w:rFonts w:eastAsiaTheme="minorEastAsia"/>
        </w:rPr>
        <w:tab/>
      </w:r>
      <w:r w:rsidR="00E94355" w:rsidRPr="00E94355">
        <w:rPr>
          <w:rFonts w:eastAsiaTheme="minorEastAsia"/>
        </w:rPr>
        <w:tab/>
      </w:r>
      <w:r w:rsidR="00E94355" w:rsidRPr="00E94355">
        <w:rPr>
          <w:rFonts w:eastAsiaTheme="minorEastAsia"/>
        </w:rPr>
        <w:tab/>
        <w:t xml:space="preserve"> </w:t>
      </w:r>
      <w:r w:rsidR="00E94355">
        <w:rPr>
          <w:rFonts w:eastAsiaTheme="minorEastAsia"/>
        </w:rPr>
        <w:t>(7</w:t>
      </w:r>
      <w:r w:rsidR="00E94355" w:rsidRPr="00E94355">
        <w:rPr>
          <w:rFonts w:eastAsiaTheme="minorEastAsia"/>
        </w:rPr>
        <w:t>)</w:t>
      </w:r>
    </w:p>
    <w:p w:rsidR="00E94355" w:rsidRPr="00DB06ED" w:rsidRDefault="00045858" w:rsidP="00887894">
      <w:pPr>
        <w:pStyle w:val="CETBodytext"/>
        <w:rPr>
          <w:rFonts w:eastAsiaTheme="minorEastAsia"/>
        </w:rPr>
      </w:pPr>
      <w:r>
        <w:rPr>
          <w:rFonts w:eastAsiaTheme="minorEastAsia"/>
        </w:rPr>
        <w:t>Parameter ‘</w:t>
      </w:r>
      <w:r w:rsidR="00E94355" w:rsidRPr="00DB06ED">
        <w:rPr>
          <w:rFonts w:eastAsiaTheme="minorEastAsia"/>
        </w:rPr>
        <w:t>b</w:t>
      </w:r>
      <w:r>
        <w:rPr>
          <w:rFonts w:eastAsiaTheme="minorEastAsia"/>
        </w:rPr>
        <w:t>’ was</w:t>
      </w:r>
      <w:r w:rsidR="00E94355" w:rsidRPr="00DB06ED">
        <w:rPr>
          <w:rFonts w:eastAsiaTheme="minorEastAsia"/>
        </w:rPr>
        <w:t xml:space="preserve"> observed to be </w:t>
      </w:r>
      <w:r>
        <w:rPr>
          <w:rFonts w:eastAsiaTheme="minorEastAsia"/>
        </w:rPr>
        <w:t>approximately</w:t>
      </w:r>
      <w:r w:rsidR="00E94355" w:rsidRPr="00DB06ED">
        <w:rPr>
          <w:rFonts w:eastAsiaTheme="minorEastAsia"/>
        </w:rPr>
        <w:t xml:space="preserve"> constant </w:t>
      </w:r>
      <w:r>
        <w:rPr>
          <w:rFonts w:eastAsiaTheme="minorEastAsia"/>
        </w:rPr>
        <w:t>(</w:t>
      </w:r>
      <w:r w:rsidR="00DE4A61">
        <w:rPr>
          <w:rFonts w:eastAsiaTheme="minorEastAsia"/>
        </w:rPr>
        <w:t>~</w:t>
      </w:r>
      <w:r w:rsidR="00E94355" w:rsidRPr="00DB06ED">
        <w:rPr>
          <w:rFonts w:eastAsiaTheme="minorEastAsia"/>
        </w:rPr>
        <w:t>0.1095</w:t>
      </w:r>
      <w:r>
        <w:rPr>
          <w:rFonts w:eastAsiaTheme="minorEastAsia"/>
        </w:rPr>
        <w:t>) across the three Reynolds numbers.</w:t>
      </w:r>
    </w:p>
    <w:p w:rsidR="00046122" w:rsidRDefault="00DE4A61" w:rsidP="00046122">
      <w:pPr>
        <w:pStyle w:val="CETBodytext"/>
        <w:rPr>
          <w:rFonts w:eastAsiaTheme="minorEastAsia"/>
        </w:rPr>
      </w:pPr>
      <w:r>
        <w:rPr>
          <w:rFonts w:eastAsiaTheme="minorEastAsia"/>
        </w:rPr>
        <w:t>Therefore, b</w:t>
      </w:r>
      <w:r w:rsidR="00045858">
        <w:rPr>
          <w:rFonts w:eastAsiaTheme="minorEastAsia"/>
        </w:rPr>
        <w:t>y substituting for</w:t>
      </w:r>
      <w:r w:rsidR="00560912">
        <w:rPr>
          <w:rFonts w:eastAsiaTheme="minorEastAsia"/>
        </w:rPr>
        <w:t xml:space="preserve"> </w:t>
      </w:r>
      <w:r>
        <w:rPr>
          <w:rFonts w:eastAsiaTheme="minorEastAsia"/>
        </w:rPr>
        <w:t>‘</w:t>
      </w:r>
      <w:r w:rsidR="00560912">
        <w:rPr>
          <w:rFonts w:eastAsiaTheme="minorEastAsia"/>
        </w:rPr>
        <w:t>a</w:t>
      </w:r>
      <w:r>
        <w:rPr>
          <w:rFonts w:eastAsiaTheme="minorEastAsia"/>
        </w:rPr>
        <w:t>’</w:t>
      </w:r>
      <w:r w:rsidR="00560912">
        <w:rPr>
          <w:rFonts w:eastAsiaTheme="minorEastAsia"/>
        </w:rPr>
        <w:t xml:space="preserve"> and </w:t>
      </w:r>
      <w:r>
        <w:rPr>
          <w:rFonts w:eastAsiaTheme="minorEastAsia"/>
        </w:rPr>
        <w:t>‘</w:t>
      </w:r>
      <w:r w:rsidR="00560912">
        <w:rPr>
          <w:rFonts w:eastAsiaTheme="minorEastAsia"/>
        </w:rPr>
        <w:t>b</w:t>
      </w:r>
      <w:r>
        <w:rPr>
          <w:rFonts w:eastAsiaTheme="minorEastAsia"/>
        </w:rPr>
        <w:t>’</w:t>
      </w:r>
      <w:r w:rsidR="00560912">
        <w:rPr>
          <w:rFonts w:eastAsiaTheme="minorEastAsia"/>
        </w:rPr>
        <w:t xml:space="preserve"> in Eq(6</w:t>
      </w:r>
      <w:r w:rsidR="00E94355" w:rsidRPr="00DB06ED">
        <w:rPr>
          <w:rFonts w:eastAsiaTheme="minorEastAsia"/>
        </w:rPr>
        <w:t>)</w:t>
      </w:r>
      <w:r w:rsidR="00046122">
        <w:rPr>
          <w:rFonts w:eastAsiaTheme="minorEastAsia"/>
        </w:rPr>
        <w:t>, Eq</w:t>
      </w:r>
      <w:r w:rsidR="00BD5300">
        <w:rPr>
          <w:rFonts w:eastAsiaTheme="minorEastAsia"/>
        </w:rPr>
        <w:t>(8) wa</w:t>
      </w:r>
      <w:r w:rsidR="00045858">
        <w:rPr>
          <w:rFonts w:eastAsiaTheme="minorEastAsia"/>
        </w:rPr>
        <w:t>s obtained.</w:t>
      </w:r>
    </w:p>
    <w:p w:rsidR="00E94355" w:rsidRPr="00046122" w:rsidRDefault="00046122" w:rsidP="00046122">
      <w:pPr>
        <w:pStyle w:val="CETBodytext"/>
        <w:rPr>
          <w:rFonts w:eastAsiaTheme="minorEastAsia"/>
        </w:rPr>
      </w:pPr>
      <w:r w:rsidRPr="008B65B9">
        <w:rPr>
          <w:rFonts w:cs="Arial"/>
          <w:position w:val="-30"/>
          <w:szCs w:val="18"/>
        </w:rPr>
        <w:object w:dxaOrig="3140" w:dyaOrig="660">
          <v:shape id="_x0000_i1032" type="#_x0000_t75" style="width:163.25pt;height:34.4pt" o:ole="">
            <v:imagedata r:id="rId25" o:title=""/>
          </v:shape>
          <o:OLEObject Type="Embed" ProgID="Equation.DSMT4" ShapeID="_x0000_i1032" DrawAspect="Content" ObjectID="_1616785201" r:id="rId26"/>
        </w:object>
      </w:r>
      <w:r w:rsidR="00E94355" w:rsidRPr="00DB06ED">
        <w:rPr>
          <w:rFonts w:eastAsiaTheme="minorEastAsia"/>
          <w:szCs w:val="18"/>
        </w:rPr>
        <w:tab/>
      </w:r>
      <w:r w:rsidR="00E94355">
        <w:rPr>
          <w:rFonts w:eastAsiaTheme="minorEastAsia"/>
          <w:szCs w:val="18"/>
        </w:rPr>
        <w:tab/>
      </w:r>
      <w:r w:rsidR="00E94355">
        <w:rPr>
          <w:rFonts w:eastAsiaTheme="minorEastAsia"/>
          <w:szCs w:val="18"/>
        </w:rPr>
        <w:tab/>
        <w:t xml:space="preserve"> </w:t>
      </w:r>
      <w:r w:rsidR="00E94355" w:rsidRPr="00DB06ED">
        <w:rPr>
          <w:rFonts w:eastAsiaTheme="minorEastAsia"/>
          <w:szCs w:val="18"/>
        </w:rPr>
        <w:t>(</w:t>
      </w:r>
      <w:r w:rsidR="00E94355">
        <w:rPr>
          <w:rFonts w:eastAsiaTheme="minorEastAsia"/>
          <w:szCs w:val="18"/>
        </w:rPr>
        <w:t>8</w:t>
      </w:r>
      <w:r w:rsidR="00E94355" w:rsidRPr="00DB06ED">
        <w:rPr>
          <w:rFonts w:eastAsiaTheme="minorEastAsia"/>
          <w:szCs w:val="18"/>
        </w:rPr>
        <w:t>)</w:t>
      </w:r>
    </w:p>
    <w:p w:rsidR="00E94355" w:rsidRPr="00DB06ED" w:rsidRDefault="00E94355" w:rsidP="00E94355">
      <w:pPr>
        <w:pStyle w:val="CETBodytext"/>
        <w:rPr>
          <w:rFonts w:eastAsiaTheme="minorEastAsia"/>
        </w:rPr>
      </w:pPr>
      <w:r>
        <w:rPr>
          <w:rFonts w:eastAsiaTheme="minorEastAsia"/>
        </w:rPr>
        <w:t>Eq</w:t>
      </w:r>
      <w:r w:rsidRPr="00DB06ED">
        <w:rPr>
          <w:rFonts w:eastAsiaTheme="minorEastAsia"/>
        </w:rPr>
        <w:t>(</w:t>
      </w:r>
      <w:r w:rsidR="00560912">
        <w:rPr>
          <w:rFonts w:eastAsiaTheme="minorEastAsia"/>
        </w:rPr>
        <w:t>8</w:t>
      </w:r>
      <w:r w:rsidRPr="00DB06ED">
        <w:rPr>
          <w:rFonts w:eastAsiaTheme="minorEastAsia"/>
        </w:rPr>
        <w:t>) wa</w:t>
      </w:r>
      <w:r>
        <w:rPr>
          <w:rFonts w:eastAsiaTheme="minorEastAsia"/>
        </w:rPr>
        <w:t>s restructured to give Eq</w:t>
      </w:r>
      <w:r w:rsidRPr="00DB06ED">
        <w:rPr>
          <w:rFonts w:eastAsiaTheme="minorEastAsia"/>
        </w:rPr>
        <w:t>(</w:t>
      </w:r>
      <w:r w:rsidR="00560912">
        <w:rPr>
          <w:rFonts w:eastAsiaTheme="minorEastAsia"/>
        </w:rPr>
        <w:t>9)</w:t>
      </w:r>
      <w:r w:rsidR="00C53DB3">
        <w:rPr>
          <w:rFonts w:eastAsiaTheme="minorEastAsia"/>
        </w:rPr>
        <w:t xml:space="preserve">. </w:t>
      </w:r>
      <w:r w:rsidR="00DE4A61">
        <w:rPr>
          <w:rFonts w:eastAsiaTheme="minorEastAsia"/>
        </w:rPr>
        <w:t xml:space="preserve">The </w:t>
      </w:r>
      <w:r w:rsidR="00145DD1">
        <w:rPr>
          <w:rFonts w:eastAsiaTheme="minorEastAsia"/>
        </w:rPr>
        <w:t xml:space="preserve">available </w:t>
      </w:r>
      <w:r w:rsidR="00DE4A61">
        <w:rPr>
          <w:rFonts w:eastAsiaTheme="minorEastAsia"/>
        </w:rPr>
        <w:t xml:space="preserve">39 datasets were divided into two batches which span the </w:t>
      </w:r>
    </w:p>
    <w:p w:rsidR="00E94355" w:rsidRDefault="00046122" w:rsidP="00E94355">
      <w:pPr>
        <w:pStyle w:val="CETEquation"/>
        <w:rPr>
          <w:rFonts w:eastAsiaTheme="minorEastAsia"/>
          <w:szCs w:val="18"/>
        </w:rPr>
      </w:pPr>
      <w:r w:rsidRPr="008B65B9">
        <w:rPr>
          <w:rFonts w:cs="Arial"/>
          <w:position w:val="-34"/>
          <w:szCs w:val="18"/>
        </w:rPr>
        <w:object w:dxaOrig="2200" w:dyaOrig="700">
          <v:shape id="_x0000_i1033" type="#_x0000_t75" style="width:116.95pt;height:37.6pt" o:ole="">
            <v:imagedata r:id="rId27" o:title=""/>
          </v:shape>
          <o:OLEObject Type="Embed" ProgID="Equation.DSMT4" ShapeID="_x0000_i1033" DrawAspect="Content" ObjectID="_1616785202" r:id="rId28"/>
        </w:object>
      </w:r>
      <w:r w:rsidR="00E94355">
        <w:rPr>
          <w:rFonts w:eastAsiaTheme="minorEastAsia"/>
          <w:szCs w:val="18"/>
        </w:rPr>
        <w:tab/>
      </w:r>
      <w:r w:rsidR="00E94355">
        <w:rPr>
          <w:rFonts w:eastAsiaTheme="minorEastAsia"/>
          <w:szCs w:val="18"/>
        </w:rPr>
        <w:tab/>
      </w:r>
      <w:r w:rsidR="00E94355">
        <w:rPr>
          <w:rFonts w:eastAsiaTheme="minorEastAsia"/>
          <w:szCs w:val="18"/>
        </w:rPr>
        <w:tab/>
        <w:t xml:space="preserve"> </w:t>
      </w:r>
      <w:r w:rsidR="00E94355" w:rsidRPr="00DB06ED">
        <w:rPr>
          <w:rFonts w:eastAsiaTheme="minorEastAsia"/>
          <w:szCs w:val="18"/>
        </w:rPr>
        <w:t>(</w:t>
      </w:r>
      <w:r w:rsidR="00E94355">
        <w:rPr>
          <w:rFonts w:eastAsiaTheme="minorEastAsia"/>
          <w:szCs w:val="18"/>
        </w:rPr>
        <w:t>9</w:t>
      </w:r>
      <w:r w:rsidR="00E94355" w:rsidRPr="00DB06ED">
        <w:rPr>
          <w:rFonts w:eastAsiaTheme="minorEastAsia"/>
          <w:szCs w:val="18"/>
        </w:rPr>
        <w:t>)</w:t>
      </w:r>
    </w:p>
    <w:p w:rsidR="00FF2727" w:rsidRPr="00145DD1" w:rsidRDefault="00096C03" w:rsidP="00145DD1">
      <w:pPr>
        <w:pStyle w:val="CETBodytext"/>
        <w:rPr>
          <w:rFonts w:eastAsiaTheme="minorEastAsia"/>
        </w:rPr>
      </w:pPr>
      <w:r>
        <w:rPr>
          <w:rFonts w:eastAsiaTheme="minorEastAsia"/>
        </w:rPr>
        <w:t>e</w:t>
      </w:r>
      <w:r w:rsidR="00145DD1">
        <w:rPr>
          <w:rFonts w:eastAsiaTheme="minorEastAsia"/>
        </w:rPr>
        <w:t xml:space="preserve">ntire </w:t>
      </w:r>
      <w:r w:rsidR="006C51C9">
        <w:rPr>
          <w:rFonts w:eastAsiaTheme="minorEastAsia"/>
        </w:rPr>
        <w:t>ranges of the variables (21 datasets for mode</w:t>
      </w:r>
      <w:r w:rsidR="00145DD1">
        <w:rPr>
          <w:rFonts w:eastAsiaTheme="minorEastAsia"/>
        </w:rPr>
        <w:t>l</w:t>
      </w:r>
      <w:r w:rsidR="006C51C9">
        <w:rPr>
          <w:rFonts w:eastAsiaTheme="minorEastAsia"/>
        </w:rPr>
        <w:t>ling/parameters estimation and 18 datasets for model validation). Consequently, based on the 21</w:t>
      </w:r>
      <w:r w:rsidR="00145DD1">
        <w:rPr>
          <w:rFonts w:eastAsiaTheme="minorEastAsia"/>
        </w:rPr>
        <w:t xml:space="preserve"> modelling</w:t>
      </w:r>
      <w:r w:rsidR="0055712D">
        <w:rPr>
          <w:rFonts w:eastAsiaTheme="minorEastAsia"/>
        </w:rPr>
        <w:t>/parameters estimation</w:t>
      </w:r>
      <w:r w:rsidR="006C51C9">
        <w:rPr>
          <w:rFonts w:eastAsiaTheme="minorEastAsia"/>
        </w:rPr>
        <w:t xml:space="preserve"> datasets, MATLAB Surface Fitting tool</w:t>
      </w:r>
      <w:r w:rsidR="0055712D">
        <w:rPr>
          <w:rFonts w:eastAsiaTheme="minorEastAsia"/>
        </w:rPr>
        <w:t>s were</w:t>
      </w:r>
      <w:r w:rsidR="006C51C9">
        <w:rPr>
          <w:rFonts w:eastAsiaTheme="minorEastAsia"/>
        </w:rPr>
        <w:t xml:space="preserve"> used to obtain the </w:t>
      </w:r>
      <w:r w:rsidR="00C53DB3">
        <w:rPr>
          <w:rFonts w:eastAsiaTheme="minorEastAsia"/>
        </w:rPr>
        <w:t xml:space="preserve">values of </w:t>
      </w:r>
      <w:r w:rsidR="006C51C9">
        <w:rPr>
          <w:rFonts w:eastAsiaTheme="minorEastAsia"/>
        </w:rPr>
        <w:t>‘</w:t>
      </w:r>
      <w:r w:rsidR="00C53DB3">
        <w:rPr>
          <w:rFonts w:eastAsiaTheme="minorEastAsia"/>
        </w:rPr>
        <w:t>a</w:t>
      </w:r>
      <w:r w:rsidR="006C51C9">
        <w:rPr>
          <w:rFonts w:eastAsiaTheme="minorEastAsia"/>
        </w:rPr>
        <w:t>’</w:t>
      </w:r>
      <w:r w:rsidR="00C53DB3">
        <w:rPr>
          <w:rFonts w:eastAsiaTheme="minorEastAsia"/>
        </w:rPr>
        <w:t xml:space="preserve">, </w:t>
      </w:r>
      <w:r w:rsidR="006C51C9">
        <w:rPr>
          <w:rFonts w:eastAsiaTheme="minorEastAsia"/>
        </w:rPr>
        <w:t>‘</w:t>
      </w:r>
      <w:r w:rsidR="00C53DB3">
        <w:rPr>
          <w:rFonts w:eastAsiaTheme="minorEastAsia"/>
        </w:rPr>
        <w:t>b</w:t>
      </w:r>
      <w:r w:rsidR="006C51C9">
        <w:rPr>
          <w:rFonts w:eastAsiaTheme="minorEastAsia"/>
        </w:rPr>
        <w:t>’</w:t>
      </w:r>
      <w:r w:rsidR="00C53DB3">
        <w:rPr>
          <w:rFonts w:eastAsiaTheme="minorEastAsia"/>
        </w:rPr>
        <w:t xml:space="preserve">, and  </w:t>
      </w:r>
      <w:r w:rsidR="006C51C9">
        <w:rPr>
          <w:rFonts w:eastAsiaTheme="minorEastAsia"/>
        </w:rPr>
        <w:t>‘</w:t>
      </w:r>
      <w:r w:rsidR="00C53DB3">
        <w:rPr>
          <w:rFonts w:eastAsiaTheme="minorEastAsia"/>
        </w:rPr>
        <w:t>c</w:t>
      </w:r>
      <w:r w:rsidR="006C51C9">
        <w:rPr>
          <w:rFonts w:eastAsiaTheme="minorEastAsia"/>
        </w:rPr>
        <w:t>’</w:t>
      </w:r>
      <w:r w:rsidR="00C53DB3">
        <w:rPr>
          <w:rFonts w:eastAsiaTheme="minorEastAsia"/>
        </w:rPr>
        <w:t xml:space="preserve"> as</w:t>
      </w:r>
      <w:r w:rsidR="00C53DB3">
        <w:rPr>
          <w:rFonts w:eastAsiaTheme="minorEastAsia" w:cs="Arial"/>
          <w:szCs w:val="18"/>
        </w:rPr>
        <w:t xml:space="preserve"> 0.1104, 3.361 and</w:t>
      </w:r>
      <w:r w:rsidR="00C53DB3" w:rsidRPr="00DB06ED">
        <w:rPr>
          <w:rFonts w:eastAsiaTheme="minorEastAsia" w:cs="Arial"/>
          <w:szCs w:val="18"/>
        </w:rPr>
        <w:t xml:space="preserve"> 14.75</w:t>
      </w:r>
      <w:r w:rsidR="00C53DB3">
        <w:rPr>
          <w:rFonts w:eastAsiaTheme="minorEastAsia" w:cs="Arial"/>
          <w:szCs w:val="18"/>
        </w:rPr>
        <w:t>, respectively.</w:t>
      </w:r>
      <w:r w:rsidR="006C51C9">
        <w:rPr>
          <w:rFonts w:eastAsiaTheme="minorEastAsia" w:cs="Arial"/>
          <w:szCs w:val="18"/>
        </w:rPr>
        <w:t xml:space="preserve"> By substituting the values of these parameters in</w:t>
      </w:r>
      <w:r w:rsidR="00046122">
        <w:rPr>
          <w:rFonts w:eastAsiaTheme="minorEastAsia" w:cs="Arial"/>
          <w:szCs w:val="18"/>
        </w:rPr>
        <w:t xml:space="preserve"> Eq</w:t>
      </w:r>
      <w:r w:rsidR="006C51C9">
        <w:rPr>
          <w:rFonts w:eastAsiaTheme="minorEastAsia" w:cs="Arial"/>
          <w:szCs w:val="18"/>
        </w:rPr>
        <w:t>(9),</w:t>
      </w:r>
      <w:r w:rsidR="00145DD1">
        <w:rPr>
          <w:rFonts w:eastAsiaTheme="minorEastAsia" w:cs="Arial"/>
          <w:szCs w:val="18"/>
        </w:rPr>
        <w:t xml:space="preserve"> </w:t>
      </w:r>
      <w:r w:rsidR="006C51C9">
        <w:rPr>
          <w:rFonts w:eastAsiaTheme="minorEastAsia" w:cs="Arial"/>
          <w:szCs w:val="18"/>
        </w:rPr>
        <w:t>the explicit shock coefficient model given in</w:t>
      </w:r>
      <w:r w:rsidR="00FF2727">
        <w:rPr>
          <w:rFonts w:eastAsiaTheme="minorEastAsia" w:cs="Arial"/>
          <w:szCs w:val="18"/>
        </w:rPr>
        <w:t xml:space="preserve"> Eq(10)</w:t>
      </w:r>
      <w:r w:rsidR="00BD5300">
        <w:rPr>
          <w:rFonts w:eastAsiaTheme="minorEastAsia" w:cs="Arial"/>
          <w:szCs w:val="18"/>
        </w:rPr>
        <w:t xml:space="preserve"> wa</w:t>
      </w:r>
      <w:r w:rsidR="006C51C9">
        <w:rPr>
          <w:rFonts w:eastAsiaTheme="minorEastAsia" w:cs="Arial"/>
          <w:szCs w:val="18"/>
        </w:rPr>
        <w:t>s obtained.</w:t>
      </w:r>
    </w:p>
    <w:tbl>
      <w:tblPr>
        <w:tblpPr w:leftFromText="180" w:rightFromText="180" w:vertAnchor="text" w:horzAnchor="margin" w:tblpY="17"/>
        <w:tblW w:w="5000" w:type="pct"/>
        <w:tblLook w:val="04A0"/>
      </w:tblPr>
      <w:tblGrid>
        <w:gridCol w:w="8188"/>
        <w:gridCol w:w="815"/>
      </w:tblGrid>
      <w:tr w:rsidR="00FF2727" w:rsidRPr="00B57B36" w:rsidTr="00FF2727">
        <w:tc>
          <w:tcPr>
            <w:tcW w:w="8188" w:type="dxa"/>
            <w:shd w:val="clear" w:color="auto" w:fill="auto"/>
            <w:vAlign w:val="center"/>
          </w:tcPr>
          <w:p w:rsidR="00FF2727" w:rsidRPr="00B57B36" w:rsidRDefault="00046122" w:rsidP="00FF2727">
            <w:pPr>
              <w:pStyle w:val="CETEquation"/>
            </w:pPr>
            <w:r w:rsidRPr="008B65B9">
              <w:rPr>
                <w:rFonts w:cs="Arial"/>
                <w:position w:val="-34"/>
                <w:szCs w:val="18"/>
              </w:rPr>
              <w:object w:dxaOrig="3080" w:dyaOrig="700">
                <v:shape id="_x0000_i1034" type="#_x0000_t75" style="width:154.55pt;height:34.4pt" o:ole="">
                  <v:imagedata r:id="rId29" o:title=""/>
                </v:shape>
                <o:OLEObject Type="Embed" ProgID="Equation.DSMT4" ShapeID="_x0000_i1034" DrawAspect="Content" ObjectID="_1616785203" r:id="rId30"/>
              </w:object>
            </w:r>
          </w:p>
        </w:tc>
        <w:tc>
          <w:tcPr>
            <w:tcW w:w="815" w:type="dxa"/>
            <w:shd w:val="clear" w:color="auto" w:fill="auto"/>
            <w:vAlign w:val="center"/>
          </w:tcPr>
          <w:p w:rsidR="00FF2727" w:rsidRPr="00B57B36" w:rsidRDefault="00FF2727" w:rsidP="00FF2727">
            <w:pPr>
              <w:pStyle w:val="CETEquation"/>
              <w:jc w:val="right"/>
            </w:pPr>
            <w:r w:rsidRPr="00B57B36">
              <w:t>(</w:t>
            </w:r>
            <w:r>
              <w:t>10</w:t>
            </w:r>
            <w:r w:rsidRPr="00B57B36">
              <w:t>)</w:t>
            </w:r>
          </w:p>
        </w:tc>
      </w:tr>
    </w:tbl>
    <w:p w:rsidR="00515C68" w:rsidRDefault="006C51C9" w:rsidP="0055712D">
      <w:pPr>
        <w:pStyle w:val="CETBodytext"/>
      </w:pPr>
      <w:r>
        <w:rPr>
          <w:rFonts w:eastAsiaTheme="minorEastAsia"/>
        </w:rPr>
        <w:t>The performance of the shock coefficient model was evaluated. T</w:t>
      </w:r>
      <w:r w:rsidR="006046B4" w:rsidRPr="00275060">
        <w:rPr>
          <w:rFonts w:eastAsiaTheme="minorEastAsia"/>
        </w:rPr>
        <w:t>he predicted shock coefficient was found to be in good agreement with the observed shock coefficient (liter</w:t>
      </w:r>
      <w:r w:rsidR="00E94355">
        <w:rPr>
          <w:rFonts w:eastAsiaTheme="minorEastAsia"/>
        </w:rPr>
        <w:t>ature data) as shown in Figure 2</w:t>
      </w:r>
      <w:r w:rsidR="006046B4" w:rsidRPr="00275060">
        <w:rPr>
          <w:rFonts w:eastAsiaTheme="minorEastAsia"/>
        </w:rPr>
        <w:t>. The R-</w:t>
      </w:r>
      <w:r w:rsidR="006046B4" w:rsidRPr="00275060">
        <w:rPr>
          <w:rFonts w:eastAsiaTheme="minorEastAsia"/>
        </w:rPr>
        <w:lastRenderedPageBreak/>
        <w:t xml:space="preserve">squared statistics are </w:t>
      </w:r>
      <w:r w:rsidR="006046B4" w:rsidRPr="00275060">
        <w:t>0.9963 and 0.9930</w:t>
      </w:r>
      <w:r w:rsidR="006046B4" w:rsidRPr="00275060">
        <w:rPr>
          <w:rFonts w:eastAsiaTheme="minorEastAsia"/>
        </w:rPr>
        <w:t xml:space="preserve"> for the</w:t>
      </w:r>
      <w:r w:rsidR="00AC477F">
        <w:rPr>
          <w:rFonts w:eastAsiaTheme="minorEastAsia"/>
        </w:rPr>
        <w:t xml:space="preserve"> </w:t>
      </w:r>
      <w:r>
        <w:rPr>
          <w:rFonts w:eastAsiaTheme="minorEastAsia"/>
        </w:rPr>
        <w:t>modelling and validation data</w:t>
      </w:r>
      <w:r w:rsidR="006046B4" w:rsidRPr="00275060">
        <w:rPr>
          <w:rFonts w:eastAsiaTheme="minorEastAsia"/>
        </w:rPr>
        <w:t>sets, respectively.</w:t>
      </w:r>
      <w:r w:rsidR="00515C68">
        <w:rPr>
          <w:rFonts w:eastAsiaTheme="minorEastAsia"/>
        </w:rPr>
        <w:t xml:space="preserve"> </w:t>
      </w:r>
      <w:r w:rsidR="00515C68" w:rsidRPr="00887894">
        <w:t>It is obvious from Figure 2 and, the model</w:t>
      </w:r>
      <w:r w:rsidR="00515C68">
        <w:t>l</w:t>
      </w:r>
      <w:r w:rsidR="00515C68" w:rsidRPr="00887894">
        <w:t>ing and validation R-squared statistics</w:t>
      </w:r>
      <w:r w:rsidR="00BD5300">
        <w:t>,</w:t>
      </w:r>
      <w:r w:rsidR="00515C68" w:rsidRPr="00887894">
        <w:t xml:space="preserve"> that the shock coefficient model has good predictive and generalization capacities. </w:t>
      </w:r>
    </w:p>
    <w:p w:rsidR="009858D9" w:rsidRDefault="009858D9" w:rsidP="0055712D">
      <w:pPr>
        <w:pStyle w:val="CETBodytext"/>
      </w:pPr>
    </w:p>
    <w:p w:rsidR="00887894" w:rsidRPr="009858D9" w:rsidRDefault="003F56D3" w:rsidP="009858D9">
      <w:pPr>
        <w:pStyle w:val="CETBodytext"/>
      </w:pPr>
      <w:r>
        <w:rPr>
          <w:noProof/>
          <w:lang w:val="en-GB" w:eastAsia="en-GB"/>
        </w:rPr>
        <w:drawing>
          <wp:inline distT="0" distB="0" distL="0" distR="0">
            <wp:extent cx="5579745" cy="3162300"/>
            <wp:effectExtent l="19050" t="0" r="1905" b="0"/>
            <wp:docPr id="7" name="Picture 6" descr="Figure 2 Upd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 Updated.png"/>
                    <pic:cNvPicPr/>
                  </pic:nvPicPr>
                  <pic:blipFill>
                    <a:blip r:embed="rId31"/>
                    <a:stretch>
                      <a:fillRect/>
                    </a:stretch>
                  </pic:blipFill>
                  <pic:spPr>
                    <a:xfrm>
                      <a:off x="0" y="0"/>
                      <a:ext cx="5579745" cy="3162300"/>
                    </a:xfrm>
                    <a:prstGeom prst="rect">
                      <a:avLst/>
                    </a:prstGeom>
                  </pic:spPr>
                </pic:pic>
              </a:graphicData>
            </a:graphic>
          </wp:inline>
        </w:drawing>
      </w:r>
    </w:p>
    <w:p w:rsidR="006046B4" w:rsidRPr="00887894" w:rsidRDefault="00E94355" w:rsidP="00887894">
      <w:pPr>
        <w:pStyle w:val="CETCaption"/>
      </w:pPr>
      <w:r w:rsidRPr="00887894">
        <w:t>Figure 2</w:t>
      </w:r>
      <w:r w:rsidR="006046B4" w:rsidRPr="00887894">
        <w:t>: Predicted shock coefficient against observed shock coefficient</w:t>
      </w:r>
      <w:r w:rsidR="00E363EF" w:rsidRPr="00887894">
        <w:t>.</w:t>
      </w:r>
    </w:p>
    <w:p w:rsidR="00145DD1" w:rsidRDefault="00145DD1" w:rsidP="00887894">
      <w:pPr>
        <w:pStyle w:val="CETBodytext"/>
      </w:pPr>
    </w:p>
    <w:p w:rsidR="0055712D" w:rsidRPr="00887894" w:rsidRDefault="006046B4" w:rsidP="00887894">
      <w:pPr>
        <w:pStyle w:val="CETBodytext"/>
      </w:pPr>
      <w:r w:rsidRPr="00887894">
        <w:t xml:space="preserve">The friction factor </w:t>
      </w:r>
      <w:r w:rsidRPr="00046122">
        <w:rPr>
          <w:i/>
        </w:rPr>
        <w:t>λ</w:t>
      </w:r>
      <w:r w:rsidRPr="00887894">
        <w:t xml:space="preserve"> can be obtained from the Colebrook-White (Colebrook and White, 1937) equation, the popular Moody (1944) diagram or any of the explicit friction factor models. Unfortunately, Colebrook-White equation is implicit in λ and so requires iterative solution. Moody diagram is a graphical tool and so it is not amenable for computer–based simulations. An accurate and computationally efficient explicit friction factor model which is applicable over a wide range of operating conditions will be a good choice. Recently, Pimenta et al (2018) </w:t>
      </w:r>
      <w:r w:rsidR="004B72D6" w:rsidRPr="00887894">
        <w:t>analyzed</w:t>
      </w:r>
      <w:r w:rsidRPr="00887894">
        <w:t xml:space="preserve"> the performance of several explicit friction factor models and concluded that the explicit friction factor model, developed by Offor and A</w:t>
      </w:r>
      <w:r w:rsidR="00E94355" w:rsidRPr="00887894">
        <w:t>labi (2016) and is given in Eq(11</w:t>
      </w:r>
      <w:r w:rsidRPr="00887894">
        <w:t xml:space="preserve">), is </w:t>
      </w:r>
      <w:r w:rsidR="00145DD1">
        <w:t xml:space="preserve">the </w:t>
      </w:r>
      <w:r w:rsidRPr="00887894">
        <w:t>most accurate and applicable over the widest range of Reynolds number</w:t>
      </w:r>
      <w:r w:rsidR="0055712D">
        <w:t>s</w:t>
      </w:r>
      <w:r w:rsidRPr="00887894">
        <w:t>. Therefore</w:t>
      </w:r>
      <w:r w:rsidR="00BD5300">
        <w:t>, Offor and Alabi (2016) model wa</w:t>
      </w:r>
      <w:r w:rsidRPr="00887894">
        <w:t>s chosen in this work.</w:t>
      </w:r>
    </w:p>
    <w:tbl>
      <w:tblPr>
        <w:tblW w:w="5000" w:type="pct"/>
        <w:tblLook w:val="04A0"/>
      </w:tblPr>
      <w:tblGrid>
        <w:gridCol w:w="8188"/>
        <w:gridCol w:w="815"/>
      </w:tblGrid>
      <w:tr w:rsidR="008E4659" w:rsidRPr="00B57B36" w:rsidTr="00F907DD">
        <w:tc>
          <w:tcPr>
            <w:tcW w:w="8188" w:type="dxa"/>
            <w:shd w:val="clear" w:color="auto" w:fill="auto"/>
            <w:vAlign w:val="center"/>
          </w:tcPr>
          <w:p w:rsidR="008E4659" w:rsidRPr="00B57B36" w:rsidRDefault="008B3402" w:rsidP="00F907DD">
            <w:pPr>
              <w:pStyle w:val="CETEquation"/>
            </w:pPr>
            <w:r w:rsidRPr="00853551">
              <w:rPr>
                <w:rFonts w:cs="Arial"/>
                <w:position w:val="-48"/>
                <w:szCs w:val="18"/>
              </w:rPr>
              <w:object w:dxaOrig="5040" w:dyaOrig="1140">
                <v:shape id="_x0000_i1035" type="#_x0000_t75" style="width:258.2pt;height:59.15pt" o:ole="">
                  <v:imagedata r:id="rId32" o:title=""/>
                </v:shape>
                <o:OLEObject Type="Embed" ProgID="Equation.DSMT4" ShapeID="_x0000_i1035" DrawAspect="Content" ObjectID="_1616785204" r:id="rId33"/>
              </w:object>
            </w:r>
          </w:p>
        </w:tc>
        <w:tc>
          <w:tcPr>
            <w:tcW w:w="815" w:type="dxa"/>
            <w:shd w:val="clear" w:color="auto" w:fill="auto"/>
            <w:vAlign w:val="center"/>
          </w:tcPr>
          <w:p w:rsidR="008E4659" w:rsidRPr="00B57B36" w:rsidRDefault="00E94355" w:rsidP="00F907DD">
            <w:pPr>
              <w:pStyle w:val="CETEquation"/>
              <w:jc w:val="right"/>
            </w:pPr>
            <w:r>
              <w:t>(11</w:t>
            </w:r>
            <w:r w:rsidR="008E4659" w:rsidRPr="00B57B36">
              <w:t>)</w:t>
            </w:r>
          </w:p>
        </w:tc>
      </w:tr>
    </w:tbl>
    <w:p w:rsidR="006046B4" w:rsidRDefault="00E94355" w:rsidP="00887894">
      <w:pPr>
        <w:pStyle w:val="CETBodytext"/>
      </w:pPr>
      <w:r>
        <w:t>Upon substitution of Eq(10) and Eq(11</w:t>
      </w:r>
      <w:r w:rsidR="006046B4" w:rsidRPr="00275060">
        <w:t>) in Eq(4), the resulting expression for</w:t>
      </w:r>
      <w:r w:rsidR="006046B4" w:rsidRPr="00EC794D">
        <w:rPr>
          <w:position w:val="-12"/>
        </w:rPr>
        <w:object w:dxaOrig="300" w:dyaOrig="360">
          <v:shape id="_x0000_i1036" type="#_x0000_t75" style="width:15.15pt;height:18.35pt" o:ole="">
            <v:imagedata r:id="rId34" o:title=""/>
          </v:shape>
          <o:OLEObject Type="Embed" ProgID="Equation.3" ShapeID="_x0000_i1036" DrawAspect="Content" ObjectID="_1616785205" r:id="rId35"/>
        </w:object>
      </w:r>
      <w:r w:rsidR="00BD5300">
        <w:t>wa</w:t>
      </w:r>
      <w:r>
        <w:t>s obtained as Eq(12</w:t>
      </w:r>
      <w:r w:rsidR="00046122">
        <w:t xml:space="preserve">). </w:t>
      </w:r>
    </w:p>
    <w:p w:rsidR="00BD5300" w:rsidRDefault="00BD5300" w:rsidP="00887894">
      <w:pPr>
        <w:pStyle w:val="CETBodytext"/>
      </w:pPr>
    </w:p>
    <w:tbl>
      <w:tblPr>
        <w:tblW w:w="5000" w:type="pct"/>
        <w:tblLook w:val="04A0"/>
      </w:tblPr>
      <w:tblGrid>
        <w:gridCol w:w="8566"/>
        <w:gridCol w:w="437"/>
      </w:tblGrid>
      <w:tr w:rsidR="008E4659" w:rsidRPr="00B57B36" w:rsidTr="00BD5300">
        <w:tc>
          <w:tcPr>
            <w:tcW w:w="8558" w:type="dxa"/>
            <w:shd w:val="clear" w:color="auto" w:fill="auto"/>
            <w:vAlign w:val="center"/>
          </w:tcPr>
          <w:p w:rsidR="008E4659" w:rsidRPr="00B57B36" w:rsidRDefault="008B3402" w:rsidP="00F907DD">
            <w:pPr>
              <w:pStyle w:val="CETEquation"/>
            </w:pPr>
            <w:r w:rsidRPr="00853551">
              <w:rPr>
                <w:rFonts w:cs="Arial"/>
                <w:position w:val="-108"/>
                <w:szCs w:val="18"/>
              </w:rPr>
              <w:object w:dxaOrig="8400" w:dyaOrig="1860">
                <v:shape id="_x0000_i1037" type="#_x0000_t75" style="width:417.3pt;height:95.4pt" o:ole="">
                  <v:imagedata r:id="rId36" o:title=""/>
                </v:shape>
                <o:OLEObject Type="Embed" ProgID="Equation.DSMT4" ShapeID="_x0000_i1037" DrawAspect="Content" ObjectID="_1616785206" r:id="rId37"/>
              </w:object>
            </w:r>
          </w:p>
        </w:tc>
        <w:tc>
          <w:tcPr>
            <w:tcW w:w="445" w:type="dxa"/>
            <w:shd w:val="clear" w:color="auto" w:fill="auto"/>
            <w:vAlign w:val="center"/>
          </w:tcPr>
          <w:p w:rsidR="008E4659" w:rsidRPr="00B57B36" w:rsidRDefault="00E94355" w:rsidP="00E94355">
            <w:pPr>
              <w:pStyle w:val="CETEquation"/>
              <w:ind w:right="-144"/>
            </w:pPr>
            <w:r>
              <w:t>(12)</w:t>
            </w:r>
          </w:p>
        </w:tc>
      </w:tr>
    </w:tbl>
    <w:p w:rsidR="00515C68" w:rsidRDefault="00BD5300" w:rsidP="00515C68">
      <w:pPr>
        <w:pStyle w:val="CETBodytext"/>
        <w:spacing w:before="240" w:after="240"/>
      </w:pPr>
      <w:r>
        <w:lastRenderedPageBreak/>
        <w:t xml:space="preserve">Thus, </w:t>
      </w:r>
      <w:r w:rsidR="00515C68" w:rsidRPr="00275060">
        <w:t xml:space="preserve">an explicit single semi-empirical model for estimating pressure drop coefficient of a conical diffuser as a function of </w:t>
      </w:r>
      <w:r w:rsidR="00515C68" w:rsidRPr="00046122">
        <w:rPr>
          <w:i/>
        </w:rPr>
        <w:t>α</w:t>
      </w:r>
      <w:r w:rsidR="00515C68" w:rsidRPr="00275060">
        <w:t xml:space="preserve">, </w:t>
      </w:r>
      <w:r w:rsidR="00515C68" w:rsidRPr="00046122">
        <w:rPr>
          <w:i/>
        </w:rPr>
        <w:t>n</w:t>
      </w:r>
      <w:r w:rsidR="00515C68" w:rsidRPr="00046122">
        <w:rPr>
          <w:i/>
          <w:vertAlign w:val="subscript"/>
        </w:rPr>
        <w:t>ar</w:t>
      </w:r>
      <w:r w:rsidR="00515C68" w:rsidRPr="00275060">
        <w:t xml:space="preserve">, </w:t>
      </w:r>
      <w:r w:rsidR="00515C68" w:rsidRPr="00046122">
        <w:t>Re</w:t>
      </w:r>
      <w:r w:rsidR="00515C68" w:rsidRPr="00275060">
        <w:t xml:space="preserve">, and </w:t>
      </w:r>
      <w:r w:rsidR="00515C68" w:rsidRPr="00046122">
        <w:rPr>
          <w:i/>
        </w:rPr>
        <w:t xml:space="preserve">ε/D </w:t>
      </w:r>
      <w:r w:rsidR="00DA2D41">
        <w:t>wa</w:t>
      </w:r>
      <w:r w:rsidR="00515C68" w:rsidRPr="00275060">
        <w:t>s developed. The model is semi-empirical</w:t>
      </w:r>
      <w:r w:rsidR="00DA2D41">
        <w:t xml:space="preserve"> in nature</w:t>
      </w:r>
      <w:r w:rsidR="00515C68" w:rsidRPr="00275060">
        <w:t>, as it was obtained from the combination of theoretical concepts and empirical models.</w:t>
      </w:r>
    </w:p>
    <w:p w:rsidR="00AC477F" w:rsidRPr="00D32E65" w:rsidRDefault="00AC477F" w:rsidP="004B72D6">
      <w:pPr>
        <w:pStyle w:val="CETHeading1"/>
      </w:pPr>
      <w:r w:rsidRPr="00D32E65">
        <w:t xml:space="preserve">Performance evaluation of the semi-empirical pressure drop coefficient model </w:t>
      </w:r>
    </w:p>
    <w:p w:rsidR="0055712D" w:rsidRDefault="00AC477F" w:rsidP="00653874">
      <w:pPr>
        <w:pStyle w:val="CETBodytext"/>
        <w:spacing w:after="240"/>
      </w:pPr>
      <w:r w:rsidRPr="00AE1DF8">
        <w:t>The</w:t>
      </w:r>
      <w:r w:rsidR="0055712D">
        <w:t xml:space="preserve"> developed</w:t>
      </w:r>
      <w:r w:rsidRPr="00AE1DF8">
        <w:t xml:space="preserve"> semi-empirical</w:t>
      </w:r>
      <w:r w:rsidR="0055712D">
        <w:t xml:space="preserve"> pressure drop coefficient</w:t>
      </w:r>
      <w:r w:rsidRPr="00AE1DF8">
        <w:t xml:space="preserve"> model (Eq</w:t>
      </w:r>
      <w:r w:rsidR="00E94355">
        <w:t>(12</w:t>
      </w:r>
      <w:r w:rsidRPr="00AE1DF8">
        <w:t>)) was validated against the literature data. The popular Moody Chart was used to obtain friction factor and the shock coefficient data were obtained from Idelchik (1996). These were then used to obtain pressure drop coefficient data (fro</w:t>
      </w:r>
      <w:r w:rsidR="00515C68">
        <w:t>m Eq(4)). Thus, 2600 datasets</w:t>
      </w:r>
      <w:r w:rsidRPr="00AE1DF8">
        <w:t xml:space="preserve"> were obtained for the conical diffuser pressure drop coefficient as a function of four</w:t>
      </w:r>
      <w:r w:rsidR="00515C68">
        <w:t xml:space="preserve"> (4)</w:t>
      </w:r>
      <w:r w:rsidRPr="00AE1DF8">
        <w:t xml:space="preserve"> input variables in the ranges</w:t>
      </w:r>
      <w:r w:rsidR="00046122">
        <w:t xml:space="preserve"> </w:t>
      </w:r>
      <w:r w:rsidR="008B3402">
        <w:t>5</w:t>
      </w:r>
      <w:r w:rsidR="008B3402">
        <w:rPr>
          <w:rFonts w:cs="Arial"/>
        </w:rPr>
        <w:t>˚</w:t>
      </w:r>
      <w:r w:rsidR="008B3402">
        <w:t xml:space="preserve"> </w:t>
      </w:r>
      <w:r w:rsidR="008B3402">
        <w:rPr>
          <w:rFonts w:cs="Arial"/>
        </w:rPr>
        <w:t>≤</w:t>
      </w:r>
      <w:r w:rsidR="008B3402">
        <w:t xml:space="preserve"> </w:t>
      </w:r>
      <w:r w:rsidR="008B3402" w:rsidRPr="00AF5F10">
        <w:rPr>
          <w:rFonts w:ascii="Times New Roman" w:hAnsi="Times New Roman"/>
          <w:i/>
        </w:rPr>
        <w:t>α</w:t>
      </w:r>
      <w:r w:rsidR="008B3402">
        <w:t xml:space="preserve"> </w:t>
      </w:r>
      <w:r w:rsidR="008B3402">
        <w:rPr>
          <w:rFonts w:cs="Arial"/>
        </w:rPr>
        <w:t>≤</w:t>
      </w:r>
      <w:r w:rsidR="008B3402">
        <w:t xml:space="preserve"> 180</w:t>
      </w:r>
      <w:r w:rsidR="008B3402">
        <w:rPr>
          <w:rFonts w:cs="Arial"/>
        </w:rPr>
        <w:t>˚</w:t>
      </w:r>
      <w:r w:rsidRPr="004B1FC9">
        <w:rPr>
          <w:szCs w:val="18"/>
        </w:rPr>
        <w:t xml:space="preserve">, </w:t>
      </w:r>
      <w:r w:rsidR="008B3402">
        <w:rPr>
          <w:szCs w:val="18"/>
        </w:rPr>
        <w:t xml:space="preserve">2 </w:t>
      </w:r>
      <w:r w:rsidR="008B3402">
        <w:rPr>
          <w:rFonts w:cs="Arial"/>
          <w:szCs w:val="18"/>
        </w:rPr>
        <w:t>≤</w:t>
      </w:r>
      <w:r w:rsidR="008B3402">
        <w:rPr>
          <w:i/>
          <w:szCs w:val="18"/>
        </w:rPr>
        <w:t xml:space="preserve"> n</w:t>
      </w:r>
      <w:r w:rsidR="00AF5F10">
        <w:rPr>
          <w:i/>
          <w:szCs w:val="18"/>
          <w:vertAlign w:val="subscript"/>
        </w:rPr>
        <w:t>ar</w:t>
      </w:r>
      <w:r w:rsidR="00AF5F10">
        <w:rPr>
          <w:szCs w:val="18"/>
        </w:rPr>
        <w:t xml:space="preserve"> </w:t>
      </w:r>
      <w:r w:rsidR="00AF5F10">
        <w:rPr>
          <w:rFonts w:cs="Arial"/>
          <w:szCs w:val="18"/>
        </w:rPr>
        <w:t>≤</w:t>
      </w:r>
      <w:r w:rsidR="00AF5F10">
        <w:rPr>
          <w:szCs w:val="18"/>
        </w:rPr>
        <w:t xml:space="preserve"> 10, 0 </w:t>
      </w:r>
      <w:r w:rsidR="00AF5F10">
        <w:rPr>
          <w:rFonts w:cs="Arial"/>
          <w:szCs w:val="18"/>
        </w:rPr>
        <w:t>≤</w:t>
      </w:r>
      <w:r w:rsidR="00AF5F10">
        <w:rPr>
          <w:szCs w:val="18"/>
        </w:rPr>
        <w:t xml:space="preserve"> </w:t>
      </w:r>
      <w:r w:rsidR="00AF5F10" w:rsidRPr="00AF5F10">
        <w:rPr>
          <w:rFonts w:cs="Arial"/>
          <w:i/>
          <w:szCs w:val="18"/>
        </w:rPr>
        <w:t>Ɛ</w:t>
      </w:r>
      <w:r w:rsidR="00AF5F10" w:rsidRPr="00AF5F10">
        <w:rPr>
          <w:i/>
          <w:szCs w:val="18"/>
        </w:rPr>
        <w:t>/D</w:t>
      </w:r>
      <w:r w:rsidR="00AF5F10">
        <w:rPr>
          <w:szCs w:val="18"/>
        </w:rPr>
        <w:t xml:space="preserve"> </w:t>
      </w:r>
      <w:r w:rsidR="00AF5F10">
        <w:rPr>
          <w:rFonts w:cs="Arial"/>
          <w:szCs w:val="18"/>
        </w:rPr>
        <w:t>≤</w:t>
      </w:r>
      <w:r w:rsidR="00AF5F10">
        <w:rPr>
          <w:szCs w:val="18"/>
        </w:rPr>
        <w:t xml:space="preserve"> 0.05, </w:t>
      </w:r>
      <w:r w:rsidRPr="004B1FC9">
        <w:rPr>
          <w:szCs w:val="18"/>
        </w:rPr>
        <w:t>and</w:t>
      </w:r>
      <w:r w:rsidR="00AF5F10">
        <w:rPr>
          <w:szCs w:val="18"/>
        </w:rPr>
        <w:t xml:space="preserve"> 50000 </w:t>
      </w:r>
      <w:r w:rsidR="00AF5F10">
        <w:rPr>
          <w:rFonts w:cs="Arial"/>
          <w:szCs w:val="18"/>
        </w:rPr>
        <w:t>≤</w:t>
      </w:r>
      <w:r w:rsidR="00AF5F10">
        <w:rPr>
          <w:szCs w:val="18"/>
        </w:rPr>
        <w:t xml:space="preserve"> Re </w:t>
      </w:r>
      <w:r w:rsidR="00AF5F10">
        <w:rPr>
          <w:rFonts w:cs="Arial"/>
          <w:szCs w:val="18"/>
        </w:rPr>
        <w:t>≤</w:t>
      </w:r>
      <w:r w:rsidR="00AF5F10">
        <w:rPr>
          <w:szCs w:val="18"/>
        </w:rPr>
        <w:t xml:space="preserve"> 800000. </w:t>
      </w:r>
      <w:r w:rsidRPr="004B1FC9">
        <w:rPr>
          <w:szCs w:val="18"/>
        </w:rPr>
        <w:t>The predicted pressure drop</w:t>
      </w:r>
      <w:r w:rsidRPr="00AE1DF8">
        <w:t xml:space="preserve"> coefficient obtained from Eq</w:t>
      </w:r>
      <w:r w:rsidR="00E94355">
        <w:t>(12</w:t>
      </w:r>
      <w:r w:rsidRPr="00AE1DF8">
        <w:t>) was compared with the observed pressure drop coefficient (</w:t>
      </w:r>
      <w:r w:rsidR="0055712D">
        <w:t>the entire 2600 literature data</w:t>
      </w:r>
      <w:r w:rsidRPr="00AE1DF8">
        <w:t>sets). The results are</w:t>
      </w:r>
      <w:r w:rsidR="00E94355">
        <w:t xml:space="preserve"> as shown in Figure 3</w:t>
      </w:r>
      <w:r w:rsidRPr="00AE1DF8">
        <w:t>. It is observed from Figure</w:t>
      </w:r>
      <w:r w:rsidR="00E94355">
        <w:t xml:space="preserve"> 3</w:t>
      </w:r>
      <w:r w:rsidRPr="00AE1DF8">
        <w:t xml:space="preserve"> that there is a good agreement between the literature data and the predicted pressure drop coefficient usin</w:t>
      </w:r>
      <w:r w:rsidR="008E4659">
        <w:t>g the new semi-empirical model.</w:t>
      </w:r>
    </w:p>
    <w:p w:rsidR="00F46E3B" w:rsidRDefault="00F46E3B" w:rsidP="00653874">
      <w:pPr>
        <w:pStyle w:val="CETBodytext"/>
        <w:spacing w:after="240"/>
      </w:pPr>
    </w:p>
    <w:p w:rsidR="008E4659" w:rsidRPr="00B57B36" w:rsidRDefault="003F56D3" w:rsidP="008E4659">
      <w:pPr>
        <w:pStyle w:val="CETBodytext"/>
        <w:jc w:val="left"/>
        <w:rPr>
          <w:lang w:val="en-GB"/>
        </w:rPr>
      </w:pPr>
      <w:r>
        <w:rPr>
          <w:noProof/>
          <w:lang w:val="en-GB" w:eastAsia="en-GB"/>
        </w:rPr>
        <w:drawing>
          <wp:inline distT="0" distB="0" distL="0" distR="0">
            <wp:extent cx="5579745" cy="4493260"/>
            <wp:effectExtent l="19050" t="0" r="1905" b="0"/>
            <wp:docPr id="8" name="Picture 7" descr="Figure 3 Upd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 Updated.png"/>
                    <pic:cNvPicPr/>
                  </pic:nvPicPr>
                  <pic:blipFill>
                    <a:blip r:embed="rId38"/>
                    <a:stretch>
                      <a:fillRect/>
                    </a:stretch>
                  </pic:blipFill>
                  <pic:spPr>
                    <a:xfrm>
                      <a:off x="0" y="0"/>
                      <a:ext cx="5579745" cy="4493260"/>
                    </a:xfrm>
                    <a:prstGeom prst="rect">
                      <a:avLst/>
                    </a:prstGeom>
                  </pic:spPr>
                </pic:pic>
              </a:graphicData>
            </a:graphic>
          </wp:inline>
        </w:drawing>
      </w:r>
    </w:p>
    <w:p w:rsidR="008E4659" w:rsidRPr="008E4659" w:rsidRDefault="00E94355" w:rsidP="008E4659">
      <w:pPr>
        <w:pStyle w:val="CETCaption"/>
        <w:rPr>
          <w:rFonts w:ascii="Times New Roman" w:hAnsi="Times New Roman"/>
          <w:sz w:val="24"/>
        </w:rPr>
      </w:pPr>
      <w:r>
        <w:t>Figure 3</w:t>
      </w:r>
      <w:r w:rsidR="008E4659" w:rsidRPr="005D46DF">
        <w:t>: Predicted pressure drop coefficient against observed pressure drop coefficient over wide ranges of operating conditions of a conical diffuser.</w:t>
      </w:r>
    </w:p>
    <w:p w:rsidR="00F46E3B" w:rsidRDefault="00F46E3B" w:rsidP="004B72D6">
      <w:pPr>
        <w:pStyle w:val="CETBodytext"/>
      </w:pPr>
    </w:p>
    <w:p w:rsidR="00AC477F" w:rsidRPr="00E203E3" w:rsidRDefault="00AC477F" w:rsidP="004B72D6">
      <w:pPr>
        <w:pStyle w:val="CETBodytext"/>
      </w:pPr>
      <w:r w:rsidRPr="005D46DF">
        <w:t>Further performance evaluation of the model gives rise to R</w:t>
      </w:r>
      <w:r w:rsidRPr="005D46DF">
        <w:rPr>
          <w:vertAlign w:val="superscript"/>
        </w:rPr>
        <w:t>2</w:t>
      </w:r>
      <w:r w:rsidRPr="005D46DF">
        <w:t>, mean absolute relative error (MeARE), and root mean square error (RMSE) of 0.9942, 4.04% and 0.0192, respectively.  The high R</w:t>
      </w:r>
      <w:r w:rsidRPr="005D46DF">
        <w:rPr>
          <w:vertAlign w:val="superscript"/>
        </w:rPr>
        <w:t>2</w:t>
      </w:r>
      <w:r w:rsidRPr="005D46DF">
        <w:t>, low MeARE and low RMSE are an indication that the developed semi-empirical model is accurate enough for computer-based simulation</w:t>
      </w:r>
      <w:r w:rsidR="0055712D">
        <w:t>s</w:t>
      </w:r>
      <w:r w:rsidRPr="005D46DF">
        <w:t xml:space="preserve"> and performance evaluation of a conical diffuser over a wide range of operating conditions.</w:t>
      </w:r>
    </w:p>
    <w:p w:rsidR="00AC477F" w:rsidRPr="00F46E3B" w:rsidRDefault="00AC477F" w:rsidP="004B72D6">
      <w:pPr>
        <w:pStyle w:val="CETHeading1"/>
      </w:pPr>
      <w:r w:rsidRPr="00F46E3B">
        <w:lastRenderedPageBreak/>
        <w:t>Conclusions</w:t>
      </w:r>
    </w:p>
    <w:p w:rsidR="00AC477F" w:rsidRPr="00AF5F10" w:rsidRDefault="00AC477F" w:rsidP="004B72D6">
      <w:pPr>
        <w:pStyle w:val="CETBodytext"/>
        <w:rPr>
          <w:rFonts w:cs="Arial"/>
          <w:b/>
        </w:rPr>
      </w:pPr>
      <w:r w:rsidRPr="00AF5F10">
        <w:rPr>
          <w:rFonts w:cs="Arial"/>
        </w:rPr>
        <w:t xml:space="preserve">The precise estimation of pressure drop coefficient </w:t>
      </w:r>
      <w:r w:rsidRPr="00AF5F10">
        <w:rPr>
          <w:rFonts w:cs="Arial"/>
          <w:noProof/>
        </w:rPr>
        <w:t>(</w:t>
      </w:r>
      <w:r w:rsidR="00046122" w:rsidRPr="00AF5F10">
        <w:rPr>
          <w:rFonts w:cs="Arial"/>
          <w:noProof/>
        </w:rPr>
        <w:t>ζ</w:t>
      </w:r>
      <w:r w:rsidR="00046122" w:rsidRPr="00AF5F10">
        <w:rPr>
          <w:rFonts w:cs="Arial"/>
          <w:noProof/>
          <w:vertAlign w:val="subscript"/>
        </w:rPr>
        <w:t>d</w:t>
      </w:r>
      <w:r w:rsidRPr="00AF5F10">
        <w:rPr>
          <w:rFonts w:cs="Arial"/>
        </w:rPr>
        <w:t xml:space="preserve">) of a diffuser is of high importance. </w:t>
      </w:r>
      <w:r w:rsidRPr="00AF5F10">
        <w:rPr>
          <w:rFonts w:cs="Arial"/>
          <w:noProof/>
        </w:rPr>
        <w:t xml:space="preserve">Traditionally, a number of models must be combined and used with the data obtained from tables (with 2D interpolation) and charts in a series of steps to obtain </w:t>
      </w:r>
      <w:r w:rsidR="00046122" w:rsidRPr="00AF5F10">
        <w:rPr>
          <w:rFonts w:cs="Arial"/>
          <w:noProof/>
        </w:rPr>
        <w:t>ζ</w:t>
      </w:r>
      <w:r w:rsidR="00046122" w:rsidRPr="00AF5F10">
        <w:rPr>
          <w:rFonts w:cs="Arial"/>
          <w:noProof/>
          <w:vertAlign w:val="subscript"/>
        </w:rPr>
        <w:t>d</w:t>
      </w:r>
      <w:r w:rsidRPr="00AF5F10">
        <w:rPr>
          <w:rFonts w:cs="Arial"/>
          <w:noProof/>
        </w:rPr>
        <w:t xml:space="preserve">. </w:t>
      </w:r>
      <w:r w:rsidR="00CB03EB" w:rsidRPr="00AF5F10">
        <w:rPr>
          <w:rFonts w:cs="Arial"/>
          <w:noProof/>
        </w:rPr>
        <w:t>To overcome this limitation, t</w:t>
      </w:r>
      <w:r w:rsidRPr="00AF5F10">
        <w:rPr>
          <w:rFonts w:cs="Arial"/>
          <w:noProof/>
        </w:rPr>
        <w:t xml:space="preserve">his study developed a single semi-empirical model for estimating </w:t>
      </w:r>
      <w:r w:rsidR="00046122" w:rsidRPr="00AF5F10">
        <w:rPr>
          <w:rFonts w:cs="Arial"/>
          <w:noProof/>
        </w:rPr>
        <w:t>ζ</w:t>
      </w:r>
      <w:r w:rsidR="00046122" w:rsidRPr="00AF5F10">
        <w:rPr>
          <w:rFonts w:cs="Arial"/>
          <w:noProof/>
          <w:vertAlign w:val="subscript"/>
        </w:rPr>
        <w:t>d</w:t>
      </w:r>
      <w:r w:rsidRPr="00AF5F10">
        <w:rPr>
          <w:rFonts w:cs="Arial"/>
          <w:noProof/>
        </w:rPr>
        <w:t xml:space="preserve"> of a conical diffuser as an explicit function of the f</w:t>
      </w:r>
      <w:r w:rsidR="00CB03EB" w:rsidRPr="00AF5F10">
        <w:rPr>
          <w:rFonts w:cs="Arial"/>
          <w:noProof/>
        </w:rPr>
        <w:t>low parameters and the diffuser</w:t>
      </w:r>
      <w:r w:rsidR="005C680E" w:rsidRPr="00AF5F10">
        <w:rPr>
          <w:rFonts w:cs="Arial"/>
          <w:noProof/>
        </w:rPr>
        <w:t xml:space="preserve"> </w:t>
      </w:r>
      <w:r w:rsidRPr="00AF5F10">
        <w:rPr>
          <w:rFonts w:cs="Arial"/>
          <w:noProof/>
        </w:rPr>
        <w:t>geometry.</w:t>
      </w:r>
      <w:r w:rsidR="00CB03EB" w:rsidRPr="00AF5F10">
        <w:rPr>
          <w:rFonts w:cs="Arial"/>
          <w:noProof/>
        </w:rPr>
        <w:t xml:space="preserve"> The resulting model has</w:t>
      </w:r>
      <w:r w:rsidR="00CB03EB" w:rsidRPr="00AF5F10">
        <w:rPr>
          <w:rFonts w:cs="Arial"/>
        </w:rPr>
        <w:t xml:space="preserve"> high R</w:t>
      </w:r>
      <w:r w:rsidR="00CB03EB" w:rsidRPr="00AF5F10">
        <w:rPr>
          <w:rFonts w:cs="Arial"/>
          <w:vertAlign w:val="superscript"/>
        </w:rPr>
        <w:t>2</w:t>
      </w:r>
      <w:r w:rsidR="00CB03EB" w:rsidRPr="00AF5F10">
        <w:rPr>
          <w:rFonts w:cs="Arial"/>
        </w:rPr>
        <w:t xml:space="preserve"> of 0.9942, low MeARE of 4.04% and low RMSE of 0.0192 when compared with the literature data. It is therefore concluded that in lieu of the existing burdensome manual appro</w:t>
      </w:r>
      <w:r w:rsidR="005C680E" w:rsidRPr="00AF5F10">
        <w:rPr>
          <w:rFonts w:cs="Arial"/>
        </w:rPr>
        <w:t>ach</w:t>
      </w:r>
      <w:r w:rsidR="00CB03EB" w:rsidRPr="00AF5F10">
        <w:rPr>
          <w:rFonts w:cs="Arial"/>
        </w:rPr>
        <w:t xml:space="preserve">, </w:t>
      </w:r>
      <w:r w:rsidR="005C680E" w:rsidRPr="00AF5F10">
        <w:rPr>
          <w:rFonts w:cs="Arial"/>
        </w:rPr>
        <w:t>the developed semi-empirical model is accurate enough for computer-based simulation of pressure drop coefficient and performance evaluation of a conical diffuser over a wide range of operating conditions.</w:t>
      </w:r>
      <w:r w:rsidR="00CB03EB" w:rsidRPr="00AF5F10">
        <w:rPr>
          <w:rFonts w:cs="Arial"/>
        </w:rPr>
        <w:t xml:space="preserve"> </w:t>
      </w:r>
      <w:r w:rsidR="00CB03EB" w:rsidRPr="00AF5F10">
        <w:rPr>
          <w:rFonts w:cs="Arial"/>
          <w:noProof/>
        </w:rPr>
        <w:t xml:space="preserve">  </w:t>
      </w:r>
      <w:r w:rsidRPr="00AF5F10">
        <w:rPr>
          <w:rFonts w:cs="Arial"/>
          <w:noProof/>
        </w:rPr>
        <w:t xml:space="preserve"> </w:t>
      </w:r>
    </w:p>
    <w:p w:rsidR="0055712D" w:rsidRDefault="0055712D" w:rsidP="004B72D6">
      <w:pPr>
        <w:pStyle w:val="CETReference"/>
      </w:pPr>
    </w:p>
    <w:p w:rsidR="00AC477F" w:rsidRPr="00F46E3B" w:rsidRDefault="00AC477F" w:rsidP="004B72D6">
      <w:pPr>
        <w:pStyle w:val="CETReference"/>
        <w:rPr>
          <w:sz w:val="20"/>
        </w:rPr>
      </w:pPr>
      <w:r w:rsidRPr="00F46E3B">
        <w:rPr>
          <w:sz w:val="20"/>
        </w:rPr>
        <w:t>References</w:t>
      </w:r>
    </w:p>
    <w:p w:rsidR="00AC477F" w:rsidRPr="00D6765A" w:rsidRDefault="00AC477F" w:rsidP="004B72D6">
      <w:pPr>
        <w:pStyle w:val="CETReferencetext"/>
      </w:pPr>
      <w:r w:rsidRPr="00D6765A">
        <w:t>Chernyavskiy,</w:t>
      </w:r>
      <w:r>
        <w:t xml:space="preserve"> L.K. and Gordeyev, N.N., 1985,</w:t>
      </w:r>
      <w:r w:rsidRPr="00D6765A">
        <w:t xml:space="preserve"> Generalization of Experimental Data on the Losses in Straight Diffusers with a Constant Divergence Angle. Thermal Engineering (6), pp 75-77.</w:t>
      </w:r>
    </w:p>
    <w:p w:rsidR="00AC477F" w:rsidRPr="00D6765A" w:rsidRDefault="00AC477F" w:rsidP="004B72D6">
      <w:pPr>
        <w:pStyle w:val="CETReferencetext"/>
      </w:pPr>
      <w:r w:rsidRPr="00D6765A">
        <w:t>Chernya</w:t>
      </w:r>
      <w:r>
        <w:t>vskiy, L.K. and Gordeyev, N.N., 1986,</w:t>
      </w:r>
      <w:r w:rsidRPr="00D6765A">
        <w:t xml:space="preserve"> Generalization of Experimental Coefficients for the Losses of Diffusers Installed in the System. Thermal Engineering (10), pp 72-74.</w:t>
      </w:r>
    </w:p>
    <w:p w:rsidR="00AC477F" w:rsidRPr="00D6765A" w:rsidRDefault="00AC477F" w:rsidP="004B72D6">
      <w:pPr>
        <w:pStyle w:val="CETReferencetext"/>
      </w:pPr>
      <w:r w:rsidRPr="00D6765A">
        <w:t>Colebrook, C. F.; White, C. M.</w:t>
      </w:r>
      <w:r>
        <w:t xml:space="preserve">, </w:t>
      </w:r>
      <w:r w:rsidRPr="00D6765A">
        <w:t>1937</w:t>
      </w:r>
      <w:r>
        <w:t>,</w:t>
      </w:r>
      <w:r w:rsidRPr="00D6765A">
        <w:t xml:space="preserve"> Experiments with fluid friction in roughened pipes. Proceedings of the Royal Society A: Mathematical, Physical and Engineer</w:t>
      </w:r>
      <w:r>
        <w:t>ing Sciences, v.161, p.367-381</w:t>
      </w:r>
      <w:r w:rsidR="008C0A8E">
        <w:t xml:space="preserve">. Online: </w:t>
      </w:r>
      <w:r w:rsidRPr="00D6765A">
        <w:t>doi.org/10.1098/rspa.1937.0150</w:t>
      </w:r>
    </w:p>
    <w:p w:rsidR="00AC477F" w:rsidRPr="00D6765A" w:rsidRDefault="00AC477F" w:rsidP="004B72D6">
      <w:pPr>
        <w:pStyle w:val="CETReferencetext"/>
      </w:pPr>
      <w:r w:rsidRPr="00D6765A">
        <w:t>I</w:t>
      </w:r>
      <w:r w:rsidRPr="00D6765A">
        <w:rPr>
          <w:bCs/>
        </w:rPr>
        <w:t>d</w:t>
      </w:r>
      <w:r w:rsidRPr="00D6765A">
        <w:t>e</w:t>
      </w:r>
      <w:r w:rsidRPr="00D6765A">
        <w:rPr>
          <w:bCs/>
        </w:rPr>
        <w:t>l</w:t>
      </w:r>
      <w:r w:rsidRPr="00D6765A">
        <w:t>chi</w:t>
      </w:r>
      <w:r w:rsidRPr="00D6765A">
        <w:rPr>
          <w:bCs/>
        </w:rPr>
        <w:t xml:space="preserve">k, </w:t>
      </w:r>
      <w:r w:rsidRPr="00D6765A">
        <w:t>I.E</w:t>
      </w:r>
      <w:r>
        <w:t>., 1996,</w:t>
      </w:r>
      <w:r w:rsidRPr="00D6765A">
        <w:t xml:space="preserve"> Resistance to Flow with a Smooth Change in Velocity. Handbook of Hydraulic Resistance, 3rd Edition. Begell House, Inc., pp 239-329.</w:t>
      </w:r>
    </w:p>
    <w:p w:rsidR="00AC477F" w:rsidRPr="00D6765A" w:rsidRDefault="00AC477F" w:rsidP="004B72D6">
      <w:pPr>
        <w:pStyle w:val="CETReferencetext"/>
      </w:pPr>
      <w:r w:rsidRPr="00D6765A">
        <w:t>K</w:t>
      </w:r>
      <w:r>
        <w:t xml:space="preserve">arunakaran, E. and Ganesan, V., </w:t>
      </w:r>
      <w:r w:rsidRPr="00D6765A">
        <w:t>2009</w:t>
      </w:r>
      <w:r>
        <w:t xml:space="preserve">, </w:t>
      </w:r>
      <w:r w:rsidRPr="00D6765A">
        <w:t>Mean Flow Field Measurements in an Axisymmetric Conical Diffuser without Inlet Flow Distortion. Indian Journal of Engineering and Materials Sciences Vol. 16. Indian Institute of Technology, Chennai. pp 211-219.</w:t>
      </w:r>
    </w:p>
    <w:p w:rsidR="00AC477F" w:rsidRPr="00D6765A" w:rsidRDefault="00AC477F" w:rsidP="004B72D6">
      <w:pPr>
        <w:pStyle w:val="CETReferencetext"/>
      </w:pPr>
      <w:r w:rsidRPr="00D6765A">
        <w:t>Keerthana</w:t>
      </w:r>
      <w:r>
        <w:t>, R. and Jamuna Rani, G., 2012,</w:t>
      </w:r>
      <w:r w:rsidRPr="00D6765A">
        <w:t xml:space="preserve"> Flow Analysis of Annular Diffusers. International Journal of Engineering Research and Applications. Vol. 2, ISSN: 2248-9622. pp 2348 – 2351.</w:t>
      </w:r>
    </w:p>
    <w:p w:rsidR="00AC477F" w:rsidRPr="00D6765A" w:rsidRDefault="00AC477F" w:rsidP="004B72D6">
      <w:pPr>
        <w:pStyle w:val="CETReferencetext"/>
      </w:pPr>
      <w:r w:rsidRPr="00D6765A">
        <w:t>Moody, L. F</w:t>
      </w:r>
      <w:r>
        <w:t xml:space="preserve">., </w:t>
      </w:r>
      <w:r w:rsidRPr="00D6765A">
        <w:t>1944</w:t>
      </w:r>
      <w:r>
        <w:t>,</w:t>
      </w:r>
      <w:r w:rsidRPr="00D6765A">
        <w:t xml:space="preserve"> Friction factors for pipe flow. Tra</w:t>
      </w:r>
      <w:r>
        <w:t>nsactions ASME, v.66, p.671-678</w:t>
      </w:r>
      <w:r w:rsidRPr="00D6765A">
        <w:t>.</w:t>
      </w:r>
    </w:p>
    <w:p w:rsidR="00AC477F" w:rsidRPr="00D6765A" w:rsidRDefault="00AC477F" w:rsidP="004B72D6">
      <w:pPr>
        <w:pStyle w:val="CETReferencetext"/>
      </w:pPr>
      <w:r>
        <w:t>Offor, U.H. and Alabi, S.B., 2016,</w:t>
      </w:r>
      <w:r w:rsidRPr="00D6765A">
        <w:t xml:space="preserve"> An Accurate and Computational Efficient Explicit Friction Factor Model. Advances in Chemical Engineering and Science, (6), pp 237-245. </w:t>
      </w:r>
    </w:p>
    <w:p w:rsidR="004628D2" w:rsidRPr="004B72D6" w:rsidRDefault="00AC477F" w:rsidP="004B72D6">
      <w:pPr>
        <w:pStyle w:val="CETReferencetext"/>
        <w:rPr>
          <w:rFonts w:ascii="Times New Roman" w:hAnsi="Times New Roman"/>
          <w:sz w:val="24"/>
          <w:szCs w:val="24"/>
        </w:rPr>
      </w:pPr>
      <w:r w:rsidRPr="00D6765A">
        <w:rPr>
          <w:color w:val="000000"/>
        </w:rPr>
        <w:t>Pimenta, Bruna D., Robaina, Adroaldo D., Peiter, Marcia X., Mezzomo, Wellington, Kirchner, Jardel H., &amp; Ben, Luis</w:t>
      </w:r>
      <w:r>
        <w:rPr>
          <w:color w:val="000000"/>
        </w:rPr>
        <w:t xml:space="preserve"> H. B., 2018,</w:t>
      </w:r>
      <w:r w:rsidRPr="00D6765A">
        <w:rPr>
          <w:color w:val="000000"/>
        </w:rPr>
        <w:t xml:space="preserve"> Performance of explicit approximations of the coefficient of head loss for pressurized conduits. </w:t>
      </w:r>
      <w:r w:rsidRPr="00D6765A">
        <w:rPr>
          <w:iCs/>
          <w:color w:val="000000"/>
        </w:rPr>
        <w:t>Revista Brasileira de Engenharia Agrícola e</w:t>
      </w:r>
      <w:r>
        <w:rPr>
          <w:iCs/>
          <w:color w:val="000000"/>
        </w:rPr>
        <w:t xml:space="preserve"> </w:t>
      </w:r>
      <w:r w:rsidRPr="00D6765A">
        <w:rPr>
          <w:iCs/>
          <w:color w:val="000000"/>
        </w:rPr>
        <w:t>Ambiental</w:t>
      </w:r>
      <w:r w:rsidRPr="00D6765A">
        <w:rPr>
          <w:color w:val="000000"/>
        </w:rPr>
        <w:t>, </w:t>
      </w:r>
      <w:r w:rsidRPr="00D6765A">
        <w:rPr>
          <w:iCs/>
          <w:color w:val="000000"/>
        </w:rPr>
        <w:t>22</w:t>
      </w:r>
      <w:r w:rsidRPr="00D6765A">
        <w:rPr>
          <w:color w:val="000000"/>
        </w:rPr>
        <w:t>(5),</w:t>
      </w:r>
      <w:r w:rsidR="00E363EF">
        <w:rPr>
          <w:color w:val="000000"/>
        </w:rPr>
        <w:t>301</w:t>
      </w:r>
      <w:r w:rsidR="00C475CB">
        <w:rPr>
          <w:color w:val="000000"/>
        </w:rPr>
        <w:t>-</w:t>
      </w:r>
      <w:r w:rsidRPr="00D6765A">
        <w:rPr>
          <w:color w:val="000000"/>
        </w:rPr>
        <w:t>307.</w:t>
      </w:r>
      <w:r w:rsidR="00E363EF">
        <w:rPr>
          <w:color w:val="000000"/>
        </w:rPr>
        <w:t xml:space="preserve"> </w:t>
      </w:r>
      <w:r w:rsidR="00081FA7">
        <w:rPr>
          <w:color w:val="000000"/>
        </w:rPr>
        <w:t xml:space="preserve">Online: </w:t>
      </w:r>
      <w:r w:rsidRPr="00D6765A">
        <w:t>dx.doi.org/10.1590/18071929/agriambi.v22n5p301-307</w:t>
      </w:r>
    </w:p>
    <w:sectPr w:rsidR="004628D2" w:rsidRPr="004B72D6" w:rsidSect="00C64FA6">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0FC" w:rsidRDefault="004140FC" w:rsidP="004F5E36">
      <w:r>
        <w:separator/>
      </w:r>
    </w:p>
  </w:endnote>
  <w:endnote w:type="continuationSeparator" w:id="1">
    <w:p w:rsidR="004140FC" w:rsidRDefault="004140FC"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0FC" w:rsidRDefault="004140FC" w:rsidP="004F5E36">
      <w:r>
        <w:separator/>
      </w:r>
    </w:p>
  </w:footnote>
  <w:footnote w:type="continuationSeparator" w:id="1">
    <w:p w:rsidR="004140FC" w:rsidRDefault="004140FC"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stylePaneFormatFilter w:val="1001"/>
  <w:styleLockTheme/>
  <w:styleLockQFSet/>
  <w:defaultTabStop w:val="708"/>
  <w:hyphenationZone w:val="283"/>
  <w:clickAndTypeStyle w:val="CETBodytext"/>
  <w:characterSpacingControl w:val="doNotCompress"/>
  <w:hdrShapeDefaults>
    <o:shapedefaults v:ext="edit" spidmax="2355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AE8"/>
    <w:rsid w:val="000027C0"/>
    <w:rsid w:val="000052FB"/>
    <w:rsid w:val="00010F40"/>
    <w:rsid w:val="000117CB"/>
    <w:rsid w:val="000259EB"/>
    <w:rsid w:val="0003148D"/>
    <w:rsid w:val="00045858"/>
    <w:rsid w:val="00046122"/>
    <w:rsid w:val="00047D7F"/>
    <w:rsid w:val="00051566"/>
    <w:rsid w:val="00062A9A"/>
    <w:rsid w:val="00065058"/>
    <w:rsid w:val="00071009"/>
    <w:rsid w:val="00081FA7"/>
    <w:rsid w:val="00086C39"/>
    <w:rsid w:val="00096C03"/>
    <w:rsid w:val="000A03B2"/>
    <w:rsid w:val="000A3B7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45DD1"/>
    <w:rsid w:val="00150E59"/>
    <w:rsid w:val="00152D02"/>
    <w:rsid w:val="00152DE3"/>
    <w:rsid w:val="00164CF9"/>
    <w:rsid w:val="00184AD6"/>
    <w:rsid w:val="00186494"/>
    <w:rsid w:val="001B0349"/>
    <w:rsid w:val="001B65C1"/>
    <w:rsid w:val="001C25D1"/>
    <w:rsid w:val="001C485F"/>
    <w:rsid w:val="001C684B"/>
    <w:rsid w:val="001D53FC"/>
    <w:rsid w:val="001F402B"/>
    <w:rsid w:val="001F42A5"/>
    <w:rsid w:val="001F5342"/>
    <w:rsid w:val="001F7B9D"/>
    <w:rsid w:val="002162B0"/>
    <w:rsid w:val="00221B0F"/>
    <w:rsid w:val="002224B4"/>
    <w:rsid w:val="002447EF"/>
    <w:rsid w:val="00251550"/>
    <w:rsid w:val="00252C1A"/>
    <w:rsid w:val="00263B05"/>
    <w:rsid w:val="0027221A"/>
    <w:rsid w:val="00275060"/>
    <w:rsid w:val="00275B61"/>
    <w:rsid w:val="002760A9"/>
    <w:rsid w:val="00282656"/>
    <w:rsid w:val="00296699"/>
    <w:rsid w:val="00296B83"/>
    <w:rsid w:val="002B78CE"/>
    <w:rsid w:val="002C2FB6"/>
    <w:rsid w:val="002D5BCD"/>
    <w:rsid w:val="002D68D0"/>
    <w:rsid w:val="002E3DEB"/>
    <w:rsid w:val="003009B7"/>
    <w:rsid w:val="00300E56"/>
    <w:rsid w:val="0030469C"/>
    <w:rsid w:val="00321CA6"/>
    <w:rsid w:val="00322FE3"/>
    <w:rsid w:val="00334C09"/>
    <w:rsid w:val="003365E3"/>
    <w:rsid w:val="003723D4"/>
    <w:rsid w:val="00384CC8"/>
    <w:rsid w:val="003871FD"/>
    <w:rsid w:val="003A1E30"/>
    <w:rsid w:val="003A7D1C"/>
    <w:rsid w:val="003B304B"/>
    <w:rsid w:val="003B3146"/>
    <w:rsid w:val="003B60F3"/>
    <w:rsid w:val="003E0354"/>
    <w:rsid w:val="003F015E"/>
    <w:rsid w:val="003F56D3"/>
    <w:rsid w:val="00400414"/>
    <w:rsid w:val="004140FC"/>
    <w:rsid w:val="0041446B"/>
    <w:rsid w:val="0044329C"/>
    <w:rsid w:val="004577F8"/>
    <w:rsid w:val="004577FE"/>
    <w:rsid w:val="00457B9C"/>
    <w:rsid w:val="0046164A"/>
    <w:rsid w:val="004628D2"/>
    <w:rsid w:val="00462C60"/>
    <w:rsid w:val="00462DCD"/>
    <w:rsid w:val="004648AD"/>
    <w:rsid w:val="004677CF"/>
    <w:rsid w:val="004703A9"/>
    <w:rsid w:val="004760DE"/>
    <w:rsid w:val="004A004E"/>
    <w:rsid w:val="004A24CF"/>
    <w:rsid w:val="004B1FC9"/>
    <w:rsid w:val="004B6721"/>
    <w:rsid w:val="004B72D6"/>
    <w:rsid w:val="004C1A64"/>
    <w:rsid w:val="004C3D1D"/>
    <w:rsid w:val="004C7913"/>
    <w:rsid w:val="004E4DD6"/>
    <w:rsid w:val="004F09CA"/>
    <w:rsid w:val="004F35E9"/>
    <w:rsid w:val="004F5E36"/>
    <w:rsid w:val="00507B47"/>
    <w:rsid w:val="00507CC9"/>
    <w:rsid w:val="005119A5"/>
    <w:rsid w:val="00515C68"/>
    <w:rsid w:val="00520B69"/>
    <w:rsid w:val="005278B7"/>
    <w:rsid w:val="00532016"/>
    <w:rsid w:val="005346C8"/>
    <w:rsid w:val="00536D4A"/>
    <w:rsid w:val="00537608"/>
    <w:rsid w:val="00543E7D"/>
    <w:rsid w:val="00546B05"/>
    <w:rsid w:val="00547A68"/>
    <w:rsid w:val="005531C9"/>
    <w:rsid w:val="0055712D"/>
    <w:rsid w:val="00560912"/>
    <w:rsid w:val="00594DDA"/>
    <w:rsid w:val="005B2110"/>
    <w:rsid w:val="005B61E6"/>
    <w:rsid w:val="005C680E"/>
    <w:rsid w:val="005C77E1"/>
    <w:rsid w:val="005D6A2F"/>
    <w:rsid w:val="005E1A82"/>
    <w:rsid w:val="005E794C"/>
    <w:rsid w:val="005F0443"/>
    <w:rsid w:val="005F0A28"/>
    <w:rsid w:val="005F0E5E"/>
    <w:rsid w:val="00600535"/>
    <w:rsid w:val="006046B4"/>
    <w:rsid w:val="00610CD6"/>
    <w:rsid w:val="00620DEE"/>
    <w:rsid w:val="00621F92"/>
    <w:rsid w:val="00625639"/>
    <w:rsid w:val="00631B33"/>
    <w:rsid w:val="006328DD"/>
    <w:rsid w:val="0064184D"/>
    <w:rsid w:val="006422CC"/>
    <w:rsid w:val="00653874"/>
    <w:rsid w:val="00660E3E"/>
    <w:rsid w:val="00662E74"/>
    <w:rsid w:val="00680C23"/>
    <w:rsid w:val="00693766"/>
    <w:rsid w:val="006A3281"/>
    <w:rsid w:val="006A6DAA"/>
    <w:rsid w:val="006A73C3"/>
    <w:rsid w:val="006B4888"/>
    <w:rsid w:val="006C2E45"/>
    <w:rsid w:val="006C359C"/>
    <w:rsid w:val="006C51C9"/>
    <w:rsid w:val="006C5579"/>
    <w:rsid w:val="006E737D"/>
    <w:rsid w:val="0070195D"/>
    <w:rsid w:val="00720A24"/>
    <w:rsid w:val="00732386"/>
    <w:rsid w:val="007447F3"/>
    <w:rsid w:val="0075499F"/>
    <w:rsid w:val="007661C8"/>
    <w:rsid w:val="0077098D"/>
    <w:rsid w:val="007931FA"/>
    <w:rsid w:val="007A7BBA"/>
    <w:rsid w:val="007B0C50"/>
    <w:rsid w:val="007C1A43"/>
    <w:rsid w:val="007E1DC6"/>
    <w:rsid w:val="00813288"/>
    <w:rsid w:val="008168FC"/>
    <w:rsid w:val="00830996"/>
    <w:rsid w:val="008345F1"/>
    <w:rsid w:val="008415D5"/>
    <w:rsid w:val="00856DC1"/>
    <w:rsid w:val="008609CA"/>
    <w:rsid w:val="00865B07"/>
    <w:rsid w:val="008667EA"/>
    <w:rsid w:val="0087637F"/>
    <w:rsid w:val="00886BB0"/>
    <w:rsid w:val="00887894"/>
    <w:rsid w:val="008904B9"/>
    <w:rsid w:val="00892AD5"/>
    <w:rsid w:val="008A1512"/>
    <w:rsid w:val="008B3402"/>
    <w:rsid w:val="008C0A8E"/>
    <w:rsid w:val="008C12DF"/>
    <w:rsid w:val="008C78C1"/>
    <w:rsid w:val="008D0B50"/>
    <w:rsid w:val="008D32B9"/>
    <w:rsid w:val="008D433B"/>
    <w:rsid w:val="008E4659"/>
    <w:rsid w:val="008E566E"/>
    <w:rsid w:val="0090161A"/>
    <w:rsid w:val="00901EB6"/>
    <w:rsid w:val="00904479"/>
    <w:rsid w:val="00904C62"/>
    <w:rsid w:val="00924DAC"/>
    <w:rsid w:val="00927058"/>
    <w:rsid w:val="009450CE"/>
    <w:rsid w:val="00947179"/>
    <w:rsid w:val="0095164B"/>
    <w:rsid w:val="00954090"/>
    <w:rsid w:val="009573E7"/>
    <w:rsid w:val="009635B9"/>
    <w:rsid w:val="00963E05"/>
    <w:rsid w:val="00967D54"/>
    <w:rsid w:val="009858D9"/>
    <w:rsid w:val="00996483"/>
    <w:rsid w:val="00996F5A"/>
    <w:rsid w:val="009A0A3E"/>
    <w:rsid w:val="009B041A"/>
    <w:rsid w:val="009C7C86"/>
    <w:rsid w:val="009D2FF7"/>
    <w:rsid w:val="009E2615"/>
    <w:rsid w:val="009E7884"/>
    <w:rsid w:val="009E788A"/>
    <w:rsid w:val="009F0E08"/>
    <w:rsid w:val="00A1763D"/>
    <w:rsid w:val="00A17CEC"/>
    <w:rsid w:val="00A211E7"/>
    <w:rsid w:val="00A27EF0"/>
    <w:rsid w:val="00A50B20"/>
    <w:rsid w:val="00A51390"/>
    <w:rsid w:val="00A60D13"/>
    <w:rsid w:val="00A72745"/>
    <w:rsid w:val="00A76EFC"/>
    <w:rsid w:val="00A77B52"/>
    <w:rsid w:val="00A83AF5"/>
    <w:rsid w:val="00A91010"/>
    <w:rsid w:val="00A95A0B"/>
    <w:rsid w:val="00A97F29"/>
    <w:rsid w:val="00AA702E"/>
    <w:rsid w:val="00AB0964"/>
    <w:rsid w:val="00AB21BC"/>
    <w:rsid w:val="00AB5011"/>
    <w:rsid w:val="00AC477F"/>
    <w:rsid w:val="00AC7368"/>
    <w:rsid w:val="00AD16B9"/>
    <w:rsid w:val="00AE377D"/>
    <w:rsid w:val="00AF40B2"/>
    <w:rsid w:val="00AF5F10"/>
    <w:rsid w:val="00B14FB6"/>
    <w:rsid w:val="00B17FBD"/>
    <w:rsid w:val="00B315A6"/>
    <w:rsid w:val="00B31813"/>
    <w:rsid w:val="00B329EC"/>
    <w:rsid w:val="00B33365"/>
    <w:rsid w:val="00B34249"/>
    <w:rsid w:val="00B44736"/>
    <w:rsid w:val="00B4489E"/>
    <w:rsid w:val="00B57B36"/>
    <w:rsid w:val="00B8686D"/>
    <w:rsid w:val="00BB2522"/>
    <w:rsid w:val="00BC30C9"/>
    <w:rsid w:val="00BD5300"/>
    <w:rsid w:val="00BE3E58"/>
    <w:rsid w:val="00BE79A2"/>
    <w:rsid w:val="00C01616"/>
    <w:rsid w:val="00C0162B"/>
    <w:rsid w:val="00C22681"/>
    <w:rsid w:val="00C345B1"/>
    <w:rsid w:val="00C40142"/>
    <w:rsid w:val="00C475CB"/>
    <w:rsid w:val="00C53DB3"/>
    <w:rsid w:val="00C57182"/>
    <w:rsid w:val="00C57863"/>
    <w:rsid w:val="00C64FA6"/>
    <w:rsid w:val="00C655FD"/>
    <w:rsid w:val="00C774FA"/>
    <w:rsid w:val="00C870A8"/>
    <w:rsid w:val="00C94434"/>
    <w:rsid w:val="00CA0210"/>
    <w:rsid w:val="00CA0D75"/>
    <w:rsid w:val="00CA1C95"/>
    <w:rsid w:val="00CA5A9C"/>
    <w:rsid w:val="00CB03EB"/>
    <w:rsid w:val="00CC36A5"/>
    <w:rsid w:val="00CD3517"/>
    <w:rsid w:val="00CD5A00"/>
    <w:rsid w:val="00CD5FE2"/>
    <w:rsid w:val="00CE7C68"/>
    <w:rsid w:val="00D02B4C"/>
    <w:rsid w:val="00D040C4"/>
    <w:rsid w:val="00D049D5"/>
    <w:rsid w:val="00D458D1"/>
    <w:rsid w:val="00D57C84"/>
    <w:rsid w:val="00D6057D"/>
    <w:rsid w:val="00D84576"/>
    <w:rsid w:val="00DA1399"/>
    <w:rsid w:val="00DA24C6"/>
    <w:rsid w:val="00DA2D41"/>
    <w:rsid w:val="00DA4D7B"/>
    <w:rsid w:val="00DE264A"/>
    <w:rsid w:val="00DE4A61"/>
    <w:rsid w:val="00DE70A7"/>
    <w:rsid w:val="00E02D18"/>
    <w:rsid w:val="00E041E7"/>
    <w:rsid w:val="00E23CA1"/>
    <w:rsid w:val="00E363EF"/>
    <w:rsid w:val="00E409A8"/>
    <w:rsid w:val="00E50C12"/>
    <w:rsid w:val="00E65004"/>
    <w:rsid w:val="00E65B91"/>
    <w:rsid w:val="00E7209D"/>
    <w:rsid w:val="00E7522E"/>
    <w:rsid w:val="00E77223"/>
    <w:rsid w:val="00E8528B"/>
    <w:rsid w:val="00E85B94"/>
    <w:rsid w:val="00E94355"/>
    <w:rsid w:val="00E978D0"/>
    <w:rsid w:val="00EA4613"/>
    <w:rsid w:val="00EA7F91"/>
    <w:rsid w:val="00EB1523"/>
    <w:rsid w:val="00EC0E49"/>
    <w:rsid w:val="00EE0131"/>
    <w:rsid w:val="00F155B2"/>
    <w:rsid w:val="00F30C64"/>
    <w:rsid w:val="00F32CDB"/>
    <w:rsid w:val="00F46E3B"/>
    <w:rsid w:val="00F5406F"/>
    <w:rsid w:val="00F63A70"/>
    <w:rsid w:val="00F74484"/>
    <w:rsid w:val="00F84784"/>
    <w:rsid w:val="00F907DD"/>
    <w:rsid w:val="00FA21D0"/>
    <w:rsid w:val="00FA5F5F"/>
    <w:rsid w:val="00FB730C"/>
    <w:rsid w:val="00FB792C"/>
    <w:rsid w:val="00FC2695"/>
    <w:rsid w:val="00FC3E03"/>
    <w:rsid w:val="00FC3FC1"/>
    <w:rsid w:val="00FC5C0D"/>
    <w:rsid w:val="00FF27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ListParagraph">
    <w:name w:val="List Paragraph"/>
    <w:basedOn w:val="Normal"/>
    <w:uiPriority w:val="34"/>
    <w:rsid w:val="00A211E7"/>
    <w:pPr>
      <w:ind w:left="720"/>
      <w:contextualSpacing/>
    </w:pPr>
  </w:style>
  <w:style w:type="character" w:styleId="Emphasis">
    <w:name w:val="Emphasis"/>
    <w:basedOn w:val="DefaultParagraphFont"/>
    <w:uiPriority w:val="20"/>
    <w:qFormat/>
    <w:rsid w:val="00E94355"/>
    <w:rPr>
      <w:i/>
      <w:iCs/>
    </w:rPr>
  </w:style>
  <w:style w:type="character" w:styleId="SubtleEmphasis">
    <w:name w:val="Subtle Emphasis"/>
    <w:basedOn w:val="DefaultParagraphFont"/>
    <w:uiPriority w:val="19"/>
    <w:qFormat/>
    <w:rsid w:val="00E94355"/>
    <w:rPr>
      <w:i/>
      <w:iCs/>
      <w:color w:val="808080" w:themeColor="text1" w:themeTint="7F"/>
    </w:rPr>
  </w:style>
  <w:style w:type="character" w:styleId="PlaceholderText">
    <w:name w:val="Placeholder Text"/>
    <w:basedOn w:val="DefaultParagraphFont"/>
    <w:uiPriority w:val="99"/>
    <w:semiHidden/>
    <w:rsid w:val="00046122"/>
    <w:rPr>
      <w:color w:val="808080"/>
    </w:rPr>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403D-4199-4FBA-A56D-813B63CA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2224</Words>
  <Characters>12681</Characters>
  <Application>Microsoft Office Word</Application>
  <DocSecurity>0</DocSecurity>
  <Lines>105</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Dr. S.B. Alabi</cp:lastModifiedBy>
  <cp:revision>2</cp:revision>
  <cp:lastPrinted>2015-05-12T18:31:00Z</cp:lastPrinted>
  <dcterms:created xsi:type="dcterms:W3CDTF">2019-04-14T21:06:00Z</dcterms:created>
  <dcterms:modified xsi:type="dcterms:W3CDTF">2019-04-14T21:06:00Z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