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3A32B4" w:rsidRDefault="003A32B4" w:rsidP="00EC43D8">
      <w:pPr>
        <w:pStyle w:val="CETTitle"/>
        <w:rPr>
          <w:lang w:val="en-US"/>
        </w:rPr>
      </w:pPr>
      <w:r w:rsidRPr="003A32B4">
        <w:rPr>
          <w:lang w:val="en-US"/>
        </w:rPr>
        <w:lastRenderedPageBreak/>
        <w:t>Thermodynamic Evaluation</w:t>
      </w:r>
      <w:r w:rsidR="00EC43D8" w:rsidRPr="003A32B4">
        <w:rPr>
          <w:lang w:val="en-US"/>
        </w:rPr>
        <w:t xml:space="preserve"> </w:t>
      </w:r>
      <w:r w:rsidRPr="003A32B4">
        <w:rPr>
          <w:lang w:val="en-US"/>
        </w:rPr>
        <w:t>of Reactive Yellow Dye</w:t>
      </w:r>
      <w:r w:rsidR="00A46E0A">
        <w:rPr>
          <w:lang w:val="en-US"/>
        </w:rPr>
        <w:t xml:space="preserve"> Removal Using</w:t>
      </w:r>
      <w:r>
        <w:rPr>
          <w:lang w:val="en-US"/>
        </w:rPr>
        <w:t xml:space="preserve"> Malt </w:t>
      </w:r>
      <w:proofErr w:type="spellStart"/>
      <w:r>
        <w:rPr>
          <w:lang w:val="en-US"/>
        </w:rPr>
        <w:t>Bagasse</w:t>
      </w:r>
      <w:proofErr w:type="spellEnd"/>
      <w:r w:rsidR="00A46E0A">
        <w:rPr>
          <w:lang w:val="en-US"/>
        </w:rPr>
        <w:t xml:space="preserve"> as </w:t>
      </w:r>
      <w:proofErr w:type="spellStart"/>
      <w:r w:rsidR="00A46E0A">
        <w:rPr>
          <w:lang w:val="en-US"/>
        </w:rPr>
        <w:t>Biosorbent</w:t>
      </w:r>
      <w:proofErr w:type="spellEnd"/>
    </w:p>
    <w:p w:rsidR="00E978D0" w:rsidRPr="006A2D41" w:rsidRDefault="00872D72" w:rsidP="00AB5011">
      <w:pPr>
        <w:pStyle w:val="CETAuthors"/>
        <w:rPr>
          <w:vertAlign w:val="superscript"/>
          <w:lang w:val="pt-BR"/>
        </w:rPr>
      </w:pPr>
      <w:r w:rsidRPr="00872D72">
        <w:rPr>
          <w:lang w:val="pt-BR"/>
        </w:rPr>
        <w:t>Bruna C. da Silva</w:t>
      </w:r>
      <w:r w:rsidR="00600535" w:rsidRPr="00872D72">
        <w:rPr>
          <w:lang w:val="pt-BR"/>
        </w:rPr>
        <w:t xml:space="preserve">, </w:t>
      </w:r>
      <w:r w:rsidRPr="00872D72">
        <w:rPr>
          <w:lang w:val="pt-BR"/>
        </w:rPr>
        <w:t>Adriane Z</w:t>
      </w:r>
      <w:r>
        <w:rPr>
          <w:lang w:val="pt-BR"/>
        </w:rPr>
        <w:t>anutto</w:t>
      </w:r>
      <w:r w:rsidR="003A32B4">
        <w:rPr>
          <w:lang w:val="pt-BR"/>
        </w:rPr>
        <w:t xml:space="preserve"> and</w:t>
      </w:r>
      <w:r>
        <w:rPr>
          <w:lang w:val="pt-BR"/>
        </w:rPr>
        <w:t xml:space="preserve"> Juliana M. T. A. Pietrobelli</w:t>
      </w:r>
      <w:r w:rsidR="006A2D41">
        <w:rPr>
          <w:vertAlign w:val="superscript"/>
          <w:lang w:val="pt-BR"/>
        </w:rPr>
        <w:t>*</w:t>
      </w:r>
    </w:p>
    <w:p w:rsidR="00E978D0" w:rsidRPr="00290E34" w:rsidRDefault="00872D72" w:rsidP="00E978D0">
      <w:pPr>
        <w:pStyle w:val="CETAddress"/>
        <w:rPr>
          <w:lang w:val="pt-BR"/>
        </w:rPr>
      </w:pPr>
      <w:r w:rsidRPr="003A0F2F">
        <w:rPr>
          <w:lang w:val="pt-BR"/>
        </w:rPr>
        <w:t>Departamento de Engenharia Química</w:t>
      </w:r>
      <w:r w:rsidRPr="00872D72">
        <w:rPr>
          <w:lang w:val="pt-BR"/>
        </w:rPr>
        <w:t>, Universidade T</w:t>
      </w:r>
      <w:r>
        <w:rPr>
          <w:lang w:val="pt-BR"/>
        </w:rPr>
        <w:t xml:space="preserve">ecnológica Federal do Paraná. </w:t>
      </w:r>
      <w:r w:rsidRPr="00290E34">
        <w:rPr>
          <w:lang w:val="pt-BR"/>
        </w:rPr>
        <w:t>Av. Monteiro Lobato</w:t>
      </w:r>
      <w:r w:rsidR="00290E34" w:rsidRPr="00290E34">
        <w:rPr>
          <w:lang w:val="pt-BR"/>
        </w:rPr>
        <w:t>, s/n – km 04</w:t>
      </w:r>
      <w:r w:rsidRPr="00290E34">
        <w:rPr>
          <w:lang w:val="pt-BR"/>
        </w:rPr>
        <w:t xml:space="preserve">, CEP </w:t>
      </w:r>
      <w:r w:rsidR="00290E34" w:rsidRPr="00290E34">
        <w:rPr>
          <w:lang w:val="pt-BR"/>
        </w:rPr>
        <w:t xml:space="preserve">84016-210, Ponta Grossa – PR, </w:t>
      </w:r>
      <w:r w:rsidR="00290E34">
        <w:rPr>
          <w:lang w:val="pt-BR"/>
        </w:rPr>
        <w:t>Brasil.</w:t>
      </w:r>
    </w:p>
    <w:p w:rsidR="00E978D0" w:rsidRPr="00B57B36" w:rsidRDefault="00290E34" w:rsidP="00E978D0">
      <w:pPr>
        <w:pStyle w:val="CETemail"/>
      </w:pPr>
      <w:r>
        <w:t>julianapietrobelli@utfpr.edu.br</w:t>
      </w:r>
    </w:p>
    <w:p w:rsidR="003B7C13" w:rsidRPr="007C2D7E" w:rsidRDefault="00C2129A" w:rsidP="007C2D7E">
      <w:pPr>
        <w:rPr>
          <w:rFonts w:cs="Arial"/>
          <w:szCs w:val="18"/>
          <w:lang w:val="en-US"/>
        </w:rPr>
      </w:pPr>
      <w:r w:rsidRPr="00014E04">
        <w:rPr>
          <w:rFonts w:cs="Arial"/>
          <w:szCs w:val="18"/>
          <w:lang w:val="en-US"/>
        </w:rPr>
        <w:t>The sorption of pollutants present in watery solutions</w:t>
      </w:r>
      <w:r w:rsidR="00791218">
        <w:rPr>
          <w:rFonts w:cs="Arial"/>
          <w:szCs w:val="18"/>
          <w:lang w:val="en-US"/>
        </w:rPr>
        <w:t xml:space="preserve"> is</w:t>
      </w:r>
      <w:r w:rsidRPr="00014E04">
        <w:rPr>
          <w:rFonts w:cs="Arial"/>
          <w:szCs w:val="18"/>
          <w:lang w:val="en-US"/>
        </w:rPr>
        <w:t xml:space="preserve"> an advantageous alternative in relation to the </w:t>
      </w:r>
      <w:r w:rsidR="00791218">
        <w:rPr>
          <w:rFonts w:cs="Arial"/>
          <w:szCs w:val="18"/>
          <w:lang w:val="en-US"/>
        </w:rPr>
        <w:t xml:space="preserve">common </w:t>
      </w:r>
      <w:r w:rsidRPr="00014E04">
        <w:rPr>
          <w:rFonts w:cs="Arial"/>
          <w:szCs w:val="18"/>
          <w:lang w:val="en-US"/>
        </w:rPr>
        <w:t>treatment of effluents, since it reduces the need for techniques that involve the generation of sludge</w:t>
      </w:r>
      <w:r w:rsidR="00FF7A0B">
        <w:rPr>
          <w:rFonts w:cs="Arial"/>
          <w:szCs w:val="18"/>
          <w:lang w:val="en-US"/>
        </w:rPr>
        <w:t xml:space="preserve">. </w:t>
      </w:r>
      <w:r w:rsidR="00791218">
        <w:rPr>
          <w:rFonts w:cs="Arial"/>
          <w:szCs w:val="18"/>
          <w:lang w:val="en-US"/>
        </w:rPr>
        <w:t>In the case of biosorption, the sorbent materials generally are of low cost and can be waste or industrial by-products of natural origin.</w:t>
      </w:r>
      <w:r w:rsidR="00FF7A0B">
        <w:rPr>
          <w:rFonts w:cs="Arial"/>
          <w:szCs w:val="18"/>
          <w:lang w:val="en-US"/>
        </w:rPr>
        <w:t xml:space="preserve"> Therefore, the objective of this work was to evaluate the biosorption of the Yellow </w:t>
      </w:r>
      <w:proofErr w:type="spellStart"/>
      <w:r w:rsidR="00FF7A0B">
        <w:rPr>
          <w:rFonts w:cs="Arial"/>
          <w:szCs w:val="18"/>
          <w:lang w:val="en-US"/>
        </w:rPr>
        <w:t>Reafix</w:t>
      </w:r>
      <w:proofErr w:type="spellEnd"/>
      <w:r w:rsidR="00FF7A0B">
        <w:rPr>
          <w:rFonts w:cs="Arial"/>
          <w:szCs w:val="18"/>
          <w:lang w:val="en-US"/>
        </w:rPr>
        <w:t xml:space="preserve"> B2R 134% dye using a by-product of the brewing industry (malt </w:t>
      </w:r>
      <w:proofErr w:type="spellStart"/>
      <w:r w:rsidR="00FF7A0B">
        <w:rPr>
          <w:rFonts w:cs="Arial"/>
          <w:szCs w:val="18"/>
          <w:lang w:val="en-US"/>
        </w:rPr>
        <w:t>bagasse</w:t>
      </w:r>
      <w:proofErr w:type="spellEnd"/>
      <w:r w:rsidR="00FF7A0B">
        <w:rPr>
          <w:rFonts w:cs="Arial"/>
          <w:szCs w:val="18"/>
          <w:lang w:val="en-US"/>
        </w:rPr>
        <w:t xml:space="preserve">) as </w:t>
      </w:r>
      <w:proofErr w:type="spellStart"/>
      <w:r w:rsidR="00FF7A0B">
        <w:rPr>
          <w:rFonts w:cs="Arial"/>
          <w:szCs w:val="18"/>
          <w:lang w:val="en-US"/>
        </w:rPr>
        <w:t>biosorbent</w:t>
      </w:r>
      <w:proofErr w:type="spellEnd"/>
      <w:r w:rsidR="00FF7A0B">
        <w:rPr>
          <w:rFonts w:cs="Arial"/>
          <w:szCs w:val="18"/>
          <w:lang w:val="en-US"/>
        </w:rPr>
        <w:t xml:space="preserve"> from the analysis of the influence of contact time, temperature and obtaining of the thermodynamic parameters in batch system.</w:t>
      </w:r>
      <w:r w:rsidR="0091613E">
        <w:rPr>
          <w:rFonts w:cs="Arial"/>
          <w:szCs w:val="18"/>
          <w:lang w:val="en-US"/>
        </w:rPr>
        <w:t xml:space="preserve"> The results pointed a similar behavior for the three working temperatures evaluated.</w:t>
      </w:r>
      <w:r w:rsidR="0052263C">
        <w:rPr>
          <w:rFonts w:cs="Arial"/>
          <w:szCs w:val="18"/>
          <w:lang w:val="en-US"/>
        </w:rPr>
        <w:t xml:space="preserve"> T</w:t>
      </w:r>
      <w:r w:rsidR="0052263C" w:rsidRPr="00014E04">
        <w:rPr>
          <w:rFonts w:cs="Arial"/>
          <w:szCs w:val="18"/>
          <w:lang w:val="en-US"/>
        </w:rPr>
        <w:t>he removal process was considered endothermic (13.3822 kJ mol</w:t>
      </w:r>
      <w:r w:rsidR="0052263C" w:rsidRPr="00014E04">
        <w:rPr>
          <w:rFonts w:cs="Arial"/>
          <w:szCs w:val="18"/>
          <w:vertAlign w:val="superscript"/>
          <w:lang w:val="en-US"/>
        </w:rPr>
        <w:t>-1</w:t>
      </w:r>
      <w:r w:rsidR="0052263C" w:rsidRPr="00014E04">
        <w:rPr>
          <w:rFonts w:cs="Arial"/>
          <w:szCs w:val="18"/>
          <w:lang w:val="en-US"/>
        </w:rPr>
        <w:t>), with increase of the solid/liquid interface disorder during the biosorption (0.0468 kJ mol</w:t>
      </w:r>
      <w:r w:rsidR="0052263C" w:rsidRPr="00014E04">
        <w:rPr>
          <w:rFonts w:cs="Arial"/>
          <w:szCs w:val="18"/>
          <w:vertAlign w:val="superscript"/>
          <w:lang w:val="en-US"/>
        </w:rPr>
        <w:t>-1</w:t>
      </w:r>
      <w:r w:rsidR="0052263C" w:rsidRPr="00014E04">
        <w:rPr>
          <w:rFonts w:cs="Arial"/>
          <w:szCs w:val="18"/>
          <w:lang w:val="en-US"/>
        </w:rPr>
        <w:t xml:space="preserve"> K</w:t>
      </w:r>
      <w:r w:rsidR="0052263C" w:rsidRPr="00014E04">
        <w:rPr>
          <w:rFonts w:cs="Arial"/>
          <w:szCs w:val="18"/>
          <w:vertAlign w:val="superscript"/>
          <w:lang w:val="en-US"/>
        </w:rPr>
        <w:t>-1</w:t>
      </w:r>
      <w:r w:rsidR="0052263C" w:rsidRPr="00014E04">
        <w:rPr>
          <w:rFonts w:cs="Arial"/>
          <w:szCs w:val="18"/>
          <w:lang w:val="en-US"/>
        </w:rPr>
        <w:t>), spontaneous (-874.15 to -1818,24 kJ mol</w:t>
      </w:r>
      <w:r w:rsidR="0052263C" w:rsidRPr="00014E04">
        <w:rPr>
          <w:rFonts w:cs="Arial"/>
          <w:szCs w:val="18"/>
          <w:vertAlign w:val="superscript"/>
          <w:lang w:val="en-US"/>
        </w:rPr>
        <w:t>-1</w:t>
      </w:r>
      <w:r w:rsidR="0052263C" w:rsidRPr="00014E04">
        <w:rPr>
          <w:rFonts w:cs="Arial"/>
          <w:szCs w:val="18"/>
          <w:lang w:val="en-US"/>
        </w:rPr>
        <w:t>) and with activation energy of 35.64 kJ mol</w:t>
      </w:r>
      <w:r w:rsidR="0052263C" w:rsidRPr="00014E04">
        <w:rPr>
          <w:rFonts w:cs="Arial"/>
          <w:szCs w:val="18"/>
          <w:vertAlign w:val="superscript"/>
          <w:lang w:val="en-US"/>
        </w:rPr>
        <w:t>-1</w:t>
      </w:r>
      <w:r w:rsidR="0052263C" w:rsidRPr="00014E04">
        <w:rPr>
          <w:rFonts w:cs="Arial"/>
          <w:szCs w:val="18"/>
          <w:lang w:val="en-US"/>
        </w:rPr>
        <w:t>, what characterizes a sorption of the physical type.</w:t>
      </w:r>
      <w:r w:rsidR="0052263C">
        <w:rPr>
          <w:rFonts w:cs="Arial"/>
          <w:szCs w:val="18"/>
          <w:lang w:val="en-US"/>
        </w:rPr>
        <w:t xml:space="preserve"> In general, the results show that in front of the thermodynamic aspects the malt bagasse has potential in the treatment of effluents containing reactive yellow dye.</w:t>
      </w:r>
    </w:p>
    <w:p w:rsidR="00600535" w:rsidRPr="009240EB" w:rsidRDefault="00600535" w:rsidP="00600535">
      <w:pPr>
        <w:pStyle w:val="CETHeading1"/>
        <w:rPr>
          <w:lang w:val="en-GB"/>
        </w:rPr>
      </w:pPr>
      <w:r w:rsidRPr="009240EB">
        <w:rPr>
          <w:lang w:val="en-GB"/>
        </w:rPr>
        <w:t>Introduction</w:t>
      </w:r>
    </w:p>
    <w:p w:rsidR="003B7C13" w:rsidRDefault="003B7C13" w:rsidP="00A95FFA">
      <w:pPr>
        <w:pStyle w:val="CETBodytext"/>
        <w:rPr>
          <w:lang w:val="pt-BR"/>
        </w:rPr>
      </w:pPr>
    </w:p>
    <w:p w:rsidR="000C461B" w:rsidRDefault="009240EB" w:rsidP="00C874E3">
      <w:pPr>
        <w:rPr>
          <w:rFonts w:cs="Arial"/>
          <w:szCs w:val="18"/>
          <w:lang w:val="en-US"/>
        </w:rPr>
      </w:pPr>
      <w:r w:rsidRPr="009240EB">
        <w:rPr>
          <w:rFonts w:cs="Arial"/>
          <w:szCs w:val="18"/>
          <w:lang w:val="en-US"/>
        </w:rPr>
        <w:t>The discharge of dyes in water is associated with various productio</w:t>
      </w:r>
      <w:r>
        <w:rPr>
          <w:rFonts w:cs="Arial"/>
          <w:szCs w:val="18"/>
          <w:lang w:val="en-US"/>
        </w:rPr>
        <w:t>ns, such as textiles, paper, plastics and leather. As a result, water contaminated with dyes has become a major environmental concern (</w:t>
      </w:r>
      <w:proofErr w:type="spellStart"/>
      <w:r>
        <w:rPr>
          <w:rFonts w:cs="Arial"/>
          <w:szCs w:val="18"/>
          <w:lang w:val="en-US"/>
        </w:rPr>
        <w:t>Caprariis</w:t>
      </w:r>
      <w:proofErr w:type="spellEnd"/>
      <w:r>
        <w:rPr>
          <w:rFonts w:cs="Arial"/>
          <w:szCs w:val="18"/>
          <w:lang w:val="en-US"/>
        </w:rPr>
        <w:t xml:space="preserve"> et al., 2018). Among the methods used to treat this effluent are the sorption processes, which basically consist of transferring the dye from the liquid form to a residue which occupies a much smaller volume in the solid form. </w:t>
      </w:r>
      <w:r w:rsidR="00C874E3" w:rsidRPr="00C874E3">
        <w:rPr>
          <w:rFonts w:cs="Arial"/>
          <w:szCs w:val="18"/>
          <w:lang w:val="en-US"/>
        </w:rPr>
        <w:t>When well designed, the sorption processes have high efficiency and attractiveness, especially when us</w:t>
      </w:r>
      <w:r w:rsidR="00EE212E">
        <w:rPr>
          <w:rFonts w:cs="Arial"/>
          <w:szCs w:val="18"/>
          <w:lang w:val="en-US"/>
        </w:rPr>
        <w:t xml:space="preserve">ing low cost sorbent materials. </w:t>
      </w:r>
    </w:p>
    <w:p w:rsidR="009240EB" w:rsidRDefault="009240EB" w:rsidP="00C874E3">
      <w:pPr>
        <w:rPr>
          <w:rFonts w:cs="Arial"/>
          <w:szCs w:val="18"/>
          <w:lang w:val="en-US"/>
        </w:rPr>
      </w:pPr>
      <w:r>
        <w:rPr>
          <w:rFonts w:cs="Arial"/>
          <w:szCs w:val="18"/>
          <w:lang w:val="en-US"/>
        </w:rPr>
        <w:t xml:space="preserve">Since there are several </w:t>
      </w:r>
      <w:proofErr w:type="spellStart"/>
      <w:r>
        <w:rPr>
          <w:rFonts w:cs="Arial"/>
          <w:szCs w:val="18"/>
          <w:lang w:val="en-US"/>
        </w:rPr>
        <w:t>agroindustries</w:t>
      </w:r>
      <w:proofErr w:type="spellEnd"/>
      <w:r>
        <w:rPr>
          <w:rFonts w:cs="Arial"/>
          <w:szCs w:val="18"/>
          <w:lang w:val="en-US"/>
        </w:rPr>
        <w:t xml:space="preserve"> in Brazil that manufacture basic products, many solid wastes are generated (Rubio et al., 2018). One of the solid residues generated in large quantities is the malt bagasse, from the beer making process. Usually this residue is used in animal feed, but due to its high moisture content, it requires special logistics as it can spoil quickly.</w:t>
      </w:r>
    </w:p>
    <w:p w:rsidR="009240EB" w:rsidRDefault="009240EB" w:rsidP="00C874E3">
      <w:pPr>
        <w:rPr>
          <w:rFonts w:cs="Arial"/>
          <w:szCs w:val="18"/>
          <w:lang w:val="en-US"/>
        </w:rPr>
      </w:pPr>
      <w:r>
        <w:rPr>
          <w:rFonts w:cs="Arial"/>
          <w:szCs w:val="18"/>
          <w:lang w:val="en-US"/>
        </w:rPr>
        <w:t xml:space="preserve">Therefore, the aim of this work is to evaluate the biosorption, which is a type of sorption process characterized by the use of low cost solid residues as </w:t>
      </w:r>
      <w:proofErr w:type="spellStart"/>
      <w:r>
        <w:rPr>
          <w:rFonts w:cs="Arial"/>
          <w:szCs w:val="18"/>
          <w:lang w:val="en-US"/>
        </w:rPr>
        <w:t>biosorbents</w:t>
      </w:r>
      <w:proofErr w:type="spellEnd"/>
      <w:r w:rsidR="00216B17">
        <w:rPr>
          <w:rFonts w:cs="Arial"/>
          <w:szCs w:val="18"/>
          <w:lang w:val="en-US"/>
        </w:rPr>
        <w:t>,</w:t>
      </w:r>
      <w:r>
        <w:rPr>
          <w:rFonts w:cs="Arial"/>
          <w:szCs w:val="18"/>
          <w:lang w:val="en-US"/>
        </w:rPr>
        <w:t xml:space="preserve"> of </w:t>
      </w:r>
      <w:r w:rsidR="00216B17">
        <w:rPr>
          <w:rFonts w:cs="Arial"/>
          <w:szCs w:val="18"/>
          <w:lang w:val="en-US"/>
        </w:rPr>
        <w:t xml:space="preserve">the </w:t>
      </w:r>
      <w:r>
        <w:rPr>
          <w:rFonts w:cs="Arial"/>
          <w:szCs w:val="18"/>
          <w:lang w:val="en-US"/>
        </w:rPr>
        <w:t>dye</w:t>
      </w:r>
      <w:r w:rsidR="00216B17">
        <w:rPr>
          <w:rFonts w:cs="Arial"/>
          <w:szCs w:val="18"/>
          <w:lang w:val="en-US"/>
        </w:rPr>
        <w:t xml:space="preserve"> from textile industries</w:t>
      </w:r>
      <w:r>
        <w:rPr>
          <w:rFonts w:cs="Arial"/>
          <w:szCs w:val="18"/>
          <w:lang w:val="en-US"/>
        </w:rPr>
        <w:t xml:space="preserve"> Ye</w:t>
      </w:r>
      <w:r w:rsidR="00216B17">
        <w:rPr>
          <w:rFonts w:cs="Arial"/>
          <w:szCs w:val="18"/>
          <w:lang w:val="en-US"/>
        </w:rPr>
        <w:t xml:space="preserve">llow </w:t>
      </w:r>
      <w:proofErr w:type="spellStart"/>
      <w:r w:rsidR="00216B17">
        <w:rPr>
          <w:rFonts w:cs="Arial"/>
          <w:szCs w:val="18"/>
          <w:lang w:val="en-US"/>
        </w:rPr>
        <w:t>Reafix</w:t>
      </w:r>
      <w:proofErr w:type="spellEnd"/>
      <w:r w:rsidR="00216B17">
        <w:rPr>
          <w:rFonts w:cs="Arial"/>
          <w:szCs w:val="18"/>
          <w:lang w:val="en-US"/>
        </w:rPr>
        <w:t xml:space="preserve"> B2R 134% (YR-B2R) using malt </w:t>
      </w:r>
      <w:proofErr w:type="spellStart"/>
      <w:r w:rsidR="00216B17">
        <w:rPr>
          <w:rFonts w:cs="Arial"/>
          <w:szCs w:val="18"/>
          <w:lang w:val="en-US"/>
        </w:rPr>
        <w:t>bagasse</w:t>
      </w:r>
      <w:proofErr w:type="spellEnd"/>
      <w:r w:rsidR="00216B17">
        <w:rPr>
          <w:rFonts w:cs="Arial"/>
          <w:szCs w:val="18"/>
          <w:lang w:val="en-US"/>
        </w:rPr>
        <w:t xml:space="preserve"> as </w:t>
      </w:r>
      <w:proofErr w:type="spellStart"/>
      <w:r w:rsidR="00216B17">
        <w:rPr>
          <w:rFonts w:cs="Arial"/>
          <w:szCs w:val="18"/>
          <w:lang w:val="en-US"/>
        </w:rPr>
        <w:t>biosorbent</w:t>
      </w:r>
      <w:proofErr w:type="spellEnd"/>
      <w:r w:rsidR="00216B17">
        <w:rPr>
          <w:rFonts w:cs="Arial"/>
          <w:szCs w:val="18"/>
          <w:lang w:val="en-US"/>
        </w:rPr>
        <w:t>, considering the influence of contact time, temperature and thermodynamic parameters in a batch system.</w:t>
      </w:r>
    </w:p>
    <w:p w:rsidR="00C874E3" w:rsidRDefault="00C874E3" w:rsidP="00C874E3">
      <w:pPr>
        <w:rPr>
          <w:rFonts w:cs="Arial"/>
          <w:szCs w:val="18"/>
          <w:lang w:val="en-US"/>
        </w:rPr>
      </w:pPr>
      <w:r w:rsidRPr="00C874E3">
        <w:rPr>
          <w:rFonts w:cs="Arial"/>
          <w:szCs w:val="18"/>
          <w:lang w:val="en-US"/>
        </w:rPr>
        <w:t xml:space="preserve">For the design and use of </w:t>
      </w:r>
      <w:r w:rsidR="000C461B">
        <w:rPr>
          <w:rFonts w:cs="Arial"/>
          <w:szCs w:val="18"/>
          <w:lang w:val="en-US"/>
        </w:rPr>
        <w:t>biosorption</w:t>
      </w:r>
      <w:r w:rsidRPr="00C874E3">
        <w:rPr>
          <w:rFonts w:cs="Arial"/>
          <w:szCs w:val="18"/>
          <w:lang w:val="en-US"/>
        </w:rPr>
        <w:t xml:space="preserve"> processes is necessary the prior knowledge of parameters such as: residence time, work temperature and characteristics of interaction between the species of the system (sorbent and </w:t>
      </w:r>
      <w:proofErr w:type="spellStart"/>
      <w:r w:rsidRPr="00C874E3">
        <w:rPr>
          <w:rFonts w:cs="Arial"/>
          <w:szCs w:val="18"/>
          <w:lang w:val="en-US"/>
        </w:rPr>
        <w:t>biosorbent</w:t>
      </w:r>
      <w:proofErr w:type="spellEnd"/>
      <w:r w:rsidRPr="00C874E3">
        <w:rPr>
          <w:rFonts w:cs="Arial"/>
          <w:szCs w:val="18"/>
          <w:lang w:val="en-US"/>
        </w:rPr>
        <w:t>)</w:t>
      </w:r>
      <w:r>
        <w:rPr>
          <w:rFonts w:cs="Arial"/>
          <w:szCs w:val="18"/>
          <w:lang w:val="en-US"/>
        </w:rPr>
        <w:t xml:space="preserve"> (Ho e McKay, 1999)</w:t>
      </w:r>
      <w:r w:rsidRPr="00C874E3">
        <w:rPr>
          <w:rFonts w:cs="Arial"/>
          <w:szCs w:val="18"/>
          <w:lang w:val="en-US"/>
        </w:rPr>
        <w:t>.</w:t>
      </w:r>
      <w:r>
        <w:rPr>
          <w:rFonts w:cs="Arial"/>
          <w:szCs w:val="18"/>
          <w:lang w:val="en-US"/>
        </w:rPr>
        <w:t xml:space="preserve"> </w:t>
      </w:r>
      <w:r w:rsidRPr="00C874E3">
        <w:rPr>
          <w:rFonts w:cs="Arial"/>
          <w:szCs w:val="18"/>
          <w:lang w:val="en-US"/>
        </w:rPr>
        <w:t xml:space="preserve">The residence time refers to the contact time required for the removal of the </w:t>
      </w:r>
      <w:proofErr w:type="spellStart"/>
      <w:r w:rsidRPr="00C874E3">
        <w:rPr>
          <w:rFonts w:cs="Arial"/>
          <w:szCs w:val="18"/>
          <w:lang w:val="en-US"/>
        </w:rPr>
        <w:t>pollulant</w:t>
      </w:r>
      <w:proofErr w:type="spellEnd"/>
      <w:r w:rsidRPr="00C874E3">
        <w:rPr>
          <w:rFonts w:cs="Arial"/>
          <w:szCs w:val="18"/>
          <w:lang w:val="en-US"/>
        </w:rPr>
        <w:t xml:space="preserve"> by the sorbent to be effective (generally this time is called equilibrium time). The work temperature, in its turn, influences the distribution of equilibrium in the system, since it affects the attraction and repulsion forces between the molecules.</w:t>
      </w:r>
      <w:r w:rsidR="0097198C">
        <w:rPr>
          <w:rFonts w:cs="Arial"/>
          <w:szCs w:val="18"/>
          <w:lang w:val="en-US"/>
        </w:rPr>
        <w:t xml:space="preserve"> For this reason, it is an important operational condition to be established.</w:t>
      </w:r>
      <w:r w:rsidRPr="00C874E3">
        <w:rPr>
          <w:rFonts w:cs="Arial"/>
          <w:szCs w:val="18"/>
          <w:lang w:val="en-US"/>
        </w:rPr>
        <w:t xml:space="preserve"> Already the energy of interaction between the species of the system will indicate the possibility of recovery of the pollutant and regeneration of the </w:t>
      </w:r>
      <w:proofErr w:type="spellStart"/>
      <w:r w:rsidRPr="00C874E3">
        <w:rPr>
          <w:rFonts w:cs="Arial"/>
          <w:szCs w:val="18"/>
          <w:lang w:val="en-US"/>
        </w:rPr>
        <w:t>biosorbent</w:t>
      </w:r>
      <w:proofErr w:type="spellEnd"/>
      <w:r w:rsidRPr="00C874E3">
        <w:rPr>
          <w:rFonts w:cs="Arial"/>
          <w:szCs w:val="18"/>
          <w:lang w:val="en-US"/>
        </w:rPr>
        <w:t xml:space="preserve">. These are important considerations in sorption </w:t>
      </w:r>
      <w:r w:rsidRPr="00C874E3">
        <w:rPr>
          <w:rFonts w:cs="Arial"/>
          <w:szCs w:val="18"/>
          <w:lang w:val="en-US"/>
        </w:rPr>
        <w:lastRenderedPageBreak/>
        <w:t>processes, since it aims at the possibility of reuse of the materials and not only the transfer of the pollutant to a new phase</w:t>
      </w:r>
      <w:r w:rsidR="0097198C">
        <w:rPr>
          <w:rFonts w:cs="Arial"/>
          <w:szCs w:val="18"/>
          <w:lang w:val="en-US"/>
        </w:rPr>
        <w:t xml:space="preserve">, whit the consequence of generation more waste </w:t>
      </w:r>
      <w:r w:rsidR="00A65B5B" w:rsidRPr="00A65B5B">
        <w:rPr>
          <w:rFonts w:cs="Arial"/>
          <w:szCs w:val="18"/>
          <w:lang w:val="en-US"/>
        </w:rPr>
        <w:t>(</w:t>
      </w:r>
      <w:r w:rsidR="0097198C" w:rsidRPr="00A65B5B">
        <w:rPr>
          <w:rFonts w:cs="Arial"/>
          <w:szCs w:val="18"/>
          <w:lang w:val="en-US"/>
        </w:rPr>
        <w:t>Marin et al., 2015).</w:t>
      </w:r>
    </w:p>
    <w:p w:rsidR="007C2D7E" w:rsidRDefault="00216B17" w:rsidP="00C874E3">
      <w:pPr>
        <w:rPr>
          <w:rFonts w:cs="Arial"/>
          <w:szCs w:val="18"/>
          <w:lang w:val="en-US"/>
        </w:rPr>
      </w:pPr>
      <w:r>
        <w:rPr>
          <w:rFonts w:cs="Arial"/>
          <w:szCs w:val="18"/>
          <w:lang w:val="en-US"/>
        </w:rPr>
        <w:t>The analysis of the biosorption process at different temperatures is important to know if there is a significant difference in the final result, considering whether</w:t>
      </w:r>
      <w:r w:rsidR="00E00AAF">
        <w:rPr>
          <w:rFonts w:cs="Arial"/>
          <w:szCs w:val="18"/>
          <w:lang w:val="en-US"/>
        </w:rPr>
        <w:t xml:space="preserve"> the expenditure necessary to r</w:t>
      </w:r>
      <w:r>
        <w:rPr>
          <w:rFonts w:cs="Arial"/>
          <w:szCs w:val="18"/>
          <w:lang w:val="en-US"/>
        </w:rPr>
        <w:t xml:space="preserve">ise or not the temperature would be viable in relation to the cost-benefit. In addition, the thermodynamic analysis allows the determination of parameters such as: </w:t>
      </w:r>
      <w:r w:rsidR="008B0A81" w:rsidRPr="00216B17">
        <w:rPr>
          <w:rFonts w:cs="Arial"/>
          <w:szCs w:val="18"/>
          <w:lang w:val="en-US"/>
        </w:rPr>
        <w:t xml:space="preserve">enthalpy, entropy, Gibbs free energy and activation energy. </w:t>
      </w:r>
      <w:r w:rsidR="008B0A81" w:rsidRPr="008B0A81">
        <w:rPr>
          <w:rFonts w:cs="Arial"/>
          <w:szCs w:val="18"/>
          <w:lang w:val="en-US"/>
        </w:rPr>
        <w:t xml:space="preserve">Using for this the </w:t>
      </w:r>
      <w:proofErr w:type="spellStart"/>
      <w:r w:rsidR="008B0A81" w:rsidRPr="008B0A81">
        <w:rPr>
          <w:rFonts w:cs="Arial"/>
          <w:szCs w:val="18"/>
          <w:lang w:val="en-US"/>
        </w:rPr>
        <w:t>van’t</w:t>
      </w:r>
      <w:proofErr w:type="spellEnd"/>
      <w:r w:rsidR="008B0A81" w:rsidRPr="008B0A81">
        <w:rPr>
          <w:rFonts w:cs="Arial"/>
          <w:szCs w:val="18"/>
          <w:lang w:val="en-US"/>
        </w:rPr>
        <w:t xml:space="preserve"> Hoff </w:t>
      </w:r>
      <w:proofErr w:type="spellStart"/>
      <w:r w:rsidR="008B0A81" w:rsidRPr="008B0A81">
        <w:rPr>
          <w:rFonts w:cs="Arial"/>
          <w:szCs w:val="18"/>
          <w:lang w:val="en-US"/>
        </w:rPr>
        <w:t>linearized</w:t>
      </w:r>
      <w:proofErr w:type="spellEnd"/>
      <w:r w:rsidR="008B0A81" w:rsidRPr="008B0A81">
        <w:rPr>
          <w:rFonts w:cs="Arial"/>
          <w:szCs w:val="18"/>
          <w:lang w:val="en-US"/>
        </w:rPr>
        <w:t xml:space="preserve"> equation, sorption equilibrium constant, thermodynamic relation and Arrhenius equation.</w:t>
      </w:r>
    </w:p>
    <w:p w:rsidR="00D3439F" w:rsidRPr="001D5DA1" w:rsidRDefault="00D3439F" w:rsidP="00C874E3">
      <w:pPr>
        <w:rPr>
          <w:rFonts w:cs="Arial"/>
          <w:szCs w:val="18"/>
          <w:lang w:val="en-US"/>
        </w:rPr>
      </w:pPr>
      <w:r>
        <w:rPr>
          <w:rFonts w:cs="Arial"/>
          <w:szCs w:val="18"/>
          <w:lang w:val="en-US"/>
        </w:rPr>
        <w:t xml:space="preserve">Therefore, the objective of this work is to evaluate the influence of temperature on the removal of Yellow </w:t>
      </w:r>
      <w:proofErr w:type="spellStart"/>
      <w:r>
        <w:rPr>
          <w:rFonts w:cs="Arial"/>
          <w:szCs w:val="18"/>
          <w:lang w:val="en-US"/>
        </w:rPr>
        <w:t>Reafix</w:t>
      </w:r>
      <w:proofErr w:type="spellEnd"/>
      <w:r>
        <w:rPr>
          <w:rFonts w:cs="Arial"/>
          <w:szCs w:val="18"/>
          <w:lang w:val="en-US"/>
        </w:rPr>
        <w:t xml:space="preserve"> B2R dye in aqueous solution, as well as to obtain the thermodynamic parameters: enthalpy, entropy and Gibbs free energy. And with these data get the minimum energy required for sorption to occur, called activation energy.</w:t>
      </w:r>
    </w:p>
    <w:p w:rsidR="00600535" w:rsidRPr="00B57B36" w:rsidRDefault="002808B9" w:rsidP="00600535">
      <w:pPr>
        <w:pStyle w:val="CETHeading1"/>
        <w:tabs>
          <w:tab w:val="clear" w:pos="360"/>
          <w:tab w:val="right" w:pos="7100"/>
        </w:tabs>
        <w:jc w:val="both"/>
        <w:rPr>
          <w:lang w:val="en-GB"/>
        </w:rPr>
      </w:pPr>
      <w:r>
        <w:rPr>
          <w:lang w:val="en-GB"/>
        </w:rPr>
        <w:t>Materials and Methods</w:t>
      </w:r>
    </w:p>
    <w:p w:rsidR="00600535" w:rsidRDefault="002808B9" w:rsidP="00FA5F5F">
      <w:pPr>
        <w:pStyle w:val="CETheadingx"/>
      </w:pPr>
      <w:r>
        <w:t>Biomass preparation</w:t>
      </w:r>
    </w:p>
    <w:p w:rsidR="00290E34" w:rsidRPr="008D7253" w:rsidRDefault="008D7253" w:rsidP="00290E34">
      <w:pPr>
        <w:pStyle w:val="CETBodytext"/>
      </w:pPr>
      <w:r w:rsidRPr="008D7253">
        <w:t xml:space="preserve">The </w:t>
      </w:r>
      <w:proofErr w:type="spellStart"/>
      <w:r w:rsidRPr="008D7253">
        <w:t>biosorbent</w:t>
      </w:r>
      <w:proofErr w:type="spellEnd"/>
      <w:r w:rsidRPr="008D7253">
        <w:t xml:space="preserve"> selected for the trials was the malt bagasse, shown in</w:t>
      </w:r>
      <w:r>
        <w:t xml:space="preserve"> Figure 1. The biomass was supplied by a microbrewery located in the region of Ponta </w:t>
      </w:r>
      <w:proofErr w:type="spellStart"/>
      <w:r>
        <w:t>Grossa</w:t>
      </w:r>
      <w:proofErr w:type="spellEnd"/>
      <w:r>
        <w:t xml:space="preserve">/PR. </w:t>
      </w:r>
      <w:r w:rsidRPr="008D7253">
        <w:t xml:space="preserve">Due to the high moisture content on receipt, the biomass underwent a drying process at </w:t>
      </w:r>
      <w:r w:rsidR="00F93807">
        <w:t>303</w:t>
      </w:r>
      <w:r w:rsidRPr="008D7253">
        <w:t xml:space="preserve"> K in a greenhouse with renovation and circulation of air for 96 hours.</w:t>
      </w:r>
      <w:r>
        <w:t xml:space="preserve"> After drying, the residue was ground in a macro knife mill to obtain particles of homogeneous sizes.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tblGrid>
      <w:tr w:rsidR="00290E34" w:rsidTr="003B7C13">
        <w:trPr>
          <w:trHeight w:val="2835"/>
        </w:trPr>
        <w:tc>
          <w:tcPr>
            <w:tcW w:w="2835" w:type="dxa"/>
            <w:vAlign w:val="center"/>
          </w:tcPr>
          <w:p w:rsidR="00290E34" w:rsidRDefault="00290E34" w:rsidP="00290E34">
            <w:pPr>
              <w:pStyle w:val="CETBodytext"/>
              <w:keepNext/>
              <w:jc w:val="center"/>
            </w:pPr>
            <w:r>
              <w:rPr>
                <w:noProof/>
                <w:sz w:val="20"/>
                <w:lang w:val="pt-BR" w:eastAsia="pt-BR"/>
              </w:rPr>
              <w:drawing>
                <wp:inline distT="0" distB="0" distL="0" distR="0">
                  <wp:extent cx="1352550" cy="13049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2" b="-55"/>
                          <a:stretch>
                            <a:fillRect/>
                          </a:stretch>
                        </pic:blipFill>
                        <pic:spPr bwMode="auto">
                          <a:xfrm>
                            <a:off x="0" y="0"/>
                            <a:ext cx="1352550" cy="1304925"/>
                          </a:xfrm>
                          <a:prstGeom prst="rect">
                            <a:avLst/>
                          </a:prstGeom>
                          <a:noFill/>
                          <a:ln>
                            <a:noFill/>
                          </a:ln>
                        </pic:spPr>
                      </pic:pic>
                    </a:graphicData>
                  </a:graphic>
                </wp:inline>
              </w:drawing>
            </w:r>
          </w:p>
        </w:tc>
      </w:tr>
    </w:tbl>
    <w:p w:rsidR="00290E34" w:rsidRDefault="00290E34" w:rsidP="003B7C13">
      <w:pPr>
        <w:pStyle w:val="CETCaption"/>
      </w:pPr>
      <w:r w:rsidRPr="00290E34">
        <w:t xml:space="preserve">Figure </w:t>
      </w:r>
      <w:r w:rsidR="007E574C" w:rsidRPr="00290E34">
        <w:fldChar w:fldCharType="begin"/>
      </w:r>
      <w:r w:rsidRPr="00290E34">
        <w:instrText xml:space="preserve"> SEQ Figure \* ARABIC </w:instrText>
      </w:r>
      <w:r w:rsidR="007E574C" w:rsidRPr="00290E34">
        <w:fldChar w:fldCharType="separate"/>
      </w:r>
      <w:r w:rsidR="00356F20">
        <w:rPr>
          <w:noProof/>
        </w:rPr>
        <w:t>1</w:t>
      </w:r>
      <w:r w:rsidR="007E574C" w:rsidRPr="00290E34">
        <w:fldChar w:fldCharType="end"/>
      </w:r>
      <w:r w:rsidR="008D7253">
        <w:t>:</w:t>
      </w:r>
      <w:r w:rsidRPr="00290E34">
        <w:t xml:space="preserve"> </w:t>
      </w:r>
      <w:r w:rsidR="008D7253">
        <w:t>Malt bagasse</w:t>
      </w:r>
    </w:p>
    <w:p w:rsidR="00290E34" w:rsidRPr="00882F04" w:rsidRDefault="008D7253" w:rsidP="00290E34">
      <w:pPr>
        <w:pStyle w:val="CETheadingx"/>
        <w:rPr>
          <w:lang w:val="pt-BR"/>
        </w:rPr>
      </w:pPr>
      <w:proofErr w:type="spellStart"/>
      <w:r>
        <w:rPr>
          <w:lang w:val="pt-BR"/>
        </w:rPr>
        <w:t>Solutions</w:t>
      </w:r>
      <w:proofErr w:type="spellEnd"/>
      <w:r>
        <w:rPr>
          <w:lang w:val="pt-BR"/>
        </w:rPr>
        <w:t xml:space="preserve"> </w:t>
      </w:r>
      <w:proofErr w:type="spellStart"/>
      <w:r>
        <w:rPr>
          <w:lang w:val="pt-BR"/>
        </w:rPr>
        <w:t>preparation</w:t>
      </w:r>
      <w:proofErr w:type="spellEnd"/>
      <w:r>
        <w:rPr>
          <w:lang w:val="pt-BR"/>
        </w:rPr>
        <w:t xml:space="preserve"> </w:t>
      </w:r>
      <w:proofErr w:type="spellStart"/>
      <w:r>
        <w:rPr>
          <w:lang w:val="pt-BR"/>
        </w:rPr>
        <w:t>and</w:t>
      </w:r>
      <w:proofErr w:type="spellEnd"/>
      <w:r>
        <w:rPr>
          <w:lang w:val="pt-BR"/>
        </w:rPr>
        <w:t xml:space="preserve"> </w:t>
      </w:r>
      <w:proofErr w:type="spellStart"/>
      <w:r>
        <w:rPr>
          <w:lang w:val="pt-BR"/>
        </w:rPr>
        <w:t>calibration</w:t>
      </w:r>
      <w:proofErr w:type="spellEnd"/>
      <w:r>
        <w:rPr>
          <w:lang w:val="pt-BR"/>
        </w:rPr>
        <w:t xml:space="preserve"> curve</w:t>
      </w:r>
    </w:p>
    <w:p w:rsidR="00290E34" w:rsidRDefault="008D7253" w:rsidP="00290E34">
      <w:pPr>
        <w:pStyle w:val="CETBodytext"/>
      </w:pPr>
      <w:r w:rsidRPr="008D7253">
        <w:t>The sorbate used in the tests, YR-B2R presented in the Figure 2</w:t>
      </w:r>
      <w:r w:rsidR="009510B5">
        <w:t>, is a textile dye of the reactive class.</w:t>
      </w:r>
      <w:r w:rsidR="007502A5">
        <w:t xml:space="preserve"> The synthetic solution were prepared from the dissolution of the dye in distilled water and the pH adjusted by the addition of aliquots of acid (HCl) and basic solutions (NaOH). In order to quantify the dye concentration in solution used the calibration curve, prepared from standard solutions dye (12.5 to 100 mg </w:t>
      </w:r>
      <w:r w:rsidR="007502A5" w:rsidRPr="007502A5">
        <w:t>L</w:t>
      </w:r>
      <w:r w:rsidR="007502A5" w:rsidRPr="007502A5">
        <w:rPr>
          <w:vertAlign w:val="superscript"/>
        </w:rPr>
        <w:t>-1</w:t>
      </w:r>
      <w:r w:rsidR="007502A5">
        <w:t>) and the corresponding absorbances when subjected to</w:t>
      </w:r>
      <w:r w:rsidR="00B16469">
        <w:t xml:space="preserve"> readings in</w:t>
      </w:r>
      <w:r w:rsidR="007502A5">
        <w:t xml:space="preserve"> Ultraviolet-Visible (UV-Vis)</w:t>
      </w:r>
      <w:r w:rsidR="00B16469">
        <w:t xml:space="preserve"> in spectrophotometer. The readings in UV-Vis were performed at 410 nm, corresponding to the higher wavelength of the solution of YR-B2R.</w:t>
      </w:r>
    </w:p>
    <w:p w:rsidR="00B16469" w:rsidRPr="00B16469" w:rsidRDefault="00B16469" w:rsidP="00290E34">
      <w:pPr>
        <w:pStyle w:val="CETBodytext"/>
      </w:pPr>
    </w:p>
    <w:tbl>
      <w:tblPr>
        <w:tblStyle w:val="Tabelacomgrade"/>
        <w:tblW w:w="0" w:type="auto"/>
        <w:tblLook w:val="04A0"/>
      </w:tblPr>
      <w:tblGrid>
        <w:gridCol w:w="2880"/>
      </w:tblGrid>
      <w:tr w:rsidR="00290E34" w:rsidTr="003B7C13">
        <w:trPr>
          <w:trHeight w:val="2232"/>
        </w:trPr>
        <w:tc>
          <w:tcPr>
            <w:tcW w:w="2880" w:type="dxa"/>
            <w:tcBorders>
              <w:top w:val="nil"/>
              <w:left w:val="nil"/>
              <w:bottom w:val="nil"/>
              <w:right w:val="nil"/>
            </w:tcBorders>
            <w:vAlign w:val="center"/>
          </w:tcPr>
          <w:p w:rsidR="00290E34" w:rsidRDefault="00290E34" w:rsidP="00290E34">
            <w:pPr>
              <w:pStyle w:val="CETBodytext"/>
              <w:keepNext/>
              <w:jc w:val="center"/>
            </w:pPr>
            <w:r>
              <w:rPr>
                <w:b/>
                <w:noProof/>
                <w:sz w:val="20"/>
                <w:lang w:val="pt-BR" w:eastAsia="pt-BR"/>
              </w:rPr>
              <w:drawing>
                <wp:inline distT="0" distB="0" distL="0" distR="0">
                  <wp:extent cx="1333500" cy="130492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6418" b="4878"/>
                          <a:stretch>
                            <a:fillRect/>
                          </a:stretch>
                        </pic:blipFill>
                        <pic:spPr bwMode="auto">
                          <a:xfrm>
                            <a:off x="0" y="0"/>
                            <a:ext cx="1333500" cy="1304925"/>
                          </a:xfrm>
                          <a:prstGeom prst="rect">
                            <a:avLst/>
                          </a:prstGeom>
                          <a:noFill/>
                          <a:ln>
                            <a:noFill/>
                          </a:ln>
                        </pic:spPr>
                      </pic:pic>
                    </a:graphicData>
                  </a:graphic>
                </wp:inline>
              </w:drawing>
            </w:r>
          </w:p>
        </w:tc>
      </w:tr>
    </w:tbl>
    <w:p w:rsidR="00290E34" w:rsidRPr="007502A5" w:rsidRDefault="00290E34" w:rsidP="003B7C13">
      <w:pPr>
        <w:pStyle w:val="CETCaption"/>
        <w:rPr>
          <w:lang w:val="en-US"/>
        </w:rPr>
      </w:pPr>
      <w:r w:rsidRPr="007502A5">
        <w:rPr>
          <w:lang w:val="en-US"/>
        </w:rPr>
        <w:t xml:space="preserve">Figure </w:t>
      </w:r>
      <w:r w:rsidR="007E574C">
        <w:fldChar w:fldCharType="begin"/>
      </w:r>
      <w:r w:rsidRPr="007502A5">
        <w:rPr>
          <w:lang w:val="en-US"/>
        </w:rPr>
        <w:instrText xml:space="preserve"> SEQ Figure \* ARABIC </w:instrText>
      </w:r>
      <w:r w:rsidR="007E574C">
        <w:fldChar w:fldCharType="separate"/>
      </w:r>
      <w:r w:rsidR="00356F20" w:rsidRPr="007502A5">
        <w:rPr>
          <w:noProof/>
          <w:lang w:val="en-US"/>
        </w:rPr>
        <w:t>2</w:t>
      </w:r>
      <w:r w:rsidR="007E574C">
        <w:fldChar w:fldCharType="end"/>
      </w:r>
      <w:r w:rsidR="008D7253" w:rsidRPr="007502A5">
        <w:rPr>
          <w:lang w:val="en-US"/>
        </w:rPr>
        <w:t>:</w:t>
      </w:r>
      <w:r w:rsidR="007502A5" w:rsidRPr="007502A5">
        <w:rPr>
          <w:lang w:val="en-US"/>
        </w:rPr>
        <w:t xml:space="preserve"> Yellow Dye </w:t>
      </w:r>
      <w:proofErr w:type="spellStart"/>
      <w:r w:rsidR="007502A5" w:rsidRPr="007502A5">
        <w:rPr>
          <w:lang w:val="en-US"/>
        </w:rPr>
        <w:t>Reafix</w:t>
      </w:r>
      <w:proofErr w:type="spellEnd"/>
      <w:r w:rsidR="007502A5" w:rsidRPr="007502A5">
        <w:rPr>
          <w:lang w:val="en-US"/>
        </w:rPr>
        <w:t xml:space="preserve"> B2R 134%</w:t>
      </w:r>
    </w:p>
    <w:p w:rsidR="00290E34" w:rsidRDefault="008F069D" w:rsidP="00CE2FED">
      <w:pPr>
        <w:pStyle w:val="CETheadingx"/>
      </w:pPr>
      <w:r>
        <w:lastRenderedPageBreak/>
        <w:t>Biosorption assays</w:t>
      </w:r>
    </w:p>
    <w:p w:rsidR="00CE2FED" w:rsidRDefault="008F069D" w:rsidP="00CE2FED">
      <w:pPr>
        <w:pStyle w:val="CETBodytext"/>
      </w:pPr>
      <w:r w:rsidRPr="008F069D">
        <w:t xml:space="preserve">The biosorption in batch system consisted of contact between 0.30 g of </w:t>
      </w:r>
      <w:proofErr w:type="spellStart"/>
      <w:r w:rsidRPr="008F069D">
        <w:t>biosorbent</w:t>
      </w:r>
      <w:proofErr w:type="spellEnd"/>
      <w:r w:rsidRPr="008F069D">
        <w:t xml:space="preserve"> </w:t>
      </w:r>
      <w:r>
        <w:t xml:space="preserve">(malt </w:t>
      </w:r>
      <w:proofErr w:type="spellStart"/>
      <w:r>
        <w:t>bagasse</w:t>
      </w:r>
      <w:proofErr w:type="spellEnd"/>
      <w:r>
        <w:t>) and 50 mL of sorb</w:t>
      </w:r>
      <w:r w:rsidRPr="008F069D">
        <w:t>ate</w:t>
      </w:r>
      <w:r>
        <w:t xml:space="preserve"> (YR-B2R) at 75 mg L</w:t>
      </w:r>
      <w:r w:rsidRPr="008F069D">
        <w:rPr>
          <w:vertAlign w:val="superscript"/>
        </w:rPr>
        <w:t>-1</w:t>
      </w:r>
      <w:r>
        <w:t xml:space="preserve">. </w:t>
      </w:r>
      <w:r w:rsidRPr="008F069D">
        <w:t xml:space="preserve">Based on previously </w:t>
      </w:r>
      <w:r>
        <w:t>s</w:t>
      </w:r>
      <w:r w:rsidRPr="008F069D">
        <w:t>tudies</w:t>
      </w:r>
      <w:r>
        <w:t xml:space="preserve"> performed</w:t>
      </w:r>
      <w:r w:rsidRPr="008F069D">
        <w:t xml:space="preserve"> (</w:t>
      </w:r>
      <w:proofErr w:type="spellStart"/>
      <w:r w:rsidRPr="008F069D">
        <w:t>Zanutto</w:t>
      </w:r>
      <w:proofErr w:type="spellEnd"/>
      <w:r w:rsidRPr="008F069D">
        <w:t xml:space="preserve"> et al., 2015), the operating conditions were established.</w:t>
      </w:r>
      <w:r>
        <w:t xml:space="preserve"> Samples were adjusted to pH 2, maintained under shaking at 130 rpm in a rotary shaking incubator. After determined contact time, aliquots of the samples were centrifuged at 3000 rpm for 10 minutes. Then the dye concentration was obtained from the UV-Vis readings and the calibr</w:t>
      </w:r>
      <w:r w:rsidR="00A23639">
        <w:t>ation curve. The amount of sorbate removed by the biomass was calculated by Equation 1.</w:t>
      </w:r>
    </w:p>
    <w:p w:rsidR="00174E0C" w:rsidRPr="00174E0C" w:rsidRDefault="00174E0C" w:rsidP="00CE2FED">
      <w:pPr>
        <w:pStyle w:val="CETBodytext"/>
      </w:pPr>
    </w:p>
    <w:tbl>
      <w:tblPr>
        <w:tblW w:w="5000" w:type="pct"/>
        <w:tblLook w:val="04A0"/>
      </w:tblPr>
      <w:tblGrid>
        <w:gridCol w:w="8188"/>
        <w:gridCol w:w="815"/>
      </w:tblGrid>
      <w:tr w:rsidR="00CE2FED" w:rsidRPr="00B57B36" w:rsidTr="00CE2FED">
        <w:tc>
          <w:tcPr>
            <w:tcW w:w="8188" w:type="dxa"/>
            <w:shd w:val="clear" w:color="auto" w:fill="auto"/>
            <w:vAlign w:val="center"/>
          </w:tcPr>
          <w:p w:rsidR="00CE2FED" w:rsidRPr="00CE2FED" w:rsidRDefault="007E574C" w:rsidP="00CE2FED">
            <w:pPr>
              <w:pStyle w:val="CETEquation"/>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m:t>
                    </m:r>
                  </m:num>
                  <m:den>
                    <m:sSub>
                      <m:sSubPr>
                        <m:ctrlPr>
                          <w:rPr>
                            <w:rFonts w:ascii="Cambria Math" w:hAnsi="Cambria Math"/>
                            <w:i/>
                          </w:rPr>
                        </m:ctrlPr>
                      </m:sSubPr>
                      <m:e>
                        <m:r>
                          <w:rPr>
                            <w:rFonts w:ascii="Cambria Math" w:hAnsi="Cambria Math"/>
                          </w:rPr>
                          <m:t>m</m:t>
                        </m:r>
                      </m:e>
                      <m:sub>
                        <m:r>
                          <w:rPr>
                            <w:rFonts w:ascii="Cambria Math" w:hAnsi="Cambria Math"/>
                          </w:rPr>
                          <m:t>s</m:t>
                        </m:r>
                      </m:sub>
                    </m:sSub>
                  </m:den>
                </m:f>
              </m:oMath>
            </m:oMathPara>
          </w:p>
        </w:tc>
        <w:tc>
          <w:tcPr>
            <w:tcW w:w="815" w:type="dxa"/>
            <w:shd w:val="clear" w:color="auto" w:fill="auto"/>
            <w:vAlign w:val="center"/>
          </w:tcPr>
          <w:p w:rsidR="00CE2FED" w:rsidRPr="00B57B36" w:rsidRDefault="00CE2FED" w:rsidP="00FD7ACA">
            <w:pPr>
              <w:pStyle w:val="CETEquation"/>
              <w:jc w:val="right"/>
            </w:pPr>
            <w:r w:rsidRPr="00B57B36">
              <w:t>(1)</w:t>
            </w:r>
          </w:p>
        </w:tc>
      </w:tr>
    </w:tbl>
    <w:p w:rsidR="00CE2FED" w:rsidRPr="00CE2FED" w:rsidRDefault="00CE2FED" w:rsidP="00CE2FED">
      <w:pPr>
        <w:pStyle w:val="CETBodytext"/>
      </w:pPr>
    </w:p>
    <w:p w:rsidR="00CE2FED" w:rsidRDefault="00A23639" w:rsidP="00CE2FED">
      <w:pPr>
        <w:pStyle w:val="CETBodytext"/>
      </w:pPr>
      <w:r w:rsidRPr="00A23639">
        <w:t xml:space="preserve">Being </w:t>
      </w:r>
      <w:proofErr w:type="spellStart"/>
      <w:r w:rsidRPr="00A23639">
        <w:t>q</w:t>
      </w:r>
      <w:r w:rsidRPr="00A23639">
        <w:rPr>
          <w:vertAlign w:val="subscript"/>
        </w:rPr>
        <w:t>e</w:t>
      </w:r>
      <w:proofErr w:type="spellEnd"/>
      <w:r w:rsidRPr="00A23639">
        <w:t xml:space="preserve"> the amount of sorbate in</w:t>
      </w:r>
      <w:r>
        <w:t xml:space="preserve"> the</w:t>
      </w:r>
      <w:r w:rsidRPr="00A23639">
        <w:t xml:space="preserve"> </w:t>
      </w:r>
      <w:r>
        <w:t>solid</w:t>
      </w:r>
      <w:r w:rsidRPr="00A23639">
        <w:t xml:space="preserve"> phase (mg g</w:t>
      </w:r>
      <w:r w:rsidRPr="00A23639">
        <w:rPr>
          <w:vertAlign w:val="superscript"/>
        </w:rPr>
        <w:t>-1</w:t>
      </w:r>
      <w:r w:rsidRPr="00A23639">
        <w:t>),</w:t>
      </w:r>
      <w:r>
        <w:t xml:space="preserve"> V the </w:t>
      </w:r>
      <w:r w:rsidR="00174E0C">
        <w:t>volume</w:t>
      </w:r>
      <w:r>
        <w:t xml:space="preserve"> of solution (L),</w:t>
      </w:r>
      <w:r w:rsidRPr="00A23639">
        <w:t xml:space="preserve"> m</w:t>
      </w:r>
      <w:r w:rsidRPr="00A23639">
        <w:rPr>
          <w:vertAlign w:val="subscript"/>
        </w:rPr>
        <w:t>s</w:t>
      </w:r>
      <w:r>
        <w:t xml:space="preserve"> the mass of </w:t>
      </w:r>
      <w:proofErr w:type="spellStart"/>
      <w:r>
        <w:t>biosorbent</w:t>
      </w:r>
      <w:proofErr w:type="spellEnd"/>
      <w:r>
        <w:t xml:space="preserve"> (g),</w:t>
      </w:r>
      <w:r w:rsidRPr="00A23639">
        <w:t xml:space="preserve"> C</w:t>
      </w:r>
      <w:r w:rsidRPr="00A23639">
        <w:rPr>
          <w:vertAlign w:val="subscript"/>
        </w:rPr>
        <w:t>0</w:t>
      </w:r>
      <w:r>
        <w:t xml:space="preserve"> and</w:t>
      </w:r>
      <w:r w:rsidRPr="00A23639">
        <w:t xml:space="preserve"> C</w:t>
      </w:r>
      <w:r w:rsidRPr="00A23639">
        <w:rPr>
          <w:vertAlign w:val="subscript"/>
        </w:rPr>
        <w:t>e</w:t>
      </w:r>
      <w:r>
        <w:t xml:space="preserve"> the initial concentration and of equilibrium of the dye (mg L</w:t>
      </w:r>
      <w:r w:rsidRPr="00A23639">
        <w:rPr>
          <w:vertAlign w:val="superscript"/>
        </w:rPr>
        <w:t>-1</w:t>
      </w:r>
      <w:r>
        <w:t>), respectively. The efficiency of the malt bagasse in the biosorption was determined by the removal percentual, as represented by Equation 2.</w:t>
      </w:r>
    </w:p>
    <w:p w:rsidR="00A23639" w:rsidRPr="00A23639" w:rsidRDefault="00A23639" w:rsidP="00CE2FED">
      <w:pPr>
        <w:pStyle w:val="CETBodytext"/>
      </w:pPr>
    </w:p>
    <w:tbl>
      <w:tblPr>
        <w:tblW w:w="5000" w:type="pct"/>
        <w:tblLook w:val="04A0"/>
      </w:tblPr>
      <w:tblGrid>
        <w:gridCol w:w="8188"/>
        <w:gridCol w:w="815"/>
      </w:tblGrid>
      <w:tr w:rsidR="00CE2FED" w:rsidRPr="00B57B36" w:rsidTr="00FD7ACA">
        <w:tc>
          <w:tcPr>
            <w:tcW w:w="8188" w:type="dxa"/>
            <w:shd w:val="clear" w:color="auto" w:fill="auto"/>
            <w:vAlign w:val="center"/>
          </w:tcPr>
          <w:p w:rsidR="00CE2FED" w:rsidRPr="00CE2FED" w:rsidRDefault="00CE2FED" w:rsidP="00FD7ACA">
            <w:pPr>
              <w:pStyle w:val="CETEquation"/>
            </w:pPr>
            <m:oMathPara>
              <m:oMathParaPr>
                <m:jc m:val="left"/>
              </m:oMathParaPr>
              <m:oMath>
                <m:r>
                  <w:rPr>
                    <w:rFonts w:ascii="Cambria Math" w:hAnsi="Cambria Math"/>
                  </w:rPr>
                  <m:t xml:space="preserve">Removal </m:t>
                </m:r>
                <m:d>
                  <m:dPr>
                    <m:ctrlPr>
                      <w:rPr>
                        <w:rFonts w:ascii="Cambria Math" w:hAnsi="Cambria Math"/>
                        <w:i/>
                      </w:rPr>
                    </m:ctrlPr>
                  </m:dPr>
                  <m:e>
                    <m:r>
                      <w:rPr>
                        <w:rFonts w:ascii="Cambria Math" w:hAnsi="Cambria Math"/>
                      </w:rPr>
                      <m:t>%</m:t>
                    </m:r>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e>
                    </m:d>
                  </m:num>
                  <m:den>
                    <m:sSub>
                      <m:sSubPr>
                        <m:ctrlPr>
                          <w:rPr>
                            <w:rFonts w:ascii="Cambria Math" w:hAnsi="Cambria Math"/>
                            <w:i/>
                          </w:rPr>
                        </m:ctrlPr>
                      </m:sSubPr>
                      <m:e>
                        <m:r>
                          <w:rPr>
                            <w:rFonts w:ascii="Cambria Math" w:hAnsi="Cambria Math"/>
                          </w:rPr>
                          <m:t>C</m:t>
                        </m:r>
                      </m:e>
                      <m:sub>
                        <m:r>
                          <w:rPr>
                            <w:rFonts w:ascii="Cambria Math" w:hAnsi="Cambria Math"/>
                          </w:rPr>
                          <m:t>0</m:t>
                        </m:r>
                      </m:sub>
                    </m:sSub>
                  </m:den>
                </m:f>
                <m:r>
                  <w:rPr>
                    <w:rFonts w:ascii="Cambria Math" w:hAnsi="Cambria Math"/>
                  </w:rPr>
                  <m:t>.100</m:t>
                </m:r>
              </m:oMath>
            </m:oMathPara>
          </w:p>
        </w:tc>
        <w:tc>
          <w:tcPr>
            <w:tcW w:w="815" w:type="dxa"/>
            <w:shd w:val="clear" w:color="auto" w:fill="auto"/>
            <w:vAlign w:val="center"/>
          </w:tcPr>
          <w:p w:rsidR="00CE2FED" w:rsidRPr="00B57B36" w:rsidRDefault="00CE2FED" w:rsidP="00FD7ACA">
            <w:pPr>
              <w:pStyle w:val="CETEquation"/>
              <w:jc w:val="right"/>
            </w:pPr>
            <w:r w:rsidRPr="00B57B36">
              <w:t>(</w:t>
            </w:r>
            <w:r>
              <w:t>2</w:t>
            </w:r>
            <w:r w:rsidRPr="00B57B36">
              <w:t>)</w:t>
            </w:r>
          </w:p>
        </w:tc>
      </w:tr>
    </w:tbl>
    <w:p w:rsidR="00CE2FED" w:rsidRPr="00CE2FED" w:rsidRDefault="00CE2FED" w:rsidP="00CE2FED">
      <w:pPr>
        <w:pStyle w:val="CETBodytext"/>
      </w:pPr>
    </w:p>
    <w:p w:rsidR="00014B48" w:rsidRPr="00014B48" w:rsidRDefault="00014B48" w:rsidP="00CE2FED">
      <w:pPr>
        <w:pStyle w:val="CETBodytext"/>
      </w:pPr>
      <w:r w:rsidRPr="00014B48">
        <w:t xml:space="preserve">The amount of sorbate removed was evaluated in </w:t>
      </w:r>
      <w:r>
        <w:t xml:space="preserve">different contact times (0 to 1440 minutes), in the temperatures of </w:t>
      </w:r>
      <w:r w:rsidR="00F93807">
        <w:t>303.15, 313.15 and 323.15</w:t>
      </w:r>
      <w:r>
        <w:t xml:space="preserve"> K.</w:t>
      </w:r>
      <w:r w:rsidR="00DD08F9">
        <w:t xml:space="preserve"> Figure 3 represents a schematic</w:t>
      </w:r>
      <w:r w:rsidR="00E1573C">
        <w:t xml:space="preserve"> </w:t>
      </w:r>
      <w:r w:rsidR="00DD08F9">
        <w:t>for</w:t>
      </w:r>
      <w:r w:rsidR="00E1573C">
        <w:t xml:space="preserve"> the biosorption assay realized in batch.</w:t>
      </w:r>
    </w:p>
    <w:p w:rsidR="00CE2FED" w:rsidRPr="00E1573C" w:rsidRDefault="00CE2FED" w:rsidP="00290E34">
      <w:pPr>
        <w:pStyle w:val="CETBodytex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66"/>
      </w:tblGrid>
      <w:tr w:rsidR="00E446F2" w:rsidTr="00F93807">
        <w:trPr>
          <w:trHeight w:val="4529"/>
        </w:trPr>
        <w:tc>
          <w:tcPr>
            <w:tcW w:w="8726" w:type="dxa"/>
          </w:tcPr>
          <w:p w:rsidR="00E446F2" w:rsidRPr="00E1573C" w:rsidRDefault="00F93807" w:rsidP="00A95FFA">
            <w:pPr>
              <w:pStyle w:val="CETCaption"/>
              <w:rPr>
                <w:highlight w:val="yellow"/>
                <w:lang w:val="en-US"/>
              </w:rPr>
            </w:pPr>
            <w:bookmarkStart w:id="0" w:name="_GoBack"/>
            <w:bookmarkEnd w:id="0"/>
            <w:r>
              <w:rPr>
                <w:noProof/>
                <w:lang w:val="pt-BR" w:eastAsia="pt-BR"/>
              </w:rPr>
              <w:drawing>
                <wp:inline distT="0" distB="0" distL="0" distR="0">
                  <wp:extent cx="5429250" cy="264387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436584" cy="2647451"/>
                          </a:xfrm>
                          <a:prstGeom prst="rect">
                            <a:avLst/>
                          </a:prstGeom>
                        </pic:spPr>
                      </pic:pic>
                    </a:graphicData>
                  </a:graphic>
                </wp:inline>
              </w:drawing>
            </w:r>
          </w:p>
        </w:tc>
      </w:tr>
    </w:tbl>
    <w:p w:rsidR="00CE2FED" w:rsidRPr="00B863D8" w:rsidRDefault="00A95FFA" w:rsidP="00A95FFA">
      <w:pPr>
        <w:pStyle w:val="CETCaption"/>
        <w:rPr>
          <w:lang w:val="en-US"/>
        </w:rPr>
      </w:pPr>
      <w:r w:rsidRPr="00E1573C">
        <w:rPr>
          <w:lang w:val="en-US"/>
        </w:rPr>
        <w:t xml:space="preserve">Figure </w:t>
      </w:r>
      <w:r w:rsidR="007E574C" w:rsidRPr="00FD26FD">
        <w:fldChar w:fldCharType="begin"/>
      </w:r>
      <w:r w:rsidRPr="00E1573C">
        <w:rPr>
          <w:lang w:val="en-US"/>
        </w:rPr>
        <w:instrText xml:space="preserve"> SEQ Figure \* ARABIC </w:instrText>
      </w:r>
      <w:r w:rsidR="007E574C" w:rsidRPr="00FD26FD">
        <w:fldChar w:fldCharType="separate"/>
      </w:r>
      <w:r w:rsidR="00356F20" w:rsidRPr="00E1573C">
        <w:rPr>
          <w:noProof/>
          <w:lang w:val="en-US"/>
        </w:rPr>
        <w:t>3</w:t>
      </w:r>
      <w:r w:rsidR="007E574C" w:rsidRPr="00FD26FD">
        <w:fldChar w:fldCharType="end"/>
      </w:r>
      <w:r w:rsidR="008B00EF">
        <w:rPr>
          <w:lang w:val="en-US"/>
        </w:rPr>
        <w:t>:</w:t>
      </w:r>
      <w:r w:rsidRPr="00E1573C">
        <w:rPr>
          <w:lang w:val="en-US"/>
        </w:rPr>
        <w:t xml:space="preserve"> </w:t>
      </w:r>
      <w:r w:rsidR="00B863D8">
        <w:rPr>
          <w:lang w:val="en-US"/>
        </w:rPr>
        <w:t xml:space="preserve">Schematic </w:t>
      </w:r>
      <w:r w:rsidR="008B00EF">
        <w:rPr>
          <w:lang w:val="en-US"/>
        </w:rPr>
        <w:t>for the biosorption assay</w:t>
      </w:r>
    </w:p>
    <w:p w:rsidR="00CE2FED" w:rsidRPr="003B7C13" w:rsidRDefault="00B863D8" w:rsidP="00A95FFA">
      <w:pPr>
        <w:pStyle w:val="CETHeading1"/>
        <w:rPr>
          <w:lang w:val="pt-BR"/>
        </w:rPr>
      </w:pPr>
      <w:proofErr w:type="spellStart"/>
      <w:r>
        <w:rPr>
          <w:lang w:val="pt-BR"/>
        </w:rPr>
        <w:t>Results</w:t>
      </w:r>
      <w:proofErr w:type="spellEnd"/>
      <w:r>
        <w:rPr>
          <w:lang w:val="pt-BR"/>
        </w:rPr>
        <w:t xml:space="preserve"> </w:t>
      </w:r>
      <w:proofErr w:type="spellStart"/>
      <w:r>
        <w:rPr>
          <w:lang w:val="pt-BR"/>
        </w:rPr>
        <w:t>and</w:t>
      </w:r>
      <w:proofErr w:type="spellEnd"/>
      <w:r>
        <w:rPr>
          <w:lang w:val="pt-BR"/>
        </w:rPr>
        <w:t xml:space="preserve"> </w:t>
      </w:r>
      <w:proofErr w:type="spellStart"/>
      <w:r>
        <w:rPr>
          <w:lang w:val="pt-BR"/>
        </w:rPr>
        <w:t>Discussion</w:t>
      </w:r>
      <w:proofErr w:type="spellEnd"/>
    </w:p>
    <w:p w:rsidR="00A95FFA" w:rsidRPr="000C7273" w:rsidRDefault="000C7273" w:rsidP="001C2359">
      <w:pPr>
        <w:pStyle w:val="CETheadingx"/>
      </w:pPr>
      <w:r w:rsidRPr="000C7273">
        <w:t>Influence of contact time and temperature on removal</w:t>
      </w:r>
    </w:p>
    <w:p w:rsidR="00A95FFA" w:rsidRPr="00AD074F" w:rsidRDefault="00AD074F" w:rsidP="00290E34">
      <w:pPr>
        <w:pStyle w:val="CETBodytext"/>
      </w:pPr>
      <w:r w:rsidRPr="00AD074F">
        <w:t>The removal</w:t>
      </w:r>
      <w:r>
        <w:t xml:space="preserve"> obtained of YR-B2R by the malt bagasse in function of contact time can be observed in Figure 4. </w:t>
      </w:r>
      <w:r w:rsidR="00964AA7">
        <w:t>The experiments were done in triplicate and the standard deviation is indicated at each point in the figure.</w:t>
      </w:r>
      <w:r w:rsidR="00964AA7">
        <w:br/>
      </w:r>
      <w:r>
        <w:t>The behavior for the three working temperatures (</w:t>
      </w:r>
      <w:r w:rsidR="00F93807">
        <w:t>303.15, 313.15 and 323.15 K</w:t>
      </w:r>
      <w:r>
        <w:t>) was similar. In the initial instants the sorption was fast, with 65, 76 and 80% in the first 15 minutes. It was followed by a slower period until reached equilibrium of the system in 360 minutes (6 hours), with removal of 93, 90 and 92%, respectively.</w:t>
      </w:r>
    </w:p>
    <w:tbl>
      <w:tblPr>
        <w:tblStyle w:val="Tabelacomgrade"/>
        <w:tblW w:w="0" w:type="auto"/>
        <w:tblCellMar>
          <w:left w:w="70" w:type="dxa"/>
          <w:right w:w="70" w:type="dxa"/>
        </w:tblCellMar>
        <w:tblLook w:val="04A0"/>
      </w:tblPr>
      <w:tblGrid>
        <w:gridCol w:w="8870"/>
      </w:tblGrid>
      <w:tr w:rsidR="001C2359" w:rsidRPr="00EF09E9" w:rsidTr="001428A5">
        <w:trPr>
          <w:trHeight w:val="4369"/>
        </w:trPr>
        <w:tc>
          <w:tcPr>
            <w:tcW w:w="7010" w:type="dxa"/>
            <w:tcBorders>
              <w:top w:val="nil"/>
              <w:left w:val="nil"/>
              <w:bottom w:val="nil"/>
              <w:right w:val="nil"/>
            </w:tcBorders>
            <w:vAlign w:val="center"/>
          </w:tcPr>
          <w:p w:rsidR="001C2359" w:rsidRDefault="00964AA7" w:rsidP="001428A5">
            <w:pPr>
              <w:pStyle w:val="CETBodytext"/>
              <w:keepNext/>
              <w:jc w:val="left"/>
              <w:rPr>
                <w:lang w:val="pt-BR"/>
              </w:rPr>
            </w:pPr>
            <w:r w:rsidRPr="00964AA7">
              <w:rPr>
                <w:noProof/>
                <w:lang w:val="pt-BR" w:eastAsia="pt-BR"/>
              </w:rPr>
              <w:lastRenderedPageBreak/>
              <w:drawing>
                <wp:inline distT="0" distB="0" distL="0" distR="0">
                  <wp:extent cx="5505450" cy="3609975"/>
                  <wp:effectExtent l="19050" t="0" r="19050" b="0"/>
                  <wp:docPr id="2"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0CCB6D3-DD20-4962-9BD7-F5D1663CCC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1C2359" w:rsidRPr="00ED05F7" w:rsidRDefault="001C2359" w:rsidP="001C2359">
      <w:pPr>
        <w:pStyle w:val="CETCaption"/>
        <w:rPr>
          <w:lang w:val="en-US"/>
        </w:rPr>
      </w:pPr>
      <w:r w:rsidRPr="00ED05F7">
        <w:rPr>
          <w:lang w:val="en-US"/>
        </w:rPr>
        <w:t xml:space="preserve">Figure </w:t>
      </w:r>
      <w:r w:rsidR="007E574C">
        <w:fldChar w:fldCharType="begin"/>
      </w:r>
      <w:r w:rsidRPr="00ED05F7">
        <w:rPr>
          <w:lang w:val="en-US"/>
        </w:rPr>
        <w:instrText xml:space="preserve"> SEQ Figure \* ARABIC </w:instrText>
      </w:r>
      <w:r w:rsidR="007E574C">
        <w:fldChar w:fldCharType="separate"/>
      </w:r>
      <w:r w:rsidR="00356F20" w:rsidRPr="00ED05F7">
        <w:rPr>
          <w:noProof/>
          <w:lang w:val="en-US"/>
        </w:rPr>
        <w:t>4</w:t>
      </w:r>
      <w:r w:rsidR="007E574C">
        <w:fldChar w:fldCharType="end"/>
      </w:r>
      <w:r w:rsidR="008B00EF" w:rsidRPr="00ED05F7">
        <w:rPr>
          <w:lang w:val="en-US"/>
        </w:rPr>
        <w:t>:</w:t>
      </w:r>
      <w:r w:rsidRPr="00ED05F7">
        <w:rPr>
          <w:lang w:val="en-US"/>
        </w:rPr>
        <w:t xml:space="preserve"> </w:t>
      </w:r>
      <w:r w:rsidR="00AD074F" w:rsidRPr="00ED05F7">
        <w:rPr>
          <w:lang w:val="en-US"/>
        </w:rPr>
        <w:t xml:space="preserve">Effect of contact time and temperature on YR-B2R </w:t>
      </w:r>
      <w:r w:rsidR="008B00EF" w:rsidRPr="00ED05F7">
        <w:rPr>
          <w:lang w:val="en-US"/>
        </w:rPr>
        <w:t>removal by malt bagasse</w:t>
      </w:r>
    </w:p>
    <w:p w:rsidR="00BA0CF9" w:rsidRPr="00BA0CF9" w:rsidRDefault="00BA0CF9" w:rsidP="005F3528">
      <w:pPr>
        <w:pStyle w:val="CETBodytext"/>
      </w:pPr>
      <w:r w:rsidRPr="00BA0CF9">
        <w:t>It was verified that for the evaluated bands the temperature did not cause significant influence.</w:t>
      </w:r>
      <w:r>
        <w:t xml:space="preserve"> This fact allows the use of the technique in lower temperature conditions, aiming at lower energy consumption, without harm the efficiency of the treatment.</w:t>
      </w:r>
      <w:r w:rsidR="00BE70D2">
        <w:t xml:space="preserve"> In the same way that the fast sorption in the initial instants favors the application of the technique in industrial systems, where the levels required for treatment are reasonable and fast.</w:t>
      </w:r>
      <w:r w:rsidR="00164146">
        <w:t xml:space="preserve"> In the works developed by Fontana et al. (2015) and Rafael (2016) using the malt bagasse, the same behavior was observed, with the equilibrium time reached in 150 minutes and 32 hours for the </w:t>
      </w:r>
      <w:r w:rsidR="00164146" w:rsidRPr="00F93807">
        <w:t xml:space="preserve">dyes Orange </w:t>
      </w:r>
      <w:proofErr w:type="spellStart"/>
      <w:r w:rsidR="00164146" w:rsidRPr="00F93807">
        <w:t>Solimax</w:t>
      </w:r>
      <w:proofErr w:type="spellEnd"/>
      <w:r w:rsidR="00164146" w:rsidRPr="00F93807">
        <w:t xml:space="preserve"> TGL and Black </w:t>
      </w:r>
      <w:proofErr w:type="spellStart"/>
      <w:r w:rsidR="00164146" w:rsidRPr="00F93807">
        <w:t>Reafix</w:t>
      </w:r>
      <w:proofErr w:type="spellEnd"/>
      <w:r w:rsidR="00164146" w:rsidRPr="00F93807">
        <w:t xml:space="preserve"> Super 2R, respectively</w:t>
      </w:r>
      <w:r w:rsidR="00164146">
        <w:t>.</w:t>
      </w:r>
    </w:p>
    <w:p w:rsidR="005F3528" w:rsidRPr="001559AE" w:rsidRDefault="005F3528" w:rsidP="00290E34">
      <w:pPr>
        <w:pStyle w:val="CETBodytext"/>
      </w:pPr>
    </w:p>
    <w:p w:rsidR="005F3528" w:rsidRDefault="00346BB7" w:rsidP="005F3528">
      <w:pPr>
        <w:pStyle w:val="CETheadingx"/>
      </w:pPr>
      <w:r>
        <w:t>Thermodynamic Evaluation</w:t>
      </w:r>
    </w:p>
    <w:p w:rsidR="00CB1EA7" w:rsidRPr="004A2837" w:rsidRDefault="00CB1EA7" w:rsidP="00882F04">
      <w:pPr>
        <w:pStyle w:val="CETBodytext"/>
      </w:pPr>
      <w:r>
        <w:t>The biosorption of the</w:t>
      </w:r>
      <w:r w:rsidRPr="00CB1EA7">
        <w:t xml:space="preserve"> YR-B2R</w:t>
      </w:r>
      <w:r>
        <w:t xml:space="preserve"> dye by malt bagasse in different temperatures makes it possible to obtain the thermodynamic parameters associated to the removal. </w:t>
      </w:r>
      <w:r w:rsidR="004A2837">
        <w:t>The equations presented in Table 1 were used to determine the enthalpy</w:t>
      </w:r>
      <w:r w:rsidR="004A2837" w:rsidRPr="004A2837">
        <w:t xml:space="preserve"> </w:t>
      </w:r>
      <w:proofErr w:type="spellStart"/>
      <w:r w:rsidR="004A2837" w:rsidRPr="00882F04">
        <w:t>Δ</w:t>
      </w:r>
      <w:r w:rsidR="004A2837" w:rsidRPr="004A2837">
        <w:t>Hº</w:t>
      </w:r>
      <w:r w:rsidR="004A2837" w:rsidRPr="004A2837">
        <w:rPr>
          <w:vertAlign w:val="subscript"/>
        </w:rPr>
        <w:t>ads</w:t>
      </w:r>
      <w:proofErr w:type="spellEnd"/>
      <w:r w:rsidR="004A2837" w:rsidRPr="004A2837">
        <w:t xml:space="preserve"> (kJ mol</w:t>
      </w:r>
      <w:r w:rsidR="004A2837" w:rsidRPr="004A2837">
        <w:rPr>
          <w:vertAlign w:val="superscript"/>
        </w:rPr>
        <w:t>-1</w:t>
      </w:r>
      <w:r w:rsidR="004A2837" w:rsidRPr="004A2837">
        <w:t>),</w:t>
      </w:r>
      <w:r w:rsidR="004A2837">
        <w:t xml:space="preserve"> entropy</w:t>
      </w:r>
      <w:r w:rsidR="004A2837" w:rsidRPr="004A2837">
        <w:t xml:space="preserve"> </w:t>
      </w:r>
      <w:proofErr w:type="spellStart"/>
      <w:r w:rsidR="004A2837" w:rsidRPr="00882F04">
        <w:t>Δ</w:t>
      </w:r>
      <w:r w:rsidR="004A2837" w:rsidRPr="004A2837">
        <w:t>Sº</w:t>
      </w:r>
      <w:r w:rsidR="004A2837" w:rsidRPr="004A2837">
        <w:rPr>
          <w:vertAlign w:val="subscript"/>
        </w:rPr>
        <w:t>ads</w:t>
      </w:r>
      <w:proofErr w:type="spellEnd"/>
      <w:r w:rsidR="004A2837" w:rsidRPr="004A2837">
        <w:t xml:space="preserve"> (kJ mol</w:t>
      </w:r>
      <w:r w:rsidR="004A2837" w:rsidRPr="004A2837">
        <w:rPr>
          <w:vertAlign w:val="superscript"/>
        </w:rPr>
        <w:t>-1</w:t>
      </w:r>
      <w:r w:rsidR="004A2837" w:rsidRPr="004A2837">
        <w:t xml:space="preserve"> K</w:t>
      </w:r>
      <w:r w:rsidR="004A2837" w:rsidRPr="004A2837">
        <w:rPr>
          <w:vertAlign w:val="superscript"/>
        </w:rPr>
        <w:t>-1</w:t>
      </w:r>
      <w:r w:rsidR="004A2837" w:rsidRPr="004A2837">
        <w:t>)</w:t>
      </w:r>
      <w:r w:rsidR="004A2837">
        <w:t xml:space="preserve"> and Gibbs free energy</w:t>
      </w:r>
      <w:r w:rsidR="004A2837" w:rsidRPr="004A2837">
        <w:t xml:space="preserve"> </w:t>
      </w:r>
      <w:proofErr w:type="spellStart"/>
      <w:r w:rsidR="004A2837" w:rsidRPr="00882F04">
        <w:t>Δ</w:t>
      </w:r>
      <w:r w:rsidR="004A2837" w:rsidRPr="004A2837">
        <w:t>Gº</w:t>
      </w:r>
      <w:r w:rsidR="004A2837" w:rsidRPr="004A2837">
        <w:rPr>
          <w:vertAlign w:val="subscript"/>
        </w:rPr>
        <w:t>ads</w:t>
      </w:r>
      <w:proofErr w:type="spellEnd"/>
      <w:r w:rsidR="004A2837" w:rsidRPr="004A2837">
        <w:t xml:space="preserve"> (kJ mol</w:t>
      </w:r>
      <w:r w:rsidR="004A2837" w:rsidRPr="004A2837">
        <w:rPr>
          <w:vertAlign w:val="superscript"/>
        </w:rPr>
        <w:t>-1</w:t>
      </w:r>
      <w:r w:rsidR="004A2837" w:rsidRPr="004A2837">
        <w:t>).</w:t>
      </w:r>
      <w:r w:rsidR="004A2837">
        <w:t xml:space="preserve"> These parameters were obtained by the linear relation between </w:t>
      </w:r>
      <w:proofErr w:type="spellStart"/>
      <w:r w:rsidR="004A2837">
        <w:t>ln</w:t>
      </w:r>
      <w:proofErr w:type="spellEnd"/>
      <w:r w:rsidR="004A2837">
        <w:t xml:space="preserve"> </w:t>
      </w:r>
      <w:proofErr w:type="spellStart"/>
      <w:r w:rsidR="004A2837">
        <w:t>kd</w:t>
      </w:r>
      <w:proofErr w:type="spellEnd"/>
      <w:r w:rsidR="004A2837">
        <w:t xml:space="preserve"> </w:t>
      </w:r>
      <w:r w:rsidR="004A2837">
        <w:rPr>
          <w:i/>
        </w:rPr>
        <w:t xml:space="preserve">versus </w:t>
      </w:r>
      <w:r w:rsidR="004A2837">
        <w:t xml:space="preserve">1/T of the </w:t>
      </w:r>
      <w:proofErr w:type="spellStart"/>
      <w:r w:rsidR="004A2837">
        <w:t>van’t</w:t>
      </w:r>
      <w:proofErr w:type="spellEnd"/>
      <w:r w:rsidR="004A2837">
        <w:t xml:space="preserve"> Hoff equation (</w:t>
      </w:r>
      <w:proofErr w:type="spellStart"/>
      <w:r w:rsidR="004A2837">
        <w:t>Khattri</w:t>
      </w:r>
      <w:proofErr w:type="spellEnd"/>
      <w:r w:rsidR="004A2837">
        <w:t xml:space="preserve"> </w:t>
      </w:r>
      <w:r w:rsidR="00F45D90">
        <w:t>and Singh, 1999).</w:t>
      </w:r>
      <w:r w:rsidR="004A2837">
        <w:t xml:space="preserve"> </w:t>
      </w:r>
    </w:p>
    <w:p w:rsidR="005B0E78" w:rsidRPr="007F2A53" w:rsidRDefault="005B0E78" w:rsidP="005B0E78">
      <w:pPr>
        <w:pStyle w:val="CETTabletitle"/>
        <w:ind w:left="142"/>
        <w:rPr>
          <w:lang w:val="en-US"/>
        </w:rPr>
      </w:pPr>
      <w:r w:rsidRPr="007F2A53">
        <w:rPr>
          <w:lang w:val="en-US"/>
        </w:rPr>
        <w:t xml:space="preserve">Table </w:t>
      </w:r>
      <w:r w:rsidR="007E574C">
        <w:fldChar w:fldCharType="begin"/>
      </w:r>
      <w:r w:rsidRPr="007F2A53">
        <w:rPr>
          <w:lang w:val="en-US"/>
        </w:rPr>
        <w:instrText xml:space="preserve"> SEQ Table \* ARABIC </w:instrText>
      </w:r>
      <w:r w:rsidR="007E574C">
        <w:fldChar w:fldCharType="separate"/>
      </w:r>
      <w:r w:rsidR="00356F20" w:rsidRPr="007F2A53">
        <w:rPr>
          <w:noProof/>
          <w:lang w:val="en-US"/>
        </w:rPr>
        <w:t>1</w:t>
      </w:r>
      <w:r w:rsidR="007E574C">
        <w:fldChar w:fldCharType="end"/>
      </w:r>
      <w:r w:rsidRPr="007F2A53">
        <w:rPr>
          <w:lang w:val="en-US"/>
        </w:rPr>
        <w:t xml:space="preserve">: </w:t>
      </w:r>
      <w:r w:rsidR="007F2A53" w:rsidRPr="007F2A53">
        <w:rPr>
          <w:lang w:val="en-US"/>
        </w:rPr>
        <w:t>Relations to obtain the thermodynamic parameters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tblPr>
      <w:tblGrid>
        <w:gridCol w:w="2835"/>
        <w:gridCol w:w="2835"/>
        <w:gridCol w:w="1560"/>
        <w:gridCol w:w="1303"/>
      </w:tblGrid>
      <w:tr w:rsidR="00882F04" w:rsidRPr="00B57B36" w:rsidTr="00093237">
        <w:trPr>
          <w:trHeight w:val="228"/>
          <w:jc w:val="center"/>
        </w:trPr>
        <w:tc>
          <w:tcPr>
            <w:tcW w:w="5670" w:type="dxa"/>
            <w:gridSpan w:val="2"/>
            <w:tcBorders>
              <w:top w:val="single" w:sz="12" w:space="0" w:color="008000"/>
              <w:bottom w:val="single" w:sz="6" w:space="0" w:color="008000"/>
            </w:tcBorders>
            <w:shd w:val="clear" w:color="auto" w:fill="FFFFFF"/>
            <w:vAlign w:val="center"/>
          </w:tcPr>
          <w:p w:rsidR="00882F04" w:rsidRPr="00B57B36" w:rsidRDefault="00882F04" w:rsidP="00882F04">
            <w:pPr>
              <w:pStyle w:val="CETBodytext"/>
              <w:jc w:val="left"/>
              <w:rPr>
                <w:lang w:val="en-GB"/>
              </w:rPr>
            </w:pPr>
            <w:r>
              <w:rPr>
                <w:lang w:val="en-GB"/>
              </w:rPr>
              <w:t>Rela</w:t>
            </w:r>
            <w:r w:rsidR="007F2A53">
              <w:rPr>
                <w:lang w:val="en-GB"/>
              </w:rPr>
              <w:t>tions</w:t>
            </w:r>
          </w:p>
        </w:tc>
        <w:tc>
          <w:tcPr>
            <w:tcW w:w="1560" w:type="dxa"/>
            <w:tcBorders>
              <w:top w:val="single" w:sz="12" w:space="0" w:color="008000"/>
              <w:bottom w:val="single" w:sz="6" w:space="0" w:color="008000"/>
            </w:tcBorders>
            <w:shd w:val="clear" w:color="auto" w:fill="FFFFFF"/>
            <w:vAlign w:val="center"/>
          </w:tcPr>
          <w:p w:rsidR="00882F04" w:rsidRPr="00B57B36" w:rsidRDefault="00882F04" w:rsidP="00882F04">
            <w:pPr>
              <w:pStyle w:val="CETBodytext"/>
              <w:jc w:val="left"/>
              <w:rPr>
                <w:lang w:val="en-GB"/>
              </w:rPr>
            </w:pPr>
            <w:r>
              <w:rPr>
                <w:lang w:val="en-GB"/>
              </w:rPr>
              <w:t>Equa</w:t>
            </w:r>
            <w:r w:rsidR="007F2A53">
              <w:rPr>
                <w:lang w:val="en-GB"/>
              </w:rPr>
              <w:t>tion</w:t>
            </w:r>
          </w:p>
        </w:tc>
        <w:tc>
          <w:tcPr>
            <w:tcW w:w="1303" w:type="dxa"/>
            <w:tcBorders>
              <w:top w:val="single" w:sz="12" w:space="0" w:color="008000"/>
              <w:bottom w:val="single" w:sz="6" w:space="0" w:color="008000"/>
            </w:tcBorders>
            <w:shd w:val="clear" w:color="auto" w:fill="FFFFFF"/>
            <w:vAlign w:val="center"/>
          </w:tcPr>
          <w:p w:rsidR="00882F04" w:rsidRPr="00742DFE" w:rsidRDefault="00882F04" w:rsidP="00882F04">
            <w:pPr>
              <w:pStyle w:val="CETBodytext"/>
              <w:ind w:right="-1"/>
              <w:jc w:val="left"/>
              <w:rPr>
                <w:rFonts w:cs="Arial"/>
                <w:szCs w:val="18"/>
                <w:lang w:val="en-GB"/>
              </w:rPr>
            </w:pPr>
            <w:r w:rsidRPr="00742DFE">
              <w:rPr>
                <w:rFonts w:cs="Arial"/>
                <w:szCs w:val="18"/>
                <w:lang w:val="en-GB"/>
              </w:rPr>
              <w:t>Plot</w:t>
            </w:r>
          </w:p>
        </w:tc>
      </w:tr>
      <w:tr w:rsidR="00093237" w:rsidRPr="00882F04" w:rsidTr="005B0E78">
        <w:trPr>
          <w:trHeight w:val="699"/>
          <w:jc w:val="center"/>
        </w:trPr>
        <w:tc>
          <w:tcPr>
            <w:tcW w:w="2835" w:type="dxa"/>
            <w:shd w:val="clear" w:color="auto" w:fill="FFFFFF"/>
            <w:vAlign w:val="center"/>
          </w:tcPr>
          <w:p w:rsidR="00093237" w:rsidRPr="00882F04" w:rsidRDefault="007F2A53" w:rsidP="00882F04">
            <w:pPr>
              <w:pStyle w:val="CETBodytext"/>
              <w:jc w:val="left"/>
              <w:rPr>
                <w:lang w:val="pt-BR"/>
              </w:rPr>
            </w:pPr>
            <w:proofErr w:type="spellStart"/>
            <w:r>
              <w:rPr>
                <w:lang w:val="pt-BR"/>
              </w:rPr>
              <w:t>Van’t</w:t>
            </w:r>
            <w:proofErr w:type="spellEnd"/>
            <w:r>
              <w:rPr>
                <w:lang w:val="pt-BR"/>
              </w:rPr>
              <w:t xml:space="preserve"> </w:t>
            </w:r>
            <w:proofErr w:type="spellStart"/>
            <w:r>
              <w:rPr>
                <w:lang w:val="pt-BR"/>
              </w:rPr>
              <w:t>Hoff</w:t>
            </w:r>
            <w:proofErr w:type="spellEnd"/>
            <w:r>
              <w:rPr>
                <w:lang w:val="pt-BR"/>
              </w:rPr>
              <w:t xml:space="preserve"> </w:t>
            </w:r>
            <w:proofErr w:type="spellStart"/>
            <w:r>
              <w:rPr>
                <w:lang w:val="pt-BR"/>
              </w:rPr>
              <w:t>linearized</w:t>
            </w:r>
            <w:proofErr w:type="spellEnd"/>
            <w:r>
              <w:rPr>
                <w:lang w:val="pt-BR"/>
              </w:rPr>
              <w:t xml:space="preserve"> </w:t>
            </w:r>
            <w:proofErr w:type="spellStart"/>
            <w:r>
              <w:rPr>
                <w:lang w:val="pt-BR"/>
              </w:rPr>
              <w:t>equation</w:t>
            </w:r>
            <w:proofErr w:type="spellEnd"/>
          </w:p>
        </w:tc>
        <w:tc>
          <w:tcPr>
            <w:tcW w:w="2835" w:type="dxa"/>
            <w:shd w:val="clear" w:color="auto" w:fill="FFFFFF"/>
            <w:vAlign w:val="center"/>
          </w:tcPr>
          <w:p w:rsidR="00093237" w:rsidRPr="00882F04" w:rsidRDefault="007E574C" w:rsidP="00882F04">
            <w:pPr>
              <w:pStyle w:val="CETBodytext"/>
              <w:jc w:val="left"/>
              <w:rPr>
                <w:lang w:val="pt-BR"/>
              </w:rPr>
            </w:pPr>
            <m:oMathPara>
              <m:oMath>
                <m:sSub>
                  <m:sSubPr>
                    <m:ctrlPr>
                      <w:rPr>
                        <w:rFonts w:ascii="Cambria Math" w:hAnsi="Cambria Math"/>
                        <w:i/>
                        <w:lang w:val="pt-BR"/>
                      </w:rPr>
                    </m:ctrlPr>
                  </m:sSubPr>
                  <m:e>
                    <m:func>
                      <m:funcPr>
                        <m:ctrlPr>
                          <w:rPr>
                            <w:rFonts w:ascii="Cambria Math" w:hAnsi="Cambria Math"/>
                            <w:i/>
                            <w:lang w:val="pt-BR"/>
                          </w:rPr>
                        </m:ctrlPr>
                      </m:funcPr>
                      <m:fName>
                        <m:r>
                          <m:rPr>
                            <m:sty m:val="p"/>
                          </m:rPr>
                          <w:rPr>
                            <w:rFonts w:ascii="Cambria Math" w:hAnsi="Cambria Math"/>
                            <w:lang w:val="pt-BR"/>
                          </w:rPr>
                          <m:t>ln</m:t>
                        </m:r>
                      </m:fName>
                      <m:e>
                        <m:r>
                          <w:rPr>
                            <w:rFonts w:ascii="Cambria Math" w:hAnsi="Cambria Math"/>
                            <w:lang w:val="pt-BR"/>
                          </w:rPr>
                          <m:t>k</m:t>
                        </m:r>
                      </m:e>
                    </m:func>
                  </m:e>
                  <m:sub>
                    <m:r>
                      <w:rPr>
                        <w:rFonts w:ascii="Cambria Math" w:hAnsi="Cambria Math"/>
                        <w:lang w:val="pt-BR"/>
                      </w:rPr>
                      <m:t>d</m:t>
                    </m:r>
                  </m:sub>
                </m:sSub>
                <m:r>
                  <w:rPr>
                    <w:rFonts w:ascii="Cambria Math" w:hAnsi="Cambria Math"/>
                    <w:lang w:val="pt-BR"/>
                  </w:rPr>
                  <m:t>=</m:t>
                </m:r>
                <m:f>
                  <m:fPr>
                    <m:ctrlPr>
                      <w:rPr>
                        <w:rFonts w:ascii="Cambria Math" w:hAnsi="Cambria Math"/>
                        <w:i/>
                        <w:lang w:val="pt-BR"/>
                      </w:rPr>
                    </m:ctrlPr>
                  </m:fPr>
                  <m:num>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H</m:t>
                        </m:r>
                      </m:e>
                      <m:sub>
                        <m:r>
                          <w:rPr>
                            <w:rFonts w:ascii="Cambria Math" w:hAnsi="Cambria Math"/>
                            <w:lang w:val="pt-BR"/>
                          </w:rPr>
                          <m:t>ads</m:t>
                        </m:r>
                      </m:sub>
                      <m:sup>
                        <m:r>
                          <w:rPr>
                            <w:rFonts w:ascii="Cambria Math" w:hAnsi="Cambria Math"/>
                            <w:lang w:val="pt-BR"/>
                          </w:rPr>
                          <m:t>°</m:t>
                        </m:r>
                      </m:sup>
                    </m:sSubSup>
                  </m:num>
                  <m:den>
                    <m:r>
                      <w:rPr>
                        <w:rFonts w:ascii="Cambria Math" w:hAnsi="Cambria Math"/>
                        <w:lang w:val="pt-BR"/>
                      </w:rPr>
                      <m:t>R</m:t>
                    </m:r>
                  </m:den>
                </m:f>
                <m:f>
                  <m:fPr>
                    <m:ctrlPr>
                      <w:rPr>
                        <w:rFonts w:ascii="Cambria Math" w:hAnsi="Cambria Math"/>
                        <w:i/>
                        <w:lang w:val="pt-BR"/>
                      </w:rPr>
                    </m:ctrlPr>
                  </m:fPr>
                  <m:num>
                    <m:r>
                      <w:rPr>
                        <w:rFonts w:ascii="Cambria Math" w:hAnsi="Cambria Math"/>
                        <w:lang w:val="pt-BR"/>
                      </w:rPr>
                      <m:t>1</m:t>
                    </m:r>
                  </m:num>
                  <m:den>
                    <m:r>
                      <w:rPr>
                        <w:rFonts w:ascii="Cambria Math" w:hAnsi="Cambria Math"/>
                        <w:lang w:val="pt-BR"/>
                      </w:rPr>
                      <m:t>T</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S</m:t>
                        </m:r>
                      </m:e>
                      <m:sub>
                        <m:r>
                          <w:rPr>
                            <w:rFonts w:ascii="Cambria Math" w:hAnsi="Cambria Math"/>
                            <w:lang w:val="pt-BR"/>
                          </w:rPr>
                          <m:t>ads</m:t>
                        </m:r>
                      </m:sub>
                      <m:sup>
                        <m:r>
                          <w:rPr>
                            <w:rFonts w:ascii="Cambria Math" w:hAnsi="Cambria Math"/>
                            <w:lang w:val="pt-BR"/>
                          </w:rPr>
                          <m:t>°</m:t>
                        </m:r>
                      </m:sup>
                    </m:sSubSup>
                  </m:num>
                  <m:den>
                    <m:r>
                      <w:rPr>
                        <w:rFonts w:ascii="Cambria Math" w:hAnsi="Cambria Math"/>
                        <w:lang w:val="pt-BR"/>
                      </w:rPr>
                      <m:t>R</m:t>
                    </m:r>
                  </m:den>
                </m:f>
              </m:oMath>
            </m:oMathPara>
          </w:p>
        </w:tc>
        <w:tc>
          <w:tcPr>
            <w:tcW w:w="1560" w:type="dxa"/>
            <w:shd w:val="clear" w:color="auto" w:fill="FFFFFF"/>
            <w:vAlign w:val="center"/>
          </w:tcPr>
          <w:p w:rsidR="00093237" w:rsidRPr="00882F04" w:rsidRDefault="00093237" w:rsidP="00882F04">
            <w:pPr>
              <w:pStyle w:val="CETBodytext"/>
              <w:jc w:val="left"/>
              <w:rPr>
                <w:lang w:val="pt-BR"/>
              </w:rPr>
            </w:pPr>
            <w:r>
              <w:rPr>
                <w:lang w:val="pt-BR"/>
              </w:rPr>
              <w:t>(3)</w:t>
            </w:r>
          </w:p>
        </w:tc>
        <w:tc>
          <w:tcPr>
            <w:tcW w:w="1303" w:type="dxa"/>
            <w:vMerge w:val="restart"/>
            <w:shd w:val="clear" w:color="auto" w:fill="FFFFFF"/>
            <w:vAlign w:val="center"/>
          </w:tcPr>
          <w:p w:rsidR="00093237" w:rsidRPr="00882F04" w:rsidRDefault="00093237" w:rsidP="00882F04">
            <w:pPr>
              <w:pStyle w:val="CETBodytext"/>
              <w:ind w:right="-1"/>
              <w:jc w:val="left"/>
              <w:rPr>
                <w:rFonts w:cs="Arial"/>
                <w:szCs w:val="18"/>
                <w:lang w:val="pt-BR"/>
              </w:rPr>
            </w:pPr>
            <m:oMath>
              <m:r>
                <w:rPr>
                  <w:rFonts w:ascii="Cambria Math" w:hAnsi="Cambria Math" w:cs="Arial"/>
                  <w:szCs w:val="18"/>
                  <w:lang w:val="pt-BR"/>
                </w:rPr>
                <m:t xml:space="preserve">ln </m:t>
              </m:r>
              <m:sSub>
                <m:sSubPr>
                  <m:ctrlPr>
                    <w:rPr>
                      <w:rFonts w:ascii="Cambria Math" w:hAnsi="Cambria Math" w:cs="Arial"/>
                      <w:i/>
                      <w:szCs w:val="18"/>
                      <w:lang w:val="pt-BR"/>
                    </w:rPr>
                  </m:ctrlPr>
                </m:sSubPr>
                <m:e>
                  <m:r>
                    <w:rPr>
                      <w:rFonts w:ascii="Cambria Math" w:hAnsi="Cambria Math" w:cs="Arial"/>
                      <w:szCs w:val="18"/>
                      <w:lang w:val="pt-BR"/>
                    </w:rPr>
                    <m:t>k</m:t>
                  </m:r>
                </m:e>
                <m:sub>
                  <m:r>
                    <w:rPr>
                      <w:rFonts w:ascii="Cambria Math" w:hAnsi="Cambria Math" w:cs="Arial"/>
                      <w:szCs w:val="18"/>
                      <w:lang w:val="pt-BR"/>
                    </w:rPr>
                    <m:t>d</m:t>
                  </m:r>
                </m:sub>
              </m:sSub>
            </m:oMath>
            <w:r>
              <w:rPr>
                <w:rFonts w:cs="Arial"/>
                <w:szCs w:val="18"/>
                <w:lang w:val="pt-BR"/>
              </w:rPr>
              <w:t xml:space="preserve"> </w:t>
            </w:r>
            <w:r>
              <w:rPr>
                <w:rFonts w:cs="Arial"/>
                <w:i/>
                <w:szCs w:val="18"/>
                <w:lang w:val="pt-BR"/>
              </w:rPr>
              <w:t>vs.</w:t>
            </w:r>
            <w:r>
              <w:rPr>
                <w:rFonts w:cs="Arial"/>
                <w:szCs w:val="18"/>
                <w:lang w:val="pt-BR"/>
              </w:rPr>
              <w:t xml:space="preserve"> </w:t>
            </w:r>
            <m:oMath>
              <m:f>
                <m:fPr>
                  <m:ctrlPr>
                    <w:rPr>
                      <w:rFonts w:ascii="Cambria Math" w:hAnsi="Cambria Math" w:cs="Arial"/>
                      <w:i/>
                      <w:szCs w:val="18"/>
                      <w:lang w:val="pt-BR"/>
                    </w:rPr>
                  </m:ctrlPr>
                </m:fPr>
                <m:num>
                  <m:r>
                    <w:rPr>
                      <w:rFonts w:ascii="Cambria Math" w:hAnsi="Cambria Math" w:cs="Arial"/>
                      <w:szCs w:val="18"/>
                      <w:lang w:val="pt-BR"/>
                    </w:rPr>
                    <m:t>1</m:t>
                  </m:r>
                </m:num>
                <m:den>
                  <m:r>
                    <w:rPr>
                      <w:rFonts w:ascii="Cambria Math" w:hAnsi="Cambria Math" w:cs="Arial"/>
                      <w:szCs w:val="18"/>
                      <w:lang w:val="pt-BR"/>
                    </w:rPr>
                    <m:t>T</m:t>
                  </m:r>
                </m:den>
              </m:f>
            </m:oMath>
          </w:p>
        </w:tc>
      </w:tr>
      <w:tr w:rsidR="00093237" w:rsidRPr="00882F04" w:rsidTr="005B0E78">
        <w:trPr>
          <w:trHeight w:val="684"/>
          <w:jc w:val="center"/>
        </w:trPr>
        <w:tc>
          <w:tcPr>
            <w:tcW w:w="2835" w:type="dxa"/>
            <w:shd w:val="clear" w:color="auto" w:fill="FFFFFF"/>
            <w:vAlign w:val="center"/>
          </w:tcPr>
          <w:p w:rsidR="00093237" w:rsidRPr="00882F04" w:rsidRDefault="007F2A53" w:rsidP="00882F04">
            <w:pPr>
              <w:pStyle w:val="CETBodytext"/>
              <w:jc w:val="left"/>
              <w:rPr>
                <w:lang w:val="pt-BR"/>
              </w:rPr>
            </w:pPr>
            <w:proofErr w:type="spellStart"/>
            <w:r>
              <w:rPr>
                <w:lang w:val="pt-BR"/>
              </w:rPr>
              <w:t>Sorption</w:t>
            </w:r>
            <w:proofErr w:type="spellEnd"/>
            <w:r>
              <w:rPr>
                <w:lang w:val="pt-BR"/>
              </w:rPr>
              <w:t xml:space="preserve"> </w:t>
            </w:r>
            <w:proofErr w:type="spellStart"/>
            <w:r>
              <w:rPr>
                <w:lang w:val="pt-BR"/>
              </w:rPr>
              <w:t>equilibrium</w:t>
            </w:r>
            <w:proofErr w:type="spellEnd"/>
            <w:r>
              <w:rPr>
                <w:lang w:val="pt-BR"/>
              </w:rPr>
              <w:t xml:space="preserve"> </w:t>
            </w:r>
            <w:proofErr w:type="spellStart"/>
            <w:r>
              <w:rPr>
                <w:lang w:val="pt-BR"/>
              </w:rPr>
              <w:t>constant</w:t>
            </w:r>
            <w:proofErr w:type="spellEnd"/>
          </w:p>
        </w:tc>
        <w:tc>
          <w:tcPr>
            <w:tcW w:w="2835" w:type="dxa"/>
            <w:shd w:val="clear" w:color="auto" w:fill="FFFFFF"/>
            <w:vAlign w:val="center"/>
          </w:tcPr>
          <w:p w:rsidR="00093237" w:rsidRPr="00882F04" w:rsidRDefault="007E574C" w:rsidP="00882F04">
            <w:pPr>
              <w:pStyle w:val="CETBodytext"/>
              <w:jc w:val="left"/>
              <w:rPr>
                <w:lang w:val="pt-BR"/>
              </w:rPr>
            </w:pPr>
            <m:oMathPara>
              <m:oMath>
                <m:sSub>
                  <m:sSubPr>
                    <m:ctrlPr>
                      <w:rPr>
                        <w:rFonts w:ascii="Cambria Math" w:hAnsi="Cambria Math"/>
                        <w:i/>
                        <w:lang w:val="pt-BR"/>
                      </w:rPr>
                    </m:ctrlPr>
                  </m:sSubPr>
                  <m:e>
                    <m:r>
                      <w:rPr>
                        <w:rFonts w:ascii="Cambria Math" w:hAnsi="Cambria Math"/>
                        <w:lang w:val="pt-BR"/>
                      </w:rPr>
                      <m:t>k</m:t>
                    </m:r>
                  </m:e>
                  <m:sub>
                    <m:r>
                      <w:rPr>
                        <w:rFonts w:ascii="Cambria Math" w:hAnsi="Cambria Math"/>
                        <w:lang w:val="pt-BR"/>
                      </w:rPr>
                      <m:t>d</m:t>
                    </m:r>
                  </m:sub>
                </m:sSub>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e</m:t>
                        </m:r>
                      </m:sub>
                    </m:sSub>
                  </m:num>
                  <m:den>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e</m:t>
                        </m:r>
                      </m:sub>
                    </m:sSub>
                  </m:den>
                </m:f>
              </m:oMath>
            </m:oMathPara>
          </w:p>
        </w:tc>
        <w:tc>
          <w:tcPr>
            <w:tcW w:w="1560" w:type="dxa"/>
            <w:shd w:val="clear" w:color="auto" w:fill="FFFFFF"/>
            <w:vAlign w:val="center"/>
          </w:tcPr>
          <w:p w:rsidR="00093237" w:rsidRPr="00882F04" w:rsidRDefault="00093237" w:rsidP="00882F04">
            <w:pPr>
              <w:pStyle w:val="CETBodytext"/>
              <w:jc w:val="left"/>
              <w:rPr>
                <w:lang w:val="pt-BR"/>
              </w:rPr>
            </w:pPr>
            <w:r>
              <w:rPr>
                <w:lang w:val="pt-BR"/>
              </w:rPr>
              <w:t>(4)</w:t>
            </w:r>
          </w:p>
        </w:tc>
        <w:tc>
          <w:tcPr>
            <w:tcW w:w="1303" w:type="dxa"/>
            <w:vMerge/>
            <w:shd w:val="clear" w:color="auto" w:fill="FFFFFF"/>
            <w:vAlign w:val="center"/>
          </w:tcPr>
          <w:p w:rsidR="00093237" w:rsidRPr="00882F04" w:rsidRDefault="00093237" w:rsidP="00882F04">
            <w:pPr>
              <w:pStyle w:val="CETBodytext"/>
              <w:ind w:right="-1"/>
              <w:jc w:val="left"/>
              <w:rPr>
                <w:rFonts w:cs="Arial"/>
                <w:szCs w:val="18"/>
                <w:lang w:val="pt-BR"/>
              </w:rPr>
            </w:pPr>
          </w:p>
        </w:tc>
      </w:tr>
      <w:tr w:rsidR="00093237" w:rsidRPr="00882F04" w:rsidTr="005B0E78">
        <w:trPr>
          <w:trHeight w:val="471"/>
          <w:jc w:val="center"/>
        </w:trPr>
        <w:tc>
          <w:tcPr>
            <w:tcW w:w="2835" w:type="dxa"/>
            <w:shd w:val="clear" w:color="auto" w:fill="FFFFFF"/>
            <w:vAlign w:val="center"/>
          </w:tcPr>
          <w:p w:rsidR="00093237" w:rsidRPr="00882F04" w:rsidRDefault="007F2A53" w:rsidP="00882F04">
            <w:pPr>
              <w:pStyle w:val="CETBodytext"/>
              <w:ind w:right="-1"/>
              <w:jc w:val="left"/>
              <w:rPr>
                <w:rFonts w:cs="Arial"/>
                <w:szCs w:val="18"/>
                <w:lang w:val="pt-BR"/>
              </w:rPr>
            </w:pPr>
            <w:proofErr w:type="spellStart"/>
            <w:r>
              <w:rPr>
                <w:rFonts w:cs="Arial"/>
                <w:szCs w:val="18"/>
                <w:lang w:val="pt-BR"/>
              </w:rPr>
              <w:t>Thermodynamic</w:t>
            </w:r>
            <w:proofErr w:type="spellEnd"/>
            <w:r>
              <w:rPr>
                <w:rFonts w:cs="Arial"/>
                <w:szCs w:val="18"/>
                <w:lang w:val="pt-BR"/>
              </w:rPr>
              <w:t xml:space="preserve"> </w:t>
            </w:r>
            <w:proofErr w:type="spellStart"/>
            <w:r>
              <w:rPr>
                <w:rFonts w:cs="Arial"/>
                <w:szCs w:val="18"/>
                <w:lang w:val="pt-BR"/>
              </w:rPr>
              <w:t>relation</w:t>
            </w:r>
            <w:proofErr w:type="spellEnd"/>
          </w:p>
        </w:tc>
        <w:tc>
          <w:tcPr>
            <w:tcW w:w="2835" w:type="dxa"/>
            <w:shd w:val="clear" w:color="auto" w:fill="FFFFFF"/>
            <w:vAlign w:val="center"/>
          </w:tcPr>
          <w:p w:rsidR="00093237" w:rsidRPr="00882F04" w:rsidRDefault="005B0E78" w:rsidP="00882F04">
            <w:pPr>
              <w:pStyle w:val="CETBodytext"/>
              <w:ind w:right="-1"/>
              <w:jc w:val="left"/>
              <w:rPr>
                <w:rFonts w:cs="Arial"/>
                <w:szCs w:val="18"/>
                <w:lang w:val="pt-BR"/>
              </w:rPr>
            </w:pPr>
            <m:oMathPara>
              <m:oMath>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G</m:t>
                    </m:r>
                  </m:e>
                  <m:sub>
                    <m:r>
                      <w:rPr>
                        <w:rFonts w:ascii="Cambria Math" w:hAnsi="Cambria Math"/>
                        <w:lang w:val="pt-BR"/>
                      </w:rPr>
                      <m:t>ads</m:t>
                    </m:r>
                  </m:sub>
                  <m:sup>
                    <m:r>
                      <w:rPr>
                        <w:rFonts w:ascii="Cambria Math" w:hAnsi="Cambria Math"/>
                        <w:lang w:val="pt-BR"/>
                      </w:rPr>
                      <m:t>°</m:t>
                    </m:r>
                  </m:sup>
                </m:sSubSup>
                <m:r>
                  <w:rPr>
                    <w:rFonts w:ascii="Cambria Math" w:hAnsi="Cambria Math" w:cs="Arial"/>
                    <w:lang w:val="pt-BR"/>
                  </w:rPr>
                  <m:t>=-RT</m:t>
                </m:r>
                <m:func>
                  <m:funcPr>
                    <m:ctrlPr>
                      <w:rPr>
                        <w:rFonts w:ascii="Cambria Math" w:hAnsi="Cambria Math" w:cs="Arial"/>
                        <w:i/>
                        <w:lang w:val="pt-BR"/>
                      </w:rPr>
                    </m:ctrlPr>
                  </m:funcPr>
                  <m:fName>
                    <m:r>
                      <m:rPr>
                        <m:sty m:val="p"/>
                      </m:rPr>
                      <w:rPr>
                        <w:rFonts w:ascii="Cambria Math" w:hAnsi="Cambria Math" w:cs="Arial"/>
                        <w:lang w:val="pt-BR"/>
                      </w:rPr>
                      <m:t>ln</m:t>
                    </m:r>
                  </m:fName>
                  <m:e>
                    <m:sSub>
                      <m:sSubPr>
                        <m:ctrlPr>
                          <w:rPr>
                            <w:rFonts w:ascii="Cambria Math" w:hAnsi="Cambria Math" w:cs="Arial"/>
                            <w:i/>
                            <w:lang w:val="pt-BR"/>
                          </w:rPr>
                        </m:ctrlPr>
                      </m:sSubPr>
                      <m:e>
                        <m:r>
                          <w:rPr>
                            <w:rFonts w:ascii="Cambria Math" w:hAnsi="Cambria Math" w:cs="Arial"/>
                            <w:lang w:val="pt-BR"/>
                          </w:rPr>
                          <m:t>k</m:t>
                        </m:r>
                      </m:e>
                      <m:sub>
                        <m:r>
                          <w:rPr>
                            <w:rFonts w:ascii="Cambria Math" w:hAnsi="Cambria Math" w:cs="Arial"/>
                            <w:lang w:val="pt-BR"/>
                          </w:rPr>
                          <m:t>d</m:t>
                        </m:r>
                      </m:sub>
                    </m:sSub>
                  </m:e>
                </m:func>
              </m:oMath>
            </m:oMathPara>
          </w:p>
        </w:tc>
        <w:tc>
          <w:tcPr>
            <w:tcW w:w="1560" w:type="dxa"/>
            <w:shd w:val="clear" w:color="auto" w:fill="FFFFFF"/>
            <w:vAlign w:val="center"/>
          </w:tcPr>
          <w:p w:rsidR="00093237" w:rsidRPr="00882F04" w:rsidRDefault="00093237" w:rsidP="00882F04">
            <w:pPr>
              <w:pStyle w:val="CETBodytext"/>
              <w:ind w:right="-1"/>
              <w:jc w:val="left"/>
              <w:rPr>
                <w:rFonts w:cs="Arial"/>
                <w:szCs w:val="18"/>
                <w:lang w:val="pt-BR"/>
              </w:rPr>
            </w:pPr>
            <w:r>
              <w:rPr>
                <w:rFonts w:cs="Arial"/>
                <w:szCs w:val="18"/>
                <w:lang w:val="pt-BR"/>
              </w:rPr>
              <w:t>(5)</w:t>
            </w:r>
          </w:p>
        </w:tc>
        <w:tc>
          <w:tcPr>
            <w:tcW w:w="1303" w:type="dxa"/>
            <w:vMerge/>
            <w:shd w:val="clear" w:color="auto" w:fill="FFFFFF"/>
            <w:vAlign w:val="center"/>
          </w:tcPr>
          <w:p w:rsidR="00093237" w:rsidRPr="00882F04" w:rsidRDefault="00093237" w:rsidP="00882F04">
            <w:pPr>
              <w:pStyle w:val="CETBodytext"/>
              <w:ind w:right="-1"/>
              <w:jc w:val="left"/>
              <w:rPr>
                <w:rFonts w:cs="Arial"/>
                <w:szCs w:val="18"/>
                <w:lang w:val="pt-BR"/>
              </w:rPr>
            </w:pPr>
          </w:p>
        </w:tc>
      </w:tr>
    </w:tbl>
    <w:p w:rsidR="00882F04" w:rsidRPr="00882F04" w:rsidRDefault="00882F04" w:rsidP="00882F04">
      <w:pPr>
        <w:pStyle w:val="CETBodytext"/>
        <w:rPr>
          <w:lang w:val="pt-BR"/>
        </w:rPr>
      </w:pPr>
    </w:p>
    <w:p w:rsidR="00ED05F7" w:rsidRDefault="00ED05F7" w:rsidP="00575AD7">
      <w:pPr>
        <w:pStyle w:val="CETBodytext"/>
      </w:pPr>
      <w:r w:rsidRPr="00ED05F7">
        <w:t>Being T the temperature (K) and R the universal constant</w:t>
      </w:r>
      <w:r w:rsidR="00174E0C">
        <w:t xml:space="preserve"> of gases (8.</w:t>
      </w:r>
      <w:r>
        <w:t>314 J</w:t>
      </w:r>
      <w:r w:rsidRPr="00ED05F7">
        <w:t xml:space="preserve"> mol</w:t>
      </w:r>
      <w:r w:rsidRPr="00ED05F7">
        <w:rPr>
          <w:vertAlign w:val="superscript"/>
        </w:rPr>
        <w:t>-1</w:t>
      </w:r>
      <w:r w:rsidRPr="00ED05F7">
        <w:t xml:space="preserve"> K</w:t>
      </w:r>
      <w:r w:rsidRPr="00ED05F7">
        <w:rPr>
          <w:vertAlign w:val="superscript"/>
        </w:rPr>
        <w:t>-1</w:t>
      </w:r>
      <w:r w:rsidRPr="00ED05F7">
        <w:t>).</w:t>
      </w:r>
      <w:r w:rsidR="00CA4B72">
        <w:t xml:space="preserve"> The amount of</w:t>
      </w:r>
      <w:r>
        <w:t xml:space="preserve"> sorbate</w:t>
      </w:r>
      <w:r w:rsidR="00CA4B72">
        <w:t xml:space="preserve"> removed</w:t>
      </w:r>
      <w:r>
        <w:t xml:space="preserve"> and the </w:t>
      </w:r>
      <w:r w:rsidR="00CA4B72">
        <w:t xml:space="preserve">dye </w:t>
      </w:r>
      <w:r>
        <w:t xml:space="preserve">concentration </w:t>
      </w:r>
      <w:r w:rsidR="008277FE">
        <w:t xml:space="preserve">remaining in the fluid phase </w:t>
      </w:r>
      <w:r w:rsidR="00CA4B72" w:rsidRPr="00CA4B72">
        <w:t>(</w:t>
      </w:r>
      <w:proofErr w:type="spellStart"/>
      <w:r w:rsidR="00CA4B72" w:rsidRPr="00CA4B72">
        <w:t>q</w:t>
      </w:r>
      <w:r w:rsidR="00CA4B72" w:rsidRPr="00CA4B72">
        <w:rPr>
          <w:vertAlign w:val="subscript"/>
        </w:rPr>
        <w:t>e</w:t>
      </w:r>
      <w:proofErr w:type="spellEnd"/>
      <w:r w:rsidR="00CA4B72" w:rsidRPr="00CA4B72">
        <w:t xml:space="preserve"> e </w:t>
      </w:r>
      <w:proofErr w:type="spellStart"/>
      <w:r w:rsidR="00CA4B72" w:rsidRPr="00CA4B72">
        <w:t>C</w:t>
      </w:r>
      <w:r w:rsidR="00CA4B72" w:rsidRPr="00CA4B72">
        <w:rPr>
          <w:vertAlign w:val="subscript"/>
        </w:rPr>
        <w:t>e</w:t>
      </w:r>
      <w:proofErr w:type="spellEnd"/>
      <w:r w:rsidR="00CA4B72" w:rsidRPr="00CA4B72">
        <w:t>,</w:t>
      </w:r>
      <w:r w:rsidR="00CA4B72">
        <w:t xml:space="preserve"> respectively) corresponding to the </w:t>
      </w:r>
      <w:r w:rsidR="00CA4B72">
        <w:lastRenderedPageBreak/>
        <w:t>equilibrium time can be seen in Table 2.</w:t>
      </w:r>
      <w:r w:rsidR="00E84DEA">
        <w:t xml:space="preserve"> The calculated thermodynamic parameters are also shown in this table.</w:t>
      </w:r>
    </w:p>
    <w:p w:rsidR="00174E0C" w:rsidRPr="00CA4B72" w:rsidRDefault="00174E0C" w:rsidP="00575AD7">
      <w:pPr>
        <w:pStyle w:val="CETBodytext"/>
      </w:pPr>
    </w:p>
    <w:p w:rsidR="00356F20" w:rsidRPr="00174E0C" w:rsidRDefault="00356F20" w:rsidP="00356F20">
      <w:pPr>
        <w:pStyle w:val="CETTabletitle"/>
        <w:rPr>
          <w:lang w:val="en-US"/>
        </w:rPr>
      </w:pPr>
      <w:r w:rsidRPr="00174E0C">
        <w:rPr>
          <w:lang w:val="en-US"/>
        </w:rPr>
        <w:t xml:space="preserve">Table </w:t>
      </w:r>
      <w:r w:rsidR="007E574C">
        <w:fldChar w:fldCharType="begin"/>
      </w:r>
      <w:r w:rsidRPr="00174E0C">
        <w:rPr>
          <w:lang w:val="en-US"/>
        </w:rPr>
        <w:instrText xml:space="preserve"> SEQ Table \* ARABIC </w:instrText>
      </w:r>
      <w:r w:rsidR="007E574C">
        <w:fldChar w:fldCharType="separate"/>
      </w:r>
      <w:r w:rsidRPr="00174E0C">
        <w:rPr>
          <w:noProof/>
          <w:lang w:val="en-US"/>
        </w:rPr>
        <w:t>2</w:t>
      </w:r>
      <w:r w:rsidR="007E574C">
        <w:fldChar w:fldCharType="end"/>
      </w:r>
      <w:r w:rsidRPr="00174E0C">
        <w:rPr>
          <w:lang w:val="en-US"/>
        </w:rPr>
        <w:t xml:space="preserve">: </w:t>
      </w:r>
      <w:r w:rsidR="00E84DEA" w:rsidRPr="00174E0C">
        <w:rPr>
          <w:lang w:val="en-US"/>
        </w:rPr>
        <w:t>Equilibrium and thermodynamic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421"/>
        <w:gridCol w:w="911"/>
        <w:gridCol w:w="974"/>
        <w:gridCol w:w="817"/>
        <w:gridCol w:w="1362"/>
        <w:gridCol w:w="1645"/>
        <w:gridCol w:w="1405"/>
      </w:tblGrid>
      <w:tr w:rsidR="00575AD7" w:rsidRPr="00B57B36" w:rsidTr="00575AD7">
        <w:trPr>
          <w:trHeight w:val="271"/>
        </w:trPr>
        <w:tc>
          <w:tcPr>
            <w:tcW w:w="1421" w:type="dxa"/>
            <w:tcBorders>
              <w:top w:val="single" w:sz="12" w:space="0" w:color="008000"/>
              <w:bottom w:val="single" w:sz="6" w:space="0" w:color="008000"/>
            </w:tcBorders>
            <w:shd w:val="clear" w:color="auto" w:fill="FFFFFF"/>
          </w:tcPr>
          <w:p w:rsidR="00575AD7" w:rsidRPr="00B57B36" w:rsidRDefault="00E84DEA" w:rsidP="00DF67BA">
            <w:pPr>
              <w:pStyle w:val="CETBodytext"/>
              <w:rPr>
                <w:lang w:val="en-GB"/>
              </w:rPr>
            </w:pPr>
            <w:r>
              <w:rPr>
                <w:lang w:val="en-GB"/>
              </w:rPr>
              <w:t>Temperature</w:t>
            </w:r>
            <w:r w:rsidR="00575AD7">
              <w:rPr>
                <w:lang w:val="en-GB"/>
              </w:rPr>
              <w:t xml:space="preserve"> (K)</w:t>
            </w:r>
          </w:p>
        </w:tc>
        <w:tc>
          <w:tcPr>
            <w:tcW w:w="911" w:type="dxa"/>
            <w:tcBorders>
              <w:top w:val="single" w:sz="12" w:space="0" w:color="008000"/>
              <w:bottom w:val="single" w:sz="6" w:space="0" w:color="008000"/>
            </w:tcBorders>
            <w:shd w:val="clear" w:color="auto" w:fill="FFFFFF"/>
          </w:tcPr>
          <w:p w:rsidR="00575AD7" w:rsidRPr="00575AD7" w:rsidRDefault="00575AD7" w:rsidP="00DF67BA">
            <w:pPr>
              <w:pStyle w:val="CETBodytext"/>
              <w:rPr>
                <w:vertAlign w:val="subscript"/>
                <w:lang w:val="en-GB"/>
              </w:rPr>
            </w:pPr>
            <w:proofErr w:type="spellStart"/>
            <w:r>
              <w:rPr>
                <w:lang w:val="en-GB"/>
              </w:rPr>
              <w:t>q</w:t>
            </w:r>
            <w:r>
              <w:rPr>
                <w:vertAlign w:val="subscript"/>
                <w:lang w:val="en-GB"/>
              </w:rPr>
              <w:t>e</w:t>
            </w:r>
            <w:proofErr w:type="spellEnd"/>
            <w:r w:rsidRPr="00575AD7">
              <w:rPr>
                <w:lang w:val="en-GB"/>
              </w:rPr>
              <w:t xml:space="preserve"> (mg g</w:t>
            </w:r>
            <w:r w:rsidRPr="00575AD7">
              <w:rPr>
                <w:vertAlign w:val="superscript"/>
                <w:lang w:val="en-GB"/>
              </w:rPr>
              <w:t>-1</w:t>
            </w:r>
            <w:r w:rsidRPr="00575AD7">
              <w:rPr>
                <w:lang w:val="en-GB"/>
              </w:rPr>
              <w:t>)</w:t>
            </w:r>
          </w:p>
        </w:tc>
        <w:tc>
          <w:tcPr>
            <w:tcW w:w="974" w:type="dxa"/>
            <w:tcBorders>
              <w:top w:val="single" w:sz="12" w:space="0" w:color="008000"/>
              <w:bottom w:val="single" w:sz="6" w:space="0" w:color="008000"/>
            </w:tcBorders>
            <w:shd w:val="clear" w:color="auto" w:fill="FFFFFF"/>
          </w:tcPr>
          <w:p w:rsidR="00575AD7" w:rsidRPr="00575AD7" w:rsidRDefault="00575AD7" w:rsidP="00DF67BA">
            <w:pPr>
              <w:pStyle w:val="CETBodytext"/>
              <w:rPr>
                <w:lang w:val="en-GB"/>
              </w:rPr>
            </w:pPr>
            <w:r>
              <w:rPr>
                <w:lang w:val="en-GB"/>
              </w:rPr>
              <w:t>C</w:t>
            </w:r>
            <w:r w:rsidRPr="00575AD7">
              <w:rPr>
                <w:vertAlign w:val="subscript"/>
                <w:lang w:val="en-GB"/>
              </w:rPr>
              <w:t>e</w:t>
            </w:r>
            <w:r>
              <w:rPr>
                <w:lang w:val="en-GB"/>
              </w:rPr>
              <w:t xml:space="preserve"> (mg L</w:t>
            </w:r>
            <w:r w:rsidRPr="00575AD7">
              <w:rPr>
                <w:vertAlign w:val="superscript"/>
                <w:lang w:val="en-GB"/>
              </w:rPr>
              <w:t>-1</w:t>
            </w:r>
            <w:r>
              <w:rPr>
                <w:lang w:val="en-GB"/>
              </w:rPr>
              <w:t>)</w:t>
            </w:r>
          </w:p>
        </w:tc>
        <w:tc>
          <w:tcPr>
            <w:tcW w:w="817" w:type="dxa"/>
            <w:tcBorders>
              <w:top w:val="single" w:sz="12" w:space="0" w:color="008000"/>
              <w:bottom w:val="single" w:sz="6" w:space="0" w:color="008000"/>
            </w:tcBorders>
            <w:shd w:val="clear" w:color="auto" w:fill="FFFFFF"/>
          </w:tcPr>
          <w:p w:rsidR="00575AD7" w:rsidRPr="00575AD7" w:rsidRDefault="00575AD7" w:rsidP="00DF67BA">
            <w:pPr>
              <w:pStyle w:val="CETBodytext"/>
              <w:ind w:right="-1"/>
              <w:rPr>
                <w:rFonts w:cs="Arial"/>
                <w:szCs w:val="18"/>
                <w:lang w:val="en-GB"/>
              </w:rPr>
            </w:pPr>
            <w:r>
              <w:rPr>
                <w:rFonts w:cs="Arial"/>
                <w:szCs w:val="18"/>
                <w:lang w:val="en-GB"/>
              </w:rPr>
              <w:t xml:space="preserve"> </w:t>
            </w:r>
            <w:proofErr w:type="spellStart"/>
            <w:r>
              <w:rPr>
                <w:rFonts w:cs="Arial"/>
                <w:szCs w:val="18"/>
                <w:lang w:val="en-GB"/>
              </w:rPr>
              <w:t>k</w:t>
            </w:r>
            <w:r w:rsidRPr="00575AD7">
              <w:rPr>
                <w:rFonts w:cs="Arial"/>
                <w:szCs w:val="18"/>
                <w:vertAlign w:val="subscript"/>
                <w:lang w:val="en-GB"/>
              </w:rPr>
              <w:t>d</w:t>
            </w:r>
            <w:proofErr w:type="spellEnd"/>
            <w:r>
              <w:rPr>
                <w:rFonts w:cs="Arial"/>
                <w:szCs w:val="18"/>
                <w:vertAlign w:val="subscript"/>
                <w:lang w:val="en-GB"/>
              </w:rPr>
              <w:t xml:space="preserve"> </w:t>
            </w:r>
            <w:r>
              <w:rPr>
                <w:rFonts w:cs="Arial"/>
                <w:szCs w:val="18"/>
                <w:lang w:val="en-GB"/>
              </w:rPr>
              <w:t>(L g</w:t>
            </w:r>
            <w:r w:rsidRPr="00575AD7">
              <w:rPr>
                <w:rFonts w:cs="Arial"/>
                <w:szCs w:val="18"/>
                <w:vertAlign w:val="superscript"/>
                <w:lang w:val="en-GB"/>
              </w:rPr>
              <w:t>-1</w:t>
            </w:r>
            <w:r>
              <w:rPr>
                <w:rFonts w:cs="Arial"/>
                <w:szCs w:val="18"/>
                <w:lang w:val="en-GB"/>
              </w:rPr>
              <w:t>)</w:t>
            </w:r>
          </w:p>
        </w:tc>
        <w:tc>
          <w:tcPr>
            <w:tcW w:w="1362" w:type="dxa"/>
            <w:tcBorders>
              <w:top w:val="single" w:sz="12" w:space="0" w:color="008000"/>
              <w:bottom w:val="single" w:sz="6" w:space="0" w:color="008000"/>
            </w:tcBorders>
            <w:shd w:val="clear" w:color="auto" w:fill="FFFFFF"/>
          </w:tcPr>
          <w:p w:rsidR="00575AD7" w:rsidRPr="00575AD7" w:rsidRDefault="00575AD7" w:rsidP="00DF67BA">
            <w:pPr>
              <w:pStyle w:val="CETBodytext"/>
              <w:ind w:right="-1"/>
              <w:rPr>
                <w:rFonts w:cs="Arial"/>
                <w:szCs w:val="18"/>
                <w:vertAlign w:val="subscript"/>
                <w:lang w:val="en-GB"/>
              </w:rPr>
            </w:pPr>
            <w:proofErr w:type="spellStart"/>
            <w:r>
              <w:rPr>
                <w:rFonts w:cs="Arial"/>
                <w:szCs w:val="18"/>
                <w:lang w:val="en-GB"/>
              </w:rPr>
              <w:t>ΔH°</w:t>
            </w:r>
            <w:r w:rsidRPr="00575AD7">
              <w:rPr>
                <w:rFonts w:cs="Arial"/>
                <w:szCs w:val="18"/>
                <w:vertAlign w:val="subscript"/>
                <w:lang w:val="en-GB"/>
              </w:rPr>
              <w:t>ads</w:t>
            </w:r>
            <w:proofErr w:type="spellEnd"/>
            <w:r>
              <w:rPr>
                <w:rFonts w:cs="Arial"/>
                <w:szCs w:val="18"/>
                <w:vertAlign w:val="subscript"/>
                <w:lang w:val="en-GB"/>
              </w:rPr>
              <w:t xml:space="preserve"> </w:t>
            </w:r>
            <w:r>
              <w:rPr>
                <w:rFonts w:cs="Arial"/>
                <w:szCs w:val="18"/>
                <w:lang w:val="en-GB"/>
              </w:rPr>
              <w:t>(kJ mol</w:t>
            </w:r>
            <w:r w:rsidRPr="00575AD7">
              <w:rPr>
                <w:rFonts w:cs="Arial"/>
                <w:szCs w:val="18"/>
                <w:vertAlign w:val="superscript"/>
                <w:lang w:val="en-GB"/>
              </w:rPr>
              <w:t>-1</w:t>
            </w:r>
            <w:r>
              <w:rPr>
                <w:rFonts w:cs="Arial"/>
                <w:szCs w:val="18"/>
                <w:lang w:val="en-GB"/>
              </w:rPr>
              <w:t>)</w:t>
            </w:r>
          </w:p>
        </w:tc>
        <w:tc>
          <w:tcPr>
            <w:tcW w:w="1645" w:type="dxa"/>
            <w:tcBorders>
              <w:top w:val="single" w:sz="12" w:space="0" w:color="008000"/>
              <w:bottom w:val="single" w:sz="6" w:space="0" w:color="008000"/>
            </w:tcBorders>
            <w:shd w:val="clear" w:color="auto" w:fill="FFFFFF"/>
          </w:tcPr>
          <w:p w:rsidR="00575AD7" w:rsidRPr="00575AD7" w:rsidRDefault="00575AD7" w:rsidP="00DF67BA">
            <w:pPr>
              <w:pStyle w:val="CETBodytext"/>
              <w:ind w:right="-1"/>
              <w:rPr>
                <w:rFonts w:cs="Arial"/>
                <w:szCs w:val="18"/>
                <w:lang w:val="en-GB"/>
              </w:rPr>
            </w:pPr>
            <w:proofErr w:type="spellStart"/>
            <w:r>
              <w:rPr>
                <w:rFonts w:cs="Arial"/>
                <w:szCs w:val="18"/>
                <w:lang w:val="en-GB"/>
              </w:rPr>
              <w:t>ΔS°</w:t>
            </w:r>
            <w:r w:rsidRPr="00575AD7">
              <w:rPr>
                <w:rFonts w:cs="Arial"/>
                <w:szCs w:val="18"/>
                <w:vertAlign w:val="subscript"/>
                <w:lang w:val="en-GB"/>
              </w:rPr>
              <w:t>ads</w:t>
            </w:r>
            <w:proofErr w:type="spellEnd"/>
            <w:r>
              <w:rPr>
                <w:rFonts w:cs="Arial"/>
                <w:szCs w:val="18"/>
                <w:vertAlign w:val="subscript"/>
                <w:lang w:val="en-GB"/>
              </w:rPr>
              <w:t xml:space="preserve"> </w:t>
            </w:r>
            <w:r>
              <w:rPr>
                <w:rFonts w:cs="Arial"/>
                <w:szCs w:val="18"/>
                <w:lang w:val="en-GB"/>
              </w:rPr>
              <w:t>(kJ mol</w:t>
            </w:r>
            <w:r w:rsidRPr="00575AD7">
              <w:rPr>
                <w:rFonts w:cs="Arial"/>
                <w:szCs w:val="18"/>
                <w:vertAlign w:val="superscript"/>
                <w:lang w:val="en-GB"/>
              </w:rPr>
              <w:t>-1</w:t>
            </w:r>
            <w:r>
              <w:rPr>
                <w:rFonts w:cs="Arial"/>
                <w:szCs w:val="18"/>
                <w:vertAlign w:val="superscript"/>
                <w:lang w:val="en-GB"/>
              </w:rPr>
              <w:t xml:space="preserve"> </w:t>
            </w:r>
            <w:r>
              <w:rPr>
                <w:rFonts w:cs="Arial"/>
                <w:szCs w:val="18"/>
                <w:lang w:val="en-GB"/>
              </w:rPr>
              <w:t>K</w:t>
            </w:r>
            <w:r w:rsidRPr="00575AD7">
              <w:rPr>
                <w:rFonts w:cs="Arial"/>
                <w:szCs w:val="18"/>
                <w:vertAlign w:val="superscript"/>
                <w:lang w:val="en-GB"/>
              </w:rPr>
              <w:t>-1</w:t>
            </w:r>
            <w:r>
              <w:rPr>
                <w:rFonts w:cs="Arial"/>
                <w:szCs w:val="18"/>
                <w:lang w:val="en-GB"/>
              </w:rPr>
              <w:t>)</w:t>
            </w:r>
          </w:p>
        </w:tc>
        <w:tc>
          <w:tcPr>
            <w:tcW w:w="1405" w:type="dxa"/>
            <w:tcBorders>
              <w:top w:val="single" w:sz="12" w:space="0" w:color="008000"/>
              <w:bottom w:val="single" w:sz="6" w:space="0" w:color="008000"/>
            </w:tcBorders>
            <w:shd w:val="clear" w:color="auto" w:fill="FFFFFF"/>
          </w:tcPr>
          <w:p w:rsidR="00575AD7" w:rsidRPr="00575AD7" w:rsidRDefault="00575AD7" w:rsidP="00DF67BA">
            <w:pPr>
              <w:pStyle w:val="CETBodytext"/>
              <w:ind w:right="-1"/>
              <w:rPr>
                <w:rFonts w:cs="Arial"/>
                <w:szCs w:val="18"/>
                <w:lang w:val="en-GB"/>
              </w:rPr>
            </w:pPr>
            <w:proofErr w:type="spellStart"/>
            <w:r>
              <w:rPr>
                <w:rFonts w:cs="Arial"/>
                <w:szCs w:val="18"/>
                <w:lang w:val="en-GB"/>
              </w:rPr>
              <w:t>ΔG°</w:t>
            </w:r>
            <w:r w:rsidRPr="00575AD7">
              <w:rPr>
                <w:rFonts w:cs="Arial"/>
                <w:szCs w:val="18"/>
                <w:vertAlign w:val="subscript"/>
                <w:lang w:val="en-GB"/>
              </w:rPr>
              <w:t>ads</w:t>
            </w:r>
            <w:proofErr w:type="spellEnd"/>
            <w:r>
              <w:rPr>
                <w:rFonts w:cs="Arial"/>
                <w:szCs w:val="18"/>
                <w:vertAlign w:val="subscript"/>
                <w:lang w:val="en-GB"/>
              </w:rPr>
              <w:t xml:space="preserve"> </w:t>
            </w:r>
            <w:r>
              <w:rPr>
                <w:rFonts w:cs="Arial"/>
                <w:szCs w:val="18"/>
                <w:lang w:val="en-GB"/>
              </w:rPr>
              <w:t>(kJ mol</w:t>
            </w:r>
            <w:r w:rsidRPr="00575AD7">
              <w:rPr>
                <w:rFonts w:cs="Arial"/>
                <w:szCs w:val="18"/>
                <w:vertAlign w:val="superscript"/>
                <w:lang w:val="en-GB"/>
              </w:rPr>
              <w:t>-1</w:t>
            </w:r>
            <w:r>
              <w:rPr>
                <w:rFonts w:cs="Arial"/>
                <w:szCs w:val="18"/>
                <w:lang w:val="en-GB"/>
              </w:rPr>
              <w:t>)</w:t>
            </w:r>
          </w:p>
        </w:tc>
      </w:tr>
      <w:tr w:rsidR="00356F20" w:rsidRPr="00B57B36" w:rsidTr="00F93807">
        <w:trPr>
          <w:trHeight w:val="271"/>
        </w:trPr>
        <w:tc>
          <w:tcPr>
            <w:tcW w:w="1421" w:type="dxa"/>
            <w:shd w:val="clear" w:color="auto" w:fill="auto"/>
          </w:tcPr>
          <w:p w:rsidR="00356F20" w:rsidRPr="00E84DEA" w:rsidRDefault="00F93807" w:rsidP="00DF67BA">
            <w:pPr>
              <w:pStyle w:val="CETBodytext"/>
              <w:rPr>
                <w:highlight w:val="yellow"/>
                <w:lang w:val="en-GB"/>
              </w:rPr>
            </w:pPr>
            <w:r w:rsidRPr="00F93807">
              <w:rPr>
                <w:lang w:val="en-GB"/>
              </w:rPr>
              <w:t>303.15</w:t>
            </w:r>
          </w:p>
        </w:tc>
        <w:tc>
          <w:tcPr>
            <w:tcW w:w="911" w:type="dxa"/>
            <w:shd w:val="clear" w:color="auto" w:fill="FFFFFF"/>
          </w:tcPr>
          <w:p w:rsidR="00356F20" w:rsidRPr="00B57B36" w:rsidRDefault="00356F20" w:rsidP="00DF67BA">
            <w:pPr>
              <w:pStyle w:val="CETBodytext"/>
              <w:rPr>
                <w:lang w:val="en-GB"/>
              </w:rPr>
            </w:pPr>
            <w:r>
              <w:rPr>
                <w:lang w:val="en-GB"/>
              </w:rPr>
              <w:t>11.1315</w:t>
            </w:r>
          </w:p>
        </w:tc>
        <w:tc>
          <w:tcPr>
            <w:tcW w:w="974" w:type="dxa"/>
            <w:shd w:val="clear" w:color="auto" w:fill="FFFFFF"/>
          </w:tcPr>
          <w:p w:rsidR="00356F20" w:rsidRPr="00B57B36" w:rsidRDefault="00356F20" w:rsidP="00DF67BA">
            <w:pPr>
              <w:pStyle w:val="CETBodytext"/>
              <w:rPr>
                <w:lang w:val="en-GB"/>
              </w:rPr>
            </w:pPr>
            <w:r>
              <w:rPr>
                <w:lang w:val="en-GB"/>
              </w:rPr>
              <w:t>7.8691</w:t>
            </w:r>
          </w:p>
        </w:tc>
        <w:tc>
          <w:tcPr>
            <w:tcW w:w="817"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1.41</w:t>
            </w:r>
          </w:p>
        </w:tc>
        <w:tc>
          <w:tcPr>
            <w:tcW w:w="1362" w:type="dxa"/>
            <w:vMerge w:val="restart"/>
            <w:shd w:val="clear" w:color="auto" w:fill="FFFFFF"/>
            <w:vAlign w:val="center"/>
          </w:tcPr>
          <w:p w:rsidR="00356F20" w:rsidRPr="00B57B36" w:rsidRDefault="00356F20" w:rsidP="00356F20">
            <w:pPr>
              <w:pStyle w:val="CETBodytext"/>
              <w:ind w:right="-1"/>
              <w:jc w:val="left"/>
              <w:rPr>
                <w:rFonts w:cs="Arial"/>
                <w:szCs w:val="18"/>
                <w:lang w:val="en-GB"/>
              </w:rPr>
            </w:pPr>
            <w:r>
              <w:rPr>
                <w:rFonts w:cs="Arial"/>
                <w:szCs w:val="18"/>
                <w:lang w:val="en-GB"/>
              </w:rPr>
              <w:t>13.3822</w:t>
            </w:r>
          </w:p>
        </w:tc>
        <w:tc>
          <w:tcPr>
            <w:tcW w:w="1645" w:type="dxa"/>
            <w:vMerge w:val="restart"/>
            <w:shd w:val="clear" w:color="auto" w:fill="FFFFFF"/>
            <w:vAlign w:val="center"/>
          </w:tcPr>
          <w:p w:rsidR="00356F20" w:rsidRPr="00B57B36" w:rsidRDefault="00356F20" w:rsidP="00356F20">
            <w:pPr>
              <w:pStyle w:val="CETBodytext"/>
              <w:ind w:right="-1"/>
              <w:jc w:val="left"/>
              <w:rPr>
                <w:rFonts w:cs="Arial"/>
                <w:szCs w:val="18"/>
                <w:lang w:val="en-GB"/>
              </w:rPr>
            </w:pPr>
            <w:r>
              <w:rPr>
                <w:rFonts w:cs="Arial"/>
                <w:szCs w:val="18"/>
                <w:lang w:val="en-GB"/>
              </w:rPr>
              <w:t>0.0468</w:t>
            </w:r>
          </w:p>
        </w:tc>
        <w:tc>
          <w:tcPr>
            <w:tcW w:w="1405"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-874.15</w:t>
            </w:r>
          </w:p>
        </w:tc>
      </w:tr>
      <w:tr w:rsidR="00356F20" w:rsidRPr="00B57B36" w:rsidTr="00575AD7">
        <w:trPr>
          <w:trHeight w:val="289"/>
        </w:trPr>
        <w:tc>
          <w:tcPr>
            <w:tcW w:w="1421" w:type="dxa"/>
            <w:shd w:val="clear" w:color="auto" w:fill="FFFFFF"/>
          </w:tcPr>
          <w:p w:rsidR="00356F20" w:rsidRPr="00E84DEA" w:rsidRDefault="00F93807" w:rsidP="00DF67BA">
            <w:pPr>
              <w:pStyle w:val="CETBodytext"/>
              <w:rPr>
                <w:highlight w:val="yellow"/>
                <w:lang w:val="en-GB"/>
              </w:rPr>
            </w:pPr>
            <w:r w:rsidRPr="00F93807">
              <w:rPr>
                <w:lang w:val="en-GB"/>
              </w:rPr>
              <w:t>313.15</w:t>
            </w:r>
          </w:p>
        </w:tc>
        <w:tc>
          <w:tcPr>
            <w:tcW w:w="911" w:type="dxa"/>
            <w:shd w:val="clear" w:color="auto" w:fill="FFFFFF"/>
          </w:tcPr>
          <w:p w:rsidR="00356F20" w:rsidRPr="00B57B36" w:rsidRDefault="00356F20" w:rsidP="00DF67BA">
            <w:pPr>
              <w:pStyle w:val="CETBodytext"/>
              <w:rPr>
                <w:lang w:val="en-GB"/>
              </w:rPr>
            </w:pPr>
            <w:r>
              <w:rPr>
                <w:lang w:val="en-GB"/>
              </w:rPr>
              <w:t>11.2874</w:t>
            </w:r>
          </w:p>
        </w:tc>
        <w:tc>
          <w:tcPr>
            <w:tcW w:w="974" w:type="dxa"/>
            <w:shd w:val="clear" w:color="auto" w:fill="FFFFFF"/>
          </w:tcPr>
          <w:p w:rsidR="00356F20" w:rsidRPr="00B57B36" w:rsidRDefault="00356F20" w:rsidP="00DF67BA">
            <w:pPr>
              <w:pStyle w:val="CETBodytext"/>
              <w:rPr>
                <w:lang w:val="en-GB"/>
              </w:rPr>
            </w:pPr>
            <w:r>
              <w:rPr>
                <w:lang w:val="en-GB"/>
              </w:rPr>
              <w:t>7.1626</w:t>
            </w:r>
          </w:p>
        </w:tc>
        <w:tc>
          <w:tcPr>
            <w:tcW w:w="817"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1.58</w:t>
            </w:r>
          </w:p>
        </w:tc>
        <w:tc>
          <w:tcPr>
            <w:tcW w:w="1362" w:type="dxa"/>
            <w:vMerge/>
            <w:shd w:val="clear" w:color="auto" w:fill="FFFFFF"/>
          </w:tcPr>
          <w:p w:rsidR="00356F20" w:rsidRPr="00B57B36" w:rsidRDefault="00356F20" w:rsidP="00DF67BA">
            <w:pPr>
              <w:pStyle w:val="CETBodytext"/>
              <w:ind w:right="-1"/>
              <w:rPr>
                <w:rFonts w:cs="Arial"/>
                <w:szCs w:val="18"/>
                <w:lang w:val="en-GB"/>
              </w:rPr>
            </w:pPr>
          </w:p>
        </w:tc>
        <w:tc>
          <w:tcPr>
            <w:tcW w:w="1645" w:type="dxa"/>
            <w:vMerge/>
            <w:shd w:val="clear" w:color="auto" w:fill="FFFFFF"/>
          </w:tcPr>
          <w:p w:rsidR="00356F20" w:rsidRPr="00B57B36" w:rsidRDefault="00356F20" w:rsidP="00DF67BA">
            <w:pPr>
              <w:pStyle w:val="CETBodytext"/>
              <w:ind w:right="-1"/>
              <w:rPr>
                <w:rFonts w:cs="Arial"/>
                <w:szCs w:val="18"/>
                <w:lang w:val="en-GB"/>
              </w:rPr>
            </w:pPr>
          </w:p>
        </w:tc>
        <w:tc>
          <w:tcPr>
            <w:tcW w:w="1405"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-1184.12</w:t>
            </w:r>
          </w:p>
        </w:tc>
      </w:tr>
      <w:tr w:rsidR="00356F20" w:rsidRPr="00B57B36" w:rsidTr="00575AD7">
        <w:trPr>
          <w:trHeight w:val="271"/>
        </w:trPr>
        <w:tc>
          <w:tcPr>
            <w:tcW w:w="1421" w:type="dxa"/>
            <w:shd w:val="clear" w:color="auto" w:fill="FFFFFF"/>
          </w:tcPr>
          <w:p w:rsidR="00356F20" w:rsidRPr="00E84DEA" w:rsidRDefault="00F93807" w:rsidP="00DF67BA">
            <w:pPr>
              <w:pStyle w:val="CETBodytext"/>
              <w:ind w:right="-1"/>
              <w:rPr>
                <w:rFonts w:cs="Arial"/>
                <w:szCs w:val="18"/>
                <w:highlight w:val="yellow"/>
                <w:lang w:val="en-GB"/>
              </w:rPr>
            </w:pPr>
            <w:r w:rsidRPr="00F93807">
              <w:rPr>
                <w:rFonts w:cs="Arial"/>
                <w:szCs w:val="18"/>
                <w:lang w:val="en-GB"/>
              </w:rPr>
              <w:t>323.15</w:t>
            </w:r>
          </w:p>
        </w:tc>
        <w:tc>
          <w:tcPr>
            <w:tcW w:w="911"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11.4652</w:t>
            </w:r>
          </w:p>
        </w:tc>
        <w:tc>
          <w:tcPr>
            <w:tcW w:w="974"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5.8272</w:t>
            </w:r>
          </w:p>
        </w:tc>
        <w:tc>
          <w:tcPr>
            <w:tcW w:w="817"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1.97</w:t>
            </w:r>
          </w:p>
        </w:tc>
        <w:tc>
          <w:tcPr>
            <w:tcW w:w="1362" w:type="dxa"/>
            <w:vMerge/>
            <w:shd w:val="clear" w:color="auto" w:fill="FFFFFF"/>
          </w:tcPr>
          <w:p w:rsidR="00356F20" w:rsidRPr="00B57B36" w:rsidRDefault="00356F20" w:rsidP="00DF67BA">
            <w:pPr>
              <w:pStyle w:val="CETBodytext"/>
              <w:ind w:right="-1"/>
              <w:rPr>
                <w:rFonts w:cs="Arial"/>
                <w:szCs w:val="18"/>
                <w:lang w:val="en-GB"/>
              </w:rPr>
            </w:pPr>
          </w:p>
        </w:tc>
        <w:tc>
          <w:tcPr>
            <w:tcW w:w="1645" w:type="dxa"/>
            <w:vMerge/>
            <w:shd w:val="clear" w:color="auto" w:fill="FFFFFF"/>
          </w:tcPr>
          <w:p w:rsidR="00356F20" w:rsidRPr="00B57B36" w:rsidRDefault="00356F20" w:rsidP="00DF67BA">
            <w:pPr>
              <w:pStyle w:val="CETBodytext"/>
              <w:ind w:right="-1"/>
              <w:rPr>
                <w:rFonts w:cs="Arial"/>
                <w:szCs w:val="18"/>
                <w:lang w:val="en-GB"/>
              </w:rPr>
            </w:pPr>
          </w:p>
        </w:tc>
        <w:tc>
          <w:tcPr>
            <w:tcW w:w="1405" w:type="dxa"/>
            <w:shd w:val="clear" w:color="auto" w:fill="FFFFFF"/>
          </w:tcPr>
          <w:p w:rsidR="00356F20" w:rsidRPr="00B57B36" w:rsidRDefault="00356F20" w:rsidP="00DF67BA">
            <w:pPr>
              <w:pStyle w:val="CETBodytext"/>
              <w:ind w:right="-1"/>
              <w:rPr>
                <w:rFonts w:cs="Arial"/>
                <w:szCs w:val="18"/>
                <w:lang w:val="en-GB"/>
              </w:rPr>
            </w:pPr>
            <w:r>
              <w:rPr>
                <w:rFonts w:cs="Arial"/>
                <w:szCs w:val="18"/>
                <w:lang w:val="en-GB"/>
              </w:rPr>
              <w:t>-1818.27</w:t>
            </w:r>
          </w:p>
        </w:tc>
      </w:tr>
    </w:tbl>
    <w:p w:rsidR="00575AD7" w:rsidRDefault="00575AD7" w:rsidP="00575AD7">
      <w:pPr>
        <w:pStyle w:val="CETBodytext"/>
        <w:rPr>
          <w:lang w:val="pt-BR"/>
        </w:rPr>
      </w:pPr>
    </w:p>
    <w:p w:rsidR="001102E6" w:rsidRPr="001102E6" w:rsidRDefault="00E84DEA" w:rsidP="00356F20">
      <w:pPr>
        <w:pStyle w:val="CETBodytext"/>
      </w:pPr>
      <w:r w:rsidRPr="00E84DEA">
        <w:t>According to the results, the positive value of the enthalpy indicates th</w:t>
      </w:r>
      <w:r w:rsidR="00174E0C">
        <w:t xml:space="preserve">at the </w:t>
      </w:r>
      <w:proofErr w:type="spellStart"/>
      <w:r w:rsidR="00174E0C">
        <w:t>biosorption</w:t>
      </w:r>
      <w:proofErr w:type="spellEnd"/>
      <w:r w:rsidR="00174E0C">
        <w:t xml:space="preserve"> </w:t>
      </w:r>
      <w:proofErr w:type="spellStart"/>
      <w:r w:rsidR="00174E0C">
        <w:t>ocurred</w:t>
      </w:r>
      <w:proofErr w:type="spellEnd"/>
      <w:r w:rsidR="00174E0C">
        <w:t xml:space="preserve"> by an</w:t>
      </w:r>
      <w:r w:rsidRPr="00E84DEA">
        <w:t xml:space="preserve"> endothermic process, that is, the increase in temperature favored the removal. T</w:t>
      </w:r>
      <w:r>
        <w:t xml:space="preserve">he positive value for entropy indicates that the distribution of </w:t>
      </w:r>
      <w:proofErr w:type="spellStart"/>
      <w:r>
        <w:t>sorvate</w:t>
      </w:r>
      <w:proofErr w:type="spellEnd"/>
      <w:r>
        <w:t xml:space="preserve"> in the </w:t>
      </w:r>
      <w:proofErr w:type="spellStart"/>
      <w:r>
        <w:t>biosorbent</w:t>
      </w:r>
      <w:proofErr w:type="spellEnd"/>
      <w:r>
        <w:t xml:space="preserve"> (solid phase) is more </w:t>
      </w:r>
      <w:proofErr w:type="spellStart"/>
      <w:r>
        <w:t>disorded</w:t>
      </w:r>
      <w:proofErr w:type="spellEnd"/>
      <w:r>
        <w:t xml:space="preserve"> than the distribution in solution</w:t>
      </w:r>
      <w:r w:rsidR="00356F20" w:rsidRPr="001102E6">
        <w:t xml:space="preserve"> (</w:t>
      </w:r>
      <w:proofErr w:type="spellStart"/>
      <w:r w:rsidR="00356F20" w:rsidRPr="001102E6">
        <w:t>E</w:t>
      </w:r>
      <w:r w:rsidR="00C35BD9" w:rsidRPr="001102E6">
        <w:t>smaeli</w:t>
      </w:r>
      <w:proofErr w:type="spellEnd"/>
      <w:r w:rsidR="00356F20" w:rsidRPr="001102E6">
        <w:t xml:space="preserve"> et al., 2013; </w:t>
      </w:r>
      <w:r w:rsidR="00C35BD9" w:rsidRPr="001102E6">
        <w:t>G</w:t>
      </w:r>
      <w:r w:rsidR="001102E6">
        <w:t>upta and</w:t>
      </w:r>
      <w:r w:rsidR="00C35BD9" w:rsidRPr="001102E6">
        <w:t xml:space="preserve"> </w:t>
      </w:r>
      <w:proofErr w:type="spellStart"/>
      <w:r w:rsidR="00C35BD9" w:rsidRPr="001102E6">
        <w:t>Rastogi</w:t>
      </w:r>
      <w:proofErr w:type="spellEnd"/>
      <w:r w:rsidR="00356F20" w:rsidRPr="001102E6">
        <w:t xml:space="preserve">, 2008; </w:t>
      </w:r>
      <w:proofErr w:type="spellStart"/>
      <w:r w:rsidR="00356F20" w:rsidRPr="001102E6">
        <w:t>Q</w:t>
      </w:r>
      <w:r w:rsidR="00C35BD9" w:rsidRPr="001102E6">
        <w:t>aiser</w:t>
      </w:r>
      <w:proofErr w:type="spellEnd"/>
      <w:r w:rsidR="00C35BD9" w:rsidRPr="001102E6">
        <w:t xml:space="preserve"> et al.</w:t>
      </w:r>
      <w:r w:rsidR="00356F20" w:rsidRPr="001102E6">
        <w:t>, 2009).</w:t>
      </w:r>
      <w:r w:rsidR="001102E6">
        <w:t xml:space="preserve"> The </w:t>
      </w:r>
      <w:proofErr w:type="gramStart"/>
      <w:r w:rsidR="001102E6">
        <w:t>decrease of Gibbs free energy point</w:t>
      </w:r>
      <w:proofErr w:type="gramEnd"/>
      <w:r w:rsidR="001102E6">
        <w:t xml:space="preserve"> a spontaneous and favorable process, indicating that the biosorption does not require any external energy to occur (Paiva et al., 2014). In addition to these parameters, it is also possible to determine the activation energy, </w:t>
      </w:r>
      <w:r w:rsidR="001102E6" w:rsidRPr="001102E6">
        <w:t>E</w:t>
      </w:r>
      <w:r w:rsidR="001102E6" w:rsidRPr="00174E0C">
        <w:rPr>
          <w:vertAlign w:val="subscript"/>
        </w:rPr>
        <w:t>a</w:t>
      </w:r>
      <w:r w:rsidR="001102E6" w:rsidRPr="001102E6">
        <w:t xml:space="preserve"> (kJ mol</w:t>
      </w:r>
      <w:r w:rsidR="001102E6" w:rsidRPr="001102E6">
        <w:rPr>
          <w:vertAlign w:val="superscript"/>
        </w:rPr>
        <w:t>-1</w:t>
      </w:r>
      <w:r w:rsidR="001102E6" w:rsidRPr="001102E6">
        <w:t>),</w:t>
      </w:r>
      <w:r w:rsidR="001102E6">
        <w:t xml:space="preserve"> which refers to the minimum energy for sorption to occur. To determine it, it is necessary to use the </w:t>
      </w:r>
      <w:proofErr w:type="spellStart"/>
      <w:r w:rsidR="001102E6">
        <w:t>Arrehnius</w:t>
      </w:r>
      <w:proofErr w:type="spellEnd"/>
      <w:r w:rsidR="001102E6">
        <w:t xml:space="preserve"> equation and to have knowledge of the kinetic constants, </w:t>
      </w:r>
      <w:r w:rsidR="001102E6" w:rsidRPr="001102E6">
        <w:t>k (g mg</w:t>
      </w:r>
      <w:r w:rsidR="001102E6" w:rsidRPr="001102E6">
        <w:rPr>
          <w:vertAlign w:val="superscript"/>
        </w:rPr>
        <w:t>-1</w:t>
      </w:r>
      <w:r w:rsidR="001102E6" w:rsidRPr="001102E6">
        <w:t xml:space="preserve"> min</w:t>
      </w:r>
      <w:r w:rsidR="001102E6" w:rsidRPr="001102E6">
        <w:rPr>
          <w:vertAlign w:val="superscript"/>
        </w:rPr>
        <w:t>-1</w:t>
      </w:r>
      <w:r w:rsidR="001102E6" w:rsidRPr="001102E6">
        <w:t>),</w:t>
      </w:r>
      <w:r w:rsidR="001102E6">
        <w:t xml:space="preserve"> referring to each working temperature.</w:t>
      </w:r>
      <w:r w:rsidR="002B13E7">
        <w:t xml:space="preserve"> These constants</w:t>
      </w:r>
      <w:r w:rsidR="00BF448A">
        <w:t xml:space="preserve"> are obtained from the adjustment of kinetic models to the biosorption data at different contact times. For the removal of the YR-B2R dye by malt bagasse (under the same operating conditions presented in the present study) the biosorption rate is best represented by the kinetic model of pseudo-second order (</w:t>
      </w:r>
      <w:proofErr w:type="spellStart"/>
      <w:r w:rsidR="00BF448A">
        <w:t>Zanutto</w:t>
      </w:r>
      <w:proofErr w:type="spellEnd"/>
      <w:r w:rsidR="00BF448A">
        <w:t xml:space="preserve"> et al., 2015), which provides the kinetics constants shown in Table 3.</w:t>
      </w:r>
    </w:p>
    <w:p w:rsidR="00356F20" w:rsidRPr="00BF448A" w:rsidRDefault="00356F20" w:rsidP="00356F20">
      <w:pPr>
        <w:pStyle w:val="CETTabletitle"/>
        <w:rPr>
          <w:lang w:val="en-US"/>
        </w:rPr>
      </w:pPr>
      <w:r w:rsidRPr="00BF448A">
        <w:rPr>
          <w:lang w:val="en-US"/>
        </w:rPr>
        <w:t xml:space="preserve">Table </w:t>
      </w:r>
      <w:r w:rsidR="007E574C">
        <w:fldChar w:fldCharType="begin"/>
      </w:r>
      <w:r w:rsidRPr="00BF448A">
        <w:rPr>
          <w:lang w:val="en-US"/>
        </w:rPr>
        <w:instrText xml:space="preserve"> SEQ Table \* ARABIC </w:instrText>
      </w:r>
      <w:r w:rsidR="007E574C">
        <w:fldChar w:fldCharType="separate"/>
      </w:r>
      <w:r w:rsidRPr="00BF448A">
        <w:rPr>
          <w:noProof/>
          <w:lang w:val="en-US"/>
        </w:rPr>
        <w:t>3</w:t>
      </w:r>
      <w:r w:rsidR="007E574C">
        <w:fldChar w:fldCharType="end"/>
      </w:r>
      <w:r w:rsidRPr="00BF448A">
        <w:rPr>
          <w:lang w:val="en-US"/>
        </w:rPr>
        <w:t xml:space="preserve">: </w:t>
      </w:r>
      <w:r w:rsidR="00BF448A" w:rsidRPr="00BF448A">
        <w:rPr>
          <w:lang w:val="en-US"/>
        </w:rPr>
        <w:t>Kinetic constants and equation for the activation energy</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2185"/>
        <w:gridCol w:w="1316"/>
        <w:gridCol w:w="1316"/>
        <w:gridCol w:w="1316"/>
        <w:gridCol w:w="1318"/>
        <w:gridCol w:w="1316"/>
      </w:tblGrid>
      <w:tr w:rsidR="00356F20" w:rsidRPr="00B57B36" w:rsidTr="00356F20">
        <w:trPr>
          <w:trHeight w:val="238"/>
        </w:trPr>
        <w:tc>
          <w:tcPr>
            <w:tcW w:w="2185" w:type="dxa"/>
            <w:vMerge w:val="restart"/>
            <w:tcBorders>
              <w:top w:val="single" w:sz="12" w:space="0" w:color="008000"/>
            </w:tcBorders>
            <w:shd w:val="clear" w:color="auto" w:fill="FFFFFF"/>
            <w:vAlign w:val="center"/>
          </w:tcPr>
          <w:p w:rsidR="00356F20" w:rsidRPr="00B57B36" w:rsidRDefault="00356F20" w:rsidP="00356F20">
            <w:pPr>
              <w:pStyle w:val="CETBodytext"/>
              <w:jc w:val="left"/>
              <w:rPr>
                <w:lang w:val="en-GB"/>
              </w:rPr>
            </w:pPr>
            <w:r>
              <w:rPr>
                <w:lang w:val="en-GB"/>
              </w:rPr>
              <w:t>Arrhenius</w:t>
            </w:r>
            <w:r w:rsidR="00BF448A">
              <w:rPr>
                <w:lang w:val="en-GB"/>
              </w:rPr>
              <w:t xml:space="preserve"> equation</w:t>
            </w:r>
          </w:p>
        </w:tc>
        <w:tc>
          <w:tcPr>
            <w:tcW w:w="1316" w:type="dxa"/>
            <w:vMerge w:val="restart"/>
            <w:tcBorders>
              <w:top w:val="single" w:sz="12" w:space="0" w:color="008000"/>
            </w:tcBorders>
            <w:shd w:val="clear" w:color="auto" w:fill="FFFFFF"/>
            <w:vAlign w:val="center"/>
          </w:tcPr>
          <w:p w:rsidR="00356F20" w:rsidRPr="00B57B36" w:rsidRDefault="00356F20" w:rsidP="00BF448A">
            <w:pPr>
              <w:pStyle w:val="CETBodytext"/>
              <w:jc w:val="left"/>
              <w:rPr>
                <w:lang w:val="en-GB"/>
              </w:rPr>
            </w:pPr>
            <w:r>
              <w:rPr>
                <w:lang w:val="en-GB"/>
              </w:rPr>
              <w:t>Equa</w:t>
            </w:r>
            <w:r w:rsidR="00BF448A">
              <w:rPr>
                <w:lang w:val="en-GB"/>
              </w:rPr>
              <w:t>tion</w:t>
            </w:r>
          </w:p>
        </w:tc>
        <w:tc>
          <w:tcPr>
            <w:tcW w:w="3950" w:type="dxa"/>
            <w:gridSpan w:val="3"/>
            <w:tcBorders>
              <w:top w:val="single" w:sz="12" w:space="0" w:color="008000"/>
              <w:bottom w:val="single" w:sz="6" w:space="0" w:color="008000"/>
            </w:tcBorders>
            <w:shd w:val="clear" w:color="auto" w:fill="FFFFFF"/>
            <w:vAlign w:val="center"/>
          </w:tcPr>
          <w:p w:rsidR="00356F20" w:rsidRPr="00B57B36" w:rsidRDefault="00F206C5" w:rsidP="00356F20">
            <w:pPr>
              <w:pStyle w:val="CETBodytext"/>
              <w:ind w:right="-1"/>
              <w:jc w:val="center"/>
              <w:rPr>
                <w:rFonts w:cs="Arial"/>
                <w:szCs w:val="18"/>
                <w:lang w:val="en-GB"/>
              </w:rPr>
            </w:pPr>
            <w:r>
              <w:rPr>
                <w:lang w:val="en-GB"/>
              </w:rPr>
              <w:t>k</w:t>
            </w:r>
            <w:r w:rsidR="00356F20">
              <w:rPr>
                <w:lang w:val="en-GB"/>
              </w:rPr>
              <w:t xml:space="preserve"> (g mg</w:t>
            </w:r>
            <w:r w:rsidR="00356F20" w:rsidRPr="00356F20">
              <w:rPr>
                <w:vertAlign w:val="superscript"/>
                <w:lang w:val="en-GB"/>
              </w:rPr>
              <w:t>-1</w:t>
            </w:r>
            <w:r w:rsidR="00356F20">
              <w:rPr>
                <w:lang w:val="en-GB"/>
              </w:rPr>
              <w:t xml:space="preserve"> min</w:t>
            </w:r>
            <w:r w:rsidR="00356F20" w:rsidRPr="00356F20">
              <w:rPr>
                <w:vertAlign w:val="superscript"/>
                <w:lang w:val="en-GB"/>
              </w:rPr>
              <w:t>-1</w:t>
            </w:r>
            <w:r w:rsidR="00356F20">
              <w:rPr>
                <w:lang w:val="en-GB"/>
              </w:rPr>
              <w:t>)</w:t>
            </w:r>
          </w:p>
        </w:tc>
        <w:tc>
          <w:tcPr>
            <w:tcW w:w="1316" w:type="dxa"/>
            <w:vMerge w:val="restart"/>
            <w:tcBorders>
              <w:top w:val="single" w:sz="12" w:space="0" w:color="008000"/>
            </w:tcBorders>
            <w:shd w:val="clear" w:color="auto" w:fill="FFFFFF"/>
            <w:vAlign w:val="center"/>
          </w:tcPr>
          <w:p w:rsidR="00356F20" w:rsidRPr="00742DFE" w:rsidRDefault="00356F20" w:rsidP="00356F20">
            <w:pPr>
              <w:pStyle w:val="CETBodytext"/>
              <w:ind w:right="-1"/>
              <w:jc w:val="left"/>
              <w:rPr>
                <w:rFonts w:cs="Arial"/>
                <w:szCs w:val="18"/>
                <w:lang w:val="en-GB"/>
              </w:rPr>
            </w:pPr>
            <w:r w:rsidRPr="00742DFE">
              <w:rPr>
                <w:rFonts w:cs="Arial"/>
                <w:szCs w:val="18"/>
                <w:lang w:val="en-GB"/>
              </w:rPr>
              <w:t>Plot</w:t>
            </w:r>
          </w:p>
        </w:tc>
      </w:tr>
      <w:tr w:rsidR="00356F20" w:rsidRPr="00B57B36" w:rsidTr="00356F20">
        <w:trPr>
          <w:trHeight w:val="270"/>
        </w:trPr>
        <w:tc>
          <w:tcPr>
            <w:tcW w:w="2185" w:type="dxa"/>
            <w:vMerge/>
            <w:tcBorders>
              <w:bottom w:val="single" w:sz="6" w:space="0" w:color="008000"/>
            </w:tcBorders>
            <w:shd w:val="clear" w:color="auto" w:fill="FFFFFF"/>
            <w:vAlign w:val="center"/>
          </w:tcPr>
          <w:p w:rsidR="00356F20" w:rsidRDefault="00356F20" w:rsidP="00356F20">
            <w:pPr>
              <w:pStyle w:val="CETBodytext"/>
              <w:jc w:val="left"/>
              <w:rPr>
                <w:lang w:val="en-GB"/>
              </w:rPr>
            </w:pPr>
          </w:p>
        </w:tc>
        <w:tc>
          <w:tcPr>
            <w:tcW w:w="1316" w:type="dxa"/>
            <w:vMerge/>
            <w:tcBorders>
              <w:bottom w:val="single" w:sz="6" w:space="0" w:color="008000"/>
            </w:tcBorders>
            <w:shd w:val="clear" w:color="auto" w:fill="FFFFFF"/>
            <w:vAlign w:val="center"/>
          </w:tcPr>
          <w:p w:rsidR="00356F20" w:rsidRDefault="00356F20" w:rsidP="00356F20">
            <w:pPr>
              <w:pStyle w:val="CETBodytext"/>
              <w:jc w:val="left"/>
              <w:rPr>
                <w:lang w:val="en-GB"/>
              </w:rPr>
            </w:pPr>
          </w:p>
        </w:tc>
        <w:tc>
          <w:tcPr>
            <w:tcW w:w="1316" w:type="dxa"/>
            <w:tcBorders>
              <w:top w:val="single" w:sz="12" w:space="0" w:color="008000"/>
              <w:bottom w:val="single" w:sz="6" w:space="0" w:color="008000"/>
            </w:tcBorders>
            <w:shd w:val="clear" w:color="auto" w:fill="FFFFFF"/>
            <w:vAlign w:val="center"/>
          </w:tcPr>
          <w:p w:rsidR="00356F20" w:rsidRPr="00F93807" w:rsidRDefault="001428A5" w:rsidP="00356F20">
            <w:pPr>
              <w:pStyle w:val="CETBodytext"/>
              <w:jc w:val="left"/>
              <w:rPr>
                <w:lang w:val="en-GB"/>
              </w:rPr>
            </w:pPr>
            <w:r w:rsidRPr="00F93807">
              <w:rPr>
                <w:lang w:val="en-GB"/>
              </w:rPr>
              <w:t>303.15</w:t>
            </w:r>
            <w:r w:rsidR="00356F20" w:rsidRPr="00F93807">
              <w:rPr>
                <w:lang w:val="en-GB"/>
              </w:rPr>
              <w:t xml:space="preserve"> K</w:t>
            </w:r>
          </w:p>
        </w:tc>
        <w:tc>
          <w:tcPr>
            <w:tcW w:w="1316" w:type="dxa"/>
            <w:tcBorders>
              <w:top w:val="single" w:sz="12" w:space="0" w:color="008000"/>
              <w:bottom w:val="single" w:sz="6" w:space="0" w:color="008000"/>
            </w:tcBorders>
            <w:shd w:val="clear" w:color="auto" w:fill="FFFFFF"/>
            <w:vAlign w:val="center"/>
          </w:tcPr>
          <w:p w:rsidR="00356F20" w:rsidRPr="00F93807" w:rsidRDefault="001428A5" w:rsidP="00356F20">
            <w:pPr>
              <w:pStyle w:val="CETBodytext"/>
              <w:ind w:right="-1"/>
              <w:jc w:val="left"/>
              <w:rPr>
                <w:rFonts w:cs="Arial"/>
                <w:szCs w:val="18"/>
                <w:lang w:val="en-GB"/>
              </w:rPr>
            </w:pPr>
            <w:r w:rsidRPr="00F93807">
              <w:rPr>
                <w:rFonts w:cs="Arial"/>
                <w:szCs w:val="18"/>
                <w:lang w:val="en-GB"/>
              </w:rPr>
              <w:t>313.15</w:t>
            </w:r>
            <w:r w:rsidR="00356F20" w:rsidRPr="00F93807">
              <w:rPr>
                <w:rFonts w:cs="Arial"/>
                <w:szCs w:val="18"/>
                <w:lang w:val="en-GB"/>
              </w:rPr>
              <w:t xml:space="preserve"> K</w:t>
            </w:r>
          </w:p>
        </w:tc>
        <w:tc>
          <w:tcPr>
            <w:tcW w:w="1318" w:type="dxa"/>
            <w:tcBorders>
              <w:top w:val="single" w:sz="12" w:space="0" w:color="008000"/>
              <w:bottom w:val="single" w:sz="6" w:space="0" w:color="008000"/>
            </w:tcBorders>
            <w:shd w:val="clear" w:color="auto" w:fill="FFFFFF"/>
            <w:vAlign w:val="center"/>
          </w:tcPr>
          <w:p w:rsidR="00356F20" w:rsidRPr="00F93807" w:rsidRDefault="001428A5" w:rsidP="00356F20">
            <w:pPr>
              <w:pStyle w:val="CETBodytext"/>
              <w:ind w:right="-1"/>
              <w:jc w:val="left"/>
              <w:rPr>
                <w:rFonts w:cs="Arial"/>
                <w:szCs w:val="18"/>
                <w:lang w:val="en-GB"/>
              </w:rPr>
            </w:pPr>
            <w:r w:rsidRPr="00F93807">
              <w:rPr>
                <w:rFonts w:cs="Arial"/>
                <w:szCs w:val="18"/>
                <w:lang w:val="en-GB"/>
              </w:rPr>
              <w:t>323.15</w:t>
            </w:r>
            <w:r w:rsidR="00356F20" w:rsidRPr="00F93807">
              <w:rPr>
                <w:rFonts w:cs="Arial"/>
                <w:szCs w:val="18"/>
                <w:lang w:val="en-GB"/>
              </w:rPr>
              <w:t xml:space="preserve"> K</w:t>
            </w:r>
          </w:p>
        </w:tc>
        <w:tc>
          <w:tcPr>
            <w:tcW w:w="1316" w:type="dxa"/>
            <w:vMerge/>
            <w:tcBorders>
              <w:bottom w:val="single" w:sz="6" w:space="0" w:color="008000"/>
            </w:tcBorders>
            <w:shd w:val="clear" w:color="auto" w:fill="FFFFFF"/>
            <w:vAlign w:val="center"/>
          </w:tcPr>
          <w:p w:rsidR="00356F20" w:rsidRPr="00356F20" w:rsidRDefault="00356F20" w:rsidP="00356F20">
            <w:pPr>
              <w:pStyle w:val="CETBodytext"/>
              <w:ind w:right="-1"/>
              <w:jc w:val="left"/>
              <w:rPr>
                <w:rFonts w:cs="Arial"/>
                <w:i/>
                <w:szCs w:val="18"/>
                <w:lang w:val="en-GB"/>
              </w:rPr>
            </w:pPr>
          </w:p>
        </w:tc>
      </w:tr>
      <w:tr w:rsidR="00356F20" w:rsidRPr="00B57B36" w:rsidTr="00356F20">
        <w:trPr>
          <w:trHeight w:val="461"/>
        </w:trPr>
        <w:tc>
          <w:tcPr>
            <w:tcW w:w="2185" w:type="dxa"/>
            <w:shd w:val="clear" w:color="auto" w:fill="FFFFFF"/>
            <w:vAlign w:val="center"/>
          </w:tcPr>
          <w:p w:rsidR="00356F20" w:rsidRPr="00B57B36" w:rsidRDefault="007E574C" w:rsidP="00356F20">
            <w:pPr>
              <w:pStyle w:val="CETBodytext"/>
              <w:jc w:val="left"/>
              <w:rPr>
                <w:lang w:val="en-GB"/>
              </w:rPr>
            </w:pPr>
            <m:oMathPara>
              <m:oMathParaPr>
                <m:jc m:val="left"/>
              </m:oMathParaPr>
              <m:oMath>
                <m:func>
                  <m:funcPr>
                    <m:ctrlPr>
                      <w:rPr>
                        <w:rFonts w:ascii="Cambria Math" w:hAnsi="Cambria Math"/>
                        <w:i/>
                        <w:lang w:val="en-GB"/>
                      </w:rPr>
                    </m:ctrlPr>
                  </m:funcPr>
                  <m:fName>
                    <m:r>
                      <m:rPr>
                        <m:sty m:val="p"/>
                      </m:rPr>
                      <w:rPr>
                        <w:rFonts w:ascii="Cambria Math" w:hAnsi="Cambria Math"/>
                        <w:lang w:val="en-GB"/>
                      </w:rPr>
                      <m:t>ln</m:t>
                    </m:r>
                  </m:fName>
                  <m:e>
                    <m:r>
                      <w:rPr>
                        <w:rFonts w:ascii="Cambria Math" w:hAnsi="Cambria Math"/>
                        <w:lang w:val="en-GB"/>
                      </w:rPr>
                      <m:t>(k)</m:t>
                    </m:r>
                  </m:e>
                </m:func>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ln</m:t>
                    </m:r>
                  </m:fName>
                  <m:e>
                    <m:d>
                      <m:dPr>
                        <m:ctrlPr>
                          <w:rPr>
                            <w:rFonts w:ascii="Cambria Math" w:hAnsi="Cambria Math"/>
                            <w:i/>
                            <w:lang w:val="en-GB"/>
                          </w:rPr>
                        </m:ctrlPr>
                      </m:dPr>
                      <m:e>
                        <m:r>
                          <w:rPr>
                            <w:rFonts w:ascii="Cambria Math" w:hAnsi="Cambria Math"/>
                            <w:lang w:val="en-GB"/>
                          </w:rPr>
                          <m:t>A</m:t>
                        </m:r>
                      </m:e>
                    </m:d>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a</m:t>
                            </m:r>
                          </m:sub>
                        </m:sSub>
                      </m:num>
                      <m:den>
                        <m:r>
                          <w:rPr>
                            <w:rFonts w:ascii="Cambria Math" w:hAnsi="Cambria Math"/>
                            <w:lang w:val="en-GB"/>
                          </w:rPr>
                          <m:t>RT</m:t>
                        </m:r>
                      </m:den>
                    </m:f>
                  </m:e>
                </m:func>
              </m:oMath>
            </m:oMathPara>
          </w:p>
        </w:tc>
        <w:tc>
          <w:tcPr>
            <w:tcW w:w="1316" w:type="dxa"/>
            <w:shd w:val="clear" w:color="auto" w:fill="FFFFFF"/>
            <w:vAlign w:val="center"/>
          </w:tcPr>
          <w:p w:rsidR="00356F20" w:rsidRPr="00B57B36" w:rsidRDefault="00356F20" w:rsidP="00356F20">
            <w:pPr>
              <w:pStyle w:val="CETBodytext"/>
              <w:jc w:val="left"/>
              <w:rPr>
                <w:lang w:val="en-GB"/>
              </w:rPr>
            </w:pPr>
            <w:r>
              <w:rPr>
                <w:lang w:val="en-GB"/>
              </w:rPr>
              <w:t>(6)</w:t>
            </w:r>
          </w:p>
        </w:tc>
        <w:tc>
          <w:tcPr>
            <w:tcW w:w="1316" w:type="dxa"/>
            <w:shd w:val="clear" w:color="auto" w:fill="FFFFFF"/>
            <w:vAlign w:val="center"/>
          </w:tcPr>
          <w:p w:rsidR="00356F20" w:rsidRPr="00B57B36" w:rsidRDefault="00356F20" w:rsidP="00356F20">
            <w:pPr>
              <w:pStyle w:val="CETBodytext"/>
              <w:jc w:val="left"/>
              <w:rPr>
                <w:lang w:val="en-GB"/>
              </w:rPr>
            </w:pPr>
            <w:r>
              <w:rPr>
                <w:lang w:val="en-GB"/>
              </w:rPr>
              <w:t>0.01758</w:t>
            </w:r>
          </w:p>
        </w:tc>
        <w:tc>
          <w:tcPr>
            <w:tcW w:w="1316" w:type="dxa"/>
            <w:shd w:val="clear" w:color="auto" w:fill="FFFFFF"/>
            <w:vAlign w:val="center"/>
          </w:tcPr>
          <w:p w:rsidR="00356F20" w:rsidRPr="00B57B36" w:rsidRDefault="00356F20" w:rsidP="00356F20">
            <w:pPr>
              <w:pStyle w:val="CETBodytext"/>
              <w:ind w:right="-1"/>
              <w:jc w:val="left"/>
              <w:rPr>
                <w:rFonts w:cs="Arial"/>
                <w:szCs w:val="18"/>
                <w:lang w:val="en-GB"/>
              </w:rPr>
            </w:pPr>
            <w:r>
              <w:rPr>
                <w:rFonts w:cs="Arial"/>
                <w:szCs w:val="18"/>
                <w:lang w:val="en-GB"/>
              </w:rPr>
              <w:t>0.03631</w:t>
            </w:r>
          </w:p>
        </w:tc>
        <w:tc>
          <w:tcPr>
            <w:tcW w:w="1318" w:type="dxa"/>
            <w:shd w:val="clear" w:color="auto" w:fill="FFFFFF"/>
            <w:vAlign w:val="center"/>
          </w:tcPr>
          <w:p w:rsidR="00356F20" w:rsidRPr="00B57B36" w:rsidRDefault="00356F20" w:rsidP="00356F20">
            <w:pPr>
              <w:pStyle w:val="CETBodytext"/>
              <w:ind w:right="-1"/>
              <w:jc w:val="left"/>
              <w:rPr>
                <w:rFonts w:cs="Arial"/>
                <w:szCs w:val="18"/>
                <w:lang w:val="en-GB"/>
              </w:rPr>
            </w:pPr>
            <w:r>
              <w:rPr>
                <w:rFonts w:cs="Arial"/>
                <w:szCs w:val="18"/>
                <w:lang w:val="en-GB"/>
              </w:rPr>
              <w:t>0.04193</w:t>
            </w:r>
          </w:p>
        </w:tc>
        <w:tc>
          <w:tcPr>
            <w:tcW w:w="1316" w:type="dxa"/>
            <w:shd w:val="clear" w:color="auto" w:fill="FFFFFF"/>
            <w:vAlign w:val="center"/>
          </w:tcPr>
          <w:p w:rsidR="00356F20" w:rsidRPr="00356F20" w:rsidRDefault="007E574C" w:rsidP="00356F20">
            <w:pPr>
              <w:pStyle w:val="CETBodytext"/>
              <w:ind w:right="-1"/>
              <w:jc w:val="left"/>
              <w:rPr>
                <w:rFonts w:cs="Arial"/>
                <w:szCs w:val="18"/>
                <w:lang w:val="en-GB"/>
              </w:rPr>
            </w:pPr>
            <m:oMath>
              <m:func>
                <m:funcPr>
                  <m:ctrlPr>
                    <w:rPr>
                      <w:rFonts w:ascii="Cambria Math" w:hAnsi="Cambria Math"/>
                      <w:i/>
                      <w:lang w:val="en-GB"/>
                    </w:rPr>
                  </m:ctrlPr>
                </m:funcPr>
                <m:fName>
                  <m:r>
                    <m:rPr>
                      <m:sty m:val="p"/>
                    </m:rPr>
                    <w:rPr>
                      <w:rFonts w:ascii="Cambria Math" w:hAnsi="Cambria Math"/>
                      <w:lang w:val="en-GB"/>
                    </w:rPr>
                    <m:t>ln</m:t>
                  </m:r>
                </m:fName>
                <m:e>
                  <m:r>
                    <w:rPr>
                      <w:rFonts w:ascii="Cambria Math" w:hAnsi="Cambria Math"/>
                      <w:lang w:val="en-GB"/>
                    </w:rPr>
                    <m:t>(k)</m:t>
                  </m:r>
                </m:e>
              </m:func>
            </m:oMath>
            <w:r w:rsidR="00356F20">
              <w:rPr>
                <w:rFonts w:cs="Arial"/>
                <w:lang w:val="en-GB"/>
              </w:rPr>
              <w:t xml:space="preserve"> </w:t>
            </w:r>
            <w:r w:rsidR="00356F20">
              <w:rPr>
                <w:rFonts w:cs="Arial"/>
                <w:i/>
                <w:lang w:val="en-GB"/>
              </w:rPr>
              <w:t>vs.</w:t>
            </w:r>
            <w:r w:rsidR="00356F20">
              <w:rPr>
                <w:rFonts w:cs="Arial"/>
                <w:lang w:val="en-GB"/>
              </w:rPr>
              <w:t xml:space="preserve"> </w:t>
            </w:r>
            <m:oMath>
              <m:f>
                <m:fPr>
                  <m:ctrlPr>
                    <w:rPr>
                      <w:rFonts w:ascii="Cambria Math" w:hAnsi="Cambria Math" w:cs="Arial"/>
                      <w:i/>
                      <w:szCs w:val="18"/>
                      <w:lang w:val="pt-BR"/>
                    </w:rPr>
                  </m:ctrlPr>
                </m:fPr>
                <m:num>
                  <m:r>
                    <w:rPr>
                      <w:rFonts w:ascii="Cambria Math" w:hAnsi="Cambria Math" w:cs="Arial"/>
                      <w:szCs w:val="18"/>
                      <w:lang w:val="pt-BR"/>
                    </w:rPr>
                    <m:t>1</m:t>
                  </m:r>
                </m:num>
                <m:den>
                  <m:r>
                    <w:rPr>
                      <w:rFonts w:ascii="Cambria Math" w:hAnsi="Cambria Math" w:cs="Arial"/>
                      <w:szCs w:val="18"/>
                      <w:lang w:val="pt-BR"/>
                    </w:rPr>
                    <m:t>T</m:t>
                  </m:r>
                </m:den>
              </m:f>
            </m:oMath>
          </w:p>
        </w:tc>
      </w:tr>
    </w:tbl>
    <w:p w:rsidR="00356F20" w:rsidRDefault="00356F20" w:rsidP="00356F20">
      <w:pPr>
        <w:pStyle w:val="CETBodytext"/>
      </w:pPr>
    </w:p>
    <w:p w:rsidR="00356F20" w:rsidRDefault="00167E29" w:rsidP="00356F20">
      <w:pPr>
        <w:pStyle w:val="CETBodytext"/>
      </w:pPr>
      <w:r>
        <w:t>Since</w:t>
      </w:r>
      <w:r w:rsidR="00D23C6F">
        <w:t xml:space="preserve"> A</w:t>
      </w:r>
      <w:r>
        <w:t xml:space="preserve"> is</w:t>
      </w:r>
      <w:r w:rsidR="00D23C6F">
        <w:t xml:space="preserve"> the Arr</w:t>
      </w:r>
      <w:r w:rsidR="00D23C6F" w:rsidRPr="00D23C6F">
        <w:t>h</w:t>
      </w:r>
      <w:r w:rsidR="00D23C6F">
        <w:t>e</w:t>
      </w:r>
      <w:r w:rsidR="00D23C6F" w:rsidRPr="00D23C6F">
        <w:t>nius constant</w:t>
      </w:r>
      <w:r w:rsidR="00D23C6F">
        <w:t xml:space="preserve"> </w:t>
      </w:r>
      <w:r w:rsidR="00D23C6F" w:rsidRPr="00D23C6F">
        <w:t>(g mg</w:t>
      </w:r>
      <w:r w:rsidR="00D23C6F" w:rsidRPr="00D23C6F">
        <w:rPr>
          <w:vertAlign w:val="superscript"/>
        </w:rPr>
        <w:t>-1</w:t>
      </w:r>
      <w:r w:rsidR="00D23C6F" w:rsidRPr="00D23C6F">
        <w:t xml:space="preserve"> min</w:t>
      </w:r>
      <w:r w:rsidR="00D23C6F" w:rsidRPr="00D23C6F">
        <w:rPr>
          <w:vertAlign w:val="superscript"/>
        </w:rPr>
        <w:t>-1</w:t>
      </w:r>
      <w:r w:rsidR="00D23C6F" w:rsidRPr="00D23C6F">
        <w:t>),</w:t>
      </w:r>
      <w:r>
        <w:t xml:space="preserve"> the linear relation between ln k </w:t>
      </w:r>
      <w:r>
        <w:rPr>
          <w:i/>
        </w:rPr>
        <w:t>versus</w:t>
      </w:r>
      <w:r>
        <w:t xml:space="preserve"> 1/T gives the activation energy of 35.64 kJ mol</w:t>
      </w:r>
      <w:r w:rsidRPr="00167E29">
        <w:rPr>
          <w:vertAlign w:val="superscript"/>
        </w:rPr>
        <w:t>-1</w:t>
      </w:r>
      <w:r>
        <w:t xml:space="preserve">. According to </w:t>
      </w:r>
      <w:proofErr w:type="spellStart"/>
      <w:r>
        <w:t>Aksu</w:t>
      </w:r>
      <w:proofErr w:type="spellEnd"/>
      <w:r>
        <w:t xml:space="preserve"> and </w:t>
      </w:r>
      <w:proofErr w:type="spellStart"/>
      <w:r>
        <w:t>Tezer</w:t>
      </w:r>
      <w:proofErr w:type="spellEnd"/>
      <w:r>
        <w:t xml:space="preserve"> (2005), sorption of the physical type involves weaker binding forces between species (</w:t>
      </w:r>
      <w:proofErr w:type="spellStart"/>
      <w:r>
        <w:t>sorbate</w:t>
      </w:r>
      <w:proofErr w:type="spellEnd"/>
      <w:r>
        <w:t xml:space="preserve"> and </w:t>
      </w:r>
      <w:proofErr w:type="spellStart"/>
      <w:r>
        <w:t>biosorbent</w:t>
      </w:r>
      <w:proofErr w:type="spellEnd"/>
      <w:r>
        <w:t xml:space="preserve">) com </w:t>
      </w:r>
      <w:r w:rsidRPr="00167E29">
        <w:t>E</w:t>
      </w:r>
      <w:r w:rsidRPr="00167E29">
        <w:rPr>
          <w:vertAlign w:val="subscript"/>
        </w:rPr>
        <w:t xml:space="preserve">a </w:t>
      </w:r>
      <w:r>
        <w:t>of</w:t>
      </w:r>
      <w:r w:rsidRPr="00167E29">
        <w:t xml:space="preserve"> 5 </w:t>
      </w:r>
      <w:r>
        <w:t>to</w:t>
      </w:r>
      <w:r w:rsidRPr="00167E29">
        <w:t xml:space="preserve"> 40 kJ mol</w:t>
      </w:r>
      <w:r w:rsidRPr="00167E29">
        <w:rPr>
          <w:vertAlign w:val="superscript"/>
        </w:rPr>
        <w:t>-1</w:t>
      </w:r>
      <w:r w:rsidRPr="00167E29">
        <w:t>.</w:t>
      </w:r>
      <w:r>
        <w:t xml:space="preserve"> W</w:t>
      </w:r>
      <w:r w:rsidR="00432DCF">
        <w:t xml:space="preserve">hile in chemical sorption the interaction between the species is of a stronger nature </w:t>
      </w:r>
      <w:r w:rsidR="00432DCF" w:rsidRPr="00432DCF">
        <w:t>(E</w:t>
      </w:r>
      <w:r w:rsidR="00432DCF" w:rsidRPr="00432DCF">
        <w:rPr>
          <w:vertAlign w:val="subscript"/>
        </w:rPr>
        <w:t>a</w:t>
      </w:r>
      <w:r w:rsidR="00432DCF">
        <w:t xml:space="preserve"> of</w:t>
      </w:r>
      <w:r w:rsidR="00432DCF" w:rsidRPr="00432DCF">
        <w:t xml:space="preserve"> 40-800 kJ mol</w:t>
      </w:r>
      <w:r w:rsidR="00432DCF" w:rsidRPr="00432DCF">
        <w:rPr>
          <w:vertAlign w:val="superscript"/>
        </w:rPr>
        <w:t>-1</w:t>
      </w:r>
      <w:r w:rsidR="00432DCF" w:rsidRPr="00432DCF">
        <w:t>).</w:t>
      </w:r>
      <w:r w:rsidR="00432DCF">
        <w:t xml:space="preserve"> Therefore, for the present study an indicative of physical sorption is verified. This fact allows the recovery of sorbate and regeneration of the </w:t>
      </w:r>
      <w:proofErr w:type="spellStart"/>
      <w:r w:rsidR="00432DCF">
        <w:t>biosorbent</w:t>
      </w:r>
      <w:proofErr w:type="spellEnd"/>
      <w:r w:rsidR="00432DCF">
        <w:t xml:space="preserve"> without the need for higher energy levels for desorption, because it involves weaker interactions between species</w:t>
      </w:r>
      <w:r w:rsidR="00356F20" w:rsidRPr="00432DCF">
        <w:t xml:space="preserve"> (</w:t>
      </w:r>
      <w:proofErr w:type="spellStart"/>
      <w:r w:rsidR="00356F20" w:rsidRPr="00432DCF">
        <w:t>B</w:t>
      </w:r>
      <w:r w:rsidR="00C35BD9" w:rsidRPr="00432DCF">
        <w:t>anerjee</w:t>
      </w:r>
      <w:proofErr w:type="spellEnd"/>
      <w:r w:rsidR="00356F20" w:rsidRPr="00432DCF">
        <w:t xml:space="preserve"> e </w:t>
      </w:r>
      <w:proofErr w:type="spellStart"/>
      <w:r w:rsidR="00356F20" w:rsidRPr="00432DCF">
        <w:t>C</w:t>
      </w:r>
      <w:r w:rsidR="00C35BD9" w:rsidRPr="00432DCF">
        <w:t>hattopadhyaya</w:t>
      </w:r>
      <w:proofErr w:type="spellEnd"/>
      <w:r w:rsidR="00356F20" w:rsidRPr="00432DCF">
        <w:t>, 2017).</w:t>
      </w:r>
    </w:p>
    <w:p w:rsidR="00432DCF" w:rsidRPr="00432DCF" w:rsidRDefault="00432DCF" w:rsidP="00356F20">
      <w:pPr>
        <w:pStyle w:val="CETBodytext"/>
      </w:pPr>
      <w:r>
        <w:t xml:space="preserve">Similar parameters were also identified by researchers who used alternative materials in the biosorption of textile dyes. As for example, </w:t>
      </w:r>
      <w:proofErr w:type="spellStart"/>
      <w:r>
        <w:t>Banerjee</w:t>
      </w:r>
      <w:proofErr w:type="spellEnd"/>
      <w:r>
        <w:t xml:space="preserve"> and </w:t>
      </w:r>
      <w:proofErr w:type="spellStart"/>
      <w:r>
        <w:t>Chattopadhyaya</w:t>
      </w:r>
      <w:proofErr w:type="spellEnd"/>
      <w:r>
        <w:t xml:space="preserve"> (2017) and </w:t>
      </w:r>
      <w:proofErr w:type="spellStart"/>
      <w:r>
        <w:t>Sheufele</w:t>
      </w:r>
      <w:proofErr w:type="spellEnd"/>
      <w:r>
        <w:t xml:space="preserve"> et al. (2016), who used sawdust powder and sugarcane bagasse in the removal of the dyes </w:t>
      </w:r>
      <w:r w:rsidRPr="00F93807">
        <w:t>Yellow Acid 23 (</w:t>
      </w:r>
      <w:proofErr w:type="spellStart"/>
      <w:r w:rsidRPr="00F93807">
        <w:t>Tartazine</w:t>
      </w:r>
      <w:proofErr w:type="spellEnd"/>
      <w:r w:rsidRPr="00F93807">
        <w:t>) and Blue Reactive 5G</w:t>
      </w:r>
      <w:r>
        <w:t>, respectively.</w:t>
      </w:r>
    </w:p>
    <w:p w:rsidR="00356F20" w:rsidRDefault="003A32B4" w:rsidP="00356F20">
      <w:pPr>
        <w:pStyle w:val="CETHeading1"/>
      </w:pPr>
      <w:r>
        <w:t>Conclusions</w:t>
      </w:r>
    </w:p>
    <w:p w:rsidR="00964AA7" w:rsidRDefault="003A32B4" w:rsidP="00F514B0">
      <w:pPr>
        <w:pStyle w:val="CETBodytext"/>
      </w:pPr>
      <w:r w:rsidRPr="003A32B4">
        <w:t>The biosorption o</w:t>
      </w:r>
      <w:r>
        <w:t>f YR-B2R by malt bagasse presented high removal even at the initial moments of contact</w:t>
      </w:r>
      <w:r w:rsidR="00E1748F">
        <w:t>, with 65, 76 and 80% in the first 15 minutes, for the temperatures of 303.15 K, 313.15 K and 323.15 K, respectively. Followed by a slower period until catch up the system</w:t>
      </w:r>
      <w:r w:rsidR="00311C66">
        <w:t xml:space="preserve"> equilibrium in 360 minutes</w:t>
      </w:r>
      <w:r w:rsidR="00E1748F">
        <w:t xml:space="preserve"> (6 hours), with removal of 93, 90 and 92%, respectively</w:t>
      </w:r>
      <w:r w:rsidR="00311C66">
        <w:t>. The temperature did not offer significant influence in the removal, with this, smaller energy conditions can be used without compromising the biosorption efficiency. The process presented an indicative of endothermic biosorption, spontaneous and favorable, with increased randomness in the solid-solution interface. The sorption can also be characterized as physical, which favors dye recovery and biomass regeneration without the need of high energy levels.</w:t>
      </w:r>
      <w:r w:rsidR="00D67FFB">
        <w:t xml:space="preserve"> In this way, it is verified that the malt bagasse in front of the thermodynamic aspects has potential in the treatment of effluents containing reactive yellow dye.</w:t>
      </w:r>
    </w:p>
    <w:p w:rsidR="00964AA7" w:rsidRPr="003A0F2F" w:rsidRDefault="00964AA7" w:rsidP="00F514B0">
      <w:pPr>
        <w:pStyle w:val="CETBodytext"/>
      </w:pPr>
    </w:p>
    <w:p w:rsidR="00F514B0" w:rsidRDefault="003A32B4" w:rsidP="00F514B0">
      <w:pPr>
        <w:pStyle w:val="CETBodytextBold"/>
      </w:pPr>
      <w:r>
        <w:t>References</w:t>
      </w:r>
    </w:p>
    <w:p w:rsidR="00F514B0" w:rsidRDefault="00F514B0" w:rsidP="00F514B0">
      <w:pPr>
        <w:pStyle w:val="CETReferencetext"/>
      </w:pPr>
    </w:p>
    <w:p w:rsidR="00F514B0" w:rsidRPr="007524ED" w:rsidRDefault="00F514B0" w:rsidP="00F514B0">
      <w:pPr>
        <w:pStyle w:val="CETReferencetext"/>
        <w:rPr>
          <w:lang w:val="en-US"/>
        </w:rPr>
      </w:pPr>
      <w:r w:rsidRPr="007524ED">
        <w:rPr>
          <w:lang w:val="en-US"/>
        </w:rPr>
        <w:lastRenderedPageBreak/>
        <w:t xml:space="preserve">Aksu Z., </w:t>
      </w:r>
      <w:proofErr w:type="spellStart"/>
      <w:r w:rsidRPr="007524ED">
        <w:rPr>
          <w:lang w:val="en-US"/>
        </w:rPr>
        <w:t>Tezer</w:t>
      </w:r>
      <w:proofErr w:type="spellEnd"/>
      <w:r w:rsidRPr="007524ED">
        <w:rPr>
          <w:lang w:val="en-US"/>
        </w:rPr>
        <w:t xml:space="preserve"> S., 2005, Biosorption of reactive dyes on the green alga Chlorella Vulgaris. Process Biochemistry, 40, 347–1361.</w:t>
      </w:r>
    </w:p>
    <w:p w:rsidR="00F514B0" w:rsidRPr="007524ED" w:rsidRDefault="00F514B0" w:rsidP="00F514B0">
      <w:pPr>
        <w:pStyle w:val="CETReferencetext"/>
        <w:rPr>
          <w:lang w:val="en-US"/>
        </w:rPr>
      </w:pPr>
      <w:r w:rsidRPr="007524ED">
        <w:rPr>
          <w:lang w:val="en-US"/>
        </w:rPr>
        <w:t xml:space="preserve">Banerjee S., </w:t>
      </w:r>
      <w:proofErr w:type="spellStart"/>
      <w:r w:rsidRPr="007524ED">
        <w:rPr>
          <w:lang w:val="en-US"/>
        </w:rPr>
        <w:t>Chattopadhyaya</w:t>
      </w:r>
      <w:proofErr w:type="spellEnd"/>
      <w:r w:rsidRPr="007524ED">
        <w:rPr>
          <w:lang w:val="en-US"/>
        </w:rPr>
        <w:t xml:space="preserve"> M.C., 2017, Adsorption characteristics for the removal of a toxic dye,</w:t>
      </w:r>
    </w:p>
    <w:p w:rsidR="00F514B0" w:rsidRDefault="00F514B0" w:rsidP="00F514B0">
      <w:pPr>
        <w:pStyle w:val="CETReferencetext"/>
        <w:rPr>
          <w:lang w:val="en-US"/>
        </w:rPr>
      </w:pPr>
      <w:proofErr w:type="gramStart"/>
      <w:r w:rsidRPr="007524ED">
        <w:rPr>
          <w:lang w:val="en-US"/>
        </w:rPr>
        <w:t>tartrazine</w:t>
      </w:r>
      <w:proofErr w:type="gramEnd"/>
      <w:r w:rsidRPr="007524ED">
        <w:rPr>
          <w:lang w:val="en-US"/>
        </w:rPr>
        <w:t xml:space="preserve"> from aqueous solutions by a low cost agricultural by-product, Arabian Journal of Chemistry, 10, S1629–S1638.</w:t>
      </w:r>
    </w:p>
    <w:p w:rsidR="009B1277" w:rsidRPr="007524ED" w:rsidRDefault="009B1277" w:rsidP="00F514B0">
      <w:pPr>
        <w:pStyle w:val="CETReferencetext"/>
        <w:rPr>
          <w:lang w:val="en-US"/>
        </w:rPr>
      </w:pPr>
      <w:proofErr w:type="spellStart"/>
      <w:r>
        <w:rPr>
          <w:lang w:val="en-US"/>
        </w:rPr>
        <w:t>Caprariis</w:t>
      </w:r>
      <w:proofErr w:type="spellEnd"/>
      <w:r>
        <w:rPr>
          <w:lang w:val="en-US"/>
        </w:rPr>
        <w:t xml:space="preserve"> B., </w:t>
      </w:r>
      <w:proofErr w:type="spellStart"/>
      <w:r>
        <w:rPr>
          <w:lang w:val="en-US"/>
        </w:rPr>
        <w:t>Filippis</w:t>
      </w:r>
      <w:proofErr w:type="spellEnd"/>
      <w:r>
        <w:rPr>
          <w:lang w:val="en-US"/>
        </w:rPr>
        <w:t xml:space="preserve"> P., Petrucci E., </w:t>
      </w:r>
      <w:proofErr w:type="spellStart"/>
      <w:r>
        <w:rPr>
          <w:lang w:val="en-US"/>
        </w:rPr>
        <w:t>Scarsella</w:t>
      </w:r>
      <w:proofErr w:type="spellEnd"/>
      <w:r>
        <w:rPr>
          <w:lang w:val="en-US"/>
        </w:rPr>
        <w:t xml:space="preserve"> M., 2018, Activated </w:t>
      </w:r>
      <w:proofErr w:type="spellStart"/>
      <w:r>
        <w:rPr>
          <w:lang w:val="en-US"/>
        </w:rPr>
        <w:t>Biochars</w:t>
      </w:r>
      <w:proofErr w:type="spellEnd"/>
      <w:r>
        <w:rPr>
          <w:lang w:val="en-US"/>
        </w:rPr>
        <w:t xml:space="preserve"> Used as Adsorbents for Dyes Removal, Chemical Engineering Transactions, 65, 103-108.</w:t>
      </w:r>
    </w:p>
    <w:p w:rsidR="00F514B0" w:rsidRPr="007524ED" w:rsidRDefault="00926A28" w:rsidP="00F514B0">
      <w:pPr>
        <w:pStyle w:val="CETReferencetext"/>
      </w:pPr>
      <w:proofErr w:type="spellStart"/>
      <w:r w:rsidRPr="007524ED">
        <w:rPr>
          <w:lang w:val="en-US"/>
        </w:rPr>
        <w:t>Esmaeli</w:t>
      </w:r>
      <w:proofErr w:type="spellEnd"/>
      <w:r w:rsidRPr="007524ED">
        <w:rPr>
          <w:lang w:val="en-US"/>
        </w:rPr>
        <w:t xml:space="preserve"> </w:t>
      </w:r>
      <w:r w:rsidR="00F514B0" w:rsidRPr="007524ED">
        <w:rPr>
          <w:lang w:val="en-US"/>
        </w:rPr>
        <w:t xml:space="preserve">A., </w:t>
      </w:r>
      <w:proofErr w:type="spellStart"/>
      <w:r w:rsidRPr="007524ED">
        <w:rPr>
          <w:lang w:val="en-US"/>
        </w:rPr>
        <w:t>Jokar</w:t>
      </w:r>
      <w:proofErr w:type="spellEnd"/>
      <w:r w:rsidR="00F514B0" w:rsidRPr="007524ED">
        <w:rPr>
          <w:lang w:val="en-US"/>
        </w:rPr>
        <w:t xml:space="preserve"> M., </w:t>
      </w:r>
      <w:proofErr w:type="spellStart"/>
      <w:r w:rsidRPr="007524ED">
        <w:rPr>
          <w:lang w:val="en-US"/>
        </w:rPr>
        <w:t>Kousha</w:t>
      </w:r>
      <w:proofErr w:type="spellEnd"/>
      <w:r w:rsidRPr="007524ED">
        <w:rPr>
          <w:lang w:val="en-US"/>
        </w:rPr>
        <w:t xml:space="preserve"> M., </w:t>
      </w:r>
      <w:proofErr w:type="spellStart"/>
      <w:r w:rsidRPr="007524ED">
        <w:rPr>
          <w:lang w:val="en-US"/>
        </w:rPr>
        <w:t>Daneshvar</w:t>
      </w:r>
      <w:proofErr w:type="spellEnd"/>
      <w:r w:rsidRPr="007524ED">
        <w:rPr>
          <w:lang w:val="en-US"/>
        </w:rPr>
        <w:t xml:space="preserve"> </w:t>
      </w:r>
      <w:r w:rsidR="00F514B0" w:rsidRPr="007524ED">
        <w:rPr>
          <w:lang w:val="en-US"/>
        </w:rPr>
        <w:t xml:space="preserve">E., </w:t>
      </w:r>
      <w:proofErr w:type="spellStart"/>
      <w:r w:rsidRPr="007524ED">
        <w:rPr>
          <w:lang w:val="en-US"/>
        </w:rPr>
        <w:t>Zilouei</w:t>
      </w:r>
      <w:proofErr w:type="spellEnd"/>
      <w:r w:rsidRPr="007524ED">
        <w:rPr>
          <w:lang w:val="en-US"/>
        </w:rPr>
        <w:t xml:space="preserve"> H.</w:t>
      </w:r>
      <w:r w:rsidR="00F514B0" w:rsidRPr="007524ED">
        <w:rPr>
          <w:lang w:val="en-US"/>
        </w:rPr>
        <w:t xml:space="preserve">, </w:t>
      </w:r>
      <w:r w:rsidRPr="007524ED">
        <w:rPr>
          <w:lang w:val="en-US"/>
        </w:rPr>
        <w:t>Karimi K., 2013,</w:t>
      </w:r>
      <w:r w:rsidR="00F514B0" w:rsidRPr="007524ED">
        <w:rPr>
          <w:lang w:val="en-US"/>
        </w:rPr>
        <w:t xml:space="preserve"> Acid dye wastewater treatment onto marine </w:t>
      </w:r>
      <w:proofErr w:type="spellStart"/>
      <w:r w:rsidR="00F514B0" w:rsidRPr="007524ED">
        <w:rPr>
          <w:lang w:val="en-US"/>
        </w:rPr>
        <w:t>macroalg</w:t>
      </w:r>
      <w:proofErr w:type="spellEnd"/>
      <w:r w:rsidR="00F514B0" w:rsidRPr="007524ED">
        <w:t xml:space="preserve">a, </w:t>
      </w:r>
      <w:proofErr w:type="spellStart"/>
      <w:r w:rsidR="00F514B0" w:rsidRPr="007524ED">
        <w:t>Nizamuddina</w:t>
      </w:r>
      <w:proofErr w:type="spellEnd"/>
      <w:r w:rsidR="00F514B0" w:rsidRPr="007524ED">
        <w:t xml:space="preserve"> </w:t>
      </w:r>
      <w:proofErr w:type="spellStart"/>
      <w:r w:rsidR="00F514B0" w:rsidRPr="007524ED">
        <w:t>zanardi</w:t>
      </w:r>
      <w:proofErr w:type="spellEnd"/>
      <w:r w:rsidR="00F514B0" w:rsidRPr="007524ED">
        <w:t xml:space="preserve"> (phylum: </w:t>
      </w:r>
      <w:proofErr w:type="spellStart"/>
      <w:r w:rsidR="00F514B0" w:rsidRPr="007524ED">
        <w:t>ochrophyta</w:t>
      </w:r>
      <w:proofErr w:type="spellEnd"/>
      <w:r w:rsidR="00F514B0" w:rsidRPr="007524ED">
        <w:t>)</w:t>
      </w:r>
      <w:r w:rsidRPr="007524ED">
        <w:t>,</w:t>
      </w:r>
      <w:r w:rsidR="00F514B0" w:rsidRPr="007524ED">
        <w:t xml:space="preserve"> Chemical Engineering Journal,</w:t>
      </w:r>
      <w:r w:rsidRPr="007524ED">
        <w:t xml:space="preserve"> </w:t>
      </w:r>
      <w:r w:rsidR="00F514B0" w:rsidRPr="007524ED">
        <w:t>217</w:t>
      </w:r>
      <w:r w:rsidRPr="007524ED">
        <w:t xml:space="preserve">, </w:t>
      </w:r>
      <w:r w:rsidR="00F514B0" w:rsidRPr="007524ED">
        <w:t>329-336.</w:t>
      </w:r>
    </w:p>
    <w:p w:rsidR="00F514B0" w:rsidRPr="007524ED" w:rsidRDefault="00476716" w:rsidP="00F514B0">
      <w:pPr>
        <w:pStyle w:val="CETReferencetext"/>
        <w:rPr>
          <w:lang w:val="en-US"/>
        </w:rPr>
      </w:pPr>
      <w:r w:rsidRPr="007524ED">
        <w:t xml:space="preserve">Fontana K.B., </w:t>
      </w:r>
      <w:proofErr w:type="spellStart"/>
      <w:r w:rsidRPr="007524ED">
        <w:t>Chaves</w:t>
      </w:r>
      <w:proofErr w:type="spellEnd"/>
      <w:r w:rsidRPr="007524ED">
        <w:t xml:space="preserve"> E.S., Sanchez J.D.S., Watanabe E.R.L.R., </w:t>
      </w:r>
      <w:proofErr w:type="spellStart"/>
      <w:r w:rsidRPr="007524ED">
        <w:t>Pietrobelli</w:t>
      </w:r>
      <w:proofErr w:type="spellEnd"/>
      <w:r w:rsidRPr="007524ED">
        <w:t xml:space="preserve"> J.M.T.A., </w:t>
      </w:r>
      <w:proofErr w:type="spellStart"/>
      <w:r w:rsidRPr="007524ED">
        <w:t>Lenzi</w:t>
      </w:r>
      <w:proofErr w:type="spellEnd"/>
      <w:r w:rsidRPr="007524ED">
        <w:t xml:space="preserve"> G.G, 2016, </w:t>
      </w:r>
      <w:r w:rsidR="00F514B0" w:rsidRPr="007524ED">
        <w:t>Textile dye removal from aqueous solutions by malt bagasse: Isotherm, kinetic and thermodynamic studies</w:t>
      </w:r>
      <w:r w:rsidRPr="007524ED">
        <w:t>,</w:t>
      </w:r>
      <w:r w:rsidR="00F514B0" w:rsidRPr="007524ED">
        <w:t xml:space="preserve"> </w:t>
      </w:r>
      <w:r w:rsidR="00F514B0" w:rsidRPr="007524ED">
        <w:rPr>
          <w:lang w:val="en-US"/>
        </w:rPr>
        <w:t>Ecotoxicology and Environmental Safety</w:t>
      </w:r>
      <w:r w:rsidRPr="007524ED">
        <w:rPr>
          <w:lang w:val="en-US"/>
        </w:rPr>
        <w:t xml:space="preserve">, </w:t>
      </w:r>
      <w:r w:rsidR="00F514B0" w:rsidRPr="007524ED">
        <w:rPr>
          <w:lang w:val="en-US"/>
        </w:rPr>
        <w:t>124</w:t>
      </w:r>
      <w:r w:rsidRPr="007524ED">
        <w:rPr>
          <w:lang w:val="en-US"/>
        </w:rPr>
        <w:t>, 329-336</w:t>
      </w:r>
      <w:r w:rsidR="00F514B0" w:rsidRPr="007524ED">
        <w:rPr>
          <w:lang w:val="en-US"/>
        </w:rPr>
        <w:t>.</w:t>
      </w:r>
    </w:p>
    <w:p w:rsidR="00F514B0" w:rsidRPr="007524ED" w:rsidRDefault="00F514B0" w:rsidP="00F514B0">
      <w:pPr>
        <w:pStyle w:val="CETReferencetext"/>
      </w:pPr>
      <w:r w:rsidRPr="007524ED">
        <w:rPr>
          <w:lang w:val="en-US"/>
        </w:rPr>
        <w:t>G</w:t>
      </w:r>
      <w:r w:rsidR="00C539BE" w:rsidRPr="007524ED">
        <w:rPr>
          <w:lang w:val="en-US"/>
        </w:rPr>
        <w:t>upta</w:t>
      </w:r>
      <w:r w:rsidRPr="007524ED">
        <w:rPr>
          <w:lang w:val="en-US"/>
        </w:rPr>
        <w:t xml:space="preserve"> V.K., R</w:t>
      </w:r>
      <w:r w:rsidR="00C539BE" w:rsidRPr="007524ED">
        <w:rPr>
          <w:lang w:val="en-US"/>
        </w:rPr>
        <w:t>astogi</w:t>
      </w:r>
      <w:r w:rsidRPr="007524ED">
        <w:rPr>
          <w:lang w:val="en-US"/>
        </w:rPr>
        <w:t xml:space="preserve"> A.</w:t>
      </w:r>
      <w:r w:rsidR="00C35BD9" w:rsidRPr="007524ED">
        <w:rPr>
          <w:lang w:val="en-US"/>
        </w:rPr>
        <w:t>, 2008</w:t>
      </w:r>
      <w:r w:rsidR="00C539BE" w:rsidRPr="007524ED">
        <w:rPr>
          <w:lang w:val="en-US"/>
        </w:rPr>
        <w:t>,</w:t>
      </w:r>
      <w:r w:rsidRPr="007524ED">
        <w:rPr>
          <w:lang w:val="en-US"/>
        </w:rPr>
        <w:t xml:space="preserve"> Biosorption of lead from aqueous solutions </w:t>
      </w:r>
      <w:proofErr w:type="spellStart"/>
      <w:r w:rsidRPr="007524ED">
        <w:rPr>
          <w:lang w:val="en-US"/>
        </w:rPr>
        <w:t>br</w:t>
      </w:r>
      <w:proofErr w:type="spellEnd"/>
      <w:r w:rsidRPr="007524ED">
        <w:rPr>
          <w:lang w:val="en-US"/>
        </w:rPr>
        <w:t xml:space="preserve"> green algae Spirogyra species: ki</w:t>
      </w:r>
      <w:r w:rsidR="00C539BE" w:rsidRPr="007524ED">
        <w:rPr>
          <w:lang w:val="en-US"/>
        </w:rPr>
        <w:t xml:space="preserve">netics and equilibrium studies, </w:t>
      </w:r>
      <w:r w:rsidRPr="007524ED">
        <w:rPr>
          <w:lang w:val="en-US"/>
        </w:rPr>
        <w:t>Journal of Hazardous Materials</w:t>
      </w:r>
      <w:r w:rsidR="00C539BE" w:rsidRPr="007524ED">
        <w:rPr>
          <w:lang w:val="en-US"/>
        </w:rPr>
        <w:t>,</w:t>
      </w:r>
      <w:r w:rsidRPr="007524ED">
        <w:rPr>
          <w:lang w:val="en-US"/>
        </w:rPr>
        <w:t xml:space="preserve"> </w:t>
      </w:r>
      <w:r w:rsidR="00C539BE" w:rsidRPr="007524ED">
        <w:t>2, 29-35.</w:t>
      </w:r>
    </w:p>
    <w:p w:rsidR="00F514B0" w:rsidRPr="007524ED" w:rsidRDefault="00F514B0" w:rsidP="00F514B0">
      <w:pPr>
        <w:pStyle w:val="CETReferencetext"/>
        <w:rPr>
          <w:lang w:val="en-US"/>
        </w:rPr>
      </w:pPr>
      <w:r w:rsidRPr="007524ED">
        <w:rPr>
          <w:lang w:val="en-US"/>
        </w:rPr>
        <w:t>H</w:t>
      </w:r>
      <w:r w:rsidR="00C539BE" w:rsidRPr="007524ED">
        <w:rPr>
          <w:lang w:val="en-US"/>
        </w:rPr>
        <w:t>o</w:t>
      </w:r>
      <w:r w:rsidRPr="007524ED">
        <w:rPr>
          <w:lang w:val="en-US"/>
        </w:rPr>
        <w:t xml:space="preserve"> Y.S., M</w:t>
      </w:r>
      <w:r w:rsidR="00C539BE" w:rsidRPr="007524ED">
        <w:rPr>
          <w:lang w:val="en-US"/>
        </w:rPr>
        <w:t>c</w:t>
      </w:r>
      <w:r w:rsidRPr="007524ED">
        <w:rPr>
          <w:lang w:val="en-US"/>
        </w:rPr>
        <w:t>K</w:t>
      </w:r>
      <w:r w:rsidR="00C539BE" w:rsidRPr="007524ED">
        <w:rPr>
          <w:lang w:val="en-US"/>
        </w:rPr>
        <w:t>ay</w:t>
      </w:r>
      <w:r w:rsidRPr="007524ED">
        <w:rPr>
          <w:lang w:val="en-US"/>
        </w:rPr>
        <w:t xml:space="preserve"> G.</w:t>
      </w:r>
      <w:r w:rsidR="00C539BE" w:rsidRPr="007524ED">
        <w:rPr>
          <w:lang w:val="en-US"/>
        </w:rPr>
        <w:t>, 1999,</w:t>
      </w:r>
      <w:r w:rsidRPr="007524ED">
        <w:rPr>
          <w:lang w:val="en-US"/>
        </w:rPr>
        <w:t xml:space="preserve"> Pseudo-second order model for biosorption processes. Process Bioch</w:t>
      </w:r>
      <w:r w:rsidR="00C539BE" w:rsidRPr="007524ED">
        <w:rPr>
          <w:lang w:val="en-US"/>
        </w:rPr>
        <w:t>emistry, 34, 451-465.</w:t>
      </w:r>
    </w:p>
    <w:p w:rsidR="00F514B0" w:rsidRPr="00EE212E" w:rsidRDefault="00F514B0" w:rsidP="00F514B0">
      <w:pPr>
        <w:pStyle w:val="CETReferencetext"/>
        <w:rPr>
          <w:lang w:val="pt-BR"/>
        </w:rPr>
      </w:pPr>
      <w:proofErr w:type="spellStart"/>
      <w:r w:rsidRPr="007524ED">
        <w:rPr>
          <w:lang w:val="en-US"/>
        </w:rPr>
        <w:t>K</w:t>
      </w:r>
      <w:r w:rsidR="00D52A6A" w:rsidRPr="007524ED">
        <w:rPr>
          <w:lang w:val="en-US"/>
        </w:rPr>
        <w:t>hattri</w:t>
      </w:r>
      <w:proofErr w:type="spellEnd"/>
      <w:r w:rsidRPr="007524ED">
        <w:rPr>
          <w:lang w:val="en-US"/>
        </w:rPr>
        <w:t xml:space="preserve"> S.D., S</w:t>
      </w:r>
      <w:r w:rsidR="00D52A6A" w:rsidRPr="007524ED">
        <w:rPr>
          <w:lang w:val="en-US"/>
        </w:rPr>
        <w:t xml:space="preserve">ingh </w:t>
      </w:r>
      <w:r w:rsidRPr="007524ED">
        <w:rPr>
          <w:lang w:val="en-US"/>
        </w:rPr>
        <w:t>M.K.</w:t>
      </w:r>
      <w:r w:rsidR="007524ED" w:rsidRPr="007524ED">
        <w:rPr>
          <w:lang w:val="en-US"/>
        </w:rPr>
        <w:t>, 1999,</w:t>
      </w:r>
      <w:r w:rsidRPr="007524ED">
        <w:rPr>
          <w:lang w:val="en-US"/>
        </w:rPr>
        <w:t xml:space="preserve"> </w:t>
      </w:r>
      <w:proofErr w:type="spellStart"/>
      <w:r w:rsidRPr="007524ED">
        <w:rPr>
          <w:lang w:val="en-US"/>
        </w:rPr>
        <w:t>Colour</w:t>
      </w:r>
      <w:proofErr w:type="spellEnd"/>
      <w:r w:rsidRPr="007524ED">
        <w:rPr>
          <w:lang w:val="en-US"/>
        </w:rPr>
        <w:t xml:space="preserve"> removal from dye wastew</w:t>
      </w:r>
      <w:r w:rsidR="007524ED" w:rsidRPr="007524ED">
        <w:rPr>
          <w:lang w:val="en-US"/>
        </w:rPr>
        <w:t>ater using sugar cane dust as an</w:t>
      </w:r>
      <w:r w:rsidRPr="007524ED">
        <w:rPr>
          <w:lang w:val="en-US"/>
        </w:rPr>
        <w:t xml:space="preserve"> adsorbent. </w:t>
      </w:r>
      <w:proofErr w:type="spellStart"/>
      <w:r w:rsidRPr="00EE212E">
        <w:rPr>
          <w:lang w:val="pt-BR"/>
        </w:rPr>
        <w:t>Adsorption</w:t>
      </w:r>
      <w:proofErr w:type="spellEnd"/>
      <w:r w:rsidRPr="00EE212E">
        <w:rPr>
          <w:lang w:val="pt-BR"/>
        </w:rPr>
        <w:t xml:space="preserve"> </w:t>
      </w:r>
      <w:proofErr w:type="spellStart"/>
      <w:r w:rsidRPr="00EE212E">
        <w:rPr>
          <w:lang w:val="pt-BR"/>
        </w:rPr>
        <w:t>Scie</w:t>
      </w:r>
      <w:r w:rsidR="00D52A6A" w:rsidRPr="00EE212E">
        <w:rPr>
          <w:lang w:val="pt-BR"/>
        </w:rPr>
        <w:t>nce</w:t>
      </w:r>
      <w:proofErr w:type="spellEnd"/>
      <w:r w:rsidR="00D52A6A" w:rsidRPr="00EE212E">
        <w:rPr>
          <w:lang w:val="pt-BR"/>
        </w:rPr>
        <w:t xml:space="preserve"> &amp; </w:t>
      </w:r>
      <w:proofErr w:type="spellStart"/>
      <w:r w:rsidR="00D52A6A" w:rsidRPr="00EE212E">
        <w:rPr>
          <w:lang w:val="pt-BR"/>
        </w:rPr>
        <w:t>Technology</w:t>
      </w:r>
      <w:proofErr w:type="spellEnd"/>
      <w:r w:rsidR="00D52A6A" w:rsidRPr="00EE212E">
        <w:rPr>
          <w:lang w:val="pt-BR"/>
        </w:rPr>
        <w:t xml:space="preserve">, 17, 4, </w:t>
      </w:r>
      <w:r w:rsidRPr="00EE212E">
        <w:rPr>
          <w:lang w:val="pt-BR"/>
        </w:rPr>
        <w:t>269-282, 1999.</w:t>
      </w:r>
    </w:p>
    <w:p w:rsidR="00F514B0" w:rsidRPr="00D52A6A" w:rsidRDefault="00F514B0" w:rsidP="00F514B0">
      <w:pPr>
        <w:pStyle w:val="CETReferencetext"/>
        <w:rPr>
          <w:lang w:val="pt-BR"/>
        </w:rPr>
      </w:pPr>
      <w:r w:rsidRPr="007524ED">
        <w:rPr>
          <w:lang w:val="pt-BR"/>
        </w:rPr>
        <w:t>M</w:t>
      </w:r>
      <w:r w:rsidR="00D52A6A" w:rsidRPr="007524ED">
        <w:rPr>
          <w:lang w:val="pt-BR"/>
        </w:rPr>
        <w:t>arin</w:t>
      </w:r>
      <w:r w:rsidRPr="007524ED">
        <w:rPr>
          <w:lang w:val="pt-BR"/>
        </w:rPr>
        <w:t xml:space="preserve"> P., B</w:t>
      </w:r>
      <w:r w:rsidR="00D52A6A" w:rsidRPr="007524ED">
        <w:rPr>
          <w:lang w:val="pt-BR"/>
        </w:rPr>
        <w:t>orba</w:t>
      </w:r>
      <w:r w:rsidRPr="007524ED">
        <w:rPr>
          <w:lang w:val="pt-BR"/>
        </w:rPr>
        <w:t xml:space="preserve"> </w:t>
      </w:r>
      <w:proofErr w:type="spellStart"/>
      <w:r w:rsidRPr="007524ED">
        <w:rPr>
          <w:lang w:val="pt-BR"/>
        </w:rPr>
        <w:t>C.E.</w:t>
      </w:r>
      <w:proofErr w:type="spellEnd"/>
      <w:r w:rsidRPr="007524ED">
        <w:rPr>
          <w:lang w:val="pt-BR"/>
        </w:rPr>
        <w:t xml:space="preserve">, </w:t>
      </w:r>
      <w:proofErr w:type="spellStart"/>
      <w:r w:rsidRPr="007524ED">
        <w:rPr>
          <w:lang w:val="pt-BR"/>
        </w:rPr>
        <w:t>M</w:t>
      </w:r>
      <w:r w:rsidR="00D52A6A" w:rsidRPr="007524ED">
        <w:rPr>
          <w:lang w:val="pt-BR"/>
        </w:rPr>
        <w:t>ódenes</w:t>
      </w:r>
      <w:proofErr w:type="spellEnd"/>
      <w:r w:rsidR="00D52A6A" w:rsidRPr="007524ED">
        <w:rPr>
          <w:lang w:val="pt-BR"/>
        </w:rPr>
        <w:t xml:space="preserve"> </w:t>
      </w:r>
      <w:proofErr w:type="spellStart"/>
      <w:r w:rsidRPr="007524ED">
        <w:rPr>
          <w:lang w:val="pt-BR"/>
        </w:rPr>
        <w:t>A.N.</w:t>
      </w:r>
      <w:proofErr w:type="spellEnd"/>
      <w:r w:rsidRPr="007524ED">
        <w:rPr>
          <w:lang w:val="pt-BR"/>
        </w:rPr>
        <w:t>, O</w:t>
      </w:r>
      <w:r w:rsidR="00D52A6A" w:rsidRPr="007524ED">
        <w:rPr>
          <w:lang w:val="pt-BR"/>
        </w:rPr>
        <w:t>liveira</w:t>
      </w:r>
      <w:r w:rsidRPr="007524ED">
        <w:rPr>
          <w:lang w:val="pt-BR"/>
        </w:rPr>
        <w:t xml:space="preserve"> </w:t>
      </w:r>
      <w:proofErr w:type="spellStart"/>
      <w:r w:rsidRPr="007524ED">
        <w:rPr>
          <w:lang w:val="pt-BR"/>
        </w:rPr>
        <w:t>S.P.D.</w:t>
      </w:r>
      <w:proofErr w:type="spellEnd"/>
      <w:r w:rsidRPr="007524ED">
        <w:rPr>
          <w:lang w:val="pt-BR"/>
        </w:rPr>
        <w:t xml:space="preserve">, </w:t>
      </w:r>
      <w:proofErr w:type="spellStart"/>
      <w:r w:rsidRPr="007524ED">
        <w:rPr>
          <w:lang w:val="pt-BR"/>
        </w:rPr>
        <w:t>P</w:t>
      </w:r>
      <w:r w:rsidR="00D52A6A" w:rsidRPr="007524ED">
        <w:rPr>
          <w:lang w:val="pt-BR"/>
        </w:rPr>
        <w:t>assaia</w:t>
      </w:r>
      <w:proofErr w:type="spellEnd"/>
      <w:r w:rsidRPr="007524ED">
        <w:rPr>
          <w:lang w:val="pt-BR"/>
        </w:rPr>
        <w:t xml:space="preserve"> N., F</w:t>
      </w:r>
      <w:r w:rsidR="00D52A6A" w:rsidRPr="007524ED">
        <w:rPr>
          <w:lang w:val="pt-BR"/>
        </w:rPr>
        <w:t>igueiredo</w:t>
      </w:r>
      <w:r w:rsidRPr="007524ED">
        <w:rPr>
          <w:lang w:val="pt-BR"/>
        </w:rPr>
        <w:t xml:space="preserve"> L.S.</w:t>
      </w:r>
      <w:r w:rsidR="00EB667B" w:rsidRPr="007524ED">
        <w:rPr>
          <w:lang w:val="pt-BR"/>
        </w:rPr>
        <w:t>, 2015,</w:t>
      </w:r>
      <w:r w:rsidRPr="007524ED">
        <w:rPr>
          <w:lang w:val="pt-BR"/>
        </w:rPr>
        <w:t xml:space="preserve"> Avaliação do efeito da temperatura, pH e granulometria do adsorvente na adsorção do corante Azul Reativo 5G</w:t>
      </w:r>
      <w:r w:rsidR="00EB667B" w:rsidRPr="007524ED">
        <w:rPr>
          <w:lang w:val="pt-BR"/>
        </w:rPr>
        <w:t>,</w:t>
      </w:r>
      <w:r w:rsidRPr="007524ED">
        <w:rPr>
          <w:lang w:val="pt-BR"/>
        </w:rPr>
        <w:t xml:space="preserve"> </w:t>
      </w:r>
      <w:proofErr w:type="spellStart"/>
      <w:r w:rsidRPr="007524ED">
        <w:rPr>
          <w:lang w:val="pt-BR"/>
        </w:rPr>
        <w:t>Engevista</w:t>
      </w:r>
      <w:proofErr w:type="spellEnd"/>
      <w:r w:rsidRPr="007524ED">
        <w:rPr>
          <w:lang w:val="pt-BR"/>
        </w:rPr>
        <w:t xml:space="preserve">, 17, </w:t>
      </w:r>
      <w:r w:rsidR="00EB667B" w:rsidRPr="007524ED">
        <w:rPr>
          <w:lang w:val="pt-BR"/>
        </w:rPr>
        <w:t>1, 59-68.</w:t>
      </w:r>
    </w:p>
    <w:p w:rsidR="00F514B0" w:rsidRPr="00D3439F" w:rsidRDefault="00F514B0" w:rsidP="0074456A">
      <w:pPr>
        <w:pStyle w:val="CETReferencetext"/>
        <w:rPr>
          <w:lang w:val="en-US"/>
        </w:rPr>
      </w:pPr>
      <w:r w:rsidRPr="00D3439F">
        <w:rPr>
          <w:lang w:val="en-US"/>
        </w:rPr>
        <w:t>R</w:t>
      </w:r>
      <w:r w:rsidR="008411AB" w:rsidRPr="00D3439F">
        <w:rPr>
          <w:lang w:val="en-US"/>
        </w:rPr>
        <w:t>afael H., 2016,</w:t>
      </w:r>
      <w:r w:rsidRPr="00D3439F">
        <w:rPr>
          <w:lang w:val="en-US"/>
        </w:rPr>
        <w:t xml:space="preserve"> </w:t>
      </w:r>
      <w:proofErr w:type="spellStart"/>
      <w:r w:rsidR="00F93807" w:rsidRPr="00D3439F">
        <w:rPr>
          <w:lang w:val="en-US"/>
        </w:rPr>
        <w:t>Biosorption</w:t>
      </w:r>
      <w:proofErr w:type="spellEnd"/>
      <w:r w:rsidR="00F93807" w:rsidRPr="00D3439F">
        <w:rPr>
          <w:lang w:val="en-US"/>
        </w:rPr>
        <w:t xml:space="preserve"> of textile dye Black </w:t>
      </w:r>
      <w:proofErr w:type="spellStart"/>
      <w:r w:rsidR="00F93807" w:rsidRPr="00D3439F">
        <w:rPr>
          <w:lang w:val="en-US"/>
        </w:rPr>
        <w:t>Reafix</w:t>
      </w:r>
      <w:proofErr w:type="spellEnd"/>
      <w:r w:rsidR="00F93807" w:rsidRPr="00D3439F">
        <w:rPr>
          <w:lang w:val="en-US"/>
        </w:rPr>
        <w:t xml:space="preserve"> Super 2R by malt </w:t>
      </w:r>
      <w:proofErr w:type="spellStart"/>
      <w:r w:rsidR="00F93807" w:rsidRPr="00D3439F">
        <w:rPr>
          <w:lang w:val="en-US"/>
        </w:rPr>
        <w:t>bagasse</w:t>
      </w:r>
      <w:proofErr w:type="spellEnd"/>
      <w:r w:rsidR="008411AB" w:rsidRPr="00D3439F">
        <w:rPr>
          <w:lang w:val="en-US"/>
        </w:rPr>
        <w:t>,</w:t>
      </w:r>
      <w:r w:rsidR="0074456A" w:rsidRPr="00D3439F">
        <w:rPr>
          <w:lang w:val="en-US"/>
        </w:rPr>
        <w:t xml:space="preserve"> Master’s Dissertation, Polytechnic Institute of </w:t>
      </w:r>
      <w:proofErr w:type="spellStart"/>
      <w:r w:rsidR="0074456A" w:rsidRPr="00D3439F">
        <w:rPr>
          <w:lang w:val="en-US"/>
        </w:rPr>
        <w:t>Bragança</w:t>
      </w:r>
      <w:proofErr w:type="spellEnd"/>
      <w:r w:rsidR="0074456A" w:rsidRPr="00D3439F">
        <w:rPr>
          <w:lang w:val="en-US"/>
        </w:rPr>
        <w:t xml:space="preserve">, </w:t>
      </w:r>
      <w:proofErr w:type="spellStart"/>
      <w:r w:rsidRPr="00D3439F">
        <w:rPr>
          <w:lang w:val="en-US"/>
        </w:rPr>
        <w:t>Bragança</w:t>
      </w:r>
      <w:proofErr w:type="spellEnd"/>
      <w:r w:rsidR="0003401C" w:rsidRPr="00D3439F">
        <w:rPr>
          <w:lang w:val="en-US"/>
        </w:rPr>
        <w:t xml:space="preserve">, </w:t>
      </w:r>
      <w:r w:rsidR="0074456A" w:rsidRPr="00D3439F">
        <w:rPr>
          <w:lang w:val="en-US"/>
        </w:rPr>
        <w:t>PT.</w:t>
      </w:r>
    </w:p>
    <w:p w:rsidR="00EE212E" w:rsidRPr="00D3439F" w:rsidRDefault="00EE212E" w:rsidP="0074456A">
      <w:pPr>
        <w:pStyle w:val="CETReferencetext"/>
        <w:rPr>
          <w:lang w:val="en-US"/>
        </w:rPr>
      </w:pPr>
      <w:r w:rsidRPr="00D3439F">
        <w:rPr>
          <w:lang w:val="en-US"/>
        </w:rPr>
        <w:t xml:space="preserve">Rubio A.J., Silva I.Z., </w:t>
      </w:r>
      <w:proofErr w:type="spellStart"/>
      <w:r w:rsidRPr="00D3439F">
        <w:rPr>
          <w:lang w:val="en-US"/>
        </w:rPr>
        <w:t>Gasparotto</w:t>
      </w:r>
      <w:proofErr w:type="spellEnd"/>
      <w:r w:rsidRPr="00D3439F">
        <w:rPr>
          <w:lang w:val="en-US"/>
        </w:rPr>
        <w:t xml:space="preserve"> F., </w:t>
      </w:r>
      <w:proofErr w:type="spellStart"/>
      <w:r w:rsidRPr="00D3439F">
        <w:rPr>
          <w:lang w:val="en-US"/>
        </w:rPr>
        <w:t>Paccola</w:t>
      </w:r>
      <w:proofErr w:type="spellEnd"/>
      <w:r w:rsidRPr="00D3439F">
        <w:rPr>
          <w:lang w:val="en-US"/>
        </w:rPr>
        <w:t xml:space="preserve"> E.A.S., Silva C.N., </w:t>
      </w:r>
      <w:proofErr w:type="spellStart"/>
      <w:r w:rsidRPr="00D3439F">
        <w:rPr>
          <w:lang w:val="en-US"/>
        </w:rPr>
        <w:t>Emanuelli</w:t>
      </w:r>
      <w:proofErr w:type="spellEnd"/>
      <w:r w:rsidRPr="00D3439F">
        <w:rPr>
          <w:lang w:val="en-US"/>
        </w:rPr>
        <w:t xml:space="preserve"> I.P., </w:t>
      </w:r>
      <w:proofErr w:type="spellStart"/>
      <w:r w:rsidRPr="00D3439F">
        <w:rPr>
          <w:lang w:val="en-US"/>
        </w:rPr>
        <w:t>Bergamasco</w:t>
      </w:r>
      <w:proofErr w:type="spellEnd"/>
      <w:r w:rsidRPr="00D3439F">
        <w:rPr>
          <w:lang w:val="en-US"/>
        </w:rPr>
        <w:t xml:space="preserve"> R., Yamaguchi N.U., 2018, Removal of </w:t>
      </w:r>
      <w:proofErr w:type="spellStart"/>
      <w:r w:rsidRPr="00D3439F">
        <w:rPr>
          <w:lang w:val="en-US"/>
        </w:rPr>
        <w:t>Methylene</w:t>
      </w:r>
      <w:proofErr w:type="spellEnd"/>
      <w:r w:rsidRPr="00D3439F">
        <w:rPr>
          <w:lang w:val="en-US"/>
        </w:rPr>
        <w:t xml:space="preserve"> Blue Using Cassava Bark Residue, Chemical Engineering Transactions, 65, 751-756.</w:t>
      </w:r>
    </w:p>
    <w:p w:rsidR="00F514B0" w:rsidRPr="00D3439F" w:rsidRDefault="00F514B0" w:rsidP="00F514B0">
      <w:pPr>
        <w:pStyle w:val="CETReferencetext"/>
        <w:rPr>
          <w:lang w:val="en-US"/>
        </w:rPr>
      </w:pPr>
      <w:proofErr w:type="spellStart"/>
      <w:r w:rsidRPr="00D3439F">
        <w:rPr>
          <w:lang w:val="en-US"/>
        </w:rPr>
        <w:t>S</w:t>
      </w:r>
      <w:r w:rsidR="00EF09E9" w:rsidRPr="00D3439F">
        <w:rPr>
          <w:lang w:val="en-US"/>
        </w:rPr>
        <w:t>heufele</w:t>
      </w:r>
      <w:proofErr w:type="spellEnd"/>
      <w:r w:rsidRPr="00D3439F">
        <w:rPr>
          <w:lang w:val="en-US"/>
        </w:rPr>
        <w:t xml:space="preserve"> F.B., </w:t>
      </w:r>
      <w:proofErr w:type="spellStart"/>
      <w:r w:rsidRPr="00D3439F">
        <w:rPr>
          <w:lang w:val="en-US"/>
        </w:rPr>
        <w:t>M</w:t>
      </w:r>
      <w:r w:rsidR="00EF09E9" w:rsidRPr="00D3439F">
        <w:rPr>
          <w:lang w:val="en-US"/>
        </w:rPr>
        <w:t>ódenes</w:t>
      </w:r>
      <w:proofErr w:type="spellEnd"/>
      <w:r w:rsidRPr="00D3439F">
        <w:rPr>
          <w:lang w:val="en-US"/>
        </w:rPr>
        <w:t xml:space="preserve"> A.N., </w:t>
      </w:r>
      <w:proofErr w:type="spellStart"/>
      <w:r w:rsidRPr="00D3439F">
        <w:rPr>
          <w:lang w:val="en-US"/>
        </w:rPr>
        <w:t>B</w:t>
      </w:r>
      <w:r w:rsidR="00EF09E9" w:rsidRPr="00D3439F">
        <w:rPr>
          <w:lang w:val="en-US"/>
        </w:rPr>
        <w:t>orba</w:t>
      </w:r>
      <w:proofErr w:type="spellEnd"/>
      <w:r w:rsidRPr="00D3439F">
        <w:rPr>
          <w:lang w:val="en-US"/>
        </w:rPr>
        <w:t xml:space="preserve"> C.E., </w:t>
      </w:r>
      <w:proofErr w:type="spellStart"/>
      <w:r w:rsidRPr="00D3439F">
        <w:rPr>
          <w:lang w:val="en-US"/>
        </w:rPr>
        <w:t>R</w:t>
      </w:r>
      <w:r w:rsidR="00EF09E9" w:rsidRPr="00D3439F">
        <w:rPr>
          <w:lang w:val="en-US"/>
        </w:rPr>
        <w:t>ibeiro</w:t>
      </w:r>
      <w:proofErr w:type="spellEnd"/>
      <w:r w:rsidR="00EF09E9" w:rsidRPr="00D3439F">
        <w:rPr>
          <w:lang w:val="en-US"/>
        </w:rPr>
        <w:t xml:space="preserve"> </w:t>
      </w:r>
      <w:r w:rsidRPr="00D3439F">
        <w:rPr>
          <w:lang w:val="en-US"/>
        </w:rPr>
        <w:t>C., E</w:t>
      </w:r>
      <w:r w:rsidR="00EF09E9" w:rsidRPr="00D3439F">
        <w:rPr>
          <w:lang w:val="en-US"/>
        </w:rPr>
        <w:t>spinoza</w:t>
      </w:r>
      <w:r w:rsidRPr="00D3439F">
        <w:rPr>
          <w:lang w:val="en-US"/>
        </w:rPr>
        <w:t>-</w:t>
      </w:r>
      <w:proofErr w:type="spellStart"/>
      <w:r w:rsidRPr="00D3439F">
        <w:rPr>
          <w:lang w:val="en-US"/>
        </w:rPr>
        <w:t>Q</w:t>
      </w:r>
      <w:r w:rsidR="00EF09E9" w:rsidRPr="00D3439F">
        <w:rPr>
          <w:lang w:val="en-US"/>
        </w:rPr>
        <w:t>uiñones</w:t>
      </w:r>
      <w:proofErr w:type="spellEnd"/>
      <w:r w:rsidRPr="00D3439F">
        <w:rPr>
          <w:lang w:val="en-US"/>
        </w:rPr>
        <w:t xml:space="preserve"> F.R., </w:t>
      </w:r>
      <w:proofErr w:type="spellStart"/>
      <w:r w:rsidRPr="00D3439F">
        <w:rPr>
          <w:lang w:val="en-US"/>
        </w:rPr>
        <w:t>B</w:t>
      </w:r>
      <w:r w:rsidR="00EF09E9" w:rsidRPr="00D3439F">
        <w:rPr>
          <w:lang w:val="en-US"/>
        </w:rPr>
        <w:t>ergamasco</w:t>
      </w:r>
      <w:proofErr w:type="spellEnd"/>
      <w:r w:rsidRPr="00D3439F">
        <w:rPr>
          <w:lang w:val="en-US"/>
        </w:rPr>
        <w:t xml:space="preserve"> R., P</w:t>
      </w:r>
      <w:r w:rsidR="00EF09E9" w:rsidRPr="00D3439F">
        <w:rPr>
          <w:lang w:val="en-US"/>
        </w:rPr>
        <w:t xml:space="preserve">ereira N.C., 2016, </w:t>
      </w:r>
      <w:r w:rsidRPr="00D3439F">
        <w:rPr>
          <w:lang w:val="en-US"/>
        </w:rPr>
        <w:t>Monolayer-multilayer adsorption phenomenological model: kinetics,</w:t>
      </w:r>
      <w:r w:rsidR="00EF09E9" w:rsidRPr="00D3439F">
        <w:rPr>
          <w:lang w:val="en-US"/>
        </w:rPr>
        <w:t xml:space="preserve"> equilibrium and thermodynamics,</w:t>
      </w:r>
      <w:r w:rsidRPr="00D3439F">
        <w:rPr>
          <w:lang w:val="en-US"/>
        </w:rPr>
        <w:t xml:space="preserve"> </w:t>
      </w:r>
      <w:r w:rsidR="00EF09E9" w:rsidRPr="00D3439F">
        <w:rPr>
          <w:lang w:val="en-US"/>
        </w:rPr>
        <w:t>Chemical Engineering Journal, 284, 1328-1341.</w:t>
      </w:r>
    </w:p>
    <w:p w:rsidR="007524ED" w:rsidRPr="007524ED" w:rsidRDefault="007C0464" w:rsidP="007524ED">
      <w:pPr>
        <w:pStyle w:val="CETReferencetext"/>
        <w:rPr>
          <w:lang w:val="pt-BR"/>
        </w:rPr>
      </w:pPr>
      <w:proofErr w:type="spellStart"/>
      <w:r>
        <w:rPr>
          <w:lang w:val="pt-BR"/>
        </w:rPr>
        <w:t>Zanutto</w:t>
      </w:r>
      <w:proofErr w:type="spellEnd"/>
      <w:r>
        <w:rPr>
          <w:lang w:val="pt-BR"/>
        </w:rPr>
        <w:t xml:space="preserve"> A., Silva B. C., Duarte </w:t>
      </w:r>
      <w:proofErr w:type="spellStart"/>
      <w:r>
        <w:rPr>
          <w:lang w:val="pt-BR"/>
        </w:rPr>
        <w:t>E.R.</w:t>
      </w:r>
      <w:proofErr w:type="spellEnd"/>
      <w:r>
        <w:rPr>
          <w:lang w:val="pt-BR"/>
        </w:rPr>
        <w:t xml:space="preserve">, Almeida </w:t>
      </w:r>
      <w:proofErr w:type="spellStart"/>
      <w:r>
        <w:rPr>
          <w:lang w:val="pt-BR"/>
        </w:rPr>
        <w:t>L.N.B.</w:t>
      </w:r>
      <w:proofErr w:type="spellEnd"/>
      <w:r>
        <w:rPr>
          <w:lang w:val="pt-BR"/>
        </w:rPr>
        <w:t xml:space="preserve">, </w:t>
      </w:r>
      <w:proofErr w:type="spellStart"/>
      <w:r>
        <w:rPr>
          <w:lang w:val="pt-BR"/>
        </w:rPr>
        <w:t>Pietrobelli</w:t>
      </w:r>
      <w:proofErr w:type="spellEnd"/>
      <w:r>
        <w:rPr>
          <w:lang w:val="pt-BR"/>
        </w:rPr>
        <w:t xml:space="preserve"> </w:t>
      </w:r>
      <w:proofErr w:type="spellStart"/>
      <w:r>
        <w:rPr>
          <w:lang w:val="pt-BR"/>
        </w:rPr>
        <w:t>J.M.T.A.</w:t>
      </w:r>
      <w:proofErr w:type="spellEnd"/>
      <w:r>
        <w:rPr>
          <w:lang w:val="pt-BR"/>
        </w:rPr>
        <w:t xml:space="preserve">, 2015, </w:t>
      </w:r>
      <w:r w:rsidRPr="00F93807">
        <w:rPr>
          <w:lang w:val="pt-BR"/>
        </w:rPr>
        <w:t>Avaliação cinética do bagaço de malte na remoção do corante amarelo reativo, In: 21st Congresso brasileiro de engenharia química em iniciação científica, Ca</w:t>
      </w:r>
      <w:r w:rsidR="007524ED" w:rsidRPr="00F93807">
        <w:rPr>
          <w:lang w:val="pt-BR"/>
        </w:rPr>
        <w:t xml:space="preserve">mpinas, São Paulo: </w:t>
      </w:r>
      <w:proofErr w:type="spellStart"/>
      <w:r w:rsidR="007524ED" w:rsidRPr="00F93807">
        <w:rPr>
          <w:lang w:val="pt-BR"/>
        </w:rPr>
        <w:t>Blucher</w:t>
      </w:r>
      <w:proofErr w:type="spellEnd"/>
      <w:r w:rsidR="007524ED" w:rsidRPr="00F93807">
        <w:rPr>
          <w:lang w:val="pt-BR"/>
        </w:rPr>
        <w:t>, BR.</w:t>
      </w:r>
    </w:p>
    <w:sectPr w:rsidR="007524ED" w:rsidRPr="007524E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49" w:rsidRDefault="00072649" w:rsidP="004F5E36">
      <w:r>
        <w:separator/>
      </w:r>
    </w:p>
  </w:endnote>
  <w:endnote w:type="continuationSeparator" w:id="0">
    <w:p w:rsidR="00072649" w:rsidRDefault="00072649"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49" w:rsidRDefault="00072649" w:rsidP="004F5E36">
      <w:r>
        <w:separator/>
      </w:r>
    </w:p>
  </w:footnote>
  <w:footnote w:type="continuationSeparator" w:id="0">
    <w:p w:rsidR="00072649" w:rsidRDefault="00072649"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66829F4"/>
    <w:multiLevelType w:val="singleLevel"/>
    <w:tmpl w:val="0416000F"/>
    <w:lvl w:ilvl="0">
      <w:start w:val="1"/>
      <w:numFmt w:val="decimal"/>
      <w:lvlText w:val="%1."/>
      <w:lvlJc w:val="left"/>
      <w:pPr>
        <w:ind w:left="720" w:hanging="360"/>
      </w:pPr>
    </w:lvl>
  </w:abstractNum>
  <w:abstractNum w:abstractNumId="12">
    <w:nsid w:val="29415601"/>
    <w:multiLevelType w:val="hybridMultilevel"/>
    <w:tmpl w:val="483C7B54"/>
    <w:lvl w:ilvl="0" w:tplc="B19A115A">
      <w:start w:val="1"/>
      <w:numFmt w:val="bullet"/>
      <w:lvlText w:val="•"/>
      <w:lvlJc w:val="left"/>
      <w:pPr>
        <w:tabs>
          <w:tab w:val="num" w:pos="720"/>
        </w:tabs>
        <w:ind w:left="720" w:hanging="360"/>
      </w:pPr>
      <w:rPr>
        <w:rFonts w:ascii="Arial" w:hAnsi="Arial" w:hint="default"/>
      </w:rPr>
    </w:lvl>
    <w:lvl w:ilvl="1" w:tplc="F1BC5914" w:tentative="1">
      <w:start w:val="1"/>
      <w:numFmt w:val="bullet"/>
      <w:lvlText w:val="•"/>
      <w:lvlJc w:val="left"/>
      <w:pPr>
        <w:tabs>
          <w:tab w:val="num" w:pos="1440"/>
        </w:tabs>
        <w:ind w:left="1440" w:hanging="360"/>
      </w:pPr>
      <w:rPr>
        <w:rFonts w:ascii="Arial" w:hAnsi="Arial" w:hint="default"/>
      </w:rPr>
    </w:lvl>
    <w:lvl w:ilvl="2" w:tplc="DEC4B240" w:tentative="1">
      <w:start w:val="1"/>
      <w:numFmt w:val="bullet"/>
      <w:lvlText w:val="•"/>
      <w:lvlJc w:val="left"/>
      <w:pPr>
        <w:tabs>
          <w:tab w:val="num" w:pos="2160"/>
        </w:tabs>
        <w:ind w:left="2160" w:hanging="360"/>
      </w:pPr>
      <w:rPr>
        <w:rFonts w:ascii="Arial" w:hAnsi="Arial" w:hint="default"/>
      </w:rPr>
    </w:lvl>
    <w:lvl w:ilvl="3" w:tplc="EB2821E8" w:tentative="1">
      <w:start w:val="1"/>
      <w:numFmt w:val="bullet"/>
      <w:lvlText w:val="•"/>
      <w:lvlJc w:val="left"/>
      <w:pPr>
        <w:tabs>
          <w:tab w:val="num" w:pos="2880"/>
        </w:tabs>
        <w:ind w:left="2880" w:hanging="360"/>
      </w:pPr>
      <w:rPr>
        <w:rFonts w:ascii="Arial" w:hAnsi="Arial" w:hint="default"/>
      </w:rPr>
    </w:lvl>
    <w:lvl w:ilvl="4" w:tplc="42DAFD0C" w:tentative="1">
      <w:start w:val="1"/>
      <w:numFmt w:val="bullet"/>
      <w:lvlText w:val="•"/>
      <w:lvlJc w:val="left"/>
      <w:pPr>
        <w:tabs>
          <w:tab w:val="num" w:pos="3600"/>
        </w:tabs>
        <w:ind w:left="3600" w:hanging="360"/>
      </w:pPr>
      <w:rPr>
        <w:rFonts w:ascii="Arial" w:hAnsi="Arial" w:hint="default"/>
      </w:rPr>
    </w:lvl>
    <w:lvl w:ilvl="5" w:tplc="4A805DA0" w:tentative="1">
      <w:start w:val="1"/>
      <w:numFmt w:val="bullet"/>
      <w:lvlText w:val="•"/>
      <w:lvlJc w:val="left"/>
      <w:pPr>
        <w:tabs>
          <w:tab w:val="num" w:pos="4320"/>
        </w:tabs>
        <w:ind w:left="4320" w:hanging="360"/>
      </w:pPr>
      <w:rPr>
        <w:rFonts w:ascii="Arial" w:hAnsi="Arial" w:hint="default"/>
      </w:rPr>
    </w:lvl>
    <w:lvl w:ilvl="6" w:tplc="28302CC6" w:tentative="1">
      <w:start w:val="1"/>
      <w:numFmt w:val="bullet"/>
      <w:lvlText w:val="•"/>
      <w:lvlJc w:val="left"/>
      <w:pPr>
        <w:tabs>
          <w:tab w:val="num" w:pos="5040"/>
        </w:tabs>
        <w:ind w:left="5040" w:hanging="360"/>
      </w:pPr>
      <w:rPr>
        <w:rFonts w:ascii="Arial" w:hAnsi="Arial" w:hint="default"/>
      </w:rPr>
    </w:lvl>
    <w:lvl w:ilvl="7" w:tplc="101682D8" w:tentative="1">
      <w:start w:val="1"/>
      <w:numFmt w:val="bullet"/>
      <w:lvlText w:val="•"/>
      <w:lvlJc w:val="left"/>
      <w:pPr>
        <w:tabs>
          <w:tab w:val="num" w:pos="5760"/>
        </w:tabs>
        <w:ind w:left="5760" w:hanging="360"/>
      </w:pPr>
      <w:rPr>
        <w:rFonts w:ascii="Arial" w:hAnsi="Arial" w:hint="default"/>
      </w:rPr>
    </w:lvl>
    <w:lvl w:ilvl="8" w:tplc="29CCDB3A" w:tentative="1">
      <w:start w:val="1"/>
      <w:numFmt w:val="bullet"/>
      <w:lvlText w:val="•"/>
      <w:lvlJc w:val="left"/>
      <w:pPr>
        <w:tabs>
          <w:tab w:val="num" w:pos="6480"/>
        </w:tabs>
        <w:ind w:left="6480" w:hanging="360"/>
      </w:pPr>
      <w:rPr>
        <w:rFonts w:ascii="Arial" w:hAnsi="Arial"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08513E"/>
    <w:multiLevelType w:val="hybridMultilevel"/>
    <w:tmpl w:val="E35AA98A"/>
    <w:lvl w:ilvl="0" w:tplc="9EBAE090">
      <w:start w:val="1"/>
      <w:numFmt w:val="bullet"/>
      <w:lvlText w:val="•"/>
      <w:lvlJc w:val="left"/>
      <w:pPr>
        <w:tabs>
          <w:tab w:val="num" w:pos="720"/>
        </w:tabs>
        <w:ind w:left="720" w:hanging="360"/>
      </w:pPr>
      <w:rPr>
        <w:rFonts w:ascii="Arial" w:hAnsi="Arial" w:hint="default"/>
      </w:rPr>
    </w:lvl>
    <w:lvl w:ilvl="1" w:tplc="8C56447A" w:tentative="1">
      <w:start w:val="1"/>
      <w:numFmt w:val="bullet"/>
      <w:lvlText w:val="•"/>
      <w:lvlJc w:val="left"/>
      <w:pPr>
        <w:tabs>
          <w:tab w:val="num" w:pos="1440"/>
        </w:tabs>
        <w:ind w:left="1440" w:hanging="360"/>
      </w:pPr>
      <w:rPr>
        <w:rFonts w:ascii="Arial" w:hAnsi="Arial" w:hint="default"/>
      </w:rPr>
    </w:lvl>
    <w:lvl w:ilvl="2" w:tplc="5588C2A4" w:tentative="1">
      <w:start w:val="1"/>
      <w:numFmt w:val="bullet"/>
      <w:lvlText w:val="•"/>
      <w:lvlJc w:val="left"/>
      <w:pPr>
        <w:tabs>
          <w:tab w:val="num" w:pos="2160"/>
        </w:tabs>
        <w:ind w:left="2160" w:hanging="360"/>
      </w:pPr>
      <w:rPr>
        <w:rFonts w:ascii="Arial" w:hAnsi="Arial" w:hint="default"/>
      </w:rPr>
    </w:lvl>
    <w:lvl w:ilvl="3" w:tplc="C5E0B5A4" w:tentative="1">
      <w:start w:val="1"/>
      <w:numFmt w:val="bullet"/>
      <w:lvlText w:val="•"/>
      <w:lvlJc w:val="left"/>
      <w:pPr>
        <w:tabs>
          <w:tab w:val="num" w:pos="2880"/>
        </w:tabs>
        <w:ind w:left="2880" w:hanging="360"/>
      </w:pPr>
      <w:rPr>
        <w:rFonts w:ascii="Arial" w:hAnsi="Arial" w:hint="default"/>
      </w:rPr>
    </w:lvl>
    <w:lvl w:ilvl="4" w:tplc="D206ED94" w:tentative="1">
      <w:start w:val="1"/>
      <w:numFmt w:val="bullet"/>
      <w:lvlText w:val="•"/>
      <w:lvlJc w:val="left"/>
      <w:pPr>
        <w:tabs>
          <w:tab w:val="num" w:pos="3600"/>
        </w:tabs>
        <w:ind w:left="3600" w:hanging="360"/>
      </w:pPr>
      <w:rPr>
        <w:rFonts w:ascii="Arial" w:hAnsi="Arial" w:hint="default"/>
      </w:rPr>
    </w:lvl>
    <w:lvl w:ilvl="5" w:tplc="FBD27484" w:tentative="1">
      <w:start w:val="1"/>
      <w:numFmt w:val="bullet"/>
      <w:lvlText w:val="•"/>
      <w:lvlJc w:val="left"/>
      <w:pPr>
        <w:tabs>
          <w:tab w:val="num" w:pos="4320"/>
        </w:tabs>
        <w:ind w:left="4320" w:hanging="360"/>
      </w:pPr>
      <w:rPr>
        <w:rFonts w:ascii="Arial" w:hAnsi="Arial" w:hint="default"/>
      </w:rPr>
    </w:lvl>
    <w:lvl w:ilvl="6" w:tplc="8E98E16A" w:tentative="1">
      <w:start w:val="1"/>
      <w:numFmt w:val="bullet"/>
      <w:lvlText w:val="•"/>
      <w:lvlJc w:val="left"/>
      <w:pPr>
        <w:tabs>
          <w:tab w:val="num" w:pos="5040"/>
        </w:tabs>
        <w:ind w:left="5040" w:hanging="360"/>
      </w:pPr>
      <w:rPr>
        <w:rFonts w:ascii="Arial" w:hAnsi="Arial" w:hint="default"/>
      </w:rPr>
    </w:lvl>
    <w:lvl w:ilvl="7" w:tplc="50982DB2" w:tentative="1">
      <w:start w:val="1"/>
      <w:numFmt w:val="bullet"/>
      <w:lvlText w:val="•"/>
      <w:lvlJc w:val="left"/>
      <w:pPr>
        <w:tabs>
          <w:tab w:val="num" w:pos="5760"/>
        </w:tabs>
        <w:ind w:left="5760" w:hanging="360"/>
      </w:pPr>
      <w:rPr>
        <w:rFonts w:ascii="Arial" w:hAnsi="Arial" w:hint="default"/>
      </w:rPr>
    </w:lvl>
    <w:lvl w:ilvl="8" w:tplc="89C0EDA4" w:tentative="1">
      <w:start w:val="1"/>
      <w:numFmt w:val="bullet"/>
      <w:lvlText w:val="•"/>
      <w:lvlJc w:val="left"/>
      <w:pPr>
        <w:tabs>
          <w:tab w:val="num" w:pos="6480"/>
        </w:tabs>
        <w:ind w:left="6480" w:hanging="360"/>
      </w:pPr>
      <w:rPr>
        <w:rFonts w:ascii="Arial" w:hAnsi="Arial" w:hint="default"/>
      </w:r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1"/>
  </w:num>
  <w:num w:numId="23">
    <w:abstractNumId w:val="2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LockTheme/>
  <w:styleLockQFSet/>
  <w:defaultTabStop w:val="708"/>
  <w:hyphenationZone w:val="283"/>
  <w:clickAndTypeStyle w:val="CETBodytext"/>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4B48"/>
    <w:rsid w:val="00014E04"/>
    <w:rsid w:val="0003148D"/>
    <w:rsid w:val="0003401C"/>
    <w:rsid w:val="00047D7F"/>
    <w:rsid w:val="00051566"/>
    <w:rsid w:val="00062A9A"/>
    <w:rsid w:val="00065058"/>
    <w:rsid w:val="00072649"/>
    <w:rsid w:val="000845EF"/>
    <w:rsid w:val="00084E74"/>
    <w:rsid w:val="00086C39"/>
    <w:rsid w:val="00093237"/>
    <w:rsid w:val="000A03B2"/>
    <w:rsid w:val="000A3B79"/>
    <w:rsid w:val="000C461B"/>
    <w:rsid w:val="000C7273"/>
    <w:rsid w:val="000D34BE"/>
    <w:rsid w:val="000E102F"/>
    <w:rsid w:val="000E36F1"/>
    <w:rsid w:val="000E3A73"/>
    <w:rsid w:val="000E414A"/>
    <w:rsid w:val="000F093C"/>
    <w:rsid w:val="000F16BD"/>
    <w:rsid w:val="000F787B"/>
    <w:rsid w:val="00105263"/>
    <w:rsid w:val="001102E6"/>
    <w:rsid w:val="0012091F"/>
    <w:rsid w:val="00126BC2"/>
    <w:rsid w:val="001308B6"/>
    <w:rsid w:val="0013121F"/>
    <w:rsid w:val="00131FAB"/>
    <w:rsid w:val="00131FE6"/>
    <w:rsid w:val="0013263F"/>
    <w:rsid w:val="00134DE4"/>
    <w:rsid w:val="0014034D"/>
    <w:rsid w:val="001428A5"/>
    <w:rsid w:val="00150E59"/>
    <w:rsid w:val="00152DE3"/>
    <w:rsid w:val="001551EB"/>
    <w:rsid w:val="001559AE"/>
    <w:rsid w:val="00162642"/>
    <w:rsid w:val="00164146"/>
    <w:rsid w:val="00164CF9"/>
    <w:rsid w:val="00167E29"/>
    <w:rsid w:val="00174E0C"/>
    <w:rsid w:val="00184AD6"/>
    <w:rsid w:val="001B0349"/>
    <w:rsid w:val="001B65C1"/>
    <w:rsid w:val="001C2359"/>
    <w:rsid w:val="001C684B"/>
    <w:rsid w:val="001D53FC"/>
    <w:rsid w:val="001D5DA1"/>
    <w:rsid w:val="001F222D"/>
    <w:rsid w:val="001F42A5"/>
    <w:rsid w:val="001F7B9D"/>
    <w:rsid w:val="00216B17"/>
    <w:rsid w:val="002224B4"/>
    <w:rsid w:val="002447EF"/>
    <w:rsid w:val="00251550"/>
    <w:rsid w:val="00252C1A"/>
    <w:rsid w:val="00263B05"/>
    <w:rsid w:val="0027221A"/>
    <w:rsid w:val="00275B61"/>
    <w:rsid w:val="002808B9"/>
    <w:rsid w:val="00282656"/>
    <w:rsid w:val="00290E34"/>
    <w:rsid w:val="00296B83"/>
    <w:rsid w:val="002B13E7"/>
    <w:rsid w:val="002B78CE"/>
    <w:rsid w:val="002C2FB6"/>
    <w:rsid w:val="002D5BCD"/>
    <w:rsid w:val="003009B7"/>
    <w:rsid w:val="00300E56"/>
    <w:rsid w:val="0030469C"/>
    <w:rsid w:val="00311C66"/>
    <w:rsid w:val="00321CA6"/>
    <w:rsid w:val="00334C09"/>
    <w:rsid w:val="003365E3"/>
    <w:rsid w:val="00346BB7"/>
    <w:rsid w:val="00356F20"/>
    <w:rsid w:val="003723D4"/>
    <w:rsid w:val="00384CC8"/>
    <w:rsid w:val="003871FD"/>
    <w:rsid w:val="003A0F2F"/>
    <w:rsid w:val="003A1E30"/>
    <w:rsid w:val="003A32B4"/>
    <w:rsid w:val="003A7D1C"/>
    <w:rsid w:val="003B304B"/>
    <w:rsid w:val="003B3146"/>
    <w:rsid w:val="003B60F3"/>
    <w:rsid w:val="003B7C13"/>
    <w:rsid w:val="003F015E"/>
    <w:rsid w:val="003F5ECB"/>
    <w:rsid w:val="00400414"/>
    <w:rsid w:val="0041446B"/>
    <w:rsid w:val="00432DCF"/>
    <w:rsid w:val="0044329C"/>
    <w:rsid w:val="004456CD"/>
    <w:rsid w:val="004577FE"/>
    <w:rsid w:val="00457B9C"/>
    <w:rsid w:val="0046164A"/>
    <w:rsid w:val="004628D2"/>
    <w:rsid w:val="00462DCD"/>
    <w:rsid w:val="004648AD"/>
    <w:rsid w:val="004703A9"/>
    <w:rsid w:val="004760DE"/>
    <w:rsid w:val="00476716"/>
    <w:rsid w:val="004A004E"/>
    <w:rsid w:val="004A24CF"/>
    <w:rsid w:val="004A2837"/>
    <w:rsid w:val="004B6721"/>
    <w:rsid w:val="004C3D1D"/>
    <w:rsid w:val="004C7913"/>
    <w:rsid w:val="004E4DD6"/>
    <w:rsid w:val="004F5E36"/>
    <w:rsid w:val="00507B47"/>
    <w:rsid w:val="00507CC9"/>
    <w:rsid w:val="005119A5"/>
    <w:rsid w:val="0052263C"/>
    <w:rsid w:val="00527627"/>
    <w:rsid w:val="005278B7"/>
    <w:rsid w:val="00532016"/>
    <w:rsid w:val="005346C8"/>
    <w:rsid w:val="00543E7D"/>
    <w:rsid w:val="00546B05"/>
    <w:rsid w:val="00547A68"/>
    <w:rsid w:val="005531C9"/>
    <w:rsid w:val="00556327"/>
    <w:rsid w:val="00566C99"/>
    <w:rsid w:val="00575AD7"/>
    <w:rsid w:val="00597E91"/>
    <w:rsid w:val="005B0E78"/>
    <w:rsid w:val="005B2110"/>
    <w:rsid w:val="005B61E6"/>
    <w:rsid w:val="005C77E1"/>
    <w:rsid w:val="005D6A2F"/>
    <w:rsid w:val="005E1A82"/>
    <w:rsid w:val="005E794C"/>
    <w:rsid w:val="005F0A28"/>
    <w:rsid w:val="005F0E5E"/>
    <w:rsid w:val="005F3528"/>
    <w:rsid w:val="00600535"/>
    <w:rsid w:val="00610CD6"/>
    <w:rsid w:val="00620DEE"/>
    <w:rsid w:val="00621F92"/>
    <w:rsid w:val="00625639"/>
    <w:rsid w:val="00631B33"/>
    <w:rsid w:val="0064184D"/>
    <w:rsid w:val="006422CC"/>
    <w:rsid w:val="00660E3E"/>
    <w:rsid w:val="00662E74"/>
    <w:rsid w:val="00680C23"/>
    <w:rsid w:val="00693766"/>
    <w:rsid w:val="006A2D41"/>
    <w:rsid w:val="006A3281"/>
    <w:rsid w:val="006B4888"/>
    <w:rsid w:val="006C2E45"/>
    <w:rsid w:val="006C359C"/>
    <w:rsid w:val="006C5579"/>
    <w:rsid w:val="006D120C"/>
    <w:rsid w:val="006E737D"/>
    <w:rsid w:val="0070195D"/>
    <w:rsid w:val="00720A24"/>
    <w:rsid w:val="0073157B"/>
    <w:rsid w:val="00732386"/>
    <w:rsid w:val="00742DFE"/>
    <w:rsid w:val="0074456A"/>
    <w:rsid w:val="007447F3"/>
    <w:rsid w:val="007502A5"/>
    <w:rsid w:val="007524ED"/>
    <w:rsid w:val="0075499F"/>
    <w:rsid w:val="007661C8"/>
    <w:rsid w:val="0077098D"/>
    <w:rsid w:val="00791218"/>
    <w:rsid w:val="007931FA"/>
    <w:rsid w:val="007A7BBA"/>
    <w:rsid w:val="007B0C50"/>
    <w:rsid w:val="007C0464"/>
    <w:rsid w:val="007C1A43"/>
    <w:rsid w:val="007C2D7E"/>
    <w:rsid w:val="007C6B0D"/>
    <w:rsid w:val="007C76B1"/>
    <w:rsid w:val="007E1DC6"/>
    <w:rsid w:val="007E574C"/>
    <w:rsid w:val="007F2A53"/>
    <w:rsid w:val="00813288"/>
    <w:rsid w:val="008168FC"/>
    <w:rsid w:val="008277FE"/>
    <w:rsid w:val="00830996"/>
    <w:rsid w:val="008345F1"/>
    <w:rsid w:val="008411AB"/>
    <w:rsid w:val="00865B07"/>
    <w:rsid w:val="008667EA"/>
    <w:rsid w:val="00872D72"/>
    <w:rsid w:val="0087637F"/>
    <w:rsid w:val="00882F04"/>
    <w:rsid w:val="008904B9"/>
    <w:rsid w:val="00892AD5"/>
    <w:rsid w:val="008A1512"/>
    <w:rsid w:val="008B00EF"/>
    <w:rsid w:val="008B0A81"/>
    <w:rsid w:val="008C78C1"/>
    <w:rsid w:val="008D32B9"/>
    <w:rsid w:val="008D433B"/>
    <w:rsid w:val="008D447D"/>
    <w:rsid w:val="008D7253"/>
    <w:rsid w:val="008E566E"/>
    <w:rsid w:val="008F069D"/>
    <w:rsid w:val="0090161A"/>
    <w:rsid w:val="00901EB6"/>
    <w:rsid w:val="00904C62"/>
    <w:rsid w:val="0091613E"/>
    <w:rsid w:val="009240EB"/>
    <w:rsid w:val="00924DAC"/>
    <w:rsid w:val="00926A28"/>
    <w:rsid w:val="00927058"/>
    <w:rsid w:val="009450CE"/>
    <w:rsid w:val="00947179"/>
    <w:rsid w:val="009510B5"/>
    <w:rsid w:val="0095164B"/>
    <w:rsid w:val="00954090"/>
    <w:rsid w:val="009573E7"/>
    <w:rsid w:val="009635B9"/>
    <w:rsid w:val="00963E05"/>
    <w:rsid w:val="00964AA7"/>
    <w:rsid w:val="00967D54"/>
    <w:rsid w:val="0097198C"/>
    <w:rsid w:val="00996483"/>
    <w:rsid w:val="00996F5A"/>
    <w:rsid w:val="009A0A3E"/>
    <w:rsid w:val="009B041A"/>
    <w:rsid w:val="009B1277"/>
    <w:rsid w:val="009C7C86"/>
    <w:rsid w:val="009D2FF7"/>
    <w:rsid w:val="009E7884"/>
    <w:rsid w:val="009E788A"/>
    <w:rsid w:val="009F0E08"/>
    <w:rsid w:val="00A1763D"/>
    <w:rsid w:val="00A17CEC"/>
    <w:rsid w:val="00A23639"/>
    <w:rsid w:val="00A27EF0"/>
    <w:rsid w:val="00A46E0A"/>
    <w:rsid w:val="00A50B20"/>
    <w:rsid w:val="00A51390"/>
    <w:rsid w:val="00A60D13"/>
    <w:rsid w:val="00A65B5B"/>
    <w:rsid w:val="00A6650E"/>
    <w:rsid w:val="00A72745"/>
    <w:rsid w:val="00A76EFC"/>
    <w:rsid w:val="00A91010"/>
    <w:rsid w:val="00A95FFA"/>
    <w:rsid w:val="00A97F29"/>
    <w:rsid w:val="00AA702E"/>
    <w:rsid w:val="00AB0964"/>
    <w:rsid w:val="00AB5011"/>
    <w:rsid w:val="00AC7368"/>
    <w:rsid w:val="00AD074F"/>
    <w:rsid w:val="00AD16B9"/>
    <w:rsid w:val="00AE377D"/>
    <w:rsid w:val="00B11290"/>
    <w:rsid w:val="00B16469"/>
    <w:rsid w:val="00B17FBD"/>
    <w:rsid w:val="00B2531D"/>
    <w:rsid w:val="00B315A6"/>
    <w:rsid w:val="00B31813"/>
    <w:rsid w:val="00B33365"/>
    <w:rsid w:val="00B57B36"/>
    <w:rsid w:val="00B863D8"/>
    <w:rsid w:val="00B8686D"/>
    <w:rsid w:val="00BA0CF9"/>
    <w:rsid w:val="00BC30C9"/>
    <w:rsid w:val="00BC7A93"/>
    <w:rsid w:val="00BE3E58"/>
    <w:rsid w:val="00BE70D2"/>
    <w:rsid w:val="00BF448A"/>
    <w:rsid w:val="00C01616"/>
    <w:rsid w:val="00C0162B"/>
    <w:rsid w:val="00C01C12"/>
    <w:rsid w:val="00C2129A"/>
    <w:rsid w:val="00C345B1"/>
    <w:rsid w:val="00C35BD9"/>
    <w:rsid w:val="00C40142"/>
    <w:rsid w:val="00C539BE"/>
    <w:rsid w:val="00C57182"/>
    <w:rsid w:val="00C57863"/>
    <w:rsid w:val="00C655FD"/>
    <w:rsid w:val="00C870A8"/>
    <w:rsid w:val="00C874E3"/>
    <w:rsid w:val="00C94434"/>
    <w:rsid w:val="00CA0D75"/>
    <w:rsid w:val="00CA1C95"/>
    <w:rsid w:val="00CA43D0"/>
    <w:rsid w:val="00CA4B72"/>
    <w:rsid w:val="00CA5A9C"/>
    <w:rsid w:val="00CB1EA7"/>
    <w:rsid w:val="00CD3517"/>
    <w:rsid w:val="00CD5A00"/>
    <w:rsid w:val="00CD5FE2"/>
    <w:rsid w:val="00CE2FED"/>
    <w:rsid w:val="00CE7C68"/>
    <w:rsid w:val="00D02B4C"/>
    <w:rsid w:val="00D040C4"/>
    <w:rsid w:val="00D23C6F"/>
    <w:rsid w:val="00D23F4B"/>
    <w:rsid w:val="00D3439F"/>
    <w:rsid w:val="00D52A6A"/>
    <w:rsid w:val="00D57C84"/>
    <w:rsid w:val="00D6057D"/>
    <w:rsid w:val="00D67FFB"/>
    <w:rsid w:val="00D84576"/>
    <w:rsid w:val="00DA1399"/>
    <w:rsid w:val="00DA24C6"/>
    <w:rsid w:val="00DA4D7B"/>
    <w:rsid w:val="00DD08F9"/>
    <w:rsid w:val="00DE264A"/>
    <w:rsid w:val="00E00AAF"/>
    <w:rsid w:val="00E02D18"/>
    <w:rsid w:val="00E041E7"/>
    <w:rsid w:val="00E12A3E"/>
    <w:rsid w:val="00E1573C"/>
    <w:rsid w:val="00E1748F"/>
    <w:rsid w:val="00E23CA1"/>
    <w:rsid w:val="00E26995"/>
    <w:rsid w:val="00E409A8"/>
    <w:rsid w:val="00E446F2"/>
    <w:rsid w:val="00E50C12"/>
    <w:rsid w:val="00E65B91"/>
    <w:rsid w:val="00E7209D"/>
    <w:rsid w:val="00E77223"/>
    <w:rsid w:val="00E84DEA"/>
    <w:rsid w:val="00E8528B"/>
    <w:rsid w:val="00E85B94"/>
    <w:rsid w:val="00E978D0"/>
    <w:rsid w:val="00EA4613"/>
    <w:rsid w:val="00EA7F91"/>
    <w:rsid w:val="00EB1523"/>
    <w:rsid w:val="00EB667B"/>
    <w:rsid w:val="00EC0E49"/>
    <w:rsid w:val="00EC43D8"/>
    <w:rsid w:val="00ED05F7"/>
    <w:rsid w:val="00EE0131"/>
    <w:rsid w:val="00EE212E"/>
    <w:rsid w:val="00EF09E9"/>
    <w:rsid w:val="00F155B2"/>
    <w:rsid w:val="00F206C5"/>
    <w:rsid w:val="00F30C64"/>
    <w:rsid w:val="00F32CDB"/>
    <w:rsid w:val="00F4093F"/>
    <w:rsid w:val="00F45D90"/>
    <w:rsid w:val="00F514B0"/>
    <w:rsid w:val="00F533BF"/>
    <w:rsid w:val="00F53D5F"/>
    <w:rsid w:val="00F63A70"/>
    <w:rsid w:val="00F93807"/>
    <w:rsid w:val="00FA21D0"/>
    <w:rsid w:val="00FA5F5F"/>
    <w:rsid w:val="00FB730C"/>
    <w:rsid w:val="00FC2695"/>
    <w:rsid w:val="00FC2F41"/>
    <w:rsid w:val="00FC3E03"/>
    <w:rsid w:val="00FC3FC1"/>
    <w:rsid w:val="00FD26FD"/>
    <w:rsid w:val="00FE6D76"/>
    <w:rsid w:val="00FF7A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uiPriority="0"/>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290E34"/>
    <w:pPr>
      <w:ind w:left="720"/>
      <w:contextualSpacing/>
    </w:pPr>
  </w:style>
  <w:style w:type="character" w:styleId="TextodoEspaoReservado">
    <w:name w:val="Placeholder Text"/>
    <w:basedOn w:val="Fontepargpadro"/>
    <w:uiPriority w:val="99"/>
    <w:semiHidden/>
    <w:rsid w:val="00CE2FED"/>
    <w:rPr>
      <w:color w:val="808080"/>
    </w:rPr>
  </w:style>
</w:styles>
</file>

<file path=word/webSettings.xml><?xml version="1.0" encoding="utf-8"?>
<w:webSettings xmlns:r="http://schemas.openxmlformats.org/officeDocument/2006/relationships" xmlns:w="http://schemas.openxmlformats.org/wordprocessingml/2006/main">
  <w:divs>
    <w:div w:id="71604756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497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6456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93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94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unaQuimica\Desktop\Dropbox\UTFPR\IC\Resultados\Conjunto%20de%20Resultados%20IC%20-%20Adriane%20Zanutto%20e%20Bruna%20Cassia%20da%20Silva%20(Salvo%20automaticamen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
  <c:chart>
    <c:autoTitleDeleted val="1"/>
    <c:plotArea>
      <c:layout>
        <c:manualLayout>
          <c:layoutTarget val="inner"/>
          <c:xMode val="edge"/>
          <c:yMode val="edge"/>
          <c:x val="0.14004051360799821"/>
          <c:y val="0.11583387433109611"/>
          <c:w val="0.76140381829864678"/>
          <c:h val="0.70589124189450003"/>
        </c:manualLayout>
      </c:layout>
      <c:scatterChart>
        <c:scatterStyle val="lineMarker"/>
        <c:ser>
          <c:idx val="0"/>
          <c:order val="0"/>
          <c:tx>
            <c:v>303.15 K</c:v>
          </c:tx>
          <c:spPr>
            <a:ln w="9525" cap="rnd">
              <a:noFill/>
              <a:round/>
            </a:ln>
            <a:effectLst/>
          </c:spPr>
          <c:marker>
            <c:symbol val="diamond"/>
            <c:size val="7"/>
            <c:spPr>
              <a:solidFill>
                <a:schemeClr val="accent1">
                  <a:lumMod val="75000"/>
                </a:schemeClr>
              </a:solidFill>
              <a:ln w="15875">
                <a:noFill/>
                <a:round/>
              </a:ln>
              <a:effectLst/>
            </c:spPr>
          </c:marker>
          <c:errBars>
            <c:errDir val="y"/>
            <c:errBarType val="both"/>
            <c:errValType val="cust"/>
            <c:plus>
              <c:numRef>
                <c:f>'Modelos cinéticos 30°C'!$E$3:$E$22</c:f>
                <c:numCache>
                  <c:formatCode>General</c:formatCode>
                  <c:ptCount val="20"/>
                  <c:pt idx="0">
                    <c:v>1.610670971617912</c:v>
                  </c:pt>
                  <c:pt idx="1">
                    <c:v>0.84035007214847213</c:v>
                  </c:pt>
                  <c:pt idx="2">
                    <c:v>6.3308525304873342</c:v>
                  </c:pt>
                  <c:pt idx="3">
                    <c:v>0.1950801937239959</c:v>
                  </c:pt>
                  <c:pt idx="4">
                    <c:v>4.6942179363923877</c:v>
                  </c:pt>
                  <c:pt idx="5">
                    <c:v>3.7153868652851192</c:v>
                  </c:pt>
                  <c:pt idx="6">
                    <c:v>1.8907876623340767</c:v>
                  </c:pt>
                  <c:pt idx="7">
                    <c:v>0.87536465848799583</c:v>
                  </c:pt>
                  <c:pt idx="8">
                    <c:v>0.31513127705568444</c:v>
                  </c:pt>
                  <c:pt idx="9">
                    <c:v>0.21008751803712053</c:v>
                  </c:pt>
                  <c:pt idx="10">
                    <c:v>3.5014586339521238E-2</c:v>
                  </c:pt>
                  <c:pt idx="11">
                    <c:v>0.11646324620443958</c:v>
                  </c:pt>
                  <c:pt idx="12">
                    <c:v>0.52521879509279046</c:v>
                  </c:pt>
                  <c:pt idx="13">
                    <c:v>0.58437929996348714</c:v>
                  </c:pt>
                  <c:pt idx="14">
                    <c:v>0.91037924482751709</c:v>
                  </c:pt>
                  <c:pt idx="15">
                    <c:v>3.5014586339521238E-2</c:v>
                  </c:pt>
                  <c:pt idx="16">
                    <c:v>8.7507673017711313E-2</c:v>
                  </c:pt>
                  <c:pt idx="17">
                    <c:v>1.7536086000852432E-2</c:v>
                  </c:pt>
                  <c:pt idx="18">
                    <c:v>8.6406034262658679E-2</c:v>
                  </c:pt>
                  <c:pt idx="19">
                    <c:v>0.15533356818664143</c:v>
                  </c:pt>
                </c:numCache>
              </c:numRef>
            </c:plus>
            <c:minus>
              <c:numRef>
                <c:f>'Modelos cinéticos 30°C'!$E$3:$E$22</c:f>
                <c:numCache>
                  <c:formatCode>General</c:formatCode>
                  <c:ptCount val="20"/>
                  <c:pt idx="0">
                    <c:v>1.610670971617912</c:v>
                  </c:pt>
                  <c:pt idx="1">
                    <c:v>0.84035007214847213</c:v>
                  </c:pt>
                  <c:pt idx="2">
                    <c:v>6.3308525304873342</c:v>
                  </c:pt>
                  <c:pt idx="3">
                    <c:v>0.1950801937239959</c:v>
                  </c:pt>
                  <c:pt idx="4">
                    <c:v>4.6942179363923877</c:v>
                  </c:pt>
                  <c:pt idx="5">
                    <c:v>3.7153868652851192</c:v>
                  </c:pt>
                  <c:pt idx="6">
                    <c:v>1.8907876623340767</c:v>
                  </c:pt>
                  <c:pt idx="7">
                    <c:v>0.87536465848799583</c:v>
                  </c:pt>
                  <c:pt idx="8">
                    <c:v>0.31513127705568444</c:v>
                  </c:pt>
                  <c:pt idx="9">
                    <c:v>0.21008751803712053</c:v>
                  </c:pt>
                  <c:pt idx="10">
                    <c:v>3.5014586339521238E-2</c:v>
                  </c:pt>
                  <c:pt idx="11">
                    <c:v>0.11646324620443958</c:v>
                  </c:pt>
                  <c:pt idx="12">
                    <c:v>0.52521879509279046</c:v>
                  </c:pt>
                  <c:pt idx="13">
                    <c:v>0.58437929996348714</c:v>
                  </c:pt>
                  <c:pt idx="14">
                    <c:v>0.91037924482751709</c:v>
                  </c:pt>
                  <c:pt idx="15">
                    <c:v>3.5014586339521238E-2</c:v>
                  </c:pt>
                  <c:pt idx="16">
                    <c:v>8.7507673017711313E-2</c:v>
                  </c:pt>
                  <c:pt idx="17">
                    <c:v>1.7536086000852432E-2</c:v>
                  </c:pt>
                  <c:pt idx="18">
                    <c:v>8.6406034262658679E-2</c:v>
                  </c:pt>
                  <c:pt idx="19">
                    <c:v>0.15533356818664143</c:v>
                  </c:pt>
                </c:numCache>
              </c:numRef>
            </c:minus>
            <c:spPr>
              <a:noFill/>
              <a:ln w="9525" cap="flat" cmpd="sng" algn="ctr">
                <a:solidFill>
                  <a:schemeClr val="dk1">
                    <a:lumMod val="50000"/>
                    <a:lumOff val="50000"/>
                  </a:schemeClr>
                </a:solidFill>
                <a:round/>
              </a:ln>
              <a:effectLst/>
            </c:spPr>
          </c:errBars>
          <c:errBars>
            <c:errDir val="x"/>
            <c:errBarType val="both"/>
            <c:errValType val="fixedVal"/>
            <c:val val="1"/>
            <c:spPr>
              <a:noFill/>
              <a:ln w="9525" cap="flat" cmpd="sng" algn="ctr">
                <a:solidFill>
                  <a:schemeClr val="dk1">
                    <a:lumMod val="50000"/>
                    <a:lumOff val="50000"/>
                  </a:schemeClr>
                </a:solidFill>
                <a:round/>
              </a:ln>
              <a:effectLst/>
            </c:spPr>
          </c:errBars>
          <c:xVal>
            <c:numRef>
              <c:f>'Modelos cinéticos 30°C'!$B$3:$B$22</c:f>
              <c:numCache>
                <c:formatCode>General</c:formatCode>
                <c:ptCount val="20"/>
                <c:pt idx="0">
                  <c:v>0</c:v>
                </c:pt>
                <c:pt idx="1">
                  <c:v>5</c:v>
                </c:pt>
                <c:pt idx="2">
                  <c:v>10</c:v>
                </c:pt>
                <c:pt idx="3">
                  <c:v>15</c:v>
                </c:pt>
                <c:pt idx="4">
                  <c:v>20</c:v>
                </c:pt>
                <c:pt idx="5">
                  <c:v>25</c:v>
                </c:pt>
                <c:pt idx="6">
                  <c:v>30</c:v>
                </c:pt>
                <c:pt idx="7">
                  <c:v>45</c:v>
                </c:pt>
                <c:pt idx="8">
                  <c:v>60</c:v>
                </c:pt>
                <c:pt idx="9">
                  <c:v>90</c:v>
                </c:pt>
                <c:pt idx="10">
                  <c:v>120</c:v>
                </c:pt>
                <c:pt idx="11">
                  <c:v>180</c:v>
                </c:pt>
                <c:pt idx="12">
                  <c:v>240</c:v>
                </c:pt>
                <c:pt idx="13">
                  <c:v>360</c:v>
                </c:pt>
                <c:pt idx="14">
                  <c:v>480</c:v>
                </c:pt>
                <c:pt idx="15">
                  <c:v>600</c:v>
                </c:pt>
                <c:pt idx="16">
                  <c:v>720</c:v>
                </c:pt>
                <c:pt idx="17">
                  <c:v>900</c:v>
                </c:pt>
                <c:pt idx="18">
                  <c:v>960</c:v>
                </c:pt>
                <c:pt idx="19">
                  <c:v>1440</c:v>
                </c:pt>
              </c:numCache>
            </c:numRef>
          </c:xVal>
          <c:yVal>
            <c:numRef>
              <c:f>'Modelos cinéticos 30°C'!$D$3:$D$22</c:f>
              <c:numCache>
                <c:formatCode>General</c:formatCode>
                <c:ptCount val="20"/>
                <c:pt idx="0">
                  <c:v>0</c:v>
                </c:pt>
                <c:pt idx="1">
                  <c:v>39.893961089580195</c:v>
                </c:pt>
                <c:pt idx="2">
                  <c:v>60.785583656385761</c:v>
                </c:pt>
                <c:pt idx="3">
                  <c:v>65.693609645338142</c:v>
                </c:pt>
                <c:pt idx="4">
                  <c:v>68.183188045531139</c:v>
                </c:pt>
                <c:pt idx="5">
                  <c:v>78.497155703474363</c:v>
                </c:pt>
                <c:pt idx="6">
                  <c:v>79.530472825916689</c:v>
                </c:pt>
                <c:pt idx="7">
                  <c:v>87.61884227034578</c:v>
                </c:pt>
                <c:pt idx="8">
                  <c:v>86.848521370876341</c:v>
                </c:pt>
                <c:pt idx="9">
                  <c:v>90.560067522865452</c:v>
                </c:pt>
                <c:pt idx="10">
                  <c:v>91.155315490637278</c:v>
                </c:pt>
                <c:pt idx="11">
                  <c:v>91.248230925523714</c:v>
                </c:pt>
                <c:pt idx="12">
                  <c:v>91.326280389546682</c:v>
                </c:pt>
                <c:pt idx="13">
                  <c:v>93.150098738877588</c:v>
                </c:pt>
                <c:pt idx="14">
                  <c:v>93.256802073845719</c:v>
                </c:pt>
                <c:pt idx="15">
                  <c:v>93.288026343445651</c:v>
                </c:pt>
                <c:pt idx="16">
                  <c:v>93.288026343445651</c:v>
                </c:pt>
                <c:pt idx="17">
                  <c:v>93.358088698942055</c:v>
                </c:pt>
                <c:pt idx="18">
                  <c:v>93.399105303720248</c:v>
                </c:pt>
                <c:pt idx="19">
                  <c:v>93.399105303720248</c:v>
                </c:pt>
              </c:numCache>
            </c:numRef>
          </c:yVal>
          <c:extLst xmlns:c16r2="http://schemas.microsoft.com/office/drawing/2015/06/chart">
            <c:ext xmlns:c16="http://schemas.microsoft.com/office/drawing/2014/chart" uri="{C3380CC4-5D6E-409C-BE32-E72D297353CC}">
              <c16:uniqueId val="{00000000-C396-448F-B5D9-A02A74AD06D9}"/>
            </c:ext>
          </c:extLst>
        </c:ser>
        <c:ser>
          <c:idx val="1"/>
          <c:order val="1"/>
          <c:tx>
            <c:v>313.15 K</c:v>
          </c:tx>
          <c:spPr>
            <a:ln w="9525" cap="rnd">
              <a:noFill/>
              <a:round/>
            </a:ln>
            <a:effectLst/>
          </c:spPr>
          <c:marker>
            <c:symbol val="square"/>
            <c:size val="4"/>
            <c:spPr>
              <a:solidFill>
                <a:srgbClr val="C00000"/>
              </a:solidFill>
              <a:ln w="15875">
                <a:noFill/>
                <a:round/>
              </a:ln>
              <a:effectLst/>
            </c:spPr>
          </c:marker>
          <c:errBars>
            <c:errDir val="y"/>
            <c:errBarType val="both"/>
            <c:errValType val="cust"/>
            <c:plus>
              <c:numRef>
                <c:f>'Modelos cinéticos 40°C'!$F$3:$F$23</c:f>
                <c:numCache>
                  <c:formatCode>General</c:formatCode>
                  <c:ptCount val="21"/>
                  <c:pt idx="0">
                    <c:v>0</c:v>
                  </c:pt>
                  <c:pt idx="1">
                    <c:v>0.48934299264513831</c:v>
                  </c:pt>
                  <c:pt idx="2">
                    <c:v>1.2583105525160647</c:v>
                  </c:pt>
                  <c:pt idx="3">
                    <c:v>0</c:v>
                  </c:pt>
                  <c:pt idx="4">
                    <c:v>0.10485921270966968</c:v>
                  </c:pt>
                  <c:pt idx="5">
                    <c:v>0.34953070903224448</c:v>
                  </c:pt>
                  <c:pt idx="6">
                    <c:v>0.73401448896770161</c:v>
                  </c:pt>
                  <c:pt idx="7">
                    <c:v>6.9906141806448913E-2</c:v>
                  </c:pt>
                  <c:pt idx="8">
                    <c:v>1.0835451979999524</c:v>
                  </c:pt>
                  <c:pt idx="9">
                    <c:v>0.20971842541934668</c:v>
                  </c:pt>
                  <c:pt idx="10">
                    <c:v>3.0059640976772792</c:v>
                  </c:pt>
                  <c:pt idx="11">
                    <c:v>0.38448377993546567</c:v>
                  </c:pt>
                  <c:pt idx="12">
                    <c:v>3.4953070903220876E-2</c:v>
                  </c:pt>
                  <c:pt idx="13">
                    <c:v>3.4953070903220876E-2</c:v>
                  </c:pt>
                  <c:pt idx="14">
                    <c:v>0.87382677258060726</c:v>
                  </c:pt>
                  <c:pt idx="15">
                    <c:v>0.27962456722578855</c:v>
                  </c:pt>
                  <c:pt idx="16">
                    <c:v>0.87382677258060726</c:v>
                  </c:pt>
                  <c:pt idx="17">
                    <c:v>1.7127004742579857</c:v>
                  </c:pt>
                  <c:pt idx="18">
                    <c:v>0.20971842541933958</c:v>
                  </c:pt>
                  <c:pt idx="19">
                    <c:v>3.4953070903220876E-2</c:v>
                  </c:pt>
                  <c:pt idx="20">
                    <c:v>0</c:v>
                  </c:pt>
                </c:numCache>
              </c:numRef>
            </c:plus>
            <c:minus>
              <c:numRef>
                <c:f>'Modelos cinéticos 40°C'!$F$3:$F$23</c:f>
                <c:numCache>
                  <c:formatCode>General</c:formatCode>
                  <c:ptCount val="21"/>
                  <c:pt idx="0">
                    <c:v>0</c:v>
                  </c:pt>
                  <c:pt idx="1">
                    <c:v>0.48934299264513831</c:v>
                  </c:pt>
                  <c:pt idx="2">
                    <c:v>1.2583105525160647</c:v>
                  </c:pt>
                  <c:pt idx="3">
                    <c:v>0</c:v>
                  </c:pt>
                  <c:pt idx="4">
                    <c:v>0.10485921270966968</c:v>
                  </c:pt>
                  <c:pt idx="5">
                    <c:v>0.34953070903224448</c:v>
                  </c:pt>
                  <c:pt idx="6">
                    <c:v>0.73401448896770161</c:v>
                  </c:pt>
                  <c:pt idx="7">
                    <c:v>6.9906141806448913E-2</c:v>
                  </c:pt>
                  <c:pt idx="8">
                    <c:v>1.0835451979999524</c:v>
                  </c:pt>
                  <c:pt idx="9">
                    <c:v>0.20971842541934668</c:v>
                  </c:pt>
                  <c:pt idx="10">
                    <c:v>3.0059640976772792</c:v>
                  </c:pt>
                  <c:pt idx="11">
                    <c:v>0.38448377993546567</c:v>
                  </c:pt>
                  <c:pt idx="12">
                    <c:v>3.4953070903220876E-2</c:v>
                  </c:pt>
                  <c:pt idx="13">
                    <c:v>3.4953070903220876E-2</c:v>
                  </c:pt>
                  <c:pt idx="14">
                    <c:v>0.87382677258060726</c:v>
                  </c:pt>
                  <c:pt idx="15">
                    <c:v>0.27962456722578855</c:v>
                  </c:pt>
                  <c:pt idx="16">
                    <c:v>0.87382677258060726</c:v>
                  </c:pt>
                  <c:pt idx="17">
                    <c:v>1.7127004742579857</c:v>
                  </c:pt>
                  <c:pt idx="18">
                    <c:v>0.20971842541933958</c:v>
                  </c:pt>
                  <c:pt idx="19">
                    <c:v>3.4953070903220876E-2</c:v>
                  </c:pt>
                  <c:pt idx="20">
                    <c:v>0</c:v>
                  </c:pt>
                </c:numCache>
              </c:numRef>
            </c:minus>
            <c:spPr>
              <a:noFill/>
              <a:ln w="9525" cap="flat" cmpd="sng" algn="ctr">
                <a:solidFill>
                  <a:schemeClr val="dk1">
                    <a:lumMod val="50000"/>
                    <a:lumOff val="50000"/>
                  </a:schemeClr>
                </a:solidFill>
                <a:round/>
              </a:ln>
              <a:effectLst/>
            </c:spPr>
          </c:errBars>
          <c:errBars>
            <c:errDir val="x"/>
            <c:errBarType val="both"/>
            <c:errValType val="fixedVal"/>
            <c:val val="1"/>
            <c:spPr>
              <a:noFill/>
              <a:ln w="9525" cap="flat" cmpd="sng" algn="ctr">
                <a:solidFill>
                  <a:schemeClr val="dk1">
                    <a:lumMod val="50000"/>
                    <a:lumOff val="50000"/>
                  </a:schemeClr>
                </a:solidFill>
                <a:round/>
              </a:ln>
              <a:effectLst/>
            </c:spPr>
          </c:errBars>
          <c:xVal>
            <c:numRef>
              <c:f>'Modelos cinéticos 40°C'!$B$3:$B$23</c:f>
              <c:numCache>
                <c:formatCode>General</c:formatCode>
                <c:ptCount val="21"/>
                <c:pt idx="0">
                  <c:v>0</c:v>
                </c:pt>
                <c:pt idx="1">
                  <c:v>5</c:v>
                </c:pt>
                <c:pt idx="2">
                  <c:v>10</c:v>
                </c:pt>
                <c:pt idx="3">
                  <c:v>15</c:v>
                </c:pt>
                <c:pt idx="4">
                  <c:v>20</c:v>
                </c:pt>
                <c:pt idx="5">
                  <c:v>25</c:v>
                </c:pt>
                <c:pt idx="6">
                  <c:v>30</c:v>
                </c:pt>
                <c:pt idx="7">
                  <c:v>45</c:v>
                </c:pt>
                <c:pt idx="8">
                  <c:v>60</c:v>
                </c:pt>
                <c:pt idx="9">
                  <c:v>90</c:v>
                </c:pt>
                <c:pt idx="10">
                  <c:v>120</c:v>
                </c:pt>
                <c:pt idx="11">
                  <c:v>180</c:v>
                </c:pt>
                <c:pt idx="12">
                  <c:v>240</c:v>
                </c:pt>
                <c:pt idx="13">
                  <c:v>300</c:v>
                </c:pt>
                <c:pt idx="14">
                  <c:v>360</c:v>
                </c:pt>
                <c:pt idx="15">
                  <c:v>480</c:v>
                </c:pt>
                <c:pt idx="16">
                  <c:v>600</c:v>
                </c:pt>
                <c:pt idx="17">
                  <c:v>720</c:v>
                </c:pt>
                <c:pt idx="18">
                  <c:v>900</c:v>
                </c:pt>
                <c:pt idx="19">
                  <c:v>960</c:v>
                </c:pt>
                <c:pt idx="20">
                  <c:v>1440</c:v>
                </c:pt>
              </c:numCache>
            </c:numRef>
          </c:xVal>
          <c:yVal>
            <c:numRef>
              <c:f>'Modelos cinéticos 40°C'!$E$3:$E$23</c:f>
              <c:numCache>
                <c:formatCode>General</c:formatCode>
                <c:ptCount val="21"/>
                <c:pt idx="0">
                  <c:v>0</c:v>
                </c:pt>
                <c:pt idx="1">
                  <c:v>50.974822751137779</c:v>
                </c:pt>
                <c:pt idx="2">
                  <c:v>71.036983995610697</c:v>
                </c:pt>
                <c:pt idx="3">
                  <c:v>76.869313271997214</c:v>
                </c:pt>
                <c:pt idx="4">
                  <c:v>79.461575537265503</c:v>
                </c:pt>
                <c:pt idx="5">
                  <c:v>83.122576325406996</c:v>
                </c:pt>
                <c:pt idx="6">
                  <c:v>84.324067960533043</c:v>
                </c:pt>
                <c:pt idx="7">
                  <c:v>86.126305413221885</c:v>
                </c:pt>
                <c:pt idx="8">
                  <c:v>88.759092397523006</c:v>
                </c:pt>
                <c:pt idx="9">
                  <c:v>86.689722754845718</c:v>
                </c:pt>
                <c:pt idx="10">
                  <c:v>89.42320074468438</c:v>
                </c:pt>
                <c:pt idx="11">
                  <c:v>90.436839800877877</c:v>
                </c:pt>
                <c:pt idx="12">
                  <c:v>90.666322951688628</c:v>
                </c:pt>
                <c:pt idx="13">
                  <c:v>89.947496808232799</c:v>
                </c:pt>
                <c:pt idx="14">
                  <c:v>90.436839800877877</c:v>
                </c:pt>
                <c:pt idx="15">
                  <c:v>90.895499362928689</c:v>
                </c:pt>
                <c:pt idx="16">
                  <c:v>91.438295505838397</c:v>
                </c:pt>
                <c:pt idx="17">
                  <c:v>91.438295505838397</c:v>
                </c:pt>
                <c:pt idx="18">
                  <c:v>91.438295505838397</c:v>
                </c:pt>
                <c:pt idx="19">
                  <c:v>91.438295505838397</c:v>
                </c:pt>
                <c:pt idx="20">
                  <c:v>91.438295505838397</c:v>
                </c:pt>
              </c:numCache>
            </c:numRef>
          </c:yVal>
          <c:extLst xmlns:c16r2="http://schemas.microsoft.com/office/drawing/2015/06/chart">
            <c:ext xmlns:c16="http://schemas.microsoft.com/office/drawing/2014/chart" uri="{C3380CC4-5D6E-409C-BE32-E72D297353CC}">
              <c16:uniqueId val="{00000001-C396-448F-B5D9-A02A74AD06D9}"/>
            </c:ext>
          </c:extLst>
        </c:ser>
        <c:ser>
          <c:idx val="2"/>
          <c:order val="2"/>
          <c:tx>
            <c:v>323.15 K</c:v>
          </c:tx>
          <c:spPr>
            <a:ln w="9525" cap="rnd">
              <a:noFill/>
              <a:round/>
            </a:ln>
            <a:effectLst/>
          </c:spPr>
          <c:marker>
            <c:symbol val="triangle"/>
            <c:size val="6"/>
            <c:spPr>
              <a:solidFill>
                <a:schemeClr val="bg1">
                  <a:lumMod val="50000"/>
                </a:schemeClr>
              </a:solidFill>
              <a:ln w="15875">
                <a:noFill/>
                <a:round/>
              </a:ln>
              <a:effectLst/>
            </c:spPr>
          </c:marker>
          <c:errBars>
            <c:errDir val="y"/>
            <c:errBarType val="both"/>
            <c:errValType val="cust"/>
            <c:plus>
              <c:numRef>
                <c:f>'Teste Cinético 50°C'!$U$4:$U$17</c:f>
                <c:numCache>
                  <c:formatCode>General</c:formatCode>
                  <c:ptCount val="14"/>
                  <c:pt idx="0">
                    <c:v>1.0524751168108935</c:v>
                  </c:pt>
                  <c:pt idx="1">
                    <c:v>0.73673258176762535</c:v>
                  </c:pt>
                  <c:pt idx="2">
                    <c:v>0.4209900467243628</c:v>
                  </c:pt>
                  <c:pt idx="3">
                    <c:v>0.4560725506180533</c:v>
                  </c:pt>
                  <c:pt idx="4">
                    <c:v>0.4560725506180533</c:v>
                  </c:pt>
                  <c:pt idx="5">
                    <c:v>1.5085476674289353</c:v>
                  </c:pt>
                  <c:pt idx="6">
                    <c:v>0.31574253504327032</c:v>
                  </c:pt>
                  <c:pt idx="7">
                    <c:v>0.10524751168109249</c:v>
                  </c:pt>
                  <c:pt idx="8">
                    <c:v>0.31574253504327032</c:v>
                  </c:pt>
                  <c:pt idx="9">
                    <c:v>0.10524751168109249</c:v>
                  </c:pt>
                  <c:pt idx="10">
                    <c:v>0.17541251946848041</c:v>
                  </c:pt>
                  <c:pt idx="11">
                    <c:v>0.10524751168108541</c:v>
                  </c:pt>
                  <c:pt idx="12">
                    <c:v>3.5082503893697485E-2</c:v>
                  </c:pt>
                  <c:pt idx="13">
                    <c:v>0.56132006229914611</c:v>
                  </c:pt>
                </c:numCache>
              </c:numRef>
            </c:plus>
            <c:minus>
              <c:numRef>
                <c:f>'Teste Cinético 50°C'!$U$4:$U$17</c:f>
                <c:numCache>
                  <c:formatCode>General</c:formatCode>
                  <c:ptCount val="14"/>
                  <c:pt idx="0">
                    <c:v>1.0524751168108935</c:v>
                  </c:pt>
                  <c:pt idx="1">
                    <c:v>0.73673258176762535</c:v>
                  </c:pt>
                  <c:pt idx="2">
                    <c:v>0.4209900467243628</c:v>
                  </c:pt>
                  <c:pt idx="3">
                    <c:v>0.4560725506180533</c:v>
                  </c:pt>
                  <c:pt idx="4">
                    <c:v>0.4560725506180533</c:v>
                  </c:pt>
                  <c:pt idx="5">
                    <c:v>1.5085476674289353</c:v>
                  </c:pt>
                  <c:pt idx="6">
                    <c:v>0.31574253504327032</c:v>
                  </c:pt>
                  <c:pt idx="7">
                    <c:v>0.10524751168109249</c:v>
                  </c:pt>
                  <c:pt idx="8">
                    <c:v>0.31574253504327032</c:v>
                  </c:pt>
                  <c:pt idx="9">
                    <c:v>0.10524751168109249</c:v>
                  </c:pt>
                  <c:pt idx="10">
                    <c:v>0.17541251946848041</c:v>
                  </c:pt>
                  <c:pt idx="11">
                    <c:v>0.10524751168108541</c:v>
                  </c:pt>
                  <c:pt idx="12">
                    <c:v>3.5082503893697485E-2</c:v>
                  </c:pt>
                  <c:pt idx="13">
                    <c:v>0.56132006229914611</c:v>
                  </c:pt>
                </c:numCache>
              </c:numRef>
            </c:minus>
            <c:spPr>
              <a:noFill/>
              <a:ln w="9525" cap="flat" cmpd="sng" algn="ctr">
                <a:solidFill>
                  <a:schemeClr val="dk1">
                    <a:lumMod val="50000"/>
                    <a:lumOff val="50000"/>
                  </a:schemeClr>
                </a:solidFill>
                <a:round/>
              </a:ln>
              <a:effectLst/>
            </c:spPr>
          </c:errBars>
          <c:errBars>
            <c:errDir val="x"/>
            <c:errBarType val="both"/>
            <c:errValType val="fixedVal"/>
            <c:val val="1"/>
            <c:spPr>
              <a:noFill/>
              <a:ln w="9525" cap="flat" cmpd="sng" algn="ctr">
                <a:solidFill>
                  <a:schemeClr val="dk1">
                    <a:lumMod val="50000"/>
                    <a:lumOff val="50000"/>
                  </a:schemeClr>
                </a:solidFill>
                <a:round/>
              </a:ln>
              <a:effectLst/>
            </c:spPr>
          </c:errBars>
          <c:xVal>
            <c:numRef>
              <c:f>'Modelos Cinéticos 50°C'!$B$3:$B$23</c:f>
              <c:numCache>
                <c:formatCode>General</c:formatCode>
                <c:ptCount val="21"/>
                <c:pt idx="0">
                  <c:v>0</c:v>
                </c:pt>
                <c:pt idx="1">
                  <c:v>5</c:v>
                </c:pt>
                <c:pt idx="2">
                  <c:v>10</c:v>
                </c:pt>
                <c:pt idx="3">
                  <c:v>15</c:v>
                </c:pt>
                <c:pt idx="4">
                  <c:v>20</c:v>
                </c:pt>
                <c:pt idx="5">
                  <c:v>25</c:v>
                </c:pt>
                <c:pt idx="6">
                  <c:v>30</c:v>
                </c:pt>
                <c:pt idx="7">
                  <c:v>45</c:v>
                </c:pt>
                <c:pt idx="8">
                  <c:v>60</c:v>
                </c:pt>
                <c:pt idx="9">
                  <c:v>90</c:v>
                </c:pt>
                <c:pt idx="10">
                  <c:v>120</c:v>
                </c:pt>
                <c:pt idx="11">
                  <c:v>180</c:v>
                </c:pt>
                <c:pt idx="12">
                  <c:v>240</c:v>
                </c:pt>
                <c:pt idx="13">
                  <c:v>300</c:v>
                </c:pt>
                <c:pt idx="14">
                  <c:v>360</c:v>
                </c:pt>
                <c:pt idx="15">
                  <c:v>480</c:v>
                </c:pt>
                <c:pt idx="16">
                  <c:v>600</c:v>
                </c:pt>
                <c:pt idx="17">
                  <c:v>720</c:v>
                </c:pt>
                <c:pt idx="18">
                  <c:v>900</c:v>
                </c:pt>
                <c:pt idx="19">
                  <c:v>960</c:v>
                </c:pt>
                <c:pt idx="20">
                  <c:v>1440</c:v>
                </c:pt>
              </c:numCache>
            </c:numRef>
          </c:xVal>
          <c:yVal>
            <c:numRef>
              <c:f>'Modelos Cinéticos 50°C'!$D$3:$D$23</c:f>
              <c:numCache>
                <c:formatCode>General</c:formatCode>
                <c:ptCount val="21"/>
                <c:pt idx="0">
                  <c:v>0</c:v>
                </c:pt>
                <c:pt idx="1">
                  <c:v>53.459550334622456</c:v>
                </c:pt>
                <c:pt idx="2">
                  <c:v>71.386709824301278</c:v>
                </c:pt>
                <c:pt idx="3">
                  <c:v>80.122253293831648</c:v>
                </c:pt>
                <c:pt idx="4">
                  <c:v>84.367236264968923</c:v>
                </c:pt>
                <c:pt idx="5">
                  <c:v>85.63020640514199</c:v>
                </c:pt>
                <c:pt idx="6">
                  <c:v>86.612516514165478</c:v>
                </c:pt>
                <c:pt idx="7">
                  <c:v>89.629611849023348</c:v>
                </c:pt>
                <c:pt idx="8">
                  <c:v>89.629611849023348</c:v>
                </c:pt>
                <c:pt idx="9">
                  <c:v>90.752251973621554</c:v>
                </c:pt>
                <c:pt idx="10">
                  <c:v>91.313572035920728</c:v>
                </c:pt>
                <c:pt idx="11">
                  <c:v>91.594232067070365</c:v>
                </c:pt>
                <c:pt idx="12">
                  <c:v>92.366047152731554</c:v>
                </c:pt>
                <c:pt idx="13">
                  <c:v>91.453902051495518</c:v>
                </c:pt>
                <c:pt idx="14">
                  <c:v>92.190634633263201</c:v>
                </c:pt>
                <c:pt idx="15">
                  <c:v>92.190634633263201</c:v>
                </c:pt>
                <c:pt idx="16">
                  <c:v>92.190634633263201</c:v>
                </c:pt>
                <c:pt idx="17">
                  <c:v>92.190634633263201</c:v>
                </c:pt>
                <c:pt idx="18">
                  <c:v>92.190634633263201</c:v>
                </c:pt>
                <c:pt idx="19">
                  <c:v>92.190634633263201</c:v>
                </c:pt>
                <c:pt idx="20">
                  <c:v>92.190634633263201</c:v>
                </c:pt>
              </c:numCache>
            </c:numRef>
          </c:yVal>
          <c:extLst xmlns:c16r2="http://schemas.microsoft.com/office/drawing/2015/06/chart">
            <c:ext xmlns:c16="http://schemas.microsoft.com/office/drawing/2014/chart" uri="{C3380CC4-5D6E-409C-BE32-E72D297353CC}">
              <c16:uniqueId val="{00000002-C396-448F-B5D9-A02A74AD06D9}"/>
            </c:ext>
          </c:extLst>
        </c:ser>
        <c:axId val="129077248"/>
        <c:axId val="132255744"/>
      </c:scatterChart>
      <c:valAx>
        <c:axId val="129077248"/>
        <c:scaling>
          <c:orientation val="minMax"/>
          <c:max val="1500"/>
          <c:min val="0"/>
        </c:scaling>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pt-BR"/>
                  <a:t>Time (min)</a:t>
                </a:r>
              </a:p>
            </c:rich>
          </c:tx>
          <c:spPr>
            <a:noFill/>
            <a:ln>
              <a:noFill/>
            </a:ln>
            <a:effectLst/>
          </c:spPr>
        </c:title>
        <c:numFmt formatCode="General" sourceLinked="1"/>
        <c:maj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crossAx val="132255744"/>
        <c:crosses val="autoZero"/>
        <c:crossBetween val="midCat"/>
        <c:majorUnit val="250"/>
      </c:valAx>
      <c:valAx>
        <c:axId val="132255744"/>
        <c:scaling>
          <c:orientation val="minMax"/>
          <c:min val="0"/>
        </c:scaling>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pt-BR"/>
                  <a:t>Removal (%)</a:t>
                </a:r>
              </a:p>
            </c:rich>
          </c:tx>
          <c:spPr>
            <a:noFill/>
            <a:ln>
              <a:noFill/>
            </a:ln>
            <a:effectLst/>
          </c:spPr>
        </c:title>
        <c:numFmt formatCode="General" sourceLinked="1"/>
        <c:maj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crossAx val="129077248"/>
        <c:crosses val="autoZero"/>
        <c:crossBetween val="midCat"/>
      </c:valAx>
      <c:spPr>
        <a:noFill/>
        <a:ln w="25400">
          <a:noFill/>
        </a:ln>
        <a:effectLst/>
      </c:spPr>
    </c:plotArea>
    <c:legend>
      <c:legendPos val="b"/>
      <c:layout>
        <c:manualLayout>
          <c:xMode val="edge"/>
          <c:yMode val="edge"/>
          <c:x val="0.40888576687250233"/>
          <c:y val="0.72076451005626418"/>
          <c:w val="0.48135437427168104"/>
          <c:h val="7.3770982738786572E-2"/>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AEF2-BBB6-46FB-A214-0536A2A1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6</Pages>
  <Words>2645</Words>
  <Characters>14288</Characters>
  <Application>Microsoft Office Word</Application>
  <DocSecurity>0</DocSecurity>
  <Lines>119</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adriane.z@hotmail.com</cp:lastModifiedBy>
  <cp:revision>75</cp:revision>
  <cp:lastPrinted>2015-05-12T18:31:00Z</cp:lastPrinted>
  <dcterms:created xsi:type="dcterms:W3CDTF">2019-01-05T12:49:00Z</dcterms:created>
  <dcterms:modified xsi:type="dcterms:W3CDTF">2019-04-15T22:53:00Z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