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7A2BACF2" w14:textId="77777777">
        <w:trPr>
          <w:trHeight w:val="852"/>
          <w:jc w:val="center"/>
        </w:trPr>
        <w:tc>
          <w:tcPr>
            <w:tcW w:w="6946" w:type="dxa"/>
            <w:vMerge w:val="restart"/>
            <w:tcBorders>
              <w:right w:val="single" w:sz="4" w:space="0" w:color="auto"/>
            </w:tcBorders>
          </w:tcPr>
          <w:p w14:paraId="4C76C4FB"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n-US"/>
              </w:rPr>
              <w:drawing>
                <wp:inline distT="0" distB="0" distL="0" distR="0" wp14:anchorId="20735B6B" wp14:editId="0486EA2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36F9D04"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BE74F08"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23CFE908" w14:textId="77777777" w:rsidR="000A03B2" w:rsidRPr="00B57B36" w:rsidRDefault="000A03B2" w:rsidP="00CD5FE2">
            <w:pPr>
              <w:jc w:val="right"/>
            </w:pPr>
            <w:r w:rsidRPr="00B57B36">
              <w:rPr>
                <w:noProof/>
                <w:lang w:val="en-US"/>
              </w:rPr>
              <w:drawing>
                <wp:inline distT="0" distB="0" distL="0" distR="0" wp14:anchorId="46D151DA" wp14:editId="673DEBD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781743" w14:textId="77777777">
        <w:trPr>
          <w:trHeight w:val="567"/>
          <w:jc w:val="center"/>
        </w:trPr>
        <w:tc>
          <w:tcPr>
            <w:tcW w:w="6946" w:type="dxa"/>
            <w:vMerge/>
            <w:tcBorders>
              <w:right w:val="single" w:sz="4" w:space="0" w:color="auto"/>
            </w:tcBorders>
          </w:tcPr>
          <w:p w14:paraId="7896C655"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B43A5FC"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D439F2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63E20AB"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3BD4A62E" w14:textId="77777777">
        <w:trPr>
          <w:trHeight w:val="68"/>
          <w:jc w:val="center"/>
        </w:trPr>
        <w:tc>
          <w:tcPr>
            <w:tcW w:w="8789" w:type="dxa"/>
            <w:gridSpan w:val="2"/>
          </w:tcPr>
          <w:p w14:paraId="722148B1"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01EEA8F6"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7F8111F"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32B5BE02" w14:textId="1D15976D" w:rsidR="00E978D0" w:rsidRPr="007A3E07" w:rsidRDefault="004F2EEC" w:rsidP="00E978D0">
      <w:pPr>
        <w:pStyle w:val="CETTitle"/>
        <w:rPr>
          <w:rFonts w:cs="Arial"/>
        </w:rPr>
      </w:pPr>
      <w:r w:rsidRPr="007A3E07">
        <w:rPr>
          <w:rFonts w:cs="Arial"/>
          <w:color w:val="000000"/>
          <w:szCs w:val="27"/>
          <w:shd w:val="clear" w:color="auto" w:fill="FFFFFF"/>
        </w:rPr>
        <w:t xml:space="preserve">A Comparative Study of Different Deep Learning </w:t>
      </w:r>
      <w:r w:rsidR="00201A5C">
        <w:rPr>
          <w:rFonts w:cs="Arial"/>
          <w:color w:val="000000"/>
          <w:szCs w:val="27"/>
          <w:shd w:val="clear" w:color="auto" w:fill="FFFFFF"/>
        </w:rPr>
        <w:t>Models</w:t>
      </w:r>
      <w:r w:rsidRPr="007A3E07">
        <w:rPr>
          <w:rFonts w:cs="Arial"/>
          <w:color w:val="000000"/>
          <w:szCs w:val="27"/>
          <w:shd w:val="clear" w:color="auto" w:fill="FFFFFF"/>
        </w:rPr>
        <w:t xml:space="preserve"> for the Prediction of Natural Gas</w:t>
      </w:r>
      <w:r w:rsidR="003735EC">
        <w:rPr>
          <w:rFonts w:cs="Arial"/>
          <w:color w:val="000000"/>
          <w:szCs w:val="27"/>
          <w:shd w:val="clear" w:color="auto" w:fill="FFFFFF"/>
        </w:rPr>
        <w:t xml:space="preserve"> </w:t>
      </w:r>
      <w:r w:rsidR="00C60B61">
        <w:rPr>
          <w:rFonts w:cs="Arial"/>
          <w:color w:val="000000"/>
          <w:szCs w:val="27"/>
          <w:shd w:val="clear" w:color="auto" w:fill="FFFFFF"/>
        </w:rPr>
        <w:t xml:space="preserve">Demand </w:t>
      </w:r>
      <w:r w:rsidR="00201A5C">
        <w:rPr>
          <w:rFonts w:cs="Arial"/>
          <w:color w:val="000000"/>
          <w:szCs w:val="27"/>
          <w:shd w:val="clear" w:color="auto" w:fill="FFFFFF"/>
        </w:rPr>
        <w:t xml:space="preserve">and Price </w:t>
      </w:r>
      <w:r w:rsidRPr="007A3E07">
        <w:rPr>
          <w:rFonts w:cs="Arial"/>
          <w:color w:val="000000"/>
          <w:szCs w:val="27"/>
          <w:shd w:val="clear" w:color="auto" w:fill="FFFFFF"/>
        </w:rPr>
        <w:t>in the United States</w:t>
      </w:r>
    </w:p>
    <w:p w14:paraId="01473436" w14:textId="6292B327" w:rsidR="00E978D0" w:rsidRPr="007A3E07" w:rsidRDefault="007A3E07" w:rsidP="00AB5011">
      <w:pPr>
        <w:pStyle w:val="CETAuthors"/>
        <w:rPr>
          <w:lang w:val="es-VE"/>
        </w:rPr>
      </w:pPr>
      <w:r w:rsidRPr="007A3E07">
        <w:rPr>
          <w:lang w:val="es-VE"/>
        </w:rPr>
        <w:t>Vidhyadhar Manee</w:t>
      </w:r>
      <w:r w:rsidR="00600535" w:rsidRPr="007A3E07">
        <w:rPr>
          <w:vertAlign w:val="superscript"/>
          <w:lang w:val="es-VE"/>
        </w:rPr>
        <w:t>a</w:t>
      </w:r>
      <w:r w:rsidR="00600535" w:rsidRPr="007A3E07">
        <w:rPr>
          <w:lang w:val="es-VE"/>
        </w:rPr>
        <w:t>, J</w:t>
      </w:r>
      <w:r w:rsidRPr="007A3E07">
        <w:rPr>
          <w:lang w:val="es-VE"/>
        </w:rPr>
        <w:t>orge</w:t>
      </w:r>
      <w:r w:rsidR="00600535" w:rsidRPr="007A3E07">
        <w:rPr>
          <w:lang w:val="es-VE"/>
        </w:rPr>
        <w:t xml:space="preserve"> </w:t>
      </w:r>
      <w:r w:rsidRPr="007A3E07">
        <w:rPr>
          <w:lang w:val="es-VE"/>
        </w:rPr>
        <w:t>Chebeir</w:t>
      </w:r>
      <w:r w:rsidRPr="007A3E07">
        <w:rPr>
          <w:vertAlign w:val="superscript"/>
          <w:lang w:val="es-VE"/>
        </w:rPr>
        <w:t>a</w:t>
      </w:r>
      <w:r w:rsidR="00600535" w:rsidRPr="007A3E07">
        <w:rPr>
          <w:lang w:val="es-VE"/>
        </w:rPr>
        <w:t xml:space="preserve">, </w:t>
      </w:r>
      <w:r w:rsidRPr="007A3E07">
        <w:rPr>
          <w:lang w:val="es-VE"/>
        </w:rPr>
        <w:t>Jose A. Roma</w:t>
      </w:r>
      <w:r>
        <w:rPr>
          <w:lang w:val="es-VE"/>
        </w:rPr>
        <w:t>gnoli</w:t>
      </w:r>
      <w:r w:rsidRPr="007A3E07">
        <w:rPr>
          <w:vertAlign w:val="superscript"/>
          <w:lang w:val="es-VE"/>
        </w:rPr>
        <w:t>a</w:t>
      </w:r>
      <w:r>
        <w:rPr>
          <w:lang w:val="es-VE"/>
        </w:rPr>
        <w:t>*</w:t>
      </w:r>
    </w:p>
    <w:p w14:paraId="0D148733" w14:textId="67B7FBFA" w:rsidR="007A3E07" w:rsidRPr="00B57B36" w:rsidRDefault="007A3E07" w:rsidP="007A3E07">
      <w:pPr>
        <w:pStyle w:val="CETAddress"/>
      </w:pPr>
      <w:r w:rsidRPr="00B57B36">
        <w:rPr>
          <w:vertAlign w:val="superscript"/>
        </w:rPr>
        <w:t>a</w:t>
      </w:r>
      <w:r>
        <w:t>Louisiana State University, Cain Department of Chemical Engineering</w:t>
      </w:r>
      <w:r w:rsidRPr="00B57B36">
        <w:t xml:space="preserve">, </w:t>
      </w:r>
      <w:r>
        <w:t>3307 Patrick F. Taylor Hall, Baton Rouge, LA, U.S.A</w:t>
      </w:r>
      <w:r w:rsidRPr="00B57B36">
        <w:t xml:space="preserve"> </w:t>
      </w:r>
      <w:r w:rsidR="000426A9">
        <w:t xml:space="preserve">  </w:t>
      </w:r>
    </w:p>
    <w:p w14:paraId="276AADDC" w14:textId="42D8C346" w:rsidR="0028312B" w:rsidRDefault="00E054A9" w:rsidP="0028312B">
      <w:pPr>
        <w:pStyle w:val="CETemail"/>
      </w:pPr>
      <w:hyperlink r:id="rId10" w:history="1">
        <w:r w:rsidR="0028312B" w:rsidRPr="0028312B">
          <w:rPr>
            <w:rStyle w:val="Hyperlink"/>
            <w:color w:val="auto"/>
          </w:rPr>
          <w:t>*jose@lsu.edu</w:t>
        </w:r>
      </w:hyperlink>
    </w:p>
    <w:p w14:paraId="32474F13" w14:textId="62DFA1FC" w:rsidR="00600535" w:rsidRDefault="0028312B" w:rsidP="0028312B">
      <w:pPr>
        <w:pStyle w:val="CETemail"/>
        <w:jc w:val="both"/>
      </w:pPr>
      <w:r w:rsidRPr="0028312B">
        <w:rPr>
          <w:sz w:val="18"/>
        </w:rPr>
        <w:t xml:space="preserve">In this work, the impact of network architecture on the natural gas demand </w:t>
      </w:r>
      <w:r w:rsidR="00624F1B">
        <w:rPr>
          <w:sz w:val="18"/>
        </w:rPr>
        <w:t xml:space="preserve">and price </w:t>
      </w:r>
      <w:r w:rsidRPr="0028312B">
        <w:rPr>
          <w:sz w:val="18"/>
        </w:rPr>
        <w:t>forecast</w:t>
      </w:r>
      <w:r w:rsidR="00461AD9">
        <w:rPr>
          <w:sz w:val="18"/>
        </w:rPr>
        <w:t>s</w:t>
      </w:r>
      <w:r w:rsidRPr="0028312B">
        <w:rPr>
          <w:sz w:val="18"/>
        </w:rPr>
        <w:t xml:space="preserve"> task is evaluated. Recurrent models such as GRU (Gated Recurrent Units) and LSTM (Long Short</w:t>
      </w:r>
      <w:r>
        <w:rPr>
          <w:sz w:val="18"/>
        </w:rPr>
        <w:t>-</w:t>
      </w:r>
      <w:r w:rsidRPr="0028312B">
        <w:rPr>
          <w:sz w:val="18"/>
        </w:rPr>
        <w:t xml:space="preserve">Term Memory networks) are investigated to </w:t>
      </w:r>
      <w:r w:rsidR="00A23D3D">
        <w:rPr>
          <w:sz w:val="18"/>
        </w:rPr>
        <w:t>verify</w:t>
      </w:r>
      <w:r w:rsidRPr="0028312B">
        <w:rPr>
          <w:sz w:val="18"/>
        </w:rPr>
        <w:t xml:space="preserve"> </w:t>
      </w:r>
      <w:r w:rsidR="006B5668">
        <w:rPr>
          <w:sz w:val="18"/>
        </w:rPr>
        <w:t>that</w:t>
      </w:r>
      <w:r w:rsidRPr="0028312B">
        <w:rPr>
          <w:sz w:val="18"/>
        </w:rPr>
        <w:t xml:space="preserve"> their impressive performance on sequence modeling tasks like audio synthesis can be transferred over to this challenging domain</w:t>
      </w:r>
      <w:r w:rsidR="004D1728">
        <w:rPr>
          <w:sz w:val="18"/>
        </w:rPr>
        <w:t>.</w:t>
      </w:r>
      <w:r w:rsidR="006B5668">
        <w:rPr>
          <w:sz w:val="18"/>
        </w:rPr>
        <w:t xml:space="preserve"> </w:t>
      </w:r>
      <w:r w:rsidR="004C6033">
        <w:rPr>
          <w:sz w:val="18"/>
        </w:rPr>
        <w:t>T</w:t>
      </w:r>
      <w:r w:rsidR="00F76457">
        <w:rPr>
          <w:sz w:val="18"/>
        </w:rPr>
        <w:t>he effect of data decomposition using Emp</w:t>
      </w:r>
      <w:r w:rsidR="00CE036B">
        <w:rPr>
          <w:sz w:val="18"/>
        </w:rPr>
        <w:t>i</w:t>
      </w:r>
      <w:r w:rsidR="00F76457">
        <w:rPr>
          <w:sz w:val="18"/>
        </w:rPr>
        <w:t xml:space="preserve">rical Mode Decomposition technique is </w:t>
      </w:r>
      <w:r w:rsidR="00461AD9">
        <w:rPr>
          <w:sz w:val="18"/>
        </w:rPr>
        <w:t>explored</w:t>
      </w:r>
      <w:r w:rsidR="00F76457">
        <w:rPr>
          <w:sz w:val="18"/>
        </w:rPr>
        <w:t>.</w:t>
      </w:r>
      <w:r w:rsidR="007F2F29">
        <w:rPr>
          <w:sz w:val="18"/>
        </w:rPr>
        <w:t xml:space="preserve"> Finally, the effect of the encoder-decoder architecture on model performance is evaluated in this work.</w:t>
      </w:r>
      <w:r w:rsidRPr="0028312B">
        <w:rPr>
          <w:sz w:val="18"/>
        </w:rPr>
        <w:t xml:space="preserve"> The results </w:t>
      </w:r>
      <w:r w:rsidR="00624F1B">
        <w:rPr>
          <w:sz w:val="18"/>
        </w:rPr>
        <w:t>obtained by the different appr</w:t>
      </w:r>
      <w:r w:rsidR="001E4833">
        <w:rPr>
          <w:sz w:val="18"/>
        </w:rPr>
        <w:t>o</w:t>
      </w:r>
      <w:r w:rsidR="00624F1B">
        <w:rPr>
          <w:sz w:val="18"/>
        </w:rPr>
        <w:t xml:space="preserve">aches </w:t>
      </w:r>
      <w:r w:rsidRPr="0028312B">
        <w:rPr>
          <w:sz w:val="18"/>
        </w:rPr>
        <w:t xml:space="preserve">are then compared </w:t>
      </w:r>
      <w:r w:rsidR="00624F1B">
        <w:rPr>
          <w:sz w:val="18"/>
        </w:rPr>
        <w:t xml:space="preserve">to </w:t>
      </w:r>
      <w:r w:rsidR="003D2DC8">
        <w:rPr>
          <w:sz w:val="18"/>
        </w:rPr>
        <w:t>identify the most appropriate</w:t>
      </w:r>
      <w:r w:rsidR="00142977">
        <w:rPr>
          <w:sz w:val="18"/>
        </w:rPr>
        <w:t xml:space="preserve"> model for the case studies analy</w:t>
      </w:r>
      <w:r w:rsidR="004D1728">
        <w:rPr>
          <w:sz w:val="18"/>
        </w:rPr>
        <w:t>z</w:t>
      </w:r>
      <w:r w:rsidR="00624F1B">
        <w:rPr>
          <w:sz w:val="18"/>
        </w:rPr>
        <w:t>ed</w:t>
      </w:r>
      <w:r w:rsidRPr="0028312B">
        <w:rPr>
          <w:sz w:val="18"/>
        </w:rPr>
        <w:t xml:space="preserve">. </w:t>
      </w:r>
    </w:p>
    <w:p w14:paraId="6B13A695" w14:textId="4C2F04A6" w:rsidR="00600535" w:rsidRDefault="0028312B" w:rsidP="00600535">
      <w:pPr>
        <w:pStyle w:val="CETHeading1"/>
        <w:tabs>
          <w:tab w:val="clear" w:pos="360"/>
          <w:tab w:val="right" w:pos="7100"/>
        </w:tabs>
        <w:jc w:val="both"/>
        <w:rPr>
          <w:lang w:val="en-GB"/>
        </w:rPr>
      </w:pPr>
      <w:r>
        <w:rPr>
          <w:lang w:val="en-GB"/>
        </w:rPr>
        <w:t>Introduction</w:t>
      </w:r>
    </w:p>
    <w:p w14:paraId="6C40632F" w14:textId="44767A0E" w:rsidR="00E54727" w:rsidRDefault="00E54727" w:rsidP="007020C5">
      <w:pPr>
        <w:pStyle w:val="CETBodytext"/>
        <w:rPr>
          <w:lang w:val="en-GB"/>
        </w:rPr>
      </w:pPr>
      <w:r w:rsidRPr="0028312B">
        <w:rPr>
          <w:lang w:val="en-GB"/>
        </w:rPr>
        <w:t>Natural gas represents a highly efficient and low energy intensive fossil fuel in comparison to other</w:t>
      </w:r>
      <w:r>
        <w:rPr>
          <w:lang w:val="en-GB"/>
        </w:rPr>
        <w:t xml:space="preserve"> sources like coal</w:t>
      </w:r>
      <w:r w:rsidRPr="0028312B">
        <w:rPr>
          <w:lang w:val="en-GB"/>
        </w:rPr>
        <w:t xml:space="preserve">. </w:t>
      </w:r>
      <w:r>
        <w:rPr>
          <w:lang w:val="en-GB"/>
        </w:rPr>
        <w:t xml:space="preserve">This energy commodity not only plays a key role as fuel in the residential and commercial heating market but also represents an important feedstock for industry and power generation. </w:t>
      </w:r>
      <w:r w:rsidRPr="0028312B">
        <w:rPr>
          <w:lang w:val="en-GB"/>
        </w:rPr>
        <w:t>Over the past decade, the combination of different technological advancements including extended-reach directional drilling</w:t>
      </w:r>
      <w:r>
        <w:rPr>
          <w:lang w:val="en-GB"/>
        </w:rPr>
        <w:t xml:space="preserve"> and</w:t>
      </w:r>
      <w:r w:rsidRPr="0028312B">
        <w:rPr>
          <w:lang w:val="en-GB"/>
        </w:rPr>
        <w:t xml:space="preserve"> multi-stage horizontal fracturing </w:t>
      </w:r>
      <w:r w:rsidR="002E77B4">
        <w:rPr>
          <w:lang w:val="en-GB"/>
        </w:rPr>
        <w:t xml:space="preserve">has </w:t>
      </w:r>
      <w:r w:rsidRPr="0028312B">
        <w:rPr>
          <w:lang w:val="en-GB"/>
        </w:rPr>
        <w:t xml:space="preserve">unleashed the enormous potential of the United States as a producer of natural gas </w:t>
      </w:r>
      <w:r>
        <w:rPr>
          <w:lang w:val="en-GB"/>
        </w:rPr>
        <w:t>from</w:t>
      </w:r>
      <w:r w:rsidRPr="0028312B">
        <w:rPr>
          <w:lang w:val="en-GB"/>
        </w:rPr>
        <w:t xml:space="preserve"> shale </w:t>
      </w:r>
      <w:r>
        <w:rPr>
          <w:lang w:val="en-GB"/>
        </w:rPr>
        <w:t>rocks</w:t>
      </w:r>
      <w:r w:rsidRPr="0028312B">
        <w:rPr>
          <w:lang w:val="en-GB"/>
        </w:rPr>
        <w:t xml:space="preserve">. The production of dry gas from shale gas and tight oil is expected to continue growing in the future and eventually account for more than three-quarters of the natural gas production in 2050. Long-term consumption is also expected to increase in this period, mostly driven by the industrial and electric power demands (EIA, 2018). </w:t>
      </w:r>
      <w:r>
        <w:rPr>
          <w:lang w:val="en-GB"/>
        </w:rPr>
        <w:t>In this context</w:t>
      </w:r>
      <w:r w:rsidRPr="0028312B">
        <w:rPr>
          <w:lang w:val="en-GB"/>
        </w:rPr>
        <w:t xml:space="preserve">, natural gas is </w:t>
      </w:r>
      <w:r>
        <w:rPr>
          <w:lang w:val="en-GB"/>
        </w:rPr>
        <w:t>expected</w:t>
      </w:r>
      <w:r w:rsidRPr="0028312B">
        <w:rPr>
          <w:lang w:val="en-GB"/>
        </w:rPr>
        <w:t xml:space="preserve"> to </w:t>
      </w:r>
      <w:r>
        <w:rPr>
          <w:lang w:val="en-GB"/>
        </w:rPr>
        <w:t xml:space="preserve">continue </w:t>
      </w:r>
      <w:r w:rsidRPr="0028312B">
        <w:rPr>
          <w:lang w:val="en-GB"/>
        </w:rPr>
        <w:t>play</w:t>
      </w:r>
      <w:r>
        <w:rPr>
          <w:lang w:val="en-GB"/>
        </w:rPr>
        <w:t>ing</w:t>
      </w:r>
      <w:r w:rsidRPr="0028312B">
        <w:rPr>
          <w:lang w:val="en-GB"/>
        </w:rPr>
        <w:t xml:space="preserve"> a </w:t>
      </w:r>
      <w:r>
        <w:rPr>
          <w:lang w:val="en-GB"/>
        </w:rPr>
        <w:t>critical</w:t>
      </w:r>
      <w:r w:rsidRPr="0028312B">
        <w:rPr>
          <w:lang w:val="en-GB"/>
        </w:rPr>
        <w:t xml:space="preserve"> role in the energy consumption structure of the country</w:t>
      </w:r>
      <w:r>
        <w:rPr>
          <w:lang w:val="en-GB"/>
        </w:rPr>
        <w:t xml:space="preserve"> in the future</w:t>
      </w:r>
      <w:r w:rsidRPr="0028312B">
        <w:rPr>
          <w:lang w:val="en-GB"/>
        </w:rPr>
        <w:t>.</w:t>
      </w:r>
    </w:p>
    <w:p w14:paraId="7D29E640" w14:textId="59EDC7A4" w:rsidR="00E54727" w:rsidRDefault="00E54727" w:rsidP="007020C5">
      <w:pPr>
        <w:pStyle w:val="CETBodytext"/>
        <w:rPr>
          <w:lang w:val="en-GB"/>
        </w:rPr>
      </w:pPr>
      <w:r>
        <w:rPr>
          <w:lang w:val="en-GB"/>
        </w:rPr>
        <w:t>From the perspective of gas companies and government, t</w:t>
      </w:r>
      <w:r w:rsidRPr="00E533B7">
        <w:rPr>
          <w:lang w:val="en-GB"/>
        </w:rPr>
        <w:t xml:space="preserve">he forecast of natural gas demand is essential to </w:t>
      </w:r>
      <w:r w:rsidR="00461AD9">
        <w:rPr>
          <w:lang w:val="en-GB"/>
        </w:rPr>
        <w:t>plan</w:t>
      </w:r>
      <w:r w:rsidRPr="00E533B7">
        <w:rPr>
          <w:lang w:val="en-GB"/>
        </w:rPr>
        <w:t xml:space="preserve"> the long-term </w:t>
      </w:r>
      <w:r w:rsidR="00461AD9">
        <w:rPr>
          <w:lang w:val="en-GB"/>
        </w:rPr>
        <w:t>operations</w:t>
      </w:r>
      <w:r w:rsidRPr="00E533B7">
        <w:rPr>
          <w:lang w:val="en-GB"/>
        </w:rPr>
        <w:t xml:space="preserve"> </w:t>
      </w:r>
      <w:r w:rsidR="00461AD9">
        <w:rPr>
          <w:lang w:val="en-GB"/>
        </w:rPr>
        <w:t>of</w:t>
      </w:r>
      <w:r>
        <w:rPr>
          <w:lang w:val="en-GB"/>
        </w:rPr>
        <w:t xml:space="preserve"> the </w:t>
      </w:r>
      <w:r w:rsidRPr="00E533B7">
        <w:rPr>
          <w:lang w:val="en-GB"/>
        </w:rPr>
        <w:t xml:space="preserve">energy sector and to define the most appropriate policies. Incorrect </w:t>
      </w:r>
      <w:r>
        <w:rPr>
          <w:lang w:val="en-GB"/>
        </w:rPr>
        <w:t xml:space="preserve">demand </w:t>
      </w:r>
      <w:r w:rsidRPr="00E533B7">
        <w:rPr>
          <w:lang w:val="en-GB"/>
        </w:rPr>
        <w:t xml:space="preserve">forecasts can </w:t>
      </w:r>
      <w:r>
        <w:rPr>
          <w:lang w:val="en-GB"/>
        </w:rPr>
        <w:t>provoke</w:t>
      </w:r>
      <w:r w:rsidRPr="00E533B7">
        <w:rPr>
          <w:lang w:val="en-GB"/>
        </w:rPr>
        <w:t xml:space="preserve"> a detrimental effect on the economy of the different players involved in the </w:t>
      </w:r>
      <w:r>
        <w:rPr>
          <w:lang w:val="en-GB"/>
        </w:rPr>
        <w:t xml:space="preserve">gas </w:t>
      </w:r>
      <w:r w:rsidRPr="00E533B7">
        <w:rPr>
          <w:lang w:val="en-GB"/>
        </w:rPr>
        <w:t xml:space="preserve">supply networks. It could force gas producers to make costly strategic mistakes or consumers to plan erroneously. To avoid these </w:t>
      </w:r>
      <w:r w:rsidR="00461AD9">
        <w:rPr>
          <w:lang w:val="en-GB"/>
        </w:rPr>
        <w:t xml:space="preserve">unpleasant </w:t>
      </w:r>
      <w:r w:rsidRPr="00E533B7">
        <w:rPr>
          <w:lang w:val="en-GB"/>
        </w:rPr>
        <w:t xml:space="preserve">scenarios, an accurate forecasting methodology needs to be developed </w:t>
      </w:r>
      <w:r>
        <w:rPr>
          <w:lang w:val="en-GB"/>
        </w:rPr>
        <w:t>in order to</w:t>
      </w:r>
      <w:r w:rsidRPr="00E533B7">
        <w:rPr>
          <w:lang w:val="en-GB"/>
        </w:rPr>
        <w:t xml:space="preserve"> minimize the error</w:t>
      </w:r>
      <w:r>
        <w:rPr>
          <w:lang w:val="en-GB"/>
        </w:rPr>
        <w:t xml:space="preserve">s associated </w:t>
      </w:r>
      <w:r w:rsidR="00352218">
        <w:rPr>
          <w:lang w:val="en-GB"/>
        </w:rPr>
        <w:t>with</w:t>
      </w:r>
      <w:r>
        <w:rPr>
          <w:lang w:val="en-GB"/>
        </w:rPr>
        <w:t xml:space="preserve"> mismatches between supply and consumption</w:t>
      </w:r>
      <w:r w:rsidRPr="00E533B7">
        <w:rPr>
          <w:lang w:val="en-GB"/>
        </w:rPr>
        <w:t>.</w:t>
      </w:r>
    </w:p>
    <w:p w14:paraId="4B731FE8" w14:textId="08CE55D5" w:rsidR="00E54727" w:rsidRDefault="00461AD9" w:rsidP="007020C5">
      <w:pPr>
        <w:pStyle w:val="CETBodytext"/>
        <w:rPr>
          <w:lang w:val="en-GB"/>
        </w:rPr>
      </w:pPr>
      <w:r>
        <w:rPr>
          <w:lang w:val="en-GB"/>
        </w:rPr>
        <w:t>Similarly, t</w:t>
      </w:r>
      <w:r w:rsidR="00E54727">
        <w:rPr>
          <w:lang w:val="en-GB"/>
        </w:rPr>
        <w:t>he prediction of the natural gas price represents another fundamental decision-making tool for the different players involved in the oil and gas industry of the United States.</w:t>
      </w:r>
      <w:r w:rsidR="00964082">
        <w:rPr>
          <w:lang w:val="en-GB"/>
        </w:rPr>
        <w:t xml:space="preserve"> </w:t>
      </w:r>
      <w:r w:rsidR="004351BA">
        <w:rPr>
          <w:lang w:val="en-GB"/>
        </w:rPr>
        <w:t>It is</w:t>
      </w:r>
      <w:r w:rsidR="00352218">
        <w:rPr>
          <w:lang w:val="en-GB"/>
        </w:rPr>
        <w:t xml:space="preserve"> </w:t>
      </w:r>
      <w:r w:rsidR="00964082">
        <w:rPr>
          <w:lang w:val="en-GB"/>
        </w:rPr>
        <w:t>highly challenging to get accurate predictions</w:t>
      </w:r>
      <w:r w:rsidR="00B2658A">
        <w:rPr>
          <w:lang w:val="en-GB"/>
        </w:rPr>
        <w:t xml:space="preserve"> of gas price</w:t>
      </w:r>
      <w:r w:rsidR="00E54727">
        <w:rPr>
          <w:lang w:val="en-GB"/>
        </w:rPr>
        <w:t xml:space="preserve"> </w:t>
      </w:r>
      <w:r w:rsidR="00964082">
        <w:rPr>
          <w:lang w:val="en-GB"/>
        </w:rPr>
        <w:t>owing to</w:t>
      </w:r>
      <w:r w:rsidR="00E54727">
        <w:rPr>
          <w:lang w:val="en-GB"/>
        </w:rPr>
        <w:t xml:space="preserve"> the rapid and unpredictable movements of this exogenous variable in the energy market. During the period following the deregulation of gas markets in the late 1980s, prices fell to nearly US$ 2.3/MMBtu and remained </w:t>
      </w:r>
      <w:r w:rsidR="006420CD">
        <w:rPr>
          <w:lang w:val="en-GB"/>
        </w:rPr>
        <w:t>at</w:t>
      </w:r>
      <w:r w:rsidR="00E54727">
        <w:rPr>
          <w:lang w:val="en-GB"/>
        </w:rPr>
        <w:t xml:space="preserve"> that level </w:t>
      </w:r>
      <w:r w:rsidR="006420CD">
        <w:rPr>
          <w:lang w:val="en-GB"/>
        </w:rPr>
        <w:t>throughout</w:t>
      </w:r>
      <w:r w:rsidR="00E54727">
        <w:rPr>
          <w:lang w:val="en-GB"/>
        </w:rPr>
        <w:t xml:space="preserve"> 1990s. After 2000, gas prices started to increase rapidly and </w:t>
      </w:r>
      <w:r w:rsidR="00961C97">
        <w:rPr>
          <w:lang w:val="en-GB"/>
        </w:rPr>
        <w:t>continued to be</w:t>
      </w:r>
      <w:r w:rsidR="00E54727">
        <w:rPr>
          <w:lang w:val="en-GB"/>
        </w:rPr>
        <w:t xml:space="preserve"> highly volatile. By 2008, the prices averaged $8/MMBtu (four times the levels of 1990s). After 2008, it </w:t>
      </w:r>
      <w:r w:rsidR="00D16D71">
        <w:rPr>
          <w:lang w:val="en-GB"/>
        </w:rPr>
        <w:t>entered</w:t>
      </w:r>
      <w:r w:rsidR="00E54727">
        <w:rPr>
          <w:lang w:val="en-GB"/>
        </w:rPr>
        <w:t xml:space="preserve"> a </w:t>
      </w:r>
      <w:r w:rsidR="00D16D71">
        <w:rPr>
          <w:lang w:val="en-GB"/>
        </w:rPr>
        <w:t>period of decline</w:t>
      </w:r>
      <w:r w:rsidR="00E54727">
        <w:rPr>
          <w:lang w:val="en-GB"/>
        </w:rPr>
        <w:t xml:space="preserve"> until </w:t>
      </w:r>
      <w:r w:rsidR="00D16D71">
        <w:rPr>
          <w:lang w:val="en-GB"/>
        </w:rPr>
        <w:t>the prices dropped to</w:t>
      </w:r>
      <w:r w:rsidR="00E54727">
        <w:rPr>
          <w:lang w:val="en-GB"/>
        </w:rPr>
        <w:t xml:space="preserve"> US$2.64/MMBtu (</w:t>
      </w:r>
      <w:r w:rsidR="00E54727" w:rsidRPr="002608A9">
        <w:t xml:space="preserve">Power </w:t>
      </w:r>
      <w:r w:rsidR="00E54727">
        <w:t>and</w:t>
      </w:r>
      <w:r w:rsidR="00E54727" w:rsidRPr="002608A9">
        <w:t xml:space="preserve"> Council</w:t>
      </w:r>
      <w:r w:rsidR="00E54727">
        <w:t>, 2016</w:t>
      </w:r>
      <w:r w:rsidR="00E54727">
        <w:rPr>
          <w:lang w:val="en-GB"/>
        </w:rPr>
        <w:t xml:space="preserve">). Therefore, a volatile behaviour </w:t>
      </w:r>
      <w:r w:rsidR="00961C97">
        <w:rPr>
          <w:lang w:val="en-GB"/>
        </w:rPr>
        <w:t>is</w:t>
      </w:r>
      <w:r w:rsidR="00E54727">
        <w:rPr>
          <w:lang w:val="en-GB"/>
        </w:rPr>
        <w:t xml:space="preserve"> </w:t>
      </w:r>
      <w:r w:rsidR="00961C97">
        <w:rPr>
          <w:lang w:val="en-GB"/>
        </w:rPr>
        <w:t xml:space="preserve">a </w:t>
      </w:r>
      <w:r w:rsidR="00E54727">
        <w:rPr>
          <w:lang w:val="en-GB"/>
        </w:rPr>
        <w:t xml:space="preserve">characteristic </w:t>
      </w:r>
      <w:r w:rsidR="00961C97">
        <w:rPr>
          <w:lang w:val="en-GB"/>
        </w:rPr>
        <w:t xml:space="preserve">feature </w:t>
      </w:r>
      <w:r w:rsidR="00E54727">
        <w:rPr>
          <w:lang w:val="en-GB"/>
        </w:rPr>
        <w:t xml:space="preserve">of the natural gas price in the country.   </w:t>
      </w:r>
    </w:p>
    <w:p w14:paraId="1A9BEE76" w14:textId="1FD77A17" w:rsidR="00E54727" w:rsidRPr="0028312B" w:rsidRDefault="00E54727" w:rsidP="00D25DC0">
      <w:pPr>
        <w:pStyle w:val="CETBodytext"/>
        <w:rPr>
          <w:lang w:val="en-GB"/>
        </w:rPr>
      </w:pPr>
      <w:r>
        <w:rPr>
          <w:lang w:val="en-GB"/>
        </w:rPr>
        <w:t>Although numerous statistical techniques have been developed for the prediction of time series (</w:t>
      </w:r>
      <w:r w:rsidRPr="00A80FEF">
        <w:rPr>
          <w:lang w:val="en-GB"/>
        </w:rPr>
        <w:t>Box and Jenkins</w:t>
      </w:r>
      <w:r>
        <w:rPr>
          <w:lang w:val="en-GB"/>
        </w:rPr>
        <w:t xml:space="preserve">, 1970; Cox and Ross, 1976; </w:t>
      </w:r>
      <w:proofErr w:type="spellStart"/>
      <w:r>
        <w:rPr>
          <w:lang w:val="en-GB"/>
        </w:rPr>
        <w:t>Bollerslev</w:t>
      </w:r>
      <w:proofErr w:type="spellEnd"/>
      <w:r>
        <w:rPr>
          <w:lang w:val="en-GB"/>
        </w:rPr>
        <w:t>, 1986; Zhang et al., 1998), machine learning models have emerged in the last years as serious contender in this field (</w:t>
      </w:r>
      <w:hyperlink w:anchor="Chap5Ref17" w:history="1">
        <w:proofErr w:type="spellStart"/>
        <w:r w:rsidRPr="00A80FEF">
          <w:rPr>
            <w:rFonts w:cs="Arial"/>
          </w:rPr>
          <w:t>Werbos</w:t>
        </w:r>
        <w:proofErr w:type="spellEnd"/>
        <w:r w:rsidRPr="00A80FEF">
          <w:rPr>
            <w:rFonts w:cs="Arial"/>
          </w:rPr>
          <w:t>, 1974</w:t>
        </w:r>
      </w:hyperlink>
      <w:r w:rsidRPr="00A80FEF">
        <w:rPr>
          <w:rFonts w:cs="Arial"/>
        </w:rPr>
        <w:t xml:space="preserve">; </w:t>
      </w:r>
      <w:hyperlink w:anchor="Chap5Ref18" w:history="1">
        <w:proofErr w:type="spellStart"/>
        <w:r w:rsidRPr="00A80FEF">
          <w:rPr>
            <w:rFonts w:cs="Arial"/>
          </w:rPr>
          <w:t>Werbos</w:t>
        </w:r>
        <w:proofErr w:type="spellEnd"/>
        <w:r w:rsidRPr="00A80FEF">
          <w:rPr>
            <w:rFonts w:cs="Arial"/>
          </w:rPr>
          <w:t>, 1988</w:t>
        </w:r>
      </w:hyperlink>
      <w:r w:rsidRPr="00A80FEF">
        <w:rPr>
          <w:rFonts w:cs="Arial"/>
        </w:rPr>
        <w:t>)</w:t>
      </w:r>
      <w:r>
        <w:rPr>
          <w:lang w:val="en-GB"/>
        </w:rPr>
        <w:t xml:space="preserve">. Throughout this </w:t>
      </w:r>
      <w:r>
        <w:rPr>
          <w:lang w:val="en-GB"/>
        </w:rPr>
        <w:lastRenderedPageBreak/>
        <w:t xml:space="preserve">work, different machine learning algorithms are </w:t>
      </w:r>
      <w:r w:rsidR="00D9661D">
        <w:rPr>
          <w:lang w:val="en-GB"/>
        </w:rPr>
        <w:t>explored</w:t>
      </w:r>
      <w:r>
        <w:rPr>
          <w:lang w:val="en-GB"/>
        </w:rPr>
        <w:t xml:space="preserve"> for the prediction of the demand and price of natural gas in the </w:t>
      </w:r>
      <w:r w:rsidR="006420CD">
        <w:rPr>
          <w:lang w:val="en-GB"/>
        </w:rPr>
        <w:t>United States</w:t>
      </w:r>
      <w:r w:rsidR="00F157B6">
        <w:rPr>
          <w:lang w:val="en-GB"/>
        </w:rPr>
        <w:t>.</w:t>
      </w:r>
      <w:r>
        <w:rPr>
          <w:lang w:val="en-GB"/>
        </w:rPr>
        <w:t xml:space="preserve"> </w:t>
      </w:r>
      <w:r w:rsidRPr="00EE5BA2">
        <w:rPr>
          <w:lang w:val="en-GB"/>
        </w:rPr>
        <w:t xml:space="preserve">In the </w:t>
      </w:r>
      <w:proofErr w:type="gramStart"/>
      <w:r w:rsidRPr="00EE5BA2">
        <w:rPr>
          <w:lang w:val="en-GB"/>
        </w:rPr>
        <w:t>particular case</w:t>
      </w:r>
      <w:proofErr w:type="gramEnd"/>
      <w:r w:rsidRPr="00EE5BA2">
        <w:rPr>
          <w:lang w:val="en-GB"/>
        </w:rPr>
        <w:t xml:space="preserve"> of gas price, </w:t>
      </w:r>
      <w:r w:rsidR="00075E23">
        <w:rPr>
          <w:lang w:val="en-GB"/>
        </w:rPr>
        <w:t>the</w:t>
      </w:r>
      <w:r w:rsidRPr="00EE5BA2">
        <w:rPr>
          <w:lang w:val="en-GB"/>
        </w:rPr>
        <w:t xml:space="preserve"> </w:t>
      </w:r>
      <w:r w:rsidR="00241DF4">
        <w:rPr>
          <w:lang w:val="en-GB"/>
        </w:rPr>
        <w:t>Empirical Mode Decomposition</w:t>
      </w:r>
      <w:r w:rsidRPr="00EE5BA2">
        <w:rPr>
          <w:lang w:val="en-GB"/>
        </w:rPr>
        <w:t xml:space="preserve"> (Huang et al., 2003) transformation is </w:t>
      </w:r>
      <w:r w:rsidR="006420CD">
        <w:rPr>
          <w:lang w:val="en-GB"/>
        </w:rPr>
        <w:t>incorporated</w:t>
      </w:r>
      <w:r w:rsidRPr="00EE5BA2">
        <w:rPr>
          <w:lang w:val="en-GB"/>
        </w:rPr>
        <w:t xml:space="preserve"> </w:t>
      </w:r>
      <w:r w:rsidR="00241DF4">
        <w:rPr>
          <w:lang w:val="en-GB"/>
        </w:rPr>
        <w:t>to improve the predictions of the</w:t>
      </w:r>
      <w:r w:rsidRPr="00EE5BA2">
        <w:rPr>
          <w:lang w:val="en-GB"/>
        </w:rPr>
        <w:t xml:space="preserve"> algorithm.</w:t>
      </w:r>
      <w:r>
        <w:rPr>
          <w:lang w:val="en-GB"/>
        </w:rPr>
        <w:t xml:space="preserve">  </w:t>
      </w:r>
    </w:p>
    <w:p w14:paraId="6904BD29" w14:textId="78BD144B" w:rsidR="00C63F76" w:rsidRPr="001B1399" w:rsidRDefault="00A07EAA" w:rsidP="007020C5">
      <w:pPr>
        <w:pStyle w:val="CETHeading1"/>
        <w:numPr>
          <w:ilvl w:val="1"/>
          <w:numId w:val="22"/>
        </w:numPr>
      </w:pPr>
      <w:r w:rsidRPr="001B1399">
        <w:t>Empirical-Mode Decomposition</w:t>
      </w:r>
      <w:r w:rsidR="00075E23">
        <w:t xml:space="preserve"> (EMD)</w:t>
      </w:r>
    </w:p>
    <w:p w14:paraId="30BFEF6C" w14:textId="71F79124" w:rsidR="00305186" w:rsidRPr="006C16A8" w:rsidRDefault="006C16A8" w:rsidP="006C16A8">
      <w:pPr>
        <w:pStyle w:val="CETBodytext"/>
      </w:pPr>
      <w:r>
        <w:t>In time series</w:t>
      </w:r>
      <w:r w:rsidR="003056D9">
        <w:t xml:space="preserve"> </w:t>
      </w:r>
      <w:r w:rsidR="00E62816">
        <w:t>analysis</w:t>
      </w:r>
      <w:r>
        <w:t xml:space="preserve">, the </w:t>
      </w:r>
      <w:r w:rsidR="00E62816">
        <w:t>data</w:t>
      </w:r>
      <w:r w:rsidR="00F278C4">
        <w:t>/signal</w:t>
      </w:r>
      <w:r>
        <w:t xml:space="preserve"> </w:t>
      </w:r>
      <w:r w:rsidR="003056D9">
        <w:t>varies as a</w:t>
      </w:r>
      <w:r w:rsidR="00305186">
        <w:t xml:space="preserve"> </w:t>
      </w:r>
      <w:r>
        <w:t xml:space="preserve">function of time. </w:t>
      </w:r>
      <w:r w:rsidR="00E62816">
        <w:t xml:space="preserve">It </w:t>
      </w:r>
      <w:r w:rsidR="00305186">
        <w:t>carries</w:t>
      </w:r>
      <w:r>
        <w:t xml:space="preserve"> useful information</w:t>
      </w:r>
      <w:r w:rsidR="00305186">
        <w:t xml:space="preserve"> that can be</w:t>
      </w:r>
      <w:r w:rsidR="00E62816">
        <w:t xml:space="preserve"> used to forecast the future by</w:t>
      </w:r>
      <w:r w:rsidR="00305186">
        <w:t xml:space="preserve"> </w:t>
      </w:r>
      <w:r w:rsidR="00221AA8">
        <w:t>studying</w:t>
      </w:r>
      <w:r w:rsidR="00E62816">
        <w:t xml:space="preserve"> </w:t>
      </w:r>
      <w:r w:rsidR="00305186">
        <w:t>the patterns in the signal</w:t>
      </w:r>
      <w:r>
        <w:t xml:space="preserve">. </w:t>
      </w:r>
      <w:r w:rsidR="00E62816">
        <w:t>Over the years, several</w:t>
      </w:r>
      <w:r>
        <w:t xml:space="preserve"> algorithms </w:t>
      </w:r>
      <w:r w:rsidR="00E62816">
        <w:t xml:space="preserve">have been developed to model the </w:t>
      </w:r>
      <w:r w:rsidR="00F278C4">
        <w:t xml:space="preserve">signal </w:t>
      </w:r>
      <w:r w:rsidR="00E62816">
        <w:t>by exploiting</w:t>
      </w:r>
      <w:r>
        <w:t xml:space="preserve"> the</w:t>
      </w:r>
      <w:r w:rsidR="00E62816">
        <w:t>ir inherent</w:t>
      </w:r>
      <w:r>
        <w:t xml:space="preserve"> </w:t>
      </w:r>
      <w:r w:rsidR="00E62816">
        <w:t>temporal structure</w:t>
      </w:r>
      <w:r w:rsidR="00053C39">
        <w:t xml:space="preserve">. </w:t>
      </w:r>
      <w:r w:rsidR="00E62816">
        <w:t xml:space="preserve">Some of the most successful algorithms like the </w:t>
      </w:r>
      <w:r w:rsidR="00E62816" w:rsidRPr="001B1399">
        <w:t>ARMA</w:t>
      </w:r>
      <w:r w:rsidR="00E62816">
        <w:t xml:space="preserve"> </w:t>
      </w:r>
      <w:r w:rsidR="0043514C">
        <w:t xml:space="preserve">class of </w:t>
      </w:r>
      <w:r w:rsidR="00E62816">
        <w:t>models capture these patterns only if the data conforms to certain exp</w:t>
      </w:r>
      <w:r w:rsidR="00053C39">
        <w:t>ectations. D</w:t>
      </w:r>
      <w:r w:rsidR="00E62816">
        <w:t xml:space="preserve">ata generated in the real world do not always meet these expectations </w:t>
      </w:r>
      <w:r w:rsidR="00053C39">
        <w:t xml:space="preserve">and alternative algorithms are </w:t>
      </w:r>
      <w:r w:rsidR="00FA7194">
        <w:t>necessary</w:t>
      </w:r>
      <w:r w:rsidR="00053C39">
        <w:t xml:space="preserve"> to model their dynamics. </w:t>
      </w:r>
    </w:p>
    <w:p w14:paraId="0BD0279C" w14:textId="015D50DB" w:rsidR="0039532A" w:rsidRDefault="006C16A8" w:rsidP="006C16A8">
      <w:pPr>
        <w:pStyle w:val="CETBodytext"/>
      </w:pPr>
      <w:r>
        <w:t xml:space="preserve">One way to </w:t>
      </w:r>
      <w:r w:rsidR="0039532A">
        <w:t>simplify th</w:t>
      </w:r>
      <w:r w:rsidR="00E62816">
        <w:t>e</w:t>
      </w:r>
      <w:r w:rsidR="0039532A">
        <w:t xml:space="preserve"> task </w:t>
      </w:r>
      <w:r>
        <w:t xml:space="preserve">is to </w:t>
      </w:r>
      <w:r w:rsidR="009A0A9D">
        <w:t>deconstruct</w:t>
      </w:r>
      <w:r>
        <w:t xml:space="preserve"> the </w:t>
      </w:r>
      <w:r w:rsidR="00E62816">
        <w:t>data</w:t>
      </w:r>
      <w:r>
        <w:t xml:space="preserve"> </w:t>
      </w:r>
      <w:r w:rsidR="009A0A9D">
        <w:t>into</w:t>
      </w:r>
      <w:r w:rsidR="000F21AD">
        <w:t xml:space="preserve"> sub-parts that can be modeled individually</w:t>
      </w:r>
      <w:r w:rsidR="0024003E">
        <w:t xml:space="preserve"> (Hsieh et al, 2011)</w:t>
      </w:r>
      <w:r>
        <w:t xml:space="preserve">. </w:t>
      </w:r>
      <w:r w:rsidR="00DB3AD1">
        <w:t>Mathematically, there</w:t>
      </w:r>
      <w:r>
        <w:t xml:space="preserve"> can be infinite representations of </w:t>
      </w:r>
      <w:r w:rsidR="00E62816">
        <w:t>the data</w:t>
      </w:r>
      <w:r w:rsidR="00305186">
        <w:t xml:space="preserve"> but</w:t>
      </w:r>
      <w:r>
        <w:t xml:space="preserve"> </w:t>
      </w:r>
      <w:r w:rsidR="00E91758">
        <w:t>only some of them are informative</w:t>
      </w:r>
      <w:r>
        <w:t xml:space="preserve">. </w:t>
      </w:r>
      <w:r w:rsidR="00305186">
        <w:t>The best</w:t>
      </w:r>
      <w:r>
        <w:t xml:space="preserve"> representation</w:t>
      </w:r>
      <w:r w:rsidR="0039532A">
        <w:t>s</w:t>
      </w:r>
      <w:r w:rsidR="00FA7194">
        <w:t xml:space="preserve"> </w:t>
      </w:r>
      <w:r w:rsidR="00305186">
        <w:t>are th</w:t>
      </w:r>
      <w:r w:rsidR="0043514C">
        <w:t xml:space="preserve">ose </w:t>
      </w:r>
      <w:r>
        <w:t xml:space="preserve">that help in identifying the underlying </w:t>
      </w:r>
      <w:r w:rsidR="00DB3AD1">
        <w:t>trends</w:t>
      </w:r>
      <w:r>
        <w:t xml:space="preserve"> in the data</w:t>
      </w:r>
      <w:r w:rsidR="00662E54">
        <w:t xml:space="preserve"> </w:t>
      </w:r>
      <w:r w:rsidR="00305186">
        <w:t xml:space="preserve">which can </w:t>
      </w:r>
      <w:r w:rsidR="00893E19">
        <w:t>later</w:t>
      </w:r>
      <w:r w:rsidR="00305186">
        <w:t xml:space="preserve"> be exploited.</w:t>
      </w:r>
    </w:p>
    <w:p w14:paraId="5A8AF238" w14:textId="2257BB53" w:rsidR="009C6B75" w:rsidRDefault="00662E54" w:rsidP="006C16A8">
      <w:pPr>
        <w:pStyle w:val="CETBodytext"/>
      </w:pPr>
      <w:r>
        <w:t>One of the</w:t>
      </w:r>
      <w:r w:rsidR="00E91758">
        <w:t xml:space="preserve"> more </w:t>
      </w:r>
      <w:r>
        <w:t xml:space="preserve">informative </w:t>
      </w:r>
      <w:r w:rsidR="006C16A8">
        <w:t>representation</w:t>
      </w:r>
      <w:r>
        <w:t>s</w:t>
      </w:r>
      <w:r w:rsidR="006C16A8">
        <w:t xml:space="preserve"> of the data is </w:t>
      </w:r>
      <w:r w:rsidR="0039532A">
        <w:t xml:space="preserve">the </w:t>
      </w:r>
      <w:r w:rsidR="00E849E2">
        <w:t>frequency-time plot</w:t>
      </w:r>
      <w:r w:rsidR="006C16A8">
        <w:t>. Th</w:t>
      </w:r>
      <w:r w:rsidR="004421A3">
        <w:t>e Fourier analysis is a</w:t>
      </w:r>
      <w:r w:rsidR="00E849E2">
        <w:t xml:space="preserve"> </w:t>
      </w:r>
      <w:r w:rsidR="004648D1">
        <w:t xml:space="preserve">technique that </w:t>
      </w:r>
      <w:r w:rsidR="004421A3">
        <w:t>deconstructs the data into sine and cosine</w:t>
      </w:r>
      <w:r w:rsidR="005F0009" w:rsidRPr="001B1399">
        <w:t xml:space="preserve"> functions</w:t>
      </w:r>
      <w:r w:rsidR="004421A3">
        <w:t xml:space="preserve"> each of which has a unique frequency and amplitude</w:t>
      </w:r>
      <w:r w:rsidR="005F0009">
        <w:t>.</w:t>
      </w:r>
      <w:r w:rsidR="004421A3">
        <w:t xml:space="preserve"> </w:t>
      </w:r>
      <w:r w:rsidR="009C6B75">
        <w:t xml:space="preserve">This helps to reveal </w:t>
      </w:r>
      <w:r w:rsidR="005F0009">
        <w:t>patterns</w:t>
      </w:r>
      <w:r w:rsidR="009C6B75">
        <w:t xml:space="preserve"> that might not be obvious in the raw data. </w:t>
      </w:r>
      <w:r w:rsidR="00553DFB">
        <w:t xml:space="preserve">But these algorithms require the data to be stationary and </w:t>
      </w:r>
      <w:r w:rsidR="005878C7">
        <w:t xml:space="preserve">linear </w:t>
      </w:r>
      <w:r w:rsidR="00A85DA7">
        <w:t xml:space="preserve">which cannot always be satisfied. </w:t>
      </w:r>
    </w:p>
    <w:p w14:paraId="1C40450F" w14:textId="03FC2BCF" w:rsidR="00705031" w:rsidRDefault="009C6B75" w:rsidP="006C16A8">
      <w:pPr>
        <w:pStyle w:val="CETBodytext"/>
      </w:pPr>
      <w:r>
        <w:t xml:space="preserve">Several techniques have been developed </w:t>
      </w:r>
      <w:r w:rsidR="00CC7A90">
        <w:t>to</w:t>
      </w:r>
      <w:r>
        <w:t xml:space="preserve"> address the drawbacks of Fourier analysis. </w:t>
      </w:r>
      <w:r w:rsidR="00A85DA7">
        <w:t>A</w:t>
      </w:r>
      <w:r>
        <w:t>ll of the</w:t>
      </w:r>
      <w:r w:rsidR="00A719A2">
        <w:t>m</w:t>
      </w:r>
      <w:r>
        <w:t xml:space="preserve"> </w:t>
      </w:r>
      <w:r w:rsidR="00A719A2">
        <w:t>try to fit the data to predetermined basis functions</w:t>
      </w:r>
      <w:r w:rsidR="00F33731">
        <w:t xml:space="preserve"> which fails if the data generating process</w:t>
      </w:r>
      <w:r w:rsidR="005878C7">
        <w:t xml:space="preserve"> is complex.</w:t>
      </w:r>
      <w:r w:rsidR="00A719A2">
        <w:t xml:space="preserve"> A more effective approach to this problem </w:t>
      </w:r>
      <w:r w:rsidR="009B42FA">
        <w:t>is to</w:t>
      </w:r>
      <w:r w:rsidR="00A719A2">
        <w:t xml:space="preserve"> </w:t>
      </w:r>
      <w:r w:rsidR="00F278C4">
        <w:t>extract</w:t>
      </w:r>
      <w:r w:rsidR="00A719A2">
        <w:t xml:space="preserve"> the </w:t>
      </w:r>
      <w:proofErr w:type="spellStart"/>
      <w:r w:rsidR="00A719A2">
        <w:t>basis</w:t>
      </w:r>
      <w:proofErr w:type="spellEnd"/>
      <w:r w:rsidR="00A719A2">
        <w:t xml:space="preserve"> functions </w:t>
      </w:r>
      <w:r w:rsidR="00F278C4">
        <w:t xml:space="preserve">directly </w:t>
      </w:r>
      <w:r w:rsidR="00A719A2">
        <w:t>from the data. The Empirical mode decomposition</w:t>
      </w:r>
      <w:r w:rsidR="00075E23">
        <w:t xml:space="preserve"> (EMD)</w:t>
      </w:r>
      <w:r w:rsidR="00EB7C3A">
        <w:t xml:space="preserve"> </w:t>
      </w:r>
      <w:r w:rsidR="00EB7C3A">
        <w:rPr>
          <w:lang w:val="en-GB"/>
        </w:rPr>
        <w:t>(</w:t>
      </w:r>
      <w:r w:rsidR="00EB7C3A" w:rsidRPr="00FE0B66">
        <w:rPr>
          <w:lang w:val="en-GB"/>
        </w:rPr>
        <w:t>Huang et al., 2003</w:t>
      </w:r>
      <w:r w:rsidR="00EB7C3A">
        <w:rPr>
          <w:lang w:val="en-GB"/>
        </w:rPr>
        <w:t>)</w:t>
      </w:r>
      <w:r w:rsidR="00A719A2">
        <w:t xml:space="preserve"> model does just this.</w:t>
      </w:r>
      <w:r w:rsidR="000F21AD">
        <w:t xml:space="preserve"> </w:t>
      </w:r>
      <w:r w:rsidR="00D13A0F">
        <w:t>It deconstructs the time series data into subcomponents called Intrinsic Mode Functions</w:t>
      </w:r>
      <w:r w:rsidR="005F18E2">
        <w:t xml:space="preserve"> which are adaptively computed from the data</w:t>
      </w:r>
      <w:r w:rsidR="00D13A0F">
        <w:t>.</w:t>
      </w:r>
      <w:r w:rsidR="00F278C4">
        <w:t xml:space="preserve"> </w:t>
      </w:r>
      <w:r w:rsidR="006D36E3">
        <w:t>An intrinsic mode function is a signal that satisfies the following two constraints</w:t>
      </w:r>
      <w:r w:rsidR="00A719A2">
        <w:t xml:space="preserve">. </w:t>
      </w:r>
    </w:p>
    <w:p w14:paraId="3033310B" w14:textId="51B21ED1" w:rsidR="006D36E3" w:rsidRDefault="006D36E3" w:rsidP="006C16A8">
      <w:pPr>
        <w:pStyle w:val="CETBodytext"/>
      </w:pPr>
      <w:proofErr w:type="spellStart"/>
      <w:r>
        <w:t>i</w:t>
      </w:r>
      <w:proofErr w:type="spellEnd"/>
      <w:r>
        <w:t>). the number of extrema and the number of zero crossings must either equal or differ at most by one</w:t>
      </w:r>
    </w:p>
    <w:p w14:paraId="39551BA8" w14:textId="173A759C" w:rsidR="006D36E3" w:rsidRDefault="006D36E3" w:rsidP="006C16A8">
      <w:pPr>
        <w:pStyle w:val="CETBodytext"/>
      </w:pPr>
      <w:r>
        <w:t>ii). At any point, the mean value of the envelope defined by the local maxima and the envelope defined by the local minima is zero.</w:t>
      </w:r>
    </w:p>
    <w:p w14:paraId="0AD99BF1" w14:textId="528EA000" w:rsidR="008B0882" w:rsidRDefault="00F278C4" w:rsidP="006C16A8">
      <w:pPr>
        <w:pStyle w:val="CETBodytext"/>
      </w:pPr>
      <w:r>
        <w:t>The intrinsic mode functions are computed through a sifting process, the details of which are described here</w:t>
      </w:r>
      <w:r w:rsidR="00EB7C3A">
        <w:t xml:space="preserve"> </w:t>
      </w:r>
      <w:r w:rsidR="00EB7C3A">
        <w:rPr>
          <w:lang w:val="en-GB"/>
        </w:rPr>
        <w:t>(</w:t>
      </w:r>
      <w:r w:rsidR="00EB7C3A" w:rsidRPr="00FE0B66">
        <w:rPr>
          <w:lang w:val="en-GB"/>
        </w:rPr>
        <w:t>Huang et al., 2003</w:t>
      </w:r>
      <w:r w:rsidR="00EB7C3A">
        <w:rPr>
          <w:lang w:val="en-GB"/>
        </w:rPr>
        <w:t>)</w:t>
      </w:r>
      <w:r>
        <w:t xml:space="preserve">. </w:t>
      </w:r>
      <w:r w:rsidR="00FA14DD">
        <w:t>Once the IMFs have been determined, the time series models can be applied to the IMFs directly to model the trends in the data</w:t>
      </w:r>
      <w:r w:rsidR="007A3F52">
        <w:t xml:space="preserve"> (Figure 1)</w:t>
      </w:r>
      <w:r w:rsidR="00FA14DD">
        <w:t xml:space="preserve">. </w:t>
      </w:r>
      <w:r w:rsidR="008B0882">
        <w:t xml:space="preserve">In this work, we use </w:t>
      </w:r>
      <w:r w:rsidR="008B0882" w:rsidRPr="00877CDC">
        <w:t>EMD</w:t>
      </w:r>
      <w:r w:rsidR="008B0882">
        <w:t xml:space="preserve"> to decompose the </w:t>
      </w:r>
      <w:r w:rsidR="000D7AEF">
        <w:t>price of natural gas into 10</w:t>
      </w:r>
      <w:r w:rsidR="00415F9A">
        <w:t xml:space="preserve"> different IMFs and a residual signal</w:t>
      </w:r>
      <w:r w:rsidR="00560E01">
        <w:t xml:space="preserve"> </w:t>
      </w:r>
      <w:r w:rsidR="007A3F52">
        <w:t>(Figure 2</w:t>
      </w:r>
      <w:r w:rsidR="00560E01" w:rsidRPr="001B1399">
        <w:t>).</w:t>
      </w:r>
    </w:p>
    <w:p w14:paraId="7DCF9654" w14:textId="30452D1E" w:rsidR="007A3F52" w:rsidRDefault="007A3F52" w:rsidP="006C16A8">
      <w:pPr>
        <w:pStyle w:val="CETBodytext"/>
      </w:pPr>
      <w:r>
        <w:rPr>
          <w:noProof/>
        </w:rPr>
        <w:drawing>
          <wp:inline distT="0" distB="0" distL="0" distR="0" wp14:anchorId="68E09A48" wp14:editId="7100035B">
            <wp:extent cx="5575889" cy="3053751"/>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d_plot.png"/>
                    <pic:cNvPicPr/>
                  </pic:nvPicPr>
                  <pic:blipFill>
                    <a:blip r:embed="rId11">
                      <a:extLst>
                        <a:ext uri="{28A0092B-C50C-407E-A947-70E740481C1C}">
                          <a14:useLocalDpi xmlns:a14="http://schemas.microsoft.com/office/drawing/2010/main" val="0"/>
                        </a:ext>
                      </a:extLst>
                    </a:blip>
                    <a:stretch>
                      <a:fillRect/>
                    </a:stretch>
                  </pic:blipFill>
                  <pic:spPr>
                    <a:xfrm>
                      <a:off x="0" y="0"/>
                      <a:ext cx="5579745" cy="3055863"/>
                    </a:xfrm>
                    <a:prstGeom prst="rect">
                      <a:avLst/>
                    </a:prstGeom>
                  </pic:spPr>
                </pic:pic>
              </a:graphicData>
            </a:graphic>
          </wp:inline>
        </w:drawing>
      </w:r>
    </w:p>
    <w:p w14:paraId="38F51681" w14:textId="794EE4CD" w:rsidR="000D7AEF" w:rsidRDefault="007A3F52" w:rsidP="007A3F52">
      <w:pPr>
        <w:pStyle w:val="CETCaption"/>
        <w:spacing w:line="240" w:lineRule="auto"/>
        <w:jc w:val="center"/>
      </w:pPr>
      <w:r w:rsidRPr="00B57B36">
        <w:t xml:space="preserve">Figure </w:t>
      </w:r>
      <w:r>
        <w:t>1</w:t>
      </w:r>
      <w:r w:rsidRPr="00B57B36">
        <w:t xml:space="preserve">: </w:t>
      </w:r>
      <w:r>
        <w:t xml:space="preserve">The results of empirical mode decomposition on the natural gas price data. Only the top </w:t>
      </w:r>
      <w:r w:rsidR="00F52239">
        <w:t>4</w:t>
      </w:r>
      <w:r>
        <w:t xml:space="preserve"> IMF’s are shown here.</w:t>
      </w:r>
    </w:p>
    <w:p w14:paraId="5E711FC3" w14:textId="3F45491F" w:rsidR="00CF1A17" w:rsidRDefault="00CF1A17" w:rsidP="006C16A8">
      <w:pPr>
        <w:pStyle w:val="CETHeading1"/>
      </w:pPr>
      <w:r>
        <w:lastRenderedPageBreak/>
        <w:t>Recurrent Neural Networks:</w:t>
      </w:r>
    </w:p>
    <w:p w14:paraId="04AD1BEE" w14:textId="536538EA" w:rsidR="00CF1A17" w:rsidRDefault="007B6399" w:rsidP="006C16A8">
      <w:pPr>
        <w:pStyle w:val="CETBodytext"/>
      </w:pPr>
      <w:r>
        <w:t>N</w:t>
      </w:r>
      <w:r w:rsidR="00C73C74">
        <w:t xml:space="preserve">eural </w:t>
      </w:r>
      <w:r w:rsidR="00C76112">
        <w:t>networks (NN)</w:t>
      </w:r>
      <w:r w:rsidR="00C73C74">
        <w:t xml:space="preserve"> </w:t>
      </w:r>
      <w:r w:rsidR="00C76112">
        <w:t xml:space="preserve">are a class of self-learning algorithms that can be trained to identify patterns from data. In the last few years, </w:t>
      </w:r>
      <w:r w:rsidR="00675561">
        <w:t>they</w:t>
      </w:r>
      <w:r w:rsidR="00C73C74">
        <w:t xml:space="preserve"> ha</w:t>
      </w:r>
      <w:r w:rsidR="00675561">
        <w:t>ve</w:t>
      </w:r>
      <w:r w:rsidR="00C73C74">
        <w:t xml:space="preserve"> </w:t>
      </w:r>
      <w:r w:rsidR="00C76112">
        <w:t xml:space="preserve">greatly advanced </w:t>
      </w:r>
      <w:r w:rsidR="00EB7C3A" w:rsidRPr="00FA6ABB">
        <w:t>research in</w:t>
      </w:r>
      <w:r w:rsidR="00FA6ABB" w:rsidRPr="00FA6ABB">
        <w:t xml:space="preserve"> areas</w:t>
      </w:r>
      <w:r w:rsidR="00EB7C3A" w:rsidRPr="00FA6ABB">
        <w:t xml:space="preserve"> </w:t>
      </w:r>
      <w:r w:rsidR="00EB7C3A">
        <w:t>related to</w:t>
      </w:r>
      <w:r w:rsidR="00FA6ABB">
        <w:t xml:space="preserve"> Image object detection, N</w:t>
      </w:r>
      <w:r w:rsidR="00C73C74">
        <w:t xml:space="preserve">atural language processing, </w:t>
      </w:r>
      <w:r w:rsidR="00FA6ABB">
        <w:t>S</w:t>
      </w:r>
      <w:r w:rsidR="00C76112">
        <w:t>elf-driving cars</w:t>
      </w:r>
      <w:r w:rsidR="00FA6ABB">
        <w:t>, Medicine</w:t>
      </w:r>
      <w:r w:rsidR="00C73C74">
        <w:t xml:space="preserve"> etc. </w:t>
      </w:r>
      <w:r w:rsidR="00413A43">
        <w:t>O</w:t>
      </w:r>
      <w:r w:rsidR="00C73C74">
        <w:t xml:space="preserve">ne of the primary assumptions in these models is that the data samples </w:t>
      </w:r>
      <w:r w:rsidR="00C76112">
        <w:t xml:space="preserve">used to train </w:t>
      </w:r>
      <w:r w:rsidR="005F18E2">
        <w:t xml:space="preserve">them </w:t>
      </w:r>
      <w:r w:rsidR="00C73C74">
        <w:t xml:space="preserve">are independent of one another. While this assumption holds true for a lot of applications, there are </w:t>
      </w:r>
      <w:r w:rsidR="00675561">
        <w:t>important</w:t>
      </w:r>
      <w:r w:rsidR="00C73C74">
        <w:t xml:space="preserve"> exceptions. In tasks like image captioning, natural language processing, time series </w:t>
      </w:r>
      <w:r w:rsidR="00C76112">
        <w:t>forecasting</w:t>
      </w:r>
      <w:r w:rsidR="005F18E2">
        <w:t xml:space="preserve"> </w:t>
      </w:r>
      <w:r w:rsidR="00C73C74">
        <w:t>etc. the samples in the dataset are interdependent</w:t>
      </w:r>
      <w:r w:rsidR="00025D10">
        <w:t xml:space="preserve"> and assuming otherwise will lead to loss of </w:t>
      </w:r>
      <w:r w:rsidR="00C76112">
        <w:t xml:space="preserve">valuable </w:t>
      </w:r>
      <w:r w:rsidR="00025D10">
        <w:t>information.</w:t>
      </w:r>
    </w:p>
    <w:p w14:paraId="0868F17E" w14:textId="1637DE7A" w:rsidR="00D57EA1" w:rsidRDefault="00C73C74" w:rsidP="006C16A8">
      <w:pPr>
        <w:pStyle w:val="CETBodytext"/>
      </w:pPr>
      <w:r>
        <w:t xml:space="preserve">The recurrent neural networks are a </w:t>
      </w:r>
      <w:r w:rsidR="00C76112">
        <w:t>sub-class</w:t>
      </w:r>
      <w:r>
        <w:t xml:space="preserve"> of neural networks that were built to model the </w:t>
      </w:r>
      <w:r w:rsidR="00025D10">
        <w:t xml:space="preserve">long-range </w:t>
      </w:r>
      <w:r>
        <w:t xml:space="preserve">dependencies inherent between data samples. While the </w:t>
      </w:r>
      <w:r w:rsidR="00C76112">
        <w:t>ordinary NN</w:t>
      </w:r>
      <w:r>
        <w:t xml:space="preserve"> does not respect the temporal order of the input data, the recurrent neural network avoids this problem </w:t>
      </w:r>
      <w:r w:rsidR="00C76112">
        <w:t xml:space="preserve">by having </w:t>
      </w:r>
      <w:r>
        <w:t xml:space="preserve">the notion of time built into it. </w:t>
      </w:r>
      <w:r w:rsidR="00025D10">
        <w:t>Similar to other neural network architecture</w:t>
      </w:r>
      <w:r w:rsidR="00C76112">
        <w:t>s</w:t>
      </w:r>
      <w:r w:rsidR="00025D10">
        <w:t xml:space="preserve">, the RNNs have a hidden state. </w:t>
      </w:r>
      <w:r w:rsidR="00413A43">
        <w:t>But</w:t>
      </w:r>
      <w:r w:rsidR="00025D10">
        <w:t xml:space="preserve">, unlike other models, the RNN updates its hidden state after processing each timestep in the input. This ensures that the temporal structure of the input sequence is respected. </w:t>
      </w:r>
    </w:p>
    <w:p w14:paraId="0999AAEE" w14:textId="3477942C" w:rsidR="00415F9A" w:rsidRDefault="00415F9A" w:rsidP="006C16A8">
      <w:pPr>
        <w:pStyle w:val="CETheadingx"/>
      </w:pPr>
      <w:r>
        <w:t>LSTM</w:t>
      </w:r>
      <w:r w:rsidR="00A2439E">
        <w:t>/GRU</w:t>
      </w:r>
      <w:r>
        <w:t xml:space="preserve">: </w:t>
      </w:r>
    </w:p>
    <w:p w14:paraId="05DC6F48" w14:textId="355E2E01" w:rsidR="0004126B" w:rsidRDefault="008A40DF" w:rsidP="006C16A8">
      <w:pPr>
        <w:pStyle w:val="CETBodytext"/>
      </w:pPr>
      <w:r>
        <w:t xml:space="preserve">Although RNNs have the right framework to model temporal data, they suffer from some </w:t>
      </w:r>
      <w:r w:rsidR="00C76112">
        <w:t>inadequacies.</w:t>
      </w:r>
      <w:r>
        <w:t xml:space="preserve"> </w:t>
      </w:r>
      <w:r w:rsidR="0003245B">
        <w:t xml:space="preserve">NNs learn by backpropagating the </w:t>
      </w:r>
      <w:r>
        <w:t xml:space="preserve">error to modify the network weights. </w:t>
      </w:r>
      <w:r w:rsidR="00192793">
        <w:t>I</w:t>
      </w:r>
      <w:r>
        <w:t xml:space="preserve">f the network is too large or the number of timesteps is too long, the </w:t>
      </w:r>
      <w:r w:rsidR="0004126B">
        <w:t xml:space="preserve">distance over which the error </w:t>
      </w:r>
      <w:r w:rsidR="0003245B">
        <w:t>must be</w:t>
      </w:r>
      <w:r w:rsidR="0004126B">
        <w:t xml:space="preserve"> transmitted becomes </w:t>
      </w:r>
      <w:r w:rsidR="0003245B">
        <w:t>infeasible</w:t>
      </w:r>
      <w:r w:rsidR="0004126B">
        <w:t xml:space="preserve"> and the network stops learning. </w:t>
      </w:r>
      <w:r w:rsidR="0003245B">
        <w:t xml:space="preserve">This problem is referred to in literature as the vanishing gradient problem. </w:t>
      </w:r>
    </w:p>
    <w:p w14:paraId="5E5FF7E6" w14:textId="050C53F5" w:rsidR="00D57EA1" w:rsidRDefault="0004126B" w:rsidP="006C16A8">
      <w:pPr>
        <w:pStyle w:val="CETBodytext"/>
      </w:pPr>
      <w:r>
        <w:t>The LSTM</w:t>
      </w:r>
      <w:r w:rsidR="005658B1">
        <w:t xml:space="preserve"> </w:t>
      </w:r>
      <w:bookmarkStart w:id="0" w:name="_GoBack"/>
      <w:bookmarkEnd w:id="0"/>
      <w:r w:rsidR="0097433C">
        <w:t>(</w:t>
      </w:r>
      <w:proofErr w:type="spellStart"/>
      <w:r w:rsidR="0097433C">
        <w:t>Hochreiter</w:t>
      </w:r>
      <w:proofErr w:type="spellEnd"/>
      <w:r w:rsidR="0097433C">
        <w:t xml:space="preserve"> et al., 1997)</w:t>
      </w:r>
      <w:r>
        <w:t xml:space="preserve"> is a</w:t>
      </w:r>
      <w:r w:rsidR="0003245B">
        <w:t xml:space="preserve"> modified</w:t>
      </w:r>
      <w:r>
        <w:t xml:space="preserve"> RNN </w:t>
      </w:r>
      <w:r w:rsidR="0003245B">
        <w:t xml:space="preserve">designed </w:t>
      </w:r>
      <w:r>
        <w:t xml:space="preserve">to </w:t>
      </w:r>
      <w:r w:rsidR="0003245B">
        <w:t>overcome vanishing gradients</w:t>
      </w:r>
      <w:r>
        <w:t xml:space="preserve">. In addition to the hidden state, the LSTM carries a cell state that </w:t>
      </w:r>
      <w:r w:rsidR="0003245B">
        <w:t>p</w:t>
      </w:r>
      <w:r>
        <w:t>reserve</w:t>
      </w:r>
      <w:r w:rsidR="0003245B">
        <w:t>s</w:t>
      </w:r>
      <w:r>
        <w:t xml:space="preserve"> long term information. The LSTM solves the problem by </w:t>
      </w:r>
      <w:r w:rsidR="000D548B">
        <w:t xml:space="preserve">having a </w:t>
      </w:r>
      <w:r w:rsidR="0003245B">
        <w:t>s</w:t>
      </w:r>
      <w:r w:rsidR="000D548B">
        <w:t xml:space="preserve">hortcut path to transmit the gradients back. This </w:t>
      </w:r>
      <w:r>
        <w:t xml:space="preserve">unique architecture </w:t>
      </w:r>
      <w:r w:rsidR="000D548B">
        <w:t xml:space="preserve">involves </w:t>
      </w:r>
      <w:r>
        <w:t>three gates. The forget gate decides the contents of the cell state that are relevant to the problem and discards everything else. The input gate’s function is to ensure that relevant information in the input is stored in the cell state. Finally</w:t>
      </w:r>
      <w:r w:rsidR="0003245B">
        <w:t>,</w:t>
      </w:r>
      <w:r>
        <w:t xml:space="preserve"> the output gate adds the relevant input to the cell state and passes it on to the next timestep. This architecture ensures that the </w:t>
      </w:r>
      <w:r w:rsidR="0003245B">
        <w:t>gradients</w:t>
      </w:r>
      <w:r>
        <w:t xml:space="preserve"> </w:t>
      </w:r>
      <w:r w:rsidR="0003245B">
        <w:t>are propagated back</w:t>
      </w:r>
      <w:r>
        <w:t xml:space="preserve"> into the earlier timesteps in the network. </w:t>
      </w:r>
    </w:p>
    <w:p w14:paraId="00F4AD9F" w14:textId="3489B9D2" w:rsidR="00062FDF" w:rsidRDefault="00D57EA1" w:rsidP="005859B1">
      <w:pPr>
        <w:pStyle w:val="CETBodytext"/>
      </w:pPr>
      <w:r>
        <w:t>The GRU</w:t>
      </w:r>
      <w:r w:rsidR="0097433C">
        <w:t xml:space="preserve"> (</w:t>
      </w:r>
      <w:r w:rsidR="0097433C">
        <w:t>Cho et al., 2014</w:t>
      </w:r>
      <w:r w:rsidR="0097433C">
        <w:t>)</w:t>
      </w:r>
      <w:r>
        <w:t xml:space="preserve"> is another modified RNN </w:t>
      </w:r>
      <w:r w:rsidR="0000510A">
        <w:t xml:space="preserve">cell </w:t>
      </w:r>
      <w:r>
        <w:t xml:space="preserve">that is </w:t>
      </w:r>
      <w:proofErr w:type="gramStart"/>
      <w:r w:rsidR="00096C8B">
        <w:t>similar to</w:t>
      </w:r>
      <w:proofErr w:type="gramEnd"/>
      <w:r w:rsidR="00096C8B">
        <w:t xml:space="preserve"> </w:t>
      </w:r>
      <w:r>
        <w:t xml:space="preserve">the LSTM in many ways. </w:t>
      </w:r>
      <w:r w:rsidR="00192793">
        <w:t xml:space="preserve">It differs from the LSTM in that </w:t>
      </w:r>
      <w:r>
        <w:t>it has two gates in plac</w:t>
      </w:r>
      <w:r w:rsidR="00192793">
        <w:t>e of three</w:t>
      </w:r>
      <w:r>
        <w:t xml:space="preserve">. </w:t>
      </w:r>
      <w:r w:rsidR="0003245B">
        <w:t xml:space="preserve">The </w:t>
      </w:r>
      <w:r>
        <w:t xml:space="preserve">update gate and </w:t>
      </w:r>
      <w:r w:rsidR="0003245B">
        <w:t xml:space="preserve">the </w:t>
      </w:r>
      <w:r>
        <w:t>reset gate preserve long term information</w:t>
      </w:r>
      <w:r w:rsidR="0003245B">
        <w:t xml:space="preserve"> in the data</w:t>
      </w:r>
      <w:r>
        <w:t xml:space="preserve">. </w:t>
      </w:r>
      <w:r w:rsidR="0000510A">
        <w:t>While t</w:t>
      </w:r>
      <w:r w:rsidR="000D548B">
        <w:t xml:space="preserve">he reset gate determines the information that is important to </w:t>
      </w:r>
      <w:r w:rsidR="0003245B">
        <w:t>hold</w:t>
      </w:r>
      <w:r w:rsidR="000D548B">
        <w:t xml:space="preserve"> over the long term</w:t>
      </w:r>
      <w:r w:rsidR="0000510A">
        <w:t>, t</w:t>
      </w:r>
      <w:r w:rsidR="000D548B">
        <w:t xml:space="preserve">he update gate ensures that this information is added to the hidden state. </w:t>
      </w:r>
      <w:r>
        <w:t xml:space="preserve">This </w:t>
      </w:r>
      <w:r w:rsidR="0003245B">
        <w:t>architecture ensures</w:t>
      </w:r>
      <w:r>
        <w:t xml:space="preserve"> that the GRU has fewer parameters to train than an LSTM. It saves memory and take less time to train. However, on small sequences this typically does not make much of a difference</w:t>
      </w:r>
      <w:r w:rsidR="000D548B">
        <w:t xml:space="preserve">. </w:t>
      </w:r>
    </w:p>
    <w:p w14:paraId="5A5F3427" w14:textId="382C01E6" w:rsidR="00062FDF" w:rsidRDefault="00062FDF" w:rsidP="00062FDF">
      <w:pPr>
        <w:pStyle w:val="CETHeading1"/>
      </w:pPr>
      <w:r>
        <w:t>METHODOLOGY:</w:t>
      </w:r>
    </w:p>
    <w:p w14:paraId="0847ECD8" w14:textId="1CDA2DD4" w:rsidR="001D6D0B" w:rsidRDefault="005F18E2" w:rsidP="00062FDF">
      <w:pPr>
        <w:pStyle w:val="CETBodytext"/>
      </w:pPr>
      <w:r>
        <w:t>The experiments are designed to</w:t>
      </w:r>
      <w:r w:rsidR="001D6D0B">
        <w:t xml:space="preserve"> explore the </w:t>
      </w:r>
      <w:r w:rsidR="007B13F7">
        <w:t xml:space="preserve">effect </w:t>
      </w:r>
      <w:r w:rsidR="001D6D0B">
        <w:t xml:space="preserve">of </w:t>
      </w:r>
      <w:r w:rsidR="00953126">
        <w:t xml:space="preserve">different </w:t>
      </w:r>
      <w:r w:rsidR="001D6D0B">
        <w:t>RNN cell</w:t>
      </w:r>
      <w:r w:rsidR="000339BA">
        <w:t>s</w:t>
      </w:r>
      <w:r w:rsidR="001D6D0B">
        <w:t xml:space="preserve">, architectures and data transformation on the forecasting performance of neural networks. The Vanilla RNN </w:t>
      </w:r>
      <w:r w:rsidR="007B13F7">
        <w:t xml:space="preserve">cell </w:t>
      </w:r>
      <w:r w:rsidR="001D6D0B">
        <w:t>is the</w:t>
      </w:r>
      <w:r w:rsidR="007824B7">
        <w:t xml:space="preserve"> basic structure that is used as the baseline for our results. Both GRU and LSTM have been shown in literature to produce competitive results in a wide range of fields. Their performance o</w:t>
      </w:r>
      <w:r w:rsidR="00675561">
        <w:t xml:space="preserve">n </w:t>
      </w:r>
      <w:r w:rsidR="007824B7">
        <w:t>th</w:t>
      </w:r>
      <w:r w:rsidR="00953126">
        <w:t>is time-series</w:t>
      </w:r>
      <w:r w:rsidR="007824B7">
        <w:t xml:space="preserve"> task is </w:t>
      </w:r>
      <w:r w:rsidR="00754B92">
        <w:t>compared</w:t>
      </w:r>
      <w:r w:rsidR="007824B7">
        <w:t>.</w:t>
      </w:r>
    </w:p>
    <w:p w14:paraId="51749F7D" w14:textId="629EEF7E" w:rsidR="001D6D0B" w:rsidRDefault="007824B7" w:rsidP="00062FDF">
      <w:pPr>
        <w:pStyle w:val="CETBodytext"/>
      </w:pPr>
      <w:r>
        <w:t>The simplest architecture used in our experiments is the stacked RNN model</w:t>
      </w:r>
      <w:r w:rsidR="00560E01">
        <w:t xml:space="preserve"> </w:t>
      </w:r>
      <w:r w:rsidR="007A3F52">
        <w:rPr>
          <w:lang w:val="en-GB"/>
        </w:rPr>
        <w:t>(Figure 2</w:t>
      </w:r>
      <w:r w:rsidR="00560E01">
        <w:rPr>
          <w:lang w:val="en-GB"/>
        </w:rPr>
        <w:t>)</w:t>
      </w:r>
      <w:r>
        <w:t xml:space="preserve">. Here, the RNN cells are layered one over the other with each cell connected to itself and the layer above it. The other architecture explored in this work is the </w:t>
      </w:r>
      <w:r w:rsidR="009566CA">
        <w:t>Encoder-Decoder (ED) architecture</w:t>
      </w:r>
      <w:r w:rsidR="003E7A35">
        <w:t xml:space="preserve"> (Cho et al., 2014)</w:t>
      </w:r>
      <w:r>
        <w:t xml:space="preserve"> model popular in the field of natural language processing</w:t>
      </w:r>
      <w:r w:rsidR="00577DD1">
        <w:t xml:space="preserve"> </w:t>
      </w:r>
      <w:r w:rsidR="007A3F52">
        <w:rPr>
          <w:lang w:val="en-GB"/>
        </w:rPr>
        <w:t>(Figure 2</w:t>
      </w:r>
      <w:r w:rsidR="00560E01">
        <w:rPr>
          <w:lang w:val="en-GB"/>
        </w:rPr>
        <w:t>)</w:t>
      </w:r>
      <w:r>
        <w:t xml:space="preserve">. Here, the cells are layered one over the other </w:t>
      </w:r>
      <w:r w:rsidR="000339BA">
        <w:t>like</w:t>
      </w:r>
      <w:r>
        <w:t xml:space="preserve"> </w:t>
      </w:r>
      <w:r w:rsidR="000339BA">
        <w:t>the</w:t>
      </w:r>
      <w:r>
        <w:t xml:space="preserve"> basic architecture. </w:t>
      </w:r>
      <w:r w:rsidR="00192793">
        <w:t>However</w:t>
      </w:r>
      <w:r>
        <w:t xml:space="preserve">, in the central layer, the cells are forced to withhold their connection with the layer </w:t>
      </w:r>
      <w:r w:rsidR="000339BA">
        <w:t xml:space="preserve">above them </w:t>
      </w:r>
      <w:r>
        <w:t xml:space="preserve">until the last timestep. This ensures that the </w:t>
      </w:r>
      <w:r w:rsidR="000339BA">
        <w:t xml:space="preserve">output of the layer is a summary of the contents of all the input timesteps. This summary vector is then fed as an input to all the timesteps in the layer above. Finally, the last variable in our experiments is data transformation. We test our models on both the raw data and the decomposed </w:t>
      </w:r>
      <w:r w:rsidR="00953126">
        <w:t>signals from</w:t>
      </w:r>
      <w:r w:rsidR="000339BA">
        <w:t xml:space="preserve"> EMD. The results of our experiments are shown in </w:t>
      </w:r>
      <w:r w:rsidR="00C67141">
        <w:t>F</w:t>
      </w:r>
      <w:r w:rsidR="007A3F52">
        <w:t>igure 3</w:t>
      </w:r>
      <w:r w:rsidR="000339BA">
        <w:t xml:space="preserve">. </w:t>
      </w:r>
    </w:p>
    <w:p w14:paraId="24F1832A" w14:textId="6041B428" w:rsidR="00591AE0" w:rsidRDefault="00591AE0" w:rsidP="00062FDF">
      <w:pPr>
        <w:pStyle w:val="CETBodytext"/>
      </w:pP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85"/>
        <w:gridCol w:w="4230"/>
      </w:tblGrid>
      <w:tr w:rsidR="00757AA7" w14:paraId="6ACEF8C7" w14:textId="77777777" w:rsidTr="000D71D4">
        <w:tc>
          <w:tcPr>
            <w:tcW w:w="4585" w:type="dxa"/>
          </w:tcPr>
          <w:p w14:paraId="2D49DE69" w14:textId="47C0186B" w:rsidR="00591AE0" w:rsidRDefault="00E23684" w:rsidP="004D3D81">
            <w:pPr>
              <w:pStyle w:val="CETBodytext"/>
              <w:spacing w:line="240" w:lineRule="auto"/>
            </w:pPr>
            <w:r>
              <w:rPr>
                <w:noProof/>
              </w:rPr>
              <w:lastRenderedPageBreak/>
              <w:drawing>
                <wp:inline distT="0" distB="0" distL="0" distR="0" wp14:anchorId="2F7593F8" wp14:editId="573A72DB">
                  <wp:extent cx="2948553" cy="3017520"/>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md_2.png"/>
                          <pic:cNvPicPr/>
                        </pic:nvPicPr>
                        <pic:blipFill>
                          <a:blip r:embed="rId12">
                            <a:extLst>
                              <a:ext uri="{28A0092B-C50C-407E-A947-70E740481C1C}">
                                <a14:useLocalDpi xmlns:a14="http://schemas.microsoft.com/office/drawing/2010/main" val="0"/>
                              </a:ext>
                            </a:extLst>
                          </a:blip>
                          <a:stretch>
                            <a:fillRect/>
                          </a:stretch>
                        </pic:blipFill>
                        <pic:spPr>
                          <a:xfrm>
                            <a:off x="0" y="0"/>
                            <a:ext cx="2992431" cy="3062424"/>
                          </a:xfrm>
                          <a:prstGeom prst="rect">
                            <a:avLst/>
                          </a:prstGeom>
                        </pic:spPr>
                      </pic:pic>
                    </a:graphicData>
                  </a:graphic>
                </wp:inline>
              </w:drawing>
            </w:r>
          </w:p>
        </w:tc>
        <w:tc>
          <w:tcPr>
            <w:tcW w:w="4230" w:type="dxa"/>
          </w:tcPr>
          <w:p w14:paraId="05E63013" w14:textId="2CC6C515" w:rsidR="00591AE0" w:rsidRDefault="00C1415D" w:rsidP="004D3D81">
            <w:pPr>
              <w:pStyle w:val="CETBodytext"/>
              <w:spacing w:line="240" w:lineRule="auto"/>
            </w:pPr>
            <w:r>
              <w:rPr>
                <w:noProof/>
              </w:rPr>
              <w:drawing>
                <wp:inline distT="0" distB="0" distL="0" distR="0" wp14:anchorId="6083933D" wp14:editId="43E1A031">
                  <wp:extent cx="2628545" cy="3011805"/>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rchitecture_3.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3542" cy="3028988"/>
                          </a:xfrm>
                          <a:prstGeom prst="rect">
                            <a:avLst/>
                          </a:prstGeom>
                        </pic:spPr>
                      </pic:pic>
                    </a:graphicData>
                  </a:graphic>
                </wp:inline>
              </w:drawing>
            </w:r>
          </w:p>
        </w:tc>
      </w:tr>
    </w:tbl>
    <w:p w14:paraId="06F556A2" w14:textId="2019729F" w:rsidR="004D3D81" w:rsidRPr="00B57B36" w:rsidRDefault="004D3D81" w:rsidP="00E32439">
      <w:pPr>
        <w:pStyle w:val="CETCaption"/>
        <w:spacing w:line="240" w:lineRule="auto"/>
        <w:jc w:val="center"/>
      </w:pPr>
      <w:r w:rsidRPr="00B57B36">
        <w:t xml:space="preserve">Figure </w:t>
      </w:r>
      <w:r w:rsidR="007A3F52">
        <w:t>2</w:t>
      </w:r>
      <w:r w:rsidRPr="00B57B36">
        <w:t xml:space="preserve">: </w:t>
      </w:r>
      <w:r>
        <w:t>(left) Overall model structure in</w:t>
      </w:r>
      <w:r w:rsidR="00DB3E34">
        <w:t>corporating</w:t>
      </w:r>
      <w:r>
        <w:t xml:space="preserve"> empirical mode decomposition (top right) regular stacked RNN architecture (bottom right) </w:t>
      </w:r>
      <w:r w:rsidR="00EB1047">
        <w:t>Encoder-Decoder</w:t>
      </w:r>
      <w:r>
        <w:t xml:space="preserve"> architecture with summary vector.</w:t>
      </w:r>
    </w:p>
    <w:p w14:paraId="2F6F7201" w14:textId="31DD09CF" w:rsidR="0000510A" w:rsidRDefault="00D47313" w:rsidP="0000510A">
      <w:pPr>
        <w:pStyle w:val="CETHeading1"/>
      </w:pPr>
      <w:r>
        <w:t>DATA PREPROCESSING:</w:t>
      </w:r>
    </w:p>
    <w:p w14:paraId="61755A77" w14:textId="6C8A1277" w:rsidR="0000510A" w:rsidRDefault="0000510A" w:rsidP="0000510A">
      <w:pPr>
        <w:pStyle w:val="CETBodytext"/>
      </w:pPr>
      <w:r>
        <w:t>After the EMD was applied to the original time series, the resulting IMFs were processed using the following steps. First, the data was normalized into the [0, 1] range using the min-max scaling formula. Next, it was organized into input and output sequences using the lookback window approach. The length of the lookback window and the</w:t>
      </w:r>
      <w:r w:rsidR="0067162B">
        <w:t xml:space="preserve"> forecast horizon was set to 24</w:t>
      </w:r>
      <w:r>
        <w:t xml:space="preserve">. In order to ease the optimization of the </w:t>
      </w:r>
      <w:r w:rsidR="00D647AA">
        <w:t>RNNs</w:t>
      </w:r>
      <w:r>
        <w:t xml:space="preserve">, there was partial overlap between the input and the output sequences. The resulting sequences were finally split into training, validation and test sets. </w:t>
      </w:r>
    </w:p>
    <w:p w14:paraId="28F98B10" w14:textId="65B5FAA3" w:rsidR="007B13F7" w:rsidRDefault="00BF06E6" w:rsidP="007B13F7">
      <w:pPr>
        <w:pStyle w:val="CETHeading1"/>
      </w:pPr>
      <w:r>
        <w:t xml:space="preserve">RNN </w:t>
      </w:r>
      <w:r w:rsidR="007B13F7">
        <w:t>RESULTS:</w:t>
      </w:r>
    </w:p>
    <w:p w14:paraId="6489BAE2" w14:textId="500489D0" w:rsidR="006F29A3" w:rsidRDefault="006F29A3" w:rsidP="006F29A3">
      <w:pPr>
        <w:pStyle w:val="CETBodytext"/>
      </w:pPr>
      <w:r>
        <w:t xml:space="preserve">While predicting the natural gas demand, all the models used in </w:t>
      </w:r>
      <w:r w:rsidR="0035536B">
        <w:t>the</w:t>
      </w:r>
      <w:r>
        <w:t xml:space="preserve"> experiments converged to satisfactory optimums. </w:t>
      </w:r>
      <w:r w:rsidR="00DE1712">
        <w:t>This is evident by the low</w:t>
      </w:r>
      <w:r w:rsidR="00877CDC">
        <w:t xml:space="preserve"> mean squared error</w:t>
      </w:r>
      <w:r w:rsidR="00DE1712">
        <w:t xml:space="preserve"> </w:t>
      </w:r>
      <w:r w:rsidR="00877CDC">
        <w:t>(</w:t>
      </w:r>
      <w:r w:rsidR="00DE1712" w:rsidRPr="00877CDC">
        <w:t>MSE</w:t>
      </w:r>
      <w:r w:rsidR="00877CDC">
        <w:t>)</w:t>
      </w:r>
      <w:r w:rsidR="00DE1712">
        <w:t xml:space="preserve"> of the models on the test set predictions (Figure 3</w:t>
      </w:r>
      <w:r w:rsidR="005F31B3">
        <w:t xml:space="preserve">). </w:t>
      </w:r>
      <w:r>
        <w:t xml:space="preserve">They were able to pick up the dynamics of the signal and forecast accurately into the future. The mean squared error of the model predictions is shown in figure 3 while the predictions are shown in figure 4.  The accuracy in predictions can be explained by the regular seasonality of the data and the absence of noise or irregular spikes. The slow long-term increase in the mean value of the demand was also picked up by the models. </w:t>
      </w:r>
    </w:p>
    <w:p w14:paraId="7FE68BB2" w14:textId="59BA5442" w:rsidR="006F29A3" w:rsidRDefault="006F29A3" w:rsidP="006F29A3">
      <w:pPr>
        <w:pStyle w:val="CETBodytext"/>
      </w:pPr>
      <w:r>
        <w:t xml:space="preserve">On the other hand, the prediction of the natural gas price was more challenging. In terms of training time, the Vanilla RNN cell took the least time to train. This can be attributed to the fewer weights in the Vanilla RNN cell. The GRU has 3x </w:t>
      </w:r>
      <w:r w:rsidR="00211479">
        <w:t>weights</w:t>
      </w:r>
      <w:r>
        <w:t xml:space="preserve"> as a Vanilla RNN while the LSTM has 4x the </w:t>
      </w:r>
      <w:r w:rsidR="00211479">
        <w:t>weights</w:t>
      </w:r>
      <w:r>
        <w:t xml:space="preserve">. However, the training of the Vanilla RNN was very unstable with the optimization converging at poor local optimums regularly. The cell was unable to capture long term dependencies in the model which is </w:t>
      </w:r>
      <w:r w:rsidR="00211479">
        <w:t>shown</w:t>
      </w:r>
      <w:r>
        <w:t xml:space="preserve"> in the high MSE produced on the test set (Figure 3). </w:t>
      </w:r>
    </w:p>
    <w:p w14:paraId="4A8A257F" w14:textId="77777777" w:rsidR="006F29A3" w:rsidRDefault="006F29A3" w:rsidP="006F29A3">
      <w:pPr>
        <w:pStyle w:val="CETBodytext"/>
      </w:pPr>
      <w:r>
        <w:t xml:space="preserve">The LSTM cell exhibited better performance than the Vanilla RNN as expected. It was able to model the low frequency IMFs well, but it struggled with the higher frequency IMFs. On the higher frequency IMFs, the training was unstable, and the model took several epochs to converge to an acceptable optimum. This was surprising because the LSTM has been shown to outperform other models in a variety of tasks and was expected to do the same here. </w:t>
      </w:r>
    </w:p>
    <w:p w14:paraId="12D34D3E" w14:textId="7C10D763" w:rsidR="006F29A3" w:rsidRDefault="00F271B1" w:rsidP="006F29A3">
      <w:pPr>
        <w:pStyle w:val="CETBodytext"/>
      </w:pPr>
      <w:r>
        <w:t xml:space="preserve">Finally, the best performance was achieved by the GRU cell. It was able to pick up patterns in all the IMFs consistently and the training was stable. It also converged to the optimum faster than the other cells. A common theme among all the model predictions was that the predictions were accurate in the initial time steps of the test set but grew increasingly erratic as time progressed. This </w:t>
      </w:r>
      <w:r w:rsidR="00F5392D">
        <w:t>can</w:t>
      </w:r>
      <w:r>
        <w:t xml:space="preserve"> be attributed to the accumulation of error over the prediction horizon.</w:t>
      </w:r>
    </w:p>
    <w:p w14:paraId="4F470589" w14:textId="77777777" w:rsidR="006F29A3" w:rsidRDefault="006F29A3" w:rsidP="006F29A3">
      <w:pPr>
        <w:pStyle w:val="CETBodytext"/>
      </w:pPr>
    </w:p>
    <w:p w14:paraId="5C9C33CC" w14:textId="2EA7DD0A" w:rsidR="00AE233F" w:rsidRDefault="00132837" w:rsidP="00AE233F">
      <w:pPr>
        <w:pStyle w:val="CETBodytext"/>
      </w:pPr>
      <w:r>
        <w:rPr>
          <w:noProof/>
        </w:rPr>
        <w:lastRenderedPageBreak/>
        <w:drawing>
          <wp:inline distT="0" distB="0" distL="0" distR="0" wp14:anchorId="78D78A44" wp14:editId="09F1417C">
            <wp:extent cx="5572664" cy="2855343"/>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umption_results_2.png"/>
                    <pic:cNvPicPr/>
                  </pic:nvPicPr>
                  <pic:blipFill>
                    <a:blip r:embed="rId14">
                      <a:extLst>
                        <a:ext uri="{28A0092B-C50C-407E-A947-70E740481C1C}">
                          <a14:useLocalDpi xmlns:a14="http://schemas.microsoft.com/office/drawing/2010/main" val="0"/>
                        </a:ext>
                      </a:extLst>
                    </a:blip>
                    <a:stretch>
                      <a:fillRect/>
                    </a:stretch>
                  </pic:blipFill>
                  <pic:spPr>
                    <a:xfrm>
                      <a:off x="0" y="0"/>
                      <a:ext cx="5579745" cy="2858971"/>
                    </a:xfrm>
                    <a:prstGeom prst="rect">
                      <a:avLst/>
                    </a:prstGeom>
                  </pic:spPr>
                </pic:pic>
              </a:graphicData>
            </a:graphic>
          </wp:inline>
        </w:drawing>
      </w:r>
    </w:p>
    <w:p w14:paraId="6459031D" w14:textId="05A3ACF1" w:rsidR="004D3D81" w:rsidRDefault="007A3F52" w:rsidP="004D3D81">
      <w:pPr>
        <w:pStyle w:val="CETCaption"/>
        <w:spacing w:line="240" w:lineRule="auto"/>
        <w:jc w:val="center"/>
      </w:pPr>
      <w:r>
        <w:t>Figure 3</w:t>
      </w:r>
      <w:r w:rsidR="004D3D81" w:rsidRPr="00BC1659">
        <w:t>: Mean squared error of the different models. Each model name is in the “RNN cell/architecture/data transformation” format with B denoting basic and S denoting summary vector”</w:t>
      </w:r>
      <w:r w:rsidR="00AD4587" w:rsidRPr="00BC1659">
        <w:t>. The bottom bar of each model corresponds to the demand prediction error while the top bar corresponds to the price prediction error.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4755"/>
      </w:tblGrid>
      <w:tr w:rsidR="000D71D4" w14:paraId="3F2780BB" w14:textId="77777777" w:rsidTr="00EB7C3A">
        <w:tc>
          <w:tcPr>
            <w:tcW w:w="4248" w:type="dxa"/>
          </w:tcPr>
          <w:p w14:paraId="3679E287" w14:textId="383E79BD" w:rsidR="006B387F" w:rsidRDefault="000D71D4" w:rsidP="00AE233F">
            <w:pPr>
              <w:pStyle w:val="CETBodytext"/>
            </w:pPr>
            <w:r>
              <w:rPr>
                <w:noProof/>
              </w:rPr>
              <w:drawing>
                <wp:inline distT="0" distB="0" distL="0" distR="0" wp14:anchorId="4FD110F1" wp14:editId="6B1C9A84">
                  <wp:extent cx="2553419" cy="2041536"/>
                  <wp:effectExtent l="0" t="0" r="0" b="0"/>
                  <wp:docPr id="2" name="Picture 2"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predictions.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0881" cy="2063492"/>
                          </a:xfrm>
                          <a:prstGeom prst="rect">
                            <a:avLst/>
                          </a:prstGeom>
                        </pic:spPr>
                      </pic:pic>
                    </a:graphicData>
                  </a:graphic>
                </wp:inline>
              </w:drawing>
            </w:r>
          </w:p>
        </w:tc>
        <w:tc>
          <w:tcPr>
            <w:tcW w:w="4755" w:type="dxa"/>
          </w:tcPr>
          <w:p w14:paraId="7CF431CD" w14:textId="1B5D4584" w:rsidR="006B387F" w:rsidRDefault="000D71D4" w:rsidP="00AE233F">
            <w:pPr>
              <w:pStyle w:val="CETBodytext"/>
            </w:pPr>
            <w:r>
              <w:rPr>
                <w:noProof/>
              </w:rPr>
              <w:drawing>
                <wp:inline distT="0" distB="0" distL="0" distR="0" wp14:anchorId="64409951" wp14:editId="1C81B9EB">
                  <wp:extent cx="2708694" cy="2044461"/>
                  <wp:effectExtent l="0" t="0" r="0" b="0"/>
                  <wp:docPr id="3" name="Picture 3"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edictions_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30976" cy="2061279"/>
                          </a:xfrm>
                          <a:prstGeom prst="rect">
                            <a:avLst/>
                          </a:prstGeom>
                        </pic:spPr>
                      </pic:pic>
                    </a:graphicData>
                  </a:graphic>
                </wp:inline>
              </w:drawing>
            </w:r>
          </w:p>
        </w:tc>
      </w:tr>
    </w:tbl>
    <w:p w14:paraId="10E95219" w14:textId="2B2525C1" w:rsidR="009E44C0" w:rsidRPr="00AE233F" w:rsidRDefault="004D3D81" w:rsidP="004D3D81">
      <w:pPr>
        <w:pStyle w:val="CETCaption"/>
        <w:spacing w:line="240" w:lineRule="auto"/>
        <w:jc w:val="center"/>
      </w:pPr>
      <w:r w:rsidRPr="00B57B36">
        <w:t>Figure</w:t>
      </w:r>
      <w:r w:rsidR="007A3F52">
        <w:t xml:space="preserve"> 4</w:t>
      </w:r>
      <w:r w:rsidRPr="00B57B36">
        <w:t xml:space="preserve">: </w:t>
      </w:r>
      <w:r>
        <w:t>Prediction</w:t>
      </w:r>
      <w:r w:rsidR="000617D6">
        <w:t>s</w:t>
      </w:r>
      <w:r>
        <w:t xml:space="preserve"> of the </w:t>
      </w:r>
      <w:r w:rsidR="000617D6">
        <w:t xml:space="preserve">best performing </w:t>
      </w:r>
      <w:r>
        <w:t>model on the test set</w:t>
      </w:r>
      <w:r w:rsidR="000617D6">
        <w:t xml:space="preserve"> and future forecast for (left) natural gas demand and (right) natural gas price. </w:t>
      </w:r>
    </w:p>
    <w:p w14:paraId="7240D163" w14:textId="48D3A1F0" w:rsidR="00934669" w:rsidRDefault="00934669" w:rsidP="00062FDF">
      <w:pPr>
        <w:pStyle w:val="CETBodytext"/>
      </w:pPr>
      <w:r>
        <w:t xml:space="preserve">In terms of overall architecture, the basic </w:t>
      </w:r>
      <w:r w:rsidR="00F271B1">
        <w:t>architecture</w:t>
      </w:r>
      <w:r>
        <w:t xml:space="preserve"> performed poorly on all our experiments. Increasing the depth of the model did not improve performance.</w:t>
      </w:r>
      <w:r w:rsidR="00B0391E">
        <w:t xml:space="preserve"> The </w:t>
      </w:r>
      <w:r w:rsidR="009566CA">
        <w:t>ED</w:t>
      </w:r>
      <w:r w:rsidR="00B0391E">
        <w:t xml:space="preserve"> architecture with the summary vector, on the other hand, was able to capture the dynamics of the data. The summary vector is very i</w:t>
      </w:r>
      <w:r w:rsidR="009566CA">
        <w:t>mportant to this</w:t>
      </w:r>
      <w:r w:rsidR="00B0391E">
        <w:t xml:space="preserve"> </w:t>
      </w:r>
      <w:r w:rsidR="009566CA">
        <w:t xml:space="preserve">architecture </w:t>
      </w:r>
      <w:r w:rsidR="00B0391E">
        <w:t xml:space="preserve">since it ensures that the entire sequence of input is processed before the model makes its predictions. This can also explain why the basic architecture failed to model the data properly. </w:t>
      </w:r>
    </w:p>
    <w:p w14:paraId="523E4B7A" w14:textId="27AA968F" w:rsidR="0000510A" w:rsidRDefault="00CF5AFF" w:rsidP="005859B1">
      <w:pPr>
        <w:pStyle w:val="CETBodytext"/>
      </w:pPr>
      <w:r>
        <w:t>A notable observation is that the dynamics of the highest frequency IMF</w:t>
      </w:r>
      <w:r w:rsidR="00081C02">
        <w:t>s</w:t>
      </w:r>
      <w:r>
        <w:t xml:space="preserve"> were essentially random and was impossible to capture by any of the models. The model predictions reverted to the mean of this IMF to minimize the loss function.  </w:t>
      </w:r>
    </w:p>
    <w:p w14:paraId="0AADCADE" w14:textId="7C681B71" w:rsidR="00D47313" w:rsidRDefault="00D47313" w:rsidP="00D47313">
      <w:pPr>
        <w:pStyle w:val="CETHeading1"/>
      </w:pPr>
      <w:r>
        <w:t>CONCLUSION:</w:t>
      </w:r>
    </w:p>
    <w:p w14:paraId="314698FE" w14:textId="56EF4706" w:rsidR="00D47313" w:rsidRPr="00D47313" w:rsidRDefault="00D47313" w:rsidP="00D47313">
      <w:pPr>
        <w:pStyle w:val="CETBodytext"/>
      </w:pPr>
      <w:r>
        <w:t>In this work, the prediction of natural gas demand and price using recurrent neural network architecture is presented.</w:t>
      </w:r>
      <w:r w:rsidR="00B36996">
        <w:t xml:space="preserve"> It is shown that the demand can be predicted </w:t>
      </w:r>
      <w:r w:rsidR="008A4296">
        <w:t>accurately by all the models since the pattern is uniformly repeated</w:t>
      </w:r>
      <w:r w:rsidR="0070321C">
        <w:t xml:space="preserve">. </w:t>
      </w:r>
      <w:r w:rsidR="001B16F5">
        <w:t>On the other hand, t</w:t>
      </w:r>
      <w:r w:rsidR="0070321C">
        <w:t>he price of natural gas</w:t>
      </w:r>
      <w:r w:rsidR="001B16F5">
        <w:t xml:space="preserve"> </w:t>
      </w:r>
      <w:r w:rsidR="0070321C">
        <w:t xml:space="preserve">was accurately predicted by </w:t>
      </w:r>
      <w:r w:rsidR="001B16F5">
        <w:t xml:space="preserve">only </w:t>
      </w:r>
      <w:r w:rsidR="0070321C">
        <w:t>two models. The GRU cell w</w:t>
      </w:r>
      <w:r w:rsidR="005B4846">
        <w:t xml:space="preserve">ith the ED architecture gave the best results </w:t>
      </w:r>
      <w:r w:rsidR="00624001">
        <w:t xml:space="preserve">while </w:t>
      </w:r>
      <w:r w:rsidR="005B4846">
        <w:t xml:space="preserve">the LSTM cell with the basic architecture </w:t>
      </w:r>
      <w:r w:rsidR="00624001">
        <w:t>came second.</w:t>
      </w:r>
      <w:r w:rsidR="0001501E">
        <w:t xml:space="preserve"> Both models performed better when the data was deconstructed using </w:t>
      </w:r>
      <w:r w:rsidR="00B21F6B">
        <w:t>EMD.</w:t>
      </w:r>
      <w:r w:rsidR="00F52FB8">
        <w:t xml:space="preserve"> </w:t>
      </w:r>
      <w:r w:rsidR="00A52B84">
        <w:t xml:space="preserve">The accuracy of </w:t>
      </w:r>
      <w:r w:rsidR="00A52B84">
        <w:lastRenderedPageBreak/>
        <w:t>the model predictions decreased with an increase in forecast horizon</w:t>
      </w:r>
      <w:r w:rsidR="001B16F5">
        <w:t xml:space="preserve">, which </w:t>
      </w:r>
      <w:r w:rsidR="00A52B84">
        <w:t xml:space="preserve">shows that there is still </w:t>
      </w:r>
      <w:r w:rsidR="006F399C">
        <w:t>large scope for improvements in these models.</w:t>
      </w:r>
      <w:r w:rsidR="0038360A">
        <w:t xml:space="preserve"> Future work will be aimed at </w:t>
      </w:r>
      <w:r w:rsidR="0053588B">
        <w:t>testing alternative neural network structures like the convolutional neural network and attention-base</w:t>
      </w:r>
      <w:r w:rsidR="005F4E82">
        <w:t>d networks</w:t>
      </w:r>
      <w:r w:rsidR="006017B3">
        <w:t xml:space="preserve"> to improve the forecasting accuracy</w:t>
      </w:r>
      <w:r w:rsidR="005F4E82">
        <w:t xml:space="preserve">. </w:t>
      </w:r>
      <w:r w:rsidR="00633560">
        <w:t>In addition, the effect of pre-training on the current models will be investigate</w:t>
      </w:r>
      <w:r w:rsidR="006017B3">
        <w:t xml:space="preserve">d. </w:t>
      </w:r>
    </w:p>
    <w:p w14:paraId="42F1C1B2" w14:textId="00590EE9" w:rsidR="00600535" w:rsidRPr="00B57B36" w:rsidRDefault="00600535" w:rsidP="00600535">
      <w:pPr>
        <w:pStyle w:val="CETAcknowledgementstitle"/>
      </w:pPr>
      <w:r w:rsidRPr="00B57B36">
        <w:t>Acknowledgments</w:t>
      </w:r>
    </w:p>
    <w:p w14:paraId="4FA09B69" w14:textId="1D5B9CB6" w:rsidR="00600535" w:rsidRPr="00B57B36" w:rsidRDefault="00773C4E" w:rsidP="00600535">
      <w:pPr>
        <w:pStyle w:val="CETBodytext"/>
        <w:rPr>
          <w:lang w:val="en-GB"/>
        </w:rPr>
      </w:pPr>
      <w:r w:rsidRPr="00773C4E">
        <w:rPr>
          <w:lang w:val="en-GB"/>
        </w:rPr>
        <w:t>Support o</w:t>
      </w:r>
      <w:r w:rsidR="00C63F76">
        <w:rPr>
          <w:lang w:val="en-GB"/>
        </w:rPr>
        <w:t>f</w:t>
      </w:r>
      <w:r w:rsidRPr="00773C4E">
        <w:rPr>
          <w:lang w:val="en-GB"/>
        </w:rPr>
        <w:t xml:space="preserve"> PSE LSU group and the Cain Department of Chemical Engineering at Louisiana State University is gratefully acknowledged.</w:t>
      </w:r>
    </w:p>
    <w:p w14:paraId="5F76EB80" w14:textId="77777777" w:rsidR="00600535" w:rsidRPr="00B57B36" w:rsidRDefault="00600535" w:rsidP="00600535">
      <w:pPr>
        <w:pStyle w:val="CETReference"/>
      </w:pPr>
      <w:r w:rsidRPr="00B57B36">
        <w:t>References</w:t>
      </w:r>
    </w:p>
    <w:p w14:paraId="4E25122E" w14:textId="77777777" w:rsidR="005D4BFF" w:rsidRDefault="005D4BFF" w:rsidP="00EB7C3A">
      <w:pPr>
        <w:pStyle w:val="CETReferencetext"/>
        <w:ind w:left="0" w:firstLine="0"/>
      </w:pPr>
      <w:proofErr w:type="spellStart"/>
      <w:r w:rsidRPr="00AB511A">
        <w:t>Bollerslev</w:t>
      </w:r>
      <w:proofErr w:type="spellEnd"/>
      <w:r w:rsidRPr="00AB511A">
        <w:t xml:space="preserve"> T.</w:t>
      </w:r>
      <w:r>
        <w:t xml:space="preserve">, </w:t>
      </w:r>
      <w:r w:rsidRPr="00AB511A">
        <w:t>1986</w:t>
      </w:r>
      <w:r>
        <w:t>,</w:t>
      </w:r>
      <w:r w:rsidRPr="00AB511A">
        <w:t xml:space="preserve"> Generalized autoregressive conditional heteroscedasticity</w:t>
      </w:r>
      <w:r>
        <w:t>,</w:t>
      </w:r>
      <w:r w:rsidRPr="00AB511A">
        <w:t xml:space="preserve"> Journal of Econometrics, 31, 307-327.</w:t>
      </w:r>
    </w:p>
    <w:p w14:paraId="7F374327" w14:textId="77777777" w:rsidR="005D4BFF" w:rsidRDefault="005D4BFF" w:rsidP="00EB7C3A">
      <w:pPr>
        <w:pStyle w:val="CETReferencetext"/>
        <w:ind w:left="0" w:firstLine="0"/>
      </w:pPr>
      <w:r w:rsidRPr="003858C6">
        <w:t xml:space="preserve">Box G.E.P, Jenkins </w:t>
      </w:r>
      <w:r>
        <w:t xml:space="preserve">G.M., </w:t>
      </w:r>
      <w:r w:rsidRPr="003858C6">
        <w:t>1970</w:t>
      </w:r>
      <w:r>
        <w:t>,</w:t>
      </w:r>
      <w:r w:rsidRPr="003858C6">
        <w:t xml:space="preserve"> Time </w:t>
      </w:r>
      <w:r>
        <w:t>s</w:t>
      </w:r>
      <w:r w:rsidRPr="003858C6">
        <w:t xml:space="preserve">eries </w:t>
      </w:r>
      <w:r>
        <w:t>a</w:t>
      </w:r>
      <w:r w:rsidRPr="003858C6">
        <w:t xml:space="preserve">nalysis, </w:t>
      </w:r>
      <w:r>
        <w:t>f</w:t>
      </w:r>
      <w:r w:rsidRPr="003858C6">
        <w:t xml:space="preserve">orecasting, and </w:t>
      </w:r>
      <w:r>
        <w:t>c</w:t>
      </w:r>
      <w:r w:rsidRPr="003858C6">
        <w:t>ontrol</w:t>
      </w:r>
      <w:r>
        <w:t>,</w:t>
      </w:r>
      <w:r w:rsidRPr="003858C6">
        <w:t xml:space="preserve"> Francisco Holden-Day.</w:t>
      </w:r>
    </w:p>
    <w:p w14:paraId="06182436" w14:textId="77777777" w:rsidR="005D4BFF" w:rsidRDefault="005D4BFF" w:rsidP="00EB7C3A">
      <w:pPr>
        <w:pStyle w:val="CETReferencetext"/>
        <w:ind w:left="0" w:firstLine="0"/>
      </w:pPr>
      <w:r w:rsidRPr="008C634D">
        <w:t>Cox J.C., Ross S.A.</w:t>
      </w:r>
      <w:r>
        <w:t>,</w:t>
      </w:r>
      <w:r w:rsidRPr="008C634D">
        <w:t xml:space="preserve"> 1976</w:t>
      </w:r>
      <w:r>
        <w:t>,</w:t>
      </w:r>
      <w:r w:rsidRPr="008C634D">
        <w:t xml:space="preserve"> A survey of some new results in financial option pricing theory</w:t>
      </w:r>
      <w:r>
        <w:t>,</w:t>
      </w:r>
      <w:r w:rsidRPr="008C634D">
        <w:t xml:space="preserve"> The Journal of Finance, 31(2), 383-402.</w:t>
      </w:r>
    </w:p>
    <w:p w14:paraId="6E210E44" w14:textId="32FADB91" w:rsidR="003E7A35" w:rsidRDefault="003E7A35" w:rsidP="00EB7C3A">
      <w:pPr>
        <w:pStyle w:val="CETReferencetext"/>
        <w:ind w:left="0" w:firstLine="0"/>
      </w:pPr>
      <w:r w:rsidRPr="00FD2C19">
        <w:t xml:space="preserve">Cho, K., Van </w:t>
      </w:r>
      <w:proofErr w:type="spellStart"/>
      <w:r w:rsidRPr="00FD2C19">
        <w:t>Merriënboer</w:t>
      </w:r>
      <w:proofErr w:type="spellEnd"/>
      <w:r w:rsidRPr="00FD2C19">
        <w:t xml:space="preserve">, B., </w:t>
      </w:r>
      <w:proofErr w:type="spellStart"/>
      <w:r w:rsidRPr="00FD2C19">
        <w:t>Gulcehre</w:t>
      </w:r>
      <w:proofErr w:type="spellEnd"/>
      <w:r w:rsidRPr="00FD2C19">
        <w:t xml:space="preserve">, C., </w:t>
      </w:r>
      <w:proofErr w:type="spellStart"/>
      <w:r w:rsidRPr="00FD2C19">
        <w:t>Bahdanau</w:t>
      </w:r>
      <w:proofErr w:type="spellEnd"/>
      <w:r w:rsidRPr="00FD2C19">
        <w:t xml:space="preserve">, D., </w:t>
      </w:r>
      <w:proofErr w:type="spellStart"/>
      <w:r w:rsidRPr="00FD2C19">
        <w:t>Bougares</w:t>
      </w:r>
      <w:proofErr w:type="spellEnd"/>
      <w:r w:rsidRPr="00FD2C19">
        <w:t xml:space="preserve">, F., </w:t>
      </w:r>
      <w:proofErr w:type="spellStart"/>
      <w:r w:rsidRPr="00FD2C19">
        <w:t>Schwenk</w:t>
      </w:r>
      <w:proofErr w:type="spellEnd"/>
      <w:r w:rsidRPr="00FD2C19">
        <w:t xml:space="preserve">, H. and </w:t>
      </w:r>
      <w:proofErr w:type="spellStart"/>
      <w:r w:rsidRPr="00FD2C19">
        <w:t>Bengio</w:t>
      </w:r>
      <w:proofErr w:type="spellEnd"/>
      <w:r w:rsidRPr="00FD2C19">
        <w:t xml:space="preserve">, Y., 2014. Learning phrase representations using RNN encoder-decoder for statistical machine translation. </w:t>
      </w:r>
      <w:proofErr w:type="spellStart"/>
      <w:r w:rsidRPr="00FD2C19">
        <w:t>arXiv</w:t>
      </w:r>
      <w:proofErr w:type="spellEnd"/>
      <w:r w:rsidRPr="00FD2C19">
        <w:t xml:space="preserve"> preprint arXiv:1406.1078.</w:t>
      </w:r>
    </w:p>
    <w:p w14:paraId="6731D49A" w14:textId="1889BF7B" w:rsidR="005D4BFF" w:rsidRDefault="005D4BFF" w:rsidP="00EB7C3A">
      <w:pPr>
        <w:pStyle w:val="CETReferencetext"/>
        <w:ind w:left="0" w:firstLine="0"/>
      </w:pPr>
      <w:r>
        <w:t xml:space="preserve">Energy Information Administration (EIA), 2018, Annual energy outlook with projections to 2050, </w:t>
      </w:r>
      <w:r w:rsidRPr="00EF3C0B">
        <w:t>Government Printing Office.</w:t>
      </w:r>
    </w:p>
    <w:p w14:paraId="77839ACF" w14:textId="296962CF" w:rsidR="0097433C" w:rsidRDefault="0097433C" w:rsidP="00EB7C3A">
      <w:pPr>
        <w:pStyle w:val="CETReferencetext"/>
        <w:ind w:left="0" w:firstLine="0"/>
      </w:pPr>
      <w:proofErr w:type="spellStart"/>
      <w:r w:rsidRPr="0097433C">
        <w:t>Hochreiter</w:t>
      </w:r>
      <w:proofErr w:type="spellEnd"/>
      <w:r w:rsidRPr="0097433C">
        <w:t xml:space="preserve">, S. and </w:t>
      </w:r>
      <w:proofErr w:type="spellStart"/>
      <w:r w:rsidRPr="0097433C">
        <w:t>Schmidhuber</w:t>
      </w:r>
      <w:proofErr w:type="spellEnd"/>
      <w:r w:rsidRPr="0097433C">
        <w:t>, J., 1997. Long short-term memory. Neural computation, 9(8), pp.1735-1780.</w:t>
      </w:r>
    </w:p>
    <w:p w14:paraId="2E528773" w14:textId="36A47E5F" w:rsidR="00997A69" w:rsidRDefault="00997A69" w:rsidP="00EB7C3A">
      <w:pPr>
        <w:pStyle w:val="CETReferencetext"/>
        <w:ind w:left="0" w:firstLine="0"/>
      </w:pPr>
      <w:r w:rsidRPr="00997A69">
        <w:t>Hsieh, T.J., Hsiao, H.F. and Yeh, W.C., 2011. Forecasting stock markets using wavelet transforms and recurrent neural networks: An integrated system based on artificial bee colony algorithm. Applied soft computing, 11(2), pp.2510-2525.</w:t>
      </w:r>
    </w:p>
    <w:p w14:paraId="6AB21CFC" w14:textId="4E0EF179" w:rsidR="00997A69" w:rsidRDefault="005D4BFF" w:rsidP="00EB7C3A">
      <w:pPr>
        <w:pStyle w:val="CETReferencetext"/>
        <w:ind w:left="0" w:firstLine="0"/>
      </w:pPr>
      <w:r w:rsidRPr="00F318C6">
        <w:t>Huang N.E., Wu M. L</w:t>
      </w:r>
      <w:r>
        <w:t>.</w:t>
      </w:r>
      <w:r w:rsidRPr="00F318C6">
        <w:t xml:space="preserve">C., Long S.R., Shen S.S., Qu W., </w:t>
      </w:r>
      <w:proofErr w:type="spellStart"/>
      <w:r w:rsidRPr="00F318C6">
        <w:t>Gloersen</w:t>
      </w:r>
      <w:proofErr w:type="spellEnd"/>
      <w:r w:rsidRPr="00F318C6">
        <w:t xml:space="preserve"> P., Fan K</w:t>
      </w:r>
      <w:r>
        <w:t>.</w:t>
      </w:r>
      <w:r w:rsidRPr="00F318C6">
        <w:t>L.</w:t>
      </w:r>
      <w:r>
        <w:t xml:space="preserve">, </w:t>
      </w:r>
      <w:r w:rsidRPr="00F318C6">
        <w:t>2003, A confidence limit for the empirical mode decomposition and Hilbert spectral analysis</w:t>
      </w:r>
      <w:r>
        <w:t>,</w:t>
      </w:r>
      <w:r w:rsidRPr="00F318C6">
        <w:t xml:space="preserve"> In Proceedings of the royal society of London: Mathematical, physical and engineering sciences</w:t>
      </w:r>
      <w:r>
        <w:t>.</w:t>
      </w:r>
    </w:p>
    <w:p w14:paraId="037D7AC3" w14:textId="2FB87311" w:rsidR="005D4BFF" w:rsidRDefault="005D4BFF" w:rsidP="00EB7C3A">
      <w:pPr>
        <w:pStyle w:val="CETReferencetext"/>
        <w:ind w:left="0" w:firstLine="0"/>
      </w:pPr>
      <w:r w:rsidRPr="002608A9">
        <w:t>Power N., Council C.</w:t>
      </w:r>
      <w:r>
        <w:t>,</w:t>
      </w:r>
      <w:r w:rsidRPr="002608A9">
        <w:t xml:space="preserve"> 2016</w:t>
      </w:r>
      <w:r>
        <w:t>,</w:t>
      </w:r>
      <w:r w:rsidRPr="002608A9">
        <w:t xml:space="preserve"> Seventh </w:t>
      </w:r>
      <w:r>
        <w:t>n</w:t>
      </w:r>
      <w:r w:rsidRPr="002608A9">
        <w:t xml:space="preserve">orthwest </w:t>
      </w:r>
      <w:r>
        <w:t>c</w:t>
      </w:r>
      <w:r w:rsidRPr="002608A9">
        <w:t xml:space="preserve">onservation and </w:t>
      </w:r>
      <w:r>
        <w:t>e</w:t>
      </w:r>
      <w:r w:rsidRPr="002608A9">
        <w:t xml:space="preserve">lectric </w:t>
      </w:r>
      <w:r>
        <w:t>p</w:t>
      </w:r>
      <w:r w:rsidRPr="002608A9">
        <w:t xml:space="preserve">ower </w:t>
      </w:r>
      <w:r>
        <w:t>p</w:t>
      </w:r>
      <w:r w:rsidRPr="002608A9">
        <w:t>lan</w:t>
      </w:r>
      <w:r>
        <w:t>,</w:t>
      </w:r>
      <w:r w:rsidRPr="002608A9">
        <w:t xml:space="preserve"> Portland, Oregon, USA.</w:t>
      </w:r>
    </w:p>
    <w:p w14:paraId="7FDB3180" w14:textId="77777777" w:rsidR="005D4BFF" w:rsidRDefault="005D4BFF" w:rsidP="00EB7C3A">
      <w:pPr>
        <w:pStyle w:val="CETReferencetext"/>
        <w:ind w:left="0" w:firstLine="0"/>
      </w:pPr>
      <w:proofErr w:type="spellStart"/>
      <w:r w:rsidRPr="00DD7162">
        <w:t>Werbos</w:t>
      </w:r>
      <w:proofErr w:type="spellEnd"/>
      <w:r w:rsidRPr="00DD7162">
        <w:t>, P.</w:t>
      </w:r>
      <w:r>
        <w:t>,</w:t>
      </w:r>
      <w:r w:rsidRPr="00DD7162">
        <w:t xml:space="preserve"> 1974</w:t>
      </w:r>
      <w:r>
        <w:t>,</w:t>
      </w:r>
      <w:r w:rsidRPr="00DD7162">
        <w:t xml:space="preserve"> Beyond </w:t>
      </w:r>
      <w:r>
        <w:t>r</w:t>
      </w:r>
      <w:r w:rsidRPr="00DD7162">
        <w:t xml:space="preserve">egression: New </w:t>
      </w:r>
      <w:r>
        <w:t>t</w:t>
      </w:r>
      <w:r w:rsidRPr="00DD7162">
        <w:t xml:space="preserve">ools for </w:t>
      </w:r>
      <w:r>
        <w:t>p</w:t>
      </w:r>
      <w:r w:rsidRPr="00DD7162">
        <w:t xml:space="preserve">rediction and </w:t>
      </w:r>
      <w:r>
        <w:t>a</w:t>
      </w:r>
      <w:r w:rsidRPr="00DD7162">
        <w:t xml:space="preserve">nalysis in the </w:t>
      </w:r>
      <w:proofErr w:type="spellStart"/>
      <w:r>
        <w:t>b</w:t>
      </w:r>
      <w:r w:rsidRPr="00DD7162">
        <w:t>ehavioral</w:t>
      </w:r>
      <w:proofErr w:type="spellEnd"/>
      <w:r w:rsidRPr="00DD7162">
        <w:t xml:space="preserve"> </w:t>
      </w:r>
      <w:r>
        <w:t>s</w:t>
      </w:r>
      <w:r w:rsidRPr="00DD7162">
        <w:t>ciences</w:t>
      </w:r>
      <w:r>
        <w:t>,</w:t>
      </w:r>
      <w:r w:rsidRPr="00DD7162">
        <w:t xml:space="preserve"> Ph. D. dissertation, Harvard University.</w:t>
      </w:r>
    </w:p>
    <w:p w14:paraId="1706F137" w14:textId="77777777" w:rsidR="005D4BFF" w:rsidRDefault="005D4BFF" w:rsidP="00EB7C3A">
      <w:pPr>
        <w:pStyle w:val="CETReferencetext"/>
        <w:ind w:left="0" w:firstLine="0"/>
      </w:pPr>
      <w:proofErr w:type="spellStart"/>
      <w:r w:rsidRPr="00DD7162">
        <w:t>Werbos</w:t>
      </w:r>
      <w:proofErr w:type="spellEnd"/>
      <w:r>
        <w:t xml:space="preserve"> </w:t>
      </w:r>
      <w:r w:rsidRPr="00DD7162">
        <w:t>P.J.</w:t>
      </w:r>
      <w:r>
        <w:t>,</w:t>
      </w:r>
      <w:r w:rsidRPr="00DD7162">
        <w:t xml:space="preserve"> 1988</w:t>
      </w:r>
      <w:r>
        <w:t>,</w:t>
      </w:r>
      <w:r w:rsidRPr="00DD7162">
        <w:t xml:space="preserve"> Generalization of backpropagation with application to a recurrent gas market model. Neural networks, 1(4), 339-356.</w:t>
      </w:r>
    </w:p>
    <w:p w14:paraId="00608C3F" w14:textId="77777777" w:rsidR="005D4BFF" w:rsidRDefault="005D4BFF" w:rsidP="00EB7C3A">
      <w:pPr>
        <w:pStyle w:val="CETReferencetext"/>
        <w:ind w:left="0" w:firstLine="0"/>
      </w:pPr>
      <w:r w:rsidRPr="00EE28D2">
        <w:t xml:space="preserve">Zhang G., </w:t>
      </w:r>
      <w:proofErr w:type="spellStart"/>
      <w:r w:rsidRPr="00EE28D2">
        <w:t>Patuwo</w:t>
      </w:r>
      <w:proofErr w:type="spellEnd"/>
      <w:r w:rsidRPr="00EE28D2">
        <w:t xml:space="preserve"> B.E., Hu M.Y.</w:t>
      </w:r>
      <w:r>
        <w:t>,</w:t>
      </w:r>
      <w:r w:rsidRPr="00EE28D2">
        <w:t xml:space="preserve"> 1998</w:t>
      </w:r>
      <w:r>
        <w:t>,</w:t>
      </w:r>
      <w:r w:rsidRPr="00EE28D2">
        <w:t xml:space="preserve"> Forecasting with artificial neural networks: </w:t>
      </w:r>
      <w:r>
        <w:t>T</w:t>
      </w:r>
      <w:r w:rsidRPr="00EE28D2">
        <w:t>he state of the art</w:t>
      </w:r>
      <w:r>
        <w:t>,</w:t>
      </w:r>
      <w:r w:rsidRPr="00EE28D2">
        <w:t xml:space="preserve"> International Journal of Forecasting, 14, 35-62.</w:t>
      </w:r>
    </w:p>
    <w:p w14:paraId="57959AA3" w14:textId="77777777" w:rsidR="006B4888" w:rsidRPr="000D56D6" w:rsidRDefault="006B4888" w:rsidP="006B4888">
      <w:pPr>
        <w:pStyle w:val="CETReferencetext"/>
      </w:pPr>
    </w:p>
    <w:p w14:paraId="215A4E1C" w14:textId="77777777" w:rsidR="004628D2" w:rsidRDefault="004628D2" w:rsidP="00FA5F5F">
      <w:pPr>
        <w:pStyle w:val="CETHeading1"/>
        <w:numPr>
          <w:ilvl w:val="0"/>
          <w:numId w:val="0"/>
        </w:numPr>
      </w:pP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73E93A" w14:textId="77777777" w:rsidR="00E054A9" w:rsidRDefault="00E054A9" w:rsidP="004F5E36">
      <w:r>
        <w:separator/>
      </w:r>
    </w:p>
  </w:endnote>
  <w:endnote w:type="continuationSeparator" w:id="0">
    <w:p w14:paraId="64D6A2B7" w14:textId="77777777" w:rsidR="00E054A9" w:rsidRDefault="00E054A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804E4" w14:textId="77777777" w:rsidR="00E054A9" w:rsidRDefault="00E054A9" w:rsidP="004F5E36">
      <w:r>
        <w:separator/>
      </w:r>
    </w:p>
  </w:footnote>
  <w:footnote w:type="continuationSeparator" w:id="0">
    <w:p w14:paraId="4C8B61D9" w14:textId="77777777" w:rsidR="00E054A9" w:rsidRDefault="00E054A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10A"/>
    <w:rsid w:val="000052FB"/>
    <w:rsid w:val="00010F40"/>
    <w:rsid w:val="000117CB"/>
    <w:rsid w:val="0001501E"/>
    <w:rsid w:val="00025D10"/>
    <w:rsid w:val="0003148D"/>
    <w:rsid w:val="0003245B"/>
    <w:rsid w:val="000339BA"/>
    <w:rsid w:val="0003445A"/>
    <w:rsid w:val="0004126B"/>
    <w:rsid w:val="000426A9"/>
    <w:rsid w:val="00047D7F"/>
    <w:rsid w:val="00051566"/>
    <w:rsid w:val="00053C39"/>
    <w:rsid w:val="00054292"/>
    <w:rsid w:val="00055675"/>
    <w:rsid w:val="000617D6"/>
    <w:rsid w:val="00062A9A"/>
    <w:rsid w:val="00062FDF"/>
    <w:rsid w:val="00065058"/>
    <w:rsid w:val="00075E23"/>
    <w:rsid w:val="00081C02"/>
    <w:rsid w:val="00086C39"/>
    <w:rsid w:val="00096C8B"/>
    <w:rsid w:val="000A03B2"/>
    <w:rsid w:val="000A3B79"/>
    <w:rsid w:val="000D1FCC"/>
    <w:rsid w:val="000D34BE"/>
    <w:rsid w:val="000D548B"/>
    <w:rsid w:val="000D71D4"/>
    <w:rsid w:val="000D7AEF"/>
    <w:rsid w:val="000E102F"/>
    <w:rsid w:val="000E36F1"/>
    <w:rsid w:val="000E3A73"/>
    <w:rsid w:val="000E414A"/>
    <w:rsid w:val="000F093C"/>
    <w:rsid w:val="000F16BD"/>
    <w:rsid w:val="000F21AD"/>
    <w:rsid w:val="000F3AE5"/>
    <w:rsid w:val="000F787B"/>
    <w:rsid w:val="0010776F"/>
    <w:rsid w:val="0012091F"/>
    <w:rsid w:val="00123E97"/>
    <w:rsid w:val="00125AA4"/>
    <w:rsid w:val="00126BC2"/>
    <w:rsid w:val="001308B6"/>
    <w:rsid w:val="0013121F"/>
    <w:rsid w:val="00131FAB"/>
    <w:rsid w:val="00131FE6"/>
    <w:rsid w:val="0013263F"/>
    <w:rsid w:val="00132837"/>
    <w:rsid w:val="00134DE4"/>
    <w:rsid w:val="0014034D"/>
    <w:rsid w:val="001414AD"/>
    <w:rsid w:val="00142977"/>
    <w:rsid w:val="00150E59"/>
    <w:rsid w:val="00152DE3"/>
    <w:rsid w:val="00155C6D"/>
    <w:rsid w:val="00162642"/>
    <w:rsid w:val="00164CF9"/>
    <w:rsid w:val="0018041C"/>
    <w:rsid w:val="00184AD6"/>
    <w:rsid w:val="00192793"/>
    <w:rsid w:val="001B0349"/>
    <w:rsid w:val="001B1399"/>
    <w:rsid w:val="001B16F5"/>
    <w:rsid w:val="001B65C1"/>
    <w:rsid w:val="001C684B"/>
    <w:rsid w:val="001D0959"/>
    <w:rsid w:val="001D53FC"/>
    <w:rsid w:val="001D5862"/>
    <w:rsid w:val="001D6D0B"/>
    <w:rsid w:val="001E3D82"/>
    <w:rsid w:val="001E4833"/>
    <w:rsid w:val="001F246A"/>
    <w:rsid w:val="001F42A5"/>
    <w:rsid w:val="001F68EF"/>
    <w:rsid w:val="001F7B9D"/>
    <w:rsid w:val="00201A5C"/>
    <w:rsid w:val="00211479"/>
    <w:rsid w:val="00221AA8"/>
    <w:rsid w:val="002224B4"/>
    <w:rsid w:val="0024003E"/>
    <w:rsid w:val="00241165"/>
    <w:rsid w:val="00241DF4"/>
    <w:rsid w:val="0024392A"/>
    <w:rsid w:val="002447EF"/>
    <w:rsid w:val="00251550"/>
    <w:rsid w:val="0025206A"/>
    <w:rsid w:val="00252C1A"/>
    <w:rsid w:val="00263B05"/>
    <w:rsid w:val="00264491"/>
    <w:rsid w:val="0027221A"/>
    <w:rsid w:val="00275B61"/>
    <w:rsid w:val="00282656"/>
    <w:rsid w:val="0028312B"/>
    <w:rsid w:val="00296B83"/>
    <w:rsid w:val="002B00CB"/>
    <w:rsid w:val="002B0F83"/>
    <w:rsid w:val="002B78CE"/>
    <w:rsid w:val="002C2FB6"/>
    <w:rsid w:val="002D5BCD"/>
    <w:rsid w:val="002E41CF"/>
    <w:rsid w:val="002E77B4"/>
    <w:rsid w:val="003009B7"/>
    <w:rsid w:val="00300E56"/>
    <w:rsid w:val="0030430F"/>
    <w:rsid w:val="0030469C"/>
    <w:rsid w:val="00305186"/>
    <w:rsid w:val="003056D9"/>
    <w:rsid w:val="003126EC"/>
    <w:rsid w:val="00321CA6"/>
    <w:rsid w:val="003277EF"/>
    <w:rsid w:val="00334C09"/>
    <w:rsid w:val="003365E3"/>
    <w:rsid w:val="00344412"/>
    <w:rsid w:val="00352218"/>
    <w:rsid w:val="0035536B"/>
    <w:rsid w:val="003657D1"/>
    <w:rsid w:val="003723D4"/>
    <w:rsid w:val="003735EC"/>
    <w:rsid w:val="0038360A"/>
    <w:rsid w:val="00384CC8"/>
    <w:rsid w:val="003871FD"/>
    <w:rsid w:val="0039532A"/>
    <w:rsid w:val="003A1E30"/>
    <w:rsid w:val="003A7D1C"/>
    <w:rsid w:val="003B304B"/>
    <w:rsid w:val="003B3146"/>
    <w:rsid w:val="003B60F3"/>
    <w:rsid w:val="003D2DC8"/>
    <w:rsid w:val="003E7A35"/>
    <w:rsid w:val="003F015E"/>
    <w:rsid w:val="00400414"/>
    <w:rsid w:val="00400D3D"/>
    <w:rsid w:val="00413A43"/>
    <w:rsid w:val="0041446B"/>
    <w:rsid w:val="00415F9A"/>
    <w:rsid w:val="0043514C"/>
    <w:rsid w:val="004351BA"/>
    <w:rsid w:val="00440469"/>
    <w:rsid w:val="004421A3"/>
    <w:rsid w:val="0044329C"/>
    <w:rsid w:val="004577FE"/>
    <w:rsid w:val="00457B9C"/>
    <w:rsid w:val="0046164A"/>
    <w:rsid w:val="00461AD9"/>
    <w:rsid w:val="00462770"/>
    <w:rsid w:val="004628D2"/>
    <w:rsid w:val="00462DCD"/>
    <w:rsid w:val="004648AD"/>
    <w:rsid w:val="004648D1"/>
    <w:rsid w:val="004663D0"/>
    <w:rsid w:val="004703A9"/>
    <w:rsid w:val="004760DE"/>
    <w:rsid w:val="00481D44"/>
    <w:rsid w:val="0048799E"/>
    <w:rsid w:val="004A004E"/>
    <w:rsid w:val="004A24CF"/>
    <w:rsid w:val="004A27C0"/>
    <w:rsid w:val="004B6721"/>
    <w:rsid w:val="004C1914"/>
    <w:rsid w:val="004C3D1D"/>
    <w:rsid w:val="004C6033"/>
    <w:rsid w:val="004C68D9"/>
    <w:rsid w:val="004C7913"/>
    <w:rsid w:val="004D1728"/>
    <w:rsid w:val="004D3D81"/>
    <w:rsid w:val="004D5459"/>
    <w:rsid w:val="004E4DD6"/>
    <w:rsid w:val="004F2EEC"/>
    <w:rsid w:val="004F3F2B"/>
    <w:rsid w:val="004F5E36"/>
    <w:rsid w:val="00507B47"/>
    <w:rsid w:val="00507CC9"/>
    <w:rsid w:val="005119A5"/>
    <w:rsid w:val="00515F52"/>
    <w:rsid w:val="005278B7"/>
    <w:rsid w:val="00532016"/>
    <w:rsid w:val="005346C8"/>
    <w:rsid w:val="0053588B"/>
    <w:rsid w:val="00543E7D"/>
    <w:rsid w:val="00546B05"/>
    <w:rsid w:val="00547A68"/>
    <w:rsid w:val="005504D1"/>
    <w:rsid w:val="005531C9"/>
    <w:rsid w:val="00553DFB"/>
    <w:rsid w:val="00560E01"/>
    <w:rsid w:val="00562602"/>
    <w:rsid w:val="005651F9"/>
    <w:rsid w:val="005658B1"/>
    <w:rsid w:val="00577DD1"/>
    <w:rsid w:val="005859B1"/>
    <w:rsid w:val="005878C7"/>
    <w:rsid w:val="00591AE0"/>
    <w:rsid w:val="005A2E55"/>
    <w:rsid w:val="005B2110"/>
    <w:rsid w:val="005B4846"/>
    <w:rsid w:val="005B61E6"/>
    <w:rsid w:val="005C3834"/>
    <w:rsid w:val="005C77E1"/>
    <w:rsid w:val="005D4BFF"/>
    <w:rsid w:val="005D6A2F"/>
    <w:rsid w:val="005E09BE"/>
    <w:rsid w:val="005E1A82"/>
    <w:rsid w:val="005E2277"/>
    <w:rsid w:val="005E794C"/>
    <w:rsid w:val="005F0009"/>
    <w:rsid w:val="005F0A28"/>
    <w:rsid w:val="005F0E5E"/>
    <w:rsid w:val="005F18E2"/>
    <w:rsid w:val="005F31B3"/>
    <w:rsid w:val="005F4E82"/>
    <w:rsid w:val="005F66A4"/>
    <w:rsid w:val="00600535"/>
    <w:rsid w:val="006017B3"/>
    <w:rsid w:val="00604D1E"/>
    <w:rsid w:val="00610CD6"/>
    <w:rsid w:val="00620DEE"/>
    <w:rsid w:val="00621F92"/>
    <w:rsid w:val="00624001"/>
    <w:rsid w:val="00624F1B"/>
    <w:rsid w:val="00625639"/>
    <w:rsid w:val="00631B33"/>
    <w:rsid w:val="00633560"/>
    <w:rsid w:val="00640A25"/>
    <w:rsid w:val="0064184D"/>
    <w:rsid w:val="006420CD"/>
    <w:rsid w:val="006422CC"/>
    <w:rsid w:val="00644A7B"/>
    <w:rsid w:val="00650E98"/>
    <w:rsid w:val="0065435A"/>
    <w:rsid w:val="00655808"/>
    <w:rsid w:val="00660E3E"/>
    <w:rsid w:val="00662E54"/>
    <w:rsid w:val="00662E74"/>
    <w:rsid w:val="0067162B"/>
    <w:rsid w:val="00675561"/>
    <w:rsid w:val="00680C23"/>
    <w:rsid w:val="00693766"/>
    <w:rsid w:val="006A3281"/>
    <w:rsid w:val="006A640D"/>
    <w:rsid w:val="006B387F"/>
    <w:rsid w:val="006B4888"/>
    <w:rsid w:val="006B5668"/>
    <w:rsid w:val="006B65CB"/>
    <w:rsid w:val="006B7F00"/>
    <w:rsid w:val="006C16A8"/>
    <w:rsid w:val="006C2E45"/>
    <w:rsid w:val="006C359C"/>
    <w:rsid w:val="006C5579"/>
    <w:rsid w:val="006D36E3"/>
    <w:rsid w:val="006E0240"/>
    <w:rsid w:val="006E737D"/>
    <w:rsid w:val="006F12B6"/>
    <w:rsid w:val="006F29A3"/>
    <w:rsid w:val="006F399C"/>
    <w:rsid w:val="006F6995"/>
    <w:rsid w:val="0070195D"/>
    <w:rsid w:val="007020C5"/>
    <w:rsid w:val="0070321C"/>
    <w:rsid w:val="00705031"/>
    <w:rsid w:val="00706747"/>
    <w:rsid w:val="00720A24"/>
    <w:rsid w:val="00721123"/>
    <w:rsid w:val="00721EC6"/>
    <w:rsid w:val="00732386"/>
    <w:rsid w:val="007447F3"/>
    <w:rsid w:val="007465BD"/>
    <w:rsid w:val="0075499F"/>
    <w:rsid w:val="00754B92"/>
    <w:rsid w:val="00757AA7"/>
    <w:rsid w:val="00762F8D"/>
    <w:rsid w:val="0076483B"/>
    <w:rsid w:val="007661C8"/>
    <w:rsid w:val="0077098D"/>
    <w:rsid w:val="00773C4E"/>
    <w:rsid w:val="007824B7"/>
    <w:rsid w:val="00792348"/>
    <w:rsid w:val="007931FA"/>
    <w:rsid w:val="007A3E07"/>
    <w:rsid w:val="007A3F52"/>
    <w:rsid w:val="007A7BBA"/>
    <w:rsid w:val="007B0C50"/>
    <w:rsid w:val="007B13F7"/>
    <w:rsid w:val="007B2295"/>
    <w:rsid w:val="007B6399"/>
    <w:rsid w:val="007C1A43"/>
    <w:rsid w:val="007D10FE"/>
    <w:rsid w:val="007D4F17"/>
    <w:rsid w:val="007E1DC6"/>
    <w:rsid w:val="007F2F29"/>
    <w:rsid w:val="007F69BA"/>
    <w:rsid w:val="00813288"/>
    <w:rsid w:val="00814BA3"/>
    <w:rsid w:val="008168FC"/>
    <w:rsid w:val="00830996"/>
    <w:rsid w:val="008345F1"/>
    <w:rsid w:val="0085020C"/>
    <w:rsid w:val="00852641"/>
    <w:rsid w:val="00865B07"/>
    <w:rsid w:val="008667EA"/>
    <w:rsid w:val="0087637F"/>
    <w:rsid w:val="00877CDC"/>
    <w:rsid w:val="0088143C"/>
    <w:rsid w:val="008872A5"/>
    <w:rsid w:val="008904B9"/>
    <w:rsid w:val="00892AD5"/>
    <w:rsid w:val="00893E19"/>
    <w:rsid w:val="008A1512"/>
    <w:rsid w:val="008A40DF"/>
    <w:rsid w:val="008A4296"/>
    <w:rsid w:val="008B0882"/>
    <w:rsid w:val="008C25AB"/>
    <w:rsid w:val="008C78C1"/>
    <w:rsid w:val="008D32B9"/>
    <w:rsid w:val="008D433B"/>
    <w:rsid w:val="008E566E"/>
    <w:rsid w:val="0090161A"/>
    <w:rsid w:val="00901EB6"/>
    <w:rsid w:val="00904C62"/>
    <w:rsid w:val="009173D4"/>
    <w:rsid w:val="00924DAC"/>
    <w:rsid w:val="00927058"/>
    <w:rsid w:val="00932BC8"/>
    <w:rsid w:val="00934669"/>
    <w:rsid w:val="009450CE"/>
    <w:rsid w:val="00947179"/>
    <w:rsid w:val="0095164B"/>
    <w:rsid w:val="00953126"/>
    <w:rsid w:val="00954090"/>
    <w:rsid w:val="009566CA"/>
    <w:rsid w:val="009573E7"/>
    <w:rsid w:val="00961C97"/>
    <w:rsid w:val="009635B9"/>
    <w:rsid w:val="00963E05"/>
    <w:rsid w:val="00964082"/>
    <w:rsid w:val="00967D54"/>
    <w:rsid w:val="0097433C"/>
    <w:rsid w:val="0098167C"/>
    <w:rsid w:val="009853A0"/>
    <w:rsid w:val="00996483"/>
    <w:rsid w:val="00996F5A"/>
    <w:rsid w:val="00997A69"/>
    <w:rsid w:val="009A0A3E"/>
    <w:rsid w:val="009A0A9D"/>
    <w:rsid w:val="009A0BE0"/>
    <w:rsid w:val="009B041A"/>
    <w:rsid w:val="009B42FA"/>
    <w:rsid w:val="009C4FB2"/>
    <w:rsid w:val="009C6B75"/>
    <w:rsid w:val="009C7C86"/>
    <w:rsid w:val="009D2454"/>
    <w:rsid w:val="009D2FF7"/>
    <w:rsid w:val="009E44C0"/>
    <w:rsid w:val="009E7884"/>
    <w:rsid w:val="009E788A"/>
    <w:rsid w:val="009F0C79"/>
    <w:rsid w:val="009F0E08"/>
    <w:rsid w:val="009F48C5"/>
    <w:rsid w:val="00A04D60"/>
    <w:rsid w:val="00A07EAA"/>
    <w:rsid w:val="00A1763D"/>
    <w:rsid w:val="00A17CEC"/>
    <w:rsid w:val="00A23D3D"/>
    <w:rsid w:val="00A2439E"/>
    <w:rsid w:val="00A25339"/>
    <w:rsid w:val="00A27EF0"/>
    <w:rsid w:val="00A50683"/>
    <w:rsid w:val="00A5073E"/>
    <w:rsid w:val="00A5073F"/>
    <w:rsid w:val="00A50B20"/>
    <w:rsid w:val="00A51390"/>
    <w:rsid w:val="00A52B84"/>
    <w:rsid w:val="00A60D13"/>
    <w:rsid w:val="00A719A2"/>
    <w:rsid w:val="00A72745"/>
    <w:rsid w:val="00A76EFC"/>
    <w:rsid w:val="00A80FEF"/>
    <w:rsid w:val="00A85C0D"/>
    <w:rsid w:val="00A85DA7"/>
    <w:rsid w:val="00A86E84"/>
    <w:rsid w:val="00A87127"/>
    <w:rsid w:val="00A901E9"/>
    <w:rsid w:val="00A91010"/>
    <w:rsid w:val="00A97F29"/>
    <w:rsid w:val="00AA702E"/>
    <w:rsid w:val="00AB0964"/>
    <w:rsid w:val="00AB5011"/>
    <w:rsid w:val="00AC7368"/>
    <w:rsid w:val="00AD16B9"/>
    <w:rsid w:val="00AD3C96"/>
    <w:rsid w:val="00AD4587"/>
    <w:rsid w:val="00AD7026"/>
    <w:rsid w:val="00AE233F"/>
    <w:rsid w:val="00AE377D"/>
    <w:rsid w:val="00B0391E"/>
    <w:rsid w:val="00B13AD0"/>
    <w:rsid w:val="00B17861"/>
    <w:rsid w:val="00B17FBD"/>
    <w:rsid w:val="00B21F6B"/>
    <w:rsid w:val="00B2658A"/>
    <w:rsid w:val="00B315A6"/>
    <w:rsid w:val="00B31813"/>
    <w:rsid w:val="00B3254A"/>
    <w:rsid w:val="00B33365"/>
    <w:rsid w:val="00B36996"/>
    <w:rsid w:val="00B57B36"/>
    <w:rsid w:val="00B63AD3"/>
    <w:rsid w:val="00B67D93"/>
    <w:rsid w:val="00B8686D"/>
    <w:rsid w:val="00B942C0"/>
    <w:rsid w:val="00B95EC0"/>
    <w:rsid w:val="00B97C51"/>
    <w:rsid w:val="00BA182C"/>
    <w:rsid w:val="00BA5694"/>
    <w:rsid w:val="00BB5F91"/>
    <w:rsid w:val="00BB7B29"/>
    <w:rsid w:val="00BC0EB4"/>
    <w:rsid w:val="00BC1659"/>
    <w:rsid w:val="00BC30C9"/>
    <w:rsid w:val="00BE3E58"/>
    <w:rsid w:val="00BF06E6"/>
    <w:rsid w:val="00BF1972"/>
    <w:rsid w:val="00C010F8"/>
    <w:rsid w:val="00C01616"/>
    <w:rsid w:val="00C0162B"/>
    <w:rsid w:val="00C110A3"/>
    <w:rsid w:val="00C1415D"/>
    <w:rsid w:val="00C345B1"/>
    <w:rsid w:val="00C40142"/>
    <w:rsid w:val="00C55A08"/>
    <w:rsid w:val="00C5644C"/>
    <w:rsid w:val="00C57182"/>
    <w:rsid w:val="00C57863"/>
    <w:rsid w:val="00C60B61"/>
    <w:rsid w:val="00C63F76"/>
    <w:rsid w:val="00C655FD"/>
    <w:rsid w:val="00C67141"/>
    <w:rsid w:val="00C73C74"/>
    <w:rsid w:val="00C76112"/>
    <w:rsid w:val="00C84C7C"/>
    <w:rsid w:val="00C870A8"/>
    <w:rsid w:val="00C94434"/>
    <w:rsid w:val="00CA0D75"/>
    <w:rsid w:val="00CA1C95"/>
    <w:rsid w:val="00CA5A9C"/>
    <w:rsid w:val="00CB7DB1"/>
    <w:rsid w:val="00CC7A90"/>
    <w:rsid w:val="00CD0663"/>
    <w:rsid w:val="00CD2CC1"/>
    <w:rsid w:val="00CD3517"/>
    <w:rsid w:val="00CD5A00"/>
    <w:rsid w:val="00CD5FE2"/>
    <w:rsid w:val="00CD61AB"/>
    <w:rsid w:val="00CD7FBF"/>
    <w:rsid w:val="00CE036B"/>
    <w:rsid w:val="00CE7C68"/>
    <w:rsid w:val="00CF1A17"/>
    <w:rsid w:val="00CF1AFD"/>
    <w:rsid w:val="00CF5AFF"/>
    <w:rsid w:val="00D02B4C"/>
    <w:rsid w:val="00D040C4"/>
    <w:rsid w:val="00D13A0F"/>
    <w:rsid w:val="00D15E61"/>
    <w:rsid w:val="00D16D71"/>
    <w:rsid w:val="00D25DC0"/>
    <w:rsid w:val="00D358ED"/>
    <w:rsid w:val="00D41B47"/>
    <w:rsid w:val="00D47313"/>
    <w:rsid w:val="00D52157"/>
    <w:rsid w:val="00D57C84"/>
    <w:rsid w:val="00D57EA1"/>
    <w:rsid w:val="00D6057D"/>
    <w:rsid w:val="00D647AA"/>
    <w:rsid w:val="00D74601"/>
    <w:rsid w:val="00D84576"/>
    <w:rsid w:val="00D901FA"/>
    <w:rsid w:val="00D9661D"/>
    <w:rsid w:val="00D97208"/>
    <w:rsid w:val="00DA1399"/>
    <w:rsid w:val="00DA24C6"/>
    <w:rsid w:val="00DA4D7B"/>
    <w:rsid w:val="00DB3AD1"/>
    <w:rsid w:val="00DB3E34"/>
    <w:rsid w:val="00DC6FA5"/>
    <w:rsid w:val="00DD5932"/>
    <w:rsid w:val="00DE1712"/>
    <w:rsid w:val="00DE264A"/>
    <w:rsid w:val="00DE5D1E"/>
    <w:rsid w:val="00E02D18"/>
    <w:rsid w:val="00E041E7"/>
    <w:rsid w:val="00E054A9"/>
    <w:rsid w:val="00E07E6E"/>
    <w:rsid w:val="00E23684"/>
    <w:rsid w:val="00E23CA1"/>
    <w:rsid w:val="00E2511D"/>
    <w:rsid w:val="00E26995"/>
    <w:rsid w:val="00E2755C"/>
    <w:rsid w:val="00E31DA5"/>
    <w:rsid w:val="00E32439"/>
    <w:rsid w:val="00E409A8"/>
    <w:rsid w:val="00E41F91"/>
    <w:rsid w:val="00E50C12"/>
    <w:rsid w:val="00E533B7"/>
    <w:rsid w:val="00E54727"/>
    <w:rsid w:val="00E61FFE"/>
    <w:rsid w:val="00E62816"/>
    <w:rsid w:val="00E65B91"/>
    <w:rsid w:val="00E678E6"/>
    <w:rsid w:val="00E7209D"/>
    <w:rsid w:val="00E7510A"/>
    <w:rsid w:val="00E77223"/>
    <w:rsid w:val="00E849E2"/>
    <w:rsid w:val="00E8528B"/>
    <w:rsid w:val="00E85B94"/>
    <w:rsid w:val="00E90143"/>
    <w:rsid w:val="00E91758"/>
    <w:rsid w:val="00E978D0"/>
    <w:rsid w:val="00EA4613"/>
    <w:rsid w:val="00EA66EA"/>
    <w:rsid w:val="00EA7F91"/>
    <w:rsid w:val="00EB1047"/>
    <w:rsid w:val="00EB1523"/>
    <w:rsid w:val="00EB7C3A"/>
    <w:rsid w:val="00EC0E49"/>
    <w:rsid w:val="00EE0131"/>
    <w:rsid w:val="00EE0C6B"/>
    <w:rsid w:val="00EE5BA2"/>
    <w:rsid w:val="00F10AC3"/>
    <w:rsid w:val="00F13469"/>
    <w:rsid w:val="00F155B2"/>
    <w:rsid w:val="00F157B6"/>
    <w:rsid w:val="00F26072"/>
    <w:rsid w:val="00F271B1"/>
    <w:rsid w:val="00F278C4"/>
    <w:rsid w:val="00F30C64"/>
    <w:rsid w:val="00F32CDB"/>
    <w:rsid w:val="00F33731"/>
    <w:rsid w:val="00F37851"/>
    <w:rsid w:val="00F47A7F"/>
    <w:rsid w:val="00F52239"/>
    <w:rsid w:val="00F52FB8"/>
    <w:rsid w:val="00F5392D"/>
    <w:rsid w:val="00F63A70"/>
    <w:rsid w:val="00F76457"/>
    <w:rsid w:val="00FA14DD"/>
    <w:rsid w:val="00FA21D0"/>
    <w:rsid w:val="00FA2D97"/>
    <w:rsid w:val="00FA5F5F"/>
    <w:rsid w:val="00FA6ABB"/>
    <w:rsid w:val="00FA7194"/>
    <w:rsid w:val="00FB730C"/>
    <w:rsid w:val="00FC2695"/>
    <w:rsid w:val="00FC3E03"/>
    <w:rsid w:val="00FC3FC1"/>
    <w:rsid w:val="00FE0B66"/>
    <w:rsid w:val="00FE129D"/>
    <w:rsid w:val="00FE4D1B"/>
    <w:rsid w:val="00FE4FB2"/>
    <w:rsid w:val="00FF3F1E"/>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71BC7D"/>
  <w15:docId w15:val="{CCC52A9C-85A7-458C-9412-D3B2599A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UnresolvedMention1">
    <w:name w:val="Unresolved Mention1"/>
    <w:basedOn w:val="DefaultParagraphFont"/>
    <w:uiPriority w:val="99"/>
    <w:semiHidden/>
    <w:unhideWhenUsed/>
    <w:rsid w:val="0028312B"/>
    <w:rPr>
      <w:color w:val="605E5C"/>
      <w:shd w:val="clear" w:color="auto" w:fill="E1DFDD"/>
    </w:rPr>
  </w:style>
  <w:style w:type="table" w:customStyle="1" w:styleId="PlainTable41">
    <w:name w:val="Plain Table 41"/>
    <w:basedOn w:val="TableNormal"/>
    <w:uiPriority w:val="44"/>
    <w:rsid w:val="00E2511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5Dark-Accent21">
    <w:name w:val="List Table 5 Dark - Accent 21"/>
    <w:basedOn w:val="TableNormal"/>
    <w:uiPriority w:val="50"/>
    <w:rsid w:val="00E90143"/>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E90143"/>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31">
    <w:name w:val="List Table 31"/>
    <w:basedOn w:val="TableNormal"/>
    <w:uiPriority w:val="48"/>
    <w:rsid w:val="00E90143"/>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mailto:*jose@lsu.ed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AE4BBC-7B47-44DA-9B26-951242157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6</Pages>
  <Words>2834</Words>
  <Characters>16160</Characters>
  <Application>Microsoft Office Word</Application>
  <DocSecurity>0</DocSecurity>
  <Lines>134</Lines>
  <Paragraphs>37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Vidhyadhar Manee</cp:lastModifiedBy>
  <cp:revision>18</cp:revision>
  <cp:lastPrinted>2015-05-12T18:31:00Z</cp:lastPrinted>
  <dcterms:created xsi:type="dcterms:W3CDTF">2019-01-31T04:07:00Z</dcterms:created>
  <dcterms:modified xsi:type="dcterms:W3CDTF">2019-04-16T04:58:00Z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