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CO" w:eastAsia="es-CO"/>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105F28" w:rsidRPr="00464C83" w:rsidRDefault="00105F28" w:rsidP="00105F28">
      <w:pPr>
        <w:spacing w:after="240"/>
        <w:jc w:val="center"/>
        <w:rPr>
          <w:sz w:val="32"/>
          <w:lang w:val="en-US"/>
        </w:rPr>
      </w:pPr>
      <w:r w:rsidRPr="00464C83">
        <w:rPr>
          <w:sz w:val="32"/>
          <w:lang w:val="en-US"/>
        </w:rPr>
        <w:lastRenderedPageBreak/>
        <w:t>Preliminary Evaluation of the By-products of Quinoa as Alternative Source of Usable Biomass</w:t>
      </w:r>
    </w:p>
    <w:p w:rsidR="00105F28" w:rsidRPr="004754ED" w:rsidRDefault="00105F28" w:rsidP="00105F28">
      <w:pPr>
        <w:autoSpaceDE w:val="0"/>
        <w:autoSpaceDN w:val="0"/>
        <w:adjustRightInd w:val="0"/>
        <w:spacing w:after="240" w:line="240" w:lineRule="auto"/>
        <w:rPr>
          <w:rFonts w:eastAsia="Calibri" w:cs="Arial"/>
          <w:color w:val="000000"/>
          <w:sz w:val="24"/>
          <w:szCs w:val="24"/>
          <w:lang w:val="es-CO"/>
        </w:rPr>
      </w:pPr>
      <w:r w:rsidRPr="004754ED">
        <w:rPr>
          <w:rFonts w:eastAsia="Calibri" w:cs="Arial"/>
          <w:color w:val="000000"/>
          <w:sz w:val="24"/>
          <w:szCs w:val="24"/>
          <w:lang w:val="es-CO"/>
        </w:rPr>
        <w:t>Deivis Suárez-Rivero*</w:t>
      </w:r>
      <w:r w:rsidRPr="004754ED">
        <w:rPr>
          <w:rFonts w:eastAsia="Calibri" w:cs="Arial"/>
          <w:color w:val="000000"/>
          <w:sz w:val="24"/>
          <w:szCs w:val="24"/>
          <w:vertAlign w:val="superscript"/>
          <w:lang w:val="es-CO"/>
        </w:rPr>
        <w:t>a</w:t>
      </w:r>
      <w:r w:rsidRPr="004754ED">
        <w:rPr>
          <w:rFonts w:eastAsia="Calibri" w:cs="Arial"/>
          <w:color w:val="000000"/>
          <w:sz w:val="24"/>
          <w:szCs w:val="24"/>
          <w:lang w:val="es-CO"/>
        </w:rPr>
        <w:t>, Paula A. Patiño-Puentes</w:t>
      </w:r>
      <w:r w:rsidRPr="004754ED">
        <w:rPr>
          <w:rFonts w:eastAsia="Calibri" w:cs="Arial"/>
          <w:color w:val="000000"/>
          <w:sz w:val="24"/>
          <w:szCs w:val="24"/>
          <w:vertAlign w:val="superscript"/>
          <w:lang w:val="es-CO"/>
        </w:rPr>
        <w:t>a</w:t>
      </w:r>
      <w:r w:rsidRPr="004754ED">
        <w:rPr>
          <w:rFonts w:eastAsia="Calibri" w:cs="Arial"/>
          <w:color w:val="000000"/>
          <w:sz w:val="24"/>
          <w:szCs w:val="24"/>
          <w:lang w:val="es-CO"/>
        </w:rPr>
        <w:t>, Jannet Ortiz-Aguilar</w:t>
      </w:r>
      <w:r w:rsidRPr="004754ED">
        <w:rPr>
          <w:rFonts w:eastAsia="Calibri" w:cs="Arial"/>
          <w:color w:val="000000"/>
          <w:sz w:val="24"/>
          <w:szCs w:val="24"/>
          <w:vertAlign w:val="superscript"/>
          <w:lang w:val="es-CO"/>
        </w:rPr>
        <w:t>b</w:t>
      </w:r>
      <w:r w:rsidRPr="004754ED">
        <w:rPr>
          <w:rFonts w:eastAsia="Calibri" w:cs="Arial"/>
          <w:color w:val="000000"/>
          <w:sz w:val="24"/>
          <w:szCs w:val="24"/>
          <w:lang w:val="es-CO"/>
        </w:rPr>
        <w:t>, Maikel Suárez-Rivero</w:t>
      </w:r>
      <w:r w:rsidRPr="004754ED">
        <w:rPr>
          <w:rFonts w:eastAsia="Calibri" w:cs="Arial"/>
          <w:color w:val="000000"/>
          <w:sz w:val="24"/>
          <w:szCs w:val="24"/>
          <w:vertAlign w:val="superscript"/>
          <w:lang w:val="es-CO"/>
        </w:rPr>
        <w:t>c</w:t>
      </w:r>
      <w:r w:rsidRPr="004754ED">
        <w:rPr>
          <w:rFonts w:eastAsia="Calibri" w:cs="Arial"/>
          <w:color w:val="000000"/>
          <w:sz w:val="24"/>
          <w:szCs w:val="24"/>
          <w:lang w:val="es-CO"/>
        </w:rPr>
        <w:t>, Olga Marín-Mahecha</w:t>
      </w:r>
      <w:r w:rsidRPr="004754ED">
        <w:rPr>
          <w:rFonts w:eastAsia="Calibri" w:cs="Arial"/>
          <w:color w:val="000000"/>
          <w:sz w:val="24"/>
          <w:szCs w:val="24"/>
          <w:vertAlign w:val="superscript"/>
          <w:lang w:val="es-CO"/>
        </w:rPr>
        <w:t>a</w:t>
      </w:r>
      <w:r w:rsidRPr="004754ED">
        <w:rPr>
          <w:rFonts w:eastAsia="Calibri" w:cs="Arial"/>
          <w:color w:val="000000"/>
          <w:sz w:val="24"/>
          <w:szCs w:val="24"/>
          <w:lang w:val="es-CO"/>
        </w:rPr>
        <w:t>, Carlos M. Zuluaga-Domínguez</w:t>
      </w:r>
      <w:r w:rsidRPr="004754ED">
        <w:rPr>
          <w:rFonts w:eastAsia="Calibri" w:cs="Arial"/>
          <w:color w:val="000000"/>
          <w:sz w:val="24"/>
          <w:szCs w:val="24"/>
          <w:vertAlign w:val="superscript"/>
          <w:lang w:val="es-CO"/>
        </w:rPr>
        <w:t>d</w:t>
      </w:r>
    </w:p>
    <w:p w:rsidR="00105F28" w:rsidRPr="004754ED" w:rsidRDefault="00105F28" w:rsidP="00105F28">
      <w:pPr>
        <w:keepNext/>
        <w:suppressAutoHyphens/>
        <w:spacing w:line="276" w:lineRule="auto"/>
        <w:contextualSpacing/>
        <w:rPr>
          <w:noProof/>
          <w:sz w:val="16"/>
          <w:lang w:val="es-CO"/>
        </w:rPr>
      </w:pPr>
      <w:r w:rsidRPr="004754ED">
        <w:rPr>
          <w:noProof/>
          <w:sz w:val="16"/>
          <w:vertAlign w:val="superscript"/>
          <w:lang w:val="es-CO"/>
        </w:rPr>
        <w:t>a</w:t>
      </w:r>
      <w:r w:rsidRPr="004754ED">
        <w:rPr>
          <w:noProof/>
          <w:sz w:val="16"/>
          <w:lang w:val="es-CO"/>
        </w:rPr>
        <w:t>Fundación Universitaria Agraria de Colombia – UNIAGRARIA.</w:t>
      </w:r>
    </w:p>
    <w:p w:rsidR="00105F28" w:rsidRPr="004754ED" w:rsidRDefault="00105F28" w:rsidP="00105F28">
      <w:pPr>
        <w:keepNext/>
        <w:suppressAutoHyphens/>
        <w:spacing w:line="276" w:lineRule="auto"/>
        <w:contextualSpacing/>
        <w:rPr>
          <w:noProof/>
          <w:sz w:val="16"/>
          <w:lang w:val="es-CO"/>
        </w:rPr>
      </w:pPr>
      <w:r w:rsidRPr="004754ED">
        <w:rPr>
          <w:noProof/>
          <w:sz w:val="16"/>
          <w:vertAlign w:val="superscript"/>
          <w:lang w:val="es-CO"/>
        </w:rPr>
        <w:t>b</w:t>
      </w:r>
      <w:r w:rsidRPr="004754ED">
        <w:rPr>
          <w:noProof/>
          <w:sz w:val="16"/>
          <w:lang w:val="es-CO"/>
        </w:rPr>
        <w:t>Universidad Cooperativa de Colombia – UCC.</w:t>
      </w:r>
    </w:p>
    <w:p w:rsidR="00105F28" w:rsidRPr="004754ED" w:rsidRDefault="00105F28" w:rsidP="00105F28">
      <w:pPr>
        <w:keepNext/>
        <w:suppressAutoHyphens/>
        <w:spacing w:line="276" w:lineRule="auto"/>
        <w:contextualSpacing/>
        <w:rPr>
          <w:noProof/>
          <w:sz w:val="16"/>
          <w:lang w:val="es-CO"/>
        </w:rPr>
      </w:pPr>
      <w:r w:rsidRPr="004754ED">
        <w:rPr>
          <w:noProof/>
          <w:sz w:val="16"/>
          <w:vertAlign w:val="superscript"/>
          <w:lang w:val="es-CO"/>
        </w:rPr>
        <w:t>c</w:t>
      </w:r>
      <w:r w:rsidRPr="004754ED">
        <w:rPr>
          <w:noProof/>
          <w:sz w:val="16"/>
          <w:lang w:val="es-CO"/>
        </w:rPr>
        <w:t>Universidad Nacional Abierta y a Distancia – UNAD.</w:t>
      </w:r>
    </w:p>
    <w:p w:rsidR="00105F28" w:rsidRPr="004754ED" w:rsidRDefault="00105F28" w:rsidP="00105F28">
      <w:pPr>
        <w:keepNext/>
        <w:suppressAutoHyphens/>
        <w:spacing w:line="276" w:lineRule="auto"/>
        <w:contextualSpacing/>
        <w:rPr>
          <w:noProof/>
          <w:sz w:val="16"/>
          <w:lang w:val="es-CO"/>
        </w:rPr>
      </w:pPr>
      <w:r w:rsidRPr="004754ED">
        <w:rPr>
          <w:noProof/>
          <w:sz w:val="16"/>
          <w:vertAlign w:val="superscript"/>
          <w:lang w:val="es-CO"/>
        </w:rPr>
        <w:t>d</w:t>
      </w:r>
      <w:r w:rsidRPr="004754ED">
        <w:rPr>
          <w:noProof/>
          <w:sz w:val="16"/>
          <w:lang w:val="es-CO"/>
        </w:rPr>
        <w:t>Universidad Nacional de Colombia - UN</w:t>
      </w:r>
    </w:p>
    <w:p w:rsidR="00105F28" w:rsidRDefault="009E3078" w:rsidP="006D4298">
      <w:pPr>
        <w:keepNext/>
        <w:suppressAutoHyphens/>
        <w:spacing w:after="240" w:line="276" w:lineRule="auto"/>
        <w:contextualSpacing/>
        <w:rPr>
          <w:noProof/>
          <w:color w:val="0000FF"/>
          <w:sz w:val="16"/>
          <w:u w:val="single"/>
          <w:lang w:val="es-CO"/>
        </w:rPr>
      </w:pPr>
      <w:hyperlink r:id="rId10" w:history="1">
        <w:r w:rsidR="00105F28" w:rsidRPr="004754ED">
          <w:rPr>
            <w:noProof/>
            <w:color w:val="0000FF"/>
            <w:sz w:val="16"/>
            <w:u w:val="single"/>
            <w:lang w:val="es-CO"/>
          </w:rPr>
          <w:t>*deivissr2000@hotmail.com</w:t>
        </w:r>
      </w:hyperlink>
    </w:p>
    <w:p w:rsidR="006D4298" w:rsidRPr="004754ED" w:rsidRDefault="006D4298" w:rsidP="006D4298">
      <w:pPr>
        <w:keepNext/>
        <w:suppressAutoHyphens/>
        <w:spacing w:after="240" w:line="276" w:lineRule="auto"/>
        <w:contextualSpacing/>
        <w:rPr>
          <w:noProof/>
          <w:sz w:val="16"/>
          <w:lang w:val="es-CO"/>
        </w:rPr>
      </w:pPr>
    </w:p>
    <w:p w:rsidR="00105F28" w:rsidRDefault="00105F28" w:rsidP="00105F28">
      <w:pPr>
        <w:spacing w:line="240" w:lineRule="auto"/>
        <w:rPr>
          <w:rFonts w:cs="Arial"/>
          <w:szCs w:val="18"/>
          <w:lang w:val="en-US"/>
        </w:rPr>
      </w:pPr>
      <w:r w:rsidRPr="002D3F63">
        <w:rPr>
          <w:rFonts w:cs="Arial"/>
          <w:szCs w:val="18"/>
          <w:lang w:val="en-US"/>
        </w:rPr>
        <w:t>Quinoa is a little-known andean pseudocereal of ancestral use, easily cultivated by small, medium and large producers, thus being a cost-effective alternative and obtaining biomass at low cost from its by-products; among these are the stems, the brushwood, the perigonium and the leaves. Moreover, they are raw materials easy to acquire and even without economic value in the national market; however, they offer an alternative for agro-industrial use as a source of biomass</w:t>
      </w:r>
      <w:r w:rsidRPr="006D4298">
        <w:rPr>
          <w:rFonts w:cs="Arial"/>
          <w:szCs w:val="18"/>
          <w:lang w:val="en-US"/>
        </w:rPr>
        <w:t>. In this sense, the goal of the present investigation was the realization of the preliminary evaluation of the characteristics of the by-products of the quinoa production chain to obtain usable biomass.</w:t>
      </w:r>
      <w:r w:rsidRPr="002D3F63">
        <w:rPr>
          <w:rFonts w:cs="Arial"/>
          <w:szCs w:val="18"/>
          <w:lang w:val="en-US"/>
        </w:rPr>
        <w:t xml:space="preserve"> The by-products of the quinoa: stem, leaf, husk or perigonium and bushes were collected in two farms located in the city of Duitama, in the department of Boyacá, Colombia. To obtain relevant information, 1500 g of the product was gather up within 100 days after sowing; stems</w:t>
      </w:r>
      <w:r>
        <w:rPr>
          <w:rFonts w:cs="Arial"/>
          <w:szCs w:val="18"/>
          <w:lang w:val="en-US"/>
        </w:rPr>
        <w:t>,</w:t>
      </w:r>
      <w:r w:rsidRPr="002D3F63">
        <w:rPr>
          <w:rFonts w:cs="Arial"/>
          <w:szCs w:val="18"/>
          <w:lang w:val="en-US"/>
        </w:rPr>
        <w:t xml:space="preserve"> straw and husk 6 months after sowing. The byproducts were stored in hermetic </w:t>
      </w:r>
      <w:r w:rsidR="00C94B37">
        <w:rPr>
          <w:rFonts w:cs="Arial"/>
          <w:szCs w:val="18"/>
          <w:lang w:val="en-US"/>
        </w:rPr>
        <w:t>bag</w:t>
      </w:r>
      <w:r w:rsidRPr="002D3F63">
        <w:rPr>
          <w:rFonts w:cs="Arial"/>
          <w:szCs w:val="18"/>
          <w:lang w:val="en-US"/>
        </w:rPr>
        <w:t xml:space="preserve"> until the analysis was carried out; these processes were developed in the laboratory of Natural Ingredients of the Agricultural University Foundation of Colombia - UNIAGRARIA. To carry out the physicochemical analyzes (humidity, ash, fat and crude fiber), as well as for each by-product (leaves, stem and perigonium), samples of approximately 200 g were taken from each raw material. The results of the physicochemical characterization were analyzed by means of descriptive statistics through the determination of the average and standard deviation. In the meantime, the possible differences between the physicochemical results were analyzed by means of a Variance Analysis with the Statgraphics 5.1 PLUS statistical package with a confidence level of 95 %. From the physicochemical characterization, it was inferred that the leaf has a higher percentage of moisture and fat, 15.06 % and 13.70 % respectively, which is contrary to the amount of dry mass available, presenting in this vegetable organ the lowest content; the husk has a percentage of 13.21 % in ash and the brushwood contains 18.61% fiber, this shows the highest bromatological value in each by-product used.</w:t>
      </w:r>
    </w:p>
    <w:p w:rsidR="00105F28" w:rsidRDefault="00105F28" w:rsidP="00105F28">
      <w:pPr>
        <w:rPr>
          <w:rFonts w:cs="Arial"/>
          <w:szCs w:val="18"/>
          <w:lang w:val="en-US"/>
        </w:rPr>
      </w:pPr>
    </w:p>
    <w:p w:rsidR="00105F28" w:rsidRPr="00CA6BE4" w:rsidRDefault="00105F28" w:rsidP="00105F28">
      <w:pPr>
        <w:pStyle w:val="CETHeading1"/>
        <w:spacing w:before="0"/>
      </w:pPr>
      <w:r w:rsidRPr="00CA6BE4">
        <w:t>Introduction</w:t>
      </w:r>
    </w:p>
    <w:p w:rsidR="00FB1770" w:rsidRPr="00FB1770" w:rsidRDefault="00FB1770" w:rsidP="00FB1770">
      <w:pPr>
        <w:pStyle w:val="CETBodytext"/>
        <w:spacing w:line="240" w:lineRule="auto"/>
        <w:rPr>
          <w:rFonts w:cs="Arial"/>
          <w:szCs w:val="18"/>
        </w:rPr>
      </w:pPr>
      <w:r w:rsidRPr="00FB1770">
        <w:rPr>
          <w:rFonts w:cs="Arial"/>
          <w:szCs w:val="18"/>
        </w:rPr>
        <w:t>At present, there is an increasing trend towards the energy extraction of biomass waste generated in the primary sector (Abdelazim, 2018); in this line, Directive 2001/77 / EC (2001) of the European Parliament considers that this is a fraction a biodegradable of products, scraps and residues from agricultural, forestry and processing industries (including substances of animal origin). Likewise, Elsohaimya et. al. (2015) point out that due to its physico-chemical and calorific characteristics, agricultural biomass is shown as a high-value raw material for the production of energy (heat and electricity), of biofuels and alternative chemical products to those produced from resources non-renewable (oil, gas and coal).</w:t>
      </w:r>
    </w:p>
    <w:p w:rsidR="00105F28" w:rsidRPr="00880E8C" w:rsidRDefault="00FB1770" w:rsidP="00FB1770">
      <w:pPr>
        <w:pStyle w:val="CETBodytext"/>
        <w:spacing w:after="240" w:line="240" w:lineRule="auto"/>
        <w:rPr>
          <w:rFonts w:cs="Arial"/>
          <w:szCs w:val="18"/>
        </w:rPr>
      </w:pPr>
      <w:r w:rsidRPr="00FB1770">
        <w:rPr>
          <w:rFonts w:cs="Arial"/>
          <w:szCs w:val="18"/>
        </w:rPr>
        <w:t>In the particular case of Quinoa, there has been a growing interest in its cultivation in recent years, due to its nutritional and medicinal value, considering it an almost perfect food due to its high protein and caloric content, leaving aside the potential of the vegetal residues of this crop, which reach to surpass 60 % of the total biomass produced in its productive cycle. Similarly, it is a crop with the capacity to adapt to diverse climatic conditions (Szilagyi, L. and Jørnsgård B., 2014), it presents high resistance to abiotic factors, which positions it as a promising crop in the production of biomass, together with the generation of high added value waste.</w:t>
      </w:r>
    </w:p>
    <w:p w:rsidR="00105F28" w:rsidRDefault="00105F28" w:rsidP="00105F28">
      <w:pPr>
        <w:pStyle w:val="CETBodytext"/>
        <w:spacing w:after="240"/>
        <w:rPr>
          <w:rFonts w:cs="Arial"/>
          <w:szCs w:val="18"/>
        </w:rPr>
      </w:pPr>
      <w:r w:rsidRPr="00880E8C">
        <w:rPr>
          <w:rFonts w:cs="Arial"/>
          <w:szCs w:val="18"/>
        </w:rPr>
        <w:lastRenderedPageBreak/>
        <w:t>In this same sense, despite its benefits and goodness, its products and by-products are being underutilized and there is still no joint or coordinated work between producers, processors and marketers to generate added value to the productive chain (Suárez-Rivero, 2018a).</w:t>
      </w:r>
    </w:p>
    <w:p w:rsidR="00105F28" w:rsidRPr="00FD65FE" w:rsidRDefault="00105F28" w:rsidP="00105F28">
      <w:pPr>
        <w:pStyle w:val="CETBodytext"/>
        <w:spacing w:after="240"/>
        <w:rPr>
          <w:rFonts w:cs="Arial"/>
          <w:b/>
          <w:szCs w:val="18"/>
        </w:rPr>
      </w:pPr>
      <w:r w:rsidRPr="00FD65FE">
        <w:rPr>
          <w:rFonts w:cs="Arial"/>
          <w:b/>
          <w:szCs w:val="18"/>
        </w:rPr>
        <w:t>2. Materials and methods</w:t>
      </w:r>
    </w:p>
    <w:p w:rsidR="00105F28" w:rsidRPr="00E46629" w:rsidRDefault="00105F28" w:rsidP="00F11987">
      <w:pPr>
        <w:pStyle w:val="CETheadingx"/>
      </w:pPr>
      <w:r w:rsidRPr="00E46629">
        <w:t>Generalities of the raw material</w:t>
      </w:r>
    </w:p>
    <w:p w:rsidR="00105F28" w:rsidRDefault="00105F28" w:rsidP="00105F28">
      <w:pPr>
        <w:pStyle w:val="CETBodytext"/>
        <w:spacing w:line="240" w:lineRule="auto"/>
      </w:pPr>
      <w:bookmarkStart w:id="0" w:name="_Hlk536366011"/>
      <w:r w:rsidRPr="00E46629">
        <w:t>Quinoa is a food plant of annual development, dicotyledonous that usually reaches a height of 1 to 3 m, its leaves are broad and polymorphic (with different forms in the same plant), the central stem includes lobed and brittle leaves, in addition, it can have branches, depending on the variety or density of the sown, the flowers are small and lack petals.</w:t>
      </w:r>
      <w:r>
        <w:t xml:space="preserve"> </w:t>
      </w:r>
      <w:r w:rsidRPr="00E46629">
        <w:t>Additionally, they are hermaphroditic and are generally self-fertilizing, their fruit is dry and measures approximately 2 mm in diameter (from 250 to 500 seeds / g), surrounding the calyx, which is the same color as the plant, also has an extraordinary adaptability to different agro-ecological floors.</w:t>
      </w:r>
    </w:p>
    <w:p w:rsidR="00105F28" w:rsidRDefault="00105F28" w:rsidP="00105F28">
      <w:pPr>
        <w:pStyle w:val="CETBodytext"/>
        <w:spacing w:line="240" w:lineRule="auto"/>
      </w:pPr>
      <w:r w:rsidRPr="00E46629">
        <w:t>It adapts to climates from the desert to hot and dry climates, can grow with relative humidity from 40% to 88%, and withstands temperatures from -4 ° C to 38 ° C. It is an efficient plant for the use of water; it is tolerant and resistant to the lack of soil moisture and allows acceptable productions with rainfall of 100 to 200 mm (Villacres, 2011).</w:t>
      </w:r>
      <w:r>
        <w:t xml:space="preserve"> </w:t>
      </w:r>
      <w:r w:rsidRPr="00E46629">
        <w:t>Regarding the yields in subproducts, they vary according to the fertilization, obtaining on average 5000 kg / ha formed by perigonium (husk) and other parts of the plant such as leaves and stems. These components have the highest nutritional value for non-human use than many fruits of cultivated varieties (Pando, 2016)</w:t>
      </w:r>
      <w:r>
        <w:t>.</w:t>
      </w:r>
    </w:p>
    <w:bookmarkEnd w:id="0"/>
    <w:p w:rsidR="00105F28" w:rsidRPr="00CA6BE4" w:rsidRDefault="00105F28" w:rsidP="00F11987">
      <w:pPr>
        <w:pStyle w:val="CETheadingx"/>
      </w:pPr>
      <w:r w:rsidRPr="00CA6BE4">
        <w:t>Study Overview</w:t>
      </w:r>
    </w:p>
    <w:p w:rsidR="00105F28" w:rsidRDefault="00B76CD5" w:rsidP="00105F28">
      <w:pPr>
        <w:pStyle w:val="CETBodytext"/>
        <w:rPr>
          <w:rFonts w:cs="Arial"/>
          <w:szCs w:val="18"/>
        </w:rPr>
      </w:pPr>
      <w:r w:rsidRPr="00B76CD5">
        <w:rPr>
          <w:rFonts w:cs="Arial"/>
          <w:szCs w:val="18"/>
        </w:rPr>
        <w:t>The by-products of the Quinoa: stem, leaf, husk or perigonium and brushwood were collected in two farms located in the city of Duitama in the department of Boyacá. For each raw material, 1500 g of product were collected, in a green state. Upon arrival at the laboratory, it was supervised that these were free of impurities, as well as other elements that could hinder the quality of the study. Subsequently, the by-products were stored in hermetic bags (17 ° C for 7 days) until analysis was carried out (moisture content, ash, fat and crude fiber). These analyzes were developed in the laboratories of the Agricultural University Foundation of Colombia - UNIAGRARIA.</w:t>
      </w:r>
    </w:p>
    <w:p w:rsidR="00105F28" w:rsidRDefault="00105F28" w:rsidP="00F11987">
      <w:pPr>
        <w:pStyle w:val="CETheadingx"/>
      </w:pPr>
      <w:r w:rsidRPr="00422046">
        <w:t>Physical-chemical characteristics of the by-products</w:t>
      </w:r>
      <w:r w:rsidR="00053B7E">
        <w:t xml:space="preserve"> </w:t>
      </w:r>
    </w:p>
    <w:p w:rsidR="00105F28" w:rsidRDefault="00105F28" w:rsidP="00105F28">
      <w:pPr>
        <w:pStyle w:val="Descripcin"/>
        <w:keepNext/>
        <w:rPr>
          <w:rFonts w:cs="Arial"/>
          <w:b w:val="0"/>
          <w:bCs w:val="0"/>
          <w:color w:val="auto"/>
          <w:lang w:val="en-US"/>
        </w:rPr>
      </w:pPr>
      <w:bookmarkStart w:id="1" w:name="_Toc513302954"/>
      <w:r w:rsidRPr="00422046">
        <w:rPr>
          <w:rFonts w:cs="Arial"/>
          <w:b w:val="0"/>
          <w:bCs w:val="0"/>
          <w:color w:val="auto"/>
          <w:lang w:val="en-US"/>
        </w:rPr>
        <w:t>To perform the respective physicochemical analyzes</w:t>
      </w:r>
      <w:r w:rsidRPr="00CA6BE4">
        <w:rPr>
          <w:rFonts w:cs="Arial"/>
          <w:b w:val="0"/>
          <w:bCs w:val="0"/>
          <w:color w:val="auto"/>
          <w:lang w:val="en-US"/>
        </w:rPr>
        <w:t>, three samples of each byproduct were taken of approximately 200 g each. These samples were taken to</w:t>
      </w:r>
      <w:r w:rsidRPr="00422046">
        <w:rPr>
          <w:rFonts w:cs="Arial"/>
          <w:b w:val="0"/>
          <w:bCs w:val="0"/>
          <w:color w:val="auto"/>
          <w:lang w:val="en-US"/>
        </w:rPr>
        <w:t xml:space="preserve"> hermetic </w:t>
      </w:r>
      <w:r w:rsidR="006D4298">
        <w:rPr>
          <w:rFonts w:cs="Arial"/>
          <w:b w:val="0"/>
          <w:bCs w:val="0"/>
          <w:color w:val="auto"/>
          <w:lang w:val="en-US"/>
        </w:rPr>
        <w:t>bag</w:t>
      </w:r>
      <w:r w:rsidRPr="00422046">
        <w:rPr>
          <w:rFonts w:cs="Arial"/>
          <w:b w:val="0"/>
          <w:bCs w:val="0"/>
          <w:color w:val="auto"/>
          <w:lang w:val="en-US"/>
        </w:rPr>
        <w:t xml:space="preserve"> until the physical-chemical analysis mentioned in Table 1.</w:t>
      </w:r>
    </w:p>
    <w:p w:rsidR="00105F28" w:rsidRDefault="00105F28" w:rsidP="00105F28">
      <w:pPr>
        <w:pStyle w:val="Descripcin"/>
        <w:keepNext/>
        <w:rPr>
          <w:rFonts w:cs="Arial"/>
          <w:b w:val="0"/>
          <w:bCs w:val="0"/>
          <w:color w:val="auto"/>
          <w:lang w:val="en-US"/>
        </w:rPr>
      </w:pPr>
    </w:p>
    <w:p w:rsidR="00105F28" w:rsidRDefault="00105F28" w:rsidP="00105F28">
      <w:pPr>
        <w:pStyle w:val="Descripcin"/>
        <w:keepNext/>
        <w:rPr>
          <w:rFonts w:cs="Arial"/>
          <w:b w:val="0"/>
          <w:bCs w:val="0"/>
          <w:i/>
          <w:color w:val="auto"/>
          <w:lang w:val="en-US"/>
        </w:rPr>
      </w:pPr>
      <w:r w:rsidRPr="00215C50">
        <w:rPr>
          <w:rFonts w:cs="Arial"/>
          <w:b w:val="0"/>
          <w:bCs w:val="0"/>
          <w:color w:val="auto"/>
          <w:lang w:val="en-US"/>
        </w:rPr>
        <w:t>Ta</w:t>
      </w:r>
      <w:r w:rsidRPr="002F6B25">
        <w:rPr>
          <w:rFonts w:cs="Arial"/>
          <w:b w:val="0"/>
          <w:bCs w:val="0"/>
          <w:i/>
          <w:color w:val="auto"/>
          <w:lang w:val="en-US"/>
        </w:rPr>
        <w:t xml:space="preserve">ble </w:t>
      </w:r>
      <w:r w:rsidRPr="002F6B25">
        <w:rPr>
          <w:rFonts w:cs="Arial"/>
          <w:b w:val="0"/>
          <w:bCs w:val="0"/>
          <w:i/>
          <w:color w:val="auto"/>
          <w:lang w:val="en-US"/>
        </w:rPr>
        <w:fldChar w:fldCharType="begin"/>
      </w:r>
      <w:r w:rsidRPr="002F6B25">
        <w:rPr>
          <w:rFonts w:cs="Arial"/>
          <w:b w:val="0"/>
          <w:bCs w:val="0"/>
          <w:i/>
          <w:color w:val="auto"/>
          <w:lang w:val="en-US"/>
        </w:rPr>
        <w:instrText xml:space="preserve"> SEQ Tabla \* ARABIC </w:instrText>
      </w:r>
      <w:r w:rsidRPr="002F6B25">
        <w:rPr>
          <w:rFonts w:cs="Arial"/>
          <w:b w:val="0"/>
          <w:bCs w:val="0"/>
          <w:i/>
          <w:color w:val="auto"/>
          <w:lang w:val="en-US"/>
        </w:rPr>
        <w:fldChar w:fldCharType="separate"/>
      </w:r>
      <w:r w:rsidRPr="002F6B25">
        <w:rPr>
          <w:rFonts w:cs="Arial"/>
          <w:b w:val="0"/>
          <w:bCs w:val="0"/>
          <w:i/>
          <w:color w:val="auto"/>
          <w:lang w:val="en-US"/>
        </w:rPr>
        <w:t>1</w:t>
      </w:r>
      <w:r w:rsidRPr="002F6B25">
        <w:rPr>
          <w:rFonts w:cs="Arial"/>
          <w:b w:val="0"/>
          <w:bCs w:val="0"/>
          <w:i/>
          <w:color w:val="auto"/>
          <w:lang w:val="en-US"/>
        </w:rPr>
        <w:fldChar w:fldCharType="end"/>
      </w:r>
      <w:r w:rsidRPr="002F6B25">
        <w:rPr>
          <w:rFonts w:cs="Arial"/>
          <w:b w:val="0"/>
          <w:bCs w:val="0"/>
          <w:i/>
          <w:color w:val="auto"/>
          <w:lang w:val="en-US"/>
        </w:rPr>
        <w:t xml:space="preserve">: </w:t>
      </w:r>
      <w:bookmarkEnd w:id="1"/>
      <w:r w:rsidRPr="002F6B25">
        <w:rPr>
          <w:rFonts w:cs="Arial"/>
          <w:b w:val="0"/>
          <w:bCs w:val="0"/>
          <w:i/>
          <w:color w:val="auto"/>
          <w:lang w:val="en-US"/>
        </w:rPr>
        <w:t xml:space="preserve">Methods de analysis </w:t>
      </w:r>
    </w:p>
    <w:tbl>
      <w:tblPr>
        <w:tblStyle w:val="Sombreadoclaro-nfasis1"/>
        <w:tblW w:w="2481" w:type="pct"/>
        <w:tblLook w:val="0660" w:firstRow="1" w:lastRow="1" w:firstColumn="0" w:lastColumn="0" w:noHBand="1" w:noVBand="1"/>
      </w:tblPr>
      <w:tblGrid>
        <w:gridCol w:w="1179"/>
        <w:gridCol w:w="1043"/>
        <w:gridCol w:w="2138"/>
      </w:tblGrid>
      <w:tr w:rsidR="00105F28" w:rsidRPr="00215C50" w:rsidTr="003E5744">
        <w:trPr>
          <w:cnfStyle w:val="100000000000" w:firstRow="1" w:lastRow="0" w:firstColumn="0" w:lastColumn="0" w:oddVBand="0" w:evenVBand="0" w:oddHBand="0" w:evenHBand="0" w:firstRowFirstColumn="0" w:firstRowLastColumn="0" w:lastRowFirstColumn="0" w:lastRowLastColumn="0"/>
          <w:trHeight w:val="245"/>
        </w:trPr>
        <w:tc>
          <w:tcPr>
            <w:tcW w:w="1352" w:type="pct"/>
            <w:tcBorders>
              <w:top w:val="single" w:sz="18" w:space="0" w:color="009242"/>
              <w:bottom w:val="single" w:sz="8" w:space="0" w:color="009242"/>
            </w:tcBorders>
            <w:noWrap/>
          </w:tcPr>
          <w:p w:rsidR="00105F28" w:rsidRPr="00215C50" w:rsidRDefault="00105F28" w:rsidP="003E5744">
            <w:pPr>
              <w:pStyle w:val="Sinespaciado"/>
              <w:ind w:left="0"/>
              <w:jc w:val="center"/>
              <w:rPr>
                <w:rFonts w:ascii="Arial" w:eastAsia="Times New Roman" w:hAnsi="Arial" w:cs="Arial"/>
                <w:b w:val="0"/>
                <w:bCs w:val="0"/>
                <w:color w:val="auto"/>
                <w:sz w:val="18"/>
                <w:szCs w:val="18"/>
                <w:lang w:val="en-US" w:eastAsia="en-US"/>
              </w:rPr>
            </w:pPr>
            <w:r w:rsidRPr="00215C50">
              <w:rPr>
                <w:rFonts w:ascii="Arial" w:eastAsia="Times New Roman" w:hAnsi="Arial" w:cs="Arial"/>
                <w:b w:val="0"/>
                <w:bCs w:val="0"/>
                <w:color w:val="auto"/>
                <w:sz w:val="18"/>
                <w:szCs w:val="18"/>
                <w:lang w:val="en-US" w:eastAsia="en-US"/>
              </w:rPr>
              <w:t>Analysis</w:t>
            </w:r>
          </w:p>
        </w:tc>
        <w:tc>
          <w:tcPr>
            <w:tcW w:w="1196" w:type="pct"/>
            <w:tcBorders>
              <w:top w:val="single" w:sz="18" w:space="0" w:color="009242"/>
              <w:bottom w:val="single" w:sz="8" w:space="0" w:color="009242"/>
            </w:tcBorders>
          </w:tcPr>
          <w:p w:rsidR="00105F28" w:rsidRPr="00215C50" w:rsidRDefault="00105F28" w:rsidP="003E5744">
            <w:pPr>
              <w:pStyle w:val="Sinespaciado"/>
              <w:ind w:left="-33"/>
              <w:jc w:val="center"/>
              <w:rPr>
                <w:rFonts w:ascii="Arial" w:eastAsia="Times New Roman" w:hAnsi="Arial" w:cs="Arial"/>
                <w:b w:val="0"/>
                <w:bCs w:val="0"/>
                <w:color w:val="auto"/>
                <w:sz w:val="18"/>
                <w:szCs w:val="18"/>
                <w:lang w:val="en-US" w:eastAsia="en-US"/>
              </w:rPr>
            </w:pPr>
            <w:r w:rsidRPr="00215C50">
              <w:rPr>
                <w:rFonts w:ascii="Arial" w:eastAsia="Times New Roman" w:hAnsi="Arial" w:cs="Arial"/>
                <w:b w:val="0"/>
                <w:bCs w:val="0"/>
                <w:color w:val="auto"/>
                <w:sz w:val="18"/>
                <w:szCs w:val="18"/>
                <w:lang w:val="en-US" w:eastAsia="en-US"/>
              </w:rPr>
              <w:t>Unidad</w:t>
            </w:r>
          </w:p>
        </w:tc>
        <w:tc>
          <w:tcPr>
            <w:tcW w:w="2452" w:type="pct"/>
            <w:tcBorders>
              <w:top w:val="single" w:sz="18" w:space="0" w:color="009242"/>
              <w:bottom w:val="single" w:sz="8" w:space="0" w:color="009242"/>
            </w:tcBorders>
          </w:tcPr>
          <w:p w:rsidR="00105F28" w:rsidRPr="00215C50" w:rsidRDefault="00105F28" w:rsidP="003E5744">
            <w:pPr>
              <w:pStyle w:val="Sinespaciado"/>
              <w:ind w:left="0"/>
              <w:jc w:val="center"/>
              <w:rPr>
                <w:rFonts w:ascii="Arial" w:eastAsia="Times New Roman" w:hAnsi="Arial" w:cs="Arial"/>
                <w:b w:val="0"/>
                <w:bCs w:val="0"/>
                <w:color w:val="auto"/>
                <w:sz w:val="18"/>
                <w:szCs w:val="18"/>
                <w:lang w:val="en-US" w:eastAsia="en-US"/>
              </w:rPr>
            </w:pPr>
            <w:r w:rsidRPr="00422046">
              <w:rPr>
                <w:rFonts w:ascii="Arial" w:eastAsia="Times New Roman" w:hAnsi="Arial" w:cs="Arial"/>
                <w:b w:val="0"/>
                <w:bCs w:val="0"/>
                <w:color w:val="auto"/>
                <w:sz w:val="18"/>
                <w:szCs w:val="18"/>
                <w:lang w:val="en-US" w:eastAsia="en-US"/>
              </w:rPr>
              <w:t>Method</w:t>
            </w:r>
          </w:p>
        </w:tc>
      </w:tr>
      <w:tr w:rsidR="00105F28" w:rsidRPr="00215C50" w:rsidTr="003E5744">
        <w:trPr>
          <w:cnfStyle w:val="010000000000" w:firstRow="0" w:lastRow="1" w:firstColumn="0" w:lastColumn="0" w:oddVBand="0" w:evenVBand="0" w:oddHBand="0" w:evenHBand="0" w:firstRowFirstColumn="0" w:firstRowLastColumn="0" w:lastRowFirstColumn="0" w:lastRowLastColumn="0"/>
          <w:trHeight w:val="822"/>
        </w:trPr>
        <w:tc>
          <w:tcPr>
            <w:tcW w:w="1352" w:type="pct"/>
            <w:tcBorders>
              <w:top w:val="single" w:sz="8" w:space="0" w:color="009242"/>
              <w:bottom w:val="single" w:sz="18" w:space="0" w:color="009242"/>
            </w:tcBorders>
            <w:noWrap/>
          </w:tcPr>
          <w:p w:rsidR="00105F28" w:rsidRDefault="00105F28" w:rsidP="003E5744">
            <w:pPr>
              <w:pStyle w:val="Sinespaciado"/>
              <w:ind w:left="0"/>
              <w:jc w:val="center"/>
              <w:rPr>
                <w:rFonts w:ascii="Arial" w:eastAsia="Times New Roman" w:hAnsi="Arial" w:cs="Arial"/>
                <w:color w:val="auto"/>
                <w:sz w:val="18"/>
                <w:szCs w:val="18"/>
                <w:lang w:val="en-US" w:eastAsia="en-US"/>
              </w:rPr>
            </w:pPr>
            <w:r w:rsidRPr="00422046">
              <w:rPr>
                <w:rFonts w:ascii="Arial" w:eastAsia="Times New Roman" w:hAnsi="Arial" w:cs="Arial"/>
                <w:b w:val="0"/>
                <w:bCs w:val="0"/>
                <w:color w:val="auto"/>
                <w:sz w:val="18"/>
                <w:szCs w:val="18"/>
                <w:lang w:val="en-US" w:eastAsia="en-US"/>
              </w:rPr>
              <w:t>Humidity</w:t>
            </w:r>
          </w:p>
          <w:p w:rsidR="00105F28" w:rsidRDefault="00105F28" w:rsidP="003E5744">
            <w:pPr>
              <w:pStyle w:val="Sinespaciado"/>
              <w:ind w:left="0"/>
              <w:jc w:val="center"/>
              <w:rPr>
                <w:rFonts w:ascii="Arial" w:eastAsia="Times New Roman" w:hAnsi="Arial" w:cs="Arial"/>
                <w:color w:val="auto"/>
                <w:sz w:val="18"/>
                <w:szCs w:val="18"/>
                <w:lang w:val="en-US" w:eastAsia="en-US"/>
              </w:rPr>
            </w:pPr>
            <w:r w:rsidRPr="00422046">
              <w:rPr>
                <w:rFonts w:ascii="Arial" w:eastAsia="Times New Roman" w:hAnsi="Arial" w:cs="Arial"/>
                <w:b w:val="0"/>
                <w:bCs w:val="0"/>
                <w:color w:val="auto"/>
                <w:sz w:val="18"/>
                <w:szCs w:val="18"/>
                <w:lang w:val="en-US" w:eastAsia="en-US"/>
              </w:rPr>
              <w:t>Ashes</w:t>
            </w:r>
          </w:p>
          <w:p w:rsidR="00105F28" w:rsidRDefault="00105F28" w:rsidP="003E5744">
            <w:pPr>
              <w:pStyle w:val="Sinespaciado"/>
              <w:ind w:left="0"/>
              <w:jc w:val="center"/>
              <w:rPr>
                <w:rFonts w:ascii="Arial" w:eastAsia="Times New Roman" w:hAnsi="Arial" w:cs="Arial"/>
                <w:color w:val="auto"/>
                <w:sz w:val="18"/>
                <w:szCs w:val="18"/>
                <w:lang w:val="en-US" w:eastAsia="en-US"/>
              </w:rPr>
            </w:pPr>
            <w:r w:rsidRPr="00422046">
              <w:rPr>
                <w:rFonts w:ascii="Arial" w:eastAsia="Times New Roman" w:hAnsi="Arial" w:cs="Arial"/>
                <w:b w:val="0"/>
                <w:bCs w:val="0"/>
                <w:color w:val="auto"/>
                <w:sz w:val="18"/>
                <w:szCs w:val="18"/>
                <w:lang w:val="en-US" w:eastAsia="en-US"/>
              </w:rPr>
              <w:t>Grease</w:t>
            </w:r>
          </w:p>
          <w:p w:rsidR="00105F28" w:rsidRPr="00215C50" w:rsidRDefault="00105F28" w:rsidP="003E5744">
            <w:pPr>
              <w:pStyle w:val="Sinespaciado"/>
              <w:ind w:left="0"/>
              <w:jc w:val="center"/>
              <w:rPr>
                <w:rFonts w:ascii="Arial" w:eastAsia="Times New Roman" w:hAnsi="Arial" w:cs="Arial"/>
                <w:b w:val="0"/>
                <w:bCs w:val="0"/>
                <w:color w:val="auto"/>
                <w:sz w:val="18"/>
                <w:szCs w:val="18"/>
                <w:lang w:val="en-US" w:eastAsia="en-US"/>
              </w:rPr>
            </w:pPr>
            <w:r w:rsidRPr="003D0514">
              <w:rPr>
                <w:rFonts w:ascii="Arial" w:eastAsia="Times New Roman" w:hAnsi="Arial" w:cs="Arial"/>
                <w:b w:val="0"/>
                <w:bCs w:val="0"/>
                <w:color w:val="auto"/>
                <w:sz w:val="18"/>
                <w:szCs w:val="18"/>
                <w:lang w:val="en-US" w:eastAsia="en-US"/>
              </w:rPr>
              <w:t>Fiber</w:t>
            </w:r>
          </w:p>
        </w:tc>
        <w:tc>
          <w:tcPr>
            <w:tcW w:w="1196" w:type="pct"/>
            <w:tcBorders>
              <w:top w:val="single" w:sz="8" w:space="0" w:color="009242"/>
              <w:bottom w:val="single" w:sz="18" w:space="0" w:color="009242"/>
            </w:tcBorders>
          </w:tcPr>
          <w:p w:rsidR="00105F28" w:rsidRPr="00215C50" w:rsidRDefault="00105F28" w:rsidP="003E5744">
            <w:pPr>
              <w:pStyle w:val="Sinespaciado"/>
              <w:ind w:left="-33"/>
              <w:jc w:val="center"/>
              <w:rPr>
                <w:rFonts w:ascii="Arial" w:eastAsia="Times New Roman" w:hAnsi="Arial" w:cs="Arial"/>
                <w:b w:val="0"/>
                <w:bCs w:val="0"/>
                <w:color w:val="auto"/>
                <w:sz w:val="18"/>
                <w:szCs w:val="18"/>
                <w:lang w:val="en-US" w:eastAsia="en-US"/>
              </w:rPr>
            </w:pPr>
            <w:r w:rsidRPr="00215C50">
              <w:rPr>
                <w:rFonts w:ascii="Arial" w:eastAsia="Times New Roman" w:hAnsi="Arial" w:cs="Arial"/>
                <w:b w:val="0"/>
                <w:bCs w:val="0"/>
                <w:color w:val="auto"/>
                <w:sz w:val="18"/>
                <w:szCs w:val="18"/>
                <w:lang w:val="en-US" w:eastAsia="en-US"/>
              </w:rPr>
              <w:t>%</w:t>
            </w:r>
          </w:p>
          <w:p w:rsidR="00105F28" w:rsidRPr="00215C50" w:rsidRDefault="00105F28" w:rsidP="003E5744">
            <w:pPr>
              <w:pStyle w:val="Sinespaciado"/>
              <w:ind w:left="-33"/>
              <w:jc w:val="center"/>
              <w:rPr>
                <w:rFonts w:ascii="Arial" w:eastAsia="Times New Roman" w:hAnsi="Arial" w:cs="Arial"/>
                <w:b w:val="0"/>
                <w:bCs w:val="0"/>
                <w:color w:val="auto"/>
                <w:sz w:val="18"/>
                <w:szCs w:val="18"/>
                <w:lang w:val="en-US" w:eastAsia="en-US"/>
              </w:rPr>
            </w:pPr>
            <w:r w:rsidRPr="00215C50">
              <w:rPr>
                <w:rFonts w:ascii="Arial" w:eastAsia="Times New Roman" w:hAnsi="Arial" w:cs="Arial"/>
                <w:b w:val="0"/>
                <w:bCs w:val="0"/>
                <w:color w:val="auto"/>
                <w:sz w:val="18"/>
                <w:szCs w:val="18"/>
                <w:lang w:val="en-US" w:eastAsia="en-US"/>
              </w:rPr>
              <w:t>%</w:t>
            </w:r>
          </w:p>
          <w:p w:rsidR="00105F28" w:rsidRPr="00215C50" w:rsidRDefault="00105F28" w:rsidP="003E5744">
            <w:pPr>
              <w:pStyle w:val="Sinespaciado"/>
              <w:ind w:left="-33"/>
              <w:jc w:val="center"/>
              <w:rPr>
                <w:rFonts w:ascii="Arial" w:eastAsia="Times New Roman" w:hAnsi="Arial" w:cs="Arial"/>
                <w:b w:val="0"/>
                <w:bCs w:val="0"/>
                <w:color w:val="auto"/>
                <w:sz w:val="18"/>
                <w:szCs w:val="18"/>
                <w:lang w:val="en-US" w:eastAsia="en-US"/>
              </w:rPr>
            </w:pPr>
            <w:r w:rsidRPr="00215C50">
              <w:rPr>
                <w:rFonts w:ascii="Arial" w:eastAsia="Times New Roman" w:hAnsi="Arial" w:cs="Arial"/>
                <w:b w:val="0"/>
                <w:bCs w:val="0"/>
                <w:color w:val="auto"/>
                <w:sz w:val="18"/>
                <w:szCs w:val="18"/>
                <w:lang w:val="en-US" w:eastAsia="en-US"/>
              </w:rPr>
              <w:t>%</w:t>
            </w:r>
          </w:p>
          <w:p w:rsidR="00105F28" w:rsidRPr="00215C50" w:rsidRDefault="00105F28" w:rsidP="003E5744">
            <w:pPr>
              <w:pStyle w:val="Sinespaciado"/>
              <w:ind w:left="-33"/>
              <w:jc w:val="center"/>
              <w:rPr>
                <w:rFonts w:ascii="Arial" w:eastAsia="Times New Roman" w:hAnsi="Arial" w:cs="Arial"/>
                <w:b w:val="0"/>
                <w:bCs w:val="0"/>
                <w:color w:val="auto"/>
                <w:sz w:val="18"/>
                <w:szCs w:val="18"/>
                <w:lang w:val="en-US" w:eastAsia="en-US"/>
              </w:rPr>
            </w:pPr>
            <w:r w:rsidRPr="00215C50">
              <w:rPr>
                <w:rFonts w:ascii="Arial" w:eastAsia="Times New Roman" w:hAnsi="Arial" w:cs="Arial"/>
                <w:b w:val="0"/>
                <w:bCs w:val="0"/>
                <w:color w:val="auto"/>
                <w:sz w:val="18"/>
                <w:szCs w:val="18"/>
                <w:lang w:val="en-US" w:eastAsia="en-US"/>
              </w:rPr>
              <w:t>%</w:t>
            </w:r>
          </w:p>
        </w:tc>
        <w:tc>
          <w:tcPr>
            <w:tcW w:w="2452" w:type="pct"/>
            <w:tcBorders>
              <w:top w:val="single" w:sz="8" w:space="0" w:color="009242"/>
              <w:bottom w:val="single" w:sz="18" w:space="0" w:color="009242"/>
            </w:tcBorders>
          </w:tcPr>
          <w:p w:rsidR="00105F28" w:rsidRPr="00215C50" w:rsidRDefault="00105F28" w:rsidP="003E5744">
            <w:pPr>
              <w:pStyle w:val="Sinespaciado"/>
              <w:ind w:left="0"/>
              <w:jc w:val="center"/>
              <w:rPr>
                <w:rFonts w:ascii="Arial" w:eastAsia="Times New Roman" w:hAnsi="Arial" w:cs="Arial"/>
                <w:b w:val="0"/>
                <w:bCs w:val="0"/>
                <w:color w:val="auto"/>
                <w:sz w:val="18"/>
                <w:szCs w:val="18"/>
                <w:lang w:val="en-US" w:eastAsia="en-US"/>
              </w:rPr>
            </w:pPr>
            <w:r w:rsidRPr="00215C50">
              <w:rPr>
                <w:rFonts w:ascii="Arial" w:eastAsia="Times New Roman" w:hAnsi="Arial" w:cs="Arial"/>
                <w:b w:val="0"/>
                <w:bCs w:val="0"/>
                <w:color w:val="auto"/>
                <w:sz w:val="18"/>
                <w:szCs w:val="18"/>
                <w:lang w:val="en-US" w:eastAsia="en-US"/>
              </w:rPr>
              <w:t>AOAC 945.15</w:t>
            </w:r>
          </w:p>
          <w:p w:rsidR="00105F28" w:rsidRPr="00215C50" w:rsidRDefault="00105F28" w:rsidP="003E5744">
            <w:pPr>
              <w:pStyle w:val="Sinespaciado"/>
              <w:ind w:left="0"/>
              <w:jc w:val="center"/>
              <w:rPr>
                <w:rFonts w:ascii="Arial" w:eastAsia="Times New Roman" w:hAnsi="Arial" w:cs="Arial"/>
                <w:b w:val="0"/>
                <w:bCs w:val="0"/>
                <w:color w:val="auto"/>
                <w:sz w:val="18"/>
                <w:szCs w:val="18"/>
                <w:lang w:val="en-US" w:eastAsia="en-US"/>
              </w:rPr>
            </w:pPr>
            <w:r w:rsidRPr="00215C50">
              <w:rPr>
                <w:rFonts w:ascii="Arial" w:eastAsia="Times New Roman" w:hAnsi="Arial" w:cs="Arial"/>
                <w:b w:val="0"/>
                <w:bCs w:val="0"/>
                <w:color w:val="auto"/>
                <w:sz w:val="18"/>
                <w:szCs w:val="18"/>
                <w:lang w:val="en-US" w:eastAsia="en-US"/>
              </w:rPr>
              <w:t>AOAC 945.38</w:t>
            </w:r>
          </w:p>
          <w:p w:rsidR="00105F28" w:rsidRPr="00215C50" w:rsidRDefault="00105F28" w:rsidP="003E5744">
            <w:pPr>
              <w:pStyle w:val="Sinespaciado"/>
              <w:ind w:left="0"/>
              <w:jc w:val="center"/>
              <w:rPr>
                <w:rFonts w:ascii="Arial" w:eastAsia="Times New Roman" w:hAnsi="Arial" w:cs="Arial"/>
                <w:b w:val="0"/>
                <w:bCs w:val="0"/>
                <w:color w:val="auto"/>
                <w:sz w:val="18"/>
                <w:szCs w:val="18"/>
                <w:lang w:val="en-US" w:eastAsia="en-US"/>
              </w:rPr>
            </w:pPr>
            <w:r w:rsidRPr="00215C50">
              <w:rPr>
                <w:rFonts w:ascii="Arial" w:eastAsia="Times New Roman" w:hAnsi="Arial" w:cs="Arial"/>
                <w:b w:val="0"/>
                <w:bCs w:val="0"/>
                <w:color w:val="auto"/>
                <w:sz w:val="18"/>
                <w:szCs w:val="18"/>
                <w:lang w:val="en-US" w:eastAsia="en-US"/>
              </w:rPr>
              <w:t>AOAC 945.38 920.09.E</w:t>
            </w:r>
          </w:p>
          <w:p w:rsidR="00105F28" w:rsidRPr="00215C50" w:rsidRDefault="00105F28" w:rsidP="003E5744">
            <w:pPr>
              <w:pStyle w:val="Sinespaciado"/>
              <w:ind w:left="0"/>
              <w:jc w:val="center"/>
              <w:rPr>
                <w:rFonts w:eastAsia="Times New Roman"/>
                <w:bCs w:val="0"/>
                <w:color w:val="auto"/>
                <w:sz w:val="18"/>
                <w:szCs w:val="18"/>
                <w:lang w:val="en-US" w:eastAsia="en-US"/>
              </w:rPr>
            </w:pPr>
            <w:r w:rsidRPr="00215C50">
              <w:rPr>
                <w:rFonts w:ascii="Arial" w:eastAsia="Times New Roman" w:hAnsi="Arial" w:cs="Arial"/>
                <w:b w:val="0"/>
                <w:bCs w:val="0"/>
                <w:color w:val="auto"/>
                <w:sz w:val="18"/>
                <w:szCs w:val="18"/>
                <w:lang w:val="en-US" w:eastAsia="en-US"/>
              </w:rPr>
              <w:t>AOAC 945.38 962.09.E</w:t>
            </w:r>
          </w:p>
        </w:tc>
      </w:tr>
    </w:tbl>
    <w:p w:rsidR="00105F28" w:rsidRPr="006D4298" w:rsidRDefault="006D4298" w:rsidP="00105F28">
      <w:pPr>
        <w:spacing w:line="240" w:lineRule="auto"/>
        <w:rPr>
          <w:rFonts w:cs="Arial"/>
          <w:szCs w:val="18"/>
          <w:lang w:val="en-US"/>
        </w:rPr>
      </w:pPr>
      <w:r w:rsidRPr="006D4298">
        <w:rPr>
          <w:rFonts w:cs="Arial"/>
          <w:szCs w:val="18"/>
          <w:lang w:val="en-US"/>
        </w:rPr>
        <w:t>Source: Adapted from Suárez et al., 2018.</w:t>
      </w:r>
    </w:p>
    <w:p w:rsidR="006D4298" w:rsidRDefault="006D4298" w:rsidP="00105F28">
      <w:pPr>
        <w:spacing w:line="240" w:lineRule="auto"/>
        <w:rPr>
          <w:rFonts w:cs="Arial"/>
          <w:szCs w:val="18"/>
          <w:lang w:val="en-US"/>
        </w:rPr>
      </w:pPr>
    </w:p>
    <w:p w:rsidR="00105F28" w:rsidRDefault="00105F28" w:rsidP="00F11987">
      <w:pPr>
        <w:pStyle w:val="CETheadingx"/>
        <w:rPr>
          <w:szCs w:val="18"/>
        </w:rPr>
      </w:pPr>
      <w:r w:rsidRPr="003D0514">
        <w:t xml:space="preserve"> Mixtures of by-products and pelletized</w:t>
      </w:r>
    </w:p>
    <w:p w:rsidR="00105F28" w:rsidRDefault="00105F28" w:rsidP="00105F28">
      <w:pPr>
        <w:spacing w:line="240" w:lineRule="auto"/>
        <w:rPr>
          <w:rFonts w:cs="Arial"/>
          <w:szCs w:val="18"/>
          <w:lang w:val="en-US"/>
        </w:rPr>
      </w:pPr>
      <w:r w:rsidRPr="003D0514">
        <w:rPr>
          <w:rFonts w:cs="Arial"/>
          <w:szCs w:val="18"/>
          <w:lang w:val="en-US"/>
        </w:rPr>
        <w:t>From the results of the physicochemical characterization of the byproducts of Quinoa (table 1), 4 mixtures with the different by-products were elaborated. Each of the mixtures in triplicate with the purpose of looking for if the elements of the previous analysis were strengthened in the combinatorial processes.</w:t>
      </w:r>
    </w:p>
    <w:p w:rsidR="00105F28" w:rsidRPr="003D0514" w:rsidRDefault="00105F28" w:rsidP="00105F28">
      <w:pPr>
        <w:spacing w:line="240" w:lineRule="auto"/>
        <w:rPr>
          <w:rFonts w:cs="Arial"/>
          <w:szCs w:val="18"/>
          <w:lang w:val="en-US"/>
        </w:rPr>
      </w:pPr>
    </w:p>
    <w:p w:rsidR="00105F28" w:rsidRPr="00D74068" w:rsidRDefault="00105F28" w:rsidP="00105F28">
      <w:pPr>
        <w:spacing w:after="240" w:line="240" w:lineRule="auto"/>
        <w:rPr>
          <w:rFonts w:cs="Arial"/>
          <w:i/>
          <w:szCs w:val="18"/>
          <w:lang w:val="en-US"/>
        </w:rPr>
      </w:pPr>
      <w:r w:rsidRPr="00D74068">
        <w:rPr>
          <w:rFonts w:cs="Arial"/>
          <w:i/>
          <w:szCs w:val="18"/>
          <w:lang w:val="en-US"/>
        </w:rPr>
        <w:t xml:space="preserve">Table 2: </w:t>
      </w:r>
      <w:r w:rsidRPr="003D0514">
        <w:rPr>
          <w:rFonts w:cs="Arial"/>
          <w:i/>
          <w:szCs w:val="18"/>
          <w:lang w:val="en-US"/>
        </w:rPr>
        <w:t>Mixtures of by-products</w:t>
      </w:r>
    </w:p>
    <w:tbl>
      <w:tblPr>
        <w:tblStyle w:val="Sombreadoclaro-nfasis1"/>
        <w:tblW w:w="2536" w:type="pct"/>
        <w:tblBorders>
          <w:top w:val="single" w:sz="18" w:space="0" w:color="00B050"/>
          <w:bottom w:val="single" w:sz="18" w:space="0" w:color="00B050"/>
        </w:tblBorders>
        <w:tblLook w:val="0660" w:firstRow="1" w:lastRow="1" w:firstColumn="0" w:lastColumn="0" w:noHBand="1" w:noVBand="1"/>
      </w:tblPr>
      <w:tblGrid>
        <w:gridCol w:w="1103"/>
        <w:gridCol w:w="749"/>
        <w:gridCol w:w="736"/>
        <w:gridCol w:w="802"/>
        <w:gridCol w:w="1067"/>
      </w:tblGrid>
      <w:tr w:rsidR="00105F28" w:rsidRPr="008931AA" w:rsidTr="003E5744">
        <w:trPr>
          <w:cnfStyle w:val="100000000000" w:firstRow="1" w:lastRow="0" w:firstColumn="0" w:lastColumn="0" w:oddVBand="0" w:evenVBand="0" w:oddHBand="0" w:evenHBand="0" w:firstRowFirstColumn="0" w:firstRowLastColumn="0" w:lastRowFirstColumn="0" w:lastRowLastColumn="0"/>
          <w:trHeight w:val="211"/>
        </w:trPr>
        <w:tc>
          <w:tcPr>
            <w:tcW w:w="1237" w:type="pct"/>
            <w:tcBorders>
              <w:top w:val="single" w:sz="18" w:space="0" w:color="00B050"/>
              <w:left w:val="none" w:sz="0" w:space="0" w:color="auto"/>
              <w:bottom w:val="single" w:sz="8" w:space="0" w:color="00B050"/>
              <w:right w:val="none" w:sz="0" w:space="0" w:color="auto"/>
            </w:tcBorders>
            <w:noWrap/>
            <w:vAlign w:val="center"/>
          </w:tcPr>
          <w:p w:rsidR="00105F28" w:rsidRPr="008931AA" w:rsidRDefault="00105F28" w:rsidP="003E5744">
            <w:pPr>
              <w:tabs>
                <w:tab w:val="clear" w:pos="7100"/>
              </w:tabs>
              <w:spacing w:line="240" w:lineRule="auto"/>
              <w:ind w:left="-2" w:right="8" w:hanging="10"/>
              <w:jc w:val="center"/>
              <w:rPr>
                <w:rFonts w:eastAsia="Verdana" w:cs="Arial"/>
                <w:b w:val="0"/>
                <w:color w:val="000000"/>
                <w:szCs w:val="18"/>
                <w:lang w:val="es-CO"/>
              </w:rPr>
            </w:pPr>
            <w:r w:rsidRPr="003D0514">
              <w:rPr>
                <w:rFonts w:eastAsia="Verdana" w:cs="Arial"/>
                <w:b w:val="0"/>
                <w:color w:val="000000"/>
                <w:szCs w:val="18"/>
                <w:lang w:val="es-CO"/>
              </w:rPr>
              <w:t>Mixtures</w:t>
            </w:r>
          </w:p>
        </w:tc>
        <w:tc>
          <w:tcPr>
            <w:tcW w:w="840" w:type="pct"/>
            <w:tcBorders>
              <w:top w:val="single" w:sz="18" w:space="0" w:color="00B050"/>
              <w:left w:val="none" w:sz="0" w:space="0" w:color="auto"/>
              <w:bottom w:val="single" w:sz="8" w:space="0" w:color="00B050"/>
              <w:right w:val="none" w:sz="0" w:space="0" w:color="auto"/>
            </w:tcBorders>
            <w:vAlign w:val="center"/>
          </w:tcPr>
          <w:p w:rsidR="00105F28" w:rsidRPr="008931AA" w:rsidRDefault="00105F28" w:rsidP="003E5744">
            <w:pPr>
              <w:tabs>
                <w:tab w:val="clear" w:pos="7100"/>
              </w:tabs>
              <w:spacing w:line="240" w:lineRule="auto"/>
              <w:ind w:left="11" w:right="8" w:hanging="10"/>
              <w:jc w:val="center"/>
              <w:rPr>
                <w:rFonts w:eastAsia="Verdana" w:cs="Arial"/>
                <w:b w:val="0"/>
                <w:color w:val="000000"/>
                <w:szCs w:val="18"/>
                <w:lang w:val="es-ES"/>
              </w:rPr>
            </w:pPr>
            <w:r w:rsidRPr="003D0514">
              <w:rPr>
                <w:rFonts w:eastAsia="Verdana" w:cs="Arial"/>
                <w:b w:val="0"/>
                <w:color w:val="000000"/>
                <w:szCs w:val="18"/>
                <w:lang w:val="es-ES"/>
              </w:rPr>
              <w:t>Stem</w:t>
            </w:r>
          </w:p>
        </w:tc>
        <w:tc>
          <w:tcPr>
            <w:tcW w:w="826" w:type="pct"/>
            <w:tcBorders>
              <w:top w:val="single" w:sz="18" w:space="0" w:color="00B050"/>
              <w:left w:val="none" w:sz="0" w:space="0" w:color="auto"/>
              <w:bottom w:val="single" w:sz="8" w:space="0" w:color="00B050"/>
              <w:right w:val="none" w:sz="0" w:space="0" w:color="auto"/>
            </w:tcBorders>
            <w:vAlign w:val="center"/>
          </w:tcPr>
          <w:p w:rsidR="00105F28" w:rsidRPr="008931AA" w:rsidRDefault="00105F28" w:rsidP="003E5744">
            <w:pPr>
              <w:tabs>
                <w:tab w:val="clear" w:pos="7100"/>
              </w:tabs>
              <w:spacing w:line="240" w:lineRule="auto"/>
              <w:ind w:left="-2" w:right="8" w:hanging="10"/>
              <w:jc w:val="center"/>
              <w:rPr>
                <w:rFonts w:eastAsia="Verdana" w:cs="Arial"/>
                <w:b w:val="0"/>
                <w:color w:val="000000"/>
                <w:szCs w:val="18"/>
                <w:lang w:val="es-CO"/>
              </w:rPr>
            </w:pPr>
            <w:r w:rsidRPr="003D0514">
              <w:rPr>
                <w:rFonts w:eastAsia="Verdana" w:cs="Arial"/>
                <w:b w:val="0"/>
                <w:color w:val="000000"/>
                <w:szCs w:val="18"/>
                <w:lang w:val="es-CO"/>
              </w:rPr>
              <w:t>Sheet</w:t>
            </w:r>
          </w:p>
        </w:tc>
        <w:tc>
          <w:tcPr>
            <w:tcW w:w="900" w:type="pct"/>
            <w:tcBorders>
              <w:top w:val="single" w:sz="18" w:space="0" w:color="00B050"/>
              <w:left w:val="none" w:sz="0" w:space="0" w:color="auto"/>
              <w:bottom w:val="single" w:sz="8" w:space="0" w:color="00B050"/>
              <w:right w:val="none" w:sz="0" w:space="0" w:color="auto"/>
            </w:tcBorders>
            <w:vAlign w:val="center"/>
          </w:tcPr>
          <w:p w:rsidR="00105F28" w:rsidRPr="008931AA" w:rsidRDefault="00105F28" w:rsidP="003E5744">
            <w:pPr>
              <w:tabs>
                <w:tab w:val="clear" w:pos="7100"/>
              </w:tabs>
              <w:spacing w:line="240" w:lineRule="auto"/>
              <w:ind w:left="9" w:right="8" w:hanging="10"/>
              <w:jc w:val="center"/>
              <w:rPr>
                <w:rFonts w:eastAsia="Verdana" w:cs="Arial"/>
                <w:b w:val="0"/>
                <w:color w:val="000000"/>
                <w:szCs w:val="18"/>
                <w:lang w:val="es-CO"/>
              </w:rPr>
            </w:pPr>
            <w:r w:rsidRPr="008931AA">
              <w:rPr>
                <w:rFonts w:eastAsia="Verdana" w:cs="Arial"/>
                <w:b w:val="0"/>
                <w:color w:val="000000"/>
                <w:szCs w:val="18"/>
                <w:lang w:val="es-ES"/>
              </w:rPr>
              <w:t>Broza</w:t>
            </w:r>
          </w:p>
        </w:tc>
        <w:tc>
          <w:tcPr>
            <w:tcW w:w="1197" w:type="pct"/>
            <w:tcBorders>
              <w:top w:val="single" w:sz="18" w:space="0" w:color="00B050"/>
              <w:left w:val="none" w:sz="0" w:space="0" w:color="auto"/>
              <w:bottom w:val="single" w:sz="8" w:space="0" w:color="00B050"/>
              <w:right w:val="none" w:sz="0" w:space="0" w:color="auto"/>
            </w:tcBorders>
            <w:vAlign w:val="center"/>
          </w:tcPr>
          <w:p w:rsidR="00105F28" w:rsidRPr="008931AA" w:rsidRDefault="0075615C" w:rsidP="003E5744">
            <w:pPr>
              <w:tabs>
                <w:tab w:val="clear" w:pos="7100"/>
              </w:tabs>
              <w:spacing w:line="240" w:lineRule="auto"/>
              <w:ind w:left="52" w:right="8" w:hanging="10"/>
              <w:jc w:val="center"/>
              <w:rPr>
                <w:rFonts w:eastAsia="Verdana" w:cs="Arial"/>
                <w:b w:val="0"/>
                <w:color w:val="000000"/>
                <w:szCs w:val="18"/>
                <w:lang w:val="es-CO"/>
              </w:rPr>
            </w:pPr>
            <w:r w:rsidRPr="003D0514">
              <w:rPr>
                <w:rFonts w:eastAsia="Verdana" w:cs="Arial"/>
                <w:b w:val="0"/>
                <w:color w:val="000000"/>
                <w:szCs w:val="18"/>
                <w:lang w:val="es-ES"/>
              </w:rPr>
              <w:t>H</w:t>
            </w:r>
            <w:r w:rsidR="00105F28" w:rsidRPr="003D0514">
              <w:rPr>
                <w:rFonts w:eastAsia="Verdana" w:cs="Arial"/>
                <w:b w:val="0"/>
                <w:color w:val="000000"/>
                <w:szCs w:val="18"/>
                <w:lang w:val="es-ES"/>
              </w:rPr>
              <w:t>usk</w:t>
            </w:r>
          </w:p>
        </w:tc>
      </w:tr>
      <w:tr w:rsidR="00105F28" w:rsidRPr="008931AA" w:rsidTr="003E5744">
        <w:trPr>
          <w:cnfStyle w:val="010000000000" w:firstRow="0" w:lastRow="1" w:firstColumn="0" w:lastColumn="0" w:oddVBand="0" w:evenVBand="0" w:oddHBand="0" w:evenHBand="0" w:firstRowFirstColumn="0" w:firstRowLastColumn="0" w:lastRowFirstColumn="0" w:lastRowLastColumn="0"/>
          <w:trHeight w:val="865"/>
        </w:trPr>
        <w:tc>
          <w:tcPr>
            <w:tcW w:w="1237" w:type="pct"/>
            <w:tcBorders>
              <w:top w:val="single" w:sz="8" w:space="0" w:color="00B050"/>
              <w:left w:val="none" w:sz="0" w:space="0" w:color="auto"/>
              <w:bottom w:val="none" w:sz="0" w:space="0" w:color="auto"/>
              <w:right w:val="none" w:sz="0" w:space="0" w:color="auto"/>
            </w:tcBorders>
            <w:noWrap/>
            <w:vAlign w:val="center"/>
          </w:tcPr>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1</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2</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3</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4</w:t>
            </w:r>
          </w:p>
        </w:tc>
        <w:tc>
          <w:tcPr>
            <w:tcW w:w="840" w:type="pct"/>
            <w:tcBorders>
              <w:top w:val="single" w:sz="8" w:space="0" w:color="00B050"/>
              <w:left w:val="none" w:sz="0" w:space="0" w:color="auto"/>
              <w:bottom w:val="none" w:sz="0" w:space="0" w:color="auto"/>
              <w:right w:val="none" w:sz="0" w:space="0" w:color="auto"/>
            </w:tcBorders>
            <w:vAlign w:val="center"/>
          </w:tcPr>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0,25</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0,20</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0,15</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0,15</w:t>
            </w:r>
          </w:p>
        </w:tc>
        <w:tc>
          <w:tcPr>
            <w:tcW w:w="826" w:type="pct"/>
            <w:tcBorders>
              <w:top w:val="single" w:sz="8" w:space="0" w:color="00B050"/>
              <w:left w:val="none" w:sz="0" w:space="0" w:color="auto"/>
              <w:bottom w:val="none" w:sz="0" w:space="0" w:color="auto"/>
              <w:right w:val="none" w:sz="0" w:space="0" w:color="auto"/>
            </w:tcBorders>
            <w:vAlign w:val="center"/>
          </w:tcPr>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0,25</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0,20</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0,30</w:t>
            </w:r>
          </w:p>
          <w:p w:rsidR="00105F28" w:rsidRPr="008931AA" w:rsidRDefault="00105F28" w:rsidP="003E5744">
            <w:pPr>
              <w:tabs>
                <w:tab w:val="clear" w:pos="7100"/>
              </w:tabs>
              <w:spacing w:line="240" w:lineRule="auto"/>
              <w:ind w:right="8" w:hanging="10"/>
              <w:jc w:val="center"/>
              <w:rPr>
                <w:rFonts w:eastAsia="Calibri" w:cs="Arial"/>
                <w:b w:val="0"/>
                <w:color w:val="000000"/>
                <w:szCs w:val="18"/>
                <w:lang w:val="es-CO" w:eastAsia="es-ES"/>
              </w:rPr>
            </w:pPr>
            <w:r w:rsidRPr="008931AA">
              <w:rPr>
                <w:rFonts w:eastAsia="Verdana" w:cs="Arial"/>
                <w:b w:val="0"/>
                <w:color w:val="000000"/>
                <w:szCs w:val="18"/>
                <w:lang w:val="es-CO" w:eastAsia="es-ES"/>
              </w:rPr>
              <w:t>0,30</w:t>
            </w:r>
          </w:p>
        </w:tc>
        <w:tc>
          <w:tcPr>
            <w:tcW w:w="900" w:type="pct"/>
            <w:tcBorders>
              <w:top w:val="single" w:sz="8" w:space="0" w:color="00B050"/>
              <w:left w:val="none" w:sz="0" w:space="0" w:color="auto"/>
              <w:bottom w:val="none" w:sz="0" w:space="0" w:color="auto"/>
              <w:right w:val="none" w:sz="0" w:space="0" w:color="auto"/>
            </w:tcBorders>
            <w:vAlign w:val="center"/>
          </w:tcPr>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0,25</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0,25</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0,45</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0,35</w:t>
            </w:r>
          </w:p>
        </w:tc>
        <w:tc>
          <w:tcPr>
            <w:tcW w:w="1197" w:type="pct"/>
            <w:tcBorders>
              <w:top w:val="single" w:sz="8" w:space="0" w:color="00B050"/>
              <w:left w:val="none" w:sz="0" w:space="0" w:color="auto"/>
              <w:bottom w:val="none" w:sz="0" w:space="0" w:color="auto"/>
              <w:right w:val="none" w:sz="0" w:space="0" w:color="auto"/>
            </w:tcBorders>
            <w:vAlign w:val="center"/>
          </w:tcPr>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eastAsia="es-ES"/>
              </w:rPr>
            </w:pPr>
            <w:r w:rsidRPr="008931AA">
              <w:rPr>
                <w:rFonts w:eastAsia="Verdana" w:cs="Arial"/>
                <w:b w:val="0"/>
                <w:color w:val="000000"/>
                <w:szCs w:val="18"/>
                <w:lang w:val="es-CO" w:eastAsia="es-ES"/>
              </w:rPr>
              <w:t>0,25</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ES"/>
              </w:rPr>
            </w:pPr>
            <w:r w:rsidRPr="008931AA">
              <w:rPr>
                <w:rFonts w:eastAsia="Verdana" w:cs="Arial"/>
                <w:b w:val="0"/>
                <w:color w:val="000000"/>
                <w:szCs w:val="18"/>
                <w:lang w:val="es-ES"/>
              </w:rPr>
              <w:t>0,35</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ES"/>
              </w:rPr>
            </w:pPr>
            <w:r w:rsidRPr="008931AA">
              <w:rPr>
                <w:rFonts w:eastAsia="Verdana" w:cs="Arial"/>
                <w:b w:val="0"/>
                <w:color w:val="000000"/>
                <w:szCs w:val="18"/>
                <w:lang w:val="es-ES"/>
              </w:rPr>
              <w:t>0,10</w:t>
            </w:r>
          </w:p>
          <w:p w:rsidR="00105F28" w:rsidRPr="008931AA" w:rsidRDefault="00105F28" w:rsidP="003E5744">
            <w:pPr>
              <w:tabs>
                <w:tab w:val="clear" w:pos="7100"/>
              </w:tabs>
              <w:spacing w:line="240" w:lineRule="auto"/>
              <w:ind w:right="8" w:hanging="10"/>
              <w:jc w:val="center"/>
              <w:rPr>
                <w:rFonts w:eastAsia="Verdana" w:cs="Arial"/>
                <w:b w:val="0"/>
                <w:color w:val="000000"/>
                <w:szCs w:val="18"/>
                <w:lang w:val="es-CO"/>
              </w:rPr>
            </w:pPr>
            <w:r w:rsidRPr="008931AA">
              <w:rPr>
                <w:rFonts w:eastAsia="Verdana" w:cs="Arial"/>
                <w:b w:val="0"/>
                <w:color w:val="000000"/>
                <w:szCs w:val="18"/>
                <w:lang w:val="es-ES"/>
              </w:rPr>
              <w:t>0,20</w:t>
            </w:r>
          </w:p>
        </w:tc>
      </w:tr>
    </w:tbl>
    <w:p w:rsidR="00105F28" w:rsidRDefault="00105F28" w:rsidP="00105F28">
      <w:pPr>
        <w:spacing w:line="240" w:lineRule="auto"/>
        <w:rPr>
          <w:rFonts w:cs="Arial"/>
          <w:szCs w:val="18"/>
          <w:lang w:val="en-US"/>
        </w:rPr>
      </w:pPr>
    </w:p>
    <w:p w:rsidR="00F11987" w:rsidRDefault="00F11987" w:rsidP="00F11987">
      <w:pPr>
        <w:pStyle w:val="Prrafodelista"/>
        <w:spacing w:after="240" w:line="240" w:lineRule="auto"/>
        <w:ind w:left="360" w:firstLine="0"/>
        <w:rPr>
          <w:rFonts w:ascii="Arial" w:eastAsia="Times New Roman" w:hAnsi="Arial" w:cs="Arial"/>
          <w:b/>
          <w:i w:val="0"/>
          <w:iCs w:val="0"/>
          <w:sz w:val="18"/>
          <w:highlight w:val="yellow"/>
          <w:lang w:eastAsia="en-US"/>
        </w:rPr>
      </w:pPr>
    </w:p>
    <w:p w:rsidR="00F11987" w:rsidRDefault="00F11987" w:rsidP="00F11987">
      <w:pPr>
        <w:pStyle w:val="Prrafodelista"/>
        <w:spacing w:after="240" w:line="240" w:lineRule="auto"/>
        <w:ind w:left="360" w:firstLine="0"/>
        <w:rPr>
          <w:rFonts w:ascii="Arial" w:eastAsia="Times New Roman" w:hAnsi="Arial" w:cs="Arial"/>
          <w:b/>
          <w:i w:val="0"/>
          <w:iCs w:val="0"/>
          <w:sz w:val="18"/>
          <w:highlight w:val="yellow"/>
          <w:lang w:eastAsia="en-US"/>
        </w:rPr>
      </w:pPr>
    </w:p>
    <w:p w:rsidR="00105F28" w:rsidRPr="00F11987" w:rsidRDefault="00105F28" w:rsidP="00105F28">
      <w:pPr>
        <w:pStyle w:val="Prrafodelista"/>
        <w:numPr>
          <w:ilvl w:val="1"/>
          <w:numId w:val="22"/>
        </w:numPr>
        <w:spacing w:after="240" w:line="240" w:lineRule="auto"/>
        <w:rPr>
          <w:rFonts w:ascii="Arial" w:eastAsia="Times New Roman" w:hAnsi="Arial" w:cs="Arial"/>
          <w:b/>
          <w:i w:val="0"/>
          <w:iCs w:val="0"/>
          <w:sz w:val="18"/>
          <w:lang w:eastAsia="en-US"/>
        </w:rPr>
      </w:pPr>
      <w:r w:rsidRPr="00F11987">
        <w:rPr>
          <w:rFonts w:ascii="Arial" w:eastAsia="Times New Roman" w:hAnsi="Arial" w:cs="Arial"/>
          <w:b/>
          <w:i w:val="0"/>
          <w:iCs w:val="0"/>
          <w:sz w:val="18"/>
          <w:lang w:eastAsia="en-US"/>
        </w:rPr>
        <w:t>Preparation of pellets</w:t>
      </w:r>
      <w:r w:rsidR="00F11987" w:rsidRPr="00F11987">
        <w:rPr>
          <w:rFonts w:ascii="Arial" w:eastAsia="Times New Roman" w:hAnsi="Arial" w:cs="Arial"/>
          <w:b/>
          <w:i w:val="0"/>
          <w:iCs w:val="0"/>
          <w:sz w:val="18"/>
          <w:lang w:eastAsia="en-US"/>
        </w:rPr>
        <w:t xml:space="preserve"> </w:t>
      </w:r>
    </w:p>
    <w:p w:rsidR="00105F28" w:rsidRDefault="00105F28" w:rsidP="00105F28">
      <w:pPr>
        <w:spacing w:line="240" w:lineRule="auto"/>
        <w:rPr>
          <w:rFonts w:cs="Arial"/>
          <w:szCs w:val="18"/>
          <w:lang w:val="en-US"/>
        </w:rPr>
      </w:pPr>
      <w:r w:rsidRPr="003D0514">
        <w:rPr>
          <w:rFonts w:cs="Arial"/>
          <w:szCs w:val="18"/>
          <w:lang w:val="en-US"/>
        </w:rPr>
        <w:t>This process was divided at different times, thus:</w:t>
      </w:r>
    </w:p>
    <w:p w:rsidR="00105F28" w:rsidRPr="003D0514" w:rsidRDefault="00105F28" w:rsidP="00105F28">
      <w:pPr>
        <w:spacing w:line="240" w:lineRule="auto"/>
        <w:rPr>
          <w:rFonts w:cs="Arial"/>
          <w:szCs w:val="18"/>
          <w:lang w:val="en-US"/>
        </w:rPr>
      </w:pPr>
    </w:p>
    <w:p w:rsidR="00B76CD5" w:rsidRDefault="00105F28" w:rsidP="00105F28">
      <w:pPr>
        <w:spacing w:line="240" w:lineRule="auto"/>
        <w:ind w:left="708"/>
        <w:rPr>
          <w:rFonts w:cs="Arial"/>
          <w:szCs w:val="18"/>
          <w:lang w:val="en-US"/>
        </w:rPr>
      </w:pPr>
      <w:r w:rsidRPr="003D0514">
        <w:rPr>
          <w:rFonts w:cs="Arial"/>
          <w:szCs w:val="18"/>
          <w:lang w:val="en-US"/>
        </w:rPr>
        <w:t xml:space="preserve">• </w:t>
      </w:r>
      <w:r w:rsidR="00B76CD5" w:rsidRPr="00B76CD5">
        <w:rPr>
          <w:rFonts w:cs="Arial"/>
          <w:szCs w:val="18"/>
          <w:lang w:val="en-US"/>
        </w:rPr>
        <w:t>Reduction of the size of the raw material with a mill of IKA brand blades and sieving (2 mm sieve).</w:t>
      </w:r>
    </w:p>
    <w:p w:rsidR="00105F28" w:rsidRPr="003D0514" w:rsidRDefault="00105F28" w:rsidP="00105F28">
      <w:pPr>
        <w:spacing w:line="240" w:lineRule="auto"/>
        <w:ind w:left="708"/>
        <w:rPr>
          <w:rFonts w:cs="Arial"/>
          <w:szCs w:val="18"/>
          <w:lang w:val="en-US"/>
        </w:rPr>
      </w:pPr>
      <w:r w:rsidRPr="003D0514">
        <w:rPr>
          <w:rFonts w:cs="Arial"/>
          <w:szCs w:val="18"/>
          <w:lang w:val="en-US"/>
        </w:rPr>
        <w:t>• Manual mixing of the raw materials, according to the formulations described in Table 2 (1kg per mixture).</w:t>
      </w:r>
    </w:p>
    <w:p w:rsidR="00105F28" w:rsidRDefault="00105F28" w:rsidP="00B76CD5">
      <w:pPr>
        <w:spacing w:line="240" w:lineRule="auto"/>
        <w:ind w:left="708"/>
        <w:rPr>
          <w:rFonts w:cs="Arial"/>
          <w:szCs w:val="18"/>
          <w:lang w:val="en-US"/>
        </w:rPr>
      </w:pPr>
      <w:r w:rsidRPr="0068263F">
        <w:rPr>
          <w:rFonts w:cs="Arial"/>
          <w:szCs w:val="18"/>
          <w:lang w:val="en-US"/>
        </w:rPr>
        <w:t>• Moistening to ensure pellet compaction (the amount of water is not important since it is removed during drying and is only a vehicle to form the pellet).</w:t>
      </w:r>
    </w:p>
    <w:p w:rsidR="00B76CD5" w:rsidRPr="00B76CD5" w:rsidRDefault="00B76CD5" w:rsidP="00B76CD5">
      <w:pPr>
        <w:spacing w:line="240" w:lineRule="auto"/>
        <w:ind w:left="708"/>
        <w:rPr>
          <w:rFonts w:cs="Arial"/>
          <w:szCs w:val="18"/>
          <w:lang w:val="en-US"/>
        </w:rPr>
      </w:pPr>
      <w:r w:rsidRPr="00B76CD5">
        <w:rPr>
          <w:rFonts w:cs="Arial"/>
          <w:szCs w:val="18"/>
          <w:lang w:val="en-US"/>
        </w:rPr>
        <w:t>• Pelletization obtaining a compact product of approximately 4 mm in diameter and between 1.50 cm - 1.60 cm in length (SKLN-E200 brand pelletizer).</w:t>
      </w:r>
    </w:p>
    <w:p w:rsidR="00B76CD5" w:rsidRDefault="00B76CD5" w:rsidP="00B76CD5">
      <w:pPr>
        <w:spacing w:line="240" w:lineRule="auto"/>
        <w:ind w:left="708"/>
        <w:rPr>
          <w:rFonts w:cs="Arial"/>
          <w:szCs w:val="18"/>
          <w:lang w:val="en-US"/>
        </w:rPr>
      </w:pPr>
      <w:r w:rsidRPr="00B76CD5">
        <w:rPr>
          <w:rFonts w:cs="Arial"/>
          <w:szCs w:val="18"/>
          <w:lang w:val="en-US"/>
        </w:rPr>
        <w:t>• Drying at 60 ° C in semi-industrial (LabTech brand) forced conversion furnace for 16 h.</w:t>
      </w:r>
    </w:p>
    <w:p w:rsidR="00105F28" w:rsidRPr="0068263F" w:rsidRDefault="00105F28" w:rsidP="00105F28">
      <w:pPr>
        <w:spacing w:line="240" w:lineRule="auto"/>
        <w:rPr>
          <w:rFonts w:cs="Arial"/>
          <w:szCs w:val="18"/>
          <w:lang w:val="en-US"/>
        </w:rPr>
      </w:pPr>
    </w:p>
    <w:p w:rsidR="00105F28" w:rsidRPr="0068263F" w:rsidRDefault="00105F28" w:rsidP="00105F28">
      <w:pPr>
        <w:pStyle w:val="Prrafodelista"/>
        <w:numPr>
          <w:ilvl w:val="1"/>
          <w:numId w:val="22"/>
        </w:numPr>
        <w:spacing w:after="240" w:line="240" w:lineRule="auto"/>
        <w:rPr>
          <w:rFonts w:ascii="Arial" w:eastAsia="Times New Roman" w:hAnsi="Arial" w:cs="Arial"/>
          <w:b/>
          <w:i w:val="0"/>
          <w:iCs w:val="0"/>
          <w:sz w:val="18"/>
          <w:lang w:val="en-US" w:eastAsia="en-US"/>
        </w:rPr>
      </w:pPr>
      <w:r w:rsidRPr="0068263F">
        <w:rPr>
          <w:rFonts w:ascii="Arial" w:eastAsia="Times New Roman" w:hAnsi="Arial" w:cs="Arial"/>
          <w:b/>
          <w:i w:val="0"/>
          <w:iCs w:val="0"/>
          <w:sz w:val="18"/>
          <w:lang w:val="en-US" w:eastAsia="en-US"/>
        </w:rPr>
        <w:t>Physicochemical and mechanical characterization of the processed pellets</w:t>
      </w:r>
    </w:p>
    <w:p w:rsidR="00105F28" w:rsidRPr="0068263F" w:rsidRDefault="00105F28" w:rsidP="00105F28">
      <w:pPr>
        <w:spacing w:line="240" w:lineRule="auto"/>
        <w:rPr>
          <w:rFonts w:cs="Arial"/>
          <w:szCs w:val="18"/>
          <w:lang w:val="en-US"/>
        </w:rPr>
      </w:pPr>
      <w:r w:rsidRPr="0068263F">
        <w:rPr>
          <w:rFonts w:cs="Arial"/>
          <w:szCs w:val="18"/>
          <w:lang w:val="en-US"/>
        </w:rPr>
        <w:t>For each product elaborated, a characterization was made by the physicochemical tests described in Table 1; In addition, mechanical stress tests were carried out to determine the degree of compaction of the pellets.</w:t>
      </w:r>
      <w:r>
        <w:rPr>
          <w:rFonts w:cs="Arial"/>
          <w:szCs w:val="18"/>
          <w:lang w:val="en-US"/>
        </w:rPr>
        <w:t xml:space="preserve"> </w:t>
      </w:r>
      <w:r w:rsidRPr="0068263F">
        <w:rPr>
          <w:rFonts w:cs="Arial"/>
          <w:szCs w:val="18"/>
          <w:lang w:val="en-US"/>
        </w:rPr>
        <w:t>For the mechanical stress analyzes, three samples of the pellets of each mixture were taken for a total of twelve samples; using a universal machine with the use of software (MATHLAB), an effort was made at a speed of 2mm / min at a scale of 0.5 kN, which yielded approximately 2500 data for each sample placed on the disk</w:t>
      </w:r>
      <w:r>
        <w:rPr>
          <w:rFonts w:cs="Arial"/>
          <w:szCs w:val="18"/>
          <w:lang w:val="en-US"/>
        </w:rPr>
        <w:t xml:space="preserve">; </w:t>
      </w:r>
      <w:r w:rsidRPr="0068263F">
        <w:rPr>
          <w:rFonts w:cs="Arial"/>
          <w:szCs w:val="18"/>
          <w:lang w:val="en-US"/>
        </w:rPr>
        <w:t>also, from the data obtained, it was possible to obtain the maximum data (peak) equivalent to the maximum compression force necessary for the deformation of the pellet.</w:t>
      </w:r>
    </w:p>
    <w:p w:rsidR="00105F28" w:rsidRPr="0068263F" w:rsidRDefault="00105F28" w:rsidP="00105F28">
      <w:pPr>
        <w:spacing w:line="240" w:lineRule="auto"/>
        <w:rPr>
          <w:rFonts w:cs="Arial"/>
          <w:szCs w:val="18"/>
          <w:lang w:val="en-US"/>
        </w:rPr>
      </w:pPr>
    </w:p>
    <w:p w:rsidR="00105F28" w:rsidRPr="002A60E8" w:rsidRDefault="00105F28" w:rsidP="00105F28">
      <w:pPr>
        <w:pStyle w:val="Prrafodelista"/>
        <w:numPr>
          <w:ilvl w:val="1"/>
          <w:numId w:val="22"/>
        </w:numPr>
        <w:spacing w:after="175" w:line="240" w:lineRule="auto"/>
        <w:rPr>
          <w:rFonts w:ascii="Arial" w:eastAsia="Times New Roman" w:hAnsi="Arial" w:cs="Arial"/>
          <w:b/>
          <w:i w:val="0"/>
          <w:iCs w:val="0"/>
          <w:sz w:val="18"/>
          <w:lang w:val="en-US" w:eastAsia="en-US"/>
        </w:rPr>
      </w:pPr>
      <w:r w:rsidRPr="0068263F">
        <w:rPr>
          <w:rFonts w:ascii="Arial" w:eastAsia="Times New Roman" w:hAnsi="Arial" w:cs="Arial"/>
          <w:b/>
          <w:i w:val="0"/>
          <w:iCs w:val="0"/>
          <w:sz w:val="18"/>
          <w:lang w:val="en-US" w:eastAsia="en-US"/>
        </w:rPr>
        <w:t>Statistical analysis</w:t>
      </w:r>
    </w:p>
    <w:p w:rsidR="00105F28" w:rsidRPr="0068263F" w:rsidRDefault="00105F28" w:rsidP="00105F28">
      <w:pPr>
        <w:spacing w:after="175" w:line="240" w:lineRule="auto"/>
        <w:rPr>
          <w:rFonts w:cs="Arial"/>
          <w:szCs w:val="18"/>
          <w:lang w:val="en-US"/>
        </w:rPr>
      </w:pPr>
      <w:r w:rsidRPr="0068263F">
        <w:rPr>
          <w:rFonts w:cs="Arial"/>
          <w:szCs w:val="18"/>
          <w:lang w:val="en-US"/>
        </w:rPr>
        <w:t>The physicochemical characterization results, both of the raw material and of the elaborated formulations, were analyzed by means of descriptive statistics through the determination of the average and standard deviation.</w:t>
      </w:r>
      <w:r>
        <w:rPr>
          <w:rFonts w:cs="Arial"/>
          <w:szCs w:val="18"/>
          <w:lang w:val="en-US"/>
        </w:rPr>
        <w:t xml:space="preserve"> </w:t>
      </w:r>
      <w:r w:rsidRPr="00F52324">
        <w:rPr>
          <w:rFonts w:cs="Arial"/>
          <w:szCs w:val="18"/>
          <w:lang w:val="en-US"/>
        </w:rPr>
        <w:t>In the meantime, the possible differences between the physicochemical and mechanical stress results of the four formulations were studied by means of a Variance Analysis and subsequent Tukey test for each variable, with a confidence index of 95%.</w:t>
      </w:r>
      <w:r w:rsidR="00734F0A">
        <w:rPr>
          <w:rFonts w:cs="Arial"/>
          <w:szCs w:val="18"/>
          <w:lang w:val="en-US"/>
        </w:rPr>
        <w:t xml:space="preserve"> </w:t>
      </w:r>
      <w:r w:rsidR="00734F0A" w:rsidRPr="00734F0A">
        <w:rPr>
          <w:rFonts w:cs="Arial"/>
          <w:szCs w:val="18"/>
          <w:lang w:val="en-US"/>
        </w:rPr>
        <w:t>In the figures that are shown in the results from the statistical analysis, the same letters do not differ statistically and different letters show significant statistical differences.</w:t>
      </w:r>
    </w:p>
    <w:p w:rsidR="00105F28" w:rsidRPr="000C61ED" w:rsidRDefault="00105F28" w:rsidP="00105F28">
      <w:pPr>
        <w:pStyle w:val="Prrafodelista"/>
        <w:numPr>
          <w:ilvl w:val="0"/>
          <w:numId w:val="22"/>
        </w:numPr>
        <w:spacing w:line="360" w:lineRule="auto"/>
        <w:rPr>
          <w:rFonts w:ascii="Arial" w:eastAsia="Times New Roman" w:hAnsi="Arial" w:cs="Arial"/>
          <w:b/>
          <w:i w:val="0"/>
          <w:iCs w:val="0"/>
          <w:sz w:val="18"/>
          <w:szCs w:val="18"/>
          <w:lang w:val="en-US" w:eastAsia="en-US"/>
        </w:rPr>
      </w:pPr>
      <w:r w:rsidRPr="008A0F07">
        <w:rPr>
          <w:rFonts w:ascii="Arial" w:eastAsia="Times New Roman" w:hAnsi="Arial" w:cs="Arial"/>
          <w:b/>
          <w:i w:val="0"/>
          <w:iCs w:val="0"/>
          <w:sz w:val="18"/>
          <w:szCs w:val="18"/>
          <w:lang w:val="en-US" w:eastAsia="en-US"/>
        </w:rPr>
        <w:t>Results and discussion</w:t>
      </w:r>
    </w:p>
    <w:p w:rsidR="00686DB4" w:rsidRPr="00686DB4" w:rsidRDefault="00686DB4" w:rsidP="00686DB4">
      <w:pPr>
        <w:pStyle w:val="Prrafodelista"/>
        <w:numPr>
          <w:ilvl w:val="1"/>
          <w:numId w:val="22"/>
        </w:numPr>
        <w:spacing w:after="240" w:line="240" w:lineRule="auto"/>
        <w:rPr>
          <w:rFonts w:ascii="Arial" w:eastAsia="Times New Roman" w:hAnsi="Arial" w:cs="Arial"/>
          <w:b/>
          <w:i w:val="0"/>
          <w:iCs w:val="0"/>
          <w:sz w:val="18"/>
          <w:lang w:val="en-US" w:eastAsia="en-US"/>
        </w:rPr>
      </w:pPr>
      <w:r w:rsidRPr="00686DB4">
        <w:rPr>
          <w:rFonts w:ascii="Arial" w:eastAsia="Times New Roman" w:hAnsi="Arial" w:cs="Arial"/>
          <w:b/>
          <w:i w:val="0"/>
          <w:iCs w:val="0"/>
          <w:sz w:val="18"/>
          <w:lang w:val="en-US" w:eastAsia="en-US"/>
        </w:rPr>
        <w:t>Analysis of raw material</w:t>
      </w:r>
    </w:p>
    <w:p w:rsidR="00105F28" w:rsidRDefault="00105F28" w:rsidP="00105F28">
      <w:pPr>
        <w:spacing w:line="240" w:lineRule="auto"/>
        <w:rPr>
          <w:rFonts w:cs="Arial"/>
          <w:szCs w:val="18"/>
          <w:lang w:val="en-US"/>
        </w:rPr>
      </w:pPr>
      <w:r w:rsidRPr="00F52324">
        <w:rPr>
          <w:rFonts w:cs="Arial"/>
          <w:szCs w:val="18"/>
          <w:lang w:val="en-US"/>
        </w:rPr>
        <w:t>According to the results obtained in the physicochemical characterization of the different raw materials, it was found that the highest percentage of humidity (Figure 1) is found in the stem with 58.56%, differing significantly from the rest of the treatments.</w:t>
      </w:r>
      <w:r>
        <w:rPr>
          <w:rFonts w:cs="Arial"/>
          <w:szCs w:val="18"/>
          <w:lang w:val="en-US"/>
        </w:rPr>
        <w:t xml:space="preserve"> </w:t>
      </w:r>
      <w:r w:rsidRPr="00F52324">
        <w:rPr>
          <w:rFonts w:cs="Arial"/>
          <w:szCs w:val="18"/>
          <w:lang w:val="en-US"/>
        </w:rPr>
        <w:t>This, possibly, due to the fact that in its internal structure it has a soft medulla (parenchyma) that with the development becomes spongy which stores moisture (Suárez-Rivero, D. et al., 2018b; Gómez, 2016).</w:t>
      </w:r>
      <w:r>
        <w:rPr>
          <w:rFonts w:cs="Arial"/>
          <w:szCs w:val="18"/>
          <w:lang w:val="en-US"/>
        </w:rPr>
        <w:t xml:space="preserve"> </w:t>
      </w:r>
      <w:r w:rsidRPr="00F52324">
        <w:rPr>
          <w:rFonts w:cs="Arial"/>
          <w:szCs w:val="18"/>
          <w:lang w:val="en-US"/>
        </w:rPr>
        <w:t>Different results were presented for the other three parts of the plant used as raw material, in which, although it is true, statistical differences are observed, they are few from the mathematical point of view.</w:t>
      </w:r>
      <w:r>
        <w:rPr>
          <w:rFonts w:cs="Arial"/>
          <w:szCs w:val="18"/>
          <w:lang w:val="en-US"/>
        </w:rPr>
        <w:t xml:space="preserve"> </w:t>
      </w:r>
      <w:r w:rsidRPr="00F52324">
        <w:rPr>
          <w:rFonts w:cs="Arial"/>
          <w:szCs w:val="18"/>
          <w:lang w:val="en-US"/>
        </w:rPr>
        <w:t>Additionally, Gómez (2016) states that when the reduction of moisture in the waste is not sufficient with natural drying techniques, forced drying or combination systems of both are resorted to by means of equipment that, through a thermal flow, allows drying up to the desired values.</w:t>
      </w:r>
    </w:p>
    <w:p w:rsidR="00105F28" w:rsidRPr="00C50BDE" w:rsidRDefault="00105F28" w:rsidP="00105F28">
      <w:pPr>
        <w:autoSpaceDE w:val="0"/>
        <w:autoSpaceDN w:val="0"/>
        <w:adjustRightInd w:val="0"/>
        <w:rPr>
          <w:rFonts w:cs="Arial"/>
          <w:color w:val="000000" w:themeColor="text1"/>
          <w:szCs w:val="18"/>
          <w:lang w:val="es-ES"/>
        </w:rPr>
      </w:pPr>
      <w:r>
        <w:rPr>
          <w:noProof/>
          <w:lang w:val="es-CO" w:eastAsia="es-CO"/>
        </w:rPr>
        <w:drawing>
          <wp:inline distT="0" distB="0" distL="0" distR="0" wp14:anchorId="4E53206B" wp14:editId="660F7D2A">
            <wp:extent cx="2787015" cy="2429302"/>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A6467">
        <w:rPr>
          <w:noProof/>
          <w:lang w:val="es-CO" w:eastAsia="es-CO"/>
        </w:rPr>
        <w:t xml:space="preserve"> </w:t>
      </w:r>
      <w:r>
        <w:rPr>
          <w:noProof/>
          <w:lang w:val="es-CO" w:eastAsia="es-CO"/>
        </w:rPr>
        <w:drawing>
          <wp:inline distT="0" distB="0" distL="0" distR="0" wp14:anchorId="7B419B5B" wp14:editId="1EF1EFDE">
            <wp:extent cx="2743200" cy="2395182"/>
            <wp:effectExtent l="0" t="0" r="0" b="57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5F28" w:rsidRDefault="00105F28" w:rsidP="00105F28">
      <w:pPr>
        <w:spacing w:line="360" w:lineRule="auto"/>
        <w:rPr>
          <w:rFonts w:cs="Arial"/>
          <w:color w:val="000000" w:themeColor="text1"/>
          <w:szCs w:val="18"/>
          <w:lang w:val="en-US"/>
        </w:rPr>
      </w:pPr>
      <w:r w:rsidRPr="00CA6BE4">
        <w:rPr>
          <w:rFonts w:cs="Arial"/>
          <w:color w:val="000000" w:themeColor="text1"/>
          <w:szCs w:val="18"/>
          <w:lang w:val="es-CO"/>
        </w:rPr>
        <w:t xml:space="preserve">Figure 1. </w:t>
      </w:r>
      <w:r w:rsidRPr="00CA6BE4">
        <w:rPr>
          <w:rFonts w:cs="Arial"/>
          <w:color w:val="000000" w:themeColor="text1"/>
          <w:szCs w:val="18"/>
          <w:lang w:val="en-US"/>
        </w:rPr>
        <w:t>Moisture behavior.</w:t>
      </w:r>
      <w:r w:rsidRPr="002E5707">
        <w:rPr>
          <w:rFonts w:cs="Arial"/>
          <w:color w:val="000000" w:themeColor="text1"/>
          <w:szCs w:val="18"/>
          <w:lang w:val="en-US"/>
        </w:rPr>
        <w:t xml:space="preserve">             </w:t>
      </w:r>
      <w:r w:rsidRPr="002E5707">
        <w:rPr>
          <w:rFonts w:cs="Arial"/>
          <w:color w:val="000000" w:themeColor="text1"/>
          <w:szCs w:val="18"/>
          <w:lang w:val="en-US"/>
        </w:rPr>
        <w:tab/>
        <w:t xml:space="preserve">                                       Figure 2. Ashes behavior.</w:t>
      </w:r>
    </w:p>
    <w:p w:rsidR="00734F0A" w:rsidRPr="002E5707" w:rsidRDefault="00734F0A" w:rsidP="00105F28">
      <w:pPr>
        <w:spacing w:line="360" w:lineRule="auto"/>
        <w:rPr>
          <w:rFonts w:cs="Arial"/>
          <w:color w:val="000000" w:themeColor="text1"/>
          <w:szCs w:val="18"/>
          <w:lang w:val="en-US"/>
        </w:rPr>
      </w:pPr>
    </w:p>
    <w:p w:rsidR="00105F28" w:rsidRDefault="00105F28" w:rsidP="00105F28">
      <w:pPr>
        <w:rPr>
          <w:rFonts w:cs="Arial"/>
          <w:szCs w:val="18"/>
          <w:lang w:val="en-US"/>
        </w:rPr>
      </w:pPr>
      <w:r w:rsidRPr="00BC18CE">
        <w:rPr>
          <w:rFonts w:cs="Arial"/>
          <w:szCs w:val="18"/>
          <w:lang w:val="en-US"/>
        </w:rPr>
        <w:t>For its part, figure 2 shows a different behavior to figure 1, with the ash behavior being inversely proportional according to the method used. In this sense, it is appreciated that the highest values of ash are presented in the Perigonium, differing significantly from the rest of treatments, reaching 16% of these. Likewise, the Perigonium, as established by Suárez-Rivero, D. (2018b), is mainly made up of fibers with a high content of peptic substances and almost no content of parenchymal tissues.</w:t>
      </w:r>
    </w:p>
    <w:p w:rsidR="00105F28" w:rsidRDefault="00105F28" w:rsidP="00105F28">
      <w:pPr>
        <w:spacing w:line="240" w:lineRule="auto"/>
        <w:rPr>
          <w:rFonts w:cs="Arial"/>
          <w:szCs w:val="18"/>
          <w:lang w:val="en-US"/>
        </w:rPr>
      </w:pPr>
      <w:r w:rsidRPr="00BC18CE">
        <w:rPr>
          <w:rFonts w:cs="Arial"/>
          <w:szCs w:val="18"/>
          <w:lang w:val="en-US"/>
        </w:rPr>
        <w:t>It is noteworthy that the determination of humidity can be the most important dissection carried out in a by-product and, however, it can be the analysis from which it is more difficult to obtain accurate and accurate results. Likewise, the determination of ashes is referred to as the study of inorganic residues that remain after the ignition or complete oxidation of organic matter.</w:t>
      </w:r>
      <w:r>
        <w:rPr>
          <w:rFonts w:cs="Arial"/>
          <w:szCs w:val="18"/>
          <w:lang w:val="en-US"/>
        </w:rPr>
        <w:t xml:space="preserve"> </w:t>
      </w:r>
      <w:r w:rsidRPr="00BC18CE">
        <w:rPr>
          <w:rFonts w:cs="Arial"/>
          <w:szCs w:val="18"/>
          <w:lang w:val="en-US"/>
        </w:rPr>
        <w:t>The remaining ash is the inorganic waste and the measurement of the total ash is useful in the analysis of food, since various minerals contained in the sample can be determined (Rozalino-Santos, 2016; Gómez, 2016).</w:t>
      </w:r>
    </w:p>
    <w:p w:rsidR="00105F28" w:rsidRPr="00BC18CE" w:rsidRDefault="00105F28" w:rsidP="00105F28">
      <w:pPr>
        <w:spacing w:line="240" w:lineRule="auto"/>
        <w:rPr>
          <w:rFonts w:cs="Arial"/>
          <w:szCs w:val="18"/>
          <w:lang w:val="en-US"/>
        </w:rPr>
      </w:pPr>
      <w:r w:rsidRPr="00BC18CE">
        <w:rPr>
          <w:rFonts w:cs="Arial"/>
          <w:color w:val="000000" w:themeColor="text1"/>
          <w:szCs w:val="18"/>
          <w:lang w:val="en-US"/>
        </w:rPr>
        <w:t xml:space="preserve">On the other hand, figure 3 reflects the fat contents according to the source, highlighting the highest values in the leaves. This raw material presented values very close to 14% of fat, differing significantly from the rest of treatments, which may be favored by the development of metabolic processes </w:t>
      </w:r>
      <w:r w:rsidRPr="00BC18CE">
        <w:rPr>
          <w:rFonts w:cs="Arial"/>
          <w:i/>
          <w:color w:val="000000" w:themeColor="text1"/>
          <w:szCs w:val="18"/>
          <w:lang w:val="en-US"/>
        </w:rPr>
        <w:t>in situ</w:t>
      </w:r>
      <w:r w:rsidRPr="00BC18CE">
        <w:rPr>
          <w:rFonts w:cs="Arial"/>
          <w:color w:val="000000" w:themeColor="text1"/>
          <w:szCs w:val="18"/>
          <w:lang w:val="en-US"/>
        </w:rPr>
        <w:t xml:space="preserve"> and by the succulence of the tissues that comprise it.</w:t>
      </w:r>
      <w:r>
        <w:rPr>
          <w:rFonts w:cs="Arial"/>
          <w:color w:val="000000" w:themeColor="text1"/>
          <w:szCs w:val="18"/>
          <w:lang w:val="en-US"/>
        </w:rPr>
        <w:t xml:space="preserve"> </w:t>
      </w:r>
      <w:r w:rsidRPr="00BC18CE">
        <w:rPr>
          <w:rFonts w:cs="Arial"/>
          <w:color w:val="000000" w:themeColor="text1"/>
          <w:szCs w:val="18"/>
          <w:lang w:val="en-US"/>
        </w:rPr>
        <w:t>Another element to highlight in the research is that the stem had the lowest values in fat, apparently determined by the structure-function relationship of this plant organ.</w:t>
      </w:r>
    </w:p>
    <w:p w:rsidR="00105F28" w:rsidRPr="004754ED" w:rsidRDefault="00105F28" w:rsidP="00105F28">
      <w:pPr>
        <w:spacing w:line="360" w:lineRule="auto"/>
        <w:rPr>
          <w:rFonts w:cs="Arial"/>
          <w:color w:val="000000" w:themeColor="text1"/>
          <w:szCs w:val="18"/>
          <w:lang w:val="es-CO"/>
        </w:rPr>
      </w:pPr>
      <w:r>
        <w:rPr>
          <w:noProof/>
          <w:lang w:val="es-CO" w:eastAsia="es-CO"/>
        </w:rPr>
        <w:drawing>
          <wp:inline distT="0" distB="0" distL="0" distR="0" wp14:anchorId="428BCA3A" wp14:editId="07D9DDDA">
            <wp:extent cx="2625725" cy="2565779"/>
            <wp:effectExtent l="0" t="0" r="3175"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51F10">
        <w:rPr>
          <w:noProof/>
          <w:lang w:val="es-CO" w:eastAsia="es-CO"/>
        </w:rPr>
        <w:t xml:space="preserve"> </w:t>
      </w:r>
      <w:r>
        <w:rPr>
          <w:noProof/>
          <w:lang w:val="es-CO" w:eastAsia="es-CO"/>
        </w:rPr>
        <w:drawing>
          <wp:inline distT="0" distB="0" distL="0" distR="0" wp14:anchorId="4C20B24F" wp14:editId="1D6570CB">
            <wp:extent cx="2874645" cy="2511188"/>
            <wp:effectExtent l="0" t="0" r="1905" b="38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5F28" w:rsidRPr="0040041E" w:rsidRDefault="00105F28" w:rsidP="00105F28">
      <w:pPr>
        <w:spacing w:line="360" w:lineRule="auto"/>
        <w:rPr>
          <w:rFonts w:cs="Arial"/>
          <w:color w:val="000000" w:themeColor="text1"/>
          <w:szCs w:val="18"/>
          <w:lang w:val="en-US"/>
        </w:rPr>
      </w:pPr>
      <w:r w:rsidRPr="004754ED">
        <w:rPr>
          <w:rFonts w:cs="Arial"/>
          <w:color w:val="000000" w:themeColor="text1"/>
          <w:szCs w:val="18"/>
          <w:lang w:val="es-CO"/>
        </w:rPr>
        <w:t xml:space="preserve">Figure 3. </w:t>
      </w:r>
      <w:r w:rsidRPr="0040041E">
        <w:rPr>
          <w:rFonts w:cs="Arial"/>
          <w:color w:val="000000" w:themeColor="text1"/>
          <w:szCs w:val="18"/>
          <w:lang w:val="es-CO"/>
        </w:rPr>
        <w:t>Fat behavior</w:t>
      </w:r>
      <w:r w:rsidRPr="004754ED">
        <w:rPr>
          <w:rFonts w:cs="Arial"/>
          <w:color w:val="000000" w:themeColor="text1"/>
          <w:szCs w:val="18"/>
          <w:lang w:val="es-CO"/>
        </w:rPr>
        <w:t xml:space="preserve">.                  </w:t>
      </w:r>
      <w:r>
        <w:rPr>
          <w:rFonts w:cs="Arial"/>
          <w:color w:val="000000" w:themeColor="text1"/>
          <w:szCs w:val="18"/>
          <w:lang w:val="es-CO"/>
        </w:rPr>
        <w:tab/>
      </w:r>
      <w:r w:rsidRPr="004754ED">
        <w:rPr>
          <w:rFonts w:cs="Arial"/>
          <w:color w:val="000000" w:themeColor="text1"/>
          <w:szCs w:val="18"/>
          <w:lang w:val="es-CO"/>
        </w:rPr>
        <w:t xml:space="preserve">     </w:t>
      </w:r>
      <w:r>
        <w:rPr>
          <w:rFonts w:cs="Arial"/>
          <w:color w:val="000000" w:themeColor="text1"/>
          <w:szCs w:val="18"/>
          <w:lang w:val="es-CO"/>
        </w:rPr>
        <w:t xml:space="preserve">                           </w:t>
      </w:r>
      <w:r w:rsidRPr="004754ED">
        <w:rPr>
          <w:rFonts w:cs="Arial"/>
          <w:color w:val="000000" w:themeColor="text1"/>
          <w:szCs w:val="18"/>
          <w:lang w:val="es-CO"/>
        </w:rPr>
        <w:t xml:space="preserve">   </w:t>
      </w:r>
      <w:r w:rsidRPr="00CA6BE4">
        <w:rPr>
          <w:rFonts w:cs="Arial"/>
          <w:color w:val="000000" w:themeColor="text1"/>
          <w:szCs w:val="18"/>
          <w:lang w:val="es-CO"/>
        </w:rPr>
        <w:t xml:space="preserve">Figure 4. </w:t>
      </w:r>
      <w:r w:rsidRPr="00CA6BE4">
        <w:rPr>
          <w:rFonts w:cs="Arial"/>
          <w:color w:val="000000" w:themeColor="text1"/>
          <w:szCs w:val="18"/>
          <w:lang w:val="en-US"/>
        </w:rPr>
        <w:t xml:space="preserve">Raw fiber </w:t>
      </w:r>
      <w:r w:rsidRPr="00E619D8">
        <w:rPr>
          <w:rFonts w:cs="Arial"/>
          <w:color w:val="000000" w:themeColor="text1"/>
          <w:szCs w:val="18"/>
          <w:lang w:val="en-US"/>
        </w:rPr>
        <w:t>behavior.</w:t>
      </w:r>
    </w:p>
    <w:p w:rsidR="00105F28" w:rsidRPr="0040041E" w:rsidRDefault="00105F28" w:rsidP="00105F28">
      <w:pPr>
        <w:spacing w:line="360" w:lineRule="auto"/>
        <w:rPr>
          <w:rFonts w:cs="Arial"/>
          <w:color w:val="000000" w:themeColor="text1"/>
          <w:szCs w:val="18"/>
          <w:lang w:val="en-US"/>
        </w:rPr>
      </w:pPr>
    </w:p>
    <w:p w:rsidR="00105F28" w:rsidRPr="0040041E" w:rsidRDefault="00105F28" w:rsidP="00105F28">
      <w:pPr>
        <w:spacing w:line="240" w:lineRule="auto"/>
        <w:rPr>
          <w:rFonts w:cs="Arial"/>
          <w:color w:val="000000" w:themeColor="text1"/>
          <w:szCs w:val="18"/>
          <w:lang w:val="en-US"/>
        </w:rPr>
      </w:pPr>
      <w:r w:rsidRPr="0040041E">
        <w:rPr>
          <w:rFonts w:cs="Arial"/>
          <w:color w:val="000000" w:themeColor="text1"/>
          <w:szCs w:val="18"/>
          <w:lang w:val="en-US"/>
        </w:rPr>
        <w:t>From another point of view, in the results it was observed that Brushes has a large amount of fiber (18.61%) which means that it has a large non-digestible portion, therefore, the higher its concentration in a given product, the nutritional value will be lower, while the leaf contains 8.21%; indicating that the nutritional value is greater than the other raw materials. Likewise, significant differences were observed between the raw material Brushes with respect to the rest.</w:t>
      </w:r>
    </w:p>
    <w:p w:rsidR="00105F28" w:rsidRDefault="00105F28" w:rsidP="00105F28">
      <w:pPr>
        <w:spacing w:line="240" w:lineRule="auto"/>
        <w:rPr>
          <w:rFonts w:cs="Arial"/>
          <w:color w:val="000000" w:themeColor="text1"/>
          <w:szCs w:val="18"/>
          <w:lang w:val="en-US"/>
        </w:rPr>
      </w:pPr>
      <w:r w:rsidRPr="0040041E">
        <w:rPr>
          <w:rFonts w:cs="Arial"/>
          <w:color w:val="000000" w:themeColor="text1"/>
          <w:szCs w:val="18"/>
          <w:lang w:val="en-US"/>
        </w:rPr>
        <w:t>Authors such as Rozalino-Santos (2016) and Gómez (2016), point out that the Quinoa stem has a high content of proteins, vitamins, minerals and water, among others, which allow that after a process of protein enrichment can be incorporated into the animal feed (cattle, pigs, poultry), thus obtaining concentrates of high nutritional value</w:t>
      </w:r>
      <w:r>
        <w:rPr>
          <w:rFonts w:cs="Arial"/>
          <w:color w:val="000000" w:themeColor="text1"/>
          <w:szCs w:val="18"/>
          <w:lang w:val="en-US"/>
        </w:rPr>
        <w:t>; a</w:t>
      </w:r>
      <w:r w:rsidRPr="003D1276">
        <w:rPr>
          <w:rFonts w:cs="Arial"/>
          <w:color w:val="000000" w:themeColor="text1"/>
          <w:szCs w:val="18"/>
          <w:lang w:val="en-US"/>
        </w:rPr>
        <w:t>dditionally, they note that the stems of this crop turn out to be a source of natural fiber for the production of cellulose, an element of great value from the point of view of biomass; which could be used as a raw material for the manufacture of paper, cardboard and ethanol.</w:t>
      </w:r>
    </w:p>
    <w:p w:rsidR="00F664F9" w:rsidRPr="00F664F9" w:rsidRDefault="00F664F9" w:rsidP="00F664F9">
      <w:pPr>
        <w:spacing w:line="240" w:lineRule="auto"/>
        <w:rPr>
          <w:rFonts w:cs="Arial"/>
          <w:color w:val="000000" w:themeColor="text1"/>
          <w:szCs w:val="18"/>
          <w:lang w:val="en-US"/>
        </w:rPr>
      </w:pPr>
      <w:r w:rsidRPr="00F664F9">
        <w:rPr>
          <w:rFonts w:cs="Arial"/>
          <w:color w:val="000000" w:themeColor="text1"/>
          <w:szCs w:val="18"/>
          <w:lang w:val="en-US"/>
        </w:rPr>
        <w:t>It´s noteworthy that figures 1 to 4 show very low</w:t>
      </w:r>
      <w:r>
        <w:rPr>
          <w:rFonts w:cs="Arial"/>
          <w:color w:val="000000" w:themeColor="text1"/>
          <w:szCs w:val="18"/>
          <w:lang w:val="en-US"/>
        </w:rPr>
        <w:t xml:space="preserve"> </w:t>
      </w:r>
      <w:r w:rsidRPr="00F664F9">
        <w:rPr>
          <w:rFonts w:cs="Arial"/>
          <w:color w:val="000000" w:themeColor="text1"/>
          <w:szCs w:val="18"/>
          <w:lang w:val="en-US"/>
        </w:rPr>
        <w:t>% error between the replicas of the different analyzes. In this sense, the following</w:t>
      </w:r>
      <w:r>
        <w:rPr>
          <w:rFonts w:cs="Arial"/>
          <w:color w:val="000000" w:themeColor="text1"/>
          <w:szCs w:val="18"/>
          <w:lang w:val="en-US"/>
        </w:rPr>
        <w:t xml:space="preserve"> </w:t>
      </w:r>
      <w:r w:rsidRPr="00F664F9">
        <w:rPr>
          <w:rFonts w:cs="Arial"/>
          <w:color w:val="000000" w:themeColor="text1"/>
          <w:szCs w:val="18"/>
          <w:lang w:val="en-US"/>
        </w:rPr>
        <w:t>% error can be indicated for the leaf, the perigonium, the brush and the stem:</w:t>
      </w:r>
    </w:p>
    <w:p w:rsidR="00F664F9" w:rsidRPr="00F664F9" w:rsidRDefault="00F664F9" w:rsidP="00F664F9">
      <w:pPr>
        <w:pStyle w:val="Prrafodelista"/>
        <w:numPr>
          <w:ilvl w:val="0"/>
          <w:numId w:val="23"/>
        </w:numPr>
        <w:spacing w:line="240" w:lineRule="auto"/>
        <w:jc w:val="left"/>
        <w:rPr>
          <w:rFonts w:ascii="Arial" w:hAnsi="Arial" w:cs="Arial"/>
          <w:i w:val="0"/>
          <w:color w:val="000000" w:themeColor="text1"/>
          <w:sz w:val="18"/>
          <w:szCs w:val="18"/>
          <w:lang w:val="en-US"/>
        </w:rPr>
      </w:pPr>
      <w:r w:rsidRPr="00F664F9">
        <w:rPr>
          <w:rFonts w:ascii="Arial" w:hAnsi="Arial" w:cs="Arial"/>
          <w:i w:val="0"/>
          <w:color w:val="000000" w:themeColor="text1"/>
          <w:sz w:val="18"/>
          <w:szCs w:val="18"/>
          <w:lang w:val="en-US"/>
        </w:rPr>
        <w:t>Moisture behavior presented a 0.27, 0.16, 0.92 and 0.31</w:t>
      </w:r>
      <w:r>
        <w:rPr>
          <w:rFonts w:ascii="Arial" w:hAnsi="Arial" w:cs="Arial"/>
          <w:i w:val="0"/>
          <w:color w:val="000000" w:themeColor="text1"/>
          <w:sz w:val="18"/>
          <w:szCs w:val="18"/>
          <w:lang w:val="en-US"/>
        </w:rPr>
        <w:t xml:space="preserve"> </w:t>
      </w:r>
      <w:r w:rsidRPr="00F664F9">
        <w:rPr>
          <w:rFonts w:ascii="Arial" w:hAnsi="Arial" w:cs="Arial"/>
          <w:i w:val="0"/>
          <w:color w:val="000000" w:themeColor="text1"/>
          <w:sz w:val="18"/>
          <w:szCs w:val="18"/>
          <w:lang w:val="en-US"/>
        </w:rPr>
        <w:t>% error respectively.</w:t>
      </w:r>
    </w:p>
    <w:p w:rsidR="00F664F9" w:rsidRPr="00F664F9" w:rsidRDefault="00F664F9" w:rsidP="00F664F9">
      <w:pPr>
        <w:pStyle w:val="Prrafodelista"/>
        <w:numPr>
          <w:ilvl w:val="0"/>
          <w:numId w:val="23"/>
        </w:numPr>
        <w:spacing w:line="240" w:lineRule="auto"/>
        <w:jc w:val="left"/>
        <w:rPr>
          <w:rFonts w:ascii="Arial" w:hAnsi="Arial" w:cs="Arial"/>
          <w:i w:val="0"/>
          <w:color w:val="000000" w:themeColor="text1"/>
          <w:sz w:val="18"/>
          <w:szCs w:val="18"/>
          <w:lang w:val="en-US"/>
        </w:rPr>
      </w:pPr>
      <w:r w:rsidRPr="00F664F9">
        <w:rPr>
          <w:rFonts w:ascii="Arial" w:hAnsi="Arial" w:cs="Arial"/>
          <w:i w:val="0"/>
          <w:color w:val="000000" w:themeColor="text1"/>
          <w:sz w:val="18"/>
          <w:szCs w:val="18"/>
          <w:lang w:val="en-US"/>
        </w:rPr>
        <w:t>Ashes behavior presented a 1.03, 2.8, 1.25 and 3.4</w:t>
      </w:r>
      <w:r>
        <w:rPr>
          <w:rFonts w:ascii="Arial" w:hAnsi="Arial" w:cs="Arial"/>
          <w:i w:val="0"/>
          <w:color w:val="000000" w:themeColor="text1"/>
          <w:sz w:val="18"/>
          <w:szCs w:val="18"/>
          <w:lang w:val="en-US"/>
        </w:rPr>
        <w:t xml:space="preserve"> </w:t>
      </w:r>
      <w:r w:rsidRPr="00F664F9">
        <w:rPr>
          <w:rFonts w:ascii="Arial" w:hAnsi="Arial" w:cs="Arial"/>
          <w:i w:val="0"/>
          <w:color w:val="000000" w:themeColor="text1"/>
          <w:sz w:val="18"/>
          <w:szCs w:val="18"/>
          <w:lang w:val="en-US"/>
        </w:rPr>
        <w:t>% error respectively.</w:t>
      </w:r>
    </w:p>
    <w:p w:rsidR="00F664F9" w:rsidRPr="00F664F9" w:rsidRDefault="00F664F9" w:rsidP="00F664F9">
      <w:pPr>
        <w:pStyle w:val="Prrafodelista"/>
        <w:numPr>
          <w:ilvl w:val="0"/>
          <w:numId w:val="23"/>
        </w:numPr>
        <w:spacing w:line="240" w:lineRule="auto"/>
        <w:jc w:val="left"/>
        <w:rPr>
          <w:rFonts w:ascii="Arial" w:hAnsi="Arial" w:cs="Arial"/>
          <w:i w:val="0"/>
          <w:color w:val="000000" w:themeColor="text1"/>
          <w:sz w:val="18"/>
          <w:szCs w:val="18"/>
          <w:lang w:val="en-US"/>
        </w:rPr>
      </w:pPr>
      <w:r w:rsidRPr="00F664F9">
        <w:rPr>
          <w:rFonts w:ascii="Arial" w:hAnsi="Arial" w:cs="Arial"/>
          <w:i w:val="0"/>
          <w:color w:val="000000" w:themeColor="text1"/>
          <w:sz w:val="18"/>
          <w:szCs w:val="18"/>
          <w:lang w:val="en-US"/>
        </w:rPr>
        <w:t>Fat behavior presented a 7.1, 5.8, 5.4 and 6.9</w:t>
      </w:r>
      <w:r>
        <w:rPr>
          <w:rFonts w:ascii="Arial" w:hAnsi="Arial" w:cs="Arial"/>
          <w:i w:val="0"/>
          <w:color w:val="000000" w:themeColor="text1"/>
          <w:sz w:val="18"/>
          <w:szCs w:val="18"/>
          <w:lang w:val="en-US"/>
        </w:rPr>
        <w:t xml:space="preserve"> </w:t>
      </w:r>
      <w:r w:rsidRPr="00F664F9">
        <w:rPr>
          <w:rFonts w:ascii="Arial" w:hAnsi="Arial" w:cs="Arial"/>
          <w:i w:val="0"/>
          <w:color w:val="000000" w:themeColor="text1"/>
          <w:sz w:val="18"/>
          <w:szCs w:val="18"/>
          <w:lang w:val="en-US"/>
        </w:rPr>
        <w:t>% error respectively.</w:t>
      </w:r>
    </w:p>
    <w:p w:rsidR="00F664F9" w:rsidRPr="00F664F9" w:rsidRDefault="00F664F9" w:rsidP="00F664F9">
      <w:pPr>
        <w:pStyle w:val="Prrafodelista"/>
        <w:numPr>
          <w:ilvl w:val="0"/>
          <w:numId w:val="23"/>
        </w:numPr>
        <w:spacing w:line="240" w:lineRule="auto"/>
        <w:jc w:val="left"/>
        <w:rPr>
          <w:rFonts w:ascii="Arial" w:hAnsi="Arial" w:cs="Arial"/>
          <w:i w:val="0"/>
          <w:color w:val="000000" w:themeColor="text1"/>
          <w:sz w:val="18"/>
          <w:szCs w:val="18"/>
          <w:lang w:val="en-US"/>
        </w:rPr>
      </w:pPr>
      <w:r w:rsidRPr="00F664F9">
        <w:rPr>
          <w:rFonts w:ascii="Arial" w:hAnsi="Arial" w:cs="Arial"/>
          <w:i w:val="0"/>
          <w:color w:val="000000" w:themeColor="text1"/>
          <w:sz w:val="18"/>
          <w:szCs w:val="18"/>
          <w:lang w:val="en-US"/>
        </w:rPr>
        <w:t>Raw fiber behavior presented a 6.9, 7.4, 4.6 and 8.5</w:t>
      </w:r>
      <w:r>
        <w:rPr>
          <w:rFonts w:ascii="Arial" w:hAnsi="Arial" w:cs="Arial"/>
          <w:i w:val="0"/>
          <w:color w:val="000000" w:themeColor="text1"/>
          <w:sz w:val="18"/>
          <w:szCs w:val="18"/>
          <w:lang w:val="en-US"/>
        </w:rPr>
        <w:t xml:space="preserve"> </w:t>
      </w:r>
      <w:r w:rsidRPr="00F664F9">
        <w:rPr>
          <w:rFonts w:ascii="Arial" w:hAnsi="Arial" w:cs="Arial"/>
          <w:i w:val="0"/>
          <w:color w:val="000000" w:themeColor="text1"/>
          <w:sz w:val="18"/>
          <w:szCs w:val="18"/>
          <w:lang w:val="en-US"/>
        </w:rPr>
        <w:t>% error respectively.</w:t>
      </w:r>
    </w:p>
    <w:p w:rsidR="00105F28" w:rsidRPr="00C2525C" w:rsidRDefault="00105F28" w:rsidP="00105F28">
      <w:pPr>
        <w:spacing w:line="240" w:lineRule="auto"/>
        <w:rPr>
          <w:rFonts w:cs="Arial"/>
          <w:color w:val="000000" w:themeColor="text1"/>
          <w:szCs w:val="18"/>
          <w:lang w:val="en-US"/>
        </w:rPr>
      </w:pPr>
    </w:p>
    <w:p w:rsidR="00105F28" w:rsidRPr="00C2525C" w:rsidRDefault="00105F28" w:rsidP="00105F28">
      <w:pPr>
        <w:pStyle w:val="Prrafodelista"/>
        <w:numPr>
          <w:ilvl w:val="1"/>
          <w:numId w:val="22"/>
        </w:numPr>
        <w:spacing w:line="240" w:lineRule="auto"/>
        <w:rPr>
          <w:rFonts w:ascii="Arial" w:eastAsia="Times New Roman" w:hAnsi="Arial" w:cs="Arial"/>
          <w:b/>
          <w:i w:val="0"/>
          <w:iCs w:val="0"/>
          <w:color w:val="000000" w:themeColor="text1"/>
          <w:sz w:val="18"/>
          <w:szCs w:val="18"/>
          <w:lang w:val="en-US" w:eastAsia="en-US"/>
        </w:rPr>
      </w:pPr>
      <w:r w:rsidRPr="00C2525C">
        <w:rPr>
          <w:rFonts w:ascii="Arial" w:eastAsia="Times New Roman" w:hAnsi="Arial" w:cs="Arial"/>
          <w:b/>
          <w:i w:val="0"/>
          <w:iCs w:val="0"/>
          <w:color w:val="000000" w:themeColor="text1"/>
          <w:sz w:val="18"/>
          <w:szCs w:val="18"/>
          <w:lang w:val="en-US" w:eastAsia="en-US"/>
        </w:rPr>
        <w:t>Physicochemical and mechanical analysis of pellets</w:t>
      </w:r>
    </w:p>
    <w:p w:rsidR="00105F28" w:rsidRPr="00C2525C" w:rsidRDefault="00105F28" w:rsidP="00105F28">
      <w:pPr>
        <w:spacing w:before="240" w:line="240" w:lineRule="auto"/>
        <w:rPr>
          <w:lang w:val="en-US"/>
        </w:rPr>
      </w:pPr>
      <w:r w:rsidRPr="00C2525C">
        <w:rPr>
          <w:lang w:val="en-US"/>
        </w:rPr>
        <w:t>The physical transformation processes of the residual biomass represent a technical and economic challenge for the energy use of these materials, which, due to their heterogeneity, present high management costs and difficulty in the development of the technology making expensive and conditioning the projects potentially feasible in the renewable energy sector.</w:t>
      </w:r>
    </w:p>
    <w:p w:rsidR="00105F28" w:rsidRDefault="00105F28" w:rsidP="00734F0A">
      <w:pPr>
        <w:keepNext/>
        <w:tabs>
          <w:tab w:val="clear" w:pos="7100"/>
        </w:tabs>
        <w:spacing w:line="240" w:lineRule="auto"/>
        <w:ind w:right="8" w:hanging="10"/>
        <w:rPr>
          <w:lang w:val="en-US"/>
        </w:rPr>
      </w:pPr>
      <w:bookmarkStart w:id="2" w:name="_Toc517801289"/>
      <w:r w:rsidRPr="00C2525C">
        <w:rPr>
          <w:lang w:val="en-US"/>
        </w:rPr>
        <w:t>Therefore, after manufacturing the pellets under the described methodology, when performing a detailed analysis of Table 3, it was noted that the physicochemical characteristics, for the four formulations, show that the variables analyzed (% moisture and Fiber) are those showed some degree of statistically significant differences between treatments, with mixtures 1 and 2 having the lowest moisture content and 4 having the highest fiber content.</w:t>
      </w:r>
    </w:p>
    <w:bookmarkEnd w:id="2"/>
    <w:p w:rsidR="00105F28" w:rsidRPr="00947CB9" w:rsidRDefault="00105F28" w:rsidP="00105F28">
      <w:pPr>
        <w:keepNext/>
        <w:tabs>
          <w:tab w:val="clear" w:pos="7100"/>
        </w:tabs>
        <w:spacing w:before="240" w:after="200" w:line="240" w:lineRule="auto"/>
        <w:ind w:right="8" w:hanging="10"/>
        <w:rPr>
          <w:rFonts w:eastAsia="Verdana" w:cs="Arial"/>
          <w:i/>
          <w:iCs/>
          <w:color w:val="000000"/>
          <w:szCs w:val="18"/>
          <w:lang w:val="en-US" w:eastAsia="es-CO"/>
        </w:rPr>
      </w:pPr>
      <w:r w:rsidRPr="006B554F">
        <w:rPr>
          <w:rFonts w:eastAsia="Verdana" w:cs="Arial"/>
          <w:i/>
          <w:iCs/>
          <w:color w:val="000000"/>
          <w:szCs w:val="18"/>
          <w:lang w:val="en-US" w:eastAsia="es-CO"/>
        </w:rPr>
        <w:t>Table 3: Physicochemical characterization of each mixture</w:t>
      </w:r>
      <w:r w:rsidR="0021309D">
        <w:rPr>
          <w:rFonts w:eastAsia="Verdana" w:cs="Arial"/>
          <w:i/>
          <w:iCs/>
          <w:color w:val="000000"/>
          <w:szCs w:val="18"/>
          <w:lang w:val="en-US" w:eastAsia="es-CO"/>
        </w:rPr>
        <w:t xml:space="preserve"> </w:t>
      </w:r>
    </w:p>
    <w:tbl>
      <w:tblPr>
        <w:tblStyle w:val="Sombreadoclaro-nfasis1"/>
        <w:tblpPr w:leftFromText="141" w:rightFromText="141" w:vertAnchor="text" w:tblpY="1"/>
        <w:tblOverlap w:val="never"/>
        <w:tblW w:w="5993" w:type="dxa"/>
        <w:tblLook w:val="0660" w:firstRow="1" w:lastRow="1" w:firstColumn="0" w:lastColumn="0" w:noHBand="1" w:noVBand="1"/>
      </w:tblPr>
      <w:tblGrid>
        <w:gridCol w:w="1097"/>
        <w:gridCol w:w="1247"/>
        <w:gridCol w:w="1354"/>
        <w:gridCol w:w="1283"/>
        <w:gridCol w:w="1497"/>
      </w:tblGrid>
      <w:tr w:rsidR="00105F28" w:rsidRPr="00380981" w:rsidTr="003E5744">
        <w:trPr>
          <w:cnfStyle w:val="100000000000" w:firstRow="1" w:lastRow="0" w:firstColumn="0" w:lastColumn="0" w:oddVBand="0" w:evenVBand="0" w:oddHBand="0" w:evenHBand="0" w:firstRowFirstColumn="0" w:firstRowLastColumn="0" w:lastRowFirstColumn="0" w:lastRowLastColumn="0"/>
          <w:trHeight w:val="265"/>
        </w:trPr>
        <w:tc>
          <w:tcPr>
            <w:tcW w:w="0" w:type="auto"/>
            <w:tcBorders>
              <w:top w:val="single" w:sz="18" w:space="0" w:color="00B050"/>
              <w:bottom w:val="single" w:sz="8" w:space="0" w:color="00B050"/>
            </w:tcBorders>
            <w:noWrap/>
            <w:vAlign w:val="center"/>
            <w:hideMark/>
          </w:tcPr>
          <w:p w:rsidR="00105F28" w:rsidRPr="00380981" w:rsidRDefault="00105F28" w:rsidP="003E5744">
            <w:pPr>
              <w:tabs>
                <w:tab w:val="clear" w:pos="7100"/>
              </w:tabs>
              <w:spacing w:line="240" w:lineRule="auto"/>
              <w:ind w:left="142" w:right="8" w:hanging="10"/>
              <w:jc w:val="center"/>
              <w:rPr>
                <w:rFonts w:eastAsia="Verdana" w:cs="Arial"/>
                <w:color w:val="000000"/>
                <w:szCs w:val="18"/>
                <w:lang w:val="es-CO"/>
              </w:rPr>
            </w:pPr>
            <w:r>
              <w:rPr>
                <w:rFonts w:eastAsia="Verdana" w:cs="Arial"/>
                <w:color w:val="000000"/>
                <w:szCs w:val="18"/>
                <w:lang w:val="es-CO"/>
              </w:rPr>
              <w:t>Mixtures</w:t>
            </w:r>
          </w:p>
        </w:tc>
        <w:tc>
          <w:tcPr>
            <w:tcW w:w="0" w:type="auto"/>
            <w:tcBorders>
              <w:top w:val="single" w:sz="18" w:space="0" w:color="00B050"/>
              <w:bottom w:val="single" w:sz="8" w:space="0" w:color="00B050"/>
            </w:tcBorders>
            <w:noWrap/>
            <w:vAlign w:val="center"/>
            <w:hideMark/>
          </w:tcPr>
          <w:p w:rsidR="00105F28" w:rsidRPr="00380981" w:rsidRDefault="00105F28" w:rsidP="003E5744">
            <w:pPr>
              <w:tabs>
                <w:tab w:val="clear" w:pos="7100"/>
              </w:tabs>
              <w:spacing w:line="240" w:lineRule="auto"/>
              <w:ind w:right="8"/>
              <w:jc w:val="center"/>
              <w:rPr>
                <w:rFonts w:cs="Arial"/>
                <w:color w:val="000000"/>
                <w:szCs w:val="18"/>
                <w:lang w:val="es-CO"/>
              </w:rPr>
            </w:pPr>
            <w:r w:rsidRPr="00C2525C">
              <w:rPr>
                <w:rFonts w:cs="Arial"/>
                <w:color w:val="000000"/>
                <w:szCs w:val="18"/>
                <w:lang w:val="es-ES"/>
              </w:rPr>
              <w:t>Humidity</w:t>
            </w:r>
          </w:p>
        </w:tc>
        <w:tc>
          <w:tcPr>
            <w:tcW w:w="0" w:type="auto"/>
            <w:tcBorders>
              <w:top w:val="single" w:sz="18" w:space="0" w:color="00B050"/>
              <w:bottom w:val="single" w:sz="8" w:space="0" w:color="00B050"/>
            </w:tcBorders>
            <w:noWrap/>
            <w:vAlign w:val="center"/>
            <w:hideMark/>
          </w:tcPr>
          <w:p w:rsidR="00105F28" w:rsidRPr="00380981" w:rsidRDefault="00105F28" w:rsidP="003E5744">
            <w:pPr>
              <w:tabs>
                <w:tab w:val="clear" w:pos="7100"/>
              </w:tabs>
              <w:spacing w:line="240" w:lineRule="auto"/>
              <w:ind w:left="23" w:right="8" w:hanging="10"/>
              <w:jc w:val="center"/>
              <w:rPr>
                <w:rFonts w:cs="Arial"/>
                <w:color w:val="000000"/>
                <w:szCs w:val="18"/>
                <w:lang w:val="es-CO"/>
              </w:rPr>
            </w:pPr>
            <w:r w:rsidRPr="00C2525C">
              <w:rPr>
                <w:rFonts w:cs="Arial"/>
                <w:color w:val="000000"/>
                <w:szCs w:val="18"/>
                <w:lang w:val="es-ES"/>
              </w:rPr>
              <w:t>Ashes</w:t>
            </w:r>
          </w:p>
        </w:tc>
        <w:tc>
          <w:tcPr>
            <w:tcW w:w="0" w:type="auto"/>
            <w:tcBorders>
              <w:top w:val="single" w:sz="18" w:space="0" w:color="00B050"/>
              <w:bottom w:val="single" w:sz="8" w:space="0" w:color="00B050"/>
            </w:tcBorders>
            <w:noWrap/>
            <w:vAlign w:val="center"/>
            <w:hideMark/>
          </w:tcPr>
          <w:p w:rsidR="00105F28" w:rsidRPr="00380981" w:rsidRDefault="00105F28" w:rsidP="003E5744">
            <w:pPr>
              <w:tabs>
                <w:tab w:val="clear" w:pos="7100"/>
              </w:tabs>
              <w:spacing w:line="240" w:lineRule="auto"/>
              <w:ind w:left="52" w:right="8" w:hanging="10"/>
              <w:jc w:val="center"/>
              <w:rPr>
                <w:rFonts w:cs="Arial"/>
                <w:color w:val="000000"/>
                <w:szCs w:val="18"/>
                <w:lang w:val="es-CO"/>
              </w:rPr>
            </w:pPr>
            <w:r w:rsidRPr="00C2525C">
              <w:rPr>
                <w:rFonts w:cs="Arial"/>
                <w:color w:val="000000"/>
                <w:szCs w:val="18"/>
                <w:lang w:val="es-ES"/>
              </w:rPr>
              <w:t>Grease</w:t>
            </w:r>
          </w:p>
        </w:tc>
        <w:tc>
          <w:tcPr>
            <w:tcW w:w="0" w:type="auto"/>
            <w:tcBorders>
              <w:top w:val="single" w:sz="18" w:space="0" w:color="00B050"/>
              <w:bottom w:val="single" w:sz="8" w:space="0" w:color="00B050"/>
            </w:tcBorders>
            <w:noWrap/>
            <w:vAlign w:val="center"/>
            <w:hideMark/>
          </w:tcPr>
          <w:p w:rsidR="00105F28" w:rsidRPr="00380981" w:rsidRDefault="00105F28" w:rsidP="003E5744">
            <w:pPr>
              <w:tabs>
                <w:tab w:val="clear" w:pos="7100"/>
              </w:tabs>
              <w:spacing w:line="240" w:lineRule="auto"/>
              <w:ind w:left="60" w:right="8" w:hanging="10"/>
              <w:jc w:val="center"/>
              <w:rPr>
                <w:rFonts w:cs="Arial"/>
                <w:color w:val="000000"/>
                <w:szCs w:val="18"/>
                <w:lang w:val="es-CO"/>
              </w:rPr>
            </w:pPr>
            <w:r w:rsidRPr="00C2525C">
              <w:rPr>
                <w:rFonts w:cs="Arial"/>
                <w:color w:val="000000"/>
                <w:szCs w:val="18"/>
                <w:lang w:val="es-ES"/>
              </w:rPr>
              <w:t>Fiber</w:t>
            </w:r>
          </w:p>
        </w:tc>
      </w:tr>
      <w:tr w:rsidR="00105F28" w:rsidRPr="00380981" w:rsidTr="003E5744">
        <w:trPr>
          <w:trHeight w:val="265"/>
        </w:trPr>
        <w:tc>
          <w:tcPr>
            <w:tcW w:w="0" w:type="auto"/>
            <w:tcBorders>
              <w:top w:val="single" w:sz="8" w:space="0" w:color="00B050"/>
              <w:bottom w:val="nil"/>
            </w:tcBorders>
            <w:noWrap/>
            <w:vAlign w:val="center"/>
            <w:hideMark/>
          </w:tcPr>
          <w:p w:rsidR="00105F28" w:rsidRPr="00380981" w:rsidRDefault="00105F28" w:rsidP="003E5744">
            <w:pPr>
              <w:tabs>
                <w:tab w:val="clear" w:pos="7100"/>
              </w:tabs>
              <w:spacing w:line="240" w:lineRule="auto"/>
              <w:ind w:left="142" w:right="8" w:hanging="10"/>
              <w:jc w:val="center"/>
              <w:rPr>
                <w:rFonts w:cs="Arial"/>
                <w:color w:val="000000"/>
                <w:szCs w:val="18"/>
                <w:lang w:val="es-CO"/>
              </w:rPr>
            </w:pPr>
            <w:r w:rsidRPr="00380981">
              <w:rPr>
                <w:rFonts w:cs="Arial"/>
                <w:color w:val="000000"/>
                <w:szCs w:val="18"/>
                <w:lang w:val="es-ES"/>
              </w:rPr>
              <w:t>1</w:t>
            </w:r>
          </w:p>
        </w:tc>
        <w:tc>
          <w:tcPr>
            <w:tcW w:w="0" w:type="auto"/>
            <w:tcBorders>
              <w:top w:val="single" w:sz="8" w:space="0" w:color="00B050"/>
              <w:bottom w:val="nil"/>
            </w:tcBorders>
            <w:noWrap/>
            <w:vAlign w:val="center"/>
            <w:hideMark/>
          </w:tcPr>
          <w:p w:rsidR="00105F28" w:rsidRPr="00380981" w:rsidRDefault="00105F28" w:rsidP="003E5744">
            <w:pPr>
              <w:tabs>
                <w:tab w:val="clear" w:pos="7100"/>
              </w:tabs>
              <w:spacing w:line="240" w:lineRule="auto"/>
              <w:ind w:right="8"/>
              <w:rPr>
                <w:rFonts w:cs="Arial"/>
                <w:color w:val="000000"/>
                <w:szCs w:val="18"/>
                <w:lang w:val="es-CO"/>
              </w:rPr>
            </w:pPr>
            <w:r w:rsidRPr="00380981">
              <w:rPr>
                <w:rFonts w:eastAsia="Verdana" w:cs="Arial"/>
                <w:color w:val="000000"/>
                <w:szCs w:val="18"/>
                <w:lang w:val="es-CO"/>
              </w:rPr>
              <w:t xml:space="preserve">5,63 ± 0,37 </w:t>
            </w:r>
            <w:r w:rsidRPr="00380981">
              <w:rPr>
                <w:rFonts w:eastAsia="Verdana" w:cs="Arial"/>
                <w:color w:val="000000"/>
                <w:szCs w:val="18"/>
                <w:vertAlign w:val="superscript"/>
                <w:lang w:val="es-CO"/>
              </w:rPr>
              <w:t>a</w:t>
            </w:r>
          </w:p>
        </w:tc>
        <w:tc>
          <w:tcPr>
            <w:tcW w:w="0" w:type="auto"/>
            <w:tcBorders>
              <w:top w:val="single" w:sz="8" w:space="0" w:color="00B050"/>
              <w:bottom w:val="nil"/>
            </w:tcBorders>
            <w:noWrap/>
            <w:vAlign w:val="center"/>
            <w:hideMark/>
          </w:tcPr>
          <w:p w:rsidR="00105F28" w:rsidRPr="00380981" w:rsidRDefault="00105F28" w:rsidP="003E5744">
            <w:pPr>
              <w:tabs>
                <w:tab w:val="clear" w:pos="7100"/>
              </w:tabs>
              <w:spacing w:line="240" w:lineRule="auto"/>
              <w:ind w:left="23" w:right="8" w:hanging="10"/>
              <w:rPr>
                <w:rFonts w:cs="Arial"/>
                <w:color w:val="000000"/>
                <w:szCs w:val="18"/>
                <w:lang w:val="es-CO"/>
              </w:rPr>
            </w:pPr>
            <w:r w:rsidRPr="00380981">
              <w:rPr>
                <w:rFonts w:eastAsia="Verdana" w:cs="Arial"/>
                <w:color w:val="000000"/>
                <w:szCs w:val="18"/>
                <w:lang w:val="es-CO"/>
              </w:rPr>
              <w:t xml:space="preserve">15,80 ± 1,51 </w:t>
            </w:r>
            <w:r w:rsidRPr="00380981">
              <w:rPr>
                <w:rFonts w:eastAsia="Verdana" w:cs="Arial"/>
                <w:color w:val="000000"/>
                <w:szCs w:val="18"/>
                <w:vertAlign w:val="superscript"/>
                <w:lang w:val="es-CO"/>
              </w:rPr>
              <w:t>a</w:t>
            </w:r>
          </w:p>
        </w:tc>
        <w:tc>
          <w:tcPr>
            <w:tcW w:w="0" w:type="auto"/>
            <w:tcBorders>
              <w:top w:val="single" w:sz="8" w:space="0" w:color="00B050"/>
              <w:bottom w:val="nil"/>
            </w:tcBorders>
            <w:noWrap/>
            <w:vAlign w:val="center"/>
            <w:hideMark/>
          </w:tcPr>
          <w:p w:rsidR="00105F28" w:rsidRPr="00380981" w:rsidRDefault="00105F28" w:rsidP="003E5744">
            <w:pPr>
              <w:tabs>
                <w:tab w:val="clear" w:pos="7100"/>
              </w:tabs>
              <w:spacing w:line="240" w:lineRule="auto"/>
              <w:ind w:left="52" w:right="8" w:hanging="10"/>
              <w:rPr>
                <w:rFonts w:cs="Arial"/>
                <w:color w:val="000000"/>
                <w:szCs w:val="18"/>
                <w:lang w:val="es-CO"/>
              </w:rPr>
            </w:pPr>
            <w:r w:rsidRPr="00380981">
              <w:rPr>
                <w:rFonts w:eastAsia="Verdana" w:cs="Arial"/>
                <w:color w:val="000000"/>
                <w:szCs w:val="18"/>
                <w:lang w:val="es-CO"/>
              </w:rPr>
              <w:t xml:space="preserve">1,80 ± 0,85 </w:t>
            </w:r>
            <w:r w:rsidRPr="00380981">
              <w:rPr>
                <w:rFonts w:eastAsia="Verdana" w:cs="Arial"/>
                <w:color w:val="000000"/>
                <w:szCs w:val="18"/>
                <w:vertAlign w:val="superscript"/>
                <w:lang w:val="es-CO"/>
              </w:rPr>
              <w:t>a</w:t>
            </w:r>
          </w:p>
        </w:tc>
        <w:tc>
          <w:tcPr>
            <w:tcW w:w="0" w:type="auto"/>
            <w:tcBorders>
              <w:top w:val="single" w:sz="8" w:space="0" w:color="00B050"/>
              <w:bottom w:val="nil"/>
            </w:tcBorders>
            <w:noWrap/>
            <w:vAlign w:val="center"/>
            <w:hideMark/>
          </w:tcPr>
          <w:p w:rsidR="00105F28" w:rsidRPr="00380981" w:rsidRDefault="00105F28" w:rsidP="003E5744">
            <w:pPr>
              <w:tabs>
                <w:tab w:val="clear" w:pos="7100"/>
              </w:tabs>
              <w:spacing w:line="240" w:lineRule="auto"/>
              <w:ind w:left="60" w:right="8" w:hanging="10"/>
              <w:rPr>
                <w:rFonts w:cs="Arial"/>
                <w:color w:val="000000"/>
                <w:szCs w:val="18"/>
                <w:lang w:val="es-CO"/>
              </w:rPr>
            </w:pPr>
            <w:r w:rsidRPr="00380981">
              <w:rPr>
                <w:rFonts w:eastAsia="Verdana" w:cs="Arial"/>
                <w:color w:val="000000"/>
                <w:szCs w:val="18"/>
                <w:lang w:val="es-CO"/>
              </w:rPr>
              <w:t xml:space="preserve">28,14 ± 7,73 </w:t>
            </w:r>
            <w:r w:rsidRPr="00380981">
              <w:rPr>
                <w:rFonts w:eastAsia="Verdana" w:cs="Arial"/>
                <w:color w:val="000000"/>
                <w:szCs w:val="18"/>
                <w:vertAlign w:val="superscript"/>
                <w:lang w:val="es-CO"/>
              </w:rPr>
              <w:t>a</w:t>
            </w:r>
          </w:p>
        </w:tc>
      </w:tr>
      <w:tr w:rsidR="00105F28" w:rsidRPr="00380981" w:rsidTr="003E5744">
        <w:trPr>
          <w:trHeight w:val="265"/>
        </w:trPr>
        <w:tc>
          <w:tcPr>
            <w:tcW w:w="0" w:type="auto"/>
            <w:tcBorders>
              <w:top w:val="nil"/>
              <w:bottom w:val="nil"/>
            </w:tcBorders>
            <w:noWrap/>
            <w:vAlign w:val="center"/>
            <w:hideMark/>
          </w:tcPr>
          <w:p w:rsidR="00105F28" w:rsidRPr="00380981" w:rsidRDefault="00105F28" w:rsidP="003E5744">
            <w:pPr>
              <w:tabs>
                <w:tab w:val="clear" w:pos="7100"/>
              </w:tabs>
              <w:spacing w:line="240" w:lineRule="auto"/>
              <w:ind w:left="142" w:right="8" w:hanging="10"/>
              <w:jc w:val="center"/>
              <w:rPr>
                <w:rFonts w:cs="Arial"/>
                <w:color w:val="000000"/>
                <w:szCs w:val="18"/>
                <w:lang w:val="es-CO"/>
              </w:rPr>
            </w:pPr>
            <w:r w:rsidRPr="00380981">
              <w:rPr>
                <w:rFonts w:cs="Arial"/>
                <w:color w:val="000000"/>
                <w:szCs w:val="18"/>
                <w:lang w:val="es-ES"/>
              </w:rPr>
              <w:t>2</w:t>
            </w:r>
          </w:p>
        </w:tc>
        <w:tc>
          <w:tcPr>
            <w:tcW w:w="0" w:type="auto"/>
            <w:tcBorders>
              <w:top w:val="nil"/>
              <w:bottom w:val="nil"/>
            </w:tcBorders>
            <w:noWrap/>
            <w:vAlign w:val="center"/>
            <w:hideMark/>
          </w:tcPr>
          <w:p w:rsidR="00105F28" w:rsidRPr="00380981" w:rsidRDefault="00105F28" w:rsidP="003E5744">
            <w:pPr>
              <w:tabs>
                <w:tab w:val="clear" w:pos="7100"/>
              </w:tabs>
              <w:spacing w:line="240" w:lineRule="auto"/>
              <w:ind w:right="8"/>
              <w:rPr>
                <w:rFonts w:cs="Arial"/>
                <w:color w:val="000000"/>
                <w:szCs w:val="18"/>
                <w:lang w:val="es-CO"/>
              </w:rPr>
            </w:pPr>
            <w:r w:rsidRPr="00380981">
              <w:rPr>
                <w:rFonts w:eastAsia="Verdana" w:cs="Arial"/>
                <w:color w:val="000000"/>
                <w:szCs w:val="18"/>
                <w:lang w:val="es-CO"/>
              </w:rPr>
              <w:t xml:space="preserve">5,92 ± 0,13 </w:t>
            </w:r>
            <w:r w:rsidRPr="00380981">
              <w:rPr>
                <w:rFonts w:eastAsia="Verdana" w:cs="Arial"/>
                <w:color w:val="000000"/>
                <w:szCs w:val="18"/>
                <w:vertAlign w:val="superscript"/>
                <w:lang w:val="es-CO"/>
              </w:rPr>
              <w:t>a</w:t>
            </w:r>
          </w:p>
        </w:tc>
        <w:tc>
          <w:tcPr>
            <w:tcW w:w="0" w:type="auto"/>
            <w:tcBorders>
              <w:top w:val="nil"/>
              <w:bottom w:val="nil"/>
            </w:tcBorders>
            <w:noWrap/>
            <w:vAlign w:val="center"/>
            <w:hideMark/>
          </w:tcPr>
          <w:p w:rsidR="00105F28" w:rsidRPr="00380981" w:rsidRDefault="00105F28" w:rsidP="003E5744">
            <w:pPr>
              <w:tabs>
                <w:tab w:val="clear" w:pos="7100"/>
              </w:tabs>
              <w:spacing w:line="240" w:lineRule="auto"/>
              <w:ind w:left="23" w:right="8" w:hanging="10"/>
              <w:rPr>
                <w:rFonts w:cs="Arial"/>
                <w:color w:val="000000"/>
                <w:szCs w:val="18"/>
                <w:lang w:val="es-CO"/>
              </w:rPr>
            </w:pPr>
            <w:r w:rsidRPr="00380981">
              <w:rPr>
                <w:rFonts w:eastAsia="Verdana" w:cs="Arial"/>
                <w:color w:val="000000"/>
                <w:szCs w:val="18"/>
                <w:lang w:val="es-CO"/>
              </w:rPr>
              <w:t xml:space="preserve">13,06 ± 3,76 </w:t>
            </w:r>
            <w:r w:rsidRPr="00380981">
              <w:rPr>
                <w:rFonts w:eastAsia="Verdana" w:cs="Arial"/>
                <w:color w:val="000000"/>
                <w:szCs w:val="18"/>
                <w:vertAlign w:val="superscript"/>
                <w:lang w:val="es-CO"/>
              </w:rPr>
              <w:t>a</w:t>
            </w:r>
          </w:p>
        </w:tc>
        <w:tc>
          <w:tcPr>
            <w:tcW w:w="0" w:type="auto"/>
            <w:tcBorders>
              <w:top w:val="nil"/>
              <w:bottom w:val="nil"/>
            </w:tcBorders>
            <w:noWrap/>
            <w:vAlign w:val="center"/>
            <w:hideMark/>
          </w:tcPr>
          <w:p w:rsidR="00105F28" w:rsidRPr="00380981" w:rsidRDefault="00105F28" w:rsidP="003E5744">
            <w:pPr>
              <w:tabs>
                <w:tab w:val="clear" w:pos="7100"/>
              </w:tabs>
              <w:spacing w:line="240" w:lineRule="auto"/>
              <w:ind w:left="52" w:right="8" w:hanging="10"/>
              <w:rPr>
                <w:rFonts w:cs="Arial"/>
                <w:color w:val="000000"/>
                <w:szCs w:val="18"/>
                <w:lang w:val="es-CO"/>
              </w:rPr>
            </w:pPr>
            <w:r w:rsidRPr="00380981">
              <w:rPr>
                <w:rFonts w:eastAsia="Verdana" w:cs="Arial"/>
                <w:color w:val="000000"/>
                <w:szCs w:val="18"/>
                <w:lang w:val="es-CO"/>
              </w:rPr>
              <w:t xml:space="preserve">1,45 ± 0,26 </w:t>
            </w:r>
            <w:r w:rsidRPr="00380981">
              <w:rPr>
                <w:rFonts w:eastAsia="Verdana" w:cs="Arial"/>
                <w:color w:val="000000"/>
                <w:szCs w:val="18"/>
                <w:vertAlign w:val="superscript"/>
                <w:lang w:val="es-CO"/>
              </w:rPr>
              <w:t>a</w:t>
            </w:r>
          </w:p>
        </w:tc>
        <w:tc>
          <w:tcPr>
            <w:tcW w:w="0" w:type="auto"/>
            <w:tcBorders>
              <w:top w:val="nil"/>
              <w:bottom w:val="nil"/>
            </w:tcBorders>
            <w:noWrap/>
            <w:vAlign w:val="center"/>
            <w:hideMark/>
          </w:tcPr>
          <w:p w:rsidR="00105F28" w:rsidRPr="00380981" w:rsidRDefault="00105F28" w:rsidP="003E5744">
            <w:pPr>
              <w:tabs>
                <w:tab w:val="clear" w:pos="7100"/>
              </w:tabs>
              <w:spacing w:line="240" w:lineRule="auto"/>
              <w:ind w:left="60" w:right="8" w:hanging="10"/>
              <w:rPr>
                <w:rFonts w:cs="Arial"/>
                <w:color w:val="000000"/>
                <w:szCs w:val="18"/>
                <w:lang w:val="es-CO"/>
              </w:rPr>
            </w:pPr>
            <w:r w:rsidRPr="00380981">
              <w:rPr>
                <w:rFonts w:eastAsia="Verdana" w:cs="Arial"/>
                <w:color w:val="000000"/>
                <w:szCs w:val="18"/>
                <w:lang w:val="es-CO"/>
              </w:rPr>
              <w:t xml:space="preserve">32,08 ± 8,98 </w:t>
            </w:r>
            <w:r w:rsidRPr="00380981">
              <w:rPr>
                <w:rFonts w:eastAsia="Verdana" w:cs="Arial"/>
                <w:color w:val="000000"/>
                <w:szCs w:val="18"/>
                <w:vertAlign w:val="superscript"/>
                <w:lang w:val="es-CO"/>
              </w:rPr>
              <w:t>ab</w:t>
            </w:r>
          </w:p>
        </w:tc>
      </w:tr>
      <w:tr w:rsidR="00105F28" w:rsidRPr="00380981" w:rsidTr="003E5744">
        <w:trPr>
          <w:trHeight w:val="265"/>
        </w:trPr>
        <w:tc>
          <w:tcPr>
            <w:tcW w:w="0" w:type="auto"/>
            <w:tcBorders>
              <w:top w:val="nil"/>
              <w:bottom w:val="nil"/>
            </w:tcBorders>
            <w:noWrap/>
            <w:vAlign w:val="center"/>
            <w:hideMark/>
          </w:tcPr>
          <w:p w:rsidR="00105F28" w:rsidRPr="00380981" w:rsidRDefault="00105F28" w:rsidP="003E5744">
            <w:pPr>
              <w:tabs>
                <w:tab w:val="clear" w:pos="7100"/>
              </w:tabs>
              <w:spacing w:line="240" w:lineRule="auto"/>
              <w:ind w:left="142" w:right="8" w:hanging="10"/>
              <w:jc w:val="center"/>
              <w:rPr>
                <w:rFonts w:cs="Arial"/>
                <w:color w:val="000000"/>
                <w:szCs w:val="18"/>
                <w:lang w:val="es-CO"/>
              </w:rPr>
            </w:pPr>
            <w:r w:rsidRPr="00380981">
              <w:rPr>
                <w:rFonts w:cs="Arial"/>
                <w:color w:val="000000"/>
                <w:szCs w:val="18"/>
                <w:lang w:val="es-ES"/>
              </w:rPr>
              <w:t>3</w:t>
            </w:r>
          </w:p>
        </w:tc>
        <w:tc>
          <w:tcPr>
            <w:tcW w:w="0" w:type="auto"/>
            <w:tcBorders>
              <w:top w:val="nil"/>
              <w:bottom w:val="nil"/>
            </w:tcBorders>
            <w:noWrap/>
            <w:vAlign w:val="center"/>
            <w:hideMark/>
          </w:tcPr>
          <w:p w:rsidR="00105F28" w:rsidRPr="00380981" w:rsidRDefault="00105F28" w:rsidP="003E5744">
            <w:pPr>
              <w:tabs>
                <w:tab w:val="clear" w:pos="7100"/>
              </w:tabs>
              <w:spacing w:line="240" w:lineRule="auto"/>
              <w:ind w:right="8"/>
              <w:rPr>
                <w:rFonts w:cs="Arial"/>
                <w:color w:val="000000"/>
                <w:szCs w:val="18"/>
                <w:lang w:val="es-CO"/>
              </w:rPr>
            </w:pPr>
            <w:r w:rsidRPr="00380981">
              <w:rPr>
                <w:rFonts w:eastAsia="Verdana" w:cs="Arial"/>
                <w:color w:val="000000"/>
                <w:szCs w:val="18"/>
                <w:lang w:val="es-CO"/>
              </w:rPr>
              <w:t xml:space="preserve">8,73 ± 1,00 </w:t>
            </w:r>
            <w:r w:rsidRPr="00380981">
              <w:rPr>
                <w:rFonts w:eastAsia="Verdana" w:cs="Arial"/>
                <w:color w:val="000000"/>
                <w:szCs w:val="18"/>
                <w:vertAlign w:val="superscript"/>
                <w:lang w:val="es-CO"/>
              </w:rPr>
              <w:t>b</w:t>
            </w:r>
          </w:p>
        </w:tc>
        <w:tc>
          <w:tcPr>
            <w:tcW w:w="0" w:type="auto"/>
            <w:tcBorders>
              <w:top w:val="nil"/>
              <w:bottom w:val="nil"/>
            </w:tcBorders>
            <w:noWrap/>
            <w:vAlign w:val="center"/>
            <w:hideMark/>
          </w:tcPr>
          <w:p w:rsidR="00105F28" w:rsidRPr="00380981" w:rsidRDefault="00105F28" w:rsidP="003E5744">
            <w:pPr>
              <w:tabs>
                <w:tab w:val="clear" w:pos="7100"/>
              </w:tabs>
              <w:spacing w:line="240" w:lineRule="auto"/>
              <w:ind w:left="23" w:right="8" w:hanging="10"/>
              <w:rPr>
                <w:rFonts w:cs="Arial"/>
                <w:color w:val="000000"/>
                <w:szCs w:val="18"/>
                <w:lang w:val="es-CO"/>
              </w:rPr>
            </w:pPr>
            <w:r w:rsidRPr="00380981">
              <w:rPr>
                <w:rFonts w:eastAsia="Verdana" w:cs="Arial"/>
                <w:color w:val="000000"/>
                <w:szCs w:val="18"/>
                <w:lang w:val="es-CO"/>
              </w:rPr>
              <w:t xml:space="preserve">27,64 ± 8,71 </w:t>
            </w:r>
            <w:r w:rsidRPr="00380981">
              <w:rPr>
                <w:rFonts w:eastAsia="Verdana" w:cs="Arial"/>
                <w:color w:val="000000"/>
                <w:szCs w:val="18"/>
                <w:vertAlign w:val="superscript"/>
                <w:lang w:val="es-CO"/>
              </w:rPr>
              <w:t>a</w:t>
            </w:r>
          </w:p>
        </w:tc>
        <w:tc>
          <w:tcPr>
            <w:tcW w:w="0" w:type="auto"/>
            <w:tcBorders>
              <w:top w:val="nil"/>
              <w:bottom w:val="nil"/>
            </w:tcBorders>
            <w:noWrap/>
            <w:vAlign w:val="center"/>
            <w:hideMark/>
          </w:tcPr>
          <w:p w:rsidR="00105F28" w:rsidRPr="00380981" w:rsidRDefault="00105F28" w:rsidP="003E5744">
            <w:pPr>
              <w:tabs>
                <w:tab w:val="clear" w:pos="7100"/>
              </w:tabs>
              <w:spacing w:line="240" w:lineRule="auto"/>
              <w:ind w:left="52" w:right="8" w:hanging="10"/>
              <w:rPr>
                <w:rFonts w:cs="Arial"/>
                <w:color w:val="000000"/>
                <w:szCs w:val="18"/>
                <w:lang w:val="es-CO"/>
              </w:rPr>
            </w:pPr>
            <w:r w:rsidRPr="00380981">
              <w:rPr>
                <w:rFonts w:eastAsia="Verdana" w:cs="Arial"/>
                <w:color w:val="000000"/>
                <w:szCs w:val="18"/>
                <w:lang w:val="es-CO"/>
              </w:rPr>
              <w:t xml:space="preserve">1,51 ± 0,46 </w:t>
            </w:r>
            <w:r w:rsidRPr="00380981">
              <w:rPr>
                <w:rFonts w:eastAsia="Verdana" w:cs="Arial"/>
                <w:color w:val="000000"/>
                <w:szCs w:val="18"/>
                <w:vertAlign w:val="superscript"/>
                <w:lang w:val="es-CO"/>
              </w:rPr>
              <w:t>a</w:t>
            </w:r>
          </w:p>
        </w:tc>
        <w:tc>
          <w:tcPr>
            <w:tcW w:w="0" w:type="auto"/>
            <w:tcBorders>
              <w:top w:val="nil"/>
              <w:bottom w:val="nil"/>
            </w:tcBorders>
            <w:noWrap/>
            <w:vAlign w:val="center"/>
            <w:hideMark/>
          </w:tcPr>
          <w:p w:rsidR="00105F28" w:rsidRPr="00380981" w:rsidRDefault="00105F28" w:rsidP="003E5744">
            <w:pPr>
              <w:tabs>
                <w:tab w:val="clear" w:pos="7100"/>
              </w:tabs>
              <w:spacing w:line="240" w:lineRule="auto"/>
              <w:ind w:left="60" w:right="8" w:hanging="10"/>
              <w:rPr>
                <w:rFonts w:cs="Arial"/>
                <w:color w:val="000000"/>
                <w:szCs w:val="18"/>
                <w:lang w:val="es-CO"/>
              </w:rPr>
            </w:pPr>
            <w:r w:rsidRPr="00380981">
              <w:rPr>
                <w:rFonts w:eastAsia="Verdana" w:cs="Arial"/>
                <w:color w:val="000000"/>
                <w:szCs w:val="18"/>
                <w:lang w:val="es-CO"/>
              </w:rPr>
              <w:t xml:space="preserve">33,34 ± 7,74 </w:t>
            </w:r>
            <w:r w:rsidRPr="00380981">
              <w:rPr>
                <w:rFonts w:eastAsia="Verdana" w:cs="Arial"/>
                <w:color w:val="000000"/>
                <w:szCs w:val="18"/>
                <w:vertAlign w:val="superscript"/>
                <w:lang w:val="es-CO"/>
              </w:rPr>
              <w:t>ab</w:t>
            </w:r>
          </w:p>
        </w:tc>
      </w:tr>
      <w:tr w:rsidR="00105F28" w:rsidRPr="00380981" w:rsidTr="003E5744">
        <w:trPr>
          <w:cnfStyle w:val="010000000000" w:firstRow="0" w:lastRow="1" w:firstColumn="0" w:lastColumn="0" w:oddVBand="0" w:evenVBand="0" w:oddHBand="0" w:evenHBand="0" w:firstRowFirstColumn="0" w:firstRowLastColumn="0" w:lastRowFirstColumn="0" w:lastRowLastColumn="0"/>
          <w:trHeight w:val="265"/>
        </w:trPr>
        <w:tc>
          <w:tcPr>
            <w:tcW w:w="0" w:type="auto"/>
            <w:tcBorders>
              <w:top w:val="nil"/>
              <w:bottom w:val="single" w:sz="18" w:space="0" w:color="00B050"/>
            </w:tcBorders>
            <w:noWrap/>
            <w:vAlign w:val="center"/>
            <w:hideMark/>
          </w:tcPr>
          <w:p w:rsidR="00105F28" w:rsidRPr="00380981" w:rsidRDefault="00105F28" w:rsidP="003E5744">
            <w:pPr>
              <w:tabs>
                <w:tab w:val="clear" w:pos="7100"/>
              </w:tabs>
              <w:spacing w:line="240" w:lineRule="auto"/>
              <w:ind w:left="142" w:right="8" w:hanging="10"/>
              <w:jc w:val="center"/>
              <w:rPr>
                <w:rFonts w:cs="Arial"/>
                <w:b w:val="0"/>
                <w:color w:val="000000"/>
                <w:szCs w:val="18"/>
                <w:lang w:val="es-CO"/>
              </w:rPr>
            </w:pPr>
            <w:r w:rsidRPr="00380981">
              <w:rPr>
                <w:rFonts w:cs="Arial"/>
                <w:b w:val="0"/>
                <w:color w:val="000000"/>
                <w:szCs w:val="18"/>
                <w:lang w:val="es-ES"/>
              </w:rPr>
              <w:t>4</w:t>
            </w:r>
          </w:p>
        </w:tc>
        <w:tc>
          <w:tcPr>
            <w:tcW w:w="0" w:type="auto"/>
            <w:tcBorders>
              <w:top w:val="nil"/>
              <w:bottom w:val="single" w:sz="18" w:space="0" w:color="00B050"/>
            </w:tcBorders>
            <w:noWrap/>
            <w:vAlign w:val="center"/>
            <w:hideMark/>
          </w:tcPr>
          <w:p w:rsidR="00105F28" w:rsidRPr="00380981" w:rsidRDefault="00105F28" w:rsidP="003E5744">
            <w:pPr>
              <w:tabs>
                <w:tab w:val="clear" w:pos="7100"/>
              </w:tabs>
              <w:spacing w:line="240" w:lineRule="auto"/>
              <w:ind w:right="8"/>
              <w:rPr>
                <w:rFonts w:cs="Arial"/>
                <w:color w:val="000000"/>
                <w:szCs w:val="18"/>
                <w:lang w:val="es-CO"/>
              </w:rPr>
            </w:pPr>
            <w:r w:rsidRPr="00380981">
              <w:rPr>
                <w:rFonts w:eastAsia="Verdana" w:cs="Arial"/>
                <w:color w:val="000000"/>
                <w:szCs w:val="18"/>
                <w:lang w:val="es-CO"/>
              </w:rPr>
              <w:t xml:space="preserve">8,40 ± 0,05 </w:t>
            </w:r>
            <w:r w:rsidRPr="00380981">
              <w:rPr>
                <w:rFonts w:eastAsia="Verdana" w:cs="Arial"/>
                <w:color w:val="000000"/>
                <w:szCs w:val="18"/>
                <w:vertAlign w:val="superscript"/>
                <w:lang w:val="es-CO"/>
              </w:rPr>
              <w:t>b</w:t>
            </w:r>
          </w:p>
        </w:tc>
        <w:tc>
          <w:tcPr>
            <w:tcW w:w="0" w:type="auto"/>
            <w:tcBorders>
              <w:top w:val="nil"/>
              <w:bottom w:val="single" w:sz="18" w:space="0" w:color="00B050"/>
            </w:tcBorders>
            <w:noWrap/>
            <w:vAlign w:val="center"/>
            <w:hideMark/>
          </w:tcPr>
          <w:p w:rsidR="00105F28" w:rsidRPr="00380981" w:rsidRDefault="00105F28" w:rsidP="003E5744">
            <w:pPr>
              <w:tabs>
                <w:tab w:val="clear" w:pos="7100"/>
              </w:tabs>
              <w:spacing w:line="240" w:lineRule="auto"/>
              <w:ind w:left="23" w:right="8" w:hanging="10"/>
              <w:rPr>
                <w:rFonts w:cs="Arial"/>
                <w:color w:val="000000"/>
                <w:szCs w:val="18"/>
                <w:lang w:val="es-CO"/>
              </w:rPr>
            </w:pPr>
            <w:r w:rsidRPr="00380981">
              <w:rPr>
                <w:rFonts w:eastAsia="Verdana" w:cs="Arial"/>
                <w:color w:val="000000"/>
                <w:szCs w:val="18"/>
                <w:lang w:val="es-CO"/>
              </w:rPr>
              <w:t xml:space="preserve">18,43 ± 5,79 </w:t>
            </w:r>
            <w:r w:rsidRPr="00380981">
              <w:rPr>
                <w:rFonts w:eastAsia="Verdana" w:cs="Arial"/>
                <w:color w:val="000000"/>
                <w:szCs w:val="18"/>
                <w:vertAlign w:val="superscript"/>
                <w:lang w:val="es-CO"/>
              </w:rPr>
              <w:t>a</w:t>
            </w:r>
          </w:p>
        </w:tc>
        <w:tc>
          <w:tcPr>
            <w:tcW w:w="0" w:type="auto"/>
            <w:tcBorders>
              <w:top w:val="nil"/>
              <w:bottom w:val="single" w:sz="18" w:space="0" w:color="00B050"/>
            </w:tcBorders>
            <w:noWrap/>
            <w:vAlign w:val="center"/>
            <w:hideMark/>
          </w:tcPr>
          <w:p w:rsidR="00105F28" w:rsidRPr="00380981" w:rsidRDefault="00105F28" w:rsidP="003E5744">
            <w:pPr>
              <w:tabs>
                <w:tab w:val="clear" w:pos="7100"/>
              </w:tabs>
              <w:spacing w:line="240" w:lineRule="auto"/>
              <w:ind w:left="52" w:right="8" w:hanging="10"/>
              <w:rPr>
                <w:rFonts w:cs="Arial"/>
                <w:color w:val="000000"/>
                <w:szCs w:val="18"/>
                <w:lang w:val="es-CO"/>
              </w:rPr>
            </w:pPr>
            <w:r w:rsidRPr="00380981">
              <w:rPr>
                <w:rFonts w:eastAsia="Verdana" w:cs="Arial"/>
                <w:color w:val="000000"/>
                <w:szCs w:val="18"/>
                <w:lang w:val="es-CO"/>
              </w:rPr>
              <w:t xml:space="preserve">2,71 ± 1,67 </w:t>
            </w:r>
            <w:r w:rsidRPr="00380981">
              <w:rPr>
                <w:rFonts w:eastAsia="Verdana" w:cs="Arial"/>
                <w:color w:val="000000"/>
                <w:szCs w:val="18"/>
                <w:vertAlign w:val="superscript"/>
                <w:lang w:val="es-CO"/>
              </w:rPr>
              <w:t>a</w:t>
            </w:r>
          </w:p>
        </w:tc>
        <w:tc>
          <w:tcPr>
            <w:tcW w:w="0" w:type="auto"/>
            <w:tcBorders>
              <w:top w:val="nil"/>
              <w:bottom w:val="single" w:sz="18" w:space="0" w:color="00B050"/>
            </w:tcBorders>
            <w:noWrap/>
            <w:vAlign w:val="center"/>
            <w:hideMark/>
          </w:tcPr>
          <w:p w:rsidR="00105F28" w:rsidRPr="00380981" w:rsidRDefault="00105F28" w:rsidP="003E5744">
            <w:pPr>
              <w:tabs>
                <w:tab w:val="clear" w:pos="7100"/>
              </w:tabs>
              <w:spacing w:line="240" w:lineRule="auto"/>
              <w:ind w:left="60" w:right="8" w:hanging="10"/>
              <w:rPr>
                <w:rFonts w:cs="Arial"/>
                <w:color w:val="000000"/>
                <w:szCs w:val="18"/>
                <w:lang w:val="es-CO"/>
              </w:rPr>
            </w:pPr>
            <w:r w:rsidRPr="00380981">
              <w:rPr>
                <w:rFonts w:eastAsia="Verdana" w:cs="Arial"/>
                <w:color w:val="000000"/>
                <w:szCs w:val="18"/>
                <w:lang w:val="es-CO"/>
              </w:rPr>
              <w:t xml:space="preserve">56,86 ± 10,92 </w:t>
            </w:r>
            <w:r w:rsidRPr="00380981">
              <w:rPr>
                <w:rFonts w:eastAsia="Verdana" w:cs="Arial"/>
                <w:color w:val="000000"/>
                <w:szCs w:val="18"/>
                <w:vertAlign w:val="superscript"/>
                <w:lang w:val="es-CO"/>
              </w:rPr>
              <w:t>b</w:t>
            </w:r>
          </w:p>
        </w:tc>
      </w:tr>
    </w:tbl>
    <w:p w:rsidR="00105F28" w:rsidRDefault="00105F28" w:rsidP="00105F28">
      <w:pPr>
        <w:tabs>
          <w:tab w:val="clear" w:pos="7100"/>
        </w:tabs>
        <w:spacing w:after="418" w:line="360" w:lineRule="auto"/>
        <w:ind w:right="8" w:hanging="10"/>
        <w:rPr>
          <w:rFonts w:eastAsia="Verdana" w:cs="Arial"/>
          <w:color w:val="000000"/>
          <w:szCs w:val="18"/>
          <w:lang w:val="es-CO" w:eastAsia="es-CO"/>
        </w:rPr>
      </w:pPr>
    </w:p>
    <w:p w:rsidR="00105F28" w:rsidRDefault="00105F28" w:rsidP="00105F28">
      <w:pPr>
        <w:tabs>
          <w:tab w:val="clear" w:pos="7100"/>
        </w:tabs>
        <w:spacing w:line="240" w:lineRule="auto"/>
        <w:ind w:right="8" w:hanging="10"/>
        <w:rPr>
          <w:rFonts w:eastAsia="Verdana" w:cs="Arial"/>
          <w:color w:val="000000"/>
          <w:szCs w:val="18"/>
          <w:lang w:val="es-CO" w:eastAsia="es-CO"/>
        </w:rPr>
      </w:pPr>
    </w:p>
    <w:p w:rsidR="00105F28" w:rsidRDefault="00105F28" w:rsidP="00105F28">
      <w:pPr>
        <w:tabs>
          <w:tab w:val="clear" w:pos="7100"/>
        </w:tabs>
        <w:spacing w:line="360" w:lineRule="auto"/>
        <w:ind w:right="8" w:hanging="10"/>
        <w:rPr>
          <w:rFonts w:eastAsia="Verdana" w:cs="Arial"/>
          <w:color w:val="000000"/>
          <w:szCs w:val="18"/>
          <w:lang w:val="es-CO" w:eastAsia="es-CO"/>
        </w:rPr>
      </w:pPr>
    </w:p>
    <w:p w:rsidR="00105F28" w:rsidRDefault="00105F28" w:rsidP="00105F28">
      <w:pPr>
        <w:tabs>
          <w:tab w:val="clear" w:pos="7100"/>
        </w:tabs>
        <w:spacing w:line="360" w:lineRule="auto"/>
        <w:ind w:right="8" w:hanging="10"/>
        <w:rPr>
          <w:rFonts w:eastAsia="Verdana" w:cs="Arial"/>
          <w:color w:val="000000"/>
          <w:szCs w:val="18"/>
          <w:lang w:val="es-CO" w:eastAsia="es-CO"/>
        </w:rPr>
      </w:pPr>
    </w:p>
    <w:p w:rsidR="00105F28" w:rsidRDefault="00105F28" w:rsidP="00105F28">
      <w:pPr>
        <w:tabs>
          <w:tab w:val="clear" w:pos="7100"/>
        </w:tabs>
        <w:spacing w:after="200" w:line="240" w:lineRule="auto"/>
        <w:ind w:left="10"/>
        <w:contextualSpacing/>
        <w:rPr>
          <w:rFonts w:eastAsia="Verdana" w:cs="Arial"/>
          <w:color w:val="000000"/>
          <w:szCs w:val="18"/>
          <w:lang w:val="es-CO" w:eastAsia="es-CO"/>
        </w:rPr>
      </w:pPr>
      <w:bookmarkStart w:id="3" w:name="_Toc512612962"/>
      <w:bookmarkStart w:id="4" w:name="_Toc512622086"/>
      <w:bookmarkStart w:id="5" w:name="_Toc517803790"/>
      <w:r w:rsidRPr="00947CB9">
        <w:rPr>
          <w:rFonts w:eastAsia="Verdana" w:cs="Arial"/>
          <w:color w:val="000000"/>
          <w:szCs w:val="18"/>
          <w:lang w:val="es-CO" w:eastAsia="es-CO"/>
        </w:rPr>
        <w:t>* Different letters for the same column indicate significant differences, with a confidence level of 95%.</w:t>
      </w:r>
    </w:p>
    <w:p w:rsidR="00105F28" w:rsidRDefault="00105F28" w:rsidP="00105F28">
      <w:pPr>
        <w:tabs>
          <w:tab w:val="clear" w:pos="7100"/>
        </w:tabs>
        <w:spacing w:after="200" w:line="240" w:lineRule="auto"/>
        <w:ind w:left="10"/>
        <w:contextualSpacing/>
        <w:rPr>
          <w:rFonts w:eastAsia="Verdana" w:cs="Arial"/>
          <w:color w:val="000000"/>
          <w:szCs w:val="18"/>
          <w:lang w:val="es-CO" w:eastAsia="es-CO"/>
        </w:rPr>
      </w:pPr>
    </w:p>
    <w:bookmarkEnd w:id="3"/>
    <w:bookmarkEnd w:id="4"/>
    <w:bookmarkEnd w:id="5"/>
    <w:p w:rsidR="00105F28" w:rsidRDefault="00105F28" w:rsidP="00105F28">
      <w:pPr>
        <w:tabs>
          <w:tab w:val="clear" w:pos="7100"/>
        </w:tabs>
        <w:spacing w:after="200" w:line="240" w:lineRule="auto"/>
        <w:ind w:left="10"/>
        <w:contextualSpacing/>
        <w:rPr>
          <w:rFonts w:eastAsia="Verdana" w:cs="Arial"/>
          <w:color w:val="000000"/>
          <w:szCs w:val="18"/>
          <w:lang w:val="en-US" w:eastAsia="es-CO"/>
        </w:rPr>
      </w:pPr>
      <w:r w:rsidRPr="00947CB9">
        <w:rPr>
          <w:rFonts w:eastAsia="Verdana" w:cs="Arial"/>
          <w:color w:val="000000"/>
          <w:szCs w:val="18"/>
          <w:lang w:val="en-US" w:eastAsia="es-CO"/>
        </w:rPr>
        <w:t>Accordingly, when performing the mechanical stress tests on the processed pellets, considering the results of the four formulations processed in the universal machine, very close values were presented in compatibility, as shown in table 4.</w:t>
      </w:r>
    </w:p>
    <w:p w:rsidR="00105F28" w:rsidRPr="00947CB9" w:rsidRDefault="00105F28" w:rsidP="00105F28">
      <w:pPr>
        <w:tabs>
          <w:tab w:val="clear" w:pos="7100"/>
        </w:tabs>
        <w:spacing w:after="200" w:line="240" w:lineRule="auto"/>
        <w:ind w:left="10"/>
        <w:contextualSpacing/>
        <w:rPr>
          <w:rFonts w:eastAsia="Calibri" w:cs="Arial"/>
          <w:color w:val="000000"/>
          <w:szCs w:val="18"/>
          <w:lang w:val="en-US"/>
        </w:rPr>
      </w:pPr>
    </w:p>
    <w:p w:rsidR="00105F28" w:rsidRPr="00734F0A" w:rsidRDefault="00105F28" w:rsidP="00105F28">
      <w:pPr>
        <w:keepNext/>
        <w:tabs>
          <w:tab w:val="clear" w:pos="7100"/>
        </w:tabs>
        <w:spacing w:before="240" w:after="200" w:line="240" w:lineRule="auto"/>
        <w:ind w:right="8" w:hanging="10"/>
        <w:rPr>
          <w:rFonts w:eastAsia="Verdana" w:cs="Arial"/>
          <w:i/>
          <w:iCs/>
          <w:color w:val="000000"/>
          <w:szCs w:val="18"/>
          <w:lang w:val="en-US" w:eastAsia="es-CO"/>
        </w:rPr>
      </w:pPr>
      <w:r w:rsidRPr="00734F0A">
        <w:rPr>
          <w:rFonts w:eastAsia="Verdana" w:cs="Arial"/>
          <w:i/>
          <w:iCs/>
          <w:color w:val="000000"/>
          <w:szCs w:val="18"/>
          <w:lang w:val="en-US" w:eastAsia="es-CO"/>
        </w:rPr>
        <w:t>Table 4: Mechanical stress tests for each formulation (KN)</w:t>
      </w:r>
    </w:p>
    <w:tbl>
      <w:tblPr>
        <w:tblStyle w:val="Sombreadoclaro-nfasis1"/>
        <w:tblW w:w="1775" w:type="pct"/>
        <w:tblBorders>
          <w:top w:val="single" w:sz="18" w:space="0" w:color="00B050"/>
          <w:bottom w:val="single" w:sz="18" w:space="0" w:color="00B050"/>
          <w:insideH w:val="single" w:sz="8" w:space="0" w:color="4F81BD" w:themeColor="accent1"/>
        </w:tblBorders>
        <w:tblLayout w:type="fixed"/>
        <w:tblLook w:val="0660" w:firstRow="1" w:lastRow="1" w:firstColumn="0" w:lastColumn="0" w:noHBand="1" w:noVBand="1"/>
      </w:tblPr>
      <w:tblGrid>
        <w:gridCol w:w="1206"/>
        <w:gridCol w:w="1913"/>
      </w:tblGrid>
      <w:tr w:rsidR="00105F28" w:rsidRPr="00734F0A" w:rsidTr="003E5744">
        <w:trPr>
          <w:cnfStyle w:val="100000000000" w:firstRow="1" w:lastRow="0" w:firstColumn="0" w:lastColumn="0" w:oddVBand="0" w:evenVBand="0" w:oddHBand="0" w:evenHBand="0" w:firstRowFirstColumn="0" w:firstRowLastColumn="0" w:lastRowFirstColumn="0" w:lastRowLastColumn="0"/>
          <w:trHeight w:val="266"/>
        </w:trPr>
        <w:tc>
          <w:tcPr>
            <w:tcW w:w="1933" w:type="pct"/>
            <w:tcBorders>
              <w:top w:val="single" w:sz="18" w:space="0" w:color="00B050"/>
              <w:left w:val="none" w:sz="0" w:space="0" w:color="auto"/>
              <w:bottom w:val="single" w:sz="8" w:space="0" w:color="00B050"/>
              <w:right w:val="none" w:sz="0" w:space="0" w:color="auto"/>
            </w:tcBorders>
            <w:noWrap/>
          </w:tcPr>
          <w:p w:rsidR="00105F28" w:rsidRPr="00734F0A" w:rsidRDefault="00105F28" w:rsidP="003E5744">
            <w:pPr>
              <w:tabs>
                <w:tab w:val="clear" w:pos="7100"/>
              </w:tabs>
              <w:spacing w:line="240" w:lineRule="auto"/>
              <w:ind w:left="-108" w:right="8" w:hanging="10"/>
              <w:jc w:val="center"/>
              <w:rPr>
                <w:rFonts w:eastAsia="Verdana" w:cs="Arial"/>
                <w:b w:val="0"/>
                <w:color w:val="000000"/>
                <w:szCs w:val="18"/>
                <w:lang w:val="es-CO"/>
              </w:rPr>
            </w:pPr>
            <w:r w:rsidRPr="00734F0A">
              <w:rPr>
                <w:rFonts w:eastAsia="Verdana" w:cs="Arial"/>
                <w:b w:val="0"/>
                <w:color w:val="000000"/>
                <w:szCs w:val="18"/>
                <w:lang w:val="es-ES"/>
              </w:rPr>
              <w:t>Mixture</w:t>
            </w:r>
          </w:p>
        </w:tc>
        <w:tc>
          <w:tcPr>
            <w:tcW w:w="3067" w:type="pct"/>
            <w:tcBorders>
              <w:top w:val="single" w:sz="18" w:space="0" w:color="00B050"/>
              <w:left w:val="none" w:sz="0" w:space="0" w:color="auto"/>
              <w:bottom w:val="single" w:sz="8" w:space="0" w:color="00B050"/>
              <w:right w:val="none" w:sz="0" w:space="0" w:color="auto"/>
            </w:tcBorders>
          </w:tcPr>
          <w:p w:rsidR="00105F28" w:rsidRPr="00734F0A" w:rsidRDefault="00105F28" w:rsidP="003E5744">
            <w:pPr>
              <w:tabs>
                <w:tab w:val="clear" w:pos="7100"/>
              </w:tabs>
              <w:spacing w:line="240" w:lineRule="auto"/>
              <w:ind w:left="-108" w:right="8" w:hanging="10"/>
              <w:jc w:val="center"/>
              <w:rPr>
                <w:rFonts w:eastAsia="Verdana" w:cs="Arial"/>
                <w:b w:val="0"/>
                <w:color w:val="000000"/>
                <w:szCs w:val="18"/>
                <w:lang w:val="es-ES"/>
              </w:rPr>
            </w:pPr>
            <w:r w:rsidRPr="00734F0A">
              <w:rPr>
                <w:rFonts w:eastAsia="Verdana" w:cs="Arial"/>
                <w:b w:val="0"/>
                <w:color w:val="000000"/>
                <w:szCs w:val="18"/>
                <w:lang w:val="es-ES"/>
              </w:rPr>
              <w:t>Average</w:t>
            </w:r>
          </w:p>
        </w:tc>
      </w:tr>
      <w:tr w:rsidR="00105F28" w:rsidRPr="00734F0A" w:rsidTr="003E5744">
        <w:trPr>
          <w:cnfStyle w:val="010000000000" w:firstRow="0" w:lastRow="1" w:firstColumn="0" w:lastColumn="0" w:oddVBand="0" w:evenVBand="0" w:oddHBand="0" w:evenHBand="0" w:firstRowFirstColumn="0" w:firstRowLastColumn="0" w:lastRowFirstColumn="0" w:lastRowLastColumn="0"/>
          <w:trHeight w:val="773"/>
        </w:trPr>
        <w:tc>
          <w:tcPr>
            <w:tcW w:w="1933" w:type="pct"/>
            <w:tcBorders>
              <w:top w:val="single" w:sz="8" w:space="0" w:color="00B050"/>
              <w:left w:val="none" w:sz="0" w:space="0" w:color="auto"/>
              <w:bottom w:val="none" w:sz="0" w:space="0" w:color="auto"/>
              <w:right w:val="none" w:sz="0" w:space="0" w:color="auto"/>
            </w:tcBorders>
            <w:noWrap/>
          </w:tcPr>
          <w:p w:rsidR="00105F28" w:rsidRPr="00734F0A" w:rsidRDefault="00105F28" w:rsidP="003E5744">
            <w:pPr>
              <w:tabs>
                <w:tab w:val="clear" w:pos="7100"/>
              </w:tabs>
              <w:spacing w:line="240" w:lineRule="auto"/>
              <w:ind w:left="407" w:right="8" w:hanging="10"/>
              <w:rPr>
                <w:rFonts w:eastAsia="Verdana" w:cs="Arial"/>
                <w:b w:val="0"/>
                <w:color w:val="000000"/>
                <w:szCs w:val="18"/>
                <w:lang w:val="es-CO" w:eastAsia="es-ES"/>
              </w:rPr>
            </w:pPr>
            <w:r w:rsidRPr="00734F0A">
              <w:rPr>
                <w:rFonts w:eastAsia="Verdana" w:cs="Arial"/>
                <w:b w:val="0"/>
                <w:color w:val="000000"/>
                <w:szCs w:val="18"/>
                <w:lang w:val="es-CO" w:eastAsia="es-ES"/>
              </w:rPr>
              <w:t>1</w:t>
            </w:r>
          </w:p>
          <w:p w:rsidR="00105F28" w:rsidRPr="00734F0A" w:rsidRDefault="00105F28" w:rsidP="003E5744">
            <w:pPr>
              <w:tabs>
                <w:tab w:val="clear" w:pos="7100"/>
              </w:tabs>
              <w:spacing w:line="240" w:lineRule="auto"/>
              <w:ind w:left="407" w:right="8" w:hanging="10"/>
              <w:rPr>
                <w:rFonts w:eastAsia="Verdana" w:cs="Arial"/>
                <w:b w:val="0"/>
                <w:color w:val="000000"/>
                <w:szCs w:val="18"/>
                <w:lang w:val="es-CO" w:eastAsia="es-ES"/>
              </w:rPr>
            </w:pPr>
            <w:r w:rsidRPr="00734F0A">
              <w:rPr>
                <w:rFonts w:eastAsia="Verdana" w:cs="Arial"/>
                <w:b w:val="0"/>
                <w:color w:val="000000"/>
                <w:szCs w:val="18"/>
                <w:lang w:val="es-CO" w:eastAsia="es-ES"/>
              </w:rPr>
              <w:t>2</w:t>
            </w:r>
          </w:p>
          <w:p w:rsidR="00105F28" w:rsidRPr="00734F0A" w:rsidRDefault="00105F28" w:rsidP="003E5744">
            <w:pPr>
              <w:tabs>
                <w:tab w:val="clear" w:pos="7100"/>
              </w:tabs>
              <w:spacing w:line="240" w:lineRule="auto"/>
              <w:ind w:left="407" w:right="8" w:hanging="10"/>
              <w:rPr>
                <w:rFonts w:eastAsia="Verdana" w:cs="Arial"/>
                <w:b w:val="0"/>
                <w:color w:val="000000"/>
                <w:szCs w:val="18"/>
                <w:lang w:val="es-CO" w:eastAsia="es-ES"/>
              </w:rPr>
            </w:pPr>
            <w:r w:rsidRPr="00734F0A">
              <w:rPr>
                <w:rFonts w:eastAsia="Verdana" w:cs="Arial"/>
                <w:b w:val="0"/>
                <w:color w:val="000000"/>
                <w:szCs w:val="18"/>
                <w:lang w:val="es-CO" w:eastAsia="es-ES"/>
              </w:rPr>
              <w:t>3</w:t>
            </w:r>
          </w:p>
          <w:p w:rsidR="00105F28" w:rsidRPr="00734F0A" w:rsidRDefault="00105F28" w:rsidP="003E5744">
            <w:pPr>
              <w:tabs>
                <w:tab w:val="clear" w:pos="7100"/>
              </w:tabs>
              <w:spacing w:line="240" w:lineRule="auto"/>
              <w:ind w:left="407" w:right="8" w:hanging="10"/>
              <w:rPr>
                <w:rFonts w:eastAsia="Verdana" w:cs="Arial"/>
                <w:b w:val="0"/>
                <w:color w:val="000000"/>
                <w:szCs w:val="18"/>
                <w:lang w:val="es-CO" w:eastAsia="es-ES"/>
              </w:rPr>
            </w:pPr>
            <w:r w:rsidRPr="00734F0A">
              <w:rPr>
                <w:rFonts w:eastAsia="Verdana" w:cs="Arial"/>
                <w:b w:val="0"/>
                <w:color w:val="000000"/>
                <w:szCs w:val="18"/>
                <w:lang w:val="es-CO" w:eastAsia="es-ES"/>
              </w:rPr>
              <w:t>4</w:t>
            </w:r>
          </w:p>
        </w:tc>
        <w:tc>
          <w:tcPr>
            <w:tcW w:w="3067" w:type="pct"/>
            <w:tcBorders>
              <w:top w:val="single" w:sz="8" w:space="0" w:color="00B050"/>
              <w:left w:val="none" w:sz="0" w:space="0" w:color="auto"/>
              <w:bottom w:val="none" w:sz="0" w:space="0" w:color="auto"/>
              <w:right w:val="none" w:sz="0" w:space="0" w:color="auto"/>
            </w:tcBorders>
          </w:tcPr>
          <w:p w:rsidR="00105F28" w:rsidRPr="00734F0A" w:rsidRDefault="00105F28" w:rsidP="003E5744">
            <w:pPr>
              <w:tabs>
                <w:tab w:val="clear" w:pos="7100"/>
              </w:tabs>
              <w:spacing w:line="240" w:lineRule="auto"/>
              <w:ind w:left="-108" w:right="8" w:hanging="10"/>
              <w:jc w:val="center"/>
              <w:rPr>
                <w:rFonts w:eastAsia="Verdana" w:cs="Arial"/>
                <w:b w:val="0"/>
                <w:color w:val="000000"/>
                <w:szCs w:val="18"/>
                <w:lang w:val="es-CO" w:eastAsia="es-ES"/>
              </w:rPr>
            </w:pPr>
            <w:r w:rsidRPr="00734F0A">
              <w:rPr>
                <w:rFonts w:eastAsia="Verdana" w:cs="Arial"/>
                <w:b w:val="0"/>
                <w:color w:val="000000"/>
                <w:szCs w:val="18"/>
                <w:lang w:val="es-CO" w:eastAsia="es-ES"/>
              </w:rPr>
              <w:t xml:space="preserve">0,0112 ± 0,0027 </w:t>
            </w:r>
            <w:r w:rsidRPr="00734F0A">
              <w:rPr>
                <w:rFonts w:eastAsia="Verdana" w:cs="Arial"/>
                <w:b w:val="0"/>
                <w:color w:val="000000"/>
                <w:szCs w:val="18"/>
                <w:vertAlign w:val="superscript"/>
                <w:lang w:val="es-CO" w:eastAsia="es-ES"/>
              </w:rPr>
              <w:t>a</w:t>
            </w:r>
          </w:p>
          <w:p w:rsidR="00105F28" w:rsidRPr="00734F0A" w:rsidRDefault="00105F28" w:rsidP="003E5744">
            <w:pPr>
              <w:tabs>
                <w:tab w:val="clear" w:pos="7100"/>
              </w:tabs>
              <w:spacing w:line="240" w:lineRule="auto"/>
              <w:ind w:left="-108" w:right="8" w:hanging="10"/>
              <w:jc w:val="center"/>
              <w:rPr>
                <w:rFonts w:eastAsia="Verdana" w:cs="Arial"/>
                <w:b w:val="0"/>
                <w:color w:val="000000"/>
                <w:szCs w:val="18"/>
                <w:lang w:val="es-CO" w:eastAsia="es-ES"/>
              </w:rPr>
            </w:pPr>
            <w:r w:rsidRPr="00734F0A">
              <w:rPr>
                <w:rFonts w:eastAsia="Verdana" w:cs="Arial"/>
                <w:b w:val="0"/>
                <w:color w:val="000000"/>
                <w:szCs w:val="18"/>
                <w:lang w:val="es-CO" w:eastAsia="es-ES"/>
              </w:rPr>
              <w:t xml:space="preserve">0,0113 ± 0,0075 </w:t>
            </w:r>
            <w:r w:rsidRPr="00734F0A">
              <w:rPr>
                <w:rFonts w:eastAsia="Verdana" w:cs="Arial"/>
                <w:b w:val="0"/>
                <w:color w:val="000000"/>
                <w:szCs w:val="18"/>
                <w:vertAlign w:val="superscript"/>
                <w:lang w:val="es-CO" w:eastAsia="es-ES"/>
              </w:rPr>
              <w:t>a</w:t>
            </w:r>
          </w:p>
          <w:p w:rsidR="00105F28" w:rsidRPr="00734F0A" w:rsidRDefault="00105F28" w:rsidP="003E5744">
            <w:pPr>
              <w:tabs>
                <w:tab w:val="clear" w:pos="7100"/>
              </w:tabs>
              <w:spacing w:line="240" w:lineRule="auto"/>
              <w:ind w:left="-108" w:right="8" w:hanging="10"/>
              <w:jc w:val="center"/>
              <w:rPr>
                <w:rFonts w:eastAsia="Verdana" w:cs="Arial"/>
                <w:b w:val="0"/>
                <w:color w:val="000000"/>
                <w:szCs w:val="18"/>
                <w:lang w:val="es-CO" w:eastAsia="es-ES"/>
              </w:rPr>
            </w:pPr>
            <w:r w:rsidRPr="00734F0A">
              <w:rPr>
                <w:rFonts w:eastAsia="Verdana" w:cs="Arial"/>
                <w:b w:val="0"/>
                <w:color w:val="000000"/>
                <w:szCs w:val="18"/>
                <w:lang w:val="es-CO" w:eastAsia="es-ES"/>
              </w:rPr>
              <w:t xml:space="preserve">0,0272 ± 0,0164 </w:t>
            </w:r>
            <w:r w:rsidRPr="00734F0A">
              <w:rPr>
                <w:rFonts w:eastAsia="Verdana" w:cs="Arial"/>
                <w:b w:val="0"/>
                <w:color w:val="000000"/>
                <w:szCs w:val="18"/>
                <w:vertAlign w:val="superscript"/>
                <w:lang w:val="es-CO" w:eastAsia="es-ES"/>
              </w:rPr>
              <w:t>b</w:t>
            </w:r>
          </w:p>
          <w:p w:rsidR="00105F28" w:rsidRPr="00734F0A" w:rsidRDefault="00105F28" w:rsidP="003E5744">
            <w:pPr>
              <w:tabs>
                <w:tab w:val="clear" w:pos="7100"/>
              </w:tabs>
              <w:spacing w:line="240" w:lineRule="auto"/>
              <w:ind w:left="-108" w:right="8" w:hanging="10"/>
              <w:jc w:val="center"/>
              <w:rPr>
                <w:rFonts w:eastAsia="Verdana" w:cs="Arial"/>
                <w:b w:val="0"/>
                <w:color w:val="000000"/>
                <w:szCs w:val="18"/>
                <w:lang w:val="es-CO" w:eastAsia="es-ES"/>
              </w:rPr>
            </w:pPr>
            <w:r w:rsidRPr="00734F0A">
              <w:rPr>
                <w:rFonts w:eastAsia="Verdana" w:cs="Arial"/>
                <w:b w:val="0"/>
                <w:color w:val="000000"/>
                <w:szCs w:val="18"/>
                <w:lang w:val="es-CO" w:eastAsia="es-ES"/>
              </w:rPr>
              <w:t xml:space="preserve">0,0100 ± 0,0003 </w:t>
            </w:r>
            <w:r w:rsidRPr="00734F0A">
              <w:rPr>
                <w:rFonts w:eastAsia="Verdana" w:cs="Arial"/>
                <w:b w:val="0"/>
                <w:color w:val="000000"/>
                <w:szCs w:val="18"/>
                <w:vertAlign w:val="superscript"/>
                <w:lang w:val="es-CO" w:eastAsia="es-ES"/>
              </w:rPr>
              <w:t>a</w:t>
            </w:r>
          </w:p>
        </w:tc>
      </w:tr>
    </w:tbl>
    <w:p w:rsidR="00105F28" w:rsidRPr="00734F0A" w:rsidRDefault="00105F28" w:rsidP="00105F28">
      <w:pPr>
        <w:tabs>
          <w:tab w:val="clear" w:pos="7100"/>
        </w:tabs>
        <w:spacing w:line="240" w:lineRule="auto"/>
        <w:ind w:right="8"/>
        <w:rPr>
          <w:rFonts w:eastAsia="Verdana" w:cs="Arial"/>
          <w:color w:val="000000"/>
          <w:szCs w:val="18"/>
          <w:lang w:val="en-US" w:eastAsia="es-CO"/>
        </w:rPr>
      </w:pPr>
      <w:r w:rsidRPr="00734F0A">
        <w:rPr>
          <w:rFonts w:eastAsia="Verdana" w:cs="Arial"/>
          <w:color w:val="000000"/>
          <w:szCs w:val="18"/>
          <w:lang w:val="en-US" w:eastAsia="es-CO"/>
        </w:rPr>
        <w:t>* Different letters for the same column indicate significant differences, with a confidence level of 95%.</w:t>
      </w:r>
      <w:r w:rsidRPr="00734F0A">
        <w:rPr>
          <w:rFonts w:eastAsia="Verdana" w:cs="Arial"/>
          <w:color w:val="000000"/>
          <w:szCs w:val="18"/>
          <w:lang w:val="en-US" w:eastAsia="es-CO"/>
        </w:rPr>
        <w:tab/>
      </w:r>
      <w:r w:rsidRPr="00734F0A">
        <w:rPr>
          <w:rFonts w:eastAsia="Verdana" w:cs="Arial"/>
          <w:color w:val="000000"/>
          <w:szCs w:val="18"/>
          <w:lang w:val="en-US" w:eastAsia="es-CO"/>
        </w:rPr>
        <w:tab/>
      </w:r>
      <w:r w:rsidRPr="00734F0A">
        <w:rPr>
          <w:rFonts w:eastAsia="Verdana" w:cs="Arial"/>
          <w:color w:val="000000"/>
          <w:szCs w:val="18"/>
          <w:lang w:val="en-US" w:eastAsia="es-CO"/>
        </w:rPr>
        <w:tab/>
      </w:r>
      <w:r w:rsidRPr="00734F0A">
        <w:rPr>
          <w:rFonts w:eastAsia="Verdana" w:cs="Arial"/>
          <w:color w:val="000000"/>
          <w:szCs w:val="18"/>
          <w:lang w:val="en-US" w:eastAsia="es-CO"/>
        </w:rPr>
        <w:tab/>
      </w:r>
      <w:r w:rsidRPr="00734F0A">
        <w:rPr>
          <w:rFonts w:eastAsia="Verdana" w:cs="Arial"/>
          <w:color w:val="000000"/>
          <w:szCs w:val="18"/>
          <w:lang w:val="en-US" w:eastAsia="es-CO"/>
        </w:rPr>
        <w:tab/>
      </w:r>
      <w:r w:rsidRPr="00734F0A">
        <w:rPr>
          <w:rFonts w:eastAsia="Verdana" w:cs="Arial"/>
          <w:color w:val="000000"/>
          <w:szCs w:val="18"/>
          <w:lang w:val="en-US" w:eastAsia="es-CO"/>
        </w:rPr>
        <w:tab/>
      </w:r>
      <w:r w:rsidRPr="00734F0A">
        <w:rPr>
          <w:rFonts w:eastAsia="Verdana" w:cs="Arial"/>
          <w:color w:val="000000"/>
          <w:szCs w:val="18"/>
          <w:lang w:val="en-US" w:eastAsia="es-CO"/>
        </w:rPr>
        <w:tab/>
      </w:r>
      <w:r w:rsidRPr="00734F0A">
        <w:rPr>
          <w:rFonts w:eastAsia="Verdana" w:cs="Arial"/>
          <w:color w:val="000000"/>
          <w:szCs w:val="18"/>
          <w:lang w:val="en-US" w:eastAsia="es-CO"/>
        </w:rPr>
        <w:tab/>
        <w:t xml:space="preserve"> </w:t>
      </w:r>
    </w:p>
    <w:p w:rsidR="00105F28" w:rsidRPr="00947CB9" w:rsidRDefault="00105F28" w:rsidP="00105F28">
      <w:pPr>
        <w:tabs>
          <w:tab w:val="clear" w:pos="7100"/>
        </w:tabs>
        <w:spacing w:line="240" w:lineRule="auto"/>
        <w:ind w:right="8" w:hanging="10"/>
        <w:rPr>
          <w:lang w:val="en-US"/>
        </w:rPr>
      </w:pPr>
      <w:r w:rsidRPr="00734F0A">
        <w:rPr>
          <w:rFonts w:eastAsia="Verdana" w:cs="Arial"/>
          <w:color w:val="000000"/>
          <w:szCs w:val="18"/>
          <w:lang w:val="en-US" w:eastAsia="es-CO"/>
        </w:rPr>
        <w:t>It is evident then, that the initial raw material transfers its charact</w:t>
      </w:r>
      <w:r w:rsidR="00AE67C9" w:rsidRPr="00734F0A">
        <w:rPr>
          <w:rFonts w:eastAsia="Verdana" w:cs="Arial"/>
          <w:color w:val="000000"/>
          <w:szCs w:val="18"/>
          <w:lang w:val="en-US" w:eastAsia="es-CO"/>
        </w:rPr>
        <w:t>eristics to the final product; t</w:t>
      </w:r>
      <w:r w:rsidRPr="00734F0A">
        <w:rPr>
          <w:rFonts w:eastAsia="Verdana" w:cs="Arial"/>
          <w:color w:val="000000"/>
          <w:szCs w:val="18"/>
          <w:lang w:val="en-US" w:eastAsia="es-CO"/>
        </w:rPr>
        <w:t xml:space="preserve">his is how the third formulation presented a higher strength support (0.0272 kN), which means that the pellets do not disintegrate easily and have a greater degree of compactness than the other formulations. </w:t>
      </w:r>
      <w:r w:rsidRPr="00734F0A">
        <w:rPr>
          <w:lang w:val="en-US"/>
        </w:rPr>
        <w:t>The pellets</w:t>
      </w:r>
      <w:r w:rsidRPr="00947CB9">
        <w:rPr>
          <w:lang w:val="en-US"/>
        </w:rPr>
        <w:t xml:space="preserve"> need a sufficient mechanical durability to avoid their disintegration in dust and to avoid the consequences of these, like problems in combustion, transport, loading, unloading and storage.</w:t>
      </w:r>
      <w:r>
        <w:rPr>
          <w:lang w:val="en-US"/>
        </w:rPr>
        <w:t xml:space="preserve"> </w:t>
      </w:r>
      <w:r w:rsidRPr="00947CB9">
        <w:rPr>
          <w:lang w:val="en-US"/>
        </w:rPr>
        <w:t>Likewise, the fines to which disintegration can lead to a greater amount of dust in storage, possible damage to boilers, lower efficiency, greater amount of fly ash and higher emissions of aerosols.</w:t>
      </w:r>
    </w:p>
    <w:p w:rsidR="00105F28" w:rsidRDefault="00105F28" w:rsidP="00105F28">
      <w:pPr>
        <w:tabs>
          <w:tab w:val="clear" w:pos="7100"/>
        </w:tabs>
        <w:spacing w:line="240" w:lineRule="auto"/>
        <w:ind w:right="8"/>
        <w:rPr>
          <w:lang w:val="en-US"/>
        </w:rPr>
      </w:pPr>
      <w:r w:rsidRPr="00947CB9">
        <w:rPr>
          <w:rFonts w:eastAsia="Verdana" w:cs="Arial"/>
          <w:color w:val="000000"/>
          <w:szCs w:val="18"/>
          <w:lang w:val="en-US" w:eastAsia="es-CO"/>
        </w:rPr>
        <w:t>Regarding the results, it can be affirmed that biomass is a renewable energy source obtained through the process of photosynthesis and its sustainable use does not entail risks for future generations and allows to reduce the consumption of energy whose reserves are limited (oil, gas, coal and uranium) and are distributed irregularly on the planet.</w:t>
      </w:r>
      <w:r>
        <w:rPr>
          <w:rFonts w:eastAsia="Verdana" w:cs="Arial"/>
          <w:color w:val="000000"/>
          <w:szCs w:val="18"/>
          <w:lang w:val="en-US" w:eastAsia="es-CO"/>
        </w:rPr>
        <w:t xml:space="preserve"> </w:t>
      </w:r>
      <w:r w:rsidRPr="006A0963">
        <w:rPr>
          <w:lang w:val="en-US"/>
        </w:rPr>
        <w:t>Therefore, the development of biomass does not limit its benefits to energy production, having these important positive effects in environmental and socioeconomic spheres.</w:t>
      </w:r>
    </w:p>
    <w:p w:rsidR="00105F28" w:rsidRPr="006A0963" w:rsidRDefault="00105F28" w:rsidP="00105F28">
      <w:pPr>
        <w:tabs>
          <w:tab w:val="clear" w:pos="7100"/>
        </w:tabs>
        <w:spacing w:line="240" w:lineRule="auto"/>
        <w:ind w:right="8"/>
        <w:rPr>
          <w:lang w:val="en-US"/>
        </w:rPr>
      </w:pPr>
      <w:r w:rsidRPr="006A0963">
        <w:rPr>
          <w:lang w:val="en-US"/>
        </w:rPr>
        <w:t>Although, the most important barriers to the implementation of biomass are the costs of production, supply and the difficulty of having a reasonable periodic supply over time, the by-products of Quinoa promise, by their volume of production, adaptability and quality, become a source of biomass alternative. Likewise, it is noteworthy that pelletizing is the process of manufacturing pellets that, among others, converts the raw material into a solid biofuel standardized internationally.</w:t>
      </w:r>
      <w:r>
        <w:rPr>
          <w:lang w:val="en-US"/>
        </w:rPr>
        <w:t xml:space="preserve"> </w:t>
      </w:r>
      <w:r w:rsidRPr="006A0963">
        <w:rPr>
          <w:lang w:val="en-US"/>
        </w:rPr>
        <w:t xml:space="preserve">They are shaped like cylinders of small dimensions coming from the biomass of different origins without chemical agents intervening in the process, but rather, by means of pressure, temperature and humidity, </w:t>
      </w:r>
      <w:r w:rsidRPr="008C2391">
        <w:rPr>
          <w:lang w:val="en-US"/>
        </w:rPr>
        <w:t>the lignocellulose present in the waste, acts as binder</w:t>
      </w:r>
      <w:r w:rsidRPr="006A0963">
        <w:rPr>
          <w:lang w:val="en-US"/>
        </w:rPr>
        <w:t>.</w:t>
      </w:r>
    </w:p>
    <w:p w:rsidR="00105F28" w:rsidRDefault="00105F28" w:rsidP="00F11987">
      <w:pPr>
        <w:pStyle w:val="CETheadingx"/>
        <w:numPr>
          <w:ilvl w:val="0"/>
          <w:numId w:val="22"/>
        </w:numPr>
      </w:pPr>
      <w:r>
        <w:t>Conclusions</w:t>
      </w:r>
    </w:p>
    <w:p w:rsidR="00F11987" w:rsidRPr="00F11987" w:rsidRDefault="00734F0A" w:rsidP="00F11987">
      <w:pPr>
        <w:pStyle w:val="CETheadingx"/>
        <w:numPr>
          <w:ilvl w:val="0"/>
          <w:numId w:val="0"/>
        </w:numPr>
        <w:spacing w:after="0"/>
        <w:rPr>
          <w:b w:val="0"/>
        </w:rPr>
      </w:pPr>
      <w:r w:rsidRPr="00F11987">
        <w:rPr>
          <w:b w:val="0"/>
        </w:rPr>
        <w:t>According to the results obtained in the physicochemical characterization of the different raw materials, it was found that the highest percentage of humidity is found in the stem, the husk has a high percentage of ash, the fiber is found in greater quantity in the brush and last the sheet is the byproduct that contains the fattest percentage.</w:t>
      </w:r>
      <w:r w:rsidR="00F11987" w:rsidRPr="00F11987">
        <w:rPr>
          <w:b w:val="0"/>
        </w:rPr>
        <w:t xml:space="preserve"> </w:t>
      </w:r>
    </w:p>
    <w:p w:rsidR="00EF3B87" w:rsidRPr="00F11987" w:rsidRDefault="00734F0A" w:rsidP="00F11987">
      <w:pPr>
        <w:pStyle w:val="CETheadingx"/>
        <w:numPr>
          <w:ilvl w:val="0"/>
          <w:numId w:val="0"/>
        </w:numPr>
        <w:spacing w:before="0"/>
        <w:rPr>
          <w:b w:val="0"/>
        </w:rPr>
      </w:pPr>
      <w:r w:rsidRPr="00F11987">
        <w:rPr>
          <w:b w:val="0"/>
        </w:rPr>
        <w:t>The physicochemical and mechanical analyzes performed on the four formulations showed that the initial raw material transfers its characteristics to the final product, which, separately or jointly, can generate value for the Quinoa production chain, either as a nutritional supplement animal, as a source of cellulose for the paper industry or as a source of biomass for the biofuel industry (the latter subject to future investigations).</w:t>
      </w:r>
    </w:p>
    <w:p w:rsidR="00105F28" w:rsidRDefault="00105F28" w:rsidP="00F11987">
      <w:pPr>
        <w:pStyle w:val="CETheadingx"/>
        <w:rPr>
          <w:rFonts w:cs="Arial"/>
          <w:szCs w:val="18"/>
        </w:rPr>
      </w:pPr>
      <w:r>
        <w:t>Reference</w:t>
      </w:r>
    </w:p>
    <w:p w:rsidR="00F11987" w:rsidRDefault="00105F28" w:rsidP="00F11987">
      <w:pPr>
        <w:pStyle w:val="CETReference-text"/>
      </w:pPr>
      <w:r>
        <w:t>Abdelazim, A. S., 2018, Chemical and Technological Evaluation of Quinoa (</w:t>
      </w:r>
      <w:r w:rsidRPr="00366C1D">
        <w:rPr>
          <w:i/>
        </w:rPr>
        <w:t>Chenopodium quinoa</w:t>
      </w:r>
      <w:r>
        <w:t xml:space="preserve"> Willd) Cultivated in Egypt, Acta Scientific Nutritional Health, vol. 2 Issue 7, 42-53.</w:t>
      </w:r>
    </w:p>
    <w:p w:rsidR="00F11987" w:rsidRDefault="00105F28" w:rsidP="00F11987">
      <w:pPr>
        <w:pStyle w:val="CETReference-text"/>
      </w:pPr>
      <w:r w:rsidRPr="004754ED">
        <w:t>Directiva 2001/77/CE del Parlamento Europeo y del Consejo, de 21 de setiembre, 2001, Relativa a la promoción de la electricidad generada apartir de fuetes de energía renovables en el mercado interior de la electricidad. Diario Oficial de las Comunidades Europeas, L283/33.</w:t>
      </w:r>
    </w:p>
    <w:p w:rsidR="00105F28" w:rsidRPr="00F11987" w:rsidRDefault="00105F28" w:rsidP="00F11987">
      <w:pPr>
        <w:pStyle w:val="CETReference-text"/>
      </w:pPr>
      <w:r w:rsidRPr="004754ED">
        <w:t>Elsohaimya, S. A.; Refaaya, T. M.; Zaytoun, M. A. M., 2015, Physicochemical and functional properties of quinoa protein isolate, Annals of Agricultural Sciences, Volume 60, Issue 2, 297-305.</w:t>
      </w:r>
    </w:p>
    <w:p w:rsidR="00105F28" w:rsidRPr="00366C1D" w:rsidRDefault="00105F28" w:rsidP="00105F28">
      <w:pPr>
        <w:pStyle w:val="CETBodytext"/>
        <w:ind w:left="284" w:hanging="284"/>
        <w:rPr>
          <w:lang w:val="en-GB"/>
        </w:rPr>
      </w:pPr>
      <w:r w:rsidRPr="0090468E">
        <w:rPr>
          <w:lang w:val="en-GB"/>
        </w:rPr>
        <w:t>Szilagyi</w:t>
      </w:r>
      <w:r>
        <w:rPr>
          <w:lang w:val="en-GB"/>
        </w:rPr>
        <w:t>, L.;</w:t>
      </w:r>
      <w:r w:rsidRPr="0090468E">
        <w:rPr>
          <w:lang w:val="en-GB"/>
        </w:rPr>
        <w:t xml:space="preserve"> </w:t>
      </w:r>
      <w:r>
        <w:rPr>
          <w:lang w:val="en-GB"/>
        </w:rPr>
        <w:t>Jørnsgård B., 2014, P</w:t>
      </w:r>
      <w:r w:rsidRPr="0090468E">
        <w:rPr>
          <w:lang w:val="en-GB"/>
        </w:rPr>
        <w:t xml:space="preserve">reliminary agronomic evaluation of </w:t>
      </w:r>
      <w:r w:rsidRPr="0090468E">
        <w:rPr>
          <w:i/>
          <w:lang w:val="en-GB"/>
        </w:rPr>
        <w:t>Chenopodium quinoa</w:t>
      </w:r>
      <w:r>
        <w:rPr>
          <w:lang w:val="en-GB"/>
        </w:rPr>
        <w:t xml:space="preserve"> </w:t>
      </w:r>
      <w:r w:rsidRPr="0090468E">
        <w:rPr>
          <w:lang w:val="en-GB"/>
        </w:rPr>
        <w:t xml:space="preserve">Willd. </w:t>
      </w:r>
      <w:r>
        <w:rPr>
          <w:lang w:val="en-GB"/>
        </w:rPr>
        <w:t>under climatic conditions of R</w:t>
      </w:r>
      <w:r w:rsidRPr="0090468E">
        <w:rPr>
          <w:lang w:val="en-GB"/>
        </w:rPr>
        <w:t>omania</w:t>
      </w:r>
      <w:r>
        <w:rPr>
          <w:lang w:val="en-GB"/>
        </w:rPr>
        <w:t xml:space="preserve">, </w:t>
      </w:r>
      <w:r w:rsidRPr="0090468E">
        <w:rPr>
          <w:lang w:val="en-GB"/>
        </w:rPr>
        <w:t>Scientif</w:t>
      </w:r>
      <w:r>
        <w:rPr>
          <w:lang w:val="en-GB"/>
        </w:rPr>
        <w:t>ic Papers. Series A. Agronomy, V</w:t>
      </w:r>
      <w:r w:rsidRPr="0090468E">
        <w:rPr>
          <w:lang w:val="en-GB"/>
        </w:rPr>
        <w:t xml:space="preserve">ol. </w:t>
      </w:r>
      <w:r>
        <w:rPr>
          <w:lang w:val="en-GB"/>
        </w:rPr>
        <w:t>57</w:t>
      </w:r>
      <w:r w:rsidRPr="0090468E">
        <w:rPr>
          <w:lang w:val="en-GB"/>
        </w:rPr>
        <w:t xml:space="preserve">, </w:t>
      </w:r>
      <w:r>
        <w:rPr>
          <w:lang w:val="en-GB"/>
        </w:rPr>
        <w:t>339-343.</w:t>
      </w:r>
    </w:p>
    <w:p w:rsidR="00105F28" w:rsidRDefault="00105F28" w:rsidP="00105F28">
      <w:pPr>
        <w:pStyle w:val="CETBodytext"/>
        <w:ind w:left="284" w:hanging="284"/>
        <w:rPr>
          <w:lang w:val="en-GB"/>
        </w:rPr>
      </w:pPr>
      <w:r>
        <w:t>Suárez Rivero D., Marin Mahecha O., Ortiz Aguilar J., Puentes A., Agudelo Gutierrez L.D., Suárez Rivero M., 2018, Use of biotechnology as generator of resistance mechanism to water stress in the rosa productive chain (</w:t>
      </w:r>
      <w:r w:rsidRPr="00FD65FE">
        <w:rPr>
          <w:i/>
        </w:rPr>
        <w:t>Rosa indica</w:t>
      </w:r>
      <w:r>
        <w:t xml:space="preserve"> L. var. classy), Chemical Engineering Transactions, 64, 469-474 DOI: 10.3303/CET1864079</w:t>
      </w:r>
    </w:p>
    <w:p w:rsidR="00105F28" w:rsidRPr="004754ED" w:rsidRDefault="00105F28" w:rsidP="00105F28">
      <w:pPr>
        <w:pStyle w:val="CETBodytext"/>
        <w:ind w:left="284" w:hanging="284"/>
        <w:rPr>
          <w:lang w:val="es-CO"/>
        </w:rPr>
      </w:pPr>
      <w:r w:rsidRPr="004754ED">
        <w:rPr>
          <w:lang w:val="es-CO"/>
        </w:rPr>
        <w:t xml:space="preserve">Suárez-Rivero, D.; Suárez-Rivero, M.; Marin-Mahecha, O., 2018, </w:t>
      </w:r>
      <w:r w:rsidR="00F664F9">
        <w:rPr>
          <w:lang w:val="es-CO"/>
        </w:rPr>
        <w:t xml:space="preserve">(b) </w:t>
      </w:r>
      <w:r w:rsidRPr="004754ED">
        <w:rPr>
          <w:lang w:val="es-CO"/>
        </w:rPr>
        <w:t>Biología y sistemática para ingenieros, Bogotá: Entrelibros.</w:t>
      </w:r>
    </w:p>
    <w:p w:rsidR="00F11987" w:rsidRDefault="00105F28" w:rsidP="00F11987">
      <w:pPr>
        <w:pStyle w:val="CETBodytext"/>
        <w:ind w:left="284" w:hanging="284"/>
        <w:rPr>
          <w:lang w:val="es-CO"/>
        </w:rPr>
      </w:pPr>
      <w:r>
        <w:t xml:space="preserve">Rozalino-Santos, M. E.; Santos, A.; Miranda, D., de Lana, B.; Mesquita, V.; Chaves, D.; 2016, Cattle production supplemented on signal grass pastures during the rainy season, </w:t>
      </w:r>
      <w:r w:rsidRPr="009E1136">
        <w:t xml:space="preserve">Acta Scientiarum. </w:t>
      </w:r>
      <w:r w:rsidRPr="004754ED">
        <w:rPr>
          <w:lang w:val="es-CO"/>
        </w:rPr>
        <w:t>Animal Sciences Maringá, vol. 38, Issue</w:t>
      </w:r>
      <w:r w:rsidRPr="004754ED">
        <w:rPr>
          <w:b/>
          <w:lang w:val="es-CO"/>
        </w:rPr>
        <w:t xml:space="preserve"> </w:t>
      </w:r>
      <w:r w:rsidRPr="004754ED">
        <w:rPr>
          <w:lang w:val="es-CO"/>
        </w:rPr>
        <w:t>1, p. 53-60, Doi: 10.4025/actascianimsci.v38i1.29104</w:t>
      </w:r>
    </w:p>
    <w:p w:rsidR="00105F28" w:rsidRPr="00F11987" w:rsidRDefault="00105F28" w:rsidP="00F11987">
      <w:pPr>
        <w:pStyle w:val="CETBodytext"/>
        <w:ind w:left="284" w:hanging="284"/>
        <w:rPr>
          <w:lang w:val="es-CO"/>
        </w:rPr>
      </w:pPr>
      <w:r w:rsidRPr="004754ED">
        <w:rPr>
          <w:rFonts w:cs="Arial"/>
          <w:color w:val="000000" w:themeColor="text1"/>
          <w:szCs w:val="24"/>
          <w:shd w:val="clear" w:color="auto" w:fill="FFFFFF"/>
          <w:lang w:val="es-CO"/>
        </w:rPr>
        <w:t>Villacrés, E., Peralta, E., &amp; Egas, L. (2011). Potencial agroindustrial de la quínoa.</w:t>
      </w:r>
      <w:r w:rsidRPr="004754ED">
        <w:rPr>
          <w:rFonts w:cs="Arial"/>
          <w:iCs/>
          <w:color w:val="000000" w:themeColor="text1"/>
          <w:szCs w:val="24"/>
          <w:shd w:val="clear" w:color="auto" w:fill="FFFFFF"/>
          <w:lang w:val="es-CO"/>
        </w:rPr>
        <w:t xml:space="preserve"> Boletín técnico</w:t>
      </w:r>
      <w:r w:rsidRPr="004754ED">
        <w:rPr>
          <w:rFonts w:cs="Arial"/>
          <w:color w:val="000000" w:themeColor="text1"/>
          <w:szCs w:val="24"/>
          <w:shd w:val="clear" w:color="auto" w:fill="FFFFFF"/>
          <w:lang w:val="es-CO"/>
        </w:rPr>
        <w:t xml:space="preserve"> n° 146.departamento de nutrición y calidad de los ali</w:t>
      </w:r>
      <w:bookmarkStart w:id="6" w:name="_GoBack"/>
      <w:bookmarkEnd w:id="6"/>
      <w:r w:rsidRPr="004754ED">
        <w:rPr>
          <w:rFonts w:cs="Arial"/>
          <w:color w:val="000000" w:themeColor="text1"/>
          <w:szCs w:val="24"/>
          <w:shd w:val="clear" w:color="auto" w:fill="FFFFFF"/>
          <w:lang w:val="es-CO"/>
        </w:rPr>
        <w:t>mentos. Estación experimental santa catalina, iniap. Quito, Ecuador.32p.</w:t>
      </w:r>
    </w:p>
    <w:p w:rsidR="00105F28" w:rsidRPr="003F6DF6" w:rsidRDefault="00105F28" w:rsidP="00105F28">
      <w:pPr>
        <w:pStyle w:val="Bibliografa"/>
        <w:rPr>
          <w:noProof/>
        </w:rPr>
      </w:pPr>
      <w:r w:rsidRPr="004754ED">
        <w:rPr>
          <w:noProof/>
          <w:lang w:val="es-CO"/>
        </w:rPr>
        <w:t xml:space="preserve">Pando, L. G. ( 2016). </w:t>
      </w:r>
      <w:r w:rsidRPr="004754ED">
        <w:rPr>
          <w:iCs/>
          <w:noProof/>
          <w:lang w:val="es-CO"/>
        </w:rPr>
        <w:t>Guía de cultivo de la quinua.</w:t>
      </w:r>
      <w:r w:rsidRPr="004754ED">
        <w:rPr>
          <w:noProof/>
          <w:lang w:val="es-CO"/>
        </w:rPr>
        <w:t xml:space="preserve"> </w:t>
      </w:r>
      <w:r w:rsidRPr="003F6DF6">
        <w:rPr>
          <w:noProof/>
        </w:rPr>
        <w:t>Lima.</w:t>
      </w:r>
    </w:p>
    <w:p w:rsidR="00105F28" w:rsidRDefault="00105F28" w:rsidP="00105F28">
      <w:pPr>
        <w:pStyle w:val="CETBodytext"/>
        <w:ind w:left="284" w:hanging="284"/>
        <w:rPr>
          <w:lang w:val="en-GB"/>
        </w:rPr>
      </w:pPr>
    </w:p>
    <w:p w:rsidR="004628D2" w:rsidRDefault="004628D2" w:rsidP="00105F28">
      <w:pPr>
        <w:pStyle w:val="CETBodytext"/>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78" w:rsidRDefault="009E3078" w:rsidP="004F5E36">
      <w:r>
        <w:separator/>
      </w:r>
    </w:p>
  </w:endnote>
  <w:endnote w:type="continuationSeparator" w:id="0">
    <w:p w:rsidR="009E3078" w:rsidRDefault="009E307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78" w:rsidRDefault="009E3078" w:rsidP="004F5E36">
      <w:r>
        <w:separator/>
      </w:r>
    </w:p>
  </w:footnote>
  <w:footnote w:type="continuationSeparator" w:id="0">
    <w:p w:rsidR="009E3078" w:rsidRDefault="009E3078"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EA60026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0471D9C"/>
    <w:multiLevelType w:val="multilevel"/>
    <w:tmpl w:val="6BBA1BC6"/>
    <w:lvl w:ilvl="0">
      <w:start w:val="2"/>
      <w:numFmt w:val="decimal"/>
      <w:lvlText w:val="%1."/>
      <w:lvlJc w:val="left"/>
      <w:pPr>
        <w:ind w:left="360" w:hanging="360"/>
      </w:pPr>
      <w:rPr>
        <w:rFonts w:hint="default"/>
        <w:b/>
      </w:rPr>
    </w:lvl>
    <w:lvl w:ilvl="1">
      <w:start w:val="1"/>
      <w:numFmt w:val="decimal"/>
      <w:pStyle w:val="CETheadingx"/>
      <w:lvlText w:val="%1.%2."/>
      <w:lvlJc w:val="left"/>
      <w:pPr>
        <w:ind w:left="360" w:hanging="360"/>
      </w:pPr>
      <w:rPr>
        <w:rFonts w:ascii="Arial" w:hAnsi="Arial" w:cs="Arial"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DB127B"/>
    <w:multiLevelType w:val="hybridMultilevel"/>
    <w:tmpl w:val="74BE3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01ED"/>
    <w:rsid w:val="0003148D"/>
    <w:rsid w:val="00047D7F"/>
    <w:rsid w:val="00051566"/>
    <w:rsid w:val="00053B7E"/>
    <w:rsid w:val="00062A9A"/>
    <w:rsid w:val="00065058"/>
    <w:rsid w:val="00086C39"/>
    <w:rsid w:val="000A03B2"/>
    <w:rsid w:val="000A3B79"/>
    <w:rsid w:val="000C31C2"/>
    <w:rsid w:val="000D34BE"/>
    <w:rsid w:val="000E102F"/>
    <w:rsid w:val="000E36F1"/>
    <w:rsid w:val="000E3A73"/>
    <w:rsid w:val="000E414A"/>
    <w:rsid w:val="000F093C"/>
    <w:rsid w:val="000F16BD"/>
    <w:rsid w:val="000F787B"/>
    <w:rsid w:val="00105F28"/>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F42A5"/>
    <w:rsid w:val="001F7B9D"/>
    <w:rsid w:val="0021309D"/>
    <w:rsid w:val="002224B4"/>
    <w:rsid w:val="002447EF"/>
    <w:rsid w:val="00251550"/>
    <w:rsid w:val="00252C1A"/>
    <w:rsid w:val="00263B05"/>
    <w:rsid w:val="0027221A"/>
    <w:rsid w:val="00275B61"/>
    <w:rsid w:val="00282656"/>
    <w:rsid w:val="00296B83"/>
    <w:rsid w:val="002A4F59"/>
    <w:rsid w:val="002B78CE"/>
    <w:rsid w:val="002C2FB6"/>
    <w:rsid w:val="002D5BCD"/>
    <w:rsid w:val="002F1A38"/>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86DB4"/>
    <w:rsid w:val="00693766"/>
    <w:rsid w:val="006A3281"/>
    <w:rsid w:val="006B4017"/>
    <w:rsid w:val="006B4888"/>
    <w:rsid w:val="006B554F"/>
    <w:rsid w:val="006C2E45"/>
    <w:rsid w:val="006C359C"/>
    <w:rsid w:val="006C5579"/>
    <w:rsid w:val="006D4298"/>
    <w:rsid w:val="006E737D"/>
    <w:rsid w:val="0070195D"/>
    <w:rsid w:val="00717DDA"/>
    <w:rsid w:val="00720A24"/>
    <w:rsid w:val="00732386"/>
    <w:rsid w:val="00734F0A"/>
    <w:rsid w:val="0073690F"/>
    <w:rsid w:val="007447F3"/>
    <w:rsid w:val="0075499F"/>
    <w:rsid w:val="0075615C"/>
    <w:rsid w:val="007661C8"/>
    <w:rsid w:val="0077098D"/>
    <w:rsid w:val="00787282"/>
    <w:rsid w:val="007931FA"/>
    <w:rsid w:val="007A7BBA"/>
    <w:rsid w:val="007B0C50"/>
    <w:rsid w:val="007C1A43"/>
    <w:rsid w:val="007C3F81"/>
    <w:rsid w:val="007E1DC6"/>
    <w:rsid w:val="00813288"/>
    <w:rsid w:val="00813608"/>
    <w:rsid w:val="008168FC"/>
    <w:rsid w:val="00830996"/>
    <w:rsid w:val="008345F1"/>
    <w:rsid w:val="00865B07"/>
    <w:rsid w:val="008667EA"/>
    <w:rsid w:val="0087637F"/>
    <w:rsid w:val="008904B9"/>
    <w:rsid w:val="00892AD5"/>
    <w:rsid w:val="008A1512"/>
    <w:rsid w:val="008C2391"/>
    <w:rsid w:val="008C78C1"/>
    <w:rsid w:val="008D32B9"/>
    <w:rsid w:val="008D433B"/>
    <w:rsid w:val="008E01B3"/>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831FC"/>
    <w:rsid w:val="00996483"/>
    <w:rsid w:val="00996F5A"/>
    <w:rsid w:val="009A0A3E"/>
    <w:rsid w:val="009B041A"/>
    <w:rsid w:val="009C7C86"/>
    <w:rsid w:val="009D2FF7"/>
    <w:rsid w:val="009E3078"/>
    <w:rsid w:val="009E7884"/>
    <w:rsid w:val="009E788A"/>
    <w:rsid w:val="009F0E08"/>
    <w:rsid w:val="00A1763D"/>
    <w:rsid w:val="00A17CEC"/>
    <w:rsid w:val="00A27EF0"/>
    <w:rsid w:val="00A50B20"/>
    <w:rsid w:val="00A51390"/>
    <w:rsid w:val="00A60D13"/>
    <w:rsid w:val="00A64E61"/>
    <w:rsid w:val="00A72745"/>
    <w:rsid w:val="00A76EFC"/>
    <w:rsid w:val="00A82C9C"/>
    <w:rsid w:val="00A91010"/>
    <w:rsid w:val="00A97F29"/>
    <w:rsid w:val="00AA702E"/>
    <w:rsid w:val="00AB0964"/>
    <w:rsid w:val="00AB5011"/>
    <w:rsid w:val="00AC7368"/>
    <w:rsid w:val="00AD16B9"/>
    <w:rsid w:val="00AE377D"/>
    <w:rsid w:val="00AE67C9"/>
    <w:rsid w:val="00B17FBD"/>
    <w:rsid w:val="00B315A6"/>
    <w:rsid w:val="00B31813"/>
    <w:rsid w:val="00B33365"/>
    <w:rsid w:val="00B57B36"/>
    <w:rsid w:val="00B76CD5"/>
    <w:rsid w:val="00B8686D"/>
    <w:rsid w:val="00BC30C9"/>
    <w:rsid w:val="00BD7163"/>
    <w:rsid w:val="00BE3E58"/>
    <w:rsid w:val="00C01616"/>
    <w:rsid w:val="00C0162B"/>
    <w:rsid w:val="00C345B1"/>
    <w:rsid w:val="00C40142"/>
    <w:rsid w:val="00C57182"/>
    <w:rsid w:val="00C57863"/>
    <w:rsid w:val="00C655FD"/>
    <w:rsid w:val="00C870A8"/>
    <w:rsid w:val="00C9170E"/>
    <w:rsid w:val="00C94434"/>
    <w:rsid w:val="00C94B37"/>
    <w:rsid w:val="00CA0D75"/>
    <w:rsid w:val="00CA1C95"/>
    <w:rsid w:val="00CA5A9C"/>
    <w:rsid w:val="00CA6BE4"/>
    <w:rsid w:val="00CC1A3B"/>
    <w:rsid w:val="00CD3517"/>
    <w:rsid w:val="00CD5A00"/>
    <w:rsid w:val="00CD5FE2"/>
    <w:rsid w:val="00CE7C68"/>
    <w:rsid w:val="00D02B4C"/>
    <w:rsid w:val="00D040C4"/>
    <w:rsid w:val="00D05863"/>
    <w:rsid w:val="00D57C84"/>
    <w:rsid w:val="00D6057D"/>
    <w:rsid w:val="00D84576"/>
    <w:rsid w:val="00DA1399"/>
    <w:rsid w:val="00DA24C6"/>
    <w:rsid w:val="00DA4D7B"/>
    <w:rsid w:val="00DE264A"/>
    <w:rsid w:val="00E02D18"/>
    <w:rsid w:val="00E041E7"/>
    <w:rsid w:val="00E23CA1"/>
    <w:rsid w:val="00E26995"/>
    <w:rsid w:val="00E409A8"/>
    <w:rsid w:val="00E50C12"/>
    <w:rsid w:val="00E619D8"/>
    <w:rsid w:val="00E6284E"/>
    <w:rsid w:val="00E65B91"/>
    <w:rsid w:val="00E7209D"/>
    <w:rsid w:val="00E77223"/>
    <w:rsid w:val="00E8528B"/>
    <w:rsid w:val="00E85B94"/>
    <w:rsid w:val="00E978D0"/>
    <w:rsid w:val="00EA4613"/>
    <w:rsid w:val="00EA7F91"/>
    <w:rsid w:val="00EB1523"/>
    <w:rsid w:val="00EC0E49"/>
    <w:rsid w:val="00EE0131"/>
    <w:rsid w:val="00EF3B87"/>
    <w:rsid w:val="00F11987"/>
    <w:rsid w:val="00F155B2"/>
    <w:rsid w:val="00F30C64"/>
    <w:rsid w:val="00F32CDB"/>
    <w:rsid w:val="00F46ADD"/>
    <w:rsid w:val="00F63A70"/>
    <w:rsid w:val="00F664F9"/>
    <w:rsid w:val="00FA21D0"/>
    <w:rsid w:val="00FA5F5F"/>
    <w:rsid w:val="00FB1221"/>
    <w:rsid w:val="00FB1770"/>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11987"/>
    <w:pPr>
      <w:keepNext/>
      <w:numPr>
        <w:ilvl w:val="1"/>
        <w:numId w:val="22"/>
      </w:numPr>
      <w:suppressAutoHyphens/>
      <w:spacing w:before="120" w:after="24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1198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105F28"/>
    <w:pPr>
      <w:spacing w:after="0" w:line="264" w:lineRule="auto"/>
      <w:ind w:left="284" w:hanging="284"/>
      <w:jc w:val="both"/>
    </w:pPr>
    <w:rPr>
      <w:rFonts w:ascii="Arial" w:eastAsia="Times New Roman" w:hAnsi="Arial" w:cs="Times New Roman"/>
      <w:sz w:val="18"/>
      <w:szCs w:val="20"/>
      <w:lang w:val="en-GB"/>
    </w:rPr>
  </w:style>
  <w:style w:type="paragraph" w:styleId="Prrafodelista">
    <w:name w:val="List Paragraph"/>
    <w:basedOn w:val="Normal"/>
    <w:uiPriority w:val="34"/>
    <w:qFormat/>
    <w:rsid w:val="00105F28"/>
    <w:pPr>
      <w:tabs>
        <w:tab w:val="clear" w:pos="7100"/>
      </w:tabs>
      <w:spacing w:line="480" w:lineRule="auto"/>
      <w:ind w:left="720" w:firstLine="284"/>
      <w:contextualSpacing/>
    </w:pPr>
    <w:rPr>
      <w:rFonts w:ascii="Times New Roman" w:eastAsiaTheme="minorEastAsia" w:hAnsi="Times New Roman" w:cstheme="minorHAnsi"/>
      <w:i/>
      <w:iCs/>
      <w:sz w:val="24"/>
      <w:lang w:val="es-CO" w:eastAsia="es-CO"/>
    </w:rPr>
  </w:style>
  <w:style w:type="table" w:styleId="Sombreadoclaro-nfasis1">
    <w:name w:val="Light Shading Accent 1"/>
    <w:basedOn w:val="Tablanormal"/>
    <w:uiPriority w:val="60"/>
    <w:rsid w:val="00105F28"/>
    <w:pPr>
      <w:spacing w:after="0" w:line="240" w:lineRule="auto"/>
    </w:pPr>
    <w:rPr>
      <w:rFonts w:eastAsiaTheme="minorEastAsia"/>
      <w:color w:val="365F91" w:themeColor="accent1" w:themeShade="BF"/>
      <w:lang w:val="es-CO" w:eastAsia="es-C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inespaciado">
    <w:name w:val="No Spacing"/>
    <w:uiPriority w:val="1"/>
    <w:qFormat/>
    <w:rsid w:val="00105F28"/>
    <w:pPr>
      <w:spacing w:after="0" w:line="240" w:lineRule="auto"/>
      <w:ind w:left="823" w:right="8" w:hanging="10"/>
      <w:jc w:val="both"/>
    </w:pPr>
    <w:rPr>
      <w:rFonts w:ascii="Verdana" w:eastAsia="Verdana" w:hAnsi="Verdana" w:cs="Verdana"/>
      <w:color w:val="000000"/>
      <w:sz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ivissr2000@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16711427817933"/>
          <c:y val="6.8450528935905419E-2"/>
          <c:w val="0.84071919239760107"/>
          <c:h val="0.68328229350920433"/>
        </c:manualLayout>
      </c:layout>
      <c:barChart>
        <c:barDir val="col"/>
        <c:grouping val="clustered"/>
        <c:varyColors val="0"/>
        <c:ser>
          <c:idx val="0"/>
          <c:order val="0"/>
          <c:tx>
            <c:strRef>
              <c:f>Hoja1!$D$10</c:f>
              <c:strCache>
                <c:ptCount val="1"/>
                <c:pt idx="0">
                  <c:v>Humedad (%)</c:v>
                </c:pt>
              </c:strCache>
            </c:strRef>
          </c:tx>
          <c:spPr>
            <a:solidFill>
              <a:schemeClr val="accent1"/>
            </a:solidFill>
            <a:ln>
              <a:noFill/>
            </a:ln>
            <a:effectLst/>
          </c:spPr>
          <c:invertIfNegative val="0"/>
          <c:dPt>
            <c:idx val="0"/>
            <c:invertIfNegative val="0"/>
            <c:bubble3D val="0"/>
            <c:spPr>
              <a:solidFill>
                <a:schemeClr val="tx1">
                  <a:lumMod val="85000"/>
                  <a:lumOff val="15000"/>
                </a:schemeClr>
              </a:solidFill>
              <a:ln>
                <a:noFill/>
              </a:ln>
              <a:effectLst/>
            </c:spPr>
            <c:extLst xmlns:c16r2="http://schemas.microsoft.com/office/drawing/2015/06/chart">
              <c:ext xmlns:c16="http://schemas.microsoft.com/office/drawing/2014/chart" uri="{C3380CC4-5D6E-409C-BE32-E72D297353CC}">
                <c16:uniqueId val="{00000001-D09B-4BAA-A560-BC840552BA80}"/>
              </c:ext>
            </c:extLst>
          </c:dPt>
          <c:dPt>
            <c:idx val="1"/>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3-D09B-4BAA-A560-BC840552BA80}"/>
              </c:ext>
            </c:extLst>
          </c:dPt>
          <c:dPt>
            <c:idx val="2"/>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5-D09B-4BAA-A560-BC840552BA80}"/>
              </c:ext>
            </c:extLst>
          </c:dPt>
          <c:dPt>
            <c:idx val="3"/>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7-D09B-4BAA-A560-BC840552BA80}"/>
              </c:ext>
            </c:extLst>
          </c:dPt>
          <c:cat>
            <c:multiLvlStrRef>
              <c:f>Hoja1!$B$11:$C$14</c:f>
              <c:multiLvlStrCache>
                <c:ptCount val="4"/>
                <c:lvl>
                  <c:pt idx="0">
                    <c:v>b</c:v>
                  </c:pt>
                  <c:pt idx="1">
                    <c:v>c</c:v>
                  </c:pt>
                  <c:pt idx="2">
                    <c:v>bc</c:v>
                  </c:pt>
                  <c:pt idx="3">
                    <c:v>a</c:v>
                  </c:pt>
                </c:lvl>
                <c:lvl>
                  <c:pt idx="0">
                    <c:v>Leaf</c:v>
                  </c:pt>
                  <c:pt idx="1">
                    <c:v>Perigonium</c:v>
                  </c:pt>
                  <c:pt idx="2">
                    <c:v>Brushes</c:v>
                  </c:pt>
                  <c:pt idx="3">
                    <c:v>Stem</c:v>
                  </c:pt>
                </c:lvl>
              </c:multiLvlStrCache>
            </c:multiLvlStrRef>
          </c:cat>
          <c:val>
            <c:numRef>
              <c:f>Hoja1!$D$11:$D$14</c:f>
              <c:numCache>
                <c:formatCode>General</c:formatCode>
                <c:ptCount val="4"/>
                <c:pt idx="0">
                  <c:v>15.06</c:v>
                </c:pt>
                <c:pt idx="1">
                  <c:v>10.41</c:v>
                </c:pt>
                <c:pt idx="2">
                  <c:v>12.41</c:v>
                </c:pt>
                <c:pt idx="3">
                  <c:v>58.56</c:v>
                </c:pt>
              </c:numCache>
            </c:numRef>
          </c:val>
          <c:extLst xmlns:c16r2="http://schemas.microsoft.com/office/drawing/2015/06/chart">
            <c:ext xmlns:c16="http://schemas.microsoft.com/office/drawing/2014/chart" uri="{C3380CC4-5D6E-409C-BE32-E72D297353CC}">
              <c16:uniqueId val="{00000008-D09B-4BAA-A560-BC840552BA80}"/>
            </c:ext>
          </c:extLst>
        </c:ser>
        <c:dLbls>
          <c:showLegendKey val="0"/>
          <c:showVal val="0"/>
          <c:showCatName val="0"/>
          <c:showSerName val="0"/>
          <c:showPercent val="0"/>
          <c:showBubbleSize val="0"/>
        </c:dLbls>
        <c:gapWidth val="219"/>
        <c:overlap val="-27"/>
        <c:axId val="386521384"/>
        <c:axId val="386522952"/>
      </c:barChart>
      <c:catAx>
        <c:axId val="3865213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es-CO"/>
          </a:p>
        </c:txPr>
        <c:crossAx val="386522952"/>
        <c:crosses val="autoZero"/>
        <c:auto val="1"/>
        <c:lblAlgn val="ctr"/>
        <c:lblOffset val="100"/>
        <c:noMultiLvlLbl val="0"/>
      </c:catAx>
      <c:valAx>
        <c:axId val="386522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r>
                  <a:rPr lang="es-CO"/>
                  <a:t>% humedity</a:t>
                </a:r>
              </a:p>
            </c:rich>
          </c:tx>
          <c:layout>
            <c:manualLayout>
              <c:xMode val="edge"/>
              <c:yMode val="edge"/>
              <c:x val="9.1136933242196398E-3"/>
              <c:y val="0.256124533904326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es-C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es-CO"/>
          </a:p>
        </c:txPr>
        <c:crossAx val="386521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mn-lt"/>
          <a:cs typeface="Arial" panose="020B0604020202020204" pitchFamily="34" charset="0"/>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15476629251131"/>
          <c:y val="5.0925925925925923E-2"/>
          <c:w val="0.81789680013402577"/>
          <c:h val="0.70590539672748454"/>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tx1">
                  <a:lumMod val="85000"/>
                  <a:lumOff val="15000"/>
                </a:schemeClr>
              </a:solidFill>
              <a:ln>
                <a:noFill/>
              </a:ln>
              <a:effectLst/>
            </c:spPr>
            <c:extLst xmlns:c16r2="http://schemas.microsoft.com/office/drawing/2015/06/chart">
              <c:ext xmlns:c16="http://schemas.microsoft.com/office/drawing/2014/chart" uri="{C3380CC4-5D6E-409C-BE32-E72D297353CC}">
                <c16:uniqueId val="{00000001-0CCC-4194-B641-FA6C64BB006B}"/>
              </c:ext>
            </c:extLst>
          </c:dPt>
          <c:dPt>
            <c:idx val="1"/>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3-0CCC-4194-B641-FA6C64BB006B}"/>
              </c:ext>
            </c:extLst>
          </c:dPt>
          <c:dPt>
            <c:idx val="2"/>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5-0CCC-4194-B641-FA6C64BB006B}"/>
              </c:ext>
            </c:extLst>
          </c:dPt>
          <c:dPt>
            <c:idx val="3"/>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7-0CCC-4194-B641-FA6C64BB006B}"/>
              </c:ext>
            </c:extLst>
          </c:dPt>
          <c:cat>
            <c:multiLvlStrRef>
              <c:f>Hoja1!$B$24:$C$27</c:f>
              <c:multiLvlStrCache>
                <c:ptCount val="4"/>
                <c:lvl>
                  <c:pt idx="0">
                    <c:v>b</c:v>
                  </c:pt>
                  <c:pt idx="1">
                    <c:v>a</c:v>
                  </c:pt>
                  <c:pt idx="2">
                    <c:v>c</c:v>
                  </c:pt>
                  <c:pt idx="3">
                    <c:v>c</c:v>
                  </c:pt>
                </c:lvl>
                <c:lvl>
                  <c:pt idx="0">
                    <c:v>Leaf</c:v>
                  </c:pt>
                  <c:pt idx="1">
                    <c:v>Perigonium</c:v>
                  </c:pt>
                  <c:pt idx="2">
                    <c:v>Brushes</c:v>
                  </c:pt>
                  <c:pt idx="3">
                    <c:v>Stem</c:v>
                  </c:pt>
                </c:lvl>
              </c:multiLvlStrCache>
            </c:multiLvlStrRef>
          </c:cat>
          <c:val>
            <c:numRef>
              <c:f>Hoja1!$D$24:$D$27</c:f>
              <c:numCache>
                <c:formatCode>General</c:formatCode>
                <c:ptCount val="4"/>
                <c:pt idx="0">
                  <c:v>13.21</c:v>
                </c:pt>
                <c:pt idx="1">
                  <c:v>16.02</c:v>
                </c:pt>
                <c:pt idx="2">
                  <c:v>8.17</c:v>
                </c:pt>
                <c:pt idx="3">
                  <c:v>5.18</c:v>
                </c:pt>
              </c:numCache>
            </c:numRef>
          </c:val>
          <c:extLst xmlns:c16r2="http://schemas.microsoft.com/office/drawing/2015/06/chart">
            <c:ext xmlns:c16="http://schemas.microsoft.com/office/drawing/2014/chart" uri="{C3380CC4-5D6E-409C-BE32-E72D297353CC}">
              <c16:uniqueId val="{00000008-0CCC-4194-B641-FA6C64BB006B}"/>
            </c:ext>
          </c:extLst>
        </c:ser>
        <c:dLbls>
          <c:showLegendKey val="0"/>
          <c:showVal val="0"/>
          <c:showCatName val="0"/>
          <c:showSerName val="0"/>
          <c:showPercent val="0"/>
          <c:showBubbleSize val="0"/>
        </c:dLbls>
        <c:gapWidth val="219"/>
        <c:overlap val="-27"/>
        <c:axId val="386520600"/>
        <c:axId val="386520992"/>
      </c:barChart>
      <c:catAx>
        <c:axId val="38652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6520992"/>
        <c:crosses val="autoZero"/>
        <c:auto val="1"/>
        <c:lblAlgn val="ctr"/>
        <c:lblOffset val="100"/>
        <c:noMultiLvlLbl val="0"/>
      </c:catAx>
      <c:valAx>
        <c:axId val="386520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 Ash</a:t>
                </a:r>
              </a:p>
            </c:rich>
          </c:tx>
          <c:layout>
            <c:manualLayout>
              <c:xMode val="edge"/>
              <c:yMode val="edge"/>
              <c:x val="1.4814814814814815E-2"/>
              <c:y val="0.3690124874687326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65206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80248195758842"/>
          <c:y val="7.6603894031279929E-2"/>
          <c:w val="0.84219751804241161"/>
          <c:h val="0.66855402616657655"/>
        </c:manualLayout>
      </c:layout>
      <c:barChart>
        <c:barDir val="col"/>
        <c:grouping val="clustered"/>
        <c:varyColors val="0"/>
        <c:ser>
          <c:idx val="0"/>
          <c:order val="0"/>
          <c:tx>
            <c:strRef>
              <c:f>Hoja1!$O$2</c:f>
              <c:strCache>
                <c:ptCount val="1"/>
                <c:pt idx="0">
                  <c:v>Grasa (%)</c:v>
                </c:pt>
              </c:strCache>
            </c:strRef>
          </c:tx>
          <c:spPr>
            <a:solidFill>
              <a:schemeClr val="accent1"/>
            </a:solidFill>
            <a:ln>
              <a:noFill/>
            </a:ln>
            <a:effectLst/>
          </c:spPr>
          <c:invertIfNegative val="0"/>
          <c:dPt>
            <c:idx val="0"/>
            <c:invertIfNegative val="0"/>
            <c:bubble3D val="0"/>
            <c:spPr>
              <a:solidFill>
                <a:schemeClr val="tx1">
                  <a:lumMod val="85000"/>
                  <a:lumOff val="15000"/>
                </a:schemeClr>
              </a:solidFill>
              <a:ln>
                <a:noFill/>
              </a:ln>
              <a:effectLst/>
            </c:spPr>
            <c:extLst xmlns:c16r2="http://schemas.microsoft.com/office/drawing/2015/06/chart">
              <c:ext xmlns:c16="http://schemas.microsoft.com/office/drawing/2014/chart" uri="{C3380CC4-5D6E-409C-BE32-E72D297353CC}">
                <c16:uniqueId val="{00000001-B9EC-48D3-B2E1-51756A804093}"/>
              </c:ext>
            </c:extLst>
          </c:dPt>
          <c:dPt>
            <c:idx val="1"/>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3-B9EC-48D3-B2E1-51756A804093}"/>
              </c:ext>
            </c:extLst>
          </c:dPt>
          <c:dPt>
            <c:idx val="2"/>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5-B9EC-48D3-B2E1-51756A804093}"/>
              </c:ext>
            </c:extLst>
          </c:dPt>
          <c:dPt>
            <c:idx val="3"/>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7-B9EC-48D3-B2E1-51756A804093}"/>
              </c:ext>
            </c:extLst>
          </c:dPt>
          <c:cat>
            <c:multiLvlStrRef>
              <c:f>Hoja1!$M$3:$N$6</c:f>
              <c:multiLvlStrCache>
                <c:ptCount val="4"/>
                <c:lvl>
                  <c:pt idx="0">
                    <c:v>a</c:v>
                  </c:pt>
                  <c:pt idx="1">
                    <c:v>b</c:v>
                  </c:pt>
                  <c:pt idx="2">
                    <c:v>b</c:v>
                  </c:pt>
                  <c:pt idx="3">
                    <c:v>c</c:v>
                  </c:pt>
                </c:lvl>
                <c:lvl>
                  <c:pt idx="0">
                    <c:v>Leaf</c:v>
                  </c:pt>
                  <c:pt idx="1">
                    <c:v>Perigonium</c:v>
                  </c:pt>
                  <c:pt idx="2">
                    <c:v>Brushes</c:v>
                  </c:pt>
                  <c:pt idx="3">
                    <c:v>Stem</c:v>
                  </c:pt>
                </c:lvl>
              </c:multiLvlStrCache>
            </c:multiLvlStrRef>
          </c:cat>
          <c:val>
            <c:numRef>
              <c:f>Hoja1!$O$3:$O$6</c:f>
              <c:numCache>
                <c:formatCode>General</c:formatCode>
                <c:ptCount val="4"/>
                <c:pt idx="0">
                  <c:v>13.7</c:v>
                </c:pt>
                <c:pt idx="1">
                  <c:v>9.84</c:v>
                </c:pt>
                <c:pt idx="2">
                  <c:v>9.86</c:v>
                </c:pt>
                <c:pt idx="3">
                  <c:v>6.91</c:v>
                </c:pt>
              </c:numCache>
            </c:numRef>
          </c:val>
          <c:extLst xmlns:c16r2="http://schemas.microsoft.com/office/drawing/2015/06/chart">
            <c:ext xmlns:c16="http://schemas.microsoft.com/office/drawing/2014/chart" uri="{C3380CC4-5D6E-409C-BE32-E72D297353CC}">
              <c16:uniqueId val="{00000008-B9EC-48D3-B2E1-51756A804093}"/>
            </c:ext>
          </c:extLst>
        </c:ser>
        <c:dLbls>
          <c:showLegendKey val="0"/>
          <c:showVal val="0"/>
          <c:showCatName val="0"/>
          <c:showSerName val="0"/>
          <c:showPercent val="0"/>
          <c:showBubbleSize val="0"/>
        </c:dLbls>
        <c:gapWidth val="219"/>
        <c:overlap val="-27"/>
        <c:axId val="375258288"/>
        <c:axId val="375257112"/>
      </c:barChart>
      <c:catAx>
        <c:axId val="37525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75257112"/>
        <c:crosses val="autoZero"/>
        <c:auto val="1"/>
        <c:lblAlgn val="ctr"/>
        <c:lblOffset val="100"/>
        <c:noMultiLvlLbl val="0"/>
      </c:catAx>
      <c:valAx>
        <c:axId val="375257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 Fat</a:t>
                </a:r>
              </a:p>
            </c:rich>
          </c:tx>
          <c:layout>
            <c:manualLayout>
              <c:xMode val="edge"/>
              <c:yMode val="edge"/>
              <c:x val="4.4863167339614174E-3"/>
              <c:y val="0.317933303341870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75258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4327923639769"/>
          <c:y val="5.0925925925925923E-2"/>
          <c:w val="0.83710091905714357"/>
          <c:h val="0.67951162599453141"/>
        </c:manualLayout>
      </c:layout>
      <c:barChart>
        <c:barDir val="col"/>
        <c:grouping val="clustered"/>
        <c:varyColors val="0"/>
        <c:ser>
          <c:idx val="0"/>
          <c:order val="0"/>
          <c:tx>
            <c:strRef>
              <c:f>Hoja1!$O$23</c:f>
              <c:strCache>
                <c:ptCount val="1"/>
                <c:pt idx="0">
                  <c:v>Fibra (%)</c:v>
                </c:pt>
              </c:strCache>
            </c:strRef>
          </c:tx>
          <c:spPr>
            <a:solidFill>
              <a:schemeClr val="accent1"/>
            </a:solidFill>
            <a:ln>
              <a:noFill/>
            </a:ln>
            <a:effectLst/>
          </c:spPr>
          <c:invertIfNegative val="0"/>
          <c:dPt>
            <c:idx val="0"/>
            <c:invertIfNegative val="0"/>
            <c:bubble3D val="0"/>
            <c:spPr>
              <a:solidFill>
                <a:schemeClr val="tx1">
                  <a:lumMod val="85000"/>
                  <a:lumOff val="15000"/>
                </a:schemeClr>
              </a:solidFill>
              <a:ln>
                <a:noFill/>
              </a:ln>
              <a:effectLst/>
            </c:spPr>
            <c:extLst xmlns:c16r2="http://schemas.microsoft.com/office/drawing/2015/06/chart">
              <c:ext xmlns:c16="http://schemas.microsoft.com/office/drawing/2014/chart" uri="{C3380CC4-5D6E-409C-BE32-E72D297353CC}">
                <c16:uniqueId val="{00000001-C66A-4DF6-BF31-E643BAB2B954}"/>
              </c:ext>
            </c:extLst>
          </c:dPt>
          <c:dPt>
            <c:idx val="1"/>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3-C66A-4DF6-BF31-E643BAB2B954}"/>
              </c:ext>
            </c:extLst>
          </c:dPt>
          <c:dPt>
            <c:idx val="2"/>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5-C66A-4DF6-BF31-E643BAB2B954}"/>
              </c:ext>
            </c:extLst>
          </c:dPt>
          <c:dPt>
            <c:idx val="3"/>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7-C66A-4DF6-BF31-E643BAB2B954}"/>
              </c:ext>
            </c:extLst>
          </c:dPt>
          <c:cat>
            <c:multiLvlStrRef>
              <c:f>Hoja1!$M$24:$N$27</c:f>
              <c:multiLvlStrCache>
                <c:ptCount val="4"/>
                <c:lvl>
                  <c:pt idx="0">
                    <c:v>b</c:v>
                  </c:pt>
                  <c:pt idx="1">
                    <c:v>b</c:v>
                  </c:pt>
                  <c:pt idx="2">
                    <c:v>a</c:v>
                  </c:pt>
                  <c:pt idx="3">
                    <c:v>b</c:v>
                  </c:pt>
                </c:lvl>
                <c:lvl>
                  <c:pt idx="0">
                    <c:v>Leaf</c:v>
                  </c:pt>
                  <c:pt idx="1">
                    <c:v>Perigonium</c:v>
                  </c:pt>
                  <c:pt idx="2">
                    <c:v>Brushes</c:v>
                  </c:pt>
                  <c:pt idx="3">
                    <c:v>Stem</c:v>
                  </c:pt>
                </c:lvl>
              </c:multiLvlStrCache>
            </c:multiLvlStrRef>
          </c:cat>
          <c:val>
            <c:numRef>
              <c:f>Hoja1!$O$24:$O$27</c:f>
              <c:numCache>
                <c:formatCode>General</c:formatCode>
                <c:ptCount val="4"/>
                <c:pt idx="0">
                  <c:v>8.2100000000000009</c:v>
                </c:pt>
                <c:pt idx="1">
                  <c:v>9.7200000000000006</c:v>
                </c:pt>
                <c:pt idx="2">
                  <c:v>18.61</c:v>
                </c:pt>
                <c:pt idx="3">
                  <c:v>8.61</c:v>
                </c:pt>
              </c:numCache>
            </c:numRef>
          </c:val>
          <c:extLst xmlns:c16r2="http://schemas.microsoft.com/office/drawing/2015/06/chart">
            <c:ext xmlns:c16="http://schemas.microsoft.com/office/drawing/2014/chart" uri="{C3380CC4-5D6E-409C-BE32-E72D297353CC}">
              <c16:uniqueId val="{00000008-C66A-4DF6-BF31-E643BAB2B954}"/>
            </c:ext>
          </c:extLst>
        </c:ser>
        <c:dLbls>
          <c:showLegendKey val="0"/>
          <c:showVal val="0"/>
          <c:showCatName val="0"/>
          <c:showSerName val="0"/>
          <c:showPercent val="0"/>
          <c:showBubbleSize val="0"/>
        </c:dLbls>
        <c:gapWidth val="219"/>
        <c:overlap val="-27"/>
        <c:axId val="453844536"/>
        <c:axId val="453844928"/>
      </c:barChart>
      <c:catAx>
        <c:axId val="453844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3844928"/>
        <c:crosses val="autoZero"/>
        <c:auto val="1"/>
        <c:lblAlgn val="ctr"/>
        <c:lblOffset val="100"/>
        <c:noMultiLvlLbl val="0"/>
      </c:catAx>
      <c:valAx>
        <c:axId val="453844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 </a:t>
                </a:r>
                <a:r>
                  <a:rPr lang="en-US" sz="1000" b="0" i="0" u="none" strike="noStrike" baseline="0">
                    <a:effectLst/>
                  </a:rPr>
                  <a:t>Crude Fiber</a:t>
                </a:r>
                <a:endParaRPr lang="es-CO"/>
              </a:p>
            </c:rich>
          </c:tx>
          <c:layout>
            <c:manualLayout>
              <c:xMode val="edge"/>
              <c:yMode val="edge"/>
              <c:x val="2.7777777777777779E-3"/>
              <c:y val="0.3021489501312336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3844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7F3C-3C91-44E7-B4B1-E3F842DA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3215</Words>
  <Characters>17685</Characters>
  <Application>Microsoft Office Word</Application>
  <DocSecurity>0</DocSecurity>
  <Lines>147</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OLGA  MARIN MAHECHA</cp:lastModifiedBy>
  <cp:revision>2</cp:revision>
  <cp:lastPrinted>2015-05-12T18:31:00Z</cp:lastPrinted>
  <dcterms:created xsi:type="dcterms:W3CDTF">2019-04-08T14:37:00Z</dcterms:created>
  <dcterms:modified xsi:type="dcterms:W3CDTF">2019-04-08T14:37:00Z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