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proofErr w:type="gramStart"/>
            <w:r w:rsidRPr="00B57B36">
              <w:rPr>
                <w:rFonts w:cs="Arial"/>
                <w:sz w:val="14"/>
                <w:szCs w:val="14"/>
              </w:rPr>
              <w:t>of</w:t>
            </w:r>
            <w:proofErr w:type="gramEnd"/>
            <w:r w:rsidRPr="00B57B36">
              <w:rPr>
                <w:rFonts w:cs="Arial"/>
                <w:sz w:val="14"/>
                <w:szCs w:val="14"/>
              </w:rPr>
              <w:t xml:space="preserve"> Chemical Engineering</w:t>
            </w:r>
          </w:p>
          <w:p w14:paraId="4F0CC5DE" w14:textId="1EF36BED"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52D7B759"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D9B1D2C" w:rsidR="00E978D0" w:rsidRPr="00B57B36" w:rsidRDefault="00715D80" w:rsidP="00E978D0">
      <w:pPr>
        <w:pStyle w:val="CETTitle"/>
      </w:pPr>
      <w:r w:rsidRPr="00715D80">
        <w:lastRenderedPageBreak/>
        <w:t xml:space="preserve">Organic fraction of municipal solid waste conversion into Polyhydroxyalkanoates (PHA) in a pilot scale anaerobic/aerobic process </w:t>
      </w:r>
    </w:p>
    <w:p w14:paraId="2B3CA35C" w14:textId="78152948" w:rsidR="00E978D0" w:rsidRPr="00B57B36" w:rsidRDefault="00715D80" w:rsidP="00AB5011">
      <w:pPr>
        <w:pStyle w:val="CETAuthors"/>
      </w:pPr>
      <w:r>
        <w:t>Francesco Valentino</w:t>
      </w:r>
      <w:r w:rsidR="00600535" w:rsidRPr="00B57B36">
        <w:rPr>
          <w:vertAlign w:val="superscript"/>
        </w:rPr>
        <w:t>a</w:t>
      </w:r>
      <w:r w:rsidR="00D70002">
        <w:rPr>
          <w:vertAlign w:val="superscript"/>
        </w:rPr>
        <w:t>*</w:t>
      </w:r>
      <w:r w:rsidR="00600535" w:rsidRPr="00B57B36">
        <w:t xml:space="preserve">, </w:t>
      </w:r>
      <w:r>
        <w:t>Laura Lorini</w:t>
      </w:r>
      <w:r w:rsidRPr="00715D80">
        <w:rPr>
          <w:vertAlign w:val="superscript"/>
        </w:rPr>
        <w:t>a</w:t>
      </w:r>
      <w:r>
        <w:t xml:space="preserve">, </w:t>
      </w:r>
      <w:r w:rsidR="00331B93">
        <w:t>Paolo Pavan</w:t>
      </w:r>
      <w:r w:rsidR="00331B93">
        <w:rPr>
          <w:vertAlign w:val="superscript"/>
        </w:rPr>
        <w:t>b</w:t>
      </w:r>
      <w:r w:rsidR="00331B93">
        <w:t xml:space="preserve">, </w:t>
      </w:r>
      <w:r>
        <w:t>David Bolzonella</w:t>
      </w:r>
      <w:r w:rsidR="00331B93">
        <w:rPr>
          <w:vertAlign w:val="superscript"/>
        </w:rPr>
        <w:t>c</w:t>
      </w:r>
      <w:r>
        <w:t>,</w:t>
      </w:r>
      <w:r w:rsidR="00600535" w:rsidRPr="00B57B36">
        <w:t xml:space="preserve"> </w:t>
      </w:r>
      <w:r>
        <w:t>Mauro Majone</w:t>
      </w:r>
      <w:r w:rsidRPr="00715D80">
        <w:rPr>
          <w:vertAlign w:val="superscript"/>
        </w:rPr>
        <w:t>a</w:t>
      </w:r>
    </w:p>
    <w:p w14:paraId="5053C5A8" w14:textId="0F48FB54" w:rsidR="00E978D0" w:rsidRPr="00B57B36" w:rsidRDefault="00E978D0" w:rsidP="00E978D0">
      <w:pPr>
        <w:pStyle w:val="CETAddress"/>
      </w:pPr>
      <w:r w:rsidRPr="00B57B36">
        <w:rPr>
          <w:vertAlign w:val="superscript"/>
        </w:rPr>
        <w:t>a</w:t>
      </w:r>
      <w:r w:rsidR="00715D80" w:rsidRPr="00715D80">
        <w:t>Department of Chemistry, “La Sapienza” University of Rome, P.le Aldo Moro 5, 00185 Rome, IT</w:t>
      </w:r>
      <w:r w:rsidRPr="00B57B36">
        <w:t xml:space="preserve"> </w:t>
      </w:r>
    </w:p>
    <w:p w14:paraId="38D29194" w14:textId="5E955D95" w:rsidR="00E978D0" w:rsidRPr="00B57B36" w:rsidRDefault="00E978D0" w:rsidP="00E978D0">
      <w:pPr>
        <w:pStyle w:val="CETAddress"/>
      </w:pPr>
      <w:r w:rsidRPr="00B57B36">
        <w:rPr>
          <w:vertAlign w:val="superscript"/>
        </w:rPr>
        <w:t>b</w:t>
      </w:r>
      <w:r w:rsidR="00715D80" w:rsidRPr="00715D80">
        <w:t>Department of Environmental Science, Informatics and Statistics, Via Torino 155, 30170 Venezia Mestre, IT</w:t>
      </w:r>
      <w:r w:rsidRPr="00B57B36">
        <w:t xml:space="preserve"> </w:t>
      </w:r>
    </w:p>
    <w:p w14:paraId="4EEED628" w14:textId="3B9A91CD" w:rsidR="00331B93" w:rsidRPr="00331B93" w:rsidRDefault="00600535" w:rsidP="00331B93">
      <w:pPr>
        <w:pStyle w:val="CETemail"/>
      </w:pPr>
      <w:r w:rsidRPr="00331B93">
        <w:rPr>
          <w:vertAlign w:val="superscript"/>
        </w:rPr>
        <w:t>c</w:t>
      </w:r>
      <w:r w:rsidR="00331B93" w:rsidRPr="00331B93">
        <w:t>Department of Biotechnology, University of Verona, Strada Le Grazie 15, 37134 Verona, IT</w:t>
      </w:r>
    </w:p>
    <w:p w14:paraId="5EDDB8F3" w14:textId="0569D902" w:rsidR="00D70002" w:rsidRDefault="00D70002" w:rsidP="00600535">
      <w:pPr>
        <w:pStyle w:val="CETBodytext"/>
        <w:rPr>
          <w:lang w:val="en-GB"/>
        </w:rPr>
      </w:pPr>
      <w:r>
        <w:rPr>
          <w:lang w:val="en-GB"/>
        </w:rPr>
        <w:t>*</w:t>
      </w:r>
      <w:proofErr w:type="gramStart"/>
      <w:r>
        <w:rPr>
          <w:lang w:val="en-GB"/>
        </w:rPr>
        <w:t>corresponding</w:t>
      </w:r>
      <w:proofErr w:type="gramEnd"/>
      <w:r>
        <w:rPr>
          <w:lang w:val="en-GB"/>
        </w:rPr>
        <w:t xml:space="preserve"> author: francesco.valentino@uniroma1.it</w:t>
      </w:r>
    </w:p>
    <w:p w14:paraId="48B6C624" w14:textId="77777777" w:rsidR="00D70002" w:rsidRDefault="00D70002" w:rsidP="00600535">
      <w:pPr>
        <w:pStyle w:val="CETBodytext"/>
        <w:rPr>
          <w:lang w:val="en-GB"/>
        </w:rPr>
      </w:pPr>
    </w:p>
    <w:p w14:paraId="078F2DE8" w14:textId="0AFF7F61" w:rsidR="00D70002" w:rsidRPr="00D70002" w:rsidRDefault="00D70002" w:rsidP="00D70002">
      <w:pPr>
        <w:pStyle w:val="CETBodytext"/>
        <w:rPr>
          <w:lang w:val="en-GB"/>
        </w:rPr>
      </w:pPr>
      <w:r w:rsidRPr="00D70002">
        <w:rPr>
          <w:lang w:val="en-GB"/>
        </w:rPr>
        <w:t xml:space="preserve">In recent years, the attention to organic wastes as a new feedstock for the production of PHA is increased based on the idea that this is the only way to reduce their high cost and to increase their sustainability. For this reason, a pilot platform has been designed to produce PHA </w:t>
      </w:r>
      <w:r w:rsidR="00A57B44">
        <w:rPr>
          <w:lang w:val="en-GB"/>
        </w:rPr>
        <w:t>from</w:t>
      </w:r>
      <w:r w:rsidRPr="00D70002">
        <w:rPr>
          <w:lang w:val="en-GB"/>
        </w:rPr>
        <w:t xml:space="preserve"> the source-sorted organic fraction of municipal solid waste</w:t>
      </w:r>
      <w:r w:rsidR="00A57B44">
        <w:rPr>
          <w:lang w:val="en-GB"/>
        </w:rPr>
        <w:t xml:space="preserve"> (OFMSW)</w:t>
      </w:r>
      <w:r>
        <w:rPr>
          <w:lang w:val="en-GB"/>
        </w:rPr>
        <w:t>.</w:t>
      </w:r>
      <w:r w:rsidR="00A57B44">
        <w:rPr>
          <w:lang w:val="en-GB"/>
        </w:rPr>
        <w:t xml:space="preserve"> </w:t>
      </w:r>
      <w:r w:rsidRPr="00D70002">
        <w:rPr>
          <w:lang w:val="en-GB"/>
        </w:rPr>
        <w:t>The cost-effective system consists in the three-steps anaerobic-aerobic process</w:t>
      </w:r>
      <w:r>
        <w:rPr>
          <w:lang w:val="en-GB"/>
        </w:rPr>
        <w:t>:</w:t>
      </w:r>
      <w:r w:rsidRPr="00D70002">
        <w:rPr>
          <w:lang w:val="en-GB"/>
        </w:rPr>
        <w:t xml:space="preserve"> the fermentation step was performed in a 200 L CSTR</w:t>
      </w:r>
      <w:r>
        <w:rPr>
          <w:lang w:val="en-GB"/>
        </w:rPr>
        <w:t xml:space="preserve"> (</w:t>
      </w:r>
      <w:r w:rsidRPr="00D70002">
        <w:rPr>
          <w:lang w:val="en-GB"/>
        </w:rPr>
        <w:t xml:space="preserve">OLR 20.0 </w:t>
      </w:r>
      <w:proofErr w:type="spellStart"/>
      <w:r w:rsidRPr="00D70002">
        <w:rPr>
          <w:lang w:val="en-GB"/>
        </w:rPr>
        <w:t>kgVS</w:t>
      </w:r>
      <w:proofErr w:type="spellEnd"/>
      <w:r w:rsidRPr="00D70002">
        <w:rPr>
          <w:lang w:val="en-GB"/>
        </w:rPr>
        <w:t>/m</w:t>
      </w:r>
      <w:r w:rsidRPr="00D70002">
        <w:rPr>
          <w:vertAlign w:val="superscript"/>
          <w:lang w:val="en-GB"/>
        </w:rPr>
        <w:t>3</w:t>
      </w:r>
      <w:r>
        <w:rPr>
          <w:lang w:val="en-GB"/>
        </w:rPr>
        <w:t>.</w:t>
      </w:r>
      <w:r w:rsidRPr="00D70002">
        <w:rPr>
          <w:lang w:val="en-GB"/>
        </w:rPr>
        <w:t>d, HRT 3.3 d</w:t>
      </w:r>
      <w:r>
        <w:rPr>
          <w:lang w:val="en-GB"/>
        </w:rPr>
        <w:t>)</w:t>
      </w:r>
      <w:r w:rsidRPr="00D70002">
        <w:rPr>
          <w:lang w:val="en-GB"/>
        </w:rPr>
        <w:t xml:space="preserve"> in </w:t>
      </w:r>
      <w:proofErr w:type="spellStart"/>
      <w:r w:rsidRPr="00D70002">
        <w:rPr>
          <w:lang w:val="en-GB"/>
        </w:rPr>
        <w:t>thermophilic</w:t>
      </w:r>
      <w:proofErr w:type="spellEnd"/>
      <w:r w:rsidRPr="00D70002">
        <w:rPr>
          <w:lang w:val="en-GB"/>
        </w:rPr>
        <w:t xml:space="preserve"> conditions (55°C). The VFA-rich mixture was used for the two following aerobic steps: a first s</w:t>
      </w:r>
      <w:r w:rsidR="00966D29">
        <w:rPr>
          <w:lang w:val="en-GB"/>
        </w:rPr>
        <w:t xml:space="preserve">equencing batch reactor (SBR, </w:t>
      </w:r>
      <w:r w:rsidRPr="00D70002">
        <w:rPr>
          <w:lang w:val="en-GB"/>
        </w:rPr>
        <w:t>100 L) for the production of functionalized PHA-producing biomass (mixed consortium, MMC), and a seco</w:t>
      </w:r>
      <w:r w:rsidR="00966D29">
        <w:rPr>
          <w:lang w:val="en-GB"/>
        </w:rPr>
        <w:t>nd batch reactor (</w:t>
      </w:r>
      <w:r w:rsidRPr="00D70002">
        <w:rPr>
          <w:lang w:val="en-GB"/>
        </w:rPr>
        <w:t xml:space="preserve">50 L) for production of PHA and its maximization inside cell walls. The SBR was operated at 1.2-2.5 </w:t>
      </w:r>
      <w:proofErr w:type="spellStart"/>
      <w:r w:rsidRPr="00D70002">
        <w:rPr>
          <w:lang w:val="en-GB"/>
        </w:rPr>
        <w:t>kgCOD</w:t>
      </w:r>
      <w:proofErr w:type="spellEnd"/>
      <w:r w:rsidRPr="00D70002">
        <w:rPr>
          <w:lang w:val="en-GB"/>
        </w:rPr>
        <w:t>/m</w:t>
      </w:r>
      <w:r w:rsidRPr="00D70002">
        <w:rPr>
          <w:vertAlign w:val="superscript"/>
          <w:lang w:val="en-GB"/>
        </w:rPr>
        <w:t>3</w:t>
      </w:r>
      <w:r>
        <w:rPr>
          <w:lang w:val="en-GB"/>
        </w:rPr>
        <w:t>.</w:t>
      </w:r>
      <w:r w:rsidRPr="00D70002">
        <w:rPr>
          <w:lang w:val="en-GB"/>
        </w:rPr>
        <w:t>d as OLR, and HRT of 1 d (equal to SRT); dynamic feeding regime (feast-famine) was used for consortium selection.</w:t>
      </w:r>
    </w:p>
    <w:p w14:paraId="1AE0E24B" w14:textId="3E6E3596" w:rsidR="00D70002" w:rsidRPr="00D70002" w:rsidRDefault="00D70002" w:rsidP="00D70002">
      <w:pPr>
        <w:pStyle w:val="CETBodytext"/>
        <w:rPr>
          <w:lang w:val="en-GB"/>
        </w:rPr>
      </w:pPr>
      <w:r w:rsidRPr="00D70002">
        <w:rPr>
          <w:lang w:val="en-GB"/>
        </w:rPr>
        <w:t xml:space="preserve">The fermentation conditions allowed obtaining a significant COD conversion into VFA. </w:t>
      </w:r>
      <w:r w:rsidR="00A57B44" w:rsidRPr="00D70002">
        <w:rPr>
          <w:lang w:val="en-GB"/>
        </w:rPr>
        <w:t xml:space="preserve">Acetic, propionic and butyric acids accounted for more than 80% of total VFA </w:t>
      </w:r>
      <w:r w:rsidR="00A57B44">
        <w:rPr>
          <w:lang w:val="en-GB"/>
        </w:rPr>
        <w:t>and the relative</w:t>
      </w:r>
      <w:r w:rsidRPr="00D70002">
        <w:rPr>
          <w:lang w:val="en-GB"/>
        </w:rPr>
        <w:t xml:space="preserve"> yield w</w:t>
      </w:r>
      <w:r w:rsidR="00A57B44">
        <w:rPr>
          <w:lang w:val="en-GB"/>
        </w:rPr>
        <w:t>as</w:t>
      </w:r>
      <w:r w:rsidRPr="00D70002">
        <w:rPr>
          <w:lang w:val="en-GB"/>
        </w:rPr>
        <w:t xml:space="preserve"> 0.45 ± 0.03 COD</w:t>
      </w:r>
      <w:r w:rsidRPr="00A57B44">
        <w:rPr>
          <w:vertAlign w:val="subscript"/>
          <w:lang w:val="en-GB"/>
        </w:rPr>
        <w:t>VFA</w:t>
      </w:r>
      <w:r w:rsidRPr="00D70002">
        <w:rPr>
          <w:lang w:val="en-GB"/>
        </w:rPr>
        <w:t>/</w:t>
      </w:r>
      <w:r w:rsidR="005B2007">
        <w:rPr>
          <w:lang w:val="en-GB"/>
        </w:rPr>
        <w:t>VS</w:t>
      </w:r>
      <w:r w:rsidRPr="00D70002">
        <w:rPr>
          <w:lang w:val="en-GB"/>
        </w:rPr>
        <w:t xml:space="preserve">. The necessary buffering capacity was provided by anaerobic </w:t>
      </w:r>
      <w:proofErr w:type="spellStart"/>
      <w:r w:rsidRPr="00D70002">
        <w:rPr>
          <w:lang w:val="en-GB"/>
        </w:rPr>
        <w:t>digestate</w:t>
      </w:r>
      <w:proofErr w:type="spellEnd"/>
      <w:r w:rsidRPr="00D70002">
        <w:rPr>
          <w:lang w:val="en-GB"/>
        </w:rPr>
        <w:t xml:space="preserve"> addition, which increased the system alkalinity (2.8 ± 0.2 gCaCO</w:t>
      </w:r>
      <w:r w:rsidRPr="00A57B44">
        <w:rPr>
          <w:vertAlign w:val="subscript"/>
          <w:lang w:val="en-GB"/>
        </w:rPr>
        <w:t>3</w:t>
      </w:r>
      <w:r w:rsidRPr="00D70002">
        <w:rPr>
          <w:lang w:val="en-GB"/>
        </w:rPr>
        <w:t xml:space="preserve">/L at pH 5.75). In SBR, a strong selective pressure favouring PHA-accumulating organisms was </w:t>
      </w:r>
      <w:r w:rsidR="00A57B44">
        <w:rPr>
          <w:lang w:val="en-GB"/>
        </w:rPr>
        <w:t xml:space="preserve">easily </w:t>
      </w:r>
      <w:r w:rsidRPr="00D70002">
        <w:rPr>
          <w:lang w:val="en-GB"/>
        </w:rPr>
        <w:t>reached, as demonstrated by the short feast-to-cycle length ratio (often below 0.12)</w:t>
      </w:r>
      <w:r w:rsidR="00A57B44">
        <w:rPr>
          <w:lang w:val="en-GB"/>
        </w:rPr>
        <w:t>.</w:t>
      </w:r>
      <w:r w:rsidRPr="00D70002">
        <w:rPr>
          <w:lang w:val="en-GB"/>
        </w:rPr>
        <w:t xml:space="preserve"> </w:t>
      </w:r>
      <w:r w:rsidR="00A57B44">
        <w:rPr>
          <w:lang w:val="en-GB"/>
        </w:rPr>
        <w:t>I</w:t>
      </w:r>
      <w:r w:rsidRPr="00D70002">
        <w:rPr>
          <w:lang w:val="en-GB"/>
        </w:rPr>
        <w:t xml:space="preserve">n the second aerobic </w:t>
      </w:r>
      <w:r w:rsidR="00A57B44">
        <w:rPr>
          <w:lang w:val="en-GB"/>
        </w:rPr>
        <w:t xml:space="preserve">accumulation </w:t>
      </w:r>
      <w:r w:rsidRPr="00D70002">
        <w:rPr>
          <w:lang w:val="en-GB"/>
        </w:rPr>
        <w:t xml:space="preserve">reactor, the biomass was able to accumulate up to 49% </w:t>
      </w:r>
      <w:proofErr w:type="spellStart"/>
      <w:r w:rsidRPr="00D70002">
        <w:rPr>
          <w:lang w:val="en-GB"/>
        </w:rPr>
        <w:t>gPHA</w:t>
      </w:r>
      <w:proofErr w:type="spellEnd"/>
      <w:r w:rsidRPr="00D70002">
        <w:rPr>
          <w:lang w:val="en-GB"/>
        </w:rPr>
        <w:t>/</w:t>
      </w:r>
      <w:proofErr w:type="spellStart"/>
      <w:r w:rsidRPr="00D70002">
        <w:rPr>
          <w:lang w:val="en-GB"/>
        </w:rPr>
        <w:t>gVSS</w:t>
      </w:r>
      <w:proofErr w:type="spellEnd"/>
      <w:r w:rsidRPr="00D70002">
        <w:rPr>
          <w:lang w:val="en-GB"/>
        </w:rPr>
        <w:t>. Both aerobic steps were performed without temperature (T) control, avoiding additional consumption of energy</w:t>
      </w:r>
      <w:r w:rsidR="00A57B44">
        <w:rPr>
          <w:lang w:val="en-GB"/>
        </w:rPr>
        <w:t>; t</w:t>
      </w:r>
      <w:r w:rsidRPr="00D70002">
        <w:rPr>
          <w:lang w:val="en-GB"/>
        </w:rPr>
        <w:t>he applied OLR was chosen based on biomass kinetic in order to have a constantly short feast phase and a stable selection/enrichment of PHA-accumulating consortium.</w:t>
      </w:r>
    </w:p>
    <w:p w14:paraId="476B2F2E" w14:textId="77777777" w:rsidR="00600535" w:rsidRPr="00B57B36" w:rsidRDefault="00600535" w:rsidP="00600535">
      <w:pPr>
        <w:pStyle w:val="CETHeading1"/>
        <w:rPr>
          <w:lang w:val="en-GB"/>
        </w:rPr>
      </w:pPr>
      <w:r w:rsidRPr="00B57B36">
        <w:rPr>
          <w:lang w:val="en-GB"/>
        </w:rPr>
        <w:t>Introduction</w:t>
      </w:r>
    </w:p>
    <w:p w14:paraId="3A66C256" w14:textId="79CF39A2" w:rsidR="00A57B44" w:rsidRPr="00A57B44" w:rsidRDefault="00F928B1" w:rsidP="00A57B44">
      <w:pPr>
        <w:pStyle w:val="CETBodytext"/>
        <w:rPr>
          <w:lang w:val="en-GB"/>
        </w:rPr>
      </w:pPr>
      <w:r>
        <w:rPr>
          <w:lang w:val="en-GB"/>
        </w:rPr>
        <w:t xml:space="preserve">The increasing amount of </w:t>
      </w:r>
      <w:r w:rsidR="00A57B44" w:rsidRPr="00A57B44">
        <w:rPr>
          <w:lang w:val="en-GB"/>
        </w:rPr>
        <w:t>European food waste production</w:t>
      </w:r>
      <w:r>
        <w:rPr>
          <w:lang w:val="en-GB"/>
        </w:rPr>
        <w:t>, which</w:t>
      </w:r>
      <w:r w:rsidR="00A57B44" w:rsidRPr="00A57B44">
        <w:rPr>
          <w:lang w:val="en-GB"/>
        </w:rPr>
        <w:t xml:space="preserve"> approximately accounts for 90 million tons per year</w:t>
      </w:r>
      <w:r>
        <w:rPr>
          <w:lang w:val="en-GB"/>
        </w:rPr>
        <w:t xml:space="preserve">, </w:t>
      </w:r>
      <w:r w:rsidR="005A53EB">
        <w:rPr>
          <w:lang w:val="en-GB"/>
        </w:rPr>
        <w:t>requires innovative solution</w:t>
      </w:r>
      <w:r w:rsidR="00E55A91">
        <w:rPr>
          <w:lang w:val="en-GB"/>
        </w:rPr>
        <w:t>s</w:t>
      </w:r>
      <w:r w:rsidR="005A53EB">
        <w:rPr>
          <w:lang w:val="en-GB"/>
        </w:rPr>
        <w:t xml:space="preserve"> </w:t>
      </w:r>
      <w:r w:rsidR="00E55A91">
        <w:rPr>
          <w:lang w:val="en-GB"/>
        </w:rPr>
        <w:t>for</w:t>
      </w:r>
      <w:r w:rsidR="005A53EB">
        <w:rPr>
          <w:lang w:val="en-GB"/>
        </w:rPr>
        <w:t xml:space="preserve"> </w:t>
      </w:r>
      <w:r w:rsidR="005A53EB" w:rsidRPr="00E05188">
        <w:rPr>
          <w:lang w:val="en-GB"/>
        </w:rPr>
        <w:t>their treatment and disposal</w:t>
      </w:r>
      <w:r w:rsidR="008E0BD2">
        <w:rPr>
          <w:lang w:val="en-GB"/>
        </w:rPr>
        <w:t xml:space="preserve"> different from</w:t>
      </w:r>
      <w:r w:rsidR="005A53EB" w:rsidRPr="00E05188">
        <w:rPr>
          <w:lang w:val="en-GB"/>
        </w:rPr>
        <w:t xml:space="preserve"> landfilling practises </w:t>
      </w:r>
      <w:r w:rsidR="008E0BD2">
        <w:rPr>
          <w:lang w:val="en-GB"/>
        </w:rPr>
        <w:t xml:space="preserve">that </w:t>
      </w:r>
      <w:r w:rsidR="005A53EB" w:rsidRPr="00E05188">
        <w:rPr>
          <w:lang w:val="en-GB"/>
        </w:rPr>
        <w:t>have become more expensive and restrictive in the last years</w:t>
      </w:r>
      <w:r w:rsidR="00024F05" w:rsidRPr="00E05188">
        <w:rPr>
          <w:lang w:val="en-GB"/>
        </w:rPr>
        <w:t xml:space="preserve"> (</w:t>
      </w:r>
      <w:proofErr w:type="spellStart"/>
      <w:r w:rsidR="00024F05" w:rsidRPr="00E05188">
        <w:rPr>
          <w:lang w:val="en-GB"/>
        </w:rPr>
        <w:t>Pfaltzgraff</w:t>
      </w:r>
      <w:proofErr w:type="spellEnd"/>
      <w:r w:rsidR="00024F05" w:rsidRPr="00E05188">
        <w:rPr>
          <w:lang w:val="en-GB"/>
        </w:rPr>
        <w:t xml:space="preserve"> et al., 2013).</w:t>
      </w:r>
      <w:r w:rsidR="00A57B44" w:rsidRPr="00E05188">
        <w:rPr>
          <w:lang w:val="en-GB"/>
        </w:rPr>
        <w:t xml:space="preserve"> The possibility to recover added value products from </w:t>
      </w:r>
      <w:proofErr w:type="spellStart"/>
      <w:r w:rsidR="00A57B44" w:rsidRPr="00E05188">
        <w:rPr>
          <w:lang w:val="en-GB"/>
        </w:rPr>
        <w:t>biowaste</w:t>
      </w:r>
      <w:proofErr w:type="spellEnd"/>
      <w:r w:rsidR="00A57B44" w:rsidRPr="00E05188">
        <w:rPr>
          <w:lang w:val="en-GB"/>
        </w:rPr>
        <w:t xml:space="preserve"> </w:t>
      </w:r>
      <w:r w:rsidR="005A53EB" w:rsidRPr="00E05188">
        <w:rPr>
          <w:lang w:val="en-GB"/>
        </w:rPr>
        <w:t>is</w:t>
      </w:r>
      <w:r w:rsidR="00A57B44" w:rsidRPr="00E05188">
        <w:rPr>
          <w:lang w:val="en-GB"/>
        </w:rPr>
        <w:t xml:space="preserve"> </w:t>
      </w:r>
      <w:r w:rsidR="005A53EB" w:rsidRPr="00E05188">
        <w:rPr>
          <w:lang w:val="en-GB"/>
        </w:rPr>
        <w:t>a</w:t>
      </w:r>
      <w:r w:rsidR="00A57B44" w:rsidRPr="00E05188">
        <w:rPr>
          <w:lang w:val="en-GB"/>
        </w:rPr>
        <w:t xml:space="preserve"> strategy for both decreasing </w:t>
      </w:r>
      <w:r w:rsidR="005A53EB" w:rsidRPr="00E05188">
        <w:rPr>
          <w:lang w:val="en-GB"/>
        </w:rPr>
        <w:t xml:space="preserve">the </w:t>
      </w:r>
      <w:r w:rsidR="00A57B44" w:rsidRPr="00E05188">
        <w:rPr>
          <w:lang w:val="en-GB"/>
        </w:rPr>
        <w:t xml:space="preserve">cost of disposal and </w:t>
      </w:r>
      <w:r w:rsidR="005A53EB" w:rsidRPr="00E05188">
        <w:rPr>
          <w:lang w:val="en-GB"/>
        </w:rPr>
        <w:t>facing</w:t>
      </w:r>
      <w:r w:rsidR="00A57B44" w:rsidRPr="00E05188">
        <w:rPr>
          <w:lang w:val="en-GB"/>
        </w:rPr>
        <w:t xml:space="preserve"> the problems related to the</w:t>
      </w:r>
      <w:r w:rsidR="005A53EB" w:rsidRPr="00E05188">
        <w:rPr>
          <w:lang w:val="en-GB"/>
        </w:rPr>
        <w:t>ir</w:t>
      </w:r>
      <w:r w:rsidR="00A57B44" w:rsidRPr="00E05188">
        <w:rPr>
          <w:lang w:val="en-GB"/>
        </w:rPr>
        <w:t xml:space="preserve"> increasing productio</w:t>
      </w:r>
      <w:r w:rsidR="00024F05" w:rsidRPr="00E05188">
        <w:rPr>
          <w:lang w:val="en-GB"/>
        </w:rPr>
        <w:t>n (Lieder</w:t>
      </w:r>
      <w:r w:rsidR="00CD4EB1" w:rsidRPr="00E05188">
        <w:rPr>
          <w:lang w:val="en-GB"/>
        </w:rPr>
        <w:t xml:space="preserve"> and</w:t>
      </w:r>
      <w:r w:rsidR="00024F05" w:rsidRPr="00E05188">
        <w:rPr>
          <w:lang w:val="en-GB"/>
        </w:rPr>
        <w:t xml:space="preserve"> Rashid 2016)</w:t>
      </w:r>
      <w:r w:rsidR="005A53EB" w:rsidRPr="00E05188">
        <w:rPr>
          <w:lang w:val="en-GB"/>
        </w:rPr>
        <w:t>.</w:t>
      </w:r>
      <w:r w:rsidR="00A57B44" w:rsidRPr="00E05188">
        <w:rPr>
          <w:lang w:val="en-GB"/>
        </w:rPr>
        <w:t xml:space="preserve"> </w:t>
      </w:r>
      <w:r w:rsidR="00E55A91" w:rsidRPr="00E05188">
        <w:rPr>
          <w:lang w:val="en-GB"/>
        </w:rPr>
        <w:t xml:space="preserve">With particular references to the urban scenario, the produced </w:t>
      </w:r>
      <w:proofErr w:type="spellStart"/>
      <w:r w:rsidR="00E55A91" w:rsidRPr="00E05188">
        <w:rPr>
          <w:lang w:val="en-GB"/>
        </w:rPr>
        <w:t>biowastes</w:t>
      </w:r>
      <w:proofErr w:type="spellEnd"/>
      <w:r w:rsidR="00E55A91" w:rsidRPr="00E05188">
        <w:rPr>
          <w:lang w:val="en-GB"/>
        </w:rPr>
        <w:t xml:space="preserve"> can have great variability in composition, but in general they are characterized by high moisture content and biodegradability. These important features are favoured by an efficient system of source separate collection, which increases the biological fraction of </w:t>
      </w:r>
      <w:proofErr w:type="spellStart"/>
      <w:r w:rsidR="00E55A91" w:rsidRPr="00E05188">
        <w:rPr>
          <w:lang w:val="en-GB"/>
        </w:rPr>
        <w:t>biowastes</w:t>
      </w:r>
      <w:proofErr w:type="spellEnd"/>
      <w:r w:rsidR="00E55A91" w:rsidRPr="00E05188">
        <w:rPr>
          <w:lang w:val="en-GB"/>
        </w:rPr>
        <w:t xml:space="preserve"> and it makes easier their valorisation with biological process (and not only via anaerobic digestion</w:t>
      </w:r>
      <w:r w:rsidR="00F2013C" w:rsidRPr="00E05188">
        <w:rPr>
          <w:lang w:val="en-GB"/>
        </w:rPr>
        <w:t xml:space="preserve"> or composting</w:t>
      </w:r>
      <w:r w:rsidR="00E55A91" w:rsidRPr="00E05188">
        <w:rPr>
          <w:lang w:val="en-GB"/>
        </w:rPr>
        <w:t>)</w:t>
      </w:r>
      <w:r w:rsidR="00024F05" w:rsidRPr="00E05188">
        <w:rPr>
          <w:lang w:val="en-GB"/>
        </w:rPr>
        <w:t xml:space="preserve"> (</w:t>
      </w:r>
      <w:proofErr w:type="spellStart"/>
      <w:r w:rsidR="00024F05" w:rsidRPr="00E05188">
        <w:rPr>
          <w:lang w:val="en-GB"/>
        </w:rPr>
        <w:t>Girotto</w:t>
      </w:r>
      <w:proofErr w:type="spellEnd"/>
      <w:r w:rsidR="00024F05" w:rsidRPr="00E05188">
        <w:rPr>
          <w:lang w:val="en-GB"/>
        </w:rPr>
        <w:t xml:space="preserve"> et al., 2015)</w:t>
      </w:r>
      <w:r w:rsidR="00E55A91" w:rsidRPr="00E05188">
        <w:rPr>
          <w:lang w:val="en-GB"/>
        </w:rPr>
        <w:t xml:space="preserve">. </w:t>
      </w:r>
      <w:r w:rsidR="00F2013C" w:rsidRPr="00E05188">
        <w:rPr>
          <w:lang w:val="en-GB"/>
        </w:rPr>
        <w:t>More innovative</w:t>
      </w:r>
      <w:r w:rsidR="00E55A91" w:rsidRPr="00E05188">
        <w:rPr>
          <w:lang w:val="en-GB"/>
        </w:rPr>
        <w:t xml:space="preserve"> biotechnologies </w:t>
      </w:r>
      <w:r w:rsidR="00952ADD">
        <w:rPr>
          <w:lang w:val="en-GB"/>
        </w:rPr>
        <w:t>are able to produce</w:t>
      </w:r>
      <w:r w:rsidR="00F2013C" w:rsidRPr="00E05188">
        <w:rPr>
          <w:lang w:val="en-GB"/>
        </w:rPr>
        <w:t xml:space="preserve"> value added </w:t>
      </w:r>
      <w:r w:rsidR="00E55A91" w:rsidRPr="00E05188">
        <w:rPr>
          <w:lang w:val="en-GB"/>
        </w:rPr>
        <w:t>biopolymer</w:t>
      </w:r>
      <w:r w:rsidR="00F2013C" w:rsidRPr="00E05188">
        <w:rPr>
          <w:lang w:val="en-GB"/>
        </w:rPr>
        <w:t>,</w:t>
      </w:r>
      <w:r w:rsidR="00E55A91" w:rsidRPr="00E05188">
        <w:rPr>
          <w:lang w:val="en-GB"/>
        </w:rPr>
        <w:t xml:space="preserve"> in particular the family of polyhydroxyalkanoates (PHA)</w:t>
      </w:r>
      <w:r w:rsidR="00F2013C" w:rsidRPr="00E05188">
        <w:rPr>
          <w:lang w:val="en-GB"/>
        </w:rPr>
        <w:t>, through a combined anaerobic-aerobic approach</w:t>
      </w:r>
      <w:r w:rsidR="00A57B44" w:rsidRPr="00E05188">
        <w:rPr>
          <w:lang w:val="en-GB"/>
        </w:rPr>
        <w:t xml:space="preserve"> </w:t>
      </w:r>
      <w:r w:rsidR="00F2013C" w:rsidRPr="00E05188">
        <w:rPr>
          <w:lang w:val="en-GB"/>
        </w:rPr>
        <w:t>by using fermentable and renewable organic feedstock</w:t>
      </w:r>
      <w:r w:rsidR="00024F05" w:rsidRPr="00E05188">
        <w:rPr>
          <w:lang w:val="en-GB"/>
        </w:rPr>
        <w:t xml:space="preserve"> (</w:t>
      </w:r>
      <w:proofErr w:type="spellStart"/>
      <w:r w:rsidR="00024F05" w:rsidRPr="00E05188">
        <w:rPr>
          <w:lang w:val="en-GB"/>
        </w:rPr>
        <w:t>Villano</w:t>
      </w:r>
      <w:proofErr w:type="spellEnd"/>
      <w:r w:rsidR="00024F05" w:rsidRPr="00E05188">
        <w:rPr>
          <w:lang w:val="en-GB"/>
        </w:rPr>
        <w:t xml:space="preserve"> et al., 2010; Valentino et al., 2015)</w:t>
      </w:r>
      <w:r w:rsidR="00F2013C" w:rsidRPr="00E05188">
        <w:rPr>
          <w:lang w:val="en-GB"/>
        </w:rPr>
        <w:t>.</w:t>
      </w:r>
    </w:p>
    <w:p w14:paraId="3C516770" w14:textId="5A38B0C1" w:rsidR="00A57B44" w:rsidRPr="00A57B44" w:rsidRDefault="00ED774B" w:rsidP="00A57B44">
      <w:pPr>
        <w:pStyle w:val="CETBodytext"/>
        <w:rPr>
          <w:lang w:val="en-GB"/>
        </w:rPr>
      </w:pPr>
      <w:r>
        <w:rPr>
          <w:lang w:val="en-GB"/>
        </w:rPr>
        <w:lastRenderedPageBreak/>
        <w:t xml:space="preserve">PHA </w:t>
      </w:r>
      <w:proofErr w:type="gramStart"/>
      <w:r>
        <w:rPr>
          <w:lang w:val="en-GB"/>
        </w:rPr>
        <w:t>are</w:t>
      </w:r>
      <w:proofErr w:type="gramEnd"/>
      <w:r>
        <w:rPr>
          <w:lang w:val="en-GB"/>
        </w:rPr>
        <w:t xml:space="preserve"> </w:t>
      </w:r>
      <w:r w:rsidR="00A57B44" w:rsidRPr="00A57B44">
        <w:rPr>
          <w:lang w:val="en-GB"/>
        </w:rPr>
        <w:t>biodegradable thermoplastic polyesters produced from specific bacteria strains, within their cell walls as carbon</w:t>
      </w:r>
      <w:r>
        <w:rPr>
          <w:lang w:val="en-GB"/>
        </w:rPr>
        <w:t xml:space="preserve"> and </w:t>
      </w:r>
      <w:r w:rsidR="00A57B44" w:rsidRPr="00A57B44">
        <w:rPr>
          <w:lang w:val="en-GB"/>
        </w:rPr>
        <w:t xml:space="preserve">energy </w:t>
      </w:r>
      <w:r>
        <w:rPr>
          <w:lang w:val="en-GB"/>
        </w:rPr>
        <w:t xml:space="preserve">stored </w:t>
      </w:r>
      <w:r w:rsidR="00A57B44" w:rsidRPr="00A57B44">
        <w:rPr>
          <w:lang w:val="en-GB"/>
        </w:rPr>
        <w:t>source</w:t>
      </w:r>
      <w:r w:rsidR="00A57B44" w:rsidRPr="00E05188">
        <w:rPr>
          <w:lang w:val="en-GB"/>
        </w:rPr>
        <w:t xml:space="preserve">. </w:t>
      </w:r>
      <w:r w:rsidRPr="00E05188">
        <w:rPr>
          <w:lang w:val="en-GB"/>
        </w:rPr>
        <w:t xml:space="preserve">Nowadays, the industrial </w:t>
      </w:r>
      <w:r w:rsidR="00A57B44" w:rsidRPr="00E05188">
        <w:rPr>
          <w:lang w:val="en-GB"/>
        </w:rPr>
        <w:t>PHA production processes are based on pure cultures cultivation in sterile conditions</w:t>
      </w:r>
      <w:r w:rsidR="00024F05" w:rsidRPr="00E05188">
        <w:rPr>
          <w:lang w:val="en-GB"/>
        </w:rPr>
        <w:t xml:space="preserve"> (Chen, 2010)</w:t>
      </w:r>
      <w:r w:rsidRPr="00E05188">
        <w:rPr>
          <w:lang w:val="en-GB"/>
        </w:rPr>
        <w:t>, which cause</w:t>
      </w:r>
      <w:r w:rsidR="00A57B44" w:rsidRPr="00E05188">
        <w:rPr>
          <w:lang w:val="en-GB"/>
        </w:rPr>
        <w:t xml:space="preserve"> an increase in production cost (5.0</w:t>
      </w:r>
      <w:r w:rsidRPr="00E05188">
        <w:rPr>
          <w:lang w:val="en-GB"/>
        </w:rPr>
        <w:t>-8.0</w:t>
      </w:r>
      <w:r w:rsidR="00A57B44" w:rsidRPr="00E05188">
        <w:rPr>
          <w:lang w:val="en-GB"/>
        </w:rPr>
        <w:t xml:space="preserve"> €/kg)</w:t>
      </w:r>
      <w:r w:rsidR="008E0BD2">
        <w:rPr>
          <w:lang w:val="en-GB"/>
        </w:rPr>
        <w:t xml:space="preserve">. Therefore, </w:t>
      </w:r>
      <w:r w:rsidRPr="00E05188">
        <w:rPr>
          <w:lang w:val="en-GB"/>
        </w:rPr>
        <w:t>PHA</w:t>
      </w:r>
      <w:r w:rsidR="00A57B44" w:rsidRPr="00E05188">
        <w:rPr>
          <w:lang w:val="en-GB"/>
        </w:rPr>
        <w:t xml:space="preserve"> </w:t>
      </w:r>
      <w:proofErr w:type="gramStart"/>
      <w:r w:rsidR="008E0BD2">
        <w:rPr>
          <w:lang w:val="en-GB"/>
        </w:rPr>
        <w:t>are</w:t>
      </w:r>
      <w:proofErr w:type="gramEnd"/>
      <w:r w:rsidR="008E0BD2">
        <w:rPr>
          <w:lang w:val="en-GB"/>
        </w:rPr>
        <w:t xml:space="preserve"> still </w:t>
      </w:r>
      <w:r w:rsidR="00A57B44" w:rsidRPr="00E05188">
        <w:rPr>
          <w:lang w:val="en-GB"/>
        </w:rPr>
        <w:t xml:space="preserve">not cost-competitive with </w:t>
      </w:r>
      <w:r w:rsidRPr="00E05188">
        <w:rPr>
          <w:lang w:val="en-GB"/>
        </w:rPr>
        <w:t>the marketed</w:t>
      </w:r>
      <w:r w:rsidR="00A57B44" w:rsidRPr="00E05188">
        <w:rPr>
          <w:lang w:val="en-GB"/>
        </w:rPr>
        <w:t xml:space="preserve"> </w:t>
      </w:r>
      <w:r w:rsidRPr="00E05188">
        <w:rPr>
          <w:lang w:val="en-GB"/>
        </w:rPr>
        <w:t>fossil fuel based</w:t>
      </w:r>
      <w:r w:rsidR="00A57B44" w:rsidRPr="00E05188">
        <w:rPr>
          <w:lang w:val="en-GB"/>
        </w:rPr>
        <w:t xml:space="preserve"> polymers</w:t>
      </w:r>
      <w:r w:rsidR="00024F05" w:rsidRPr="00E05188">
        <w:rPr>
          <w:lang w:val="en-GB"/>
        </w:rPr>
        <w:t xml:space="preserve"> (</w:t>
      </w:r>
      <w:proofErr w:type="spellStart"/>
      <w:r w:rsidR="00024F05" w:rsidRPr="00E05188">
        <w:rPr>
          <w:lang w:val="en-GB"/>
        </w:rPr>
        <w:t>Gholami</w:t>
      </w:r>
      <w:proofErr w:type="spellEnd"/>
      <w:r w:rsidR="00024F05" w:rsidRPr="00E05188">
        <w:rPr>
          <w:lang w:val="en-GB"/>
        </w:rPr>
        <w:t xml:space="preserve"> et al., 2016)</w:t>
      </w:r>
      <w:r w:rsidR="00A57B44" w:rsidRPr="00E05188">
        <w:rPr>
          <w:lang w:val="en-GB"/>
        </w:rPr>
        <w:t xml:space="preserve">. </w:t>
      </w:r>
      <w:r w:rsidRPr="00E05188">
        <w:rPr>
          <w:lang w:val="en-GB"/>
        </w:rPr>
        <w:t xml:space="preserve">The technology of mixed microbial culture </w:t>
      </w:r>
      <w:r w:rsidR="000E4954" w:rsidRPr="00E05188">
        <w:rPr>
          <w:lang w:val="en-GB"/>
        </w:rPr>
        <w:t xml:space="preserve">(MMC) </w:t>
      </w:r>
      <w:r w:rsidRPr="00E05188">
        <w:rPr>
          <w:lang w:val="en-GB"/>
        </w:rPr>
        <w:t xml:space="preserve">allows reducing the PHA </w:t>
      </w:r>
      <w:r w:rsidR="000E4954" w:rsidRPr="00E05188">
        <w:rPr>
          <w:lang w:val="en-GB"/>
        </w:rPr>
        <w:t>p</w:t>
      </w:r>
      <w:r w:rsidR="00A57B44" w:rsidRPr="00E05188">
        <w:rPr>
          <w:lang w:val="en-GB"/>
        </w:rPr>
        <w:t>roduction costs</w:t>
      </w:r>
      <w:r w:rsidR="000E4954" w:rsidRPr="00E05188">
        <w:rPr>
          <w:lang w:val="en-GB"/>
        </w:rPr>
        <w:t>:</w:t>
      </w:r>
      <w:r w:rsidR="00A57B44" w:rsidRPr="00E05188">
        <w:rPr>
          <w:lang w:val="en-GB"/>
        </w:rPr>
        <w:t xml:space="preserve"> PHA-accumulating organisms can be selected from the</w:t>
      </w:r>
      <w:r w:rsidR="000E4954" w:rsidRPr="00E05188">
        <w:rPr>
          <w:lang w:val="en-GB"/>
        </w:rPr>
        <w:t xml:space="preserve"> typical</w:t>
      </w:r>
      <w:r w:rsidR="00A57B44" w:rsidRPr="00E05188">
        <w:rPr>
          <w:lang w:val="en-GB"/>
        </w:rPr>
        <w:t xml:space="preserve"> </w:t>
      </w:r>
      <w:r w:rsidR="000E4954" w:rsidRPr="00E05188">
        <w:rPr>
          <w:lang w:val="en-GB"/>
        </w:rPr>
        <w:t>a</w:t>
      </w:r>
      <w:r w:rsidR="00A57B44" w:rsidRPr="00E05188">
        <w:rPr>
          <w:lang w:val="en-GB"/>
        </w:rPr>
        <w:t>ctivated sludge coming from the wastewater treatment</w:t>
      </w:r>
      <w:r w:rsidR="000E4954" w:rsidRPr="00E05188">
        <w:rPr>
          <w:lang w:val="en-GB"/>
        </w:rPr>
        <w:t xml:space="preserve"> by</w:t>
      </w:r>
      <w:r w:rsidR="00A57B44" w:rsidRPr="00E05188">
        <w:rPr>
          <w:lang w:val="en-GB"/>
        </w:rPr>
        <w:t xml:space="preserve"> applying </w:t>
      </w:r>
      <w:r w:rsidR="000E4954" w:rsidRPr="00E05188">
        <w:rPr>
          <w:lang w:val="en-GB"/>
        </w:rPr>
        <w:t>aerobic dynamic feeding</w:t>
      </w:r>
      <w:r w:rsidR="00A57B44" w:rsidRPr="00E05188">
        <w:rPr>
          <w:lang w:val="en-GB"/>
        </w:rPr>
        <w:t xml:space="preserve"> (ADF)</w:t>
      </w:r>
      <w:r w:rsidR="000E4954" w:rsidRPr="00E05188">
        <w:rPr>
          <w:lang w:val="en-GB"/>
        </w:rPr>
        <w:t xml:space="preserve"> condition</w:t>
      </w:r>
      <w:r w:rsidR="00A57B44" w:rsidRPr="00E05188">
        <w:rPr>
          <w:lang w:val="en-GB"/>
        </w:rPr>
        <w:t>. Th</w:t>
      </w:r>
      <w:r w:rsidR="000E4954" w:rsidRPr="00E05188">
        <w:rPr>
          <w:lang w:val="en-GB"/>
        </w:rPr>
        <w:t>is</w:t>
      </w:r>
      <w:r w:rsidR="00A57B44" w:rsidRPr="00E05188">
        <w:rPr>
          <w:lang w:val="en-GB"/>
        </w:rPr>
        <w:t xml:space="preserve"> </w:t>
      </w:r>
      <w:r w:rsidR="000E4954" w:rsidRPr="00E05188">
        <w:rPr>
          <w:lang w:val="en-GB"/>
        </w:rPr>
        <w:t xml:space="preserve">MMC </w:t>
      </w:r>
      <w:r w:rsidR="00A57B44" w:rsidRPr="00E05188">
        <w:rPr>
          <w:lang w:val="en-GB"/>
        </w:rPr>
        <w:t xml:space="preserve">selection </w:t>
      </w:r>
      <w:r w:rsidR="000E4954" w:rsidRPr="00E05188">
        <w:rPr>
          <w:lang w:val="en-GB"/>
        </w:rPr>
        <w:t>c</w:t>
      </w:r>
      <w:r w:rsidR="00A57B44" w:rsidRPr="00E05188">
        <w:rPr>
          <w:lang w:val="en-GB"/>
        </w:rPr>
        <w:t>an be obtained through alternating feeding periods (feast and famine), with fermented feedstock rich in volatile fatty acids (VFA). The VFA are taken up very fast by PHA accumulating bacteria in the feast phase</w:t>
      </w:r>
      <w:r w:rsidR="000E4954" w:rsidRPr="00E05188">
        <w:rPr>
          <w:lang w:val="en-GB"/>
        </w:rPr>
        <w:t>,</w:t>
      </w:r>
      <w:r w:rsidR="00A57B44" w:rsidRPr="00E05188">
        <w:rPr>
          <w:lang w:val="en-GB"/>
        </w:rPr>
        <w:t xml:space="preserve"> </w:t>
      </w:r>
      <w:r w:rsidR="000E4954" w:rsidRPr="00E05188">
        <w:rPr>
          <w:lang w:val="en-GB"/>
        </w:rPr>
        <w:t xml:space="preserve">where </w:t>
      </w:r>
      <w:r w:rsidR="00952ADD">
        <w:rPr>
          <w:lang w:val="en-GB"/>
        </w:rPr>
        <w:t xml:space="preserve">they </w:t>
      </w:r>
      <w:r w:rsidR="000E4954" w:rsidRPr="00E05188">
        <w:rPr>
          <w:lang w:val="en-GB"/>
        </w:rPr>
        <w:t>are converted into PHA, which in turn is</w:t>
      </w:r>
      <w:r w:rsidR="00A57B44" w:rsidRPr="00E05188">
        <w:rPr>
          <w:lang w:val="en-GB"/>
        </w:rPr>
        <w:t xml:space="preserve"> </w:t>
      </w:r>
      <w:r w:rsidR="000E4954" w:rsidRPr="00E05188">
        <w:rPr>
          <w:lang w:val="en-GB"/>
        </w:rPr>
        <w:t>used as carbon source</w:t>
      </w:r>
      <w:r w:rsidR="00A57B44" w:rsidRPr="00E05188">
        <w:rPr>
          <w:lang w:val="en-GB"/>
        </w:rPr>
        <w:t xml:space="preserve"> to gain a competitive advantage during the subsequent famine phase,</w:t>
      </w:r>
      <w:r w:rsidR="000E4954" w:rsidRPr="00E05188">
        <w:rPr>
          <w:lang w:val="en-GB"/>
        </w:rPr>
        <w:t xml:space="preserve"> where no longer VFA are available.</w:t>
      </w:r>
      <w:r w:rsidR="00A57B44" w:rsidRPr="00E05188">
        <w:rPr>
          <w:lang w:val="en-GB"/>
        </w:rPr>
        <w:t xml:space="preserve"> </w:t>
      </w:r>
      <w:r w:rsidR="000E4954" w:rsidRPr="00E05188">
        <w:rPr>
          <w:lang w:val="en-GB"/>
        </w:rPr>
        <w:t xml:space="preserve">In the last decade, </w:t>
      </w:r>
      <w:r w:rsidR="000417A9" w:rsidRPr="00E05188">
        <w:rPr>
          <w:lang w:val="en-GB"/>
        </w:rPr>
        <w:t xml:space="preserve">many studies have described </w:t>
      </w:r>
      <w:r w:rsidR="00A57B44" w:rsidRPr="00E05188">
        <w:rPr>
          <w:lang w:val="en-GB"/>
        </w:rPr>
        <w:t xml:space="preserve">PHA production by MMC </w:t>
      </w:r>
      <w:r w:rsidR="000417A9" w:rsidRPr="00E05188">
        <w:rPr>
          <w:lang w:val="en-GB"/>
        </w:rPr>
        <w:t>by</w:t>
      </w:r>
      <w:r w:rsidR="000E4954" w:rsidRPr="00E05188">
        <w:rPr>
          <w:lang w:val="en-GB"/>
        </w:rPr>
        <w:t xml:space="preserve"> </w:t>
      </w:r>
      <w:r w:rsidR="00A57B44" w:rsidRPr="00E05188">
        <w:rPr>
          <w:lang w:val="en-GB"/>
        </w:rPr>
        <w:t xml:space="preserve">using different types of </w:t>
      </w:r>
      <w:r w:rsidR="000417A9" w:rsidRPr="00E05188">
        <w:rPr>
          <w:lang w:val="en-GB"/>
        </w:rPr>
        <w:t xml:space="preserve">organic </w:t>
      </w:r>
      <w:r w:rsidR="00A57B44" w:rsidRPr="00E05188">
        <w:rPr>
          <w:lang w:val="en-GB"/>
        </w:rPr>
        <w:t>waste,</w:t>
      </w:r>
      <w:r w:rsidR="000417A9" w:rsidRPr="00E05188">
        <w:rPr>
          <w:lang w:val="en-GB"/>
        </w:rPr>
        <w:t xml:space="preserve"> and with the typical three-step anaerobic-aerobic process</w:t>
      </w:r>
      <w:r w:rsidR="00024F05" w:rsidRPr="00E05188">
        <w:rPr>
          <w:lang w:val="en-GB"/>
        </w:rPr>
        <w:t xml:space="preserve"> (Valentino et al., 2017)</w:t>
      </w:r>
      <w:r w:rsidR="000417A9" w:rsidRPr="00E05188">
        <w:rPr>
          <w:lang w:val="en-GB"/>
        </w:rPr>
        <w:t>.</w:t>
      </w:r>
      <w:r w:rsidR="00A57B44" w:rsidRPr="00E05188">
        <w:rPr>
          <w:lang w:val="en-GB"/>
        </w:rPr>
        <w:t xml:space="preserve"> </w:t>
      </w:r>
      <w:r w:rsidR="00701538" w:rsidRPr="00E05188">
        <w:rPr>
          <w:lang w:val="en-GB"/>
        </w:rPr>
        <w:t>More recently, the</w:t>
      </w:r>
      <w:r w:rsidR="000417A9" w:rsidRPr="00E05188">
        <w:rPr>
          <w:lang w:val="en-GB"/>
        </w:rPr>
        <w:t xml:space="preserve"> PHA</w:t>
      </w:r>
      <w:r w:rsidR="00A57B44" w:rsidRPr="00E05188">
        <w:rPr>
          <w:lang w:val="en-GB"/>
        </w:rPr>
        <w:t xml:space="preserve"> production from urban </w:t>
      </w:r>
      <w:proofErr w:type="spellStart"/>
      <w:r w:rsidR="00701538" w:rsidRPr="00E05188">
        <w:rPr>
          <w:lang w:val="en-GB"/>
        </w:rPr>
        <w:t>bio</w:t>
      </w:r>
      <w:r w:rsidR="00A57B44" w:rsidRPr="00E05188">
        <w:rPr>
          <w:lang w:val="en-GB"/>
        </w:rPr>
        <w:t>waste</w:t>
      </w:r>
      <w:proofErr w:type="spellEnd"/>
      <w:r w:rsidR="00C11763" w:rsidRPr="00E05188">
        <w:rPr>
          <w:lang w:val="en-GB"/>
        </w:rPr>
        <w:t xml:space="preserve">, and in particular </w:t>
      </w:r>
      <w:r w:rsidR="00701538" w:rsidRPr="00E05188">
        <w:rPr>
          <w:lang w:val="en-GB"/>
        </w:rPr>
        <w:t>t</w:t>
      </w:r>
      <w:r w:rsidR="00C11763" w:rsidRPr="00E05188">
        <w:rPr>
          <w:lang w:val="en-GB"/>
        </w:rPr>
        <w:t>he organic fraction of municipal solid waste (OFMSW),</w:t>
      </w:r>
      <w:r w:rsidR="00A57B44" w:rsidRPr="00E05188">
        <w:rPr>
          <w:lang w:val="en-GB"/>
        </w:rPr>
        <w:t xml:space="preserve"> </w:t>
      </w:r>
      <w:r w:rsidR="00701538" w:rsidRPr="00E05188">
        <w:rPr>
          <w:lang w:val="en-GB"/>
        </w:rPr>
        <w:t xml:space="preserve">has been described at pilot scale (Valentino et al., 2018). </w:t>
      </w:r>
      <w:r w:rsidR="00102038" w:rsidRPr="00E05188">
        <w:rPr>
          <w:lang w:val="en-GB"/>
        </w:rPr>
        <w:t xml:space="preserve">The effect of temperature </w:t>
      </w:r>
      <w:r w:rsidR="007171D6">
        <w:rPr>
          <w:lang w:val="en-GB"/>
        </w:rPr>
        <w:t xml:space="preserve">(T) </w:t>
      </w:r>
      <w:r w:rsidR="00102038" w:rsidRPr="00E05188">
        <w:rPr>
          <w:lang w:val="en-GB"/>
        </w:rPr>
        <w:t>on process performances has been only preliminary dis</w:t>
      </w:r>
      <w:r w:rsidR="00102038">
        <w:rPr>
          <w:lang w:val="en-GB"/>
        </w:rPr>
        <w:t xml:space="preserve">cussed and in this study, </w:t>
      </w:r>
      <w:r w:rsidR="00236386">
        <w:rPr>
          <w:lang w:val="en-GB"/>
        </w:rPr>
        <w:t>this process parameter has been related to the biomass storage properties (rate and yield) and overall polymer process productivity.</w:t>
      </w:r>
    </w:p>
    <w:p w14:paraId="677EBFF0" w14:textId="4C5344C0" w:rsidR="00600535" w:rsidRDefault="00066B4A" w:rsidP="00600535">
      <w:pPr>
        <w:pStyle w:val="CETHeading1"/>
        <w:tabs>
          <w:tab w:val="clear" w:pos="360"/>
          <w:tab w:val="right" w:pos="7100"/>
        </w:tabs>
        <w:jc w:val="both"/>
        <w:rPr>
          <w:lang w:val="en-GB"/>
        </w:rPr>
      </w:pPr>
      <w:r>
        <w:rPr>
          <w:lang w:val="en-GB"/>
        </w:rPr>
        <w:t>Materials and Methods</w:t>
      </w:r>
    </w:p>
    <w:p w14:paraId="2AE55BB6" w14:textId="44A7DAC8" w:rsidR="00E406EC" w:rsidRDefault="00D45B3F" w:rsidP="00066B4A">
      <w:pPr>
        <w:pStyle w:val="CETBodytext"/>
      </w:pPr>
      <w:r>
        <w:t xml:space="preserve">The renewable feedstock was the </w:t>
      </w:r>
      <w:r w:rsidR="00E406EC">
        <w:t>OFMSW</w:t>
      </w:r>
      <w:r>
        <w:t xml:space="preserve"> coming from door-to-door collection of Treviso municipality. A screw-press was used for </w:t>
      </w:r>
      <w:r w:rsidR="00E406EC">
        <w:t>its</w:t>
      </w:r>
      <w:r>
        <w:t xml:space="preserve"> pre-treatment and homogenization</w:t>
      </w:r>
      <w:r w:rsidR="00E406EC">
        <w:t xml:space="preserve"> and the squeezed liquid fraction used in this work had the following features: total solids (TS) </w:t>
      </w:r>
      <w:r w:rsidR="00E406EC" w:rsidRPr="00E406EC">
        <w:t>280 ± 44 g/kg</w:t>
      </w:r>
      <w:r w:rsidR="00E406EC">
        <w:t>, volatile solids (VS)</w:t>
      </w:r>
      <w:r w:rsidR="00E406EC" w:rsidRPr="00E406EC">
        <w:t xml:space="preserve"> 250 ± 33 g/kg</w:t>
      </w:r>
      <w:r w:rsidR="00E406EC">
        <w:t>,</w:t>
      </w:r>
      <w:r w:rsidR="00E406EC" w:rsidRPr="00E406EC">
        <w:t xml:space="preserve"> </w:t>
      </w:r>
      <w:r w:rsidR="00E406EC">
        <w:t>chemical oxygen demand (</w:t>
      </w:r>
      <w:r w:rsidR="00E406EC" w:rsidRPr="00E406EC">
        <w:t>COD</w:t>
      </w:r>
      <w:r w:rsidR="00E406EC">
        <w:t>)</w:t>
      </w:r>
      <w:r w:rsidR="00E406EC" w:rsidRPr="00E406EC">
        <w:t xml:space="preserve"> 906 ± 58</w:t>
      </w:r>
      <w:r w:rsidR="00E406EC">
        <w:t xml:space="preserve"> g/kg, </w:t>
      </w:r>
      <w:r w:rsidR="00E406EC" w:rsidRPr="00E406EC">
        <w:t xml:space="preserve">nitrogen 27 ± 3 </w:t>
      </w:r>
      <w:proofErr w:type="spellStart"/>
      <w:r w:rsidR="00E406EC" w:rsidRPr="00E406EC">
        <w:t>g</w:t>
      </w:r>
      <w:r w:rsidR="00E406EC">
        <w:t>TK</w:t>
      </w:r>
      <w:r w:rsidR="00E406EC" w:rsidRPr="00E406EC">
        <w:t>N</w:t>
      </w:r>
      <w:proofErr w:type="spellEnd"/>
      <w:r w:rsidR="00E406EC" w:rsidRPr="00E406EC">
        <w:t>/</w:t>
      </w:r>
      <w:proofErr w:type="spellStart"/>
      <w:r w:rsidR="00E406EC" w:rsidRPr="00E406EC">
        <w:t>kg</w:t>
      </w:r>
      <w:r w:rsidR="00E406EC">
        <w:t>TS</w:t>
      </w:r>
      <w:proofErr w:type="spellEnd"/>
      <w:r w:rsidR="00E406EC" w:rsidRPr="00E406EC">
        <w:t xml:space="preserve"> and </w:t>
      </w:r>
      <w:r w:rsidR="00E406EC">
        <w:t>phosphorus 4.0 ± 0.2 g</w:t>
      </w:r>
      <w:r w:rsidR="00E406EC" w:rsidRPr="00E406EC">
        <w:t>/</w:t>
      </w:r>
      <w:proofErr w:type="spellStart"/>
      <w:r w:rsidR="00E406EC" w:rsidRPr="00E406EC">
        <w:t>kgTS</w:t>
      </w:r>
      <w:proofErr w:type="spellEnd"/>
      <w:r w:rsidR="00E406EC">
        <w:t>,</w:t>
      </w:r>
      <w:r w:rsidR="00E406EC" w:rsidRPr="00E406EC">
        <w:t xml:space="preserve"> COD</w:t>
      </w:r>
      <w:r w:rsidR="00E406EC">
        <w:t>/</w:t>
      </w:r>
      <w:r w:rsidR="00E406EC" w:rsidRPr="00E406EC">
        <w:t>N</w:t>
      </w:r>
      <w:r w:rsidR="00E406EC">
        <w:t>/</w:t>
      </w:r>
      <w:r w:rsidR="00E406EC" w:rsidRPr="00E406EC">
        <w:t>P ratio 100</w:t>
      </w:r>
      <w:r w:rsidR="00E406EC">
        <w:t>/</w:t>
      </w:r>
      <w:r w:rsidR="00E406EC" w:rsidRPr="00E406EC">
        <w:t>2.9</w:t>
      </w:r>
      <w:r w:rsidR="00E406EC">
        <w:t>/</w:t>
      </w:r>
      <w:r w:rsidR="00E406EC" w:rsidRPr="00E406EC">
        <w:t>0.4</w:t>
      </w:r>
      <w:r>
        <w:t>.</w:t>
      </w:r>
    </w:p>
    <w:p w14:paraId="23DE6CFB" w14:textId="79C4675A" w:rsidR="00066B4A" w:rsidRPr="00066B4A" w:rsidRDefault="00820732" w:rsidP="00066B4A">
      <w:pPr>
        <w:pStyle w:val="CETBodytext"/>
      </w:pPr>
      <w:r>
        <w:t>The ad</w:t>
      </w:r>
      <w:r w:rsidR="00152FD2">
        <w:t>opted process scheme</w:t>
      </w:r>
      <w:r w:rsidR="00066B4A">
        <w:t xml:space="preserve"> complies a unit </w:t>
      </w:r>
      <w:r w:rsidR="00B649AA">
        <w:t>c</w:t>
      </w:r>
      <w:r w:rsidR="00066B4A">
        <w:t xml:space="preserve">onsisting in a Continuous Stirred Tank Reactor (CSTR) for OFMSW fermentation. </w:t>
      </w:r>
      <w:r w:rsidR="00425328">
        <w:t>After a solid/liquid separation unit</w:t>
      </w:r>
      <w:r w:rsidR="00E406EC">
        <w:t>,</w:t>
      </w:r>
      <w:r w:rsidR="00425328">
        <w:t xml:space="preserve"> t</w:t>
      </w:r>
      <w:r w:rsidR="00066B4A">
        <w:t xml:space="preserve">he </w:t>
      </w:r>
      <w:r w:rsidR="00E406EC">
        <w:t xml:space="preserve">VFA-rich </w:t>
      </w:r>
      <w:r w:rsidR="00425328">
        <w:t xml:space="preserve">liquid </w:t>
      </w:r>
      <w:r w:rsidR="00E406EC">
        <w:t>stream</w:t>
      </w:r>
      <w:r w:rsidR="00066B4A">
        <w:t xml:space="preserve"> </w:t>
      </w:r>
      <w:r w:rsidR="00E406EC">
        <w:t>was</w:t>
      </w:r>
      <w:r w:rsidR="00066B4A">
        <w:t xml:space="preserve"> then conveyed to the two following aerobic stages: a Sequencing Batch Reactor (SBR) for biomass selection/enrichment under feast-famine regime; and a batch accumulation reactor for PHA production</w:t>
      </w:r>
      <w:r w:rsidR="00E406EC">
        <w:t>, as typically made in previous lab-scale experiments</w:t>
      </w:r>
      <w:r w:rsidR="00DB4F0C">
        <w:t xml:space="preserve"> (Valentino et al., 2014</w:t>
      </w:r>
      <w:r w:rsidR="00024F05">
        <w:t>)</w:t>
      </w:r>
      <w:r w:rsidR="00066B4A">
        <w:t>.</w:t>
      </w:r>
    </w:p>
    <w:p w14:paraId="04963A06" w14:textId="22DEDF38" w:rsidR="00600535" w:rsidRPr="00B57B36" w:rsidRDefault="00152FD2" w:rsidP="00FA5F5F">
      <w:pPr>
        <w:pStyle w:val="CETheadingx"/>
      </w:pPr>
      <w:r w:rsidRPr="00152FD2">
        <w:t xml:space="preserve">Anaerobic </w:t>
      </w:r>
      <w:r w:rsidR="002966FB">
        <w:t>stage</w:t>
      </w:r>
      <w:r w:rsidRPr="00152FD2">
        <w:t xml:space="preserve"> for OFMSW ferm</w:t>
      </w:r>
      <w:r w:rsidR="002966FB">
        <w:t>entation</w:t>
      </w:r>
    </w:p>
    <w:p w14:paraId="5053CC05" w14:textId="0FEB17DB" w:rsidR="00E406EC" w:rsidRPr="002966FB" w:rsidRDefault="002966FB" w:rsidP="00E406EC">
      <w:pPr>
        <w:pStyle w:val="CETBodytext"/>
        <w:rPr>
          <w:lang w:val="en-GB"/>
        </w:rPr>
      </w:pPr>
      <w:r w:rsidRPr="002966FB">
        <w:rPr>
          <w:lang w:val="en-GB"/>
        </w:rPr>
        <w:t xml:space="preserve">The </w:t>
      </w:r>
      <w:r w:rsidR="00E406EC">
        <w:rPr>
          <w:lang w:val="en-GB"/>
        </w:rPr>
        <w:t>fermentation</w:t>
      </w:r>
      <w:r w:rsidRPr="002966FB">
        <w:rPr>
          <w:lang w:val="en-GB"/>
        </w:rPr>
        <w:t xml:space="preserve"> process was </w:t>
      </w:r>
      <w:r w:rsidR="00E406EC">
        <w:rPr>
          <w:lang w:val="en-GB"/>
        </w:rPr>
        <w:t>performed</w:t>
      </w:r>
      <w:r w:rsidRPr="002966FB">
        <w:rPr>
          <w:lang w:val="en-GB"/>
        </w:rPr>
        <w:t xml:space="preserve"> by </w:t>
      </w:r>
      <w:r w:rsidR="00E406EC">
        <w:rPr>
          <w:lang w:val="en-GB"/>
        </w:rPr>
        <w:t xml:space="preserve">using </w:t>
      </w:r>
      <w:r w:rsidRPr="002966FB">
        <w:rPr>
          <w:lang w:val="en-GB"/>
        </w:rPr>
        <w:t>a 200 L CSTR</w:t>
      </w:r>
      <w:r w:rsidR="007171D6">
        <w:rPr>
          <w:lang w:val="en-GB"/>
        </w:rPr>
        <w:t>, at a</w:t>
      </w:r>
      <w:r w:rsidRPr="002966FB">
        <w:rPr>
          <w:lang w:val="en-GB"/>
        </w:rPr>
        <w:t xml:space="preserve"> hydraulic ret</w:t>
      </w:r>
      <w:r w:rsidR="00E406EC">
        <w:rPr>
          <w:lang w:val="en-GB"/>
        </w:rPr>
        <w:t>ention time (HRT) of 3.3 d</w:t>
      </w:r>
      <w:r w:rsidR="000239E2">
        <w:rPr>
          <w:lang w:val="en-GB"/>
        </w:rPr>
        <w:t xml:space="preserve"> (equal to sludge retention time, SRT)</w:t>
      </w:r>
      <w:r w:rsidR="00E406EC">
        <w:rPr>
          <w:lang w:val="en-GB"/>
        </w:rPr>
        <w:t xml:space="preserve">, </w:t>
      </w:r>
      <w:r w:rsidRPr="002966FB">
        <w:rPr>
          <w:lang w:val="en-GB"/>
        </w:rPr>
        <w:t>ave</w:t>
      </w:r>
      <w:r>
        <w:rPr>
          <w:lang w:val="en-GB"/>
        </w:rPr>
        <w:t xml:space="preserve">rage organic </w:t>
      </w:r>
      <w:r w:rsidRPr="00E05188">
        <w:rPr>
          <w:lang w:val="en-GB"/>
        </w:rPr>
        <w:t>load</w:t>
      </w:r>
      <w:r w:rsidR="00E406EC" w:rsidRPr="00E05188">
        <w:rPr>
          <w:lang w:val="en-GB"/>
        </w:rPr>
        <w:t>ing rate</w:t>
      </w:r>
      <w:r w:rsidRPr="00E05188">
        <w:rPr>
          <w:lang w:val="en-GB"/>
        </w:rPr>
        <w:t xml:space="preserve"> (OLR) of 20 kg</w:t>
      </w:r>
      <w:r w:rsidR="00E406EC" w:rsidRPr="00E05188">
        <w:rPr>
          <w:lang w:val="en-GB"/>
        </w:rPr>
        <w:t xml:space="preserve"> </w:t>
      </w:r>
      <w:r w:rsidRPr="00E05188">
        <w:rPr>
          <w:lang w:val="en-GB"/>
        </w:rPr>
        <w:t>VS/m</w:t>
      </w:r>
      <w:r w:rsidRPr="00E05188">
        <w:rPr>
          <w:vertAlign w:val="superscript"/>
          <w:lang w:val="en-GB"/>
        </w:rPr>
        <w:t>3</w:t>
      </w:r>
      <w:r w:rsidRPr="00E05188">
        <w:rPr>
          <w:lang w:val="en-GB"/>
        </w:rPr>
        <w:t>.d</w:t>
      </w:r>
      <w:r w:rsidR="00E406EC" w:rsidRPr="00E05188">
        <w:rPr>
          <w:lang w:val="en-GB"/>
        </w:rPr>
        <w:t xml:space="preserve"> under </w:t>
      </w:r>
      <w:proofErr w:type="spellStart"/>
      <w:r w:rsidR="00E406EC" w:rsidRPr="00E05188">
        <w:rPr>
          <w:lang w:val="en-GB"/>
        </w:rPr>
        <w:t>thermophilc</w:t>
      </w:r>
      <w:proofErr w:type="spellEnd"/>
      <w:r w:rsidR="00E406EC" w:rsidRPr="00E05188">
        <w:rPr>
          <w:lang w:val="en-GB"/>
        </w:rPr>
        <w:t xml:space="preserve"> </w:t>
      </w:r>
      <w:r w:rsidR="007171D6">
        <w:rPr>
          <w:lang w:val="en-GB"/>
        </w:rPr>
        <w:t>T</w:t>
      </w:r>
      <w:r w:rsidR="00E406EC" w:rsidRPr="00E05188">
        <w:rPr>
          <w:lang w:val="en-GB"/>
        </w:rPr>
        <w:t xml:space="preserve"> (</w:t>
      </w:r>
      <w:r w:rsidR="00D053CC" w:rsidRPr="00E05188">
        <w:rPr>
          <w:lang w:val="en-GB"/>
        </w:rPr>
        <w:t>55°C)</w:t>
      </w:r>
      <w:r w:rsidRPr="00E05188">
        <w:rPr>
          <w:lang w:val="en-GB"/>
        </w:rPr>
        <w:t xml:space="preserve">. </w:t>
      </w:r>
      <w:r w:rsidR="00E406EC" w:rsidRPr="00E05188">
        <w:rPr>
          <w:lang w:val="en-GB"/>
        </w:rPr>
        <w:t xml:space="preserve">The </w:t>
      </w:r>
      <w:r w:rsidR="00D053CC" w:rsidRPr="00E05188">
        <w:rPr>
          <w:lang w:val="en-GB"/>
        </w:rPr>
        <w:t xml:space="preserve">acidic environment (pH 5.0-5.6) </w:t>
      </w:r>
      <w:r w:rsidR="00E406EC" w:rsidRPr="00E05188">
        <w:rPr>
          <w:lang w:val="en-GB"/>
        </w:rPr>
        <w:t xml:space="preserve">was </w:t>
      </w:r>
      <w:r w:rsidR="00D053CC" w:rsidRPr="00E05188">
        <w:rPr>
          <w:lang w:val="en-GB"/>
        </w:rPr>
        <w:t>maintained</w:t>
      </w:r>
      <w:r w:rsidR="00E406EC" w:rsidRPr="00E05188">
        <w:rPr>
          <w:lang w:val="en-GB"/>
        </w:rPr>
        <w:t xml:space="preserve"> by the </w:t>
      </w:r>
      <w:proofErr w:type="spellStart"/>
      <w:r w:rsidR="00E406EC" w:rsidRPr="00E05188">
        <w:rPr>
          <w:lang w:val="en-GB"/>
        </w:rPr>
        <w:t>digestate</w:t>
      </w:r>
      <w:proofErr w:type="spellEnd"/>
      <w:r w:rsidR="00E406EC" w:rsidRPr="00E05188">
        <w:rPr>
          <w:lang w:val="en-GB"/>
        </w:rPr>
        <w:t xml:space="preserve"> recirculation from </w:t>
      </w:r>
      <w:r w:rsidR="00D053CC" w:rsidRPr="00E05188">
        <w:rPr>
          <w:lang w:val="en-GB"/>
        </w:rPr>
        <w:t>a parallel</w:t>
      </w:r>
      <w:r w:rsidR="00E406EC" w:rsidRPr="00E05188">
        <w:rPr>
          <w:lang w:val="en-GB"/>
        </w:rPr>
        <w:t xml:space="preserve"> </w:t>
      </w:r>
      <w:proofErr w:type="spellStart"/>
      <w:r w:rsidR="00D053CC" w:rsidRPr="00E05188">
        <w:rPr>
          <w:lang w:val="en-GB"/>
        </w:rPr>
        <w:t>thermophilic</w:t>
      </w:r>
      <w:proofErr w:type="spellEnd"/>
      <w:r w:rsidR="00D053CC" w:rsidRPr="00E05188">
        <w:rPr>
          <w:lang w:val="en-GB"/>
        </w:rPr>
        <w:t xml:space="preserve"> anaerobic digester (Valentino et al., 2018)</w:t>
      </w:r>
      <w:r w:rsidR="00E406EC" w:rsidRPr="00E05188">
        <w:rPr>
          <w:lang w:val="en-GB"/>
        </w:rPr>
        <w:t>.</w:t>
      </w:r>
      <w:r w:rsidR="00E164AB" w:rsidRPr="00E05188">
        <w:rPr>
          <w:lang w:val="en-GB"/>
        </w:rPr>
        <w:t xml:space="preserve"> The process was considered sufficiently stable and under steady state after consistent</w:t>
      </w:r>
      <w:r w:rsidR="00E164AB" w:rsidRPr="00E164AB">
        <w:rPr>
          <w:lang w:val="en-GB"/>
        </w:rPr>
        <w:t xml:space="preserve"> VFA production was reached. </w:t>
      </w:r>
      <w:r w:rsidR="00E164AB">
        <w:rPr>
          <w:lang w:val="en-GB"/>
        </w:rPr>
        <w:t>Solubilisation and f</w:t>
      </w:r>
      <w:r w:rsidR="00E164AB" w:rsidRPr="00E164AB">
        <w:rPr>
          <w:lang w:val="en-GB"/>
        </w:rPr>
        <w:t>ermentation yield (Y</w:t>
      </w:r>
      <w:r w:rsidR="00E164AB" w:rsidRPr="00E164AB">
        <w:rPr>
          <w:vertAlign w:val="subscript"/>
          <w:lang w:val="en-GB"/>
        </w:rPr>
        <w:t>VFA</w:t>
      </w:r>
      <w:r w:rsidR="00E164AB" w:rsidRPr="00E164AB">
        <w:rPr>
          <w:lang w:val="en-GB"/>
        </w:rPr>
        <w:t>) were determined with respect to the features of initial unfermented feedstock, in particular total COD</w:t>
      </w:r>
      <w:r w:rsidR="00E164AB">
        <w:rPr>
          <w:lang w:val="en-GB"/>
        </w:rPr>
        <w:t xml:space="preserve"> and </w:t>
      </w:r>
      <w:r w:rsidR="00E164AB" w:rsidRPr="00E164AB">
        <w:rPr>
          <w:lang w:val="en-GB"/>
        </w:rPr>
        <w:t>VS.</w:t>
      </w:r>
    </w:p>
    <w:p w14:paraId="7CF1417B" w14:textId="6FD3BADB" w:rsidR="002966FB" w:rsidRPr="002966FB" w:rsidRDefault="002966FB" w:rsidP="002966FB">
      <w:pPr>
        <w:pStyle w:val="CETBodytext"/>
        <w:rPr>
          <w:lang w:val="en-GB"/>
        </w:rPr>
      </w:pPr>
      <w:r w:rsidRPr="002966FB">
        <w:rPr>
          <w:lang w:val="en-GB"/>
        </w:rPr>
        <w:t xml:space="preserve">The downstream solids separation was conducted by means of a coaxial filter bag (5.0 </w:t>
      </w:r>
      <w:proofErr w:type="spellStart"/>
      <w:r w:rsidRPr="002966FB">
        <w:rPr>
          <w:lang w:val="en-GB"/>
        </w:rPr>
        <w:t>μm</w:t>
      </w:r>
      <w:proofErr w:type="spellEnd"/>
      <w:r w:rsidRPr="002966FB">
        <w:rPr>
          <w:lang w:val="en-GB"/>
        </w:rPr>
        <w:t xml:space="preserve"> porosity) equipped centrifuge. The </w:t>
      </w:r>
      <w:r w:rsidR="00E406EC">
        <w:rPr>
          <w:lang w:val="en-GB"/>
        </w:rPr>
        <w:t xml:space="preserve">VFA-rich </w:t>
      </w:r>
      <w:r w:rsidRPr="002966FB">
        <w:rPr>
          <w:lang w:val="en-GB"/>
        </w:rPr>
        <w:t xml:space="preserve">liquid fraction was intended to the use in the aerobic PHA line. </w:t>
      </w:r>
    </w:p>
    <w:p w14:paraId="6437A0A5" w14:textId="77777777" w:rsidR="002966FB" w:rsidRDefault="002966FB" w:rsidP="00600535">
      <w:pPr>
        <w:pStyle w:val="CETBodytext"/>
        <w:rPr>
          <w:lang w:val="en-GB"/>
        </w:rPr>
      </w:pPr>
    </w:p>
    <w:p w14:paraId="5A8D6A46" w14:textId="64F45786" w:rsidR="002966FB" w:rsidRPr="00B57B36" w:rsidRDefault="002966FB" w:rsidP="002966FB">
      <w:pPr>
        <w:pStyle w:val="CETheadingx"/>
      </w:pPr>
      <w:proofErr w:type="spellStart"/>
      <w:r>
        <w:t>A</w:t>
      </w:r>
      <w:r w:rsidRPr="00152FD2">
        <w:t>aerobic</w:t>
      </w:r>
      <w:proofErr w:type="spellEnd"/>
      <w:r w:rsidRPr="00152FD2">
        <w:t xml:space="preserve"> s</w:t>
      </w:r>
      <w:r>
        <w:t>tages</w:t>
      </w:r>
      <w:r w:rsidRPr="00152FD2">
        <w:t xml:space="preserve"> for </w:t>
      </w:r>
      <w:r w:rsidR="00D053CC">
        <w:t>MMC</w:t>
      </w:r>
      <w:r>
        <w:t xml:space="preserve"> </w:t>
      </w:r>
      <w:r w:rsidR="00D053CC">
        <w:t>selection/</w:t>
      </w:r>
      <w:r>
        <w:t xml:space="preserve">enrichment </w:t>
      </w:r>
      <w:r w:rsidRPr="002966FB">
        <w:t>and PHA production</w:t>
      </w:r>
    </w:p>
    <w:p w14:paraId="575CA034" w14:textId="53D28369" w:rsidR="00D053CC" w:rsidRDefault="00D053CC" w:rsidP="00D053CC">
      <w:pPr>
        <w:pStyle w:val="CETBodytext"/>
        <w:rPr>
          <w:lang w:val="en-GB"/>
        </w:rPr>
      </w:pPr>
      <w:r>
        <w:rPr>
          <w:lang w:val="en-GB"/>
        </w:rPr>
        <w:t xml:space="preserve">The MMC cultivation was performed in a </w:t>
      </w:r>
      <w:r w:rsidRPr="00D053CC">
        <w:rPr>
          <w:lang w:val="en-GB"/>
        </w:rPr>
        <w:t>140 L working volume SBR</w:t>
      </w:r>
      <w:r>
        <w:rPr>
          <w:lang w:val="en-GB"/>
        </w:rPr>
        <w:t xml:space="preserve">, which was initially </w:t>
      </w:r>
      <w:r w:rsidRPr="00D053CC">
        <w:rPr>
          <w:lang w:val="en-GB"/>
        </w:rPr>
        <w:t xml:space="preserve">inoculated with thickened activated sewage sludge from Treviso WWTP. </w:t>
      </w:r>
      <w:r w:rsidR="005B5B05">
        <w:rPr>
          <w:lang w:val="en-GB"/>
        </w:rPr>
        <w:t>The SBR</w:t>
      </w:r>
      <w:r w:rsidRPr="00D053CC">
        <w:rPr>
          <w:lang w:val="en-GB"/>
        </w:rPr>
        <w:t xml:space="preserve"> run was conducted for approximately </w:t>
      </w:r>
      <w:r w:rsidR="005B5B05">
        <w:rPr>
          <w:lang w:val="en-GB"/>
        </w:rPr>
        <w:t xml:space="preserve">90 days, by maintaining the same </w:t>
      </w:r>
      <w:r w:rsidRPr="00D053CC">
        <w:rPr>
          <w:lang w:val="en-GB"/>
        </w:rPr>
        <w:t xml:space="preserve">HRT </w:t>
      </w:r>
      <w:r w:rsidR="005B5B05">
        <w:rPr>
          <w:lang w:val="en-GB"/>
        </w:rPr>
        <w:t>or SRT (</w:t>
      </w:r>
      <w:r w:rsidRPr="00D053CC">
        <w:rPr>
          <w:lang w:val="en-GB"/>
        </w:rPr>
        <w:t xml:space="preserve">1.0 d) and cycle length </w:t>
      </w:r>
      <w:r w:rsidR="005B5B05">
        <w:rPr>
          <w:lang w:val="en-GB"/>
        </w:rPr>
        <w:t>(</w:t>
      </w:r>
      <w:r w:rsidRPr="00D053CC">
        <w:rPr>
          <w:lang w:val="en-GB"/>
        </w:rPr>
        <w:t>6 h</w:t>
      </w:r>
      <w:r w:rsidR="005B5B05">
        <w:rPr>
          <w:lang w:val="en-GB"/>
        </w:rPr>
        <w:t>)</w:t>
      </w:r>
      <w:r w:rsidRPr="00D053CC">
        <w:rPr>
          <w:lang w:val="en-GB"/>
        </w:rPr>
        <w:t xml:space="preserve">. The reactor was </w:t>
      </w:r>
      <w:r w:rsidR="005B5B05">
        <w:rPr>
          <w:lang w:val="en-GB"/>
        </w:rPr>
        <w:t>equipped with</w:t>
      </w:r>
      <w:r w:rsidRPr="00D053CC">
        <w:rPr>
          <w:lang w:val="en-GB"/>
        </w:rPr>
        <w:t xml:space="preserve"> linear membrane blowers (</w:t>
      </w:r>
      <w:proofErr w:type="spellStart"/>
      <w:r w:rsidRPr="00D053CC">
        <w:rPr>
          <w:lang w:val="en-GB"/>
        </w:rPr>
        <w:t>Bibus</w:t>
      </w:r>
      <w:proofErr w:type="spellEnd"/>
      <w:r w:rsidRPr="00D053CC">
        <w:rPr>
          <w:lang w:val="en-GB"/>
        </w:rPr>
        <w:t xml:space="preserve"> EL-S-250), which operated as </w:t>
      </w:r>
      <w:r w:rsidR="005B5B05">
        <w:rPr>
          <w:lang w:val="en-GB"/>
        </w:rPr>
        <w:t xml:space="preserve">oxygenation and </w:t>
      </w:r>
      <w:r w:rsidRPr="00D053CC">
        <w:rPr>
          <w:lang w:val="en-GB"/>
        </w:rPr>
        <w:t>stirring</w:t>
      </w:r>
      <w:r w:rsidR="005B5B05">
        <w:rPr>
          <w:lang w:val="en-GB"/>
        </w:rPr>
        <w:t xml:space="preserve"> </w:t>
      </w:r>
      <w:r w:rsidRPr="00D053CC">
        <w:rPr>
          <w:lang w:val="en-GB"/>
        </w:rPr>
        <w:t>system. The</w:t>
      </w:r>
      <w:r w:rsidR="005B5B05">
        <w:rPr>
          <w:lang w:val="en-GB"/>
        </w:rPr>
        <w:t xml:space="preserve"> pH and T</w:t>
      </w:r>
      <w:r w:rsidRPr="00D053CC">
        <w:rPr>
          <w:lang w:val="en-GB"/>
        </w:rPr>
        <w:t xml:space="preserve"> were continuously measured but not controlled. </w:t>
      </w:r>
      <w:r w:rsidR="005B5B05" w:rsidRPr="00D053CC">
        <w:rPr>
          <w:lang w:val="en-GB"/>
        </w:rPr>
        <w:t xml:space="preserve">The pH </w:t>
      </w:r>
      <w:r w:rsidR="005B5B05">
        <w:rPr>
          <w:lang w:val="en-GB"/>
        </w:rPr>
        <w:t xml:space="preserve">evolved steadily </w:t>
      </w:r>
      <w:r w:rsidR="00871A1A">
        <w:rPr>
          <w:lang w:val="en-GB"/>
        </w:rPr>
        <w:t>(</w:t>
      </w:r>
      <w:r w:rsidR="005B5B05" w:rsidRPr="00D053CC">
        <w:rPr>
          <w:lang w:val="en-GB"/>
        </w:rPr>
        <w:t>8.0-8.</w:t>
      </w:r>
      <w:r w:rsidR="00871A1A">
        <w:rPr>
          <w:lang w:val="en-GB"/>
        </w:rPr>
        <w:t>7)</w:t>
      </w:r>
      <w:r w:rsidR="005B5B05" w:rsidRPr="00D053CC">
        <w:rPr>
          <w:lang w:val="en-GB"/>
        </w:rPr>
        <w:t xml:space="preserve"> in the whole SBR </w:t>
      </w:r>
      <w:r w:rsidR="005B5B05">
        <w:rPr>
          <w:lang w:val="en-GB"/>
        </w:rPr>
        <w:t>o</w:t>
      </w:r>
      <w:r w:rsidR="00871A1A">
        <w:rPr>
          <w:lang w:val="en-GB"/>
        </w:rPr>
        <w:t>p</w:t>
      </w:r>
      <w:r w:rsidR="005B5B05">
        <w:rPr>
          <w:lang w:val="en-GB"/>
        </w:rPr>
        <w:t>eration; the T</w:t>
      </w:r>
      <w:r w:rsidRPr="00D053CC">
        <w:rPr>
          <w:lang w:val="en-GB"/>
        </w:rPr>
        <w:t xml:space="preserve"> </w:t>
      </w:r>
      <w:r w:rsidR="00871A1A">
        <w:rPr>
          <w:lang w:val="en-GB"/>
        </w:rPr>
        <w:t xml:space="preserve">in the aerated medium </w:t>
      </w:r>
      <w:r w:rsidRPr="00D053CC">
        <w:rPr>
          <w:lang w:val="en-GB"/>
        </w:rPr>
        <w:t xml:space="preserve">changed seasonally </w:t>
      </w:r>
      <w:r w:rsidR="005B5B05">
        <w:rPr>
          <w:lang w:val="en-GB"/>
        </w:rPr>
        <w:t>from a maximum of 2</w:t>
      </w:r>
      <w:r w:rsidR="00871A1A">
        <w:rPr>
          <w:lang w:val="en-GB"/>
        </w:rPr>
        <w:t>8</w:t>
      </w:r>
      <w:r w:rsidRPr="00D053CC">
        <w:rPr>
          <w:lang w:val="en-GB"/>
        </w:rPr>
        <w:t xml:space="preserve">°C </w:t>
      </w:r>
      <w:r w:rsidR="005B5B05">
        <w:rPr>
          <w:lang w:val="en-GB"/>
        </w:rPr>
        <w:t>(early September) to a minimum of 1</w:t>
      </w:r>
      <w:r w:rsidR="00871A1A">
        <w:rPr>
          <w:lang w:val="en-GB"/>
        </w:rPr>
        <w:t>6</w:t>
      </w:r>
      <w:r w:rsidRPr="00D053CC">
        <w:rPr>
          <w:lang w:val="en-GB"/>
        </w:rPr>
        <w:t xml:space="preserve">°C </w:t>
      </w:r>
      <w:r w:rsidR="005B5B05">
        <w:rPr>
          <w:lang w:val="en-GB"/>
        </w:rPr>
        <w:t>(mid December)</w:t>
      </w:r>
      <w:r w:rsidR="003C2321">
        <w:rPr>
          <w:lang w:val="en-GB"/>
        </w:rPr>
        <w:t xml:space="preserve">. The applied OLR was </w:t>
      </w:r>
      <w:r w:rsidRPr="00D053CC">
        <w:rPr>
          <w:lang w:val="en-GB"/>
        </w:rPr>
        <w:t>initially equal to 3.</w:t>
      </w:r>
      <w:r w:rsidR="001F2C6B">
        <w:rPr>
          <w:lang w:val="en-GB"/>
        </w:rPr>
        <w:t>4</w:t>
      </w:r>
      <w:r w:rsidRPr="00D053CC">
        <w:rPr>
          <w:lang w:val="en-GB"/>
        </w:rPr>
        <w:t xml:space="preserve"> g</w:t>
      </w:r>
      <w:r w:rsidR="003C2321">
        <w:rPr>
          <w:lang w:val="en-GB"/>
        </w:rPr>
        <w:t xml:space="preserve"> soluble </w:t>
      </w:r>
      <w:r w:rsidRPr="00D053CC">
        <w:rPr>
          <w:lang w:val="en-GB"/>
        </w:rPr>
        <w:t>COD/</w:t>
      </w:r>
      <w:proofErr w:type="spellStart"/>
      <w:r w:rsidRPr="00D053CC">
        <w:rPr>
          <w:lang w:val="en-GB"/>
        </w:rPr>
        <w:t>L</w:t>
      </w:r>
      <w:r w:rsidR="003C2321">
        <w:rPr>
          <w:lang w:val="en-GB"/>
        </w:rPr>
        <w:t>.</w:t>
      </w:r>
      <w:r w:rsidRPr="00D053CC">
        <w:rPr>
          <w:lang w:val="en-GB"/>
        </w:rPr>
        <w:t>d</w:t>
      </w:r>
      <w:proofErr w:type="spellEnd"/>
      <w:r w:rsidR="003C2321">
        <w:rPr>
          <w:lang w:val="en-GB"/>
        </w:rPr>
        <w:t xml:space="preserve"> (COD</w:t>
      </w:r>
      <w:r w:rsidR="003C2321" w:rsidRPr="003C2321">
        <w:rPr>
          <w:vertAlign w:val="subscript"/>
          <w:lang w:val="en-GB"/>
        </w:rPr>
        <w:t>SOL</w:t>
      </w:r>
      <w:r w:rsidR="003C2321">
        <w:rPr>
          <w:lang w:val="en-GB"/>
        </w:rPr>
        <w:t>)</w:t>
      </w:r>
      <w:r w:rsidRPr="00D053CC">
        <w:rPr>
          <w:lang w:val="en-GB"/>
        </w:rPr>
        <w:t xml:space="preserve">, and then </w:t>
      </w:r>
      <w:r w:rsidR="001F2C6B">
        <w:rPr>
          <w:lang w:val="en-GB"/>
        </w:rPr>
        <w:t>decreased to 2.0</w:t>
      </w:r>
      <w:r w:rsidR="003C2321">
        <w:rPr>
          <w:lang w:val="en-GB"/>
        </w:rPr>
        <w:t xml:space="preserve"> g COD</w:t>
      </w:r>
      <w:r w:rsidR="003C2321" w:rsidRPr="003C2321">
        <w:rPr>
          <w:vertAlign w:val="subscript"/>
          <w:lang w:val="en-GB"/>
        </w:rPr>
        <w:t>SOL</w:t>
      </w:r>
      <w:r w:rsidR="003C2321">
        <w:rPr>
          <w:lang w:val="en-GB"/>
        </w:rPr>
        <w:t>/</w:t>
      </w:r>
      <w:proofErr w:type="spellStart"/>
      <w:r w:rsidR="003C2321">
        <w:rPr>
          <w:lang w:val="en-GB"/>
        </w:rPr>
        <w:t>L.d</w:t>
      </w:r>
      <w:proofErr w:type="spellEnd"/>
      <w:r w:rsidRPr="00D053CC">
        <w:rPr>
          <w:lang w:val="en-GB"/>
        </w:rPr>
        <w:t>.</w:t>
      </w:r>
      <w:r w:rsidR="003C2321">
        <w:rPr>
          <w:lang w:val="en-GB"/>
        </w:rPr>
        <w:t xml:space="preserve"> The OLR was </w:t>
      </w:r>
      <w:r w:rsidR="003C2321" w:rsidRPr="00E05188">
        <w:rPr>
          <w:lang w:val="en-GB"/>
        </w:rPr>
        <w:t>regulated based on the feast phase length, which was identified by the dissolved O</w:t>
      </w:r>
      <w:r w:rsidR="003C2321" w:rsidRPr="00E05188">
        <w:rPr>
          <w:vertAlign w:val="subscript"/>
          <w:lang w:val="en-GB"/>
        </w:rPr>
        <w:t>2</w:t>
      </w:r>
      <w:r w:rsidR="003C2321" w:rsidRPr="00E05188">
        <w:rPr>
          <w:lang w:val="en-GB"/>
        </w:rPr>
        <w:t xml:space="preserve"> concentration </w:t>
      </w:r>
      <w:r w:rsidR="001F2C6B" w:rsidRPr="00E05188">
        <w:rPr>
          <w:lang w:val="en-GB"/>
        </w:rPr>
        <w:t>profile, daily recorded for each SBR cycle</w:t>
      </w:r>
      <w:r w:rsidR="003C2321" w:rsidRPr="00E05188">
        <w:rPr>
          <w:lang w:val="en-GB"/>
        </w:rPr>
        <w:t xml:space="preserve"> (Valentino et al., 2014).</w:t>
      </w:r>
      <w:r w:rsidR="004E4D65" w:rsidRPr="00E05188">
        <w:rPr>
          <w:lang w:val="en-GB"/>
        </w:rPr>
        <w:t xml:space="preserve"> The SBR was also characterized by measurements of biomass, as volatile suspended solids (VSS), and of PHA concentrations as reported elsewhere (Valentino et al., 2018). For PHA quantification, the sludge was treated immediately after sampling with a </w:t>
      </w:r>
      <w:proofErr w:type="spellStart"/>
      <w:r w:rsidR="004E4D65" w:rsidRPr="00E05188">
        <w:rPr>
          <w:lang w:val="en-GB"/>
        </w:rPr>
        <w:t>NaClO</w:t>
      </w:r>
      <w:proofErr w:type="spellEnd"/>
      <w:r w:rsidR="004E4D65" w:rsidRPr="00E05188">
        <w:rPr>
          <w:lang w:val="en-GB"/>
        </w:rPr>
        <w:t xml:space="preserve"> solution (5% of active Cl</w:t>
      </w:r>
      <w:r w:rsidR="004E4D65" w:rsidRPr="00E05188">
        <w:rPr>
          <w:vertAlign w:val="subscript"/>
          <w:lang w:val="en-GB"/>
        </w:rPr>
        <w:t>2</w:t>
      </w:r>
      <w:r w:rsidR="004E4D65" w:rsidRPr="00E05188">
        <w:rPr>
          <w:lang w:val="en-GB"/>
        </w:rPr>
        <w:t xml:space="preserve">); then, PHA was extracted, </w:t>
      </w:r>
      <w:proofErr w:type="spellStart"/>
      <w:r w:rsidR="004E4D65" w:rsidRPr="00E05188">
        <w:rPr>
          <w:lang w:val="en-GB"/>
        </w:rPr>
        <w:t>hydrolyzed</w:t>
      </w:r>
      <w:proofErr w:type="spellEnd"/>
      <w:r w:rsidR="004E4D65" w:rsidRPr="00E05188">
        <w:rPr>
          <w:lang w:val="en-GB"/>
        </w:rPr>
        <w:t xml:space="preserve"> and esterified to 3-hydroxyacyl methyl esters, and determined by gas-chromatography. The </w:t>
      </w:r>
      <w:r w:rsidR="00DB63E1" w:rsidRPr="00E05188">
        <w:rPr>
          <w:lang w:val="en-GB"/>
        </w:rPr>
        <w:t xml:space="preserve">specific </w:t>
      </w:r>
      <w:r w:rsidR="004E4D65" w:rsidRPr="00E05188">
        <w:rPr>
          <w:lang w:val="en-GB"/>
        </w:rPr>
        <w:t>PHA production r</w:t>
      </w:r>
      <w:r w:rsidR="00DB63E1" w:rsidRPr="00E05188">
        <w:rPr>
          <w:lang w:val="en-GB"/>
        </w:rPr>
        <w:t>ate (related to the non-polymer biomass, X</w:t>
      </w:r>
      <w:r w:rsidR="00DB63E1" w:rsidRPr="00E05188">
        <w:rPr>
          <w:vertAlign w:val="subscript"/>
          <w:lang w:val="en-GB"/>
        </w:rPr>
        <w:t>A</w:t>
      </w:r>
      <w:r w:rsidR="00DB63E1" w:rsidRPr="00E05188">
        <w:rPr>
          <w:lang w:val="en-GB"/>
        </w:rPr>
        <w:t>) and yield</w:t>
      </w:r>
      <w:r w:rsidR="004E4D65" w:rsidRPr="00E05188">
        <w:rPr>
          <w:lang w:val="en-GB"/>
        </w:rPr>
        <w:t xml:space="preserve"> were calculated as described in Valentino et al. (2014).</w:t>
      </w:r>
      <w:r w:rsidR="005E2EB8" w:rsidRPr="00E05188">
        <w:rPr>
          <w:lang w:val="en-GB"/>
        </w:rPr>
        <w:t xml:space="preserve"> </w:t>
      </w:r>
      <w:r w:rsidRPr="00E05188">
        <w:rPr>
          <w:lang w:val="en-GB"/>
        </w:rPr>
        <w:t>The storag</w:t>
      </w:r>
      <w:r w:rsidRPr="00D053CC">
        <w:rPr>
          <w:lang w:val="en-GB"/>
        </w:rPr>
        <w:t>e potential of the selected biomass was exploited through fed-batch accumulation tests</w:t>
      </w:r>
      <w:r w:rsidR="00ED6CD8">
        <w:rPr>
          <w:lang w:val="en-GB"/>
        </w:rPr>
        <w:t>, which were performed at the same T and pH of the SBR</w:t>
      </w:r>
      <w:r w:rsidR="003C2321">
        <w:rPr>
          <w:lang w:val="en-GB"/>
        </w:rPr>
        <w:t>.</w:t>
      </w:r>
      <w:r w:rsidRPr="00D053CC">
        <w:rPr>
          <w:lang w:val="en-GB"/>
        </w:rPr>
        <w:t xml:space="preserve"> The </w:t>
      </w:r>
      <w:r w:rsidR="003C2321">
        <w:rPr>
          <w:lang w:val="en-GB"/>
        </w:rPr>
        <w:t xml:space="preserve">fermented stream </w:t>
      </w:r>
      <w:r w:rsidRPr="00D053CC">
        <w:rPr>
          <w:lang w:val="en-GB"/>
        </w:rPr>
        <w:t xml:space="preserve">was </w:t>
      </w:r>
      <w:r w:rsidRPr="00D053CC">
        <w:rPr>
          <w:lang w:val="en-GB"/>
        </w:rPr>
        <w:lastRenderedPageBreak/>
        <w:t xml:space="preserve">dosed with a multi-spikes strategy via </w:t>
      </w:r>
      <w:r w:rsidR="003C2321">
        <w:rPr>
          <w:lang w:val="en-GB"/>
        </w:rPr>
        <w:t xml:space="preserve">dissolved </w:t>
      </w:r>
      <w:r w:rsidRPr="00D053CC">
        <w:rPr>
          <w:lang w:val="en-GB"/>
        </w:rPr>
        <w:t>O</w:t>
      </w:r>
      <w:r w:rsidRPr="003C2321">
        <w:rPr>
          <w:vertAlign w:val="subscript"/>
          <w:lang w:val="en-GB"/>
        </w:rPr>
        <w:t>2</w:t>
      </w:r>
      <w:r w:rsidRPr="00D053CC">
        <w:rPr>
          <w:lang w:val="en-GB"/>
        </w:rPr>
        <w:t xml:space="preserve"> concentration control.</w:t>
      </w:r>
      <w:r w:rsidR="00ED6CD8" w:rsidRPr="00ED6CD8">
        <w:rPr>
          <w:lang w:val="en-GB"/>
        </w:rPr>
        <w:t xml:space="preserve"> The sludge in the batch reactor was sampled at </w:t>
      </w:r>
      <w:r w:rsidR="00ED6CD8">
        <w:rPr>
          <w:lang w:val="en-GB"/>
        </w:rPr>
        <w:t xml:space="preserve">the </w:t>
      </w:r>
      <w:r w:rsidR="00ED6CD8" w:rsidRPr="00E05188">
        <w:rPr>
          <w:lang w:val="en-GB"/>
        </w:rPr>
        <w:t>beginning and at the end of the test for analytical determinations of COD</w:t>
      </w:r>
      <w:r w:rsidR="00ED6CD8" w:rsidRPr="00E05188">
        <w:rPr>
          <w:vertAlign w:val="subscript"/>
          <w:lang w:val="en-GB"/>
        </w:rPr>
        <w:t>SOL</w:t>
      </w:r>
      <w:r w:rsidR="00ED6CD8" w:rsidRPr="00E05188">
        <w:rPr>
          <w:lang w:val="en-GB"/>
        </w:rPr>
        <w:t xml:space="preserve">, VSS and PHA, </w:t>
      </w:r>
      <w:proofErr w:type="spellStart"/>
      <w:r w:rsidR="00ED6CD8" w:rsidRPr="00E05188">
        <w:rPr>
          <w:lang w:val="en-GB"/>
        </w:rPr>
        <w:t>analyzed</w:t>
      </w:r>
      <w:proofErr w:type="spellEnd"/>
      <w:r w:rsidR="00ED6CD8" w:rsidRPr="00E05188">
        <w:rPr>
          <w:lang w:val="en-GB"/>
        </w:rPr>
        <w:t xml:space="preserve"> as described in Valentino et al. (2018). The polymer content in the biomass was calculated by dividing the PHA concentration by the VSS concentration; the storage</w:t>
      </w:r>
      <w:r w:rsidR="00ED6CD8" w:rsidRPr="00ED6CD8">
        <w:rPr>
          <w:lang w:val="en-GB"/>
        </w:rPr>
        <w:t xml:space="preserve"> yield was given by the ratio between the </w:t>
      </w:r>
      <w:r w:rsidR="00ED6CD8">
        <w:rPr>
          <w:lang w:val="en-GB"/>
        </w:rPr>
        <w:t>produced PHA</w:t>
      </w:r>
      <w:r w:rsidR="00ED6CD8" w:rsidRPr="00ED6CD8">
        <w:rPr>
          <w:lang w:val="en-GB"/>
        </w:rPr>
        <w:t xml:space="preserve"> </w:t>
      </w:r>
      <w:r w:rsidR="00ED6CD8">
        <w:rPr>
          <w:lang w:val="en-GB"/>
        </w:rPr>
        <w:t xml:space="preserve">(expressed as COD) </w:t>
      </w:r>
      <w:r w:rsidR="00ED6CD8" w:rsidRPr="00ED6CD8">
        <w:rPr>
          <w:lang w:val="en-GB"/>
        </w:rPr>
        <w:t xml:space="preserve">and the removed </w:t>
      </w:r>
      <w:r w:rsidR="00ED6CD8">
        <w:rPr>
          <w:lang w:val="en-GB"/>
        </w:rPr>
        <w:t>COD</w:t>
      </w:r>
      <w:r w:rsidR="00ED6CD8" w:rsidRPr="00ED6CD8">
        <w:rPr>
          <w:vertAlign w:val="subscript"/>
          <w:lang w:val="en-GB"/>
        </w:rPr>
        <w:t>SOL</w:t>
      </w:r>
      <w:r w:rsidR="00ED6CD8">
        <w:rPr>
          <w:lang w:val="en-GB"/>
        </w:rPr>
        <w:t>.</w:t>
      </w:r>
    </w:p>
    <w:p w14:paraId="5D5C1124" w14:textId="461E07E0" w:rsidR="00E164AB" w:rsidRDefault="00E164AB" w:rsidP="00E164AB">
      <w:pPr>
        <w:pStyle w:val="CETHeading1"/>
        <w:tabs>
          <w:tab w:val="clear" w:pos="360"/>
          <w:tab w:val="right" w:pos="7100"/>
        </w:tabs>
        <w:jc w:val="both"/>
        <w:rPr>
          <w:lang w:val="en-GB"/>
        </w:rPr>
      </w:pPr>
      <w:r>
        <w:rPr>
          <w:lang w:val="en-GB"/>
        </w:rPr>
        <w:t>Results and discussion</w:t>
      </w:r>
    </w:p>
    <w:p w14:paraId="66F0B7E1" w14:textId="7A185FA1" w:rsidR="00435F66" w:rsidRPr="00B57B36" w:rsidRDefault="00435F66" w:rsidP="00435F66">
      <w:pPr>
        <w:pStyle w:val="CETheadingx"/>
      </w:pPr>
      <w:proofErr w:type="spellStart"/>
      <w:r>
        <w:rPr>
          <w:lang w:val="en-GB"/>
        </w:rPr>
        <w:t>Thermophilic</w:t>
      </w:r>
      <w:proofErr w:type="spellEnd"/>
      <w:r>
        <w:rPr>
          <w:lang w:val="en-GB"/>
        </w:rPr>
        <w:t xml:space="preserve"> OFMSW fermentation</w:t>
      </w:r>
    </w:p>
    <w:p w14:paraId="5FF6962B" w14:textId="2EE673F5" w:rsidR="00435F66" w:rsidRPr="00E05188" w:rsidRDefault="00435F66" w:rsidP="00435F66">
      <w:pPr>
        <w:pStyle w:val="CETBodytext"/>
        <w:rPr>
          <w:lang w:val="en-GB"/>
        </w:rPr>
      </w:pPr>
      <w:r w:rsidRPr="00435F66">
        <w:rPr>
          <w:lang w:val="en-GB"/>
        </w:rPr>
        <w:t>I</w:t>
      </w:r>
      <w:r w:rsidR="00B67848">
        <w:rPr>
          <w:lang w:val="en-GB"/>
        </w:rPr>
        <w:t xml:space="preserve">n the frame of </w:t>
      </w:r>
      <w:r w:rsidR="008518F0">
        <w:rPr>
          <w:lang w:val="en-GB"/>
        </w:rPr>
        <w:t>PHA production</w:t>
      </w:r>
      <w:r w:rsidR="00B67848">
        <w:rPr>
          <w:lang w:val="en-GB"/>
        </w:rPr>
        <w:t xml:space="preserve"> by MMC</w:t>
      </w:r>
      <w:r w:rsidRPr="00435F66">
        <w:rPr>
          <w:lang w:val="en-GB"/>
        </w:rPr>
        <w:t>, th</w:t>
      </w:r>
      <w:r w:rsidR="008518F0">
        <w:rPr>
          <w:lang w:val="en-GB"/>
        </w:rPr>
        <w:t>e</w:t>
      </w:r>
      <w:r w:rsidR="00B67848">
        <w:rPr>
          <w:lang w:val="en-GB"/>
        </w:rPr>
        <w:t xml:space="preserve"> fermentation process</w:t>
      </w:r>
      <w:r w:rsidRPr="00435F66">
        <w:rPr>
          <w:lang w:val="en-GB"/>
        </w:rPr>
        <w:t xml:space="preserve"> must be performed </w:t>
      </w:r>
      <w:r w:rsidR="00B67848">
        <w:rPr>
          <w:lang w:val="en-GB"/>
        </w:rPr>
        <w:t>in order to maximize the</w:t>
      </w:r>
      <w:r w:rsidRPr="00435F66">
        <w:rPr>
          <w:lang w:val="en-GB"/>
        </w:rPr>
        <w:t xml:space="preserve"> </w:t>
      </w:r>
      <w:r w:rsidR="00B67848">
        <w:rPr>
          <w:lang w:val="en-GB"/>
        </w:rPr>
        <w:t>COD</w:t>
      </w:r>
      <w:r w:rsidRPr="00B67848">
        <w:rPr>
          <w:vertAlign w:val="subscript"/>
          <w:lang w:val="en-GB"/>
        </w:rPr>
        <w:t>VFA</w:t>
      </w:r>
      <w:r w:rsidRPr="00435F66">
        <w:rPr>
          <w:lang w:val="en-GB"/>
        </w:rPr>
        <w:t>/COD</w:t>
      </w:r>
      <w:r w:rsidRPr="00B67848">
        <w:rPr>
          <w:vertAlign w:val="subscript"/>
          <w:lang w:val="en-GB"/>
        </w:rPr>
        <w:t>SOL</w:t>
      </w:r>
      <w:r w:rsidRPr="00435F66">
        <w:rPr>
          <w:lang w:val="en-GB"/>
        </w:rPr>
        <w:t xml:space="preserve"> ratio</w:t>
      </w:r>
      <w:r w:rsidR="00B67848">
        <w:rPr>
          <w:lang w:val="en-GB"/>
        </w:rPr>
        <w:t xml:space="preserve">, since the presence of </w:t>
      </w:r>
      <w:proofErr w:type="gramStart"/>
      <w:r w:rsidR="00B67848">
        <w:rPr>
          <w:lang w:val="en-GB"/>
        </w:rPr>
        <w:t>non VFA</w:t>
      </w:r>
      <w:proofErr w:type="gramEnd"/>
      <w:r w:rsidR="00B67848">
        <w:rPr>
          <w:lang w:val="en-GB"/>
        </w:rPr>
        <w:t xml:space="preserve"> solubilized COD may affect the following aerobic selective pressure (Valentino et al., 2017).</w:t>
      </w:r>
      <w:r w:rsidRPr="00435F66">
        <w:rPr>
          <w:lang w:val="en-GB"/>
        </w:rPr>
        <w:t xml:space="preserve"> </w:t>
      </w:r>
      <w:r w:rsidR="00B67848">
        <w:rPr>
          <w:lang w:val="en-GB"/>
        </w:rPr>
        <w:t xml:space="preserve">Moreover, </w:t>
      </w:r>
      <w:r w:rsidRPr="00435F66">
        <w:rPr>
          <w:lang w:val="en-GB"/>
        </w:rPr>
        <w:t>the VFA distribution must remain as stable as possible during the entire operation</w:t>
      </w:r>
      <w:r w:rsidR="00B67848">
        <w:rPr>
          <w:lang w:val="en-GB"/>
        </w:rPr>
        <w:t xml:space="preserve"> since</w:t>
      </w:r>
      <w:r w:rsidRPr="00435F66">
        <w:rPr>
          <w:lang w:val="en-GB"/>
        </w:rPr>
        <w:t xml:space="preserve"> a stable VFA spectrum implies a </w:t>
      </w:r>
      <w:r w:rsidR="00B67848">
        <w:rPr>
          <w:lang w:val="en-GB"/>
        </w:rPr>
        <w:t>r</w:t>
      </w:r>
      <w:r w:rsidRPr="00435F66">
        <w:rPr>
          <w:lang w:val="en-GB"/>
        </w:rPr>
        <w:t xml:space="preserve">eproducible PHA monomers </w:t>
      </w:r>
      <w:r w:rsidR="00B67848">
        <w:rPr>
          <w:lang w:val="en-GB"/>
        </w:rPr>
        <w:t>microbial synthesis</w:t>
      </w:r>
      <w:r w:rsidRPr="00435F66">
        <w:rPr>
          <w:lang w:val="en-GB"/>
        </w:rPr>
        <w:t xml:space="preserve"> and</w:t>
      </w:r>
      <w:r w:rsidR="00B67848">
        <w:rPr>
          <w:lang w:val="en-GB"/>
        </w:rPr>
        <w:t xml:space="preserve"> </w:t>
      </w:r>
      <w:r w:rsidRPr="00E05188">
        <w:rPr>
          <w:lang w:val="en-GB"/>
        </w:rPr>
        <w:t xml:space="preserve">a </w:t>
      </w:r>
      <w:r w:rsidR="00B67848" w:rsidRPr="00E05188">
        <w:rPr>
          <w:lang w:val="en-GB"/>
        </w:rPr>
        <w:t xml:space="preserve">certain </w:t>
      </w:r>
      <w:r w:rsidRPr="00E05188">
        <w:rPr>
          <w:lang w:val="en-GB"/>
        </w:rPr>
        <w:t>stability in physical and mechanical PHA properties</w:t>
      </w:r>
      <w:r w:rsidR="00024F05" w:rsidRPr="00E05188">
        <w:rPr>
          <w:lang w:val="en-GB"/>
        </w:rPr>
        <w:t xml:space="preserve"> (Morgan-</w:t>
      </w:r>
      <w:proofErr w:type="spellStart"/>
      <w:r w:rsidR="00024F05" w:rsidRPr="00E05188">
        <w:rPr>
          <w:lang w:val="en-GB"/>
        </w:rPr>
        <w:t>Sagastume</w:t>
      </w:r>
      <w:proofErr w:type="spellEnd"/>
      <w:r w:rsidR="00024F05" w:rsidRPr="00E05188">
        <w:rPr>
          <w:lang w:val="en-GB"/>
        </w:rPr>
        <w:t xml:space="preserve"> et al., 2015)</w:t>
      </w:r>
      <w:r w:rsidR="00B67848" w:rsidRPr="00E05188">
        <w:rPr>
          <w:lang w:val="en-GB"/>
        </w:rPr>
        <w:t>.</w:t>
      </w:r>
      <w:r w:rsidRPr="00E05188">
        <w:rPr>
          <w:lang w:val="en-GB"/>
        </w:rPr>
        <w:t xml:space="preserve"> </w:t>
      </w:r>
    </w:p>
    <w:p w14:paraId="11EBD201" w14:textId="03E57513" w:rsidR="00435F66" w:rsidRPr="00435F66" w:rsidRDefault="00182579" w:rsidP="00435F66">
      <w:pPr>
        <w:pStyle w:val="CETBodytext"/>
        <w:rPr>
          <w:lang w:val="en-GB"/>
        </w:rPr>
      </w:pPr>
      <w:r w:rsidRPr="00E05188">
        <w:rPr>
          <w:lang w:val="en-GB"/>
        </w:rPr>
        <w:t>The pH fermentation value was maintained between 5.</w:t>
      </w:r>
      <w:r w:rsidR="00B20801" w:rsidRPr="00E05188">
        <w:rPr>
          <w:lang w:val="en-GB"/>
        </w:rPr>
        <w:t>0</w:t>
      </w:r>
      <w:r w:rsidRPr="00E05188">
        <w:rPr>
          <w:lang w:val="en-GB"/>
        </w:rPr>
        <w:t xml:space="preserve"> - 5.</w:t>
      </w:r>
      <w:r w:rsidR="00B20801" w:rsidRPr="00E05188">
        <w:rPr>
          <w:lang w:val="en-GB"/>
        </w:rPr>
        <w:t>5</w:t>
      </w:r>
      <w:r w:rsidRPr="00E05188">
        <w:rPr>
          <w:lang w:val="en-GB"/>
        </w:rPr>
        <w:t xml:space="preserve"> u</w:t>
      </w:r>
      <w:r w:rsidR="00435F66" w:rsidRPr="00E05188">
        <w:rPr>
          <w:lang w:val="en-GB"/>
        </w:rPr>
        <w:t>nder a pH-controlled fermentation strategy</w:t>
      </w:r>
      <w:r w:rsidR="00B20801" w:rsidRPr="00E05188">
        <w:rPr>
          <w:lang w:val="en-GB"/>
        </w:rPr>
        <w:t xml:space="preserve">: the recirculation of </w:t>
      </w:r>
      <w:proofErr w:type="spellStart"/>
      <w:r w:rsidR="00B20801" w:rsidRPr="00E05188">
        <w:rPr>
          <w:lang w:val="en-GB"/>
        </w:rPr>
        <w:t>digestate</w:t>
      </w:r>
      <w:proofErr w:type="spellEnd"/>
      <w:r w:rsidR="00B20801" w:rsidRPr="00E05188">
        <w:rPr>
          <w:lang w:val="en-GB"/>
        </w:rPr>
        <w:t xml:space="preserve"> (as described in Valentino et al., 2018) increased the alkalinity of the fermented feedstock (2.8 ± 0.2 gCaCO</w:t>
      </w:r>
      <w:r w:rsidR="00B20801" w:rsidRPr="00E05188">
        <w:rPr>
          <w:vertAlign w:val="subscript"/>
          <w:lang w:val="en-GB"/>
        </w:rPr>
        <w:t>3</w:t>
      </w:r>
      <w:r w:rsidR="00B20801" w:rsidRPr="00E05188">
        <w:rPr>
          <w:lang w:val="en-GB"/>
        </w:rPr>
        <w:t>/L at pH</w:t>
      </w:r>
      <w:r w:rsidR="00B20801" w:rsidRPr="00D70002">
        <w:rPr>
          <w:lang w:val="en-GB"/>
        </w:rPr>
        <w:t xml:space="preserve"> 5.75</w:t>
      </w:r>
      <w:r w:rsidR="00B20801" w:rsidRPr="00435F66">
        <w:rPr>
          <w:lang w:val="en-GB"/>
        </w:rPr>
        <w:t>)</w:t>
      </w:r>
      <w:r w:rsidR="00B20801">
        <w:rPr>
          <w:lang w:val="en-GB"/>
        </w:rPr>
        <w:t xml:space="preserve">, </w:t>
      </w:r>
      <w:r w:rsidR="00B20801" w:rsidRPr="00435F66">
        <w:rPr>
          <w:lang w:val="en-GB"/>
        </w:rPr>
        <w:t xml:space="preserve">avoiding a pH decrease </w:t>
      </w:r>
      <w:r w:rsidR="00B20801">
        <w:rPr>
          <w:lang w:val="en-GB"/>
        </w:rPr>
        <w:t xml:space="preserve">and </w:t>
      </w:r>
      <w:r w:rsidR="00435F66" w:rsidRPr="00435F66">
        <w:rPr>
          <w:lang w:val="en-GB"/>
        </w:rPr>
        <w:t>exclud</w:t>
      </w:r>
      <w:r w:rsidR="00B20801">
        <w:rPr>
          <w:lang w:val="en-GB"/>
        </w:rPr>
        <w:t>ing</w:t>
      </w:r>
      <w:r w:rsidR="00435F66" w:rsidRPr="00435F66">
        <w:rPr>
          <w:lang w:val="en-GB"/>
        </w:rPr>
        <w:t xml:space="preserve"> the necessity of </w:t>
      </w:r>
      <w:r w:rsidR="00B20801">
        <w:rPr>
          <w:lang w:val="en-GB"/>
        </w:rPr>
        <w:t>chemicals</w:t>
      </w:r>
      <w:r w:rsidR="00435F66" w:rsidRPr="00435F66">
        <w:rPr>
          <w:lang w:val="en-GB"/>
        </w:rPr>
        <w:t xml:space="preserve"> addition </w:t>
      </w:r>
      <w:r w:rsidR="00B20801">
        <w:rPr>
          <w:lang w:val="en-GB"/>
        </w:rPr>
        <w:t>for pH control</w:t>
      </w:r>
      <w:r w:rsidR="00435F66" w:rsidRPr="00435F66">
        <w:rPr>
          <w:lang w:val="en-GB"/>
        </w:rPr>
        <w:t>.</w:t>
      </w:r>
    </w:p>
    <w:p w14:paraId="1EE436CC" w14:textId="485A07C6" w:rsidR="00435F66" w:rsidRPr="00435F66" w:rsidRDefault="0002772A" w:rsidP="00435F66">
      <w:pPr>
        <w:pStyle w:val="CETBodytext"/>
        <w:rPr>
          <w:lang w:val="en-GB"/>
        </w:rPr>
      </w:pPr>
      <w:r>
        <w:rPr>
          <w:lang w:val="en-GB"/>
        </w:rPr>
        <w:t>Process stability in terms of VFA production was achieved n</w:t>
      </w:r>
      <w:r w:rsidR="00435F66" w:rsidRPr="00435F66">
        <w:rPr>
          <w:lang w:val="en-GB"/>
        </w:rPr>
        <w:t xml:space="preserve">early </w:t>
      </w:r>
      <w:r>
        <w:rPr>
          <w:lang w:val="en-GB"/>
        </w:rPr>
        <w:t xml:space="preserve">in </w:t>
      </w:r>
      <w:r w:rsidR="00435F66" w:rsidRPr="00435F66">
        <w:rPr>
          <w:lang w:val="en-GB"/>
        </w:rPr>
        <w:t>two weeks of operation (approximately 4.</w:t>
      </w:r>
      <w:r>
        <w:rPr>
          <w:lang w:val="en-GB"/>
        </w:rPr>
        <w:t>0</w:t>
      </w:r>
      <w:r w:rsidR="00435F66" w:rsidRPr="00435F66">
        <w:rPr>
          <w:lang w:val="en-GB"/>
        </w:rPr>
        <w:t xml:space="preserve"> HRTs)</w:t>
      </w:r>
      <w:r>
        <w:rPr>
          <w:lang w:val="en-GB"/>
        </w:rPr>
        <w:t>. The VFA production started immediately and it achieved a maximum peak</w:t>
      </w:r>
      <w:r w:rsidR="00435F66" w:rsidRPr="00435F66">
        <w:rPr>
          <w:lang w:val="en-GB"/>
        </w:rPr>
        <w:t xml:space="preserve"> </w:t>
      </w:r>
      <w:r>
        <w:rPr>
          <w:lang w:val="en-GB"/>
        </w:rPr>
        <w:t>(22.3 g COD</w:t>
      </w:r>
      <w:r w:rsidRPr="0002772A">
        <w:rPr>
          <w:vertAlign w:val="subscript"/>
          <w:lang w:val="en-GB"/>
        </w:rPr>
        <w:t>VFA</w:t>
      </w:r>
      <w:r>
        <w:rPr>
          <w:lang w:val="en-GB"/>
        </w:rPr>
        <w:t xml:space="preserve">/L) at day 9 (2.7 HRTs). Under steady state, the fermented stream exhibited a </w:t>
      </w:r>
      <w:r w:rsidRPr="00435F66">
        <w:rPr>
          <w:lang w:val="en-GB"/>
        </w:rPr>
        <w:t xml:space="preserve">VFA concentration </w:t>
      </w:r>
      <w:r>
        <w:rPr>
          <w:lang w:val="en-GB"/>
        </w:rPr>
        <w:t xml:space="preserve">of </w:t>
      </w:r>
      <w:r w:rsidRPr="00435F66">
        <w:rPr>
          <w:lang w:val="en-GB"/>
        </w:rPr>
        <w:t>16.</w:t>
      </w:r>
      <w:r>
        <w:rPr>
          <w:lang w:val="en-GB"/>
        </w:rPr>
        <w:t>2</w:t>
      </w:r>
      <w:r w:rsidRPr="00435F66">
        <w:rPr>
          <w:lang w:val="en-GB"/>
        </w:rPr>
        <w:t xml:space="preserve"> ± 0.</w:t>
      </w:r>
      <w:r>
        <w:rPr>
          <w:lang w:val="en-GB"/>
        </w:rPr>
        <w:t>5</w:t>
      </w:r>
      <w:r w:rsidRPr="00435F66">
        <w:rPr>
          <w:lang w:val="en-GB"/>
        </w:rPr>
        <w:t xml:space="preserve"> g</w:t>
      </w:r>
      <w:r>
        <w:rPr>
          <w:lang w:val="en-GB"/>
        </w:rPr>
        <w:t xml:space="preserve"> </w:t>
      </w:r>
      <w:r w:rsidRPr="00435F66">
        <w:rPr>
          <w:lang w:val="en-GB"/>
        </w:rPr>
        <w:t>COD/L</w:t>
      </w:r>
      <w:r>
        <w:rPr>
          <w:lang w:val="en-GB"/>
        </w:rPr>
        <w:t xml:space="preserve">, with an </w:t>
      </w:r>
      <w:r w:rsidRPr="00435F66">
        <w:rPr>
          <w:lang w:val="en-GB"/>
        </w:rPr>
        <w:t>average VFA/COD</w:t>
      </w:r>
      <w:r w:rsidRPr="0002772A">
        <w:rPr>
          <w:vertAlign w:val="subscript"/>
          <w:lang w:val="en-GB"/>
        </w:rPr>
        <w:t>SOL</w:t>
      </w:r>
      <w:r w:rsidRPr="00435F66">
        <w:rPr>
          <w:lang w:val="en-GB"/>
        </w:rPr>
        <w:t xml:space="preserve"> ratio </w:t>
      </w:r>
      <w:r>
        <w:rPr>
          <w:lang w:val="en-GB"/>
        </w:rPr>
        <w:t>of</w:t>
      </w:r>
      <w:r w:rsidRPr="00435F66">
        <w:rPr>
          <w:lang w:val="en-GB"/>
        </w:rPr>
        <w:t xml:space="preserve"> 0.9</w:t>
      </w:r>
      <w:r>
        <w:rPr>
          <w:lang w:val="en-GB"/>
        </w:rPr>
        <w:t>0</w:t>
      </w:r>
      <w:r w:rsidRPr="00435F66">
        <w:rPr>
          <w:lang w:val="en-GB"/>
        </w:rPr>
        <w:t xml:space="preserve"> ± 0.0</w:t>
      </w:r>
      <w:r>
        <w:rPr>
          <w:lang w:val="en-GB"/>
        </w:rPr>
        <w:t>2</w:t>
      </w:r>
      <w:r w:rsidRPr="00435F66">
        <w:rPr>
          <w:lang w:val="en-GB"/>
        </w:rPr>
        <w:t>, a</w:t>
      </w:r>
      <w:r>
        <w:rPr>
          <w:lang w:val="en-GB"/>
        </w:rPr>
        <w:t xml:space="preserve">lmost six times higher than </w:t>
      </w:r>
      <w:r w:rsidRPr="00435F66">
        <w:rPr>
          <w:lang w:val="en-GB"/>
        </w:rPr>
        <w:t>initial value (0.16 ± 0.09).</w:t>
      </w:r>
      <w:r w:rsidR="00F76C57">
        <w:rPr>
          <w:lang w:val="en-GB"/>
        </w:rPr>
        <w:t xml:space="preserve"> </w:t>
      </w:r>
      <w:r w:rsidR="007765AF">
        <w:rPr>
          <w:lang w:val="en-GB"/>
        </w:rPr>
        <w:t xml:space="preserve">The COD solubilisation and VFA yield were affected by low fluctuations, consistently to what has been observed on VFA quantification. </w:t>
      </w:r>
      <w:r w:rsidR="005B2007">
        <w:rPr>
          <w:lang w:val="en-GB"/>
        </w:rPr>
        <w:t>Under steady state, t</w:t>
      </w:r>
      <w:r w:rsidR="007765AF">
        <w:rPr>
          <w:lang w:val="en-GB"/>
        </w:rPr>
        <w:t>he</w:t>
      </w:r>
      <w:r w:rsidR="00435F66" w:rsidRPr="00435F66">
        <w:rPr>
          <w:lang w:val="en-GB"/>
        </w:rPr>
        <w:t xml:space="preserve"> COD </w:t>
      </w:r>
      <w:proofErr w:type="spellStart"/>
      <w:r w:rsidR="00435F66" w:rsidRPr="00435F66">
        <w:rPr>
          <w:lang w:val="en-GB"/>
        </w:rPr>
        <w:t>solubilization</w:t>
      </w:r>
      <w:proofErr w:type="spellEnd"/>
      <w:r w:rsidR="00435F66" w:rsidRPr="00435F66">
        <w:rPr>
          <w:lang w:val="en-GB"/>
        </w:rPr>
        <w:t xml:space="preserve"> </w:t>
      </w:r>
      <w:r w:rsidR="005B2007">
        <w:rPr>
          <w:lang w:val="en-GB"/>
        </w:rPr>
        <w:t xml:space="preserve">was </w:t>
      </w:r>
      <w:r w:rsidR="00435F66" w:rsidRPr="00435F66">
        <w:rPr>
          <w:lang w:val="en-GB"/>
        </w:rPr>
        <w:t>0.2</w:t>
      </w:r>
      <w:r w:rsidR="005B2007">
        <w:rPr>
          <w:lang w:val="en-GB"/>
        </w:rPr>
        <w:t>1</w:t>
      </w:r>
      <w:r w:rsidR="00435F66" w:rsidRPr="00435F66">
        <w:rPr>
          <w:lang w:val="en-GB"/>
        </w:rPr>
        <w:t xml:space="preserve"> ± 0.0</w:t>
      </w:r>
      <w:r w:rsidR="005B2007">
        <w:rPr>
          <w:lang w:val="en-GB"/>
        </w:rPr>
        <w:t>2</w:t>
      </w:r>
      <w:r w:rsidR="00435F66" w:rsidRPr="00435F66">
        <w:rPr>
          <w:lang w:val="en-GB"/>
        </w:rPr>
        <w:t xml:space="preserve"> COD</w:t>
      </w:r>
      <w:r w:rsidR="00435F66" w:rsidRPr="005B2007">
        <w:rPr>
          <w:vertAlign w:val="subscript"/>
          <w:lang w:val="en-GB"/>
        </w:rPr>
        <w:t>SOL</w:t>
      </w:r>
      <w:r w:rsidR="00435F66" w:rsidRPr="00435F66">
        <w:rPr>
          <w:lang w:val="en-GB"/>
        </w:rPr>
        <w:t>/COD</w:t>
      </w:r>
      <w:r w:rsidR="005B2007" w:rsidRPr="005B2007">
        <w:rPr>
          <w:vertAlign w:val="subscript"/>
          <w:lang w:val="en-GB"/>
        </w:rPr>
        <w:t>TOT</w:t>
      </w:r>
      <w:r w:rsidR="005B2007">
        <w:rPr>
          <w:lang w:val="en-GB"/>
        </w:rPr>
        <w:t>; the fermentation</w:t>
      </w:r>
      <w:r w:rsidR="00435F66" w:rsidRPr="00435F66">
        <w:rPr>
          <w:lang w:val="en-GB"/>
        </w:rPr>
        <w:t xml:space="preserve"> yield </w:t>
      </w:r>
      <w:r w:rsidR="005B2007">
        <w:rPr>
          <w:lang w:val="en-GB"/>
        </w:rPr>
        <w:t>was 0.45 COD</w:t>
      </w:r>
      <w:r w:rsidR="005B2007" w:rsidRPr="005B2007">
        <w:rPr>
          <w:vertAlign w:val="subscript"/>
          <w:lang w:val="en-GB"/>
        </w:rPr>
        <w:t>VFA</w:t>
      </w:r>
      <w:r w:rsidR="005B2007">
        <w:rPr>
          <w:lang w:val="en-GB"/>
        </w:rPr>
        <w:t xml:space="preserve">/VS and </w:t>
      </w:r>
      <w:r w:rsidR="00435F66" w:rsidRPr="00435F66">
        <w:rPr>
          <w:lang w:val="en-GB"/>
        </w:rPr>
        <w:t>0.3</w:t>
      </w:r>
      <w:r w:rsidR="005B2007">
        <w:rPr>
          <w:lang w:val="en-GB"/>
        </w:rPr>
        <w:t>0</w:t>
      </w:r>
      <w:r w:rsidR="00435F66" w:rsidRPr="00435F66">
        <w:rPr>
          <w:lang w:val="en-GB"/>
        </w:rPr>
        <w:t xml:space="preserve"> ± 0.02 COD</w:t>
      </w:r>
      <w:r w:rsidR="00435F66" w:rsidRPr="005B2007">
        <w:rPr>
          <w:vertAlign w:val="subscript"/>
          <w:lang w:val="en-GB"/>
        </w:rPr>
        <w:t>VFA</w:t>
      </w:r>
      <w:r w:rsidR="00435F66" w:rsidRPr="00435F66">
        <w:rPr>
          <w:lang w:val="en-GB"/>
        </w:rPr>
        <w:t>/COD</w:t>
      </w:r>
      <w:r w:rsidR="005B2007" w:rsidRPr="005B2007">
        <w:rPr>
          <w:vertAlign w:val="subscript"/>
          <w:lang w:val="en-GB"/>
        </w:rPr>
        <w:t>TOT</w:t>
      </w:r>
      <w:r w:rsidR="005B2007">
        <w:rPr>
          <w:lang w:val="en-GB"/>
        </w:rPr>
        <w:t>, respectively on volatile solids and total COD.</w:t>
      </w:r>
      <w:r w:rsidR="00435F66" w:rsidRPr="00435F66">
        <w:rPr>
          <w:lang w:val="en-GB"/>
        </w:rPr>
        <w:t xml:space="preserve"> </w:t>
      </w:r>
    </w:p>
    <w:p w14:paraId="3417000F" w14:textId="0740F72F" w:rsidR="00435F66" w:rsidRPr="00435F66" w:rsidRDefault="005B2007" w:rsidP="00435F66">
      <w:pPr>
        <w:pStyle w:val="CETBodytext"/>
        <w:rPr>
          <w:lang w:val="en-GB"/>
        </w:rPr>
      </w:pPr>
      <w:proofErr w:type="gramStart"/>
      <w:r>
        <w:rPr>
          <w:lang w:val="en-GB"/>
        </w:rPr>
        <w:t>The</w:t>
      </w:r>
      <w:r w:rsidR="00435F66" w:rsidRPr="00435F66">
        <w:rPr>
          <w:lang w:val="en-GB"/>
        </w:rPr>
        <w:t xml:space="preserve"> VFA </w:t>
      </w:r>
      <w:r>
        <w:rPr>
          <w:lang w:val="en-GB"/>
        </w:rPr>
        <w:t>composition of</w:t>
      </w:r>
      <w:r w:rsidR="00435F66" w:rsidRPr="00435F66">
        <w:rPr>
          <w:lang w:val="en-GB"/>
        </w:rPr>
        <w:t xml:space="preserve"> the fermented stream was primarily </w:t>
      </w:r>
      <w:r>
        <w:rPr>
          <w:lang w:val="en-GB"/>
        </w:rPr>
        <w:t>dominated</w:t>
      </w:r>
      <w:r w:rsidR="00435F66" w:rsidRPr="00435F66">
        <w:rPr>
          <w:lang w:val="en-GB"/>
        </w:rPr>
        <w:t xml:space="preserve"> </w:t>
      </w:r>
      <w:r>
        <w:rPr>
          <w:lang w:val="en-GB"/>
        </w:rPr>
        <w:t>by</w:t>
      </w:r>
      <w:r w:rsidR="00435F66" w:rsidRPr="00435F66">
        <w:rPr>
          <w:lang w:val="en-GB"/>
        </w:rPr>
        <w:t xml:space="preserve"> butyric (</w:t>
      </w:r>
      <w:r>
        <w:rPr>
          <w:lang w:val="en-GB"/>
        </w:rPr>
        <w:t>37</w:t>
      </w:r>
      <w:r w:rsidR="00435F66" w:rsidRPr="00435F66">
        <w:rPr>
          <w:lang w:val="en-GB"/>
        </w:rPr>
        <w:t>.</w:t>
      </w:r>
      <w:r>
        <w:rPr>
          <w:lang w:val="en-GB"/>
        </w:rPr>
        <w:t>2</w:t>
      </w:r>
      <w:r w:rsidR="00435F66" w:rsidRPr="00435F66">
        <w:rPr>
          <w:lang w:val="en-GB"/>
        </w:rPr>
        <w:t xml:space="preserve"> ± 0.</w:t>
      </w:r>
      <w:r>
        <w:rPr>
          <w:lang w:val="en-GB"/>
        </w:rPr>
        <w:t>4</w:t>
      </w:r>
      <w:r w:rsidR="00435F66" w:rsidRPr="00435F66">
        <w:rPr>
          <w:lang w:val="en-GB"/>
        </w:rPr>
        <w:t>% COD basis), acetic (2</w:t>
      </w:r>
      <w:r>
        <w:rPr>
          <w:lang w:val="en-GB"/>
        </w:rPr>
        <w:t>3</w:t>
      </w:r>
      <w:r w:rsidR="00435F66" w:rsidRPr="00435F66">
        <w:rPr>
          <w:lang w:val="en-GB"/>
        </w:rPr>
        <w:t>.</w:t>
      </w:r>
      <w:r>
        <w:rPr>
          <w:lang w:val="en-GB"/>
        </w:rPr>
        <w:t>4</w:t>
      </w:r>
      <w:r w:rsidR="00435F66" w:rsidRPr="00435F66">
        <w:rPr>
          <w:lang w:val="en-GB"/>
        </w:rPr>
        <w:t xml:space="preserve"> ± 0.</w:t>
      </w:r>
      <w:r>
        <w:rPr>
          <w:lang w:val="en-GB"/>
        </w:rPr>
        <w:t>3</w:t>
      </w:r>
      <w:r w:rsidR="00435F66" w:rsidRPr="00435F66">
        <w:rPr>
          <w:lang w:val="en-GB"/>
        </w:rPr>
        <w:t>%), propionic (1</w:t>
      </w:r>
      <w:r>
        <w:rPr>
          <w:lang w:val="en-GB"/>
        </w:rPr>
        <w:t>3</w:t>
      </w:r>
      <w:r w:rsidR="00435F66" w:rsidRPr="00435F66">
        <w:rPr>
          <w:lang w:val="en-GB"/>
        </w:rPr>
        <w:t>.</w:t>
      </w:r>
      <w:r>
        <w:rPr>
          <w:lang w:val="en-GB"/>
        </w:rPr>
        <w:t>2</w:t>
      </w:r>
      <w:r w:rsidR="00435F66" w:rsidRPr="00435F66">
        <w:rPr>
          <w:lang w:val="en-GB"/>
        </w:rPr>
        <w:t xml:space="preserve"> ± 0.</w:t>
      </w:r>
      <w:r>
        <w:rPr>
          <w:lang w:val="en-GB"/>
        </w:rPr>
        <w:t>2</w:t>
      </w:r>
      <w:r w:rsidR="00435F66" w:rsidRPr="00435F66">
        <w:rPr>
          <w:lang w:val="en-GB"/>
        </w:rPr>
        <w:t xml:space="preserve">%), </w:t>
      </w:r>
      <w:proofErr w:type="spellStart"/>
      <w:r w:rsidR="00435F66" w:rsidRPr="00435F66">
        <w:rPr>
          <w:lang w:val="en-GB"/>
        </w:rPr>
        <w:t>valeric</w:t>
      </w:r>
      <w:proofErr w:type="spellEnd"/>
      <w:r w:rsidR="00435F66" w:rsidRPr="00435F66">
        <w:rPr>
          <w:lang w:val="en-GB"/>
        </w:rPr>
        <w:t xml:space="preserve"> (1</w:t>
      </w:r>
      <w:r>
        <w:rPr>
          <w:lang w:val="en-GB"/>
        </w:rPr>
        <w:t>0</w:t>
      </w:r>
      <w:r w:rsidR="00435F66" w:rsidRPr="00435F66">
        <w:rPr>
          <w:lang w:val="en-GB"/>
        </w:rPr>
        <w:t>.</w:t>
      </w:r>
      <w:r>
        <w:rPr>
          <w:lang w:val="en-GB"/>
        </w:rPr>
        <w:t>9</w:t>
      </w:r>
      <w:r w:rsidR="00435F66" w:rsidRPr="00435F66">
        <w:rPr>
          <w:lang w:val="en-GB"/>
        </w:rPr>
        <w:t xml:space="preserve"> ± 0.5%) and </w:t>
      </w:r>
      <w:proofErr w:type="spellStart"/>
      <w:r w:rsidR="00435F66" w:rsidRPr="00435F66">
        <w:rPr>
          <w:lang w:val="en-GB"/>
        </w:rPr>
        <w:t>caproic</w:t>
      </w:r>
      <w:proofErr w:type="spellEnd"/>
      <w:r w:rsidR="00435F66" w:rsidRPr="00435F66">
        <w:rPr>
          <w:lang w:val="en-GB"/>
        </w:rPr>
        <w:t xml:space="preserve"> (</w:t>
      </w:r>
      <w:r>
        <w:rPr>
          <w:lang w:val="en-GB"/>
        </w:rPr>
        <w:t>9</w:t>
      </w:r>
      <w:r w:rsidR="00435F66" w:rsidRPr="00435F66">
        <w:rPr>
          <w:lang w:val="en-GB"/>
        </w:rPr>
        <w:t>.</w:t>
      </w:r>
      <w:r>
        <w:rPr>
          <w:lang w:val="en-GB"/>
        </w:rPr>
        <w:t>6</w:t>
      </w:r>
      <w:r w:rsidR="00435F66" w:rsidRPr="00435F66">
        <w:rPr>
          <w:lang w:val="en-GB"/>
        </w:rPr>
        <w:t xml:space="preserve"> ± 0.1%) acids</w:t>
      </w:r>
      <w:proofErr w:type="gramEnd"/>
      <w:r w:rsidR="00435F66" w:rsidRPr="00435F66">
        <w:rPr>
          <w:lang w:val="en-GB"/>
        </w:rPr>
        <w:t xml:space="preserve">. Lower levels of </w:t>
      </w:r>
      <w:proofErr w:type="spellStart"/>
      <w:r w:rsidR="00435F66" w:rsidRPr="00435F66">
        <w:rPr>
          <w:lang w:val="en-GB"/>
        </w:rPr>
        <w:t>isobutyric</w:t>
      </w:r>
      <w:proofErr w:type="spellEnd"/>
      <w:r w:rsidR="00435F66" w:rsidRPr="00435F66">
        <w:rPr>
          <w:lang w:val="en-GB"/>
        </w:rPr>
        <w:t xml:space="preserve"> (3.</w:t>
      </w:r>
      <w:r>
        <w:rPr>
          <w:lang w:val="en-GB"/>
        </w:rPr>
        <w:t>56</w:t>
      </w:r>
      <w:r w:rsidR="00435F66" w:rsidRPr="00435F66">
        <w:rPr>
          <w:lang w:val="en-GB"/>
        </w:rPr>
        <w:t xml:space="preserve"> ± 0.0</w:t>
      </w:r>
      <w:r>
        <w:rPr>
          <w:lang w:val="en-GB"/>
        </w:rPr>
        <w:t>7</w:t>
      </w:r>
      <w:r w:rsidR="00435F66" w:rsidRPr="00435F66">
        <w:rPr>
          <w:lang w:val="en-GB"/>
        </w:rPr>
        <w:t xml:space="preserve">%), </w:t>
      </w:r>
      <w:proofErr w:type="spellStart"/>
      <w:r w:rsidR="00435F66" w:rsidRPr="00435F66">
        <w:rPr>
          <w:lang w:val="en-GB"/>
        </w:rPr>
        <w:t>isovaleric</w:t>
      </w:r>
      <w:proofErr w:type="spellEnd"/>
      <w:r w:rsidR="00435F66" w:rsidRPr="00435F66">
        <w:rPr>
          <w:lang w:val="en-GB"/>
        </w:rPr>
        <w:t xml:space="preserve"> (1.</w:t>
      </w:r>
      <w:r>
        <w:rPr>
          <w:lang w:val="en-GB"/>
        </w:rPr>
        <w:t>44</w:t>
      </w:r>
      <w:r w:rsidR="00435F66" w:rsidRPr="00435F66">
        <w:rPr>
          <w:lang w:val="en-GB"/>
        </w:rPr>
        <w:t xml:space="preserve"> ± 0.0</w:t>
      </w:r>
      <w:r>
        <w:rPr>
          <w:lang w:val="en-GB"/>
        </w:rPr>
        <w:t>6</w:t>
      </w:r>
      <w:r w:rsidR="00435F66" w:rsidRPr="00435F66">
        <w:rPr>
          <w:lang w:val="en-GB"/>
        </w:rPr>
        <w:t xml:space="preserve">%) and </w:t>
      </w:r>
      <w:proofErr w:type="spellStart"/>
      <w:r w:rsidR="00435F66" w:rsidRPr="00435F66">
        <w:rPr>
          <w:lang w:val="en-GB"/>
        </w:rPr>
        <w:t>isocaproic</w:t>
      </w:r>
      <w:proofErr w:type="spellEnd"/>
      <w:r w:rsidR="00435F66" w:rsidRPr="00435F66">
        <w:rPr>
          <w:lang w:val="en-GB"/>
        </w:rPr>
        <w:t xml:space="preserve"> (0.7</w:t>
      </w:r>
      <w:r>
        <w:rPr>
          <w:lang w:val="en-GB"/>
        </w:rPr>
        <w:t>0</w:t>
      </w:r>
      <w:r w:rsidR="00435F66" w:rsidRPr="00435F66">
        <w:rPr>
          <w:lang w:val="en-GB"/>
        </w:rPr>
        <w:t xml:space="preserve"> ± 0.04%) acids were also </w:t>
      </w:r>
      <w:r w:rsidR="00CF1423">
        <w:rPr>
          <w:lang w:val="en-GB"/>
        </w:rPr>
        <w:t>revealed</w:t>
      </w:r>
      <w:r w:rsidR="00435F66" w:rsidRPr="00435F66">
        <w:rPr>
          <w:lang w:val="en-GB"/>
        </w:rPr>
        <w:t xml:space="preserve">. </w:t>
      </w:r>
      <w:r w:rsidR="00CF1423">
        <w:rPr>
          <w:lang w:val="en-GB"/>
        </w:rPr>
        <w:t>Indeed</w:t>
      </w:r>
      <w:r>
        <w:rPr>
          <w:lang w:val="en-GB"/>
        </w:rPr>
        <w:t xml:space="preserve">, </w:t>
      </w:r>
      <w:r w:rsidR="00CF1423">
        <w:rPr>
          <w:lang w:val="en-GB"/>
        </w:rPr>
        <w:t xml:space="preserve">the </w:t>
      </w:r>
      <w:r w:rsidR="00435F66" w:rsidRPr="00435F66">
        <w:rPr>
          <w:lang w:val="en-GB"/>
        </w:rPr>
        <w:t xml:space="preserve">prevalence of </w:t>
      </w:r>
      <w:r w:rsidR="00CF1423">
        <w:rPr>
          <w:lang w:val="en-GB"/>
        </w:rPr>
        <w:t>VFA</w:t>
      </w:r>
      <w:r w:rsidR="00435F66" w:rsidRPr="00435F66">
        <w:rPr>
          <w:lang w:val="en-GB"/>
        </w:rPr>
        <w:t xml:space="preserve"> with </w:t>
      </w:r>
      <w:r w:rsidR="00CF1423">
        <w:rPr>
          <w:lang w:val="en-GB"/>
        </w:rPr>
        <w:t>even number C-</w:t>
      </w:r>
      <w:r w:rsidR="00CF1423" w:rsidRPr="00435F66">
        <w:rPr>
          <w:lang w:val="en-GB"/>
        </w:rPr>
        <w:t xml:space="preserve">atoms </w:t>
      </w:r>
      <w:r w:rsidR="00CF1423">
        <w:rPr>
          <w:lang w:val="en-GB"/>
        </w:rPr>
        <w:t>(especially butyric and acetic acid) was net compared to VFA with odd number C-</w:t>
      </w:r>
      <w:r w:rsidR="00CF1423" w:rsidRPr="00435F66">
        <w:rPr>
          <w:lang w:val="en-GB"/>
        </w:rPr>
        <w:t xml:space="preserve">atoms </w:t>
      </w:r>
      <w:r w:rsidR="00CF1423">
        <w:rPr>
          <w:lang w:val="en-GB"/>
        </w:rPr>
        <w:t xml:space="preserve">(propionic, </w:t>
      </w:r>
      <w:proofErr w:type="spellStart"/>
      <w:r w:rsidR="00CF1423">
        <w:rPr>
          <w:lang w:val="en-GB"/>
        </w:rPr>
        <w:t>valeric</w:t>
      </w:r>
      <w:proofErr w:type="spellEnd"/>
      <w:r w:rsidR="00CF1423">
        <w:rPr>
          <w:lang w:val="en-GB"/>
        </w:rPr>
        <w:t xml:space="preserve"> etc</w:t>
      </w:r>
      <w:proofErr w:type="gramStart"/>
      <w:r w:rsidR="00CF1423">
        <w:rPr>
          <w:lang w:val="en-GB"/>
        </w:rPr>
        <w:t>..</w:t>
      </w:r>
      <w:proofErr w:type="gramEnd"/>
      <w:r w:rsidR="00CF1423">
        <w:rPr>
          <w:lang w:val="en-GB"/>
        </w:rPr>
        <w:t xml:space="preserve">). In terms of possible composition, the synthetized </w:t>
      </w:r>
      <w:r w:rsidR="00CF1423" w:rsidRPr="00E05188">
        <w:rPr>
          <w:lang w:val="en-GB"/>
        </w:rPr>
        <w:t xml:space="preserve">PHA </w:t>
      </w:r>
      <w:r w:rsidR="00D47C7D" w:rsidRPr="00E05188">
        <w:rPr>
          <w:lang w:val="en-GB"/>
        </w:rPr>
        <w:t xml:space="preserve">has to be consist </w:t>
      </w:r>
      <w:proofErr w:type="gramStart"/>
      <w:r w:rsidR="00D47C7D" w:rsidRPr="00E05188">
        <w:rPr>
          <w:lang w:val="en-GB"/>
        </w:rPr>
        <w:t xml:space="preserve">primarily of </w:t>
      </w:r>
      <w:r w:rsidR="00435F66" w:rsidRPr="00E05188">
        <w:rPr>
          <w:lang w:val="en-GB"/>
        </w:rPr>
        <w:t xml:space="preserve">3-hydroxybutyrate (HB) monomer </w:t>
      </w:r>
      <w:r w:rsidR="00D47C7D" w:rsidRPr="00E05188">
        <w:rPr>
          <w:lang w:val="en-GB"/>
        </w:rPr>
        <w:t>instead of</w:t>
      </w:r>
      <w:r w:rsidR="00435F66" w:rsidRPr="00E05188">
        <w:rPr>
          <w:lang w:val="en-GB"/>
        </w:rPr>
        <w:t xml:space="preserve"> the 3-hydroxyvalerate</w:t>
      </w:r>
      <w:proofErr w:type="gramEnd"/>
      <w:r w:rsidR="00435F66" w:rsidRPr="00E05188">
        <w:rPr>
          <w:lang w:val="en-GB"/>
        </w:rPr>
        <w:t xml:space="preserve"> (HV)</w:t>
      </w:r>
      <w:r w:rsidR="00D47C7D" w:rsidRPr="00E05188">
        <w:rPr>
          <w:lang w:val="en-GB"/>
        </w:rPr>
        <w:t xml:space="preserve"> (</w:t>
      </w:r>
      <w:r w:rsidR="003B7150">
        <w:rPr>
          <w:lang w:val="en-GB"/>
        </w:rPr>
        <w:t>Morgan-</w:t>
      </w:r>
      <w:proofErr w:type="spellStart"/>
      <w:r w:rsidR="003B7150">
        <w:rPr>
          <w:lang w:val="en-GB"/>
        </w:rPr>
        <w:t>Sagastume</w:t>
      </w:r>
      <w:proofErr w:type="spellEnd"/>
      <w:r w:rsidR="00D47C7D" w:rsidRPr="00E05188">
        <w:rPr>
          <w:lang w:val="en-GB"/>
        </w:rPr>
        <w:t xml:space="preserve"> et al., 2010)</w:t>
      </w:r>
      <w:r w:rsidR="00435F66" w:rsidRPr="00E05188">
        <w:rPr>
          <w:lang w:val="en-GB"/>
        </w:rPr>
        <w:t>.</w:t>
      </w:r>
      <w:r w:rsidR="00435F66" w:rsidRPr="00435F66">
        <w:rPr>
          <w:lang w:val="en-GB"/>
        </w:rPr>
        <w:t xml:space="preserve"> </w:t>
      </w:r>
    </w:p>
    <w:p w14:paraId="451ABC53" w14:textId="77777777" w:rsidR="002966FB" w:rsidRDefault="002966FB" w:rsidP="00600535">
      <w:pPr>
        <w:pStyle w:val="CETBodytext"/>
        <w:rPr>
          <w:lang w:val="en-GB"/>
        </w:rPr>
      </w:pPr>
    </w:p>
    <w:p w14:paraId="66D14BE3" w14:textId="1857B7F1" w:rsidR="00435F66" w:rsidRDefault="00C801D0" w:rsidP="00600535">
      <w:pPr>
        <w:pStyle w:val="CETBodytext"/>
        <w:rPr>
          <w:lang w:val="en-GB"/>
        </w:rPr>
      </w:pPr>
      <w:r w:rsidRPr="00C801D0">
        <w:rPr>
          <w:noProof/>
          <w:lang w:val="it-IT" w:eastAsia="it-IT"/>
        </w:rPr>
        <w:drawing>
          <wp:inline distT="0" distB="0" distL="0" distR="0" wp14:anchorId="502604D4" wp14:editId="6F8DDA76">
            <wp:extent cx="4901888" cy="2988733"/>
            <wp:effectExtent l="0" t="0" r="635" b="889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2371" cy="2989027"/>
                    </a:xfrm>
                    <a:prstGeom prst="rect">
                      <a:avLst/>
                    </a:prstGeom>
                    <a:noFill/>
                    <a:ln>
                      <a:noFill/>
                    </a:ln>
                  </pic:spPr>
                </pic:pic>
              </a:graphicData>
            </a:graphic>
          </wp:inline>
        </w:drawing>
      </w:r>
    </w:p>
    <w:p w14:paraId="158F4F9A" w14:textId="6AE5EAFB" w:rsidR="00D32F09" w:rsidRPr="00377168" w:rsidRDefault="00CF1423" w:rsidP="00600535">
      <w:pPr>
        <w:pStyle w:val="CETBodytext"/>
        <w:rPr>
          <w:i/>
          <w:lang w:val="en-GB"/>
        </w:rPr>
      </w:pPr>
      <w:r w:rsidRPr="00377168">
        <w:rPr>
          <w:i/>
          <w:lang w:val="en-GB"/>
        </w:rPr>
        <w:t>Figure 1. Evolution of VFA</w:t>
      </w:r>
      <w:r w:rsidR="00B67848" w:rsidRPr="00377168">
        <w:rPr>
          <w:i/>
          <w:lang w:val="en-GB"/>
        </w:rPr>
        <w:t xml:space="preserve"> produced in the CSTR acidic fermenter.</w:t>
      </w:r>
    </w:p>
    <w:p w14:paraId="5BCE09B6" w14:textId="77777777" w:rsidR="00B67848" w:rsidRDefault="00B67848" w:rsidP="00600535">
      <w:pPr>
        <w:pStyle w:val="CETBodytext"/>
        <w:rPr>
          <w:lang w:val="en-GB"/>
        </w:rPr>
      </w:pPr>
    </w:p>
    <w:p w14:paraId="173A742F" w14:textId="6E7C2E46" w:rsidR="00024F05" w:rsidRPr="00B57B36" w:rsidRDefault="00F2367C" w:rsidP="00024F05">
      <w:pPr>
        <w:pStyle w:val="CETheadingx"/>
      </w:pPr>
      <w:r>
        <w:rPr>
          <w:lang w:val="en-GB"/>
        </w:rPr>
        <w:lastRenderedPageBreak/>
        <w:t>Aerobic stages for biomass selection/enrichment and PHA accumulation</w:t>
      </w:r>
    </w:p>
    <w:p w14:paraId="635C8841" w14:textId="5A473269" w:rsidR="00C145FC" w:rsidRDefault="00EC66BB" w:rsidP="00EC66BB">
      <w:pPr>
        <w:pStyle w:val="CETBodytext"/>
        <w:rPr>
          <w:lang w:val="en-GB"/>
        </w:rPr>
      </w:pPr>
      <w:r w:rsidRPr="00EC66BB">
        <w:rPr>
          <w:lang w:val="en-GB"/>
        </w:rPr>
        <w:t xml:space="preserve">The PHA-storing MMC </w:t>
      </w:r>
      <w:r>
        <w:rPr>
          <w:lang w:val="en-GB"/>
        </w:rPr>
        <w:t xml:space="preserve">has been </w:t>
      </w:r>
      <w:r w:rsidRPr="00EC66BB">
        <w:rPr>
          <w:lang w:val="en-GB"/>
        </w:rPr>
        <w:t xml:space="preserve">produced </w:t>
      </w:r>
      <w:r w:rsidR="000239E2">
        <w:rPr>
          <w:lang w:val="en-GB"/>
        </w:rPr>
        <w:t xml:space="preserve">and enriched </w:t>
      </w:r>
      <w:r w:rsidRPr="00E05188">
        <w:rPr>
          <w:lang w:val="en-GB"/>
        </w:rPr>
        <w:t>by exposing the biomass to cyclic conditions of feast and famine</w:t>
      </w:r>
      <w:r w:rsidR="00E0032B">
        <w:rPr>
          <w:lang w:val="en-GB"/>
        </w:rPr>
        <w:t>.</w:t>
      </w:r>
      <w:r w:rsidRPr="00E05188">
        <w:rPr>
          <w:lang w:val="en-GB"/>
        </w:rPr>
        <w:t xml:space="preserve"> </w:t>
      </w:r>
      <w:r w:rsidR="00E0032B">
        <w:rPr>
          <w:lang w:val="en-GB"/>
        </w:rPr>
        <w:t>T</w:t>
      </w:r>
      <w:r w:rsidRPr="00E05188">
        <w:rPr>
          <w:lang w:val="en-GB"/>
        </w:rPr>
        <w:t>he soluble COD was alternately abundant or scarce at different times in the bioreactor. This simple strategy allowed adapting the microorganisms to survive and grow with cyclical lack of carbon source</w:t>
      </w:r>
      <w:r w:rsidR="000239E2" w:rsidRPr="00E05188">
        <w:rPr>
          <w:lang w:val="en-GB"/>
        </w:rPr>
        <w:t xml:space="preserve"> (famine), and compete </w:t>
      </w:r>
      <w:r w:rsidRPr="00E05188">
        <w:rPr>
          <w:lang w:val="en-GB"/>
        </w:rPr>
        <w:t xml:space="preserve">when external </w:t>
      </w:r>
      <w:r w:rsidR="000239E2" w:rsidRPr="00E05188">
        <w:rPr>
          <w:lang w:val="en-GB"/>
        </w:rPr>
        <w:t>substrates</w:t>
      </w:r>
      <w:r w:rsidRPr="00E05188">
        <w:rPr>
          <w:lang w:val="en-GB"/>
        </w:rPr>
        <w:t xml:space="preserve"> </w:t>
      </w:r>
      <w:r w:rsidR="000239E2" w:rsidRPr="00E05188">
        <w:rPr>
          <w:lang w:val="en-GB"/>
        </w:rPr>
        <w:t>were</w:t>
      </w:r>
      <w:r w:rsidRPr="00E05188">
        <w:rPr>
          <w:lang w:val="en-GB"/>
        </w:rPr>
        <w:t xml:space="preserve"> available (feast). </w:t>
      </w:r>
      <w:r w:rsidR="000239E2" w:rsidRPr="00E05188">
        <w:rPr>
          <w:lang w:val="en-GB"/>
        </w:rPr>
        <w:t xml:space="preserve">The biomass enrichment depends on many </w:t>
      </w:r>
      <w:r w:rsidR="00E26EAF" w:rsidRPr="00E05188">
        <w:rPr>
          <w:lang w:val="en-GB"/>
        </w:rPr>
        <w:t xml:space="preserve">process </w:t>
      </w:r>
      <w:r w:rsidR="00E0032B">
        <w:rPr>
          <w:lang w:val="en-GB"/>
        </w:rPr>
        <w:t>parameters</w:t>
      </w:r>
      <w:r w:rsidR="00E26EAF" w:rsidRPr="00E05188">
        <w:rPr>
          <w:lang w:val="en-GB"/>
        </w:rPr>
        <w:t xml:space="preserve"> </w:t>
      </w:r>
      <w:r w:rsidR="000239E2" w:rsidRPr="00E05188">
        <w:rPr>
          <w:lang w:val="en-GB"/>
        </w:rPr>
        <w:t>such as the SRT (</w:t>
      </w:r>
      <w:proofErr w:type="spellStart"/>
      <w:r w:rsidR="000239E2" w:rsidRPr="00E05188">
        <w:rPr>
          <w:lang w:val="en-GB"/>
        </w:rPr>
        <w:t>Dionisi</w:t>
      </w:r>
      <w:proofErr w:type="spellEnd"/>
      <w:r w:rsidR="000239E2" w:rsidRPr="00E05188">
        <w:rPr>
          <w:lang w:val="en-GB"/>
        </w:rPr>
        <w:t xml:space="preserve"> et al., 2001), OLR (</w:t>
      </w:r>
      <w:proofErr w:type="spellStart"/>
      <w:r w:rsidR="000239E2" w:rsidRPr="00E05188">
        <w:rPr>
          <w:lang w:val="en-GB"/>
        </w:rPr>
        <w:t>Villano</w:t>
      </w:r>
      <w:proofErr w:type="spellEnd"/>
      <w:r w:rsidR="000239E2" w:rsidRPr="00E05188">
        <w:rPr>
          <w:lang w:val="en-GB"/>
        </w:rPr>
        <w:t xml:space="preserve"> et al., 2010)</w:t>
      </w:r>
      <w:r w:rsidR="00E26EAF" w:rsidRPr="00E05188">
        <w:rPr>
          <w:lang w:val="en-GB"/>
        </w:rPr>
        <w:t xml:space="preserve">, feeding </w:t>
      </w:r>
      <w:r w:rsidR="000239E2" w:rsidRPr="00E05188">
        <w:rPr>
          <w:lang w:val="en-GB"/>
        </w:rPr>
        <w:t xml:space="preserve">frequency </w:t>
      </w:r>
      <w:r w:rsidR="00E26EAF" w:rsidRPr="00E05188">
        <w:rPr>
          <w:lang w:val="en-GB"/>
        </w:rPr>
        <w:t>(</w:t>
      </w:r>
      <w:proofErr w:type="spellStart"/>
      <w:r w:rsidR="00E26EAF" w:rsidRPr="00E05188">
        <w:rPr>
          <w:lang w:val="en-GB"/>
        </w:rPr>
        <w:t>Moralejo-Garate</w:t>
      </w:r>
      <w:proofErr w:type="spellEnd"/>
      <w:r w:rsidR="00E26EAF" w:rsidRPr="00E05188">
        <w:rPr>
          <w:lang w:val="en-GB"/>
        </w:rPr>
        <w:t xml:space="preserve"> et al., 2013; Valentino et al., 2014) and </w:t>
      </w:r>
      <w:r w:rsidR="007171D6">
        <w:rPr>
          <w:lang w:val="en-GB"/>
        </w:rPr>
        <w:t>T</w:t>
      </w:r>
      <w:r w:rsidR="000239E2" w:rsidRPr="00E05188">
        <w:rPr>
          <w:lang w:val="en-GB"/>
        </w:rPr>
        <w:t xml:space="preserve"> </w:t>
      </w:r>
      <w:r w:rsidR="00E26EAF" w:rsidRPr="00E05188">
        <w:rPr>
          <w:lang w:val="en-GB"/>
        </w:rPr>
        <w:t>(Jiang et al., 2011)</w:t>
      </w:r>
      <w:r w:rsidR="000239E2" w:rsidRPr="00E05188">
        <w:rPr>
          <w:lang w:val="en-GB"/>
        </w:rPr>
        <w:t xml:space="preserve">. </w:t>
      </w:r>
      <w:r w:rsidR="00E26EAF" w:rsidRPr="00E05188">
        <w:rPr>
          <w:lang w:val="en-GB"/>
        </w:rPr>
        <w:t>Even though a</w:t>
      </w:r>
      <w:r w:rsidR="000239E2" w:rsidRPr="00E05188">
        <w:rPr>
          <w:lang w:val="en-GB"/>
        </w:rPr>
        <w:t xml:space="preserve"> multi-parametric model to predict the performance of the selection </w:t>
      </w:r>
      <w:r w:rsidR="00E26EAF" w:rsidRPr="00E05188">
        <w:rPr>
          <w:lang w:val="en-GB"/>
        </w:rPr>
        <w:t>reactor</w:t>
      </w:r>
      <w:r w:rsidR="000239E2" w:rsidRPr="00E05188">
        <w:rPr>
          <w:lang w:val="en-GB"/>
        </w:rPr>
        <w:t xml:space="preserve"> has not yet been </w:t>
      </w:r>
      <w:r w:rsidR="00E26EAF" w:rsidRPr="00E05188">
        <w:rPr>
          <w:lang w:val="en-GB"/>
        </w:rPr>
        <w:t>developed</w:t>
      </w:r>
      <w:r w:rsidR="00DB4F0C">
        <w:rPr>
          <w:lang w:val="en-GB"/>
        </w:rPr>
        <w:t xml:space="preserve">, </w:t>
      </w:r>
      <w:r w:rsidR="000239E2" w:rsidRPr="00E05188">
        <w:rPr>
          <w:lang w:val="en-GB"/>
        </w:rPr>
        <w:t>it is largely recognized that a low feast-to-</w:t>
      </w:r>
      <w:r w:rsidR="00405747" w:rsidRPr="00E05188">
        <w:rPr>
          <w:lang w:val="en-GB"/>
        </w:rPr>
        <w:t>aerobic reaction time</w:t>
      </w:r>
      <w:r w:rsidR="000239E2" w:rsidRPr="00E05188">
        <w:rPr>
          <w:lang w:val="en-GB"/>
        </w:rPr>
        <w:t xml:space="preserve"> ratio plays a </w:t>
      </w:r>
      <w:r w:rsidR="00E26EAF" w:rsidRPr="00E05188">
        <w:rPr>
          <w:lang w:val="en-GB"/>
        </w:rPr>
        <w:t>pivotal</w:t>
      </w:r>
      <w:r w:rsidR="000239E2" w:rsidRPr="00E05188">
        <w:rPr>
          <w:lang w:val="en-GB"/>
        </w:rPr>
        <w:t xml:space="preserve"> role </w:t>
      </w:r>
      <w:r w:rsidR="00E26EAF" w:rsidRPr="00E05188">
        <w:rPr>
          <w:lang w:val="en-GB"/>
        </w:rPr>
        <w:t xml:space="preserve">for an effective </w:t>
      </w:r>
      <w:r w:rsidR="000239E2" w:rsidRPr="00E05188">
        <w:rPr>
          <w:lang w:val="en-GB"/>
        </w:rPr>
        <w:t xml:space="preserve">MMC </w:t>
      </w:r>
      <w:r w:rsidR="00E26EAF" w:rsidRPr="00E05188">
        <w:rPr>
          <w:lang w:val="en-GB"/>
        </w:rPr>
        <w:t xml:space="preserve">selection </w:t>
      </w:r>
      <w:r w:rsidR="000239E2" w:rsidRPr="00E05188">
        <w:rPr>
          <w:lang w:val="en-GB"/>
        </w:rPr>
        <w:t>with significant PHA storage capacity</w:t>
      </w:r>
      <w:r w:rsidR="00E26EAF" w:rsidRPr="00E05188">
        <w:rPr>
          <w:lang w:val="en-GB"/>
        </w:rPr>
        <w:t xml:space="preserve"> (Valentino et al., 2017)</w:t>
      </w:r>
      <w:r w:rsidR="000239E2" w:rsidRPr="00E05188">
        <w:rPr>
          <w:lang w:val="en-GB"/>
        </w:rPr>
        <w:t xml:space="preserve">. On average, </w:t>
      </w:r>
      <w:r w:rsidR="00405747" w:rsidRPr="00E05188">
        <w:rPr>
          <w:lang w:val="en-GB"/>
        </w:rPr>
        <w:t>the</w:t>
      </w:r>
      <w:r w:rsidR="000239E2" w:rsidRPr="00E05188">
        <w:rPr>
          <w:lang w:val="en-GB"/>
        </w:rPr>
        <w:t xml:space="preserve"> literature su</w:t>
      </w:r>
      <w:r w:rsidR="00405747" w:rsidRPr="00E05188">
        <w:rPr>
          <w:lang w:val="en-GB"/>
        </w:rPr>
        <w:t>ggests</w:t>
      </w:r>
      <w:r w:rsidR="000239E2" w:rsidRPr="00E05188">
        <w:rPr>
          <w:lang w:val="en-GB"/>
        </w:rPr>
        <w:t xml:space="preserve"> </w:t>
      </w:r>
      <w:r w:rsidR="00405747" w:rsidRPr="00E05188">
        <w:rPr>
          <w:lang w:val="en-GB"/>
        </w:rPr>
        <w:t>an efficient</w:t>
      </w:r>
      <w:r w:rsidR="000239E2" w:rsidRPr="00E05188">
        <w:rPr>
          <w:lang w:val="en-GB"/>
        </w:rPr>
        <w:t xml:space="preserve"> selective pressure </w:t>
      </w:r>
      <w:r w:rsidR="00405747" w:rsidRPr="00E05188">
        <w:rPr>
          <w:lang w:val="en-GB"/>
        </w:rPr>
        <w:t>starting from 20% to lower values of feast phase length</w:t>
      </w:r>
      <w:r w:rsidR="000239E2" w:rsidRPr="00E05188">
        <w:rPr>
          <w:lang w:val="en-GB"/>
        </w:rPr>
        <w:t xml:space="preserve"> </w:t>
      </w:r>
      <w:r w:rsidR="00405747" w:rsidRPr="00E05188">
        <w:rPr>
          <w:lang w:val="en-GB"/>
        </w:rPr>
        <w:t>with respect to the overall aerobic reaction time</w:t>
      </w:r>
      <w:r w:rsidR="000239E2" w:rsidRPr="00E05188">
        <w:rPr>
          <w:lang w:val="en-GB"/>
        </w:rPr>
        <w:t>.</w:t>
      </w:r>
      <w:r w:rsidR="00405747" w:rsidRPr="00E05188">
        <w:rPr>
          <w:lang w:val="en-GB"/>
        </w:rPr>
        <w:t xml:space="preserve"> This threshold was generally related to selection reactors (SBR) operating at medium or high OLR (4</w:t>
      </w:r>
      <w:r w:rsidR="00B43B0A" w:rsidRPr="00E05188">
        <w:rPr>
          <w:lang w:val="en-GB"/>
        </w:rPr>
        <w:t>.0</w:t>
      </w:r>
      <w:r w:rsidR="00405747" w:rsidRPr="00E05188">
        <w:rPr>
          <w:lang w:val="en-GB"/>
        </w:rPr>
        <w:t>-8</w:t>
      </w:r>
      <w:r w:rsidR="00B43B0A" w:rsidRPr="00E05188">
        <w:rPr>
          <w:lang w:val="en-GB"/>
        </w:rPr>
        <w:t>.0</w:t>
      </w:r>
      <w:r w:rsidR="00405747" w:rsidRPr="00E05188">
        <w:rPr>
          <w:lang w:val="en-GB"/>
        </w:rPr>
        <w:t xml:space="preserve"> g COD</w:t>
      </w:r>
      <w:r w:rsidR="00405747" w:rsidRPr="00E05188">
        <w:rPr>
          <w:vertAlign w:val="subscript"/>
          <w:lang w:val="en-GB"/>
        </w:rPr>
        <w:t>SOL</w:t>
      </w:r>
      <w:r w:rsidR="00405747" w:rsidRPr="00E05188">
        <w:rPr>
          <w:lang w:val="en-GB"/>
        </w:rPr>
        <w:t>/L d)</w:t>
      </w:r>
      <w:r w:rsidR="00B43B0A" w:rsidRPr="00E05188">
        <w:rPr>
          <w:lang w:val="en-GB"/>
        </w:rPr>
        <w:t xml:space="preserve"> by using synthetic feedstock</w:t>
      </w:r>
      <w:r w:rsidR="00405747" w:rsidRPr="00E05188">
        <w:rPr>
          <w:lang w:val="en-GB"/>
        </w:rPr>
        <w:t xml:space="preserve">. In the study herein proposed, </w:t>
      </w:r>
      <w:r w:rsidR="00B43B0A" w:rsidRPr="00E05188">
        <w:rPr>
          <w:lang w:val="en-GB"/>
        </w:rPr>
        <w:t>the VFA concentration achieved in the fermented streams did not allow performing the SBR at such OLR, which was set in the range 2.0-3.4 g COD</w:t>
      </w:r>
      <w:r w:rsidR="00B43B0A" w:rsidRPr="00E05188">
        <w:rPr>
          <w:vertAlign w:val="subscript"/>
          <w:lang w:val="en-GB"/>
        </w:rPr>
        <w:t>SOL</w:t>
      </w:r>
      <w:r w:rsidR="00B43B0A" w:rsidRPr="00E05188">
        <w:rPr>
          <w:lang w:val="en-GB"/>
        </w:rPr>
        <w:t>/L d. Therefore, under these OLR, the feast phase</w:t>
      </w:r>
      <w:r w:rsidR="00B43B0A">
        <w:rPr>
          <w:lang w:val="en-GB"/>
        </w:rPr>
        <w:t xml:space="preserve"> length was chosen to be around 14%</w:t>
      </w:r>
      <w:r w:rsidR="00316B43">
        <w:rPr>
          <w:lang w:val="en-GB"/>
        </w:rPr>
        <w:t xml:space="preserve"> h/h</w:t>
      </w:r>
      <w:r w:rsidR="00C5076E">
        <w:rPr>
          <w:lang w:val="en-GB"/>
        </w:rPr>
        <w:t xml:space="preserve">, a reasonable value </w:t>
      </w:r>
      <w:r w:rsidR="00871A1A">
        <w:rPr>
          <w:lang w:val="en-GB"/>
        </w:rPr>
        <w:t xml:space="preserve">for </w:t>
      </w:r>
      <w:r w:rsidR="002F0410">
        <w:rPr>
          <w:lang w:val="en-GB"/>
        </w:rPr>
        <w:t>a performing MMC selection</w:t>
      </w:r>
      <w:r w:rsidR="00B43B0A">
        <w:rPr>
          <w:lang w:val="en-GB"/>
        </w:rPr>
        <w:t xml:space="preserve">. </w:t>
      </w:r>
      <w:r w:rsidR="001F2C6B">
        <w:rPr>
          <w:lang w:val="en-GB"/>
        </w:rPr>
        <w:t>This value was the target</w:t>
      </w:r>
      <w:r w:rsidR="002F0410">
        <w:rPr>
          <w:lang w:val="en-GB"/>
        </w:rPr>
        <w:t>ed</w:t>
      </w:r>
      <w:r w:rsidR="001F2C6B">
        <w:rPr>
          <w:lang w:val="en-GB"/>
        </w:rPr>
        <w:t xml:space="preserve"> objective </w:t>
      </w:r>
      <w:r w:rsidR="00CB619A">
        <w:rPr>
          <w:lang w:val="en-GB"/>
        </w:rPr>
        <w:t>and it</w:t>
      </w:r>
      <w:r w:rsidR="006300FB">
        <w:rPr>
          <w:lang w:val="en-GB"/>
        </w:rPr>
        <w:t xml:space="preserve"> w</w:t>
      </w:r>
      <w:r w:rsidR="001F2C6B">
        <w:rPr>
          <w:lang w:val="en-GB"/>
        </w:rPr>
        <w:t>as easily achieved in less than 7</w:t>
      </w:r>
      <w:r w:rsidR="00316B43">
        <w:rPr>
          <w:lang w:val="en-GB"/>
        </w:rPr>
        <w:t>.0</w:t>
      </w:r>
      <w:r w:rsidR="001F2C6B">
        <w:rPr>
          <w:lang w:val="en-GB"/>
        </w:rPr>
        <w:t xml:space="preserve"> SRTs</w:t>
      </w:r>
      <w:r w:rsidR="00C5076E">
        <w:rPr>
          <w:lang w:val="en-GB"/>
        </w:rPr>
        <w:t xml:space="preserve"> after inoculum</w:t>
      </w:r>
      <w:r w:rsidR="001F2C6B">
        <w:rPr>
          <w:lang w:val="en-GB"/>
        </w:rPr>
        <w:t xml:space="preserve">. </w:t>
      </w:r>
      <w:r w:rsidR="00C5076E">
        <w:rPr>
          <w:lang w:val="en-GB"/>
        </w:rPr>
        <w:t xml:space="preserve">The initial OLR was 3.4 </w:t>
      </w:r>
      <w:r w:rsidR="00C5076E" w:rsidRPr="00D70002">
        <w:rPr>
          <w:lang w:val="en-GB"/>
        </w:rPr>
        <w:t>±</w:t>
      </w:r>
      <w:r w:rsidR="00C5076E">
        <w:rPr>
          <w:lang w:val="en-GB"/>
        </w:rPr>
        <w:t xml:space="preserve"> 0.2 g COD</w:t>
      </w:r>
      <w:r w:rsidR="00C5076E" w:rsidRPr="00C5076E">
        <w:rPr>
          <w:vertAlign w:val="subscript"/>
          <w:lang w:val="en-GB"/>
        </w:rPr>
        <w:t>SOL</w:t>
      </w:r>
      <w:r w:rsidR="00C5076E">
        <w:rPr>
          <w:lang w:val="en-GB"/>
        </w:rPr>
        <w:t>/L d</w:t>
      </w:r>
      <w:r w:rsidR="006300FB">
        <w:rPr>
          <w:lang w:val="en-GB"/>
        </w:rPr>
        <w:t xml:space="preserve"> and the operating </w:t>
      </w:r>
      <w:r w:rsidR="007171D6">
        <w:rPr>
          <w:lang w:val="en-GB"/>
        </w:rPr>
        <w:t>T</w:t>
      </w:r>
      <w:r w:rsidR="006300FB">
        <w:rPr>
          <w:lang w:val="en-GB"/>
        </w:rPr>
        <w:t xml:space="preserve"> of SBR was between 27</w:t>
      </w:r>
      <w:r w:rsidR="009601B9">
        <w:rPr>
          <w:lang w:val="en-GB"/>
        </w:rPr>
        <w:t>-28</w:t>
      </w:r>
      <w:r w:rsidR="006300FB">
        <w:rPr>
          <w:lang w:val="en-GB"/>
        </w:rPr>
        <w:t>°C</w:t>
      </w:r>
      <w:r w:rsidR="00C5076E">
        <w:rPr>
          <w:lang w:val="en-GB"/>
        </w:rPr>
        <w:t xml:space="preserve">. </w:t>
      </w:r>
      <w:r w:rsidR="00871A1A">
        <w:rPr>
          <w:lang w:val="en-GB"/>
        </w:rPr>
        <w:t>Over the course of operation, from early September to mid December, the T of the system decreased even though t</w:t>
      </w:r>
      <w:r w:rsidR="002573A4">
        <w:rPr>
          <w:lang w:val="en-GB"/>
        </w:rPr>
        <w:t xml:space="preserve">hree different periods were isolated and characterized by a narrow range of T </w:t>
      </w:r>
      <w:proofErr w:type="gramStart"/>
      <w:r w:rsidR="002573A4">
        <w:rPr>
          <w:lang w:val="en-GB"/>
        </w:rPr>
        <w:t>variation</w:t>
      </w:r>
      <w:proofErr w:type="gramEnd"/>
      <w:r w:rsidR="002573A4">
        <w:rPr>
          <w:lang w:val="en-GB"/>
        </w:rPr>
        <w:t xml:space="preserve"> (maximum </w:t>
      </w:r>
      <w:r w:rsidR="00316B43">
        <w:rPr>
          <w:lang w:val="en-GB"/>
        </w:rPr>
        <w:t>3</w:t>
      </w:r>
      <w:r w:rsidR="002573A4">
        <w:rPr>
          <w:lang w:val="en-GB"/>
        </w:rPr>
        <w:t>.0°C)</w:t>
      </w:r>
      <w:r w:rsidR="00316B43">
        <w:rPr>
          <w:lang w:val="en-GB"/>
        </w:rPr>
        <w:t>. The first period</w:t>
      </w:r>
      <w:r w:rsidR="00766B7C">
        <w:rPr>
          <w:lang w:val="en-GB"/>
        </w:rPr>
        <w:t xml:space="preserve"> </w:t>
      </w:r>
      <w:r w:rsidR="00E0032B">
        <w:rPr>
          <w:lang w:val="en-GB"/>
        </w:rPr>
        <w:t xml:space="preserve">(average T </w:t>
      </w:r>
      <w:r w:rsidR="00E0032B">
        <w:rPr>
          <w:rFonts w:cs="Arial"/>
          <w:szCs w:val="18"/>
          <w:lang w:val="en-GB"/>
        </w:rPr>
        <w:t xml:space="preserve">26.2 </w:t>
      </w:r>
      <w:r w:rsidR="00E0032B" w:rsidRPr="00D70002">
        <w:rPr>
          <w:lang w:val="en-GB"/>
        </w:rPr>
        <w:t>±</w:t>
      </w:r>
      <w:r w:rsidR="00E0032B">
        <w:rPr>
          <w:lang w:val="en-GB"/>
        </w:rPr>
        <w:t xml:space="preserve"> 0.9</w:t>
      </w:r>
      <w:r w:rsidR="00E0032B">
        <w:rPr>
          <w:rFonts w:cs="Arial"/>
          <w:szCs w:val="18"/>
          <w:lang w:val="en-GB"/>
        </w:rPr>
        <w:t>°C</w:t>
      </w:r>
      <w:r w:rsidR="00E0032B">
        <w:rPr>
          <w:lang w:val="en-GB"/>
        </w:rPr>
        <w:t xml:space="preserve">) </w:t>
      </w:r>
      <w:r w:rsidR="00316B43">
        <w:rPr>
          <w:lang w:val="en-GB"/>
        </w:rPr>
        <w:t xml:space="preserve">coincided to the achievement of the pseudo </w:t>
      </w:r>
      <w:proofErr w:type="gramStart"/>
      <w:r w:rsidR="00316B43">
        <w:rPr>
          <w:lang w:val="en-GB"/>
        </w:rPr>
        <w:t>steady-state</w:t>
      </w:r>
      <w:proofErr w:type="gramEnd"/>
      <w:r w:rsidR="00766B7C">
        <w:rPr>
          <w:lang w:val="en-GB"/>
        </w:rPr>
        <w:t xml:space="preserve"> (after one week of operation) and it lasted for 21 days</w:t>
      </w:r>
      <w:r w:rsidR="00316B43">
        <w:rPr>
          <w:lang w:val="en-GB"/>
        </w:rPr>
        <w:t xml:space="preserve">. The stability of </w:t>
      </w:r>
      <w:r w:rsidR="00766B7C">
        <w:rPr>
          <w:lang w:val="en-GB"/>
        </w:rPr>
        <w:t xml:space="preserve">this period </w:t>
      </w:r>
      <w:r w:rsidR="00316B43">
        <w:rPr>
          <w:lang w:val="en-GB"/>
        </w:rPr>
        <w:t xml:space="preserve">was confirmed by the low variation of the feast phase, which average value was 13.8 </w:t>
      </w:r>
      <w:r w:rsidR="00316B43" w:rsidRPr="00D70002">
        <w:rPr>
          <w:lang w:val="en-GB"/>
        </w:rPr>
        <w:t>±</w:t>
      </w:r>
      <w:r w:rsidR="00316B43">
        <w:rPr>
          <w:lang w:val="en-GB"/>
        </w:rPr>
        <w:t xml:space="preserve"> 1.9 % (h/h). </w:t>
      </w:r>
      <w:r w:rsidR="00CB619A">
        <w:rPr>
          <w:lang w:val="en-GB"/>
        </w:rPr>
        <w:t xml:space="preserve">Indeed, the culture was selected with a robust and stable selective pressure, exhibiting a solids concentration </w:t>
      </w:r>
      <w:proofErr w:type="gramStart"/>
      <w:r w:rsidR="00CB619A">
        <w:rPr>
          <w:lang w:val="en-GB"/>
        </w:rPr>
        <w:t>of  1.</w:t>
      </w:r>
      <w:r w:rsidR="00D84605">
        <w:rPr>
          <w:lang w:val="en-GB"/>
        </w:rPr>
        <w:t>41</w:t>
      </w:r>
      <w:proofErr w:type="gramEnd"/>
      <w:r w:rsidR="00CB619A">
        <w:rPr>
          <w:lang w:val="en-GB"/>
        </w:rPr>
        <w:t xml:space="preserve"> </w:t>
      </w:r>
      <w:r w:rsidR="00CB619A" w:rsidRPr="00D70002">
        <w:rPr>
          <w:lang w:val="en-GB"/>
        </w:rPr>
        <w:t>±</w:t>
      </w:r>
      <w:r w:rsidR="00CB619A">
        <w:rPr>
          <w:lang w:val="en-GB"/>
        </w:rPr>
        <w:t xml:space="preserve"> 0.</w:t>
      </w:r>
      <w:r w:rsidR="00D84605">
        <w:rPr>
          <w:lang w:val="en-GB"/>
        </w:rPr>
        <w:t>02</w:t>
      </w:r>
      <w:r w:rsidR="00CB619A">
        <w:rPr>
          <w:lang w:val="en-GB"/>
        </w:rPr>
        <w:t xml:space="preserve"> g VSS/L. </w:t>
      </w:r>
      <w:r w:rsidR="00766B7C">
        <w:rPr>
          <w:lang w:val="en-GB"/>
        </w:rPr>
        <w:t xml:space="preserve">The progressive decreased of </w:t>
      </w:r>
      <w:r w:rsidR="001A7A95">
        <w:rPr>
          <w:lang w:val="en-GB"/>
        </w:rPr>
        <w:t xml:space="preserve">the </w:t>
      </w:r>
      <w:r w:rsidR="007171D6">
        <w:rPr>
          <w:lang w:val="en-GB"/>
        </w:rPr>
        <w:t>T</w:t>
      </w:r>
      <w:r w:rsidR="00316B43">
        <w:rPr>
          <w:lang w:val="en-GB"/>
        </w:rPr>
        <w:t xml:space="preserve"> </w:t>
      </w:r>
      <w:r w:rsidR="00766B7C">
        <w:rPr>
          <w:lang w:val="en-GB"/>
        </w:rPr>
        <w:t>led to a decrease of the process kinetics</w:t>
      </w:r>
      <w:r w:rsidR="00A2324A">
        <w:rPr>
          <w:lang w:val="en-GB"/>
        </w:rPr>
        <w:t>;</w:t>
      </w:r>
      <w:r w:rsidR="00766B7C">
        <w:rPr>
          <w:lang w:val="en-GB"/>
        </w:rPr>
        <w:t xml:space="preserve"> </w:t>
      </w:r>
      <w:r w:rsidR="00A2324A">
        <w:rPr>
          <w:lang w:val="en-GB"/>
        </w:rPr>
        <w:t xml:space="preserve">in fact, temporary extension of the feast phase was observed </w:t>
      </w:r>
      <w:r w:rsidR="00D4675A">
        <w:rPr>
          <w:lang w:val="en-GB"/>
        </w:rPr>
        <w:t>(</w:t>
      </w:r>
      <w:r w:rsidR="00A2324A">
        <w:rPr>
          <w:lang w:val="en-GB"/>
        </w:rPr>
        <w:t>up to 2</w:t>
      </w:r>
      <w:r w:rsidR="00D4675A">
        <w:rPr>
          <w:lang w:val="en-GB"/>
        </w:rPr>
        <w:t>4</w:t>
      </w:r>
      <w:r w:rsidR="00A2324A">
        <w:rPr>
          <w:lang w:val="en-GB"/>
        </w:rPr>
        <w:t>% h/h</w:t>
      </w:r>
      <w:r w:rsidR="00D4675A">
        <w:rPr>
          <w:lang w:val="en-GB"/>
        </w:rPr>
        <w:t>)</w:t>
      </w:r>
      <w:r w:rsidR="00A2324A">
        <w:rPr>
          <w:lang w:val="en-GB"/>
        </w:rPr>
        <w:t>. In order to avoid th</w:t>
      </w:r>
      <w:r w:rsidR="00766B7C">
        <w:rPr>
          <w:lang w:val="en-GB"/>
        </w:rPr>
        <w:t>e</w:t>
      </w:r>
      <w:r w:rsidR="00A2324A">
        <w:rPr>
          <w:lang w:val="en-GB"/>
        </w:rPr>
        <w:t xml:space="preserve"> prolonged feast, with consequent loss of the selective pressure, the applied OLR was progressively decreased</w:t>
      </w:r>
      <w:r w:rsidR="00D4675A">
        <w:rPr>
          <w:lang w:val="en-GB"/>
        </w:rPr>
        <w:t>,</w:t>
      </w:r>
      <w:r w:rsidR="00A2324A">
        <w:rPr>
          <w:lang w:val="en-GB"/>
        </w:rPr>
        <w:t xml:space="preserve"> until the 14% of feast phase length was reached</w:t>
      </w:r>
      <w:r w:rsidR="00E0032B">
        <w:rPr>
          <w:lang w:val="en-GB"/>
        </w:rPr>
        <w:t xml:space="preserve"> again</w:t>
      </w:r>
      <w:r w:rsidR="00766B7C">
        <w:rPr>
          <w:lang w:val="en-GB"/>
        </w:rPr>
        <w:t>.</w:t>
      </w:r>
      <w:r w:rsidR="00A2324A">
        <w:rPr>
          <w:lang w:val="en-GB"/>
        </w:rPr>
        <w:t xml:space="preserve"> The transition period lasted 10 days approximately; </w:t>
      </w:r>
      <w:r w:rsidR="009D01FA">
        <w:rPr>
          <w:lang w:val="en-GB"/>
        </w:rPr>
        <w:t xml:space="preserve">afterwards, </w:t>
      </w:r>
      <w:r w:rsidR="00A2324A">
        <w:rPr>
          <w:lang w:val="en-GB"/>
        </w:rPr>
        <w:t xml:space="preserve">the process was maintained stable </w:t>
      </w:r>
      <w:r w:rsidR="009D01FA">
        <w:rPr>
          <w:lang w:val="en-GB"/>
        </w:rPr>
        <w:t xml:space="preserve">for a second period of 25 days, with average feast phase of 14.1 </w:t>
      </w:r>
      <w:r w:rsidR="009D01FA" w:rsidRPr="00D70002">
        <w:rPr>
          <w:lang w:val="en-GB"/>
        </w:rPr>
        <w:t>±</w:t>
      </w:r>
      <w:r w:rsidR="009D01FA">
        <w:rPr>
          <w:lang w:val="en-GB"/>
        </w:rPr>
        <w:t xml:space="preserve"> 1.9 %</w:t>
      </w:r>
      <w:r w:rsidR="00A2324A">
        <w:rPr>
          <w:lang w:val="en-GB"/>
        </w:rPr>
        <w:t xml:space="preserve"> </w:t>
      </w:r>
      <w:r w:rsidR="009D01FA">
        <w:rPr>
          <w:lang w:val="en-GB"/>
        </w:rPr>
        <w:t xml:space="preserve">under the new OLR of 2.75 </w:t>
      </w:r>
      <w:r w:rsidR="009D01FA" w:rsidRPr="00D70002">
        <w:rPr>
          <w:lang w:val="en-GB"/>
        </w:rPr>
        <w:t>±</w:t>
      </w:r>
      <w:r w:rsidR="009D01FA">
        <w:rPr>
          <w:lang w:val="en-GB"/>
        </w:rPr>
        <w:t xml:space="preserve"> 0.2 g COD</w:t>
      </w:r>
      <w:r w:rsidR="009D01FA" w:rsidRPr="00C5076E">
        <w:rPr>
          <w:vertAlign w:val="subscript"/>
          <w:lang w:val="en-GB"/>
        </w:rPr>
        <w:t>SOL</w:t>
      </w:r>
      <w:r w:rsidR="009D01FA">
        <w:rPr>
          <w:lang w:val="en-GB"/>
        </w:rPr>
        <w:t>/L d</w:t>
      </w:r>
      <w:r w:rsidR="00A2324A">
        <w:rPr>
          <w:lang w:val="en-GB"/>
        </w:rPr>
        <w:t xml:space="preserve">. </w:t>
      </w:r>
      <w:r w:rsidR="009D01FA">
        <w:rPr>
          <w:lang w:val="en-GB"/>
        </w:rPr>
        <w:t xml:space="preserve">The lower </w:t>
      </w:r>
      <w:r w:rsidR="00D84605">
        <w:rPr>
          <w:lang w:val="en-GB"/>
        </w:rPr>
        <w:t xml:space="preserve">quantified </w:t>
      </w:r>
      <w:r w:rsidR="009D01FA">
        <w:rPr>
          <w:lang w:val="en-GB"/>
        </w:rPr>
        <w:t xml:space="preserve">VSS level </w:t>
      </w:r>
      <w:r w:rsidR="00D84605">
        <w:rPr>
          <w:lang w:val="en-GB"/>
        </w:rPr>
        <w:t xml:space="preserve">(1.24 </w:t>
      </w:r>
      <w:r w:rsidR="00D84605" w:rsidRPr="00D70002">
        <w:rPr>
          <w:lang w:val="en-GB"/>
        </w:rPr>
        <w:t>±</w:t>
      </w:r>
      <w:r w:rsidR="00D84605">
        <w:rPr>
          <w:lang w:val="en-GB"/>
        </w:rPr>
        <w:t xml:space="preserve"> 0.03 g VSS/L) </w:t>
      </w:r>
      <w:r w:rsidR="009D01FA">
        <w:rPr>
          <w:lang w:val="en-GB"/>
        </w:rPr>
        <w:t xml:space="preserve">was </w:t>
      </w:r>
      <w:r w:rsidR="00D84605">
        <w:rPr>
          <w:lang w:val="en-GB"/>
        </w:rPr>
        <w:t xml:space="preserve">consistent with the lower applied OLR. In this period, </w:t>
      </w:r>
      <w:r w:rsidR="00E0032B">
        <w:rPr>
          <w:lang w:val="en-GB"/>
        </w:rPr>
        <w:t>the maximum and minimum recorded</w:t>
      </w:r>
      <w:r w:rsidR="00D84605">
        <w:rPr>
          <w:lang w:val="en-GB"/>
        </w:rPr>
        <w:t xml:space="preserve"> T were 23.2°C and 20.4°C respectively</w:t>
      </w:r>
      <w:r w:rsidR="00E0032B">
        <w:rPr>
          <w:lang w:val="en-GB"/>
        </w:rPr>
        <w:t>; on</w:t>
      </w:r>
      <w:r w:rsidR="00E0032B" w:rsidRPr="00E0032B">
        <w:rPr>
          <w:lang w:val="en-GB"/>
        </w:rPr>
        <w:t xml:space="preserve"> </w:t>
      </w:r>
      <w:r w:rsidR="00E0032B">
        <w:rPr>
          <w:lang w:val="en-GB"/>
        </w:rPr>
        <w:t xml:space="preserve">average, the operating T was equal to 21.8 </w:t>
      </w:r>
      <w:r w:rsidR="00E0032B" w:rsidRPr="00D70002">
        <w:rPr>
          <w:lang w:val="en-GB"/>
        </w:rPr>
        <w:t>±</w:t>
      </w:r>
      <w:r w:rsidR="00E0032B">
        <w:rPr>
          <w:lang w:val="en-GB"/>
        </w:rPr>
        <w:t xml:space="preserve"> 0.9°C</w:t>
      </w:r>
      <w:r w:rsidR="00D84605">
        <w:rPr>
          <w:lang w:val="en-GB"/>
        </w:rPr>
        <w:t xml:space="preserve">. </w:t>
      </w:r>
      <w:r w:rsidR="00952ADD">
        <w:rPr>
          <w:lang w:val="en-GB"/>
        </w:rPr>
        <w:t xml:space="preserve">When the system became </w:t>
      </w:r>
      <w:r w:rsidR="009D01FA">
        <w:rPr>
          <w:lang w:val="en-GB"/>
        </w:rPr>
        <w:t>less</w:t>
      </w:r>
      <w:r w:rsidR="00766B7C">
        <w:rPr>
          <w:lang w:val="en-GB"/>
        </w:rPr>
        <w:t xml:space="preserve"> </w:t>
      </w:r>
      <w:r w:rsidR="00D84605">
        <w:rPr>
          <w:lang w:val="en-GB"/>
        </w:rPr>
        <w:t>manageable in terms of feast phase length stability, the</w:t>
      </w:r>
      <w:r w:rsidR="00952ADD">
        <w:rPr>
          <w:lang w:val="en-GB"/>
        </w:rPr>
        <w:t xml:space="preserve"> applied OLR was modified </w:t>
      </w:r>
      <w:r w:rsidR="00D84605">
        <w:rPr>
          <w:lang w:val="en-GB"/>
        </w:rPr>
        <w:t>in order to achieve</w:t>
      </w:r>
      <w:r w:rsidR="00766B7C">
        <w:rPr>
          <w:lang w:val="en-GB"/>
        </w:rPr>
        <w:t xml:space="preserve"> </w:t>
      </w:r>
      <w:r w:rsidR="00D84605">
        <w:rPr>
          <w:lang w:val="en-GB"/>
        </w:rPr>
        <w:t>a new stationary phase. As previously observed, t</w:t>
      </w:r>
      <w:r w:rsidR="00766B7C">
        <w:rPr>
          <w:lang w:val="en-GB"/>
        </w:rPr>
        <w:t xml:space="preserve">he </w:t>
      </w:r>
      <w:r w:rsidR="00D84605">
        <w:rPr>
          <w:lang w:val="en-GB"/>
        </w:rPr>
        <w:t xml:space="preserve">further </w:t>
      </w:r>
      <w:r w:rsidR="00766B7C">
        <w:rPr>
          <w:lang w:val="en-GB"/>
        </w:rPr>
        <w:t>T decreas</w:t>
      </w:r>
      <w:r w:rsidR="00D84605">
        <w:rPr>
          <w:lang w:val="en-GB"/>
        </w:rPr>
        <w:t>e</w:t>
      </w:r>
      <w:r w:rsidR="00766B7C">
        <w:rPr>
          <w:lang w:val="en-GB"/>
        </w:rPr>
        <w:t xml:space="preserve"> </w:t>
      </w:r>
      <w:r w:rsidR="00D84605">
        <w:rPr>
          <w:lang w:val="en-GB"/>
        </w:rPr>
        <w:t xml:space="preserve">negatively affected the substrate uptake rate </w:t>
      </w:r>
      <w:r w:rsidR="00766B7C">
        <w:rPr>
          <w:lang w:val="en-GB"/>
        </w:rPr>
        <w:t xml:space="preserve">since </w:t>
      </w:r>
      <w:r w:rsidR="00D4675A">
        <w:rPr>
          <w:lang w:val="en-GB"/>
        </w:rPr>
        <w:t xml:space="preserve">an immediate prolonged feast phase length was observed. In order to restore the fixed operating condition (14% h/h), the OLR was progressively decreased up to 2.04 </w:t>
      </w:r>
      <w:r w:rsidR="00D4675A" w:rsidRPr="00D70002">
        <w:rPr>
          <w:lang w:val="en-GB"/>
        </w:rPr>
        <w:t>±</w:t>
      </w:r>
      <w:r w:rsidR="00D4675A">
        <w:rPr>
          <w:lang w:val="en-GB"/>
        </w:rPr>
        <w:t xml:space="preserve"> 0.3 g COD</w:t>
      </w:r>
      <w:r w:rsidR="00D4675A" w:rsidRPr="00C5076E">
        <w:rPr>
          <w:vertAlign w:val="subscript"/>
          <w:lang w:val="en-GB"/>
        </w:rPr>
        <w:t>SOL</w:t>
      </w:r>
      <w:r w:rsidR="00D4675A">
        <w:rPr>
          <w:lang w:val="en-GB"/>
        </w:rPr>
        <w:t>/L d, which was the value under pseudo-steady state</w:t>
      </w:r>
      <w:r w:rsidR="00C145FC">
        <w:rPr>
          <w:lang w:val="en-GB"/>
        </w:rPr>
        <w:t xml:space="preserve">. </w:t>
      </w:r>
      <w:r w:rsidR="003A0399">
        <w:rPr>
          <w:lang w:val="en-GB"/>
        </w:rPr>
        <w:t xml:space="preserve">This </w:t>
      </w:r>
      <w:r w:rsidR="00C145FC">
        <w:rPr>
          <w:lang w:val="en-GB"/>
        </w:rPr>
        <w:t xml:space="preserve">last period of stability </w:t>
      </w:r>
      <w:r w:rsidR="003A0399">
        <w:rPr>
          <w:lang w:val="en-GB"/>
        </w:rPr>
        <w:t xml:space="preserve">was </w:t>
      </w:r>
      <w:r w:rsidR="00C145FC">
        <w:rPr>
          <w:lang w:val="en-GB"/>
        </w:rPr>
        <w:t>maintained for more than 20 days</w:t>
      </w:r>
      <w:r w:rsidR="00BE1108">
        <w:rPr>
          <w:lang w:val="en-GB"/>
        </w:rPr>
        <w:t xml:space="preserve"> at an average T of 17.1 </w:t>
      </w:r>
      <w:r w:rsidR="00BE1108" w:rsidRPr="00D70002">
        <w:rPr>
          <w:lang w:val="en-GB"/>
        </w:rPr>
        <w:t>±</w:t>
      </w:r>
      <w:r w:rsidR="00BE1108">
        <w:rPr>
          <w:lang w:val="en-GB"/>
        </w:rPr>
        <w:t xml:space="preserve"> 0.6°C,</w:t>
      </w:r>
      <w:r w:rsidR="00C145FC">
        <w:rPr>
          <w:lang w:val="en-GB"/>
        </w:rPr>
        <w:t xml:space="preserve"> with feast phase length value (14.3 </w:t>
      </w:r>
      <w:r w:rsidR="00C145FC" w:rsidRPr="00D70002">
        <w:rPr>
          <w:lang w:val="en-GB"/>
        </w:rPr>
        <w:t>±</w:t>
      </w:r>
      <w:r w:rsidR="00C145FC">
        <w:rPr>
          <w:lang w:val="en-GB"/>
        </w:rPr>
        <w:t xml:space="preserve"> 1.1 %) similar to those previously monitored. Lower OLR corresponded to lower VSS (1.02 </w:t>
      </w:r>
      <w:r w:rsidR="00C145FC" w:rsidRPr="00D70002">
        <w:rPr>
          <w:lang w:val="en-GB"/>
        </w:rPr>
        <w:t>±</w:t>
      </w:r>
      <w:r w:rsidR="00C145FC">
        <w:rPr>
          <w:lang w:val="en-GB"/>
        </w:rPr>
        <w:t xml:space="preserve"> 0.04 g VSS/L).</w:t>
      </w:r>
      <w:r w:rsidR="002B3FB2">
        <w:rPr>
          <w:lang w:val="en-GB"/>
        </w:rPr>
        <w:t xml:space="preserve"> </w:t>
      </w:r>
      <w:r w:rsidR="00A75338">
        <w:rPr>
          <w:lang w:val="en-GB"/>
        </w:rPr>
        <w:t>F</w:t>
      </w:r>
      <w:r w:rsidR="002B3FB2">
        <w:rPr>
          <w:lang w:val="en-GB"/>
        </w:rPr>
        <w:t>igure 2A</w:t>
      </w:r>
      <w:r w:rsidR="00A75338">
        <w:rPr>
          <w:lang w:val="en-GB"/>
        </w:rPr>
        <w:t xml:space="preserve"> shows the trend of OLR applied for MMC selection as a function of the operating T in the three periods of process stability; the feast phase length was maintained approximately constant and similar in the three conditions. </w:t>
      </w:r>
    </w:p>
    <w:p w14:paraId="06FE9680" w14:textId="77777777" w:rsidR="00C145FC" w:rsidRDefault="00C145FC" w:rsidP="00EC66BB">
      <w:pPr>
        <w:pStyle w:val="CETBodytext"/>
        <w:rPr>
          <w:lang w:val="en-GB"/>
        </w:rPr>
      </w:pPr>
    </w:p>
    <w:p w14:paraId="6FE065BE" w14:textId="00AFF819" w:rsidR="00C145FC" w:rsidRDefault="00C145FC" w:rsidP="00EC66BB">
      <w:pPr>
        <w:pStyle w:val="CETBodytext"/>
        <w:rPr>
          <w:lang w:val="en-GB"/>
        </w:rPr>
      </w:pPr>
      <w:r w:rsidRPr="00C145FC">
        <w:rPr>
          <w:noProof/>
          <w:lang w:val="it-IT" w:eastAsia="it-IT"/>
        </w:rPr>
        <w:drawing>
          <wp:inline distT="0" distB="0" distL="0" distR="0" wp14:anchorId="71E05516" wp14:editId="112A0AC2">
            <wp:extent cx="2730528" cy="1667934"/>
            <wp:effectExtent l="0" t="0" r="0" b="889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2110" cy="1668900"/>
                    </a:xfrm>
                    <a:prstGeom prst="rect">
                      <a:avLst/>
                    </a:prstGeom>
                    <a:noFill/>
                    <a:ln>
                      <a:noFill/>
                    </a:ln>
                  </pic:spPr>
                </pic:pic>
              </a:graphicData>
            </a:graphic>
          </wp:inline>
        </w:drawing>
      </w:r>
      <w:r w:rsidRPr="00C145FC">
        <w:rPr>
          <w:noProof/>
          <w:lang w:val="it-IT" w:eastAsia="it-IT"/>
        </w:rPr>
        <w:drawing>
          <wp:inline distT="0" distB="0" distL="0" distR="0" wp14:anchorId="7F0C70B3" wp14:editId="29808869">
            <wp:extent cx="2794000" cy="1706705"/>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752" cy="1707164"/>
                    </a:xfrm>
                    <a:prstGeom prst="rect">
                      <a:avLst/>
                    </a:prstGeom>
                    <a:noFill/>
                    <a:ln>
                      <a:noFill/>
                    </a:ln>
                  </pic:spPr>
                </pic:pic>
              </a:graphicData>
            </a:graphic>
          </wp:inline>
        </w:drawing>
      </w:r>
    </w:p>
    <w:p w14:paraId="1CE227BE" w14:textId="75996248" w:rsidR="00C145FC" w:rsidRDefault="00D86599" w:rsidP="00377168">
      <w:pPr>
        <w:pStyle w:val="CETCaption"/>
      </w:pPr>
      <w:r>
        <w:t xml:space="preserve">Figure 2. Feast phase length and applied OLR under different </w:t>
      </w:r>
      <w:r w:rsidR="00CD4EB1">
        <w:t>process</w:t>
      </w:r>
      <w:r>
        <w:t xml:space="preserve"> temperature (A); storage and substrates consumption specific rates and storage yield at different process temperature (B).</w:t>
      </w:r>
    </w:p>
    <w:p w14:paraId="06FF07A5" w14:textId="79BC93B1" w:rsidR="00377168" w:rsidRPr="00E05188" w:rsidRDefault="00377168" w:rsidP="00377168">
      <w:pPr>
        <w:pStyle w:val="CETBodytext"/>
        <w:rPr>
          <w:lang w:val="en-GB"/>
        </w:rPr>
      </w:pPr>
      <w:r>
        <w:rPr>
          <w:lang w:val="en-GB"/>
        </w:rPr>
        <w:lastRenderedPageBreak/>
        <w:t xml:space="preserve">Therefore, a good selective pressure for PHA-producing microorganisms was maintained also at operating T lower than 20°C. </w:t>
      </w:r>
      <w:r w:rsidR="00952ADD">
        <w:rPr>
          <w:lang w:val="en-GB"/>
        </w:rPr>
        <w:t>This fi</w:t>
      </w:r>
      <w:r w:rsidRPr="00E05188">
        <w:rPr>
          <w:lang w:val="en-GB"/>
        </w:rPr>
        <w:t xml:space="preserve">nding is not often reported in the </w:t>
      </w:r>
      <w:proofErr w:type="spellStart"/>
      <w:r w:rsidRPr="00E05188">
        <w:rPr>
          <w:lang w:val="en-GB"/>
        </w:rPr>
        <w:t>literure</w:t>
      </w:r>
      <w:proofErr w:type="spellEnd"/>
      <w:r w:rsidRPr="00E05188">
        <w:rPr>
          <w:lang w:val="en-GB"/>
        </w:rPr>
        <w:t xml:space="preserve"> body, where the process T is generally controlled </w:t>
      </w:r>
      <w:r w:rsidR="00E0032B">
        <w:rPr>
          <w:lang w:val="en-GB"/>
        </w:rPr>
        <w:t>around</w:t>
      </w:r>
      <w:r w:rsidRPr="00E05188">
        <w:rPr>
          <w:lang w:val="en-GB"/>
        </w:rPr>
        <w:t xml:space="preserve"> 2</w:t>
      </w:r>
      <w:r w:rsidR="00E0032B">
        <w:rPr>
          <w:lang w:val="en-GB"/>
        </w:rPr>
        <w:t>5</w:t>
      </w:r>
      <w:r w:rsidRPr="00E05188">
        <w:rPr>
          <w:lang w:val="en-GB"/>
        </w:rPr>
        <w:t>°C (</w:t>
      </w:r>
      <w:proofErr w:type="spellStart"/>
      <w:r w:rsidRPr="00E05188">
        <w:rPr>
          <w:lang w:val="en-GB"/>
        </w:rPr>
        <w:t>Kourmentza</w:t>
      </w:r>
      <w:proofErr w:type="spellEnd"/>
      <w:r w:rsidRPr="00E05188">
        <w:rPr>
          <w:lang w:val="en-GB"/>
        </w:rPr>
        <w:t xml:space="preserve"> et al., 2017).</w:t>
      </w:r>
    </w:p>
    <w:p w14:paraId="3C896A26" w14:textId="77777777" w:rsidR="00C64A39" w:rsidRPr="00E05188" w:rsidRDefault="00D86599" w:rsidP="00EC66BB">
      <w:pPr>
        <w:pStyle w:val="CETBodytext"/>
        <w:rPr>
          <w:lang w:val="en-GB"/>
        </w:rPr>
      </w:pPr>
      <w:r w:rsidRPr="00E05188">
        <w:rPr>
          <w:lang w:val="en-GB"/>
        </w:rPr>
        <w:t xml:space="preserve">Recently, the influence of T on the production of PHA-storing biomass was evaluated within a practical case study (De </w:t>
      </w:r>
      <w:proofErr w:type="spellStart"/>
      <w:r w:rsidRPr="00E05188">
        <w:rPr>
          <w:lang w:val="en-GB"/>
        </w:rPr>
        <w:t>Grazia</w:t>
      </w:r>
      <w:proofErr w:type="spellEnd"/>
      <w:r w:rsidRPr="00E05188">
        <w:rPr>
          <w:lang w:val="en-GB"/>
        </w:rPr>
        <w:t xml:space="preserve"> et al., 2017). The produced biomass accumulated PHA to between 60 and 65%, g</w:t>
      </w:r>
      <w:r w:rsidR="00C64A39" w:rsidRPr="00E05188">
        <w:rPr>
          <w:lang w:val="en-GB"/>
        </w:rPr>
        <w:t xml:space="preserve"> </w:t>
      </w:r>
      <w:r w:rsidRPr="00E05188">
        <w:rPr>
          <w:lang w:val="en-GB"/>
        </w:rPr>
        <w:t>PHA/g</w:t>
      </w:r>
      <w:r w:rsidR="00C64A39" w:rsidRPr="00E05188">
        <w:rPr>
          <w:lang w:val="en-GB"/>
        </w:rPr>
        <w:t xml:space="preserve"> </w:t>
      </w:r>
      <w:r w:rsidRPr="00E05188">
        <w:rPr>
          <w:lang w:val="en-GB"/>
        </w:rPr>
        <w:t>VSS for all temperatures tested</w:t>
      </w:r>
      <w:r w:rsidR="00C64A39" w:rsidRPr="00E05188">
        <w:rPr>
          <w:lang w:val="en-GB"/>
        </w:rPr>
        <w:t>, from 15°C to 30°C. In agreement to this study, t</w:t>
      </w:r>
      <w:r w:rsidRPr="00E05188">
        <w:rPr>
          <w:lang w:val="en-GB"/>
        </w:rPr>
        <w:t xml:space="preserve">he MMC PHA production process </w:t>
      </w:r>
      <w:r w:rsidR="00C64A39" w:rsidRPr="00E05188">
        <w:rPr>
          <w:lang w:val="en-GB"/>
        </w:rPr>
        <w:t xml:space="preserve">has been demonstrated to </w:t>
      </w:r>
      <w:proofErr w:type="spellStart"/>
      <w:proofErr w:type="gramStart"/>
      <w:r w:rsidR="00C64A39" w:rsidRPr="00E05188">
        <w:rPr>
          <w:lang w:val="en-GB"/>
        </w:rPr>
        <w:t>bo</w:t>
      </w:r>
      <w:proofErr w:type="spellEnd"/>
      <w:proofErr w:type="gramEnd"/>
      <w:r w:rsidR="00C64A39" w:rsidRPr="00E05188">
        <w:rPr>
          <w:lang w:val="en-GB"/>
        </w:rPr>
        <w:t xml:space="preserve"> a</w:t>
      </w:r>
      <w:r w:rsidRPr="00E05188">
        <w:rPr>
          <w:lang w:val="en-GB"/>
        </w:rPr>
        <w:t xml:space="preserve">daptable within a </w:t>
      </w:r>
      <w:r w:rsidR="00C64A39" w:rsidRPr="00E05188">
        <w:rPr>
          <w:lang w:val="en-GB"/>
        </w:rPr>
        <w:t>predicted</w:t>
      </w:r>
      <w:r w:rsidRPr="00E05188">
        <w:rPr>
          <w:lang w:val="en-GB"/>
        </w:rPr>
        <w:t xml:space="preserve"> range for seasonal </w:t>
      </w:r>
      <w:r w:rsidR="00C64A39" w:rsidRPr="00E05188">
        <w:rPr>
          <w:lang w:val="en-GB"/>
        </w:rPr>
        <w:t xml:space="preserve">T </w:t>
      </w:r>
      <w:r w:rsidRPr="00E05188">
        <w:rPr>
          <w:lang w:val="en-GB"/>
        </w:rPr>
        <w:t xml:space="preserve">fluctuation. </w:t>
      </w:r>
    </w:p>
    <w:p w14:paraId="42A484DF" w14:textId="766B4B36" w:rsidR="00C64A39" w:rsidRPr="00E05188" w:rsidRDefault="00C64A39" w:rsidP="00EC66BB">
      <w:pPr>
        <w:pStyle w:val="CETBodytext"/>
        <w:rPr>
          <w:lang w:val="en-GB"/>
        </w:rPr>
      </w:pPr>
      <w:r w:rsidRPr="00E05188">
        <w:rPr>
          <w:lang w:val="en-GB"/>
        </w:rPr>
        <w:t>It was interesting to observe how the T affected the specific substrate uptake rate (-</w:t>
      </w:r>
      <w:proofErr w:type="spellStart"/>
      <w:r w:rsidRPr="00E05188">
        <w:rPr>
          <w:lang w:val="en-GB"/>
        </w:rPr>
        <w:t>qS</w:t>
      </w:r>
      <w:r w:rsidRPr="00E05188">
        <w:rPr>
          <w:vertAlign w:val="superscript"/>
          <w:lang w:val="en-GB"/>
        </w:rPr>
        <w:t>feast</w:t>
      </w:r>
      <w:proofErr w:type="spellEnd"/>
      <w:r w:rsidRPr="00E05188">
        <w:rPr>
          <w:lang w:val="en-GB"/>
        </w:rPr>
        <w:t>) more than the specific storage rate (</w:t>
      </w:r>
      <w:proofErr w:type="spellStart"/>
      <w:r w:rsidRPr="00E05188">
        <w:rPr>
          <w:lang w:val="en-GB"/>
        </w:rPr>
        <w:t>qP</w:t>
      </w:r>
      <w:r w:rsidRPr="00E05188">
        <w:rPr>
          <w:vertAlign w:val="superscript"/>
          <w:lang w:val="en-GB"/>
        </w:rPr>
        <w:t>feast</w:t>
      </w:r>
      <w:proofErr w:type="spellEnd"/>
      <w:r w:rsidRPr="00E05188">
        <w:rPr>
          <w:lang w:val="en-GB"/>
        </w:rPr>
        <w:t xml:space="preserve">). </w:t>
      </w:r>
      <w:r w:rsidR="00363C76" w:rsidRPr="00E05188">
        <w:rPr>
          <w:lang w:val="en-GB"/>
        </w:rPr>
        <w:t>The (-</w:t>
      </w:r>
      <w:proofErr w:type="spellStart"/>
      <w:r w:rsidR="00363C76" w:rsidRPr="00E05188">
        <w:rPr>
          <w:lang w:val="en-GB"/>
        </w:rPr>
        <w:t>qS</w:t>
      </w:r>
      <w:r w:rsidR="00363C76" w:rsidRPr="00E05188">
        <w:rPr>
          <w:vertAlign w:val="superscript"/>
          <w:lang w:val="en-GB"/>
        </w:rPr>
        <w:t>feast</w:t>
      </w:r>
      <w:proofErr w:type="spellEnd"/>
      <w:r w:rsidR="00363C76" w:rsidRPr="00E05188">
        <w:rPr>
          <w:lang w:val="en-GB"/>
        </w:rPr>
        <w:t xml:space="preserve">) decreased </w:t>
      </w:r>
      <w:r w:rsidR="00D30C32" w:rsidRPr="00E05188">
        <w:rPr>
          <w:lang w:val="en-GB"/>
        </w:rPr>
        <w:t>almost linearly from 554 ± 22 to 372 ± 20 g COD</w:t>
      </w:r>
      <w:r w:rsidR="00D30C32" w:rsidRPr="00E05188">
        <w:rPr>
          <w:vertAlign w:val="subscript"/>
          <w:lang w:val="en-GB"/>
        </w:rPr>
        <w:t>PHA</w:t>
      </w:r>
      <w:r w:rsidR="00D30C32" w:rsidRPr="00E05188">
        <w:rPr>
          <w:lang w:val="en-GB"/>
        </w:rPr>
        <w:t xml:space="preserve">/g </w:t>
      </w:r>
      <w:proofErr w:type="spellStart"/>
      <w:r w:rsidR="00D30C32" w:rsidRPr="00E05188">
        <w:rPr>
          <w:lang w:val="en-GB"/>
        </w:rPr>
        <w:t>COD</w:t>
      </w:r>
      <w:r w:rsidR="00D30C32" w:rsidRPr="00E05188">
        <w:rPr>
          <w:vertAlign w:val="subscript"/>
          <w:lang w:val="en-GB"/>
        </w:rPr>
        <w:t>Xa</w:t>
      </w:r>
      <w:proofErr w:type="spellEnd"/>
      <w:r w:rsidR="00D30C32" w:rsidRPr="00E05188">
        <w:rPr>
          <w:lang w:val="en-GB"/>
        </w:rPr>
        <w:t>/h (by 33%) as T decreased from 26.2 ± 0.9 to 17.1 ± 0.6 °C. However, the same monotonic trend was not observed for (</w:t>
      </w:r>
      <w:proofErr w:type="spellStart"/>
      <w:r w:rsidR="00D30C32" w:rsidRPr="00E05188">
        <w:rPr>
          <w:lang w:val="en-GB"/>
        </w:rPr>
        <w:t>qP</w:t>
      </w:r>
      <w:r w:rsidR="00D30C32" w:rsidRPr="00E05188">
        <w:rPr>
          <w:vertAlign w:val="superscript"/>
          <w:lang w:val="en-GB"/>
        </w:rPr>
        <w:t>feast</w:t>
      </w:r>
      <w:proofErr w:type="spellEnd"/>
      <w:r w:rsidR="00D30C32" w:rsidRPr="00E05188">
        <w:rPr>
          <w:lang w:val="en-GB"/>
        </w:rPr>
        <w:t xml:space="preserve">), which variation was at lower </w:t>
      </w:r>
      <w:r w:rsidR="00D87C71" w:rsidRPr="00E05188">
        <w:rPr>
          <w:lang w:val="en-GB"/>
        </w:rPr>
        <w:t>extent</w:t>
      </w:r>
      <w:r w:rsidR="00D30C32" w:rsidRPr="00E05188">
        <w:rPr>
          <w:lang w:val="en-GB"/>
        </w:rPr>
        <w:t xml:space="preserve"> and not statistically correlated with the T changing</w:t>
      </w:r>
      <w:r w:rsidR="00D87C71" w:rsidRPr="00E05188">
        <w:rPr>
          <w:lang w:val="en-GB"/>
        </w:rPr>
        <w:t>.</w:t>
      </w:r>
      <w:r w:rsidR="00D30C32" w:rsidRPr="00E05188">
        <w:rPr>
          <w:lang w:val="en-GB"/>
        </w:rPr>
        <w:t xml:space="preserve"> </w:t>
      </w:r>
      <w:r w:rsidR="00D87C71" w:rsidRPr="00E05188">
        <w:rPr>
          <w:lang w:val="en-GB"/>
        </w:rPr>
        <w:t xml:space="preserve">As matter of fact, lower </w:t>
      </w:r>
      <w:r w:rsidR="007171D6">
        <w:rPr>
          <w:lang w:val="en-GB"/>
        </w:rPr>
        <w:t>T</w:t>
      </w:r>
      <w:r w:rsidR="00D87C71" w:rsidRPr="00E05188">
        <w:rPr>
          <w:lang w:val="en-GB"/>
        </w:rPr>
        <w:t xml:space="preserve"> appeared to be in favour of the storage response, since the higher storage yield</w:t>
      </w:r>
      <w:r w:rsidR="00883B9F" w:rsidRPr="00E05188">
        <w:rPr>
          <w:lang w:val="en-GB"/>
        </w:rPr>
        <w:t xml:space="preserve"> (i.e., the fraction of the removed COD</w:t>
      </w:r>
      <w:r w:rsidR="00883B9F" w:rsidRPr="00E05188">
        <w:rPr>
          <w:vertAlign w:val="subscript"/>
          <w:lang w:val="en-GB"/>
        </w:rPr>
        <w:t>SOL</w:t>
      </w:r>
      <w:r w:rsidR="00883B9F" w:rsidRPr="00E05188">
        <w:rPr>
          <w:lang w:val="en-GB"/>
        </w:rPr>
        <w:t xml:space="preserve"> converted into polymer)</w:t>
      </w:r>
      <w:r w:rsidR="00D87C71" w:rsidRPr="00E05188">
        <w:rPr>
          <w:lang w:val="en-GB"/>
        </w:rPr>
        <w:t xml:space="preserve"> was </w:t>
      </w:r>
      <w:r w:rsidR="004D046E" w:rsidRPr="00E05188">
        <w:rPr>
          <w:lang w:val="en-GB"/>
        </w:rPr>
        <w:t>obtained at the lower temperature investigated</w:t>
      </w:r>
      <w:r w:rsidR="00883B9F" w:rsidRPr="00E05188">
        <w:rPr>
          <w:lang w:val="en-GB"/>
        </w:rPr>
        <w:t xml:space="preserve"> (Y</w:t>
      </w:r>
      <w:r w:rsidR="00883B9F" w:rsidRPr="00E05188">
        <w:rPr>
          <w:vertAlign w:val="subscript"/>
          <w:lang w:val="en-GB"/>
        </w:rPr>
        <w:t>P/</w:t>
      </w:r>
      <w:proofErr w:type="spellStart"/>
      <w:r w:rsidR="00883B9F" w:rsidRPr="00E05188">
        <w:rPr>
          <w:vertAlign w:val="subscript"/>
          <w:lang w:val="en-GB"/>
        </w:rPr>
        <w:t>S</w:t>
      </w:r>
      <w:r w:rsidR="00883B9F" w:rsidRPr="00E05188">
        <w:rPr>
          <w:vertAlign w:val="superscript"/>
          <w:lang w:val="en-GB"/>
        </w:rPr>
        <w:t>feast</w:t>
      </w:r>
      <w:proofErr w:type="spellEnd"/>
      <w:r w:rsidR="00883B9F" w:rsidRPr="00E05188">
        <w:rPr>
          <w:lang w:val="en-GB"/>
        </w:rPr>
        <w:t xml:space="preserve"> 0.45 ± 0.02 COD</w:t>
      </w:r>
      <w:r w:rsidR="00883B9F" w:rsidRPr="00E05188">
        <w:rPr>
          <w:vertAlign w:val="subscript"/>
          <w:lang w:val="en-GB"/>
        </w:rPr>
        <w:t>PHA</w:t>
      </w:r>
      <w:r w:rsidR="00883B9F" w:rsidRPr="00E05188">
        <w:rPr>
          <w:lang w:val="en-GB"/>
        </w:rPr>
        <w:t>/COD</w:t>
      </w:r>
      <w:r w:rsidR="00883B9F" w:rsidRPr="00E05188">
        <w:rPr>
          <w:vertAlign w:val="subscript"/>
          <w:lang w:val="en-GB"/>
        </w:rPr>
        <w:t>SOL</w:t>
      </w:r>
      <w:r w:rsidR="00883B9F" w:rsidRPr="00E05188">
        <w:rPr>
          <w:lang w:val="en-GB"/>
        </w:rPr>
        <w:t>)</w:t>
      </w:r>
      <w:r w:rsidR="004D046E" w:rsidRPr="00E05188">
        <w:rPr>
          <w:lang w:val="en-GB"/>
        </w:rPr>
        <w:t xml:space="preserve">. This was in agreement with De </w:t>
      </w:r>
      <w:proofErr w:type="spellStart"/>
      <w:r w:rsidR="004D046E" w:rsidRPr="00E05188">
        <w:rPr>
          <w:lang w:val="en-GB"/>
        </w:rPr>
        <w:t>Grazia</w:t>
      </w:r>
      <w:proofErr w:type="spellEnd"/>
      <w:r w:rsidR="004D046E" w:rsidRPr="00E05188">
        <w:rPr>
          <w:lang w:val="en-GB"/>
        </w:rPr>
        <w:t xml:space="preserve"> and co-workers (2017)</w:t>
      </w:r>
      <w:r w:rsidR="00377168" w:rsidRPr="00E05188">
        <w:rPr>
          <w:lang w:val="en-GB"/>
        </w:rPr>
        <w:t>; the authors demonstrated that C</w:t>
      </w:r>
      <w:r w:rsidR="004D046E" w:rsidRPr="00E05188">
        <w:rPr>
          <w:lang w:val="en-GB"/>
        </w:rPr>
        <w:t xml:space="preserve">OD consumption rates </w:t>
      </w:r>
      <w:r w:rsidR="00377168" w:rsidRPr="00E05188">
        <w:rPr>
          <w:lang w:val="en-GB"/>
        </w:rPr>
        <w:t>was</w:t>
      </w:r>
      <w:r w:rsidR="004D046E" w:rsidRPr="00E05188">
        <w:rPr>
          <w:lang w:val="en-GB"/>
        </w:rPr>
        <w:t xml:space="preserve"> more strongly affected by an increase in temperature than PHA </w:t>
      </w:r>
      <w:r w:rsidR="00C2212B" w:rsidRPr="00E05188">
        <w:rPr>
          <w:lang w:val="en-GB"/>
        </w:rPr>
        <w:t>storage</w:t>
      </w:r>
      <w:r w:rsidR="004D046E" w:rsidRPr="00E05188">
        <w:rPr>
          <w:lang w:val="en-GB"/>
        </w:rPr>
        <w:t>,</w:t>
      </w:r>
      <w:r w:rsidR="00377168" w:rsidRPr="00E05188">
        <w:rPr>
          <w:lang w:val="en-GB"/>
        </w:rPr>
        <w:t xml:space="preserve"> and the</w:t>
      </w:r>
      <w:r w:rsidR="004D046E" w:rsidRPr="00E05188">
        <w:rPr>
          <w:lang w:val="en-GB"/>
        </w:rPr>
        <w:t xml:space="preserve"> storage yields </w:t>
      </w:r>
      <w:r w:rsidR="00377168" w:rsidRPr="00E05188">
        <w:rPr>
          <w:lang w:val="en-GB"/>
        </w:rPr>
        <w:t>were</w:t>
      </w:r>
      <w:r w:rsidR="004D046E" w:rsidRPr="00E05188">
        <w:rPr>
          <w:lang w:val="en-GB"/>
        </w:rPr>
        <w:t xml:space="preserve"> predicted to decrease with increasing temperatures. Therefore, </w:t>
      </w:r>
      <w:r w:rsidR="00377168" w:rsidRPr="00E05188">
        <w:rPr>
          <w:lang w:val="en-GB"/>
        </w:rPr>
        <w:t xml:space="preserve">apart from the process kinetics (for both COD consumption and PHA synthesis), the MMC-PHA production can be more efficient at lower temperatures </w:t>
      </w:r>
      <w:r w:rsidR="004D046E" w:rsidRPr="00E05188">
        <w:rPr>
          <w:lang w:val="en-GB"/>
        </w:rPr>
        <w:t>from a substrate utilization perspective.</w:t>
      </w:r>
    </w:p>
    <w:p w14:paraId="5611C1CC" w14:textId="3A5B437C" w:rsidR="00EC66BB" w:rsidRDefault="00CD4EB1" w:rsidP="00F2367C">
      <w:pPr>
        <w:pStyle w:val="CETBodytext"/>
        <w:rPr>
          <w:lang w:val="en-GB"/>
        </w:rPr>
      </w:pPr>
      <w:r w:rsidRPr="00E05188">
        <w:rPr>
          <w:lang w:val="en-GB"/>
        </w:rPr>
        <w:t>The storage ability of the sludge selected in the SBR was evaluated in the fed-batch accumulation tests, which were perfo</w:t>
      </w:r>
      <w:r w:rsidR="007171D6">
        <w:rPr>
          <w:lang w:val="en-GB"/>
        </w:rPr>
        <w:t>r</w:t>
      </w:r>
      <w:r w:rsidRPr="00E05188">
        <w:rPr>
          <w:lang w:val="en-GB"/>
        </w:rPr>
        <w:t xml:space="preserve">med at the same temperatures of those monitored in SBR. </w:t>
      </w:r>
      <w:r w:rsidR="00315244" w:rsidRPr="00E05188">
        <w:rPr>
          <w:lang w:val="en-GB"/>
        </w:rPr>
        <w:t>The main quantified parameters are reported in table 1.</w:t>
      </w:r>
      <w:r w:rsidR="00877CED" w:rsidRPr="00E05188">
        <w:rPr>
          <w:lang w:val="en-GB"/>
        </w:rPr>
        <w:t xml:space="preserve"> The data reflected what previously observed in SBR; the storage performances were not statistically correlated with the T.</w:t>
      </w:r>
      <w:r w:rsidR="00D97680" w:rsidRPr="00E05188">
        <w:rPr>
          <w:lang w:val="en-GB"/>
        </w:rPr>
        <w:t xml:space="preserve"> Even</w:t>
      </w:r>
      <w:r w:rsidR="00D97680">
        <w:rPr>
          <w:lang w:val="en-GB"/>
        </w:rPr>
        <w:t xml:space="preserve"> though an average T of 26.2°C led to a better results with respect to intermediate T (21.8°C), </w:t>
      </w:r>
      <w:r w:rsidR="00E52399">
        <w:rPr>
          <w:lang w:val="en-GB"/>
        </w:rPr>
        <w:t xml:space="preserve">a </w:t>
      </w:r>
      <w:r w:rsidR="00D97680">
        <w:rPr>
          <w:lang w:val="en-GB"/>
        </w:rPr>
        <w:t xml:space="preserve">lower </w:t>
      </w:r>
      <w:r w:rsidR="00E52399">
        <w:rPr>
          <w:lang w:val="en-GB"/>
        </w:rPr>
        <w:t xml:space="preserve">T was even more performing since the </w:t>
      </w:r>
      <w:r w:rsidR="00823B68">
        <w:rPr>
          <w:lang w:val="en-GB"/>
        </w:rPr>
        <w:t>final</w:t>
      </w:r>
      <w:r w:rsidR="00E52399">
        <w:rPr>
          <w:lang w:val="en-GB"/>
        </w:rPr>
        <w:t xml:space="preserve"> storage yield (Y</w:t>
      </w:r>
      <w:r w:rsidR="00E52399" w:rsidRPr="00E52399">
        <w:rPr>
          <w:vertAlign w:val="subscript"/>
          <w:lang w:val="en-GB"/>
        </w:rPr>
        <w:t>P/</w:t>
      </w:r>
      <w:proofErr w:type="spellStart"/>
      <w:r w:rsidR="00E52399" w:rsidRPr="00E52399">
        <w:rPr>
          <w:vertAlign w:val="subscript"/>
          <w:lang w:val="en-GB"/>
        </w:rPr>
        <w:t>S</w:t>
      </w:r>
      <w:r w:rsidR="00E52399" w:rsidRPr="00E52399">
        <w:rPr>
          <w:vertAlign w:val="superscript"/>
          <w:lang w:val="en-GB"/>
        </w:rPr>
        <w:t>batch</w:t>
      </w:r>
      <w:proofErr w:type="spellEnd"/>
      <w:r w:rsidR="00E52399">
        <w:rPr>
          <w:lang w:val="en-GB"/>
        </w:rPr>
        <w:t xml:space="preserve">) and PHA biomass content were the highest achieved: 0.44 </w:t>
      </w:r>
      <w:r w:rsidR="00E52399" w:rsidRPr="00D70002">
        <w:rPr>
          <w:lang w:val="en-GB"/>
        </w:rPr>
        <w:t>±</w:t>
      </w:r>
      <w:r w:rsidR="00E52399">
        <w:rPr>
          <w:lang w:val="en-GB"/>
        </w:rPr>
        <w:t xml:space="preserve"> 0.03 COD</w:t>
      </w:r>
      <w:r w:rsidR="00E52399" w:rsidRPr="00E52399">
        <w:rPr>
          <w:vertAlign w:val="subscript"/>
          <w:lang w:val="en-GB"/>
        </w:rPr>
        <w:t>PHA</w:t>
      </w:r>
      <w:r w:rsidR="00E52399">
        <w:rPr>
          <w:lang w:val="en-GB"/>
        </w:rPr>
        <w:t>/COD</w:t>
      </w:r>
      <w:r w:rsidR="00E52399" w:rsidRPr="00E52399">
        <w:rPr>
          <w:vertAlign w:val="subscript"/>
          <w:lang w:val="en-GB"/>
        </w:rPr>
        <w:t>SOL</w:t>
      </w:r>
      <w:r w:rsidR="00D97680">
        <w:rPr>
          <w:lang w:val="en-GB"/>
        </w:rPr>
        <w:t xml:space="preserve"> </w:t>
      </w:r>
      <w:r w:rsidR="00E52399">
        <w:rPr>
          <w:lang w:val="en-GB"/>
        </w:rPr>
        <w:t>and 0.4</w:t>
      </w:r>
      <w:r w:rsidR="00E05188">
        <w:rPr>
          <w:lang w:val="en-GB"/>
        </w:rPr>
        <w:t>9</w:t>
      </w:r>
      <w:r w:rsidR="00E52399">
        <w:rPr>
          <w:lang w:val="en-GB"/>
        </w:rPr>
        <w:t xml:space="preserve"> </w:t>
      </w:r>
      <w:r w:rsidR="00E52399" w:rsidRPr="00D70002">
        <w:rPr>
          <w:lang w:val="en-GB"/>
        </w:rPr>
        <w:t>±</w:t>
      </w:r>
      <w:r w:rsidR="00E52399">
        <w:rPr>
          <w:lang w:val="en-GB"/>
        </w:rPr>
        <w:t xml:space="preserve"> 0.02 g PHA/g VSS respectively.</w:t>
      </w:r>
      <w:r w:rsidR="0028454D">
        <w:rPr>
          <w:lang w:val="en-GB"/>
        </w:rPr>
        <w:t xml:space="preserve"> The initial specific storage rate was higher at the lower and higher temperatures explored</w:t>
      </w:r>
      <w:r w:rsidR="00BE1108">
        <w:rPr>
          <w:lang w:val="en-GB"/>
        </w:rPr>
        <w:t>:</w:t>
      </w:r>
      <w:r w:rsidR="0028454D">
        <w:rPr>
          <w:lang w:val="en-GB"/>
        </w:rPr>
        <w:t xml:space="preserve"> </w:t>
      </w:r>
      <w:r w:rsidR="00BE1108">
        <w:rPr>
          <w:lang w:val="en-GB"/>
        </w:rPr>
        <w:t>t</w:t>
      </w:r>
      <w:r w:rsidR="0028454D">
        <w:rPr>
          <w:lang w:val="en-GB"/>
        </w:rPr>
        <w:t xml:space="preserve">hese values </w:t>
      </w:r>
      <w:r w:rsidR="00E96C5D">
        <w:rPr>
          <w:lang w:val="en-GB"/>
        </w:rPr>
        <w:t xml:space="preserve">described the performance at the beginning of the accumulation tests (approximately the first two hours); any possible effect related to the PHA saturation was not taken into account. Over the course of the tests, </w:t>
      </w:r>
      <w:proofErr w:type="gramStart"/>
      <w:r w:rsidR="00E96C5D">
        <w:rPr>
          <w:lang w:val="en-GB"/>
        </w:rPr>
        <w:t>those rates was</w:t>
      </w:r>
      <w:proofErr w:type="gramEnd"/>
      <w:r w:rsidR="00E96C5D">
        <w:rPr>
          <w:lang w:val="en-GB"/>
        </w:rPr>
        <w:t xml:space="preserve"> not maintained since the PHA content in the biomass progressively increased. However, at lower T, the storage response was maintained more efficient </w:t>
      </w:r>
      <w:r w:rsidR="00823B68">
        <w:rPr>
          <w:lang w:val="en-GB"/>
        </w:rPr>
        <w:t xml:space="preserve">in terms of substrates utilisation, </w:t>
      </w:r>
      <w:r w:rsidR="00E96C5D">
        <w:rPr>
          <w:lang w:val="en-GB"/>
        </w:rPr>
        <w:t>as demonstrated by the highest final</w:t>
      </w:r>
      <w:r w:rsidR="00823B68">
        <w:rPr>
          <w:lang w:val="en-GB"/>
        </w:rPr>
        <w:t xml:space="preserve"> yield.</w:t>
      </w:r>
      <w:r w:rsidR="0028454D">
        <w:rPr>
          <w:lang w:val="en-GB"/>
        </w:rPr>
        <w:t xml:space="preserve"> </w:t>
      </w:r>
    </w:p>
    <w:p w14:paraId="68D95AF3" w14:textId="77777777" w:rsidR="00E96C5D" w:rsidRPr="00B57B36" w:rsidRDefault="00E96C5D" w:rsidP="00E96C5D">
      <w:pPr>
        <w:pStyle w:val="CETTabletitle"/>
      </w:pPr>
      <w:r w:rsidRPr="00B57B36">
        <w:t xml:space="preserve">Table 1: </w:t>
      </w:r>
      <w:r>
        <w:t>Main parameters of the storage performance quantified in the accumulation tests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984"/>
        <w:gridCol w:w="1701"/>
        <w:gridCol w:w="1560"/>
        <w:gridCol w:w="1559"/>
      </w:tblGrid>
      <w:tr w:rsidR="00E96C5D" w:rsidRPr="00B57B36" w14:paraId="01B0C5E1" w14:textId="77777777" w:rsidTr="00E96C5D">
        <w:tc>
          <w:tcPr>
            <w:tcW w:w="1985" w:type="dxa"/>
            <w:vMerge w:val="restart"/>
            <w:tcBorders>
              <w:top w:val="single" w:sz="12" w:space="0" w:color="008000"/>
            </w:tcBorders>
            <w:shd w:val="clear" w:color="auto" w:fill="FFFFFF"/>
          </w:tcPr>
          <w:p w14:paraId="75830C38" w14:textId="77777777" w:rsidR="00E96C5D" w:rsidRDefault="00E96C5D" w:rsidP="00E96C5D">
            <w:pPr>
              <w:pStyle w:val="CETBodytext"/>
              <w:rPr>
                <w:lang w:val="en-GB"/>
              </w:rPr>
            </w:pPr>
            <w:r>
              <w:rPr>
                <w:lang w:val="en-GB"/>
              </w:rPr>
              <w:t>Parameters</w:t>
            </w:r>
            <w:r w:rsidRPr="00B57B36">
              <w:rPr>
                <w:lang w:val="en-GB"/>
              </w:rPr>
              <w:t xml:space="preserve"> </w:t>
            </w:r>
          </w:p>
        </w:tc>
        <w:tc>
          <w:tcPr>
            <w:tcW w:w="1984" w:type="dxa"/>
            <w:vMerge w:val="restart"/>
            <w:tcBorders>
              <w:top w:val="single" w:sz="12" w:space="0" w:color="008000"/>
            </w:tcBorders>
            <w:shd w:val="clear" w:color="auto" w:fill="FFFFFF"/>
          </w:tcPr>
          <w:p w14:paraId="3F78A86B" w14:textId="77777777" w:rsidR="00E96C5D" w:rsidRDefault="00E96C5D" w:rsidP="00E96C5D">
            <w:pPr>
              <w:pStyle w:val="CETBodytext"/>
              <w:jc w:val="center"/>
              <w:rPr>
                <w:lang w:val="en-GB"/>
              </w:rPr>
            </w:pPr>
            <w:r>
              <w:rPr>
                <w:lang w:val="en-GB"/>
              </w:rPr>
              <w:t>Unit</w:t>
            </w:r>
          </w:p>
        </w:tc>
        <w:tc>
          <w:tcPr>
            <w:tcW w:w="4820" w:type="dxa"/>
            <w:gridSpan w:val="3"/>
            <w:tcBorders>
              <w:top w:val="single" w:sz="12" w:space="0" w:color="008000"/>
              <w:bottom w:val="single" w:sz="6" w:space="0" w:color="008000"/>
            </w:tcBorders>
            <w:shd w:val="clear" w:color="auto" w:fill="FFFFFF"/>
          </w:tcPr>
          <w:p w14:paraId="12E1F641" w14:textId="77777777" w:rsidR="00E96C5D" w:rsidRDefault="00E96C5D" w:rsidP="00E96C5D">
            <w:pPr>
              <w:pStyle w:val="CETBodytext"/>
              <w:ind w:right="-1"/>
              <w:jc w:val="center"/>
              <w:rPr>
                <w:rFonts w:cs="Arial"/>
                <w:szCs w:val="18"/>
                <w:lang w:val="en-GB"/>
              </w:rPr>
            </w:pPr>
            <w:r>
              <w:rPr>
                <w:rFonts w:cs="Arial"/>
                <w:szCs w:val="18"/>
                <w:lang w:val="en-GB"/>
              </w:rPr>
              <w:t>Operating Temperature</w:t>
            </w:r>
          </w:p>
        </w:tc>
      </w:tr>
      <w:tr w:rsidR="00E96C5D" w:rsidRPr="00B57B36" w14:paraId="3E251CF2" w14:textId="77777777" w:rsidTr="00E96C5D">
        <w:tc>
          <w:tcPr>
            <w:tcW w:w="1985" w:type="dxa"/>
            <w:vMerge/>
            <w:tcBorders>
              <w:bottom w:val="single" w:sz="6" w:space="0" w:color="008000"/>
            </w:tcBorders>
            <w:shd w:val="clear" w:color="auto" w:fill="FFFFFF"/>
          </w:tcPr>
          <w:p w14:paraId="75A3E6EE" w14:textId="77777777" w:rsidR="00E96C5D" w:rsidRPr="00B57B36" w:rsidRDefault="00E96C5D" w:rsidP="00E96C5D">
            <w:pPr>
              <w:pStyle w:val="CETBodytext"/>
              <w:rPr>
                <w:lang w:val="en-GB"/>
              </w:rPr>
            </w:pPr>
          </w:p>
        </w:tc>
        <w:tc>
          <w:tcPr>
            <w:tcW w:w="1984" w:type="dxa"/>
            <w:vMerge/>
            <w:tcBorders>
              <w:bottom w:val="single" w:sz="6" w:space="0" w:color="008000"/>
            </w:tcBorders>
            <w:shd w:val="clear" w:color="auto" w:fill="FFFFFF"/>
          </w:tcPr>
          <w:p w14:paraId="2BDF4062" w14:textId="77777777" w:rsidR="00E96C5D" w:rsidRDefault="00E96C5D" w:rsidP="00E96C5D">
            <w:pPr>
              <w:pStyle w:val="CETBodytext"/>
              <w:jc w:val="center"/>
              <w:rPr>
                <w:lang w:val="en-GB"/>
              </w:rPr>
            </w:pPr>
          </w:p>
        </w:tc>
        <w:tc>
          <w:tcPr>
            <w:tcW w:w="1701" w:type="dxa"/>
            <w:tcBorders>
              <w:top w:val="single" w:sz="12" w:space="0" w:color="008000"/>
              <w:bottom w:val="single" w:sz="6" w:space="0" w:color="008000"/>
            </w:tcBorders>
            <w:shd w:val="clear" w:color="auto" w:fill="FFFFFF"/>
          </w:tcPr>
          <w:p w14:paraId="2EB5CD30" w14:textId="04223AD6" w:rsidR="00E96C5D" w:rsidRPr="00B57B36" w:rsidRDefault="00E96C5D" w:rsidP="00E96C5D">
            <w:pPr>
              <w:pStyle w:val="CETBodytext"/>
              <w:jc w:val="center"/>
              <w:rPr>
                <w:lang w:val="en-GB"/>
              </w:rPr>
            </w:pPr>
            <w:r>
              <w:rPr>
                <w:lang w:val="en-GB"/>
              </w:rPr>
              <w:t>17.1</w:t>
            </w:r>
            <w:r w:rsidR="009652AE">
              <w:rPr>
                <w:lang w:val="en-GB"/>
              </w:rPr>
              <w:t xml:space="preserve"> </w:t>
            </w:r>
            <w:r w:rsidR="009652AE" w:rsidRPr="00D70002">
              <w:rPr>
                <w:lang w:val="en-GB"/>
              </w:rPr>
              <w:t>±</w:t>
            </w:r>
            <w:r w:rsidR="009652AE">
              <w:rPr>
                <w:lang w:val="en-GB"/>
              </w:rPr>
              <w:t xml:space="preserve"> 0.6</w:t>
            </w:r>
            <w:r>
              <w:rPr>
                <w:lang w:val="en-GB"/>
              </w:rPr>
              <w:t>°C</w:t>
            </w:r>
          </w:p>
        </w:tc>
        <w:tc>
          <w:tcPr>
            <w:tcW w:w="1560" w:type="dxa"/>
            <w:tcBorders>
              <w:top w:val="single" w:sz="12" w:space="0" w:color="008000"/>
              <w:bottom w:val="single" w:sz="6" w:space="0" w:color="008000"/>
            </w:tcBorders>
            <w:shd w:val="clear" w:color="auto" w:fill="FFFFFF"/>
          </w:tcPr>
          <w:p w14:paraId="0F8D7F42" w14:textId="62F5A0AF" w:rsidR="00E96C5D" w:rsidRPr="00B57B36" w:rsidRDefault="00E96C5D" w:rsidP="00E96C5D">
            <w:pPr>
              <w:pStyle w:val="CETBodytext"/>
              <w:jc w:val="center"/>
              <w:rPr>
                <w:lang w:val="en-GB"/>
              </w:rPr>
            </w:pPr>
            <w:r>
              <w:rPr>
                <w:lang w:val="en-GB"/>
              </w:rPr>
              <w:t>21.8</w:t>
            </w:r>
            <w:r w:rsidR="009652AE">
              <w:rPr>
                <w:lang w:val="en-GB"/>
              </w:rPr>
              <w:t xml:space="preserve"> </w:t>
            </w:r>
            <w:r w:rsidR="009652AE" w:rsidRPr="00D70002">
              <w:rPr>
                <w:lang w:val="en-GB"/>
              </w:rPr>
              <w:t>±</w:t>
            </w:r>
            <w:r w:rsidR="009652AE">
              <w:rPr>
                <w:lang w:val="en-GB"/>
              </w:rPr>
              <w:t xml:space="preserve"> 0.9</w:t>
            </w:r>
            <w:r>
              <w:rPr>
                <w:lang w:val="en-GB"/>
              </w:rPr>
              <w:t>°C</w:t>
            </w:r>
          </w:p>
        </w:tc>
        <w:tc>
          <w:tcPr>
            <w:tcW w:w="1559" w:type="dxa"/>
            <w:tcBorders>
              <w:top w:val="single" w:sz="12" w:space="0" w:color="008000"/>
              <w:bottom w:val="single" w:sz="6" w:space="0" w:color="008000"/>
            </w:tcBorders>
            <w:shd w:val="clear" w:color="auto" w:fill="FFFFFF"/>
          </w:tcPr>
          <w:p w14:paraId="4257D221" w14:textId="41E410BF" w:rsidR="00E96C5D" w:rsidRPr="00B57B36" w:rsidRDefault="00E96C5D" w:rsidP="00E96C5D">
            <w:pPr>
              <w:pStyle w:val="CETBodytext"/>
              <w:ind w:right="-1"/>
              <w:jc w:val="center"/>
              <w:rPr>
                <w:rFonts w:cs="Arial"/>
                <w:szCs w:val="18"/>
                <w:lang w:val="en-GB"/>
              </w:rPr>
            </w:pPr>
            <w:r>
              <w:rPr>
                <w:rFonts w:cs="Arial"/>
                <w:szCs w:val="18"/>
                <w:lang w:val="en-GB"/>
              </w:rPr>
              <w:t>26.2</w:t>
            </w:r>
            <w:r w:rsidR="009652AE">
              <w:rPr>
                <w:rFonts w:cs="Arial"/>
                <w:szCs w:val="18"/>
                <w:lang w:val="en-GB"/>
              </w:rPr>
              <w:t xml:space="preserve"> </w:t>
            </w:r>
            <w:r w:rsidR="009652AE" w:rsidRPr="00D70002">
              <w:rPr>
                <w:lang w:val="en-GB"/>
              </w:rPr>
              <w:t>±</w:t>
            </w:r>
            <w:r w:rsidR="009652AE">
              <w:rPr>
                <w:lang w:val="en-GB"/>
              </w:rPr>
              <w:t xml:space="preserve"> 0.9</w:t>
            </w:r>
            <w:r>
              <w:rPr>
                <w:rFonts w:cs="Arial"/>
                <w:szCs w:val="18"/>
                <w:lang w:val="en-GB"/>
              </w:rPr>
              <w:t>°C</w:t>
            </w:r>
          </w:p>
        </w:tc>
      </w:tr>
      <w:tr w:rsidR="00E96C5D" w:rsidRPr="00B57B36" w14:paraId="5305B89F" w14:textId="77777777" w:rsidTr="00E96C5D">
        <w:tc>
          <w:tcPr>
            <w:tcW w:w="1985" w:type="dxa"/>
            <w:shd w:val="clear" w:color="auto" w:fill="FFFFFF"/>
          </w:tcPr>
          <w:p w14:paraId="30D44B67" w14:textId="77777777" w:rsidR="00E96C5D" w:rsidRPr="00B57B36" w:rsidRDefault="00E96C5D" w:rsidP="00E96C5D">
            <w:pPr>
              <w:pStyle w:val="CETBodytext"/>
              <w:rPr>
                <w:lang w:val="en-GB"/>
              </w:rPr>
            </w:pPr>
            <w:r>
              <w:rPr>
                <w:lang w:val="en-GB"/>
              </w:rPr>
              <w:t>Storage yield (Y</w:t>
            </w:r>
            <w:r w:rsidRPr="00E52399">
              <w:rPr>
                <w:vertAlign w:val="subscript"/>
                <w:lang w:val="en-GB"/>
              </w:rPr>
              <w:t>P/</w:t>
            </w:r>
            <w:proofErr w:type="spellStart"/>
            <w:r w:rsidRPr="00E52399">
              <w:rPr>
                <w:vertAlign w:val="subscript"/>
                <w:lang w:val="en-GB"/>
              </w:rPr>
              <w:t>S</w:t>
            </w:r>
            <w:r w:rsidRPr="00E52399">
              <w:rPr>
                <w:vertAlign w:val="superscript"/>
                <w:lang w:val="en-GB"/>
              </w:rPr>
              <w:t>batch</w:t>
            </w:r>
            <w:proofErr w:type="spellEnd"/>
            <w:r>
              <w:rPr>
                <w:lang w:val="en-GB"/>
              </w:rPr>
              <w:t>)</w:t>
            </w:r>
          </w:p>
        </w:tc>
        <w:tc>
          <w:tcPr>
            <w:tcW w:w="1984" w:type="dxa"/>
            <w:shd w:val="clear" w:color="auto" w:fill="FFFFFF"/>
          </w:tcPr>
          <w:p w14:paraId="5B5D7FF0" w14:textId="77777777" w:rsidR="00E96C5D" w:rsidRPr="00B57B36" w:rsidRDefault="00E96C5D" w:rsidP="00E96C5D">
            <w:pPr>
              <w:pStyle w:val="CETBodytext"/>
              <w:jc w:val="center"/>
              <w:rPr>
                <w:lang w:val="en-GB"/>
              </w:rPr>
            </w:pPr>
            <w:r>
              <w:rPr>
                <w:lang w:val="en-GB"/>
              </w:rPr>
              <w:t>COD</w:t>
            </w:r>
            <w:r w:rsidRPr="00C2212B">
              <w:rPr>
                <w:vertAlign w:val="subscript"/>
                <w:lang w:val="en-GB"/>
              </w:rPr>
              <w:t>PHA</w:t>
            </w:r>
            <w:r>
              <w:rPr>
                <w:lang w:val="en-GB"/>
              </w:rPr>
              <w:t>/COD</w:t>
            </w:r>
            <w:r w:rsidRPr="00C2212B">
              <w:rPr>
                <w:vertAlign w:val="subscript"/>
                <w:lang w:val="en-GB"/>
              </w:rPr>
              <w:t>SOL</w:t>
            </w:r>
          </w:p>
        </w:tc>
        <w:tc>
          <w:tcPr>
            <w:tcW w:w="1701" w:type="dxa"/>
            <w:shd w:val="clear" w:color="auto" w:fill="FFFFFF"/>
          </w:tcPr>
          <w:p w14:paraId="2D020C01" w14:textId="77777777" w:rsidR="00E96C5D" w:rsidRPr="00B57B36" w:rsidRDefault="00E96C5D" w:rsidP="00E96C5D">
            <w:pPr>
              <w:pStyle w:val="CETBodytext"/>
              <w:jc w:val="center"/>
              <w:rPr>
                <w:lang w:val="en-GB"/>
              </w:rPr>
            </w:pPr>
            <w:r>
              <w:rPr>
                <w:lang w:val="en-GB"/>
              </w:rPr>
              <w:t xml:space="preserve">0.44 </w:t>
            </w:r>
            <w:r w:rsidRPr="00D70002">
              <w:rPr>
                <w:lang w:val="en-GB"/>
              </w:rPr>
              <w:t>±</w:t>
            </w:r>
            <w:r>
              <w:rPr>
                <w:lang w:val="en-GB"/>
              </w:rPr>
              <w:t xml:space="preserve"> 0.03</w:t>
            </w:r>
          </w:p>
        </w:tc>
        <w:tc>
          <w:tcPr>
            <w:tcW w:w="1560" w:type="dxa"/>
            <w:shd w:val="clear" w:color="auto" w:fill="FFFFFF"/>
          </w:tcPr>
          <w:p w14:paraId="429358D5" w14:textId="77777777" w:rsidR="00E96C5D" w:rsidRPr="00B57B36" w:rsidRDefault="00E96C5D" w:rsidP="00E96C5D">
            <w:pPr>
              <w:pStyle w:val="CETBodytext"/>
              <w:jc w:val="center"/>
              <w:rPr>
                <w:lang w:val="en-GB"/>
              </w:rPr>
            </w:pPr>
            <w:r>
              <w:rPr>
                <w:lang w:val="en-GB"/>
              </w:rPr>
              <w:t xml:space="preserve">0.33 </w:t>
            </w:r>
            <w:r w:rsidRPr="00D70002">
              <w:rPr>
                <w:lang w:val="en-GB"/>
              </w:rPr>
              <w:t>±</w:t>
            </w:r>
            <w:r>
              <w:rPr>
                <w:lang w:val="en-GB"/>
              </w:rPr>
              <w:t xml:space="preserve"> 0.04</w:t>
            </w:r>
          </w:p>
        </w:tc>
        <w:tc>
          <w:tcPr>
            <w:tcW w:w="1559" w:type="dxa"/>
            <w:shd w:val="clear" w:color="auto" w:fill="FFFFFF"/>
          </w:tcPr>
          <w:p w14:paraId="29C3AE62" w14:textId="77777777" w:rsidR="00E96C5D" w:rsidRPr="00B57B36" w:rsidRDefault="00E96C5D" w:rsidP="00E96C5D">
            <w:pPr>
              <w:pStyle w:val="CETBodytext"/>
              <w:ind w:right="-1"/>
              <w:jc w:val="center"/>
              <w:rPr>
                <w:rFonts w:cs="Arial"/>
                <w:szCs w:val="18"/>
                <w:lang w:val="en-GB"/>
              </w:rPr>
            </w:pPr>
            <w:r>
              <w:rPr>
                <w:rFonts w:cs="Arial"/>
                <w:szCs w:val="18"/>
                <w:lang w:val="en-GB"/>
              </w:rPr>
              <w:t xml:space="preserve">0.38 </w:t>
            </w:r>
            <w:r w:rsidRPr="00D70002">
              <w:rPr>
                <w:lang w:val="en-GB"/>
              </w:rPr>
              <w:t>±</w:t>
            </w:r>
            <w:r>
              <w:rPr>
                <w:lang w:val="en-GB"/>
              </w:rPr>
              <w:t xml:space="preserve"> 0.05</w:t>
            </w:r>
          </w:p>
        </w:tc>
      </w:tr>
      <w:tr w:rsidR="00E96C5D" w:rsidRPr="00B57B36" w14:paraId="34433C3A" w14:textId="77777777" w:rsidTr="00E96C5D">
        <w:tc>
          <w:tcPr>
            <w:tcW w:w="1985" w:type="dxa"/>
            <w:shd w:val="clear" w:color="auto" w:fill="FFFFFF"/>
          </w:tcPr>
          <w:p w14:paraId="1D888F7E" w14:textId="77777777" w:rsidR="00E96C5D" w:rsidRPr="00B57B36" w:rsidRDefault="00E96C5D" w:rsidP="00E96C5D">
            <w:pPr>
              <w:pStyle w:val="CETBodytext"/>
              <w:rPr>
                <w:lang w:val="en-GB"/>
              </w:rPr>
            </w:pPr>
            <w:r>
              <w:rPr>
                <w:lang w:val="en-GB"/>
              </w:rPr>
              <w:t>Storage rate (</w:t>
            </w:r>
            <w:proofErr w:type="spellStart"/>
            <w:r>
              <w:rPr>
                <w:lang w:val="en-GB"/>
              </w:rPr>
              <w:t>qP</w:t>
            </w:r>
            <w:r w:rsidRPr="00E52399">
              <w:rPr>
                <w:vertAlign w:val="superscript"/>
                <w:lang w:val="en-GB"/>
              </w:rPr>
              <w:t>batch</w:t>
            </w:r>
            <w:proofErr w:type="spellEnd"/>
            <w:r>
              <w:rPr>
                <w:lang w:val="en-GB"/>
              </w:rPr>
              <w:t>)</w:t>
            </w:r>
          </w:p>
        </w:tc>
        <w:tc>
          <w:tcPr>
            <w:tcW w:w="1984" w:type="dxa"/>
            <w:shd w:val="clear" w:color="auto" w:fill="FFFFFF"/>
          </w:tcPr>
          <w:p w14:paraId="1AF5A58C" w14:textId="77777777" w:rsidR="00E96C5D" w:rsidRPr="00B57B36" w:rsidRDefault="00E96C5D" w:rsidP="00E96C5D">
            <w:pPr>
              <w:pStyle w:val="CETBodytext"/>
              <w:jc w:val="center"/>
              <w:rPr>
                <w:lang w:val="en-GB"/>
              </w:rPr>
            </w:pPr>
            <w:proofErr w:type="gramStart"/>
            <w:r>
              <w:rPr>
                <w:lang w:val="en-GB"/>
              </w:rPr>
              <w:t>mg</w:t>
            </w:r>
            <w:proofErr w:type="gramEnd"/>
            <w:r>
              <w:rPr>
                <w:lang w:val="en-GB"/>
              </w:rPr>
              <w:t xml:space="preserve"> COD</w:t>
            </w:r>
            <w:r w:rsidRPr="00C2212B">
              <w:rPr>
                <w:vertAlign w:val="subscript"/>
                <w:lang w:val="en-GB"/>
              </w:rPr>
              <w:t>PHA</w:t>
            </w:r>
            <w:r>
              <w:rPr>
                <w:lang w:val="en-GB"/>
              </w:rPr>
              <w:t xml:space="preserve">/g </w:t>
            </w:r>
            <w:proofErr w:type="spellStart"/>
            <w:r>
              <w:rPr>
                <w:lang w:val="en-GB"/>
              </w:rPr>
              <w:t>COD</w:t>
            </w:r>
            <w:r w:rsidRPr="00C2212B">
              <w:rPr>
                <w:vertAlign w:val="subscript"/>
                <w:lang w:val="en-GB"/>
              </w:rPr>
              <w:t>Xa</w:t>
            </w:r>
            <w:proofErr w:type="spellEnd"/>
            <w:r>
              <w:rPr>
                <w:lang w:val="en-GB"/>
              </w:rPr>
              <w:t>/h</w:t>
            </w:r>
          </w:p>
        </w:tc>
        <w:tc>
          <w:tcPr>
            <w:tcW w:w="1701" w:type="dxa"/>
            <w:shd w:val="clear" w:color="auto" w:fill="FFFFFF"/>
          </w:tcPr>
          <w:p w14:paraId="5CDCBE5B" w14:textId="77777777" w:rsidR="00E96C5D" w:rsidRPr="00B57B36" w:rsidRDefault="00E96C5D" w:rsidP="00E96C5D">
            <w:pPr>
              <w:pStyle w:val="CETBodytext"/>
              <w:jc w:val="center"/>
              <w:rPr>
                <w:lang w:val="en-GB"/>
              </w:rPr>
            </w:pPr>
            <w:r>
              <w:rPr>
                <w:lang w:val="en-GB"/>
              </w:rPr>
              <w:t xml:space="preserve">214 </w:t>
            </w:r>
            <w:r w:rsidRPr="00D70002">
              <w:rPr>
                <w:lang w:val="en-GB"/>
              </w:rPr>
              <w:t>±</w:t>
            </w:r>
            <w:r>
              <w:rPr>
                <w:lang w:val="en-GB"/>
              </w:rPr>
              <w:t xml:space="preserve"> 47</w:t>
            </w:r>
          </w:p>
        </w:tc>
        <w:tc>
          <w:tcPr>
            <w:tcW w:w="1560" w:type="dxa"/>
            <w:shd w:val="clear" w:color="auto" w:fill="FFFFFF"/>
          </w:tcPr>
          <w:p w14:paraId="1B7F8260" w14:textId="77777777" w:rsidR="00E96C5D" w:rsidRPr="00B57B36" w:rsidRDefault="00E96C5D" w:rsidP="00E96C5D">
            <w:pPr>
              <w:pStyle w:val="CETBodytext"/>
              <w:jc w:val="center"/>
              <w:rPr>
                <w:lang w:val="en-GB"/>
              </w:rPr>
            </w:pPr>
            <w:r>
              <w:rPr>
                <w:lang w:val="en-GB"/>
              </w:rPr>
              <w:t xml:space="preserve">167 </w:t>
            </w:r>
            <w:r w:rsidRPr="00D70002">
              <w:rPr>
                <w:lang w:val="en-GB"/>
              </w:rPr>
              <w:t>±</w:t>
            </w:r>
            <w:r>
              <w:rPr>
                <w:lang w:val="en-GB"/>
              </w:rPr>
              <w:t xml:space="preserve"> 24</w:t>
            </w:r>
          </w:p>
        </w:tc>
        <w:tc>
          <w:tcPr>
            <w:tcW w:w="1559" w:type="dxa"/>
            <w:shd w:val="clear" w:color="auto" w:fill="FFFFFF"/>
          </w:tcPr>
          <w:p w14:paraId="05B96423" w14:textId="77777777" w:rsidR="00E96C5D" w:rsidRPr="00B57B36" w:rsidRDefault="00E96C5D" w:rsidP="00E96C5D">
            <w:pPr>
              <w:pStyle w:val="CETBodytext"/>
              <w:ind w:right="-1"/>
              <w:jc w:val="center"/>
              <w:rPr>
                <w:rFonts w:cs="Arial"/>
                <w:szCs w:val="18"/>
                <w:lang w:val="en-GB"/>
              </w:rPr>
            </w:pPr>
            <w:r>
              <w:rPr>
                <w:rFonts w:cs="Arial"/>
                <w:szCs w:val="18"/>
                <w:lang w:val="en-GB"/>
              </w:rPr>
              <w:t xml:space="preserve">231 </w:t>
            </w:r>
            <w:r w:rsidRPr="00D70002">
              <w:rPr>
                <w:lang w:val="en-GB"/>
              </w:rPr>
              <w:t>±</w:t>
            </w:r>
            <w:r>
              <w:rPr>
                <w:lang w:val="en-GB"/>
              </w:rPr>
              <w:t xml:space="preserve"> 33</w:t>
            </w:r>
          </w:p>
        </w:tc>
      </w:tr>
      <w:tr w:rsidR="00E96C5D" w:rsidRPr="00B57B36" w14:paraId="0119DE7E" w14:textId="77777777" w:rsidTr="00E96C5D">
        <w:tc>
          <w:tcPr>
            <w:tcW w:w="1985" w:type="dxa"/>
            <w:shd w:val="clear" w:color="auto" w:fill="FFFFFF"/>
          </w:tcPr>
          <w:p w14:paraId="126A48AD" w14:textId="77777777" w:rsidR="00E96C5D" w:rsidRPr="00B57B36" w:rsidRDefault="00E96C5D" w:rsidP="00E96C5D">
            <w:pPr>
              <w:pStyle w:val="CETBodytext"/>
              <w:rPr>
                <w:lang w:val="en-GB"/>
              </w:rPr>
            </w:pPr>
            <w:r>
              <w:rPr>
                <w:lang w:val="en-GB"/>
              </w:rPr>
              <w:t>PHA biomass content</w:t>
            </w:r>
          </w:p>
        </w:tc>
        <w:tc>
          <w:tcPr>
            <w:tcW w:w="1984" w:type="dxa"/>
            <w:shd w:val="clear" w:color="auto" w:fill="FFFFFF"/>
          </w:tcPr>
          <w:p w14:paraId="1272D2E4" w14:textId="77777777" w:rsidR="00E96C5D" w:rsidRPr="00B57B36" w:rsidRDefault="00E96C5D" w:rsidP="00E96C5D">
            <w:pPr>
              <w:pStyle w:val="CETBodytext"/>
              <w:jc w:val="center"/>
              <w:rPr>
                <w:lang w:val="en-GB"/>
              </w:rPr>
            </w:pPr>
            <w:proofErr w:type="gramStart"/>
            <w:r>
              <w:rPr>
                <w:lang w:val="en-GB"/>
              </w:rPr>
              <w:t>g</w:t>
            </w:r>
            <w:proofErr w:type="gramEnd"/>
            <w:r>
              <w:rPr>
                <w:lang w:val="en-GB"/>
              </w:rPr>
              <w:t xml:space="preserve"> PHA/g VSS</w:t>
            </w:r>
          </w:p>
        </w:tc>
        <w:tc>
          <w:tcPr>
            <w:tcW w:w="1701" w:type="dxa"/>
            <w:shd w:val="clear" w:color="auto" w:fill="FFFFFF"/>
          </w:tcPr>
          <w:p w14:paraId="5A113797" w14:textId="45B14FB9" w:rsidR="00E96C5D" w:rsidRPr="00B57B36" w:rsidRDefault="00E96C5D" w:rsidP="00E05188">
            <w:pPr>
              <w:pStyle w:val="CETBodytext"/>
              <w:jc w:val="center"/>
              <w:rPr>
                <w:lang w:val="en-GB"/>
              </w:rPr>
            </w:pPr>
            <w:r>
              <w:rPr>
                <w:lang w:val="en-GB"/>
              </w:rPr>
              <w:t>0.4</w:t>
            </w:r>
            <w:r w:rsidR="00E05188">
              <w:rPr>
                <w:lang w:val="en-GB"/>
              </w:rPr>
              <w:t>9</w:t>
            </w:r>
            <w:r>
              <w:rPr>
                <w:lang w:val="en-GB"/>
              </w:rPr>
              <w:t xml:space="preserve"> </w:t>
            </w:r>
            <w:r w:rsidRPr="00D70002">
              <w:rPr>
                <w:lang w:val="en-GB"/>
              </w:rPr>
              <w:t>±</w:t>
            </w:r>
            <w:r>
              <w:rPr>
                <w:lang w:val="en-GB"/>
              </w:rPr>
              <w:t xml:space="preserve"> 0.02</w:t>
            </w:r>
          </w:p>
        </w:tc>
        <w:tc>
          <w:tcPr>
            <w:tcW w:w="1560" w:type="dxa"/>
            <w:shd w:val="clear" w:color="auto" w:fill="FFFFFF"/>
          </w:tcPr>
          <w:p w14:paraId="618E6FA0" w14:textId="77777777" w:rsidR="00E96C5D" w:rsidRPr="00B57B36" w:rsidRDefault="00E96C5D" w:rsidP="00E96C5D">
            <w:pPr>
              <w:pStyle w:val="CETBodytext"/>
              <w:jc w:val="center"/>
              <w:rPr>
                <w:lang w:val="en-GB"/>
              </w:rPr>
            </w:pPr>
            <w:r>
              <w:rPr>
                <w:lang w:val="en-GB"/>
              </w:rPr>
              <w:t xml:space="preserve">0.38 </w:t>
            </w:r>
            <w:r w:rsidRPr="00D70002">
              <w:rPr>
                <w:lang w:val="en-GB"/>
              </w:rPr>
              <w:t>±</w:t>
            </w:r>
            <w:r>
              <w:rPr>
                <w:lang w:val="en-GB"/>
              </w:rPr>
              <w:t xml:space="preserve"> 0.02</w:t>
            </w:r>
          </w:p>
        </w:tc>
        <w:tc>
          <w:tcPr>
            <w:tcW w:w="1559" w:type="dxa"/>
            <w:shd w:val="clear" w:color="auto" w:fill="FFFFFF"/>
          </w:tcPr>
          <w:p w14:paraId="305D29D0" w14:textId="77777777" w:rsidR="00E96C5D" w:rsidRPr="00B57B36" w:rsidRDefault="00E96C5D" w:rsidP="00E96C5D">
            <w:pPr>
              <w:pStyle w:val="CETBodytext"/>
              <w:ind w:right="-1"/>
              <w:jc w:val="center"/>
              <w:rPr>
                <w:rFonts w:cs="Arial"/>
                <w:szCs w:val="18"/>
                <w:lang w:val="en-GB"/>
              </w:rPr>
            </w:pPr>
            <w:r>
              <w:rPr>
                <w:rFonts w:cs="Arial"/>
                <w:szCs w:val="18"/>
                <w:lang w:val="en-GB"/>
              </w:rPr>
              <w:t xml:space="preserve">0.42 </w:t>
            </w:r>
            <w:r w:rsidRPr="00D70002">
              <w:rPr>
                <w:lang w:val="en-GB"/>
              </w:rPr>
              <w:t>±</w:t>
            </w:r>
            <w:r>
              <w:rPr>
                <w:lang w:val="en-GB"/>
              </w:rPr>
              <w:t xml:space="preserve"> 0.04</w:t>
            </w:r>
          </w:p>
        </w:tc>
      </w:tr>
      <w:tr w:rsidR="002F671C" w:rsidRPr="00B57B36" w14:paraId="13D61B3F" w14:textId="77777777" w:rsidTr="00E96C5D">
        <w:tc>
          <w:tcPr>
            <w:tcW w:w="1985" w:type="dxa"/>
            <w:shd w:val="clear" w:color="auto" w:fill="FFFFFF"/>
          </w:tcPr>
          <w:p w14:paraId="6E8C3EAF" w14:textId="17DFFCA8" w:rsidR="002F671C" w:rsidRDefault="002F671C" w:rsidP="00E96C5D">
            <w:pPr>
              <w:pStyle w:val="CETBodytext"/>
              <w:ind w:right="-1"/>
              <w:rPr>
                <w:rFonts w:cs="Arial"/>
                <w:szCs w:val="18"/>
                <w:lang w:val="en-GB"/>
              </w:rPr>
            </w:pPr>
            <w:r>
              <w:rPr>
                <w:rFonts w:cs="Arial"/>
                <w:szCs w:val="18"/>
                <w:lang w:val="en-GB"/>
              </w:rPr>
              <w:t>HB</w:t>
            </w:r>
            <w:proofErr w:type="gramStart"/>
            <w:r>
              <w:rPr>
                <w:rFonts w:cs="Arial"/>
                <w:szCs w:val="18"/>
                <w:lang w:val="en-GB"/>
              </w:rPr>
              <w:t>:HV</w:t>
            </w:r>
            <w:proofErr w:type="gramEnd"/>
            <w:r>
              <w:rPr>
                <w:rFonts w:cs="Arial"/>
                <w:szCs w:val="18"/>
                <w:lang w:val="en-GB"/>
              </w:rPr>
              <w:t xml:space="preserve"> content</w:t>
            </w:r>
          </w:p>
        </w:tc>
        <w:tc>
          <w:tcPr>
            <w:tcW w:w="1984" w:type="dxa"/>
            <w:shd w:val="clear" w:color="auto" w:fill="FFFFFF"/>
          </w:tcPr>
          <w:p w14:paraId="154DA21C" w14:textId="1FCB6F7C" w:rsidR="002F671C" w:rsidRDefault="002F671C" w:rsidP="00E96C5D">
            <w:pPr>
              <w:pStyle w:val="CETBodytext"/>
              <w:ind w:right="-1"/>
              <w:jc w:val="center"/>
              <w:rPr>
                <w:rFonts w:cs="Arial"/>
                <w:szCs w:val="18"/>
                <w:lang w:val="en-GB"/>
              </w:rPr>
            </w:pPr>
            <w:proofErr w:type="gramStart"/>
            <w:r>
              <w:rPr>
                <w:rFonts w:cs="Arial"/>
                <w:szCs w:val="18"/>
                <w:lang w:val="en-GB"/>
              </w:rPr>
              <w:t>g</w:t>
            </w:r>
            <w:proofErr w:type="gramEnd"/>
            <w:r>
              <w:rPr>
                <w:rFonts w:cs="Arial"/>
                <w:szCs w:val="18"/>
                <w:lang w:val="en-GB"/>
              </w:rPr>
              <w:t xml:space="preserve"> (%)</w:t>
            </w:r>
          </w:p>
        </w:tc>
        <w:tc>
          <w:tcPr>
            <w:tcW w:w="1701" w:type="dxa"/>
            <w:shd w:val="clear" w:color="auto" w:fill="FFFFFF"/>
          </w:tcPr>
          <w:p w14:paraId="5E50BA40" w14:textId="5A809980" w:rsidR="002F671C" w:rsidRDefault="002F671C" w:rsidP="00E96C5D">
            <w:pPr>
              <w:pStyle w:val="CETBodytext"/>
              <w:ind w:right="-1"/>
              <w:jc w:val="center"/>
              <w:rPr>
                <w:rFonts w:cs="Arial"/>
                <w:szCs w:val="18"/>
                <w:lang w:val="en-GB"/>
              </w:rPr>
            </w:pPr>
            <w:r>
              <w:rPr>
                <w:rFonts w:cs="Arial"/>
                <w:szCs w:val="18"/>
                <w:lang w:val="en-GB"/>
              </w:rPr>
              <w:t>87:13</w:t>
            </w:r>
          </w:p>
        </w:tc>
        <w:tc>
          <w:tcPr>
            <w:tcW w:w="1560" w:type="dxa"/>
            <w:shd w:val="clear" w:color="auto" w:fill="FFFFFF"/>
          </w:tcPr>
          <w:p w14:paraId="5A061E49" w14:textId="128D98D9" w:rsidR="002F671C" w:rsidRDefault="002F671C" w:rsidP="00E96C5D">
            <w:pPr>
              <w:pStyle w:val="CETBodytext"/>
              <w:ind w:right="-1"/>
              <w:jc w:val="center"/>
              <w:rPr>
                <w:rFonts w:cs="Arial"/>
                <w:szCs w:val="18"/>
                <w:lang w:val="en-GB"/>
              </w:rPr>
            </w:pPr>
            <w:r>
              <w:rPr>
                <w:rFonts w:cs="Arial"/>
                <w:szCs w:val="18"/>
                <w:lang w:val="en-GB"/>
              </w:rPr>
              <w:t>89:11</w:t>
            </w:r>
          </w:p>
        </w:tc>
        <w:tc>
          <w:tcPr>
            <w:tcW w:w="1559" w:type="dxa"/>
            <w:shd w:val="clear" w:color="auto" w:fill="FFFFFF"/>
          </w:tcPr>
          <w:p w14:paraId="37C4CC15" w14:textId="5D2D6C09" w:rsidR="002F671C" w:rsidRDefault="002F671C" w:rsidP="00E96C5D">
            <w:pPr>
              <w:pStyle w:val="CETBodytext"/>
              <w:ind w:right="-1"/>
              <w:jc w:val="center"/>
              <w:rPr>
                <w:rFonts w:cs="Arial"/>
                <w:szCs w:val="18"/>
                <w:lang w:val="en-GB"/>
              </w:rPr>
            </w:pPr>
            <w:r>
              <w:rPr>
                <w:rFonts w:cs="Arial"/>
                <w:szCs w:val="18"/>
                <w:lang w:val="en-GB"/>
              </w:rPr>
              <w:t>89:11</w:t>
            </w:r>
          </w:p>
        </w:tc>
      </w:tr>
      <w:tr w:rsidR="00E96C5D" w:rsidRPr="00B57B36" w14:paraId="380A32C5" w14:textId="77777777" w:rsidTr="00E96C5D">
        <w:tc>
          <w:tcPr>
            <w:tcW w:w="1985" w:type="dxa"/>
            <w:shd w:val="clear" w:color="auto" w:fill="FFFFFF"/>
          </w:tcPr>
          <w:p w14:paraId="587937A7" w14:textId="77777777" w:rsidR="00E96C5D" w:rsidRPr="00B57B36" w:rsidRDefault="00E96C5D" w:rsidP="00E96C5D">
            <w:pPr>
              <w:pStyle w:val="CETBodytext"/>
              <w:ind w:right="-1"/>
              <w:rPr>
                <w:rFonts w:cs="Arial"/>
                <w:szCs w:val="18"/>
                <w:lang w:val="en-GB"/>
              </w:rPr>
            </w:pPr>
            <w:r>
              <w:rPr>
                <w:rFonts w:cs="Arial"/>
                <w:szCs w:val="18"/>
                <w:lang w:val="en-GB"/>
              </w:rPr>
              <w:t>PHA productivity*</w:t>
            </w:r>
          </w:p>
        </w:tc>
        <w:tc>
          <w:tcPr>
            <w:tcW w:w="1984" w:type="dxa"/>
            <w:shd w:val="clear" w:color="auto" w:fill="FFFFFF"/>
          </w:tcPr>
          <w:p w14:paraId="3D58DE22" w14:textId="77777777" w:rsidR="00E96C5D" w:rsidRPr="00B57B36" w:rsidRDefault="00E96C5D" w:rsidP="00E96C5D">
            <w:pPr>
              <w:pStyle w:val="CETBodytext"/>
              <w:ind w:right="-1"/>
              <w:jc w:val="center"/>
              <w:rPr>
                <w:rFonts w:cs="Arial"/>
                <w:szCs w:val="18"/>
                <w:lang w:val="en-GB"/>
              </w:rPr>
            </w:pPr>
            <w:proofErr w:type="gramStart"/>
            <w:r>
              <w:rPr>
                <w:rFonts w:cs="Arial"/>
                <w:szCs w:val="18"/>
                <w:lang w:val="en-GB"/>
              </w:rPr>
              <w:t>g</w:t>
            </w:r>
            <w:proofErr w:type="gramEnd"/>
            <w:r>
              <w:rPr>
                <w:rFonts w:cs="Arial"/>
                <w:szCs w:val="18"/>
                <w:lang w:val="en-GB"/>
              </w:rPr>
              <w:t xml:space="preserve"> PHA/L d</w:t>
            </w:r>
          </w:p>
        </w:tc>
        <w:tc>
          <w:tcPr>
            <w:tcW w:w="1701" w:type="dxa"/>
            <w:shd w:val="clear" w:color="auto" w:fill="FFFFFF"/>
          </w:tcPr>
          <w:p w14:paraId="154E82D7" w14:textId="1644FA1E" w:rsidR="00E96C5D" w:rsidRPr="00B57B36" w:rsidRDefault="00E96C5D" w:rsidP="00E96C5D">
            <w:pPr>
              <w:pStyle w:val="CETBodytext"/>
              <w:ind w:right="-1"/>
              <w:jc w:val="center"/>
              <w:rPr>
                <w:rFonts w:cs="Arial"/>
                <w:szCs w:val="18"/>
                <w:lang w:val="en-GB"/>
              </w:rPr>
            </w:pPr>
            <w:r>
              <w:rPr>
                <w:rFonts w:cs="Arial"/>
                <w:szCs w:val="18"/>
                <w:lang w:val="en-GB"/>
              </w:rPr>
              <w:t>1.1</w:t>
            </w:r>
            <w:r w:rsidR="00823B68">
              <w:rPr>
                <w:rFonts w:cs="Arial"/>
                <w:szCs w:val="18"/>
                <w:lang w:val="en-GB"/>
              </w:rPr>
              <w:t>7</w:t>
            </w:r>
            <w:r>
              <w:rPr>
                <w:rFonts w:cs="Arial"/>
                <w:szCs w:val="18"/>
                <w:lang w:val="en-GB"/>
              </w:rPr>
              <w:t xml:space="preserve"> </w:t>
            </w:r>
            <w:r w:rsidRPr="00D70002">
              <w:rPr>
                <w:lang w:val="en-GB"/>
              </w:rPr>
              <w:t>±</w:t>
            </w:r>
            <w:r>
              <w:rPr>
                <w:lang w:val="en-GB"/>
              </w:rPr>
              <w:t xml:space="preserve"> 0.1</w:t>
            </w:r>
          </w:p>
        </w:tc>
        <w:tc>
          <w:tcPr>
            <w:tcW w:w="1560" w:type="dxa"/>
            <w:shd w:val="clear" w:color="auto" w:fill="FFFFFF"/>
          </w:tcPr>
          <w:p w14:paraId="7FFE2654" w14:textId="77777777" w:rsidR="00E96C5D" w:rsidRPr="00B57B36" w:rsidRDefault="00E96C5D" w:rsidP="00E96C5D">
            <w:pPr>
              <w:pStyle w:val="CETBodytext"/>
              <w:ind w:right="-1"/>
              <w:jc w:val="center"/>
              <w:rPr>
                <w:rFonts w:cs="Arial"/>
                <w:szCs w:val="18"/>
                <w:lang w:val="en-GB"/>
              </w:rPr>
            </w:pPr>
            <w:r>
              <w:rPr>
                <w:rFonts w:cs="Arial"/>
                <w:szCs w:val="18"/>
                <w:lang w:val="en-GB"/>
              </w:rPr>
              <w:t xml:space="preserve">1.09 </w:t>
            </w:r>
            <w:r w:rsidRPr="00D70002">
              <w:rPr>
                <w:lang w:val="en-GB"/>
              </w:rPr>
              <w:t>±</w:t>
            </w:r>
            <w:r>
              <w:rPr>
                <w:lang w:val="en-GB"/>
              </w:rPr>
              <w:t xml:space="preserve"> 0.07</w:t>
            </w:r>
          </w:p>
        </w:tc>
        <w:tc>
          <w:tcPr>
            <w:tcW w:w="1559" w:type="dxa"/>
            <w:shd w:val="clear" w:color="auto" w:fill="FFFFFF"/>
          </w:tcPr>
          <w:p w14:paraId="54115582" w14:textId="6F3C0678" w:rsidR="00E96C5D" w:rsidRPr="00B57B36" w:rsidRDefault="00E96C5D" w:rsidP="00E96C5D">
            <w:pPr>
              <w:pStyle w:val="CETBodytext"/>
              <w:ind w:right="-1"/>
              <w:jc w:val="center"/>
              <w:rPr>
                <w:rFonts w:cs="Arial"/>
                <w:szCs w:val="18"/>
                <w:lang w:val="en-GB"/>
              </w:rPr>
            </w:pPr>
            <w:r>
              <w:rPr>
                <w:rFonts w:cs="Arial"/>
                <w:szCs w:val="18"/>
                <w:lang w:val="en-GB"/>
              </w:rPr>
              <w:t>1.3</w:t>
            </w:r>
            <w:r w:rsidR="00823B68">
              <w:rPr>
                <w:rFonts w:cs="Arial"/>
                <w:szCs w:val="18"/>
                <w:lang w:val="en-GB"/>
              </w:rPr>
              <w:t>4</w:t>
            </w:r>
            <w:r>
              <w:rPr>
                <w:rFonts w:cs="Arial"/>
                <w:szCs w:val="18"/>
                <w:lang w:val="en-GB"/>
              </w:rPr>
              <w:t xml:space="preserve"> </w:t>
            </w:r>
            <w:r w:rsidRPr="00D70002">
              <w:rPr>
                <w:lang w:val="en-GB"/>
              </w:rPr>
              <w:t>±</w:t>
            </w:r>
            <w:r>
              <w:rPr>
                <w:lang w:val="en-GB"/>
              </w:rPr>
              <w:t xml:space="preserve"> 0.1</w:t>
            </w:r>
          </w:p>
        </w:tc>
      </w:tr>
    </w:tbl>
    <w:p w14:paraId="7A4A8189" w14:textId="77777777" w:rsidR="00E96C5D" w:rsidRPr="00315244" w:rsidRDefault="00E96C5D" w:rsidP="00E96C5D">
      <w:pPr>
        <w:pStyle w:val="CETHeading1"/>
        <w:numPr>
          <w:ilvl w:val="0"/>
          <w:numId w:val="0"/>
        </w:numPr>
        <w:spacing w:before="0" w:after="0"/>
        <w:rPr>
          <w:b w:val="0"/>
          <w:sz w:val="16"/>
          <w:szCs w:val="16"/>
          <w:lang w:val="en-GB"/>
        </w:rPr>
      </w:pPr>
      <w:r w:rsidRPr="00315244">
        <w:rPr>
          <w:b w:val="0"/>
          <w:sz w:val="16"/>
          <w:szCs w:val="16"/>
          <w:lang w:val="en-GB"/>
        </w:rPr>
        <w:t>*</w:t>
      </w:r>
      <w:proofErr w:type="gramStart"/>
      <w:r w:rsidRPr="00315244">
        <w:rPr>
          <w:b w:val="0"/>
          <w:sz w:val="16"/>
          <w:szCs w:val="16"/>
          <w:lang w:val="en-GB"/>
        </w:rPr>
        <w:t>related</w:t>
      </w:r>
      <w:proofErr w:type="gramEnd"/>
      <w:r w:rsidRPr="00315244">
        <w:rPr>
          <w:b w:val="0"/>
          <w:sz w:val="16"/>
          <w:szCs w:val="16"/>
          <w:lang w:val="en-GB"/>
        </w:rPr>
        <w:t xml:space="preserve"> to the selection and accumulation aerobic reactors</w:t>
      </w:r>
    </w:p>
    <w:p w14:paraId="397AE262" w14:textId="77777777" w:rsidR="00CD4EB1" w:rsidRDefault="00CD4EB1" w:rsidP="00F2367C">
      <w:pPr>
        <w:pStyle w:val="CETBodytext"/>
        <w:rPr>
          <w:lang w:val="en-GB"/>
        </w:rPr>
      </w:pPr>
    </w:p>
    <w:p w14:paraId="11DF9CF1" w14:textId="258E5054" w:rsidR="00F2367C" w:rsidRPr="00F2367C" w:rsidRDefault="00823B68" w:rsidP="009652AE">
      <w:pPr>
        <w:pStyle w:val="CETBodytext"/>
        <w:rPr>
          <w:lang w:val="en-GB"/>
        </w:rPr>
      </w:pPr>
      <w:r>
        <w:rPr>
          <w:lang w:val="en-GB"/>
        </w:rPr>
        <w:t>B</w:t>
      </w:r>
      <w:r w:rsidRPr="00F2367C">
        <w:rPr>
          <w:lang w:val="en-GB"/>
        </w:rPr>
        <w:t xml:space="preserve">y considering both SBR and </w:t>
      </w:r>
      <w:r>
        <w:rPr>
          <w:lang w:val="en-GB"/>
        </w:rPr>
        <w:t>accumulation</w:t>
      </w:r>
      <w:r w:rsidRPr="00F2367C">
        <w:rPr>
          <w:lang w:val="en-GB"/>
        </w:rPr>
        <w:t xml:space="preserve"> reactors </w:t>
      </w:r>
      <w:r>
        <w:rPr>
          <w:lang w:val="en-GB"/>
        </w:rPr>
        <w:t>in</w:t>
      </w:r>
      <w:r w:rsidRPr="00F2367C">
        <w:rPr>
          <w:lang w:val="en-GB"/>
        </w:rPr>
        <w:t xml:space="preserve"> sequen</w:t>
      </w:r>
      <w:r>
        <w:rPr>
          <w:lang w:val="en-GB"/>
        </w:rPr>
        <w:t xml:space="preserve">ce, the process </w:t>
      </w:r>
      <w:r w:rsidRPr="00F2367C">
        <w:rPr>
          <w:lang w:val="en-GB"/>
        </w:rPr>
        <w:t xml:space="preserve">polymer productivity </w:t>
      </w:r>
      <w:r>
        <w:rPr>
          <w:lang w:val="en-GB"/>
        </w:rPr>
        <w:t xml:space="preserve">was calculated as </w:t>
      </w:r>
      <w:proofErr w:type="gramStart"/>
      <w:r>
        <w:rPr>
          <w:lang w:val="en-GB"/>
        </w:rPr>
        <w:t xml:space="preserve">the </w:t>
      </w:r>
      <w:proofErr w:type="spellStart"/>
      <w:r>
        <w:rPr>
          <w:lang w:val="en-GB"/>
        </w:rPr>
        <w:t>t</w:t>
      </w:r>
      <w:r w:rsidRPr="00F2367C">
        <w:rPr>
          <w:lang w:val="en-GB"/>
        </w:rPr>
        <w:t>he</w:t>
      </w:r>
      <w:proofErr w:type="spellEnd"/>
      <w:proofErr w:type="gramEnd"/>
      <w:r w:rsidRPr="00F2367C">
        <w:rPr>
          <w:lang w:val="en-GB"/>
        </w:rPr>
        <w:t xml:space="preserve"> amount of </w:t>
      </w:r>
      <w:r>
        <w:rPr>
          <w:lang w:val="en-GB"/>
        </w:rPr>
        <w:t xml:space="preserve">produced </w:t>
      </w:r>
      <w:r w:rsidRPr="00F2367C">
        <w:rPr>
          <w:lang w:val="en-GB"/>
        </w:rPr>
        <w:t>PHA per unit of overall volume of both reactors and per unit of time</w:t>
      </w:r>
      <w:r>
        <w:rPr>
          <w:lang w:val="en-GB"/>
        </w:rPr>
        <w:t>.</w:t>
      </w:r>
      <w:r w:rsidRPr="00F2367C">
        <w:rPr>
          <w:lang w:val="en-GB"/>
        </w:rPr>
        <w:t xml:space="preserve"> </w:t>
      </w:r>
      <w:r w:rsidR="00D02E82">
        <w:rPr>
          <w:lang w:val="en-GB"/>
        </w:rPr>
        <w:t xml:space="preserve">Even though the storage response </w:t>
      </w:r>
      <w:r w:rsidR="00D02E82" w:rsidRPr="00E05188">
        <w:rPr>
          <w:lang w:val="en-GB"/>
        </w:rPr>
        <w:t xml:space="preserve">was better express at lower T, the higher PHA productivity was obtained at 26.2°C (1.34 ± 0.1 g PHA/L d). This result is related to the OLR applied in SBR, </w:t>
      </w:r>
      <w:r w:rsidR="00394EE7" w:rsidRPr="00E05188">
        <w:rPr>
          <w:lang w:val="en-GB"/>
        </w:rPr>
        <w:t>which affects the biomass productivity. Generally, biomass productivity in the SBR almost linearly increased at increasing OLR (</w:t>
      </w:r>
      <w:proofErr w:type="spellStart"/>
      <w:r w:rsidR="00394EE7" w:rsidRPr="00E05188">
        <w:rPr>
          <w:lang w:val="en-GB"/>
        </w:rPr>
        <w:t>Villano</w:t>
      </w:r>
      <w:proofErr w:type="spellEnd"/>
      <w:r w:rsidR="00394EE7" w:rsidRPr="00E05188">
        <w:rPr>
          <w:lang w:val="en-GB"/>
        </w:rPr>
        <w:t xml:space="preserve"> et al., 2010; Valentino et al., 2014). W</w:t>
      </w:r>
      <w:r w:rsidRPr="00E05188">
        <w:rPr>
          <w:lang w:val="en-GB"/>
        </w:rPr>
        <w:t xml:space="preserve">hen the OLR </w:t>
      </w:r>
      <w:r w:rsidR="00394EE7" w:rsidRPr="00E05188">
        <w:rPr>
          <w:lang w:val="en-GB"/>
        </w:rPr>
        <w:t>has been decreased</w:t>
      </w:r>
      <w:r w:rsidRPr="00E05188">
        <w:rPr>
          <w:lang w:val="en-GB"/>
        </w:rPr>
        <w:t xml:space="preserve"> from </w:t>
      </w:r>
      <w:r w:rsidR="00394EE7" w:rsidRPr="00E05188">
        <w:rPr>
          <w:lang w:val="en-GB"/>
        </w:rPr>
        <w:t xml:space="preserve">3.42 to 2.04 </w:t>
      </w:r>
      <w:r w:rsidRPr="00E05188">
        <w:rPr>
          <w:lang w:val="en-GB"/>
        </w:rPr>
        <w:t>g</w:t>
      </w:r>
      <w:r w:rsidR="00394EE7" w:rsidRPr="00E05188">
        <w:rPr>
          <w:lang w:val="en-GB"/>
        </w:rPr>
        <w:t xml:space="preserve"> </w:t>
      </w:r>
      <w:r w:rsidRPr="00E05188">
        <w:rPr>
          <w:lang w:val="en-GB"/>
        </w:rPr>
        <w:t>COD</w:t>
      </w:r>
      <w:r w:rsidR="00394EE7" w:rsidRPr="00E05188">
        <w:rPr>
          <w:vertAlign w:val="subscript"/>
          <w:lang w:val="en-GB"/>
        </w:rPr>
        <w:t>SOL</w:t>
      </w:r>
      <w:r w:rsidRPr="00E05188">
        <w:rPr>
          <w:lang w:val="en-GB"/>
        </w:rPr>
        <w:t>/L</w:t>
      </w:r>
      <w:r w:rsidR="00394EE7" w:rsidRPr="00E05188">
        <w:rPr>
          <w:lang w:val="en-GB"/>
        </w:rPr>
        <w:t xml:space="preserve"> </w:t>
      </w:r>
      <w:r w:rsidRPr="00E05188">
        <w:rPr>
          <w:lang w:val="en-GB"/>
        </w:rPr>
        <w:t>d</w:t>
      </w:r>
      <w:r w:rsidR="00394EE7" w:rsidRPr="00E05188">
        <w:rPr>
          <w:lang w:val="en-GB"/>
        </w:rPr>
        <w:t xml:space="preserve">, the </w:t>
      </w:r>
      <w:r w:rsidRPr="00E05188">
        <w:rPr>
          <w:lang w:val="en-GB"/>
        </w:rPr>
        <w:t xml:space="preserve">biomass </w:t>
      </w:r>
      <w:r w:rsidR="00394EE7" w:rsidRPr="00E05188">
        <w:rPr>
          <w:lang w:val="en-GB"/>
        </w:rPr>
        <w:t>level decreased from 1.41 to</w:t>
      </w:r>
      <w:r w:rsidR="00394EE7">
        <w:rPr>
          <w:lang w:val="en-GB"/>
        </w:rPr>
        <w:t xml:space="preserve"> 1.02 g VSS/L.</w:t>
      </w:r>
      <w:r w:rsidRPr="00F2367C">
        <w:rPr>
          <w:lang w:val="en-GB"/>
        </w:rPr>
        <w:t xml:space="preserve"> </w:t>
      </w:r>
      <w:r w:rsidR="00394EE7">
        <w:rPr>
          <w:lang w:val="en-GB"/>
        </w:rPr>
        <w:t xml:space="preserve">In practice, the </w:t>
      </w:r>
      <w:r w:rsidR="002F671C">
        <w:rPr>
          <w:lang w:val="en-GB"/>
        </w:rPr>
        <w:t xml:space="preserve">increase of biomass production </w:t>
      </w:r>
      <w:r w:rsidRPr="00F2367C">
        <w:rPr>
          <w:lang w:val="en-GB"/>
        </w:rPr>
        <w:t>counterbalance</w:t>
      </w:r>
      <w:r w:rsidR="002F671C">
        <w:rPr>
          <w:lang w:val="en-GB"/>
        </w:rPr>
        <w:t>d</w:t>
      </w:r>
      <w:r w:rsidRPr="00F2367C">
        <w:rPr>
          <w:lang w:val="en-GB"/>
        </w:rPr>
        <w:t xml:space="preserve"> the </w:t>
      </w:r>
      <w:r w:rsidR="002F671C">
        <w:rPr>
          <w:lang w:val="en-GB"/>
        </w:rPr>
        <w:t>lower efficiency</w:t>
      </w:r>
      <w:r w:rsidR="009652AE" w:rsidRPr="009652AE">
        <w:rPr>
          <w:lang w:val="en-GB"/>
        </w:rPr>
        <w:t xml:space="preserve"> </w:t>
      </w:r>
      <w:r w:rsidR="009652AE">
        <w:rPr>
          <w:lang w:val="en-GB"/>
        </w:rPr>
        <w:t xml:space="preserve">of substrate utilization with respect to the better efficiency exhibited at 17.1°C (e.g. storage yield). </w:t>
      </w:r>
    </w:p>
    <w:p w14:paraId="3BFC1115" w14:textId="77777777" w:rsidR="009652AE" w:rsidRPr="00B57B36" w:rsidRDefault="009652AE" w:rsidP="009652AE">
      <w:pPr>
        <w:pStyle w:val="CETHeading1"/>
        <w:rPr>
          <w:lang w:val="en-GB"/>
        </w:rPr>
      </w:pPr>
      <w:r w:rsidRPr="00B57B36">
        <w:rPr>
          <w:lang w:val="en-GB"/>
        </w:rPr>
        <w:t>Conclusions</w:t>
      </w:r>
    </w:p>
    <w:p w14:paraId="11487E21" w14:textId="0A9CC22B" w:rsidR="008127F2" w:rsidRPr="00BE523C" w:rsidRDefault="00C2212B" w:rsidP="00C2212B">
      <w:pPr>
        <w:pStyle w:val="CETBodytext"/>
        <w:rPr>
          <w:lang w:val="en-GB"/>
        </w:rPr>
      </w:pPr>
      <w:r w:rsidRPr="00BE523C">
        <w:rPr>
          <w:lang w:val="en-GB"/>
        </w:rPr>
        <w:t>Th</w:t>
      </w:r>
      <w:r w:rsidR="009652AE" w:rsidRPr="00BE523C">
        <w:rPr>
          <w:lang w:val="en-GB"/>
        </w:rPr>
        <w:t>e</w:t>
      </w:r>
      <w:r w:rsidRPr="00BE523C">
        <w:rPr>
          <w:lang w:val="en-GB"/>
        </w:rPr>
        <w:t xml:space="preserve"> </w:t>
      </w:r>
      <w:proofErr w:type="gramStart"/>
      <w:r w:rsidRPr="00BE523C">
        <w:rPr>
          <w:lang w:val="en-GB"/>
        </w:rPr>
        <w:t>outcome</w:t>
      </w:r>
      <w:r w:rsidR="009652AE" w:rsidRPr="00BE523C">
        <w:rPr>
          <w:lang w:val="en-GB"/>
        </w:rPr>
        <w:t>s</w:t>
      </w:r>
      <w:r w:rsidRPr="00BE523C">
        <w:rPr>
          <w:lang w:val="en-GB"/>
        </w:rPr>
        <w:t xml:space="preserve"> </w:t>
      </w:r>
      <w:r w:rsidR="009652AE" w:rsidRPr="00BE523C">
        <w:rPr>
          <w:lang w:val="en-GB"/>
        </w:rPr>
        <w:t xml:space="preserve">of this pilot scale study </w:t>
      </w:r>
      <w:r w:rsidRPr="00BE523C">
        <w:rPr>
          <w:lang w:val="en-GB"/>
        </w:rPr>
        <w:t>suggests</w:t>
      </w:r>
      <w:proofErr w:type="gramEnd"/>
      <w:r w:rsidRPr="00BE523C">
        <w:rPr>
          <w:lang w:val="en-GB"/>
        </w:rPr>
        <w:t xml:space="preserve"> a broad range in the practical </w:t>
      </w:r>
      <w:r w:rsidR="00E05188" w:rsidRPr="00BE523C">
        <w:rPr>
          <w:lang w:val="en-GB"/>
        </w:rPr>
        <w:t>r</w:t>
      </w:r>
      <w:r w:rsidRPr="00BE523C">
        <w:rPr>
          <w:lang w:val="en-GB"/>
        </w:rPr>
        <w:t xml:space="preserve">eliability </w:t>
      </w:r>
      <w:r w:rsidR="00E05188" w:rsidRPr="00BE523C">
        <w:rPr>
          <w:lang w:val="en-GB"/>
        </w:rPr>
        <w:t>of</w:t>
      </w:r>
      <w:r w:rsidRPr="00BE523C">
        <w:rPr>
          <w:lang w:val="en-GB"/>
        </w:rPr>
        <w:t xml:space="preserve"> MMC</w:t>
      </w:r>
      <w:r w:rsidR="00E05188" w:rsidRPr="00BE523C">
        <w:rPr>
          <w:lang w:val="en-GB"/>
        </w:rPr>
        <w:t>-PHA production</w:t>
      </w:r>
      <w:r w:rsidRPr="00BE523C">
        <w:rPr>
          <w:lang w:val="en-GB"/>
        </w:rPr>
        <w:t xml:space="preserve"> </w:t>
      </w:r>
      <w:r w:rsidR="00E05188" w:rsidRPr="00BE523C">
        <w:rPr>
          <w:lang w:val="en-GB"/>
        </w:rPr>
        <w:t>technology</w:t>
      </w:r>
      <w:r w:rsidR="00587898" w:rsidRPr="00BE523C">
        <w:rPr>
          <w:lang w:val="en-GB"/>
        </w:rPr>
        <w:t xml:space="preserve"> in parallel to the valorisation of urban bio-waste</w:t>
      </w:r>
      <w:r w:rsidRPr="00BE523C">
        <w:rPr>
          <w:lang w:val="en-GB"/>
        </w:rPr>
        <w:t xml:space="preserve">. </w:t>
      </w:r>
      <w:r w:rsidR="00587898" w:rsidRPr="00BE523C">
        <w:rPr>
          <w:lang w:val="en-GB"/>
        </w:rPr>
        <w:t xml:space="preserve">The </w:t>
      </w:r>
      <w:proofErr w:type="spellStart"/>
      <w:r w:rsidR="00587898" w:rsidRPr="00BE523C">
        <w:rPr>
          <w:lang w:val="en-GB"/>
        </w:rPr>
        <w:t>thermophilic</w:t>
      </w:r>
      <w:proofErr w:type="spellEnd"/>
      <w:r w:rsidR="00587898" w:rsidRPr="00BE523C">
        <w:rPr>
          <w:lang w:val="en-GB"/>
        </w:rPr>
        <w:t xml:space="preserve"> fermentation of the OFMSW produced a VFA-rich stream approximately at 0.90 as COD</w:t>
      </w:r>
      <w:r w:rsidR="00587898" w:rsidRPr="00BE523C">
        <w:rPr>
          <w:vertAlign w:val="subscript"/>
          <w:lang w:val="en-GB"/>
        </w:rPr>
        <w:t>VFA</w:t>
      </w:r>
      <w:r w:rsidR="00587898" w:rsidRPr="00BE523C">
        <w:rPr>
          <w:lang w:val="en-GB"/>
        </w:rPr>
        <w:t>/COD</w:t>
      </w:r>
      <w:r w:rsidR="00587898" w:rsidRPr="00BE523C">
        <w:rPr>
          <w:vertAlign w:val="subscript"/>
          <w:lang w:val="en-GB"/>
        </w:rPr>
        <w:t>SOL</w:t>
      </w:r>
      <w:r w:rsidR="00587898" w:rsidRPr="00BE523C">
        <w:rPr>
          <w:lang w:val="en-GB"/>
        </w:rPr>
        <w:t xml:space="preserve"> ratio. This key characteristic makes this stream usable for PHA synthesis since it enhances the selective pressure by reducing the growth of non PHA-storing organisms. In the aerobic process steps, t</w:t>
      </w:r>
      <w:r w:rsidR="00CE4567" w:rsidRPr="00BE523C">
        <w:rPr>
          <w:lang w:val="en-GB"/>
        </w:rPr>
        <w:t xml:space="preserve">he soluble COD conversion into intracellular </w:t>
      </w:r>
      <w:r w:rsidRPr="00BE523C">
        <w:rPr>
          <w:lang w:val="en-GB"/>
        </w:rPr>
        <w:lastRenderedPageBreak/>
        <w:t xml:space="preserve">PHA </w:t>
      </w:r>
      <w:r w:rsidR="00CE4567" w:rsidRPr="00BE523C">
        <w:rPr>
          <w:lang w:val="en-GB"/>
        </w:rPr>
        <w:t>w</w:t>
      </w:r>
      <w:r w:rsidRPr="00BE523C">
        <w:rPr>
          <w:lang w:val="en-GB"/>
        </w:rPr>
        <w:t>as more efficient at temperature</w:t>
      </w:r>
      <w:r w:rsidR="00CE4567" w:rsidRPr="00BE523C">
        <w:rPr>
          <w:lang w:val="en-GB"/>
        </w:rPr>
        <w:t xml:space="preserve"> below 20°C</w:t>
      </w:r>
      <w:r w:rsidR="00D81A0A" w:rsidRPr="00BE523C">
        <w:rPr>
          <w:lang w:val="en-GB"/>
        </w:rPr>
        <w:t>,</w:t>
      </w:r>
      <w:r w:rsidR="00587898" w:rsidRPr="00BE523C">
        <w:rPr>
          <w:lang w:val="en-GB"/>
        </w:rPr>
        <w:t xml:space="preserve"> even though </w:t>
      </w:r>
      <w:r w:rsidR="00D81A0A" w:rsidRPr="00BE523C">
        <w:rPr>
          <w:lang w:val="en-GB"/>
        </w:rPr>
        <w:t xml:space="preserve">PHA productivity </w:t>
      </w:r>
      <w:r w:rsidR="008127F2" w:rsidRPr="00BE523C">
        <w:rPr>
          <w:lang w:val="en-GB"/>
        </w:rPr>
        <w:t xml:space="preserve">was higher at higher </w:t>
      </w:r>
      <w:r w:rsidR="0031369D">
        <w:rPr>
          <w:lang w:val="en-GB"/>
        </w:rPr>
        <w:t>T</w:t>
      </w:r>
      <w:r w:rsidRPr="00BE523C">
        <w:rPr>
          <w:lang w:val="en-GB"/>
        </w:rPr>
        <w:t xml:space="preserve">. </w:t>
      </w:r>
      <w:r w:rsidR="008127F2" w:rsidRPr="00BE523C">
        <w:rPr>
          <w:lang w:val="en-GB"/>
        </w:rPr>
        <w:t xml:space="preserve">However, the process was technically feasible over the </w:t>
      </w:r>
      <w:r w:rsidR="0031369D">
        <w:rPr>
          <w:lang w:val="en-GB"/>
        </w:rPr>
        <w:t>T</w:t>
      </w:r>
      <w:r w:rsidR="008127F2" w:rsidRPr="00BE523C">
        <w:rPr>
          <w:lang w:val="en-GB"/>
        </w:rPr>
        <w:t xml:space="preserve"> range explored. </w:t>
      </w:r>
      <w:r w:rsidR="00BE523C" w:rsidRPr="00BE523C">
        <w:rPr>
          <w:lang w:val="en-GB"/>
        </w:rPr>
        <w:t>Indeed, s</w:t>
      </w:r>
      <w:r w:rsidR="008127F2" w:rsidRPr="00BE523C">
        <w:rPr>
          <w:lang w:val="en-GB"/>
        </w:rPr>
        <w:t xml:space="preserve">aving energy is possible if the aerobic process steps are performed without </w:t>
      </w:r>
      <w:r w:rsidR="0031369D">
        <w:rPr>
          <w:lang w:val="en-GB"/>
        </w:rPr>
        <w:t>T</w:t>
      </w:r>
      <w:r w:rsidR="008127F2" w:rsidRPr="00BE523C">
        <w:rPr>
          <w:lang w:val="en-GB"/>
        </w:rPr>
        <w:t xml:space="preserve"> control.</w:t>
      </w:r>
    </w:p>
    <w:p w14:paraId="44E562D2" w14:textId="5932402D" w:rsidR="00C2212B" w:rsidRPr="00BE523C" w:rsidRDefault="008127F2" w:rsidP="00C2212B">
      <w:pPr>
        <w:pStyle w:val="CETBodytext"/>
        <w:rPr>
          <w:lang w:val="en-GB"/>
        </w:rPr>
      </w:pPr>
      <w:r w:rsidRPr="00BE523C">
        <w:rPr>
          <w:lang w:val="en-GB"/>
        </w:rPr>
        <w:t xml:space="preserve">Business model adapted to a particular bio-waste production scenario may help for bioprocess design </w:t>
      </w:r>
      <w:bookmarkStart w:id="0" w:name="_GoBack"/>
      <w:r w:rsidRPr="00BE523C">
        <w:rPr>
          <w:lang w:val="en-GB"/>
        </w:rPr>
        <w:t xml:space="preserve">together with </w:t>
      </w:r>
      <w:r w:rsidR="00C2212B" w:rsidRPr="00BE523C">
        <w:rPr>
          <w:lang w:val="en-GB"/>
        </w:rPr>
        <w:t xml:space="preserve">operations to </w:t>
      </w:r>
      <w:r w:rsidR="00BE523C" w:rsidRPr="00BE523C">
        <w:rPr>
          <w:lang w:val="en-GB"/>
        </w:rPr>
        <w:t>adapt</w:t>
      </w:r>
      <w:r w:rsidR="00C2212B" w:rsidRPr="00BE523C">
        <w:rPr>
          <w:lang w:val="en-GB"/>
        </w:rPr>
        <w:t xml:space="preserve"> for temperature shifts in PHA production </w:t>
      </w:r>
      <w:r w:rsidR="00BE523C" w:rsidRPr="00BE523C">
        <w:rPr>
          <w:lang w:val="en-GB"/>
        </w:rPr>
        <w:t xml:space="preserve">process </w:t>
      </w:r>
      <w:r w:rsidR="00C2212B" w:rsidRPr="00BE523C">
        <w:rPr>
          <w:lang w:val="en-GB"/>
        </w:rPr>
        <w:t xml:space="preserve">as a route to </w:t>
      </w:r>
      <w:r w:rsidR="00BE523C" w:rsidRPr="00BE523C">
        <w:rPr>
          <w:lang w:val="en-GB"/>
        </w:rPr>
        <w:t>bio-</w:t>
      </w:r>
      <w:r w:rsidR="00C2212B" w:rsidRPr="00BE523C">
        <w:rPr>
          <w:lang w:val="en-GB"/>
        </w:rPr>
        <w:t xml:space="preserve">resource </w:t>
      </w:r>
      <w:bookmarkEnd w:id="0"/>
      <w:r w:rsidR="00C2212B" w:rsidRPr="00BE523C">
        <w:rPr>
          <w:lang w:val="en-GB"/>
        </w:rPr>
        <w:t xml:space="preserve">recovery from </w:t>
      </w:r>
      <w:r w:rsidR="00BE523C" w:rsidRPr="00BE523C">
        <w:rPr>
          <w:lang w:val="en-GB"/>
        </w:rPr>
        <w:t xml:space="preserve">urban </w:t>
      </w:r>
      <w:r w:rsidR="00C2212B" w:rsidRPr="00BE523C">
        <w:rPr>
          <w:lang w:val="en-GB"/>
        </w:rPr>
        <w:t>organic waste management services.</w:t>
      </w:r>
    </w:p>
    <w:p w14:paraId="459D05E6" w14:textId="77777777" w:rsidR="00600535" w:rsidRPr="00B57B36" w:rsidRDefault="00600535" w:rsidP="00600535">
      <w:pPr>
        <w:pStyle w:val="CETAcknowledgementstitle"/>
      </w:pPr>
      <w:r w:rsidRPr="00B57B36">
        <w:t>Acknowledgments</w:t>
      </w:r>
    </w:p>
    <w:p w14:paraId="33F8138F" w14:textId="657610D9" w:rsidR="00600535" w:rsidRPr="00B57B36" w:rsidRDefault="00A57B44" w:rsidP="00600535">
      <w:pPr>
        <w:pStyle w:val="CETBodytext"/>
        <w:rPr>
          <w:lang w:val="en-GB"/>
        </w:rPr>
      </w:pPr>
      <w:r w:rsidRPr="00A57B44">
        <w:rPr>
          <w:lang w:val="en-GB"/>
        </w:rPr>
        <w:t>The authors gratefully acknowledge the Italian National Institute for Insurance against Accidents at Work (</w:t>
      </w:r>
      <w:proofErr w:type="spellStart"/>
      <w:r w:rsidRPr="00A57B44">
        <w:rPr>
          <w:lang w:val="en-GB"/>
        </w:rPr>
        <w:t>Istituto</w:t>
      </w:r>
      <w:proofErr w:type="spellEnd"/>
      <w:r w:rsidRPr="00A57B44">
        <w:rPr>
          <w:lang w:val="en-GB"/>
        </w:rPr>
        <w:t xml:space="preserve"> </w:t>
      </w:r>
      <w:proofErr w:type="spellStart"/>
      <w:r w:rsidRPr="00A57B44">
        <w:rPr>
          <w:lang w:val="en-GB"/>
        </w:rPr>
        <w:t>Nazionale</w:t>
      </w:r>
      <w:proofErr w:type="spellEnd"/>
      <w:r w:rsidRPr="00A57B44">
        <w:rPr>
          <w:lang w:val="en-GB"/>
        </w:rPr>
        <w:t xml:space="preserve"> per </w:t>
      </w:r>
      <w:proofErr w:type="spellStart"/>
      <w:r w:rsidRPr="00A57B44">
        <w:rPr>
          <w:lang w:val="en-GB"/>
        </w:rPr>
        <w:t>l’Assicurazione</w:t>
      </w:r>
      <w:proofErr w:type="spellEnd"/>
      <w:r w:rsidRPr="00A57B44">
        <w:rPr>
          <w:lang w:val="en-GB"/>
        </w:rPr>
        <w:t xml:space="preserve"> </w:t>
      </w:r>
      <w:proofErr w:type="spellStart"/>
      <w:r w:rsidRPr="00A57B44">
        <w:rPr>
          <w:lang w:val="en-GB"/>
        </w:rPr>
        <w:t>contro</w:t>
      </w:r>
      <w:proofErr w:type="spellEnd"/>
      <w:r w:rsidRPr="00A57B44">
        <w:rPr>
          <w:lang w:val="en-GB"/>
        </w:rPr>
        <w:t xml:space="preserve"> </w:t>
      </w:r>
      <w:proofErr w:type="spellStart"/>
      <w:r w:rsidRPr="00A57B44">
        <w:rPr>
          <w:lang w:val="en-GB"/>
        </w:rPr>
        <w:t>gli</w:t>
      </w:r>
      <w:proofErr w:type="spellEnd"/>
      <w:r w:rsidRPr="00A57B44">
        <w:rPr>
          <w:lang w:val="en-GB"/>
        </w:rPr>
        <w:t xml:space="preserve"> </w:t>
      </w:r>
      <w:proofErr w:type="spellStart"/>
      <w:r w:rsidRPr="00A57B44">
        <w:rPr>
          <w:lang w:val="en-GB"/>
        </w:rPr>
        <w:t>Infortuni</w:t>
      </w:r>
      <w:proofErr w:type="spellEnd"/>
      <w:r w:rsidRPr="00A57B44">
        <w:rPr>
          <w:lang w:val="en-GB"/>
        </w:rPr>
        <w:t xml:space="preserve"> </w:t>
      </w:r>
      <w:proofErr w:type="spellStart"/>
      <w:r w:rsidRPr="00A57B44">
        <w:rPr>
          <w:lang w:val="en-GB"/>
        </w:rPr>
        <w:t>sul</w:t>
      </w:r>
      <w:proofErr w:type="spellEnd"/>
      <w:r w:rsidRPr="00A57B44">
        <w:rPr>
          <w:lang w:val="en-GB"/>
        </w:rPr>
        <w:t xml:space="preserve"> </w:t>
      </w:r>
      <w:proofErr w:type="spellStart"/>
      <w:r w:rsidRPr="00A57B44">
        <w:rPr>
          <w:lang w:val="en-GB"/>
        </w:rPr>
        <w:t>Lavoro</w:t>
      </w:r>
      <w:proofErr w:type="spellEnd"/>
      <w:r w:rsidRPr="00A57B44">
        <w:rPr>
          <w:lang w:val="en-GB"/>
        </w:rPr>
        <w:t>, INAIL) for financial support of this research, in the frame of national Call BRIC 2013-2015 (ID15).</w:t>
      </w:r>
    </w:p>
    <w:p w14:paraId="4F1327F8" w14:textId="77777777" w:rsidR="00600535" w:rsidRPr="00B57B36" w:rsidRDefault="00600535" w:rsidP="00600535">
      <w:pPr>
        <w:pStyle w:val="CETReference"/>
      </w:pPr>
      <w:r w:rsidRPr="00B57B36">
        <w:t>References</w:t>
      </w:r>
    </w:p>
    <w:p w14:paraId="6B061C6D" w14:textId="77777777" w:rsidR="003B7150" w:rsidRDefault="003B7150" w:rsidP="003B7150">
      <w:pPr>
        <w:pStyle w:val="CETReferencetext"/>
      </w:pPr>
      <w:r w:rsidRPr="00CD4EB1">
        <w:t>Chen G</w:t>
      </w:r>
      <w:r>
        <w:t>.</w:t>
      </w:r>
      <w:r w:rsidRPr="00CD4EB1">
        <w:t>Q.</w:t>
      </w:r>
      <w:r>
        <w:t xml:space="preserve"> (Ed), 2010, </w:t>
      </w:r>
      <w:r w:rsidRPr="00CD4EB1">
        <w:t>Plastic from bacteria</w:t>
      </w:r>
      <w:r>
        <w:t>,</w:t>
      </w:r>
      <w:r w:rsidRPr="00CD4EB1">
        <w:t xml:space="preserve"> </w:t>
      </w:r>
      <w:proofErr w:type="gramStart"/>
      <w:r w:rsidRPr="00CD4EB1">
        <w:t>In</w:t>
      </w:r>
      <w:proofErr w:type="gramEnd"/>
      <w:r w:rsidRPr="00CD4EB1">
        <w:t>: Natural functions and applications. Microb</w:t>
      </w:r>
      <w:r>
        <w:t>iology monograph. Springer</w:t>
      </w:r>
      <w:r w:rsidRPr="00CD4EB1">
        <w:t>.</w:t>
      </w:r>
    </w:p>
    <w:p w14:paraId="31F98140" w14:textId="77777777" w:rsidR="003B7150" w:rsidRDefault="003B7150" w:rsidP="003B7150">
      <w:pPr>
        <w:pStyle w:val="CETReferencetext"/>
      </w:pPr>
      <w:r>
        <w:t xml:space="preserve">De </w:t>
      </w:r>
      <w:proofErr w:type="spellStart"/>
      <w:r>
        <w:t>Grazia</w:t>
      </w:r>
      <w:proofErr w:type="spellEnd"/>
      <w:r>
        <w:t xml:space="preserve"> G., </w:t>
      </w:r>
      <w:proofErr w:type="spellStart"/>
      <w:r>
        <w:t>Quadri</w:t>
      </w:r>
      <w:proofErr w:type="spellEnd"/>
      <w:r>
        <w:t xml:space="preserve"> L., </w:t>
      </w:r>
      <w:proofErr w:type="spellStart"/>
      <w:r>
        <w:t>Majone</w:t>
      </w:r>
      <w:proofErr w:type="spellEnd"/>
      <w:r>
        <w:t xml:space="preserve"> M., Morgan-</w:t>
      </w:r>
      <w:proofErr w:type="spellStart"/>
      <w:r>
        <w:t>Sagastume</w:t>
      </w:r>
      <w:proofErr w:type="spellEnd"/>
      <w:r>
        <w:t xml:space="preserve"> F., </w:t>
      </w:r>
      <w:proofErr w:type="spellStart"/>
      <w:r>
        <w:t>Werker</w:t>
      </w:r>
      <w:proofErr w:type="spellEnd"/>
      <w:r>
        <w:t xml:space="preserve"> A., 2017, Influence of temperature on mixed microbial culture polyhydroxyalkanoates production while treating a starch industry wastewater, </w:t>
      </w:r>
      <w:r w:rsidRPr="00D86599">
        <w:t>Journal of Environmental Chemical Engineering</w:t>
      </w:r>
      <w:r>
        <w:t>,</w:t>
      </w:r>
      <w:r w:rsidRPr="00D86599">
        <w:t xml:space="preserve"> 5</w:t>
      </w:r>
      <w:r>
        <w:t xml:space="preserve">, </w:t>
      </w:r>
      <w:r w:rsidRPr="00D86599">
        <w:t>5067</w:t>
      </w:r>
      <w:r>
        <w:t>-</w:t>
      </w:r>
      <w:r w:rsidRPr="00D86599">
        <w:t>5075</w:t>
      </w:r>
      <w:r>
        <w:t>.</w:t>
      </w:r>
    </w:p>
    <w:p w14:paraId="2AC748AA" w14:textId="30E24C04" w:rsidR="000239E2" w:rsidRDefault="000239E2" w:rsidP="006B4888">
      <w:pPr>
        <w:pStyle w:val="CETReferencetext"/>
      </w:pPr>
      <w:proofErr w:type="spellStart"/>
      <w:r w:rsidRPr="000239E2">
        <w:t>Dionisi</w:t>
      </w:r>
      <w:proofErr w:type="spellEnd"/>
      <w:r w:rsidRPr="000239E2">
        <w:t xml:space="preserve"> D</w:t>
      </w:r>
      <w:r w:rsidR="00BE523C">
        <w:t>.</w:t>
      </w:r>
      <w:r w:rsidRPr="000239E2">
        <w:t xml:space="preserve">, </w:t>
      </w:r>
      <w:proofErr w:type="spellStart"/>
      <w:r w:rsidRPr="000239E2">
        <w:t>Majone</w:t>
      </w:r>
      <w:proofErr w:type="spellEnd"/>
      <w:r w:rsidRPr="000239E2">
        <w:t xml:space="preserve"> M</w:t>
      </w:r>
      <w:r w:rsidR="00BE523C">
        <w:t>.</w:t>
      </w:r>
      <w:r w:rsidRPr="000239E2">
        <w:t xml:space="preserve">, </w:t>
      </w:r>
      <w:proofErr w:type="spellStart"/>
      <w:proofErr w:type="gramStart"/>
      <w:r w:rsidRPr="000239E2">
        <w:t>Tandoi</w:t>
      </w:r>
      <w:proofErr w:type="spellEnd"/>
      <w:proofErr w:type="gramEnd"/>
      <w:r w:rsidRPr="000239E2">
        <w:t xml:space="preserve"> V</w:t>
      </w:r>
      <w:r w:rsidR="00BE523C">
        <w:t>.</w:t>
      </w:r>
      <w:r w:rsidRPr="000239E2">
        <w:t xml:space="preserve">, </w:t>
      </w:r>
      <w:proofErr w:type="spellStart"/>
      <w:r w:rsidRPr="000239E2">
        <w:t>Beccari</w:t>
      </w:r>
      <w:proofErr w:type="spellEnd"/>
      <w:r w:rsidRPr="000239E2">
        <w:t xml:space="preserve"> M.</w:t>
      </w:r>
      <w:r w:rsidR="00BE523C">
        <w:t>,</w:t>
      </w:r>
      <w:r w:rsidRPr="000239E2">
        <w:t xml:space="preserve"> </w:t>
      </w:r>
      <w:r w:rsidR="00BE523C">
        <w:t xml:space="preserve">2001, </w:t>
      </w:r>
      <w:r w:rsidRPr="000239E2">
        <w:t xml:space="preserve">Sequencing Batch Reactor: influence of periodic operation on performance of activated </w:t>
      </w:r>
      <w:proofErr w:type="spellStart"/>
      <w:r w:rsidRPr="000239E2">
        <w:t>sludges</w:t>
      </w:r>
      <w:proofErr w:type="spellEnd"/>
      <w:r w:rsidRPr="000239E2">
        <w:t xml:space="preserve"> in biological wastewater treatment</w:t>
      </w:r>
      <w:r w:rsidR="00BE523C">
        <w:t>,</w:t>
      </w:r>
      <w:r w:rsidRPr="000239E2">
        <w:t xml:space="preserve"> Ind</w:t>
      </w:r>
      <w:r w:rsidR="00BE523C">
        <w:t>ustrial &amp;</w:t>
      </w:r>
      <w:r w:rsidRPr="000239E2">
        <w:t xml:space="preserve"> Eng</w:t>
      </w:r>
      <w:r w:rsidR="00BE523C">
        <w:t>ineering</w:t>
      </w:r>
      <w:r w:rsidRPr="000239E2">
        <w:t xml:space="preserve"> Chem</w:t>
      </w:r>
      <w:r w:rsidR="00BE523C">
        <w:t>istry</w:t>
      </w:r>
      <w:r w:rsidRPr="000239E2">
        <w:t xml:space="preserve"> Res</w:t>
      </w:r>
      <w:r w:rsidR="00BE523C">
        <w:t>earch,</w:t>
      </w:r>
      <w:r w:rsidRPr="000239E2">
        <w:t xml:space="preserve"> 40</w:t>
      </w:r>
      <w:r w:rsidR="00BE523C">
        <w:t xml:space="preserve">, </w:t>
      </w:r>
      <w:r w:rsidRPr="000239E2">
        <w:t>5110</w:t>
      </w:r>
      <w:r w:rsidR="00BE523C">
        <w:t>-511</w:t>
      </w:r>
      <w:r w:rsidRPr="000239E2">
        <w:t>9.</w:t>
      </w:r>
    </w:p>
    <w:p w14:paraId="7DEDBA60" w14:textId="77777777" w:rsidR="003B7150" w:rsidRDefault="003B7150" w:rsidP="003B7150">
      <w:pPr>
        <w:pStyle w:val="CETReferencetext"/>
      </w:pPr>
      <w:proofErr w:type="spellStart"/>
      <w:r w:rsidRPr="00CD4EB1">
        <w:t>Gholami</w:t>
      </w:r>
      <w:proofErr w:type="spellEnd"/>
      <w:r w:rsidRPr="00CD4EB1">
        <w:t xml:space="preserve"> A</w:t>
      </w:r>
      <w:r>
        <w:t>.</w:t>
      </w:r>
      <w:r w:rsidRPr="00CD4EB1">
        <w:t xml:space="preserve">, </w:t>
      </w:r>
      <w:proofErr w:type="spellStart"/>
      <w:r w:rsidRPr="00CD4EB1">
        <w:t>Mohkam</w:t>
      </w:r>
      <w:proofErr w:type="spellEnd"/>
      <w:r w:rsidRPr="00CD4EB1">
        <w:t xml:space="preserve"> M</w:t>
      </w:r>
      <w:r>
        <w:t>.</w:t>
      </w:r>
      <w:r w:rsidRPr="00CD4EB1">
        <w:t xml:space="preserve">, </w:t>
      </w:r>
      <w:proofErr w:type="spellStart"/>
      <w:r w:rsidRPr="00CD4EB1">
        <w:t>Rasoul-Amini</w:t>
      </w:r>
      <w:proofErr w:type="spellEnd"/>
      <w:r w:rsidRPr="00CD4EB1">
        <w:t xml:space="preserve"> S</w:t>
      </w:r>
      <w:r>
        <w:t>.</w:t>
      </w:r>
      <w:r w:rsidRPr="00CD4EB1">
        <w:t xml:space="preserve">, </w:t>
      </w:r>
      <w:proofErr w:type="spellStart"/>
      <w:r w:rsidRPr="00CD4EB1">
        <w:t>Ghasemi</w:t>
      </w:r>
      <w:proofErr w:type="spellEnd"/>
      <w:r w:rsidRPr="00CD4EB1">
        <w:t xml:space="preserve"> Y.</w:t>
      </w:r>
      <w:r>
        <w:t>,</w:t>
      </w:r>
      <w:r w:rsidRPr="00CD4EB1">
        <w:t xml:space="preserve"> </w:t>
      </w:r>
      <w:r>
        <w:t xml:space="preserve">2016, </w:t>
      </w:r>
      <w:r w:rsidRPr="00CD4EB1">
        <w:t>Industrial production of polyhydroxyalkanoates by bacteria: opportunities and challenges</w:t>
      </w:r>
      <w:r>
        <w:t>,</w:t>
      </w:r>
      <w:r w:rsidRPr="00CD4EB1">
        <w:t xml:space="preserve"> Minerv</w:t>
      </w:r>
      <w:r>
        <w:t>a</w:t>
      </w:r>
      <w:r w:rsidRPr="00CD4EB1">
        <w:t xml:space="preserve"> </w:t>
      </w:r>
      <w:proofErr w:type="spellStart"/>
      <w:r w:rsidRPr="00CD4EB1">
        <w:t>Biotechnol</w:t>
      </w:r>
      <w:r>
        <w:t>ogica</w:t>
      </w:r>
      <w:proofErr w:type="spellEnd"/>
      <w:r>
        <w:t xml:space="preserve">, </w:t>
      </w:r>
      <w:r w:rsidRPr="00CD4EB1">
        <w:t>28</w:t>
      </w:r>
      <w:r>
        <w:t xml:space="preserve">, </w:t>
      </w:r>
      <w:r w:rsidRPr="00CD4EB1">
        <w:t>59</w:t>
      </w:r>
      <w:r>
        <w:t>-</w:t>
      </w:r>
      <w:r w:rsidRPr="00CD4EB1">
        <w:t>74.</w:t>
      </w:r>
    </w:p>
    <w:p w14:paraId="7C055A23" w14:textId="77777777" w:rsidR="003B7150" w:rsidRDefault="003B7150" w:rsidP="003B7150">
      <w:pPr>
        <w:pStyle w:val="CETReferencetext"/>
      </w:pPr>
      <w:proofErr w:type="spellStart"/>
      <w:r>
        <w:t>Girotto</w:t>
      </w:r>
      <w:proofErr w:type="spellEnd"/>
      <w:r w:rsidRPr="00CD4EB1">
        <w:t xml:space="preserve"> F.</w:t>
      </w:r>
      <w:r>
        <w:t xml:space="preserve">, </w:t>
      </w:r>
      <w:proofErr w:type="spellStart"/>
      <w:r>
        <w:t>Alibardi</w:t>
      </w:r>
      <w:proofErr w:type="spellEnd"/>
      <w:r w:rsidRPr="00CD4EB1">
        <w:t xml:space="preserve"> L.</w:t>
      </w:r>
      <w:r>
        <w:t xml:space="preserve">, </w:t>
      </w:r>
      <w:proofErr w:type="spellStart"/>
      <w:r>
        <w:t>Cossu</w:t>
      </w:r>
      <w:proofErr w:type="spellEnd"/>
      <w:r w:rsidRPr="00CD4EB1">
        <w:t xml:space="preserve"> R.</w:t>
      </w:r>
      <w:r>
        <w:t>,</w:t>
      </w:r>
      <w:r w:rsidRPr="00CD4EB1">
        <w:t xml:space="preserve"> </w:t>
      </w:r>
      <w:r>
        <w:t xml:space="preserve">2015, </w:t>
      </w:r>
      <w:r w:rsidRPr="00CD4EB1">
        <w:t>Food waste generation and industrial uses: A review</w:t>
      </w:r>
      <w:r>
        <w:t>,</w:t>
      </w:r>
      <w:r w:rsidRPr="00CD4EB1">
        <w:t xml:space="preserve"> Waste Manage</w:t>
      </w:r>
      <w:r>
        <w:t>ment</w:t>
      </w:r>
      <w:r w:rsidRPr="00CD4EB1">
        <w:t>, 45, 32</w:t>
      </w:r>
      <w:r>
        <w:t>-</w:t>
      </w:r>
      <w:r w:rsidRPr="00CD4EB1">
        <w:t>41.</w:t>
      </w:r>
    </w:p>
    <w:p w14:paraId="6DA3E3BE" w14:textId="7DB805A2" w:rsidR="00E26EAF" w:rsidRDefault="00E26EAF" w:rsidP="006B4888">
      <w:pPr>
        <w:pStyle w:val="CETReferencetext"/>
      </w:pPr>
      <w:r w:rsidRPr="00E26EAF">
        <w:t>Jiang Y</w:t>
      </w:r>
      <w:r w:rsidR="00BE523C">
        <w:t>.</w:t>
      </w:r>
      <w:r w:rsidRPr="00E26EAF">
        <w:t xml:space="preserve">, </w:t>
      </w:r>
      <w:proofErr w:type="spellStart"/>
      <w:r w:rsidRPr="00E26EAF">
        <w:t>Marang</w:t>
      </w:r>
      <w:proofErr w:type="spellEnd"/>
      <w:r w:rsidRPr="00E26EAF">
        <w:t xml:space="preserve"> L</w:t>
      </w:r>
      <w:r w:rsidR="00BE523C">
        <w:t>.</w:t>
      </w:r>
      <w:r w:rsidRPr="00E26EAF">
        <w:t xml:space="preserve">, </w:t>
      </w:r>
      <w:proofErr w:type="spellStart"/>
      <w:r w:rsidRPr="00E26EAF">
        <w:t>Kleerebezem</w:t>
      </w:r>
      <w:proofErr w:type="spellEnd"/>
      <w:r w:rsidRPr="00E26EAF">
        <w:t xml:space="preserve"> R</w:t>
      </w:r>
      <w:r w:rsidR="00BE523C">
        <w:t>.</w:t>
      </w:r>
      <w:r w:rsidRPr="00E26EAF">
        <w:t xml:space="preserve">, </w:t>
      </w:r>
      <w:proofErr w:type="spellStart"/>
      <w:r w:rsidRPr="00E26EAF">
        <w:t>Muyzer</w:t>
      </w:r>
      <w:proofErr w:type="spellEnd"/>
      <w:r w:rsidRPr="00E26EAF">
        <w:t xml:space="preserve"> G</w:t>
      </w:r>
      <w:r w:rsidR="00BE523C">
        <w:t>.</w:t>
      </w:r>
      <w:r w:rsidRPr="00E26EAF">
        <w:t xml:space="preserve">, van </w:t>
      </w:r>
      <w:proofErr w:type="spellStart"/>
      <w:r w:rsidRPr="00E26EAF">
        <w:t>Loosdrecht</w:t>
      </w:r>
      <w:proofErr w:type="spellEnd"/>
      <w:r w:rsidRPr="00E26EAF">
        <w:t xml:space="preserve"> M</w:t>
      </w:r>
      <w:r w:rsidR="00BE523C">
        <w:t>.</w:t>
      </w:r>
      <w:r w:rsidRPr="00E26EAF">
        <w:t>C</w:t>
      </w:r>
      <w:r w:rsidR="00BE523C">
        <w:t>.</w:t>
      </w:r>
      <w:r w:rsidRPr="00E26EAF">
        <w:t>M.</w:t>
      </w:r>
      <w:r w:rsidR="00BE523C">
        <w:t>,</w:t>
      </w:r>
      <w:r w:rsidRPr="00E26EAF">
        <w:t xml:space="preserve"> </w:t>
      </w:r>
      <w:r w:rsidR="00BE523C">
        <w:t xml:space="preserve">2011, </w:t>
      </w:r>
      <w:r w:rsidRPr="00E26EAF">
        <w:t>Effect of temperature and cycle length on microbial competition in PHB-producing sequencing batch reactor</w:t>
      </w:r>
      <w:r w:rsidR="00BE523C">
        <w:t>,</w:t>
      </w:r>
      <w:r w:rsidRPr="00E26EAF">
        <w:t xml:space="preserve"> ISME J</w:t>
      </w:r>
      <w:r w:rsidR="00BE523C">
        <w:t xml:space="preserve">ournal, </w:t>
      </w:r>
      <w:r w:rsidRPr="00E26EAF">
        <w:t>5</w:t>
      </w:r>
      <w:r w:rsidR="00BE523C">
        <w:t xml:space="preserve">, </w:t>
      </w:r>
      <w:r w:rsidRPr="00E26EAF">
        <w:t>896</w:t>
      </w:r>
      <w:r w:rsidR="00BE523C">
        <w:t>-</w:t>
      </w:r>
      <w:r w:rsidRPr="00E26EAF">
        <w:t>907.</w:t>
      </w:r>
    </w:p>
    <w:p w14:paraId="522A9AFC" w14:textId="77777777" w:rsidR="003B7150" w:rsidRDefault="003B7150" w:rsidP="003B7150">
      <w:pPr>
        <w:pStyle w:val="CETReferencetext"/>
      </w:pPr>
      <w:proofErr w:type="spellStart"/>
      <w:r>
        <w:t>Kourmentza</w:t>
      </w:r>
      <w:proofErr w:type="spellEnd"/>
      <w:r>
        <w:t xml:space="preserve"> C., </w:t>
      </w:r>
      <w:proofErr w:type="spellStart"/>
      <w:r>
        <w:t>Plácido</w:t>
      </w:r>
      <w:proofErr w:type="spellEnd"/>
      <w:r>
        <w:t xml:space="preserve"> J., </w:t>
      </w:r>
      <w:proofErr w:type="spellStart"/>
      <w:r>
        <w:t>Venetsaneas</w:t>
      </w:r>
      <w:proofErr w:type="spellEnd"/>
      <w:r>
        <w:t xml:space="preserve"> N., </w:t>
      </w:r>
      <w:proofErr w:type="spellStart"/>
      <w:r>
        <w:t>Burniol-Figols</w:t>
      </w:r>
      <w:proofErr w:type="spellEnd"/>
      <w:r>
        <w:t xml:space="preserve"> A., </w:t>
      </w:r>
      <w:proofErr w:type="spellStart"/>
      <w:r>
        <w:t>Varrone</w:t>
      </w:r>
      <w:proofErr w:type="spellEnd"/>
      <w:r>
        <w:t xml:space="preserve"> C., </w:t>
      </w:r>
      <w:proofErr w:type="spellStart"/>
      <w:r>
        <w:t>Gavala</w:t>
      </w:r>
      <w:proofErr w:type="spellEnd"/>
      <w:r>
        <w:t xml:space="preserve"> H.N., Reis M.A.M., 2017, Recent Advances and Challenges towards Sustainable </w:t>
      </w:r>
      <w:proofErr w:type="spellStart"/>
      <w:r>
        <w:t>Polyhydroxyalkanoate</w:t>
      </w:r>
      <w:proofErr w:type="spellEnd"/>
      <w:r>
        <w:t xml:space="preserve"> (PHA) Production, </w:t>
      </w:r>
      <w:r w:rsidRPr="00AB2C4F">
        <w:t>Bioengineering 2017, 4, 55</w:t>
      </w:r>
      <w:r>
        <w:t>.</w:t>
      </w:r>
    </w:p>
    <w:p w14:paraId="601D4BAF" w14:textId="77777777" w:rsidR="003B7150" w:rsidRDefault="003B7150" w:rsidP="003B7150">
      <w:pPr>
        <w:pStyle w:val="CETReferencetext"/>
      </w:pPr>
      <w:r>
        <w:t>Lieder</w:t>
      </w:r>
      <w:r w:rsidRPr="00CD4EB1">
        <w:t xml:space="preserve"> M.</w:t>
      </w:r>
      <w:r>
        <w:t>, Rashid</w:t>
      </w:r>
      <w:r w:rsidRPr="00CD4EB1">
        <w:t xml:space="preserve"> A.</w:t>
      </w:r>
      <w:r>
        <w:t>,</w:t>
      </w:r>
      <w:r w:rsidRPr="00CD4EB1">
        <w:t xml:space="preserve"> </w:t>
      </w:r>
      <w:r>
        <w:t xml:space="preserve">2016, </w:t>
      </w:r>
      <w:proofErr w:type="gramStart"/>
      <w:r w:rsidRPr="00CD4EB1">
        <w:t>Towards</w:t>
      </w:r>
      <w:proofErr w:type="gramEnd"/>
      <w:r w:rsidRPr="00CD4EB1">
        <w:t xml:space="preserve"> circular economy </w:t>
      </w:r>
      <w:proofErr w:type="spellStart"/>
      <w:r w:rsidRPr="00CD4EB1">
        <w:t>implementa</w:t>
      </w:r>
      <w:proofErr w:type="spellEnd"/>
      <w:r w:rsidRPr="00CD4EB1">
        <w:t xml:space="preserve">- </w:t>
      </w:r>
      <w:proofErr w:type="spellStart"/>
      <w:r w:rsidRPr="00CD4EB1">
        <w:t>tion</w:t>
      </w:r>
      <w:proofErr w:type="spellEnd"/>
      <w:r w:rsidRPr="00CD4EB1">
        <w:t>: a comprehensive review in context of manufacturing industry</w:t>
      </w:r>
      <w:r>
        <w:t>,</w:t>
      </w:r>
      <w:r w:rsidRPr="00CD4EB1">
        <w:t xml:space="preserve"> J</w:t>
      </w:r>
      <w:r>
        <w:t>ournal of</w:t>
      </w:r>
      <w:r w:rsidRPr="00CD4EB1">
        <w:t xml:space="preserve"> Cleaner Prod</w:t>
      </w:r>
      <w:r>
        <w:t>uction,</w:t>
      </w:r>
      <w:r w:rsidRPr="00CD4EB1">
        <w:t xml:space="preserve"> 115, 36</w:t>
      </w:r>
      <w:r>
        <w:t>-</w:t>
      </w:r>
      <w:r w:rsidRPr="00CD4EB1">
        <w:t>51.</w:t>
      </w:r>
    </w:p>
    <w:p w14:paraId="4AC18F8C" w14:textId="25884605" w:rsidR="00E26EAF" w:rsidRDefault="00E26EAF" w:rsidP="00E26EAF">
      <w:pPr>
        <w:pStyle w:val="CETReferencetext"/>
      </w:pPr>
      <w:proofErr w:type="spellStart"/>
      <w:r w:rsidRPr="00E26EAF">
        <w:t>Moralejo-Gárate</w:t>
      </w:r>
      <w:proofErr w:type="spellEnd"/>
      <w:r w:rsidRPr="00E26EAF">
        <w:t xml:space="preserve"> H</w:t>
      </w:r>
      <w:r w:rsidR="00BE523C">
        <w:t>.</w:t>
      </w:r>
      <w:r w:rsidRPr="00E26EAF">
        <w:t xml:space="preserve">, </w:t>
      </w:r>
      <w:proofErr w:type="spellStart"/>
      <w:r w:rsidRPr="00E26EAF">
        <w:t>Palmeiro-Sánchez</w:t>
      </w:r>
      <w:proofErr w:type="spellEnd"/>
      <w:r w:rsidRPr="00E26EAF">
        <w:t xml:space="preserve"> T</w:t>
      </w:r>
      <w:r w:rsidR="00BE523C">
        <w:t>.</w:t>
      </w:r>
      <w:r w:rsidRPr="00E26EAF">
        <w:t xml:space="preserve">, </w:t>
      </w:r>
      <w:proofErr w:type="spellStart"/>
      <w:r w:rsidRPr="00E26EAF">
        <w:t>Kleerebezem</w:t>
      </w:r>
      <w:proofErr w:type="spellEnd"/>
      <w:r w:rsidRPr="00E26EAF">
        <w:t xml:space="preserve"> R</w:t>
      </w:r>
      <w:r w:rsidR="00BE523C">
        <w:t>.</w:t>
      </w:r>
      <w:r w:rsidRPr="00E26EAF">
        <w:t xml:space="preserve">, </w:t>
      </w:r>
      <w:proofErr w:type="spellStart"/>
      <w:r w:rsidRPr="00E26EAF">
        <w:t>Mosquera</w:t>
      </w:r>
      <w:proofErr w:type="spellEnd"/>
      <w:r w:rsidRPr="00E26EAF">
        <w:t>-Corral A</w:t>
      </w:r>
      <w:r w:rsidR="00BE523C">
        <w:t>.</w:t>
      </w:r>
      <w:r w:rsidRPr="00E26EAF">
        <w:t>, Campos J</w:t>
      </w:r>
      <w:r w:rsidR="00BE523C">
        <w:t>.</w:t>
      </w:r>
      <w:r w:rsidRPr="00E26EAF">
        <w:t>L</w:t>
      </w:r>
      <w:r w:rsidR="00BE523C">
        <w:t>.</w:t>
      </w:r>
      <w:r w:rsidRPr="00E26EAF">
        <w:t xml:space="preserve">, </w:t>
      </w:r>
      <w:r w:rsidR="00BE523C" w:rsidRPr="00E26EAF">
        <w:t xml:space="preserve">van </w:t>
      </w:r>
      <w:proofErr w:type="spellStart"/>
      <w:r w:rsidR="00BE523C" w:rsidRPr="00E26EAF">
        <w:t>Loosdrecht</w:t>
      </w:r>
      <w:proofErr w:type="spellEnd"/>
      <w:r w:rsidR="00BE523C" w:rsidRPr="00E26EAF">
        <w:t xml:space="preserve"> M</w:t>
      </w:r>
      <w:r w:rsidR="00BE523C">
        <w:t>.</w:t>
      </w:r>
      <w:r w:rsidR="00BE523C" w:rsidRPr="00E26EAF">
        <w:t>C</w:t>
      </w:r>
      <w:r w:rsidR="00BE523C">
        <w:t>.</w:t>
      </w:r>
      <w:r w:rsidR="00BE523C" w:rsidRPr="00E26EAF">
        <w:t>M.</w:t>
      </w:r>
      <w:r w:rsidR="00BE523C">
        <w:t>,</w:t>
      </w:r>
      <w:r w:rsidRPr="00E26EAF">
        <w:t xml:space="preserve"> </w:t>
      </w:r>
      <w:r w:rsidR="00BE523C">
        <w:t xml:space="preserve">2013, </w:t>
      </w:r>
      <w:r w:rsidRPr="00E26EAF">
        <w:t xml:space="preserve">Influence of the cycle length on the production of PHA and </w:t>
      </w:r>
      <w:proofErr w:type="spellStart"/>
      <w:r w:rsidRPr="00E26EAF">
        <w:t>polyglucose</w:t>
      </w:r>
      <w:proofErr w:type="spellEnd"/>
      <w:r w:rsidRPr="00E26EAF">
        <w:t xml:space="preserve"> from glycerol by bacterial enrichments in sequencing batch reactors</w:t>
      </w:r>
      <w:r w:rsidR="00BE523C">
        <w:t>,</w:t>
      </w:r>
      <w:r w:rsidRPr="00E26EAF">
        <w:t xml:space="preserve"> Biotechnol</w:t>
      </w:r>
      <w:r w:rsidR="00BE523C">
        <w:t>ogy &amp;</w:t>
      </w:r>
      <w:r w:rsidRPr="00E26EAF">
        <w:t xml:space="preserve"> Bioeng</w:t>
      </w:r>
      <w:r w:rsidR="00BE523C">
        <w:t xml:space="preserve">ineering, </w:t>
      </w:r>
      <w:r w:rsidRPr="00E26EAF">
        <w:t>110</w:t>
      </w:r>
      <w:r w:rsidR="00BE523C">
        <w:t xml:space="preserve">, </w:t>
      </w:r>
      <w:r w:rsidRPr="00E26EAF">
        <w:t>3148</w:t>
      </w:r>
      <w:r w:rsidR="00BE523C">
        <w:t>-31</w:t>
      </w:r>
      <w:r w:rsidRPr="00E26EAF">
        <w:t>55.</w:t>
      </w:r>
    </w:p>
    <w:p w14:paraId="52ACA83C" w14:textId="77777777" w:rsidR="003B7150" w:rsidRDefault="003B7150" w:rsidP="003B7150">
      <w:pPr>
        <w:pStyle w:val="CETReferencetext"/>
      </w:pPr>
      <w:r w:rsidRPr="00315244">
        <w:t>Morgan-</w:t>
      </w:r>
      <w:proofErr w:type="spellStart"/>
      <w:r w:rsidRPr="00315244">
        <w:t>Sagastume</w:t>
      </w:r>
      <w:proofErr w:type="spellEnd"/>
      <w:r w:rsidRPr="00315244">
        <w:t xml:space="preserve"> F</w:t>
      </w:r>
      <w:r>
        <w:t>.</w:t>
      </w:r>
      <w:r w:rsidRPr="00315244">
        <w:t xml:space="preserve">, </w:t>
      </w:r>
      <w:proofErr w:type="spellStart"/>
      <w:r w:rsidRPr="00315244">
        <w:t>Hjort</w:t>
      </w:r>
      <w:proofErr w:type="spellEnd"/>
      <w:r w:rsidRPr="00315244">
        <w:t xml:space="preserve"> M</w:t>
      </w:r>
      <w:r>
        <w:t>.</w:t>
      </w:r>
      <w:r w:rsidRPr="00315244">
        <w:t xml:space="preserve">, </w:t>
      </w:r>
      <w:proofErr w:type="spellStart"/>
      <w:r w:rsidRPr="00315244">
        <w:t>Cirne</w:t>
      </w:r>
      <w:proofErr w:type="spellEnd"/>
      <w:r w:rsidRPr="00315244">
        <w:t xml:space="preserve"> D</w:t>
      </w:r>
      <w:r>
        <w:t>.</w:t>
      </w:r>
      <w:r w:rsidRPr="00315244">
        <w:t xml:space="preserve">, </w:t>
      </w:r>
      <w:proofErr w:type="spellStart"/>
      <w:r w:rsidRPr="00315244">
        <w:t>Gérardin</w:t>
      </w:r>
      <w:proofErr w:type="spellEnd"/>
      <w:r w:rsidRPr="00315244">
        <w:t xml:space="preserve"> F</w:t>
      </w:r>
      <w:r>
        <w:t>.</w:t>
      </w:r>
      <w:r w:rsidRPr="00315244">
        <w:t xml:space="preserve">, </w:t>
      </w:r>
      <w:proofErr w:type="spellStart"/>
      <w:r w:rsidRPr="00315244">
        <w:t>Lacroix</w:t>
      </w:r>
      <w:proofErr w:type="spellEnd"/>
      <w:r w:rsidRPr="00315244">
        <w:t xml:space="preserve"> S</w:t>
      </w:r>
      <w:r>
        <w:t>.</w:t>
      </w:r>
      <w:r w:rsidRPr="00315244">
        <w:t xml:space="preserve">, </w:t>
      </w:r>
      <w:proofErr w:type="spellStart"/>
      <w:r w:rsidRPr="005C3B7D">
        <w:t>Gaval</w:t>
      </w:r>
      <w:proofErr w:type="spellEnd"/>
      <w:r w:rsidRPr="005C3B7D">
        <w:t xml:space="preserve"> G</w:t>
      </w:r>
      <w:r>
        <w:t xml:space="preserve">., </w:t>
      </w:r>
      <w:proofErr w:type="spellStart"/>
      <w:r>
        <w:t>Karabegovic</w:t>
      </w:r>
      <w:proofErr w:type="spellEnd"/>
      <w:r>
        <w:t xml:space="preserve"> L.</w:t>
      </w:r>
      <w:r w:rsidRPr="005C3B7D">
        <w:t xml:space="preserve">, </w:t>
      </w:r>
      <w:proofErr w:type="spellStart"/>
      <w:r w:rsidRPr="005C3B7D">
        <w:t>Alexandersson</w:t>
      </w:r>
      <w:proofErr w:type="spellEnd"/>
      <w:r w:rsidRPr="005C3B7D">
        <w:t xml:space="preserve"> T</w:t>
      </w:r>
      <w:r>
        <w:t>.</w:t>
      </w:r>
      <w:r w:rsidRPr="005C3B7D">
        <w:t>, Johansson P</w:t>
      </w:r>
      <w:r>
        <w:t>.</w:t>
      </w:r>
      <w:r w:rsidRPr="005C3B7D">
        <w:t xml:space="preserve">, </w:t>
      </w:r>
      <w:proofErr w:type="spellStart"/>
      <w:r w:rsidRPr="005C3B7D">
        <w:t>Karlsson</w:t>
      </w:r>
      <w:proofErr w:type="spellEnd"/>
      <w:r w:rsidRPr="005C3B7D">
        <w:t xml:space="preserve"> A</w:t>
      </w:r>
      <w:r>
        <w:t>.</w:t>
      </w:r>
      <w:r w:rsidRPr="005C3B7D">
        <w:t xml:space="preserve">, </w:t>
      </w:r>
      <w:proofErr w:type="spellStart"/>
      <w:r w:rsidRPr="005C3B7D">
        <w:t>Bengtsson</w:t>
      </w:r>
      <w:proofErr w:type="spellEnd"/>
      <w:r w:rsidRPr="005C3B7D">
        <w:t xml:space="preserve"> S</w:t>
      </w:r>
      <w:r>
        <w:t>.</w:t>
      </w:r>
      <w:r w:rsidRPr="005C3B7D">
        <w:t>, Arcos-Hernández M</w:t>
      </w:r>
      <w:r>
        <w:t>.</w:t>
      </w:r>
      <w:r w:rsidRPr="005C3B7D">
        <w:t>V</w:t>
      </w:r>
      <w:r>
        <w:t>.</w:t>
      </w:r>
      <w:r w:rsidRPr="005C3B7D">
        <w:t>, Magnusson P</w:t>
      </w:r>
      <w:r>
        <w:t>.</w:t>
      </w:r>
      <w:r w:rsidRPr="005C3B7D">
        <w:t xml:space="preserve">, </w:t>
      </w:r>
      <w:proofErr w:type="spellStart"/>
      <w:r w:rsidRPr="005C3B7D">
        <w:t>Werker</w:t>
      </w:r>
      <w:proofErr w:type="spellEnd"/>
      <w:r w:rsidRPr="005C3B7D">
        <w:t xml:space="preserve"> A</w:t>
      </w:r>
      <w:r>
        <w:t>,</w:t>
      </w:r>
      <w:r w:rsidRPr="00315244">
        <w:t xml:space="preserve"> </w:t>
      </w:r>
      <w:r>
        <w:t xml:space="preserve">2015, </w:t>
      </w:r>
      <w:r w:rsidRPr="00315244">
        <w:t>Integrated production of polyhydroxyalkanoates (PHAs) with municipal wastewater and sludge treatment at pilot scale</w:t>
      </w:r>
      <w:r>
        <w:t>,</w:t>
      </w:r>
      <w:r w:rsidRPr="00315244">
        <w:t xml:space="preserve"> </w:t>
      </w:r>
      <w:proofErr w:type="spellStart"/>
      <w:r w:rsidRPr="00315244">
        <w:t>Biores</w:t>
      </w:r>
      <w:r>
        <w:t>ource</w:t>
      </w:r>
      <w:proofErr w:type="spellEnd"/>
      <w:r w:rsidRPr="00315244">
        <w:t xml:space="preserve"> Technol</w:t>
      </w:r>
      <w:r>
        <w:t xml:space="preserve">ogy, </w:t>
      </w:r>
      <w:r w:rsidRPr="00315244">
        <w:t>181</w:t>
      </w:r>
      <w:r>
        <w:t xml:space="preserve">, </w:t>
      </w:r>
      <w:r w:rsidRPr="00315244">
        <w:t>78</w:t>
      </w:r>
      <w:r>
        <w:t>-</w:t>
      </w:r>
      <w:r w:rsidRPr="00315244">
        <w:t>89.</w:t>
      </w:r>
    </w:p>
    <w:p w14:paraId="4419AD03" w14:textId="61B81D2E" w:rsidR="00CD4EB1" w:rsidRDefault="00BE523C" w:rsidP="00CD4EB1">
      <w:pPr>
        <w:pStyle w:val="CETReferencetext"/>
      </w:pPr>
      <w:proofErr w:type="spellStart"/>
      <w:r>
        <w:t>Pfaltzgraff</w:t>
      </w:r>
      <w:proofErr w:type="spellEnd"/>
      <w:r>
        <w:t xml:space="preserve"> L.</w:t>
      </w:r>
      <w:r w:rsidR="00CD4EB1">
        <w:t>A.</w:t>
      </w:r>
      <w:r>
        <w:t>, Cooper E.</w:t>
      </w:r>
      <w:r w:rsidR="00CD4EB1">
        <w:t>C.</w:t>
      </w:r>
      <w:r>
        <w:t xml:space="preserve">, </w:t>
      </w:r>
      <w:proofErr w:type="spellStart"/>
      <w:r>
        <w:t>Budarin</w:t>
      </w:r>
      <w:proofErr w:type="spellEnd"/>
      <w:r w:rsidR="00CD4EB1">
        <w:t xml:space="preserve"> V</w:t>
      </w:r>
      <w:r>
        <w:t>., Clark</w:t>
      </w:r>
      <w:r w:rsidR="00CD4EB1">
        <w:t xml:space="preserve"> J</w:t>
      </w:r>
      <w:r>
        <w:t>.</w:t>
      </w:r>
      <w:r w:rsidR="00CD4EB1">
        <w:t>H.</w:t>
      </w:r>
      <w:r>
        <w:t>,</w:t>
      </w:r>
      <w:r w:rsidR="00CD4EB1">
        <w:t xml:space="preserve"> de </w:t>
      </w:r>
      <w:proofErr w:type="spellStart"/>
      <w:r w:rsidR="00CD4EB1">
        <w:t>Bruyn</w:t>
      </w:r>
      <w:proofErr w:type="spellEnd"/>
      <w:r w:rsidR="00CD4EB1">
        <w:t>, M.</w:t>
      </w:r>
      <w:r>
        <w:t>, 2013,</w:t>
      </w:r>
      <w:r w:rsidR="00CD4EB1">
        <w:t xml:space="preserve"> Food waste biomass: a resource for high-value chemicals</w:t>
      </w:r>
      <w:r>
        <w:t>,</w:t>
      </w:r>
      <w:r w:rsidR="00CD4EB1">
        <w:t xml:space="preserve"> Green Chem</w:t>
      </w:r>
      <w:r>
        <w:t xml:space="preserve">istry, </w:t>
      </w:r>
      <w:r w:rsidR="00CD4EB1">
        <w:t>15,</w:t>
      </w:r>
      <w:r>
        <w:t xml:space="preserve"> </w:t>
      </w:r>
      <w:r w:rsidR="00CD4EB1">
        <w:t>307</w:t>
      </w:r>
      <w:r>
        <w:t>-</w:t>
      </w:r>
      <w:r w:rsidR="00CD4EB1">
        <w:t>314.</w:t>
      </w:r>
    </w:p>
    <w:p w14:paraId="08747CA0" w14:textId="77777777" w:rsidR="003B7150" w:rsidRDefault="003B7150" w:rsidP="003B7150">
      <w:pPr>
        <w:pStyle w:val="CETReferencetext"/>
      </w:pPr>
      <w:r>
        <w:t xml:space="preserve">Valentino F., </w:t>
      </w:r>
      <w:proofErr w:type="spellStart"/>
      <w:r>
        <w:t>Beccari</w:t>
      </w:r>
      <w:proofErr w:type="spellEnd"/>
      <w:r>
        <w:t xml:space="preserve"> M., </w:t>
      </w:r>
      <w:proofErr w:type="spellStart"/>
      <w:r>
        <w:t>Fraraccio</w:t>
      </w:r>
      <w:proofErr w:type="spellEnd"/>
      <w:r>
        <w:t xml:space="preserve"> S., </w:t>
      </w:r>
      <w:proofErr w:type="spellStart"/>
      <w:r>
        <w:t>Zanaroli</w:t>
      </w:r>
      <w:proofErr w:type="spellEnd"/>
      <w:r>
        <w:t xml:space="preserve"> G., </w:t>
      </w:r>
      <w:proofErr w:type="spellStart"/>
      <w:r>
        <w:t>Majone</w:t>
      </w:r>
      <w:proofErr w:type="spellEnd"/>
      <w:r>
        <w:t xml:space="preserve"> M., 2014, Feed frequency in a Sequencing Batch Reactor strongly affects the production of polyhydroxyalkanoates (PHAs) from volatile fatty acids, New Biotechnology, 31, 264-275.</w:t>
      </w:r>
    </w:p>
    <w:p w14:paraId="758A3DE9" w14:textId="1F23F47B" w:rsidR="00CD4EB1" w:rsidRDefault="00CD4EB1" w:rsidP="00CD4EB1">
      <w:pPr>
        <w:pStyle w:val="CETReferencetext"/>
      </w:pPr>
      <w:r w:rsidRPr="00CD4EB1">
        <w:t>Valentino F</w:t>
      </w:r>
      <w:r w:rsidR="005C3B7D">
        <w:t>.</w:t>
      </w:r>
      <w:r w:rsidRPr="00CD4EB1">
        <w:t>, Morgan-</w:t>
      </w:r>
      <w:proofErr w:type="spellStart"/>
      <w:r w:rsidRPr="00CD4EB1">
        <w:t>Sagastume</w:t>
      </w:r>
      <w:proofErr w:type="spellEnd"/>
      <w:r w:rsidRPr="00CD4EB1">
        <w:t xml:space="preserve"> F</w:t>
      </w:r>
      <w:r w:rsidR="005C3B7D">
        <w:t>.</w:t>
      </w:r>
      <w:r w:rsidRPr="00CD4EB1">
        <w:t xml:space="preserve">, </w:t>
      </w:r>
      <w:proofErr w:type="spellStart"/>
      <w:r w:rsidRPr="00CD4EB1">
        <w:t>Fraraccio</w:t>
      </w:r>
      <w:proofErr w:type="spellEnd"/>
      <w:r w:rsidRPr="00CD4EB1">
        <w:t xml:space="preserve"> S</w:t>
      </w:r>
      <w:r w:rsidR="005C3B7D">
        <w:t>.</w:t>
      </w:r>
      <w:r w:rsidRPr="00CD4EB1">
        <w:t xml:space="preserve">, </w:t>
      </w:r>
      <w:proofErr w:type="spellStart"/>
      <w:r w:rsidRPr="00CD4EB1">
        <w:t>Corsi</w:t>
      </w:r>
      <w:proofErr w:type="spellEnd"/>
      <w:r w:rsidRPr="00CD4EB1">
        <w:t xml:space="preserve"> G</w:t>
      </w:r>
      <w:r w:rsidR="005C3B7D">
        <w:t>.</w:t>
      </w:r>
      <w:r w:rsidRPr="00CD4EB1">
        <w:t xml:space="preserve">, </w:t>
      </w:r>
      <w:proofErr w:type="spellStart"/>
      <w:r w:rsidRPr="00CD4EB1">
        <w:t>Zanaroli</w:t>
      </w:r>
      <w:proofErr w:type="spellEnd"/>
      <w:r w:rsidRPr="00CD4EB1">
        <w:t xml:space="preserve"> G</w:t>
      </w:r>
      <w:r w:rsidR="005C3B7D">
        <w:t>.</w:t>
      </w:r>
      <w:r w:rsidRPr="00CD4EB1">
        <w:t xml:space="preserve">, </w:t>
      </w:r>
      <w:proofErr w:type="spellStart"/>
      <w:r w:rsidR="005C3B7D">
        <w:t>Werker</w:t>
      </w:r>
      <w:proofErr w:type="spellEnd"/>
      <w:r w:rsidR="005C3B7D">
        <w:t xml:space="preserve"> A., </w:t>
      </w:r>
      <w:proofErr w:type="spellStart"/>
      <w:r w:rsidR="005C3B7D">
        <w:t>Majone</w:t>
      </w:r>
      <w:proofErr w:type="spellEnd"/>
      <w:r w:rsidR="005C3B7D">
        <w:t xml:space="preserve"> M., 2015, </w:t>
      </w:r>
      <w:r w:rsidRPr="00CD4EB1">
        <w:t xml:space="preserve">Sludge minimization in municipal wastewater treatment by </w:t>
      </w:r>
      <w:proofErr w:type="spellStart"/>
      <w:r w:rsidRPr="00CD4EB1">
        <w:t>polyhydroxyalkanoate</w:t>
      </w:r>
      <w:proofErr w:type="spellEnd"/>
      <w:r w:rsidRPr="00CD4EB1">
        <w:t xml:space="preserve"> (PHA) production</w:t>
      </w:r>
      <w:r w:rsidR="005C3B7D">
        <w:t>,</w:t>
      </w:r>
      <w:r w:rsidRPr="00CD4EB1">
        <w:t xml:space="preserve"> Environ</w:t>
      </w:r>
      <w:r w:rsidR="005C3B7D">
        <w:t>mental</w:t>
      </w:r>
      <w:r w:rsidRPr="00CD4EB1">
        <w:t xml:space="preserve"> Sci</w:t>
      </w:r>
      <w:r w:rsidR="005C3B7D">
        <w:t>ence</w:t>
      </w:r>
      <w:r w:rsidRPr="00CD4EB1">
        <w:t xml:space="preserve"> </w:t>
      </w:r>
      <w:r w:rsidR="005C3B7D">
        <w:t xml:space="preserve">&amp; </w:t>
      </w:r>
      <w:r w:rsidRPr="00CD4EB1">
        <w:t>Pol</w:t>
      </w:r>
      <w:r w:rsidR="005C3B7D">
        <w:t>lution</w:t>
      </w:r>
      <w:r w:rsidRPr="00CD4EB1">
        <w:t xml:space="preserve"> Res</w:t>
      </w:r>
      <w:r w:rsidR="005C3B7D">
        <w:t xml:space="preserve">earch, </w:t>
      </w:r>
      <w:r w:rsidRPr="00CD4EB1">
        <w:t>22</w:t>
      </w:r>
      <w:r w:rsidR="005C3B7D">
        <w:t xml:space="preserve">, </w:t>
      </w:r>
      <w:r w:rsidRPr="00CD4EB1">
        <w:t>7281</w:t>
      </w:r>
      <w:r w:rsidR="005C3B7D">
        <w:t>-72</w:t>
      </w:r>
      <w:r w:rsidRPr="00CD4EB1">
        <w:t>94.</w:t>
      </w:r>
    </w:p>
    <w:p w14:paraId="47BB3608" w14:textId="505A3743" w:rsidR="00CD4EB1" w:rsidRDefault="005C3B7D" w:rsidP="00CD4EB1">
      <w:pPr>
        <w:pStyle w:val="CETReferencetext"/>
      </w:pPr>
      <w:r>
        <w:t>Valentino</w:t>
      </w:r>
      <w:r w:rsidR="00CD4EB1" w:rsidRPr="00CD4EB1">
        <w:t xml:space="preserve"> F.</w:t>
      </w:r>
      <w:r>
        <w:t>,</w:t>
      </w:r>
      <w:r w:rsidR="00CD4EB1" w:rsidRPr="00CD4EB1">
        <w:t xml:space="preserve"> Morgan-</w:t>
      </w:r>
      <w:proofErr w:type="spellStart"/>
      <w:r w:rsidR="00CD4EB1" w:rsidRPr="00CD4EB1">
        <w:t>Sagastume</w:t>
      </w:r>
      <w:proofErr w:type="spellEnd"/>
      <w:r w:rsidR="00CD4EB1" w:rsidRPr="00CD4EB1">
        <w:t xml:space="preserve"> F.</w:t>
      </w:r>
      <w:r>
        <w:t xml:space="preserve">, </w:t>
      </w:r>
      <w:proofErr w:type="spellStart"/>
      <w:r>
        <w:t>Campanari</w:t>
      </w:r>
      <w:proofErr w:type="spellEnd"/>
      <w:r w:rsidR="00CD4EB1" w:rsidRPr="00CD4EB1">
        <w:t xml:space="preserve"> S.</w:t>
      </w:r>
      <w:r>
        <w:t xml:space="preserve">, </w:t>
      </w:r>
      <w:proofErr w:type="spellStart"/>
      <w:r>
        <w:t>Villano</w:t>
      </w:r>
      <w:proofErr w:type="spellEnd"/>
      <w:r w:rsidR="00CD4EB1" w:rsidRPr="00CD4EB1">
        <w:t xml:space="preserve"> M.</w:t>
      </w:r>
      <w:r>
        <w:t>,</w:t>
      </w:r>
      <w:r w:rsidR="00CD4EB1" w:rsidRPr="00CD4EB1">
        <w:t xml:space="preserve"> </w:t>
      </w:r>
      <w:proofErr w:type="spellStart"/>
      <w:r w:rsidR="00CD4EB1" w:rsidRPr="00CD4EB1">
        <w:t>Werker</w:t>
      </w:r>
      <w:proofErr w:type="spellEnd"/>
      <w:r w:rsidR="00CD4EB1" w:rsidRPr="00CD4EB1">
        <w:t xml:space="preserve"> A.</w:t>
      </w:r>
      <w:r>
        <w:t>,</w:t>
      </w:r>
      <w:r w:rsidR="00CD4EB1" w:rsidRPr="00CD4EB1">
        <w:t xml:space="preserve"> </w:t>
      </w:r>
      <w:proofErr w:type="spellStart"/>
      <w:r w:rsidR="00CD4EB1" w:rsidRPr="00CD4EB1">
        <w:t>Majone</w:t>
      </w:r>
      <w:proofErr w:type="spellEnd"/>
      <w:r w:rsidR="00CD4EB1" w:rsidRPr="00CD4EB1">
        <w:t xml:space="preserve"> M.</w:t>
      </w:r>
      <w:r>
        <w:t>, 2017,</w:t>
      </w:r>
      <w:r w:rsidR="00CD4EB1" w:rsidRPr="00CD4EB1">
        <w:t xml:space="preserve"> Carbon recovery from wastewater through bioconversion into biodegradable polymers</w:t>
      </w:r>
      <w:r>
        <w:t>,</w:t>
      </w:r>
      <w:r w:rsidR="00CD4EB1" w:rsidRPr="00CD4EB1">
        <w:t xml:space="preserve"> New Biotechnol</w:t>
      </w:r>
      <w:r>
        <w:t>ogy,</w:t>
      </w:r>
      <w:r w:rsidR="00CD4EB1" w:rsidRPr="00CD4EB1">
        <w:t xml:space="preserve"> 37, 9</w:t>
      </w:r>
      <w:r>
        <w:t>-</w:t>
      </w:r>
      <w:r w:rsidR="00CD4EB1" w:rsidRPr="00CD4EB1">
        <w:t>23.</w:t>
      </w:r>
    </w:p>
    <w:p w14:paraId="77B68D19" w14:textId="0283CCA5" w:rsidR="00315244" w:rsidRDefault="00CD4EB1" w:rsidP="00CD4EB1">
      <w:pPr>
        <w:pStyle w:val="CETReferencetext"/>
      </w:pPr>
      <w:r>
        <w:t>Valentino F</w:t>
      </w:r>
      <w:r w:rsidR="005C3B7D">
        <w:t>.</w:t>
      </w:r>
      <w:r>
        <w:t xml:space="preserve">, </w:t>
      </w:r>
      <w:proofErr w:type="spellStart"/>
      <w:r>
        <w:t>Gottardo</w:t>
      </w:r>
      <w:proofErr w:type="spellEnd"/>
      <w:r>
        <w:t xml:space="preserve"> M</w:t>
      </w:r>
      <w:r w:rsidR="005C3B7D">
        <w:t>.</w:t>
      </w:r>
      <w:r>
        <w:t xml:space="preserve">, </w:t>
      </w:r>
      <w:proofErr w:type="spellStart"/>
      <w:r>
        <w:t>Micolucci</w:t>
      </w:r>
      <w:proofErr w:type="spellEnd"/>
      <w:r>
        <w:t xml:space="preserve"> F</w:t>
      </w:r>
      <w:r w:rsidR="005C3B7D">
        <w:t>.</w:t>
      </w:r>
      <w:r>
        <w:t xml:space="preserve">, </w:t>
      </w:r>
      <w:proofErr w:type="spellStart"/>
      <w:r>
        <w:t>Pavan</w:t>
      </w:r>
      <w:proofErr w:type="spellEnd"/>
      <w:r>
        <w:t xml:space="preserve"> P</w:t>
      </w:r>
      <w:r w:rsidR="005C3B7D">
        <w:t>.</w:t>
      </w:r>
      <w:r>
        <w:t xml:space="preserve">, </w:t>
      </w:r>
      <w:proofErr w:type="spellStart"/>
      <w:r>
        <w:t>Bolzonella</w:t>
      </w:r>
      <w:proofErr w:type="spellEnd"/>
      <w:r>
        <w:t xml:space="preserve"> D</w:t>
      </w:r>
      <w:r w:rsidR="005C3B7D">
        <w:t>.</w:t>
      </w:r>
      <w:r>
        <w:t>, Rossetti S</w:t>
      </w:r>
      <w:r w:rsidR="005C3B7D">
        <w:t>.</w:t>
      </w:r>
      <w:r>
        <w:t xml:space="preserve">, </w:t>
      </w:r>
      <w:proofErr w:type="spellStart"/>
      <w:r>
        <w:t>Majone</w:t>
      </w:r>
      <w:proofErr w:type="spellEnd"/>
      <w:r>
        <w:t xml:space="preserve"> M.</w:t>
      </w:r>
      <w:r w:rsidR="005C3B7D">
        <w:t>, 2018,</w:t>
      </w:r>
      <w:r>
        <w:t xml:space="preserve"> Organic Fraction of Municipal Solid Waste Recovery by Conversion into Added-Value Polyhydroxyalkanoates and Biogas</w:t>
      </w:r>
      <w:r w:rsidR="005C3B7D">
        <w:t>,</w:t>
      </w:r>
      <w:r>
        <w:t xml:space="preserve"> </w:t>
      </w:r>
      <w:r w:rsidR="00315244" w:rsidRPr="00315244">
        <w:t>ACS Sustainable Chem</w:t>
      </w:r>
      <w:r w:rsidR="005C3B7D">
        <w:t>istry &amp;</w:t>
      </w:r>
      <w:r w:rsidR="00315244" w:rsidRPr="00315244">
        <w:t xml:space="preserve"> Eng</w:t>
      </w:r>
      <w:r w:rsidR="005C3B7D">
        <w:t>ineering</w:t>
      </w:r>
      <w:r w:rsidR="00315244" w:rsidRPr="00315244">
        <w:t>, 6, 16375</w:t>
      </w:r>
      <w:r w:rsidR="005C3B7D">
        <w:t>-</w:t>
      </w:r>
      <w:r w:rsidR="00315244" w:rsidRPr="00315244">
        <w:t>16385</w:t>
      </w:r>
      <w:r w:rsidR="00315244">
        <w:t xml:space="preserve">. </w:t>
      </w:r>
    </w:p>
    <w:p w14:paraId="19C4FC68" w14:textId="5EED61EC" w:rsidR="004628D2" w:rsidRDefault="003B7150" w:rsidP="003B7150">
      <w:pPr>
        <w:pStyle w:val="CETReferencetext"/>
      </w:pPr>
      <w:proofErr w:type="spellStart"/>
      <w:r w:rsidRPr="00CD4EB1">
        <w:t>Villano</w:t>
      </w:r>
      <w:proofErr w:type="spellEnd"/>
      <w:r>
        <w:t xml:space="preserve"> </w:t>
      </w:r>
      <w:r w:rsidRPr="00CD4EB1">
        <w:t>M</w:t>
      </w:r>
      <w:r>
        <w:t>.</w:t>
      </w:r>
      <w:r w:rsidRPr="00CD4EB1">
        <w:t>,</w:t>
      </w:r>
      <w:r>
        <w:t xml:space="preserve"> </w:t>
      </w:r>
      <w:proofErr w:type="spellStart"/>
      <w:r w:rsidRPr="00CD4EB1">
        <w:t>Lampis</w:t>
      </w:r>
      <w:proofErr w:type="spellEnd"/>
      <w:r>
        <w:t xml:space="preserve"> </w:t>
      </w:r>
      <w:r w:rsidRPr="00CD4EB1">
        <w:t>S</w:t>
      </w:r>
      <w:r>
        <w:t>.</w:t>
      </w:r>
      <w:r w:rsidRPr="00CD4EB1">
        <w:t>,</w:t>
      </w:r>
      <w:r>
        <w:t xml:space="preserve"> </w:t>
      </w:r>
      <w:r w:rsidRPr="00CD4EB1">
        <w:t>Valentino</w:t>
      </w:r>
      <w:r>
        <w:t xml:space="preserve"> </w:t>
      </w:r>
      <w:r w:rsidRPr="00CD4EB1">
        <w:t>F</w:t>
      </w:r>
      <w:r>
        <w:t>.</w:t>
      </w:r>
      <w:r w:rsidRPr="00CD4EB1">
        <w:t>,</w:t>
      </w:r>
      <w:r>
        <w:t xml:space="preserve"> </w:t>
      </w:r>
      <w:proofErr w:type="spellStart"/>
      <w:r w:rsidRPr="00CD4EB1">
        <w:t>Vallini</w:t>
      </w:r>
      <w:proofErr w:type="spellEnd"/>
      <w:r>
        <w:t xml:space="preserve"> </w:t>
      </w:r>
      <w:r w:rsidRPr="00CD4EB1">
        <w:t>G</w:t>
      </w:r>
      <w:r>
        <w:t>.</w:t>
      </w:r>
      <w:r w:rsidRPr="00CD4EB1">
        <w:t>,</w:t>
      </w:r>
      <w:r>
        <w:t xml:space="preserve"> </w:t>
      </w:r>
      <w:proofErr w:type="spellStart"/>
      <w:r w:rsidRPr="00CD4EB1">
        <w:t>Majone</w:t>
      </w:r>
      <w:proofErr w:type="spellEnd"/>
      <w:r>
        <w:t xml:space="preserve"> </w:t>
      </w:r>
      <w:r w:rsidRPr="00CD4EB1">
        <w:t>M</w:t>
      </w:r>
      <w:r>
        <w:t>.</w:t>
      </w:r>
      <w:r w:rsidRPr="00CD4EB1">
        <w:t>,</w:t>
      </w:r>
      <w:r>
        <w:t xml:space="preserve"> </w:t>
      </w:r>
      <w:proofErr w:type="spellStart"/>
      <w:r>
        <w:t>Beccari</w:t>
      </w:r>
      <w:proofErr w:type="spellEnd"/>
      <w:r>
        <w:t xml:space="preserve"> M., 2010, </w:t>
      </w:r>
      <w:r w:rsidRPr="00CD4EB1">
        <w:t>Effect</w:t>
      </w:r>
      <w:r>
        <w:t xml:space="preserve"> </w:t>
      </w:r>
      <w:r w:rsidRPr="00CD4EB1">
        <w:t>of</w:t>
      </w:r>
      <w:r>
        <w:t xml:space="preserve"> </w:t>
      </w:r>
      <w:r w:rsidRPr="00CD4EB1">
        <w:t>hydraulic and organic loads in Sequencing Batch Reactor on microbial ecology of activated sludge and storage of polyhydroxyalkanoates</w:t>
      </w:r>
      <w:r>
        <w:t>,</w:t>
      </w:r>
      <w:r w:rsidRPr="00CD4EB1">
        <w:t xml:space="preserve"> Chem</w:t>
      </w:r>
      <w:r>
        <w:t>ical</w:t>
      </w:r>
      <w:r w:rsidRPr="00CD4EB1">
        <w:t xml:space="preserve"> Eng</w:t>
      </w:r>
      <w:r>
        <w:t>ineering</w:t>
      </w:r>
      <w:r w:rsidRPr="00CD4EB1">
        <w:t xml:space="preserve"> Transactions</w:t>
      </w:r>
      <w:r>
        <w:t xml:space="preserve">, </w:t>
      </w:r>
      <w:r w:rsidRPr="00CD4EB1">
        <w:t>20</w:t>
      </w:r>
      <w:r>
        <w:t xml:space="preserve">, </w:t>
      </w:r>
      <w:r w:rsidRPr="00CD4EB1">
        <w:t>187</w:t>
      </w:r>
      <w:r>
        <w:t>-1</w:t>
      </w:r>
      <w:r w:rsidRPr="00CD4EB1">
        <w:t>92.</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B9EBD" w14:textId="77777777" w:rsidR="007171D6" w:rsidRDefault="007171D6" w:rsidP="004F5E36">
      <w:r>
        <w:separator/>
      </w:r>
    </w:p>
  </w:endnote>
  <w:endnote w:type="continuationSeparator" w:id="0">
    <w:p w14:paraId="11B178FE" w14:textId="77777777" w:rsidR="007171D6" w:rsidRDefault="007171D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363C0" w14:textId="77777777" w:rsidR="007171D6" w:rsidRDefault="007171D6" w:rsidP="004F5E36">
      <w:r>
        <w:separator/>
      </w:r>
    </w:p>
  </w:footnote>
  <w:footnote w:type="continuationSeparator" w:id="0">
    <w:p w14:paraId="266E3D64" w14:textId="77777777" w:rsidR="007171D6" w:rsidRDefault="007171D6"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rqynnHxIV2KZAj9dKsCBR53Gf+6x6OCj+SoDsGxRi3SNx7Q3MimQuOvwt1yaTeZ/1IBxv76FucSD+lEUwSV1Q==" w:salt="dTozw7DQbgD/LBv840ec8Q=="/>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39E2"/>
    <w:rsid w:val="00024F05"/>
    <w:rsid w:val="0002772A"/>
    <w:rsid w:val="0003148D"/>
    <w:rsid w:val="000417A9"/>
    <w:rsid w:val="00051566"/>
    <w:rsid w:val="00062A9A"/>
    <w:rsid w:val="00065058"/>
    <w:rsid w:val="00066B4A"/>
    <w:rsid w:val="00086C39"/>
    <w:rsid w:val="000A03B2"/>
    <w:rsid w:val="000D34BE"/>
    <w:rsid w:val="000E102F"/>
    <w:rsid w:val="000E36F1"/>
    <w:rsid w:val="000E3A73"/>
    <w:rsid w:val="000E414A"/>
    <w:rsid w:val="000E4954"/>
    <w:rsid w:val="000F093C"/>
    <w:rsid w:val="000F787B"/>
    <w:rsid w:val="00102038"/>
    <w:rsid w:val="0012091F"/>
    <w:rsid w:val="00126BC2"/>
    <w:rsid w:val="001308B6"/>
    <w:rsid w:val="0013121F"/>
    <w:rsid w:val="00131FE6"/>
    <w:rsid w:val="0013263F"/>
    <w:rsid w:val="00134DE4"/>
    <w:rsid w:val="0014034D"/>
    <w:rsid w:val="0014464F"/>
    <w:rsid w:val="00150E59"/>
    <w:rsid w:val="00152DE3"/>
    <w:rsid w:val="00152FD2"/>
    <w:rsid w:val="00164CF9"/>
    <w:rsid w:val="00172D70"/>
    <w:rsid w:val="00182579"/>
    <w:rsid w:val="00184AD6"/>
    <w:rsid w:val="001A5B78"/>
    <w:rsid w:val="001A7A95"/>
    <w:rsid w:val="001B0349"/>
    <w:rsid w:val="001B65C1"/>
    <w:rsid w:val="001C684B"/>
    <w:rsid w:val="001D53FC"/>
    <w:rsid w:val="001F2C6B"/>
    <w:rsid w:val="001F42A5"/>
    <w:rsid w:val="001F7B9D"/>
    <w:rsid w:val="002224B4"/>
    <w:rsid w:val="00236386"/>
    <w:rsid w:val="002447EF"/>
    <w:rsid w:val="00251550"/>
    <w:rsid w:val="002573A4"/>
    <w:rsid w:val="00263B05"/>
    <w:rsid w:val="0027221A"/>
    <w:rsid w:val="00275B61"/>
    <w:rsid w:val="00282656"/>
    <w:rsid w:val="0028454D"/>
    <w:rsid w:val="002966FB"/>
    <w:rsid w:val="00296B83"/>
    <w:rsid w:val="002B3FB2"/>
    <w:rsid w:val="002B78CE"/>
    <w:rsid w:val="002C2FB6"/>
    <w:rsid w:val="002F0410"/>
    <w:rsid w:val="002F671C"/>
    <w:rsid w:val="003009B7"/>
    <w:rsid w:val="00300E56"/>
    <w:rsid w:val="0030469C"/>
    <w:rsid w:val="0031369D"/>
    <w:rsid w:val="00315244"/>
    <w:rsid w:val="00316B43"/>
    <w:rsid w:val="0032183F"/>
    <w:rsid w:val="00321CA6"/>
    <w:rsid w:val="00331B93"/>
    <w:rsid w:val="00334C09"/>
    <w:rsid w:val="00363C76"/>
    <w:rsid w:val="003723D4"/>
    <w:rsid w:val="00377168"/>
    <w:rsid w:val="00383F4B"/>
    <w:rsid w:val="00384CC8"/>
    <w:rsid w:val="003871FD"/>
    <w:rsid w:val="00394EE7"/>
    <w:rsid w:val="003A0399"/>
    <w:rsid w:val="003A1E30"/>
    <w:rsid w:val="003A7D1C"/>
    <w:rsid w:val="003B304B"/>
    <w:rsid w:val="003B3146"/>
    <w:rsid w:val="003B7150"/>
    <w:rsid w:val="003C2321"/>
    <w:rsid w:val="003F015E"/>
    <w:rsid w:val="00400414"/>
    <w:rsid w:val="00405747"/>
    <w:rsid w:val="0041446B"/>
    <w:rsid w:val="00425328"/>
    <w:rsid w:val="00435F66"/>
    <w:rsid w:val="0044329C"/>
    <w:rsid w:val="004577FE"/>
    <w:rsid w:val="00457B9C"/>
    <w:rsid w:val="0046164A"/>
    <w:rsid w:val="004628D2"/>
    <w:rsid w:val="00462DCD"/>
    <w:rsid w:val="004648AD"/>
    <w:rsid w:val="004703A9"/>
    <w:rsid w:val="004760DE"/>
    <w:rsid w:val="004A004E"/>
    <w:rsid w:val="004A24CF"/>
    <w:rsid w:val="004C3D1D"/>
    <w:rsid w:val="004C7913"/>
    <w:rsid w:val="004D046E"/>
    <w:rsid w:val="004E4D65"/>
    <w:rsid w:val="004E4DD6"/>
    <w:rsid w:val="004F5E36"/>
    <w:rsid w:val="00507B47"/>
    <w:rsid w:val="00507CC9"/>
    <w:rsid w:val="005119A5"/>
    <w:rsid w:val="005278B7"/>
    <w:rsid w:val="00532016"/>
    <w:rsid w:val="005346C8"/>
    <w:rsid w:val="00543E7D"/>
    <w:rsid w:val="00547A68"/>
    <w:rsid w:val="005531C9"/>
    <w:rsid w:val="00587898"/>
    <w:rsid w:val="00595AAB"/>
    <w:rsid w:val="005A53EB"/>
    <w:rsid w:val="005B2007"/>
    <w:rsid w:val="005B2110"/>
    <w:rsid w:val="005B5B05"/>
    <w:rsid w:val="005B61E6"/>
    <w:rsid w:val="005C3B7D"/>
    <w:rsid w:val="005C77E1"/>
    <w:rsid w:val="005D6A2F"/>
    <w:rsid w:val="005E1A82"/>
    <w:rsid w:val="005E2EB8"/>
    <w:rsid w:val="005E794C"/>
    <w:rsid w:val="005F0A28"/>
    <w:rsid w:val="005F0E5E"/>
    <w:rsid w:val="00600535"/>
    <w:rsid w:val="00610CD6"/>
    <w:rsid w:val="00620C11"/>
    <w:rsid w:val="00620DEE"/>
    <w:rsid w:val="00621F92"/>
    <w:rsid w:val="00625639"/>
    <w:rsid w:val="006300FB"/>
    <w:rsid w:val="00631B33"/>
    <w:rsid w:val="0064184D"/>
    <w:rsid w:val="00660E3E"/>
    <w:rsid w:val="00662E74"/>
    <w:rsid w:val="00680C23"/>
    <w:rsid w:val="00693766"/>
    <w:rsid w:val="006A3281"/>
    <w:rsid w:val="006B3FEC"/>
    <w:rsid w:val="006B4888"/>
    <w:rsid w:val="006C2E45"/>
    <w:rsid w:val="006C359C"/>
    <w:rsid w:val="006C5579"/>
    <w:rsid w:val="006E737D"/>
    <w:rsid w:val="00701538"/>
    <w:rsid w:val="00715D80"/>
    <w:rsid w:val="007171D6"/>
    <w:rsid w:val="00720A24"/>
    <w:rsid w:val="00732386"/>
    <w:rsid w:val="007447F3"/>
    <w:rsid w:val="0075499F"/>
    <w:rsid w:val="007661C8"/>
    <w:rsid w:val="00766B7C"/>
    <w:rsid w:val="0077098D"/>
    <w:rsid w:val="007765AF"/>
    <w:rsid w:val="007A7BBA"/>
    <w:rsid w:val="007B0C50"/>
    <w:rsid w:val="007C1A43"/>
    <w:rsid w:val="008127F2"/>
    <w:rsid w:val="00813288"/>
    <w:rsid w:val="008168FC"/>
    <w:rsid w:val="00820732"/>
    <w:rsid w:val="00823B68"/>
    <w:rsid w:val="00830996"/>
    <w:rsid w:val="008345F1"/>
    <w:rsid w:val="008518F0"/>
    <w:rsid w:val="00865B07"/>
    <w:rsid w:val="008667EA"/>
    <w:rsid w:val="00871A1A"/>
    <w:rsid w:val="00873D70"/>
    <w:rsid w:val="0087637F"/>
    <w:rsid w:val="00877CED"/>
    <w:rsid w:val="00883B9F"/>
    <w:rsid w:val="00892AD5"/>
    <w:rsid w:val="008A1512"/>
    <w:rsid w:val="008D433B"/>
    <w:rsid w:val="008E0BD2"/>
    <w:rsid w:val="008E566E"/>
    <w:rsid w:val="0090161A"/>
    <w:rsid w:val="00901EB6"/>
    <w:rsid w:val="00904C62"/>
    <w:rsid w:val="0092184A"/>
    <w:rsid w:val="00924DAC"/>
    <w:rsid w:val="00927058"/>
    <w:rsid w:val="009450CE"/>
    <w:rsid w:val="00947179"/>
    <w:rsid w:val="0095164B"/>
    <w:rsid w:val="00952ADD"/>
    <w:rsid w:val="00954090"/>
    <w:rsid w:val="009573E7"/>
    <w:rsid w:val="009601B9"/>
    <w:rsid w:val="00963E05"/>
    <w:rsid w:val="009652AE"/>
    <w:rsid w:val="00966D29"/>
    <w:rsid w:val="00967D54"/>
    <w:rsid w:val="00996483"/>
    <w:rsid w:val="00996F5A"/>
    <w:rsid w:val="009B041A"/>
    <w:rsid w:val="009C7C86"/>
    <w:rsid w:val="009D01FA"/>
    <w:rsid w:val="009D2FF7"/>
    <w:rsid w:val="009E7884"/>
    <w:rsid w:val="009E788A"/>
    <w:rsid w:val="009F0E08"/>
    <w:rsid w:val="009F7F64"/>
    <w:rsid w:val="00A1763D"/>
    <w:rsid w:val="00A17CEC"/>
    <w:rsid w:val="00A2324A"/>
    <w:rsid w:val="00A27EF0"/>
    <w:rsid w:val="00A50B20"/>
    <w:rsid w:val="00A51390"/>
    <w:rsid w:val="00A57B44"/>
    <w:rsid w:val="00A60D13"/>
    <w:rsid w:val="00A72745"/>
    <w:rsid w:val="00A75338"/>
    <w:rsid w:val="00A76EFC"/>
    <w:rsid w:val="00A91010"/>
    <w:rsid w:val="00A97F29"/>
    <w:rsid w:val="00AA702E"/>
    <w:rsid w:val="00AB0964"/>
    <w:rsid w:val="00AB2C4F"/>
    <w:rsid w:val="00AB5011"/>
    <w:rsid w:val="00AC7368"/>
    <w:rsid w:val="00AD16B9"/>
    <w:rsid w:val="00AE377D"/>
    <w:rsid w:val="00B17FBD"/>
    <w:rsid w:val="00B20801"/>
    <w:rsid w:val="00B315A6"/>
    <w:rsid w:val="00B31813"/>
    <w:rsid w:val="00B33365"/>
    <w:rsid w:val="00B43B0A"/>
    <w:rsid w:val="00B57B36"/>
    <w:rsid w:val="00B649AA"/>
    <w:rsid w:val="00B67848"/>
    <w:rsid w:val="00B8686D"/>
    <w:rsid w:val="00B97A25"/>
    <w:rsid w:val="00BC30C9"/>
    <w:rsid w:val="00BE1108"/>
    <w:rsid w:val="00BE3E58"/>
    <w:rsid w:val="00BE523C"/>
    <w:rsid w:val="00C01616"/>
    <w:rsid w:val="00C0162B"/>
    <w:rsid w:val="00C11763"/>
    <w:rsid w:val="00C12235"/>
    <w:rsid w:val="00C145FC"/>
    <w:rsid w:val="00C2212B"/>
    <w:rsid w:val="00C345B1"/>
    <w:rsid w:val="00C40142"/>
    <w:rsid w:val="00C5076E"/>
    <w:rsid w:val="00C57182"/>
    <w:rsid w:val="00C57863"/>
    <w:rsid w:val="00C64A39"/>
    <w:rsid w:val="00C655FD"/>
    <w:rsid w:val="00C71FB5"/>
    <w:rsid w:val="00C801D0"/>
    <w:rsid w:val="00C870A8"/>
    <w:rsid w:val="00C94434"/>
    <w:rsid w:val="00CA0D75"/>
    <w:rsid w:val="00CA1C95"/>
    <w:rsid w:val="00CA5A9C"/>
    <w:rsid w:val="00CB619A"/>
    <w:rsid w:val="00CD4EB1"/>
    <w:rsid w:val="00CD5FE2"/>
    <w:rsid w:val="00CE4567"/>
    <w:rsid w:val="00CE7C68"/>
    <w:rsid w:val="00CF1423"/>
    <w:rsid w:val="00D02B4C"/>
    <w:rsid w:val="00D02E82"/>
    <w:rsid w:val="00D040C4"/>
    <w:rsid w:val="00D053CC"/>
    <w:rsid w:val="00D30C32"/>
    <w:rsid w:val="00D32F09"/>
    <w:rsid w:val="00D45B3F"/>
    <w:rsid w:val="00D4675A"/>
    <w:rsid w:val="00D47C7D"/>
    <w:rsid w:val="00D57C84"/>
    <w:rsid w:val="00D6057D"/>
    <w:rsid w:val="00D70002"/>
    <w:rsid w:val="00D81A0A"/>
    <w:rsid w:val="00D84576"/>
    <w:rsid w:val="00D84605"/>
    <w:rsid w:val="00D86599"/>
    <w:rsid w:val="00D87C71"/>
    <w:rsid w:val="00D97680"/>
    <w:rsid w:val="00DA1399"/>
    <w:rsid w:val="00DA24C6"/>
    <w:rsid w:val="00DA4D7B"/>
    <w:rsid w:val="00DB4F0C"/>
    <w:rsid w:val="00DB63E1"/>
    <w:rsid w:val="00DC6BB9"/>
    <w:rsid w:val="00DE264A"/>
    <w:rsid w:val="00E0032B"/>
    <w:rsid w:val="00E02D18"/>
    <w:rsid w:val="00E041E7"/>
    <w:rsid w:val="00E05188"/>
    <w:rsid w:val="00E164AB"/>
    <w:rsid w:val="00E23CA1"/>
    <w:rsid w:val="00E26EAF"/>
    <w:rsid w:val="00E406EC"/>
    <w:rsid w:val="00E409A8"/>
    <w:rsid w:val="00E50C12"/>
    <w:rsid w:val="00E52399"/>
    <w:rsid w:val="00E55A91"/>
    <w:rsid w:val="00E65B91"/>
    <w:rsid w:val="00E7209D"/>
    <w:rsid w:val="00E73AFE"/>
    <w:rsid w:val="00E77223"/>
    <w:rsid w:val="00E8528B"/>
    <w:rsid w:val="00E85B94"/>
    <w:rsid w:val="00E96C5D"/>
    <w:rsid w:val="00E978D0"/>
    <w:rsid w:val="00EA4613"/>
    <w:rsid w:val="00EA7F91"/>
    <w:rsid w:val="00EB1523"/>
    <w:rsid w:val="00EC0E49"/>
    <w:rsid w:val="00EC66BB"/>
    <w:rsid w:val="00ED6CD8"/>
    <w:rsid w:val="00ED774B"/>
    <w:rsid w:val="00EE0131"/>
    <w:rsid w:val="00EF2394"/>
    <w:rsid w:val="00F2013C"/>
    <w:rsid w:val="00F2367C"/>
    <w:rsid w:val="00F30C64"/>
    <w:rsid w:val="00F32CDB"/>
    <w:rsid w:val="00F56213"/>
    <w:rsid w:val="00F63A70"/>
    <w:rsid w:val="00F76C57"/>
    <w:rsid w:val="00F928B1"/>
    <w:rsid w:val="00FA21D0"/>
    <w:rsid w:val="00FA5F5F"/>
    <w:rsid w:val="00FB730C"/>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4EFD-8E78-EE46-9E8E-7798CD7A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6</Pages>
  <Words>3895</Words>
  <Characters>22204</Characters>
  <Application>Microsoft Macintosh Word</Application>
  <DocSecurity>0</DocSecurity>
  <Lines>185</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Francesco Valentino</cp:lastModifiedBy>
  <cp:revision>24</cp:revision>
  <cp:lastPrinted>2015-05-12T18:31:00Z</cp:lastPrinted>
  <dcterms:created xsi:type="dcterms:W3CDTF">2019-01-03T13:24:00Z</dcterms:created>
  <dcterms:modified xsi:type="dcterms:W3CDTF">2019-04-10T10:43:00Z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