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10DCBC22" w14:textId="77777777">
        <w:trPr>
          <w:trHeight w:val="852"/>
          <w:jc w:val="center"/>
        </w:trPr>
        <w:tc>
          <w:tcPr>
            <w:tcW w:w="6946" w:type="dxa"/>
            <w:vMerge w:val="restart"/>
            <w:tcBorders>
              <w:right w:val="single" w:sz="4" w:space="0" w:color="auto"/>
            </w:tcBorders>
          </w:tcPr>
          <w:p w14:paraId="7BCADAA6"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rPr>
              <w:drawing>
                <wp:inline distT="0" distB="0" distL="0" distR="0" wp14:anchorId="6D7E6FF0" wp14:editId="26994D17">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30330A6B"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312364F1"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35E442A0" w14:textId="77777777" w:rsidR="000A03B2" w:rsidRPr="00B57B36" w:rsidRDefault="000A03B2" w:rsidP="00CD5FE2">
            <w:pPr>
              <w:jc w:val="right"/>
            </w:pPr>
            <w:r w:rsidRPr="00B57B36">
              <w:rPr>
                <w:noProof/>
                <w:lang w:val="en-US"/>
              </w:rPr>
              <w:drawing>
                <wp:inline distT="0" distB="0" distL="0" distR="0" wp14:anchorId="622F2B6B" wp14:editId="46A18D53">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751E3CFA" w14:textId="77777777">
        <w:trPr>
          <w:trHeight w:val="567"/>
          <w:jc w:val="center"/>
        </w:trPr>
        <w:tc>
          <w:tcPr>
            <w:tcW w:w="6946" w:type="dxa"/>
            <w:vMerge/>
            <w:tcBorders>
              <w:right w:val="single" w:sz="4" w:space="0" w:color="auto"/>
            </w:tcBorders>
          </w:tcPr>
          <w:p w14:paraId="7F2A2D2E"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10142CD5"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108A93D"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74517C66" w14:textId="77777777"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14:paraId="717A3DF4" w14:textId="77777777">
        <w:trPr>
          <w:trHeight w:val="68"/>
          <w:jc w:val="center"/>
        </w:trPr>
        <w:tc>
          <w:tcPr>
            <w:tcW w:w="8789" w:type="dxa"/>
            <w:gridSpan w:val="2"/>
          </w:tcPr>
          <w:p w14:paraId="241640A0"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04BA1312"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79A79E1E"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2E69D511" w14:textId="77777777" w:rsidR="00E978D0" w:rsidRPr="00B57B36" w:rsidRDefault="001B1377" w:rsidP="00E978D0">
      <w:pPr>
        <w:pStyle w:val="CETTitle"/>
      </w:pPr>
      <w:r>
        <w:t>Simulation-Based</w:t>
      </w:r>
      <w:r w:rsidR="00631ACA" w:rsidRPr="00631ACA">
        <w:t xml:space="preserve"> Optimization</w:t>
      </w:r>
      <w:r>
        <w:t xml:space="preserve"> and Control</w:t>
      </w:r>
      <w:r w:rsidR="00631ACA" w:rsidRPr="00631ACA">
        <w:t xml:space="preserve"> of</w:t>
      </w:r>
      <w:r>
        <w:t xml:space="preserve"> a</w:t>
      </w:r>
      <w:r w:rsidR="00631ACA" w:rsidRPr="00631ACA">
        <w:t xml:space="preserve"> Natural Gas Liquids Recovery </w:t>
      </w:r>
      <w:r w:rsidR="003D49E4">
        <w:t>Unit</w:t>
      </w:r>
    </w:p>
    <w:p w14:paraId="2D1FC3DF" w14:textId="77777777" w:rsidR="00E978D0" w:rsidRPr="00B57B36" w:rsidRDefault="00631ACA" w:rsidP="00AB5011">
      <w:pPr>
        <w:pStyle w:val="CETAuthors"/>
      </w:pPr>
      <w:r>
        <w:t>Jorge Chebeir</w:t>
      </w:r>
      <w:r w:rsidRPr="00B57B36">
        <w:rPr>
          <w:vertAlign w:val="superscript"/>
        </w:rPr>
        <w:t>a</w:t>
      </w:r>
      <w:r w:rsidRPr="00B57B36">
        <w:t xml:space="preserve">, </w:t>
      </w:r>
      <w:bookmarkStart w:id="0" w:name="OLE_LINK1"/>
      <w:bookmarkStart w:id="1" w:name="OLE_LINK2"/>
      <w:bookmarkStart w:id="2" w:name="OLE_LINK3"/>
      <w:r>
        <w:t>Santiago</w:t>
      </w:r>
      <w:r w:rsidRPr="00B57B36">
        <w:t xml:space="preserve"> </w:t>
      </w:r>
      <w:r>
        <w:t>D</w:t>
      </w:r>
      <w:r w:rsidRPr="00B57B36">
        <w:t>. S</w:t>
      </w:r>
      <w:r>
        <w:t>alas</w:t>
      </w:r>
      <w:r>
        <w:rPr>
          <w:vertAlign w:val="superscript"/>
        </w:rPr>
        <w:t>a</w:t>
      </w:r>
      <w:r w:rsidRPr="00B57B36">
        <w:t xml:space="preserve">, </w:t>
      </w:r>
      <w:bookmarkEnd w:id="0"/>
      <w:bookmarkEnd w:id="1"/>
      <w:bookmarkEnd w:id="2"/>
      <w:r>
        <w:t>Jose</w:t>
      </w:r>
      <w:r w:rsidRPr="00B57B36">
        <w:t xml:space="preserve"> </w:t>
      </w:r>
      <w:r>
        <w:t>A</w:t>
      </w:r>
      <w:r w:rsidRPr="00B57B36">
        <w:t xml:space="preserve">. </w:t>
      </w:r>
      <w:r>
        <w:t>Romagnoli</w:t>
      </w:r>
      <w:r>
        <w:rPr>
          <w:vertAlign w:val="superscript"/>
        </w:rPr>
        <w:t>a</w:t>
      </w:r>
      <w:r w:rsidRPr="00B57B36">
        <w:rPr>
          <w:vertAlign w:val="superscript"/>
        </w:rPr>
        <w:t>,</w:t>
      </w:r>
      <w:r w:rsidRPr="00B57B36">
        <w:t>*</w:t>
      </w:r>
    </w:p>
    <w:p w14:paraId="36A9FB8F" w14:textId="77777777" w:rsidR="00631ACA" w:rsidRPr="00B57B36" w:rsidRDefault="00631ACA" w:rsidP="00631ACA">
      <w:pPr>
        <w:pStyle w:val="CETAddress"/>
      </w:pPr>
      <w:r w:rsidRPr="00B57B36">
        <w:rPr>
          <w:vertAlign w:val="superscript"/>
        </w:rPr>
        <w:t>a</w:t>
      </w:r>
      <w:r>
        <w:t>Louisiana State University, Cain Department of Chemical Engineering</w:t>
      </w:r>
      <w:r w:rsidRPr="00B57B36">
        <w:t xml:space="preserve">, </w:t>
      </w:r>
      <w:r>
        <w:t>3307 Patrick F. Taylor Hall, Baton Rouge, LA, U.S.A</w:t>
      </w:r>
      <w:r w:rsidRPr="00B57B36">
        <w:t xml:space="preserve"> </w:t>
      </w:r>
    </w:p>
    <w:p w14:paraId="3224639C" w14:textId="77777777" w:rsidR="00E978D0" w:rsidRPr="00B57B36" w:rsidRDefault="00631ACA" w:rsidP="00631ACA">
      <w:pPr>
        <w:pStyle w:val="CETemail"/>
      </w:pPr>
      <w:r>
        <w:t>*jose</w:t>
      </w:r>
      <w:r w:rsidRPr="00B57B36">
        <w:t>@</w:t>
      </w:r>
      <w:r>
        <w:t>lsu</w:t>
      </w:r>
      <w:r w:rsidRPr="00B57B36">
        <w:t>.</w:t>
      </w:r>
      <w:r>
        <w:t>edu</w:t>
      </w:r>
    </w:p>
    <w:p w14:paraId="390E162A" w14:textId="77777777" w:rsidR="00DA24C6" w:rsidRDefault="00631ACA" w:rsidP="00631ACA">
      <w:pPr>
        <w:pStyle w:val="CETListbullets"/>
        <w:ind w:left="0" w:firstLine="0"/>
      </w:pPr>
      <w:r w:rsidRPr="00F50DD2">
        <w:t>In this work, a simulation-based optimization framework</w:t>
      </w:r>
      <w:r w:rsidR="002A2B17">
        <w:t xml:space="preserve"> </w:t>
      </w:r>
      <w:r w:rsidRPr="00F50DD2">
        <w:t xml:space="preserve">is proposed to determine </w:t>
      </w:r>
      <w:r w:rsidR="00080518">
        <w:t>key</w:t>
      </w:r>
      <w:r w:rsidRPr="00F50DD2">
        <w:t xml:space="preserve"> </w:t>
      </w:r>
      <w:r w:rsidR="001579AE">
        <w:t>decision variables</w:t>
      </w:r>
      <w:r w:rsidRPr="00F50DD2">
        <w:t xml:space="preserve"> </w:t>
      </w:r>
      <w:r w:rsidR="00080518">
        <w:t>that</w:t>
      </w:r>
      <w:r w:rsidRPr="00F50DD2">
        <w:t xml:space="preserve"> achieve the most appropriate </w:t>
      </w:r>
      <w:r w:rsidR="002A2B17">
        <w:t xml:space="preserve">design and </w:t>
      </w:r>
      <w:r w:rsidRPr="00F50DD2">
        <w:t xml:space="preserve">operation </w:t>
      </w:r>
      <w:r w:rsidR="002A2B17">
        <w:t xml:space="preserve">of </w:t>
      </w:r>
      <w:proofErr w:type="gramStart"/>
      <w:r w:rsidR="002A2B17">
        <w:t>a</w:t>
      </w:r>
      <w:proofErr w:type="gramEnd"/>
      <w:r w:rsidR="002A2B17">
        <w:t xml:space="preserve"> NGL </w:t>
      </w:r>
      <w:r w:rsidRPr="00F50DD2">
        <w:t xml:space="preserve">recovery </w:t>
      </w:r>
      <w:r w:rsidR="002A2B17">
        <w:t>unit</w:t>
      </w:r>
      <w:r w:rsidRPr="00F50DD2">
        <w:t xml:space="preserve">. The approach consists on the integration of different software including the process simulator Aspen HYSYS® and MATLAB®. Aspen HYSYS® contains the high-resolution model of </w:t>
      </w:r>
      <w:r w:rsidR="006778E3">
        <w:t>a conventional NGL recovery structure</w:t>
      </w:r>
      <w:r w:rsidRPr="00F50DD2">
        <w:t xml:space="preserve"> in steady state condition</w:t>
      </w:r>
      <w:r w:rsidR="006778E3">
        <w:t>s</w:t>
      </w:r>
      <w:r w:rsidRPr="00F50DD2">
        <w:t xml:space="preserve"> while MATLAB® is the platform </w:t>
      </w:r>
      <w:r w:rsidR="00923887">
        <w:t>containing the optimization algorithm</w:t>
      </w:r>
      <w:r w:rsidRPr="00F50DD2">
        <w:t>. Given the complexity of the problem, a differential evolution</w:t>
      </w:r>
      <w:r w:rsidR="006778E3">
        <w:t xml:space="preserve"> </w:t>
      </w:r>
      <w:r w:rsidRPr="00F50DD2">
        <w:t>algorithm is employed</w:t>
      </w:r>
      <w:r w:rsidR="009A587E">
        <w:t xml:space="preserve"> for optimization</w:t>
      </w:r>
      <w:r w:rsidRPr="00F50DD2">
        <w:t>.</w:t>
      </w:r>
      <w:r>
        <w:t xml:space="preserve"> </w:t>
      </w:r>
      <w:r w:rsidR="006778E3">
        <w:t xml:space="preserve">Results provide recommendations about dimensions and operating conditions to maintain the unit above its economic threshold. </w:t>
      </w:r>
      <w:r w:rsidRPr="00F50DD2">
        <w:t xml:space="preserve">Additionally, a dynamic </w:t>
      </w:r>
      <w:r w:rsidR="006778E3">
        <w:t xml:space="preserve">model </w:t>
      </w:r>
      <w:r w:rsidRPr="00F50DD2">
        <w:t xml:space="preserve">of the </w:t>
      </w:r>
      <w:r w:rsidR="006778E3">
        <w:t xml:space="preserve">resulting conventional structure </w:t>
      </w:r>
      <w:r w:rsidR="00923887">
        <w:t>permits</w:t>
      </w:r>
      <w:r w:rsidRPr="00F50DD2">
        <w:t xml:space="preserve"> </w:t>
      </w:r>
      <w:r w:rsidR="000E22A8">
        <w:t>to test different</w:t>
      </w:r>
      <w:r w:rsidRPr="00F50DD2">
        <w:t xml:space="preserve"> control structures.</w:t>
      </w:r>
      <w:r w:rsidR="001579AE">
        <w:t xml:space="preserve"> D</w:t>
      </w:r>
      <w:r w:rsidRPr="00F50DD2">
        <w:t xml:space="preserve">ynamic controls are developed to ensure the smooth transition between the different optimal operating conditions. The main objective is to assess a control </w:t>
      </w:r>
      <w:r w:rsidR="00923887">
        <w:t>scheme</w:t>
      </w:r>
      <w:r w:rsidRPr="00F50DD2">
        <w:t xml:space="preserve"> capable of guaranteeing robustness and performance during operat</w:t>
      </w:r>
      <w:r w:rsidR="000E22A8">
        <w:t>ion.</w:t>
      </w:r>
    </w:p>
    <w:p w14:paraId="6C750F77" w14:textId="77777777" w:rsidR="00600535" w:rsidRPr="00B57B36" w:rsidRDefault="00600535" w:rsidP="00600535">
      <w:pPr>
        <w:pStyle w:val="CETHeading1"/>
        <w:rPr>
          <w:lang w:val="en-GB"/>
        </w:rPr>
      </w:pPr>
      <w:r w:rsidRPr="00B57B36">
        <w:rPr>
          <w:lang w:val="en-GB"/>
        </w:rPr>
        <w:t>Introduction</w:t>
      </w:r>
    </w:p>
    <w:p w14:paraId="61DF29A3" w14:textId="77777777" w:rsidR="003171E8" w:rsidRDefault="00631ACA" w:rsidP="00631ACA">
      <w:pPr>
        <w:pStyle w:val="CETBodytext"/>
        <w:rPr>
          <w:lang w:val="en-GB"/>
        </w:rPr>
      </w:pPr>
      <w:r w:rsidRPr="00960DED">
        <w:rPr>
          <w:lang w:val="en-GB"/>
        </w:rPr>
        <w:t>During the last decade</w:t>
      </w:r>
      <w:r w:rsidR="00C01A21">
        <w:rPr>
          <w:lang w:val="en-GB"/>
        </w:rPr>
        <w:t>,</w:t>
      </w:r>
      <w:r w:rsidRPr="00960DED">
        <w:rPr>
          <w:lang w:val="en-GB"/>
        </w:rPr>
        <w:t xml:space="preserve"> the energy sector has been impacted by the so-called </w:t>
      </w:r>
      <w:r>
        <w:rPr>
          <w:lang w:val="en-GB"/>
        </w:rPr>
        <w:t>“</w:t>
      </w:r>
      <w:r w:rsidRPr="00960DED">
        <w:rPr>
          <w:lang w:val="en-GB"/>
        </w:rPr>
        <w:t>shale gas revolution</w:t>
      </w:r>
      <w:r>
        <w:rPr>
          <w:lang w:val="en-GB"/>
        </w:rPr>
        <w:t>”</w:t>
      </w:r>
      <w:r w:rsidRPr="00960DED">
        <w:rPr>
          <w:lang w:val="en-GB"/>
        </w:rPr>
        <w:t xml:space="preserve">, especially in the United States. The technological advancements developed in drilling and </w:t>
      </w:r>
      <w:r w:rsidR="00C01A21">
        <w:rPr>
          <w:lang w:val="en-GB"/>
        </w:rPr>
        <w:t xml:space="preserve">multi-stages </w:t>
      </w:r>
      <w:r w:rsidRPr="00960DED">
        <w:rPr>
          <w:lang w:val="en-GB"/>
        </w:rPr>
        <w:t xml:space="preserve">fracturing have allowed the access to enormous volumes of gas trapped in the shale formations </w:t>
      </w:r>
      <w:r w:rsidR="003D49E4">
        <w:rPr>
          <w:lang w:val="en-GB"/>
        </w:rPr>
        <w:t>o</w:t>
      </w:r>
      <w:r w:rsidRPr="00960DED">
        <w:rPr>
          <w:lang w:val="en-GB"/>
        </w:rPr>
        <w:t xml:space="preserve">f the country. This has </w:t>
      </w:r>
      <w:r w:rsidR="00794D41">
        <w:rPr>
          <w:lang w:val="en-GB"/>
        </w:rPr>
        <w:t>generated</w:t>
      </w:r>
      <w:r w:rsidRPr="00960DED">
        <w:rPr>
          <w:lang w:val="en-GB"/>
        </w:rPr>
        <w:t xml:space="preserve"> </w:t>
      </w:r>
      <w:r>
        <w:rPr>
          <w:lang w:val="en-GB"/>
        </w:rPr>
        <w:t xml:space="preserve">a rapid increase in the production of natural gas with </w:t>
      </w:r>
      <w:r w:rsidRPr="00960DED">
        <w:rPr>
          <w:lang w:val="en-GB"/>
        </w:rPr>
        <w:t xml:space="preserve">a tectonic impact on </w:t>
      </w:r>
      <w:r>
        <w:rPr>
          <w:lang w:val="en-GB"/>
        </w:rPr>
        <w:t xml:space="preserve">virtually all the segments of the value chain of this energy commodity. </w:t>
      </w:r>
      <w:r w:rsidR="003D49E4">
        <w:rPr>
          <w:lang w:val="en-GB"/>
        </w:rPr>
        <w:t xml:space="preserve">Since then, the infrastructure required for the transportation and processing of the raw gas has been </w:t>
      </w:r>
      <w:r w:rsidR="00794D41">
        <w:rPr>
          <w:lang w:val="en-GB"/>
        </w:rPr>
        <w:t>studied. However, t</w:t>
      </w:r>
      <w:r w:rsidR="00240982">
        <w:rPr>
          <w:lang w:val="en-GB"/>
        </w:rPr>
        <w:t xml:space="preserve">he sudden increment in </w:t>
      </w:r>
      <w:r>
        <w:rPr>
          <w:lang w:val="en-GB"/>
        </w:rPr>
        <w:t xml:space="preserve">gas supply with a prevalent flat demand </w:t>
      </w:r>
      <w:r w:rsidR="00794D41">
        <w:rPr>
          <w:lang w:val="en-GB"/>
        </w:rPr>
        <w:t xml:space="preserve">has </w:t>
      </w:r>
      <w:r>
        <w:rPr>
          <w:lang w:val="en-GB"/>
        </w:rPr>
        <w:t xml:space="preserve">caused </w:t>
      </w:r>
      <w:r w:rsidR="00794D41">
        <w:rPr>
          <w:lang w:val="en-GB"/>
        </w:rPr>
        <w:t>a</w:t>
      </w:r>
      <w:r w:rsidR="003171E8">
        <w:rPr>
          <w:lang w:val="en-GB"/>
        </w:rPr>
        <w:t xml:space="preserve"> </w:t>
      </w:r>
      <w:r w:rsidR="00794D41">
        <w:rPr>
          <w:lang w:val="en-GB"/>
        </w:rPr>
        <w:t>depression on</w:t>
      </w:r>
      <w:r>
        <w:rPr>
          <w:lang w:val="en-GB"/>
        </w:rPr>
        <w:t xml:space="preserve"> natural gas prices.</w:t>
      </w:r>
      <w:r w:rsidR="003171E8">
        <w:rPr>
          <w:lang w:val="en-GB"/>
        </w:rPr>
        <w:t xml:space="preserve"> In this context, the separation of the heavier hydrocarbons</w:t>
      </w:r>
      <w:r w:rsidR="00794D41">
        <w:rPr>
          <w:lang w:val="en-GB"/>
        </w:rPr>
        <w:t>, referred as natural gas liquids (NGL),</w:t>
      </w:r>
      <w:r w:rsidR="003171E8">
        <w:rPr>
          <w:lang w:val="en-GB"/>
        </w:rPr>
        <w:t xml:space="preserve"> from the raw gas has turned into a critical operation </w:t>
      </w:r>
      <w:r w:rsidR="00794D41">
        <w:rPr>
          <w:lang w:val="en-GB"/>
        </w:rPr>
        <w:t xml:space="preserve">which aims </w:t>
      </w:r>
      <w:r w:rsidR="003171E8">
        <w:rPr>
          <w:lang w:val="en-GB"/>
        </w:rPr>
        <w:t xml:space="preserve">to maintain positive financial perspectives of these </w:t>
      </w:r>
      <w:r w:rsidR="00794D41">
        <w:rPr>
          <w:lang w:val="en-GB"/>
        </w:rPr>
        <w:t>endeavours</w:t>
      </w:r>
      <w:r w:rsidR="003171E8">
        <w:rPr>
          <w:lang w:val="en-GB"/>
        </w:rPr>
        <w:t>.</w:t>
      </w:r>
    </w:p>
    <w:p w14:paraId="494D3126" w14:textId="77777777" w:rsidR="00AF2E08" w:rsidRDefault="003171E8" w:rsidP="00631ACA">
      <w:pPr>
        <w:pStyle w:val="CETBodytext"/>
        <w:rPr>
          <w:lang w:val="en-GB"/>
        </w:rPr>
      </w:pPr>
      <w:r>
        <w:rPr>
          <w:lang w:val="en-GB"/>
        </w:rPr>
        <w:t>NGL (ethane, propane, butanes and natural gasoline) are the most val</w:t>
      </w:r>
      <w:r w:rsidR="00794D41">
        <w:rPr>
          <w:lang w:val="en-GB"/>
        </w:rPr>
        <w:t>uable components of natural gas, and</w:t>
      </w:r>
      <w:r>
        <w:rPr>
          <w:lang w:val="en-GB"/>
        </w:rPr>
        <w:t xml:space="preserve"> </w:t>
      </w:r>
      <w:r w:rsidR="00794D41">
        <w:rPr>
          <w:lang w:val="en-GB"/>
        </w:rPr>
        <w:t>n</w:t>
      </w:r>
      <w:r>
        <w:rPr>
          <w:lang w:val="en-GB"/>
        </w:rPr>
        <w:t>umerous separation structures ha</w:t>
      </w:r>
      <w:r w:rsidR="00794D41">
        <w:rPr>
          <w:lang w:val="en-GB"/>
        </w:rPr>
        <w:t>ve</w:t>
      </w:r>
      <w:r>
        <w:rPr>
          <w:lang w:val="en-GB"/>
        </w:rPr>
        <w:t xml:space="preserve"> been proposed for economic extraction.</w:t>
      </w:r>
      <w:r w:rsidR="00D77D0E">
        <w:rPr>
          <w:lang w:val="en-GB"/>
        </w:rPr>
        <w:t xml:space="preserve"> Some reviews of the different existing NGL recovery processes have been </w:t>
      </w:r>
      <w:r w:rsidR="00794D41">
        <w:rPr>
          <w:lang w:val="en-GB"/>
        </w:rPr>
        <w:t>proposed</w:t>
      </w:r>
      <w:r w:rsidR="00D77D0E">
        <w:rPr>
          <w:lang w:val="en-GB"/>
        </w:rPr>
        <w:t xml:space="preserve"> by Manning and Thompson (1991), Arnold and Stuart (1999</w:t>
      </w:r>
      <w:r w:rsidR="0006170D">
        <w:rPr>
          <w:lang w:val="en-GB"/>
        </w:rPr>
        <w:t>)</w:t>
      </w:r>
      <w:r w:rsidR="00500D28">
        <w:rPr>
          <w:lang w:val="en-GB"/>
        </w:rPr>
        <w:t>,</w:t>
      </w:r>
      <w:r w:rsidR="0006170D">
        <w:rPr>
          <w:lang w:val="en-GB"/>
        </w:rPr>
        <w:t xml:space="preserve"> and </w:t>
      </w:r>
      <w:proofErr w:type="spellStart"/>
      <w:r w:rsidR="00D77D0E">
        <w:rPr>
          <w:lang w:val="en-GB"/>
        </w:rPr>
        <w:t>Kidnay</w:t>
      </w:r>
      <w:proofErr w:type="spellEnd"/>
      <w:r w:rsidR="00D77D0E">
        <w:rPr>
          <w:lang w:val="en-GB"/>
        </w:rPr>
        <w:t xml:space="preserve"> and Parrish (2006).</w:t>
      </w:r>
      <w:r w:rsidR="000D1889">
        <w:rPr>
          <w:lang w:val="en-GB"/>
        </w:rPr>
        <w:t xml:space="preserve"> </w:t>
      </w:r>
      <w:r w:rsidR="00AF2E08">
        <w:rPr>
          <w:lang w:val="en-GB"/>
        </w:rPr>
        <w:t xml:space="preserve">The extraction process </w:t>
      </w:r>
      <w:r w:rsidR="00794D41">
        <w:rPr>
          <w:lang w:val="en-GB"/>
        </w:rPr>
        <w:t>of</w:t>
      </w:r>
      <w:r w:rsidR="00AF2E08">
        <w:rPr>
          <w:lang w:val="en-GB"/>
        </w:rPr>
        <w:t xml:space="preserve"> NGL</w:t>
      </w:r>
      <w:r w:rsidR="00794D41">
        <w:rPr>
          <w:lang w:val="en-GB"/>
        </w:rPr>
        <w:t>s</w:t>
      </w:r>
      <w:r w:rsidR="00AF2E08">
        <w:rPr>
          <w:lang w:val="en-GB"/>
        </w:rPr>
        <w:t xml:space="preserve"> </w:t>
      </w:r>
      <w:r w:rsidR="00794D41">
        <w:rPr>
          <w:lang w:val="en-GB"/>
        </w:rPr>
        <w:t>typic</w:t>
      </w:r>
      <w:r w:rsidR="00AF2E08">
        <w:rPr>
          <w:lang w:val="en-GB"/>
        </w:rPr>
        <w:t>ally includes Joule-Thompson (JT) expansion, refrigeration using propane or mixed</w:t>
      </w:r>
      <w:r w:rsidR="00794D41">
        <w:rPr>
          <w:lang w:val="en-GB"/>
        </w:rPr>
        <w:t xml:space="preserve"> refrigerants in a chiller and</w:t>
      </w:r>
      <w:r w:rsidR="00AF2E08">
        <w:rPr>
          <w:lang w:val="en-GB"/>
        </w:rPr>
        <w:t xml:space="preserve"> turbo</w:t>
      </w:r>
      <w:r w:rsidR="00794D41">
        <w:rPr>
          <w:lang w:val="en-GB"/>
        </w:rPr>
        <w:t>-</w:t>
      </w:r>
      <w:r w:rsidR="00AF2E08">
        <w:rPr>
          <w:lang w:val="en-GB"/>
        </w:rPr>
        <w:t xml:space="preserve">expansion (Manning and Thompson, 1991). </w:t>
      </w:r>
      <w:r w:rsidR="000D1889">
        <w:rPr>
          <w:lang w:val="en-GB"/>
        </w:rPr>
        <w:t xml:space="preserve">Among the </w:t>
      </w:r>
      <w:r w:rsidR="00AF2E08">
        <w:rPr>
          <w:lang w:val="en-GB"/>
        </w:rPr>
        <w:t>numerous</w:t>
      </w:r>
      <w:r w:rsidR="000D1889">
        <w:rPr>
          <w:lang w:val="en-GB"/>
        </w:rPr>
        <w:t xml:space="preserve"> recovery structures, it is possible to mention the conventional</w:t>
      </w:r>
      <w:r w:rsidR="0076279E">
        <w:rPr>
          <w:lang w:val="en-GB"/>
        </w:rPr>
        <w:t xml:space="preserve"> process</w:t>
      </w:r>
      <w:r w:rsidR="00AF2E08">
        <w:rPr>
          <w:lang w:val="en-GB"/>
        </w:rPr>
        <w:t xml:space="preserve"> and some variants of this structure such as </w:t>
      </w:r>
      <w:r w:rsidR="000D1889">
        <w:rPr>
          <w:lang w:val="en-GB"/>
        </w:rPr>
        <w:t>the</w:t>
      </w:r>
      <w:r w:rsidR="0076279E">
        <w:rPr>
          <w:lang w:val="en-GB"/>
        </w:rPr>
        <w:t xml:space="preserve"> cold residue recycle (CRR) process and the gas subcooled process (G</w:t>
      </w:r>
      <w:r w:rsidR="00AF2E08">
        <w:rPr>
          <w:lang w:val="en-GB"/>
        </w:rPr>
        <w:t>SP). Each of these recovery processes have different advantages and disadvantages and their applicability depends on the requirements of the operator.</w:t>
      </w:r>
    </w:p>
    <w:p w14:paraId="31635DF7" w14:textId="77777777" w:rsidR="00631ACA" w:rsidRDefault="008C0F50" w:rsidP="00631ACA">
      <w:pPr>
        <w:pStyle w:val="CETBodytext"/>
        <w:rPr>
          <w:lang w:val="en-GB"/>
        </w:rPr>
      </w:pPr>
      <w:r>
        <w:rPr>
          <w:lang w:val="en-GB"/>
        </w:rPr>
        <w:t xml:space="preserve">In the present work, the </w:t>
      </w:r>
      <w:r w:rsidR="00D859E8">
        <w:rPr>
          <w:lang w:val="en-GB"/>
        </w:rPr>
        <w:t>focus</w:t>
      </w:r>
      <w:r>
        <w:rPr>
          <w:lang w:val="en-GB"/>
        </w:rPr>
        <w:t xml:space="preserve"> is located in the conventional process structure to recover NGL and its optimal design and operation. An optimization </w:t>
      </w:r>
      <w:r w:rsidR="005A056C">
        <w:rPr>
          <w:lang w:val="en-GB"/>
        </w:rPr>
        <w:t>framework</w:t>
      </w:r>
      <w:r w:rsidR="00D859E8">
        <w:rPr>
          <w:lang w:val="en-GB"/>
        </w:rPr>
        <w:t>,</w:t>
      </w:r>
      <w:r w:rsidR="005A056C">
        <w:rPr>
          <w:lang w:val="en-GB"/>
        </w:rPr>
        <w:t xml:space="preserve"> </w:t>
      </w:r>
      <w:r w:rsidR="00D859E8">
        <w:rPr>
          <w:lang w:val="en-GB"/>
        </w:rPr>
        <w:t>inspired in the work developed by Salas et al. (2017),</w:t>
      </w:r>
      <w:r>
        <w:rPr>
          <w:lang w:val="en-GB"/>
        </w:rPr>
        <w:t xml:space="preserve"> is implemented to determine the </w:t>
      </w:r>
      <w:r w:rsidR="00D859E8">
        <w:rPr>
          <w:lang w:val="en-GB"/>
        </w:rPr>
        <w:t>relevant</w:t>
      </w:r>
      <w:r>
        <w:rPr>
          <w:lang w:val="en-GB"/>
        </w:rPr>
        <w:t xml:space="preserve"> decision variables </w:t>
      </w:r>
      <w:r w:rsidR="00D859E8">
        <w:rPr>
          <w:lang w:val="en-GB"/>
        </w:rPr>
        <w:t>including</w:t>
      </w:r>
      <w:r>
        <w:rPr>
          <w:lang w:val="en-GB"/>
        </w:rPr>
        <w:t xml:space="preserve"> </w:t>
      </w:r>
      <w:r w:rsidR="00D859E8">
        <w:rPr>
          <w:lang w:val="en-GB"/>
        </w:rPr>
        <w:t xml:space="preserve">operational </w:t>
      </w:r>
      <w:r>
        <w:rPr>
          <w:lang w:val="en-GB"/>
        </w:rPr>
        <w:t>temperatures, pressures</w:t>
      </w:r>
      <w:r w:rsidR="00D859E8">
        <w:rPr>
          <w:lang w:val="en-GB"/>
        </w:rPr>
        <w:t xml:space="preserve"> and the total number of</w:t>
      </w:r>
      <w:r>
        <w:rPr>
          <w:lang w:val="en-GB"/>
        </w:rPr>
        <w:t xml:space="preserve"> tray</w:t>
      </w:r>
      <w:r w:rsidR="00D859E8">
        <w:rPr>
          <w:lang w:val="en-GB"/>
        </w:rPr>
        <w:t>s</w:t>
      </w:r>
      <w:r>
        <w:rPr>
          <w:lang w:val="en-GB"/>
        </w:rPr>
        <w:t xml:space="preserve"> </w:t>
      </w:r>
      <w:r w:rsidR="00D859E8">
        <w:rPr>
          <w:lang w:val="en-GB"/>
        </w:rPr>
        <w:t xml:space="preserve">in the </w:t>
      </w:r>
      <w:proofErr w:type="spellStart"/>
      <w:r w:rsidR="00D859E8">
        <w:rPr>
          <w:lang w:val="en-GB"/>
        </w:rPr>
        <w:t>demethanizer</w:t>
      </w:r>
      <w:proofErr w:type="spellEnd"/>
      <w:r w:rsidR="00D859E8">
        <w:rPr>
          <w:lang w:val="en-GB"/>
        </w:rPr>
        <w:t xml:space="preserve"> </w:t>
      </w:r>
      <w:r>
        <w:rPr>
          <w:lang w:val="en-GB"/>
        </w:rPr>
        <w:t>among others</w:t>
      </w:r>
      <w:r w:rsidR="00B56773">
        <w:rPr>
          <w:lang w:val="en-GB"/>
        </w:rPr>
        <w:t xml:space="preserve"> to maximize the profitability of the unit. This framework encompasses two major features: a process simulation model (</w:t>
      </w:r>
      <w:r w:rsidR="00765F66">
        <w:rPr>
          <w:lang w:val="en-GB"/>
        </w:rPr>
        <w:t>high-resolution</w:t>
      </w:r>
      <w:r w:rsidR="00B56773">
        <w:rPr>
          <w:lang w:val="en-GB"/>
        </w:rPr>
        <w:t xml:space="preserve"> model) and a metaheuristic optimization algorithm. Once determined the optimal conditions of the conventional NGL recovery unit, the second step is to establish realistic control structures. This is </w:t>
      </w:r>
      <w:r w:rsidR="00765F66">
        <w:rPr>
          <w:lang w:val="en-GB"/>
        </w:rPr>
        <w:t>accomplished</w:t>
      </w:r>
      <w:r w:rsidR="00B56773">
        <w:rPr>
          <w:lang w:val="en-GB"/>
        </w:rPr>
        <w:t xml:space="preserve"> by developing a dynamic </w:t>
      </w:r>
      <w:r w:rsidR="00B56773">
        <w:rPr>
          <w:lang w:val="en-GB"/>
        </w:rPr>
        <w:lastRenderedPageBreak/>
        <w:t xml:space="preserve">model based on the results of the optimization framework. Perturbations of operating conditions are performed to test </w:t>
      </w:r>
      <w:r w:rsidR="00D859E8">
        <w:rPr>
          <w:lang w:val="en-GB"/>
        </w:rPr>
        <w:t xml:space="preserve">the </w:t>
      </w:r>
      <w:r w:rsidR="00B56773">
        <w:rPr>
          <w:lang w:val="en-GB"/>
        </w:rPr>
        <w:t>ro</w:t>
      </w:r>
      <w:r w:rsidR="00FB7C2D">
        <w:rPr>
          <w:lang w:val="en-GB"/>
        </w:rPr>
        <w:t xml:space="preserve">bustness of the control </w:t>
      </w:r>
      <w:r w:rsidR="00500D28">
        <w:rPr>
          <w:lang w:val="en-GB"/>
        </w:rPr>
        <w:t>architecture</w:t>
      </w:r>
      <w:r w:rsidR="00FB7C2D">
        <w:rPr>
          <w:lang w:val="en-GB"/>
        </w:rPr>
        <w:t>.</w:t>
      </w:r>
    </w:p>
    <w:p w14:paraId="4C189A6E" w14:textId="77777777" w:rsidR="00631ACA" w:rsidRDefault="00606DE6" w:rsidP="00600535">
      <w:pPr>
        <w:pStyle w:val="CETHeading1"/>
        <w:tabs>
          <w:tab w:val="clear" w:pos="360"/>
          <w:tab w:val="right" w:pos="7100"/>
        </w:tabs>
        <w:jc w:val="both"/>
        <w:rPr>
          <w:lang w:val="en-GB"/>
        </w:rPr>
      </w:pPr>
      <w:r>
        <w:rPr>
          <w:lang w:val="en-GB"/>
        </w:rPr>
        <w:t>Techno-Economic</w:t>
      </w:r>
      <w:r w:rsidR="00631ACA">
        <w:rPr>
          <w:lang w:val="en-GB"/>
        </w:rPr>
        <w:t xml:space="preserve"> </w:t>
      </w:r>
      <w:r>
        <w:rPr>
          <w:lang w:val="en-GB"/>
        </w:rPr>
        <w:t xml:space="preserve">Optimization </w:t>
      </w:r>
      <w:r w:rsidR="00631ACA">
        <w:rPr>
          <w:lang w:val="en-GB"/>
        </w:rPr>
        <w:t>Framework</w:t>
      </w:r>
    </w:p>
    <w:p w14:paraId="66E955A9" w14:textId="77777777" w:rsidR="00EC657C" w:rsidRDefault="008A0A3A" w:rsidP="00631ACA">
      <w:pPr>
        <w:pStyle w:val="CETBodytext"/>
        <w:rPr>
          <w:lang w:val="en-GB"/>
        </w:rPr>
      </w:pPr>
      <w:r>
        <w:rPr>
          <w:lang w:val="en-GB"/>
        </w:rPr>
        <w:t>In the proposed</w:t>
      </w:r>
      <w:r w:rsidR="006268E6">
        <w:rPr>
          <w:lang w:val="en-GB"/>
        </w:rPr>
        <w:t xml:space="preserve"> framework, the process simulator Aspen HYSYS</w:t>
      </w:r>
      <w:r w:rsidR="0051273B">
        <w:rPr>
          <w:lang w:val="en-GB"/>
        </w:rPr>
        <w:t xml:space="preserve"> V.9 is integrated with</w:t>
      </w:r>
      <w:r w:rsidR="006268E6">
        <w:rPr>
          <w:lang w:val="en-GB"/>
        </w:rPr>
        <w:t xml:space="preserve"> MATLAB r2015a</w:t>
      </w:r>
      <w:r w:rsidR="0051273B">
        <w:rPr>
          <w:lang w:val="en-GB"/>
        </w:rPr>
        <w:t xml:space="preserve"> through</w:t>
      </w:r>
      <w:r w:rsidR="0051273B" w:rsidRPr="0051273B">
        <w:t xml:space="preserve"> </w:t>
      </w:r>
      <w:r w:rsidR="0051273B" w:rsidRPr="0051273B">
        <w:rPr>
          <w:lang w:val="en-GB"/>
        </w:rPr>
        <w:t>ActiveX</w:t>
      </w:r>
      <w:r w:rsidR="0051273B">
        <w:rPr>
          <w:lang w:val="en-GB"/>
        </w:rPr>
        <w:t>. HYSYS contains the high-resolution model of the NGL recovery process</w:t>
      </w:r>
      <w:r w:rsidR="00FB6711">
        <w:rPr>
          <w:lang w:val="en-GB"/>
        </w:rPr>
        <w:t>,</w:t>
      </w:r>
      <w:r w:rsidR="0051273B">
        <w:rPr>
          <w:lang w:val="en-GB"/>
        </w:rPr>
        <w:t xml:space="preserve"> which embraces complex mass and energy balances. Similarly, MATLAB contains a heuristic evolutionary optimization algorithm, the techno-economic analysis and</w:t>
      </w:r>
      <w:r w:rsidR="00EC657C">
        <w:rPr>
          <w:lang w:val="en-GB"/>
        </w:rPr>
        <w:t xml:space="preserve"> the</w:t>
      </w:r>
      <w:r w:rsidR="0051273B">
        <w:rPr>
          <w:lang w:val="en-GB"/>
        </w:rPr>
        <w:t xml:space="preserve"> process constraints (e.g., temperature constraints to avoid temperature crossing in</w:t>
      </w:r>
      <w:r w:rsidR="00316BA1">
        <w:rPr>
          <w:lang w:val="en-GB"/>
        </w:rPr>
        <w:t xml:space="preserve"> the</w:t>
      </w:r>
      <w:r w:rsidR="0051273B">
        <w:rPr>
          <w:lang w:val="en-GB"/>
        </w:rPr>
        <w:t xml:space="preserve"> gas-gas heat exchangers).</w:t>
      </w:r>
      <w:r w:rsidR="00EC657C">
        <w:rPr>
          <w:lang w:val="en-GB"/>
        </w:rPr>
        <w:t xml:space="preserve"> The process is optimized such that a transition from steady to dynamic state is feasible with minimum variations. </w:t>
      </w:r>
      <w:r w:rsidR="00997FD2">
        <w:rPr>
          <w:lang w:val="en-GB"/>
        </w:rPr>
        <w:t xml:space="preserve">Figure 1 depicts the optimization framework and </w:t>
      </w:r>
      <w:r w:rsidR="00316BA1">
        <w:rPr>
          <w:lang w:val="en-GB"/>
        </w:rPr>
        <w:t xml:space="preserve">the </w:t>
      </w:r>
      <w:r w:rsidR="00EC657C">
        <w:rPr>
          <w:lang w:val="en-GB"/>
        </w:rPr>
        <w:t>main</w:t>
      </w:r>
      <w:r w:rsidR="00997FD2">
        <w:rPr>
          <w:lang w:val="en-GB"/>
        </w:rPr>
        <w:t xml:space="preserve"> components.</w:t>
      </w:r>
      <w:r w:rsidR="00EC657C">
        <w:rPr>
          <w:lang w:val="en-GB"/>
        </w:rPr>
        <w:t xml:space="preserve"> Notice that to avoid the loss of connectivity and the stop of computation an exception module is included.</w:t>
      </w:r>
      <w:r w:rsidR="00580598">
        <w:rPr>
          <w:lang w:val="en-GB"/>
        </w:rPr>
        <w:t xml:space="preserve"> The components of the framework are explained in more detail in Section 3 and 4.</w:t>
      </w:r>
    </w:p>
    <w:p w14:paraId="20881D39" w14:textId="77777777" w:rsidR="00327730" w:rsidRDefault="0021756C" w:rsidP="00943BE7">
      <w:pPr>
        <w:pStyle w:val="CETBodytext"/>
        <w:jc w:val="center"/>
        <w:rPr>
          <w:lang w:val="en-GB"/>
        </w:rPr>
      </w:pPr>
      <w:r>
        <w:rPr>
          <w:noProof/>
        </w:rPr>
        <w:drawing>
          <wp:inline distT="0" distB="0" distL="0" distR="0" wp14:anchorId="246CB0B2" wp14:editId="78C362A5">
            <wp:extent cx="2960077" cy="18368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51604" cy="1893657"/>
                    </a:xfrm>
                    <a:prstGeom prst="rect">
                      <a:avLst/>
                    </a:prstGeom>
                    <a:noFill/>
                  </pic:spPr>
                </pic:pic>
              </a:graphicData>
            </a:graphic>
          </wp:inline>
        </w:drawing>
      </w:r>
    </w:p>
    <w:p w14:paraId="20D5CB9B" w14:textId="77777777" w:rsidR="00EC657C" w:rsidRPr="00B57B36" w:rsidRDefault="00EC657C" w:rsidP="00943BE7">
      <w:pPr>
        <w:pStyle w:val="CETCaption"/>
        <w:jc w:val="center"/>
      </w:pPr>
      <w:r w:rsidRPr="00B57B36">
        <w:t xml:space="preserve">Figure </w:t>
      </w:r>
      <w:r w:rsidR="008A0A69">
        <w:t>1</w:t>
      </w:r>
      <w:r w:rsidRPr="00B57B36">
        <w:t xml:space="preserve">: </w:t>
      </w:r>
      <w:r>
        <w:t>Model-based techno-economic optimization framework.</w:t>
      </w:r>
    </w:p>
    <w:p w14:paraId="44F0C01E" w14:textId="77777777" w:rsidR="00600535" w:rsidRPr="00B57B36" w:rsidRDefault="00631ACA" w:rsidP="00600535">
      <w:pPr>
        <w:pStyle w:val="CETHeading1"/>
        <w:tabs>
          <w:tab w:val="clear" w:pos="360"/>
          <w:tab w:val="right" w:pos="7100"/>
        </w:tabs>
        <w:jc w:val="both"/>
        <w:rPr>
          <w:lang w:val="en-GB"/>
        </w:rPr>
      </w:pPr>
      <w:r>
        <w:rPr>
          <w:lang w:val="en-GB"/>
        </w:rPr>
        <w:t>NGL Recovery Unit Simulation</w:t>
      </w:r>
    </w:p>
    <w:p w14:paraId="63070B53" w14:textId="77777777" w:rsidR="00600535" w:rsidRPr="00B57B36" w:rsidRDefault="00631ACA" w:rsidP="00FA5F5F">
      <w:pPr>
        <w:pStyle w:val="CETheadingx"/>
      </w:pPr>
      <w:r>
        <w:t>Process Description</w:t>
      </w:r>
    </w:p>
    <w:p w14:paraId="204A537C" w14:textId="77777777" w:rsidR="00BF203C" w:rsidRDefault="00366250" w:rsidP="00631ACA">
      <w:pPr>
        <w:pStyle w:val="CETBodytext"/>
        <w:rPr>
          <w:lang w:val="en-GB"/>
        </w:rPr>
      </w:pPr>
      <w:r>
        <w:rPr>
          <w:lang w:val="en-GB"/>
        </w:rPr>
        <w:t xml:space="preserve">The conventional NGL recovery process is </w:t>
      </w:r>
      <w:r w:rsidR="00316BA1">
        <w:rPr>
          <w:lang w:val="en-GB"/>
        </w:rPr>
        <w:t xml:space="preserve">modelled </w:t>
      </w:r>
      <w:r>
        <w:rPr>
          <w:lang w:val="en-GB"/>
        </w:rPr>
        <w:t xml:space="preserve">in </w:t>
      </w:r>
      <w:r w:rsidR="0033283A">
        <w:rPr>
          <w:lang w:val="en-GB"/>
        </w:rPr>
        <w:t xml:space="preserve">Aspen </w:t>
      </w:r>
      <w:r w:rsidR="00E97A6C">
        <w:rPr>
          <w:lang w:val="en-GB"/>
        </w:rPr>
        <w:t>HYSYS</w:t>
      </w:r>
      <w:r>
        <w:rPr>
          <w:lang w:val="en-GB"/>
        </w:rPr>
        <w:t xml:space="preserve"> </w:t>
      </w:r>
      <w:r w:rsidR="002C54B7">
        <w:rPr>
          <w:lang w:val="en-GB"/>
        </w:rPr>
        <w:t xml:space="preserve">at </w:t>
      </w:r>
      <w:r>
        <w:rPr>
          <w:lang w:val="en-GB"/>
        </w:rPr>
        <w:t>steady-state</w:t>
      </w:r>
      <w:r w:rsidR="00327730">
        <w:rPr>
          <w:lang w:val="en-GB"/>
        </w:rPr>
        <w:t xml:space="preserve"> (Figure</w:t>
      </w:r>
      <w:r w:rsidR="008A0A69">
        <w:rPr>
          <w:lang w:val="en-GB"/>
        </w:rPr>
        <w:t xml:space="preserve"> 2)</w:t>
      </w:r>
      <w:r>
        <w:rPr>
          <w:lang w:val="en-GB"/>
        </w:rPr>
        <w:t xml:space="preserve">. The different components of the recovery unit are based on the work </w:t>
      </w:r>
      <w:r w:rsidR="002C54B7">
        <w:rPr>
          <w:lang w:val="en-GB"/>
        </w:rPr>
        <w:t>of</w:t>
      </w:r>
      <w:r>
        <w:rPr>
          <w:lang w:val="en-GB"/>
        </w:rPr>
        <w:t xml:space="preserve"> </w:t>
      </w:r>
      <w:proofErr w:type="spellStart"/>
      <w:r>
        <w:rPr>
          <w:lang w:val="en-GB"/>
        </w:rPr>
        <w:t>Chebbi</w:t>
      </w:r>
      <w:proofErr w:type="spellEnd"/>
      <w:r>
        <w:rPr>
          <w:lang w:val="en-GB"/>
        </w:rPr>
        <w:t xml:space="preserve"> et al. (2010)</w:t>
      </w:r>
      <w:r w:rsidR="002C54B7">
        <w:rPr>
          <w:lang w:val="en-GB"/>
        </w:rPr>
        <w:t>,</w:t>
      </w:r>
      <w:r>
        <w:rPr>
          <w:lang w:val="en-GB"/>
        </w:rPr>
        <w:t xml:space="preserve"> and </w:t>
      </w:r>
      <w:proofErr w:type="spellStart"/>
      <w:r>
        <w:rPr>
          <w:lang w:val="en-GB"/>
        </w:rPr>
        <w:t>Kherbeck</w:t>
      </w:r>
      <w:proofErr w:type="spellEnd"/>
      <w:r>
        <w:rPr>
          <w:lang w:val="en-GB"/>
        </w:rPr>
        <w:t xml:space="preserve"> and </w:t>
      </w:r>
      <w:proofErr w:type="spellStart"/>
      <w:r>
        <w:rPr>
          <w:lang w:val="en-GB"/>
        </w:rPr>
        <w:t>Chebbi</w:t>
      </w:r>
      <w:proofErr w:type="spellEnd"/>
      <w:r>
        <w:rPr>
          <w:lang w:val="en-GB"/>
        </w:rPr>
        <w:t xml:space="preserve"> (2013).</w:t>
      </w:r>
    </w:p>
    <w:p w14:paraId="5E7177D7" w14:textId="77777777" w:rsidR="008A0A69" w:rsidRDefault="008A0A69" w:rsidP="00631ACA">
      <w:pPr>
        <w:pStyle w:val="CETBodytext"/>
        <w:rPr>
          <w:lang w:val="en-GB"/>
        </w:rPr>
      </w:pPr>
    </w:p>
    <w:p w14:paraId="420F4AFF" w14:textId="77777777" w:rsidR="00BF203C" w:rsidRDefault="00122730" w:rsidP="00380979">
      <w:pPr>
        <w:pStyle w:val="CETBodytext"/>
        <w:jc w:val="center"/>
        <w:rPr>
          <w:lang w:val="en-GB"/>
        </w:rPr>
      </w:pPr>
      <w:r>
        <w:rPr>
          <w:noProof/>
        </w:rPr>
        <w:drawing>
          <wp:inline distT="0" distB="0" distL="0" distR="0" wp14:anchorId="7AAC46CE" wp14:editId="3E253835">
            <wp:extent cx="4796215" cy="2171706"/>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66899" cy="2339550"/>
                    </a:xfrm>
                    <a:prstGeom prst="rect">
                      <a:avLst/>
                    </a:prstGeom>
                    <a:noFill/>
                    <a:ln>
                      <a:noFill/>
                    </a:ln>
                  </pic:spPr>
                </pic:pic>
              </a:graphicData>
            </a:graphic>
          </wp:inline>
        </w:drawing>
      </w:r>
    </w:p>
    <w:p w14:paraId="5FBCF4F2" w14:textId="77777777" w:rsidR="0011544F" w:rsidRDefault="0011544F" w:rsidP="00943BE7">
      <w:pPr>
        <w:pStyle w:val="CETCaption"/>
        <w:jc w:val="center"/>
      </w:pPr>
      <w:r w:rsidRPr="00B57B36">
        <w:t xml:space="preserve">Figure </w:t>
      </w:r>
      <w:r>
        <w:t>2</w:t>
      </w:r>
      <w:r w:rsidRPr="00B57B36">
        <w:t xml:space="preserve">: </w:t>
      </w:r>
      <w:r>
        <w:t xml:space="preserve">Simulation of conventional NGL recovery unit implemented in </w:t>
      </w:r>
      <w:r w:rsidR="00EC657C">
        <w:t>HYSYS</w:t>
      </w:r>
      <w:r>
        <w:t>.</w:t>
      </w:r>
    </w:p>
    <w:p w14:paraId="6F0DDFB9" w14:textId="77777777" w:rsidR="008A0A69" w:rsidRPr="008A0A69" w:rsidRDefault="008A0A69" w:rsidP="0011544F">
      <w:pPr>
        <w:pStyle w:val="CETCaption"/>
        <w:rPr>
          <w:i w:val="0"/>
        </w:rPr>
      </w:pPr>
      <w:r w:rsidRPr="008A0A69">
        <w:rPr>
          <w:i w:val="0"/>
        </w:rPr>
        <w:t xml:space="preserve">In the conventional process, the feed is first cooled by transferring the duty to the reboiler of the </w:t>
      </w:r>
      <w:proofErr w:type="spellStart"/>
      <w:r w:rsidRPr="008A0A69">
        <w:rPr>
          <w:i w:val="0"/>
        </w:rPr>
        <w:t>demethanizer</w:t>
      </w:r>
      <w:proofErr w:type="spellEnd"/>
      <w:r w:rsidRPr="008A0A69">
        <w:rPr>
          <w:i w:val="0"/>
        </w:rPr>
        <w:t xml:space="preserve"> column. Then, a further cooling of the feed is achieved by a heat exchange with the residue gas coming from the top of the column. After these two cooling stages, the pre-cooled feed is sent to a chiller to reach a temperature</w:t>
      </w:r>
      <w:r w:rsidR="003D5A6C">
        <w:rPr>
          <w:i w:val="0"/>
        </w:rPr>
        <w:t xml:space="preserve"> close to</w:t>
      </w:r>
      <w:r w:rsidRPr="008A0A69">
        <w:rPr>
          <w:i w:val="0"/>
        </w:rPr>
        <w:t xml:space="preserve"> </w:t>
      </w:r>
      <w:r w:rsidRPr="00477E14">
        <w:rPr>
          <w:i w:val="0"/>
        </w:rPr>
        <w:t>-</w:t>
      </w:r>
      <w:r w:rsidR="003D5A6C" w:rsidRPr="001D38DB">
        <w:rPr>
          <w:i w:val="0"/>
        </w:rPr>
        <w:t>40</w:t>
      </w:r>
      <w:r w:rsidR="003D5A6C" w:rsidRPr="00477E14">
        <w:rPr>
          <w:i w:val="0"/>
        </w:rPr>
        <w:t xml:space="preserve"> </w:t>
      </w:r>
      <w:r w:rsidRPr="00477E14">
        <w:rPr>
          <w:i w:val="0"/>
        </w:rPr>
        <w:t>°</w:t>
      </w:r>
      <w:r w:rsidR="003D5A6C" w:rsidRPr="00C23B39">
        <w:rPr>
          <w:i w:val="0"/>
        </w:rPr>
        <w:t>C</w:t>
      </w:r>
      <w:r w:rsidRPr="008A0A69">
        <w:rPr>
          <w:i w:val="0"/>
        </w:rPr>
        <w:t xml:space="preserve">. A first separation of liquids is produced in Separator-1 and the gas coming from the top is cooled by heat exchange with the overhead of the </w:t>
      </w:r>
      <w:proofErr w:type="spellStart"/>
      <w:r w:rsidRPr="008A0A69">
        <w:rPr>
          <w:i w:val="0"/>
        </w:rPr>
        <w:t>demethanizer</w:t>
      </w:r>
      <w:proofErr w:type="spellEnd"/>
      <w:r w:rsidRPr="008A0A69">
        <w:rPr>
          <w:i w:val="0"/>
        </w:rPr>
        <w:t xml:space="preserve">. A second separation occurs in the </w:t>
      </w:r>
      <w:r w:rsidRPr="008A0A69">
        <w:rPr>
          <w:i w:val="0"/>
        </w:rPr>
        <w:lastRenderedPageBreak/>
        <w:t xml:space="preserve">so-called “cold separator” (Separator-2), which is located right before the </w:t>
      </w:r>
      <w:proofErr w:type="spellStart"/>
      <w:r w:rsidRPr="008A0A69">
        <w:rPr>
          <w:i w:val="0"/>
        </w:rPr>
        <w:t>demethanizer</w:t>
      </w:r>
      <w:proofErr w:type="spellEnd"/>
      <w:r w:rsidRPr="008A0A69">
        <w:rPr>
          <w:i w:val="0"/>
        </w:rPr>
        <w:t xml:space="preserve"> unit. The resulting gases are transported to the turboexpander where an expansion takes place before their transportation to the </w:t>
      </w:r>
      <w:proofErr w:type="spellStart"/>
      <w:r w:rsidRPr="008A0A69">
        <w:rPr>
          <w:i w:val="0"/>
        </w:rPr>
        <w:t>demethanizer</w:t>
      </w:r>
      <w:proofErr w:type="spellEnd"/>
      <w:r w:rsidRPr="008A0A69">
        <w:rPr>
          <w:i w:val="0"/>
        </w:rPr>
        <w:t xml:space="preserve"> unit. The liquids leaving both Separator-1 and Separator-2 are expanded by JT expansion</w:t>
      </w:r>
      <w:r w:rsidR="002C54B7">
        <w:rPr>
          <w:i w:val="0"/>
        </w:rPr>
        <w:t>,</w:t>
      </w:r>
      <w:r w:rsidRPr="008A0A69">
        <w:rPr>
          <w:i w:val="0"/>
        </w:rPr>
        <w:t xml:space="preserve"> and transported to the column. An energy integration is produced between the turboexpander and the </w:t>
      </w:r>
      <w:proofErr w:type="spellStart"/>
      <w:r w:rsidRPr="008A0A69">
        <w:rPr>
          <w:i w:val="0"/>
        </w:rPr>
        <w:t>recompressor</w:t>
      </w:r>
      <w:proofErr w:type="spellEnd"/>
      <w:r w:rsidRPr="008A0A69">
        <w:rPr>
          <w:i w:val="0"/>
        </w:rPr>
        <w:t xml:space="preserve"> located </w:t>
      </w:r>
      <w:r w:rsidR="002C54B7">
        <w:rPr>
          <w:i w:val="0"/>
        </w:rPr>
        <w:t>at</w:t>
      </w:r>
      <w:r w:rsidR="002C54B7" w:rsidRPr="008A0A69">
        <w:rPr>
          <w:i w:val="0"/>
        </w:rPr>
        <w:t xml:space="preserve"> </w:t>
      </w:r>
      <w:r w:rsidRPr="008A0A69">
        <w:rPr>
          <w:i w:val="0"/>
        </w:rPr>
        <w:t>the outlet</w:t>
      </w:r>
      <w:r w:rsidR="002C54B7">
        <w:rPr>
          <w:i w:val="0"/>
        </w:rPr>
        <w:t xml:space="preserve"> stream</w:t>
      </w:r>
      <w:r w:rsidRPr="008A0A69">
        <w:rPr>
          <w:i w:val="0"/>
        </w:rPr>
        <w:t xml:space="preserve"> of the NGL recovery unit. The separation of the NGL in the column is generated based on a pre-established recovery of the lighter NGL components (ethane).</w:t>
      </w:r>
    </w:p>
    <w:p w14:paraId="024CA70F" w14:textId="77777777" w:rsidR="00600535" w:rsidRDefault="008B7B73" w:rsidP="00FA5F5F">
      <w:pPr>
        <w:pStyle w:val="CETheadingx"/>
      </w:pPr>
      <w:r>
        <w:t>Process Simulation Parameters</w:t>
      </w:r>
    </w:p>
    <w:p w14:paraId="51B19ED3" w14:textId="77777777" w:rsidR="00EF4390" w:rsidRDefault="0062758C" w:rsidP="00BF203C">
      <w:pPr>
        <w:pStyle w:val="CETBodytext"/>
      </w:pPr>
      <w:r>
        <w:t>T</w:t>
      </w:r>
      <w:r w:rsidR="00DB6EF7">
        <w:t xml:space="preserve">o analyze the efficacy of the proposed optimization framework, two case studies </w:t>
      </w:r>
      <w:r>
        <w:t>are</w:t>
      </w:r>
      <w:r w:rsidR="00DB6EF7">
        <w:t xml:space="preserve"> proposed based on </w:t>
      </w:r>
      <w:r w:rsidR="00EF4390">
        <w:t>variations in the composition of the feed</w:t>
      </w:r>
      <w:r w:rsidR="001D3805" w:rsidRPr="001D3805">
        <w:t xml:space="preserve"> </w:t>
      </w:r>
      <w:r w:rsidR="001D3805">
        <w:t>gas</w:t>
      </w:r>
      <w:r w:rsidR="00DB6EF7">
        <w:t xml:space="preserve">. Case Study </w:t>
      </w:r>
      <w:r w:rsidR="009F11C1">
        <w:t>I</w:t>
      </w:r>
      <w:r w:rsidR="00DB6EF7">
        <w:t xml:space="preserve"> </w:t>
      </w:r>
      <w:proofErr w:type="gramStart"/>
      <w:r w:rsidR="00DB6EF7">
        <w:t>considers</w:t>
      </w:r>
      <w:proofErr w:type="gramEnd"/>
      <w:r w:rsidR="00DB6EF7">
        <w:t xml:space="preserve"> a low content of NGL while Case Study II </w:t>
      </w:r>
      <w:r w:rsidR="001D3805">
        <w:t xml:space="preserve">considers a </w:t>
      </w:r>
      <w:r w:rsidR="00DB6EF7">
        <w:t>higher content of NGL.</w:t>
      </w:r>
      <w:r w:rsidR="00EF4390">
        <w:t xml:space="preserve"> The</w:t>
      </w:r>
      <w:r w:rsidR="008254C0">
        <w:t xml:space="preserve">se </w:t>
      </w:r>
      <w:r w:rsidR="001D3805">
        <w:t xml:space="preserve">inlet characteristics </w:t>
      </w:r>
      <w:r w:rsidR="008254C0">
        <w:t>among others</w:t>
      </w:r>
      <w:r w:rsidR="00EF4390">
        <w:t xml:space="preserve"> </w:t>
      </w:r>
      <w:r w:rsidR="008254C0">
        <w:t>utilized in</w:t>
      </w:r>
      <w:r w:rsidR="001D3805">
        <w:t xml:space="preserve"> the</w:t>
      </w:r>
      <w:r w:rsidR="008254C0">
        <w:t xml:space="preserve"> </w:t>
      </w:r>
      <w:r w:rsidR="00E97A6C">
        <w:t>HYSYS</w:t>
      </w:r>
      <w:r w:rsidR="001D3805">
        <w:t xml:space="preserve"> simulation</w:t>
      </w:r>
      <w:r w:rsidR="008254C0">
        <w:t xml:space="preserve"> </w:t>
      </w:r>
      <w:r w:rsidR="001D3805">
        <w:t>of</w:t>
      </w:r>
      <w:r w:rsidR="00EF4390">
        <w:t xml:space="preserve"> </w:t>
      </w:r>
      <w:r w:rsidR="006165EE">
        <w:t xml:space="preserve">the </w:t>
      </w:r>
      <w:r w:rsidR="00EF4390">
        <w:t xml:space="preserve">process </w:t>
      </w:r>
      <w:r w:rsidR="001D3805">
        <w:t xml:space="preserve">at </w:t>
      </w:r>
      <w:r w:rsidR="006165EE">
        <w:t xml:space="preserve">steady-state </w:t>
      </w:r>
      <w:r w:rsidR="00EF4390">
        <w:t xml:space="preserve">are presented in </w:t>
      </w:r>
      <w:r>
        <w:t>Table 1.</w:t>
      </w:r>
    </w:p>
    <w:p w14:paraId="2626DD39" w14:textId="77777777" w:rsidR="006F4161" w:rsidRDefault="006F4161" w:rsidP="006F4161">
      <w:pPr>
        <w:pStyle w:val="CETTabletitle"/>
      </w:pPr>
      <w:r w:rsidRPr="00B57B36">
        <w:t xml:space="preserve">Table 1: </w:t>
      </w:r>
      <w:r w:rsidR="004B51AA">
        <w:t>P</w:t>
      </w:r>
      <w:r>
        <w:t xml:space="preserve">arameters </w:t>
      </w:r>
      <w:r w:rsidR="004B51AA">
        <w:t>considered</w:t>
      </w:r>
      <w:r>
        <w:t xml:space="preserve"> </w:t>
      </w:r>
      <w:r w:rsidR="004B51AA">
        <w:t>in</w:t>
      </w:r>
      <w:r>
        <w:t xml:space="preserve"> </w:t>
      </w:r>
      <w:r w:rsidR="004B51AA">
        <w:t>the process simulation.</w:t>
      </w:r>
    </w:p>
    <w:tbl>
      <w:tblPr>
        <w:tblW w:w="8730" w:type="dxa"/>
        <w:tblLook w:val="04A0" w:firstRow="1" w:lastRow="0" w:firstColumn="1" w:lastColumn="0" w:noHBand="0" w:noVBand="1"/>
      </w:tblPr>
      <w:tblGrid>
        <w:gridCol w:w="3780"/>
        <w:gridCol w:w="2430"/>
        <w:gridCol w:w="2520"/>
      </w:tblGrid>
      <w:tr w:rsidR="0062758C" w:rsidRPr="0062758C" w14:paraId="4C2A868A" w14:textId="77777777" w:rsidTr="00943BE7">
        <w:trPr>
          <w:trHeight w:val="330"/>
        </w:trPr>
        <w:tc>
          <w:tcPr>
            <w:tcW w:w="3780" w:type="dxa"/>
            <w:tcBorders>
              <w:top w:val="single" w:sz="12" w:space="0" w:color="008000"/>
              <w:left w:val="nil"/>
              <w:bottom w:val="single" w:sz="8" w:space="0" w:color="008000"/>
              <w:right w:val="nil"/>
            </w:tcBorders>
            <w:shd w:val="clear" w:color="000000" w:fill="FFFFFF"/>
            <w:vAlign w:val="center"/>
            <w:hideMark/>
          </w:tcPr>
          <w:p w14:paraId="3C0192A6" w14:textId="77777777" w:rsidR="0062758C" w:rsidRPr="0062758C" w:rsidRDefault="0062758C" w:rsidP="0062758C">
            <w:pPr>
              <w:tabs>
                <w:tab w:val="clear" w:pos="7100"/>
              </w:tabs>
              <w:spacing w:line="240" w:lineRule="auto"/>
              <w:jc w:val="left"/>
              <w:rPr>
                <w:rFonts w:cs="Arial"/>
                <w:color w:val="000000"/>
                <w:szCs w:val="18"/>
                <w:lang w:val="en-US"/>
              </w:rPr>
            </w:pPr>
            <w:bookmarkStart w:id="3" w:name="_Hlk536535025"/>
            <w:r w:rsidRPr="0062758C">
              <w:rPr>
                <w:rFonts w:cs="Arial"/>
                <w:color w:val="000000"/>
                <w:szCs w:val="18"/>
              </w:rPr>
              <w:t> </w:t>
            </w:r>
          </w:p>
        </w:tc>
        <w:tc>
          <w:tcPr>
            <w:tcW w:w="2430" w:type="dxa"/>
            <w:tcBorders>
              <w:top w:val="single" w:sz="12" w:space="0" w:color="008000"/>
              <w:left w:val="nil"/>
              <w:bottom w:val="single" w:sz="8" w:space="0" w:color="008000"/>
              <w:right w:val="nil"/>
            </w:tcBorders>
            <w:shd w:val="clear" w:color="000000" w:fill="FFFFFF"/>
            <w:vAlign w:val="center"/>
            <w:hideMark/>
          </w:tcPr>
          <w:p w14:paraId="2363B3F6" w14:textId="77777777" w:rsidR="0062758C" w:rsidRPr="0062758C" w:rsidRDefault="0062758C" w:rsidP="0062758C">
            <w:pPr>
              <w:tabs>
                <w:tab w:val="clear" w:pos="7100"/>
              </w:tabs>
              <w:spacing w:line="240" w:lineRule="auto"/>
              <w:jc w:val="center"/>
              <w:rPr>
                <w:rFonts w:cs="Arial"/>
                <w:b/>
                <w:bCs/>
                <w:color w:val="000000"/>
                <w:szCs w:val="18"/>
                <w:lang w:val="en-US"/>
              </w:rPr>
            </w:pPr>
            <w:r w:rsidRPr="0062758C">
              <w:rPr>
                <w:rFonts w:cs="Arial"/>
                <w:b/>
                <w:bCs/>
                <w:color w:val="000000"/>
                <w:szCs w:val="18"/>
              </w:rPr>
              <w:t xml:space="preserve">Case Study </w:t>
            </w:r>
            <w:r>
              <w:rPr>
                <w:rFonts w:cs="Arial"/>
                <w:b/>
                <w:bCs/>
                <w:color w:val="000000"/>
                <w:szCs w:val="18"/>
              </w:rPr>
              <w:t>I</w:t>
            </w:r>
            <w:r w:rsidRPr="0062758C">
              <w:rPr>
                <w:rFonts w:cs="Arial"/>
                <w:b/>
                <w:bCs/>
                <w:color w:val="000000"/>
                <w:szCs w:val="18"/>
              </w:rPr>
              <w:t xml:space="preserve"> (Lean Gas)</w:t>
            </w:r>
          </w:p>
        </w:tc>
        <w:tc>
          <w:tcPr>
            <w:tcW w:w="2520" w:type="dxa"/>
            <w:tcBorders>
              <w:top w:val="single" w:sz="12" w:space="0" w:color="008000"/>
              <w:left w:val="nil"/>
              <w:bottom w:val="single" w:sz="8" w:space="0" w:color="008000"/>
              <w:right w:val="nil"/>
            </w:tcBorders>
            <w:shd w:val="clear" w:color="000000" w:fill="FFFFFF"/>
            <w:vAlign w:val="center"/>
            <w:hideMark/>
          </w:tcPr>
          <w:p w14:paraId="42FBAD0C" w14:textId="77777777" w:rsidR="0062758C" w:rsidRPr="0062758C" w:rsidRDefault="0062758C" w:rsidP="0062758C">
            <w:pPr>
              <w:tabs>
                <w:tab w:val="clear" w:pos="7100"/>
              </w:tabs>
              <w:spacing w:line="240" w:lineRule="auto"/>
              <w:jc w:val="center"/>
              <w:rPr>
                <w:rFonts w:cs="Arial"/>
                <w:b/>
                <w:bCs/>
                <w:color w:val="000000"/>
                <w:szCs w:val="18"/>
                <w:lang w:val="en-US"/>
              </w:rPr>
            </w:pPr>
            <w:r w:rsidRPr="0062758C">
              <w:rPr>
                <w:rFonts w:cs="Arial"/>
                <w:b/>
                <w:bCs/>
                <w:color w:val="000000"/>
                <w:szCs w:val="18"/>
              </w:rPr>
              <w:t xml:space="preserve">Case Study </w:t>
            </w:r>
            <w:r>
              <w:rPr>
                <w:rFonts w:cs="Arial"/>
                <w:b/>
                <w:bCs/>
                <w:color w:val="000000"/>
                <w:szCs w:val="18"/>
              </w:rPr>
              <w:t>II</w:t>
            </w:r>
            <w:r w:rsidRPr="0062758C">
              <w:rPr>
                <w:rFonts w:cs="Arial"/>
                <w:b/>
                <w:bCs/>
                <w:color w:val="000000"/>
                <w:szCs w:val="18"/>
              </w:rPr>
              <w:t xml:space="preserve"> (Rich Gas)</w:t>
            </w:r>
          </w:p>
        </w:tc>
      </w:tr>
      <w:bookmarkEnd w:id="3"/>
      <w:tr w:rsidR="0062758C" w:rsidRPr="0062758C" w14:paraId="04A14379" w14:textId="77777777" w:rsidTr="00943BE7">
        <w:trPr>
          <w:trHeight w:val="144"/>
        </w:trPr>
        <w:tc>
          <w:tcPr>
            <w:tcW w:w="3780" w:type="dxa"/>
            <w:tcBorders>
              <w:top w:val="nil"/>
              <w:left w:val="nil"/>
              <w:bottom w:val="nil"/>
              <w:right w:val="nil"/>
            </w:tcBorders>
            <w:shd w:val="clear" w:color="000000" w:fill="FFFFFF"/>
            <w:vAlign w:val="center"/>
            <w:hideMark/>
          </w:tcPr>
          <w:p w14:paraId="16784C87" w14:textId="77777777" w:rsidR="0062758C" w:rsidRPr="0062758C" w:rsidRDefault="0062758C" w:rsidP="0062758C">
            <w:pPr>
              <w:tabs>
                <w:tab w:val="clear" w:pos="7100"/>
              </w:tabs>
              <w:spacing w:line="240" w:lineRule="auto"/>
              <w:jc w:val="left"/>
              <w:rPr>
                <w:rFonts w:cs="Arial"/>
                <w:color w:val="000000"/>
                <w:szCs w:val="18"/>
                <w:lang w:val="en-US"/>
              </w:rPr>
            </w:pPr>
            <w:r w:rsidRPr="0062758C">
              <w:rPr>
                <w:rFonts w:cs="Arial"/>
                <w:color w:val="000000"/>
                <w:szCs w:val="18"/>
              </w:rPr>
              <w:t xml:space="preserve">Fluid Package </w:t>
            </w:r>
          </w:p>
        </w:tc>
        <w:tc>
          <w:tcPr>
            <w:tcW w:w="4950" w:type="dxa"/>
            <w:gridSpan w:val="2"/>
            <w:tcBorders>
              <w:top w:val="single" w:sz="8" w:space="0" w:color="008000"/>
              <w:left w:val="nil"/>
              <w:bottom w:val="nil"/>
              <w:right w:val="nil"/>
            </w:tcBorders>
            <w:shd w:val="clear" w:color="000000" w:fill="FFFFFF"/>
            <w:vAlign w:val="center"/>
            <w:hideMark/>
          </w:tcPr>
          <w:p w14:paraId="201C9C34" w14:textId="77777777" w:rsidR="0062758C" w:rsidRPr="0062758C" w:rsidRDefault="0062758C" w:rsidP="0062758C">
            <w:pPr>
              <w:tabs>
                <w:tab w:val="clear" w:pos="7100"/>
              </w:tabs>
              <w:spacing w:line="240" w:lineRule="auto"/>
              <w:jc w:val="center"/>
              <w:rPr>
                <w:rFonts w:cs="Arial"/>
                <w:color w:val="000000"/>
                <w:szCs w:val="18"/>
                <w:lang w:val="en-US"/>
              </w:rPr>
            </w:pPr>
            <w:r w:rsidRPr="0062758C">
              <w:rPr>
                <w:rFonts w:cs="Arial"/>
                <w:color w:val="000000"/>
                <w:szCs w:val="18"/>
              </w:rPr>
              <w:t>Peng-Robinson</w:t>
            </w:r>
          </w:p>
        </w:tc>
      </w:tr>
      <w:tr w:rsidR="0062758C" w:rsidRPr="0062758C" w14:paraId="7AC3735C" w14:textId="77777777" w:rsidTr="00943BE7">
        <w:trPr>
          <w:trHeight w:val="144"/>
        </w:trPr>
        <w:tc>
          <w:tcPr>
            <w:tcW w:w="3780" w:type="dxa"/>
            <w:tcBorders>
              <w:top w:val="nil"/>
              <w:left w:val="nil"/>
              <w:bottom w:val="nil"/>
              <w:right w:val="nil"/>
            </w:tcBorders>
            <w:shd w:val="clear" w:color="000000" w:fill="FFFFFF"/>
            <w:vAlign w:val="center"/>
            <w:hideMark/>
          </w:tcPr>
          <w:p w14:paraId="39A61E7F" w14:textId="77777777" w:rsidR="0062758C" w:rsidRPr="0062758C" w:rsidRDefault="0062758C" w:rsidP="0062758C">
            <w:pPr>
              <w:tabs>
                <w:tab w:val="clear" w:pos="7100"/>
              </w:tabs>
              <w:spacing w:line="240" w:lineRule="auto"/>
              <w:jc w:val="left"/>
              <w:rPr>
                <w:rFonts w:cs="Arial"/>
                <w:color w:val="000000"/>
                <w:szCs w:val="18"/>
                <w:lang w:val="en-US"/>
              </w:rPr>
            </w:pPr>
            <w:r w:rsidRPr="0062758C">
              <w:rPr>
                <w:rFonts w:cs="Arial"/>
                <w:color w:val="000000"/>
                <w:szCs w:val="18"/>
              </w:rPr>
              <w:t>Inlet Pressure</w:t>
            </w:r>
          </w:p>
        </w:tc>
        <w:tc>
          <w:tcPr>
            <w:tcW w:w="4950" w:type="dxa"/>
            <w:gridSpan w:val="2"/>
            <w:tcBorders>
              <w:top w:val="nil"/>
              <w:left w:val="nil"/>
              <w:bottom w:val="nil"/>
              <w:right w:val="nil"/>
            </w:tcBorders>
            <w:shd w:val="clear" w:color="000000" w:fill="FFFFFF"/>
            <w:vAlign w:val="center"/>
            <w:hideMark/>
          </w:tcPr>
          <w:p w14:paraId="34ECC80D" w14:textId="77777777" w:rsidR="0062758C" w:rsidRPr="0062758C" w:rsidRDefault="0062758C" w:rsidP="0062758C">
            <w:pPr>
              <w:tabs>
                <w:tab w:val="clear" w:pos="7100"/>
              </w:tabs>
              <w:spacing w:line="240" w:lineRule="auto"/>
              <w:jc w:val="center"/>
              <w:rPr>
                <w:rFonts w:cs="Arial"/>
                <w:color w:val="000000"/>
                <w:szCs w:val="18"/>
                <w:lang w:val="en-US"/>
              </w:rPr>
            </w:pPr>
            <w:r w:rsidRPr="0062758C">
              <w:rPr>
                <w:rFonts w:cs="Arial"/>
                <w:color w:val="000000"/>
                <w:szCs w:val="18"/>
              </w:rPr>
              <w:t>6002 kPa</w:t>
            </w:r>
          </w:p>
        </w:tc>
      </w:tr>
      <w:tr w:rsidR="0062758C" w:rsidRPr="0062758C" w14:paraId="0CFFBEEA" w14:textId="77777777" w:rsidTr="00943BE7">
        <w:trPr>
          <w:trHeight w:val="144"/>
        </w:trPr>
        <w:tc>
          <w:tcPr>
            <w:tcW w:w="3780" w:type="dxa"/>
            <w:tcBorders>
              <w:top w:val="nil"/>
              <w:left w:val="nil"/>
              <w:bottom w:val="nil"/>
              <w:right w:val="nil"/>
            </w:tcBorders>
            <w:shd w:val="clear" w:color="000000" w:fill="FFFFFF"/>
            <w:vAlign w:val="center"/>
            <w:hideMark/>
          </w:tcPr>
          <w:p w14:paraId="372D8C0E" w14:textId="77777777" w:rsidR="0062758C" w:rsidRPr="0062758C" w:rsidRDefault="0062758C" w:rsidP="0062758C">
            <w:pPr>
              <w:tabs>
                <w:tab w:val="clear" w:pos="7100"/>
              </w:tabs>
              <w:spacing w:line="240" w:lineRule="auto"/>
              <w:jc w:val="left"/>
              <w:rPr>
                <w:rFonts w:cs="Arial"/>
                <w:color w:val="000000"/>
                <w:szCs w:val="18"/>
                <w:lang w:val="en-US"/>
              </w:rPr>
            </w:pPr>
            <w:r w:rsidRPr="0062758C">
              <w:rPr>
                <w:rFonts w:cs="Arial"/>
                <w:color w:val="000000"/>
                <w:szCs w:val="18"/>
              </w:rPr>
              <w:t>Inlet Temperature</w:t>
            </w:r>
          </w:p>
        </w:tc>
        <w:tc>
          <w:tcPr>
            <w:tcW w:w="4950" w:type="dxa"/>
            <w:gridSpan w:val="2"/>
            <w:tcBorders>
              <w:top w:val="nil"/>
              <w:left w:val="nil"/>
              <w:bottom w:val="nil"/>
              <w:right w:val="nil"/>
            </w:tcBorders>
            <w:shd w:val="clear" w:color="000000" w:fill="FFFFFF"/>
            <w:vAlign w:val="center"/>
            <w:hideMark/>
          </w:tcPr>
          <w:p w14:paraId="6962C3D5" w14:textId="77777777" w:rsidR="0062758C" w:rsidRPr="00E31C8D" w:rsidRDefault="0062758C" w:rsidP="0062758C">
            <w:pPr>
              <w:tabs>
                <w:tab w:val="clear" w:pos="7100"/>
              </w:tabs>
              <w:spacing w:line="240" w:lineRule="auto"/>
              <w:jc w:val="center"/>
              <w:rPr>
                <w:rFonts w:cs="Arial"/>
                <w:color w:val="000000"/>
                <w:szCs w:val="18"/>
                <w:highlight w:val="yellow"/>
                <w:lang w:val="en-US"/>
              </w:rPr>
            </w:pPr>
            <w:r w:rsidRPr="0039398F">
              <w:rPr>
                <w:rFonts w:cs="Arial"/>
                <w:color w:val="000000"/>
                <w:szCs w:val="18"/>
              </w:rPr>
              <w:t>308 K</w:t>
            </w:r>
          </w:p>
        </w:tc>
      </w:tr>
      <w:tr w:rsidR="0062758C" w:rsidRPr="0062758C" w14:paraId="22641694" w14:textId="77777777" w:rsidTr="00943BE7">
        <w:trPr>
          <w:trHeight w:val="144"/>
        </w:trPr>
        <w:tc>
          <w:tcPr>
            <w:tcW w:w="3780" w:type="dxa"/>
            <w:tcBorders>
              <w:top w:val="nil"/>
              <w:left w:val="nil"/>
              <w:bottom w:val="nil"/>
              <w:right w:val="nil"/>
            </w:tcBorders>
            <w:shd w:val="clear" w:color="000000" w:fill="FFFFFF"/>
            <w:vAlign w:val="center"/>
            <w:hideMark/>
          </w:tcPr>
          <w:p w14:paraId="4A4BC623" w14:textId="77777777" w:rsidR="0062758C" w:rsidRPr="0062758C" w:rsidRDefault="0062758C" w:rsidP="0062758C">
            <w:pPr>
              <w:tabs>
                <w:tab w:val="clear" w:pos="7100"/>
              </w:tabs>
              <w:spacing w:line="240" w:lineRule="auto"/>
              <w:jc w:val="left"/>
              <w:rPr>
                <w:rFonts w:cs="Arial"/>
                <w:color w:val="000000"/>
                <w:szCs w:val="18"/>
                <w:lang w:val="en-US"/>
              </w:rPr>
            </w:pPr>
            <w:r w:rsidRPr="0062758C">
              <w:rPr>
                <w:rFonts w:cs="Arial"/>
                <w:color w:val="000000"/>
                <w:szCs w:val="18"/>
              </w:rPr>
              <w:t xml:space="preserve">Inlet Flow </w:t>
            </w:r>
          </w:p>
        </w:tc>
        <w:tc>
          <w:tcPr>
            <w:tcW w:w="4950" w:type="dxa"/>
            <w:gridSpan w:val="2"/>
            <w:tcBorders>
              <w:top w:val="nil"/>
              <w:left w:val="nil"/>
              <w:bottom w:val="nil"/>
              <w:right w:val="nil"/>
            </w:tcBorders>
            <w:shd w:val="clear" w:color="000000" w:fill="FFFFFF"/>
            <w:vAlign w:val="center"/>
            <w:hideMark/>
          </w:tcPr>
          <w:p w14:paraId="57FD1038" w14:textId="77777777" w:rsidR="0062758C" w:rsidRPr="0062758C" w:rsidRDefault="0062758C" w:rsidP="0062758C">
            <w:pPr>
              <w:tabs>
                <w:tab w:val="clear" w:pos="7100"/>
              </w:tabs>
              <w:spacing w:line="240" w:lineRule="auto"/>
              <w:jc w:val="center"/>
              <w:rPr>
                <w:rFonts w:cs="Arial"/>
                <w:color w:val="000000"/>
                <w:szCs w:val="18"/>
                <w:lang w:val="en-US"/>
              </w:rPr>
            </w:pPr>
            <w:r w:rsidRPr="0062758C">
              <w:rPr>
                <w:rFonts w:cs="Arial"/>
                <w:color w:val="000000"/>
                <w:szCs w:val="18"/>
              </w:rPr>
              <w:t xml:space="preserve">4980 </w:t>
            </w:r>
            <w:proofErr w:type="spellStart"/>
            <w:r w:rsidRPr="0062758C">
              <w:rPr>
                <w:rFonts w:cs="Arial"/>
                <w:color w:val="000000"/>
                <w:szCs w:val="18"/>
              </w:rPr>
              <w:t>kgmol</w:t>
            </w:r>
            <w:proofErr w:type="spellEnd"/>
            <w:r w:rsidRPr="0062758C">
              <w:rPr>
                <w:rFonts w:cs="Arial"/>
                <w:color w:val="000000"/>
                <w:szCs w:val="18"/>
              </w:rPr>
              <w:t>/hr</w:t>
            </w:r>
          </w:p>
        </w:tc>
      </w:tr>
      <w:tr w:rsidR="0062758C" w:rsidRPr="0062758C" w14:paraId="2179E558" w14:textId="77777777" w:rsidTr="00943BE7">
        <w:trPr>
          <w:trHeight w:val="144"/>
        </w:trPr>
        <w:tc>
          <w:tcPr>
            <w:tcW w:w="3780" w:type="dxa"/>
            <w:tcBorders>
              <w:top w:val="nil"/>
              <w:left w:val="nil"/>
              <w:bottom w:val="nil"/>
              <w:right w:val="nil"/>
            </w:tcBorders>
            <w:shd w:val="clear" w:color="000000" w:fill="FFFFFF"/>
            <w:vAlign w:val="center"/>
            <w:hideMark/>
          </w:tcPr>
          <w:p w14:paraId="74C2E442" w14:textId="77777777" w:rsidR="0062758C" w:rsidRPr="0062758C" w:rsidRDefault="0062758C" w:rsidP="0062758C">
            <w:pPr>
              <w:tabs>
                <w:tab w:val="clear" w:pos="7100"/>
              </w:tabs>
              <w:spacing w:line="240" w:lineRule="auto"/>
              <w:jc w:val="left"/>
              <w:rPr>
                <w:rFonts w:cs="Arial"/>
                <w:color w:val="000000"/>
                <w:szCs w:val="18"/>
                <w:lang w:val="en-US"/>
              </w:rPr>
            </w:pPr>
            <w:r w:rsidRPr="0062758C">
              <w:rPr>
                <w:rFonts w:cs="Arial"/>
                <w:color w:val="000000"/>
                <w:szCs w:val="18"/>
              </w:rPr>
              <w:t>Inlet Composition N2</w:t>
            </w:r>
          </w:p>
        </w:tc>
        <w:tc>
          <w:tcPr>
            <w:tcW w:w="2430" w:type="dxa"/>
            <w:tcBorders>
              <w:top w:val="nil"/>
              <w:left w:val="nil"/>
              <w:bottom w:val="nil"/>
              <w:right w:val="nil"/>
            </w:tcBorders>
            <w:shd w:val="clear" w:color="000000" w:fill="FFFFFF"/>
            <w:vAlign w:val="center"/>
            <w:hideMark/>
          </w:tcPr>
          <w:p w14:paraId="73BBB687" w14:textId="77777777" w:rsidR="0062758C" w:rsidRPr="0062758C" w:rsidRDefault="0062758C" w:rsidP="0062758C">
            <w:pPr>
              <w:tabs>
                <w:tab w:val="clear" w:pos="7100"/>
              </w:tabs>
              <w:spacing w:line="240" w:lineRule="auto"/>
              <w:jc w:val="center"/>
              <w:rPr>
                <w:rFonts w:cs="Arial"/>
                <w:color w:val="000000"/>
                <w:szCs w:val="18"/>
                <w:lang w:val="en-US"/>
              </w:rPr>
            </w:pPr>
            <w:r w:rsidRPr="0062758C">
              <w:rPr>
                <w:rFonts w:cs="Arial"/>
                <w:color w:val="000000"/>
                <w:szCs w:val="18"/>
              </w:rPr>
              <w:t>0.01</w:t>
            </w:r>
          </w:p>
        </w:tc>
        <w:tc>
          <w:tcPr>
            <w:tcW w:w="2520" w:type="dxa"/>
            <w:tcBorders>
              <w:top w:val="nil"/>
              <w:left w:val="nil"/>
              <w:bottom w:val="nil"/>
              <w:right w:val="nil"/>
            </w:tcBorders>
            <w:shd w:val="clear" w:color="000000" w:fill="FFFFFF"/>
            <w:vAlign w:val="center"/>
            <w:hideMark/>
          </w:tcPr>
          <w:p w14:paraId="0356514F" w14:textId="77777777" w:rsidR="0062758C" w:rsidRPr="0062758C" w:rsidRDefault="0062758C" w:rsidP="0062758C">
            <w:pPr>
              <w:tabs>
                <w:tab w:val="clear" w:pos="7100"/>
              </w:tabs>
              <w:spacing w:line="240" w:lineRule="auto"/>
              <w:jc w:val="center"/>
              <w:rPr>
                <w:rFonts w:cs="Arial"/>
                <w:color w:val="000000"/>
                <w:szCs w:val="18"/>
                <w:lang w:val="en-US"/>
              </w:rPr>
            </w:pPr>
            <w:r w:rsidRPr="0062758C">
              <w:rPr>
                <w:rFonts w:cs="Arial"/>
                <w:color w:val="000000"/>
                <w:szCs w:val="18"/>
              </w:rPr>
              <w:t>0.01</w:t>
            </w:r>
          </w:p>
        </w:tc>
      </w:tr>
      <w:tr w:rsidR="0062758C" w:rsidRPr="0062758C" w14:paraId="11F1FBC5" w14:textId="77777777" w:rsidTr="00943BE7">
        <w:trPr>
          <w:trHeight w:val="144"/>
        </w:trPr>
        <w:tc>
          <w:tcPr>
            <w:tcW w:w="3780" w:type="dxa"/>
            <w:tcBorders>
              <w:top w:val="nil"/>
              <w:left w:val="nil"/>
              <w:bottom w:val="nil"/>
              <w:right w:val="nil"/>
            </w:tcBorders>
            <w:shd w:val="clear" w:color="000000" w:fill="FFFFFF"/>
            <w:vAlign w:val="center"/>
            <w:hideMark/>
          </w:tcPr>
          <w:p w14:paraId="5C6029CC" w14:textId="77777777" w:rsidR="0062758C" w:rsidRPr="0062758C" w:rsidRDefault="0062758C" w:rsidP="0062758C">
            <w:pPr>
              <w:tabs>
                <w:tab w:val="clear" w:pos="7100"/>
              </w:tabs>
              <w:spacing w:line="240" w:lineRule="auto"/>
              <w:jc w:val="left"/>
              <w:rPr>
                <w:rFonts w:cs="Arial"/>
                <w:color w:val="000000"/>
                <w:szCs w:val="18"/>
                <w:lang w:val="en-US"/>
              </w:rPr>
            </w:pPr>
            <w:r w:rsidRPr="0062758C">
              <w:rPr>
                <w:rFonts w:cs="Arial"/>
                <w:color w:val="000000"/>
                <w:szCs w:val="18"/>
              </w:rPr>
              <w:t>Inlet Composition CH4</w:t>
            </w:r>
          </w:p>
        </w:tc>
        <w:tc>
          <w:tcPr>
            <w:tcW w:w="2430" w:type="dxa"/>
            <w:tcBorders>
              <w:top w:val="nil"/>
              <w:left w:val="nil"/>
              <w:bottom w:val="nil"/>
              <w:right w:val="nil"/>
            </w:tcBorders>
            <w:shd w:val="clear" w:color="000000" w:fill="FFFFFF"/>
            <w:vAlign w:val="center"/>
            <w:hideMark/>
          </w:tcPr>
          <w:p w14:paraId="7030663A" w14:textId="77777777" w:rsidR="0062758C" w:rsidRPr="0062758C" w:rsidRDefault="0062758C" w:rsidP="00477E14">
            <w:pPr>
              <w:tabs>
                <w:tab w:val="clear" w:pos="7100"/>
              </w:tabs>
              <w:spacing w:line="240" w:lineRule="auto"/>
              <w:jc w:val="center"/>
              <w:rPr>
                <w:rFonts w:cs="Arial"/>
                <w:color w:val="000000"/>
                <w:szCs w:val="18"/>
                <w:lang w:val="en-US"/>
              </w:rPr>
            </w:pPr>
            <w:r w:rsidRPr="0062758C">
              <w:rPr>
                <w:rFonts w:cs="Arial"/>
                <w:color w:val="000000"/>
                <w:szCs w:val="18"/>
              </w:rPr>
              <w:t>0.9</w:t>
            </w:r>
            <w:r w:rsidR="009575C4">
              <w:rPr>
                <w:rFonts w:cs="Arial"/>
                <w:color w:val="000000"/>
                <w:szCs w:val="18"/>
              </w:rPr>
              <w:t>3</w:t>
            </w:r>
          </w:p>
        </w:tc>
        <w:tc>
          <w:tcPr>
            <w:tcW w:w="2520" w:type="dxa"/>
            <w:tcBorders>
              <w:top w:val="nil"/>
              <w:left w:val="nil"/>
              <w:bottom w:val="nil"/>
              <w:right w:val="nil"/>
            </w:tcBorders>
            <w:shd w:val="clear" w:color="000000" w:fill="FFFFFF"/>
            <w:vAlign w:val="center"/>
            <w:hideMark/>
          </w:tcPr>
          <w:p w14:paraId="0BCEA739" w14:textId="77777777" w:rsidR="0062758C" w:rsidRPr="0062758C" w:rsidRDefault="0062758C" w:rsidP="0062758C">
            <w:pPr>
              <w:tabs>
                <w:tab w:val="clear" w:pos="7100"/>
              </w:tabs>
              <w:spacing w:line="240" w:lineRule="auto"/>
              <w:jc w:val="center"/>
              <w:rPr>
                <w:rFonts w:cs="Arial"/>
                <w:color w:val="000000"/>
                <w:szCs w:val="18"/>
                <w:lang w:val="en-US"/>
              </w:rPr>
            </w:pPr>
            <w:r w:rsidRPr="0062758C">
              <w:rPr>
                <w:rFonts w:cs="Arial"/>
                <w:color w:val="000000"/>
                <w:szCs w:val="18"/>
              </w:rPr>
              <w:t>0.69</w:t>
            </w:r>
          </w:p>
        </w:tc>
      </w:tr>
      <w:tr w:rsidR="0062758C" w:rsidRPr="0062758C" w14:paraId="2CD63A95" w14:textId="77777777" w:rsidTr="00943BE7">
        <w:trPr>
          <w:trHeight w:val="144"/>
        </w:trPr>
        <w:tc>
          <w:tcPr>
            <w:tcW w:w="3780" w:type="dxa"/>
            <w:tcBorders>
              <w:top w:val="nil"/>
              <w:left w:val="nil"/>
              <w:bottom w:val="nil"/>
              <w:right w:val="nil"/>
            </w:tcBorders>
            <w:shd w:val="clear" w:color="000000" w:fill="FFFFFF"/>
            <w:vAlign w:val="center"/>
            <w:hideMark/>
          </w:tcPr>
          <w:p w14:paraId="0B5461AD" w14:textId="77777777" w:rsidR="0062758C" w:rsidRPr="0062758C" w:rsidRDefault="0062758C" w:rsidP="0062758C">
            <w:pPr>
              <w:tabs>
                <w:tab w:val="clear" w:pos="7100"/>
              </w:tabs>
              <w:spacing w:line="240" w:lineRule="auto"/>
              <w:jc w:val="left"/>
              <w:rPr>
                <w:rFonts w:cs="Arial"/>
                <w:color w:val="000000"/>
                <w:szCs w:val="18"/>
                <w:lang w:val="en-US"/>
              </w:rPr>
            </w:pPr>
            <w:r w:rsidRPr="0062758C">
              <w:rPr>
                <w:rFonts w:cs="Arial"/>
                <w:color w:val="000000"/>
                <w:szCs w:val="18"/>
              </w:rPr>
              <w:t>Inlet Composition C2H6</w:t>
            </w:r>
          </w:p>
        </w:tc>
        <w:tc>
          <w:tcPr>
            <w:tcW w:w="2430" w:type="dxa"/>
            <w:tcBorders>
              <w:top w:val="nil"/>
              <w:left w:val="nil"/>
              <w:bottom w:val="nil"/>
              <w:right w:val="nil"/>
            </w:tcBorders>
            <w:shd w:val="clear" w:color="000000" w:fill="FFFFFF"/>
            <w:vAlign w:val="center"/>
            <w:hideMark/>
          </w:tcPr>
          <w:p w14:paraId="3F33EAA9" w14:textId="77777777" w:rsidR="0062758C" w:rsidRPr="0062758C" w:rsidRDefault="0062758C" w:rsidP="0062758C">
            <w:pPr>
              <w:tabs>
                <w:tab w:val="clear" w:pos="7100"/>
              </w:tabs>
              <w:spacing w:line="240" w:lineRule="auto"/>
              <w:jc w:val="center"/>
              <w:rPr>
                <w:rFonts w:cs="Arial"/>
                <w:color w:val="000000"/>
                <w:szCs w:val="18"/>
                <w:lang w:val="en-US"/>
              </w:rPr>
            </w:pPr>
            <w:r w:rsidRPr="0062758C">
              <w:rPr>
                <w:rFonts w:cs="Arial"/>
                <w:color w:val="000000"/>
                <w:szCs w:val="18"/>
              </w:rPr>
              <w:t>0.03</w:t>
            </w:r>
          </w:p>
        </w:tc>
        <w:tc>
          <w:tcPr>
            <w:tcW w:w="2520" w:type="dxa"/>
            <w:tcBorders>
              <w:top w:val="nil"/>
              <w:left w:val="nil"/>
              <w:bottom w:val="nil"/>
              <w:right w:val="nil"/>
            </w:tcBorders>
            <w:shd w:val="clear" w:color="000000" w:fill="FFFFFF"/>
            <w:vAlign w:val="center"/>
            <w:hideMark/>
          </w:tcPr>
          <w:p w14:paraId="45BE33CE" w14:textId="77777777" w:rsidR="0062758C" w:rsidRPr="0062758C" w:rsidRDefault="0062758C" w:rsidP="0062758C">
            <w:pPr>
              <w:tabs>
                <w:tab w:val="clear" w:pos="7100"/>
              </w:tabs>
              <w:spacing w:line="240" w:lineRule="auto"/>
              <w:jc w:val="center"/>
              <w:rPr>
                <w:rFonts w:cs="Arial"/>
                <w:color w:val="000000"/>
                <w:szCs w:val="18"/>
                <w:lang w:val="en-US"/>
              </w:rPr>
            </w:pPr>
            <w:r w:rsidRPr="0062758C">
              <w:rPr>
                <w:rFonts w:cs="Arial"/>
                <w:color w:val="000000"/>
                <w:szCs w:val="18"/>
              </w:rPr>
              <w:t>0.15</w:t>
            </w:r>
          </w:p>
        </w:tc>
      </w:tr>
      <w:tr w:rsidR="0062758C" w:rsidRPr="0062758C" w14:paraId="3043B0D8" w14:textId="77777777" w:rsidTr="00943BE7">
        <w:trPr>
          <w:trHeight w:val="144"/>
        </w:trPr>
        <w:tc>
          <w:tcPr>
            <w:tcW w:w="3780" w:type="dxa"/>
            <w:tcBorders>
              <w:top w:val="nil"/>
              <w:left w:val="nil"/>
              <w:bottom w:val="nil"/>
              <w:right w:val="nil"/>
            </w:tcBorders>
            <w:shd w:val="clear" w:color="000000" w:fill="FFFFFF"/>
            <w:vAlign w:val="center"/>
            <w:hideMark/>
          </w:tcPr>
          <w:p w14:paraId="31922A51" w14:textId="77777777" w:rsidR="0062758C" w:rsidRPr="0062758C" w:rsidRDefault="0062758C" w:rsidP="0062758C">
            <w:pPr>
              <w:tabs>
                <w:tab w:val="clear" w:pos="7100"/>
              </w:tabs>
              <w:spacing w:line="240" w:lineRule="auto"/>
              <w:jc w:val="left"/>
              <w:rPr>
                <w:rFonts w:cs="Arial"/>
                <w:color w:val="000000"/>
                <w:szCs w:val="18"/>
                <w:lang w:val="en-US"/>
              </w:rPr>
            </w:pPr>
            <w:r w:rsidRPr="0062758C">
              <w:rPr>
                <w:rFonts w:cs="Arial"/>
                <w:color w:val="000000"/>
                <w:szCs w:val="18"/>
              </w:rPr>
              <w:t>Inlet Composition C3H8</w:t>
            </w:r>
          </w:p>
        </w:tc>
        <w:tc>
          <w:tcPr>
            <w:tcW w:w="2430" w:type="dxa"/>
            <w:tcBorders>
              <w:top w:val="nil"/>
              <w:left w:val="nil"/>
              <w:bottom w:val="nil"/>
              <w:right w:val="nil"/>
            </w:tcBorders>
            <w:shd w:val="clear" w:color="000000" w:fill="FFFFFF"/>
            <w:vAlign w:val="center"/>
            <w:hideMark/>
          </w:tcPr>
          <w:p w14:paraId="4F6E2424" w14:textId="77777777" w:rsidR="0062758C" w:rsidRPr="0062758C" w:rsidRDefault="0062758C" w:rsidP="00477E14">
            <w:pPr>
              <w:tabs>
                <w:tab w:val="clear" w:pos="7100"/>
              </w:tabs>
              <w:spacing w:line="240" w:lineRule="auto"/>
              <w:jc w:val="center"/>
              <w:rPr>
                <w:rFonts w:cs="Arial"/>
                <w:color w:val="000000"/>
                <w:szCs w:val="18"/>
                <w:lang w:val="en-US"/>
              </w:rPr>
            </w:pPr>
            <w:r w:rsidRPr="0062758C">
              <w:rPr>
                <w:rFonts w:cs="Arial"/>
                <w:color w:val="000000"/>
                <w:szCs w:val="18"/>
              </w:rPr>
              <w:t>0.01</w:t>
            </w:r>
            <w:r w:rsidR="009575C4">
              <w:rPr>
                <w:rFonts w:cs="Arial"/>
                <w:color w:val="000000"/>
                <w:szCs w:val="18"/>
              </w:rPr>
              <w:t>5</w:t>
            </w:r>
          </w:p>
        </w:tc>
        <w:tc>
          <w:tcPr>
            <w:tcW w:w="2520" w:type="dxa"/>
            <w:tcBorders>
              <w:top w:val="nil"/>
              <w:left w:val="nil"/>
              <w:bottom w:val="nil"/>
              <w:right w:val="nil"/>
            </w:tcBorders>
            <w:shd w:val="clear" w:color="000000" w:fill="FFFFFF"/>
            <w:vAlign w:val="center"/>
            <w:hideMark/>
          </w:tcPr>
          <w:p w14:paraId="4F6D5431" w14:textId="77777777" w:rsidR="0062758C" w:rsidRPr="0062758C" w:rsidRDefault="0062758C" w:rsidP="0062758C">
            <w:pPr>
              <w:tabs>
                <w:tab w:val="clear" w:pos="7100"/>
              </w:tabs>
              <w:spacing w:line="240" w:lineRule="auto"/>
              <w:jc w:val="center"/>
              <w:rPr>
                <w:rFonts w:cs="Arial"/>
                <w:color w:val="000000"/>
                <w:szCs w:val="18"/>
                <w:lang w:val="en-US"/>
              </w:rPr>
            </w:pPr>
            <w:r w:rsidRPr="0062758C">
              <w:rPr>
                <w:rFonts w:cs="Arial"/>
                <w:color w:val="000000"/>
                <w:szCs w:val="18"/>
              </w:rPr>
              <w:t>0.075</w:t>
            </w:r>
          </w:p>
        </w:tc>
      </w:tr>
      <w:tr w:rsidR="0062758C" w:rsidRPr="0062758C" w14:paraId="03FABDFA" w14:textId="77777777" w:rsidTr="00943BE7">
        <w:trPr>
          <w:trHeight w:val="144"/>
        </w:trPr>
        <w:tc>
          <w:tcPr>
            <w:tcW w:w="3780" w:type="dxa"/>
            <w:tcBorders>
              <w:top w:val="nil"/>
              <w:left w:val="nil"/>
              <w:bottom w:val="nil"/>
              <w:right w:val="nil"/>
            </w:tcBorders>
            <w:shd w:val="clear" w:color="000000" w:fill="FFFFFF"/>
            <w:vAlign w:val="center"/>
            <w:hideMark/>
          </w:tcPr>
          <w:p w14:paraId="2FE42E87" w14:textId="77777777" w:rsidR="0062758C" w:rsidRPr="0062758C" w:rsidRDefault="0062758C" w:rsidP="0062758C">
            <w:pPr>
              <w:tabs>
                <w:tab w:val="clear" w:pos="7100"/>
              </w:tabs>
              <w:spacing w:line="240" w:lineRule="auto"/>
              <w:jc w:val="left"/>
              <w:rPr>
                <w:rFonts w:cs="Arial"/>
                <w:color w:val="000000"/>
                <w:szCs w:val="18"/>
                <w:lang w:val="en-US"/>
              </w:rPr>
            </w:pPr>
            <w:r w:rsidRPr="0062758C">
              <w:rPr>
                <w:rFonts w:cs="Arial"/>
                <w:color w:val="000000"/>
                <w:szCs w:val="18"/>
              </w:rPr>
              <w:t>Inlet Composition C4H10</w:t>
            </w:r>
          </w:p>
        </w:tc>
        <w:tc>
          <w:tcPr>
            <w:tcW w:w="2430" w:type="dxa"/>
            <w:tcBorders>
              <w:top w:val="nil"/>
              <w:left w:val="nil"/>
              <w:bottom w:val="nil"/>
              <w:right w:val="nil"/>
            </w:tcBorders>
            <w:shd w:val="clear" w:color="000000" w:fill="FFFFFF"/>
            <w:vAlign w:val="center"/>
            <w:hideMark/>
          </w:tcPr>
          <w:p w14:paraId="5FD9C5A3" w14:textId="77777777" w:rsidR="0062758C" w:rsidRPr="0062758C" w:rsidRDefault="0062758C" w:rsidP="00477E14">
            <w:pPr>
              <w:tabs>
                <w:tab w:val="clear" w:pos="7100"/>
              </w:tabs>
              <w:spacing w:line="240" w:lineRule="auto"/>
              <w:jc w:val="center"/>
              <w:rPr>
                <w:rFonts w:cs="Arial"/>
                <w:color w:val="000000"/>
                <w:szCs w:val="18"/>
                <w:lang w:val="en-US"/>
              </w:rPr>
            </w:pPr>
            <w:r w:rsidRPr="0062758C">
              <w:rPr>
                <w:rFonts w:cs="Arial"/>
                <w:color w:val="000000"/>
                <w:szCs w:val="18"/>
              </w:rPr>
              <w:t>0.0</w:t>
            </w:r>
            <w:r w:rsidR="009575C4">
              <w:rPr>
                <w:rFonts w:cs="Arial"/>
                <w:color w:val="000000"/>
                <w:szCs w:val="18"/>
              </w:rPr>
              <w:t>09</w:t>
            </w:r>
          </w:p>
        </w:tc>
        <w:tc>
          <w:tcPr>
            <w:tcW w:w="2520" w:type="dxa"/>
            <w:tcBorders>
              <w:top w:val="nil"/>
              <w:left w:val="nil"/>
              <w:bottom w:val="nil"/>
              <w:right w:val="nil"/>
            </w:tcBorders>
            <w:shd w:val="clear" w:color="000000" w:fill="FFFFFF"/>
            <w:vAlign w:val="center"/>
            <w:hideMark/>
          </w:tcPr>
          <w:p w14:paraId="407FDAD4" w14:textId="77777777" w:rsidR="0062758C" w:rsidRPr="0062758C" w:rsidRDefault="0062758C" w:rsidP="0062758C">
            <w:pPr>
              <w:tabs>
                <w:tab w:val="clear" w:pos="7100"/>
              </w:tabs>
              <w:spacing w:line="240" w:lineRule="auto"/>
              <w:jc w:val="center"/>
              <w:rPr>
                <w:rFonts w:cs="Arial"/>
                <w:color w:val="000000"/>
                <w:szCs w:val="18"/>
                <w:lang w:val="en-US"/>
              </w:rPr>
            </w:pPr>
            <w:r w:rsidRPr="0062758C">
              <w:rPr>
                <w:rFonts w:cs="Arial"/>
                <w:color w:val="000000"/>
                <w:szCs w:val="18"/>
              </w:rPr>
              <w:t>0.045</w:t>
            </w:r>
          </w:p>
        </w:tc>
      </w:tr>
      <w:tr w:rsidR="0062758C" w:rsidRPr="0062758C" w14:paraId="54ACED81" w14:textId="77777777" w:rsidTr="00943BE7">
        <w:trPr>
          <w:trHeight w:val="144"/>
        </w:trPr>
        <w:tc>
          <w:tcPr>
            <w:tcW w:w="3780" w:type="dxa"/>
            <w:tcBorders>
              <w:top w:val="nil"/>
              <w:left w:val="nil"/>
              <w:bottom w:val="nil"/>
              <w:right w:val="nil"/>
            </w:tcBorders>
            <w:shd w:val="clear" w:color="000000" w:fill="FFFFFF"/>
            <w:vAlign w:val="center"/>
            <w:hideMark/>
          </w:tcPr>
          <w:p w14:paraId="4556D3D2" w14:textId="77777777" w:rsidR="0062758C" w:rsidRPr="0062758C" w:rsidRDefault="0062758C" w:rsidP="0062758C">
            <w:pPr>
              <w:tabs>
                <w:tab w:val="clear" w:pos="7100"/>
              </w:tabs>
              <w:spacing w:line="240" w:lineRule="auto"/>
              <w:jc w:val="left"/>
              <w:rPr>
                <w:rFonts w:cs="Arial"/>
                <w:color w:val="000000"/>
                <w:szCs w:val="18"/>
                <w:lang w:val="en-US"/>
              </w:rPr>
            </w:pPr>
            <w:r w:rsidRPr="0062758C">
              <w:rPr>
                <w:rFonts w:cs="Arial"/>
                <w:color w:val="000000"/>
                <w:szCs w:val="18"/>
              </w:rPr>
              <w:t>Inlet Composition C5H12</w:t>
            </w:r>
          </w:p>
        </w:tc>
        <w:tc>
          <w:tcPr>
            <w:tcW w:w="2430" w:type="dxa"/>
            <w:tcBorders>
              <w:top w:val="nil"/>
              <w:left w:val="nil"/>
              <w:bottom w:val="nil"/>
              <w:right w:val="nil"/>
            </w:tcBorders>
            <w:shd w:val="clear" w:color="000000" w:fill="FFFFFF"/>
            <w:vAlign w:val="center"/>
            <w:hideMark/>
          </w:tcPr>
          <w:p w14:paraId="2F08FB61" w14:textId="77777777" w:rsidR="0062758C" w:rsidRPr="0062758C" w:rsidRDefault="0062758C" w:rsidP="00477E14">
            <w:pPr>
              <w:tabs>
                <w:tab w:val="clear" w:pos="7100"/>
              </w:tabs>
              <w:spacing w:line="240" w:lineRule="auto"/>
              <w:jc w:val="center"/>
              <w:rPr>
                <w:rFonts w:cs="Arial"/>
                <w:color w:val="000000"/>
                <w:szCs w:val="18"/>
                <w:lang w:val="en-US"/>
              </w:rPr>
            </w:pPr>
            <w:r w:rsidRPr="0062758C">
              <w:rPr>
                <w:rFonts w:cs="Arial"/>
                <w:color w:val="000000"/>
                <w:szCs w:val="18"/>
              </w:rPr>
              <w:t>0.00</w:t>
            </w:r>
            <w:r w:rsidR="009575C4">
              <w:rPr>
                <w:rFonts w:cs="Arial"/>
                <w:color w:val="000000"/>
                <w:szCs w:val="18"/>
              </w:rPr>
              <w:t>3</w:t>
            </w:r>
          </w:p>
        </w:tc>
        <w:tc>
          <w:tcPr>
            <w:tcW w:w="2520" w:type="dxa"/>
            <w:tcBorders>
              <w:top w:val="nil"/>
              <w:left w:val="nil"/>
              <w:bottom w:val="nil"/>
              <w:right w:val="nil"/>
            </w:tcBorders>
            <w:shd w:val="clear" w:color="000000" w:fill="FFFFFF"/>
            <w:vAlign w:val="center"/>
            <w:hideMark/>
          </w:tcPr>
          <w:p w14:paraId="06A074C9" w14:textId="77777777" w:rsidR="0062758C" w:rsidRPr="0062758C" w:rsidRDefault="0062758C" w:rsidP="0062758C">
            <w:pPr>
              <w:tabs>
                <w:tab w:val="clear" w:pos="7100"/>
              </w:tabs>
              <w:spacing w:line="240" w:lineRule="auto"/>
              <w:jc w:val="center"/>
              <w:rPr>
                <w:rFonts w:cs="Arial"/>
                <w:color w:val="000000"/>
                <w:szCs w:val="18"/>
                <w:lang w:val="en-US"/>
              </w:rPr>
            </w:pPr>
            <w:r w:rsidRPr="0062758C">
              <w:rPr>
                <w:rFonts w:cs="Arial"/>
                <w:color w:val="000000"/>
                <w:szCs w:val="18"/>
              </w:rPr>
              <w:t>0.015</w:t>
            </w:r>
          </w:p>
        </w:tc>
      </w:tr>
      <w:tr w:rsidR="0062758C" w:rsidRPr="0062758C" w14:paraId="34B1B11A" w14:textId="77777777" w:rsidTr="00943BE7">
        <w:trPr>
          <w:trHeight w:val="144"/>
        </w:trPr>
        <w:tc>
          <w:tcPr>
            <w:tcW w:w="3780" w:type="dxa"/>
            <w:tcBorders>
              <w:top w:val="nil"/>
              <w:left w:val="nil"/>
              <w:bottom w:val="nil"/>
              <w:right w:val="nil"/>
            </w:tcBorders>
            <w:shd w:val="clear" w:color="000000" w:fill="FFFFFF"/>
            <w:vAlign w:val="center"/>
            <w:hideMark/>
          </w:tcPr>
          <w:p w14:paraId="09204755" w14:textId="77777777" w:rsidR="0062758C" w:rsidRPr="0062758C" w:rsidRDefault="0062758C" w:rsidP="0062758C">
            <w:pPr>
              <w:tabs>
                <w:tab w:val="clear" w:pos="7100"/>
              </w:tabs>
              <w:spacing w:line="240" w:lineRule="auto"/>
              <w:jc w:val="left"/>
              <w:rPr>
                <w:rFonts w:cs="Arial"/>
                <w:color w:val="000000"/>
                <w:szCs w:val="18"/>
                <w:lang w:val="en-US"/>
              </w:rPr>
            </w:pPr>
            <w:r w:rsidRPr="0062758C">
              <w:rPr>
                <w:rFonts w:cs="Arial"/>
                <w:color w:val="000000"/>
                <w:szCs w:val="18"/>
              </w:rPr>
              <w:t>Inlet Composition C6H14</w:t>
            </w:r>
          </w:p>
        </w:tc>
        <w:tc>
          <w:tcPr>
            <w:tcW w:w="2430" w:type="dxa"/>
            <w:tcBorders>
              <w:top w:val="nil"/>
              <w:left w:val="nil"/>
              <w:bottom w:val="nil"/>
              <w:right w:val="nil"/>
            </w:tcBorders>
            <w:shd w:val="clear" w:color="000000" w:fill="FFFFFF"/>
            <w:vAlign w:val="center"/>
            <w:hideMark/>
          </w:tcPr>
          <w:p w14:paraId="365D36B6" w14:textId="77777777" w:rsidR="0062758C" w:rsidRPr="0062758C" w:rsidRDefault="0062758C" w:rsidP="00477E14">
            <w:pPr>
              <w:tabs>
                <w:tab w:val="clear" w:pos="7100"/>
              </w:tabs>
              <w:spacing w:line="240" w:lineRule="auto"/>
              <w:jc w:val="center"/>
              <w:rPr>
                <w:rFonts w:cs="Arial"/>
                <w:color w:val="000000"/>
                <w:szCs w:val="18"/>
                <w:lang w:val="en-US"/>
              </w:rPr>
            </w:pPr>
            <w:r w:rsidRPr="0062758C">
              <w:rPr>
                <w:rFonts w:cs="Arial"/>
                <w:color w:val="000000"/>
                <w:szCs w:val="18"/>
              </w:rPr>
              <w:t>0.00</w:t>
            </w:r>
            <w:r w:rsidR="009575C4">
              <w:rPr>
                <w:rFonts w:cs="Arial"/>
                <w:color w:val="000000"/>
                <w:szCs w:val="18"/>
              </w:rPr>
              <w:t>3</w:t>
            </w:r>
          </w:p>
        </w:tc>
        <w:tc>
          <w:tcPr>
            <w:tcW w:w="2520" w:type="dxa"/>
            <w:tcBorders>
              <w:top w:val="nil"/>
              <w:left w:val="nil"/>
              <w:bottom w:val="nil"/>
              <w:right w:val="nil"/>
            </w:tcBorders>
            <w:shd w:val="clear" w:color="000000" w:fill="FFFFFF"/>
            <w:vAlign w:val="center"/>
            <w:hideMark/>
          </w:tcPr>
          <w:p w14:paraId="3108ABC0" w14:textId="77777777" w:rsidR="0062758C" w:rsidRPr="0062758C" w:rsidRDefault="0062758C" w:rsidP="0062758C">
            <w:pPr>
              <w:tabs>
                <w:tab w:val="clear" w:pos="7100"/>
              </w:tabs>
              <w:spacing w:line="240" w:lineRule="auto"/>
              <w:jc w:val="center"/>
              <w:rPr>
                <w:rFonts w:cs="Arial"/>
                <w:color w:val="000000"/>
                <w:szCs w:val="18"/>
                <w:lang w:val="en-US"/>
              </w:rPr>
            </w:pPr>
            <w:r w:rsidRPr="0062758C">
              <w:rPr>
                <w:rFonts w:cs="Arial"/>
                <w:color w:val="000000"/>
                <w:szCs w:val="18"/>
              </w:rPr>
              <w:t>0.015</w:t>
            </w:r>
          </w:p>
        </w:tc>
      </w:tr>
      <w:tr w:rsidR="0062758C" w:rsidRPr="0062758C" w14:paraId="46683A8E" w14:textId="77777777" w:rsidTr="00943BE7">
        <w:trPr>
          <w:trHeight w:val="144"/>
        </w:trPr>
        <w:tc>
          <w:tcPr>
            <w:tcW w:w="3780" w:type="dxa"/>
            <w:tcBorders>
              <w:top w:val="nil"/>
              <w:left w:val="nil"/>
              <w:bottom w:val="nil"/>
              <w:right w:val="nil"/>
            </w:tcBorders>
            <w:shd w:val="clear" w:color="000000" w:fill="FFFFFF"/>
            <w:vAlign w:val="center"/>
            <w:hideMark/>
          </w:tcPr>
          <w:p w14:paraId="1FE40FCF" w14:textId="77777777" w:rsidR="0062758C" w:rsidRPr="0062758C" w:rsidRDefault="0062758C" w:rsidP="0062758C">
            <w:pPr>
              <w:tabs>
                <w:tab w:val="clear" w:pos="7100"/>
              </w:tabs>
              <w:spacing w:line="240" w:lineRule="auto"/>
              <w:jc w:val="left"/>
              <w:rPr>
                <w:rFonts w:cs="Arial"/>
                <w:color w:val="000000"/>
                <w:szCs w:val="18"/>
                <w:lang w:val="en-US"/>
              </w:rPr>
            </w:pPr>
            <w:r w:rsidRPr="0062758C">
              <w:rPr>
                <w:rFonts w:cs="Arial"/>
                <w:color w:val="000000"/>
                <w:szCs w:val="18"/>
              </w:rPr>
              <w:t>Residue Gas Pressure</w:t>
            </w:r>
          </w:p>
        </w:tc>
        <w:tc>
          <w:tcPr>
            <w:tcW w:w="2430" w:type="dxa"/>
            <w:tcBorders>
              <w:top w:val="nil"/>
              <w:left w:val="nil"/>
              <w:bottom w:val="nil"/>
              <w:right w:val="nil"/>
            </w:tcBorders>
            <w:shd w:val="clear" w:color="000000" w:fill="FFFFFF"/>
            <w:vAlign w:val="center"/>
            <w:hideMark/>
          </w:tcPr>
          <w:p w14:paraId="0B3F381E" w14:textId="77777777" w:rsidR="0062758C" w:rsidRPr="0062758C" w:rsidRDefault="0062758C" w:rsidP="0062758C">
            <w:pPr>
              <w:tabs>
                <w:tab w:val="clear" w:pos="7100"/>
              </w:tabs>
              <w:spacing w:line="240" w:lineRule="auto"/>
              <w:jc w:val="center"/>
              <w:rPr>
                <w:rFonts w:cs="Arial"/>
                <w:color w:val="000000"/>
                <w:szCs w:val="18"/>
                <w:lang w:val="en-US"/>
              </w:rPr>
            </w:pPr>
            <w:r w:rsidRPr="0062758C">
              <w:rPr>
                <w:rFonts w:cs="Arial"/>
                <w:color w:val="000000"/>
                <w:szCs w:val="18"/>
              </w:rPr>
              <w:t>4000 kPa</w:t>
            </w:r>
          </w:p>
        </w:tc>
        <w:tc>
          <w:tcPr>
            <w:tcW w:w="2520" w:type="dxa"/>
            <w:tcBorders>
              <w:top w:val="nil"/>
              <w:left w:val="nil"/>
              <w:bottom w:val="nil"/>
              <w:right w:val="nil"/>
            </w:tcBorders>
            <w:shd w:val="clear" w:color="000000" w:fill="FFFFFF"/>
            <w:vAlign w:val="center"/>
            <w:hideMark/>
          </w:tcPr>
          <w:p w14:paraId="1358880E" w14:textId="77777777" w:rsidR="0062758C" w:rsidRPr="0062758C" w:rsidRDefault="0062758C" w:rsidP="0062758C">
            <w:pPr>
              <w:tabs>
                <w:tab w:val="clear" w:pos="7100"/>
              </w:tabs>
              <w:spacing w:line="240" w:lineRule="auto"/>
              <w:jc w:val="center"/>
              <w:rPr>
                <w:rFonts w:cs="Arial"/>
                <w:color w:val="000000"/>
                <w:szCs w:val="18"/>
                <w:lang w:val="en-US"/>
              </w:rPr>
            </w:pPr>
            <w:r w:rsidRPr="0062758C">
              <w:rPr>
                <w:rFonts w:cs="Arial"/>
                <w:color w:val="000000"/>
                <w:szCs w:val="18"/>
              </w:rPr>
              <w:t>4000 kPa</w:t>
            </w:r>
          </w:p>
        </w:tc>
      </w:tr>
      <w:tr w:rsidR="0062758C" w:rsidRPr="0062758C" w14:paraId="74D075C7" w14:textId="77777777" w:rsidTr="00943BE7">
        <w:trPr>
          <w:trHeight w:val="144"/>
        </w:trPr>
        <w:tc>
          <w:tcPr>
            <w:tcW w:w="3780" w:type="dxa"/>
            <w:tcBorders>
              <w:top w:val="nil"/>
              <w:left w:val="nil"/>
              <w:bottom w:val="nil"/>
              <w:right w:val="nil"/>
            </w:tcBorders>
            <w:shd w:val="clear" w:color="000000" w:fill="FFFFFF"/>
            <w:vAlign w:val="center"/>
            <w:hideMark/>
          </w:tcPr>
          <w:p w14:paraId="279B3FA4" w14:textId="77777777" w:rsidR="0062758C" w:rsidRPr="0062758C" w:rsidRDefault="0062758C" w:rsidP="0062758C">
            <w:pPr>
              <w:tabs>
                <w:tab w:val="clear" w:pos="7100"/>
              </w:tabs>
              <w:spacing w:line="240" w:lineRule="auto"/>
              <w:jc w:val="left"/>
              <w:rPr>
                <w:rFonts w:cs="Arial"/>
                <w:color w:val="000000"/>
                <w:szCs w:val="18"/>
                <w:lang w:val="en-US"/>
              </w:rPr>
            </w:pPr>
            <w:r w:rsidRPr="0062758C">
              <w:rPr>
                <w:rFonts w:cs="Arial"/>
                <w:color w:val="000000"/>
                <w:szCs w:val="18"/>
              </w:rPr>
              <w:t xml:space="preserve">NGL Pressure                                    </w:t>
            </w:r>
          </w:p>
        </w:tc>
        <w:tc>
          <w:tcPr>
            <w:tcW w:w="2430" w:type="dxa"/>
            <w:tcBorders>
              <w:top w:val="nil"/>
              <w:left w:val="nil"/>
              <w:bottom w:val="nil"/>
              <w:right w:val="nil"/>
            </w:tcBorders>
            <w:shd w:val="clear" w:color="000000" w:fill="FFFFFF"/>
            <w:vAlign w:val="center"/>
            <w:hideMark/>
          </w:tcPr>
          <w:p w14:paraId="09E53931" w14:textId="77777777" w:rsidR="0062758C" w:rsidRPr="0062758C" w:rsidRDefault="0062758C" w:rsidP="0062758C">
            <w:pPr>
              <w:tabs>
                <w:tab w:val="clear" w:pos="7100"/>
              </w:tabs>
              <w:spacing w:line="240" w:lineRule="auto"/>
              <w:jc w:val="center"/>
              <w:rPr>
                <w:rFonts w:cs="Arial"/>
                <w:color w:val="000000"/>
                <w:szCs w:val="18"/>
                <w:lang w:val="en-US"/>
              </w:rPr>
            </w:pPr>
            <w:r w:rsidRPr="0062758C">
              <w:rPr>
                <w:rFonts w:cs="Arial"/>
                <w:color w:val="000000"/>
                <w:szCs w:val="18"/>
              </w:rPr>
              <w:t>1450 kPa</w:t>
            </w:r>
          </w:p>
        </w:tc>
        <w:tc>
          <w:tcPr>
            <w:tcW w:w="2520" w:type="dxa"/>
            <w:tcBorders>
              <w:top w:val="nil"/>
              <w:left w:val="nil"/>
              <w:bottom w:val="nil"/>
              <w:right w:val="nil"/>
            </w:tcBorders>
            <w:shd w:val="clear" w:color="000000" w:fill="FFFFFF"/>
            <w:vAlign w:val="center"/>
            <w:hideMark/>
          </w:tcPr>
          <w:p w14:paraId="39CFD2A2" w14:textId="77777777" w:rsidR="0062758C" w:rsidRPr="0062758C" w:rsidRDefault="0062758C" w:rsidP="0062758C">
            <w:pPr>
              <w:tabs>
                <w:tab w:val="clear" w:pos="7100"/>
              </w:tabs>
              <w:spacing w:line="240" w:lineRule="auto"/>
              <w:jc w:val="center"/>
              <w:rPr>
                <w:rFonts w:cs="Arial"/>
                <w:color w:val="000000"/>
                <w:szCs w:val="18"/>
                <w:lang w:val="en-US"/>
              </w:rPr>
            </w:pPr>
            <w:r w:rsidRPr="0062758C">
              <w:rPr>
                <w:rFonts w:cs="Arial"/>
                <w:color w:val="000000"/>
                <w:szCs w:val="18"/>
              </w:rPr>
              <w:t>1450 kPa</w:t>
            </w:r>
          </w:p>
        </w:tc>
      </w:tr>
      <w:tr w:rsidR="0062758C" w:rsidRPr="0062758C" w14:paraId="5194D677" w14:textId="77777777" w:rsidTr="00943BE7">
        <w:trPr>
          <w:trHeight w:val="144"/>
        </w:trPr>
        <w:tc>
          <w:tcPr>
            <w:tcW w:w="3780" w:type="dxa"/>
            <w:tcBorders>
              <w:top w:val="nil"/>
              <w:left w:val="nil"/>
              <w:bottom w:val="single" w:sz="12" w:space="0" w:color="008000"/>
              <w:right w:val="nil"/>
            </w:tcBorders>
            <w:shd w:val="clear" w:color="000000" w:fill="FFFFFF"/>
            <w:vAlign w:val="center"/>
            <w:hideMark/>
          </w:tcPr>
          <w:p w14:paraId="7C4346D4" w14:textId="77777777" w:rsidR="0062758C" w:rsidRPr="0062758C" w:rsidRDefault="0062758C" w:rsidP="0062758C">
            <w:pPr>
              <w:tabs>
                <w:tab w:val="clear" w:pos="7100"/>
              </w:tabs>
              <w:spacing w:line="240" w:lineRule="auto"/>
              <w:jc w:val="left"/>
              <w:rPr>
                <w:rFonts w:cs="Arial"/>
                <w:color w:val="000000"/>
                <w:szCs w:val="18"/>
                <w:lang w:val="en-US"/>
              </w:rPr>
            </w:pPr>
            <w:r w:rsidRPr="0062758C">
              <w:rPr>
                <w:rFonts w:cs="Arial"/>
                <w:color w:val="000000"/>
                <w:szCs w:val="18"/>
              </w:rPr>
              <w:t xml:space="preserve">Efficiency </w:t>
            </w:r>
            <w:r>
              <w:rPr>
                <w:rFonts w:cs="Arial"/>
                <w:color w:val="000000"/>
                <w:szCs w:val="18"/>
              </w:rPr>
              <w:t>of</w:t>
            </w:r>
            <w:r w:rsidRPr="0062758C">
              <w:rPr>
                <w:rFonts w:cs="Arial"/>
                <w:color w:val="000000"/>
                <w:szCs w:val="18"/>
              </w:rPr>
              <w:t xml:space="preserve"> compressors </w:t>
            </w:r>
            <w:r>
              <w:rPr>
                <w:rFonts w:cs="Arial"/>
                <w:color w:val="000000"/>
                <w:szCs w:val="18"/>
              </w:rPr>
              <w:t>&amp;</w:t>
            </w:r>
            <w:r w:rsidRPr="0062758C">
              <w:rPr>
                <w:rFonts w:cs="Arial"/>
                <w:color w:val="000000"/>
                <w:szCs w:val="18"/>
              </w:rPr>
              <w:t xml:space="preserve"> </w:t>
            </w:r>
            <w:r w:rsidR="006D06BC" w:rsidRPr="0062758C">
              <w:rPr>
                <w:rFonts w:cs="Arial"/>
                <w:color w:val="000000"/>
                <w:szCs w:val="18"/>
              </w:rPr>
              <w:t>turboexpa</w:t>
            </w:r>
            <w:r w:rsidR="006D06BC">
              <w:rPr>
                <w:rFonts w:cs="Arial"/>
                <w:color w:val="000000"/>
                <w:szCs w:val="18"/>
              </w:rPr>
              <w:t>der</w:t>
            </w:r>
            <w:r w:rsidR="006D06BC" w:rsidRPr="0062758C">
              <w:rPr>
                <w:rFonts w:cs="Arial"/>
                <w:color w:val="000000"/>
                <w:szCs w:val="18"/>
              </w:rPr>
              <w:t xml:space="preserve"> </w:t>
            </w:r>
          </w:p>
        </w:tc>
        <w:tc>
          <w:tcPr>
            <w:tcW w:w="2430" w:type="dxa"/>
            <w:tcBorders>
              <w:top w:val="nil"/>
              <w:left w:val="nil"/>
              <w:bottom w:val="single" w:sz="12" w:space="0" w:color="008000"/>
              <w:right w:val="nil"/>
            </w:tcBorders>
            <w:shd w:val="clear" w:color="000000" w:fill="FFFFFF"/>
            <w:vAlign w:val="center"/>
            <w:hideMark/>
          </w:tcPr>
          <w:p w14:paraId="3C0136D1" w14:textId="77777777" w:rsidR="0062758C" w:rsidRPr="0062758C" w:rsidRDefault="0062758C" w:rsidP="0062758C">
            <w:pPr>
              <w:tabs>
                <w:tab w:val="clear" w:pos="7100"/>
              </w:tabs>
              <w:spacing w:line="240" w:lineRule="auto"/>
              <w:jc w:val="center"/>
              <w:rPr>
                <w:rFonts w:cs="Arial"/>
                <w:color w:val="000000"/>
                <w:szCs w:val="18"/>
                <w:lang w:val="en-US"/>
              </w:rPr>
            </w:pPr>
            <w:r w:rsidRPr="0062758C">
              <w:rPr>
                <w:rFonts w:cs="Arial"/>
                <w:color w:val="000000"/>
                <w:szCs w:val="18"/>
              </w:rPr>
              <w:t>75%</w:t>
            </w:r>
          </w:p>
        </w:tc>
        <w:tc>
          <w:tcPr>
            <w:tcW w:w="2520" w:type="dxa"/>
            <w:tcBorders>
              <w:top w:val="nil"/>
              <w:left w:val="nil"/>
              <w:bottom w:val="single" w:sz="12" w:space="0" w:color="008000"/>
              <w:right w:val="nil"/>
            </w:tcBorders>
            <w:shd w:val="clear" w:color="000000" w:fill="FFFFFF"/>
            <w:vAlign w:val="center"/>
            <w:hideMark/>
          </w:tcPr>
          <w:p w14:paraId="15A0B6E3" w14:textId="77777777" w:rsidR="0062758C" w:rsidRPr="0062758C" w:rsidRDefault="0062758C" w:rsidP="0062758C">
            <w:pPr>
              <w:tabs>
                <w:tab w:val="clear" w:pos="7100"/>
              </w:tabs>
              <w:spacing w:line="240" w:lineRule="auto"/>
              <w:jc w:val="center"/>
              <w:rPr>
                <w:rFonts w:cs="Arial"/>
                <w:color w:val="000000"/>
                <w:szCs w:val="18"/>
                <w:lang w:val="en-US"/>
              </w:rPr>
            </w:pPr>
            <w:r w:rsidRPr="0062758C">
              <w:rPr>
                <w:rFonts w:cs="Arial"/>
                <w:color w:val="000000"/>
                <w:szCs w:val="18"/>
              </w:rPr>
              <w:t>75%</w:t>
            </w:r>
          </w:p>
        </w:tc>
      </w:tr>
    </w:tbl>
    <w:p w14:paraId="55F46F51" w14:textId="77777777" w:rsidR="00AB5011" w:rsidRDefault="00580598" w:rsidP="00631ACA">
      <w:pPr>
        <w:pStyle w:val="CETHeading1"/>
      </w:pPr>
      <w:r>
        <w:t>Optimization Environment</w:t>
      </w:r>
    </w:p>
    <w:p w14:paraId="1D5F5955" w14:textId="77777777" w:rsidR="00580598" w:rsidRPr="00B57B36" w:rsidRDefault="00580598" w:rsidP="00580598">
      <w:pPr>
        <w:pStyle w:val="CETheadingx"/>
      </w:pPr>
      <w:bookmarkStart w:id="4" w:name="OLE_LINK4"/>
      <w:bookmarkStart w:id="5" w:name="OLE_LINK5"/>
      <w:r>
        <w:t>Differential Evolution Algorithm</w:t>
      </w:r>
    </w:p>
    <w:bookmarkEnd w:id="4"/>
    <w:bookmarkEnd w:id="5"/>
    <w:p w14:paraId="6DF2E2B9" w14:textId="77777777" w:rsidR="00200F0C" w:rsidRPr="001D38DB" w:rsidRDefault="00231B20" w:rsidP="00406E17">
      <w:pPr>
        <w:pStyle w:val="CETBodytext"/>
        <w:rPr>
          <w:rFonts w:cs="Arial"/>
        </w:rPr>
      </w:pPr>
      <w:r w:rsidRPr="00C23B39">
        <w:rPr>
          <w:rFonts w:cs="Arial"/>
        </w:rPr>
        <w:t>The</w:t>
      </w:r>
      <w:r w:rsidR="00781D8E" w:rsidRPr="00C23B39">
        <w:rPr>
          <w:rFonts w:cs="Arial"/>
        </w:rPr>
        <w:t xml:space="preserve"> differential evolution</w:t>
      </w:r>
      <w:r w:rsidRPr="00F75AD1">
        <w:rPr>
          <w:rFonts w:cs="Arial"/>
        </w:rPr>
        <w:t xml:space="preserve"> </w:t>
      </w:r>
      <w:r w:rsidR="00781D8E" w:rsidRPr="00F75AD1">
        <w:rPr>
          <w:rFonts w:cs="Arial"/>
        </w:rPr>
        <w:t>(</w:t>
      </w:r>
      <w:r w:rsidRPr="001D38DB">
        <w:rPr>
          <w:rFonts w:cs="Arial"/>
        </w:rPr>
        <w:t>DE</w:t>
      </w:r>
      <w:r w:rsidR="00781D8E" w:rsidRPr="001D38DB">
        <w:rPr>
          <w:rFonts w:cs="Arial"/>
        </w:rPr>
        <w:t>) algorithm</w:t>
      </w:r>
      <w:r w:rsidRPr="001D38DB">
        <w:rPr>
          <w:rFonts w:cs="Arial"/>
        </w:rPr>
        <w:t xml:space="preserve">, developed by </w:t>
      </w:r>
      <w:proofErr w:type="spellStart"/>
      <w:r w:rsidRPr="001D38DB">
        <w:rPr>
          <w:rFonts w:cs="Arial"/>
        </w:rPr>
        <w:t>Storn</w:t>
      </w:r>
      <w:proofErr w:type="spellEnd"/>
      <w:r w:rsidRPr="001D38DB">
        <w:rPr>
          <w:rFonts w:cs="Arial"/>
        </w:rPr>
        <w:t xml:space="preserve"> </w:t>
      </w:r>
      <w:r w:rsidR="00E97A6C" w:rsidRPr="001D38DB">
        <w:rPr>
          <w:rFonts w:cs="Arial"/>
        </w:rPr>
        <w:t>and</w:t>
      </w:r>
      <w:r w:rsidRPr="001D38DB">
        <w:rPr>
          <w:rFonts w:cs="Arial"/>
        </w:rPr>
        <w:t xml:space="preserve"> Price (1997), is a heuristic optimization </w:t>
      </w:r>
      <w:r w:rsidR="00781D8E" w:rsidRPr="001D38DB">
        <w:rPr>
          <w:rFonts w:cs="Arial"/>
        </w:rPr>
        <w:t xml:space="preserve">strategy </w:t>
      </w:r>
      <w:r w:rsidR="00E97A6C" w:rsidRPr="001D38DB">
        <w:rPr>
          <w:rFonts w:cs="Arial"/>
        </w:rPr>
        <w:t xml:space="preserve">suitable for </w:t>
      </w:r>
      <w:r w:rsidRPr="001D38DB">
        <w:rPr>
          <w:rFonts w:cs="Arial"/>
        </w:rPr>
        <w:t>nonlinear and non-differentiable problems</w:t>
      </w:r>
      <w:r w:rsidR="00E97A6C" w:rsidRPr="001D38DB">
        <w:rPr>
          <w:rFonts w:cs="Arial"/>
        </w:rPr>
        <w:t xml:space="preserve"> </w:t>
      </w:r>
      <w:r w:rsidR="00200F0C" w:rsidRPr="001D38DB">
        <w:rPr>
          <w:rFonts w:cs="Arial"/>
        </w:rPr>
        <w:t>similar to</w:t>
      </w:r>
      <w:r w:rsidR="00E97A6C" w:rsidRPr="001D38DB">
        <w:rPr>
          <w:rFonts w:cs="Arial"/>
        </w:rPr>
        <w:t xml:space="preserve"> the optimization of the conventional NGL recovery unit</w:t>
      </w:r>
      <w:r w:rsidRPr="001D38DB">
        <w:rPr>
          <w:rFonts w:cs="Arial"/>
        </w:rPr>
        <w:t xml:space="preserve">. </w:t>
      </w:r>
      <w:r w:rsidR="00E97A6C" w:rsidRPr="001D38DB">
        <w:rPr>
          <w:rFonts w:cs="Arial"/>
        </w:rPr>
        <w:t>Its</w:t>
      </w:r>
      <w:r w:rsidRPr="001D38DB">
        <w:rPr>
          <w:rFonts w:cs="Arial"/>
        </w:rPr>
        <w:t xml:space="preserve"> simple implementation, speed and robustness makes it applicable for</w:t>
      </w:r>
      <w:r w:rsidR="00E97A6C" w:rsidRPr="001D38DB">
        <w:rPr>
          <w:rFonts w:cs="Arial"/>
        </w:rPr>
        <w:t xml:space="preserve"> </w:t>
      </w:r>
      <w:r w:rsidR="006D4C28" w:rsidRPr="001D38DB">
        <w:rPr>
          <w:rFonts w:cs="Arial"/>
        </w:rPr>
        <w:t>high-resolution models</w:t>
      </w:r>
      <w:r w:rsidRPr="001D38DB">
        <w:rPr>
          <w:rFonts w:cs="Arial"/>
        </w:rPr>
        <w:t>.</w:t>
      </w:r>
      <w:r w:rsidR="00E97A6C" w:rsidRPr="001D38DB">
        <w:rPr>
          <w:rFonts w:cs="Arial"/>
        </w:rPr>
        <w:t xml:space="preserve"> </w:t>
      </w:r>
      <w:r w:rsidR="00200F0C" w:rsidRPr="001D38DB">
        <w:rPr>
          <w:rFonts w:cs="Arial"/>
        </w:rPr>
        <w:t>T</w:t>
      </w:r>
      <w:r w:rsidRPr="001D38DB">
        <w:rPr>
          <w:rFonts w:cs="Arial"/>
        </w:rPr>
        <w:t xml:space="preserve">he DE has </w:t>
      </w:r>
      <w:r w:rsidR="00781D8E" w:rsidRPr="001D38DB">
        <w:rPr>
          <w:rFonts w:cs="Arial"/>
        </w:rPr>
        <w:t xml:space="preserve">demonstrated </w:t>
      </w:r>
      <w:r w:rsidRPr="001D38DB">
        <w:rPr>
          <w:rFonts w:cs="Arial"/>
        </w:rPr>
        <w:t>proficiency when compared with other heuristic</w:t>
      </w:r>
      <w:r w:rsidR="00E97A6C" w:rsidRPr="001D38DB">
        <w:rPr>
          <w:rFonts w:cs="Arial"/>
        </w:rPr>
        <w:t>s</w:t>
      </w:r>
      <w:r w:rsidRPr="001D38DB">
        <w:rPr>
          <w:rFonts w:cs="Arial"/>
        </w:rPr>
        <w:t xml:space="preserve"> (Salas et al</w:t>
      </w:r>
      <w:r w:rsidR="00BE4D59" w:rsidRPr="001D38DB">
        <w:rPr>
          <w:rFonts w:cs="Arial"/>
        </w:rPr>
        <w:t>., 2018</w:t>
      </w:r>
      <w:r w:rsidRPr="001D38DB">
        <w:rPr>
          <w:rFonts w:cs="Arial"/>
        </w:rPr>
        <w:t xml:space="preserve">). </w:t>
      </w:r>
      <w:r w:rsidR="00200F0C" w:rsidRPr="001D38DB">
        <w:rPr>
          <w:rFonts w:cs="Arial"/>
        </w:rPr>
        <w:t>T</w:t>
      </w:r>
      <w:r w:rsidRPr="001D38DB">
        <w:rPr>
          <w:rFonts w:cs="Arial"/>
        </w:rPr>
        <w:t xml:space="preserve">he DE involves the evolution of a population of solutions using operators </w:t>
      </w:r>
      <w:r w:rsidR="006D4C28" w:rsidRPr="001D38DB">
        <w:rPr>
          <w:rFonts w:cs="Arial"/>
        </w:rPr>
        <w:t>such as</w:t>
      </w:r>
      <w:r w:rsidRPr="001D38DB">
        <w:rPr>
          <w:rFonts w:cs="Arial"/>
        </w:rPr>
        <w:t xml:space="preserve"> mutation, crossover</w:t>
      </w:r>
      <w:r w:rsidR="00781D8E" w:rsidRPr="001D38DB">
        <w:rPr>
          <w:rFonts w:cs="Arial"/>
        </w:rPr>
        <w:t>,</w:t>
      </w:r>
      <w:r w:rsidRPr="001D38DB">
        <w:rPr>
          <w:rFonts w:cs="Arial"/>
        </w:rPr>
        <w:t xml:space="preserve"> and selection. The initial population follows a uniform distribution over the solution domain. Each solution vector</w:t>
      </w:r>
      <w:r w:rsidR="00781D8E" w:rsidRPr="001D38DB">
        <w:rPr>
          <w:rFonts w:cs="Arial"/>
        </w:rPr>
        <w:t>,</w:t>
      </w:r>
      <w:r w:rsidRPr="001D38DB">
        <w:rPr>
          <w:rFonts w:cs="Arial"/>
        </w:rPr>
        <w:t xml:space="preserve"> in the population</w:t>
      </w:r>
      <w:r w:rsidR="00781D8E" w:rsidRPr="001D38DB">
        <w:rPr>
          <w:rFonts w:cs="Arial"/>
        </w:rPr>
        <w:t>,</w:t>
      </w:r>
      <w:r w:rsidRPr="001D38DB">
        <w:rPr>
          <w:rFonts w:cs="Arial"/>
        </w:rPr>
        <w:t xml:space="preserve"> is the target vector in one generation. For each target vector, the mutation operator generates a new parameter vector </w:t>
      </w:r>
      <w:r w:rsidR="00200F0C" w:rsidRPr="001D38DB">
        <w:rPr>
          <w:rFonts w:cs="Arial"/>
        </w:rPr>
        <w:t>referred as</w:t>
      </w:r>
      <w:r w:rsidRPr="001D38DB">
        <w:rPr>
          <w:rFonts w:cs="Arial"/>
        </w:rPr>
        <w:t xml:space="preserve"> the mutated vector by adding a weighted difference between two population vectors to a third vector. These three vectors are selected randomly and must differ from the target. A scaling factor </w:t>
      </w:r>
      <m:oMath>
        <m:r>
          <m:rPr>
            <m:sty m:val="p"/>
          </m:rPr>
          <w:rPr>
            <w:rFonts w:ascii="Cambria Math" w:hAnsi="Cambria Math" w:cs="Arial"/>
          </w:rPr>
          <m:t>β</m:t>
        </m:r>
      </m:oMath>
      <w:r w:rsidRPr="001D38DB">
        <w:rPr>
          <w:rFonts w:cs="Arial"/>
        </w:rPr>
        <w:t xml:space="preserve"> controls the amplification of the differential variation between the second and the third randomly chosen vectors. Selecting </w:t>
      </w:r>
      <m:oMath>
        <m:r>
          <m:rPr>
            <m:sty m:val="p"/>
          </m:rPr>
          <w:rPr>
            <w:rFonts w:ascii="Cambria Math" w:hAnsi="Cambria Math" w:cs="Arial"/>
          </w:rPr>
          <m:t>β</m:t>
        </m:r>
      </m:oMath>
      <w:r w:rsidRPr="001D38DB">
        <w:rPr>
          <w:rFonts w:cs="Arial"/>
        </w:rPr>
        <w:t xml:space="preserve"> randomly improves convergence</w:t>
      </w:r>
      <w:r w:rsidR="006D4C28" w:rsidRPr="001D38DB">
        <w:rPr>
          <w:rFonts w:cs="Arial"/>
        </w:rPr>
        <w:t>,</w:t>
      </w:r>
      <w:r w:rsidRPr="001D38DB">
        <w:rPr>
          <w:rFonts w:cs="Arial"/>
        </w:rPr>
        <w:t xml:space="preserve"> especially for noisy objective functions (Price et al., 2006). </w:t>
      </w:r>
      <w:r w:rsidR="00781D8E" w:rsidRPr="001D38DB">
        <w:rPr>
          <w:rFonts w:cs="Arial"/>
        </w:rPr>
        <w:t xml:space="preserve">In the </w:t>
      </w:r>
      <w:r w:rsidRPr="001D38DB">
        <w:rPr>
          <w:rFonts w:cs="Arial"/>
        </w:rPr>
        <w:t xml:space="preserve">crossover, a uniform arrangement builds trial vectors from values </w:t>
      </w:r>
      <w:r w:rsidR="00781D8E" w:rsidRPr="001D38DB">
        <w:rPr>
          <w:rFonts w:cs="Arial"/>
        </w:rPr>
        <w:t xml:space="preserve">replicated </w:t>
      </w:r>
      <w:r w:rsidRPr="001D38DB">
        <w:rPr>
          <w:rFonts w:cs="Arial"/>
        </w:rPr>
        <w:t>from two different vectors. Finally, the vector with the best cost function is selected as the target vector for the next generation.</w:t>
      </w:r>
    </w:p>
    <w:p w14:paraId="19F0D30A" w14:textId="77777777" w:rsidR="00406E17" w:rsidRPr="001D38DB" w:rsidRDefault="00200F0C" w:rsidP="00406E17">
      <w:pPr>
        <w:pStyle w:val="CETBodytext"/>
        <w:rPr>
          <w:rFonts w:cs="Arial"/>
        </w:rPr>
      </w:pPr>
      <w:r w:rsidRPr="001D38DB">
        <w:rPr>
          <w:rFonts w:cs="Arial"/>
        </w:rPr>
        <w:t>In this study, t</w:t>
      </w:r>
      <w:r w:rsidR="00231B20" w:rsidRPr="001D38DB">
        <w:rPr>
          <w:rFonts w:cs="Arial"/>
        </w:rPr>
        <w:t xml:space="preserve">he crossover rate </w:t>
      </w:r>
      <w:r w:rsidR="00781D8E" w:rsidRPr="001D38DB">
        <w:rPr>
          <w:rFonts w:cs="Arial"/>
        </w:rPr>
        <w:t>was</w:t>
      </w:r>
      <w:r w:rsidR="00231B20" w:rsidRPr="001D38DB">
        <w:rPr>
          <w:rFonts w:cs="Arial"/>
        </w:rPr>
        <w:t xml:space="preserve"> 0.7, and </w:t>
      </w:r>
      <m:oMath>
        <m:r>
          <m:rPr>
            <m:sty m:val="p"/>
          </m:rPr>
          <w:rPr>
            <w:rFonts w:ascii="Cambria Math" w:hAnsi="Cambria Math" w:cs="Arial"/>
          </w:rPr>
          <m:t>β</m:t>
        </m:r>
      </m:oMath>
      <w:r w:rsidR="00231B20" w:rsidRPr="001D38DB">
        <w:rPr>
          <w:rFonts w:cs="Arial"/>
        </w:rPr>
        <w:t xml:space="preserve"> </w:t>
      </w:r>
      <w:r w:rsidR="00781D8E" w:rsidRPr="001D38DB">
        <w:rPr>
          <w:rFonts w:cs="Arial"/>
        </w:rPr>
        <w:t>was</w:t>
      </w:r>
      <w:r w:rsidR="00231B20" w:rsidRPr="001D38DB">
        <w:rPr>
          <w:rFonts w:cs="Arial"/>
        </w:rPr>
        <w:t xml:space="preserve"> ran</w:t>
      </w:r>
      <w:r w:rsidR="006D4C28" w:rsidRPr="001D38DB">
        <w:rPr>
          <w:rFonts w:cs="Arial"/>
        </w:rPr>
        <w:t>dom</w:t>
      </w:r>
      <w:r w:rsidR="00781D8E" w:rsidRPr="001D38DB">
        <w:rPr>
          <w:rFonts w:cs="Arial"/>
        </w:rPr>
        <w:t>ly selected</w:t>
      </w:r>
      <w:r w:rsidR="00231B20" w:rsidRPr="001D38DB">
        <w:rPr>
          <w:rFonts w:cs="Arial"/>
        </w:rPr>
        <w:t xml:space="preserve"> between [0.2, 0.8]. A total of </w:t>
      </w:r>
      <w:r w:rsidRPr="001D38DB">
        <w:rPr>
          <w:rFonts w:cs="Arial"/>
        </w:rPr>
        <w:t>40</w:t>
      </w:r>
      <w:r w:rsidR="00231B20" w:rsidRPr="001D38DB">
        <w:rPr>
          <w:rFonts w:cs="Arial"/>
        </w:rPr>
        <w:t xml:space="preserve"> generations with a population size of 25 </w:t>
      </w:r>
      <w:r w:rsidR="00781D8E" w:rsidRPr="001D38DB">
        <w:rPr>
          <w:rFonts w:cs="Arial"/>
        </w:rPr>
        <w:t xml:space="preserve">generated </w:t>
      </w:r>
      <w:r w:rsidR="00231B20" w:rsidRPr="001D38DB">
        <w:rPr>
          <w:rFonts w:cs="Arial"/>
        </w:rPr>
        <w:t xml:space="preserve">sufficient </w:t>
      </w:r>
      <w:r w:rsidR="00781D8E" w:rsidRPr="001D38DB">
        <w:rPr>
          <w:rFonts w:cs="Arial"/>
        </w:rPr>
        <w:t>simulations</w:t>
      </w:r>
      <w:r w:rsidR="00231B20" w:rsidRPr="001D38DB">
        <w:rPr>
          <w:rFonts w:cs="Arial"/>
        </w:rPr>
        <w:t>.</w:t>
      </w:r>
      <w:r w:rsidR="00943BE7" w:rsidRPr="001D38DB">
        <w:rPr>
          <w:rFonts w:cs="Arial"/>
        </w:rPr>
        <w:t xml:space="preserve"> In total</w:t>
      </w:r>
      <w:r w:rsidR="00781D8E" w:rsidRPr="001D38DB">
        <w:rPr>
          <w:rFonts w:cs="Arial"/>
        </w:rPr>
        <w:t>,</w:t>
      </w:r>
      <w:r w:rsidR="00943BE7" w:rsidRPr="001D38DB">
        <w:rPr>
          <w:rFonts w:cs="Arial"/>
        </w:rPr>
        <w:t xml:space="preserve"> 10 evaluations are performed.</w:t>
      </w:r>
    </w:p>
    <w:p w14:paraId="46DCD59D" w14:textId="77777777" w:rsidR="00B71FCD" w:rsidRPr="00B57B36" w:rsidRDefault="00B71FCD" w:rsidP="00B71FCD">
      <w:pPr>
        <w:pStyle w:val="CETheadingx"/>
      </w:pPr>
      <w:r>
        <w:t>Optimization Problem</w:t>
      </w:r>
    </w:p>
    <w:p w14:paraId="20FBBD9B" w14:textId="77777777" w:rsidR="00B71FCD" w:rsidRDefault="00B71FCD" w:rsidP="00271753">
      <w:pPr>
        <w:pStyle w:val="CETBodytext"/>
        <w:spacing w:before="240" w:after="80"/>
        <w:rPr>
          <w:rFonts w:cs="Arial"/>
          <w:szCs w:val="18"/>
        </w:rPr>
      </w:pPr>
      <w:r w:rsidRPr="00D112F6">
        <w:rPr>
          <w:rFonts w:cs="Arial"/>
          <w:szCs w:val="18"/>
        </w:rPr>
        <w:t>The optimization problem is written as the maximization of the annualized profitability</w:t>
      </w:r>
      <w:r w:rsidR="0099240B">
        <w:rPr>
          <w:rFonts w:cs="Arial"/>
          <w:szCs w:val="18"/>
        </w:rPr>
        <w:t xml:space="preserve"> as in</w:t>
      </w:r>
      <w:r w:rsidRPr="00D112F6">
        <w:rPr>
          <w:rFonts w:cs="Arial"/>
          <w:szCs w:val="18"/>
        </w:rPr>
        <w:t xml:space="preserve"> Eq. 1.</w:t>
      </w:r>
    </w:p>
    <w:bookmarkStart w:id="6" w:name="OLE_LINK7"/>
    <w:bookmarkStart w:id="7" w:name="OLE_LINK8"/>
    <w:p w14:paraId="74A5A76A" w14:textId="77777777" w:rsidR="006C43C1" w:rsidRPr="00D112F6" w:rsidRDefault="0050028A" w:rsidP="00271753">
      <w:pPr>
        <w:pStyle w:val="Els-body-text"/>
        <w:tabs>
          <w:tab w:val="right" w:pos="8280"/>
        </w:tabs>
        <w:spacing w:before="240" w:after="80" w:line="264" w:lineRule="auto"/>
        <w:jc w:val="left"/>
        <w:rPr>
          <w:rFonts w:ascii="Arial" w:hAnsi="Arial" w:cs="Arial"/>
          <w:sz w:val="18"/>
          <w:szCs w:val="18"/>
          <w:lang w:val="en-GB"/>
        </w:rPr>
      </w:pPr>
      <m:oMath>
        <m:func>
          <m:funcPr>
            <m:ctrlPr>
              <w:rPr>
                <w:rFonts w:ascii="Cambria Math" w:hAnsi="Cambria Math" w:cs="Arial"/>
                <w:i/>
                <w:sz w:val="18"/>
                <w:szCs w:val="18"/>
                <w:lang w:val="en-GB"/>
              </w:rPr>
            </m:ctrlPr>
          </m:funcPr>
          <m:fName>
            <m:r>
              <m:rPr>
                <m:sty m:val="p"/>
              </m:rPr>
              <w:rPr>
                <w:rFonts w:ascii="Cambria Math" w:hAnsi="Cambria Math" w:cs="Arial"/>
                <w:sz w:val="18"/>
                <w:szCs w:val="18"/>
                <w:lang w:val="en-GB"/>
              </w:rPr>
              <m:t>max</m:t>
            </m:r>
          </m:fName>
          <m:e>
            <m:r>
              <w:rPr>
                <w:rFonts w:ascii="Cambria Math" w:hAnsi="Cambria Math" w:cs="Arial"/>
                <w:sz w:val="18"/>
                <w:szCs w:val="18"/>
                <w:lang w:val="en-GB"/>
              </w:rPr>
              <m:t>profit</m:t>
            </m:r>
          </m:e>
        </m:func>
        <m:r>
          <w:rPr>
            <w:rFonts w:ascii="Cambria Math" w:hAnsi="Cambria Math" w:cs="Arial"/>
            <w:sz w:val="18"/>
            <w:szCs w:val="18"/>
            <w:lang w:val="en-GB"/>
          </w:rPr>
          <m:t>=</m:t>
        </m:r>
        <m:d>
          <m:dPr>
            <m:ctrlPr>
              <w:rPr>
                <w:rFonts w:ascii="Cambria Math" w:hAnsi="Cambria Math" w:cs="Arial"/>
                <w:i/>
                <w:sz w:val="18"/>
                <w:szCs w:val="18"/>
                <w:lang w:val="en-GB"/>
              </w:rPr>
            </m:ctrlPr>
          </m:dPr>
          <m:e>
            <m:nary>
              <m:naryPr>
                <m:chr m:val="∑"/>
                <m:limLoc m:val="undOvr"/>
                <m:supHide m:val="1"/>
                <m:ctrlPr>
                  <w:rPr>
                    <w:rFonts w:ascii="Cambria Math" w:hAnsi="Cambria Math" w:cs="Arial"/>
                    <w:i/>
                    <w:sz w:val="18"/>
                    <w:szCs w:val="18"/>
                    <w:lang w:val="en-GB"/>
                  </w:rPr>
                </m:ctrlPr>
              </m:naryPr>
              <m:sub>
                <m:r>
                  <w:rPr>
                    <w:rFonts w:ascii="Cambria Math" w:hAnsi="Cambria Math" w:cs="Arial"/>
                    <w:sz w:val="18"/>
                    <w:szCs w:val="18"/>
                    <w:lang w:val="en-GB"/>
                  </w:rPr>
                  <m:t>C</m:t>
                </m:r>
                <m:sSub>
                  <m:sSubPr>
                    <m:ctrlPr>
                      <w:rPr>
                        <w:rFonts w:ascii="Cambria Math" w:hAnsi="Cambria Math" w:cs="Arial"/>
                        <w:i/>
                        <w:sz w:val="18"/>
                        <w:szCs w:val="18"/>
                        <w:lang w:val="en-GB"/>
                      </w:rPr>
                    </m:ctrlPr>
                  </m:sSubPr>
                  <m:e>
                    <m:r>
                      <w:rPr>
                        <w:rFonts w:ascii="Cambria Math" w:hAnsi="Cambria Math" w:cs="Arial"/>
                        <w:sz w:val="18"/>
                        <w:szCs w:val="18"/>
                        <w:lang w:val="en-GB"/>
                      </w:rPr>
                      <m:t>H</m:t>
                    </m:r>
                  </m:e>
                  <m:sub>
                    <m:r>
                      <w:rPr>
                        <w:rFonts w:ascii="Cambria Math" w:hAnsi="Cambria Math" w:cs="Arial"/>
                        <w:sz w:val="18"/>
                        <w:szCs w:val="18"/>
                        <w:lang w:val="en-GB"/>
                      </w:rPr>
                      <m:t>4</m:t>
                    </m:r>
                  </m:sub>
                </m:sSub>
                <m:r>
                  <w:rPr>
                    <w:rFonts w:ascii="Cambria Math" w:hAnsi="Cambria Math" w:cs="Arial"/>
                    <w:sz w:val="18"/>
                    <w:szCs w:val="18"/>
                    <w:lang w:val="en-GB"/>
                  </w:rPr>
                  <m:t>, NGL</m:t>
                </m:r>
              </m:sub>
              <m:sup/>
              <m:e>
                <m:r>
                  <w:rPr>
                    <w:rFonts w:ascii="Cambria Math" w:hAnsi="Cambria Math" w:cs="Arial"/>
                    <w:sz w:val="18"/>
                    <w:szCs w:val="18"/>
                    <w:lang w:val="en-GB"/>
                  </w:rPr>
                  <m:t>revenue</m:t>
                </m:r>
              </m:e>
            </m:nary>
            <m:r>
              <w:rPr>
                <w:rFonts w:ascii="Cambria Math" w:hAnsi="Cambria Math" w:cs="Arial"/>
                <w:sz w:val="18"/>
                <w:szCs w:val="18"/>
                <w:lang w:val="en-GB"/>
              </w:rPr>
              <m:t>-OPEX-AF∙CAPEX</m:t>
            </m:r>
          </m:e>
        </m:d>
      </m:oMath>
      <w:r w:rsidR="00D112F6" w:rsidRPr="00D112F6">
        <w:rPr>
          <w:rFonts w:ascii="Arial" w:hAnsi="Arial" w:cs="Arial"/>
          <w:sz w:val="18"/>
          <w:szCs w:val="18"/>
          <w:lang w:val="en-GB"/>
        </w:rPr>
        <w:tab/>
        <w:t>(1)</w:t>
      </w:r>
      <w:bookmarkEnd w:id="6"/>
      <w:bookmarkEnd w:id="7"/>
    </w:p>
    <w:p w14:paraId="121491FC" w14:textId="77777777" w:rsidR="00D112F6" w:rsidRPr="00D112F6" w:rsidRDefault="0006170D" w:rsidP="00271753">
      <w:pPr>
        <w:pStyle w:val="Els-body-text"/>
        <w:tabs>
          <w:tab w:val="right" w:pos="8280"/>
        </w:tabs>
        <w:spacing w:before="240" w:after="80" w:line="264" w:lineRule="auto"/>
        <w:jc w:val="left"/>
      </w:pPr>
      <w:r>
        <w:t>w</w:t>
      </w:r>
      <w:r w:rsidRPr="00D112F6">
        <w:t>here</w:t>
      </w:r>
      <w:r w:rsidR="00271753">
        <w:t>,</w:t>
      </w:r>
      <w:r>
        <w:t xml:space="preserve"> </w:t>
      </w:r>
      <m:oMath>
        <m:r>
          <w:rPr>
            <w:rFonts w:ascii="Cambria Math" w:hAnsi="Cambria Math"/>
          </w:rPr>
          <m:t>AF</m:t>
        </m:r>
        <m:r>
          <m:rPr>
            <m:sty m:val="p"/>
          </m:rPr>
          <w:rPr>
            <w:rFonts w:ascii="Cambria Math" w:hAnsi="Cambria Math"/>
          </w:rPr>
          <m:t>=</m:t>
        </m:r>
        <m:f>
          <m:fPr>
            <m:type m:val="lin"/>
            <m:ctrlPr>
              <w:rPr>
                <w:rFonts w:ascii="Cambria Math" w:hAnsi="Cambria Math"/>
              </w:rPr>
            </m:ctrlPr>
          </m:fPr>
          <m:num>
            <m:d>
              <m:dPr>
                <m:begChr m:val="["/>
                <m:endChr m:val="]"/>
                <m:ctrlPr>
                  <w:rPr>
                    <w:rFonts w:ascii="Cambria Math" w:hAnsi="Cambria Math"/>
                    <w:i/>
                    <w:iCs/>
                  </w:rPr>
                </m:ctrlPr>
              </m:dPr>
              <m:e>
                <m:r>
                  <w:rPr>
                    <w:rFonts w:ascii="Cambria Math" w:hAnsi="Cambria Math"/>
                  </w:rPr>
                  <m:t>i</m:t>
                </m:r>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i</m:t>
                        </m:r>
                      </m:e>
                    </m:d>
                  </m:e>
                  <m:sup>
                    <m:r>
                      <w:rPr>
                        <w:rFonts w:ascii="Cambria Math" w:hAnsi="Cambria Math"/>
                      </w:rPr>
                      <m:t>t</m:t>
                    </m:r>
                  </m:sup>
                </m:sSup>
              </m:e>
            </m:d>
          </m:num>
          <m:den>
            <m:d>
              <m:dPr>
                <m:begChr m:val="["/>
                <m:endChr m:val="]"/>
                <m:ctrlPr>
                  <w:rPr>
                    <w:rFonts w:ascii="Cambria Math" w:hAnsi="Cambria Math"/>
                    <w:i/>
                  </w:rPr>
                </m:ctrlPr>
              </m:dPr>
              <m:e>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i</m:t>
                        </m:r>
                      </m:e>
                    </m:d>
                  </m:e>
                  <m:sup>
                    <m:r>
                      <w:rPr>
                        <w:rFonts w:ascii="Cambria Math" w:hAnsi="Cambria Math"/>
                      </w:rPr>
                      <m:t>t</m:t>
                    </m:r>
                  </m:sup>
                </m:sSup>
                <m:r>
                  <m:rPr>
                    <m:sty m:val="p"/>
                  </m:rPr>
                  <w:rPr>
                    <w:rFonts w:ascii="Cambria Math" w:hAnsi="Cambria Math"/>
                  </w:rPr>
                  <m:t>-1</m:t>
                </m:r>
              </m:e>
            </m:d>
          </m:den>
        </m:f>
      </m:oMath>
    </w:p>
    <w:p w14:paraId="3A31296B" w14:textId="77777777" w:rsidR="00B71FCD" w:rsidRPr="001D38DB" w:rsidRDefault="00D112F6" w:rsidP="00271753">
      <w:pPr>
        <w:pStyle w:val="CETBodytext"/>
        <w:spacing w:before="240" w:after="80"/>
        <w:rPr>
          <w:rFonts w:cs="Arial"/>
        </w:rPr>
      </w:pPr>
      <m:oMath>
        <m:r>
          <w:rPr>
            <w:rFonts w:ascii="Cambria Math" w:hAnsi="Cambria Math" w:cs="Arial"/>
            <w:szCs w:val="18"/>
            <w:lang w:val="en-GB"/>
          </w:rPr>
          <w:lastRenderedPageBreak/>
          <m:t>i</m:t>
        </m:r>
      </m:oMath>
      <w:r w:rsidRPr="00477E14">
        <w:rPr>
          <w:rFonts w:cs="Arial"/>
        </w:rPr>
        <w:t xml:space="preserve"> is the interest rate per year and </w:t>
      </w:r>
      <m:oMath>
        <m:r>
          <w:rPr>
            <w:rFonts w:ascii="Cambria Math" w:hAnsi="Cambria Math" w:cs="Arial"/>
            <w:szCs w:val="18"/>
            <w:lang w:val="en-GB"/>
          </w:rPr>
          <m:t>t</m:t>
        </m:r>
      </m:oMath>
      <w:r w:rsidRPr="00477E14">
        <w:rPr>
          <w:rFonts w:cs="Arial"/>
        </w:rPr>
        <w:t xml:space="preserve"> the lifespan of the </w:t>
      </w:r>
      <w:proofErr w:type="gramStart"/>
      <w:r w:rsidRPr="00477E14">
        <w:rPr>
          <w:rFonts w:cs="Arial"/>
        </w:rPr>
        <w:t>unit.</w:t>
      </w:r>
      <w:proofErr w:type="gramEnd"/>
      <w:r w:rsidRPr="00477E14">
        <w:rPr>
          <w:rFonts w:cs="Arial"/>
        </w:rPr>
        <w:t xml:space="preserve"> For this study an interest rate of 0.1 and lifespan of 20 years is selected. The decision variables are searched within a solution domain</w:t>
      </w:r>
      <w:r w:rsidR="00B71FCD" w:rsidRPr="00C23B39">
        <w:rPr>
          <w:rFonts w:cs="Arial"/>
        </w:rPr>
        <w:t>.</w:t>
      </w:r>
      <w:r w:rsidRPr="00C23B39">
        <w:rPr>
          <w:rFonts w:cs="Arial"/>
        </w:rPr>
        <w:t xml:space="preserve"> For the computation of</w:t>
      </w:r>
      <w:r w:rsidR="0029340F" w:rsidRPr="00C23B39">
        <w:rPr>
          <w:rFonts w:cs="Arial"/>
        </w:rPr>
        <w:t xml:space="preserve"> the</w:t>
      </w:r>
      <w:r w:rsidRPr="00C23B39">
        <w:rPr>
          <w:rFonts w:cs="Arial"/>
        </w:rPr>
        <w:t xml:space="preserve"> </w:t>
      </w:r>
      <m:oMath>
        <m:r>
          <w:rPr>
            <w:rFonts w:ascii="Cambria Math" w:hAnsi="Cambria Math" w:cs="Arial"/>
            <w:szCs w:val="18"/>
            <w:lang w:val="en-GB"/>
          </w:rPr>
          <m:t>OPEX</m:t>
        </m:r>
      </m:oMath>
      <w:r w:rsidR="004F42EC" w:rsidRPr="001D38DB" w:rsidDel="004F42EC">
        <w:rPr>
          <w:rFonts w:cs="Arial"/>
        </w:rPr>
        <w:t xml:space="preserve"> </w:t>
      </w:r>
      <w:r w:rsidRPr="001D38DB">
        <w:rPr>
          <w:rFonts w:cs="Arial"/>
        </w:rPr>
        <w:t xml:space="preserve"> and </w:t>
      </w:r>
      <m:oMath>
        <m:r>
          <w:rPr>
            <w:rFonts w:ascii="Cambria Math" w:hAnsi="Cambria Math" w:cs="Arial"/>
            <w:szCs w:val="18"/>
            <w:lang w:val="en-GB"/>
          </w:rPr>
          <m:t>CAPEX</m:t>
        </m:r>
      </m:oMath>
      <w:r w:rsidR="004F42EC" w:rsidRPr="001D38DB" w:rsidDel="004F42EC">
        <w:rPr>
          <w:rFonts w:cs="Arial"/>
        </w:rPr>
        <w:t xml:space="preserve"> </w:t>
      </w:r>
      <w:r w:rsidRPr="001D38DB">
        <w:rPr>
          <w:rFonts w:cs="Arial"/>
        </w:rPr>
        <w:t xml:space="preserve">, the criteria and </w:t>
      </w:r>
      <w:r w:rsidR="00B71FCD" w:rsidRPr="001D38DB">
        <w:rPr>
          <w:rFonts w:cs="Arial"/>
        </w:rPr>
        <w:t xml:space="preserve">parameters </w:t>
      </w:r>
      <w:r w:rsidR="0029340F" w:rsidRPr="001D38DB">
        <w:rPr>
          <w:rFonts w:cs="Arial"/>
        </w:rPr>
        <w:t xml:space="preserve">are considered as </w:t>
      </w:r>
      <w:r w:rsidR="00B71FCD" w:rsidRPr="001D38DB">
        <w:rPr>
          <w:rFonts w:cs="Arial"/>
        </w:rPr>
        <w:t>proposed by Turton</w:t>
      </w:r>
      <w:r w:rsidR="004B51AA" w:rsidRPr="001D38DB">
        <w:rPr>
          <w:rFonts w:cs="Arial"/>
        </w:rPr>
        <w:t xml:space="preserve"> et al.</w:t>
      </w:r>
      <w:r w:rsidR="00B71FCD" w:rsidRPr="001D38DB">
        <w:rPr>
          <w:rFonts w:cs="Arial"/>
        </w:rPr>
        <w:t xml:space="preserve"> (2012)</w:t>
      </w:r>
      <w:r w:rsidR="00943BE7" w:rsidRPr="001D38DB">
        <w:rPr>
          <w:rFonts w:cs="Arial"/>
        </w:rPr>
        <w:t>.</w:t>
      </w:r>
    </w:p>
    <w:p w14:paraId="0B0EC28B" w14:textId="77777777" w:rsidR="00791DE0" w:rsidRPr="00D112F6" w:rsidRDefault="00791DE0" w:rsidP="00271753">
      <w:pPr>
        <w:pStyle w:val="Els-body-text"/>
        <w:tabs>
          <w:tab w:val="right" w:pos="8280"/>
        </w:tabs>
        <w:spacing w:before="240" w:after="80"/>
        <w:jc w:val="left"/>
        <w:rPr>
          <w:rFonts w:ascii="Arial" w:hAnsi="Arial" w:cs="Arial"/>
          <w:sz w:val="18"/>
          <w:szCs w:val="18"/>
          <w:lang w:val="en-GB"/>
        </w:rPr>
      </w:pPr>
      <m:oMath>
        <m:r>
          <w:rPr>
            <w:rFonts w:ascii="Cambria Math" w:hAnsi="Cambria Math" w:cs="Arial"/>
            <w:sz w:val="18"/>
            <w:szCs w:val="18"/>
            <w:lang w:val="en-GB"/>
          </w:rPr>
          <m:t>OPEX=0.18∙CAPEX+1.23∙(RMC+UC)</m:t>
        </m:r>
      </m:oMath>
      <w:r w:rsidRPr="00D112F6">
        <w:rPr>
          <w:rFonts w:ascii="Arial" w:hAnsi="Arial" w:cs="Arial"/>
          <w:sz w:val="18"/>
          <w:szCs w:val="18"/>
          <w:lang w:val="en-GB"/>
        </w:rPr>
        <w:tab/>
        <w:t>(</w:t>
      </w:r>
      <w:r>
        <w:rPr>
          <w:rFonts w:ascii="Arial" w:hAnsi="Arial" w:cs="Arial"/>
          <w:sz w:val="18"/>
          <w:szCs w:val="18"/>
          <w:lang w:val="en-GB"/>
        </w:rPr>
        <w:t>2</w:t>
      </w:r>
      <w:r w:rsidRPr="00D112F6">
        <w:rPr>
          <w:rFonts w:ascii="Arial" w:hAnsi="Arial" w:cs="Arial"/>
          <w:sz w:val="18"/>
          <w:szCs w:val="18"/>
          <w:lang w:val="en-GB"/>
        </w:rPr>
        <w:t>)</w:t>
      </w:r>
    </w:p>
    <w:p w14:paraId="504A0BB6" w14:textId="77777777" w:rsidR="00791DE0" w:rsidRDefault="00791DE0" w:rsidP="00271753">
      <w:pPr>
        <w:pStyle w:val="Els-body-text"/>
        <w:tabs>
          <w:tab w:val="right" w:pos="8280"/>
        </w:tabs>
        <w:spacing w:before="240" w:after="80"/>
        <w:jc w:val="left"/>
        <w:rPr>
          <w:rFonts w:ascii="Arial" w:hAnsi="Arial" w:cs="Arial"/>
          <w:sz w:val="18"/>
          <w:szCs w:val="18"/>
          <w:lang w:val="en-GB"/>
        </w:rPr>
      </w:pPr>
      <m:oMath>
        <m:r>
          <w:rPr>
            <w:rFonts w:ascii="Cambria Math" w:hAnsi="Cambria Math" w:cs="Arial"/>
            <w:sz w:val="18"/>
            <w:szCs w:val="18"/>
            <w:lang w:val="en-GB"/>
          </w:rPr>
          <m:t>CAPEX=1.18∙</m:t>
        </m:r>
        <m:d>
          <m:dPr>
            <m:ctrlPr>
              <w:rPr>
                <w:rFonts w:ascii="Cambria Math" w:hAnsi="Cambria Math" w:cs="Arial"/>
                <w:i/>
                <w:sz w:val="18"/>
                <w:szCs w:val="18"/>
                <w:lang w:val="en-GB"/>
              </w:rPr>
            </m:ctrlPr>
          </m:dPr>
          <m:e>
            <m:nary>
              <m:naryPr>
                <m:chr m:val="∑"/>
                <m:limLoc m:val="undOvr"/>
                <m:ctrlPr>
                  <w:rPr>
                    <w:rFonts w:ascii="Cambria Math" w:hAnsi="Cambria Math" w:cs="Arial"/>
                    <w:i/>
                    <w:sz w:val="18"/>
                    <w:szCs w:val="18"/>
                    <w:lang w:val="en-GB"/>
                  </w:rPr>
                </m:ctrlPr>
              </m:naryPr>
              <m:sub>
                <m:r>
                  <w:rPr>
                    <w:rFonts w:ascii="Cambria Math" w:hAnsi="Cambria Math" w:cs="Arial"/>
                    <w:sz w:val="18"/>
                    <w:szCs w:val="18"/>
                    <w:lang w:val="en-GB"/>
                  </w:rPr>
                  <m:t>e=1</m:t>
                </m:r>
              </m:sub>
              <m:sup>
                <m:r>
                  <w:rPr>
                    <w:rFonts w:ascii="Cambria Math" w:hAnsi="Cambria Math" w:cs="Arial"/>
                    <w:sz w:val="18"/>
                    <w:szCs w:val="18"/>
                    <w:lang w:val="en-GB"/>
                  </w:rPr>
                  <m:t>E</m:t>
                </m:r>
              </m:sup>
              <m:e>
                <m:sSub>
                  <m:sSubPr>
                    <m:ctrlPr>
                      <w:rPr>
                        <w:rFonts w:ascii="Cambria Math" w:hAnsi="Cambria Math" w:cs="Arial"/>
                        <w:i/>
                        <w:sz w:val="18"/>
                        <w:szCs w:val="18"/>
                        <w:lang w:val="en-GB"/>
                      </w:rPr>
                    </m:ctrlPr>
                  </m:sSubPr>
                  <m:e>
                    <m:r>
                      <w:rPr>
                        <w:rFonts w:ascii="Cambria Math" w:hAnsi="Cambria Math" w:cs="Arial"/>
                        <w:sz w:val="18"/>
                        <w:szCs w:val="18"/>
                        <w:lang w:val="en-GB"/>
                      </w:rPr>
                      <m:t>C</m:t>
                    </m:r>
                  </m:e>
                  <m:sub>
                    <m:r>
                      <w:rPr>
                        <w:rFonts w:ascii="Cambria Math" w:hAnsi="Cambria Math" w:cs="Arial"/>
                        <w:sz w:val="18"/>
                        <w:szCs w:val="18"/>
                        <w:lang w:val="en-GB"/>
                      </w:rPr>
                      <m:t>BM,e</m:t>
                    </m:r>
                  </m:sub>
                </m:sSub>
              </m:e>
            </m:nary>
          </m:e>
        </m:d>
        <m:r>
          <w:rPr>
            <w:rFonts w:ascii="Cambria Math" w:hAnsi="Cambria Math" w:cs="Arial"/>
            <w:sz w:val="18"/>
            <w:szCs w:val="18"/>
            <w:lang w:val="en-GB"/>
          </w:rPr>
          <m:t>∙</m:t>
        </m:r>
        <m:d>
          <m:dPr>
            <m:ctrlPr>
              <w:rPr>
                <w:rFonts w:ascii="Cambria Math" w:hAnsi="Cambria Math" w:cs="Arial"/>
                <w:i/>
                <w:sz w:val="18"/>
                <w:szCs w:val="18"/>
                <w:lang w:val="en-GB"/>
              </w:rPr>
            </m:ctrlPr>
          </m:dPr>
          <m:e>
            <m:f>
              <m:fPr>
                <m:type m:val="lin"/>
                <m:ctrlPr>
                  <w:rPr>
                    <w:rFonts w:ascii="Cambria Math" w:hAnsi="Cambria Math" w:cs="Arial"/>
                    <w:i/>
                    <w:sz w:val="18"/>
                    <w:szCs w:val="18"/>
                    <w:lang w:val="en-GB"/>
                  </w:rPr>
                </m:ctrlPr>
              </m:fPr>
              <m:num>
                <m:sSub>
                  <m:sSubPr>
                    <m:ctrlPr>
                      <w:rPr>
                        <w:rFonts w:ascii="Cambria Math" w:hAnsi="Cambria Math" w:cs="Arial"/>
                        <w:i/>
                        <w:sz w:val="18"/>
                        <w:szCs w:val="18"/>
                        <w:lang w:val="en-GB"/>
                      </w:rPr>
                    </m:ctrlPr>
                  </m:sSubPr>
                  <m:e>
                    <m:r>
                      <w:rPr>
                        <w:rFonts w:ascii="Cambria Math" w:hAnsi="Cambria Math" w:cs="Arial"/>
                        <w:sz w:val="18"/>
                        <w:szCs w:val="18"/>
                        <w:lang w:val="en-GB"/>
                      </w:rPr>
                      <m:t>CEPCI</m:t>
                    </m:r>
                  </m:e>
                  <m:sub>
                    <m:r>
                      <w:rPr>
                        <w:rFonts w:ascii="Cambria Math" w:hAnsi="Cambria Math" w:cs="Arial"/>
                        <w:sz w:val="18"/>
                        <w:szCs w:val="18"/>
                        <w:lang w:val="en-GB"/>
                      </w:rPr>
                      <m:t>2017</m:t>
                    </m:r>
                  </m:sub>
                </m:sSub>
              </m:num>
              <m:den>
                <m:sSub>
                  <m:sSubPr>
                    <m:ctrlPr>
                      <w:rPr>
                        <w:rFonts w:ascii="Cambria Math" w:hAnsi="Cambria Math" w:cs="Arial"/>
                        <w:i/>
                        <w:sz w:val="18"/>
                        <w:szCs w:val="18"/>
                        <w:lang w:val="en-GB"/>
                      </w:rPr>
                    </m:ctrlPr>
                  </m:sSubPr>
                  <m:e>
                    <m:r>
                      <w:rPr>
                        <w:rFonts w:ascii="Cambria Math" w:hAnsi="Cambria Math" w:cs="Arial"/>
                        <w:sz w:val="18"/>
                        <w:szCs w:val="18"/>
                        <w:lang w:val="en-GB"/>
                      </w:rPr>
                      <m:t>CEPCI</m:t>
                    </m:r>
                  </m:e>
                  <m:sub>
                    <m:r>
                      <w:rPr>
                        <w:rFonts w:ascii="Cambria Math" w:hAnsi="Cambria Math" w:cs="Arial"/>
                        <w:sz w:val="18"/>
                        <w:szCs w:val="18"/>
                        <w:lang w:val="en-GB"/>
                      </w:rPr>
                      <m:t>Base</m:t>
                    </m:r>
                  </m:sub>
                </m:sSub>
              </m:den>
            </m:f>
          </m:e>
        </m:d>
      </m:oMath>
      <w:r w:rsidRPr="00D112F6">
        <w:rPr>
          <w:rFonts w:ascii="Arial" w:hAnsi="Arial" w:cs="Arial"/>
          <w:sz w:val="18"/>
          <w:szCs w:val="18"/>
          <w:lang w:val="en-GB"/>
        </w:rPr>
        <w:tab/>
        <w:t>(</w:t>
      </w:r>
      <w:r>
        <w:rPr>
          <w:rFonts w:ascii="Arial" w:hAnsi="Arial" w:cs="Arial"/>
          <w:sz w:val="18"/>
          <w:szCs w:val="18"/>
          <w:lang w:val="en-GB"/>
        </w:rPr>
        <w:t>3</w:t>
      </w:r>
      <w:r w:rsidRPr="00D112F6">
        <w:rPr>
          <w:rFonts w:ascii="Arial" w:hAnsi="Arial" w:cs="Arial"/>
          <w:sz w:val="18"/>
          <w:szCs w:val="18"/>
          <w:lang w:val="en-GB"/>
        </w:rPr>
        <w:t>)</w:t>
      </w:r>
    </w:p>
    <w:p w14:paraId="43B02E51" w14:textId="77777777" w:rsidR="00791DE0" w:rsidRPr="00477E14" w:rsidRDefault="00791DE0" w:rsidP="00271753">
      <w:pPr>
        <w:pStyle w:val="Els-body-text"/>
        <w:tabs>
          <w:tab w:val="right" w:pos="8280"/>
        </w:tabs>
        <w:spacing w:before="240" w:after="80"/>
        <w:rPr>
          <w:rFonts w:ascii="Arial" w:hAnsi="Arial" w:cs="Arial"/>
          <w:sz w:val="18"/>
          <w:szCs w:val="18"/>
          <w:lang w:val="en-GB"/>
        </w:rPr>
      </w:pPr>
      <w:r w:rsidRPr="001D38DB">
        <w:rPr>
          <w:rFonts w:ascii="Arial" w:hAnsi="Arial" w:cs="Arial"/>
          <w:sz w:val="18"/>
          <w:szCs w:val="18"/>
        </w:rPr>
        <w:t>where</w:t>
      </w:r>
      <w:r w:rsidR="0029340F" w:rsidRPr="001D38DB">
        <w:rPr>
          <w:rFonts w:ascii="Arial" w:hAnsi="Arial" w:cs="Arial"/>
          <w:sz w:val="18"/>
          <w:szCs w:val="18"/>
        </w:rPr>
        <w:t>,</w:t>
      </w:r>
      <w:r w:rsidRPr="001D38DB">
        <w:rPr>
          <w:rFonts w:ascii="Arial" w:hAnsi="Arial" w:cs="Arial"/>
          <w:sz w:val="18"/>
          <w:szCs w:val="18"/>
        </w:rPr>
        <w:t xml:space="preserve"> </w:t>
      </w:r>
      <m:oMath>
        <m:r>
          <w:rPr>
            <w:rFonts w:ascii="Cambria Math" w:hAnsi="Cambria Math" w:cs="Arial"/>
            <w:sz w:val="18"/>
            <w:szCs w:val="18"/>
          </w:rPr>
          <m:t>RMC</m:t>
        </m:r>
      </m:oMath>
      <w:r w:rsidRPr="001D38DB">
        <w:rPr>
          <w:rFonts w:ascii="Arial" w:hAnsi="Arial" w:cs="Arial"/>
          <w:iCs/>
          <w:sz w:val="18"/>
          <w:szCs w:val="18"/>
        </w:rPr>
        <w:t xml:space="preserve"> </w:t>
      </w:r>
      <w:r w:rsidR="001821D5" w:rsidRPr="001D38DB">
        <w:rPr>
          <w:rFonts w:ascii="Arial" w:hAnsi="Arial" w:cs="Arial"/>
          <w:iCs/>
          <w:sz w:val="18"/>
          <w:szCs w:val="18"/>
        </w:rPr>
        <w:t xml:space="preserve">and </w:t>
      </w:r>
      <m:oMath>
        <m:r>
          <w:rPr>
            <w:rFonts w:ascii="Cambria Math" w:hAnsi="Cambria Math" w:cs="Arial"/>
            <w:sz w:val="18"/>
            <w:szCs w:val="18"/>
            <w:lang w:val="en-GB"/>
          </w:rPr>
          <m:t>UC</m:t>
        </m:r>
      </m:oMath>
      <w:r w:rsidR="001821D5" w:rsidRPr="001D38DB">
        <w:rPr>
          <w:rFonts w:ascii="Arial" w:hAnsi="Arial" w:cs="Arial"/>
          <w:sz w:val="18"/>
          <w:szCs w:val="18"/>
          <w:lang w:val="en-GB"/>
        </w:rPr>
        <w:t xml:space="preserve"> are the raw material cost and </w:t>
      </w:r>
      <w:r w:rsidR="0029340F">
        <w:rPr>
          <w:rFonts w:ascii="Arial" w:hAnsi="Arial" w:cs="Arial"/>
          <w:sz w:val="18"/>
          <w:szCs w:val="18"/>
          <w:lang w:val="en-GB"/>
        </w:rPr>
        <w:t xml:space="preserve">the </w:t>
      </w:r>
      <w:r w:rsidR="001821D5" w:rsidRPr="001D38DB">
        <w:rPr>
          <w:rFonts w:ascii="Arial" w:hAnsi="Arial" w:cs="Arial"/>
          <w:sz w:val="18"/>
          <w:szCs w:val="18"/>
          <w:lang w:val="en-GB"/>
        </w:rPr>
        <w:t xml:space="preserve">utility cost, respectively. </w:t>
      </w:r>
      <m:oMath>
        <m:sSub>
          <m:sSubPr>
            <m:ctrlPr>
              <w:rPr>
                <w:rFonts w:ascii="Cambria Math" w:hAnsi="Cambria Math" w:cs="Arial"/>
                <w:i/>
                <w:sz w:val="18"/>
                <w:szCs w:val="18"/>
                <w:lang w:val="en-GB"/>
              </w:rPr>
            </m:ctrlPr>
          </m:sSubPr>
          <m:e>
            <m:r>
              <w:rPr>
                <w:rFonts w:ascii="Cambria Math" w:hAnsi="Cambria Math" w:cs="Arial"/>
                <w:sz w:val="18"/>
                <w:szCs w:val="18"/>
                <w:lang w:val="en-GB"/>
              </w:rPr>
              <m:t>C</m:t>
            </m:r>
          </m:e>
          <m:sub>
            <m:r>
              <w:rPr>
                <w:rFonts w:ascii="Cambria Math" w:hAnsi="Cambria Math" w:cs="Arial"/>
                <w:sz w:val="18"/>
                <w:szCs w:val="18"/>
                <w:lang w:val="en-GB"/>
              </w:rPr>
              <m:t>BM,e</m:t>
            </m:r>
          </m:sub>
        </m:sSub>
      </m:oMath>
      <w:r w:rsidR="001821D5" w:rsidRPr="001D38DB">
        <w:rPr>
          <w:rFonts w:ascii="Arial" w:hAnsi="Arial" w:cs="Arial"/>
          <w:sz w:val="18"/>
          <w:szCs w:val="18"/>
          <w:lang w:val="en-GB"/>
        </w:rPr>
        <w:t xml:space="preserve"> is the bare module cost for each equipment </w:t>
      </w:r>
      <w:r w:rsidR="001821D5" w:rsidRPr="001D38DB">
        <w:rPr>
          <w:rFonts w:ascii="Arial" w:hAnsi="Arial" w:cs="Arial"/>
          <w:i/>
          <w:sz w:val="18"/>
          <w:szCs w:val="18"/>
          <w:lang w:val="en-GB"/>
        </w:rPr>
        <w:t>e</w:t>
      </w:r>
      <w:r w:rsidR="001821D5" w:rsidRPr="001D38DB">
        <w:rPr>
          <w:rFonts w:ascii="Arial" w:hAnsi="Arial" w:cs="Arial"/>
          <w:sz w:val="18"/>
          <w:szCs w:val="18"/>
          <w:lang w:val="en-GB"/>
        </w:rPr>
        <w:t xml:space="preserve">. </w:t>
      </w:r>
      <m:oMath>
        <m:sSub>
          <m:sSubPr>
            <m:ctrlPr>
              <w:rPr>
                <w:rFonts w:ascii="Cambria Math" w:hAnsi="Cambria Math" w:cs="Arial"/>
                <w:i/>
                <w:sz w:val="18"/>
                <w:szCs w:val="18"/>
                <w:lang w:val="en-GB"/>
              </w:rPr>
            </m:ctrlPr>
          </m:sSubPr>
          <m:e>
            <m:r>
              <w:rPr>
                <w:rFonts w:ascii="Cambria Math" w:hAnsi="Cambria Math" w:cs="Arial"/>
                <w:sz w:val="18"/>
                <w:szCs w:val="18"/>
                <w:lang w:val="en-GB"/>
              </w:rPr>
              <m:t>CEPCI</m:t>
            </m:r>
          </m:e>
          <m:sub>
            <m:r>
              <w:rPr>
                <w:rFonts w:ascii="Cambria Math" w:hAnsi="Cambria Math" w:cs="Arial"/>
                <w:sz w:val="18"/>
                <w:szCs w:val="18"/>
                <w:lang w:val="en-GB"/>
              </w:rPr>
              <m:t>2017</m:t>
            </m:r>
          </m:sub>
        </m:sSub>
      </m:oMath>
      <w:r w:rsidR="001821D5" w:rsidRPr="001D38DB">
        <w:rPr>
          <w:rFonts w:ascii="Arial" w:hAnsi="Arial" w:cs="Arial"/>
          <w:sz w:val="18"/>
          <w:szCs w:val="18"/>
          <w:lang w:val="en-GB"/>
        </w:rPr>
        <w:t xml:space="preserve"> and </w:t>
      </w:r>
      <m:oMath>
        <m:sSub>
          <m:sSubPr>
            <m:ctrlPr>
              <w:rPr>
                <w:rFonts w:ascii="Cambria Math" w:hAnsi="Cambria Math" w:cs="Arial"/>
                <w:i/>
                <w:sz w:val="18"/>
                <w:szCs w:val="18"/>
                <w:lang w:val="en-GB"/>
              </w:rPr>
            </m:ctrlPr>
          </m:sSubPr>
          <m:e>
            <m:r>
              <w:rPr>
                <w:rFonts w:ascii="Cambria Math" w:hAnsi="Cambria Math" w:cs="Arial"/>
                <w:sz w:val="18"/>
                <w:szCs w:val="18"/>
                <w:lang w:val="en-GB"/>
              </w:rPr>
              <m:t>CEPCI</m:t>
            </m:r>
          </m:e>
          <m:sub>
            <m:r>
              <w:rPr>
                <w:rFonts w:ascii="Cambria Math" w:hAnsi="Cambria Math" w:cs="Arial"/>
                <w:sz w:val="18"/>
                <w:szCs w:val="18"/>
                <w:lang w:val="en-GB"/>
              </w:rPr>
              <m:t>Base</m:t>
            </m:r>
          </m:sub>
        </m:sSub>
      </m:oMath>
      <w:r w:rsidR="001821D5" w:rsidRPr="001D38DB">
        <w:rPr>
          <w:rFonts w:ascii="Arial" w:hAnsi="Arial" w:cs="Arial"/>
          <w:sz w:val="18"/>
          <w:szCs w:val="18"/>
          <w:lang w:val="en-GB"/>
        </w:rPr>
        <w:t xml:space="preserve"> are the chemical engineering plant cost index for year 2017 and base year (</w:t>
      </w:r>
      <w:proofErr w:type="gramStart"/>
      <w:r w:rsidR="001821D5" w:rsidRPr="001D38DB">
        <w:rPr>
          <w:rFonts w:ascii="Arial" w:hAnsi="Arial" w:cs="Arial"/>
          <w:sz w:val="18"/>
          <w:szCs w:val="18"/>
          <w:lang w:val="en-GB"/>
        </w:rPr>
        <w:t>2001).</w:t>
      </w:r>
      <w:proofErr w:type="gramEnd"/>
    </w:p>
    <w:p w14:paraId="58EDB42A" w14:textId="77777777" w:rsidR="00406E17" w:rsidRDefault="003D49E4" w:rsidP="003D49E4">
      <w:pPr>
        <w:pStyle w:val="CETHeading1"/>
      </w:pPr>
      <w:r>
        <w:t>Dynamic Simulation</w:t>
      </w:r>
    </w:p>
    <w:p w14:paraId="322587D3" w14:textId="77777777" w:rsidR="003D49E4" w:rsidRDefault="0082719E" w:rsidP="00310B2E">
      <w:pPr>
        <w:pStyle w:val="CETBodytext"/>
        <w:spacing w:after="120"/>
      </w:pPr>
      <w:r>
        <w:t>Once the optimal design variables of the conventional NGL recovery unit are determined through the</w:t>
      </w:r>
      <w:r w:rsidR="0029340F">
        <w:t xml:space="preserve"> </w:t>
      </w:r>
      <w:r>
        <w:t xml:space="preserve">optimization framework, a dynamic process simulation is </w:t>
      </w:r>
      <w:r w:rsidR="0029340F">
        <w:t xml:space="preserve">modelled </w:t>
      </w:r>
      <w:r>
        <w:t>to analyze different control structures.</w:t>
      </w:r>
      <w:r w:rsidR="0029340F">
        <w:t xml:space="preserve"> In this study,</w:t>
      </w:r>
      <w:r>
        <w:t xml:space="preserve"> </w:t>
      </w:r>
      <w:r w:rsidR="00307E18">
        <w:t xml:space="preserve">the optimal design of the Case Study I </w:t>
      </w:r>
      <w:r w:rsidR="0029340F">
        <w:t>(</w:t>
      </w:r>
      <w:r w:rsidR="00307E18">
        <w:t>Lean Gas</w:t>
      </w:r>
      <w:r w:rsidR="0029340F">
        <w:t>) is considered</w:t>
      </w:r>
      <w:r w:rsidR="00307E18">
        <w:t xml:space="preserve"> for the development of the</w:t>
      </w:r>
      <w:r w:rsidR="0029340F">
        <w:t xml:space="preserve"> dynamic</w:t>
      </w:r>
      <w:r w:rsidR="00307E18">
        <w:t xml:space="preserve"> model.</w:t>
      </w:r>
    </w:p>
    <w:p w14:paraId="64D877F3" w14:textId="77777777" w:rsidR="007214E6" w:rsidRDefault="007214E6" w:rsidP="00271753">
      <w:pPr>
        <w:pStyle w:val="CETheadingx"/>
      </w:pPr>
      <w:bookmarkStart w:id="8" w:name="OLE_LINK21"/>
      <w:bookmarkStart w:id="9" w:name="OLE_LINK22"/>
      <w:r>
        <w:t>Control Structure</w:t>
      </w:r>
    </w:p>
    <w:p w14:paraId="5F7E9E5C" w14:textId="77777777" w:rsidR="006F3993" w:rsidRDefault="007214E6" w:rsidP="00271753">
      <w:pPr>
        <w:pStyle w:val="CETBodytext"/>
        <w:spacing w:before="240" w:after="240"/>
      </w:pPr>
      <w:r w:rsidRPr="007214E6">
        <w:t xml:space="preserve">During operation, the objective is to optimize the profit while meeting the product specifications and satisfying other operational constraints. Expected changes in prices, feed rate, etc., will lead to changes in the optimum operating point, and thus in the control objectives. </w:t>
      </w:r>
      <w:r w:rsidR="006F3993" w:rsidRPr="007214E6">
        <w:t>Nevertheless</w:t>
      </w:r>
      <w:r w:rsidRPr="007214E6">
        <w:t xml:space="preserve">, for the sake of this study, </w:t>
      </w:r>
      <w:r w:rsidR="006F3993">
        <w:t>it is</w:t>
      </w:r>
      <w:r w:rsidR="006F3993" w:rsidRPr="007214E6">
        <w:t xml:space="preserve"> </w:t>
      </w:r>
      <w:r w:rsidRPr="007214E6">
        <w:t>assume</w:t>
      </w:r>
      <w:r w:rsidR="006F3993">
        <w:t>d</w:t>
      </w:r>
      <w:r w:rsidRPr="007214E6">
        <w:t xml:space="preserve"> that the operational objectives are the same as </w:t>
      </w:r>
      <w:r w:rsidR="006F3993">
        <w:t>obtained</w:t>
      </w:r>
      <w:r w:rsidR="006F3993" w:rsidRPr="007214E6">
        <w:t xml:space="preserve"> </w:t>
      </w:r>
      <w:r w:rsidR="006F3993">
        <w:t>by</w:t>
      </w:r>
      <w:r w:rsidRPr="007214E6">
        <w:t xml:space="preserve"> the </w:t>
      </w:r>
      <w:r w:rsidR="006F3993">
        <w:t>optimization framework</w:t>
      </w:r>
      <w:r>
        <w:t xml:space="preserve">. </w:t>
      </w:r>
      <w:r w:rsidRPr="007214E6">
        <w:t xml:space="preserve">The proposed control structure developed for the </w:t>
      </w:r>
      <w:r>
        <w:t>conventional NGL recovery</w:t>
      </w:r>
      <w:r w:rsidRPr="007214E6">
        <w:t xml:space="preserve"> system is shown in Figure </w:t>
      </w:r>
      <w:r w:rsidR="006F3993">
        <w:t>3</w:t>
      </w:r>
      <w:r w:rsidRPr="007214E6">
        <w:t>.</w:t>
      </w:r>
    </w:p>
    <w:p w14:paraId="178E1DA5" w14:textId="77777777" w:rsidR="006F3993" w:rsidRDefault="003D5A6C" w:rsidP="00271753">
      <w:pPr>
        <w:pStyle w:val="CETBodytext"/>
        <w:jc w:val="center"/>
      </w:pPr>
      <w:r>
        <w:rPr>
          <w:noProof/>
        </w:rPr>
        <w:drawing>
          <wp:inline distT="0" distB="0" distL="0" distR="0" wp14:anchorId="34EA2E55" wp14:editId="17004DFF">
            <wp:extent cx="5550168" cy="180511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52032" cy="1805724"/>
                    </a:xfrm>
                    <a:prstGeom prst="rect">
                      <a:avLst/>
                    </a:prstGeom>
                    <a:noFill/>
                    <a:ln>
                      <a:noFill/>
                    </a:ln>
                  </pic:spPr>
                </pic:pic>
              </a:graphicData>
            </a:graphic>
          </wp:inline>
        </w:drawing>
      </w:r>
    </w:p>
    <w:p w14:paraId="4213FDD6" w14:textId="77777777" w:rsidR="006F3993" w:rsidRDefault="006F3993" w:rsidP="006F3993">
      <w:pPr>
        <w:spacing w:before="240" w:after="80"/>
        <w:jc w:val="center"/>
        <w:rPr>
          <w:i/>
          <w:lang w:val="en-US"/>
        </w:rPr>
      </w:pPr>
      <w:r w:rsidRPr="00CE4E9B">
        <w:rPr>
          <w:i/>
          <w:lang w:val="en-US"/>
        </w:rPr>
        <w:t>Figure 3: Dynamic simulation (</w:t>
      </w:r>
      <w:r>
        <w:rPr>
          <w:i/>
          <w:lang w:val="en-US"/>
        </w:rPr>
        <w:t>HYSYS</w:t>
      </w:r>
      <w:r w:rsidRPr="00CE4E9B">
        <w:rPr>
          <w:i/>
          <w:lang w:val="en-US"/>
        </w:rPr>
        <w:t>) of conventional NGL recovery unit with different control structures.</w:t>
      </w:r>
    </w:p>
    <w:p w14:paraId="13FDCBBE" w14:textId="77777777" w:rsidR="007214E6" w:rsidRPr="007214E6" w:rsidRDefault="007214E6" w:rsidP="00271753">
      <w:pPr>
        <w:pStyle w:val="CETBodytext"/>
      </w:pPr>
      <w:r w:rsidRPr="007214E6">
        <w:t xml:space="preserve">The specific loops are described as follows: 1. Feed flow rate is controlled by manipulating the power to the </w:t>
      </w:r>
      <w:r w:rsidR="00477E14" w:rsidRPr="00477E14">
        <w:t>turboexpander</w:t>
      </w:r>
      <w:r w:rsidRPr="007214E6">
        <w:t xml:space="preserve">; 2. Column pressure is controlled by manipulating power to the </w:t>
      </w:r>
      <w:r w:rsidR="006F3993">
        <w:t>sales gas</w:t>
      </w:r>
      <w:r w:rsidRPr="007214E6">
        <w:t xml:space="preserve"> </w:t>
      </w:r>
      <w:proofErr w:type="spellStart"/>
      <w:r w:rsidR="006F3993">
        <w:t>re</w:t>
      </w:r>
      <w:r w:rsidRPr="007214E6">
        <w:t>compressor</w:t>
      </w:r>
      <w:proofErr w:type="spellEnd"/>
      <w:r w:rsidRPr="007214E6">
        <w:t xml:space="preserve">, which discharges into a </w:t>
      </w:r>
      <w:r w:rsidR="00477E14">
        <w:t>4000</w:t>
      </w:r>
      <w:r w:rsidRPr="007214E6">
        <w:t xml:space="preserve"> </w:t>
      </w:r>
      <w:r w:rsidR="00477E14">
        <w:t>kPa</w:t>
      </w:r>
      <w:r w:rsidRPr="007214E6">
        <w:t xml:space="preserve"> pipeline; 3. The temperature in the first </w:t>
      </w:r>
      <w:r w:rsidR="006F3993">
        <w:t>separator</w:t>
      </w:r>
      <w:r w:rsidRPr="007214E6">
        <w:t xml:space="preserve"> is controlled by manipulating the refrigerant duty in the </w:t>
      </w:r>
      <w:r w:rsidR="006F3993">
        <w:t>chiller</w:t>
      </w:r>
      <w:r w:rsidRPr="007214E6">
        <w:t>; 4. The level</w:t>
      </w:r>
      <w:r w:rsidR="006F3993">
        <w:t>s</w:t>
      </w:r>
      <w:r w:rsidRPr="007214E6">
        <w:t xml:space="preserve"> in the </w:t>
      </w:r>
      <w:r w:rsidR="00690F1D">
        <w:t>two</w:t>
      </w:r>
      <w:r w:rsidR="006F3993">
        <w:t xml:space="preserve"> separators are</w:t>
      </w:r>
      <w:r w:rsidRPr="007214E6">
        <w:t xml:space="preserve"> controlled by manipulating valve</w:t>
      </w:r>
      <w:r w:rsidR="006F3993">
        <w:t>s</w:t>
      </w:r>
      <w:r w:rsidRPr="007214E6">
        <w:t xml:space="preserve"> in the liquid line</w:t>
      </w:r>
      <w:r w:rsidR="006F3993">
        <w:t>s</w:t>
      </w:r>
      <w:r w:rsidRPr="007214E6">
        <w:t xml:space="preserve"> from the drum</w:t>
      </w:r>
      <w:r w:rsidR="006F3993">
        <w:t>s; 5</w:t>
      </w:r>
      <w:r w:rsidRPr="007214E6">
        <w:t xml:space="preserve">. Liquid level in the column </w:t>
      </w:r>
      <w:r w:rsidR="00690F1D">
        <w:t xml:space="preserve">reboiler </w:t>
      </w:r>
      <w:r w:rsidRPr="007214E6">
        <w:t>is controlled by manipulating the bottoms.</w:t>
      </w:r>
    </w:p>
    <w:bookmarkEnd w:id="8"/>
    <w:bookmarkEnd w:id="9"/>
    <w:p w14:paraId="0A7DF911" w14:textId="77777777" w:rsidR="00406E17" w:rsidRDefault="00406E17" w:rsidP="003D49E4">
      <w:pPr>
        <w:pStyle w:val="CETHeading1"/>
      </w:pPr>
      <w:r>
        <w:t>Results and discussion</w:t>
      </w:r>
    </w:p>
    <w:p w14:paraId="1DC8A7C4" w14:textId="77777777" w:rsidR="003D49E4" w:rsidRDefault="006018DC" w:rsidP="009201EF">
      <w:pPr>
        <w:pStyle w:val="CETheadingx"/>
      </w:pPr>
      <w:r>
        <w:t>Optimization framework</w:t>
      </w:r>
    </w:p>
    <w:p w14:paraId="35D8D296" w14:textId="77777777" w:rsidR="00377E90" w:rsidRPr="00420A48" w:rsidRDefault="00377E90" w:rsidP="00377E90">
      <w:pPr>
        <w:pStyle w:val="CETBodytext"/>
      </w:pPr>
      <w:r w:rsidRPr="00420A48">
        <w:t xml:space="preserve">Optimal decision variables are enlisted in Table 2. In the case of the number of trays for the </w:t>
      </w:r>
      <w:proofErr w:type="spellStart"/>
      <w:r w:rsidRPr="00420A48">
        <w:t>demethanizer</w:t>
      </w:r>
      <w:proofErr w:type="spellEnd"/>
      <w:r w:rsidRPr="00420A48">
        <w:t xml:space="preserve">, the </w:t>
      </w:r>
      <w:r w:rsidR="00C23B39">
        <w:t>l</w:t>
      </w:r>
      <w:r w:rsidRPr="00420A48">
        <w:t xml:space="preserve">ean </w:t>
      </w:r>
      <w:r w:rsidR="00C23B39">
        <w:t>g</w:t>
      </w:r>
      <w:r w:rsidRPr="00420A48">
        <w:t xml:space="preserve">as selects a lower number when compared with the </w:t>
      </w:r>
      <w:r w:rsidR="00C23B39">
        <w:t>r</w:t>
      </w:r>
      <w:r w:rsidRPr="00420A48">
        <w:t xml:space="preserve">ich </w:t>
      </w:r>
      <w:r w:rsidR="00C23B39">
        <w:t>g</w:t>
      </w:r>
      <w:r w:rsidRPr="00420A48">
        <w:t xml:space="preserve">as. Moreover, the </w:t>
      </w:r>
      <w:r w:rsidR="00C23B39">
        <w:t>r</w:t>
      </w:r>
      <w:r w:rsidR="00653EBD">
        <w:t>ich</w:t>
      </w:r>
      <w:r w:rsidRPr="00420A48">
        <w:t xml:space="preserve"> </w:t>
      </w:r>
      <w:r w:rsidR="00C23B39">
        <w:t>g</w:t>
      </w:r>
      <w:r w:rsidR="00653EBD">
        <w:t>as</w:t>
      </w:r>
      <w:r w:rsidRPr="00420A48">
        <w:t xml:space="preserve"> seeks the </w:t>
      </w:r>
      <w:r w:rsidR="00420A48" w:rsidRPr="00420A48">
        <w:t xml:space="preserve">maximization of the </w:t>
      </w:r>
      <w:r w:rsidR="00653EBD">
        <w:t xml:space="preserve">NGL recovery because of the higher revenues it generates. In the case of the </w:t>
      </w:r>
      <w:r w:rsidR="00F75AD1">
        <w:t>l</w:t>
      </w:r>
      <w:r w:rsidR="00653EBD">
        <w:t xml:space="preserve">ean </w:t>
      </w:r>
      <w:r w:rsidR="00F75AD1">
        <w:t>g</w:t>
      </w:r>
      <w:r w:rsidR="00653EBD">
        <w:t xml:space="preserve">as, the recovery plays a secondary role because </w:t>
      </w:r>
      <w:r w:rsidR="00C372DF">
        <w:t>it seeks to increase the profitability by adjusting other operational conditions</w:t>
      </w:r>
      <w:r w:rsidR="00F75AD1">
        <w:t xml:space="preserve"> which optimized the use of the operational expenditures</w:t>
      </w:r>
      <w:r w:rsidR="00C372DF">
        <w:t>.</w:t>
      </w:r>
    </w:p>
    <w:p w14:paraId="5A1389CD" w14:textId="77777777" w:rsidR="004B51AA" w:rsidRDefault="004B51AA" w:rsidP="00943BE7">
      <w:pPr>
        <w:pStyle w:val="CETTabletitle"/>
      </w:pPr>
      <w:r w:rsidRPr="00B57B36">
        <w:lastRenderedPageBreak/>
        <w:t xml:space="preserve">Table </w:t>
      </w:r>
      <w:r>
        <w:t>2</w:t>
      </w:r>
      <w:r w:rsidRPr="00B57B36">
        <w:t xml:space="preserve">: </w:t>
      </w:r>
      <w:r>
        <w:t xml:space="preserve">Results for evaluated case </w:t>
      </w:r>
      <w:r w:rsidR="00D858C0">
        <w:t>studies</w:t>
      </w:r>
      <w:r>
        <w:t>.</w:t>
      </w:r>
    </w:p>
    <w:tbl>
      <w:tblPr>
        <w:tblW w:w="8208" w:type="dxa"/>
        <w:tblLook w:val="04A0" w:firstRow="1" w:lastRow="0" w:firstColumn="1" w:lastColumn="0" w:noHBand="0" w:noVBand="1"/>
      </w:tblPr>
      <w:tblGrid>
        <w:gridCol w:w="2790"/>
        <w:gridCol w:w="1223"/>
        <w:gridCol w:w="1297"/>
        <w:gridCol w:w="1381"/>
        <w:gridCol w:w="1517"/>
      </w:tblGrid>
      <w:tr w:rsidR="00943BE7" w:rsidRPr="00943BE7" w14:paraId="2A55E43A" w14:textId="77777777" w:rsidTr="005263F6">
        <w:trPr>
          <w:trHeight w:val="144"/>
        </w:trPr>
        <w:tc>
          <w:tcPr>
            <w:tcW w:w="2790" w:type="dxa"/>
            <w:tcBorders>
              <w:top w:val="single" w:sz="12" w:space="0" w:color="008000"/>
              <w:left w:val="nil"/>
              <w:bottom w:val="single" w:sz="8" w:space="0" w:color="008000"/>
              <w:right w:val="nil"/>
            </w:tcBorders>
            <w:shd w:val="clear" w:color="000000" w:fill="FFFFFF"/>
            <w:vAlign w:val="center"/>
            <w:hideMark/>
          </w:tcPr>
          <w:p w14:paraId="3A9A57FD" w14:textId="77777777" w:rsidR="00943BE7" w:rsidRPr="00943BE7" w:rsidRDefault="00943BE7" w:rsidP="00943BE7">
            <w:pPr>
              <w:tabs>
                <w:tab w:val="clear" w:pos="7100"/>
              </w:tabs>
              <w:spacing w:line="240" w:lineRule="auto"/>
              <w:jc w:val="left"/>
              <w:rPr>
                <w:rFonts w:cs="Arial"/>
                <w:b/>
                <w:bCs/>
                <w:color w:val="000000"/>
                <w:szCs w:val="18"/>
                <w:lang w:val="en-US"/>
              </w:rPr>
            </w:pPr>
            <w:r w:rsidRPr="00943BE7">
              <w:rPr>
                <w:rFonts w:cs="Arial"/>
                <w:b/>
                <w:bCs/>
                <w:color w:val="000000"/>
                <w:szCs w:val="18"/>
                <w:lang w:val="en-US"/>
              </w:rPr>
              <w:t>Decision variable</w:t>
            </w:r>
          </w:p>
        </w:tc>
        <w:tc>
          <w:tcPr>
            <w:tcW w:w="1223" w:type="dxa"/>
            <w:tcBorders>
              <w:top w:val="single" w:sz="12" w:space="0" w:color="008000"/>
              <w:left w:val="nil"/>
              <w:bottom w:val="single" w:sz="8" w:space="0" w:color="008000"/>
              <w:right w:val="nil"/>
            </w:tcBorders>
            <w:shd w:val="clear" w:color="000000" w:fill="FFFFFF"/>
            <w:vAlign w:val="center"/>
            <w:hideMark/>
          </w:tcPr>
          <w:p w14:paraId="4E2E4892" w14:textId="77777777" w:rsidR="00943BE7" w:rsidRPr="00943BE7" w:rsidRDefault="00943BE7" w:rsidP="00943BE7">
            <w:pPr>
              <w:tabs>
                <w:tab w:val="clear" w:pos="7100"/>
              </w:tabs>
              <w:spacing w:line="240" w:lineRule="auto"/>
              <w:jc w:val="left"/>
              <w:rPr>
                <w:rFonts w:cs="Arial"/>
                <w:b/>
                <w:bCs/>
                <w:color w:val="000000"/>
                <w:szCs w:val="18"/>
                <w:lang w:val="en-US"/>
              </w:rPr>
            </w:pPr>
            <w:r w:rsidRPr="00943BE7">
              <w:rPr>
                <w:rFonts w:cs="Arial"/>
                <w:b/>
                <w:bCs/>
                <w:color w:val="000000"/>
                <w:szCs w:val="18"/>
                <w:lang w:val="en-US"/>
              </w:rPr>
              <w:t>Domain</w:t>
            </w:r>
          </w:p>
        </w:tc>
        <w:tc>
          <w:tcPr>
            <w:tcW w:w="1297" w:type="dxa"/>
            <w:tcBorders>
              <w:top w:val="single" w:sz="12" w:space="0" w:color="008000"/>
              <w:left w:val="nil"/>
              <w:bottom w:val="single" w:sz="8" w:space="0" w:color="008000"/>
              <w:right w:val="nil"/>
            </w:tcBorders>
            <w:shd w:val="clear" w:color="000000" w:fill="FFFFFF"/>
            <w:vAlign w:val="center"/>
            <w:hideMark/>
          </w:tcPr>
          <w:p w14:paraId="60A2E3B3" w14:textId="77777777" w:rsidR="00943BE7" w:rsidRPr="00943BE7" w:rsidRDefault="00943BE7" w:rsidP="00943BE7">
            <w:pPr>
              <w:tabs>
                <w:tab w:val="clear" w:pos="7100"/>
              </w:tabs>
              <w:spacing w:line="240" w:lineRule="auto"/>
              <w:jc w:val="center"/>
              <w:rPr>
                <w:rFonts w:cs="Arial"/>
                <w:b/>
                <w:bCs/>
                <w:color w:val="000000"/>
                <w:szCs w:val="18"/>
                <w:lang w:val="en-US"/>
              </w:rPr>
            </w:pPr>
            <w:r w:rsidRPr="00943BE7">
              <w:rPr>
                <w:rFonts w:cs="Arial"/>
                <w:b/>
                <w:bCs/>
                <w:color w:val="000000"/>
                <w:szCs w:val="18"/>
                <w:lang w:val="en-US"/>
              </w:rPr>
              <w:t>Units</w:t>
            </w:r>
          </w:p>
        </w:tc>
        <w:tc>
          <w:tcPr>
            <w:tcW w:w="1381" w:type="dxa"/>
            <w:tcBorders>
              <w:top w:val="single" w:sz="12" w:space="0" w:color="008000"/>
              <w:left w:val="nil"/>
              <w:bottom w:val="single" w:sz="8" w:space="0" w:color="008000"/>
              <w:right w:val="nil"/>
            </w:tcBorders>
            <w:shd w:val="clear" w:color="000000" w:fill="FFFFFF"/>
            <w:vAlign w:val="center"/>
            <w:hideMark/>
          </w:tcPr>
          <w:p w14:paraId="640641FC" w14:textId="77777777" w:rsidR="00943BE7" w:rsidRPr="0062758C" w:rsidRDefault="00943BE7" w:rsidP="00943BE7">
            <w:pPr>
              <w:tabs>
                <w:tab w:val="clear" w:pos="7100"/>
              </w:tabs>
              <w:spacing w:line="240" w:lineRule="auto"/>
              <w:jc w:val="center"/>
              <w:rPr>
                <w:rFonts w:cs="Arial"/>
                <w:b/>
                <w:bCs/>
                <w:color w:val="000000"/>
                <w:szCs w:val="18"/>
                <w:lang w:val="en-US"/>
              </w:rPr>
            </w:pPr>
            <w:r w:rsidRPr="0062758C">
              <w:rPr>
                <w:rFonts w:cs="Arial"/>
                <w:b/>
                <w:bCs/>
                <w:color w:val="000000"/>
                <w:szCs w:val="18"/>
              </w:rPr>
              <w:t xml:space="preserve">Case Study </w:t>
            </w:r>
            <w:r>
              <w:rPr>
                <w:rFonts w:cs="Arial"/>
                <w:b/>
                <w:bCs/>
                <w:color w:val="000000"/>
                <w:szCs w:val="18"/>
              </w:rPr>
              <w:t>I</w:t>
            </w:r>
            <w:r w:rsidRPr="0062758C">
              <w:rPr>
                <w:rFonts w:cs="Arial"/>
                <w:b/>
                <w:bCs/>
                <w:color w:val="000000"/>
                <w:szCs w:val="18"/>
              </w:rPr>
              <w:t xml:space="preserve"> (Lean Gas)</w:t>
            </w:r>
          </w:p>
        </w:tc>
        <w:tc>
          <w:tcPr>
            <w:tcW w:w="1517" w:type="dxa"/>
            <w:tcBorders>
              <w:top w:val="single" w:sz="12" w:space="0" w:color="008000"/>
              <w:left w:val="nil"/>
              <w:bottom w:val="single" w:sz="8" w:space="0" w:color="008000"/>
              <w:right w:val="nil"/>
            </w:tcBorders>
            <w:shd w:val="clear" w:color="000000" w:fill="FFFFFF"/>
            <w:vAlign w:val="center"/>
            <w:hideMark/>
          </w:tcPr>
          <w:p w14:paraId="5F1E5954" w14:textId="77777777" w:rsidR="00943BE7" w:rsidRPr="0062758C" w:rsidRDefault="00943BE7" w:rsidP="00943BE7">
            <w:pPr>
              <w:tabs>
                <w:tab w:val="clear" w:pos="7100"/>
              </w:tabs>
              <w:spacing w:line="240" w:lineRule="auto"/>
              <w:jc w:val="center"/>
              <w:rPr>
                <w:rFonts w:cs="Arial"/>
                <w:b/>
                <w:bCs/>
                <w:color w:val="000000"/>
                <w:szCs w:val="18"/>
                <w:lang w:val="en-US"/>
              </w:rPr>
            </w:pPr>
            <w:r w:rsidRPr="0062758C">
              <w:rPr>
                <w:rFonts w:cs="Arial"/>
                <w:b/>
                <w:bCs/>
                <w:color w:val="000000"/>
                <w:szCs w:val="18"/>
              </w:rPr>
              <w:t xml:space="preserve">Case Study </w:t>
            </w:r>
            <w:r>
              <w:rPr>
                <w:rFonts w:cs="Arial"/>
                <w:b/>
                <w:bCs/>
                <w:color w:val="000000"/>
                <w:szCs w:val="18"/>
              </w:rPr>
              <w:t>II</w:t>
            </w:r>
            <w:r w:rsidRPr="0062758C">
              <w:rPr>
                <w:rFonts w:cs="Arial"/>
                <w:b/>
                <w:bCs/>
                <w:color w:val="000000"/>
                <w:szCs w:val="18"/>
              </w:rPr>
              <w:t xml:space="preserve"> (Rich Gas)</w:t>
            </w:r>
          </w:p>
        </w:tc>
      </w:tr>
      <w:tr w:rsidR="00943BE7" w:rsidRPr="00943BE7" w14:paraId="20397DC5" w14:textId="77777777" w:rsidTr="005263F6">
        <w:trPr>
          <w:trHeight w:val="144"/>
        </w:trPr>
        <w:tc>
          <w:tcPr>
            <w:tcW w:w="2790" w:type="dxa"/>
            <w:tcBorders>
              <w:top w:val="nil"/>
              <w:left w:val="nil"/>
              <w:bottom w:val="nil"/>
              <w:right w:val="nil"/>
            </w:tcBorders>
            <w:shd w:val="clear" w:color="000000" w:fill="FFFFFF"/>
            <w:vAlign w:val="center"/>
            <w:hideMark/>
          </w:tcPr>
          <w:p w14:paraId="3C215073" w14:textId="77777777" w:rsidR="00943BE7" w:rsidRPr="00943BE7" w:rsidRDefault="00943BE7" w:rsidP="00943BE7">
            <w:pPr>
              <w:tabs>
                <w:tab w:val="clear" w:pos="7100"/>
              </w:tabs>
              <w:spacing w:line="240" w:lineRule="auto"/>
              <w:jc w:val="left"/>
              <w:rPr>
                <w:rFonts w:cs="Arial"/>
                <w:color w:val="000000"/>
                <w:szCs w:val="18"/>
                <w:lang w:val="en-US"/>
              </w:rPr>
            </w:pPr>
            <w:r w:rsidRPr="00943BE7">
              <w:rPr>
                <w:rFonts w:cs="Arial"/>
                <w:color w:val="000000"/>
                <w:szCs w:val="18"/>
                <w:lang w:val="en-US"/>
              </w:rPr>
              <w:t>Chiller inlet temperature</w:t>
            </w:r>
          </w:p>
        </w:tc>
        <w:tc>
          <w:tcPr>
            <w:tcW w:w="1223" w:type="dxa"/>
            <w:tcBorders>
              <w:top w:val="nil"/>
              <w:left w:val="nil"/>
              <w:bottom w:val="nil"/>
              <w:right w:val="nil"/>
            </w:tcBorders>
            <w:shd w:val="clear" w:color="000000" w:fill="FFFFFF"/>
            <w:vAlign w:val="center"/>
            <w:hideMark/>
          </w:tcPr>
          <w:p w14:paraId="65181B46" w14:textId="77777777" w:rsidR="00943BE7" w:rsidRPr="00943BE7" w:rsidRDefault="00943BE7" w:rsidP="00F75AD1">
            <w:pPr>
              <w:tabs>
                <w:tab w:val="clear" w:pos="7100"/>
              </w:tabs>
              <w:spacing w:line="240" w:lineRule="auto"/>
              <w:jc w:val="left"/>
              <w:rPr>
                <w:rFonts w:cs="Arial"/>
                <w:color w:val="000000"/>
                <w:szCs w:val="18"/>
                <w:lang w:val="en-US"/>
              </w:rPr>
            </w:pPr>
            <w:r w:rsidRPr="00943BE7">
              <w:rPr>
                <w:rFonts w:cs="Arial"/>
                <w:color w:val="000000"/>
                <w:szCs w:val="18"/>
                <w:lang w:val="en-US"/>
              </w:rPr>
              <w:t xml:space="preserve">[-20, </w:t>
            </w:r>
            <w:r w:rsidR="00C23B39">
              <w:rPr>
                <w:rFonts w:cs="Arial"/>
                <w:color w:val="000000"/>
                <w:szCs w:val="18"/>
                <w:lang w:val="en-US"/>
              </w:rPr>
              <w:t>5</w:t>
            </w:r>
            <w:r w:rsidRPr="00943BE7">
              <w:rPr>
                <w:rFonts w:cs="Arial"/>
                <w:color w:val="000000"/>
                <w:szCs w:val="18"/>
                <w:lang w:val="en-US"/>
              </w:rPr>
              <w:t>]</w:t>
            </w:r>
          </w:p>
        </w:tc>
        <w:tc>
          <w:tcPr>
            <w:tcW w:w="1297" w:type="dxa"/>
            <w:tcBorders>
              <w:top w:val="nil"/>
              <w:left w:val="nil"/>
              <w:bottom w:val="nil"/>
              <w:right w:val="nil"/>
            </w:tcBorders>
            <w:shd w:val="clear" w:color="000000" w:fill="FFFFFF"/>
            <w:vAlign w:val="center"/>
            <w:hideMark/>
          </w:tcPr>
          <w:p w14:paraId="68DB41EA" w14:textId="77777777" w:rsidR="00943BE7" w:rsidRPr="00943BE7" w:rsidRDefault="00943BE7" w:rsidP="00943BE7">
            <w:pPr>
              <w:tabs>
                <w:tab w:val="clear" w:pos="7100"/>
              </w:tabs>
              <w:spacing w:line="240" w:lineRule="auto"/>
              <w:jc w:val="center"/>
              <w:rPr>
                <w:rFonts w:cs="Arial"/>
                <w:color w:val="000000"/>
                <w:szCs w:val="18"/>
                <w:lang w:val="en-US"/>
              </w:rPr>
            </w:pPr>
            <w:r w:rsidRPr="00943BE7">
              <w:rPr>
                <w:rFonts w:cs="Arial"/>
                <w:color w:val="000000"/>
                <w:szCs w:val="18"/>
                <w:lang w:val="en-US"/>
              </w:rPr>
              <w:t>°C</w:t>
            </w:r>
          </w:p>
        </w:tc>
        <w:tc>
          <w:tcPr>
            <w:tcW w:w="1381" w:type="dxa"/>
            <w:tcBorders>
              <w:top w:val="nil"/>
              <w:left w:val="nil"/>
              <w:bottom w:val="nil"/>
              <w:right w:val="nil"/>
            </w:tcBorders>
            <w:shd w:val="clear" w:color="000000" w:fill="FFFFFF"/>
            <w:vAlign w:val="center"/>
            <w:hideMark/>
          </w:tcPr>
          <w:p w14:paraId="3E7CA704" w14:textId="77777777" w:rsidR="00943BE7" w:rsidRPr="00943BE7" w:rsidRDefault="00C23B39" w:rsidP="00F75AD1">
            <w:pPr>
              <w:tabs>
                <w:tab w:val="clear" w:pos="7100"/>
              </w:tabs>
              <w:spacing w:line="240" w:lineRule="auto"/>
              <w:jc w:val="center"/>
              <w:rPr>
                <w:rFonts w:cs="Arial"/>
                <w:color w:val="000000"/>
                <w:szCs w:val="18"/>
                <w:lang w:val="en-US"/>
              </w:rPr>
            </w:pPr>
            <w:r>
              <w:rPr>
                <w:rFonts w:cs="Arial"/>
                <w:color w:val="000000"/>
                <w:szCs w:val="18"/>
                <w:lang w:val="en-US"/>
              </w:rPr>
              <w:t>3.62</w:t>
            </w:r>
          </w:p>
        </w:tc>
        <w:tc>
          <w:tcPr>
            <w:tcW w:w="1517" w:type="dxa"/>
            <w:tcBorders>
              <w:top w:val="nil"/>
              <w:left w:val="nil"/>
              <w:bottom w:val="nil"/>
              <w:right w:val="nil"/>
            </w:tcBorders>
            <w:shd w:val="clear" w:color="000000" w:fill="FFFFFF"/>
            <w:vAlign w:val="center"/>
            <w:hideMark/>
          </w:tcPr>
          <w:p w14:paraId="4F202BB4" w14:textId="77777777" w:rsidR="00943BE7" w:rsidRPr="00943BE7" w:rsidRDefault="00943BE7">
            <w:pPr>
              <w:tabs>
                <w:tab w:val="clear" w:pos="7100"/>
              </w:tabs>
              <w:spacing w:line="240" w:lineRule="auto"/>
              <w:jc w:val="center"/>
              <w:rPr>
                <w:rFonts w:cs="Arial"/>
                <w:color w:val="000000"/>
                <w:szCs w:val="18"/>
                <w:lang w:val="en-US"/>
              </w:rPr>
            </w:pPr>
            <w:r w:rsidRPr="00943BE7">
              <w:rPr>
                <w:rFonts w:cs="Arial"/>
                <w:color w:val="000000"/>
                <w:szCs w:val="18"/>
                <w:lang w:val="en-US"/>
              </w:rPr>
              <w:t>4.</w:t>
            </w:r>
            <w:r w:rsidR="003D17D0">
              <w:rPr>
                <w:rFonts w:cs="Arial"/>
                <w:color w:val="000000"/>
                <w:szCs w:val="18"/>
                <w:lang w:val="en-US"/>
              </w:rPr>
              <w:t>69</w:t>
            </w:r>
          </w:p>
        </w:tc>
      </w:tr>
      <w:tr w:rsidR="00943BE7" w:rsidRPr="00943BE7" w14:paraId="6561B7CB" w14:textId="77777777" w:rsidTr="005263F6">
        <w:trPr>
          <w:trHeight w:val="144"/>
        </w:trPr>
        <w:tc>
          <w:tcPr>
            <w:tcW w:w="2790" w:type="dxa"/>
            <w:tcBorders>
              <w:top w:val="nil"/>
              <w:left w:val="nil"/>
              <w:bottom w:val="nil"/>
              <w:right w:val="nil"/>
            </w:tcBorders>
            <w:shd w:val="clear" w:color="000000" w:fill="FFFFFF"/>
            <w:vAlign w:val="center"/>
            <w:hideMark/>
          </w:tcPr>
          <w:p w14:paraId="589ABF30" w14:textId="77777777" w:rsidR="00943BE7" w:rsidRPr="00943BE7" w:rsidRDefault="00943BE7" w:rsidP="00943BE7">
            <w:pPr>
              <w:tabs>
                <w:tab w:val="clear" w:pos="7100"/>
              </w:tabs>
              <w:spacing w:line="240" w:lineRule="auto"/>
              <w:jc w:val="left"/>
              <w:rPr>
                <w:rFonts w:cs="Arial"/>
                <w:color w:val="000000"/>
                <w:szCs w:val="18"/>
                <w:lang w:val="en-US"/>
              </w:rPr>
            </w:pPr>
            <w:r w:rsidRPr="00943BE7">
              <w:rPr>
                <w:rFonts w:cs="Arial"/>
                <w:color w:val="000000"/>
                <w:szCs w:val="18"/>
                <w:lang w:val="en-US"/>
              </w:rPr>
              <w:t>Chiller outlet temperature</w:t>
            </w:r>
          </w:p>
        </w:tc>
        <w:tc>
          <w:tcPr>
            <w:tcW w:w="1223" w:type="dxa"/>
            <w:tcBorders>
              <w:top w:val="nil"/>
              <w:left w:val="nil"/>
              <w:bottom w:val="nil"/>
              <w:right w:val="nil"/>
            </w:tcBorders>
            <w:shd w:val="clear" w:color="000000" w:fill="FFFFFF"/>
            <w:vAlign w:val="center"/>
            <w:hideMark/>
          </w:tcPr>
          <w:p w14:paraId="43A57F5C" w14:textId="77777777" w:rsidR="00943BE7" w:rsidRPr="00943BE7" w:rsidRDefault="00943BE7" w:rsidP="00943BE7">
            <w:pPr>
              <w:tabs>
                <w:tab w:val="clear" w:pos="7100"/>
              </w:tabs>
              <w:spacing w:line="240" w:lineRule="auto"/>
              <w:jc w:val="left"/>
              <w:rPr>
                <w:rFonts w:cs="Arial"/>
                <w:color w:val="000000"/>
                <w:szCs w:val="18"/>
                <w:lang w:val="en-US"/>
              </w:rPr>
            </w:pPr>
            <w:r w:rsidRPr="00943BE7">
              <w:rPr>
                <w:rFonts w:cs="Arial"/>
                <w:color w:val="000000"/>
                <w:szCs w:val="18"/>
                <w:lang w:val="en-US"/>
              </w:rPr>
              <w:t>[-40, -20]</w:t>
            </w:r>
          </w:p>
        </w:tc>
        <w:tc>
          <w:tcPr>
            <w:tcW w:w="1297" w:type="dxa"/>
            <w:tcBorders>
              <w:top w:val="nil"/>
              <w:left w:val="nil"/>
              <w:bottom w:val="nil"/>
              <w:right w:val="nil"/>
            </w:tcBorders>
            <w:shd w:val="clear" w:color="000000" w:fill="FFFFFF"/>
            <w:vAlign w:val="center"/>
            <w:hideMark/>
          </w:tcPr>
          <w:p w14:paraId="3F13CDFB" w14:textId="77777777" w:rsidR="00943BE7" w:rsidRPr="00943BE7" w:rsidRDefault="00943BE7" w:rsidP="00943BE7">
            <w:pPr>
              <w:tabs>
                <w:tab w:val="clear" w:pos="7100"/>
              </w:tabs>
              <w:spacing w:line="240" w:lineRule="auto"/>
              <w:jc w:val="center"/>
              <w:rPr>
                <w:rFonts w:cs="Arial"/>
                <w:color w:val="000000"/>
                <w:szCs w:val="18"/>
                <w:lang w:val="en-US"/>
              </w:rPr>
            </w:pPr>
            <w:r w:rsidRPr="00943BE7">
              <w:rPr>
                <w:rFonts w:cs="Arial"/>
                <w:color w:val="000000"/>
                <w:szCs w:val="18"/>
                <w:lang w:val="en-US"/>
              </w:rPr>
              <w:t>°C</w:t>
            </w:r>
          </w:p>
        </w:tc>
        <w:tc>
          <w:tcPr>
            <w:tcW w:w="1381" w:type="dxa"/>
            <w:tcBorders>
              <w:top w:val="nil"/>
              <w:left w:val="nil"/>
              <w:bottom w:val="nil"/>
              <w:right w:val="nil"/>
            </w:tcBorders>
            <w:shd w:val="clear" w:color="000000" w:fill="FFFFFF"/>
            <w:vAlign w:val="center"/>
            <w:hideMark/>
          </w:tcPr>
          <w:p w14:paraId="75D1DCB0" w14:textId="77777777" w:rsidR="00943BE7" w:rsidRPr="00943BE7" w:rsidRDefault="00943BE7" w:rsidP="00F75AD1">
            <w:pPr>
              <w:tabs>
                <w:tab w:val="clear" w:pos="7100"/>
              </w:tabs>
              <w:spacing w:line="240" w:lineRule="auto"/>
              <w:jc w:val="center"/>
              <w:rPr>
                <w:rFonts w:cs="Arial"/>
                <w:color w:val="000000"/>
                <w:szCs w:val="18"/>
                <w:lang w:val="en-US"/>
              </w:rPr>
            </w:pPr>
            <w:r w:rsidRPr="00943BE7">
              <w:rPr>
                <w:rFonts w:cs="Arial"/>
                <w:color w:val="000000"/>
                <w:szCs w:val="18"/>
                <w:lang w:val="en-US"/>
              </w:rPr>
              <w:t>-</w:t>
            </w:r>
            <w:r w:rsidR="00C23B39">
              <w:rPr>
                <w:rFonts w:cs="Arial"/>
                <w:color w:val="000000"/>
                <w:szCs w:val="18"/>
                <w:lang w:val="en-US"/>
              </w:rPr>
              <w:t>40</w:t>
            </w:r>
          </w:p>
        </w:tc>
        <w:tc>
          <w:tcPr>
            <w:tcW w:w="1517" w:type="dxa"/>
            <w:tcBorders>
              <w:top w:val="nil"/>
              <w:left w:val="nil"/>
              <w:bottom w:val="nil"/>
              <w:right w:val="nil"/>
            </w:tcBorders>
            <w:shd w:val="clear" w:color="000000" w:fill="FFFFFF"/>
            <w:vAlign w:val="center"/>
            <w:hideMark/>
          </w:tcPr>
          <w:p w14:paraId="0F0C4939" w14:textId="77777777" w:rsidR="00943BE7" w:rsidRPr="00943BE7" w:rsidRDefault="00943BE7">
            <w:pPr>
              <w:tabs>
                <w:tab w:val="clear" w:pos="7100"/>
              </w:tabs>
              <w:spacing w:line="240" w:lineRule="auto"/>
              <w:jc w:val="center"/>
              <w:rPr>
                <w:rFonts w:cs="Arial"/>
                <w:color w:val="000000"/>
                <w:szCs w:val="18"/>
                <w:lang w:val="en-US"/>
              </w:rPr>
            </w:pPr>
            <w:r w:rsidRPr="00943BE7">
              <w:rPr>
                <w:rFonts w:cs="Arial"/>
                <w:color w:val="000000"/>
                <w:szCs w:val="18"/>
                <w:lang w:val="en-US"/>
              </w:rPr>
              <w:t>-</w:t>
            </w:r>
            <w:r w:rsidR="003D17D0">
              <w:rPr>
                <w:rFonts w:cs="Arial"/>
                <w:color w:val="000000"/>
                <w:szCs w:val="18"/>
                <w:lang w:val="en-US"/>
              </w:rPr>
              <w:t>40</w:t>
            </w:r>
          </w:p>
        </w:tc>
      </w:tr>
      <w:tr w:rsidR="00943BE7" w:rsidRPr="00943BE7" w14:paraId="4B5A808F" w14:textId="77777777" w:rsidTr="005263F6">
        <w:trPr>
          <w:trHeight w:val="144"/>
        </w:trPr>
        <w:tc>
          <w:tcPr>
            <w:tcW w:w="2790" w:type="dxa"/>
            <w:tcBorders>
              <w:top w:val="nil"/>
              <w:left w:val="nil"/>
              <w:bottom w:val="nil"/>
              <w:right w:val="nil"/>
            </w:tcBorders>
            <w:shd w:val="clear" w:color="000000" w:fill="FFFFFF"/>
            <w:vAlign w:val="center"/>
            <w:hideMark/>
          </w:tcPr>
          <w:p w14:paraId="70D4C767" w14:textId="77777777" w:rsidR="00943BE7" w:rsidRPr="00943BE7" w:rsidRDefault="00943BE7" w:rsidP="00943BE7">
            <w:pPr>
              <w:tabs>
                <w:tab w:val="clear" w:pos="7100"/>
              </w:tabs>
              <w:spacing w:line="240" w:lineRule="auto"/>
              <w:jc w:val="left"/>
              <w:rPr>
                <w:rFonts w:cs="Arial"/>
                <w:color w:val="000000"/>
                <w:szCs w:val="18"/>
                <w:lang w:val="en-US"/>
              </w:rPr>
            </w:pPr>
            <w:r w:rsidRPr="00943BE7">
              <w:rPr>
                <w:rFonts w:cs="Arial"/>
                <w:color w:val="000000"/>
                <w:szCs w:val="18"/>
                <w:lang w:val="en-US"/>
              </w:rPr>
              <w:t>Separator-02 inlet temperature</w:t>
            </w:r>
          </w:p>
        </w:tc>
        <w:tc>
          <w:tcPr>
            <w:tcW w:w="1223" w:type="dxa"/>
            <w:tcBorders>
              <w:top w:val="nil"/>
              <w:left w:val="nil"/>
              <w:bottom w:val="nil"/>
              <w:right w:val="nil"/>
            </w:tcBorders>
            <w:shd w:val="clear" w:color="000000" w:fill="FFFFFF"/>
            <w:vAlign w:val="center"/>
            <w:hideMark/>
          </w:tcPr>
          <w:p w14:paraId="2DF2A066" w14:textId="77777777" w:rsidR="00943BE7" w:rsidRPr="00943BE7" w:rsidRDefault="00943BE7" w:rsidP="00943BE7">
            <w:pPr>
              <w:tabs>
                <w:tab w:val="clear" w:pos="7100"/>
              </w:tabs>
              <w:spacing w:line="240" w:lineRule="auto"/>
              <w:jc w:val="left"/>
              <w:rPr>
                <w:rFonts w:cs="Arial"/>
                <w:color w:val="000000"/>
                <w:szCs w:val="18"/>
                <w:lang w:val="en-US"/>
              </w:rPr>
            </w:pPr>
            <w:r w:rsidRPr="00943BE7">
              <w:rPr>
                <w:rFonts w:cs="Arial"/>
                <w:color w:val="000000"/>
                <w:szCs w:val="18"/>
                <w:lang w:val="en-US"/>
              </w:rPr>
              <w:t>[-70, -40]</w:t>
            </w:r>
          </w:p>
        </w:tc>
        <w:tc>
          <w:tcPr>
            <w:tcW w:w="1297" w:type="dxa"/>
            <w:tcBorders>
              <w:top w:val="nil"/>
              <w:left w:val="nil"/>
              <w:bottom w:val="nil"/>
              <w:right w:val="nil"/>
            </w:tcBorders>
            <w:shd w:val="clear" w:color="000000" w:fill="FFFFFF"/>
            <w:vAlign w:val="center"/>
            <w:hideMark/>
          </w:tcPr>
          <w:p w14:paraId="500024C6" w14:textId="77777777" w:rsidR="00943BE7" w:rsidRPr="00943BE7" w:rsidRDefault="00943BE7" w:rsidP="00943BE7">
            <w:pPr>
              <w:tabs>
                <w:tab w:val="clear" w:pos="7100"/>
              </w:tabs>
              <w:spacing w:line="240" w:lineRule="auto"/>
              <w:jc w:val="center"/>
              <w:rPr>
                <w:rFonts w:cs="Arial"/>
                <w:color w:val="000000"/>
                <w:szCs w:val="18"/>
                <w:lang w:val="en-US"/>
              </w:rPr>
            </w:pPr>
            <w:r w:rsidRPr="00943BE7">
              <w:rPr>
                <w:rFonts w:cs="Arial"/>
                <w:color w:val="000000"/>
                <w:szCs w:val="18"/>
                <w:lang w:val="en-US"/>
              </w:rPr>
              <w:t>°C</w:t>
            </w:r>
          </w:p>
        </w:tc>
        <w:tc>
          <w:tcPr>
            <w:tcW w:w="1381" w:type="dxa"/>
            <w:tcBorders>
              <w:top w:val="nil"/>
              <w:left w:val="nil"/>
              <w:bottom w:val="nil"/>
              <w:right w:val="nil"/>
            </w:tcBorders>
            <w:shd w:val="clear" w:color="000000" w:fill="FFFFFF"/>
            <w:vAlign w:val="center"/>
            <w:hideMark/>
          </w:tcPr>
          <w:p w14:paraId="308F90DA" w14:textId="77777777" w:rsidR="00943BE7" w:rsidRPr="00943BE7" w:rsidRDefault="00943BE7" w:rsidP="00F75AD1">
            <w:pPr>
              <w:tabs>
                <w:tab w:val="clear" w:pos="7100"/>
              </w:tabs>
              <w:spacing w:line="240" w:lineRule="auto"/>
              <w:jc w:val="center"/>
              <w:rPr>
                <w:rFonts w:cs="Arial"/>
                <w:color w:val="000000"/>
                <w:szCs w:val="18"/>
                <w:lang w:val="en-US"/>
              </w:rPr>
            </w:pPr>
            <w:r w:rsidRPr="00943BE7">
              <w:rPr>
                <w:rFonts w:cs="Arial"/>
                <w:color w:val="000000"/>
                <w:szCs w:val="18"/>
                <w:lang w:val="en-US"/>
              </w:rPr>
              <w:t>-6</w:t>
            </w:r>
            <w:r w:rsidR="00C23B39">
              <w:rPr>
                <w:rFonts w:cs="Arial"/>
                <w:color w:val="000000"/>
                <w:szCs w:val="18"/>
                <w:lang w:val="en-US"/>
              </w:rPr>
              <w:t>2.94</w:t>
            </w:r>
          </w:p>
        </w:tc>
        <w:tc>
          <w:tcPr>
            <w:tcW w:w="1517" w:type="dxa"/>
            <w:tcBorders>
              <w:top w:val="nil"/>
              <w:left w:val="nil"/>
              <w:bottom w:val="nil"/>
              <w:right w:val="nil"/>
            </w:tcBorders>
            <w:shd w:val="clear" w:color="000000" w:fill="FFFFFF"/>
            <w:vAlign w:val="center"/>
            <w:hideMark/>
          </w:tcPr>
          <w:p w14:paraId="0EB4DBA2" w14:textId="77777777" w:rsidR="00943BE7" w:rsidRPr="00943BE7" w:rsidRDefault="00943BE7">
            <w:pPr>
              <w:tabs>
                <w:tab w:val="clear" w:pos="7100"/>
              </w:tabs>
              <w:spacing w:line="240" w:lineRule="auto"/>
              <w:jc w:val="center"/>
              <w:rPr>
                <w:rFonts w:cs="Arial"/>
                <w:color w:val="000000"/>
                <w:szCs w:val="18"/>
                <w:lang w:val="en-US"/>
              </w:rPr>
            </w:pPr>
            <w:r w:rsidRPr="00943BE7">
              <w:rPr>
                <w:rFonts w:cs="Arial"/>
                <w:color w:val="000000"/>
                <w:szCs w:val="18"/>
                <w:lang w:val="en-US"/>
              </w:rPr>
              <w:t>-</w:t>
            </w:r>
            <w:r w:rsidR="003D17D0" w:rsidRPr="00943BE7">
              <w:rPr>
                <w:rFonts w:cs="Arial"/>
                <w:color w:val="000000"/>
                <w:szCs w:val="18"/>
                <w:lang w:val="en-US"/>
              </w:rPr>
              <w:t>6</w:t>
            </w:r>
            <w:r w:rsidR="003D17D0">
              <w:rPr>
                <w:rFonts w:cs="Arial"/>
                <w:color w:val="000000"/>
                <w:szCs w:val="18"/>
                <w:lang w:val="en-US"/>
              </w:rPr>
              <w:t>2</w:t>
            </w:r>
            <w:r w:rsidRPr="00943BE7">
              <w:rPr>
                <w:rFonts w:cs="Arial"/>
                <w:color w:val="000000"/>
                <w:szCs w:val="18"/>
                <w:lang w:val="en-US"/>
              </w:rPr>
              <w:t>.</w:t>
            </w:r>
            <w:r w:rsidR="003D17D0" w:rsidRPr="00943BE7" w:rsidDel="003D17D0">
              <w:rPr>
                <w:rFonts w:cs="Arial"/>
                <w:color w:val="000000"/>
                <w:szCs w:val="18"/>
                <w:lang w:val="en-US"/>
              </w:rPr>
              <w:t xml:space="preserve"> </w:t>
            </w:r>
            <w:r w:rsidRPr="00943BE7">
              <w:rPr>
                <w:rFonts w:cs="Arial"/>
                <w:color w:val="000000"/>
                <w:szCs w:val="18"/>
                <w:lang w:val="en-US"/>
              </w:rPr>
              <w:t>2</w:t>
            </w:r>
            <w:r w:rsidR="003D17D0">
              <w:rPr>
                <w:rFonts w:cs="Arial"/>
                <w:color w:val="000000"/>
                <w:szCs w:val="18"/>
                <w:lang w:val="en-US"/>
              </w:rPr>
              <w:t>1</w:t>
            </w:r>
          </w:p>
        </w:tc>
      </w:tr>
      <w:tr w:rsidR="00943BE7" w:rsidRPr="00943BE7" w14:paraId="1F66DF61" w14:textId="77777777" w:rsidTr="005263F6">
        <w:trPr>
          <w:trHeight w:val="144"/>
        </w:trPr>
        <w:tc>
          <w:tcPr>
            <w:tcW w:w="2790" w:type="dxa"/>
            <w:tcBorders>
              <w:top w:val="nil"/>
              <w:left w:val="nil"/>
              <w:bottom w:val="nil"/>
              <w:right w:val="nil"/>
            </w:tcBorders>
            <w:shd w:val="clear" w:color="000000" w:fill="FFFFFF"/>
            <w:vAlign w:val="center"/>
            <w:hideMark/>
          </w:tcPr>
          <w:p w14:paraId="6A02DC51" w14:textId="77777777" w:rsidR="00943BE7" w:rsidRPr="00943BE7" w:rsidRDefault="00943BE7" w:rsidP="005263F6">
            <w:pPr>
              <w:tabs>
                <w:tab w:val="clear" w:pos="7100"/>
              </w:tabs>
              <w:spacing w:line="240" w:lineRule="auto"/>
              <w:jc w:val="left"/>
              <w:rPr>
                <w:rFonts w:cs="Arial"/>
                <w:color w:val="000000"/>
                <w:szCs w:val="18"/>
                <w:lang w:val="en-US"/>
              </w:rPr>
            </w:pPr>
            <w:proofErr w:type="spellStart"/>
            <w:r w:rsidRPr="00943BE7">
              <w:rPr>
                <w:rFonts w:cs="Arial"/>
                <w:color w:val="000000"/>
                <w:szCs w:val="18"/>
                <w:lang w:val="en-US"/>
              </w:rPr>
              <w:t>Demethan</w:t>
            </w:r>
            <w:r w:rsidR="005263F6">
              <w:rPr>
                <w:rFonts w:cs="Arial"/>
                <w:color w:val="000000"/>
                <w:szCs w:val="18"/>
                <w:lang w:val="en-US"/>
              </w:rPr>
              <w:t>i</w:t>
            </w:r>
            <w:r w:rsidRPr="00943BE7">
              <w:rPr>
                <w:rFonts w:cs="Arial"/>
                <w:color w:val="000000"/>
                <w:szCs w:val="18"/>
                <w:lang w:val="en-US"/>
              </w:rPr>
              <w:t>zer</w:t>
            </w:r>
            <w:proofErr w:type="spellEnd"/>
            <w:r w:rsidRPr="00943BE7">
              <w:rPr>
                <w:rFonts w:cs="Arial"/>
                <w:color w:val="000000"/>
                <w:szCs w:val="18"/>
                <w:lang w:val="en-US"/>
              </w:rPr>
              <w:t xml:space="preserve"> pressure (head)</w:t>
            </w:r>
          </w:p>
        </w:tc>
        <w:tc>
          <w:tcPr>
            <w:tcW w:w="1223" w:type="dxa"/>
            <w:tcBorders>
              <w:top w:val="nil"/>
              <w:left w:val="nil"/>
              <w:bottom w:val="nil"/>
              <w:right w:val="nil"/>
            </w:tcBorders>
            <w:shd w:val="clear" w:color="000000" w:fill="FFFFFF"/>
            <w:vAlign w:val="center"/>
            <w:hideMark/>
          </w:tcPr>
          <w:p w14:paraId="0ACAFE9F" w14:textId="77777777" w:rsidR="00943BE7" w:rsidRPr="00943BE7" w:rsidRDefault="00943BE7" w:rsidP="00943BE7">
            <w:pPr>
              <w:tabs>
                <w:tab w:val="clear" w:pos="7100"/>
              </w:tabs>
              <w:spacing w:line="240" w:lineRule="auto"/>
              <w:jc w:val="left"/>
              <w:rPr>
                <w:rFonts w:cs="Arial"/>
                <w:color w:val="000000"/>
                <w:szCs w:val="18"/>
                <w:lang w:val="en-US"/>
              </w:rPr>
            </w:pPr>
            <w:r w:rsidRPr="00943BE7">
              <w:rPr>
                <w:rFonts w:cs="Arial"/>
                <w:color w:val="000000"/>
                <w:szCs w:val="18"/>
                <w:lang w:val="en-US"/>
              </w:rPr>
              <w:t>[1000, 2000]</w:t>
            </w:r>
          </w:p>
        </w:tc>
        <w:tc>
          <w:tcPr>
            <w:tcW w:w="1297" w:type="dxa"/>
            <w:tcBorders>
              <w:top w:val="nil"/>
              <w:left w:val="nil"/>
              <w:bottom w:val="nil"/>
              <w:right w:val="nil"/>
            </w:tcBorders>
            <w:shd w:val="clear" w:color="000000" w:fill="FFFFFF"/>
            <w:vAlign w:val="center"/>
            <w:hideMark/>
          </w:tcPr>
          <w:p w14:paraId="2896E285" w14:textId="77777777" w:rsidR="00943BE7" w:rsidRPr="00943BE7" w:rsidRDefault="00943BE7" w:rsidP="00943BE7">
            <w:pPr>
              <w:tabs>
                <w:tab w:val="clear" w:pos="7100"/>
              </w:tabs>
              <w:spacing w:line="240" w:lineRule="auto"/>
              <w:jc w:val="center"/>
              <w:rPr>
                <w:rFonts w:cs="Arial"/>
                <w:color w:val="000000"/>
                <w:szCs w:val="18"/>
                <w:lang w:val="en-US"/>
              </w:rPr>
            </w:pPr>
            <w:r w:rsidRPr="00943BE7">
              <w:rPr>
                <w:rFonts w:cs="Arial"/>
                <w:color w:val="000000"/>
                <w:szCs w:val="18"/>
                <w:lang w:val="en-US"/>
              </w:rPr>
              <w:t>kPa</w:t>
            </w:r>
          </w:p>
        </w:tc>
        <w:tc>
          <w:tcPr>
            <w:tcW w:w="1381" w:type="dxa"/>
            <w:tcBorders>
              <w:top w:val="nil"/>
              <w:left w:val="nil"/>
              <w:bottom w:val="nil"/>
              <w:right w:val="nil"/>
            </w:tcBorders>
            <w:shd w:val="clear" w:color="000000" w:fill="FFFFFF"/>
            <w:vAlign w:val="center"/>
            <w:hideMark/>
          </w:tcPr>
          <w:p w14:paraId="3F7CCA1B" w14:textId="77777777" w:rsidR="00943BE7" w:rsidRPr="00943BE7" w:rsidRDefault="00943BE7" w:rsidP="00F75AD1">
            <w:pPr>
              <w:tabs>
                <w:tab w:val="clear" w:pos="7100"/>
              </w:tabs>
              <w:spacing w:line="240" w:lineRule="auto"/>
              <w:jc w:val="center"/>
              <w:rPr>
                <w:rFonts w:cs="Arial"/>
                <w:color w:val="000000"/>
                <w:szCs w:val="18"/>
                <w:lang w:val="en-US"/>
              </w:rPr>
            </w:pPr>
            <w:r w:rsidRPr="00943BE7">
              <w:rPr>
                <w:rFonts w:cs="Arial"/>
                <w:color w:val="000000"/>
                <w:szCs w:val="18"/>
                <w:lang w:val="en-US"/>
              </w:rPr>
              <w:t>1</w:t>
            </w:r>
            <w:r w:rsidR="00C23B39">
              <w:rPr>
                <w:rFonts w:cs="Arial"/>
                <w:color w:val="000000"/>
                <w:szCs w:val="18"/>
                <w:lang w:val="en-US"/>
              </w:rPr>
              <w:t>790.0</w:t>
            </w:r>
          </w:p>
        </w:tc>
        <w:tc>
          <w:tcPr>
            <w:tcW w:w="1517" w:type="dxa"/>
            <w:tcBorders>
              <w:top w:val="nil"/>
              <w:left w:val="nil"/>
              <w:bottom w:val="nil"/>
              <w:right w:val="nil"/>
            </w:tcBorders>
            <w:shd w:val="clear" w:color="000000" w:fill="FFFFFF"/>
            <w:vAlign w:val="center"/>
            <w:hideMark/>
          </w:tcPr>
          <w:p w14:paraId="316233B8" w14:textId="77777777" w:rsidR="00943BE7" w:rsidRPr="00943BE7" w:rsidRDefault="003D17D0">
            <w:pPr>
              <w:tabs>
                <w:tab w:val="clear" w:pos="7100"/>
              </w:tabs>
              <w:spacing w:line="240" w:lineRule="auto"/>
              <w:jc w:val="center"/>
              <w:rPr>
                <w:rFonts w:cs="Arial"/>
                <w:color w:val="000000"/>
                <w:szCs w:val="18"/>
                <w:lang w:val="en-US"/>
              </w:rPr>
            </w:pPr>
            <w:r w:rsidRPr="00943BE7">
              <w:rPr>
                <w:rFonts w:cs="Arial"/>
                <w:color w:val="000000"/>
                <w:szCs w:val="18"/>
                <w:lang w:val="en-US"/>
              </w:rPr>
              <w:t>1</w:t>
            </w:r>
            <w:r>
              <w:rPr>
                <w:rFonts w:cs="Arial"/>
                <w:color w:val="000000"/>
                <w:szCs w:val="18"/>
                <w:lang w:val="en-US"/>
              </w:rPr>
              <w:t>111</w:t>
            </w:r>
            <w:r w:rsidR="00943BE7" w:rsidRPr="00943BE7">
              <w:rPr>
                <w:rFonts w:cs="Arial"/>
                <w:color w:val="000000"/>
                <w:szCs w:val="18"/>
                <w:lang w:val="en-US"/>
              </w:rPr>
              <w:t>.</w:t>
            </w:r>
            <w:r>
              <w:rPr>
                <w:rFonts w:cs="Arial"/>
                <w:color w:val="000000"/>
                <w:szCs w:val="18"/>
                <w:lang w:val="en-US"/>
              </w:rPr>
              <w:t>57</w:t>
            </w:r>
          </w:p>
        </w:tc>
      </w:tr>
      <w:tr w:rsidR="00943BE7" w:rsidRPr="00943BE7" w14:paraId="141BE43E" w14:textId="77777777" w:rsidTr="005263F6">
        <w:trPr>
          <w:trHeight w:val="144"/>
        </w:trPr>
        <w:tc>
          <w:tcPr>
            <w:tcW w:w="2790" w:type="dxa"/>
            <w:tcBorders>
              <w:top w:val="nil"/>
              <w:left w:val="nil"/>
              <w:bottom w:val="nil"/>
              <w:right w:val="nil"/>
            </w:tcBorders>
            <w:shd w:val="clear" w:color="000000" w:fill="FFFFFF"/>
            <w:vAlign w:val="center"/>
            <w:hideMark/>
          </w:tcPr>
          <w:p w14:paraId="4894554B" w14:textId="77777777" w:rsidR="00943BE7" w:rsidRPr="00943BE7" w:rsidRDefault="00943BE7" w:rsidP="005263F6">
            <w:pPr>
              <w:tabs>
                <w:tab w:val="clear" w:pos="7100"/>
              </w:tabs>
              <w:spacing w:line="240" w:lineRule="auto"/>
              <w:jc w:val="left"/>
              <w:rPr>
                <w:rFonts w:cs="Arial"/>
                <w:color w:val="000000"/>
                <w:szCs w:val="18"/>
                <w:lang w:val="en-US"/>
              </w:rPr>
            </w:pPr>
            <w:proofErr w:type="spellStart"/>
            <w:r w:rsidRPr="00943BE7">
              <w:rPr>
                <w:rFonts w:cs="Arial"/>
                <w:color w:val="000000"/>
                <w:szCs w:val="18"/>
                <w:lang w:val="en-US"/>
              </w:rPr>
              <w:t>Demethan</w:t>
            </w:r>
            <w:r w:rsidR="005263F6">
              <w:rPr>
                <w:rFonts w:cs="Arial"/>
                <w:color w:val="000000"/>
                <w:szCs w:val="18"/>
                <w:lang w:val="en-US"/>
              </w:rPr>
              <w:t>i</w:t>
            </w:r>
            <w:r w:rsidRPr="00943BE7">
              <w:rPr>
                <w:rFonts w:cs="Arial"/>
                <w:color w:val="000000"/>
                <w:szCs w:val="18"/>
                <w:lang w:val="en-US"/>
              </w:rPr>
              <w:t>zer</w:t>
            </w:r>
            <w:proofErr w:type="spellEnd"/>
            <w:r w:rsidRPr="00943BE7">
              <w:rPr>
                <w:rFonts w:cs="Arial"/>
                <w:color w:val="000000"/>
                <w:szCs w:val="18"/>
                <w:lang w:val="en-US"/>
              </w:rPr>
              <w:t xml:space="preserve"> trays</w:t>
            </w:r>
          </w:p>
        </w:tc>
        <w:tc>
          <w:tcPr>
            <w:tcW w:w="1223" w:type="dxa"/>
            <w:tcBorders>
              <w:top w:val="nil"/>
              <w:left w:val="nil"/>
              <w:bottom w:val="nil"/>
              <w:right w:val="nil"/>
            </w:tcBorders>
            <w:shd w:val="clear" w:color="000000" w:fill="FFFFFF"/>
            <w:vAlign w:val="center"/>
            <w:hideMark/>
          </w:tcPr>
          <w:p w14:paraId="7D98FBE7" w14:textId="77777777" w:rsidR="00943BE7" w:rsidRPr="00943BE7" w:rsidRDefault="00943BE7" w:rsidP="00943BE7">
            <w:pPr>
              <w:tabs>
                <w:tab w:val="clear" w:pos="7100"/>
              </w:tabs>
              <w:spacing w:line="240" w:lineRule="auto"/>
              <w:jc w:val="left"/>
              <w:rPr>
                <w:rFonts w:cs="Arial"/>
                <w:color w:val="000000"/>
                <w:szCs w:val="18"/>
                <w:lang w:val="en-US"/>
              </w:rPr>
            </w:pPr>
            <w:r w:rsidRPr="00943BE7">
              <w:rPr>
                <w:rFonts w:cs="Arial"/>
                <w:color w:val="000000"/>
                <w:szCs w:val="18"/>
                <w:lang w:val="en-US"/>
              </w:rPr>
              <w:t>[20, 30]</w:t>
            </w:r>
          </w:p>
        </w:tc>
        <w:tc>
          <w:tcPr>
            <w:tcW w:w="1297" w:type="dxa"/>
            <w:tcBorders>
              <w:top w:val="nil"/>
              <w:left w:val="nil"/>
              <w:bottom w:val="nil"/>
              <w:right w:val="nil"/>
            </w:tcBorders>
            <w:shd w:val="clear" w:color="000000" w:fill="FFFFFF"/>
            <w:vAlign w:val="center"/>
            <w:hideMark/>
          </w:tcPr>
          <w:p w14:paraId="7104CF11" w14:textId="77777777" w:rsidR="00943BE7" w:rsidRPr="00943BE7" w:rsidRDefault="00943BE7" w:rsidP="00943BE7">
            <w:pPr>
              <w:tabs>
                <w:tab w:val="clear" w:pos="7100"/>
              </w:tabs>
              <w:spacing w:line="240" w:lineRule="auto"/>
              <w:jc w:val="center"/>
              <w:rPr>
                <w:rFonts w:cs="Arial"/>
                <w:color w:val="000000"/>
                <w:szCs w:val="18"/>
                <w:lang w:val="en-US"/>
              </w:rPr>
            </w:pPr>
            <w:r w:rsidRPr="00943BE7">
              <w:rPr>
                <w:rFonts w:cs="Arial"/>
                <w:color w:val="000000"/>
                <w:szCs w:val="18"/>
                <w:lang w:val="en-US"/>
              </w:rPr>
              <w:t>-</w:t>
            </w:r>
          </w:p>
        </w:tc>
        <w:tc>
          <w:tcPr>
            <w:tcW w:w="1381" w:type="dxa"/>
            <w:tcBorders>
              <w:top w:val="nil"/>
              <w:left w:val="nil"/>
              <w:bottom w:val="nil"/>
              <w:right w:val="nil"/>
            </w:tcBorders>
            <w:shd w:val="clear" w:color="000000" w:fill="FFFFFF"/>
            <w:vAlign w:val="center"/>
            <w:hideMark/>
          </w:tcPr>
          <w:p w14:paraId="6088ACA5" w14:textId="77777777" w:rsidR="00943BE7" w:rsidRPr="00943BE7" w:rsidRDefault="00943BE7" w:rsidP="00943BE7">
            <w:pPr>
              <w:tabs>
                <w:tab w:val="clear" w:pos="7100"/>
              </w:tabs>
              <w:spacing w:line="240" w:lineRule="auto"/>
              <w:jc w:val="center"/>
              <w:rPr>
                <w:rFonts w:cs="Arial"/>
                <w:color w:val="000000"/>
                <w:szCs w:val="18"/>
                <w:lang w:val="en-US"/>
              </w:rPr>
            </w:pPr>
            <w:r w:rsidRPr="00943BE7">
              <w:rPr>
                <w:rFonts w:cs="Arial"/>
                <w:color w:val="000000"/>
                <w:szCs w:val="18"/>
                <w:lang w:val="en-US"/>
              </w:rPr>
              <w:t>28</w:t>
            </w:r>
          </w:p>
        </w:tc>
        <w:tc>
          <w:tcPr>
            <w:tcW w:w="1517" w:type="dxa"/>
            <w:tcBorders>
              <w:top w:val="nil"/>
              <w:left w:val="nil"/>
              <w:bottom w:val="nil"/>
              <w:right w:val="nil"/>
            </w:tcBorders>
            <w:shd w:val="clear" w:color="000000" w:fill="FFFFFF"/>
            <w:vAlign w:val="center"/>
            <w:hideMark/>
          </w:tcPr>
          <w:p w14:paraId="76541E50" w14:textId="77777777" w:rsidR="00943BE7" w:rsidRPr="00943BE7" w:rsidRDefault="00943BE7" w:rsidP="00943BE7">
            <w:pPr>
              <w:tabs>
                <w:tab w:val="clear" w:pos="7100"/>
              </w:tabs>
              <w:spacing w:line="240" w:lineRule="auto"/>
              <w:jc w:val="center"/>
              <w:rPr>
                <w:rFonts w:cs="Arial"/>
                <w:color w:val="000000"/>
                <w:szCs w:val="18"/>
                <w:lang w:val="en-US"/>
              </w:rPr>
            </w:pPr>
            <w:r w:rsidRPr="00943BE7">
              <w:rPr>
                <w:rFonts w:cs="Arial"/>
                <w:color w:val="000000"/>
                <w:szCs w:val="18"/>
                <w:lang w:val="en-US"/>
              </w:rPr>
              <w:t>30</w:t>
            </w:r>
          </w:p>
        </w:tc>
      </w:tr>
      <w:tr w:rsidR="00490947" w:rsidRPr="00943BE7" w14:paraId="4D953BE5" w14:textId="77777777" w:rsidTr="00271753">
        <w:trPr>
          <w:trHeight w:val="80"/>
        </w:trPr>
        <w:tc>
          <w:tcPr>
            <w:tcW w:w="2790" w:type="dxa"/>
            <w:tcBorders>
              <w:top w:val="nil"/>
              <w:left w:val="nil"/>
              <w:bottom w:val="nil"/>
              <w:right w:val="nil"/>
            </w:tcBorders>
            <w:shd w:val="clear" w:color="000000" w:fill="FFFFFF"/>
            <w:vAlign w:val="center"/>
          </w:tcPr>
          <w:p w14:paraId="0D0FD7B2" w14:textId="77777777" w:rsidR="00490947" w:rsidRPr="00653EBD" w:rsidRDefault="00490947" w:rsidP="00490947">
            <w:pPr>
              <w:tabs>
                <w:tab w:val="clear" w:pos="7100"/>
              </w:tabs>
              <w:spacing w:line="240" w:lineRule="auto"/>
              <w:jc w:val="left"/>
              <w:rPr>
                <w:rFonts w:cs="Arial"/>
                <w:color w:val="000000"/>
                <w:szCs w:val="18"/>
                <w:lang w:val="en-US"/>
              </w:rPr>
            </w:pPr>
            <w:r w:rsidRPr="00653EBD">
              <w:rPr>
                <w:rFonts w:cs="Arial"/>
                <w:color w:val="000000"/>
                <w:szCs w:val="18"/>
                <w:lang w:val="en-US"/>
              </w:rPr>
              <w:t>NGL recovery</w:t>
            </w:r>
          </w:p>
        </w:tc>
        <w:tc>
          <w:tcPr>
            <w:tcW w:w="1223" w:type="dxa"/>
            <w:tcBorders>
              <w:top w:val="nil"/>
              <w:left w:val="nil"/>
              <w:bottom w:val="nil"/>
              <w:right w:val="nil"/>
            </w:tcBorders>
            <w:shd w:val="clear" w:color="000000" w:fill="FFFFFF"/>
            <w:vAlign w:val="center"/>
          </w:tcPr>
          <w:p w14:paraId="33D291D8" w14:textId="77777777" w:rsidR="00490947" w:rsidRPr="00653EBD" w:rsidRDefault="00490947" w:rsidP="00490947">
            <w:pPr>
              <w:tabs>
                <w:tab w:val="clear" w:pos="7100"/>
              </w:tabs>
              <w:spacing w:line="240" w:lineRule="auto"/>
              <w:jc w:val="center"/>
              <w:rPr>
                <w:rFonts w:cs="Arial"/>
                <w:color w:val="000000"/>
                <w:szCs w:val="18"/>
                <w:lang w:val="en-US"/>
              </w:rPr>
            </w:pPr>
            <w:r w:rsidRPr="00653EBD">
              <w:rPr>
                <w:rFonts w:cs="Arial"/>
                <w:color w:val="000000"/>
                <w:szCs w:val="18"/>
                <w:lang w:val="en-US"/>
              </w:rPr>
              <w:t>-</w:t>
            </w:r>
          </w:p>
        </w:tc>
        <w:tc>
          <w:tcPr>
            <w:tcW w:w="1297" w:type="dxa"/>
            <w:tcBorders>
              <w:top w:val="nil"/>
              <w:left w:val="nil"/>
              <w:bottom w:val="nil"/>
              <w:right w:val="nil"/>
            </w:tcBorders>
            <w:shd w:val="clear" w:color="000000" w:fill="FFFFFF"/>
            <w:vAlign w:val="center"/>
          </w:tcPr>
          <w:p w14:paraId="3031DE91" w14:textId="77777777" w:rsidR="00490947" w:rsidRPr="00653EBD" w:rsidRDefault="00490947" w:rsidP="00490947">
            <w:pPr>
              <w:tabs>
                <w:tab w:val="clear" w:pos="7100"/>
              </w:tabs>
              <w:spacing w:line="240" w:lineRule="auto"/>
              <w:jc w:val="center"/>
              <w:rPr>
                <w:rFonts w:cs="Arial"/>
                <w:color w:val="000000"/>
                <w:szCs w:val="18"/>
                <w:lang w:val="en-US"/>
              </w:rPr>
            </w:pPr>
            <w:r w:rsidRPr="00653EBD">
              <w:rPr>
                <w:rFonts w:cs="Arial"/>
                <w:color w:val="000000"/>
                <w:szCs w:val="18"/>
                <w:lang w:val="en-US"/>
              </w:rPr>
              <w:t>%</w:t>
            </w:r>
          </w:p>
        </w:tc>
        <w:tc>
          <w:tcPr>
            <w:tcW w:w="1381" w:type="dxa"/>
            <w:tcBorders>
              <w:top w:val="nil"/>
              <w:left w:val="nil"/>
              <w:bottom w:val="nil"/>
              <w:right w:val="nil"/>
            </w:tcBorders>
            <w:shd w:val="clear" w:color="000000" w:fill="FFFFFF"/>
            <w:vAlign w:val="center"/>
          </w:tcPr>
          <w:p w14:paraId="04342504" w14:textId="77777777" w:rsidR="00490947" w:rsidRPr="00653EBD" w:rsidRDefault="00C23B39" w:rsidP="00F75AD1">
            <w:pPr>
              <w:tabs>
                <w:tab w:val="clear" w:pos="7100"/>
              </w:tabs>
              <w:spacing w:line="240" w:lineRule="auto"/>
              <w:jc w:val="center"/>
              <w:rPr>
                <w:rFonts w:cs="Arial"/>
                <w:color w:val="000000"/>
                <w:szCs w:val="18"/>
                <w:lang w:val="en-US"/>
              </w:rPr>
            </w:pPr>
            <w:r>
              <w:rPr>
                <w:rFonts w:cs="Arial"/>
                <w:color w:val="000000"/>
                <w:szCs w:val="18"/>
              </w:rPr>
              <w:t>79.20</w:t>
            </w:r>
            <w:r w:rsidR="00490947">
              <w:rPr>
                <w:rFonts w:cs="Arial"/>
                <w:color w:val="000000"/>
                <w:szCs w:val="18"/>
              </w:rPr>
              <w:t>%</w:t>
            </w:r>
          </w:p>
        </w:tc>
        <w:tc>
          <w:tcPr>
            <w:tcW w:w="1517" w:type="dxa"/>
            <w:tcBorders>
              <w:top w:val="nil"/>
              <w:left w:val="nil"/>
              <w:bottom w:val="nil"/>
              <w:right w:val="nil"/>
            </w:tcBorders>
            <w:shd w:val="clear" w:color="000000" w:fill="FFFFFF"/>
            <w:vAlign w:val="center"/>
          </w:tcPr>
          <w:p w14:paraId="5F7CB0BD" w14:textId="77777777" w:rsidR="00490947" w:rsidRPr="00653EBD" w:rsidRDefault="00C23B39">
            <w:pPr>
              <w:tabs>
                <w:tab w:val="clear" w:pos="7100"/>
              </w:tabs>
              <w:spacing w:line="240" w:lineRule="auto"/>
              <w:jc w:val="center"/>
              <w:rPr>
                <w:rFonts w:cs="Arial"/>
                <w:color w:val="000000"/>
                <w:szCs w:val="18"/>
                <w:lang w:val="en-US"/>
              </w:rPr>
            </w:pPr>
            <w:r>
              <w:rPr>
                <w:rFonts w:cs="Arial"/>
                <w:color w:val="000000"/>
                <w:szCs w:val="18"/>
              </w:rPr>
              <w:t>88</w:t>
            </w:r>
            <w:r w:rsidR="00490947">
              <w:rPr>
                <w:rFonts w:cs="Arial"/>
                <w:color w:val="000000"/>
                <w:szCs w:val="18"/>
              </w:rPr>
              <w:t>.</w:t>
            </w:r>
            <w:r>
              <w:rPr>
                <w:rFonts w:cs="Arial"/>
                <w:color w:val="000000"/>
                <w:szCs w:val="18"/>
              </w:rPr>
              <w:t>53</w:t>
            </w:r>
            <w:r w:rsidR="00490947">
              <w:rPr>
                <w:rFonts w:cs="Arial"/>
                <w:color w:val="000000"/>
                <w:szCs w:val="18"/>
              </w:rPr>
              <w:t>%</w:t>
            </w:r>
          </w:p>
        </w:tc>
      </w:tr>
      <w:tr w:rsidR="00943BE7" w:rsidRPr="00943BE7" w14:paraId="28015177" w14:textId="77777777" w:rsidTr="00271753">
        <w:trPr>
          <w:trHeight w:val="144"/>
        </w:trPr>
        <w:tc>
          <w:tcPr>
            <w:tcW w:w="2790" w:type="dxa"/>
            <w:tcBorders>
              <w:top w:val="nil"/>
              <w:left w:val="nil"/>
              <w:bottom w:val="single" w:sz="12" w:space="0" w:color="008000"/>
              <w:right w:val="nil"/>
            </w:tcBorders>
            <w:shd w:val="clear" w:color="000000" w:fill="FFFFFF"/>
            <w:vAlign w:val="center"/>
            <w:hideMark/>
          </w:tcPr>
          <w:p w14:paraId="712795FB" w14:textId="77777777" w:rsidR="00943BE7" w:rsidRPr="00943BE7" w:rsidRDefault="00943BE7" w:rsidP="00943BE7">
            <w:pPr>
              <w:tabs>
                <w:tab w:val="clear" w:pos="7100"/>
              </w:tabs>
              <w:spacing w:line="240" w:lineRule="auto"/>
              <w:jc w:val="left"/>
              <w:rPr>
                <w:rFonts w:cs="Arial"/>
                <w:color w:val="000000"/>
                <w:szCs w:val="18"/>
                <w:lang w:val="en-US"/>
              </w:rPr>
            </w:pPr>
            <w:r>
              <w:rPr>
                <w:rFonts w:cs="Arial"/>
                <w:color w:val="000000"/>
                <w:szCs w:val="18"/>
                <w:lang w:val="en-US"/>
              </w:rPr>
              <w:t>Mean p</w:t>
            </w:r>
            <w:r w:rsidRPr="00943BE7">
              <w:rPr>
                <w:rFonts w:cs="Arial"/>
                <w:color w:val="000000"/>
                <w:szCs w:val="18"/>
                <w:lang w:val="en-US"/>
              </w:rPr>
              <w:t>rofit</w:t>
            </w:r>
          </w:p>
        </w:tc>
        <w:tc>
          <w:tcPr>
            <w:tcW w:w="1223" w:type="dxa"/>
            <w:tcBorders>
              <w:top w:val="nil"/>
              <w:left w:val="nil"/>
              <w:bottom w:val="single" w:sz="12" w:space="0" w:color="008000"/>
              <w:right w:val="nil"/>
            </w:tcBorders>
            <w:shd w:val="clear" w:color="000000" w:fill="FFFFFF"/>
            <w:vAlign w:val="center"/>
            <w:hideMark/>
          </w:tcPr>
          <w:p w14:paraId="16B1BD91" w14:textId="77777777" w:rsidR="00943BE7" w:rsidRPr="00943BE7" w:rsidRDefault="00943BE7" w:rsidP="00943BE7">
            <w:pPr>
              <w:tabs>
                <w:tab w:val="clear" w:pos="7100"/>
              </w:tabs>
              <w:spacing w:line="240" w:lineRule="auto"/>
              <w:jc w:val="left"/>
              <w:rPr>
                <w:rFonts w:cs="Arial"/>
                <w:color w:val="000000"/>
                <w:szCs w:val="18"/>
                <w:lang w:val="en-US"/>
              </w:rPr>
            </w:pPr>
            <w:r w:rsidRPr="00943BE7">
              <w:rPr>
                <w:rFonts w:cs="Arial"/>
                <w:color w:val="000000"/>
                <w:szCs w:val="18"/>
                <w:lang w:val="en-US"/>
              </w:rPr>
              <w:t>-</w:t>
            </w:r>
          </w:p>
        </w:tc>
        <w:tc>
          <w:tcPr>
            <w:tcW w:w="1297" w:type="dxa"/>
            <w:tcBorders>
              <w:top w:val="nil"/>
              <w:left w:val="nil"/>
              <w:bottom w:val="single" w:sz="12" w:space="0" w:color="008000"/>
              <w:right w:val="nil"/>
            </w:tcBorders>
            <w:shd w:val="clear" w:color="000000" w:fill="FFFFFF"/>
            <w:vAlign w:val="center"/>
            <w:hideMark/>
          </w:tcPr>
          <w:p w14:paraId="3BC20F0F" w14:textId="77777777" w:rsidR="00943BE7" w:rsidRPr="00943BE7" w:rsidRDefault="005263F6" w:rsidP="00943BE7">
            <w:pPr>
              <w:tabs>
                <w:tab w:val="clear" w:pos="7100"/>
              </w:tabs>
              <w:spacing w:line="240" w:lineRule="auto"/>
              <w:jc w:val="center"/>
              <w:rPr>
                <w:rFonts w:cs="Arial"/>
                <w:color w:val="000000"/>
                <w:szCs w:val="18"/>
                <w:lang w:val="en-US"/>
              </w:rPr>
            </w:pPr>
            <w:r>
              <w:rPr>
                <w:rFonts w:cs="Arial"/>
                <w:color w:val="000000"/>
                <w:szCs w:val="18"/>
                <w:lang w:val="en-US"/>
              </w:rPr>
              <w:t>MM</w:t>
            </w:r>
            <w:r w:rsidR="00943BE7" w:rsidRPr="00943BE7">
              <w:rPr>
                <w:rFonts w:cs="Arial"/>
                <w:color w:val="000000"/>
                <w:szCs w:val="18"/>
                <w:lang w:val="en-US"/>
              </w:rPr>
              <w:t>USD</w:t>
            </w:r>
            <w:r>
              <w:rPr>
                <w:rFonts w:cs="Arial"/>
                <w:color w:val="000000"/>
                <w:szCs w:val="18"/>
                <w:lang w:val="en-US"/>
              </w:rPr>
              <w:t>/year</w:t>
            </w:r>
          </w:p>
        </w:tc>
        <w:tc>
          <w:tcPr>
            <w:tcW w:w="1381" w:type="dxa"/>
            <w:tcBorders>
              <w:top w:val="nil"/>
              <w:left w:val="nil"/>
              <w:bottom w:val="single" w:sz="12" w:space="0" w:color="008000"/>
              <w:right w:val="nil"/>
            </w:tcBorders>
            <w:shd w:val="clear" w:color="000000" w:fill="FFFFFF"/>
            <w:vAlign w:val="center"/>
            <w:hideMark/>
          </w:tcPr>
          <w:p w14:paraId="1EC892CF" w14:textId="77777777" w:rsidR="00943BE7" w:rsidRPr="00943BE7" w:rsidRDefault="00C23B39" w:rsidP="00943BE7">
            <w:pPr>
              <w:tabs>
                <w:tab w:val="clear" w:pos="7100"/>
              </w:tabs>
              <w:spacing w:line="240" w:lineRule="auto"/>
              <w:jc w:val="center"/>
              <w:rPr>
                <w:rFonts w:cs="Arial"/>
                <w:color w:val="000000"/>
                <w:szCs w:val="18"/>
                <w:lang w:val="en-US"/>
              </w:rPr>
            </w:pPr>
            <w:r>
              <w:rPr>
                <w:rFonts w:cs="Arial"/>
                <w:color w:val="000000"/>
                <w:szCs w:val="18"/>
                <w:lang w:val="en-US"/>
              </w:rPr>
              <w:t>17</w:t>
            </w:r>
            <w:r w:rsidR="00943BE7" w:rsidRPr="00943BE7">
              <w:rPr>
                <w:rFonts w:cs="Arial"/>
                <w:color w:val="000000"/>
                <w:szCs w:val="18"/>
                <w:lang w:val="en-US"/>
              </w:rPr>
              <w:t>.59</w:t>
            </w:r>
          </w:p>
        </w:tc>
        <w:tc>
          <w:tcPr>
            <w:tcW w:w="1517" w:type="dxa"/>
            <w:tcBorders>
              <w:top w:val="nil"/>
              <w:left w:val="nil"/>
              <w:bottom w:val="single" w:sz="12" w:space="0" w:color="008000"/>
              <w:right w:val="nil"/>
            </w:tcBorders>
            <w:shd w:val="clear" w:color="000000" w:fill="FFFFFF"/>
            <w:vAlign w:val="center"/>
            <w:hideMark/>
          </w:tcPr>
          <w:p w14:paraId="0FB4D94E" w14:textId="77777777" w:rsidR="00943BE7" w:rsidRPr="00943BE7" w:rsidRDefault="00C23B39" w:rsidP="00F75AD1">
            <w:pPr>
              <w:tabs>
                <w:tab w:val="clear" w:pos="7100"/>
              </w:tabs>
              <w:spacing w:line="240" w:lineRule="auto"/>
              <w:jc w:val="center"/>
              <w:rPr>
                <w:rFonts w:cs="Arial"/>
                <w:color w:val="000000"/>
                <w:szCs w:val="18"/>
                <w:lang w:val="en-US"/>
              </w:rPr>
            </w:pPr>
            <w:r w:rsidRPr="00943BE7">
              <w:rPr>
                <w:rFonts w:cs="Arial"/>
                <w:color w:val="000000"/>
                <w:szCs w:val="18"/>
                <w:lang w:val="en-US"/>
              </w:rPr>
              <w:t>13</w:t>
            </w:r>
            <w:r>
              <w:rPr>
                <w:rFonts w:cs="Arial"/>
                <w:color w:val="000000"/>
                <w:szCs w:val="18"/>
                <w:lang w:val="en-US"/>
              </w:rPr>
              <w:t>3</w:t>
            </w:r>
            <w:r w:rsidR="00943BE7" w:rsidRPr="00943BE7">
              <w:rPr>
                <w:rFonts w:cs="Arial"/>
                <w:color w:val="000000"/>
                <w:szCs w:val="18"/>
                <w:lang w:val="en-US"/>
              </w:rPr>
              <w:t>.</w:t>
            </w:r>
            <w:r>
              <w:rPr>
                <w:rFonts w:cs="Arial"/>
                <w:color w:val="000000"/>
                <w:szCs w:val="18"/>
                <w:lang w:val="en-US"/>
              </w:rPr>
              <w:t>6</w:t>
            </w:r>
            <w:r w:rsidRPr="00943BE7">
              <w:rPr>
                <w:rFonts w:cs="Arial"/>
                <w:color w:val="000000"/>
                <w:szCs w:val="18"/>
                <w:lang w:val="en-US"/>
              </w:rPr>
              <w:t>6</w:t>
            </w:r>
          </w:p>
        </w:tc>
      </w:tr>
    </w:tbl>
    <w:p w14:paraId="559F0AAF" w14:textId="77777777" w:rsidR="003A1328" w:rsidRDefault="003A1328" w:rsidP="003A1328">
      <w:pPr>
        <w:pStyle w:val="CETBodytext"/>
      </w:pPr>
    </w:p>
    <w:p w14:paraId="5169CE37" w14:textId="77777777" w:rsidR="009201EF" w:rsidRDefault="009201EF" w:rsidP="009201EF">
      <w:pPr>
        <w:pStyle w:val="CETheadingx"/>
      </w:pPr>
      <w:r>
        <w:t xml:space="preserve">Dynamic </w:t>
      </w:r>
      <w:r w:rsidR="000A4B20">
        <w:t>Performance</w:t>
      </w:r>
    </w:p>
    <w:p w14:paraId="6318EA5F" w14:textId="77777777" w:rsidR="00AA7B66" w:rsidRDefault="00477E14" w:rsidP="003A1328">
      <w:pPr>
        <w:pStyle w:val="CETBodytext"/>
        <w:spacing w:after="240"/>
      </w:pPr>
      <w:r>
        <w:t xml:space="preserve">After implementing the different control structures, perturbations in the inlet flow are performed to test the response of the system. </w:t>
      </w:r>
      <w:r w:rsidRPr="00874462">
        <w:rPr>
          <w:rFonts w:eastAsiaTheme="minorHAnsi" w:cs="Arial"/>
          <w:szCs w:val="18"/>
        </w:rPr>
        <w:t>Figure 4 depicts the responses for a 10% step increase in the set</w:t>
      </w:r>
      <w:r>
        <w:rPr>
          <w:rFonts w:eastAsiaTheme="minorHAnsi" w:cs="Arial"/>
          <w:szCs w:val="18"/>
        </w:rPr>
        <w:t>-</w:t>
      </w:r>
      <w:r w:rsidRPr="00874462">
        <w:rPr>
          <w:rFonts w:eastAsiaTheme="minorHAnsi" w:cs="Arial"/>
          <w:szCs w:val="18"/>
        </w:rPr>
        <w:t xml:space="preserve">point </w:t>
      </w:r>
      <w:r>
        <w:rPr>
          <w:rFonts w:eastAsiaTheme="minorHAnsi" w:cs="Arial"/>
          <w:szCs w:val="18"/>
        </w:rPr>
        <w:t xml:space="preserve">(red dashed line) </w:t>
      </w:r>
      <w:r w:rsidRPr="00874462">
        <w:rPr>
          <w:rFonts w:eastAsiaTheme="minorHAnsi" w:cs="Arial"/>
          <w:szCs w:val="18"/>
        </w:rPr>
        <w:t xml:space="preserve">of the feed flow controller. It takes about 15 min to bring the feed flow rate </w:t>
      </w:r>
      <w:r>
        <w:rPr>
          <w:rFonts w:eastAsiaTheme="minorHAnsi" w:cs="Arial"/>
          <w:szCs w:val="18"/>
        </w:rPr>
        <w:t xml:space="preserve">(blue line with markers) </w:t>
      </w:r>
      <w:r w:rsidRPr="00874462">
        <w:rPr>
          <w:rFonts w:eastAsiaTheme="minorHAnsi" w:cs="Arial"/>
          <w:szCs w:val="18"/>
        </w:rPr>
        <w:t>up to the new throughput and produce more gas and NGL (see FI-102 and FI-103). Both the bottoms NGL product and sales gas possess a rapid transient. Other variables such as the overhead pressure (see PIC-100), the Separator-1 temperature (see TIC-100) and the liquid level in the reboiler possesses a longer transient of about 35-37 min.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367"/>
      </w:tblGrid>
      <w:tr w:rsidR="00265ED2" w14:paraId="03D58761" w14:textId="77777777" w:rsidTr="006D06BC">
        <w:trPr>
          <w:trHeight w:val="2250"/>
        </w:trPr>
        <w:tc>
          <w:tcPr>
            <w:tcW w:w="4410" w:type="dxa"/>
            <w:vAlign w:val="center"/>
          </w:tcPr>
          <w:p w14:paraId="4DE428E9" w14:textId="77777777" w:rsidR="00245E9D" w:rsidRDefault="00555C3C" w:rsidP="00555C3C">
            <w:pPr>
              <w:pStyle w:val="CETBodytext"/>
              <w:spacing w:line="240" w:lineRule="auto"/>
              <w:contextualSpacing/>
              <w:jc w:val="center"/>
            </w:pPr>
            <w:r>
              <w:rPr>
                <w:noProof/>
              </w:rPr>
              <w:drawing>
                <wp:inline distT="0" distB="0" distL="0" distR="0" wp14:anchorId="60544C42" wp14:editId="1CFE6728">
                  <wp:extent cx="2139469" cy="13909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87388" cy="1422099"/>
                          </a:xfrm>
                          <a:prstGeom prst="rect">
                            <a:avLst/>
                          </a:prstGeom>
                          <a:noFill/>
                        </pic:spPr>
                      </pic:pic>
                    </a:graphicData>
                  </a:graphic>
                </wp:inline>
              </w:drawing>
            </w:r>
          </w:p>
        </w:tc>
        <w:tc>
          <w:tcPr>
            <w:tcW w:w="4367" w:type="dxa"/>
            <w:vAlign w:val="center"/>
          </w:tcPr>
          <w:p w14:paraId="450249C9" w14:textId="77777777" w:rsidR="00245E9D" w:rsidRDefault="00265ED2" w:rsidP="00555C3C">
            <w:pPr>
              <w:pStyle w:val="CETBodytext"/>
              <w:spacing w:line="240" w:lineRule="auto"/>
              <w:contextualSpacing/>
              <w:jc w:val="center"/>
            </w:pPr>
            <w:r>
              <w:rPr>
                <w:noProof/>
              </w:rPr>
              <w:drawing>
                <wp:inline distT="0" distB="0" distL="0" distR="0" wp14:anchorId="3BA308C6" wp14:editId="78947901">
                  <wp:extent cx="2155817" cy="141298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5185" cy="1438792"/>
                          </a:xfrm>
                          <a:prstGeom prst="rect">
                            <a:avLst/>
                          </a:prstGeom>
                          <a:noFill/>
                        </pic:spPr>
                      </pic:pic>
                    </a:graphicData>
                  </a:graphic>
                </wp:inline>
              </w:drawing>
            </w:r>
          </w:p>
        </w:tc>
      </w:tr>
      <w:tr w:rsidR="00265ED2" w14:paraId="62DC5AA6" w14:textId="77777777" w:rsidTr="006D06BC">
        <w:tc>
          <w:tcPr>
            <w:tcW w:w="4410" w:type="dxa"/>
            <w:vAlign w:val="center"/>
          </w:tcPr>
          <w:p w14:paraId="31B7422C" w14:textId="77777777" w:rsidR="00245E9D" w:rsidRDefault="009C0422" w:rsidP="00555C3C">
            <w:pPr>
              <w:pStyle w:val="CETBodytext"/>
              <w:spacing w:line="240" w:lineRule="auto"/>
              <w:contextualSpacing/>
              <w:jc w:val="center"/>
            </w:pPr>
            <w:r>
              <w:rPr>
                <w:noProof/>
              </w:rPr>
              <w:drawing>
                <wp:inline distT="0" distB="0" distL="0" distR="0" wp14:anchorId="4AEB46F0" wp14:editId="3F0D40D3">
                  <wp:extent cx="2139441" cy="1404781"/>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79092" cy="1430816"/>
                          </a:xfrm>
                          <a:prstGeom prst="rect">
                            <a:avLst/>
                          </a:prstGeom>
                          <a:noFill/>
                        </pic:spPr>
                      </pic:pic>
                    </a:graphicData>
                  </a:graphic>
                </wp:inline>
              </w:drawing>
            </w:r>
          </w:p>
        </w:tc>
        <w:tc>
          <w:tcPr>
            <w:tcW w:w="4367" w:type="dxa"/>
            <w:vAlign w:val="center"/>
          </w:tcPr>
          <w:p w14:paraId="5E7252B9" w14:textId="77777777" w:rsidR="00245E9D" w:rsidRDefault="008E0C2E" w:rsidP="00555C3C">
            <w:pPr>
              <w:pStyle w:val="CETBodytext"/>
              <w:spacing w:line="240" w:lineRule="auto"/>
              <w:contextualSpacing/>
              <w:jc w:val="center"/>
            </w:pPr>
            <w:r>
              <w:rPr>
                <w:noProof/>
              </w:rPr>
              <w:drawing>
                <wp:inline distT="0" distB="0" distL="0" distR="0" wp14:anchorId="009973AF" wp14:editId="19F7A524">
                  <wp:extent cx="2146061" cy="1404068"/>
                  <wp:effectExtent l="0" t="0" r="6985"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72375" cy="1421284"/>
                          </a:xfrm>
                          <a:prstGeom prst="rect">
                            <a:avLst/>
                          </a:prstGeom>
                          <a:noFill/>
                        </pic:spPr>
                      </pic:pic>
                    </a:graphicData>
                  </a:graphic>
                </wp:inline>
              </w:drawing>
            </w:r>
          </w:p>
        </w:tc>
      </w:tr>
      <w:tr w:rsidR="00265ED2" w14:paraId="44866659" w14:textId="77777777" w:rsidTr="006D06BC">
        <w:trPr>
          <w:trHeight w:val="2277"/>
        </w:trPr>
        <w:tc>
          <w:tcPr>
            <w:tcW w:w="4410" w:type="dxa"/>
            <w:vAlign w:val="center"/>
          </w:tcPr>
          <w:p w14:paraId="3A8E6B2C" w14:textId="77777777" w:rsidR="00245E9D" w:rsidRDefault="00555C3C" w:rsidP="00555C3C">
            <w:pPr>
              <w:pStyle w:val="CETBodytext"/>
              <w:spacing w:line="240" w:lineRule="auto"/>
              <w:contextualSpacing/>
              <w:jc w:val="center"/>
            </w:pPr>
            <w:r>
              <w:rPr>
                <w:noProof/>
              </w:rPr>
              <w:drawing>
                <wp:inline distT="0" distB="0" distL="0" distR="0" wp14:anchorId="50CBCB9D" wp14:editId="354F2C2A">
                  <wp:extent cx="2143168" cy="1389785"/>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77981" cy="1412361"/>
                          </a:xfrm>
                          <a:prstGeom prst="rect">
                            <a:avLst/>
                          </a:prstGeom>
                          <a:noFill/>
                        </pic:spPr>
                      </pic:pic>
                    </a:graphicData>
                  </a:graphic>
                </wp:inline>
              </w:drawing>
            </w:r>
          </w:p>
        </w:tc>
        <w:tc>
          <w:tcPr>
            <w:tcW w:w="4367" w:type="dxa"/>
            <w:vAlign w:val="center"/>
          </w:tcPr>
          <w:p w14:paraId="04B23ACC" w14:textId="77777777" w:rsidR="00245E9D" w:rsidRDefault="001D38DB" w:rsidP="00555C3C">
            <w:pPr>
              <w:pStyle w:val="CETBodytext"/>
              <w:spacing w:line="240" w:lineRule="auto"/>
              <w:contextualSpacing/>
              <w:jc w:val="center"/>
            </w:pPr>
            <w:r>
              <w:rPr>
                <w:noProof/>
              </w:rPr>
              <w:drawing>
                <wp:inline distT="0" distB="0" distL="0" distR="0" wp14:anchorId="14233C3B" wp14:editId="26CA6D17">
                  <wp:extent cx="2131855" cy="1398606"/>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75216" cy="1427053"/>
                          </a:xfrm>
                          <a:prstGeom prst="rect">
                            <a:avLst/>
                          </a:prstGeom>
                          <a:noFill/>
                        </pic:spPr>
                      </pic:pic>
                    </a:graphicData>
                  </a:graphic>
                </wp:inline>
              </w:drawing>
            </w:r>
          </w:p>
        </w:tc>
      </w:tr>
    </w:tbl>
    <w:p w14:paraId="73112DAF" w14:textId="77777777" w:rsidR="007B4765" w:rsidRDefault="001812C9" w:rsidP="005F7ABC">
      <w:pPr>
        <w:pStyle w:val="CETBodytext"/>
        <w:spacing w:before="240" w:after="80"/>
        <w:jc w:val="center"/>
        <w:rPr>
          <w:i/>
        </w:rPr>
      </w:pPr>
      <w:r w:rsidRPr="00CE4E9B">
        <w:rPr>
          <w:i/>
        </w:rPr>
        <w:t xml:space="preserve">Figure </w:t>
      </w:r>
      <w:r w:rsidR="000E7EE7">
        <w:rPr>
          <w:i/>
        </w:rPr>
        <w:t>4</w:t>
      </w:r>
      <w:r w:rsidRPr="00CE4E9B">
        <w:rPr>
          <w:i/>
        </w:rPr>
        <w:t xml:space="preserve">: </w:t>
      </w:r>
      <w:r w:rsidR="00156134">
        <w:rPr>
          <w:i/>
        </w:rPr>
        <w:t>Dynamics of different control structures and variables for an increase of 10% in the inlet flow</w:t>
      </w:r>
      <w:r w:rsidRPr="00CE4E9B">
        <w:rPr>
          <w:i/>
        </w:rPr>
        <w:t>.</w:t>
      </w:r>
    </w:p>
    <w:p w14:paraId="75128C1B" w14:textId="77777777" w:rsidR="007106EB" w:rsidRDefault="007106EB" w:rsidP="00271753">
      <w:pPr>
        <w:pStyle w:val="CETBodytext"/>
        <w:spacing w:before="240" w:after="80"/>
      </w:pPr>
      <w:r>
        <w:t>Another interesting test is</w:t>
      </w:r>
      <w:r w:rsidR="00271753">
        <w:t xml:space="preserve"> to verify is</w:t>
      </w:r>
      <w:r>
        <w:t xml:space="preserve"> the level of impurity in the bottoms product during the transient when a step increase of 10% is produced in the feed. It is considered for th</w:t>
      </w:r>
      <w:r w:rsidR="007A18DB">
        <w:t>e unit operation</w:t>
      </w:r>
      <w:r>
        <w:t xml:space="preserve"> a maximum content of </w:t>
      </w:r>
      <w:r w:rsidR="007A18DB">
        <w:t>0.02</w:t>
      </w:r>
      <w:r>
        <w:t xml:space="preserve"> </w:t>
      </w:r>
      <w:r w:rsidR="007A18DB">
        <w:t xml:space="preserve">of in mole fraction of methane </w:t>
      </w:r>
      <w:r>
        <w:t>in the NGL product.</w:t>
      </w:r>
      <w:r w:rsidR="007A18DB">
        <w:t xml:space="preserve"> Figure 6 depicts the impact of the disturbance in the feed flow rate in the compositions of methane (XI-101) and ethane (XI-100) in the NGL product.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367"/>
      </w:tblGrid>
      <w:tr w:rsidR="007C53D7" w14:paraId="27426318" w14:textId="77777777" w:rsidTr="006D06BC">
        <w:trPr>
          <w:trHeight w:val="2250"/>
          <w:jc w:val="center"/>
        </w:trPr>
        <w:tc>
          <w:tcPr>
            <w:tcW w:w="4410" w:type="dxa"/>
            <w:vAlign w:val="center"/>
          </w:tcPr>
          <w:p w14:paraId="6395D99F" w14:textId="77777777" w:rsidR="007A18DB" w:rsidRDefault="001616E7" w:rsidP="00D7195D">
            <w:pPr>
              <w:pStyle w:val="CETBodytext"/>
              <w:spacing w:line="240" w:lineRule="auto"/>
              <w:contextualSpacing/>
              <w:jc w:val="center"/>
            </w:pPr>
            <w:r>
              <w:rPr>
                <w:noProof/>
              </w:rPr>
              <w:lastRenderedPageBreak/>
              <w:drawing>
                <wp:inline distT="0" distB="0" distL="0" distR="0" wp14:anchorId="3EC7D409" wp14:editId="131E3E74">
                  <wp:extent cx="2146217" cy="1404171"/>
                  <wp:effectExtent l="0" t="0" r="6985"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04498" cy="1442302"/>
                          </a:xfrm>
                          <a:prstGeom prst="rect">
                            <a:avLst/>
                          </a:prstGeom>
                          <a:noFill/>
                        </pic:spPr>
                      </pic:pic>
                    </a:graphicData>
                  </a:graphic>
                </wp:inline>
              </w:drawing>
            </w:r>
          </w:p>
        </w:tc>
        <w:tc>
          <w:tcPr>
            <w:tcW w:w="4367" w:type="dxa"/>
            <w:vAlign w:val="center"/>
          </w:tcPr>
          <w:p w14:paraId="06CAA5AC" w14:textId="77777777" w:rsidR="007A18DB" w:rsidRDefault="007C53D7" w:rsidP="00D7195D">
            <w:pPr>
              <w:pStyle w:val="CETBodytext"/>
              <w:spacing w:line="240" w:lineRule="auto"/>
              <w:contextualSpacing/>
              <w:jc w:val="center"/>
            </w:pPr>
            <w:r>
              <w:rPr>
                <w:noProof/>
              </w:rPr>
              <w:drawing>
                <wp:inline distT="0" distB="0" distL="0" distR="0" wp14:anchorId="501CE304" wp14:editId="7F3E02B7">
                  <wp:extent cx="2124784" cy="1392156"/>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69470" cy="1421434"/>
                          </a:xfrm>
                          <a:prstGeom prst="rect">
                            <a:avLst/>
                          </a:prstGeom>
                          <a:noFill/>
                        </pic:spPr>
                      </pic:pic>
                    </a:graphicData>
                  </a:graphic>
                </wp:inline>
              </w:drawing>
            </w:r>
          </w:p>
        </w:tc>
      </w:tr>
    </w:tbl>
    <w:p w14:paraId="38E05E9E" w14:textId="77777777" w:rsidR="007A18DB" w:rsidRDefault="007A18DB" w:rsidP="007A18DB">
      <w:pPr>
        <w:pStyle w:val="CETBodytext"/>
        <w:spacing w:before="240" w:after="80"/>
        <w:jc w:val="center"/>
        <w:rPr>
          <w:i/>
        </w:rPr>
      </w:pPr>
      <w:r w:rsidRPr="00CE4E9B">
        <w:rPr>
          <w:i/>
        </w:rPr>
        <w:t xml:space="preserve">Figure </w:t>
      </w:r>
      <w:r w:rsidR="000E7EE7">
        <w:rPr>
          <w:i/>
        </w:rPr>
        <w:t>5</w:t>
      </w:r>
      <w:r w:rsidRPr="00CE4E9B">
        <w:rPr>
          <w:i/>
        </w:rPr>
        <w:t xml:space="preserve">: </w:t>
      </w:r>
      <w:r>
        <w:rPr>
          <w:i/>
        </w:rPr>
        <w:t>Variations of methane and ethane in NGL product for an increase of 10% in the inlet flow</w:t>
      </w:r>
      <w:r w:rsidRPr="00CE4E9B">
        <w:rPr>
          <w:i/>
        </w:rPr>
        <w:t>.</w:t>
      </w:r>
    </w:p>
    <w:p w14:paraId="129AB781" w14:textId="77777777" w:rsidR="00DC4752" w:rsidRPr="00271753" w:rsidRDefault="00DC4752" w:rsidP="00271753">
      <w:pPr>
        <w:pStyle w:val="CETBodytext"/>
        <w:spacing w:before="240" w:after="80"/>
      </w:pPr>
      <w:r>
        <w:t xml:space="preserve">As can be observed, an increase of 10% in </w:t>
      </w:r>
      <w:r w:rsidR="00855081">
        <w:t>feed</w:t>
      </w:r>
      <w:r>
        <w:t xml:space="preserve"> flow increases the level of impurity (methane) in the </w:t>
      </w:r>
      <w:r w:rsidR="00855081">
        <w:t>NGL</w:t>
      </w:r>
      <w:r>
        <w:t xml:space="preserve"> </w:t>
      </w:r>
      <w:r w:rsidR="00855081">
        <w:t>stream</w:t>
      </w:r>
      <w:r>
        <w:t xml:space="preserve">. After the transient, the product contains almost </w:t>
      </w:r>
      <w:r w:rsidR="00C94E34">
        <w:t>3.6</w:t>
      </w:r>
      <w:r>
        <w:t xml:space="preserve"> times the maximum allowed amount of methane. Additionally, the content of ethane d</w:t>
      </w:r>
      <w:bookmarkStart w:id="10" w:name="_GoBack"/>
      <w:bookmarkEnd w:id="10"/>
      <w:r>
        <w:t>ecreases about 2%, which is not as significant as the increase of impurity.</w:t>
      </w:r>
    </w:p>
    <w:p w14:paraId="547E9D1D" w14:textId="77777777" w:rsidR="00600535" w:rsidRPr="00B57B36" w:rsidRDefault="00600535" w:rsidP="00600535">
      <w:pPr>
        <w:pStyle w:val="CETHeading1"/>
        <w:rPr>
          <w:lang w:val="en-GB"/>
        </w:rPr>
      </w:pPr>
      <w:r w:rsidRPr="00B57B36">
        <w:rPr>
          <w:lang w:val="en-GB"/>
        </w:rPr>
        <w:t>Conclusions</w:t>
      </w:r>
    </w:p>
    <w:p w14:paraId="185E45CB" w14:textId="77777777" w:rsidR="00600535" w:rsidRDefault="00295069" w:rsidP="00600535">
      <w:pPr>
        <w:pStyle w:val="CETBodytext"/>
        <w:rPr>
          <w:lang w:val="en-GB"/>
        </w:rPr>
      </w:pPr>
      <w:r>
        <w:rPr>
          <w:lang w:val="en-GB"/>
        </w:rPr>
        <w:t xml:space="preserve">In this work, an integrative approach is presented for the determination of the optimal design conditions for the operation of a conventional NGL recovery unit. A process simulation is coupled with a metaheuristic algorithm to construct </w:t>
      </w:r>
      <w:r w:rsidR="004D673A">
        <w:rPr>
          <w:lang w:val="en-GB"/>
        </w:rPr>
        <w:t xml:space="preserve">a techno-economic </w:t>
      </w:r>
      <w:r>
        <w:rPr>
          <w:lang w:val="en-GB"/>
        </w:rPr>
        <w:t xml:space="preserve">optimization framework. Two case studies are analysed to determine the optimal </w:t>
      </w:r>
      <w:r w:rsidR="004D673A">
        <w:rPr>
          <w:lang w:val="en-GB"/>
        </w:rPr>
        <w:t xml:space="preserve">design and </w:t>
      </w:r>
      <w:r>
        <w:rPr>
          <w:lang w:val="en-GB"/>
        </w:rPr>
        <w:t xml:space="preserve">operating conditions. </w:t>
      </w:r>
      <w:r w:rsidR="005D4968">
        <w:rPr>
          <w:lang w:val="en-GB"/>
        </w:rPr>
        <w:t>The relevance of the NGL content in the raw gas is observed in the higher profits generated in the rich gas case study. Based on the optimal design variables obtained by the proposed framework,</w:t>
      </w:r>
      <w:r>
        <w:rPr>
          <w:lang w:val="en-GB"/>
        </w:rPr>
        <w:t xml:space="preserve"> a dynamic process simulation is performed to incorporate different control structures and evaluate the effects of altering the normal operating conditions </w:t>
      </w:r>
      <w:r w:rsidR="005D4968">
        <w:rPr>
          <w:lang w:val="en-GB"/>
        </w:rPr>
        <w:t>of the inlet feed</w:t>
      </w:r>
      <w:r>
        <w:rPr>
          <w:lang w:val="en-GB"/>
        </w:rPr>
        <w:t xml:space="preserve">. Results showed that </w:t>
      </w:r>
      <w:r w:rsidR="004D673A">
        <w:rPr>
          <w:lang w:val="en-GB"/>
        </w:rPr>
        <w:t xml:space="preserve">the transient to reach the new steady state is achieved </w:t>
      </w:r>
      <w:r w:rsidR="002D7873">
        <w:rPr>
          <w:lang w:val="en-GB"/>
        </w:rPr>
        <w:t xml:space="preserve">relatively fast </w:t>
      </w:r>
      <w:r w:rsidR="004D673A">
        <w:rPr>
          <w:lang w:val="en-GB"/>
        </w:rPr>
        <w:t xml:space="preserve">in the case of the output flows and </w:t>
      </w:r>
      <w:r w:rsidR="002D7873">
        <w:rPr>
          <w:lang w:val="en-GB"/>
        </w:rPr>
        <w:t>c</w:t>
      </w:r>
      <w:r w:rsidR="004D673A">
        <w:rPr>
          <w:lang w:val="en-GB"/>
        </w:rPr>
        <w:t xml:space="preserve">ontrollers. The impact of increasing the feed on the bottoms product is also analysed. The level of impurity is strongly affected. </w:t>
      </w:r>
      <w:r>
        <w:rPr>
          <w:lang w:val="en-GB"/>
        </w:rPr>
        <w:t xml:space="preserve">Future work </w:t>
      </w:r>
      <w:r w:rsidR="004D673A">
        <w:rPr>
          <w:lang w:val="en-GB"/>
        </w:rPr>
        <w:t>should</w:t>
      </w:r>
      <w:r>
        <w:rPr>
          <w:lang w:val="en-GB"/>
        </w:rPr>
        <w:t xml:space="preserve"> focus on </w:t>
      </w:r>
      <w:r w:rsidR="004D673A">
        <w:rPr>
          <w:lang w:val="en-GB"/>
        </w:rPr>
        <w:t xml:space="preserve">the implementation of control systems that avoid or minimize the detrimental effects of inlet disturbances in product quality. In addition, </w:t>
      </w:r>
      <w:r>
        <w:rPr>
          <w:lang w:val="en-GB"/>
        </w:rPr>
        <w:t xml:space="preserve">other types of NGL recovery processes as well as </w:t>
      </w:r>
      <w:r w:rsidR="00D56A97">
        <w:rPr>
          <w:lang w:val="en-GB"/>
        </w:rPr>
        <w:t>the utilization of other more advanced control structures</w:t>
      </w:r>
      <w:r w:rsidR="004D673A">
        <w:rPr>
          <w:lang w:val="en-GB"/>
        </w:rPr>
        <w:t xml:space="preserve"> could be implemented</w:t>
      </w:r>
      <w:r w:rsidR="00D56A97">
        <w:rPr>
          <w:lang w:val="en-GB"/>
        </w:rPr>
        <w:t>.</w:t>
      </w:r>
    </w:p>
    <w:p w14:paraId="73A83191" w14:textId="77777777" w:rsidR="00600535" w:rsidRPr="00B57B36" w:rsidRDefault="00600535" w:rsidP="00600535">
      <w:pPr>
        <w:pStyle w:val="CETAcknowledgementstitle"/>
      </w:pPr>
      <w:r w:rsidRPr="00B57B36">
        <w:t>Acknowledgments</w:t>
      </w:r>
    </w:p>
    <w:p w14:paraId="16828A0E" w14:textId="77777777" w:rsidR="00600535" w:rsidRPr="00B57B36" w:rsidRDefault="00DB4AE0" w:rsidP="00600535">
      <w:pPr>
        <w:pStyle w:val="CETBodytext"/>
        <w:rPr>
          <w:lang w:val="en-GB"/>
        </w:rPr>
      </w:pPr>
      <w:r w:rsidRPr="00DB4AE0">
        <w:rPr>
          <w:lang w:val="en-GB"/>
        </w:rPr>
        <w:t>Support on PSE LSU group and the Cain Department of Chemical Engineering at Louisiana State University is gratefully acknowledged.</w:t>
      </w:r>
    </w:p>
    <w:p w14:paraId="28F6F0A9" w14:textId="77777777" w:rsidR="00600535" w:rsidRDefault="00600535" w:rsidP="00600535">
      <w:pPr>
        <w:pStyle w:val="CETReference"/>
      </w:pPr>
      <w:r w:rsidRPr="00B57B36">
        <w:t>References</w:t>
      </w:r>
    </w:p>
    <w:p w14:paraId="247B585D" w14:textId="77777777" w:rsidR="00D859E8" w:rsidRDefault="00D859E8" w:rsidP="00277C2E">
      <w:pPr>
        <w:pStyle w:val="CETReferencetext"/>
      </w:pPr>
      <w:proofErr w:type="spellStart"/>
      <w:r w:rsidRPr="00885D12">
        <w:t>Chebbi</w:t>
      </w:r>
      <w:proofErr w:type="spellEnd"/>
      <w:r w:rsidRPr="00885D12">
        <w:t>, R., Al-</w:t>
      </w:r>
      <w:proofErr w:type="spellStart"/>
      <w:r w:rsidRPr="00885D12">
        <w:t>Amoodi</w:t>
      </w:r>
      <w:proofErr w:type="spellEnd"/>
      <w:r w:rsidRPr="00885D12">
        <w:t>, N. S., Jabbar, N. A., Hussei</w:t>
      </w:r>
      <w:r>
        <w:t xml:space="preserve">ni, G. A., &amp; Al </w:t>
      </w:r>
      <w:proofErr w:type="spellStart"/>
      <w:r>
        <w:t>Mazroui</w:t>
      </w:r>
      <w:proofErr w:type="spellEnd"/>
      <w:r>
        <w:t>, K. A., 2010, Optimum Ethane Recovery in Conventional Turboexpander Process. Chemical Engineering Research and Design, 88(5-6), 779</w:t>
      </w:r>
      <w:r w:rsidRPr="006B4888">
        <w:t>–</w:t>
      </w:r>
      <w:r w:rsidRPr="00885D12">
        <w:t>787.</w:t>
      </w:r>
    </w:p>
    <w:p w14:paraId="2AF9C0E0" w14:textId="77777777" w:rsidR="00D859E8" w:rsidRPr="00E41FA9" w:rsidRDefault="00D859E8" w:rsidP="00277C2E">
      <w:pPr>
        <w:pStyle w:val="CETReferencetext"/>
      </w:pPr>
      <w:proofErr w:type="spellStart"/>
      <w:r>
        <w:t>Kherbeck</w:t>
      </w:r>
      <w:proofErr w:type="spellEnd"/>
      <w:r>
        <w:t xml:space="preserve">, L., </w:t>
      </w:r>
      <w:proofErr w:type="spellStart"/>
      <w:r>
        <w:t>Chebbi</w:t>
      </w:r>
      <w:proofErr w:type="spellEnd"/>
      <w:r>
        <w:t xml:space="preserve">, R., 2015, Optimizing Ethane Recovery in Turboexpander Processes. </w:t>
      </w:r>
      <w:r w:rsidRPr="00E41FA9">
        <w:rPr>
          <w:iCs/>
        </w:rPr>
        <w:t>Journal of Industrial and Engineering Chemistry</w:t>
      </w:r>
      <w:r w:rsidRPr="00E41FA9">
        <w:t xml:space="preserve">, </w:t>
      </w:r>
      <w:r w:rsidRPr="00E41FA9">
        <w:rPr>
          <w:iCs/>
        </w:rPr>
        <w:t>21</w:t>
      </w:r>
      <w:r w:rsidRPr="00E41FA9">
        <w:t>, 292-297.</w:t>
      </w:r>
    </w:p>
    <w:p w14:paraId="4A692A17" w14:textId="77777777" w:rsidR="00D859E8" w:rsidRPr="001A438B" w:rsidRDefault="00D859E8" w:rsidP="00277C2E">
      <w:pPr>
        <w:pStyle w:val="CETReferencetext"/>
      </w:pPr>
      <w:proofErr w:type="spellStart"/>
      <w:r>
        <w:t>Kidnay</w:t>
      </w:r>
      <w:proofErr w:type="spellEnd"/>
      <w:r>
        <w:t xml:space="preserve">, A. J., Parrish, W. R., &amp; McCartney, D. G. (Ed.), 2011, </w:t>
      </w:r>
      <w:r w:rsidRPr="001A438B">
        <w:rPr>
          <w:iCs/>
        </w:rPr>
        <w:t xml:space="preserve">Fundamentals of </w:t>
      </w:r>
      <w:r>
        <w:rPr>
          <w:iCs/>
        </w:rPr>
        <w:t>Natural Gas P</w:t>
      </w:r>
      <w:r w:rsidRPr="001A438B">
        <w:rPr>
          <w:iCs/>
        </w:rPr>
        <w:t>rocessing</w:t>
      </w:r>
      <w:r>
        <w:t xml:space="preserve">. CRC press, Columbus, USA. </w:t>
      </w:r>
    </w:p>
    <w:p w14:paraId="3F809098" w14:textId="77777777" w:rsidR="00D859E8" w:rsidRDefault="00D859E8" w:rsidP="004772A6">
      <w:pPr>
        <w:tabs>
          <w:tab w:val="clear" w:pos="7100"/>
        </w:tabs>
        <w:spacing w:line="240" w:lineRule="auto"/>
        <w:ind w:left="288" w:hanging="288"/>
        <w:jc w:val="left"/>
        <w:rPr>
          <w:rFonts w:cs="Arial"/>
          <w:szCs w:val="24"/>
          <w:lang w:val="en-US"/>
        </w:rPr>
      </w:pPr>
      <w:r w:rsidRPr="004772A6">
        <w:rPr>
          <w:rFonts w:cs="Arial"/>
          <w:szCs w:val="24"/>
          <w:lang w:val="en-US"/>
        </w:rPr>
        <w:t>Manning, F.S.</w:t>
      </w:r>
      <w:r>
        <w:rPr>
          <w:rFonts w:cs="Arial"/>
          <w:szCs w:val="24"/>
          <w:lang w:val="en-US"/>
        </w:rPr>
        <w:t>,</w:t>
      </w:r>
      <w:r w:rsidRPr="004772A6">
        <w:rPr>
          <w:rFonts w:cs="Arial"/>
          <w:szCs w:val="24"/>
          <w:lang w:val="en-US"/>
        </w:rPr>
        <w:t xml:space="preserve"> Thompson</w:t>
      </w:r>
      <w:r>
        <w:rPr>
          <w:rFonts w:cs="Arial"/>
          <w:szCs w:val="24"/>
          <w:lang w:val="en-US"/>
        </w:rPr>
        <w:t xml:space="preserve">, </w:t>
      </w:r>
      <w:r w:rsidRPr="004772A6">
        <w:rPr>
          <w:rFonts w:cs="Arial"/>
          <w:szCs w:val="24"/>
          <w:lang w:val="en-US"/>
        </w:rPr>
        <w:t xml:space="preserve">R.E. </w:t>
      </w:r>
      <w:r>
        <w:rPr>
          <w:rFonts w:cs="Arial"/>
          <w:szCs w:val="24"/>
          <w:lang w:val="en-US"/>
        </w:rPr>
        <w:t xml:space="preserve">(Ed), 1991, </w:t>
      </w:r>
      <w:r w:rsidRPr="004772A6">
        <w:rPr>
          <w:rFonts w:cs="Arial"/>
          <w:bCs/>
          <w:szCs w:val="24"/>
          <w:lang w:val="en-US"/>
        </w:rPr>
        <w:t>Oilfield Processing of Petroleum</w:t>
      </w:r>
      <w:r w:rsidRPr="004772A6">
        <w:rPr>
          <w:rFonts w:cs="Arial"/>
          <w:szCs w:val="24"/>
          <w:lang w:val="en-US"/>
        </w:rPr>
        <w:t>, PennWell Publishing Company</w:t>
      </w:r>
      <w:r>
        <w:rPr>
          <w:rFonts w:cs="Arial"/>
          <w:szCs w:val="24"/>
          <w:lang w:val="en-US"/>
        </w:rPr>
        <w:t>, Tulsa, USA.</w:t>
      </w:r>
    </w:p>
    <w:p w14:paraId="4237E1B3" w14:textId="77777777" w:rsidR="00D859E8" w:rsidRPr="00E97A6C" w:rsidRDefault="00D859E8" w:rsidP="00E97A6C">
      <w:pPr>
        <w:pStyle w:val="CETReferencetext"/>
      </w:pPr>
      <w:r w:rsidRPr="00E97A6C">
        <w:t xml:space="preserve">Price, K., </w:t>
      </w:r>
      <w:proofErr w:type="spellStart"/>
      <w:r w:rsidRPr="00E97A6C">
        <w:t>S</w:t>
      </w:r>
      <w:r>
        <w:t>torn</w:t>
      </w:r>
      <w:proofErr w:type="spellEnd"/>
      <w:r>
        <w:t xml:space="preserve">, R. M., &amp; </w:t>
      </w:r>
      <w:proofErr w:type="spellStart"/>
      <w:r>
        <w:t>Lampinen</w:t>
      </w:r>
      <w:proofErr w:type="spellEnd"/>
      <w:r>
        <w:t>, J. A., 2006,</w:t>
      </w:r>
      <w:r w:rsidRPr="00E97A6C">
        <w:t> Differential evolution: a practical approach to global optimization. Springer Science &amp; Business Media.</w:t>
      </w:r>
    </w:p>
    <w:p w14:paraId="74DA58A1" w14:textId="77777777" w:rsidR="00D859E8" w:rsidRPr="00E97A6C" w:rsidRDefault="00D859E8" w:rsidP="00E97A6C">
      <w:pPr>
        <w:pStyle w:val="CETReferencetext"/>
      </w:pPr>
      <w:r w:rsidRPr="00E97A6C">
        <w:t xml:space="preserve">Salas, S. D., </w:t>
      </w:r>
      <w:proofErr w:type="spellStart"/>
      <w:r w:rsidRPr="00E97A6C">
        <w:t>Chebeir</w:t>
      </w:r>
      <w:proofErr w:type="spellEnd"/>
      <w:r w:rsidRPr="00E97A6C">
        <w:t xml:space="preserve">, J., </w:t>
      </w:r>
      <w:proofErr w:type="spellStart"/>
      <w:r w:rsidRPr="00E97A6C">
        <w:t>Tronci</w:t>
      </w:r>
      <w:proofErr w:type="spellEnd"/>
      <w:r w:rsidRPr="00E97A6C">
        <w:t xml:space="preserve">, S., </w:t>
      </w:r>
      <w:proofErr w:type="spellStart"/>
      <w:r w:rsidRPr="00E97A6C">
        <w:t>Baratt</w:t>
      </w:r>
      <w:r>
        <w:t>i</w:t>
      </w:r>
      <w:proofErr w:type="spellEnd"/>
      <w:r>
        <w:t xml:space="preserve">, R., &amp; </w:t>
      </w:r>
      <w:proofErr w:type="spellStart"/>
      <w:r>
        <w:t>Romagnoli</w:t>
      </w:r>
      <w:proofErr w:type="spellEnd"/>
      <w:r>
        <w:t xml:space="preserve">, J. A., </w:t>
      </w:r>
      <w:r w:rsidRPr="00E97A6C">
        <w:t>2018</w:t>
      </w:r>
      <w:r>
        <w:t>,</w:t>
      </w:r>
      <w:r w:rsidRPr="00E97A6C">
        <w:t xml:space="preserve"> Real-Time Nonlinear State Estimation in Polymerization Reactors for Smart Manufacturing. In Computer Aided Chemical Engineering (Vol. 43, pp. 1207-1212). Elsevier.</w:t>
      </w:r>
    </w:p>
    <w:p w14:paraId="77871910" w14:textId="77777777" w:rsidR="00D859E8" w:rsidRDefault="00D859E8" w:rsidP="00580598">
      <w:pPr>
        <w:pStyle w:val="CETReferencetext"/>
      </w:pPr>
      <w:r w:rsidRPr="00D859E8">
        <w:t xml:space="preserve">Salas, S. D., </w:t>
      </w:r>
      <w:proofErr w:type="spellStart"/>
      <w:r w:rsidRPr="00D859E8">
        <w:t>Geraili</w:t>
      </w:r>
      <w:proofErr w:type="spellEnd"/>
      <w:r w:rsidRPr="00D859E8">
        <w:t xml:space="preserve">, A., &amp; </w:t>
      </w:r>
      <w:proofErr w:type="spellStart"/>
      <w:r w:rsidRPr="00D859E8">
        <w:t>Romagnoli</w:t>
      </w:r>
      <w:proofErr w:type="spellEnd"/>
      <w:r w:rsidRPr="00D859E8">
        <w:t>, J. A.</w:t>
      </w:r>
      <w:r>
        <w:t xml:space="preserve">, </w:t>
      </w:r>
      <w:r w:rsidRPr="00D859E8">
        <w:t>2017</w:t>
      </w:r>
      <w:r>
        <w:t>,</w:t>
      </w:r>
      <w:r w:rsidRPr="00D859E8">
        <w:t xml:space="preserve"> Optimization of renewable energy businesses under operational level uncertainties through extensive sensitivity analysis and stochastic global optimization. Industrial &amp; Engineering Chemistry Research, 56(12), 3360-3372.</w:t>
      </w:r>
    </w:p>
    <w:p w14:paraId="14D96F54" w14:textId="77777777" w:rsidR="00D859E8" w:rsidRDefault="00D859E8" w:rsidP="00580598">
      <w:pPr>
        <w:pStyle w:val="CETReferencetext"/>
      </w:pPr>
      <w:proofErr w:type="spellStart"/>
      <w:r>
        <w:t>Storn</w:t>
      </w:r>
      <w:proofErr w:type="spellEnd"/>
      <w:r>
        <w:t>, R., &amp; Price, K., 1997,</w:t>
      </w:r>
      <w:r w:rsidRPr="00E97A6C">
        <w:t xml:space="preserve"> Differential evolution–a simple and efficient heuristic for global optimization over continuous spaces. Journal of Global Optimization, 11(4), 341-359.</w:t>
      </w:r>
    </w:p>
    <w:p w14:paraId="7490AE5F" w14:textId="77777777" w:rsidR="006A03F9" w:rsidRDefault="00A24B1C" w:rsidP="006A03F9">
      <w:pPr>
        <w:pStyle w:val="CETReferencetext"/>
      </w:pPr>
      <w:r>
        <w:t>Turton R., Bailie R.C., Whiting W.</w:t>
      </w:r>
      <w:r w:rsidR="006A03F9">
        <w:t>B.</w:t>
      </w:r>
      <w:r>
        <w:t xml:space="preserve">, </w:t>
      </w:r>
      <w:proofErr w:type="spellStart"/>
      <w:r>
        <w:t>Shaewitz</w:t>
      </w:r>
      <w:proofErr w:type="spellEnd"/>
      <w:r>
        <w:t xml:space="preserve"> J.</w:t>
      </w:r>
      <w:r w:rsidR="006A03F9">
        <w:t>A.</w:t>
      </w:r>
      <w:r>
        <w:t>,</w:t>
      </w:r>
      <w:r w:rsidR="006A03F9">
        <w:t xml:space="preserve"> </w:t>
      </w:r>
      <w:r>
        <w:t>Bhattacharya</w:t>
      </w:r>
      <w:r w:rsidR="006A03F9">
        <w:t xml:space="preserve"> D. Analysis Synthesis and Design of Chemical Processes</w:t>
      </w:r>
      <w:r>
        <w:t>,</w:t>
      </w:r>
      <w:r w:rsidR="006A03F9">
        <w:t xml:space="preserve"> Prentice Hal</w:t>
      </w:r>
      <w:r>
        <w:t>l: Upper Saddle River, NJ</w:t>
      </w:r>
      <w:r w:rsidR="006A03F9">
        <w:t>.</w:t>
      </w:r>
      <w:r w:rsidR="007F6AE5">
        <w:t xml:space="preserve"> 2012</w:t>
      </w:r>
    </w:p>
    <w:sectPr w:rsidR="006A03F9"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42945" w14:textId="77777777" w:rsidR="0050028A" w:rsidRDefault="0050028A" w:rsidP="004F5E36">
      <w:r>
        <w:separator/>
      </w:r>
    </w:p>
  </w:endnote>
  <w:endnote w:type="continuationSeparator" w:id="0">
    <w:p w14:paraId="0F3B68AD" w14:textId="77777777" w:rsidR="0050028A" w:rsidRDefault="0050028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524F7" w14:textId="77777777" w:rsidR="0050028A" w:rsidRDefault="0050028A" w:rsidP="004F5E36">
      <w:r>
        <w:separator/>
      </w:r>
    </w:p>
  </w:footnote>
  <w:footnote w:type="continuationSeparator" w:id="0">
    <w:p w14:paraId="77DB0195" w14:textId="77777777" w:rsidR="0050028A" w:rsidRDefault="0050028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18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274BC"/>
    <w:rsid w:val="0003148D"/>
    <w:rsid w:val="00047D7F"/>
    <w:rsid w:val="00051566"/>
    <w:rsid w:val="0006170D"/>
    <w:rsid w:val="00062A9A"/>
    <w:rsid w:val="00065058"/>
    <w:rsid w:val="000766D3"/>
    <w:rsid w:val="00080518"/>
    <w:rsid w:val="0008600F"/>
    <w:rsid w:val="00086C39"/>
    <w:rsid w:val="00093937"/>
    <w:rsid w:val="000A03B2"/>
    <w:rsid w:val="000A3B79"/>
    <w:rsid w:val="000A4B20"/>
    <w:rsid w:val="000D0B11"/>
    <w:rsid w:val="000D1889"/>
    <w:rsid w:val="000D34BE"/>
    <w:rsid w:val="000E102F"/>
    <w:rsid w:val="000E22A8"/>
    <w:rsid w:val="000E36F1"/>
    <w:rsid w:val="000E3A73"/>
    <w:rsid w:val="000E414A"/>
    <w:rsid w:val="000E7EE7"/>
    <w:rsid w:val="000F093C"/>
    <w:rsid w:val="000F16BD"/>
    <w:rsid w:val="000F787B"/>
    <w:rsid w:val="0011544F"/>
    <w:rsid w:val="0012091F"/>
    <w:rsid w:val="00122730"/>
    <w:rsid w:val="00125CA3"/>
    <w:rsid w:val="00126BC2"/>
    <w:rsid w:val="001308B6"/>
    <w:rsid w:val="0013121F"/>
    <w:rsid w:val="00131FAB"/>
    <w:rsid w:val="00131FE6"/>
    <w:rsid w:val="0013263F"/>
    <w:rsid w:val="00134DE4"/>
    <w:rsid w:val="0014034D"/>
    <w:rsid w:val="00150E59"/>
    <w:rsid w:val="00152DE3"/>
    <w:rsid w:val="00156134"/>
    <w:rsid w:val="001579AE"/>
    <w:rsid w:val="001616E7"/>
    <w:rsid w:val="00162642"/>
    <w:rsid w:val="00164CF9"/>
    <w:rsid w:val="001754AF"/>
    <w:rsid w:val="00180087"/>
    <w:rsid w:val="001812C9"/>
    <w:rsid w:val="001821D5"/>
    <w:rsid w:val="00184AD6"/>
    <w:rsid w:val="001A438B"/>
    <w:rsid w:val="001B0349"/>
    <w:rsid w:val="001B1377"/>
    <w:rsid w:val="001B17AC"/>
    <w:rsid w:val="001B65C1"/>
    <w:rsid w:val="001B6C75"/>
    <w:rsid w:val="001C5EAD"/>
    <w:rsid w:val="001C684B"/>
    <w:rsid w:val="001D3805"/>
    <w:rsid w:val="001D38DB"/>
    <w:rsid w:val="001D53FC"/>
    <w:rsid w:val="001F42A5"/>
    <w:rsid w:val="001F7B9D"/>
    <w:rsid w:val="00200F0C"/>
    <w:rsid w:val="00213C0E"/>
    <w:rsid w:val="0021756C"/>
    <w:rsid w:val="002224B4"/>
    <w:rsid w:val="00231B20"/>
    <w:rsid w:val="00232986"/>
    <w:rsid w:val="00240982"/>
    <w:rsid w:val="002447EF"/>
    <w:rsid w:val="00245E9D"/>
    <w:rsid w:val="00251550"/>
    <w:rsid w:val="00252C1A"/>
    <w:rsid w:val="0025570C"/>
    <w:rsid w:val="00263B05"/>
    <w:rsid w:val="00265ED2"/>
    <w:rsid w:val="00271753"/>
    <w:rsid w:val="0027221A"/>
    <w:rsid w:val="00273935"/>
    <w:rsid w:val="00275B61"/>
    <w:rsid w:val="00277BD0"/>
    <w:rsid w:val="00277C2E"/>
    <w:rsid w:val="00282656"/>
    <w:rsid w:val="00291782"/>
    <w:rsid w:val="0029340F"/>
    <w:rsid w:val="00295069"/>
    <w:rsid w:val="00296B83"/>
    <w:rsid w:val="00297067"/>
    <w:rsid w:val="002A2B17"/>
    <w:rsid w:val="002B78CE"/>
    <w:rsid w:val="002C2FB6"/>
    <w:rsid w:val="002C54B7"/>
    <w:rsid w:val="002D5BCD"/>
    <w:rsid w:val="002D7873"/>
    <w:rsid w:val="002E1766"/>
    <w:rsid w:val="003009B7"/>
    <w:rsid w:val="00300E56"/>
    <w:rsid w:val="0030469C"/>
    <w:rsid w:val="00307E18"/>
    <w:rsid w:val="00310B2E"/>
    <w:rsid w:val="00316BA1"/>
    <w:rsid w:val="003171E8"/>
    <w:rsid w:val="00321CA6"/>
    <w:rsid w:val="00327730"/>
    <w:rsid w:val="0033283A"/>
    <w:rsid w:val="00334C09"/>
    <w:rsid w:val="0033541C"/>
    <w:rsid w:val="003365E3"/>
    <w:rsid w:val="00352A28"/>
    <w:rsid w:val="00366250"/>
    <w:rsid w:val="003723D4"/>
    <w:rsid w:val="00377E90"/>
    <w:rsid w:val="00380979"/>
    <w:rsid w:val="00382035"/>
    <w:rsid w:val="00384CC8"/>
    <w:rsid w:val="003871FD"/>
    <w:rsid w:val="0039398F"/>
    <w:rsid w:val="003A1328"/>
    <w:rsid w:val="003A1E30"/>
    <w:rsid w:val="003A6FF0"/>
    <w:rsid w:val="003A7D1C"/>
    <w:rsid w:val="003B304B"/>
    <w:rsid w:val="003B3146"/>
    <w:rsid w:val="003B60F3"/>
    <w:rsid w:val="003D17D0"/>
    <w:rsid w:val="003D49E4"/>
    <w:rsid w:val="003D5A6C"/>
    <w:rsid w:val="003E183C"/>
    <w:rsid w:val="003F015E"/>
    <w:rsid w:val="0040023B"/>
    <w:rsid w:val="00400414"/>
    <w:rsid w:val="004011EA"/>
    <w:rsid w:val="00406E17"/>
    <w:rsid w:val="0041446B"/>
    <w:rsid w:val="00420A48"/>
    <w:rsid w:val="0044329C"/>
    <w:rsid w:val="004577FE"/>
    <w:rsid w:val="00457B9C"/>
    <w:rsid w:val="0046164A"/>
    <w:rsid w:val="004628D2"/>
    <w:rsid w:val="00462DCD"/>
    <w:rsid w:val="004648AD"/>
    <w:rsid w:val="004703A9"/>
    <w:rsid w:val="004760DE"/>
    <w:rsid w:val="004772A6"/>
    <w:rsid w:val="00477E14"/>
    <w:rsid w:val="00486273"/>
    <w:rsid w:val="00490947"/>
    <w:rsid w:val="004A004E"/>
    <w:rsid w:val="004A24CF"/>
    <w:rsid w:val="004B1FD7"/>
    <w:rsid w:val="004B2A6B"/>
    <w:rsid w:val="004B51AA"/>
    <w:rsid w:val="004B6721"/>
    <w:rsid w:val="004C3D1D"/>
    <w:rsid w:val="004C7913"/>
    <w:rsid w:val="004D673A"/>
    <w:rsid w:val="004E4DD6"/>
    <w:rsid w:val="004F42EC"/>
    <w:rsid w:val="004F5E36"/>
    <w:rsid w:val="0050028A"/>
    <w:rsid w:val="00500D28"/>
    <w:rsid w:val="00507B47"/>
    <w:rsid w:val="00507CC9"/>
    <w:rsid w:val="005119A5"/>
    <w:rsid w:val="0051273B"/>
    <w:rsid w:val="0051489E"/>
    <w:rsid w:val="00521081"/>
    <w:rsid w:val="005263F6"/>
    <w:rsid w:val="005278B7"/>
    <w:rsid w:val="00532016"/>
    <w:rsid w:val="005346C8"/>
    <w:rsid w:val="00535544"/>
    <w:rsid w:val="00543E7D"/>
    <w:rsid w:val="00546B05"/>
    <w:rsid w:val="00547A68"/>
    <w:rsid w:val="005531C9"/>
    <w:rsid w:val="00555C3C"/>
    <w:rsid w:val="0055649E"/>
    <w:rsid w:val="00575BA6"/>
    <w:rsid w:val="00580598"/>
    <w:rsid w:val="005A056C"/>
    <w:rsid w:val="005B2110"/>
    <w:rsid w:val="005B61E6"/>
    <w:rsid w:val="005C77E1"/>
    <w:rsid w:val="005C79A5"/>
    <w:rsid w:val="005D4968"/>
    <w:rsid w:val="005D6A2F"/>
    <w:rsid w:val="005E1A82"/>
    <w:rsid w:val="005E794C"/>
    <w:rsid w:val="005F0A28"/>
    <w:rsid w:val="005F0E5E"/>
    <w:rsid w:val="005F7ABC"/>
    <w:rsid w:val="00600535"/>
    <w:rsid w:val="006018DC"/>
    <w:rsid w:val="00606DE6"/>
    <w:rsid w:val="00610CD6"/>
    <w:rsid w:val="006165EE"/>
    <w:rsid w:val="00620DEE"/>
    <w:rsid w:val="00621F92"/>
    <w:rsid w:val="00625639"/>
    <w:rsid w:val="006268E6"/>
    <w:rsid w:val="0062758C"/>
    <w:rsid w:val="00631ACA"/>
    <w:rsid w:val="00631B33"/>
    <w:rsid w:val="0064097C"/>
    <w:rsid w:val="0064184D"/>
    <w:rsid w:val="006422CC"/>
    <w:rsid w:val="00653EBD"/>
    <w:rsid w:val="006556BF"/>
    <w:rsid w:val="00660E3E"/>
    <w:rsid w:val="00662E74"/>
    <w:rsid w:val="00664D69"/>
    <w:rsid w:val="00667720"/>
    <w:rsid w:val="006778E3"/>
    <w:rsid w:val="00680C23"/>
    <w:rsid w:val="00690030"/>
    <w:rsid w:val="00690F1D"/>
    <w:rsid w:val="00693766"/>
    <w:rsid w:val="006A03F9"/>
    <w:rsid w:val="006A3281"/>
    <w:rsid w:val="006A586F"/>
    <w:rsid w:val="006B4888"/>
    <w:rsid w:val="006C2E45"/>
    <w:rsid w:val="006C359C"/>
    <w:rsid w:val="006C43C1"/>
    <w:rsid w:val="006C5579"/>
    <w:rsid w:val="006C7C50"/>
    <w:rsid w:val="006D06BC"/>
    <w:rsid w:val="006D4C28"/>
    <w:rsid w:val="006E737D"/>
    <w:rsid w:val="006F1758"/>
    <w:rsid w:val="006F3993"/>
    <w:rsid w:val="006F4161"/>
    <w:rsid w:val="0070195D"/>
    <w:rsid w:val="007106EB"/>
    <w:rsid w:val="00720A24"/>
    <w:rsid w:val="007214E6"/>
    <w:rsid w:val="00723E23"/>
    <w:rsid w:val="00732386"/>
    <w:rsid w:val="00743849"/>
    <w:rsid w:val="007447F3"/>
    <w:rsid w:val="0075499F"/>
    <w:rsid w:val="0076279E"/>
    <w:rsid w:val="00765F66"/>
    <w:rsid w:val="007661C8"/>
    <w:rsid w:val="0077098D"/>
    <w:rsid w:val="00781D8E"/>
    <w:rsid w:val="00785C85"/>
    <w:rsid w:val="00791DE0"/>
    <w:rsid w:val="007931FA"/>
    <w:rsid w:val="00794D41"/>
    <w:rsid w:val="007A18DB"/>
    <w:rsid w:val="007A4DF5"/>
    <w:rsid w:val="007A7BBA"/>
    <w:rsid w:val="007B0C50"/>
    <w:rsid w:val="007B4765"/>
    <w:rsid w:val="007C1A43"/>
    <w:rsid w:val="007C53D7"/>
    <w:rsid w:val="007D11A1"/>
    <w:rsid w:val="007D42E6"/>
    <w:rsid w:val="007E1DC6"/>
    <w:rsid w:val="007F5BD0"/>
    <w:rsid w:val="007F6AE5"/>
    <w:rsid w:val="00806287"/>
    <w:rsid w:val="00813288"/>
    <w:rsid w:val="00816166"/>
    <w:rsid w:val="008168FC"/>
    <w:rsid w:val="008254C0"/>
    <w:rsid w:val="0082719E"/>
    <w:rsid w:val="00830996"/>
    <w:rsid w:val="008345F1"/>
    <w:rsid w:val="00855081"/>
    <w:rsid w:val="00865B07"/>
    <w:rsid w:val="008667EA"/>
    <w:rsid w:val="00866D86"/>
    <w:rsid w:val="0087227A"/>
    <w:rsid w:val="0087637F"/>
    <w:rsid w:val="00885D12"/>
    <w:rsid w:val="008904B9"/>
    <w:rsid w:val="00892AD5"/>
    <w:rsid w:val="0089313A"/>
    <w:rsid w:val="008A0A3A"/>
    <w:rsid w:val="008A0A69"/>
    <w:rsid w:val="008A1512"/>
    <w:rsid w:val="008A1903"/>
    <w:rsid w:val="008B080B"/>
    <w:rsid w:val="008B7B73"/>
    <w:rsid w:val="008C0F50"/>
    <w:rsid w:val="008C78C1"/>
    <w:rsid w:val="008D32B9"/>
    <w:rsid w:val="008D433B"/>
    <w:rsid w:val="008E0C2E"/>
    <w:rsid w:val="008E566E"/>
    <w:rsid w:val="008F0AED"/>
    <w:rsid w:val="009002C7"/>
    <w:rsid w:val="0090161A"/>
    <w:rsid w:val="00901773"/>
    <w:rsid w:val="00901EB6"/>
    <w:rsid w:val="00902705"/>
    <w:rsid w:val="00904C62"/>
    <w:rsid w:val="009074F8"/>
    <w:rsid w:val="009201EF"/>
    <w:rsid w:val="00922C56"/>
    <w:rsid w:val="00923887"/>
    <w:rsid w:val="00924DAC"/>
    <w:rsid w:val="00927058"/>
    <w:rsid w:val="00930A50"/>
    <w:rsid w:val="00943BE7"/>
    <w:rsid w:val="009450CE"/>
    <w:rsid w:val="00947179"/>
    <w:rsid w:val="0095164B"/>
    <w:rsid w:val="00954090"/>
    <w:rsid w:val="009573E7"/>
    <w:rsid w:val="009575C4"/>
    <w:rsid w:val="009635B9"/>
    <w:rsid w:val="00963E05"/>
    <w:rsid w:val="00967D54"/>
    <w:rsid w:val="0099240B"/>
    <w:rsid w:val="00993BB1"/>
    <w:rsid w:val="00996483"/>
    <w:rsid w:val="00996F5A"/>
    <w:rsid w:val="00997FD2"/>
    <w:rsid w:val="009A0A3E"/>
    <w:rsid w:val="009A587E"/>
    <w:rsid w:val="009B041A"/>
    <w:rsid w:val="009B4DE6"/>
    <w:rsid w:val="009C0422"/>
    <w:rsid w:val="009C7C86"/>
    <w:rsid w:val="009D2FF7"/>
    <w:rsid w:val="009E1468"/>
    <w:rsid w:val="009E7884"/>
    <w:rsid w:val="009E788A"/>
    <w:rsid w:val="009F0E08"/>
    <w:rsid w:val="009F11C1"/>
    <w:rsid w:val="009F2C67"/>
    <w:rsid w:val="00A1542F"/>
    <w:rsid w:val="00A1763D"/>
    <w:rsid w:val="00A17CEC"/>
    <w:rsid w:val="00A24B1C"/>
    <w:rsid w:val="00A27EF0"/>
    <w:rsid w:val="00A37395"/>
    <w:rsid w:val="00A43211"/>
    <w:rsid w:val="00A50B20"/>
    <w:rsid w:val="00A51390"/>
    <w:rsid w:val="00A60D13"/>
    <w:rsid w:val="00A72745"/>
    <w:rsid w:val="00A73C46"/>
    <w:rsid w:val="00A76EFC"/>
    <w:rsid w:val="00A86F06"/>
    <w:rsid w:val="00A91010"/>
    <w:rsid w:val="00A91DAD"/>
    <w:rsid w:val="00A97F29"/>
    <w:rsid w:val="00AA702E"/>
    <w:rsid w:val="00AA7B66"/>
    <w:rsid w:val="00AB0964"/>
    <w:rsid w:val="00AB5011"/>
    <w:rsid w:val="00AC0AF0"/>
    <w:rsid w:val="00AC7368"/>
    <w:rsid w:val="00AD140D"/>
    <w:rsid w:val="00AD16B9"/>
    <w:rsid w:val="00AE377D"/>
    <w:rsid w:val="00AF2E08"/>
    <w:rsid w:val="00AF3F58"/>
    <w:rsid w:val="00B141D7"/>
    <w:rsid w:val="00B17FBD"/>
    <w:rsid w:val="00B315A6"/>
    <w:rsid w:val="00B31813"/>
    <w:rsid w:val="00B33365"/>
    <w:rsid w:val="00B56773"/>
    <w:rsid w:val="00B57B36"/>
    <w:rsid w:val="00B71FCD"/>
    <w:rsid w:val="00B8686D"/>
    <w:rsid w:val="00B9073A"/>
    <w:rsid w:val="00BC30C9"/>
    <w:rsid w:val="00BE3E58"/>
    <w:rsid w:val="00BE4D59"/>
    <w:rsid w:val="00BF203C"/>
    <w:rsid w:val="00C01616"/>
    <w:rsid w:val="00C0162B"/>
    <w:rsid w:val="00C01A21"/>
    <w:rsid w:val="00C175D7"/>
    <w:rsid w:val="00C203F9"/>
    <w:rsid w:val="00C23B39"/>
    <w:rsid w:val="00C345B1"/>
    <w:rsid w:val="00C372DF"/>
    <w:rsid w:val="00C37E12"/>
    <w:rsid w:val="00C40142"/>
    <w:rsid w:val="00C522C8"/>
    <w:rsid w:val="00C57182"/>
    <w:rsid w:val="00C57863"/>
    <w:rsid w:val="00C655FD"/>
    <w:rsid w:val="00C870A8"/>
    <w:rsid w:val="00C9027A"/>
    <w:rsid w:val="00C919FC"/>
    <w:rsid w:val="00C94434"/>
    <w:rsid w:val="00C94E34"/>
    <w:rsid w:val="00CA0D75"/>
    <w:rsid w:val="00CA1C95"/>
    <w:rsid w:val="00CA5A9C"/>
    <w:rsid w:val="00CA665B"/>
    <w:rsid w:val="00CD3517"/>
    <w:rsid w:val="00CD5A00"/>
    <w:rsid w:val="00CD5FE2"/>
    <w:rsid w:val="00CE4E9B"/>
    <w:rsid w:val="00CE7C68"/>
    <w:rsid w:val="00CF5F3A"/>
    <w:rsid w:val="00D02B4C"/>
    <w:rsid w:val="00D040C4"/>
    <w:rsid w:val="00D112F6"/>
    <w:rsid w:val="00D2558A"/>
    <w:rsid w:val="00D56A97"/>
    <w:rsid w:val="00D57C84"/>
    <w:rsid w:val="00D6057D"/>
    <w:rsid w:val="00D77D0E"/>
    <w:rsid w:val="00D80E6E"/>
    <w:rsid w:val="00D84576"/>
    <w:rsid w:val="00D858C0"/>
    <w:rsid w:val="00D859E8"/>
    <w:rsid w:val="00D93CA5"/>
    <w:rsid w:val="00DA1399"/>
    <w:rsid w:val="00DA24C6"/>
    <w:rsid w:val="00DA4D7B"/>
    <w:rsid w:val="00DB4AE0"/>
    <w:rsid w:val="00DB6EF7"/>
    <w:rsid w:val="00DC4752"/>
    <w:rsid w:val="00DE264A"/>
    <w:rsid w:val="00E02D18"/>
    <w:rsid w:val="00E041E7"/>
    <w:rsid w:val="00E06BD5"/>
    <w:rsid w:val="00E23CA1"/>
    <w:rsid w:val="00E26995"/>
    <w:rsid w:val="00E31C8D"/>
    <w:rsid w:val="00E34FB6"/>
    <w:rsid w:val="00E409A8"/>
    <w:rsid w:val="00E41FA9"/>
    <w:rsid w:val="00E44334"/>
    <w:rsid w:val="00E45557"/>
    <w:rsid w:val="00E50C12"/>
    <w:rsid w:val="00E5390C"/>
    <w:rsid w:val="00E603E0"/>
    <w:rsid w:val="00E65B91"/>
    <w:rsid w:val="00E7209D"/>
    <w:rsid w:val="00E77223"/>
    <w:rsid w:val="00E7748E"/>
    <w:rsid w:val="00E8528B"/>
    <w:rsid w:val="00E85B94"/>
    <w:rsid w:val="00E9779F"/>
    <w:rsid w:val="00E978D0"/>
    <w:rsid w:val="00E97A6C"/>
    <w:rsid w:val="00EA0D8B"/>
    <w:rsid w:val="00EA3105"/>
    <w:rsid w:val="00EA4613"/>
    <w:rsid w:val="00EA7F91"/>
    <w:rsid w:val="00EB1523"/>
    <w:rsid w:val="00EC0E49"/>
    <w:rsid w:val="00EC657C"/>
    <w:rsid w:val="00ED4D5C"/>
    <w:rsid w:val="00EE0131"/>
    <w:rsid w:val="00EE05CD"/>
    <w:rsid w:val="00EF4390"/>
    <w:rsid w:val="00F155B2"/>
    <w:rsid w:val="00F30C64"/>
    <w:rsid w:val="00F32CDB"/>
    <w:rsid w:val="00F34C71"/>
    <w:rsid w:val="00F63A70"/>
    <w:rsid w:val="00F75AD1"/>
    <w:rsid w:val="00FA21D0"/>
    <w:rsid w:val="00FA5F5F"/>
    <w:rsid w:val="00FB6711"/>
    <w:rsid w:val="00FB730C"/>
    <w:rsid w:val="00FB7C2D"/>
    <w:rsid w:val="00FC2695"/>
    <w:rsid w:val="00FC3E03"/>
    <w:rsid w:val="00FC3FC1"/>
    <w:rsid w:val="00FE416E"/>
    <w:rsid w:val="00FF3290"/>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55EBA"/>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943BE7"/>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customStyle="1" w:styleId="st">
    <w:name w:val="st"/>
    <w:basedOn w:val="DefaultParagraphFont"/>
    <w:rsid w:val="00902705"/>
  </w:style>
  <w:style w:type="paragraph" w:customStyle="1" w:styleId="Els-body-text">
    <w:name w:val="Els-body-text"/>
    <w:rsid w:val="00D112F6"/>
    <w:pPr>
      <w:spacing w:after="0" w:line="240" w:lineRule="auto"/>
      <w:jc w:val="both"/>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18567">
      <w:bodyDiv w:val="1"/>
      <w:marLeft w:val="0"/>
      <w:marRight w:val="0"/>
      <w:marTop w:val="0"/>
      <w:marBottom w:val="0"/>
      <w:divBdr>
        <w:top w:val="none" w:sz="0" w:space="0" w:color="auto"/>
        <w:left w:val="none" w:sz="0" w:space="0" w:color="auto"/>
        <w:bottom w:val="none" w:sz="0" w:space="0" w:color="auto"/>
        <w:right w:val="none" w:sz="0" w:space="0" w:color="auto"/>
      </w:divBdr>
      <w:divsChild>
        <w:div w:id="970287977">
          <w:marLeft w:val="0"/>
          <w:marRight w:val="0"/>
          <w:marTop w:val="0"/>
          <w:marBottom w:val="0"/>
          <w:divBdr>
            <w:top w:val="none" w:sz="0" w:space="0" w:color="auto"/>
            <w:left w:val="none" w:sz="0" w:space="0" w:color="auto"/>
            <w:bottom w:val="none" w:sz="0" w:space="0" w:color="auto"/>
            <w:right w:val="none" w:sz="0" w:space="0" w:color="auto"/>
          </w:divBdr>
        </w:div>
        <w:div w:id="1072656734">
          <w:marLeft w:val="0"/>
          <w:marRight w:val="0"/>
          <w:marTop w:val="0"/>
          <w:marBottom w:val="0"/>
          <w:divBdr>
            <w:top w:val="none" w:sz="0" w:space="0" w:color="auto"/>
            <w:left w:val="none" w:sz="0" w:space="0" w:color="auto"/>
            <w:bottom w:val="none" w:sz="0" w:space="0" w:color="auto"/>
            <w:right w:val="none" w:sz="0" w:space="0" w:color="auto"/>
          </w:divBdr>
        </w:div>
      </w:divsChild>
    </w:div>
    <w:div w:id="1603103366">
      <w:bodyDiv w:val="1"/>
      <w:marLeft w:val="0"/>
      <w:marRight w:val="0"/>
      <w:marTop w:val="0"/>
      <w:marBottom w:val="0"/>
      <w:divBdr>
        <w:top w:val="none" w:sz="0" w:space="0" w:color="auto"/>
        <w:left w:val="none" w:sz="0" w:space="0" w:color="auto"/>
        <w:bottom w:val="none" w:sz="0" w:space="0" w:color="auto"/>
        <w:right w:val="none" w:sz="0" w:space="0" w:color="auto"/>
      </w:divBdr>
    </w:div>
    <w:div w:id="1670644629">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86981">
      <w:bodyDiv w:val="1"/>
      <w:marLeft w:val="0"/>
      <w:marRight w:val="0"/>
      <w:marTop w:val="0"/>
      <w:marBottom w:val="0"/>
      <w:divBdr>
        <w:top w:val="none" w:sz="0" w:space="0" w:color="auto"/>
        <w:left w:val="none" w:sz="0" w:space="0" w:color="auto"/>
        <w:bottom w:val="none" w:sz="0" w:space="0" w:color="auto"/>
        <w:right w:val="none" w:sz="0" w:space="0" w:color="auto"/>
      </w:divBdr>
    </w:div>
    <w:div w:id="1839882469">
      <w:bodyDiv w:val="1"/>
      <w:marLeft w:val="0"/>
      <w:marRight w:val="0"/>
      <w:marTop w:val="0"/>
      <w:marBottom w:val="0"/>
      <w:divBdr>
        <w:top w:val="none" w:sz="0" w:space="0" w:color="auto"/>
        <w:left w:val="none" w:sz="0" w:space="0" w:color="auto"/>
        <w:bottom w:val="none" w:sz="0" w:space="0" w:color="auto"/>
        <w:right w:val="none" w:sz="0" w:space="0" w:color="auto"/>
      </w:divBdr>
    </w:div>
    <w:div w:id="209986058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10791-B32C-46BC-9C06-0D46BE3DC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6</Pages>
  <Words>2672</Words>
  <Characters>15232</Characters>
  <Application>Microsoft Office Word</Application>
  <DocSecurity>0</DocSecurity>
  <Lines>126</Lines>
  <Paragraphs>35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PATRICIA LEON</cp:lastModifiedBy>
  <cp:revision>21</cp:revision>
  <cp:lastPrinted>2019-04-13T04:28:00Z</cp:lastPrinted>
  <dcterms:created xsi:type="dcterms:W3CDTF">2019-04-11T23:35:00Z</dcterms:created>
  <dcterms:modified xsi:type="dcterms:W3CDTF">2019-04-13T05:29:00Z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