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2D079B" w14:paraId="26865C5B" w14:textId="77777777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2505DA87" w14:textId="77777777" w:rsidR="000A03B2" w:rsidRPr="002D079B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2D079B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6F575AF7" wp14:editId="0549B124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79B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2D079B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2D079B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2D079B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2D079B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2D079B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6C9D22D7" w14:textId="77777777" w:rsidR="000A03B2" w:rsidRPr="002D079B" w:rsidRDefault="00A76EFC" w:rsidP="009635B9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2D079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7931FA" w:rsidRPr="002D079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7</w:t>
            </w:r>
            <w:r w:rsidR="009635B9" w:rsidRPr="002D079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6</w:t>
            </w:r>
            <w:r w:rsidR="00FA5F5F" w:rsidRPr="002D079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 201</w:t>
            </w:r>
            <w:r w:rsidR="007931FA" w:rsidRPr="002D079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4E7BFA" w14:textId="77777777" w:rsidR="000A03B2" w:rsidRPr="002D079B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2D079B">
              <w:rPr>
                <w:rFonts w:cs="Arial"/>
                <w:sz w:val="14"/>
                <w:szCs w:val="14"/>
              </w:rPr>
              <w:t>A publication of</w:t>
            </w:r>
          </w:p>
          <w:p w14:paraId="54F718FC" w14:textId="77777777" w:rsidR="000A03B2" w:rsidRPr="002D079B" w:rsidRDefault="000A03B2" w:rsidP="00CD5FE2">
            <w:pPr>
              <w:jc w:val="right"/>
            </w:pPr>
            <w:r w:rsidRPr="002D079B">
              <w:rPr>
                <w:noProof/>
                <w:lang w:val="it-IT" w:eastAsia="it-IT"/>
              </w:rPr>
              <w:drawing>
                <wp:inline distT="0" distB="0" distL="0" distR="0" wp14:anchorId="771D6BD8" wp14:editId="3EBF3F65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2D079B" w14:paraId="27E0E3D4" w14:textId="77777777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0B91DC9D" w14:textId="77777777" w:rsidR="000A03B2" w:rsidRPr="002D079B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5C9266F" w14:textId="77777777" w:rsidR="000A03B2" w:rsidRPr="002D079B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2D079B">
              <w:rPr>
                <w:rFonts w:cs="Arial"/>
                <w:sz w:val="14"/>
                <w:szCs w:val="14"/>
              </w:rPr>
              <w:t>The Italian Association</w:t>
            </w:r>
          </w:p>
          <w:p w14:paraId="40D46164" w14:textId="77777777" w:rsidR="000A03B2" w:rsidRPr="002D079B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2D079B">
              <w:rPr>
                <w:rFonts w:cs="Arial"/>
                <w:sz w:val="14"/>
                <w:szCs w:val="14"/>
              </w:rPr>
              <w:t>of Chemical Engineering</w:t>
            </w:r>
          </w:p>
          <w:p w14:paraId="2EA916EA" w14:textId="77777777" w:rsidR="000A03B2" w:rsidRPr="002D079B" w:rsidRDefault="000A03B2" w:rsidP="0016264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2D079B">
              <w:rPr>
                <w:rFonts w:cs="Arial"/>
                <w:sz w:val="14"/>
                <w:szCs w:val="14"/>
              </w:rPr>
              <w:t xml:space="preserve">Online at </w:t>
            </w:r>
            <w:r w:rsidR="00162642" w:rsidRPr="002D079B">
              <w:rPr>
                <w:rFonts w:cs="Arial"/>
                <w:sz w:val="14"/>
                <w:szCs w:val="14"/>
              </w:rPr>
              <w:t>www.cetjournal.it</w:t>
            </w:r>
          </w:p>
        </w:tc>
      </w:tr>
      <w:tr w:rsidR="000A03B2" w:rsidRPr="002D079B" w14:paraId="0D5D5268" w14:textId="77777777">
        <w:trPr>
          <w:trHeight w:val="68"/>
          <w:jc w:val="center"/>
        </w:trPr>
        <w:tc>
          <w:tcPr>
            <w:tcW w:w="8789" w:type="dxa"/>
            <w:gridSpan w:val="2"/>
          </w:tcPr>
          <w:p w14:paraId="7991072A" w14:textId="77777777" w:rsidR="00300E56" w:rsidRPr="00EC4B28" w:rsidRDefault="00300E56" w:rsidP="003365E3">
            <w:pPr>
              <w:ind w:left="-107"/>
              <w:rPr>
                <w:lang w:val="it-IT"/>
              </w:rPr>
            </w:pPr>
            <w:r w:rsidRPr="00EC4B28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904C62" w:rsidRPr="00EC4B28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 </w:t>
            </w:r>
            <w:r w:rsidR="009635B9" w:rsidRPr="00EC4B28">
              <w:rPr>
                <w:rFonts w:ascii="Tahoma" w:hAnsi="Tahoma" w:cs="Tahoma"/>
                <w:sz w:val="14"/>
                <w:szCs w:val="14"/>
                <w:lang w:val="it-IT"/>
              </w:rPr>
              <w:t>Sauro Pierucci,</w:t>
            </w:r>
            <w:r w:rsidR="003B60F3" w:rsidRPr="00EC4B28">
              <w:rPr>
                <w:rFonts w:ascii="Tahoma" w:hAnsi="Tahoma" w:cs="Tahoma"/>
                <w:sz w:val="14"/>
                <w:szCs w:val="14"/>
                <w:lang w:val="it-IT"/>
              </w:rPr>
              <w:t xml:space="preserve"> </w:t>
            </w:r>
            <w:r w:rsidR="00047D7F" w:rsidRPr="00EC4B28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Jiří Jaromír Klemeš</w:t>
            </w:r>
            <w:r w:rsidR="00252C1A" w:rsidRPr="00EC4B28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, Laura Piazza</w:t>
            </w:r>
          </w:p>
          <w:p w14:paraId="4BCCDD94" w14:textId="77777777" w:rsidR="000A03B2" w:rsidRPr="002D079B" w:rsidRDefault="00FA5F5F" w:rsidP="00131FAB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 w:rsidRPr="002D079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201</w:t>
            </w:r>
            <w:r w:rsidR="007931FA" w:rsidRPr="002D079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9</w:t>
            </w:r>
            <w:r w:rsidR="00904C62" w:rsidRPr="002D079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  <w:r w:rsidR="00300E56" w:rsidRPr="002D079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2D079B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2D079B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 w:rsidRPr="002D079B">
              <w:rPr>
                <w:rFonts w:ascii="Tahoma" w:hAnsi="Tahoma" w:cs="Tahoma"/>
                <w:sz w:val="14"/>
                <w:szCs w:val="14"/>
              </w:rPr>
              <w:t>978-88-95608-</w:t>
            </w:r>
            <w:r w:rsidR="009635B9" w:rsidRPr="002D079B">
              <w:rPr>
                <w:rFonts w:ascii="Tahoma" w:hAnsi="Tahoma" w:cs="Tahoma"/>
                <w:sz w:val="14"/>
                <w:szCs w:val="14"/>
              </w:rPr>
              <w:t>73</w:t>
            </w:r>
            <w:r w:rsidR="008D32B9" w:rsidRPr="002D079B">
              <w:rPr>
                <w:rFonts w:ascii="Tahoma" w:hAnsi="Tahoma" w:cs="Tahoma"/>
                <w:sz w:val="14"/>
                <w:szCs w:val="14"/>
              </w:rPr>
              <w:t>-</w:t>
            </w:r>
            <w:r w:rsidR="009635B9" w:rsidRPr="002D079B">
              <w:rPr>
                <w:rFonts w:ascii="Tahoma" w:hAnsi="Tahoma" w:cs="Tahoma"/>
                <w:sz w:val="14"/>
                <w:szCs w:val="14"/>
              </w:rPr>
              <w:t>0</w:t>
            </w:r>
            <w:r w:rsidR="00300E56" w:rsidRPr="002D079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; </w:t>
            </w:r>
            <w:r w:rsidR="00300E56" w:rsidRPr="002D079B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2D079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502F18E0" w14:textId="77777777" w:rsidR="000A03B2" w:rsidRPr="002D079B" w:rsidRDefault="000A03B2" w:rsidP="000A03B2">
      <w:pPr>
        <w:pStyle w:val="CETAuthors"/>
        <w:sectPr w:rsidR="000A03B2" w:rsidRPr="002D079B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39DA32F3" w14:textId="616C053A" w:rsidR="00CE1BA9" w:rsidRPr="002D079B" w:rsidRDefault="00E52B00" w:rsidP="00E978D0">
      <w:pPr>
        <w:pStyle w:val="CETTitle"/>
      </w:pPr>
      <w:r w:rsidRPr="00E52B00">
        <w:t xml:space="preserve">Fostering value creation in the Oil &amp; Gas Industry through </w:t>
      </w:r>
      <w:bookmarkStart w:id="0" w:name="_GoBack"/>
      <w:bookmarkEnd w:id="0"/>
      <w:r w:rsidRPr="00E52B00">
        <w:t>safety-related investments</w:t>
      </w:r>
    </w:p>
    <w:p w14:paraId="02E16B7F" w14:textId="7D75ED82" w:rsidR="00E978D0" w:rsidRPr="00EC4B28" w:rsidRDefault="00CE1BA9" w:rsidP="00AB5011">
      <w:pPr>
        <w:pStyle w:val="CETAuthors"/>
        <w:rPr>
          <w:lang w:val="it-IT"/>
        </w:rPr>
      </w:pPr>
      <w:r w:rsidRPr="00EC4B28">
        <w:rPr>
          <w:lang w:val="it-IT"/>
        </w:rPr>
        <w:t>Stefano Milanese</w:t>
      </w:r>
      <w:r w:rsidR="00276CB7" w:rsidRPr="00EC4B28">
        <w:rPr>
          <w:vertAlign w:val="superscript"/>
          <w:lang w:val="it-IT"/>
        </w:rPr>
        <w:t>*</w:t>
      </w:r>
      <w:r w:rsidRPr="00EC4B28">
        <w:rPr>
          <w:lang w:val="it-IT"/>
        </w:rPr>
        <w:t>, Emanuele Salvador, Stefano Decadri, Riccardo Ratti, Michele Piola</w:t>
      </w:r>
    </w:p>
    <w:p w14:paraId="1CE5AB19" w14:textId="5F842333" w:rsidR="00E978D0" w:rsidRPr="002D079B" w:rsidRDefault="00E978D0" w:rsidP="00E978D0">
      <w:pPr>
        <w:pStyle w:val="CETAddress"/>
      </w:pPr>
      <w:r w:rsidRPr="002D079B">
        <w:t>A</w:t>
      </w:r>
      <w:r w:rsidR="000A392E" w:rsidRPr="002D079B">
        <w:t>rthur D. Little S.p.A., Corso Monforte 54, 20122 Milan (Italy)</w:t>
      </w:r>
      <w:r w:rsidRPr="002D079B">
        <w:t xml:space="preserve">  </w:t>
      </w:r>
    </w:p>
    <w:p w14:paraId="31E1AE42" w14:textId="2707B6E5" w:rsidR="00E978D0" w:rsidRPr="002D079B" w:rsidRDefault="00276CB7" w:rsidP="00E978D0">
      <w:pPr>
        <w:pStyle w:val="CETemail"/>
      </w:pPr>
      <w:r w:rsidRPr="002D079B">
        <w:t>*</w:t>
      </w:r>
      <w:r w:rsidR="000A392E" w:rsidRPr="002D079B">
        <w:t>milanese.stefano@adlittle.com</w:t>
      </w:r>
    </w:p>
    <w:p w14:paraId="39E6F218" w14:textId="77777777" w:rsidR="00360468" w:rsidRPr="002D079B" w:rsidRDefault="00360468" w:rsidP="00360468">
      <w:pPr>
        <w:pStyle w:val="CETBodytext"/>
        <w:rPr>
          <w:lang w:val="en-GB"/>
        </w:rPr>
      </w:pPr>
      <w:r w:rsidRPr="002D079B">
        <w:rPr>
          <w:lang w:val="en-GB"/>
        </w:rPr>
        <w:t xml:space="preserve">Oil &amp; Gas companies have suffered in recent years due to low oil prices and high volatility; the consequent impact in revenues has led to increasing pressure on investments throughout the sector. </w:t>
      </w:r>
    </w:p>
    <w:p w14:paraId="6BE24D92" w14:textId="77777777" w:rsidR="00360468" w:rsidRPr="002D079B" w:rsidRDefault="00360468" w:rsidP="00360468">
      <w:pPr>
        <w:pStyle w:val="CETBodytext"/>
        <w:rPr>
          <w:lang w:val="en-GB"/>
        </w:rPr>
      </w:pPr>
      <w:r w:rsidRPr="002D079B">
        <w:rPr>
          <w:lang w:val="en-GB"/>
        </w:rPr>
        <w:t xml:space="preserve">In addition, in some regions (e.g. developed countries) the issue of asset ageing is emerging, to a point that Companies search for ways to increase asset life far beyond its original design life. </w:t>
      </w:r>
    </w:p>
    <w:p w14:paraId="63C6C57C" w14:textId="401D66A3" w:rsidR="00360468" w:rsidRPr="002D079B" w:rsidRDefault="00360468" w:rsidP="00360468">
      <w:pPr>
        <w:pStyle w:val="CETBodytext"/>
        <w:rPr>
          <w:lang w:val="en-GB"/>
        </w:rPr>
      </w:pPr>
      <w:r w:rsidRPr="002D079B">
        <w:rPr>
          <w:lang w:val="en-GB"/>
        </w:rPr>
        <w:t>Lastly, increasingly stringent regulations and best practices require continuous improvements in safety standards</w:t>
      </w:r>
      <w:r w:rsidR="00E26D53" w:rsidRPr="002D079B">
        <w:rPr>
          <w:lang w:val="en-GB"/>
        </w:rPr>
        <w:t xml:space="preserve"> such as Seveso III</w:t>
      </w:r>
      <w:r w:rsidR="00A90C2E" w:rsidRPr="002D079B">
        <w:rPr>
          <w:lang w:val="en-GB"/>
        </w:rPr>
        <w:t xml:space="preserve"> (2012/18/EU)</w:t>
      </w:r>
      <w:r w:rsidRPr="002D079B">
        <w:rPr>
          <w:lang w:val="en-GB"/>
        </w:rPr>
        <w:t>, energy efficiency and emission levels</w:t>
      </w:r>
      <w:r w:rsidR="00B6298D" w:rsidRPr="002D079B">
        <w:rPr>
          <w:lang w:val="en-GB"/>
        </w:rPr>
        <w:t xml:space="preserve"> (European Commission, 2018)</w:t>
      </w:r>
      <w:r w:rsidRPr="002D079B">
        <w:rPr>
          <w:lang w:val="en-GB"/>
        </w:rPr>
        <w:t>.</w:t>
      </w:r>
    </w:p>
    <w:p w14:paraId="5B93122B" w14:textId="77777777" w:rsidR="00360468" w:rsidRPr="002D079B" w:rsidRDefault="00360468" w:rsidP="00360468">
      <w:pPr>
        <w:pStyle w:val="CETBodytext"/>
        <w:rPr>
          <w:lang w:val="en-GB"/>
        </w:rPr>
      </w:pPr>
    </w:p>
    <w:p w14:paraId="342CD995" w14:textId="77777777" w:rsidR="00360468" w:rsidRPr="002D079B" w:rsidRDefault="00360468" w:rsidP="00360468">
      <w:pPr>
        <w:pStyle w:val="CETBodytext"/>
        <w:rPr>
          <w:lang w:val="en-GB"/>
        </w:rPr>
      </w:pPr>
      <w:r w:rsidRPr="002D079B">
        <w:rPr>
          <w:lang w:val="en-GB"/>
        </w:rPr>
        <w:t>Therefore</w:t>
      </w:r>
      <w:r w:rsidR="00E6718F" w:rsidRPr="002D079B">
        <w:rPr>
          <w:lang w:val="en-GB"/>
        </w:rPr>
        <w:t>,</w:t>
      </w:r>
      <w:r w:rsidRPr="002D079B">
        <w:rPr>
          <w:lang w:val="en-GB"/>
        </w:rPr>
        <w:t xml:space="preserve"> Oil &amp; Gas companies are now facing a challenging choice, as far as old assets are concerned: </w:t>
      </w:r>
    </w:p>
    <w:p w14:paraId="37A3FA6D" w14:textId="447E7035" w:rsidR="00360468" w:rsidRPr="002D079B" w:rsidRDefault="008876A7" w:rsidP="00D63BBC">
      <w:pPr>
        <w:pStyle w:val="CETListbullets"/>
        <w:numPr>
          <w:ilvl w:val="0"/>
          <w:numId w:val="13"/>
        </w:numPr>
      </w:pPr>
      <w:r w:rsidRPr="002D079B">
        <w:t>d</w:t>
      </w:r>
      <w:r w:rsidR="00360468" w:rsidRPr="002D079B">
        <w:t>ecommissioning and shut down</w:t>
      </w:r>
      <w:r w:rsidR="00673FFA" w:rsidRPr="002D079B">
        <w:t>,</w:t>
      </w:r>
      <w:r w:rsidR="00D63BBC" w:rsidRPr="002D079B">
        <w:t xml:space="preserve"> </w:t>
      </w:r>
      <w:r w:rsidR="00673FFA" w:rsidRPr="002D079B">
        <w:t>or</w:t>
      </w:r>
    </w:p>
    <w:p w14:paraId="28CB0483" w14:textId="325CF1A2" w:rsidR="00360468" w:rsidRPr="002D079B" w:rsidRDefault="008876A7" w:rsidP="00360468">
      <w:pPr>
        <w:pStyle w:val="CETListbullets"/>
        <w:numPr>
          <w:ilvl w:val="0"/>
          <w:numId w:val="13"/>
        </w:numPr>
      </w:pPr>
      <w:r w:rsidRPr="002D079B">
        <w:t>i</w:t>
      </w:r>
      <w:r w:rsidR="00360468" w:rsidRPr="002D079B">
        <w:t xml:space="preserve">mplementation of large investments into </w:t>
      </w:r>
      <w:r w:rsidRPr="002D079B">
        <w:t>p</w:t>
      </w:r>
      <w:r w:rsidR="00360468" w:rsidRPr="002D079B">
        <w:t xml:space="preserve">lant upgrade and/or revamping. </w:t>
      </w:r>
    </w:p>
    <w:p w14:paraId="0F78D20F" w14:textId="7216734C" w:rsidR="00360468" w:rsidRPr="002D079B" w:rsidRDefault="00360468" w:rsidP="00360468">
      <w:pPr>
        <w:pStyle w:val="CETBodytext"/>
        <w:rPr>
          <w:lang w:val="en-GB"/>
        </w:rPr>
      </w:pPr>
      <w:r w:rsidRPr="002D079B">
        <w:rPr>
          <w:lang w:val="en-GB"/>
        </w:rPr>
        <w:t xml:space="preserve">In such </w:t>
      </w:r>
      <w:r w:rsidR="00673FFA" w:rsidRPr="002D079B">
        <w:rPr>
          <w:lang w:val="en-GB"/>
        </w:rPr>
        <w:t xml:space="preserve">a </w:t>
      </w:r>
      <w:r w:rsidRPr="002D079B">
        <w:rPr>
          <w:lang w:val="en-GB"/>
        </w:rPr>
        <w:t xml:space="preserve">complex context, it is essential to adopt structured approaches and methodologies to support </w:t>
      </w:r>
      <w:r w:rsidR="008876A7" w:rsidRPr="002D079B">
        <w:rPr>
          <w:lang w:val="en-GB"/>
        </w:rPr>
        <w:t>m</w:t>
      </w:r>
      <w:r w:rsidRPr="002D079B">
        <w:rPr>
          <w:lang w:val="en-GB"/>
        </w:rPr>
        <w:t>anagement decision-making process, particularly in selecting and prioritizing investment options that will create value for Companies in the future.</w:t>
      </w:r>
    </w:p>
    <w:p w14:paraId="291F5355" w14:textId="77777777" w:rsidR="00360468" w:rsidRPr="002D079B" w:rsidRDefault="00360468" w:rsidP="00360468">
      <w:pPr>
        <w:pStyle w:val="CETBodytext"/>
        <w:rPr>
          <w:lang w:val="en-GB"/>
        </w:rPr>
      </w:pPr>
    </w:p>
    <w:p w14:paraId="31CC9B1A" w14:textId="77510BBE" w:rsidR="00360468" w:rsidRPr="002D079B" w:rsidRDefault="00360468" w:rsidP="00360468">
      <w:pPr>
        <w:pStyle w:val="CETBodytext"/>
        <w:rPr>
          <w:lang w:val="en-GB"/>
        </w:rPr>
      </w:pPr>
      <w:r w:rsidRPr="002D079B">
        <w:rPr>
          <w:lang w:val="en-GB"/>
        </w:rPr>
        <w:t xml:space="preserve">The paper will </w:t>
      </w:r>
      <w:r w:rsidR="00673FFA" w:rsidRPr="002D079B">
        <w:rPr>
          <w:lang w:val="en-GB"/>
        </w:rPr>
        <w:t>present</w:t>
      </w:r>
      <w:r w:rsidRPr="002D079B">
        <w:rPr>
          <w:lang w:val="en-GB"/>
        </w:rPr>
        <w:t xml:space="preserve"> a value-based approach for the evaluation of investment options in Oil &amp; Gas </w:t>
      </w:r>
      <w:r w:rsidR="00BB6154" w:rsidRPr="002D079B">
        <w:rPr>
          <w:lang w:val="en-GB"/>
        </w:rPr>
        <w:t>P</w:t>
      </w:r>
      <w:r w:rsidRPr="002D079B">
        <w:rPr>
          <w:lang w:val="en-GB"/>
        </w:rPr>
        <w:t xml:space="preserve">lants, based on a probabilistic method to determine the benefits associated to </w:t>
      </w:r>
      <w:r w:rsidR="001D66A7" w:rsidRPr="002D079B">
        <w:rPr>
          <w:lang w:val="en-GB"/>
        </w:rPr>
        <w:t xml:space="preserve">safety-related </w:t>
      </w:r>
      <w:r w:rsidRPr="002D079B">
        <w:rPr>
          <w:lang w:val="en-GB"/>
        </w:rPr>
        <w:t xml:space="preserve">investments, to be prioritized according to associated costs. The approach was implemented in a leading multinational company, </w:t>
      </w:r>
      <w:r w:rsidR="007C1B4B" w:rsidRPr="002D079B">
        <w:rPr>
          <w:lang w:val="en-GB"/>
        </w:rPr>
        <w:t xml:space="preserve">with </w:t>
      </w:r>
      <w:r w:rsidR="00371058" w:rsidRPr="002D079B">
        <w:rPr>
          <w:lang w:val="en-GB"/>
        </w:rPr>
        <w:t xml:space="preserve">over than 10 sites in Europe, </w:t>
      </w:r>
      <w:r w:rsidRPr="002D079B">
        <w:rPr>
          <w:lang w:val="en-GB"/>
        </w:rPr>
        <w:t>where an extensive SIL (Safety Integrity Level) analysis program has been d</w:t>
      </w:r>
      <w:r w:rsidR="007C1B4B" w:rsidRPr="002D079B">
        <w:rPr>
          <w:lang w:val="en-GB"/>
        </w:rPr>
        <w:t>eveloped and deployed</w:t>
      </w:r>
      <w:r w:rsidRPr="002D079B">
        <w:rPr>
          <w:lang w:val="en-GB"/>
        </w:rPr>
        <w:t>.</w:t>
      </w:r>
    </w:p>
    <w:p w14:paraId="11670944" w14:textId="77777777" w:rsidR="00360468" w:rsidRPr="002D079B" w:rsidRDefault="00360468" w:rsidP="00360468">
      <w:pPr>
        <w:pStyle w:val="CETBodytext"/>
        <w:rPr>
          <w:lang w:val="en-GB"/>
        </w:rPr>
      </w:pPr>
    </w:p>
    <w:p w14:paraId="058B8D72" w14:textId="3490BE7A" w:rsidR="00276CB7" w:rsidRPr="002D079B" w:rsidRDefault="00276CB7">
      <w:pPr>
        <w:tabs>
          <w:tab w:val="clear" w:pos="7100"/>
        </w:tabs>
        <w:spacing w:after="200" w:line="276" w:lineRule="auto"/>
        <w:jc w:val="left"/>
      </w:pPr>
      <w:r w:rsidRPr="002D079B">
        <w:br w:type="page"/>
      </w:r>
    </w:p>
    <w:p w14:paraId="6CD7D61E" w14:textId="77777777" w:rsidR="00600535" w:rsidRPr="002D079B" w:rsidRDefault="00600535" w:rsidP="00600535">
      <w:pPr>
        <w:pStyle w:val="CETHeading1"/>
        <w:rPr>
          <w:lang w:val="en-GB"/>
        </w:rPr>
      </w:pPr>
      <w:r w:rsidRPr="002D079B">
        <w:rPr>
          <w:lang w:val="en-GB"/>
        </w:rPr>
        <w:lastRenderedPageBreak/>
        <w:t>Introduction</w:t>
      </w:r>
    </w:p>
    <w:p w14:paraId="7FDDB5A8" w14:textId="2706CF26" w:rsidR="00CE57CE" w:rsidRPr="002D079B" w:rsidRDefault="00CE57CE" w:rsidP="003C42F0">
      <w:pPr>
        <w:pStyle w:val="CETBodytext"/>
        <w:rPr>
          <w:lang w:val="en-GB"/>
        </w:rPr>
      </w:pPr>
      <w:r w:rsidRPr="002D079B">
        <w:rPr>
          <w:lang w:val="en-GB"/>
        </w:rPr>
        <w:t xml:space="preserve">In the recent years, the Oil &amp; Gas context </w:t>
      </w:r>
      <w:r w:rsidR="00B138E2" w:rsidRPr="002D079B">
        <w:rPr>
          <w:lang w:val="en-GB"/>
        </w:rPr>
        <w:t xml:space="preserve">– both Upstream and Downstream – </w:t>
      </w:r>
      <w:r w:rsidRPr="002D079B">
        <w:rPr>
          <w:lang w:val="en-GB"/>
        </w:rPr>
        <w:t xml:space="preserve">faced several changes due to limited resources, assets ageing </w:t>
      </w:r>
      <w:r w:rsidR="00B6298D" w:rsidRPr="002D079B">
        <w:rPr>
          <w:lang w:val="en-GB"/>
        </w:rPr>
        <w:t xml:space="preserve">(Oil&amp;Gas UK, 2014) </w:t>
      </w:r>
      <w:r w:rsidRPr="002D079B">
        <w:rPr>
          <w:lang w:val="en-GB"/>
        </w:rPr>
        <w:t xml:space="preserve">and stringent standards. Following the price drop in mid-2014, Brent has </w:t>
      </w:r>
      <w:r w:rsidR="00B138E2" w:rsidRPr="002D079B">
        <w:rPr>
          <w:lang w:val="en-GB"/>
        </w:rPr>
        <w:t xml:space="preserve">firstly </w:t>
      </w:r>
      <w:r w:rsidRPr="002D079B">
        <w:rPr>
          <w:lang w:val="en-GB"/>
        </w:rPr>
        <w:t>gone above $70 in early 2018</w:t>
      </w:r>
      <w:r w:rsidR="00B138E2" w:rsidRPr="002D079B">
        <w:rPr>
          <w:lang w:val="en-GB"/>
        </w:rPr>
        <w:t xml:space="preserve"> and later drop down to around $60 in November, remaining </w:t>
      </w:r>
      <w:r w:rsidRPr="002D079B">
        <w:rPr>
          <w:lang w:val="en-GB"/>
        </w:rPr>
        <w:t xml:space="preserve">extremely volatile. </w:t>
      </w:r>
    </w:p>
    <w:p w14:paraId="750B3DBB" w14:textId="326F78E3" w:rsidR="00BB7903" w:rsidRPr="002D079B" w:rsidRDefault="00BB7903" w:rsidP="0017241F">
      <w:pPr>
        <w:pStyle w:val="CETBodytext"/>
        <w:jc w:val="center"/>
        <w:rPr>
          <w:lang w:val="en-GB"/>
        </w:rPr>
      </w:pPr>
      <w:r w:rsidRPr="002D079B">
        <w:rPr>
          <w:noProof/>
          <w:lang w:val="it-IT" w:eastAsia="it-IT"/>
        </w:rPr>
        <w:drawing>
          <wp:inline distT="0" distB="0" distL="0" distR="0" wp14:anchorId="797D5D80" wp14:editId="1429EA1B">
            <wp:extent cx="3438525" cy="21424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3908" cy="217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EEE4E" w14:textId="3240693F" w:rsidR="00CE57CE" w:rsidRPr="002D079B" w:rsidRDefault="00CE57CE" w:rsidP="00CE57CE">
      <w:pPr>
        <w:pStyle w:val="CETCaption"/>
      </w:pPr>
      <w:r w:rsidRPr="002D079B">
        <w:t>Figure 1: Brent Oil prices between January 2014 and November 2018</w:t>
      </w:r>
      <w:r w:rsidR="008B1AC6" w:rsidRPr="002D079B">
        <w:t xml:space="preserve"> (Macrotrends, 2018)</w:t>
      </w:r>
    </w:p>
    <w:p w14:paraId="41592557" w14:textId="0CD87BEB" w:rsidR="00422842" w:rsidRPr="002D079B" w:rsidRDefault="000006C3" w:rsidP="00422842">
      <w:pPr>
        <w:pStyle w:val="CETBodytext"/>
        <w:rPr>
          <w:lang w:val="en-GB"/>
        </w:rPr>
      </w:pPr>
      <w:r w:rsidRPr="002D079B">
        <w:rPr>
          <w:lang w:val="en-GB"/>
        </w:rPr>
        <w:t>At the same time</w:t>
      </w:r>
      <w:r w:rsidR="00422842" w:rsidRPr="002D079B">
        <w:rPr>
          <w:lang w:val="en-GB"/>
        </w:rPr>
        <w:t xml:space="preserve">, assets in many companies, especially in Europe, have already exceeded their design life: many strategic processes have been in operation for well over </w:t>
      </w:r>
      <w:r w:rsidR="00FD7E0D" w:rsidRPr="002D079B">
        <w:rPr>
          <w:lang w:val="en-GB"/>
        </w:rPr>
        <w:t xml:space="preserve">50 </w:t>
      </w:r>
      <w:r w:rsidR="00422842" w:rsidRPr="002D079B">
        <w:rPr>
          <w:lang w:val="en-GB"/>
        </w:rPr>
        <w:t xml:space="preserve">years, since the 1960’s and 1970’s. For reference, process equipment generally has an average design life of 25 years, while the </w:t>
      </w:r>
      <w:r w:rsidRPr="002D079B">
        <w:rPr>
          <w:lang w:val="en-GB"/>
        </w:rPr>
        <w:t xml:space="preserve">life of </w:t>
      </w:r>
      <w:r w:rsidR="00422842" w:rsidRPr="002D079B">
        <w:rPr>
          <w:lang w:val="en-GB"/>
        </w:rPr>
        <w:t>control, electrical and instrumentation systems may be considerably shorter, between 10 and 15 years (Henry, 2011).</w:t>
      </w:r>
    </w:p>
    <w:p w14:paraId="04D9F2D9" w14:textId="7E2913B5" w:rsidR="000006C3" w:rsidRPr="002D079B" w:rsidRDefault="000006C3" w:rsidP="00422842">
      <w:pPr>
        <w:pStyle w:val="CETBodytext"/>
        <w:rPr>
          <w:lang w:val="en-GB"/>
        </w:rPr>
      </w:pPr>
      <w:r w:rsidRPr="002D079B">
        <w:rPr>
          <w:lang w:val="en-GB"/>
        </w:rPr>
        <w:t xml:space="preserve">Furthermore, an increasing attention to the needs and wishes of Stakeholders (employees, Clients, </w:t>
      </w:r>
      <w:r w:rsidR="00FD7E0D" w:rsidRPr="002D079B">
        <w:rPr>
          <w:lang w:val="en-GB"/>
        </w:rPr>
        <w:t>Communities</w:t>
      </w:r>
      <w:r w:rsidRPr="002D079B">
        <w:rPr>
          <w:lang w:val="en-GB"/>
        </w:rPr>
        <w:t xml:space="preserve">, </w:t>
      </w:r>
      <w:r w:rsidR="00FD7E0D" w:rsidRPr="002D079B">
        <w:rPr>
          <w:lang w:val="en-GB"/>
        </w:rPr>
        <w:t>Authorities</w:t>
      </w:r>
      <w:r w:rsidRPr="002D079B">
        <w:rPr>
          <w:lang w:val="en-GB"/>
        </w:rPr>
        <w:t xml:space="preserve">) has led to stricter safety and environmental requirements. Reputation has assumed a key role in developing a good relationship with the communities surrounding an installation and with local and </w:t>
      </w:r>
      <w:r w:rsidR="00FD7E0D" w:rsidRPr="002D079B">
        <w:rPr>
          <w:lang w:val="en-GB"/>
        </w:rPr>
        <w:t>N</w:t>
      </w:r>
      <w:r w:rsidRPr="002D079B">
        <w:rPr>
          <w:lang w:val="en-GB"/>
        </w:rPr>
        <w:t xml:space="preserve">ational </w:t>
      </w:r>
      <w:r w:rsidR="00FD7E0D" w:rsidRPr="002D079B">
        <w:rPr>
          <w:lang w:val="en-GB"/>
        </w:rPr>
        <w:t>A</w:t>
      </w:r>
      <w:r w:rsidRPr="002D079B">
        <w:rPr>
          <w:lang w:val="en-GB"/>
        </w:rPr>
        <w:t>uthorities</w:t>
      </w:r>
      <w:r w:rsidR="00A90C2E" w:rsidRPr="002D079B">
        <w:rPr>
          <w:lang w:val="en-GB"/>
        </w:rPr>
        <w:t>.</w:t>
      </w:r>
      <w:r w:rsidR="00B138E2" w:rsidRPr="002D079B">
        <w:rPr>
          <w:lang w:val="en-GB"/>
        </w:rPr>
        <w:t xml:space="preserve"> These requirements were reflected in the modifications to the European Seveso Legislative Framework </w:t>
      </w:r>
      <w:r w:rsidR="00A90C2E" w:rsidRPr="002D079B">
        <w:rPr>
          <w:lang w:val="en-GB"/>
        </w:rPr>
        <w:t xml:space="preserve">(2012/18/EU) </w:t>
      </w:r>
      <w:r w:rsidR="00B138E2" w:rsidRPr="002D079B">
        <w:rPr>
          <w:lang w:val="en-GB"/>
        </w:rPr>
        <w:t>and related National applications</w:t>
      </w:r>
      <w:r w:rsidR="00A90C2E" w:rsidRPr="002D079B">
        <w:rPr>
          <w:lang w:val="en-GB"/>
        </w:rPr>
        <w:t xml:space="preserve"> (e.g. D.lgs.2015/105 in Italy)</w:t>
      </w:r>
      <w:r w:rsidR="00B138E2" w:rsidRPr="002D079B">
        <w:rPr>
          <w:lang w:val="en-GB"/>
        </w:rPr>
        <w:t>.</w:t>
      </w:r>
    </w:p>
    <w:p w14:paraId="2F2B6C43" w14:textId="77777777" w:rsidR="002615F6" w:rsidRPr="002D079B" w:rsidRDefault="002615F6" w:rsidP="000006C3">
      <w:pPr>
        <w:pStyle w:val="CETBodytext"/>
        <w:rPr>
          <w:lang w:val="en-GB"/>
        </w:rPr>
      </w:pPr>
    </w:p>
    <w:p w14:paraId="781D25A8" w14:textId="63EBEF1F" w:rsidR="000006C3" w:rsidRPr="002D079B" w:rsidRDefault="006613DC" w:rsidP="000006C3">
      <w:pPr>
        <w:pStyle w:val="CETBodytext"/>
        <w:rPr>
          <w:lang w:val="en-GB"/>
        </w:rPr>
      </w:pPr>
      <w:r w:rsidRPr="002D079B">
        <w:rPr>
          <w:lang w:val="en-GB"/>
        </w:rPr>
        <w:t>O</w:t>
      </w:r>
      <w:r w:rsidR="000006C3" w:rsidRPr="002D079B">
        <w:rPr>
          <w:lang w:val="en-GB"/>
        </w:rPr>
        <w:t xml:space="preserve">n one hand, industries directly dependent on oil prices such as O&amp;G and Petrochemicals are wary of planning long-term investments, due to the general instability; on the other hand, major expenses are required to upgrade aging equipment with </w:t>
      </w:r>
      <w:r w:rsidR="00FD7E0D" w:rsidRPr="002D079B">
        <w:rPr>
          <w:lang w:val="en-GB"/>
        </w:rPr>
        <w:t>more efficient</w:t>
      </w:r>
      <w:r w:rsidR="000006C3" w:rsidRPr="002D079B">
        <w:rPr>
          <w:lang w:val="en-GB"/>
        </w:rPr>
        <w:t>, safer and standard-compliant assets.</w:t>
      </w:r>
    </w:p>
    <w:p w14:paraId="407F675B" w14:textId="12F5C88B" w:rsidR="00B6298D" w:rsidRPr="002D079B" w:rsidRDefault="006613DC" w:rsidP="009D3187">
      <w:pPr>
        <w:pStyle w:val="CETBodytext"/>
        <w:rPr>
          <w:lang w:val="en-GB"/>
        </w:rPr>
      </w:pPr>
      <w:r w:rsidRPr="002D079B">
        <w:rPr>
          <w:lang w:val="en-GB"/>
        </w:rPr>
        <w:t>Companies are searching for methods to maintain the current assets for as long as possible, e.g. with Asset Integrity Management techniques</w:t>
      </w:r>
      <w:r w:rsidR="007B1FC9" w:rsidRPr="002D079B">
        <w:rPr>
          <w:lang w:val="en-GB"/>
        </w:rPr>
        <w:t>. Hought et al. (2013) showed a benchmark of different methodologies, while Milanese et al. (</w:t>
      </w:r>
      <w:r w:rsidRPr="002D079B">
        <w:rPr>
          <w:lang w:val="en-GB"/>
        </w:rPr>
        <w:t>2017)</w:t>
      </w:r>
      <w:r w:rsidR="007B1FC9" w:rsidRPr="002D079B">
        <w:rPr>
          <w:lang w:val="en-GB"/>
        </w:rPr>
        <w:t xml:space="preserve"> proposed a novel approach</w:t>
      </w:r>
      <w:r w:rsidR="008B1AC6" w:rsidRPr="002D079B">
        <w:rPr>
          <w:lang w:val="en-GB"/>
        </w:rPr>
        <w:t>; n</w:t>
      </w:r>
      <w:r w:rsidR="00B6298D" w:rsidRPr="002D079B">
        <w:rPr>
          <w:lang w:val="en-GB"/>
        </w:rPr>
        <w:t xml:space="preserve">ational authorities such as the Health and Safety Executive have supported the </w:t>
      </w:r>
      <w:r w:rsidR="008B1AC6" w:rsidRPr="002D079B">
        <w:rPr>
          <w:lang w:val="en-GB"/>
        </w:rPr>
        <w:t>sharing</w:t>
      </w:r>
      <w:r w:rsidR="00B6298D" w:rsidRPr="002D079B">
        <w:rPr>
          <w:lang w:val="en-GB"/>
        </w:rPr>
        <w:t xml:space="preserve"> of </w:t>
      </w:r>
      <w:r w:rsidR="008B1AC6" w:rsidRPr="002D079B">
        <w:rPr>
          <w:lang w:val="en-GB"/>
        </w:rPr>
        <w:t xml:space="preserve">best practices </w:t>
      </w:r>
      <w:r w:rsidR="00B6298D" w:rsidRPr="002D079B">
        <w:rPr>
          <w:lang w:val="en-GB"/>
        </w:rPr>
        <w:t>to manage plant ageing (</w:t>
      </w:r>
      <w:r w:rsidR="007C1B4B" w:rsidRPr="002D079B">
        <w:rPr>
          <w:lang w:val="en-GB"/>
        </w:rPr>
        <w:t xml:space="preserve">Horrocks </w:t>
      </w:r>
      <w:r w:rsidR="00B6298D" w:rsidRPr="002D079B">
        <w:rPr>
          <w:lang w:val="en-GB"/>
        </w:rPr>
        <w:t>et al., 2006)</w:t>
      </w:r>
      <w:r w:rsidR="008B1AC6" w:rsidRPr="002D079B">
        <w:rPr>
          <w:lang w:val="en-GB"/>
        </w:rPr>
        <w:t>.</w:t>
      </w:r>
    </w:p>
    <w:p w14:paraId="6241BDFB" w14:textId="78CF370A" w:rsidR="009D3187" w:rsidRPr="002D079B" w:rsidRDefault="006613DC" w:rsidP="009D3187">
      <w:pPr>
        <w:pStyle w:val="CETBodytext"/>
        <w:rPr>
          <w:lang w:val="en-GB"/>
        </w:rPr>
      </w:pPr>
      <w:r w:rsidRPr="002D079B">
        <w:rPr>
          <w:lang w:val="en-GB"/>
        </w:rPr>
        <w:t>When that is not possible, investments should target the most pressing issues, using Cost – Benefit approaches.</w:t>
      </w:r>
      <w:r w:rsidR="009D3187" w:rsidRPr="002D079B">
        <w:rPr>
          <w:lang w:val="en-GB"/>
        </w:rPr>
        <w:t xml:space="preserve"> </w:t>
      </w:r>
    </w:p>
    <w:p w14:paraId="0F222B44" w14:textId="4EF5A246" w:rsidR="009D3187" w:rsidRPr="002D079B" w:rsidRDefault="00DC6D1C" w:rsidP="009D3187">
      <w:pPr>
        <w:pStyle w:val="CETBodytext"/>
        <w:rPr>
          <w:lang w:val="en-GB"/>
        </w:rPr>
      </w:pPr>
      <w:r w:rsidRPr="002D079B">
        <w:rPr>
          <w:lang w:val="en-GB"/>
        </w:rPr>
        <w:t xml:space="preserve">Experience shows that it is sometimes </w:t>
      </w:r>
      <w:r w:rsidR="009D3187" w:rsidRPr="002D079B">
        <w:rPr>
          <w:lang w:val="en-GB"/>
        </w:rPr>
        <w:t>difficult to see the benefit</w:t>
      </w:r>
      <w:r w:rsidRPr="002D079B">
        <w:rPr>
          <w:lang w:val="en-GB"/>
        </w:rPr>
        <w:t>s</w:t>
      </w:r>
      <w:r w:rsidR="009D3187" w:rsidRPr="002D079B">
        <w:rPr>
          <w:lang w:val="en-GB"/>
        </w:rPr>
        <w:t xml:space="preserve"> of major investments in </w:t>
      </w:r>
      <w:r w:rsidRPr="002D079B">
        <w:rPr>
          <w:lang w:val="en-GB"/>
        </w:rPr>
        <w:t xml:space="preserve">Process Safety, because they are related to a reduction of the costs of an accident (fewer lost lives, less damaged equipment, smaller </w:t>
      </w:r>
      <w:r w:rsidR="00F41EB0" w:rsidRPr="002D079B">
        <w:rPr>
          <w:lang w:val="en-GB"/>
        </w:rPr>
        <w:t>clean up</w:t>
      </w:r>
      <w:r w:rsidRPr="002D079B">
        <w:rPr>
          <w:lang w:val="en-GB"/>
        </w:rPr>
        <w:t>), as opposed to increased production margins</w:t>
      </w:r>
      <w:r w:rsidR="009D3187" w:rsidRPr="002D079B">
        <w:rPr>
          <w:lang w:val="en-GB"/>
        </w:rPr>
        <w:t xml:space="preserve">. </w:t>
      </w:r>
      <w:r w:rsidRPr="002D079B">
        <w:rPr>
          <w:lang w:val="en-GB"/>
        </w:rPr>
        <w:t>Therefore, a</w:t>
      </w:r>
      <w:r w:rsidR="000E214B" w:rsidRPr="002D079B">
        <w:rPr>
          <w:lang w:val="en-GB"/>
        </w:rPr>
        <w:t xml:space="preserve"> structured Cost – Benefit approach can help Upper Management understand the reasoning behind investments in </w:t>
      </w:r>
      <w:r w:rsidRPr="002D079B">
        <w:rPr>
          <w:lang w:val="en-GB"/>
        </w:rPr>
        <w:t>this area</w:t>
      </w:r>
      <w:r w:rsidR="000E214B" w:rsidRPr="002D079B">
        <w:rPr>
          <w:lang w:val="en-GB"/>
        </w:rPr>
        <w:t xml:space="preserve"> and approve them.</w:t>
      </w:r>
    </w:p>
    <w:p w14:paraId="36A9D532" w14:textId="77777777" w:rsidR="002615F6" w:rsidRPr="002D079B" w:rsidRDefault="002615F6" w:rsidP="00422842">
      <w:pPr>
        <w:pStyle w:val="CETBodytext"/>
        <w:rPr>
          <w:lang w:val="en-GB"/>
        </w:rPr>
      </w:pPr>
    </w:p>
    <w:p w14:paraId="09002B30" w14:textId="024D0F34" w:rsidR="000006C3" w:rsidRPr="002D079B" w:rsidRDefault="00363DFA" w:rsidP="00422842">
      <w:pPr>
        <w:pStyle w:val="CETBodytext"/>
        <w:rPr>
          <w:lang w:val="en-GB"/>
        </w:rPr>
      </w:pPr>
      <w:r w:rsidRPr="002D079B">
        <w:rPr>
          <w:lang w:val="en-GB"/>
        </w:rPr>
        <w:t xml:space="preserve">The presented Cost – Benefit methodology was developed for a major petrochemical company with over 10 Sites in Europe and </w:t>
      </w:r>
      <w:r w:rsidR="00371058" w:rsidRPr="002D079B">
        <w:rPr>
          <w:lang w:val="en-GB"/>
        </w:rPr>
        <w:t xml:space="preserve">more than </w:t>
      </w:r>
      <w:r w:rsidRPr="002D079B">
        <w:rPr>
          <w:lang w:val="en-GB"/>
        </w:rPr>
        <w:t xml:space="preserve">5 million tons of petrochemical products and polymers </w:t>
      </w:r>
      <w:r w:rsidR="006E466A" w:rsidRPr="002D079B">
        <w:rPr>
          <w:lang w:val="en-GB"/>
        </w:rPr>
        <w:t xml:space="preserve">manufactured </w:t>
      </w:r>
      <w:r w:rsidRPr="002D079B">
        <w:rPr>
          <w:lang w:val="en-GB"/>
        </w:rPr>
        <w:t>in 2016. The analysis stemmed from a previous</w:t>
      </w:r>
      <w:r w:rsidR="00E6718F" w:rsidRPr="002D079B">
        <w:rPr>
          <w:lang w:val="en-GB"/>
        </w:rPr>
        <w:t xml:space="preserve"> extensive</w:t>
      </w:r>
      <w:r w:rsidRPr="002D079B">
        <w:rPr>
          <w:lang w:val="en-GB"/>
        </w:rPr>
        <w:t xml:space="preserve"> assessment of Safety Integrity Level across all Sites</w:t>
      </w:r>
      <w:r w:rsidR="00371058" w:rsidRPr="002D079B">
        <w:rPr>
          <w:lang w:val="en-GB"/>
        </w:rPr>
        <w:t xml:space="preserve"> of the Company, which </w:t>
      </w:r>
      <w:r w:rsidR="00601094" w:rsidRPr="002D079B">
        <w:rPr>
          <w:lang w:val="en-GB"/>
        </w:rPr>
        <w:t>is</w:t>
      </w:r>
      <w:r w:rsidR="00371058" w:rsidRPr="002D079B">
        <w:rPr>
          <w:lang w:val="en-GB"/>
        </w:rPr>
        <w:t xml:space="preserve"> resumed in the following Chapter</w:t>
      </w:r>
      <w:r w:rsidRPr="002D079B">
        <w:rPr>
          <w:lang w:val="en-GB"/>
        </w:rPr>
        <w:t>.</w:t>
      </w:r>
    </w:p>
    <w:p w14:paraId="66858A21" w14:textId="77777777" w:rsidR="000A392E" w:rsidRPr="002D079B" w:rsidRDefault="000A392E" w:rsidP="000A392E">
      <w:pPr>
        <w:pStyle w:val="CETHeading1"/>
        <w:rPr>
          <w:lang w:val="en-GB"/>
        </w:rPr>
      </w:pPr>
      <w:r w:rsidRPr="002D079B">
        <w:rPr>
          <w:lang w:val="en-GB"/>
        </w:rPr>
        <w:t xml:space="preserve">SIL </w:t>
      </w:r>
      <w:r w:rsidR="00360468" w:rsidRPr="002D079B">
        <w:rPr>
          <w:lang w:val="en-GB"/>
        </w:rPr>
        <w:t>analysis</w:t>
      </w:r>
    </w:p>
    <w:p w14:paraId="53CEC931" w14:textId="54F58BD6" w:rsidR="00221C16" w:rsidRPr="002D079B" w:rsidRDefault="00371058" w:rsidP="00221C16">
      <w:pPr>
        <w:pStyle w:val="CETBodytext"/>
        <w:rPr>
          <w:lang w:val="en-GB"/>
        </w:rPr>
      </w:pPr>
      <w:r w:rsidRPr="002D079B">
        <w:rPr>
          <w:lang w:val="en-GB"/>
        </w:rPr>
        <w:t xml:space="preserve">The </w:t>
      </w:r>
      <w:r w:rsidR="007B1FC9" w:rsidRPr="002D079B">
        <w:rPr>
          <w:lang w:val="en-GB"/>
        </w:rPr>
        <w:t>SIL (Safety Integrity Level) analysis assesses</w:t>
      </w:r>
      <w:r w:rsidRPr="002D079B">
        <w:rPr>
          <w:lang w:val="en-GB"/>
        </w:rPr>
        <w:t xml:space="preserve"> the</w:t>
      </w:r>
      <w:r w:rsidR="007B1FC9" w:rsidRPr="002D079B">
        <w:rPr>
          <w:lang w:val="en-GB"/>
        </w:rPr>
        <w:t xml:space="preserve"> risks </w:t>
      </w:r>
      <w:r w:rsidRPr="002D079B">
        <w:rPr>
          <w:lang w:val="en-GB"/>
        </w:rPr>
        <w:t xml:space="preserve">deriving from </w:t>
      </w:r>
      <w:r w:rsidR="007B1FC9" w:rsidRPr="002D079B">
        <w:rPr>
          <w:lang w:val="en-GB"/>
        </w:rPr>
        <w:t>failure</w:t>
      </w:r>
      <w:r w:rsidRPr="002D079B">
        <w:rPr>
          <w:lang w:val="en-GB"/>
        </w:rPr>
        <w:t>s</w:t>
      </w:r>
      <w:r w:rsidR="007B1FC9" w:rsidRPr="002D079B">
        <w:rPr>
          <w:lang w:val="en-GB"/>
        </w:rPr>
        <w:t xml:space="preserve"> of Safety Instrumented Functions (SIF), in compliance with IEC 61508 </w:t>
      </w:r>
      <w:r w:rsidR="00A90C2E" w:rsidRPr="002D079B">
        <w:rPr>
          <w:lang w:val="en-GB"/>
        </w:rPr>
        <w:t xml:space="preserve">ed. 2.0 </w:t>
      </w:r>
      <w:r w:rsidR="00276CB7" w:rsidRPr="002D079B">
        <w:rPr>
          <w:lang w:val="en-GB"/>
        </w:rPr>
        <w:t>(IEC 61508, 2010)</w:t>
      </w:r>
      <w:r w:rsidR="00A90C2E" w:rsidRPr="002D079B">
        <w:rPr>
          <w:b/>
          <w:lang w:val="en-GB"/>
        </w:rPr>
        <w:t xml:space="preserve"> </w:t>
      </w:r>
      <w:r w:rsidR="00A90C2E" w:rsidRPr="002D079B">
        <w:rPr>
          <w:lang w:val="en-GB"/>
        </w:rPr>
        <w:t>and</w:t>
      </w:r>
      <w:r w:rsidR="007B1FC9" w:rsidRPr="002D079B">
        <w:rPr>
          <w:lang w:val="en-GB"/>
        </w:rPr>
        <w:t xml:space="preserve"> IEC 61511</w:t>
      </w:r>
      <w:r w:rsidR="00276CB7" w:rsidRPr="002D079B">
        <w:rPr>
          <w:lang w:val="en-GB"/>
        </w:rPr>
        <w:t xml:space="preserve"> </w:t>
      </w:r>
      <w:r w:rsidR="00A90C2E" w:rsidRPr="002D079B">
        <w:rPr>
          <w:lang w:val="en-GB"/>
        </w:rPr>
        <w:t>ed. 2.0 (</w:t>
      </w:r>
      <w:r w:rsidR="00276CB7" w:rsidRPr="002D079B">
        <w:rPr>
          <w:lang w:val="en-GB"/>
        </w:rPr>
        <w:t>IEC 61511, 2016)</w:t>
      </w:r>
      <w:r w:rsidR="007B1FC9" w:rsidRPr="002D079B">
        <w:rPr>
          <w:lang w:val="en-GB"/>
        </w:rPr>
        <w:t xml:space="preserve"> </w:t>
      </w:r>
      <w:r w:rsidR="00E6718F" w:rsidRPr="002D079B">
        <w:rPr>
          <w:lang w:val="en-GB"/>
        </w:rPr>
        <w:t>requirements</w:t>
      </w:r>
      <w:r w:rsidR="007B1FC9" w:rsidRPr="002D079B">
        <w:rPr>
          <w:lang w:val="en-GB"/>
        </w:rPr>
        <w:t xml:space="preserve">. Law does still not require </w:t>
      </w:r>
      <w:r w:rsidR="00C93FEA" w:rsidRPr="002D079B">
        <w:rPr>
          <w:lang w:val="en-GB"/>
        </w:rPr>
        <w:t>the implementation of these</w:t>
      </w:r>
      <w:r w:rsidR="007B1FC9" w:rsidRPr="002D079B">
        <w:rPr>
          <w:lang w:val="en-GB"/>
        </w:rPr>
        <w:t xml:space="preserve"> standards, </w:t>
      </w:r>
      <w:r w:rsidRPr="002D079B">
        <w:rPr>
          <w:lang w:val="en-GB"/>
        </w:rPr>
        <w:t>nevertheless</w:t>
      </w:r>
      <w:r w:rsidR="007B1FC9" w:rsidRPr="002D079B">
        <w:rPr>
          <w:lang w:val="en-GB"/>
        </w:rPr>
        <w:t xml:space="preserve"> the</w:t>
      </w:r>
      <w:r w:rsidR="003C42F0" w:rsidRPr="002D079B">
        <w:rPr>
          <w:lang w:val="en-GB"/>
        </w:rPr>
        <w:t xml:space="preserve"> </w:t>
      </w:r>
      <w:r w:rsidR="007B1FC9" w:rsidRPr="002D079B">
        <w:rPr>
          <w:lang w:val="en-GB"/>
        </w:rPr>
        <w:t>Company strategically decided to work towards compliance before they were required to.</w:t>
      </w:r>
      <w:r w:rsidR="008B1AC6" w:rsidRPr="002D079B">
        <w:rPr>
          <w:lang w:val="en-GB"/>
        </w:rPr>
        <w:t xml:space="preserve"> </w:t>
      </w:r>
      <w:r w:rsidR="007B1FC9" w:rsidRPr="002D079B">
        <w:rPr>
          <w:lang w:val="en-GB"/>
        </w:rPr>
        <w:t xml:space="preserve">The complete assessment was developed over </w:t>
      </w:r>
      <w:r w:rsidR="00062CD8" w:rsidRPr="002D079B">
        <w:rPr>
          <w:lang w:val="en-GB"/>
        </w:rPr>
        <w:t>7</w:t>
      </w:r>
      <w:r w:rsidR="007B1FC9" w:rsidRPr="002D079B">
        <w:rPr>
          <w:lang w:val="en-GB"/>
        </w:rPr>
        <w:t xml:space="preserve"> years in three key phases:</w:t>
      </w:r>
      <w:r w:rsidR="00E26D53" w:rsidRPr="002D079B">
        <w:rPr>
          <w:lang w:val="en-GB"/>
        </w:rPr>
        <w:t xml:space="preserve"> </w:t>
      </w:r>
      <w:r w:rsidR="007B1FC9" w:rsidRPr="002D079B">
        <w:rPr>
          <w:lang w:val="en-GB"/>
        </w:rPr>
        <w:t>SIL Allocation</w:t>
      </w:r>
      <w:r w:rsidR="005148C5" w:rsidRPr="002D079B">
        <w:rPr>
          <w:lang w:val="en-GB"/>
        </w:rPr>
        <w:t xml:space="preserve">; </w:t>
      </w:r>
      <w:r w:rsidR="007B1FC9" w:rsidRPr="002D079B">
        <w:rPr>
          <w:lang w:val="en-GB"/>
        </w:rPr>
        <w:t>SIL Verification</w:t>
      </w:r>
      <w:r w:rsidR="005148C5" w:rsidRPr="002D079B">
        <w:rPr>
          <w:lang w:val="en-GB"/>
        </w:rPr>
        <w:t>;</w:t>
      </w:r>
      <w:r w:rsidR="00E26D53" w:rsidRPr="002D079B">
        <w:rPr>
          <w:lang w:val="en-GB"/>
        </w:rPr>
        <w:t xml:space="preserve"> </w:t>
      </w:r>
      <w:r w:rsidR="007B1FC9" w:rsidRPr="002D079B">
        <w:rPr>
          <w:lang w:val="en-GB"/>
        </w:rPr>
        <w:t>SIL Optimisation</w:t>
      </w:r>
      <w:r w:rsidR="005148C5" w:rsidRPr="002D079B">
        <w:rPr>
          <w:lang w:val="en-GB"/>
        </w:rPr>
        <w:t>.</w:t>
      </w:r>
    </w:p>
    <w:p w14:paraId="3BAE4638" w14:textId="77777777" w:rsidR="000A392E" w:rsidRPr="002D079B" w:rsidRDefault="000A392E" w:rsidP="000A392E">
      <w:pPr>
        <w:pStyle w:val="CETheadingx"/>
        <w:rPr>
          <w:lang w:val="en-GB"/>
        </w:rPr>
      </w:pPr>
      <w:r w:rsidRPr="002D079B">
        <w:rPr>
          <w:lang w:val="en-GB"/>
        </w:rPr>
        <w:lastRenderedPageBreak/>
        <w:t xml:space="preserve">SIL </w:t>
      </w:r>
      <w:r w:rsidR="007B1FC9" w:rsidRPr="002D079B">
        <w:rPr>
          <w:lang w:val="en-GB"/>
        </w:rPr>
        <w:t>A</w:t>
      </w:r>
      <w:r w:rsidR="00360468" w:rsidRPr="002D079B">
        <w:rPr>
          <w:lang w:val="en-GB"/>
        </w:rPr>
        <w:t>llocation</w:t>
      </w:r>
    </w:p>
    <w:p w14:paraId="27C8ABCF" w14:textId="52ACA3AA" w:rsidR="007B1FC9" w:rsidRPr="002D079B" w:rsidRDefault="00371058" w:rsidP="007B1FC9">
      <w:pPr>
        <w:pStyle w:val="CETheadingx"/>
        <w:numPr>
          <w:ilvl w:val="0"/>
          <w:numId w:val="0"/>
        </w:numPr>
        <w:rPr>
          <w:b w:val="0"/>
          <w:lang w:val="en-GB"/>
        </w:rPr>
      </w:pPr>
      <w:r w:rsidRPr="002D079B">
        <w:rPr>
          <w:b w:val="0"/>
          <w:lang w:val="en-GB"/>
        </w:rPr>
        <w:t xml:space="preserve">The </w:t>
      </w:r>
      <w:r w:rsidR="007B1FC9" w:rsidRPr="002D079B">
        <w:rPr>
          <w:b w:val="0"/>
          <w:lang w:val="en-GB"/>
        </w:rPr>
        <w:t>SIL Allocation</w:t>
      </w:r>
      <w:r w:rsidRPr="002D079B">
        <w:rPr>
          <w:b w:val="0"/>
          <w:lang w:val="en-GB"/>
        </w:rPr>
        <w:t xml:space="preserve"> Study was carried out on all plants of all sites of the Client (over 5,500 SIF) identifying</w:t>
      </w:r>
      <w:r w:rsidR="007B1FC9" w:rsidRPr="002D079B">
        <w:rPr>
          <w:b w:val="0"/>
          <w:lang w:val="en-GB"/>
        </w:rPr>
        <w:t xml:space="preserve"> the reliability requirements for each SIF, </w:t>
      </w:r>
      <w:r w:rsidR="002C0A2A" w:rsidRPr="002D079B">
        <w:rPr>
          <w:b w:val="0"/>
          <w:lang w:val="en-GB"/>
        </w:rPr>
        <w:t>applying</w:t>
      </w:r>
      <w:r w:rsidR="007B1FC9" w:rsidRPr="002D079B">
        <w:rPr>
          <w:b w:val="0"/>
          <w:lang w:val="en-GB"/>
        </w:rPr>
        <w:t xml:space="preserve"> the Risk Graph methodology </w:t>
      </w:r>
      <w:r w:rsidR="002C0A2A" w:rsidRPr="002D079B">
        <w:rPr>
          <w:b w:val="0"/>
          <w:lang w:val="en-GB"/>
        </w:rPr>
        <w:t>as described</w:t>
      </w:r>
      <w:r w:rsidR="007B1FC9" w:rsidRPr="002D079B">
        <w:rPr>
          <w:b w:val="0"/>
          <w:lang w:val="en-GB"/>
        </w:rPr>
        <w:t xml:space="preserve"> in IEC 61508</w:t>
      </w:r>
      <w:r w:rsidR="00A90C2E" w:rsidRPr="002D079B">
        <w:rPr>
          <w:b w:val="0"/>
          <w:lang w:val="en-GB"/>
        </w:rPr>
        <w:t xml:space="preserve"> ed</w:t>
      </w:r>
      <w:r w:rsidR="00601094" w:rsidRPr="002D079B">
        <w:rPr>
          <w:b w:val="0"/>
          <w:lang w:val="en-GB"/>
        </w:rPr>
        <w:t>.</w:t>
      </w:r>
      <w:r w:rsidR="00A90C2E" w:rsidRPr="002D079B">
        <w:rPr>
          <w:b w:val="0"/>
          <w:lang w:val="en-GB"/>
        </w:rPr>
        <w:t xml:space="preserve"> 2.0</w:t>
      </w:r>
      <w:r w:rsidR="00276CB7" w:rsidRPr="002D079B">
        <w:rPr>
          <w:b w:val="0"/>
          <w:lang w:val="en-GB"/>
        </w:rPr>
        <w:t xml:space="preserve"> (IEC 61508, 2010).</w:t>
      </w:r>
      <w:r w:rsidR="008B147B" w:rsidRPr="002D079B">
        <w:rPr>
          <w:b w:val="0"/>
          <w:lang w:val="en-GB"/>
        </w:rPr>
        <w:t xml:space="preserve"> </w:t>
      </w:r>
    </w:p>
    <w:p w14:paraId="5B235235" w14:textId="77777777" w:rsidR="00371058" w:rsidRPr="002D079B" w:rsidRDefault="00371058" w:rsidP="00371058">
      <w:pPr>
        <w:pStyle w:val="CETBodytext"/>
        <w:rPr>
          <w:lang w:val="en-GB"/>
        </w:rPr>
      </w:pPr>
    </w:p>
    <w:p w14:paraId="5873F964" w14:textId="77777777" w:rsidR="008B147B" w:rsidRPr="002D079B" w:rsidRDefault="008B147B" w:rsidP="0017241F">
      <w:pPr>
        <w:pStyle w:val="CETBodytext"/>
        <w:jc w:val="center"/>
        <w:rPr>
          <w:lang w:val="en-GB"/>
        </w:rPr>
      </w:pPr>
      <w:r w:rsidRPr="002D079B">
        <w:rPr>
          <w:noProof/>
          <w:lang w:val="it-IT" w:eastAsia="it-IT"/>
        </w:rPr>
        <w:drawing>
          <wp:inline distT="0" distB="0" distL="0" distR="0" wp14:anchorId="0543D869" wp14:editId="16D1D604">
            <wp:extent cx="3727048" cy="2875306"/>
            <wp:effectExtent l="0" t="0" r="6985" b="1270"/>
            <wp:docPr id="4" name="Picture 4" descr="Risultati immagini per risk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risk grap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147" cy="288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35F52" w14:textId="77777777" w:rsidR="007B1FC9" w:rsidRPr="002D079B" w:rsidRDefault="008B147B" w:rsidP="008B147B">
      <w:pPr>
        <w:pStyle w:val="CETCaption"/>
      </w:pPr>
      <w:r w:rsidRPr="002D079B">
        <w:t>Figure 2: Example of Risk Graph methodology (Ben Yaghlane, 2011)</w:t>
      </w:r>
    </w:p>
    <w:p w14:paraId="71DCBF80" w14:textId="7EBEDE6D" w:rsidR="008B147B" w:rsidRPr="002D079B" w:rsidRDefault="008B147B" w:rsidP="00AD1502">
      <w:pPr>
        <w:pStyle w:val="CETBodytext"/>
        <w:rPr>
          <w:lang w:val="en-GB"/>
        </w:rPr>
      </w:pPr>
      <w:r w:rsidRPr="002D079B">
        <w:rPr>
          <w:lang w:val="en-GB"/>
        </w:rPr>
        <w:t xml:space="preserve">For each SIF, the methodology considered the accident scenario </w:t>
      </w:r>
      <w:r w:rsidR="00111F64" w:rsidRPr="002D079B">
        <w:rPr>
          <w:lang w:val="en-GB"/>
        </w:rPr>
        <w:t xml:space="preserve">consequences </w:t>
      </w:r>
      <w:r w:rsidRPr="002D079B">
        <w:rPr>
          <w:lang w:val="en-GB"/>
        </w:rPr>
        <w:t>should that function not exist</w:t>
      </w:r>
      <w:r w:rsidR="00601094" w:rsidRPr="002D079B">
        <w:rPr>
          <w:lang w:val="en-GB"/>
        </w:rPr>
        <w:t xml:space="preserve"> / work properly</w:t>
      </w:r>
      <w:r w:rsidRPr="002D079B">
        <w:rPr>
          <w:lang w:val="en-GB"/>
        </w:rPr>
        <w:t xml:space="preserve">. </w:t>
      </w:r>
    </w:p>
    <w:p w14:paraId="3CAB954D" w14:textId="265406A8" w:rsidR="00AD1502" w:rsidRPr="002D079B" w:rsidRDefault="008B147B" w:rsidP="008B147B">
      <w:pPr>
        <w:pStyle w:val="CETBodytext"/>
        <w:rPr>
          <w:lang w:val="en-GB"/>
        </w:rPr>
      </w:pPr>
      <w:r w:rsidRPr="002D079B">
        <w:rPr>
          <w:lang w:val="en-GB"/>
        </w:rPr>
        <w:t xml:space="preserve">Three risk graph categories were defined: one for </w:t>
      </w:r>
      <w:r w:rsidR="00AD1502" w:rsidRPr="002D079B">
        <w:rPr>
          <w:lang w:val="en-GB"/>
        </w:rPr>
        <w:t>safety consequences</w:t>
      </w:r>
      <w:r w:rsidR="00601094" w:rsidRPr="002D079B">
        <w:rPr>
          <w:lang w:val="en-GB"/>
        </w:rPr>
        <w:t>, considering the number of injured people</w:t>
      </w:r>
      <w:r w:rsidR="00AD1502" w:rsidRPr="002D079B">
        <w:rPr>
          <w:lang w:val="en-GB"/>
        </w:rPr>
        <w:t>; one</w:t>
      </w:r>
      <w:r w:rsidRPr="002D079B">
        <w:rPr>
          <w:lang w:val="en-GB"/>
        </w:rPr>
        <w:t xml:space="preserve"> for environmental consequences</w:t>
      </w:r>
      <w:r w:rsidR="00AD1502" w:rsidRPr="002D079B">
        <w:rPr>
          <w:lang w:val="en-GB"/>
        </w:rPr>
        <w:t xml:space="preserve">, taking into account “intangible” parameters such as the visibility of the release from outside the Site; one for production consequences, including the direct cost of the substitution of damaged assets and the loss of profit </w:t>
      </w:r>
      <w:r w:rsidR="00601094" w:rsidRPr="002D079B">
        <w:rPr>
          <w:lang w:val="en-GB"/>
        </w:rPr>
        <w:t xml:space="preserve">due to shutdown period </w:t>
      </w:r>
      <w:r w:rsidR="00AD1502" w:rsidRPr="002D079B">
        <w:rPr>
          <w:lang w:val="en-GB"/>
        </w:rPr>
        <w:t>between the accident and the installation of a replacement.</w:t>
      </w:r>
    </w:p>
    <w:p w14:paraId="4150F09C" w14:textId="77777777" w:rsidR="00371058" w:rsidRPr="002D079B" w:rsidRDefault="00371058" w:rsidP="008B147B">
      <w:pPr>
        <w:pStyle w:val="CETBodytext"/>
        <w:rPr>
          <w:lang w:val="en-GB"/>
        </w:rPr>
      </w:pPr>
    </w:p>
    <w:p w14:paraId="1D8B71EF" w14:textId="196099D1" w:rsidR="008B147B" w:rsidRPr="002D079B" w:rsidRDefault="00AD1502" w:rsidP="008B147B">
      <w:pPr>
        <w:pStyle w:val="CETBodytext"/>
        <w:rPr>
          <w:lang w:val="en-GB"/>
        </w:rPr>
      </w:pPr>
      <w:r w:rsidRPr="002D079B">
        <w:rPr>
          <w:lang w:val="en-GB"/>
        </w:rPr>
        <w:t>The</w:t>
      </w:r>
      <w:r w:rsidR="00FE6F30" w:rsidRPr="002D079B">
        <w:rPr>
          <w:lang w:val="en-GB"/>
        </w:rPr>
        <w:t xml:space="preserve"> main</w:t>
      </w:r>
      <w:r w:rsidRPr="002D079B">
        <w:rPr>
          <w:lang w:val="en-GB"/>
        </w:rPr>
        <w:t xml:space="preserve"> </w:t>
      </w:r>
      <w:r w:rsidR="00FE6F30" w:rsidRPr="002D079B">
        <w:rPr>
          <w:lang w:val="en-GB"/>
        </w:rPr>
        <w:t xml:space="preserve">result of the SIL Allocation </w:t>
      </w:r>
      <w:r w:rsidR="00371058" w:rsidRPr="002D079B">
        <w:rPr>
          <w:lang w:val="en-GB"/>
        </w:rPr>
        <w:t>Study</w:t>
      </w:r>
      <w:r w:rsidR="00FE6F30" w:rsidRPr="002D079B">
        <w:rPr>
          <w:lang w:val="en-GB"/>
        </w:rPr>
        <w:t xml:space="preserve"> was to assign</w:t>
      </w:r>
      <w:r w:rsidR="00EE4F15" w:rsidRPr="002D079B">
        <w:rPr>
          <w:lang w:val="en-GB"/>
        </w:rPr>
        <w:t xml:space="preserve"> a value of </w:t>
      </w:r>
      <w:r w:rsidR="008C4397" w:rsidRPr="002D079B">
        <w:rPr>
          <w:lang w:val="en-GB"/>
        </w:rPr>
        <w:t>A</w:t>
      </w:r>
      <w:r w:rsidR="00FE6F30" w:rsidRPr="002D079B">
        <w:rPr>
          <w:lang w:val="en-GB"/>
        </w:rPr>
        <w:t>llocated</w:t>
      </w:r>
      <w:r w:rsidR="008C4397" w:rsidRPr="002D079B">
        <w:rPr>
          <w:lang w:val="en-GB"/>
        </w:rPr>
        <w:t xml:space="preserve"> SIL</w:t>
      </w:r>
      <w:r w:rsidR="00FE6F30" w:rsidRPr="002D079B">
        <w:rPr>
          <w:lang w:val="en-GB"/>
        </w:rPr>
        <w:t xml:space="preserve"> to all the analysed SIFs</w:t>
      </w:r>
      <w:r w:rsidR="00EE4F15" w:rsidRPr="002D079B">
        <w:rPr>
          <w:lang w:val="en-GB"/>
        </w:rPr>
        <w:t xml:space="preserve">. </w:t>
      </w:r>
      <w:r w:rsidR="00FE6F30" w:rsidRPr="002D079B">
        <w:rPr>
          <w:lang w:val="en-GB"/>
        </w:rPr>
        <w:t xml:space="preserve">The value is between </w:t>
      </w:r>
      <w:r w:rsidR="002D079B">
        <w:rPr>
          <w:lang w:val="en-GB"/>
        </w:rPr>
        <w:t>1</w:t>
      </w:r>
      <w:r w:rsidR="00FE6F30" w:rsidRPr="002D079B">
        <w:rPr>
          <w:lang w:val="en-GB"/>
        </w:rPr>
        <w:t xml:space="preserve"> and 4; w</w:t>
      </w:r>
      <w:r w:rsidR="00EE4F15" w:rsidRPr="002D079B">
        <w:rPr>
          <w:lang w:val="en-GB"/>
        </w:rPr>
        <w:t xml:space="preserve">hen no special safety requirement was needed, the </w:t>
      </w:r>
      <w:r w:rsidR="00594B34" w:rsidRPr="002D079B">
        <w:rPr>
          <w:lang w:val="en-GB"/>
        </w:rPr>
        <w:t>allocated</w:t>
      </w:r>
      <w:r w:rsidR="00EE4F15" w:rsidRPr="002D079B">
        <w:rPr>
          <w:lang w:val="en-GB"/>
        </w:rPr>
        <w:t xml:space="preserve"> SIL value was SIL a.</w:t>
      </w:r>
    </w:p>
    <w:p w14:paraId="099E91D4" w14:textId="59A53B8D" w:rsidR="00EE4F15" w:rsidRPr="002D079B" w:rsidRDefault="00EE4F15" w:rsidP="00EE4F15">
      <w:pPr>
        <w:pStyle w:val="CETTabletitle"/>
      </w:pPr>
      <w:r w:rsidRPr="002D079B">
        <w:t>Table 1: Safety Integrity Level values (IEC 61508</w:t>
      </w:r>
      <w:r w:rsidR="00A90C2E" w:rsidRPr="002D079B">
        <w:t>, 2010</w:t>
      </w:r>
      <w:r w:rsidRPr="002D079B">
        <w:t>)</w:t>
      </w:r>
    </w:p>
    <w:tbl>
      <w:tblPr>
        <w:tblW w:w="7371" w:type="dxa"/>
        <w:jc w:val="center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0"/>
        <w:gridCol w:w="2409"/>
        <w:gridCol w:w="3402"/>
      </w:tblGrid>
      <w:tr w:rsidR="00106613" w:rsidRPr="002D079B" w14:paraId="7DC4CD24" w14:textId="77777777" w:rsidTr="0017241F">
        <w:trPr>
          <w:jc w:val="center"/>
        </w:trPr>
        <w:tc>
          <w:tcPr>
            <w:tcW w:w="156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34D27BE" w14:textId="77777777" w:rsidR="00106613" w:rsidRPr="002D079B" w:rsidRDefault="00106613" w:rsidP="00106613">
            <w:r w:rsidRPr="002D079B">
              <w:t>SIL Level</w:t>
            </w:r>
          </w:p>
        </w:tc>
        <w:tc>
          <w:tcPr>
            <w:tcW w:w="240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1FA6090" w14:textId="77777777" w:rsidR="00106613" w:rsidRPr="002D079B" w:rsidRDefault="00106613" w:rsidP="00106613">
            <w:r w:rsidRPr="002D079B">
              <w:t>Risk Reduction on Demand</w:t>
            </w:r>
          </w:p>
        </w:tc>
        <w:tc>
          <w:tcPr>
            <w:tcW w:w="340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D576B86" w14:textId="77777777" w:rsidR="00106613" w:rsidRPr="002D079B" w:rsidRDefault="00106613" w:rsidP="00106613">
            <w:r w:rsidRPr="002D079B">
              <w:t>Probability of Failure on Demand for SIF</w:t>
            </w:r>
          </w:p>
        </w:tc>
      </w:tr>
      <w:tr w:rsidR="00106613" w:rsidRPr="002D079B" w14:paraId="34F2E754" w14:textId="77777777" w:rsidTr="0017241F">
        <w:trPr>
          <w:jc w:val="center"/>
        </w:trPr>
        <w:tc>
          <w:tcPr>
            <w:tcW w:w="1560" w:type="dxa"/>
            <w:shd w:val="clear" w:color="auto" w:fill="FFFFFF"/>
          </w:tcPr>
          <w:p w14:paraId="01FED9A4" w14:textId="77777777" w:rsidR="00106613" w:rsidRPr="002D079B" w:rsidRDefault="00106613" w:rsidP="00106613">
            <w:pPr>
              <w:pStyle w:val="CETBodytext"/>
              <w:jc w:val="center"/>
              <w:rPr>
                <w:lang w:val="en-GB"/>
              </w:rPr>
            </w:pPr>
            <w:r w:rsidRPr="002D079B">
              <w:rPr>
                <w:lang w:val="en-GB"/>
              </w:rPr>
              <w:t>1</w:t>
            </w:r>
          </w:p>
        </w:tc>
        <w:tc>
          <w:tcPr>
            <w:tcW w:w="2409" w:type="dxa"/>
            <w:shd w:val="clear" w:color="auto" w:fill="FFFFFF"/>
          </w:tcPr>
          <w:p w14:paraId="28F009EC" w14:textId="77777777" w:rsidR="00106613" w:rsidRPr="002D079B" w:rsidRDefault="00106613" w:rsidP="00106613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&gt;10</w:t>
            </w:r>
          </w:p>
        </w:tc>
        <w:tc>
          <w:tcPr>
            <w:tcW w:w="3402" w:type="dxa"/>
            <w:shd w:val="clear" w:color="auto" w:fill="FFFFFF"/>
          </w:tcPr>
          <w:p w14:paraId="1BB9760F" w14:textId="45EDA374" w:rsidR="00106613" w:rsidRPr="002D079B" w:rsidRDefault="00106613" w:rsidP="00106613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&lt;10</w:t>
            </w:r>
            <w:r w:rsidRPr="002D079B">
              <w:rPr>
                <w:vertAlign w:val="superscript"/>
                <w:lang w:val="en-GB"/>
              </w:rPr>
              <w:t>-1</w:t>
            </w:r>
            <w:r w:rsidRPr="002D079B">
              <w:rPr>
                <w:lang w:val="en-GB"/>
              </w:rPr>
              <w:t xml:space="preserve"> (&lt;10</w:t>
            </w:r>
            <w:r w:rsidR="005D34AA" w:rsidRPr="002D079B">
              <w:rPr>
                <w:lang w:val="en-GB"/>
              </w:rPr>
              <w:t xml:space="preserve"> </w:t>
            </w:r>
            <w:r w:rsidRPr="002D079B">
              <w:rPr>
                <w:lang w:val="en-GB"/>
              </w:rPr>
              <w:t>%)</w:t>
            </w:r>
          </w:p>
        </w:tc>
      </w:tr>
      <w:tr w:rsidR="00106613" w:rsidRPr="002D079B" w14:paraId="169BC698" w14:textId="77777777" w:rsidTr="0017241F">
        <w:trPr>
          <w:jc w:val="center"/>
        </w:trPr>
        <w:tc>
          <w:tcPr>
            <w:tcW w:w="1560" w:type="dxa"/>
            <w:shd w:val="clear" w:color="auto" w:fill="FFFFFF"/>
          </w:tcPr>
          <w:p w14:paraId="65A15F19" w14:textId="77777777" w:rsidR="00106613" w:rsidRPr="002D079B" w:rsidRDefault="00106613" w:rsidP="00106613">
            <w:pPr>
              <w:pStyle w:val="CETBodytext"/>
              <w:jc w:val="center"/>
              <w:rPr>
                <w:lang w:val="en-GB"/>
              </w:rPr>
            </w:pPr>
            <w:r w:rsidRPr="002D079B">
              <w:rPr>
                <w:lang w:val="en-GB"/>
              </w:rPr>
              <w:t>2</w:t>
            </w:r>
          </w:p>
        </w:tc>
        <w:tc>
          <w:tcPr>
            <w:tcW w:w="2409" w:type="dxa"/>
            <w:shd w:val="clear" w:color="auto" w:fill="FFFFFF"/>
          </w:tcPr>
          <w:p w14:paraId="7ACA3D43" w14:textId="77777777" w:rsidR="00106613" w:rsidRPr="002D079B" w:rsidRDefault="00106613" w:rsidP="00106613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&gt;100</w:t>
            </w:r>
          </w:p>
        </w:tc>
        <w:tc>
          <w:tcPr>
            <w:tcW w:w="3402" w:type="dxa"/>
            <w:shd w:val="clear" w:color="auto" w:fill="FFFFFF"/>
          </w:tcPr>
          <w:p w14:paraId="3B9D24DB" w14:textId="48A47142" w:rsidR="00106613" w:rsidRPr="002D079B" w:rsidRDefault="00106613" w:rsidP="00106613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&lt;10</w:t>
            </w:r>
            <w:r w:rsidRPr="002D079B">
              <w:rPr>
                <w:vertAlign w:val="superscript"/>
                <w:lang w:val="en-GB"/>
              </w:rPr>
              <w:t>-2</w:t>
            </w:r>
            <w:r w:rsidRPr="002D079B">
              <w:rPr>
                <w:lang w:val="en-GB"/>
              </w:rPr>
              <w:t xml:space="preserve"> (&lt;1</w:t>
            </w:r>
            <w:r w:rsidR="005D34AA" w:rsidRPr="002D079B">
              <w:rPr>
                <w:lang w:val="en-GB"/>
              </w:rPr>
              <w:t xml:space="preserve"> </w:t>
            </w:r>
            <w:r w:rsidRPr="002D079B">
              <w:rPr>
                <w:lang w:val="en-GB"/>
              </w:rPr>
              <w:t>%)</w:t>
            </w:r>
          </w:p>
        </w:tc>
      </w:tr>
      <w:tr w:rsidR="00106613" w:rsidRPr="002D079B" w14:paraId="6B913E43" w14:textId="77777777" w:rsidTr="0017241F">
        <w:trPr>
          <w:jc w:val="center"/>
        </w:trPr>
        <w:tc>
          <w:tcPr>
            <w:tcW w:w="1560" w:type="dxa"/>
            <w:shd w:val="clear" w:color="auto" w:fill="FFFFFF"/>
          </w:tcPr>
          <w:p w14:paraId="711E714F" w14:textId="77777777" w:rsidR="00106613" w:rsidRPr="002D079B" w:rsidRDefault="00106613" w:rsidP="00106613">
            <w:pPr>
              <w:pStyle w:val="CETBodytext"/>
              <w:jc w:val="center"/>
              <w:rPr>
                <w:lang w:val="en-GB"/>
              </w:rPr>
            </w:pPr>
            <w:r w:rsidRPr="002D079B">
              <w:rPr>
                <w:lang w:val="en-GB"/>
              </w:rPr>
              <w:t>3</w:t>
            </w:r>
          </w:p>
        </w:tc>
        <w:tc>
          <w:tcPr>
            <w:tcW w:w="2409" w:type="dxa"/>
            <w:shd w:val="clear" w:color="auto" w:fill="FFFFFF"/>
          </w:tcPr>
          <w:p w14:paraId="37EDD777" w14:textId="32EA6D49" w:rsidR="00106613" w:rsidRPr="002D079B" w:rsidRDefault="00106613" w:rsidP="00106613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&gt;1</w:t>
            </w:r>
            <w:r w:rsidR="00A90C2E" w:rsidRPr="002D079B">
              <w:rPr>
                <w:lang w:val="en-GB"/>
              </w:rPr>
              <w:t>,</w:t>
            </w:r>
            <w:r w:rsidRPr="002D079B">
              <w:rPr>
                <w:lang w:val="en-GB"/>
              </w:rPr>
              <w:t>000</w:t>
            </w:r>
          </w:p>
        </w:tc>
        <w:tc>
          <w:tcPr>
            <w:tcW w:w="3402" w:type="dxa"/>
            <w:shd w:val="clear" w:color="auto" w:fill="FFFFFF"/>
          </w:tcPr>
          <w:p w14:paraId="3A6FBC22" w14:textId="6799C74B" w:rsidR="00106613" w:rsidRPr="002D079B" w:rsidRDefault="00106613" w:rsidP="00106613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&lt;10</w:t>
            </w:r>
            <w:r w:rsidRPr="002D079B">
              <w:rPr>
                <w:vertAlign w:val="superscript"/>
                <w:lang w:val="en-GB"/>
              </w:rPr>
              <w:t>-3</w:t>
            </w:r>
            <w:r w:rsidRPr="002D079B">
              <w:rPr>
                <w:lang w:val="en-GB"/>
              </w:rPr>
              <w:t xml:space="preserve"> (&lt;0</w:t>
            </w:r>
            <w:r w:rsidR="00E26D53" w:rsidRPr="002D079B">
              <w:rPr>
                <w:lang w:val="en-GB"/>
              </w:rPr>
              <w:t>.</w:t>
            </w:r>
            <w:r w:rsidRPr="002D079B">
              <w:rPr>
                <w:lang w:val="en-GB"/>
              </w:rPr>
              <w:t>1</w:t>
            </w:r>
            <w:r w:rsidR="005D34AA" w:rsidRPr="002D079B">
              <w:rPr>
                <w:lang w:val="en-GB"/>
              </w:rPr>
              <w:t xml:space="preserve"> </w:t>
            </w:r>
            <w:r w:rsidRPr="002D079B">
              <w:rPr>
                <w:lang w:val="en-GB"/>
              </w:rPr>
              <w:t>%)</w:t>
            </w:r>
          </w:p>
        </w:tc>
      </w:tr>
      <w:tr w:rsidR="00106613" w:rsidRPr="002D079B" w14:paraId="4D750CF6" w14:textId="77777777" w:rsidTr="0017241F">
        <w:trPr>
          <w:jc w:val="center"/>
        </w:trPr>
        <w:tc>
          <w:tcPr>
            <w:tcW w:w="1560" w:type="dxa"/>
            <w:shd w:val="clear" w:color="auto" w:fill="FFFFFF"/>
          </w:tcPr>
          <w:p w14:paraId="3E0E8F58" w14:textId="77777777" w:rsidR="00106613" w:rsidRPr="002D079B" w:rsidRDefault="00106613" w:rsidP="00106613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D079B">
              <w:rPr>
                <w:rFonts w:cs="Arial"/>
                <w:szCs w:val="18"/>
                <w:lang w:val="en-GB"/>
              </w:rPr>
              <w:t>4</w:t>
            </w:r>
          </w:p>
        </w:tc>
        <w:tc>
          <w:tcPr>
            <w:tcW w:w="2409" w:type="dxa"/>
            <w:shd w:val="clear" w:color="auto" w:fill="FFFFFF"/>
          </w:tcPr>
          <w:p w14:paraId="4F9DF850" w14:textId="666F53EC" w:rsidR="00106613" w:rsidRPr="002D079B" w:rsidRDefault="00106613" w:rsidP="0010661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2D079B">
              <w:rPr>
                <w:lang w:val="en-GB"/>
              </w:rPr>
              <w:t>&gt;10</w:t>
            </w:r>
            <w:r w:rsidR="00A90C2E" w:rsidRPr="002D079B">
              <w:rPr>
                <w:lang w:val="en-GB"/>
              </w:rPr>
              <w:t>,</w:t>
            </w:r>
            <w:r w:rsidRPr="002D079B">
              <w:rPr>
                <w:lang w:val="en-GB"/>
              </w:rPr>
              <w:t>000</w:t>
            </w:r>
          </w:p>
        </w:tc>
        <w:tc>
          <w:tcPr>
            <w:tcW w:w="3402" w:type="dxa"/>
            <w:shd w:val="clear" w:color="auto" w:fill="FFFFFF"/>
          </w:tcPr>
          <w:p w14:paraId="7A4BEAA1" w14:textId="117F6BAE" w:rsidR="00106613" w:rsidRPr="002D079B" w:rsidRDefault="00106613" w:rsidP="00106613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&lt;10</w:t>
            </w:r>
            <w:r w:rsidRPr="002D079B">
              <w:rPr>
                <w:vertAlign w:val="superscript"/>
                <w:lang w:val="en-GB"/>
              </w:rPr>
              <w:t>-4</w:t>
            </w:r>
            <w:r w:rsidRPr="002D079B">
              <w:rPr>
                <w:lang w:val="en-GB"/>
              </w:rPr>
              <w:t xml:space="preserve"> (&lt;0</w:t>
            </w:r>
            <w:r w:rsidR="00E26D53" w:rsidRPr="002D079B">
              <w:rPr>
                <w:lang w:val="en-GB"/>
              </w:rPr>
              <w:t>.</w:t>
            </w:r>
            <w:r w:rsidRPr="002D079B">
              <w:rPr>
                <w:lang w:val="en-GB"/>
              </w:rPr>
              <w:t>01</w:t>
            </w:r>
            <w:r w:rsidR="005D34AA" w:rsidRPr="002D079B">
              <w:rPr>
                <w:lang w:val="en-GB"/>
              </w:rPr>
              <w:t xml:space="preserve"> </w:t>
            </w:r>
            <w:r w:rsidRPr="002D079B">
              <w:rPr>
                <w:lang w:val="en-GB"/>
              </w:rPr>
              <w:t>%)</w:t>
            </w:r>
          </w:p>
        </w:tc>
      </w:tr>
    </w:tbl>
    <w:p w14:paraId="1E7F178E" w14:textId="77777777" w:rsidR="00EE4F15" w:rsidRPr="002D079B" w:rsidRDefault="00EE4F15" w:rsidP="008B147B">
      <w:pPr>
        <w:pStyle w:val="CETBodytext"/>
        <w:rPr>
          <w:lang w:val="en-GB"/>
        </w:rPr>
      </w:pPr>
    </w:p>
    <w:p w14:paraId="0CB7626E" w14:textId="77777777" w:rsidR="000A392E" w:rsidRPr="002D079B" w:rsidRDefault="000A392E" w:rsidP="007B1FC9">
      <w:pPr>
        <w:pStyle w:val="CETheadingx"/>
        <w:rPr>
          <w:lang w:val="en-GB"/>
        </w:rPr>
      </w:pPr>
      <w:r w:rsidRPr="002D079B">
        <w:rPr>
          <w:lang w:val="en-GB"/>
        </w:rPr>
        <w:t xml:space="preserve">SIL </w:t>
      </w:r>
      <w:r w:rsidR="007B1FC9" w:rsidRPr="002D079B">
        <w:rPr>
          <w:lang w:val="en-GB"/>
        </w:rPr>
        <w:t>V</w:t>
      </w:r>
      <w:r w:rsidR="00360468" w:rsidRPr="002D079B">
        <w:rPr>
          <w:lang w:val="en-GB"/>
        </w:rPr>
        <w:t>erification</w:t>
      </w:r>
    </w:p>
    <w:p w14:paraId="7247C025" w14:textId="614CDF15" w:rsidR="00EE4F15" w:rsidRPr="002D079B" w:rsidRDefault="0094360C" w:rsidP="00EE4F15">
      <w:pPr>
        <w:pStyle w:val="CETBodytext"/>
        <w:rPr>
          <w:lang w:val="en-GB"/>
        </w:rPr>
      </w:pPr>
      <w:r w:rsidRPr="002D079B">
        <w:rPr>
          <w:lang w:val="en-GB"/>
        </w:rPr>
        <w:t xml:space="preserve">For </w:t>
      </w:r>
      <w:r w:rsidR="008C4397" w:rsidRPr="002D079B">
        <w:rPr>
          <w:lang w:val="en-GB"/>
        </w:rPr>
        <w:t xml:space="preserve">all </w:t>
      </w:r>
      <w:r w:rsidR="00371058" w:rsidRPr="002D079B">
        <w:rPr>
          <w:lang w:val="en-GB"/>
        </w:rPr>
        <w:t xml:space="preserve">the </w:t>
      </w:r>
      <w:r w:rsidRPr="002D079B">
        <w:rPr>
          <w:lang w:val="en-GB"/>
        </w:rPr>
        <w:t>SIF</w:t>
      </w:r>
      <w:r w:rsidR="00062CD8" w:rsidRPr="002D079B">
        <w:rPr>
          <w:lang w:val="en-GB"/>
        </w:rPr>
        <w:t>s</w:t>
      </w:r>
      <w:r w:rsidRPr="002D079B">
        <w:rPr>
          <w:lang w:val="en-GB"/>
        </w:rPr>
        <w:t xml:space="preserve"> whose </w:t>
      </w:r>
      <w:r w:rsidR="008C4397" w:rsidRPr="002D079B">
        <w:rPr>
          <w:lang w:val="en-GB"/>
        </w:rPr>
        <w:t xml:space="preserve">Allocated SIL </w:t>
      </w:r>
      <w:r w:rsidRPr="002D079B">
        <w:rPr>
          <w:lang w:val="en-GB"/>
        </w:rPr>
        <w:t>was 1 or above</w:t>
      </w:r>
      <w:r w:rsidR="000E214B" w:rsidRPr="002D079B">
        <w:rPr>
          <w:lang w:val="en-GB"/>
        </w:rPr>
        <w:t xml:space="preserve"> (about 3,000)</w:t>
      </w:r>
      <w:r w:rsidRPr="002D079B">
        <w:rPr>
          <w:lang w:val="en-GB"/>
        </w:rPr>
        <w:t xml:space="preserve">, </w:t>
      </w:r>
      <w:r w:rsidR="00371058" w:rsidRPr="002D079B">
        <w:rPr>
          <w:lang w:val="en-GB"/>
        </w:rPr>
        <w:t>a</w:t>
      </w:r>
      <w:r w:rsidR="00106613" w:rsidRPr="002D079B">
        <w:rPr>
          <w:lang w:val="en-GB"/>
        </w:rPr>
        <w:t xml:space="preserve"> SIL Verification </w:t>
      </w:r>
      <w:r w:rsidR="008C4397" w:rsidRPr="002D079B">
        <w:rPr>
          <w:lang w:val="en-GB"/>
        </w:rPr>
        <w:t>Study</w:t>
      </w:r>
      <w:r w:rsidR="00371058" w:rsidRPr="002D079B">
        <w:rPr>
          <w:lang w:val="en-GB"/>
        </w:rPr>
        <w:t xml:space="preserve"> was performed, aiming</w:t>
      </w:r>
      <w:r w:rsidRPr="002D079B">
        <w:rPr>
          <w:lang w:val="en-GB"/>
        </w:rPr>
        <w:t xml:space="preserve"> to ensure that the actual function reliability</w:t>
      </w:r>
      <w:r w:rsidR="00106613" w:rsidRPr="002D079B">
        <w:rPr>
          <w:lang w:val="en-GB"/>
        </w:rPr>
        <w:t xml:space="preserve"> wa</w:t>
      </w:r>
      <w:r w:rsidRPr="002D079B">
        <w:rPr>
          <w:lang w:val="en-GB"/>
        </w:rPr>
        <w:t>s consistent with the requirements of the SIL</w:t>
      </w:r>
      <w:r w:rsidR="00371058" w:rsidRPr="002D079B">
        <w:rPr>
          <w:lang w:val="en-GB"/>
        </w:rPr>
        <w:t xml:space="preserve"> Allocation</w:t>
      </w:r>
      <w:r w:rsidRPr="002D079B">
        <w:rPr>
          <w:lang w:val="en-GB"/>
        </w:rPr>
        <w:t xml:space="preserve">. </w:t>
      </w:r>
    </w:p>
    <w:p w14:paraId="45A32F65" w14:textId="5D171460" w:rsidR="0094360C" w:rsidRPr="002D079B" w:rsidRDefault="00594B34" w:rsidP="00EE4F15">
      <w:pPr>
        <w:pStyle w:val="CETBodytext"/>
        <w:rPr>
          <w:lang w:val="en-GB"/>
        </w:rPr>
      </w:pPr>
      <w:r w:rsidRPr="002D079B">
        <w:rPr>
          <w:lang w:val="en-GB"/>
        </w:rPr>
        <w:t>This step was</w:t>
      </w:r>
      <w:r w:rsidR="00062CD8" w:rsidRPr="002D079B">
        <w:rPr>
          <w:lang w:val="en-GB"/>
        </w:rPr>
        <w:t xml:space="preserve"> </w:t>
      </w:r>
      <w:r w:rsidR="0094360C" w:rsidRPr="002D079B">
        <w:rPr>
          <w:lang w:val="en-GB"/>
        </w:rPr>
        <w:t>carried out collecting the technical data (</w:t>
      </w:r>
      <w:r w:rsidR="008C4397" w:rsidRPr="002D079B">
        <w:rPr>
          <w:lang w:val="en-GB"/>
        </w:rPr>
        <w:t xml:space="preserve">e.g. </w:t>
      </w:r>
      <w:r w:rsidR="0094360C" w:rsidRPr="002D079B">
        <w:rPr>
          <w:lang w:val="en-GB"/>
        </w:rPr>
        <w:t xml:space="preserve">failure rates, manufacturer model, </w:t>
      </w:r>
      <w:r w:rsidR="000E214B" w:rsidRPr="002D079B">
        <w:rPr>
          <w:lang w:val="en-GB"/>
        </w:rPr>
        <w:t xml:space="preserve">reliability </w:t>
      </w:r>
      <w:r w:rsidR="0094360C" w:rsidRPr="002D079B">
        <w:rPr>
          <w:lang w:val="en-GB"/>
        </w:rPr>
        <w:t>certificates</w:t>
      </w:r>
      <w:r w:rsidR="00062CD8" w:rsidRPr="002D079B">
        <w:rPr>
          <w:lang w:val="en-GB"/>
        </w:rPr>
        <w:t xml:space="preserve">, etc.) </w:t>
      </w:r>
      <w:r w:rsidR="0094360C" w:rsidRPr="002D079B">
        <w:rPr>
          <w:lang w:val="en-GB"/>
        </w:rPr>
        <w:t xml:space="preserve">for all </w:t>
      </w:r>
      <w:r w:rsidR="008C4397" w:rsidRPr="002D079B">
        <w:rPr>
          <w:lang w:val="en-GB"/>
        </w:rPr>
        <w:t xml:space="preserve">the </w:t>
      </w:r>
      <w:r w:rsidR="0094360C" w:rsidRPr="002D079B">
        <w:rPr>
          <w:lang w:val="en-GB"/>
        </w:rPr>
        <w:t xml:space="preserve">elements of the </w:t>
      </w:r>
      <w:r w:rsidR="008C4397" w:rsidRPr="002D079B">
        <w:rPr>
          <w:lang w:val="en-GB"/>
        </w:rPr>
        <w:t>SIFs</w:t>
      </w:r>
      <w:r w:rsidR="0094360C" w:rsidRPr="002D079B">
        <w:rPr>
          <w:lang w:val="en-GB"/>
        </w:rPr>
        <w:t>,</w:t>
      </w:r>
      <w:r w:rsidR="008C4397" w:rsidRPr="002D079B">
        <w:rPr>
          <w:lang w:val="en-GB"/>
        </w:rPr>
        <w:t xml:space="preserve"> which were grouped</w:t>
      </w:r>
      <w:r w:rsidR="0094360C" w:rsidRPr="002D079B">
        <w:rPr>
          <w:lang w:val="en-GB"/>
        </w:rPr>
        <w:t xml:space="preserve"> in:</w:t>
      </w:r>
    </w:p>
    <w:p w14:paraId="205E1B85" w14:textId="30B4E46C" w:rsidR="0094360C" w:rsidRPr="002D079B" w:rsidRDefault="0094360C" w:rsidP="0094360C">
      <w:pPr>
        <w:pStyle w:val="CETListbullets"/>
        <w:numPr>
          <w:ilvl w:val="0"/>
          <w:numId w:val="13"/>
        </w:numPr>
      </w:pPr>
      <w:r w:rsidRPr="002D079B">
        <w:t>Sensors: all necessary instruments and transmitters that detect parameters outside the Basic Control Process System range of operation</w:t>
      </w:r>
      <w:r w:rsidR="00006B79" w:rsidRPr="002D079B">
        <w:t>, including their voting logic (e.g. 2 out of 3)</w:t>
      </w:r>
    </w:p>
    <w:p w14:paraId="55529163" w14:textId="6BDBFE3F" w:rsidR="0094360C" w:rsidRPr="002D079B" w:rsidRDefault="0094360C" w:rsidP="0094360C">
      <w:pPr>
        <w:pStyle w:val="CETListbullets"/>
        <w:numPr>
          <w:ilvl w:val="0"/>
          <w:numId w:val="13"/>
        </w:numPr>
      </w:pPr>
      <w:r w:rsidRPr="002D079B">
        <w:t>Logic Solver</w:t>
      </w:r>
      <w:r w:rsidR="008C4397" w:rsidRPr="002D079B">
        <w:t>s</w:t>
      </w:r>
      <w:r w:rsidRPr="002D079B">
        <w:t>: the calculator</w:t>
      </w:r>
      <w:r w:rsidR="008C4397" w:rsidRPr="002D079B">
        <w:t>s</w:t>
      </w:r>
      <w:r w:rsidRPr="002D079B">
        <w:t xml:space="preserve"> that convert </w:t>
      </w:r>
      <w:r w:rsidR="008C4397" w:rsidRPr="002D079B">
        <w:t xml:space="preserve">the received </w:t>
      </w:r>
      <w:r w:rsidRPr="002D079B">
        <w:t>signal</w:t>
      </w:r>
      <w:r w:rsidR="008C4397" w:rsidRPr="002D079B">
        <w:t>s</w:t>
      </w:r>
      <w:r w:rsidRPr="002D079B">
        <w:t xml:space="preserve"> into actions, including cabling, redundancies, intrinsic safeties and I/O bus ports. </w:t>
      </w:r>
    </w:p>
    <w:p w14:paraId="5BA05529" w14:textId="5C7646F9" w:rsidR="0094360C" w:rsidRPr="002D079B" w:rsidRDefault="0094360C" w:rsidP="0094360C">
      <w:pPr>
        <w:pStyle w:val="CETListbullets"/>
        <w:numPr>
          <w:ilvl w:val="0"/>
          <w:numId w:val="13"/>
        </w:numPr>
      </w:pPr>
      <w:r w:rsidRPr="002D079B">
        <w:t xml:space="preserve">Final Elements: all </w:t>
      </w:r>
      <w:r w:rsidR="008C4397" w:rsidRPr="002D079B">
        <w:t xml:space="preserve">the </w:t>
      </w:r>
      <w:r w:rsidRPr="002D079B">
        <w:t>elements the SIF</w:t>
      </w:r>
      <w:r w:rsidR="008C4397" w:rsidRPr="002D079B">
        <w:t>s</w:t>
      </w:r>
      <w:r w:rsidRPr="002D079B">
        <w:t xml:space="preserve"> act upon (e.g. valves, motor switches)</w:t>
      </w:r>
      <w:r w:rsidR="00006B79" w:rsidRPr="002D079B">
        <w:t>, including their voting logic</w:t>
      </w:r>
    </w:p>
    <w:p w14:paraId="18EAB58D" w14:textId="46072A1B" w:rsidR="00CB4BA5" w:rsidRPr="002D079B" w:rsidRDefault="00CB4BA5" w:rsidP="0094360C">
      <w:pPr>
        <w:pStyle w:val="CETCaption"/>
      </w:pPr>
      <w:r w:rsidRPr="002D079B">
        <w:rPr>
          <w:noProof/>
          <w:lang w:val="it-IT" w:eastAsia="it-IT"/>
        </w:rPr>
        <w:lastRenderedPageBreak/>
        <w:drawing>
          <wp:inline distT="0" distB="0" distL="0" distR="0" wp14:anchorId="2A969113" wp14:editId="3C388E3B">
            <wp:extent cx="5579745" cy="1720143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72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54FC4" w14:textId="4940F659" w:rsidR="0094360C" w:rsidRPr="002D079B" w:rsidRDefault="0094360C" w:rsidP="0094360C">
      <w:pPr>
        <w:pStyle w:val="CETCaption"/>
      </w:pPr>
      <w:r w:rsidRPr="002D079B">
        <w:t xml:space="preserve">Figure </w:t>
      </w:r>
      <w:r w:rsidR="00062CD8" w:rsidRPr="002D079B">
        <w:t>3</w:t>
      </w:r>
      <w:r w:rsidRPr="002D079B">
        <w:t>: Schematic of a SIF</w:t>
      </w:r>
      <w:r w:rsidR="00CB4BA5" w:rsidRPr="002D079B">
        <w:t xml:space="preserve">: </w:t>
      </w:r>
      <w:r w:rsidR="00F41EB0" w:rsidRPr="002D079B">
        <w:t>In blue,</w:t>
      </w:r>
      <w:r w:rsidR="00CB4BA5" w:rsidRPr="002D079B">
        <w:t xml:space="preserve"> the sensor and cabling, in red the Safety Logic Solver, in yellow the Final Elements</w:t>
      </w:r>
      <w:r w:rsidR="00CA6DC5" w:rsidRPr="002D079B">
        <w:t xml:space="preserve"> with their relays</w:t>
      </w:r>
    </w:p>
    <w:p w14:paraId="3E3206F1" w14:textId="77777777" w:rsidR="00594B34" w:rsidRPr="002D079B" w:rsidRDefault="00594B34" w:rsidP="0033296E">
      <w:pPr>
        <w:pStyle w:val="CETBodytext"/>
        <w:rPr>
          <w:lang w:val="en-GB"/>
        </w:rPr>
      </w:pPr>
      <w:r w:rsidRPr="002D079B">
        <w:rPr>
          <w:lang w:val="en-GB"/>
        </w:rPr>
        <w:t>Using a dedicated product-oriented database and software, the PFD (Pr</w:t>
      </w:r>
      <w:r w:rsidR="00106613" w:rsidRPr="002D079B">
        <w:rPr>
          <w:lang w:val="en-GB"/>
        </w:rPr>
        <w:t>obability of Failure on Demand) wa</w:t>
      </w:r>
      <w:r w:rsidRPr="002D079B">
        <w:rPr>
          <w:lang w:val="en-GB"/>
        </w:rPr>
        <w:t xml:space="preserve">s calculated. This parameter indicates what the probability for the function to fail is, once its use is </w:t>
      </w:r>
      <w:r w:rsidR="00106613" w:rsidRPr="002D079B">
        <w:rPr>
          <w:lang w:val="en-GB"/>
        </w:rPr>
        <w:t>required</w:t>
      </w:r>
      <w:r w:rsidRPr="002D079B">
        <w:rPr>
          <w:lang w:val="en-GB"/>
        </w:rPr>
        <w:t>.</w:t>
      </w:r>
    </w:p>
    <w:p w14:paraId="20412564" w14:textId="77777777" w:rsidR="00594B34" w:rsidRPr="002D079B" w:rsidRDefault="00594B34" w:rsidP="0033296E">
      <w:pPr>
        <w:pStyle w:val="CETBodytext"/>
        <w:rPr>
          <w:lang w:val="en-GB"/>
        </w:rPr>
      </w:pPr>
      <w:r w:rsidRPr="002D079B">
        <w:rPr>
          <w:lang w:val="en-GB"/>
        </w:rPr>
        <w:t>With this methodology</w:t>
      </w:r>
      <w:r w:rsidR="00106613" w:rsidRPr="002D079B">
        <w:rPr>
          <w:lang w:val="en-GB"/>
        </w:rPr>
        <w:t>,</w:t>
      </w:r>
      <w:r w:rsidRPr="002D079B">
        <w:rPr>
          <w:lang w:val="en-GB"/>
        </w:rPr>
        <w:t xml:space="preserve"> a verified SIL </w:t>
      </w:r>
      <w:r w:rsidR="000E214B" w:rsidRPr="002D079B">
        <w:rPr>
          <w:lang w:val="en-GB"/>
        </w:rPr>
        <w:t>was</w:t>
      </w:r>
      <w:r w:rsidRPr="002D079B">
        <w:rPr>
          <w:lang w:val="en-GB"/>
        </w:rPr>
        <w:t xml:space="preserve"> assigned</w:t>
      </w:r>
      <w:r w:rsidR="00106613" w:rsidRPr="002D079B">
        <w:rPr>
          <w:lang w:val="en-GB"/>
        </w:rPr>
        <w:t xml:space="preserve"> (See Table 1)</w:t>
      </w:r>
      <w:r w:rsidRPr="002D079B">
        <w:rPr>
          <w:lang w:val="en-GB"/>
        </w:rPr>
        <w:t xml:space="preserve">; if it was equal or higher than the allocated SIL, the SIF </w:t>
      </w:r>
      <w:r w:rsidR="00106613" w:rsidRPr="002D079B">
        <w:rPr>
          <w:lang w:val="en-GB"/>
        </w:rPr>
        <w:t>wa</w:t>
      </w:r>
      <w:r w:rsidRPr="002D079B">
        <w:rPr>
          <w:lang w:val="en-GB"/>
        </w:rPr>
        <w:t xml:space="preserve">s considered “Verified” and no further actions </w:t>
      </w:r>
      <w:r w:rsidR="00106613" w:rsidRPr="002D079B">
        <w:rPr>
          <w:lang w:val="en-GB"/>
        </w:rPr>
        <w:t>we</w:t>
      </w:r>
      <w:r w:rsidRPr="002D079B">
        <w:rPr>
          <w:lang w:val="en-GB"/>
        </w:rPr>
        <w:t>re required.</w:t>
      </w:r>
    </w:p>
    <w:p w14:paraId="7E443EFF" w14:textId="072E0499" w:rsidR="0094360C" w:rsidRPr="002D079B" w:rsidRDefault="005148C5" w:rsidP="0033296E">
      <w:pPr>
        <w:pStyle w:val="CETBodytext"/>
        <w:rPr>
          <w:lang w:val="en-GB"/>
        </w:rPr>
      </w:pPr>
      <w:r w:rsidRPr="002D079B">
        <w:rPr>
          <w:lang w:val="en-GB"/>
        </w:rPr>
        <w:t xml:space="preserve">If </w:t>
      </w:r>
      <w:r w:rsidR="00594B34" w:rsidRPr="002D079B">
        <w:rPr>
          <w:lang w:val="en-GB"/>
        </w:rPr>
        <w:t>the verified SIL is lower than the allocated SIL</w:t>
      </w:r>
      <w:r w:rsidR="00106613" w:rsidRPr="002D079B">
        <w:rPr>
          <w:lang w:val="en-GB"/>
        </w:rPr>
        <w:t>, further actions we</w:t>
      </w:r>
      <w:r w:rsidR="00594B34" w:rsidRPr="002D079B">
        <w:rPr>
          <w:lang w:val="en-GB"/>
        </w:rPr>
        <w:t>re required to close the</w:t>
      </w:r>
      <w:r w:rsidR="00062CD8" w:rsidRPr="002D079B">
        <w:rPr>
          <w:lang w:val="en-GB"/>
        </w:rPr>
        <w:t xml:space="preserve"> reliability</w:t>
      </w:r>
      <w:r w:rsidR="00594B34" w:rsidRPr="002D079B">
        <w:rPr>
          <w:lang w:val="en-GB"/>
        </w:rPr>
        <w:t xml:space="preserve"> gap.</w:t>
      </w:r>
    </w:p>
    <w:p w14:paraId="1B31BC64" w14:textId="77777777" w:rsidR="0094360C" w:rsidRPr="002D079B" w:rsidRDefault="0094360C" w:rsidP="00EE4F15">
      <w:pPr>
        <w:pStyle w:val="CETBodytext"/>
        <w:rPr>
          <w:lang w:val="en-GB"/>
        </w:rPr>
      </w:pPr>
    </w:p>
    <w:p w14:paraId="5E1516A0" w14:textId="77777777" w:rsidR="000A392E" w:rsidRPr="002D079B" w:rsidRDefault="000A392E" w:rsidP="000A392E">
      <w:pPr>
        <w:pStyle w:val="CETheadingx"/>
        <w:rPr>
          <w:lang w:val="en-GB"/>
        </w:rPr>
      </w:pPr>
      <w:r w:rsidRPr="002D079B">
        <w:rPr>
          <w:lang w:val="en-GB"/>
        </w:rPr>
        <w:t xml:space="preserve">SIL </w:t>
      </w:r>
      <w:r w:rsidR="007B1FC9" w:rsidRPr="002D079B">
        <w:rPr>
          <w:lang w:val="en-GB"/>
        </w:rPr>
        <w:t>O</w:t>
      </w:r>
      <w:r w:rsidR="00360468" w:rsidRPr="002D079B">
        <w:rPr>
          <w:lang w:val="en-GB"/>
        </w:rPr>
        <w:t>ptimisation</w:t>
      </w:r>
    </w:p>
    <w:p w14:paraId="4D5F6C79" w14:textId="1E560FB9" w:rsidR="00464476" w:rsidRPr="002D079B" w:rsidRDefault="008C4397" w:rsidP="00464476">
      <w:pPr>
        <w:pStyle w:val="CETBodytext"/>
        <w:rPr>
          <w:lang w:val="en-GB"/>
        </w:rPr>
      </w:pPr>
      <w:r w:rsidRPr="002D079B">
        <w:rPr>
          <w:lang w:val="en-GB"/>
        </w:rPr>
        <w:t xml:space="preserve">The </w:t>
      </w:r>
      <w:r w:rsidR="00106613" w:rsidRPr="002D079B">
        <w:rPr>
          <w:lang w:val="en-GB"/>
        </w:rPr>
        <w:t>SIL Optimisation</w:t>
      </w:r>
      <w:r w:rsidRPr="002D079B">
        <w:rPr>
          <w:lang w:val="en-GB"/>
        </w:rPr>
        <w:t xml:space="preserve"> Study</w:t>
      </w:r>
      <w:r w:rsidR="00106613" w:rsidRPr="002D079B">
        <w:rPr>
          <w:lang w:val="en-GB"/>
        </w:rPr>
        <w:t xml:space="preserve"> was</w:t>
      </w:r>
      <w:r w:rsidR="00464476" w:rsidRPr="002D079B">
        <w:rPr>
          <w:lang w:val="en-GB"/>
        </w:rPr>
        <w:t xml:space="preserve"> only performed on those SIF</w:t>
      </w:r>
      <w:r w:rsidR="00062CD8" w:rsidRPr="002D079B">
        <w:rPr>
          <w:lang w:val="en-GB"/>
        </w:rPr>
        <w:t>s</w:t>
      </w:r>
      <w:r w:rsidR="00464476" w:rsidRPr="002D079B">
        <w:rPr>
          <w:lang w:val="en-GB"/>
        </w:rPr>
        <w:t xml:space="preserve"> wher</w:t>
      </w:r>
      <w:r w:rsidR="000E214B" w:rsidRPr="002D079B">
        <w:rPr>
          <w:lang w:val="en-GB"/>
        </w:rPr>
        <w:t xml:space="preserve">e verified SIL &lt; allocated SIL, </w:t>
      </w:r>
      <w:r w:rsidR="005148C5" w:rsidRPr="002D079B">
        <w:rPr>
          <w:lang w:val="en-GB"/>
        </w:rPr>
        <w:t xml:space="preserve">i.e. </w:t>
      </w:r>
      <w:r w:rsidR="000E214B" w:rsidRPr="002D079B">
        <w:rPr>
          <w:lang w:val="en-GB"/>
        </w:rPr>
        <w:t>about 1,500.</w:t>
      </w:r>
      <w:r w:rsidRPr="002D079B">
        <w:rPr>
          <w:lang w:val="en-GB"/>
        </w:rPr>
        <w:t xml:space="preserve"> </w:t>
      </w:r>
      <w:r w:rsidR="00106613" w:rsidRPr="002D079B">
        <w:rPr>
          <w:lang w:val="en-GB"/>
        </w:rPr>
        <w:t>The SIF</w:t>
      </w:r>
      <w:r w:rsidRPr="002D079B">
        <w:rPr>
          <w:lang w:val="en-GB"/>
        </w:rPr>
        <w:t>s</w:t>
      </w:r>
      <w:r w:rsidR="00106613" w:rsidRPr="002D079B">
        <w:rPr>
          <w:lang w:val="en-GB"/>
        </w:rPr>
        <w:t xml:space="preserve"> we</w:t>
      </w:r>
      <w:r w:rsidR="00464476" w:rsidRPr="002D079B">
        <w:rPr>
          <w:lang w:val="en-GB"/>
        </w:rPr>
        <w:t>re reviewed using the LOPA (Layer of Protection Analysis) methodology</w:t>
      </w:r>
      <w:r w:rsidR="00106613" w:rsidRPr="002D079B">
        <w:rPr>
          <w:lang w:val="en-GB"/>
        </w:rPr>
        <w:t>. The key difference wa</w:t>
      </w:r>
      <w:r w:rsidR="00464476" w:rsidRPr="002D079B">
        <w:rPr>
          <w:lang w:val="en-GB"/>
        </w:rPr>
        <w:t>s the addition of “enabling factors”</w:t>
      </w:r>
      <w:r w:rsidR="00062CD8" w:rsidRPr="002D079B">
        <w:rPr>
          <w:lang w:val="en-GB"/>
        </w:rPr>
        <w:t>,</w:t>
      </w:r>
      <w:r w:rsidR="00464476" w:rsidRPr="002D079B">
        <w:rPr>
          <w:lang w:val="en-GB"/>
        </w:rPr>
        <w:t xml:space="preserve"> allow</w:t>
      </w:r>
      <w:r w:rsidR="005148C5" w:rsidRPr="002D079B">
        <w:rPr>
          <w:lang w:val="en-GB"/>
        </w:rPr>
        <w:t>ing</w:t>
      </w:r>
      <w:r w:rsidR="00464476" w:rsidRPr="002D079B">
        <w:rPr>
          <w:lang w:val="en-GB"/>
        </w:rPr>
        <w:t xml:space="preserve"> a</w:t>
      </w:r>
      <w:r w:rsidR="00062CD8" w:rsidRPr="002D079B">
        <w:rPr>
          <w:lang w:val="en-GB"/>
        </w:rPr>
        <w:t xml:space="preserve"> </w:t>
      </w:r>
      <w:r w:rsidR="005148C5" w:rsidRPr="002D079B">
        <w:rPr>
          <w:lang w:val="en-GB"/>
        </w:rPr>
        <w:t xml:space="preserve">further </w:t>
      </w:r>
      <w:r w:rsidR="00062CD8" w:rsidRPr="002D079B">
        <w:rPr>
          <w:lang w:val="en-GB"/>
        </w:rPr>
        <w:t>detailed</w:t>
      </w:r>
      <w:r w:rsidR="00464476" w:rsidRPr="002D079B">
        <w:rPr>
          <w:lang w:val="en-GB"/>
        </w:rPr>
        <w:t xml:space="preserve"> review than the Risk Graph analysis. </w:t>
      </w:r>
    </w:p>
    <w:p w14:paraId="60D13F36" w14:textId="77777777" w:rsidR="00464476" w:rsidRPr="002D079B" w:rsidRDefault="00464476" w:rsidP="00464476">
      <w:pPr>
        <w:pStyle w:val="CETBodytext"/>
        <w:rPr>
          <w:lang w:val="en-GB"/>
        </w:rPr>
      </w:pPr>
    </w:p>
    <w:p w14:paraId="5672F1FA" w14:textId="2C8A1A42" w:rsidR="00464476" w:rsidRPr="002D079B" w:rsidRDefault="00464476" w:rsidP="00464476">
      <w:pPr>
        <w:pStyle w:val="CETBodytext"/>
        <w:rPr>
          <w:lang w:val="en-GB"/>
        </w:rPr>
      </w:pPr>
      <w:r w:rsidRPr="002D079B">
        <w:rPr>
          <w:lang w:val="en-GB"/>
        </w:rPr>
        <w:t>Wh</w:t>
      </w:r>
      <w:r w:rsidR="00106613" w:rsidRPr="002D079B">
        <w:rPr>
          <w:lang w:val="en-GB"/>
        </w:rPr>
        <w:t xml:space="preserve">en </w:t>
      </w:r>
      <w:r w:rsidR="005148C5" w:rsidRPr="002D079B">
        <w:rPr>
          <w:lang w:val="en-GB"/>
        </w:rPr>
        <w:t>this review</w:t>
      </w:r>
      <w:r w:rsidR="00106613" w:rsidRPr="002D079B">
        <w:rPr>
          <w:lang w:val="en-GB"/>
        </w:rPr>
        <w:t xml:space="preserve"> could not close the gap</w:t>
      </w:r>
      <w:r w:rsidR="000E214B" w:rsidRPr="002D079B">
        <w:rPr>
          <w:lang w:val="en-GB"/>
        </w:rPr>
        <w:t xml:space="preserve"> (</w:t>
      </w:r>
      <w:r w:rsidR="005148C5" w:rsidRPr="002D079B">
        <w:rPr>
          <w:lang w:val="en-GB"/>
        </w:rPr>
        <w:t>i.e. as per about</w:t>
      </w:r>
      <w:r w:rsidR="00E26D53" w:rsidRPr="002D079B">
        <w:rPr>
          <w:lang w:val="en-GB"/>
        </w:rPr>
        <w:t xml:space="preserve"> 1,</w:t>
      </w:r>
      <w:r w:rsidR="000E214B" w:rsidRPr="002D079B">
        <w:rPr>
          <w:lang w:val="en-GB"/>
        </w:rPr>
        <w:t>000 SIF</w:t>
      </w:r>
      <w:r w:rsidR="00C8234E" w:rsidRPr="002D079B">
        <w:rPr>
          <w:lang w:val="en-GB"/>
        </w:rPr>
        <w:t>s</w:t>
      </w:r>
      <w:r w:rsidR="000E214B" w:rsidRPr="002D079B">
        <w:rPr>
          <w:lang w:val="en-GB"/>
        </w:rPr>
        <w:t>)</w:t>
      </w:r>
      <w:r w:rsidRPr="002D079B">
        <w:rPr>
          <w:lang w:val="en-GB"/>
        </w:rPr>
        <w:t>, improvement ac</w:t>
      </w:r>
      <w:r w:rsidR="00106613" w:rsidRPr="002D079B">
        <w:rPr>
          <w:lang w:val="en-GB"/>
        </w:rPr>
        <w:t>tions wer</w:t>
      </w:r>
      <w:r w:rsidRPr="002D079B">
        <w:rPr>
          <w:lang w:val="en-GB"/>
        </w:rPr>
        <w:t>e defined</w:t>
      </w:r>
      <w:r w:rsidR="00106613" w:rsidRPr="002D079B">
        <w:rPr>
          <w:lang w:val="en-GB"/>
        </w:rPr>
        <w:t xml:space="preserve"> </w:t>
      </w:r>
      <w:r w:rsidR="005148C5" w:rsidRPr="002D079B">
        <w:rPr>
          <w:lang w:val="en-GB"/>
        </w:rPr>
        <w:t>during</w:t>
      </w:r>
      <w:r w:rsidR="00106613" w:rsidRPr="002D079B">
        <w:rPr>
          <w:lang w:val="en-GB"/>
        </w:rPr>
        <w:t xml:space="preserve"> workshops with Site process, maintenance and instrumentation engineers. Actions could</w:t>
      </w:r>
      <w:r w:rsidRPr="002D079B">
        <w:rPr>
          <w:lang w:val="en-GB"/>
        </w:rPr>
        <w:t xml:space="preserve"> focus on:</w:t>
      </w:r>
    </w:p>
    <w:p w14:paraId="12B9EB39" w14:textId="77777777" w:rsidR="00464476" w:rsidRPr="002D079B" w:rsidRDefault="00464476" w:rsidP="00464476">
      <w:pPr>
        <w:pStyle w:val="CETListbullets"/>
        <w:numPr>
          <w:ilvl w:val="0"/>
          <w:numId w:val="13"/>
        </w:numPr>
      </w:pPr>
      <w:r w:rsidRPr="002D079B">
        <w:t>Elimination of the scenario (hazard);</w:t>
      </w:r>
    </w:p>
    <w:p w14:paraId="0181B6AA" w14:textId="77777777" w:rsidR="00464476" w:rsidRPr="002D079B" w:rsidRDefault="00464476" w:rsidP="00464476">
      <w:pPr>
        <w:pStyle w:val="CETListbullets"/>
        <w:numPr>
          <w:ilvl w:val="0"/>
          <w:numId w:val="13"/>
        </w:numPr>
      </w:pPr>
      <w:r w:rsidRPr="002D079B">
        <w:t>Reduction of the estimated frequency associated to one or more causes of the accident scenario;</w:t>
      </w:r>
    </w:p>
    <w:p w14:paraId="684939C6" w14:textId="77777777" w:rsidR="00464476" w:rsidRPr="002D079B" w:rsidRDefault="00464476" w:rsidP="00464476">
      <w:pPr>
        <w:pStyle w:val="CETListbullets"/>
        <w:numPr>
          <w:ilvl w:val="0"/>
          <w:numId w:val="13"/>
        </w:numPr>
      </w:pPr>
      <w:r w:rsidRPr="002D079B">
        <w:t>Reduction of the estimated consequence magnitude, be it related to safety, environment and/or financial;</w:t>
      </w:r>
    </w:p>
    <w:p w14:paraId="5C3A4C9A" w14:textId="27BA6951" w:rsidR="00464476" w:rsidRPr="002D079B" w:rsidRDefault="00C8234E" w:rsidP="00464476">
      <w:pPr>
        <w:pStyle w:val="CETListbullets"/>
        <w:numPr>
          <w:ilvl w:val="0"/>
          <w:numId w:val="13"/>
        </w:numPr>
      </w:pPr>
      <w:r w:rsidRPr="002D079B">
        <w:t>Improvement of the reliability of t</w:t>
      </w:r>
      <w:r w:rsidR="00464476" w:rsidRPr="002D079B">
        <w:t xml:space="preserve">he existing </w:t>
      </w:r>
      <w:r w:rsidRPr="002D079B">
        <w:t>Safety Instrumented Function</w:t>
      </w:r>
      <w:r w:rsidR="009F6C45" w:rsidRPr="002D079B">
        <w:t xml:space="preserve"> (SIF Upgrade)</w:t>
      </w:r>
      <w:r w:rsidR="00464476" w:rsidRPr="002D079B">
        <w:t>;</w:t>
      </w:r>
    </w:p>
    <w:p w14:paraId="439995EC" w14:textId="5148AE8D" w:rsidR="00464476" w:rsidRPr="002D079B" w:rsidRDefault="00464476" w:rsidP="00464476">
      <w:pPr>
        <w:pStyle w:val="CETListbullets"/>
        <w:numPr>
          <w:ilvl w:val="0"/>
          <w:numId w:val="13"/>
        </w:numPr>
      </w:pPr>
      <w:r w:rsidRPr="002D079B">
        <w:t>Introduction of new IPLs</w:t>
      </w:r>
      <w:r w:rsidR="00FD7D80" w:rsidRPr="002D079B">
        <w:t xml:space="preserve"> (Independent Protection Layers)</w:t>
      </w:r>
      <w:r w:rsidRPr="002D079B">
        <w:t>.</w:t>
      </w:r>
    </w:p>
    <w:p w14:paraId="46A122FA" w14:textId="77777777" w:rsidR="00464476" w:rsidRPr="002D079B" w:rsidRDefault="00464476" w:rsidP="00464476">
      <w:pPr>
        <w:pStyle w:val="CETBodytext"/>
        <w:rPr>
          <w:lang w:val="en-GB"/>
        </w:rPr>
      </w:pPr>
      <w:r w:rsidRPr="002D079B">
        <w:rPr>
          <w:lang w:val="en-GB"/>
        </w:rPr>
        <w:t xml:space="preserve">Among these, the SIF Upgrade assumed particular importance: i.e. the substitution of the </w:t>
      </w:r>
      <w:r w:rsidR="009F6C45" w:rsidRPr="002D079B">
        <w:rPr>
          <w:lang w:val="en-GB"/>
        </w:rPr>
        <w:t>least reliable</w:t>
      </w:r>
      <w:r w:rsidRPr="002D079B">
        <w:rPr>
          <w:lang w:val="en-GB"/>
        </w:rPr>
        <w:t xml:space="preserve"> links of the Initial Element – Logic Solver – Final Element</w:t>
      </w:r>
      <w:r w:rsidR="009F6C45" w:rsidRPr="002D079B">
        <w:rPr>
          <w:lang w:val="en-GB"/>
        </w:rPr>
        <w:t xml:space="preserve"> chain to improve its overall reliability. </w:t>
      </w:r>
    </w:p>
    <w:p w14:paraId="2EC7B573" w14:textId="08BE7ADD" w:rsidR="005D2589" w:rsidRPr="002D079B" w:rsidRDefault="009F6C45" w:rsidP="009F6C45">
      <w:pPr>
        <w:pStyle w:val="CETBodytext"/>
        <w:rPr>
          <w:lang w:val="en-GB"/>
        </w:rPr>
      </w:pPr>
      <w:r w:rsidRPr="002D079B">
        <w:rPr>
          <w:lang w:val="en-GB"/>
        </w:rPr>
        <w:t>Whenever possible, multiple actions for each SIF were</w:t>
      </w:r>
      <w:r w:rsidR="005D2589" w:rsidRPr="002D079B">
        <w:rPr>
          <w:lang w:val="en-GB"/>
        </w:rPr>
        <w:t xml:space="preserve"> proposed. Each was assigned an overall yearly cost based on a CAPEX (Capital Expenditure) and an OPEX (Operational Expenditure)</w:t>
      </w:r>
      <w:r w:rsidR="00CE0780" w:rsidRPr="002D079B">
        <w:rPr>
          <w:lang w:val="en-GB"/>
        </w:rPr>
        <w:t xml:space="preserve"> as shown in </w:t>
      </w:r>
      <w:r w:rsidR="00F41EB0" w:rsidRPr="002D079B">
        <w:rPr>
          <w:lang w:val="en-GB"/>
        </w:rPr>
        <w:t>Eq (</w:t>
      </w:r>
      <w:r w:rsidR="00CE0780" w:rsidRPr="002D079B">
        <w:rPr>
          <w:lang w:val="en-GB"/>
        </w:rPr>
        <w:t>1)</w:t>
      </w:r>
      <w:r w:rsidR="005D2589" w:rsidRPr="002D079B">
        <w:rPr>
          <w:lang w:val="en-GB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7"/>
        <w:gridCol w:w="800"/>
      </w:tblGrid>
      <w:tr w:rsidR="005D2589" w:rsidRPr="002D079B" w14:paraId="2D9FB61A" w14:textId="77777777" w:rsidTr="00063D4A">
        <w:tc>
          <w:tcPr>
            <w:tcW w:w="7987" w:type="dxa"/>
            <w:shd w:val="clear" w:color="auto" w:fill="auto"/>
            <w:vAlign w:val="center"/>
          </w:tcPr>
          <w:p w14:paraId="3E88D472" w14:textId="409DD946" w:rsidR="005D2589" w:rsidRPr="002D079B" w:rsidRDefault="00CE0780" w:rsidP="00D47756">
            <w:pPr>
              <w:pStyle w:val="CETEquation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 xml:space="preserve">Annual cost of the improvement action=OPEX+ 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CAPEX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Depreciation period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€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y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800" w:type="dxa"/>
            <w:shd w:val="clear" w:color="auto" w:fill="auto"/>
            <w:vAlign w:val="center"/>
          </w:tcPr>
          <w:p w14:paraId="224AE0D3" w14:textId="77777777" w:rsidR="005D2589" w:rsidRPr="002D079B" w:rsidRDefault="005D2589" w:rsidP="00C5242B">
            <w:pPr>
              <w:pStyle w:val="CETEquation"/>
              <w:jc w:val="right"/>
            </w:pPr>
            <w:r w:rsidRPr="002D079B">
              <w:t>(1)</w:t>
            </w:r>
          </w:p>
        </w:tc>
      </w:tr>
    </w:tbl>
    <w:p w14:paraId="6319C6CE" w14:textId="288C8FFA" w:rsidR="009F6C45" w:rsidRPr="002D079B" w:rsidRDefault="00CE0780" w:rsidP="009F6C45">
      <w:pPr>
        <w:pStyle w:val="CETBodytext"/>
        <w:rPr>
          <w:lang w:val="en-GB"/>
        </w:rPr>
      </w:pPr>
      <w:r w:rsidRPr="002D079B">
        <w:rPr>
          <w:lang w:val="en-GB"/>
        </w:rPr>
        <w:t>Improvement actions were then r</w:t>
      </w:r>
      <w:r w:rsidR="009F6C45" w:rsidRPr="002D079B">
        <w:rPr>
          <w:lang w:val="en-GB"/>
        </w:rPr>
        <w:t xml:space="preserve">anked </w:t>
      </w:r>
      <w:r w:rsidR="008C4397" w:rsidRPr="002D079B">
        <w:rPr>
          <w:lang w:val="en-GB"/>
        </w:rPr>
        <w:t>considering</w:t>
      </w:r>
      <w:r w:rsidR="009F6C45" w:rsidRPr="002D079B">
        <w:rPr>
          <w:lang w:val="en-GB"/>
        </w:rPr>
        <w:t xml:space="preserve">: </w:t>
      </w:r>
    </w:p>
    <w:p w14:paraId="6EECB1FD" w14:textId="5CB5F08E" w:rsidR="009F6C45" w:rsidRPr="002D079B" w:rsidRDefault="008C4397" w:rsidP="009F6C45">
      <w:pPr>
        <w:pStyle w:val="CETListbullets"/>
        <w:numPr>
          <w:ilvl w:val="0"/>
          <w:numId w:val="13"/>
        </w:numPr>
      </w:pPr>
      <w:r w:rsidRPr="002D079B">
        <w:t xml:space="preserve">Scenario elimination probability </w:t>
      </w:r>
    </w:p>
    <w:p w14:paraId="097518FF" w14:textId="4EB1B25C" w:rsidR="009F6C45" w:rsidRPr="002D079B" w:rsidRDefault="009F6C45" w:rsidP="009F6C45">
      <w:pPr>
        <w:pStyle w:val="CETListbullets"/>
        <w:numPr>
          <w:ilvl w:val="0"/>
          <w:numId w:val="13"/>
        </w:numPr>
      </w:pPr>
      <w:r w:rsidRPr="002D079B">
        <w:t>Risk reduction magnitude</w:t>
      </w:r>
    </w:p>
    <w:p w14:paraId="6C4C9945" w14:textId="121456DB" w:rsidR="009F6C45" w:rsidRPr="002D079B" w:rsidRDefault="009F6C45" w:rsidP="009F6C45">
      <w:pPr>
        <w:pStyle w:val="CETListbullets"/>
        <w:numPr>
          <w:ilvl w:val="0"/>
          <w:numId w:val="13"/>
        </w:numPr>
      </w:pPr>
      <w:r w:rsidRPr="002D079B">
        <w:t>Minor impact on the costs / organization (at the same conditions)</w:t>
      </w:r>
    </w:p>
    <w:p w14:paraId="51A0D377" w14:textId="4F53D297" w:rsidR="009F6C45" w:rsidRPr="002D079B" w:rsidRDefault="009F6C45" w:rsidP="009F6C45">
      <w:pPr>
        <w:pStyle w:val="CETListbullets"/>
        <w:numPr>
          <w:ilvl w:val="0"/>
          <w:numId w:val="13"/>
        </w:numPr>
      </w:pPr>
      <w:r w:rsidRPr="002D079B">
        <w:t xml:space="preserve">Quick wins (e.g. improvement </w:t>
      </w:r>
      <w:r w:rsidR="00CE0780" w:rsidRPr="002D079B">
        <w:t xml:space="preserve">actions </w:t>
      </w:r>
      <w:r w:rsidR="003160F6" w:rsidRPr="002D079B">
        <w:t>that require limited investments, while having</w:t>
      </w:r>
      <w:r w:rsidRPr="002D079B">
        <w:t xml:space="preserve"> an immediate effect).</w:t>
      </w:r>
    </w:p>
    <w:p w14:paraId="21DD6F8C" w14:textId="77777777" w:rsidR="00360468" w:rsidRPr="002D079B" w:rsidRDefault="00360468" w:rsidP="000A392E">
      <w:pPr>
        <w:pStyle w:val="CETHeading1"/>
        <w:rPr>
          <w:lang w:val="en-GB"/>
        </w:rPr>
      </w:pPr>
      <w:r w:rsidRPr="002D079B">
        <w:rPr>
          <w:lang w:val="en-GB"/>
        </w:rPr>
        <w:t>Cost-Benefit methodology</w:t>
      </w:r>
    </w:p>
    <w:p w14:paraId="470D163D" w14:textId="73EC70C6" w:rsidR="00341405" w:rsidRPr="002D079B" w:rsidRDefault="00341405" w:rsidP="00341405">
      <w:pPr>
        <w:pStyle w:val="CETBodytext"/>
        <w:rPr>
          <w:lang w:val="en-GB"/>
        </w:rPr>
      </w:pPr>
      <w:r w:rsidRPr="002D079B">
        <w:rPr>
          <w:lang w:val="en-GB"/>
        </w:rPr>
        <w:t xml:space="preserve">At the end of the SIL Optimisation phase, for each SIF with a </w:t>
      </w:r>
      <w:r w:rsidR="00FD7D80" w:rsidRPr="002D079B">
        <w:rPr>
          <w:lang w:val="en-GB"/>
        </w:rPr>
        <w:t xml:space="preserve">gap </w:t>
      </w:r>
      <w:r w:rsidRPr="002D079B">
        <w:rPr>
          <w:lang w:val="en-GB"/>
        </w:rPr>
        <w:t>between allocated SIL and verified SIL an improvement action was chosen</w:t>
      </w:r>
      <w:r w:rsidR="004E15D5" w:rsidRPr="002D079B">
        <w:rPr>
          <w:lang w:val="en-GB"/>
        </w:rPr>
        <w:t xml:space="preserve">, </w:t>
      </w:r>
      <w:r w:rsidR="008C4397" w:rsidRPr="002D079B">
        <w:rPr>
          <w:lang w:val="en-GB"/>
        </w:rPr>
        <w:t>its cost was estimated</w:t>
      </w:r>
      <w:r w:rsidR="004E15D5" w:rsidRPr="002D079B">
        <w:rPr>
          <w:lang w:val="en-GB"/>
        </w:rPr>
        <w:t xml:space="preserve"> and </w:t>
      </w:r>
      <w:r w:rsidR="008C4397" w:rsidRPr="002D079B">
        <w:rPr>
          <w:lang w:val="en-GB"/>
        </w:rPr>
        <w:t xml:space="preserve">its priority was </w:t>
      </w:r>
      <w:r w:rsidR="004E15D5" w:rsidRPr="002D079B">
        <w:rPr>
          <w:lang w:val="en-GB"/>
        </w:rPr>
        <w:t>ranked</w:t>
      </w:r>
      <w:r w:rsidR="003160F6" w:rsidRPr="002D079B">
        <w:rPr>
          <w:lang w:val="en-GB"/>
        </w:rPr>
        <w:t>.</w:t>
      </w:r>
      <w:r w:rsidRPr="002D079B">
        <w:rPr>
          <w:lang w:val="en-GB"/>
        </w:rPr>
        <w:t xml:space="preserve"> </w:t>
      </w:r>
      <w:r w:rsidR="003160F6" w:rsidRPr="002D079B">
        <w:rPr>
          <w:lang w:val="en-GB"/>
        </w:rPr>
        <w:t>T</w:t>
      </w:r>
      <w:r w:rsidRPr="002D079B">
        <w:rPr>
          <w:lang w:val="en-GB"/>
        </w:rPr>
        <w:t>he ranking was proven useful to prioritize improvement actions for the same SIF or for SIF</w:t>
      </w:r>
      <w:r w:rsidR="00582CA5" w:rsidRPr="002D079B">
        <w:rPr>
          <w:lang w:val="en-GB"/>
        </w:rPr>
        <w:t>s</w:t>
      </w:r>
      <w:r w:rsidRPr="002D079B">
        <w:rPr>
          <w:lang w:val="en-GB"/>
        </w:rPr>
        <w:t xml:space="preserve"> within the same </w:t>
      </w:r>
      <w:r w:rsidR="00BB6154" w:rsidRPr="002D079B">
        <w:rPr>
          <w:lang w:val="en-GB"/>
        </w:rPr>
        <w:t>P</w:t>
      </w:r>
      <w:r w:rsidR="00BB7903" w:rsidRPr="002D079B">
        <w:rPr>
          <w:lang w:val="en-GB"/>
        </w:rPr>
        <w:t>lant.</w:t>
      </w:r>
    </w:p>
    <w:p w14:paraId="5C1B0DD5" w14:textId="77777777" w:rsidR="00341405" w:rsidRPr="002D079B" w:rsidRDefault="00341405" w:rsidP="00341405">
      <w:pPr>
        <w:pStyle w:val="CETBodytext"/>
        <w:rPr>
          <w:lang w:val="en-GB"/>
        </w:rPr>
      </w:pPr>
    </w:p>
    <w:p w14:paraId="14EE7EE5" w14:textId="7ED8BB1F" w:rsidR="004E15D5" w:rsidRPr="002D079B" w:rsidRDefault="004E15D5" w:rsidP="00341405">
      <w:pPr>
        <w:pStyle w:val="CETBodytext"/>
        <w:rPr>
          <w:lang w:val="en-GB"/>
        </w:rPr>
      </w:pPr>
      <w:r w:rsidRPr="002D079B">
        <w:rPr>
          <w:lang w:val="en-GB"/>
        </w:rPr>
        <w:t>The application of the improvement actions would carry benefits, that could be estimated as the difference between the “as-is” scenario (Current Risk</w:t>
      </w:r>
      <w:r w:rsidR="00FD7D80" w:rsidRPr="002D079B">
        <w:rPr>
          <w:lang w:val="en-GB"/>
        </w:rPr>
        <w:t>,</w:t>
      </w:r>
      <w:r w:rsidR="0073165C" w:rsidRPr="002D079B">
        <w:rPr>
          <w:lang w:val="en-GB"/>
        </w:rPr>
        <w:t xml:space="preserve"> R</w:t>
      </w:r>
      <w:r w:rsidR="0073165C" w:rsidRPr="002D079B">
        <w:rPr>
          <w:vertAlign w:val="subscript"/>
          <w:lang w:val="en-GB"/>
        </w:rPr>
        <w:t>C</w:t>
      </w:r>
      <w:r w:rsidRPr="002D079B">
        <w:rPr>
          <w:lang w:val="en-GB"/>
        </w:rPr>
        <w:t xml:space="preserve">), </w:t>
      </w:r>
      <w:r w:rsidR="00F41EB0" w:rsidRPr="002D079B">
        <w:rPr>
          <w:lang w:val="en-GB"/>
        </w:rPr>
        <w:t>Eq (</w:t>
      </w:r>
      <w:r w:rsidRPr="002D079B">
        <w:rPr>
          <w:lang w:val="en-GB"/>
        </w:rPr>
        <w:t>2) and the “to-be” scenario (Mitigated Risk</w:t>
      </w:r>
      <w:r w:rsidR="00FD7D80" w:rsidRPr="002D079B">
        <w:rPr>
          <w:lang w:val="en-GB"/>
        </w:rPr>
        <w:t>,</w:t>
      </w:r>
      <w:r w:rsidR="0073165C" w:rsidRPr="002D079B">
        <w:rPr>
          <w:lang w:val="en-GB"/>
        </w:rPr>
        <w:t xml:space="preserve"> R</w:t>
      </w:r>
      <w:r w:rsidR="0073165C" w:rsidRPr="002D079B">
        <w:rPr>
          <w:vertAlign w:val="subscript"/>
          <w:lang w:val="en-GB"/>
        </w:rPr>
        <w:t>M</w:t>
      </w:r>
      <w:r w:rsidRPr="002D079B">
        <w:rPr>
          <w:lang w:val="en-GB"/>
        </w:rPr>
        <w:t>), Eq(3).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4"/>
        <w:gridCol w:w="803"/>
      </w:tblGrid>
      <w:tr w:rsidR="004E15D5" w:rsidRPr="002D079B" w14:paraId="57484485" w14:textId="77777777" w:rsidTr="004210AB">
        <w:tc>
          <w:tcPr>
            <w:tcW w:w="7984" w:type="dxa"/>
            <w:shd w:val="clear" w:color="auto" w:fill="auto"/>
            <w:vAlign w:val="center"/>
          </w:tcPr>
          <w:p w14:paraId="1C86DADB" w14:textId="02A52947" w:rsidR="004E15D5" w:rsidRPr="002D079B" w:rsidRDefault="00746AD4" w:rsidP="005D34AA">
            <w:pPr>
              <w:pStyle w:val="CETEquation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W*M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V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nary>
                          <m:naryPr>
                            <m:chr m:val="∑"/>
                            <m:limLoc m:val="undOvr"/>
                            <m:sup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nary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IPL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*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€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803" w:type="dxa"/>
            <w:shd w:val="clear" w:color="auto" w:fill="auto"/>
            <w:vAlign w:val="center"/>
          </w:tcPr>
          <w:p w14:paraId="7C86B7DB" w14:textId="77777777" w:rsidR="004E15D5" w:rsidRPr="002D079B" w:rsidRDefault="004E15D5" w:rsidP="004E15D5">
            <w:pPr>
              <w:pStyle w:val="CETEquation"/>
              <w:jc w:val="right"/>
            </w:pPr>
            <w:r w:rsidRPr="002D079B">
              <w:t>(2)</w:t>
            </w:r>
          </w:p>
        </w:tc>
      </w:tr>
      <w:tr w:rsidR="004E15D5" w:rsidRPr="002D079B" w14:paraId="72C406FE" w14:textId="77777777" w:rsidTr="004E15D5">
        <w:tc>
          <w:tcPr>
            <w:tcW w:w="7984" w:type="dxa"/>
            <w:shd w:val="clear" w:color="auto" w:fill="auto"/>
            <w:vAlign w:val="center"/>
          </w:tcPr>
          <w:p w14:paraId="0A7974D1" w14:textId="152D29EA" w:rsidR="004E15D5" w:rsidRPr="002D079B" w:rsidRDefault="00746AD4" w:rsidP="005D34AA">
            <w:pPr>
              <w:pStyle w:val="CETEquation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W*M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V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nary>
                          <m:naryPr>
                            <m:chr m:val="∑"/>
                            <m:limLoc m:val="undOvr"/>
                            <m:sup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nary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IPL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*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*α  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€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803" w:type="dxa"/>
            <w:shd w:val="clear" w:color="auto" w:fill="auto"/>
            <w:vAlign w:val="center"/>
          </w:tcPr>
          <w:p w14:paraId="708328E0" w14:textId="77777777" w:rsidR="004E15D5" w:rsidRPr="002D079B" w:rsidRDefault="004E15D5" w:rsidP="00C5242B">
            <w:pPr>
              <w:pStyle w:val="CETEquation"/>
              <w:jc w:val="right"/>
            </w:pPr>
            <w:r w:rsidRPr="002D079B">
              <w:t>(3)</w:t>
            </w:r>
          </w:p>
        </w:tc>
      </w:tr>
      <w:tr w:rsidR="00D47756" w:rsidRPr="002D079B" w14:paraId="0954F2F8" w14:textId="77777777" w:rsidTr="009476C9">
        <w:tc>
          <w:tcPr>
            <w:tcW w:w="7984" w:type="dxa"/>
            <w:shd w:val="clear" w:color="auto" w:fill="auto"/>
            <w:vAlign w:val="center"/>
          </w:tcPr>
          <w:p w14:paraId="654D3495" w14:textId="00ADB46E" w:rsidR="00D47756" w:rsidRPr="002D079B" w:rsidRDefault="00D47756" w:rsidP="005D34AA">
            <w:pPr>
              <w:pStyle w:val="CETEquation"/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Benefit=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 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W*M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nary>
                              <m:naryPr>
                                <m:chr m:val="∑"/>
                                <m:limLoc m:val="undOvr"/>
                                <m:supHide m:val="1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naryPr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  <m:sup/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IPL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*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1- α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€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803" w:type="dxa"/>
            <w:shd w:val="clear" w:color="auto" w:fill="auto"/>
            <w:vAlign w:val="center"/>
          </w:tcPr>
          <w:p w14:paraId="5DE73123" w14:textId="77777777" w:rsidR="00D47756" w:rsidRPr="002D079B" w:rsidRDefault="00D47756" w:rsidP="009476C9">
            <w:pPr>
              <w:pStyle w:val="CETEquation"/>
              <w:jc w:val="right"/>
            </w:pPr>
            <w:r w:rsidRPr="002D079B">
              <w:t>(4)</w:t>
            </w:r>
          </w:p>
        </w:tc>
      </w:tr>
    </w:tbl>
    <w:p w14:paraId="1AF9D31C" w14:textId="77777777" w:rsidR="004E15D5" w:rsidRPr="002D079B" w:rsidRDefault="004E15D5" w:rsidP="004E15D5">
      <w:pPr>
        <w:pStyle w:val="CETBodytext"/>
        <w:rPr>
          <w:lang w:val="en-GB"/>
        </w:rPr>
      </w:pPr>
      <w:r w:rsidRPr="002D079B">
        <w:rPr>
          <w:lang w:val="en-GB"/>
        </w:rPr>
        <w:t>Where:</w:t>
      </w:r>
    </w:p>
    <w:p w14:paraId="7D24A9CB" w14:textId="1CAE0B52" w:rsidR="004E15D5" w:rsidRPr="002D079B" w:rsidRDefault="00C5242B" w:rsidP="00C5242B">
      <w:pPr>
        <w:pStyle w:val="CETListbullets"/>
        <w:numPr>
          <w:ilvl w:val="0"/>
          <w:numId w:val="13"/>
        </w:numPr>
      </w:pPr>
      <w:r w:rsidRPr="002D079B">
        <w:t>W is the F</w:t>
      </w:r>
      <w:r w:rsidR="004E15D5" w:rsidRPr="002D079B">
        <w:t>requency of the accident</w:t>
      </w:r>
      <w:r w:rsidR="005D34AA" w:rsidRPr="002D079B">
        <w:t xml:space="preserve"> (1/y</w:t>
      </w:r>
      <w:r w:rsidRPr="002D079B">
        <w:t>)</w:t>
      </w:r>
    </w:p>
    <w:p w14:paraId="0292BBAC" w14:textId="77777777" w:rsidR="004E15D5" w:rsidRPr="002D079B" w:rsidRDefault="00C5242B" w:rsidP="00C5242B">
      <w:pPr>
        <w:pStyle w:val="CETListbullets"/>
        <w:numPr>
          <w:ilvl w:val="0"/>
          <w:numId w:val="13"/>
        </w:numPr>
      </w:pPr>
      <w:r w:rsidRPr="002D079B">
        <w:t xml:space="preserve">M is the </w:t>
      </w:r>
      <w:r w:rsidR="004E15D5" w:rsidRPr="002D079B">
        <w:t>Magnitude</w:t>
      </w:r>
      <w:r w:rsidRPr="002D079B">
        <w:t xml:space="preserve"> (€)</w:t>
      </w:r>
    </w:p>
    <w:p w14:paraId="523670C0" w14:textId="77777777" w:rsidR="004E15D5" w:rsidRPr="002D079B" w:rsidRDefault="004E15D5" w:rsidP="00C5242B">
      <w:pPr>
        <w:pStyle w:val="CETListbullets"/>
        <w:numPr>
          <w:ilvl w:val="0"/>
          <w:numId w:val="13"/>
        </w:numPr>
      </w:pPr>
      <w:r w:rsidRPr="002D079B">
        <w:t>SIL</w:t>
      </w:r>
      <w:r w:rsidRPr="002D079B">
        <w:rPr>
          <w:vertAlign w:val="subscript"/>
        </w:rPr>
        <w:t>V</w:t>
      </w:r>
      <w:r w:rsidRPr="002D079B">
        <w:t xml:space="preserve"> is the verified SIL</w:t>
      </w:r>
      <w:r w:rsidR="00C5242B" w:rsidRPr="002D079B">
        <w:t xml:space="preserve"> (0 through 4)</w:t>
      </w:r>
    </w:p>
    <w:p w14:paraId="0D906998" w14:textId="32DBCFB4" w:rsidR="004E15D5" w:rsidRPr="002D079B" w:rsidRDefault="004E15D5" w:rsidP="00C5242B">
      <w:pPr>
        <w:pStyle w:val="CETListbullets"/>
        <w:numPr>
          <w:ilvl w:val="0"/>
          <w:numId w:val="13"/>
        </w:numPr>
      </w:pPr>
      <w:r w:rsidRPr="002D079B">
        <w:t>IPL</w:t>
      </w:r>
      <w:r w:rsidRPr="002D079B">
        <w:rPr>
          <w:vertAlign w:val="subscript"/>
        </w:rPr>
        <w:t>i</w:t>
      </w:r>
      <w:r w:rsidRPr="002D079B">
        <w:t xml:space="preserve"> is the reduction factor </w:t>
      </w:r>
      <w:r w:rsidR="003160F6" w:rsidRPr="002D079B">
        <w:t>due to an</w:t>
      </w:r>
      <w:r w:rsidRPr="002D079B">
        <w:t xml:space="preserve"> independent protection layer i (e.g. an independent alarm)</w:t>
      </w:r>
      <w:r w:rsidR="00C5242B" w:rsidRPr="002D079B">
        <w:t xml:space="preserve"> (as a log</w:t>
      </w:r>
      <w:r w:rsidR="00C5242B" w:rsidRPr="002D079B">
        <w:rPr>
          <w:vertAlign w:val="subscript"/>
        </w:rPr>
        <w:t>10</w:t>
      </w:r>
      <w:r w:rsidR="00C5242B" w:rsidRPr="002D079B">
        <w:t>)</w:t>
      </w:r>
    </w:p>
    <w:p w14:paraId="782FAFA7" w14:textId="77777777" w:rsidR="004E15D5" w:rsidRPr="002D079B" w:rsidRDefault="00C5242B" w:rsidP="00C5242B">
      <w:pPr>
        <w:pStyle w:val="CETListbullets"/>
        <w:numPr>
          <w:ilvl w:val="0"/>
          <w:numId w:val="13"/>
        </w:numPr>
      </w:pPr>
      <w:r w:rsidRPr="002D079B">
        <w:rPr>
          <w:rFonts w:cs="Arial"/>
        </w:rPr>
        <w:t>φ</w:t>
      </w:r>
      <w:r w:rsidR="004E15D5" w:rsidRPr="002D079B">
        <w:rPr>
          <w:rFonts w:cs="Arial"/>
          <w:vertAlign w:val="subscript"/>
        </w:rPr>
        <w:t>EF</w:t>
      </w:r>
      <w:r w:rsidR="004E15D5" w:rsidRPr="002D079B">
        <w:t xml:space="preserve"> is a coefficient of the reduction generated by </w:t>
      </w:r>
      <w:r w:rsidRPr="002D079B">
        <w:t xml:space="preserve">the Enabling Factors </w:t>
      </w:r>
      <w:r w:rsidRPr="002D079B">
        <w:rPr>
          <w:rFonts w:cs="Arial"/>
        </w:rPr>
        <w:t>(0 &lt; φ &lt; 1)</w:t>
      </w:r>
    </w:p>
    <w:p w14:paraId="587285CA" w14:textId="77777777" w:rsidR="00C5242B" w:rsidRPr="002D079B" w:rsidRDefault="004E15D5" w:rsidP="00C5242B">
      <w:pPr>
        <w:pStyle w:val="CETListbullets"/>
        <w:numPr>
          <w:ilvl w:val="0"/>
          <w:numId w:val="13"/>
        </w:numPr>
      </w:pPr>
      <w:r w:rsidRPr="002D079B">
        <w:rPr>
          <w:rFonts w:cs="Arial"/>
        </w:rPr>
        <w:t xml:space="preserve">α is a </w:t>
      </w:r>
      <w:r w:rsidR="00C5242B" w:rsidRPr="002D079B">
        <w:rPr>
          <w:rFonts w:cs="Arial"/>
        </w:rPr>
        <w:t>coefficient of the reduction generated by the improvement action (0 &lt; α &lt; 1)</w:t>
      </w:r>
    </w:p>
    <w:p w14:paraId="1A160524" w14:textId="440229F7" w:rsidR="00C5242B" w:rsidRPr="002D079B" w:rsidRDefault="00D47756" w:rsidP="00C5242B">
      <w:pPr>
        <w:pStyle w:val="CETBodytext"/>
        <w:rPr>
          <w:lang w:val="en-GB"/>
        </w:rPr>
      </w:pPr>
      <w:r w:rsidRPr="002D079B">
        <w:rPr>
          <w:lang w:val="en-GB"/>
        </w:rPr>
        <w:t xml:space="preserve">Two values were therefore calculated: one is the Cost – Benefit Ratio CBR, </w:t>
      </w:r>
      <w:r w:rsidR="00F41EB0" w:rsidRPr="002D079B">
        <w:rPr>
          <w:lang w:val="en-GB"/>
        </w:rPr>
        <w:t>Eq (</w:t>
      </w:r>
      <w:r w:rsidRPr="002D079B">
        <w:rPr>
          <w:lang w:val="en-GB"/>
        </w:rPr>
        <w:t>5):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4"/>
        <w:gridCol w:w="803"/>
      </w:tblGrid>
      <w:tr w:rsidR="00D47756" w:rsidRPr="002D079B" w14:paraId="5898F8E5" w14:textId="77777777" w:rsidTr="009476C9">
        <w:tc>
          <w:tcPr>
            <w:tcW w:w="7984" w:type="dxa"/>
            <w:shd w:val="clear" w:color="auto" w:fill="auto"/>
            <w:vAlign w:val="center"/>
          </w:tcPr>
          <w:p w14:paraId="59CFE881" w14:textId="77777777" w:rsidR="00D47756" w:rsidRPr="002D079B" w:rsidRDefault="00D47756" w:rsidP="00D47756">
            <w:pPr>
              <w:pStyle w:val="CETEquation"/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CBR=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Benefit</m:t>
                    </m:r>
                  </m:den>
                </m:f>
              </m:oMath>
            </m:oMathPara>
          </w:p>
        </w:tc>
        <w:tc>
          <w:tcPr>
            <w:tcW w:w="803" w:type="dxa"/>
            <w:shd w:val="clear" w:color="auto" w:fill="auto"/>
            <w:vAlign w:val="center"/>
          </w:tcPr>
          <w:p w14:paraId="18178012" w14:textId="77777777" w:rsidR="00D47756" w:rsidRPr="002D079B" w:rsidRDefault="00D47756" w:rsidP="009476C9">
            <w:pPr>
              <w:pStyle w:val="CETEquation"/>
              <w:jc w:val="right"/>
            </w:pPr>
            <w:r w:rsidRPr="002D079B">
              <w:t>(5)</w:t>
            </w:r>
          </w:p>
        </w:tc>
      </w:tr>
    </w:tbl>
    <w:p w14:paraId="0947CCDB" w14:textId="20B2F2C0" w:rsidR="00D47756" w:rsidRPr="002D079B" w:rsidRDefault="00D47756" w:rsidP="00C5242B">
      <w:pPr>
        <w:pStyle w:val="CETBodytext"/>
        <w:rPr>
          <w:lang w:val="en-GB"/>
        </w:rPr>
      </w:pPr>
      <w:r w:rsidRPr="002D079B">
        <w:rPr>
          <w:lang w:val="en-GB"/>
        </w:rPr>
        <w:t>The CBR represents a dimensionless indication of the investment convenience</w:t>
      </w:r>
      <w:r w:rsidR="003160F6" w:rsidRPr="002D079B">
        <w:rPr>
          <w:lang w:val="en-GB"/>
        </w:rPr>
        <w:t>, which</w:t>
      </w:r>
      <w:r w:rsidRPr="002D079B">
        <w:rPr>
          <w:lang w:val="en-GB"/>
        </w:rPr>
        <w:t xml:space="preserve"> can be </w:t>
      </w:r>
      <w:r w:rsidR="003160F6" w:rsidRPr="002D079B">
        <w:rPr>
          <w:lang w:val="en-GB"/>
        </w:rPr>
        <w:t>estimated</w:t>
      </w:r>
      <w:r w:rsidRPr="002D079B">
        <w:rPr>
          <w:lang w:val="en-GB"/>
        </w:rPr>
        <w:t xml:space="preserve"> for every SIF, Plant and Site. A lower CBR means the investment is more easily justified (higher benefits and smaller costs).</w:t>
      </w:r>
      <w:r w:rsidR="002615F6" w:rsidRPr="002D079B">
        <w:rPr>
          <w:lang w:val="en-GB"/>
        </w:rPr>
        <w:t xml:space="preserve"> </w:t>
      </w:r>
      <w:r w:rsidRPr="002D079B">
        <w:rPr>
          <w:lang w:val="en-GB"/>
        </w:rPr>
        <w:t xml:space="preserve">The second parameter is the Weighted Cost Benefit Ratio WCBR, </w:t>
      </w:r>
      <w:r w:rsidR="00F41EB0" w:rsidRPr="002D079B">
        <w:rPr>
          <w:lang w:val="en-GB"/>
        </w:rPr>
        <w:t>Eq (</w:t>
      </w:r>
      <w:r w:rsidRPr="002D079B">
        <w:rPr>
          <w:lang w:val="en-GB"/>
        </w:rPr>
        <w:t>6):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4"/>
        <w:gridCol w:w="803"/>
      </w:tblGrid>
      <w:tr w:rsidR="00D47756" w:rsidRPr="002D079B" w14:paraId="697235C3" w14:textId="77777777" w:rsidTr="009476C9">
        <w:tc>
          <w:tcPr>
            <w:tcW w:w="7984" w:type="dxa"/>
            <w:shd w:val="clear" w:color="auto" w:fill="auto"/>
            <w:vAlign w:val="center"/>
          </w:tcPr>
          <w:p w14:paraId="228A94D3" w14:textId="7A966CB8" w:rsidR="00D47756" w:rsidRPr="002D079B" w:rsidRDefault="00D47756" w:rsidP="00D47756">
            <w:pPr>
              <w:pStyle w:val="CETEquation"/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WCBR=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CBR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Plant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Investment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Plant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Investment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Site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03" w:type="dxa"/>
            <w:shd w:val="clear" w:color="auto" w:fill="auto"/>
            <w:vAlign w:val="center"/>
          </w:tcPr>
          <w:p w14:paraId="397C1D06" w14:textId="77777777" w:rsidR="00D47756" w:rsidRPr="002D079B" w:rsidRDefault="00D47756" w:rsidP="00D47756">
            <w:pPr>
              <w:pStyle w:val="CETEquation"/>
              <w:jc w:val="right"/>
            </w:pPr>
            <w:r w:rsidRPr="002D079B">
              <w:t>(6)</w:t>
            </w:r>
          </w:p>
        </w:tc>
      </w:tr>
    </w:tbl>
    <w:p w14:paraId="5D8557B9" w14:textId="603D26F1" w:rsidR="00D47756" w:rsidRPr="002D079B" w:rsidRDefault="00D47756" w:rsidP="00D47756">
      <w:pPr>
        <w:pStyle w:val="CETBodytext"/>
        <w:rPr>
          <w:lang w:val="en-GB"/>
        </w:rPr>
      </w:pPr>
      <w:r w:rsidRPr="002D079B">
        <w:rPr>
          <w:lang w:val="en-GB"/>
        </w:rPr>
        <w:t>The WCBR, calculated at Plant level, weighs the Plant CBR considering the fraction of the Site investment required. A low WCBR indicates that a certain Plant requires limited investments compared to the overall investments needed for the entire Site, and can therefore be a “quick win”.</w:t>
      </w:r>
    </w:p>
    <w:p w14:paraId="5F8344E6" w14:textId="77777777" w:rsidR="00360468" w:rsidRPr="002D079B" w:rsidRDefault="00360468" w:rsidP="00360468">
      <w:pPr>
        <w:pStyle w:val="CETHeading1"/>
        <w:rPr>
          <w:lang w:val="en-GB"/>
        </w:rPr>
      </w:pPr>
      <w:r w:rsidRPr="002D079B">
        <w:rPr>
          <w:lang w:val="en-GB"/>
        </w:rPr>
        <w:t>Results</w:t>
      </w:r>
    </w:p>
    <w:p w14:paraId="3697A73B" w14:textId="23766A81" w:rsidR="00E735DF" w:rsidRPr="002D079B" w:rsidRDefault="00B46F2C" w:rsidP="00D47756">
      <w:pPr>
        <w:pStyle w:val="CETBodytext"/>
        <w:rPr>
          <w:lang w:val="en-GB"/>
        </w:rPr>
      </w:pPr>
      <w:r w:rsidRPr="002D079B">
        <w:rPr>
          <w:lang w:val="en-GB"/>
        </w:rPr>
        <w:t xml:space="preserve">The main result of the overall SIL Study was a list of suggested investments with an estimated comprehensive value </w:t>
      </w:r>
      <w:r w:rsidR="000E214B" w:rsidRPr="002D079B">
        <w:rPr>
          <w:lang w:val="en-GB"/>
        </w:rPr>
        <w:t>of 2</w:t>
      </w:r>
      <w:r w:rsidR="00E26D53" w:rsidRPr="002D079B">
        <w:rPr>
          <w:lang w:val="en-GB"/>
        </w:rPr>
        <w:t>.</w:t>
      </w:r>
      <w:r w:rsidR="005D34AA" w:rsidRPr="002D079B">
        <w:rPr>
          <w:lang w:val="en-GB"/>
        </w:rPr>
        <w:t>5</w:t>
      </w:r>
      <w:r w:rsidRPr="002D079B">
        <w:rPr>
          <w:lang w:val="en-GB"/>
        </w:rPr>
        <w:t xml:space="preserve"> </w:t>
      </w:r>
      <w:r w:rsidR="005D34AA" w:rsidRPr="002D079B">
        <w:rPr>
          <w:lang w:val="en-GB"/>
        </w:rPr>
        <w:t>M€/y</w:t>
      </w:r>
      <w:r w:rsidRPr="002D079B">
        <w:rPr>
          <w:lang w:val="en-GB"/>
        </w:rPr>
        <w:t xml:space="preserve">ear, for 10 years. </w:t>
      </w:r>
      <w:r w:rsidR="000E214B" w:rsidRPr="002D079B">
        <w:rPr>
          <w:lang w:val="en-GB"/>
        </w:rPr>
        <w:t xml:space="preserve">Overall safety, environmental </w:t>
      </w:r>
      <w:r w:rsidR="00417C85" w:rsidRPr="002D079B">
        <w:rPr>
          <w:lang w:val="en-GB"/>
        </w:rPr>
        <w:t xml:space="preserve">(including reputation) </w:t>
      </w:r>
      <w:r w:rsidR="000E214B" w:rsidRPr="002D079B">
        <w:rPr>
          <w:lang w:val="en-GB"/>
        </w:rPr>
        <w:t>and production benefits represent</w:t>
      </w:r>
      <w:r w:rsidR="00417C85" w:rsidRPr="002D079B">
        <w:rPr>
          <w:lang w:val="en-GB"/>
        </w:rPr>
        <w:t>ed</w:t>
      </w:r>
      <w:r w:rsidR="000E214B" w:rsidRPr="002D079B">
        <w:rPr>
          <w:lang w:val="en-GB"/>
        </w:rPr>
        <w:t xml:space="preserve"> estimated saving</w:t>
      </w:r>
      <w:r w:rsidR="004210AB" w:rsidRPr="002D079B">
        <w:rPr>
          <w:lang w:val="en-GB"/>
        </w:rPr>
        <w:t>s</w:t>
      </w:r>
      <w:r w:rsidR="005D34AA" w:rsidRPr="002D079B">
        <w:rPr>
          <w:lang w:val="en-GB"/>
        </w:rPr>
        <w:t xml:space="preserve"> of 57</w:t>
      </w:r>
      <w:r w:rsidR="00417C85" w:rsidRPr="002D079B">
        <w:rPr>
          <w:lang w:val="en-GB"/>
        </w:rPr>
        <w:t xml:space="preserve"> </w:t>
      </w:r>
      <w:r w:rsidR="005D34AA" w:rsidRPr="002D079B">
        <w:rPr>
          <w:lang w:val="en-GB"/>
        </w:rPr>
        <w:t>M€/y</w:t>
      </w:r>
      <w:r w:rsidR="000E214B" w:rsidRPr="002D079B">
        <w:rPr>
          <w:lang w:val="en-GB"/>
        </w:rPr>
        <w:t xml:space="preserve">, </w:t>
      </w:r>
      <w:r w:rsidR="00417C85" w:rsidRPr="002D079B">
        <w:rPr>
          <w:lang w:val="en-GB"/>
        </w:rPr>
        <w:t xml:space="preserve">i.e. </w:t>
      </w:r>
      <w:r w:rsidR="000E214B" w:rsidRPr="002D079B">
        <w:rPr>
          <w:lang w:val="en-GB"/>
        </w:rPr>
        <w:t>a CBR of 4</w:t>
      </w:r>
      <w:r w:rsidR="00E26D53" w:rsidRPr="002D079B">
        <w:rPr>
          <w:lang w:val="en-GB"/>
        </w:rPr>
        <w:t>.</w:t>
      </w:r>
      <w:r w:rsidR="000E214B" w:rsidRPr="002D079B">
        <w:rPr>
          <w:lang w:val="en-GB"/>
        </w:rPr>
        <w:t>41</w:t>
      </w:r>
      <w:r w:rsidR="00E735DF" w:rsidRPr="002D079B">
        <w:rPr>
          <w:lang w:val="en-GB"/>
        </w:rPr>
        <w:t xml:space="preserve"> </w:t>
      </w:r>
      <w:r w:rsidR="000E214B" w:rsidRPr="002D079B">
        <w:rPr>
          <w:lang w:val="en-GB"/>
        </w:rPr>
        <w:t>%</w:t>
      </w:r>
      <w:r w:rsidR="004210AB" w:rsidRPr="002D079B">
        <w:rPr>
          <w:lang w:val="en-GB"/>
        </w:rPr>
        <w:t>,</w:t>
      </w:r>
      <w:r w:rsidR="000E214B" w:rsidRPr="002D079B">
        <w:rPr>
          <w:lang w:val="en-GB"/>
        </w:rPr>
        <w:t xml:space="preserve"> for the entire Company.</w:t>
      </w:r>
      <w:r w:rsidR="00111F64" w:rsidRPr="002D079B">
        <w:rPr>
          <w:lang w:val="en-GB"/>
        </w:rPr>
        <w:t xml:space="preserve"> </w:t>
      </w:r>
      <w:r w:rsidR="00417C85" w:rsidRPr="002D079B">
        <w:rPr>
          <w:lang w:val="en-GB"/>
        </w:rPr>
        <w:t>The value estimations were based on specific workshops, which were carried on in all the Company Sites, involving personnel typically belonging to maintenance, production and HSE functions.</w:t>
      </w:r>
    </w:p>
    <w:p w14:paraId="2F14520A" w14:textId="3C26C671" w:rsidR="00D47756" w:rsidRPr="002D079B" w:rsidRDefault="00C8234E" w:rsidP="00D47756">
      <w:pPr>
        <w:pStyle w:val="CETBodytext"/>
        <w:rPr>
          <w:lang w:val="en-GB"/>
        </w:rPr>
      </w:pPr>
      <w:r w:rsidRPr="002D079B">
        <w:rPr>
          <w:lang w:val="en-GB"/>
        </w:rPr>
        <w:t xml:space="preserve">Table 2 and </w:t>
      </w:r>
      <w:r w:rsidR="002C6514" w:rsidRPr="002D079B">
        <w:rPr>
          <w:lang w:val="en-GB"/>
        </w:rPr>
        <w:t>Figure 3 shows the results for one Site.</w:t>
      </w:r>
    </w:p>
    <w:p w14:paraId="2F2D2C08" w14:textId="55796EE5" w:rsidR="00C8234E" w:rsidRPr="002D079B" w:rsidRDefault="00C8234E" w:rsidP="00C8234E">
      <w:pPr>
        <w:pStyle w:val="CETTabletitle"/>
      </w:pPr>
      <w:r w:rsidRPr="002D079B">
        <w:t xml:space="preserve">Table 2: </w:t>
      </w:r>
      <w:r w:rsidR="00BB6154" w:rsidRPr="002D079B">
        <w:t>Key results from one Site</w:t>
      </w:r>
    </w:p>
    <w:tbl>
      <w:tblPr>
        <w:tblW w:w="9072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61"/>
        <w:gridCol w:w="1502"/>
        <w:gridCol w:w="1503"/>
        <w:gridCol w:w="1503"/>
        <w:gridCol w:w="1503"/>
      </w:tblGrid>
      <w:tr w:rsidR="00BB6154" w:rsidRPr="002D079B" w14:paraId="0F56B8B3" w14:textId="212AFF6B" w:rsidTr="002C0A2A">
        <w:tc>
          <w:tcPr>
            <w:tcW w:w="306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2FF006D" w14:textId="6E75DED1" w:rsidR="00BB6154" w:rsidRPr="002D079B" w:rsidRDefault="00BB6154" w:rsidP="009476C9"/>
        </w:tc>
        <w:tc>
          <w:tcPr>
            <w:tcW w:w="150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BC0476A" w14:textId="3D3FAD38" w:rsidR="00BB6154" w:rsidRPr="002D079B" w:rsidRDefault="00BB6154" w:rsidP="006E466A">
            <w:r w:rsidRPr="002D079B">
              <w:t>Plant 1</w:t>
            </w:r>
          </w:p>
        </w:tc>
        <w:tc>
          <w:tcPr>
            <w:tcW w:w="150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A80840C" w14:textId="3501E4A6" w:rsidR="00BB6154" w:rsidRPr="002D079B" w:rsidRDefault="00BB6154" w:rsidP="009476C9">
            <w:r w:rsidRPr="002D079B">
              <w:t>Plant 2</w:t>
            </w:r>
          </w:p>
        </w:tc>
        <w:tc>
          <w:tcPr>
            <w:tcW w:w="150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A3B681C" w14:textId="79B21E7B" w:rsidR="00BB6154" w:rsidRPr="002D079B" w:rsidRDefault="00BB6154" w:rsidP="009476C9">
            <w:r w:rsidRPr="002D079B">
              <w:t>Plant 3</w:t>
            </w:r>
          </w:p>
        </w:tc>
        <w:tc>
          <w:tcPr>
            <w:tcW w:w="150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99579CD" w14:textId="2CAE8F8B" w:rsidR="00BB6154" w:rsidRPr="002D079B" w:rsidRDefault="00BB6154" w:rsidP="009476C9">
            <w:r w:rsidRPr="002D079B">
              <w:t>Plant 4</w:t>
            </w:r>
          </w:p>
        </w:tc>
      </w:tr>
      <w:tr w:rsidR="00BB6154" w:rsidRPr="002D079B" w14:paraId="2FA91E84" w14:textId="466E5D5A" w:rsidTr="002615F6">
        <w:trPr>
          <w:trHeight w:val="283"/>
        </w:trPr>
        <w:tc>
          <w:tcPr>
            <w:tcW w:w="3061" w:type="dxa"/>
            <w:shd w:val="clear" w:color="auto" w:fill="FFFFFF"/>
          </w:tcPr>
          <w:p w14:paraId="0CF85391" w14:textId="6B0982AF" w:rsidR="00BB6154" w:rsidRPr="002D079B" w:rsidRDefault="00BB6154" w:rsidP="009476C9">
            <w:pPr>
              <w:pStyle w:val="CETBodytext"/>
              <w:jc w:val="center"/>
              <w:rPr>
                <w:lang w:val="en-GB"/>
              </w:rPr>
            </w:pPr>
            <w:r w:rsidRPr="002D079B">
              <w:rPr>
                <w:lang w:val="en-GB"/>
              </w:rPr>
              <w:t>No. SIFs requiring investments</w:t>
            </w:r>
          </w:p>
        </w:tc>
        <w:tc>
          <w:tcPr>
            <w:tcW w:w="1502" w:type="dxa"/>
            <w:shd w:val="clear" w:color="auto" w:fill="FFFFFF"/>
          </w:tcPr>
          <w:p w14:paraId="2DAA9F6B" w14:textId="53DA56A4" w:rsidR="00BB6154" w:rsidRPr="002D079B" w:rsidRDefault="00BB6154" w:rsidP="009476C9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39</w:t>
            </w:r>
          </w:p>
        </w:tc>
        <w:tc>
          <w:tcPr>
            <w:tcW w:w="1503" w:type="dxa"/>
            <w:shd w:val="clear" w:color="auto" w:fill="FFFFFF"/>
          </w:tcPr>
          <w:p w14:paraId="05B29920" w14:textId="7A3AB7DA" w:rsidR="00BB6154" w:rsidRPr="002D079B" w:rsidRDefault="00BB6154" w:rsidP="009476C9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2</w:t>
            </w:r>
          </w:p>
        </w:tc>
        <w:tc>
          <w:tcPr>
            <w:tcW w:w="1503" w:type="dxa"/>
            <w:shd w:val="clear" w:color="auto" w:fill="FFFFFF"/>
          </w:tcPr>
          <w:p w14:paraId="676FE66F" w14:textId="1BF0CCBD" w:rsidR="00BB6154" w:rsidRPr="002D079B" w:rsidRDefault="00BB6154" w:rsidP="009476C9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35</w:t>
            </w:r>
          </w:p>
        </w:tc>
        <w:tc>
          <w:tcPr>
            <w:tcW w:w="1503" w:type="dxa"/>
            <w:shd w:val="clear" w:color="auto" w:fill="FFFFFF"/>
          </w:tcPr>
          <w:p w14:paraId="13002229" w14:textId="7FEB2E58" w:rsidR="00BB6154" w:rsidRPr="002D079B" w:rsidRDefault="00BB6154" w:rsidP="009476C9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7</w:t>
            </w:r>
          </w:p>
        </w:tc>
      </w:tr>
      <w:tr w:rsidR="00BB6154" w:rsidRPr="002D079B" w14:paraId="2A091E4B" w14:textId="072B37EB" w:rsidTr="002615F6">
        <w:trPr>
          <w:trHeight w:val="283"/>
        </w:trPr>
        <w:tc>
          <w:tcPr>
            <w:tcW w:w="3061" w:type="dxa"/>
            <w:shd w:val="clear" w:color="auto" w:fill="FFFFFF"/>
          </w:tcPr>
          <w:p w14:paraId="06048925" w14:textId="42EAD492" w:rsidR="00BB6154" w:rsidRPr="002D079B" w:rsidRDefault="00FC7CD9" w:rsidP="009476C9">
            <w:pPr>
              <w:pStyle w:val="CETBodytext"/>
              <w:jc w:val="center"/>
              <w:rPr>
                <w:lang w:val="en-GB"/>
              </w:rPr>
            </w:pPr>
            <w:r w:rsidRPr="002D079B">
              <w:rPr>
                <w:lang w:val="en-GB"/>
              </w:rPr>
              <w:t>Plant investment</w:t>
            </w:r>
          </w:p>
        </w:tc>
        <w:tc>
          <w:tcPr>
            <w:tcW w:w="1502" w:type="dxa"/>
            <w:shd w:val="clear" w:color="auto" w:fill="FFFFFF"/>
          </w:tcPr>
          <w:p w14:paraId="770E0616" w14:textId="7197C528" w:rsidR="00BB6154" w:rsidRPr="002D079B" w:rsidRDefault="00BB6154" w:rsidP="00E26D53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112</w:t>
            </w:r>
            <w:r w:rsidR="00E26D53" w:rsidRPr="002D079B">
              <w:rPr>
                <w:lang w:val="en-GB"/>
              </w:rPr>
              <w:t>.</w:t>
            </w:r>
            <w:r w:rsidRPr="002D079B">
              <w:rPr>
                <w:lang w:val="en-GB"/>
              </w:rPr>
              <w:t>7</w:t>
            </w:r>
            <w:r w:rsidR="00FC7CD9" w:rsidRPr="002D079B">
              <w:rPr>
                <w:lang w:val="en-GB"/>
              </w:rPr>
              <w:t xml:space="preserve"> k€</w:t>
            </w:r>
          </w:p>
        </w:tc>
        <w:tc>
          <w:tcPr>
            <w:tcW w:w="1503" w:type="dxa"/>
            <w:shd w:val="clear" w:color="auto" w:fill="FFFFFF"/>
          </w:tcPr>
          <w:p w14:paraId="700C7C4A" w14:textId="5A30936F" w:rsidR="00BB6154" w:rsidRPr="002D079B" w:rsidRDefault="00BB6154" w:rsidP="009476C9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6</w:t>
            </w:r>
            <w:r w:rsidR="00FC7CD9" w:rsidRPr="002D079B">
              <w:rPr>
                <w:lang w:val="en-GB"/>
              </w:rPr>
              <w:t xml:space="preserve"> k€</w:t>
            </w:r>
          </w:p>
        </w:tc>
        <w:tc>
          <w:tcPr>
            <w:tcW w:w="1503" w:type="dxa"/>
            <w:shd w:val="clear" w:color="auto" w:fill="FFFFFF"/>
          </w:tcPr>
          <w:p w14:paraId="4647777C" w14:textId="347CAE4C" w:rsidR="00BB6154" w:rsidRPr="002D079B" w:rsidRDefault="00BB6154" w:rsidP="00E26D53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21</w:t>
            </w:r>
            <w:r w:rsidR="00E26D53" w:rsidRPr="002D079B">
              <w:rPr>
                <w:lang w:val="en-GB"/>
              </w:rPr>
              <w:t>.</w:t>
            </w:r>
            <w:r w:rsidRPr="002D079B">
              <w:rPr>
                <w:lang w:val="en-GB"/>
              </w:rPr>
              <w:t>8</w:t>
            </w:r>
            <w:r w:rsidR="00FC7CD9" w:rsidRPr="002D079B">
              <w:rPr>
                <w:lang w:val="en-GB"/>
              </w:rPr>
              <w:t xml:space="preserve"> k€</w:t>
            </w:r>
          </w:p>
        </w:tc>
        <w:tc>
          <w:tcPr>
            <w:tcW w:w="1503" w:type="dxa"/>
            <w:shd w:val="clear" w:color="auto" w:fill="FFFFFF"/>
          </w:tcPr>
          <w:p w14:paraId="200CEE9E" w14:textId="7DAA3D4B" w:rsidR="00BB6154" w:rsidRPr="002D079B" w:rsidRDefault="00BB6154" w:rsidP="00E26D53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18</w:t>
            </w:r>
            <w:r w:rsidR="00E26D53" w:rsidRPr="002D079B">
              <w:rPr>
                <w:lang w:val="en-GB"/>
              </w:rPr>
              <w:t>.</w:t>
            </w:r>
            <w:r w:rsidRPr="002D079B">
              <w:rPr>
                <w:lang w:val="en-GB"/>
              </w:rPr>
              <w:t>7</w:t>
            </w:r>
            <w:r w:rsidR="00FC7CD9" w:rsidRPr="002D079B">
              <w:rPr>
                <w:lang w:val="en-GB"/>
              </w:rPr>
              <w:t xml:space="preserve"> k€</w:t>
            </w:r>
          </w:p>
        </w:tc>
      </w:tr>
      <w:tr w:rsidR="00BB6154" w:rsidRPr="002D079B" w14:paraId="77BE463E" w14:textId="2B2AD860" w:rsidTr="002615F6">
        <w:trPr>
          <w:trHeight w:val="283"/>
        </w:trPr>
        <w:tc>
          <w:tcPr>
            <w:tcW w:w="3061" w:type="dxa"/>
            <w:shd w:val="clear" w:color="auto" w:fill="FFFFFF"/>
          </w:tcPr>
          <w:p w14:paraId="2E77DA21" w14:textId="77777777" w:rsidR="00BB6154" w:rsidRPr="002D079B" w:rsidRDefault="00BB6154" w:rsidP="009476C9">
            <w:pPr>
              <w:pStyle w:val="CETBodytext"/>
              <w:jc w:val="center"/>
              <w:rPr>
                <w:lang w:val="en-GB"/>
              </w:rPr>
            </w:pPr>
            <w:r w:rsidRPr="002D079B">
              <w:rPr>
                <w:lang w:val="en-GB"/>
              </w:rPr>
              <w:t xml:space="preserve">Plant investment </w:t>
            </w:r>
          </w:p>
          <w:p w14:paraId="3ADBDD04" w14:textId="46F7E34D" w:rsidR="00BB6154" w:rsidRPr="002D079B" w:rsidRDefault="00BB6154" w:rsidP="009476C9">
            <w:pPr>
              <w:pStyle w:val="CETBodytext"/>
              <w:jc w:val="center"/>
              <w:rPr>
                <w:lang w:val="en-GB"/>
              </w:rPr>
            </w:pPr>
            <w:r w:rsidRPr="002D079B">
              <w:rPr>
                <w:lang w:val="en-GB"/>
              </w:rPr>
              <w:t>(% of the Site investment)</w:t>
            </w:r>
          </w:p>
        </w:tc>
        <w:tc>
          <w:tcPr>
            <w:tcW w:w="1502" w:type="dxa"/>
            <w:shd w:val="clear" w:color="auto" w:fill="FFFFFF"/>
          </w:tcPr>
          <w:p w14:paraId="1FBABE05" w14:textId="6052A71C" w:rsidR="00BB6154" w:rsidRPr="002D079B" w:rsidRDefault="00BB6154" w:rsidP="009476C9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71</w:t>
            </w:r>
            <w:r w:rsidR="005D34AA" w:rsidRPr="002D079B">
              <w:rPr>
                <w:lang w:val="en-GB"/>
              </w:rPr>
              <w:t xml:space="preserve"> </w:t>
            </w:r>
            <w:r w:rsidRPr="002D079B">
              <w:rPr>
                <w:lang w:val="en-GB"/>
              </w:rPr>
              <w:t>%</w:t>
            </w:r>
          </w:p>
        </w:tc>
        <w:tc>
          <w:tcPr>
            <w:tcW w:w="1503" w:type="dxa"/>
            <w:shd w:val="clear" w:color="auto" w:fill="FFFFFF"/>
          </w:tcPr>
          <w:p w14:paraId="5A1877F1" w14:textId="5DE1C027" w:rsidR="00BB6154" w:rsidRPr="002D079B" w:rsidRDefault="00BB6154" w:rsidP="009476C9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4</w:t>
            </w:r>
            <w:r w:rsidR="005D34AA" w:rsidRPr="002D079B">
              <w:rPr>
                <w:lang w:val="en-GB"/>
              </w:rPr>
              <w:t xml:space="preserve"> </w:t>
            </w:r>
            <w:r w:rsidRPr="002D079B">
              <w:rPr>
                <w:lang w:val="en-GB"/>
              </w:rPr>
              <w:t>%</w:t>
            </w:r>
          </w:p>
        </w:tc>
        <w:tc>
          <w:tcPr>
            <w:tcW w:w="1503" w:type="dxa"/>
            <w:shd w:val="clear" w:color="auto" w:fill="FFFFFF"/>
          </w:tcPr>
          <w:p w14:paraId="5B2FCC43" w14:textId="38956FFC" w:rsidR="00BB6154" w:rsidRPr="002D079B" w:rsidRDefault="00BB6154" w:rsidP="009476C9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14</w:t>
            </w:r>
            <w:r w:rsidR="005D34AA" w:rsidRPr="002D079B">
              <w:rPr>
                <w:lang w:val="en-GB"/>
              </w:rPr>
              <w:t xml:space="preserve"> </w:t>
            </w:r>
            <w:r w:rsidRPr="002D079B">
              <w:rPr>
                <w:lang w:val="en-GB"/>
              </w:rPr>
              <w:t>%</w:t>
            </w:r>
          </w:p>
        </w:tc>
        <w:tc>
          <w:tcPr>
            <w:tcW w:w="1503" w:type="dxa"/>
            <w:shd w:val="clear" w:color="auto" w:fill="FFFFFF"/>
          </w:tcPr>
          <w:p w14:paraId="25BB9E76" w14:textId="57F5EBE4" w:rsidR="00BB6154" w:rsidRPr="002D079B" w:rsidRDefault="00BB6154" w:rsidP="009476C9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12</w:t>
            </w:r>
            <w:r w:rsidR="005D34AA" w:rsidRPr="002D079B">
              <w:rPr>
                <w:lang w:val="en-GB"/>
              </w:rPr>
              <w:t xml:space="preserve"> </w:t>
            </w:r>
            <w:r w:rsidRPr="002D079B">
              <w:rPr>
                <w:lang w:val="en-GB"/>
              </w:rPr>
              <w:t>%</w:t>
            </w:r>
          </w:p>
        </w:tc>
      </w:tr>
      <w:tr w:rsidR="00BB6154" w:rsidRPr="002D079B" w14:paraId="1227092A" w14:textId="29BAE890" w:rsidTr="002615F6">
        <w:trPr>
          <w:trHeight w:val="283"/>
        </w:trPr>
        <w:tc>
          <w:tcPr>
            <w:tcW w:w="3061" w:type="dxa"/>
            <w:shd w:val="clear" w:color="auto" w:fill="FFFFFF"/>
          </w:tcPr>
          <w:p w14:paraId="5999B5BA" w14:textId="46D91680" w:rsidR="00BB6154" w:rsidRPr="002D079B" w:rsidRDefault="00FC7CD9" w:rsidP="00FC7CD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D079B">
              <w:rPr>
                <w:rFonts w:cs="Arial"/>
                <w:szCs w:val="18"/>
                <w:lang w:val="en-GB"/>
              </w:rPr>
              <w:t>Plant Benefits</w:t>
            </w:r>
          </w:p>
        </w:tc>
        <w:tc>
          <w:tcPr>
            <w:tcW w:w="1502" w:type="dxa"/>
            <w:shd w:val="clear" w:color="auto" w:fill="FFFFFF"/>
          </w:tcPr>
          <w:p w14:paraId="78DD8E7D" w14:textId="732EB3B3" w:rsidR="00BB6154" w:rsidRPr="002D079B" w:rsidRDefault="00E26D53" w:rsidP="009476C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2D079B">
              <w:rPr>
                <w:rFonts w:cs="Arial"/>
                <w:szCs w:val="18"/>
                <w:lang w:val="en-GB"/>
              </w:rPr>
              <w:t>4,</w:t>
            </w:r>
            <w:r w:rsidR="00BB6154" w:rsidRPr="002D079B">
              <w:rPr>
                <w:rFonts w:cs="Arial"/>
                <w:szCs w:val="18"/>
                <w:lang w:val="en-GB"/>
              </w:rPr>
              <w:t>299</w:t>
            </w:r>
            <w:r w:rsidR="00FC7CD9" w:rsidRPr="002D079B">
              <w:rPr>
                <w:rFonts w:cs="Arial"/>
                <w:szCs w:val="18"/>
                <w:lang w:val="en-GB"/>
              </w:rPr>
              <w:t xml:space="preserve"> k€</w:t>
            </w:r>
          </w:p>
        </w:tc>
        <w:tc>
          <w:tcPr>
            <w:tcW w:w="1503" w:type="dxa"/>
            <w:shd w:val="clear" w:color="auto" w:fill="FFFFFF"/>
          </w:tcPr>
          <w:p w14:paraId="66B03D28" w14:textId="2037954F" w:rsidR="00BB6154" w:rsidRPr="002D079B" w:rsidRDefault="00BB6154" w:rsidP="00E26D53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21</w:t>
            </w:r>
            <w:r w:rsidR="00E26D53" w:rsidRPr="002D079B">
              <w:rPr>
                <w:lang w:val="en-GB"/>
              </w:rPr>
              <w:t>.</w:t>
            </w:r>
            <w:r w:rsidRPr="002D079B">
              <w:rPr>
                <w:lang w:val="en-GB"/>
              </w:rPr>
              <w:t>2</w:t>
            </w:r>
            <w:r w:rsidR="00FC7CD9" w:rsidRPr="002D079B">
              <w:rPr>
                <w:lang w:val="en-GB"/>
              </w:rPr>
              <w:t xml:space="preserve"> k€</w:t>
            </w:r>
          </w:p>
        </w:tc>
        <w:tc>
          <w:tcPr>
            <w:tcW w:w="1503" w:type="dxa"/>
            <w:shd w:val="clear" w:color="auto" w:fill="FFFFFF"/>
          </w:tcPr>
          <w:p w14:paraId="7205EC59" w14:textId="0AA4B571" w:rsidR="00BB6154" w:rsidRPr="002D079B" w:rsidRDefault="00BB6154" w:rsidP="00E26D53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595</w:t>
            </w:r>
            <w:r w:rsidR="00E26D53" w:rsidRPr="002D079B">
              <w:rPr>
                <w:lang w:val="en-GB"/>
              </w:rPr>
              <w:t>.</w:t>
            </w:r>
            <w:r w:rsidRPr="002D079B">
              <w:rPr>
                <w:lang w:val="en-GB"/>
              </w:rPr>
              <w:t>5</w:t>
            </w:r>
            <w:r w:rsidR="00FC7CD9" w:rsidRPr="002D079B">
              <w:rPr>
                <w:lang w:val="en-GB"/>
              </w:rPr>
              <w:t xml:space="preserve"> k€</w:t>
            </w:r>
          </w:p>
        </w:tc>
        <w:tc>
          <w:tcPr>
            <w:tcW w:w="1503" w:type="dxa"/>
            <w:shd w:val="clear" w:color="auto" w:fill="FFFFFF"/>
          </w:tcPr>
          <w:p w14:paraId="0278B209" w14:textId="76A795FC" w:rsidR="00BB6154" w:rsidRPr="002D079B" w:rsidRDefault="00BB6154" w:rsidP="00E26D53">
            <w:pPr>
              <w:pStyle w:val="CETBodytext"/>
              <w:rPr>
                <w:lang w:val="en-GB"/>
              </w:rPr>
            </w:pPr>
            <w:r w:rsidRPr="002D079B">
              <w:rPr>
                <w:lang w:val="en-GB"/>
              </w:rPr>
              <w:t>247</w:t>
            </w:r>
            <w:r w:rsidR="00E26D53" w:rsidRPr="002D079B">
              <w:rPr>
                <w:lang w:val="en-GB"/>
              </w:rPr>
              <w:t>.</w:t>
            </w:r>
            <w:r w:rsidRPr="002D079B">
              <w:rPr>
                <w:lang w:val="en-GB"/>
              </w:rPr>
              <w:t>5</w:t>
            </w:r>
            <w:r w:rsidR="00FC7CD9" w:rsidRPr="002D079B">
              <w:rPr>
                <w:lang w:val="en-GB"/>
              </w:rPr>
              <w:t xml:space="preserve"> k€</w:t>
            </w:r>
          </w:p>
        </w:tc>
      </w:tr>
    </w:tbl>
    <w:p w14:paraId="399C1C94" w14:textId="0F1CED35" w:rsidR="002C6514" w:rsidRPr="002D079B" w:rsidRDefault="002C6514" w:rsidP="00D47756">
      <w:pPr>
        <w:pStyle w:val="CETBodytext"/>
        <w:rPr>
          <w:lang w:val="en-GB"/>
        </w:rPr>
      </w:pPr>
    </w:p>
    <w:p w14:paraId="35013687" w14:textId="5D68FEAB" w:rsidR="002C6514" w:rsidRPr="002D079B" w:rsidRDefault="002C6514" w:rsidP="00D47756">
      <w:pPr>
        <w:pStyle w:val="CETBodytext"/>
        <w:rPr>
          <w:lang w:val="en-GB"/>
        </w:rPr>
      </w:pPr>
      <w:r w:rsidRPr="002D079B">
        <w:rPr>
          <w:noProof/>
          <w:lang w:val="it-IT" w:eastAsia="it-IT"/>
        </w:rPr>
        <w:drawing>
          <wp:inline distT="0" distB="0" distL="0" distR="0" wp14:anchorId="1A3A5A0F" wp14:editId="45A6E2B9">
            <wp:extent cx="5649595" cy="1162050"/>
            <wp:effectExtent l="0" t="0" r="825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A95ADF1" w14:textId="77777777" w:rsidR="002C6514" w:rsidRPr="002D079B" w:rsidRDefault="002C6514" w:rsidP="002C6514">
      <w:pPr>
        <w:pStyle w:val="CETCaption"/>
      </w:pPr>
      <w:r w:rsidRPr="002D079B">
        <w:t>Figure 3: Key CBR results from one Site</w:t>
      </w:r>
    </w:p>
    <w:p w14:paraId="2B3EA24F" w14:textId="730A58DF" w:rsidR="002C6514" w:rsidRPr="002D079B" w:rsidRDefault="002C6514" w:rsidP="002C6514">
      <w:pPr>
        <w:pStyle w:val="CETBodytext"/>
        <w:rPr>
          <w:lang w:val="en-GB"/>
        </w:rPr>
      </w:pPr>
      <w:r w:rsidRPr="002D079B">
        <w:rPr>
          <w:lang w:val="en-GB"/>
        </w:rPr>
        <w:lastRenderedPageBreak/>
        <w:t>The calculated WCBRs are lower than 2</w:t>
      </w:r>
      <w:r w:rsidR="005D34AA" w:rsidRPr="002D079B">
        <w:rPr>
          <w:lang w:val="en-GB"/>
        </w:rPr>
        <w:t xml:space="preserve"> </w:t>
      </w:r>
      <w:r w:rsidRPr="002D079B">
        <w:rPr>
          <w:lang w:val="en-GB"/>
        </w:rPr>
        <w:t xml:space="preserve">%, showing that investments are balanced across all </w:t>
      </w:r>
      <w:r w:rsidR="00111F64" w:rsidRPr="002D079B">
        <w:rPr>
          <w:lang w:val="en-GB"/>
        </w:rPr>
        <w:t>Site</w:t>
      </w:r>
      <w:r w:rsidRPr="002D079B">
        <w:rPr>
          <w:lang w:val="en-GB"/>
        </w:rPr>
        <w:t xml:space="preserve"> Plants.</w:t>
      </w:r>
    </w:p>
    <w:p w14:paraId="1CE58D8A" w14:textId="77777777" w:rsidR="002C6514" w:rsidRPr="002D079B" w:rsidRDefault="002C6514" w:rsidP="002C6514">
      <w:pPr>
        <w:pStyle w:val="CETBodytext"/>
        <w:rPr>
          <w:lang w:val="en-GB"/>
        </w:rPr>
      </w:pPr>
      <w:r w:rsidRPr="002D079B">
        <w:rPr>
          <w:lang w:val="en-GB"/>
        </w:rPr>
        <w:t>Based on Plant CBRs, a reasonable resource allocation would be achieved starting to invest in Plant 1 and 3, followed by Plant 4. Plant 2 shows the worst Cost – Benefit ratio and therefore should be last.</w:t>
      </w:r>
    </w:p>
    <w:p w14:paraId="2D739CA2" w14:textId="77777777" w:rsidR="00360468" w:rsidRPr="002D079B" w:rsidRDefault="00360468" w:rsidP="00360468">
      <w:pPr>
        <w:pStyle w:val="CETHeading1"/>
        <w:rPr>
          <w:lang w:val="en-GB"/>
        </w:rPr>
      </w:pPr>
      <w:r w:rsidRPr="002D079B">
        <w:rPr>
          <w:lang w:val="en-GB"/>
        </w:rPr>
        <w:t>Conclusions</w:t>
      </w:r>
    </w:p>
    <w:p w14:paraId="668F4867" w14:textId="7BE69E97" w:rsidR="002C6514" w:rsidRPr="002D079B" w:rsidRDefault="002C6514" w:rsidP="00C5242B">
      <w:pPr>
        <w:pStyle w:val="CETBodytext"/>
        <w:rPr>
          <w:lang w:val="en-GB"/>
        </w:rPr>
      </w:pPr>
      <w:r w:rsidRPr="002D079B">
        <w:rPr>
          <w:lang w:val="en-GB"/>
        </w:rPr>
        <w:t xml:space="preserve">A probabilistic approach for Cost Benefit Analysis for major investments across multiple </w:t>
      </w:r>
      <w:r w:rsidR="00BB6154" w:rsidRPr="002D079B">
        <w:rPr>
          <w:lang w:val="en-GB"/>
        </w:rPr>
        <w:t>P</w:t>
      </w:r>
      <w:r w:rsidR="009713F2" w:rsidRPr="002D079B">
        <w:rPr>
          <w:lang w:val="en-GB"/>
        </w:rPr>
        <w:t xml:space="preserve">lants and </w:t>
      </w:r>
      <w:r w:rsidR="00111F64" w:rsidRPr="002D079B">
        <w:rPr>
          <w:lang w:val="en-GB"/>
        </w:rPr>
        <w:t>S</w:t>
      </w:r>
      <w:r w:rsidR="009713F2" w:rsidRPr="002D079B">
        <w:rPr>
          <w:lang w:val="en-GB"/>
        </w:rPr>
        <w:t xml:space="preserve">ites </w:t>
      </w:r>
      <w:r w:rsidRPr="002D079B">
        <w:rPr>
          <w:lang w:val="en-GB"/>
        </w:rPr>
        <w:t xml:space="preserve">was presented. </w:t>
      </w:r>
      <w:r w:rsidR="004210AB" w:rsidRPr="002D079B">
        <w:rPr>
          <w:lang w:val="en-GB"/>
        </w:rPr>
        <w:t>The</w:t>
      </w:r>
      <w:r w:rsidR="009713F2" w:rsidRPr="002D079B">
        <w:rPr>
          <w:lang w:val="en-GB"/>
        </w:rPr>
        <w:t xml:space="preserve"> structured Cost – Benefit approach</w:t>
      </w:r>
      <w:r w:rsidR="004210AB" w:rsidRPr="002D079B">
        <w:rPr>
          <w:lang w:val="en-GB"/>
        </w:rPr>
        <w:t xml:space="preserve"> showed</w:t>
      </w:r>
      <w:r w:rsidRPr="002D079B">
        <w:rPr>
          <w:lang w:val="en-GB"/>
        </w:rPr>
        <w:t xml:space="preserve"> several </w:t>
      </w:r>
      <w:r w:rsidR="004210AB" w:rsidRPr="002D079B">
        <w:rPr>
          <w:lang w:val="en-GB"/>
        </w:rPr>
        <w:t>advantages</w:t>
      </w:r>
      <w:r w:rsidRPr="002D079B">
        <w:rPr>
          <w:lang w:val="en-GB"/>
        </w:rPr>
        <w:t>, in particular:</w:t>
      </w:r>
    </w:p>
    <w:p w14:paraId="21D99620" w14:textId="77777777" w:rsidR="002C6514" w:rsidRPr="002D079B" w:rsidRDefault="002C6514" w:rsidP="002C6514">
      <w:pPr>
        <w:pStyle w:val="CETListbullets"/>
        <w:numPr>
          <w:ilvl w:val="0"/>
          <w:numId w:val="13"/>
        </w:numPr>
      </w:pPr>
      <w:r w:rsidRPr="002D079B">
        <w:t>It help</w:t>
      </w:r>
      <w:r w:rsidR="004210AB" w:rsidRPr="002D079B">
        <w:t xml:space="preserve">ed </w:t>
      </w:r>
      <w:r w:rsidRPr="002D079B">
        <w:t>with the selection of investments and their prioritization</w:t>
      </w:r>
    </w:p>
    <w:p w14:paraId="33610305" w14:textId="785D78B4" w:rsidR="002C6514" w:rsidRPr="002D079B" w:rsidRDefault="002C6514" w:rsidP="002C6514">
      <w:pPr>
        <w:pStyle w:val="CETListbullets"/>
        <w:numPr>
          <w:ilvl w:val="0"/>
          <w:numId w:val="13"/>
        </w:numPr>
      </w:pPr>
      <w:r w:rsidRPr="002D079B">
        <w:t>It define</w:t>
      </w:r>
      <w:r w:rsidR="004210AB" w:rsidRPr="002D079B">
        <w:t>d</w:t>
      </w:r>
      <w:r w:rsidRPr="002D079B">
        <w:t xml:space="preserve"> objective criteria to compare costs and benefits at Plant, Site and </w:t>
      </w:r>
      <w:r w:rsidR="00F41EB0" w:rsidRPr="002D079B">
        <w:t>Companywide</w:t>
      </w:r>
      <w:r w:rsidRPr="002D079B">
        <w:t xml:space="preserve"> level</w:t>
      </w:r>
    </w:p>
    <w:p w14:paraId="2BBDB5E7" w14:textId="77777777" w:rsidR="002C6514" w:rsidRPr="002D079B" w:rsidRDefault="002C6514" w:rsidP="002C6514">
      <w:pPr>
        <w:pStyle w:val="CETListbullets"/>
        <w:numPr>
          <w:ilvl w:val="0"/>
          <w:numId w:val="13"/>
        </w:numPr>
      </w:pPr>
      <w:r w:rsidRPr="002D079B">
        <w:t>It facilitate</w:t>
      </w:r>
      <w:r w:rsidR="004210AB" w:rsidRPr="002D079B">
        <w:t>d</w:t>
      </w:r>
      <w:r w:rsidRPr="002D079B">
        <w:t xml:space="preserve"> the development of a structured investment Plan over time</w:t>
      </w:r>
    </w:p>
    <w:p w14:paraId="27F825A7" w14:textId="77777777" w:rsidR="002C6514" w:rsidRPr="002D079B" w:rsidRDefault="002C6514" w:rsidP="002C6514">
      <w:pPr>
        <w:pStyle w:val="CETListbullets"/>
        <w:numPr>
          <w:ilvl w:val="0"/>
          <w:numId w:val="13"/>
        </w:numPr>
      </w:pPr>
      <w:r w:rsidRPr="002D079B">
        <w:t>It assess</w:t>
      </w:r>
      <w:r w:rsidR="004210AB" w:rsidRPr="002D079B">
        <w:t>ed</w:t>
      </w:r>
      <w:r w:rsidRPr="002D079B">
        <w:t xml:space="preserve"> the current implementation of specific Process Safety elements inside Sites and Plants</w:t>
      </w:r>
    </w:p>
    <w:p w14:paraId="443ADD13" w14:textId="77777777" w:rsidR="00C5242B" w:rsidRPr="002D079B" w:rsidRDefault="009713F2" w:rsidP="00C5242B">
      <w:pPr>
        <w:pStyle w:val="CETBodytext"/>
        <w:rPr>
          <w:lang w:val="en-GB"/>
        </w:rPr>
      </w:pPr>
      <w:r w:rsidRPr="002D079B">
        <w:rPr>
          <w:lang w:val="en-GB"/>
        </w:rPr>
        <w:t>In addition to this, it is worth noting that the SIL analysis carries additional benefits on its own</w:t>
      </w:r>
      <w:r w:rsidR="004210AB" w:rsidRPr="002D079B">
        <w:rPr>
          <w:lang w:val="en-GB"/>
        </w:rPr>
        <w:t>,</w:t>
      </w:r>
      <w:r w:rsidRPr="002D079B">
        <w:rPr>
          <w:lang w:val="en-GB"/>
        </w:rPr>
        <w:t xml:space="preserve"> that are not included in the deriving Cost – Benefit Analysis</w:t>
      </w:r>
      <w:r w:rsidR="004210AB" w:rsidRPr="002D079B">
        <w:rPr>
          <w:lang w:val="en-GB"/>
        </w:rPr>
        <w:t>:</w:t>
      </w:r>
      <w:r w:rsidR="00C5242B" w:rsidRPr="002D079B">
        <w:rPr>
          <w:lang w:val="en-GB"/>
        </w:rPr>
        <w:t xml:space="preserve"> </w:t>
      </w:r>
    </w:p>
    <w:p w14:paraId="214003D6" w14:textId="77777777" w:rsidR="00C5242B" w:rsidRPr="002D079B" w:rsidRDefault="00C5242B" w:rsidP="00C5242B">
      <w:pPr>
        <w:pStyle w:val="CETListbullets"/>
        <w:numPr>
          <w:ilvl w:val="0"/>
          <w:numId w:val="13"/>
        </w:numPr>
      </w:pPr>
      <w:r w:rsidRPr="002D079B">
        <w:t>Mapping of critical SIFs and optimisation of resource allocation</w:t>
      </w:r>
    </w:p>
    <w:p w14:paraId="2FDFEBBB" w14:textId="77777777" w:rsidR="00C5242B" w:rsidRPr="002D079B" w:rsidRDefault="00C5242B" w:rsidP="00C5242B">
      <w:pPr>
        <w:pStyle w:val="CETListbullets"/>
        <w:numPr>
          <w:ilvl w:val="0"/>
          <w:numId w:val="13"/>
        </w:numPr>
      </w:pPr>
      <w:r w:rsidRPr="002D079B">
        <w:t xml:space="preserve">Optimisation of predictive maintenance planning and replacement of obsolete components </w:t>
      </w:r>
    </w:p>
    <w:p w14:paraId="3C63273F" w14:textId="77777777" w:rsidR="00C5242B" w:rsidRPr="002D079B" w:rsidRDefault="00C5242B" w:rsidP="00C5242B">
      <w:pPr>
        <w:pStyle w:val="CETListbullets"/>
        <w:numPr>
          <w:ilvl w:val="0"/>
          <w:numId w:val="13"/>
        </w:numPr>
      </w:pPr>
      <w:r w:rsidRPr="002D079B">
        <w:t xml:space="preserve">Certification of the correct application of international standards (IEC 61511 and IEC 61508) through accredited tools </w:t>
      </w:r>
    </w:p>
    <w:p w14:paraId="42E56C36" w14:textId="77777777" w:rsidR="00C5242B" w:rsidRPr="002D079B" w:rsidRDefault="00C5242B" w:rsidP="00C5242B">
      <w:pPr>
        <w:pStyle w:val="CETListbullets"/>
        <w:numPr>
          <w:ilvl w:val="0"/>
          <w:numId w:val="13"/>
        </w:numPr>
      </w:pPr>
      <w:r w:rsidRPr="002D079B">
        <w:t>Encouragement of economies of scale for supplies and maintenance plans</w:t>
      </w:r>
    </w:p>
    <w:p w14:paraId="767522AA" w14:textId="77777777" w:rsidR="00C5242B" w:rsidRPr="002D079B" w:rsidRDefault="00C5242B" w:rsidP="00C5242B">
      <w:pPr>
        <w:pStyle w:val="CETListbullets"/>
        <w:numPr>
          <w:ilvl w:val="0"/>
          <w:numId w:val="13"/>
        </w:numPr>
      </w:pPr>
      <w:r w:rsidRPr="002D079B">
        <w:t xml:space="preserve">SIL analysis as proof of solid risk management to external verification bodies (e.g. fire departments, insurance and authorities) </w:t>
      </w:r>
    </w:p>
    <w:p w14:paraId="06BFC5CD" w14:textId="77777777" w:rsidR="00C5242B" w:rsidRPr="002D079B" w:rsidRDefault="00C5242B" w:rsidP="00C5242B">
      <w:pPr>
        <w:pStyle w:val="CETListbullets"/>
        <w:numPr>
          <w:ilvl w:val="0"/>
          <w:numId w:val="13"/>
        </w:numPr>
      </w:pPr>
      <w:r w:rsidRPr="002D079B">
        <w:t>Improvement of Company’s reputation</w:t>
      </w:r>
    </w:p>
    <w:p w14:paraId="06140EA3" w14:textId="77777777" w:rsidR="00C5242B" w:rsidRPr="002D079B" w:rsidRDefault="00C5242B" w:rsidP="00C5242B">
      <w:pPr>
        <w:pStyle w:val="CETListbullets"/>
        <w:numPr>
          <w:ilvl w:val="0"/>
          <w:numId w:val="13"/>
        </w:numPr>
      </w:pPr>
      <w:r w:rsidRPr="002D079B">
        <w:t>Implementation of a Digital System including SIL results, so as to enable a dynamic data analysis, both for Management and operating activities</w:t>
      </w:r>
    </w:p>
    <w:p w14:paraId="7E7C2CDC" w14:textId="7D1C9C07" w:rsidR="004210AB" w:rsidRPr="002D079B" w:rsidRDefault="004210AB" w:rsidP="00C5242B">
      <w:pPr>
        <w:pStyle w:val="CETBodytext"/>
        <w:rPr>
          <w:lang w:val="en-GB"/>
        </w:rPr>
      </w:pPr>
      <w:r w:rsidRPr="002D079B">
        <w:rPr>
          <w:lang w:val="en-GB"/>
        </w:rPr>
        <w:t>The method was tested on a real-life applicati</w:t>
      </w:r>
      <w:r w:rsidR="00E735DF" w:rsidRPr="002D079B">
        <w:rPr>
          <w:lang w:val="en-GB"/>
        </w:rPr>
        <w:t>on and presented to the Client; an overall CBR of 4.41 % showed the viability of these investments, while detailed results were used to</w:t>
      </w:r>
      <w:r w:rsidRPr="002D079B">
        <w:rPr>
          <w:lang w:val="en-GB"/>
        </w:rPr>
        <w:t xml:space="preserve"> orientate </w:t>
      </w:r>
      <w:r w:rsidR="00E735DF" w:rsidRPr="002D079B">
        <w:rPr>
          <w:lang w:val="en-GB"/>
        </w:rPr>
        <w:t xml:space="preserve">budget allocation. </w:t>
      </w:r>
    </w:p>
    <w:p w14:paraId="7CD1F432" w14:textId="1C019F7D" w:rsidR="004210AB" w:rsidRPr="002D079B" w:rsidRDefault="004210AB" w:rsidP="00C5242B">
      <w:pPr>
        <w:pStyle w:val="CETBodytext"/>
        <w:rPr>
          <w:lang w:val="en-GB"/>
        </w:rPr>
      </w:pPr>
      <w:r w:rsidRPr="002D079B">
        <w:rPr>
          <w:lang w:val="en-GB"/>
        </w:rPr>
        <w:t xml:space="preserve">Future developments of the methodology may include a more detailed estimation of CAPEX and OPEX, e.g. working more closely with </w:t>
      </w:r>
      <w:r w:rsidR="00582CA5" w:rsidRPr="002D079B">
        <w:rPr>
          <w:lang w:val="en-GB"/>
        </w:rPr>
        <w:t>p</w:t>
      </w:r>
      <w:r w:rsidRPr="002D079B">
        <w:rPr>
          <w:lang w:val="en-GB"/>
        </w:rPr>
        <w:t>urchasing departments, and the application to other Companies.</w:t>
      </w:r>
    </w:p>
    <w:p w14:paraId="0A0F43F8" w14:textId="77777777" w:rsidR="00360468" w:rsidRPr="00EC4B28" w:rsidRDefault="00360468" w:rsidP="00360468">
      <w:pPr>
        <w:pStyle w:val="CETReference"/>
        <w:rPr>
          <w:lang w:val="it-IT"/>
        </w:rPr>
      </w:pPr>
      <w:r w:rsidRPr="00EC4B28">
        <w:rPr>
          <w:lang w:val="it-IT"/>
        </w:rPr>
        <w:t>References</w:t>
      </w:r>
    </w:p>
    <w:p w14:paraId="2DCCF6BC" w14:textId="6A5A73FC" w:rsidR="008B1AC6" w:rsidRPr="00EC4B28" w:rsidRDefault="008B1AC6" w:rsidP="008B1AC6">
      <w:pPr>
        <w:pStyle w:val="CETReferencetext"/>
        <w:rPr>
          <w:lang w:val="it-IT"/>
        </w:rPr>
      </w:pPr>
      <w:r w:rsidRPr="00EC4B28">
        <w:rPr>
          <w:lang w:val="it-IT"/>
        </w:rPr>
        <w:t xml:space="preserve">Attuazione della direttiva 2012/18/UE relativa al controllo del pericolo di incidenti rilevanti connessi con sostanze pericolose, 2015, </w:t>
      </w:r>
      <w:r w:rsidR="00BB7903" w:rsidRPr="00EC4B28">
        <w:rPr>
          <w:lang w:val="it-IT"/>
        </w:rPr>
        <w:t>D. Lgs</w:t>
      </w:r>
      <w:r w:rsidR="00F41EB0" w:rsidRPr="00EC4B28">
        <w:rPr>
          <w:lang w:val="it-IT"/>
        </w:rPr>
        <w:t>.</w:t>
      </w:r>
      <w:r w:rsidRPr="00EC4B28">
        <w:rPr>
          <w:lang w:val="it-IT"/>
        </w:rPr>
        <w:t xml:space="preserve"> 2015/105</w:t>
      </w:r>
    </w:p>
    <w:p w14:paraId="154498F4" w14:textId="77777777" w:rsidR="008B1AC6" w:rsidRPr="002D079B" w:rsidRDefault="008B1AC6" w:rsidP="008B1AC6">
      <w:pPr>
        <w:pStyle w:val="CETReferencetext"/>
      </w:pPr>
      <w:r w:rsidRPr="002D079B">
        <w:t>Ben Yaghlane B., Simon C., Ben Hariz N., 2011, Evidential Risk Graph Model for Determining Safety Integrity Level, NATO Science for Peace and Security Series - E: Human and Societal Dynamics, 88, 204 – 221</w:t>
      </w:r>
    </w:p>
    <w:p w14:paraId="03AC7288" w14:textId="77777777" w:rsidR="008B1AC6" w:rsidRPr="002D079B" w:rsidRDefault="008B1AC6" w:rsidP="008B1AC6">
      <w:pPr>
        <w:pStyle w:val="CETReferencetext"/>
      </w:pPr>
      <w:r w:rsidRPr="002D079B">
        <w:t>European Commission, 2012, Directive 2012/18/EU of the European Parliament and of the Council of 4 July 2012 on the control of major-accident hazards involving dangerous substances, amending and subsequently repealing Council Directive 96/82/EC Text with EEA relevance, 2012/18/EU</w:t>
      </w:r>
    </w:p>
    <w:p w14:paraId="09B26D21" w14:textId="77777777" w:rsidR="008B1AC6" w:rsidRPr="002D079B" w:rsidRDefault="008B1AC6" w:rsidP="008B1AC6">
      <w:pPr>
        <w:pStyle w:val="CETReferencetext"/>
      </w:pPr>
      <w:r w:rsidRPr="002D079B">
        <w:t>European Commission, 2018 – Communication from the Commission to the European Parliament, the European Council, the Council, the European Economic and Social Committee, the Committee of the Regions and The European Investment Bank, A Clean Planet for all – A European strategic long-term vision for a prosperous, modern, competitive and climate neutral economy, COM(2018) 773</w:t>
      </w:r>
    </w:p>
    <w:p w14:paraId="06AF304D" w14:textId="77777777" w:rsidR="00422842" w:rsidRPr="002D079B" w:rsidRDefault="00422842" w:rsidP="00422842">
      <w:pPr>
        <w:pStyle w:val="CETReferencetext"/>
      </w:pPr>
      <w:r w:rsidRPr="002D079B">
        <w:t xml:space="preserve">Henry N.S., 2011, </w:t>
      </w:r>
      <w:r w:rsidR="000006C3" w:rsidRPr="002D079B">
        <w:t>Managing Deterioration and Integrity of Ageing Assets</w:t>
      </w:r>
      <w:r w:rsidRPr="002D079B">
        <w:t xml:space="preserve">, </w:t>
      </w:r>
      <w:r w:rsidR="000006C3" w:rsidRPr="002D079B">
        <w:t>Hazards XXII: Process Safety and Environmental Protection</w:t>
      </w:r>
      <w:r w:rsidR="006613DC" w:rsidRPr="002D079B">
        <w:t xml:space="preserve"> Symposium Series, </w:t>
      </w:r>
      <w:r w:rsidR="000006C3" w:rsidRPr="002D079B">
        <w:t>156, 646–648</w:t>
      </w:r>
      <w:r w:rsidRPr="002D079B">
        <w:t>.</w:t>
      </w:r>
    </w:p>
    <w:p w14:paraId="59EF1A30" w14:textId="77777777" w:rsidR="00EC4B28" w:rsidRPr="002D079B" w:rsidRDefault="00EC4B28" w:rsidP="00EC4B28">
      <w:pPr>
        <w:pStyle w:val="CETReferencetext"/>
      </w:pPr>
      <w:r w:rsidRPr="002D079B">
        <w:t>Horrocks</w:t>
      </w:r>
      <w:r>
        <w:t xml:space="preserve">, P., </w:t>
      </w:r>
      <w:r w:rsidRPr="002D079B">
        <w:t>Mansfield</w:t>
      </w:r>
      <w:r>
        <w:t xml:space="preserve"> D., </w:t>
      </w:r>
      <w:r w:rsidRPr="002D079B">
        <w:t>Parker</w:t>
      </w:r>
      <w:r>
        <w:t xml:space="preserve"> K., </w:t>
      </w:r>
      <w:r w:rsidRPr="002D079B">
        <w:t>Thomson</w:t>
      </w:r>
      <w:r>
        <w:t xml:space="preserve"> J.</w:t>
      </w:r>
      <w:r w:rsidRPr="002D079B">
        <w:t xml:space="preserve">, Atkinson </w:t>
      </w:r>
      <w:r>
        <w:t xml:space="preserve">T., </w:t>
      </w:r>
      <w:r w:rsidRPr="002D079B">
        <w:t>Worsley</w:t>
      </w:r>
      <w:r>
        <w:t xml:space="preserve"> J.</w:t>
      </w:r>
      <w:r w:rsidRPr="002D079B">
        <w:t>, 2009, Plant ageing – Managing Ageing Plant, A Summary Guide for the Health and Safety Executive</w:t>
      </w:r>
    </w:p>
    <w:p w14:paraId="5CE4D860" w14:textId="41C67E94" w:rsidR="008B1AC6" w:rsidRPr="002D079B" w:rsidRDefault="008B1AC6" w:rsidP="008B1AC6">
      <w:pPr>
        <w:pStyle w:val="CETReferencetext"/>
      </w:pPr>
      <w:r w:rsidRPr="002D079B">
        <w:t>Hought J., Fowler A., Grindrod S., A Benchmarking Study on Asset Integrity and the Issues of Ageing Plant in the Chemical Industry and the Challenges of PSM Implementation across Global Sites, Chemical Engineering Transactions, 31, 289–294</w:t>
      </w:r>
    </w:p>
    <w:p w14:paraId="22FFF1F0" w14:textId="77777777" w:rsidR="008B1AC6" w:rsidRPr="002D079B" w:rsidRDefault="008B1AC6" w:rsidP="008B1AC6">
      <w:pPr>
        <w:pStyle w:val="CETReferencetext"/>
      </w:pPr>
      <w:r w:rsidRPr="002D079B">
        <w:t>IEC 61508 (all parts), 2010, Functional safety – Functional safety of electrical/electronic/programmable electronic safety-related systems, ed. 2.0</w:t>
      </w:r>
    </w:p>
    <w:p w14:paraId="4FF14D04" w14:textId="77777777" w:rsidR="008B1AC6" w:rsidRPr="002D079B" w:rsidRDefault="008B1AC6" w:rsidP="008B1AC6">
      <w:pPr>
        <w:pStyle w:val="CETReferencetext"/>
      </w:pPr>
      <w:r w:rsidRPr="002D079B">
        <w:t>IEC 61511 (all parts), 2016, Functional safety – Safety instrumented systems for the process industry sector, ed. 2.0</w:t>
      </w:r>
    </w:p>
    <w:p w14:paraId="1A55043F" w14:textId="799A1427" w:rsidR="008B1AC6" w:rsidRPr="002D079B" w:rsidRDefault="008B1AC6" w:rsidP="008B1AC6">
      <w:pPr>
        <w:pStyle w:val="CETReferencetext"/>
      </w:pPr>
      <w:r w:rsidRPr="002D079B">
        <w:t xml:space="preserve">Macrotrends, 2018, </w:t>
      </w:r>
      <w:r w:rsidR="00876D16" w:rsidRPr="002D079B">
        <w:t xml:space="preserve">Brent Crude Oil Prices – </w:t>
      </w:r>
      <w:r w:rsidRPr="002D079B">
        <w:t xml:space="preserve">10 Year Daily Chart </w:t>
      </w:r>
      <w:hyperlink r:id="rId14" w:history="1">
        <w:r w:rsidRPr="002D079B">
          <w:rPr>
            <w:rStyle w:val="Hyperlink"/>
          </w:rPr>
          <w:t>https://www.macrotrends.net/2480/brent-crude-oil-prices-10-year-daily-chart</w:t>
        </w:r>
      </w:hyperlink>
      <w:r w:rsidRPr="002D079B">
        <w:t>, accessed 03.12.2018</w:t>
      </w:r>
    </w:p>
    <w:p w14:paraId="09DCBE16" w14:textId="6C126FB9" w:rsidR="006613DC" w:rsidRPr="002D079B" w:rsidRDefault="006613DC" w:rsidP="006613DC">
      <w:pPr>
        <w:pStyle w:val="CETReferencetext"/>
      </w:pPr>
      <w:r w:rsidRPr="002D079B">
        <w:t>Milanese, S., Salvador E., Decadri S., Ratti R., 2017, Asset Integrity Management System (AIMS) for the Reduction of Industrial Risks, Chemical Engineering Transactions, 57, 283–288</w:t>
      </w:r>
    </w:p>
    <w:p w14:paraId="3065B252" w14:textId="7A2834E9" w:rsidR="00B6298D" w:rsidRPr="002D079B" w:rsidRDefault="00B6298D" w:rsidP="00B6298D">
      <w:pPr>
        <w:pStyle w:val="CETReferencetext"/>
      </w:pPr>
      <w:r w:rsidRPr="002D079B">
        <w:t>Oil&amp;Gas UK, 2014, Guidance on Ageing and Life Extension Aspects of Electrical, Control &amp; Instrumentation Equipment, 1 (HS084)</w:t>
      </w:r>
    </w:p>
    <w:sectPr w:rsidR="00B6298D" w:rsidRPr="002D079B" w:rsidSect="0077098D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6C90C" w14:textId="77777777" w:rsidR="00746AD4" w:rsidRDefault="00746AD4" w:rsidP="004F5E36">
      <w:r>
        <w:separator/>
      </w:r>
    </w:p>
  </w:endnote>
  <w:endnote w:type="continuationSeparator" w:id="0">
    <w:p w14:paraId="1426B74A" w14:textId="77777777" w:rsidR="00746AD4" w:rsidRDefault="00746AD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2D28D" w14:textId="77777777" w:rsidR="00746AD4" w:rsidRDefault="00746AD4" w:rsidP="004F5E36">
      <w:r>
        <w:separator/>
      </w:r>
    </w:p>
  </w:footnote>
  <w:footnote w:type="continuationSeparator" w:id="0">
    <w:p w14:paraId="1C5E4860" w14:textId="77777777" w:rsidR="00746AD4" w:rsidRDefault="00746AD4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4EB09B0"/>
    <w:multiLevelType w:val="hybridMultilevel"/>
    <w:tmpl w:val="D2605D9A"/>
    <w:lvl w:ilvl="0" w:tplc="0409000F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939BB"/>
    <w:multiLevelType w:val="hybridMultilevel"/>
    <w:tmpl w:val="E3026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14"/>
  </w:num>
  <w:num w:numId="14">
    <w:abstractNumId w:val="19"/>
  </w:num>
  <w:num w:numId="15">
    <w:abstractNumId w:val="21"/>
  </w:num>
  <w:num w:numId="16">
    <w:abstractNumId w:val="20"/>
  </w:num>
  <w:num w:numId="17">
    <w:abstractNumId w:val="13"/>
  </w:num>
  <w:num w:numId="18">
    <w:abstractNumId w:val="14"/>
    <w:lvlOverride w:ilvl="0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06C3"/>
    <w:rsid w:val="000027C0"/>
    <w:rsid w:val="000052FB"/>
    <w:rsid w:val="00006B79"/>
    <w:rsid w:val="00010F40"/>
    <w:rsid w:val="000117CB"/>
    <w:rsid w:val="0003148D"/>
    <w:rsid w:val="00047D7F"/>
    <w:rsid w:val="00047E15"/>
    <w:rsid w:val="00051566"/>
    <w:rsid w:val="00062A9A"/>
    <w:rsid w:val="00062CD8"/>
    <w:rsid w:val="00063D4A"/>
    <w:rsid w:val="00065058"/>
    <w:rsid w:val="00086C39"/>
    <w:rsid w:val="000A03B2"/>
    <w:rsid w:val="000A392E"/>
    <w:rsid w:val="000A3B79"/>
    <w:rsid w:val="000D2AA9"/>
    <w:rsid w:val="000D34BE"/>
    <w:rsid w:val="000D5DFE"/>
    <w:rsid w:val="000D70C3"/>
    <w:rsid w:val="000E102F"/>
    <w:rsid w:val="000E214B"/>
    <w:rsid w:val="000E36F1"/>
    <w:rsid w:val="000E3A73"/>
    <w:rsid w:val="000E414A"/>
    <w:rsid w:val="000F093C"/>
    <w:rsid w:val="000F16BD"/>
    <w:rsid w:val="000F787B"/>
    <w:rsid w:val="00106613"/>
    <w:rsid w:val="00111F64"/>
    <w:rsid w:val="00120173"/>
    <w:rsid w:val="0012091F"/>
    <w:rsid w:val="00126BC2"/>
    <w:rsid w:val="001308B6"/>
    <w:rsid w:val="0013121F"/>
    <w:rsid w:val="00131FAB"/>
    <w:rsid w:val="00131FE6"/>
    <w:rsid w:val="0013263F"/>
    <w:rsid w:val="00134DE4"/>
    <w:rsid w:val="0014034D"/>
    <w:rsid w:val="00150E59"/>
    <w:rsid w:val="00152DE3"/>
    <w:rsid w:val="00162642"/>
    <w:rsid w:val="00164CF9"/>
    <w:rsid w:val="001712D5"/>
    <w:rsid w:val="0017241F"/>
    <w:rsid w:val="00184AD6"/>
    <w:rsid w:val="00186548"/>
    <w:rsid w:val="001869DD"/>
    <w:rsid w:val="001B0349"/>
    <w:rsid w:val="001B65C1"/>
    <w:rsid w:val="001C684B"/>
    <w:rsid w:val="001D53FC"/>
    <w:rsid w:val="001D66A7"/>
    <w:rsid w:val="001F42A5"/>
    <w:rsid w:val="001F7B9D"/>
    <w:rsid w:val="00221C16"/>
    <w:rsid w:val="002224B4"/>
    <w:rsid w:val="002447EF"/>
    <w:rsid w:val="00251550"/>
    <w:rsid w:val="00252C1A"/>
    <w:rsid w:val="002615F6"/>
    <w:rsid w:val="00263B05"/>
    <w:rsid w:val="0027221A"/>
    <w:rsid w:val="00275B61"/>
    <w:rsid w:val="00276CB7"/>
    <w:rsid w:val="00282656"/>
    <w:rsid w:val="00296B83"/>
    <w:rsid w:val="002A535A"/>
    <w:rsid w:val="002B78CE"/>
    <w:rsid w:val="002C0A2A"/>
    <w:rsid w:val="002C0C17"/>
    <w:rsid w:val="002C2FB6"/>
    <w:rsid w:val="002C6514"/>
    <w:rsid w:val="002D079B"/>
    <w:rsid w:val="002D5BCD"/>
    <w:rsid w:val="003009B7"/>
    <w:rsid w:val="00300E56"/>
    <w:rsid w:val="0030469C"/>
    <w:rsid w:val="003160F6"/>
    <w:rsid w:val="00321CA6"/>
    <w:rsid w:val="0033296E"/>
    <w:rsid w:val="00334C09"/>
    <w:rsid w:val="003365E3"/>
    <w:rsid w:val="00341405"/>
    <w:rsid w:val="00360468"/>
    <w:rsid w:val="00361693"/>
    <w:rsid w:val="00363DFA"/>
    <w:rsid w:val="00366542"/>
    <w:rsid w:val="00371058"/>
    <w:rsid w:val="003723D4"/>
    <w:rsid w:val="00384CC8"/>
    <w:rsid w:val="003871FD"/>
    <w:rsid w:val="003A1E30"/>
    <w:rsid w:val="003A7D1C"/>
    <w:rsid w:val="003B304B"/>
    <w:rsid w:val="003B3146"/>
    <w:rsid w:val="003B60F3"/>
    <w:rsid w:val="003C1855"/>
    <w:rsid w:val="003C42F0"/>
    <w:rsid w:val="003E141F"/>
    <w:rsid w:val="003F015E"/>
    <w:rsid w:val="00400414"/>
    <w:rsid w:val="0041446B"/>
    <w:rsid w:val="00417C85"/>
    <w:rsid w:val="004210AB"/>
    <w:rsid w:val="00422842"/>
    <w:rsid w:val="0044329C"/>
    <w:rsid w:val="004577FE"/>
    <w:rsid w:val="00457B9C"/>
    <w:rsid w:val="0046164A"/>
    <w:rsid w:val="004628D2"/>
    <w:rsid w:val="00462DCD"/>
    <w:rsid w:val="00464476"/>
    <w:rsid w:val="004648AD"/>
    <w:rsid w:val="004703A9"/>
    <w:rsid w:val="004760DE"/>
    <w:rsid w:val="004A004E"/>
    <w:rsid w:val="004A24CF"/>
    <w:rsid w:val="004B6721"/>
    <w:rsid w:val="004C3D1D"/>
    <w:rsid w:val="004C7913"/>
    <w:rsid w:val="004E15D5"/>
    <w:rsid w:val="004E43E8"/>
    <w:rsid w:val="004E4DD6"/>
    <w:rsid w:val="004F5E36"/>
    <w:rsid w:val="00507B47"/>
    <w:rsid w:val="00507CC9"/>
    <w:rsid w:val="005119A5"/>
    <w:rsid w:val="005148C5"/>
    <w:rsid w:val="005278B7"/>
    <w:rsid w:val="00532016"/>
    <w:rsid w:val="005346C8"/>
    <w:rsid w:val="00543E7D"/>
    <w:rsid w:val="00546B05"/>
    <w:rsid w:val="00547A68"/>
    <w:rsid w:val="005531C9"/>
    <w:rsid w:val="00581079"/>
    <w:rsid w:val="00582CA5"/>
    <w:rsid w:val="00594B34"/>
    <w:rsid w:val="005B2110"/>
    <w:rsid w:val="005B61E6"/>
    <w:rsid w:val="005C77E1"/>
    <w:rsid w:val="005D2589"/>
    <w:rsid w:val="005D34AA"/>
    <w:rsid w:val="005D6A2F"/>
    <w:rsid w:val="005E1A82"/>
    <w:rsid w:val="005E78FF"/>
    <w:rsid w:val="005E794C"/>
    <w:rsid w:val="005F0A28"/>
    <w:rsid w:val="005F0E5E"/>
    <w:rsid w:val="00600535"/>
    <w:rsid w:val="00601094"/>
    <w:rsid w:val="00610CD6"/>
    <w:rsid w:val="00611809"/>
    <w:rsid w:val="00620DEE"/>
    <w:rsid w:val="00621F92"/>
    <w:rsid w:val="00625639"/>
    <w:rsid w:val="00631B33"/>
    <w:rsid w:val="0064184D"/>
    <w:rsid w:val="006422CC"/>
    <w:rsid w:val="00660E3E"/>
    <w:rsid w:val="006613DC"/>
    <w:rsid w:val="00662E74"/>
    <w:rsid w:val="00673FFA"/>
    <w:rsid w:val="00680C23"/>
    <w:rsid w:val="00693766"/>
    <w:rsid w:val="006A3281"/>
    <w:rsid w:val="006B4888"/>
    <w:rsid w:val="006C2E45"/>
    <w:rsid w:val="006C359C"/>
    <w:rsid w:val="006C5579"/>
    <w:rsid w:val="006E466A"/>
    <w:rsid w:val="006E737D"/>
    <w:rsid w:val="0070195D"/>
    <w:rsid w:val="007107E2"/>
    <w:rsid w:val="00720A24"/>
    <w:rsid w:val="0073165C"/>
    <w:rsid w:val="00732386"/>
    <w:rsid w:val="007447F3"/>
    <w:rsid w:val="00746AD4"/>
    <w:rsid w:val="0075499F"/>
    <w:rsid w:val="00765ACA"/>
    <w:rsid w:val="007661C8"/>
    <w:rsid w:val="0077098D"/>
    <w:rsid w:val="007931FA"/>
    <w:rsid w:val="007A7BBA"/>
    <w:rsid w:val="007B0C50"/>
    <w:rsid w:val="007B1FC9"/>
    <w:rsid w:val="007C1A43"/>
    <w:rsid w:val="007C1B4B"/>
    <w:rsid w:val="007E1DC6"/>
    <w:rsid w:val="007F2DB8"/>
    <w:rsid w:val="008106E1"/>
    <w:rsid w:val="00813288"/>
    <w:rsid w:val="008168FC"/>
    <w:rsid w:val="00830996"/>
    <w:rsid w:val="00831EAF"/>
    <w:rsid w:val="008345F1"/>
    <w:rsid w:val="00865B07"/>
    <w:rsid w:val="008667EA"/>
    <w:rsid w:val="0087637F"/>
    <w:rsid w:val="00876D16"/>
    <w:rsid w:val="008876A7"/>
    <w:rsid w:val="008904B9"/>
    <w:rsid w:val="00892AD5"/>
    <w:rsid w:val="008A1512"/>
    <w:rsid w:val="008B147B"/>
    <w:rsid w:val="008B1AC6"/>
    <w:rsid w:val="008C4397"/>
    <w:rsid w:val="008C78C1"/>
    <w:rsid w:val="008D32B9"/>
    <w:rsid w:val="008D433B"/>
    <w:rsid w:val="008E566E"/>
    <w:rsid w:val="0090161A"/>
    <w:rsid w:val="00901EB6"/>
    <w:rsid w:val="00904C62"/>
    <w:rsid w:val="00924DAC"/>
    <w:rsid w:val="00927058"/>
    <w:rsid w:val="0094360C"/>
    <w:rsid w:val="009450CE"/>
    <w:rsid w:val="00947179"/>
    <w:rsid w:val="009476C9"/>
    <w:rsid w:val="0095164B"/>
    <w:rsid w:val="00954090"/>
    <w:rsid w:val="009573E7"/>
    <w:rsid w:val="009635B9"/>
    <w:rsid w:val="00963E05"/>
    <w:rsid w:val="00967D54"/>
    <w:rsid w:val="009713F2"/>
    <w:rsid w:val="00980310"/>
    <w:rsid w:val="00996483"/>
    <w:rsid w:val="00996F5A"/>
    <w:rsid w:val="009A0A3E"/>
    <w:rsid w:val="009B041A"/>
    <w:rsid w:val="009C7C86"/>
    <w:rsid w:val="009D2FF7"/>
    <w:rsid w:val="009D3187"/>
    <w:rsid w:val="009E2674"/>
    <w:rsid w:val="009E7884"/>
    <w:rsid w:val="009E788A"/>
    <w:rsid w:val="009F0E08"/>
    <w:rsid w:val="009F6C45"/>
    <w:rsid w:val="00A1763D"/>
    <w:rsid w:val="00A17CEC"/>
    <w:rsid w:val="00A25384"/>
    <w:rsid w:val="00A27490"/>
    <w:rsid w:val="00A27EF0"/>
    <w:rsid w:val="00A50B20"/>
    <w:rsid w:val="00A51390"/>
    <w:rsid w:val="00A60D13"/>
    <w:rsid w:val="00A72745"/>
    <w:rsid w:val="00A74B08"/>
    <w:rsid w:val="00A76EFC"/>
    <w:rsid w:val="00A90C2E"/>
    <w:rsid w:val="00A91010"/>
    <w:rsid w:val="00A97F29"/>
    <w:rsid w:val="00AA702E"/>
    <w:rsid w:val="00AB0964"/>
    <w:rsid w:val="00AB5011"/>
    <w:rsid w:val="00AC7368"/>
    <w:rsid w:val="00AD1502"/>
    <w:rsid w:val="00AD16B9"/>
    <w:rsid w:val="00AE377D"/>
    <w:rsid w:val="00B05D2C"/>
    <w:rsid w:val="00B138E2"/>
    <w:rsid w:val="00B17FBD"/>
    <w:rsid w:val="00B315A6"/>
    <w:rsid w:val="00B31813"/>
    <w:rsid w:val="00B33365"/>
    <w:rsid w:val="00B3355D"/>
    <w:rsid w:val="00B34EEC"/>
    <w:rsid w:val="00B4437F"/>
    <w:rsid w:val="00B46F2C"/>
    <w:rsid w:val="00B57B36"/>
    <w:rsid w:val="00B6298D"/>
    <w:rsid w:val="00B75744"/>
    <w:rsid w:val="00B8686D"/>
    <w:rsid w:val="00BB6154"/>
    <w:rsid w:val="00BB7903"/>
    <w:rsid w:val="00BC30C9"/>
    <w:rsid w:val="00BE3E58"/>
    <w:rsid w:val="00BF073B"/>
    <w:rsid w:val="00C01616"/>
    <w:rsid w:val="00C0162B"/>
    <w:rsid w:val="00C14B21"/>
    <w:rsid w:val="00C21173"/>
    <w:rsid w:val="00C345B1"/>
    <w:rsid w:val="00C40142"/>
    <w:rsid w:val="00C5242B"/>
    <w:rsid w:val="00C57182"/>
    <w:rsid w:val="00C57863"/>
    <w:rsid w:val="00C655FD"/>
    <w:rsid w:val="00C77E5A"/>
    <w:rsid w:val="00C8234E"/>
    <w:rsid w:val="00C870A8"/>
    <w:rsid w:val="00C93FEA"/>
    <w:rsid w:val="00C94434"/>
    <w:rsid w:val="00CA0D75"/>
    <w:rsid w:val="00CA1C95"/>
    <w:rsid w:val="00CA5A9C"/>
    <w:rsid w:val="00CA6DC5"/>
    <w:rsid w:val="00CB4BA5"/>
    <w:rsid w:val="00CD3517"/>
    <w:rsid w:val="00CD5A00"/>
    <w:rsid w:val="00CD5FE2"/>
    <w:rsid w:val="00CE0780"/>
    <w:rsid w:val="00CE1BA9"/>
    <w:rsid w:val="00CE57CE"/>
    <w:rsid w:val="00CE7C68"/>
    <w:rsid w:val="00D02B4C"/>
    <w:rsid w:val="00D040C4"/>
    <w:rsid w:val="00D47756"/>
    <w:rsid w:val="00D57C84"/>
    <w:rsid w:val="00D6057D"/>
    <w:rsid w:val="00D63BBC"/>
    <w:rsid w:val="00D84576"/>
    <w:rsid w:val="00DA1399"/>
    <w:rsid w:val="00DA24C6"/>
    <w:rsid w:val="00DA4D7B"/>
    <w:rsid w:val="00DC6D1C"/>
    <w:rsid w:val="00DE264A"/>
    <w:rsid w:val="00E02D18"/>
    <w:rsid w:val="00E041E7"/>
    <w:rsid w:val="00E23CA1"/>
    <w:rsid w:val="00E2698C"/>
    <w:rsid w:val="00E26995"/>
    <w:rsid w:val="00E26D53"/>
    <w:rsid w:val="00E409A8"/>
    <w:rsid w:val="00E50C12"/>
    <w:rsid w:val="00E52B00"/>
    <w:rsid w:val="00E65B91"/>
    <w:rsid w:val="00E6718F"/>
    <w:rsid w:val="00E7209D"/>
    <w:rsid w:val="00E735DF"/>
    <w:rsid w:val="00E77223"/>
    <w:rsid w:val="00E851CA"/>
    <w:rsid w:val="00E8528B"/>
    <w:rsid w:val="00E85B94"/>
    <w:rsid w:val="00E978D0"/>
    <w:rsid w:val="00EA4613"/>
    <w:rsid w:val="00EA7F91"/>
    <w:rsid w:val="00EB1523"/>
    <w:rsid w:val="00EC0E49"/>
    <w:rsid w:val="00EC1DB9"/>
    <w:rsid w:val="00EC4B28"/>
    <w:rsid w:val="00ED42AB"/>
    <w:rsid w:val="00EE0131"/>
    <w:rsid w:val="00EE4F15"/>
    <w:rsid w:val="00F013B1"/>
    <w:rsid w:val="00F155B2"/>
    <w:rsid w:val="00F21E49"/>
    <w:rsid w:val="00F30C64"/>
    <w:rsid w:val="00F32CDB"/>
    <w:rsid w:val="00F41EB0"/>
    <w:rsid w:val="00F63A70"/>
    <w:rsid w:val="00FA21D0"/>
    <w:rsid w:val="00FA5F5F"/>
    <w:rsid w:val="00FB730C"/>
    <w:rsid w:val="00FC2695"/>
    <w:rsid w:val="00FC3E03"/>
    <w:rsid w:val="00FC3FC1"/>
    <w:rsid w:val="00FC7CD9"/>
    <w:rsid w:val="00FD7D80"/>
    <w:rsid w:val="00FD7E0D"/>
    <w:rsid w:val="00FE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A1D98"/>
  <w15:docId w15:val="{B82963CB-80A6-4CF2-8AD6-08A97410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77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DefaultParagraphFont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252C1A"/>
    <w:pPr>
      <w:numPr>
        <w:ilvl w:val="0"/>
        <w:numId w:val="0"/>
      </w:numPr>
      <w:spacing w:after="0"/>
    </w:pPr>
  </w:style>
  <w:style w:type="character" w:customStyle="1" w:styleId="CETHeadingxxChar">
    <w:name w:val="CET Headingxx Char"/>
    <w:basedOn w:val="CETheadingxCarattere"/>
    <w:link w:val="CETHeadingxx"/>
    <w:rsid w:val="00252C1A"/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TableFigureBody">
    <w:name w:val="Table/Figure Body"/>
    <w:basedOn w:val="Normal"/>
    <w:rsid w:val="00EE4F15"/>
    <w:pPr>
      <w:tabs>
        <w:tab w:val="clear" w:pos="7100"/>
        <w:tab w:val="left" w:pos="403"/>
      </w:tabs>
      <w:spacing w:before="60" w:after="60" w:line="220" w:lineRule="atLeast"/>
      <w:jc w:val="left"/>
    </w:pPr>
    <w:rPr>
      <w:rFonts w:eastAsia="PMingLiU"/>
    </w:rPr>
  </w:style>
  <w:style w:type="character" w:styleId="PlaceholderText">
    <w:name w:val="Placeholder Text"/>
    <w:basedOn w:val="DefaultParagraphFont"/>
    <w:uiPriority w:val="99"/>
    <w:semiHidden/>
    <w:rsid w:val="00CE0780"/>
    <w:rPr>
      <w:color w:val="808080"/>
    </w:rPr>
  </w:style>
  <w:style w:type="paragraph" w:styleId="Revision">
    <w:name w:val="Revision"/>
    <w:hidden/>
    <w:uiPriority w:val="99"/>
    <w:semiHidden/>
    <w:rsid w:val="00E6718F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8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64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7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70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macrotrends.net/2480/brent-crude-oil-prices-10-year-daily-char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CBR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2.62 %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87-4C79-BA34-8A910F2A9F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28.25 %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487-4C79-BA34-8A910F2A9F2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3.65 %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487-4C79-BA34-8A910F2A9F2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7.54 %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487-4C79-BA34-8A910F2A9F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Plant 1</c:v>
                </c:pt>
                <c:pt idx="1">
                  <c:v>Plant 2</c:v>
                </c:pt>
                <c:pt idx="2">
                  <c:v>Plant 3</c:v>
                </c:pt>
                <c:pt idx="3">
                  <c:v>Plant 4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2.6200000000000001E-2</c:v>
                </c:pt>
                <c:pt idx="1">
                  <c:v>0.28249999999999997</c:v>
                </c:pt>
                <c:pt idx="2">
                  <c:v>3.6499999999999998E-2</c:v>
                </c:pt>
                <c:pt idx="3">
                  <c:v>7.5399999999999995E-2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C7-4600-87CF-6B5C8AA4B7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WCBR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1.86 %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87-4C79-BA34-8A910F2A9F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1.06 %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87-4C79-BA34-8A910F2A9F2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0.50 %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487-4C79-BA34-8A910F2A9F2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0.88 %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487-4C79-BA34-8A910F2A9F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Plant 1</c:v>
                </c:pt>
                <c:pt idx="1">
                  <c:v>Plant 2</c:v>
                </c:pt>
                <c:pt idx="2">
                  <c:v>Plant 3</c:v>
                </c:pt>
                <c:pt idx="3">
                  <c:v>Plant 4</c:v>
                </c:pt>
              </c:strCache>
            </c:strRef>
          </c:cat>
          <c:val>
            <c:numRef>
              <c:f>Sheet1!$C$2:$C$5</c:f>
              <c:numCache>
                <c:formatCode>0.00%</c:formatCode>
                <c:ptCount val="4"/>
                <c:pt idx="0">
                  <c:v>1.8599999999999998E-2</c:v>
                </c:pt>
                <c:pt idx="1">
                  <c:v>1.06E-2</c:v>
                </c:pt>
                <c:pt idx="2">
                  <c:v>5.0000000000000001E-3</c:v>
                </c:pt>
                <c:pt idx="3">
                  <c:v>8.8000000000000005E-3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C7-4600-87CF-6B5C8AA4B7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23814952"/>
        <c:axId val="923817248"/>
      </c:barChart>
      <c:catAx>
        <c:axId val="923814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23817248"/>
        <c:crosses val="autoZero"/>
        <c:auto val="1"/>
        <c:lblAlgn val="ctr"/>
        <c:lblOffset val="100"/>
        <c:noMultiLvlLbl val="0"/>
      </c:catAx>
      <c:valAx>
        <c:axId val="92381724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23814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6598189781745409"/>
          <c:y val="0.11898271214920082"/>
          <c:w val="0.15359313366710356"/>
          <c:h val="0.11359891020017653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47E42-1166-49D4-9DC7-FCB403B9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2620</Words>
  <Characters>14939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Ratti;decadri.stefano</dc:creator>
  <cp:keywords/>
  <dc:description/>
  <cp:lastModifiedBy>Michele Piola</cp:lastModifiedBy>
  <cp:revision>3</cp:revision>
  <cp:lastPrinted>2019-01-30T08:53:00Z</cp:lastPrinted>
  <dcterms:created xsi:type="dcterms:W3CDTF">2019-04-08T10:22:00Z</dcterms:created>
  <dcterms:modified xsi:type="dcterms:W3CDTF">2019-04-09T11:22:00Z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