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EA7BC" w14:textId="77777777" w:rsidR="00607E6C" w:rsidRDefault="00607E6C"/>
    <w:tbl>
      <w:tblPr>
        <w:tblW w:w="0" w:type="auto"/>
        <w:jc w:val="center"/>
        <w:tblBorders>
          <w:bottom w:val="single" w:sz="4" w:space="0" w:color="auto"/>
        </w:tblBorders>
        <w:tblLook w:val="01E0" w:firstRow="1" w:lastRow="1" w:firstColumn="1" w:lastColumn="1" w:noHBand="0" w:noVBand="0"/>
      </w:tblPr>
      <w:tblGrid>
        <w:gridCol w:w="6946"/>
        <w:gridCol w:w="1843"/>
      </w:tblGrid>
      <w:tr w:rsidR="000A03B2" w14:paraId="4ACE436E" w14:textId="77777777" w:rsidTr="00DE264A">
        <w:trPr>
          <w:trHeight w:val="852"/>
          <w:jc w:val="center"/>
        </w:trPr>
        <w:tc>
          <w:tcPr>
            <w:tcW w:w="6946" w:type="dxa"/>
            <w:vMerge w:val="restart"/>
            <w:tcBorders>
              <w:right w:val="single" w:sz="4" w:space="0" w:color="auto"/>
            </w:tcBorders>
          </w:tcPr>
          <w:p w14:paraId="2D34C9D3" w14:textId="77777777" w:rsidR="000A03B2" w:rsidRPr="0030469C" w:rsidRDefault="000A03B2" w:rsidP="007642B6">
            <w:pPr>
              <w:pStyle w:val="CETBodytextItalic"/>
              <w:rPr>
                <w:sz w:val="12"/>
                <w:szCs w:val="12"/>
                <w:lang w:eastAsia="it-IT"/>
              </w:rPr>
            </w:pPr>
            <w:r>
              <w:rPr>
                <w:rFonts w:ascii="AdvP6960" w:hAnsi="AdvP6960" w:cs="AdvP6960"/>
                <w:noProof/>
                <w:color w:val="241F20"/>
                <w:szCs w:val="18"/>
                <w:lang w:val="it-IT" w:eastAsia="it-IT"/>
              </w:rPr>
              <w:drawing>
                <wp:inline distT="0" distB="0" distL="0" distR="0" wp14:anchorId="6983EAF5" wp14:editId="04D996F8">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0335A">
              <w:rPr>
                <w:rFonts w:ascii="AdvP6960" w:hAnsi="AdvP6960" w:cs="AdvP6960"/>
                <w:color w:val="241F20"/>
                <w:szCs w:val="18"/>
                <w:lang w:eastAsia="it-IT"/>
              </w:rPr>
              <w:t xml:space="preserve"> </w:t>
            </w:r>
            <w:r w:rsidRPr="000E414A">
              <w:rPr>
                <w:lang w:eastAsia="it-IT"/>
              </w:rPr>
              <w:t>CHEMICAL ENGINEERING</w:t>
            </w:r>
            <w:r w:rsidRPr="000E414A">
              <w:rPr>
                <w:color w:val="0033FF"/>
                <w:lang w:eastAsia="it-IT"/>
              </w:rPr>
              <w:t xml:space="preserve"> </w:t>
            </w:r>
            <w:r w:rsidRPr="000E414A">
              <w:rPr>
                <w:color w:val="666666"/>
                <w:lang w:eastAsia="it-IT"/>
              </w:rPr>
              <w:t>TRANSACTIONS</w:t>
            </w:r>
            <w:r w:rsidRPr="00C0335A">
              <w:rPr>
                <w:color w:val="333333"/>
                <w:lang w:eastAsia="it-IT"/>
              </w:rPr>
              <w:t xml:space="preserve"> </w:t>
            </w:r>
            <w:r w:rsidRPr="00C0335A">
              <w:rPr>
                <w:sz w:val="27"/>
                <w:szCs w:val="27"/>
                <w:lang w:eastAsia="it-IT"/>
              </w:rPr>
              <w:br/>
            </w:r>
          </w:p>
          <w:p w14:paraId="5D2F618B" w14:textId="1F2CC66E" w:rsidR="000A03B2" w:rsidRPr="000A03B2" w:rsidRDefault="00245427" w:rsidP="00BE7A08">
            <w:pPr>
              <w:tabs>
                <w:tab w:val="left" w:pos="-108"/>
              </w:tabs>
              <w:ind w:left="-108"/>
              <w:rPr>
                <w:rFonts w:cs="Arial"/>
                <w:b/>
                <w:bCs/>
                <w:i/>
                <w:iCs/>
                <w:color w:val="000066"/>
                <w:sz w:val="22"/>
                <w:szCs w:val="22"/>
                <w:lang w:eastAsia="it-IT"/>
              </w:rPr>
            </w:pPr>
            <w:r w:rsidRPr="00245427">
              <w:rPr>
                <w:rFonts w:cs="Arial"/>
                <w:b/>
                <w:bCs/>
                <w:i/>
                <w:iCs/>
                <w:color w:val="000066"/>
                <w:sz w:val="22"/>
                <w:szCs w:val="22"/>
                <w:lang w:eastAsia="it-IT"/>
              </w:rPr>
              <w:t>VOL. 76, 2019</w:t>
            </w:r>
          </w:p>
        </w:tc>
        <w:tc>
          <w:tcPr>
            <w:tcW w:w="1843" w:type="dxa"/>
            <w:tcBorders>
              <w:left w:val="single" w:sz="4" w:space="0" w:color="auto"/>
              <w:bottom w:val="nil"/>
              <w:right w:val="single" w:sz="4" w:space="0" w:color="auto"/>
            </w:tcBorders>
          </w:tcPr>
          <w:p w14:paraId="7DBDECAE" w14:textId="77777777" w:rsidR="000A03B2" w:rsidRDefault="000A03B2" w:rsidP="00CD5FE2">
            <w:pPr>
              <w:spacing w:line="140" w:lineRule="atLeast"/>
              <w:jc w:val="right"/>
              <w:rPr>
                <w:rFonts w:cs="Arial"/>
                <w:sz w:val="14"/>
                <w:szCs w:val="14"/>
              </w:rPr>
            </w:pPr>
            <w:r w:rsidRPr="00C0335A">
              <w:rPr>
                <w:rFonts w:cs="Arial"/>
                <w:sz w:val="14"/>
                <w:szCs w:val="14"/>
              </w:rPr>
              <w:t>A publication of</w:t>
            </w:r>
          </w:p>
          <w:p w14:paraId="7A2DD195" w14:textId="77777777" w:rsidR="000A03B2" w:rsidRDefault="000A03B2" w:rsidP="00CD5FE2">
            <w:pPr>
              <w:jc w:val="right"/>
            </w:pPr>
            <w:r>
              <w:rPr>
                <w:noProof/>
                <w:lang w:val="it-IT" w:eastAsia="it-IT"/>
              </w:rPr>
              <w:drawing>
                <wp:inline distT="0" distB="0" distL="0" distR="0" wp14:anchorId="2A815308" wp14:editId="3E5B1074">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F2014" w14:paraId="04DF0573" w14:textId="77777777" w:rsidTr="00DE264A">
        <w:trPr>
          <w:trHeight w:val="567"/>
          <w:jc w:val="center"/>
        </w:trPr>
        <w:tc>
          <w:tcPr>
            <w:tcW w:w="6946" w:type="dxa"/>
            <w:vMerge/>
            <w:tcBorders>
              <w:right w:val="single" w:sz="4" w:space="0" w:color="auto"/>
            </w:tcBorders>
          </w:tcPr>
          <w:p w14:paraId="65FDA801" w14:textId="77777777" w:rsidR="000A03B2" w:rsidRDefault="000A03B2" w:rsidP="00CD5FE2">
            <w:pPr>
              <w:tabs>
                <w:tab w:val="left" w:pos="-108"/>
              </w:tabs>
            </w:pPr>
          </w:p>
        </w:tc>
        <w:tc>
          <w:tcPr>
            <w:tcW w:w="1843" w:type="dxa"/>
            <w:tcBorders>
              <w:left w:val="single" w:sz="4" w:space="0" w:color="auto"/>
              <w:bottom w:val="nil"/>
              <w:right w:val="single" w:sz="4" w:space="0" w:color="auto"/>
            </w:tcBorders>
          </w:tcPr>
          <w:p w14:paraId="4F230E6C" w14:textId="77777777" w:rsidR="000A03B2" w:rsidRPr="000E414A" w:rsidRDefault="000A03B2" w:rsidP="00CD5FE2">
            <w:pPr>
              <w:spacing w:line="140" w:lineRule="atLeast"/>
              <w:jc w:val="right"/>
              <w:rPr>
                <w:rFonts w:cs="Arial"/>
                <w:sz w:val="14"/>
                <w:szCs w:val="14"/>
                <w:lang w:val="en-US"/>
              </w:rPr>
            </w:pPr>
            <w:r w:rsidRPr="000E414A">
              <w:rPr>
                <w:rFonts w:cs="Arial"/>
                <w:sz w:val="14"/>
                <w:szCs w:val="14"/>
                <w:lang w:val="en-US"/>
              </w:rPr>
              <w:t>The Italian Association</w:t>
            </w:r>
          </w:p>
          <w:p w14:paraId="0EED19D5" w14:textId="77777777" w:rsidR="000A03B2" w:rsidRPr="000E414A" w:rsidRDefault="000A03B2" w:rsidP="00CD5FE2">
            <w:pPr>
              <w:spacing w:line="140" w:lineRule="atLeast"/>
              <w:jc w:val="right"/>
              <w:rPr>
                <w:rFonts w:cs="Arial"/>
                <w:sz w:val="14"/>
                <w:szCs w:val="14"/>
                <w:lang w:val="en-US"/>
              </w:rPr>
            </w:pPr>
            <w:r w:rsidRPr="000E414A">
              <w:rPr>
                <w:rFonts w:cs="Arial"/>
                <w:sz w:val="14"/>
                <w:szCs w:val="14"/>
                <w:lang w:val="en-US"/>
              </w:rPr>
              <w:t>of Chemical Engineering</w:t>
            </w:r>
          </w:p>
          <w:p w14:paraId="3904B6A1" w14:textId="77777777" w:rsidR="000A03B2" w:rsidRPr="00996483" w:rsidRDefault="000A03B2" w:rsidP="00CD5FE2">
            <w:pPr>
              <w:spacing w:line="140" w:lineRule="atLeast"/>
              <w:jc w:val="right"/>
              <w:rPr>
                <w:rFonts w:cs="Arial"/>
                <w:sz w:val="14"/>
                <w:szCs w:val="14"/>
                <w:lang w:val="en-US"/>
              </w:rPr>
            </w:pPr>
            <w:r w:rsidRPr="0064184D">
              <w:rPr>
                <w:rFonts w:cs="Arial"/>
                <w:sz w:val="14"/>
                <w:szCs w:val="14"/>
                <w:lang w:val="en-US"/>
              </w:rPr>
              <w:t xml:space="preserve">Online at </w:t>
            </w:r>
            <w:r>
              <w:rPr>
                <w:rFonts w:cs="Arial"/>
                <w:sz w:val="14"/>
                <w:szCs w:val="14"/>
                <w:lang w:val="en-US"/>
              </w:rPr>
              <w:t>www.aidic.it/cet</w:t>
            </w:r>
          </w:p>
        </w:tc>
      </w:tr>
      <w:tr w:rsidR="000A03B2" w:rsidRPr="005F2014" w14:paraId="1B506E62" w14:textId="77777777" w:rsidTr="00DE264A">
        <w:trPr>
          <w:trHeight w:val="68"/>
          <w:jc w:val="center"/>
        </w:trPr>
        <w:tc>
          <w:tcPr>
            <w:tcW w:w="8789" w:type="dxa"/>
            <w:gridSpan w:val="2"/>
          </w:tcPr>
          <w:p w14:paraId="46CAF6BD" w14:textId="77777777" w:rsidR="00FE544C" w:rsidRPr="00252C1A" w:rsidRDefault="00FE544C" w:rsidP="00FE544C">
            <w:pPr>
              <w:ind w:left="-107"/>
              <w:rPr>
                <w:lang w:val="it-IT"/>
              </w:rPr>
            </w:pPr>
            <w:r w:rsidRPr="00252C1A">
              <w:rPr>
                <w:rFonts w:ascii="Tahoma" w:hAnsi="Tahoma" w:cs="Tahoma"/>
                <w:iCs/>
                <w:color w:val="333333"/>
                <w:sz w:val="14"/>
                <w:szCs w:val="14"/>
                <w:lang w:val="it-IT" w:eastAsia="it-IT"/>
              </w:rPr>
              <w:t xml:space="preserve">Guest Editors: </w:t>
            </w:r>
            <w:r w:rsidRPr="00252C1A">
              <w:rPr>
                <w:rFonts w:ascii="Tahoma" w:hAnsi="Tahoma" w:cs="Tahoma"/>
                <w:sz w:val="14"/>
                <w:szCs w:val="14"/>
                <w:lang w:val="it-IT"/>
              </w:rPr>
              <w:t xml:space="preserve">Sauro Pierucci, </w:t>
            </w:r>
            <w:r w:rsidRPr="00252C1A">
              <w:rPr>
                <w:rFonts w:ascii="Tahoma" w:hAnsi="Tahoma" w:cs="Tahoma"/>
                <w:sz w:val="14"/>
                <w:szCs w:val="14"/>
                <w:shd w:val="clear" w:color="auto" w:fill="FFFFFF"/>
                <w:lang w:val="it-IT"/>
              </w:rPr>
              <w:t>Jiří Jaromír Klemeš</w:t>
            </w:r>
            <w:r>
              <w:rPr>
                <w:rFonts w:ascii="Tahoma" w:hAnsi="Tahoma" w:cs="Tahoma"/>
                <w:sz w:val="14"/>
                <w:szCs w:val="14"/>
                <w:shd w:val="clear" w:color="auto" w:fill="FFFFFF"/>
                <w:lang w:val="it-IT"/>
              </w:rPr>
              <w:t>, Lau</w:t>
            </w:r>
            <w:r w:rsidRPr="00252C1A">
              <w:rPr>
                <w:rFonts w:ascii="Tahoma" w:hAnsi="Tahoma" w:cs="Tahoma"/>
                <w:sz w:val="14"/>
                <w:szCs w:val="14"/>
                <w:shd w:val="clear" w:color="auto" w:fill="FFFFFF"/>
                <w:lang w:val="it-IT"/>
              </w:rPr>
              <w:t>ra Piazza</w:t>
            </w:r>
          </w:p>
          <w:p w14:paraId="7AE0C0C6" w14:textId="73688913" w:rsidR="000A03B2" w:rsidRPr="00BB15E6" w:rsidRDefault="00FE544C" w:rsidP="00FE544C">
            <w:pPr>
              <w:tabs>
                <w:tab w:val="left" w:pos="-108"/>
              </w:tabs>
              <w:spacing w:line="140" w:lineRule="atLeast"/>
              <w:ind w:left="-108"/>
              <w:jc w:val="left"/>
              <w:rPr>
                <w:lang w:val="en-US"/>
              </w:rPr>
            </w:pPr>
            <w:r>
              <w:rPr>
                <w:rFonts w:ascii="Tahoma" w:hAnsi="Tahoma" w:cs="Tahoma"/>
                <w:iCs/>
                <w:color w:val="333333"/>
                <w:sz w:val="14"/>
                <w:szCs w:val="14"/>
                <w:lang w:eastAsia="it-IT"/>
              </w:rPr>
              <w:t>Copyright © 2019</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131FAB">
              <w:rPr>
                <w:rFonts w:ascii="Tahoma" w:hAnsi="Tahoma" w:cs="Tahoma"/>
                <w:sz w:val="14"/>
                <w:szCs w:val="14"/>
              </w:rPr>
              <w:t>978-88-95608-</w:t>
            </w:r>
            <w:r>
              <w:rPr>
                <w:rFonts w:ascii="Tahoma" w:hAnsi="Tahoma" w:cs="Tahoma"/>
                <w:sz w:val="14"/>
                <w:szCs w:val="14"/>
              </w:rPr>
              <w:t>73</w:t>
            </w:r>
            <w:r w:rsidRPr="00131FAB">
              <w:rPr>
                <w:rFonts w:ascii="Tahoma" w:hAnsi="Tahoma" w:cs="Tahoma"/>
                <w:sz w:val="14"/>
                <w:szCs w:val="14"/>
              </w:rPr>
              <w:t>-</w:t>
            </w:r>
            <w:r>
              <w:rPr>
                <w:rFonts w:ascii="Tahoma" w:hAnsi="Tahoma" w:cs="Tahoma"/>
                <w:sz w:val="14"/>
                <w:szCs w:val="14"/>
              </w:rPr>
              <w:t>0</w:t>
            </w:r>
            <w:r w:rsidRPr="00131FAB">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77A76237" w14:textId="77777777" w:rsidR="000A03B2" w:rsidRPr="000A03B2" w:rsidRDefault="000A03B2" w:rsidP="000A03B2">
      <w:pPr>
        <w:pStyle w:val="CETAuthors"/>
        <w:rPr>
          <w:lang w:val="en-US"/>
        </w:rPr>
        <w:sectPr w:rsidR="000A03B2" w:rsidRPr="000A03B2" w:rsidSect="00CD5FE2">
          <w:type w:val="continuous"/>
          <w:pgSz w:w="11906" w:h="16838" w:code="9"/>
          <w:pgMar w:top="1701" w:right="1418" w:bottom="1701" w:left="1701" w:header="1701" w:footer="0" w:gutter="0"/>
          <w:cols w:space="708"/>
          <w:titlePg/>
          <w:docGrid w:linePitch="360"/>
        </w:sectPr>
      </w:pPr>
    </w:p>
    <w:p w14:paraId="6B6FD628" w14:textId="77777777" w:rsidR="000E414A" w:rsidRPr="00DE264A" w:rsidRDefault="00B51520" w:rsidP="00DE264A">
      <w:pPr>
        <w:pStyle w:val="CETTitle"/>
      </w:pPr>
      <w:r w:rsidRPr="00B51520">
        <w:lastRenderedPageBreak/>
        <w:t xml:space="preserve">Immobilization of </w:t>
      </w:r>
      <w:r w:rsidRPr="00B51520">
        <w:rPr>
          <w:i/>
        </w:rPr>
        <w:t>Actinobacillus succinigenes</w:t>
      </w:r>
      <w:r w:rsidRPr="00B51520">
        <w:t xml:space="preserve"> in alginate beads for succinic acid production</w:t>
      </w:r>
    </w:p>
    <w:p w14:paraId="3C77B83D" w14:textId="4882B4C8" w:rsidR="005346C8" w:rsidRPr="00ED3584" w:rsidRDefault="004A7540" w:rsidP="00D129F4">
      <w:pPr>
        <w:pStyle w:val="CETAuthors"/>
        <w:rPr>
          <w:lang w:val="it-IT"/>
        </w:rPr>
      </w:pPr>
      <w:r>
        <w:rPr>
          <w:lang w:val="it-IT"/>
        </w:rPr>
        <w:t>Alessia</w:t>
      </w:r>
      <w:r w:rsidRPr="00D129F4">
        <w:rPr>
          <w:lang w:val="it-IT"/>
        </w:rPr>
        <w:t xml:space="preserve"> </w:t>
      </w:r>
      <w:r w:rsidR="00D129F4" w:rsidRPr="00D129F4">
        <w:rPr>
          <w:lang w:val="it-IT"/>
        </w:rPr>
        <w:t>Ercole</w:t>
      </w:r>
      <w:r w:rsidR="00D129F4">
        <w:rPr>
          <w:lang w:val="it-IT"/>
        </w:rPr>
        <w:t>, Francesca Raganati</w:t>
      </w:r>
      <w:r w:rsidR="005D78C0">
        <w:rPr>
          <w:lang w:val="it-IT"/>
        </w:rPr>
        <w:t>*</w:t>
      </w:r>
      <w:r w:rsidR="00D129F4">
        <w:rPr>
          <w:lang w:val="it-IT"/>
        </w:rPr>
        <w:t>, Piero Salatino, Antonio Marzocchella</w:t>
      </w:r>
    </w:p>
    <w:p w14:paraId="57E3D1CD" w14:textId="77777777" w:rsidR="00ED3584" w:rsidRDefault="00ED3584" w:rsidP="00ED3584">
      <w:pPr>
        <w:pStyle w:val="CETAddress"/>
        <w:ind w:left="142" w:hanging="142"/>
        <w:rPr>
          <w:lang w:val="it-IT"/>
        </w:rPr>
      </w:pPr>
      <w:r w:rsidRPr="00720970">
        <w:rPr>
          <w:lang w:val="it-IT"/>
        </w:rPr>
        <w:t xml:space="preserve">Dipartimento di Ingegneria Chimica, dei Materiali e della Produzione Industriale </w:t>
      </w:r>
      <w:r>
        <w:rPr>
          <w:lang w:val="it-IT"/>
        </w:rPr>
        <w:t>–</w:t>
      </w:r>
      <w:r w:rsidRPr="00520C0D">
        <w:rPr>
          <w:lang w:val="it-IT"/>
        </w:rPr>
        <w:t xml:space="preserve"> Università degli Studi di Napoli Federico II, P.le V. Tecchio 80, 80125 Napoli – Italy</w:t>
      </w:r>
    </w:p>
    <w:p w14:paraId="59F496EA" w14:textId="77777777" w:rsidR="005346C8" w:rsidRDefault="00D129F4" w:rsidP="00ED3584">
      <w:pPr>
        <w:pStyle w:val="CETemail"/>
      </w:pPr>
      <w:r>
        <w:t>francesca.raganati</w:t>
      </w:r>
      <w:r w:rsidR="00ED3584" w:rsidRPr="005279DC">
        <w:t>@unina.it</w:t>
      </w:r>
    </w:p>
    <w:p w14:paraId="174E6900" w14:textId="1BBE4F4F" w:rsidR="0051074A" w:rsidRDefault="0022277B" w:rsidP="004E71D4">
      <w:pPr>
        <w:pStyle w:val="CETBodytext"/>
      </w:pPr>
      <w:r>
        <w:t>Nowadays the s</w:t>
      </w:r>
      <w:r w:rsidR="0051074A">
        <w:t xml:space="preserve">uccinic acid (SA) </w:t>
      </w:r>
      <w:r>
        <w:t xml:space="preserve">- </w:t>
      </w:r>
      <w:r w:rsidR="0051074A">
        <w:t xml:space="preserve">a C-4 dicarboxylic acid </w:t>
      </w:r>
      <w:r>
        <w:t>-</w:t>
      </w:r>
      <w:r w:rsidR="0051074A">
        <w:t xml:space="preserve"> is considered as one of the most promising platform chemicals produced from renewable resources via </w:t>
      </w:r>
      <w:r w:rsidR="0051074A" w:rsidRPr="00905EB4">
        <w:t xml:space="preserve">fermentation. </w:t>
      </w:r>
      <w:r w:rsidRPr="00905EB4">
        <w:t>E</w:t>
      </w:r>
      <w:r w:rsidR="0051074A" w:rsidRPr="00905EB4">
        <w:t>nhance</w:t>
      </w:r>
      <w:r w:rsidRPr="00905EB4">
        <w:t>ment</w:t>
      </w:r>
      <w:r>
        <w:t xml:space="preserve"> of the</w:t>
      </w:r>
      <w:r w:rsidR="0051074A">
        <w:t xml:space="preserve"> </w:t>
      </w:r>
      <w:r>
        <w:t xml:space="preserve">SA </w:t>
      </w:r>
      <w:r w:rsidR="0051074A">
        <w:t>fermentation efficiency and productivity</w:t>
      </w:r>
      <w:r>
        <w:t xml:space="preserve"> may take advantages from</w:t>
      </w:r>
      <w:r w:rsidR="0051074A">
        <w:t xml:space="preserve"> immobilized cultures</w:t>
      </w:r>
      <w:r>
        <w:t>.</w:t>
      </w:r>
      <w:r w:rsidR="004E71D4">
        <w:t xml:space="preserve">. </w:t>
      </w:r>
    </w:p>
    <w:p w14:paraId="0D368BE0" w14:textId="4463CECF" w:rsidR="00F92BF4" w:rsidRDefault="0051074A" w:rsidP="0051074A">
      <w:pPr>
        <w:pStyle w:val="CETBodytext"/>
      </w:pPr>
      <w:r>
        <w:t xml:space="preserve">This work </w:t>
      </w:r>
      <w:r w:rsidR="00DF1B3A">
        <w:t xml:space="preserve">reports </w:t>
      </w:r>
      <w:r>
        <w:t xml:space="preserve">the immobilization of </w:t>
      </w:r>
      <w:r w:rsidRPr="0051074A">
        <w:rPr>
          <w:i/>
        </w:rPr>
        <w:t>A</w:t>
      </w:r>
      <w:r w:rsidR="0022277B">
        <w:rPr>
          <w:i/>
        </w:rPr>
        <w:t>ctinobacillus</w:t>
      </w:r>
      <w:r w:rsidR="0022277B" w:rsidRPr="0051074A">
        <w:rPr>
          <w:i/>
        </w:rPr>
        <w:t xml:space="preserve"> </w:t>
      </w:r>
      <w:r w:rsidRPr="0051074A">
        <w:rPr>
          <w:i/>
        </w:rPr>
        <w:t>succinogenes</w:t>
      </w:r>
      <w:r w:rsidR="00DF1B3A" w:rsidRPr="00DF1B3A">
        <w:t xml:space="preserve"> </w:t>
      </w:r>
      <w:r w:rsidR="00DF1B3A">
        <w:t>cells</w:t>
      </w:r>
      <w:r>
        <w:t xml:space="preserve"> </w:t>
      </w:r>
      <w:r w:rsidR="00DF1B3A">
        <w:t xml:space="preserve">in </w:t>
      </w:r>
      <w:r>
        <w:t xml:space="preserve">calcium alginate beads. Glucose was used as carbon source for the fermentation. </w:t>
      </w:r>
      <w:r w:rsidR="0022277B">
        <w:t>A</w:t>
      </w:r>
      <w:r>
        <w:t xml:space="preserve"> parallel </w:t>
      </w:r>
      <w:r w:rsidR="00DD3282">
        <w:t xml:space="preserve">fermentation </w:t>
      </w:r>
      <w:r>
        <w:t xml:space="preserve">test </w:t>
      </w:r>
      <w:r w:rsidR="00DD3282">
        <w:t xml:space="preserve">with </w:t>
      </w:r>
      <w:r>
        <w:t>free cell</w:t>
      </w:r>
      <w:r w:rsidR="00DD3282">
        <w:t>s</w:t>
      </w:r>
      <w:r w:rsidR="0022277B">
        <w:t xml:space="preserve"> </w:t>
      </w:r>
      <w:r>
        <w:t xml:space="preserve">was carried out </w:t>
      </w:r>
      <w:r w:rsidR="00F92BF4">
        <w:t>to assess the advantages of the immobilization technology</w:t>
      </w:r>
      <w:r>
        <w:t xml:space="preserve">. </w:t>
      </w:r>
    </w:p>
    <w:p w14:paraId="5940E808" w14:textId="4401AF58" w:rsidR="005346C8" w:rsidRPr="00901EB6" w:rsidRDefault="00F92BF4" w:rsidP="00F92BF4">
      <w:pPr>
        <w:pStyle w:val="CETBodytext"/>
      </w:pPr>
      <w:r>
        <w:t>The</w:t>
      </w:r>
      <w:r w:rsidR="0051074A">
        <w:t xml:space="preserve"> immobilization in alginate beads </w:t>
      </w:r>
      <w:r>
        <w:t xml:space="preserve">was proved to be </w:t>
      </w:r>
      <w:r w:rsidR="0051074A">
        <w:t xml:space="preserve">an effective technique for </w:t>
      </w:r>
      <w:r w:rsidR="00DD3282">
        <w:t>SA</w:t>
      </w:r>
      <w:r w:rsidR="0051074A">
        <w:t xml:space="preserve"> production by </w:t>
      </w:r>
      <w:r>
        <w:rPr>
          <w:i/>
        </w:rPr>
        <w:t>A.</w:t>
      </w:r>
      <w:r w:rsidRPr="0051074A">
        <w:rPr>
          <w:i/>
        </w:rPr>
        <w:t xml:space="preserve"> </w:t>
      </w:r>
      <w:r w:rsidR="0051074A" w:rsidRPr="0051074A">
        <w:rPr>
          <w:i/>
        </w:rPr>
        <w:t>succinogenes</w:t>
      </w:r>
      <w:r w:rsidR="0051074A">
        <w:t>.</w:t>
      </w:r>
      <w:r>
        <w:t xml:space="preserve"> T</w:t>
      </w:r>
      <w:r w:rsidR="0051074A" w:rsidRPr="009D36DB">
        <w:t>he fermentation perf</w:t>
      </w:r>
      <w:r w:rsidR="0051074A" w:rsidRPr="007133BB">
        <w:t>ormances of the immobilized cells were higher than those of the free cells</w:t>
      </w:r>
      <w:r>
        <w:t>.</w:t>
      </w:r>
      <w:r w:rsidRPr="007133BB">
        <w:t xml:space="preserve"> </w:t>
      </w:r>
      <w:r>
        <w:t>I</w:t>
      </w:r>
      <w:r w:rsidRPr="007133BB">
        <w:t xml:space="preserve">n </w:t>
      </w:r>
      <w:r w:rsidR="0051074A" w:rsidRPr="007133BB">
        <w:t>particular</w:t>
      </w:r>
      <w:r>
        <w:t>,</w:t>
      </w:r>
      <w:r w:rsidR="0051074A" w:rsidRPr="007133BB">
        <w:t xml:space="preserve"> </w:t>
      </w:r>
      <w:r w:rsidR="0022277B">
        <w:t xml:space="preserve">at </w:t>
      </w:r>
      <w:r w:rsidR="0051074A" w:rsidRPr="007133BB">
        <w:t xml:space="preserve">initial glucose concentrations of 40 g/L </w:t>
      </w:r>
      <w:r w:rsidR="0065770E" w:rsidRPr="007133BB">
        <w:t>the maximum productivity in immobilized cells fermentation</w:t>
      </w:r>
      <w:r w:rsidR="00EB5BCF">
        <w:t xml:space="preserve"> (0.77 g/Lh)</w:t>
      </w:r>
      <w:r w:rsidR="0065770E" w:rsidRPr="007133BB">
        <w:t xml:space="preserve"> is </w:t>
      </w:r>
      <w:r w:rsidR="00EB5BCF">
        <w:t xml:space="preserve">more than </w:t>
      </w:r>
      <w:r w:rsidR="0065770E" w:rsidRPr="007133BB">
        <w:t>twice th</w:t>
      </w:r>
      <w:r>
        <w:t>at measured for</w:t>
      </w:r>
      <w:r w:rsidR="0065770E" w:rsidRPr="007133BB">
        <w:t xml:space="preserve"> free cells</w:t>
      </w:r>
      <w:r w:rsidR="00EB5BCF">
        <w:t xml:space="preserve"> (0.32</w:t>
      </w:r>
      <w:r w:rsidR="006643CE">
        <w:t xml:space="preserve"> g/Lh</w:t>
      </w:r>
      <w:r w:rsidR="00EB5BCF">
        <w:t>)</w:t>
      </w:r>
      <w:r w:rsidR="0065770E" w:rsidRPr="007133BB">
        <w:t>.</w:t>
      </w:r>
    </w:p>
    <w:p w14:paraId="2A12703F" w14:textId="77777777" w:rsidR="005346C8" w:rsidRDefault="00ED3584" w:rsidP="004F5E36">
      <w:pPr>
        <w:pStyle w:val="CETHeading1"/>
      </w:pPr>
      <w:r>
        <w:t>Introduction</w:t>
      </w:r>
    </w:p>
    <w:p w14:paraId="4B32A075" w14:textId="27CFB59D" w:rsidR="002B434A" w:rsidRDefault="000519C2" w:rsidP="000519C2">
      <w:pPr>
        <w:pStyle w:val="CETBodytext"/>
      </w:pPr>
      <w:r>
        <w:t xml:space="preserve">The worldwide consumption of fossil resources has increased the interest </w:t>
      </w:r>
      <w:r w:rsidR="00C4587F">
        <w:t xml:space="preserve">in </w:t>
      </w:r>
      <w:r>
        <w:t>alternative routes for sustainable production of commodities. The development of highly efficient and cost-effective biorefineries is a prerequisite for the transition from today’s fossil-based economy toward</w:t>
      </w:r>
      <w:r w:rsidR="00DF1B3A">
        <w:t>s</w:t>
      </w:r>
      <w:r>
        <w:t xml:space="preserve"> a bio-based economy.</w:t>
      </w:r>
      <w:r w:rsidR="0051074A" w:rsidRPr="0051074A">
        <w:t xml:space="preserve"> </w:t>
      </w:r>
      <w:r w:rsidR="00530821">
        <w:t>The succinic acid (</w:t>
      </w:r>
      <w:r w:rsidR="00DF1B3A">
        <w:t>SA</w:t>
      </w:r>
      <w:r w:rsidR="00530821">
        <w:t>)</w:t>
      </w:r>
      <w:r w:rsidR="0051074A" w:rsidRPr="0051074A">
        <w:t xml:space="preserve"> is a precursor for many chemicals in the food, pharmaceutical, cosmetic, and plastics industries.</w:t>
      </w:r>
    </w:p>
    <w:p w14:paraId="6CF8FB59" w14:textId="51402A4D" w:rsidR="002B434A" w:rsidRDefault="002B434A" w:rsidP="000519C2">
      <w:pPr>
        <w:pStyle w:val="CETBodytext"/>
      </w:pPr>
      <w:r w:rsidRPr="002B434A">
        <w:t xml:space="preserve">Historically, prices for </w:t>
      </w:r>
      <w:r>
        <w:t>petroleum</w:t>
      </w:r>
      <w:r w:rsidRPr="002B434A">
        <w:t xml:space="preserve">-based </w:t>
      </w:r>
      <w:r>
        <w:t>SA</w:t>
      </w:r>
      <w:r w:rsidRPr="002B434A">
        <w:t xml:space="preserve"> range</w:t>
      </w:r>
      <w:r>
        <w:t xml:space="preserve"> between US$ 5/kg and US$ 9/kg.</w:t>
      </w:r>
      <w:r w:rsidRPr="002B434A">
        <w:t xml:space="preserve"> In 2013, these prices were reported to be between US$ 2.40/ kg and US$ 2.60/kg, while those for bio-based succinic acid were in the range of US$ 2.86/kg to US$ 3.00/kg, depending on the suppl</w:t>
      </w:r>
      <w:r>
        <w:t>ier and on the chemical specification. Th</w:t>
      </w:r>
      <w:r w:rsidRPr="002B434A">
        <w:t>e main current p</w:t>
      </w:r>
      <w:r>
        <w:t>roduction route is through oxi</w:t>
      </w:r>
      <w:r w:rsidRPr="002B434A">
        <w:t>dation of n-butane to produce maleic anhydride, which is then hydrogenated and hydrolyzed</w:t>
      </w:r>
      <w:r>
        <w:t xml:space="preserve"> (Klein et al., 2017)</w:t>
      </w:r>
      <w:r w:rsidRPr="002B434A">
        <w:t>.</w:t>
      </w:r>
    </w:p>
    <w:p w14:paraId="1E8584A9" w14:textId="667715F5" w:rsidR="00EC0687" w:rsidRDefault="000519C2" w:rsidP="000519C2">
      <w:pPr>
        <w:pStyle w:val="CETBodytext"/>
      </w:pPr>
      <w:r>
        <w:t xml:space="preserve">The industrial development of bio-based </w:t>
      </w:r>
      <w:r w:rsidR="00DF1B3A">
        <w:t>SA</w:t>
      </w:r>
      <w:r>
        <w:t xml:space="preserve"> is currently considered as the fastest growing market towards the bio-economy era. </w:t>
      </w:r>
      <w:r w:rsidR="00EC0687">
        <w:t>Th</w:t>
      </w:r>
      <w:r w:rsidR="00EC0687" w:rsidRPr="00EC0687">
        <w:t>e market for</w:t>
      </w:r>
      <w:r w:rsidR="00EC0687">
        <w:t xml:space="preserve"> succinic acid in 2011 was 40</w:t>
      </w:r>
      <w:r w:rsidR="00EC0687" w:rsidRPr="00EC0687">
        <w:t xml:space="preserve">000 tonnes and </w:t>
      </w:r>
      <w:r w:rsidR="00EC0687">
        <w:t>is expected to rise to approximately 600000 tonnes by 2020.</w:t>
      </w:r>
      <w:r w:rsidR="00EC0687" w:rsidRPr="00EC0687">
        <w:t xml:space="preserve"> Most of this growth is forecast to come from the u</w:t>
      </w:r>
      <w:r w:rsidR="00EC0687">
        <w:t>se of succinic acid as a build</w:t>
      </w:r>
      <w:r w:rsidR="00EC0687" w:rsidRPr="00EC0687">
        <w:t>ing block for the development of bio-based markets</w:t>
      </w:r>
      <w:r w:rsidR="00EC0687">
        <w:t xml:space="preserve"> (Klein et al., 2017)</w:t>
      </w:r>
      <w:r w:rsidR="00EC0687" w:rsidRPr="00EC0687">
        <w:t xml:space="preserve">. </w:t>
      </w:r>
    </w:p>
    <w:p w14:paraId="733CE7B6" w14:textId="748FDDD4" w:rsidR="000519C2" w:rsidRPr="005D30EC" w:rsidRDefault="000519C2" w:rsidP="000519C2">
      <w:pPr>
        <w:pStyle w:val="CETBodytext"/>
      </w:pPr>
      <w:r>
        <w:t xml:space="preserve">Microbial production of SA </w:t>
      </w:r>
      <w:r w:rsidR="00530821">
        <w:t xml:space="preserve">at </w:t>
      </w:r>
      <w:r>
        <w:t xml:space="preserve">high fermentation efficiency can be achieved using </w:t>
      </w:r>
      <w:r w:rsidR="000E3660">
        <w:t>wild strains</w:t>
      </w:r>
      <w:r>
        <w:t>, such as bacteria isolated from anaerobic environments</w:t>
      </w:r>
      <w:r w:rsidR="000E3660">
        <w:t xml:space="preserve"> (e.g. </w:t>
      </w:r>
      <w:r w:rsidR="00FE17A6">
        <w:t xml:space="preserve">cow </w:t>
      </w:r>
      <w:r w:rsidR="00FE17A6" w:rsidRPr="00FE17A6">
        <w:t>stomach</w:t>
      </w:r>
      <w:r w:rsidR="00FE17A6">
        <w:t>)</w:t>
      </w:r>
      <w:r>
        <w:t xml:space="preserve">. </w:t>
      </w:r>
      <w:r w:rsidRPr="00251C75">
        <w:rPr>
          <w:i/>
        </w:rPr>
        <w:t>A</w:t>
      </w:r>
      <w:r w:rsidR="00FE17A6">
        <w:rPr>
          <w:i/>
        </w:rPr>
        <w:t>ctinobacillus</w:t>
      </w:r>
      <w:r w:rsidR="00FE17A6" w:rsidRPr="00251C75">
        <w:rPr>
          <w:i/>
        </w:rPr>
        <w:t xml:space="preserve"> </w:t>
      </w:r>
      <w:r w:rsidRPr="00251C75">
        <w:rPr>
          <w:i/>
        </w:rPr>
        <w:t>succinogenes</w:t>
      </w:r>
      <w:r>
        <w:t xml:space="preserve"> has been used for the production of SA </w:t>
      </w:r>
      <w:r w:rsidR="00FE17A6">
        <w:t xml:space="preserve">using </w:t>
      </w:r>
      <w:r>
        <w:t xml:space="preserve">a wide </w:t>
      </w:r>
      <w:r w:rsidR="00FE17A6">
        <w:t xml:space="preserve">spectrum </w:t>
      </w:r>
      <w:r>
        <w:t>of feedstocks</w:t>
      </w:r>
      <w:r w:rsidR="00FE17A6">
        <w:t xml:space="preserve">: </w:t>
      </w:r>
      <w:r>
        <w:t xml:space="preserve">lignocellulosic </w:t>
      </w:r>
      <w:r w:rsidR="00FE17A6">
        <w:t xml:space="preserve">based </w:t>
      </w:r>
      <w:r>
        <w:t>materials, food supply chain wastes</w:t>
      </w:r>
      <w:r w:rsidR="00FE17A6">
        <w:t>,</w:t>
      </w:r>
      <w:r>
        <w:t xml:space="preserve"> and industrial waste streams. </w:t>
      </w:r>
      <w:r w:rsidRPr="00251C75">
        <w:rPr>
          <w:i/>
        </w:rPr>
        <w:t>A. succinogenes</w:t>
      </w:r>
      <w:r>
        <w:t xml:space="preserve"> </w:t>
      </w:r>
      <w:r w:rsidR="00FE17A6">
        <w:t xml:space="preserve">is characterized </w:t>
      </w:r>
      <w:r>
        <w:t xml:space="preserve">to produce SA at relatively high concentration </w:t>
      </w:r>
      <w:r w:rsidR="00FE17A6">
        <w:t xml:space="preserve">by </w:t>
      </w:r>
      <w:r>
        <w:t>converting a wide spectrum of hexoses, pentoses, mono-, and di-</w:t>
      </w:r>
      <w:r w:rsidRPr="005D30EC">
        <w:t xml:space="preserve">saccharides </w:t>
      </w:r>
      <w:r w:rsidRPr="00A77E22">
        <w:t>under anaerobic condition</w:t>
      </w:r>
      <w:r w:rsidR="00FE17A6">
        <w:t>s</w:t>
      </w:r>
      <w:r w:rsidRPr="00A77E22">
        <w:t xml:space="preserve"> (</w:t>
      </w:r>
      <w:r w:rsidR="0051563E" w:rsidRPr="00DE5787">
        <w:t xml:space="preserve">Ferone </w:t>
      </w:r>
      <w:r w:rsidRPr="00DE5787">
        <w:t xml:space="preserve">et al., </w:t>
      </w:r>
      <w:r w:rsidR="0051563E" w:rsidRPr="00DE5787">
        <w:t>2016)</w:t>
      </w:r>
      <w:r w:rsidRPr="00DE5787">
        <w:t>.</w:t>
      </w:r>
    </w:p>
    <w:p w14:paraId="029215C0" w14:textId="525A5DE3" w:rsidR="000519C2" w:rsidRDefault="000519C2" w:rsidP="000519C2">
      <w:pPr>
        <w:pStyle w:val="CETBodytext"/>
      </w:pPr>
      <w:r>
        <w:t>The key factors for the industrial process</w:t>
      </w:r>
      <w:r w:rsidR="00FE17A6">
        <w:t xml:space="preserve"> success</w:t>
      </w:r>
      <w:r>
        <w:t xml:space="preserve"> </w:t>
      </w:r>
      <w:r w:rsidR="00FE17A6">
        <w:t xml:space="preserve">to </w:t>
      </w:r>
      <w:r>
        <w:t>produc</w:t>
      </w:r>
      <w:r w:rsidR="00FE17A6">
        <w:t>e</w:t>
      </w:r>
      <w:r>
        <w:t xml:space="preserve"> SA via the biotechnological route include: i) the selection of a SA-producing microorganism; ii) the selection of the feedstock</w:t>
      </w:r>
      <w:r w:rsidR="00FE17A6">
        <w:t>, cheap and easy to be pretreated/hydrolyzed</w:t>
      </w:r>
      <w:r>
        <w:t xml:space="preserve"> to produce C5 and C6 sugars; iii) </w:t>
      </w:r>
      <w:r w:rsidR="009D4BC9">
        <w:t xml:space="preserve">the development of high throughput bioreactor; </w:t>
      </w:r>
      <w:r>
        <w:t>iv) the development of an efficient recovery process for succinic acid.</w:t>
      </w:r>
    </w:p>
    <w:p w14:paraId="29FF785E" w14:textId="032C5682" w:rsidR="00ED208A" w:rsidRDefault="009D4BC9" w:rsidP="000519C2">
      <w:pPr>
        <w:pStyle w:val="CETBodytext"/>
      </w:pPr>
      <w:r>
        <w:t xml:space="preserve">A strategy </w:t>
      </w:r>
      <w:r w:rsidR="000519C2">
        <w:t xml:space="preserve">to enhance </w:t>
      </w:r>
      <w:r w:rsidR="00832944">
        <w:t xml:space="preserve">the </w:t>
      </w:r>
      <w:r w:rsidR="000519C2">
        <w:t>fermentation efficiency</w:t>
      </w:r>
      <w:r w:rsidR="00832944">
        <w:t xml:space="preserve"> is</w:t>
      </w:r>
      <w:r w:rsidR="000519C2">
        <w:t xml:space="preserve"> the application of </w:t>
      </w:r>
      <w:r w:rsidR="00832944">
        <w:t>high-cell concentration bioreactors. In particular, i</w:t>
      </w:r>
      <w:r w:rsidR="000519C2">
        <w:t xml:space="preserve">mmobilized cultures </w:t>
      </w:r>
      <w:r w:rsidR="00832944">
        <w:t>are a promising</w:t>
      </w:r>
      <w:r w:rsidR="000519C2">
        <w:t xml:space="preserve"> </w:t>
      </w:r>
      <w:r w:rsidR="00832944">
        <w:t>techn</w:t>
      </w:r>
      <w:r w:rsidR="000519C2">
        <w:t>ology</w:t>
      </w:r>
      <w:r w:rsidR="00832944">
        <w:t>. Indeed</w:t>
      </w:r>
      <w:r w:rsidR="000519C2">
        <w:t xml:space="preserve">, immobilized cultures have </w:t>
      </w:r>
      <w:r w:rsidR="00832944">
        <w:t>many</w:t>
      </w:r>
      <w:r w:rsidR="000519C2">
        <w:t xml:space="preserve"> </w:t>
      </w:r>
      <w:r w:rsidR="000519C2">
        <w:lastRenderedPageBreak/>
        <w:t>advantages with respect to free-cell cultures: i) high fermentation yield: ii) re-</w:t>
      </w:r>
      <w:r w:rsidR="00832944">
        <w:t xml:space="preserve">cycle of </w:t>
      </w:r>
      <w:r w:rsidR="000519C2">
        <w:t>the biocatalyst</w:t>
      </w:r>
      <w:r w:rsidR="00832944">
        <w:t>s</w:t>
      </w:r>
      <w:r w:rsidR="000519C2">
        <w:t xml:space="preserve">; iii) continuous processing; iv) </w:t>
      </w:r>
      <w:r w:rsidR="00A00802">
        <w:t xml:space="preserve">high tolerance </w:t>
      </w:r>
      <w:r w:rsidR="000519C2">
        <w:t xml:space="preserve">of the microbial to inhibitors. </w:t>
      </w:r>
    </w:p>
    <w:p w14:paraId="24B97C27" w14:textId="0C18D3C8" w:rsidR="000519C2" w:rsidRDefault="000519C2" w:rsidP="000519C2">
      <w:pPr>
        <w:pStyle w:val="CETBodytext"/>
      </w:pPr>
      <w:r>
        <w:t xml:space="preserve">The production of SA using immobilized cultures of </w:t>
      </w:r>
      <w:r w:rsidRPr="0051074A">
        <w:rPr>
          <w:i/>
        </w:rPr>
        <w:t>A. succinogenes</w:t>
      </w:r>
      <w:r>
        <w:t xml:space="preserve"> has been investigated by </w:t>
      </w:r>
      <w:r w:rsidR="00217528" w:rsidRPr="00DE5787">
        <w:t>Corona-Gonzàlez et al. (201</w:t>
      </w:r>
      <w:r w:rsidRPr="00DE5787">
        <w:t>4)</w:t>
      </w:r>
      <w:r w:rsidRPr="00A52F81">
        <w:rPr>
          <w:color w:val="FF0000"/>
        </w:rPr>
        <w:t xml:space="preserve"> </w:t>
      </w:r>
      <w:r>
        <w:t>by adhesion or entrapment on various supports such as zeolite, agar and poly-acrylamide hydrogel. The</w:t>
      </w:r>
      <w:r w:rsidR="00A00802">
        <w:t xml:space="preserve">y reported a </w:t>
      </w:r>
      <w:r>
        <w:t xml:space="preserve">production of SA </w:t>
      </w:r>
      <w:r w:rsidR="00A00802">
        <w:t xml:space="preserve">of </w:t>
      </w:r>
      <w:r>
        <w:t>43.4 g/L using glucose as single carbon source by entrapping cells in agar beads.</w:t>
      </w:r>
      <w:r w:rsidR="00A00802">
        <w:t xml:space="preserve"> </w:t>
      </w:r>
      <w:r w:rsidRPr="00DE5787">
        <w:t>Yan et al. (2014)</w:t>
      </w:r>
      <w:r w:rsidRPr="00A52F81">
        <w:rPr>
          <w:color w:val="FF0000"/>
        </w:rPr>
        <w:t xml:space="preserve"> </w:t>
      </w:r>
      <w:r>
        <w:t xml:space="preserve">produced 55.3 g/L of SA with immobilized cells of </w:t>
      </w:r>
      <w:r w:rsidRPr="00251C75">
        <w:rPr>
          <w:i/>
        </w:rPr>
        <w:t>A. succinogenes</w:t>
      </w:r>
      <w:r>
        <w:t xml:space="preserve"> on a cotton cloth in a continuous fiber bed bioreactor using glucose as substrate.</w:t>
      </w:r>
      <w:r w:rsidR="003C7BD8">
        <w:t xml:space="preserve"> </w:t>
      </w:r>
      <w:r>
        <w:t xml:space="preserve">Immobilized cultures of </w:t>
      </w:r>
      <w:r w:rsidRPr="00A52F81">
        <w:rPr>
          <w:i/>
        </w:rPr>
        <w:t>A. succinogenes</w:t>
      </w:r>
      <w:r>
        <w:t xml:space="preserve"> on alginate beads were tested by </w:t>
      </w:r>
      <w:r w:rsidRPr="00DE5787">
        <w:t>Alexandri et al. (2017</w:t>
      </w:r>
      <w:r w:rsidRPr="009E5094">
        <w:t>)</w:t>
      </w:r>
      <w:r>
        <w:t xml:space="preserve"> obtaining a final SA concentration and yield of 35.4 g/L and 0.61 g/g, respectively, using spent sulfite liquor as fermentation medium.</w:t>
      </w:r>
    </w:p>
    <w:p w14:paraId="7ADCB191" w14:textId="08B597B9" w:rsidR="000519C2" w:rsidRPr="000519C2" w:rsidRDefault="00E61D5D" w:rsidP="000519C2">
      <w:pPr>
        <w:pStyle w:val="CETBodytext"/>
      </w:pPr>
      <w:r w:rsidRPr="008F56B5">
        <w:t xml:space="preserve">Present study reports </w:t>
      </w:r>
      <w:r w:rsidR="000519C2" w:rsidRPr="00DF3086">
        <w:t xml:space="preserve">the production of </w:t>
      </w:r>
      <w:r w:rsidR="00DD1FD8" w:rsidRPr="00DF3086">
        <w:t>SA</w:t>
      </w:r>
      <w:r w:rsidR="000519C2" w:rsidRPr="00DF3086">
        <w:t xml:space="preserve"> via microbial fermentation by entrapping the producing strain </w:t>
      </w:r>
      <w:r w:rsidR="000519C2" w:rsidRPr="00DF3086">
        <w:rPr>
          <w:i/>
        </w:rPr>
        <w:t>A. succinogenes</w:t>
      </w:r>
      <w:r w:rsidR="000519C2" w:rsidRPr="00674332">
        <w:t xml:space="preserve"> in alginate beads</w:t>
      </w:r>
      <w:r w:rsidRPr="000D0659">
        <w:t>.</w:t>
      </w:r>
      <w:r w:rsidR="000519C2" w:rsidRPr="000D0659">
        <w:t xml:space="preserve"> </w:t>
      </w:r>
      <w:r w:rsidRPr="000D0659">
        <w:t xml:space="preserve">The </w:t>
      </w:r>
      <w:r w:rsidR="000519C2" w:rsidRPr="000D0659">
        <w:t>compar</w:t>
      </w:r>
      <w:r w:rsidRPr="000D0659">
        <w:t xml:space="preserve">ison of the fermentation performances with those assessed for </w:t>
      </w:r>
      <w:r w:rsidR="000519C2" w:rsidRPr="008F56B5">
        <w:t>free cell culture</w:t>
      </w:r>
      <w:r w:rsidR="00DD1FD8" w:rsidRPr="008F56B5">
        <w:t>s</w:t>
      </w:r>
      <w:r w:rsidRPr="008F56B5">
        <w:t xml:space="preserve"> is also reported.</w:t>
      </w:r>
    </w:p>
    <w:p w14:paraId="7F94F9DD" w14:textId="77777777" w:rsidR="005346C8" w:rsidRPr="00347EB5" w:rsidRDefault="00ED3584" w:rsidP="00190D14">
      <w:pPr>
        <w:pStyle w:val="CETHeading1"/>
        <w:tabs>
          <w:tab w:val="right" w:pos="7100"/>
        </w:tabs>
        <w:jc w:val="both"/>
        <w:rPr>
          <w:lang w:val="en-GB"/>
        </w:rPr>
      </w:pPr>
      <w:r>
        <w:rPr>
          <w:lang w:val="en-GB"/>
        </w:rPr>
        <w:t>Materials and Method</w:t>
      </w:r>
      <w:r w:rsidR="005346C8" w:rsidRPr="00347EB5">
        <w:rPr>
          <w:lang w:val="en-GB"/>
        </w:rPr>
        <w:t>s</w:t>
      </w:r>
    </w:p>
    <w:p w14:paraId="11428C99" w14:textId="77777777" w:rsidR="00190D14" w:rsidRDefault="00190D14" w:rsidP="00190D14">
      <w:pPr>
        <w:pStyle w:val="CETheadingx"/>
        <w:tabs>
          <w:tab w:val="right" w:pos="7100"/>
        </w:tabs>
        <w:spacing w:after="0"/>
        <w:jc w:val="both"/>
        <w:rPr>
          <w:lang w:val="en-GB"/>
        </w:rPr>
      </w:pPr>
      <w:r>
        <w:rPr>
          <w:lang w:val="en-GB"/>
        </w:rPr>
        <w:t>Microorganism</w:t>
      </w:r>
      <w:r w:rsidR="00C472FB">
        <w:rPr>
          <w:lang w:val="en-GB"/>
        </w:rPr>
        <w:t xml:space="preserve"> and media</w:t>
      </w:r>
    </w:p>
    <w:p w14:paraId="4118800E" w14:textId="4DC8759F" w:rsidR="00852CBD" w:rsidRDefault="00852CBD" w:rsidP="00536EC3">
      <w:pPr>
        <w:pStyle w:val="CETBodytext"/>
        <w:rPr>
          <w:rFonts w:cs="Arial"/>
          <w:lang w:val="en-GB"/>
        </w:rPr>
      </w:pPr>
      <w:r>
        <w:rPr>
          <w:rFonts w:cs="Arial"/>
          <w:i/>
          <w:lang w:val="en-GB"/>
        </w:rPr>
        <w:t>Actinobacillus</w:t>
      </w:r>
      <w:r w:rsidR="00A52F81" w:rsidRPr="00A52F81">
        <w:rPr>
          <w:rFonts w:cs="Arial"/>
          <w:i/>
          <w:lang w:val="en-GB"/>
        </w:rPr>
        <w:t xml:space="preserve"> succinogenes</w:t>
      </w:r>
      <w:r w:rsidR="00A52F81" w:rsidRPr="00A52F81">
        <w:rPr>
          <w:rFonts w:cs="Arial"/>
          <w:lang w:val="en-GB"/>
        </w:rPr>
        <w:t xml:space="preserve"> DSM 22257 was supplied by DSMZ. Stock cultures were reactivated according to the procedure suggested by the supplier. Reactivated cultures were stored at −80 °C</w:t>
      </w:r>
      <w:r w:rsidR="0051563E">
        <w:rPr>
          <w:rFonts w:cs="Arial"/>
          <w:lang w:val="en-GB"/>
        </w:rPr>
        <w:t xml:space="preserve"> (Ferone </w:t>
      </w:r>
      <w:r w:rsidR="000D0659">
        <w:rPr>
          <w:rFonts w:cs="Arial"/>
          <w:lang w:val="en-GB"/>
        </w:rPr>
        <w:t>et al.,2018</w:t>
      </w:r>
      <w:r w:rsidR="0051563E">
        <w:rPr>
          <w:rFonts w:cs="Arial"/>
          <w:lang w:val="en-GB"/>
        </w:rPr>
        <w:t>)</w:t>
      </w:r>
    </w:p>
    <w:p w14:paraId="5A945C47" w14:textId="12CAED48" w:rsidR="00C472FB" w:rsidRPr="00C472FB" w:rsidRDefault="00A52F81" w:rsidP="00536EC3">
      <w:pPr>
        <w:pStyle w:val="CETBodytext"/>
        <w:rPr>
          <w:rFonts w:cs="Arial"/>
          <w:lang w:val="en-GB"/>
        </w:rPr>
      </w:pPr>
      <w:r w:rsidRPr="00A52F81">
        <w:rPr>
          <w:rFonts w:cs="Arial"/>
          <w:lang w:val="en-GB"/>
        </w:rPr>
        <w:t>The thawed cells were inoculated in 15 mL Hungate tubes containing 12 mL of Brain Heart In</w:t>
      </w:r>
      <w:r w:rsidR="00852CBD">
        <w:rPr>
          <w:rFonts w:cs="Arial"/>
          <w:lang w:val="en-GB"/>
        </w:rPr>
        <w:t>fusion broth (BHI</w:t>
      </w:r>
      <w:r w:rsidR="00574150">
        <w:rPr>
          <w:rFonts w:cs="Arial"/>
          <w:lang w:val="en-GB"/>
        </w:rPr>
        <w:t>, from Sigma-Aldrich</w:t>
      </w:r>
      <w:r w:rsidR="00852CBD">
        <w:rPr>
          <w:rFonts w:cs="Arial"/>
          <w:lang w:val="en-GB"/>
        </w:rPr>
        <w:t>).</w:t>
      </w:r>
      <w:r w:rsidR="00DD1FD8">
        <w:rPr>
          <w:rFonts w:cs="Arial"/>
          <w:lang w:val="en-GB"/>
        </w:rPr>
        <w:t xml:space="preserve"> </w:t>
      </w:r>
      <w:r w:rsidRPr="00A52F81">
        <w:rPr>
          <w:rFonts w:cs="Arial"/>
          <w:lang w:val="en-GB"/>
        </w:rPr>
        <w:t>Cells were grown in anaerobic conditions for 24 h at 37 °C and the agitation was provided by a rotary shaker (150 rpm). Then, the precultures were inoculated into fermentation bottles.</w:t>
      </w:r>
      <w:r w:rsidR="006D5192">
        <w:rPr>
          <w:rFonts w:cs="Arial"/>
          <w:lang w:val="en-GB"/>
        </w:rPr>
        <w:t xml:space="preserve"> </w:t>
      </w:r>
      <w:r w:rsidRPr="00A52F81">
        <w:rPr>
          <w:rFonts w:cs="Arial"/>
          <w:lang w:val="en-GB"/>
        </w:rPr>
        <w:t>The feeding medium consisted of: 5 g/L Yeast Extract (nitrogen source), 1 g/L NaCl, 0.3 g/L Na</w:t>
      </w:r>
      <w:r w:rsidRPr="00852CBD">
        <w:rPr>
          <w:rFonts w:cs="Arial"/>
          <w:vertAlign w:val="subscript"/>
          <w:lang w:val="en-GB"/>
        </w:rPr>
        <w:t>2</w:t>
      </w:r>
      <w:r w:rsidRPr="00A52F81">
        <w:rPr>
          <w:rFonts w:cs="Arial"/>
          <w:lang w:val="en-GB"/>
        </w:rPr>
        <w:t>HPO</w:t>
      </w:r>
      <w:r w:rsidRPr="00852CBD">
        <w:rPr>
          <w:rFonts w:cs="Arial"/>
          <w:vertAlign w:val="subscript"/>
          <w:lang w:val="en-GB"/>
        </w:rPr>
        <w:t>4</w:t>
      </w:r>
      <w:r w:rsidRPr="00A52F81">
        <w:rPr>
          <w:rFonts w:cs="Arial"/>
          <w:lang w:val="en-GB"/>
        </w:rPr>
        <w:t>, 1.4 g/L NaH</w:t>
      </w:r>
      <w:r w:rsidRPr="00852CBD">
        <w:rPr>
          <w:rFonts w:cs="Arial"/>
          <w:vertAlign w:val="subscript"/>
          <w:lang w:val="en-GB"/>
        </w:rPr>
        <w:t>2</w:t>
      </w:r>
      <w:r w:rsidRPr="00A52F81">
        <w:rPr>
          <w:rFonts w:cs="Arial"/>
          <w:lang w:val="en-GB"/>
        </w:rPr>
        <w:t>PO</w:t>
      </w:r>
      <w:r w:rsidRPr="00852CBD">
        <w:rPr>
          <w:rFonts w:cs="Arial"/>
          <w:vertAlign w:val="subscript"/>
          <w:lang w:val="en-GB"/>
        </w:rPr>
        <w:t>4</w:t>
      </w:r>
      <w:r w:rsidRPr="00A52F81">
        <w:rPr>
          <w:rFonts w:cs="Arial"/>
          <w:lang w:val="en-GB"/>
        </w:rPr>
        <w:t>, 1.5 g/L K</w:t>
      </w:r>
      <w:r w:rsidRPr="00852CBD">
        <w:rPr>
          <w:rFonts w:cs="Arial"/>
          <w:vertAlign w:val="subscript"/>
          <w:lang w:val="en-GB"/>
        </w:rPr>
        <w:t>2</w:t>
      </w:r>
      <w:r w:rsidRPr="00A52F81">
        <w:rPr>
          <w:rFonts w:cs="Arial"/>
          <w:lang w:val="en-GB"/>
        </w:rPr>
        <w:t>HPO</w:t>
      </w:r>
      <w:r w:rsidRPr="00852CBD">
        <w:rPr>
          <w:rFonts w:cs="Arial"/>
          <w:vertAlign w:val="subscript"/>
          <w:lang w:val="en-GB"/>
        </w:rPr>
        <w:t>4</w:t>
      </w:r>
      <w:r w:rsidRPr="00A52F81">
        <w:rPr>
          <w:rFonts w:cs="Arial"/>
          <w:lang w:val="en-GB"/>
        </w:rPr>
        <w:t>, 0.2 g/L.</w:t>
      </w:r>
      <w:r w:rsidR="00852CBD" w:rsidRPr="00852CBD">
        <w:rPr>
          <w:lang w:val="en-GB"/>
        </w:rPr>
        <w:t xml:space="preserve"> </w:t>
      </w:r>
      <w:r w:rsidR="00852CBD" w:rsidRPr="00852CBD">
        <w:rPr>
          <w:rFonts w:cs="Arial"/>
          <w:lang w:val="en-GB"/>
        </w:rPr>
        <w:t>MgCl</w:t>
      </w:r>
      <w:r w:rsidR="00852CBD" w:rsidRPr="00852CBD">
        <w:rPr>
          <w:rFonts w:cs="Arial"/>
          <w:vertAlign w:val="subscript"/>
          <w:lang w:val="en-GB"/>
        </w:rPr>
        <w:t>2</w:t>
      </w:r>
      <w:r w:rsidR="00852CBD" w:rsidRPr="00852CBD">
        <w:rPr>
          <w:rFonts w:cs="Arial"/>
          <w:lang w:val="en-GB"/>
        </w:rPr>
        <w:t>, CaCl</w:t>
      </w:r>
      <w:r w:rsidR="00852CBD" w:rsidRPr="00852CBD">
        <w:rPr>
          <w:rFonts w:cs="Arial"/>
          <w:vertAlign w:val="subscript"/>
          <w:lang w:val="en-GB"/>
        </w:rPr>
        <w:t>2</w:t>
      </w:r>
      <w:r w:rsidR="00852CBD" w:rsidRPr="00852CBD">
        <w:rPr>
          <w:rFonts w:cs="Arial"/>
          <w:lang w:val="en-GB"/>
        </w:rPr>
        <w:t xml:space="preserve"> and sugars were prepared separately as concentrated stocks, sterilized by filtration and supplemented aseptically to the autoclaved medium</w:t>
      </w:r>
      <w:r w:rsidR="00852CBD">
        <w:rPr>
          <w:rFonts w:cs="Arial"/>
          <w:lang w:val="en-GB"/>
        </w:rPr>
        <w:t>.</w:t>
      </w:r>
      <w:r w:rsidRPr="00A52F81">
        <w:rPr>
          <w:rFonts w:cs="Arial"/>
          <w:lang w:val="en-GB"/>
        </w:rPr>
        <w:t xml:space="preserve"> MgCO</w:t>
      </w:r>
      <w:r w:rsidRPr="007133BB">
        <w:rPr>
          <w:rFonts w:cs="Arial"/>
          <w:vertAlign w:val="subscript"/>
          <w:lang w:val="en-GB"/>
        </w:rPr>
        <w:t>3</w:t>
      </w:r>
      <w:r w:rsidRPr="00A52F81">
        <w:rPr>
          <w:rFonts w:cs="Arial"/>
          <w:lang w:val="en-GB"/>
        </w:rPr>
        <w:t xml:space="preserve"> </w:t>
      </w:r>
      <w:r w:rsidR="0072484F" w:rsidRPr="00A52F81">
        <w:rPr>
          <w:rFonts w:cs="Arial"/>
          <w:lang w:val="en-GB"/>
        </w:rPr>
        <w:t xml:space="preserve">was supplied to the fermentation medium </w:t>
      </w:r>
      <w:r w:rsidR="0072484F">
        <w:rPr>
          <w:rFonts w:cs="Arial"/>
          <w:lang w:val="en-GB"/>
        </w:rPr>
        <w:t>(</w:t>
      </w:r>
      <w:r w:rsidR="0072484F" w:rsidRPr="00A52F81">
        <w:rPr>
          <w:rFonts w:cs="Arial"/>
          <w:lang w:val="en-GB"/>
        </w:rPr>
        <w:t>indirect CO</w:t>
      </w:r>
      <w:r w:rsidR="0072484F" w:rsidRPr="00852CBD">
        <w:rPr>
          <w:rFonts w:cs="Arial"/>
          <w:vertAlign w:val="subscript"/>
          <w:lang w:val="en-GB"/>
        </w:rPr>
        <w:t>2</w:t>
      </w:r>
      <w:r w:rsidR="0072484F" w:rsidRPr="00A52F81">
        <w:rPr>
          <w:rFonts w:cs="Arial"/>
          <w:lang w:val="en-GB"/>
        </w:rPr>
        <w:t xml:space="preserve"> source</w:t>
      </w:r>
      <w:r w:rsidR="0072484F">
        <w:rPr>
          <w:rFonts w:cs="Arial"/>
          <w:lang w:val="en-GB"/>
        </w:rPr>
        <w:t>)</w:t>
      </w:r>
      <w:r w:rsidR="0072484F" w:rsidRPr="00A52F81">
        <w:rPr>
          <w:rFonts w:cs="Arial"/>
          <w:lang w:val="en-GB"/>
        </w:rPr>
        <w:t xml:space="preserve"> </w:t>
      </w:r>
      <w:r w:rsidRPr="00A52F81">
        <w:rPr>
          <w:rFonts w:cs="Arial"/>
          <w:lang w:val="en-GB"/>
        </w:rPr>
        <w:t>as suspended solid at initial concentration of</w:t>
      </w:r>
      <w:r w:rsidR="004E71D4">
        <w:rPr>
          <w:rFonts w:cs="Arial"/>
          <w:lang w:val="en-GB"/>
        </w:rPr>
        <w:t xml:space="preserve"> </w:t>
      </w:r>
      <w:r w:rsidRPr="00A52F81">
        <w:rPr>
          <w:rFonts w:cs="Arial"/>
          <w:lang w:val="en-GB"/>
        </w:rPr>
        <w:t>30 g/L</w:t>
      </w:r>
      <w:r w:rsidR="0027425F">
        <w:rPr>
          <w:rFonts w:cs="Arial"/>
          <w:lang w:val="en-GB"/>
        </w:rPr>
        <w:t>.</w:t>
      </w:r>
      <w:r w:rsidRPr="00A52F81">
        <w:rPr>
          <w:rFonts w:cs="Arial"/>
          <w:lang w:val="en-GB"/>
        </w:rPr>
        <w:t xml:space="preserve"> The medium was sterilized in autoclave (121 °C, 20 min)</w:t>
      </w:r>
      <w:r w:rsidR="0051563E">
        <w:rPr>
          <w:rFonts w:cs="Arial"/>
          <w:lang w:val="en-GB"/>
        </w:rPr>
        <w:t xml:space="preserve"> (Ferone M. et al, 2017).</w:t>
      </w:r>
    </w:p>
    <w:p w14:paraId="08A4ED02" w14:textId="77777777" w:rsidR="00190D14" w:rsidRDefault="000564E9" w:rsidP="00190D14">
      <w:pPr>
        <w:pStyle w:val="CETheadingx"/>
        <w:tabs>
          <w:tab w:val="right" w:pos="7100"/>
        </w:tabs>
        <w:spacing w:after="0"/>
        <w:jc w:val="both"/>
        <w:rPr>
          <w:lang w:val="en-GB"/>
        </w:rPr>
      </w:pPr>
      <w:r>
        <w:rPr>
          <w:lang w:val="en-GB"/>
        </w:rPr>
        <w:t>Alginate beads preparation</w:t>
      </w:r>
    </w:p>
    <w:p w14:paraId="3C0B3426" w14:textId="1664089E" w:rsidR="000564E9" w:rsidRPr="000564E9" w:rsidRDefault="000564E9" w:rsidP="000564E9">
      <w:pPr>
        <w:pStyle w:val="CETBodytext"/>
        <w:rPr>
          <w:lang w:val="en-GB"/>
        </w:rPr>
      </w:pPr>
      <w:r w:rsidRPr="000564E9">
        <w:rPr>
          <w:lang w:val="en-GB"/>
        </w:rPr>
        <w:t xml:space="preserve">The 2% w/v Na-alginate solution was prepared by dissolving sodium alginate powder in </w:t>
      </w:r>
      <w:r w:rsidR="00DD1FD8">
        <w:rPr>
          <w:lang w:val="en-GB"/>
        </w:rPr>
        <w:t>distilled</w:t>
      </w:r>
      <w:r w:rsidRPr="000564E9">
        <w:rPr>
          <w:lang w:val="en-GB"/>
        </w:rPr>
        <w:t xml:space="preserve"> water and then sterilized in autoclave (121°C, 10 minutes)</w:t>
      </w:r>
      <w:r w:rsidR="00DD1FD8">
        <w:rPr>
          <w:lang w:val="en-GB"/>
        </w:rPr>
        <w:t>.</w:t>
      </w:r>
      <w:r w:rsidRPr="000564E9">
        <w:rPr>
          <w:lang w:val="en-GB"/>
        </w:rPr>
        <w:t xml:space="preserve"> Polymer/cell suspension was formed by mixing 20% (v/v) of prec</w:t>
      </w:r>
      <w:r w:rsidR="00CC5EFE">
        <w:rPr>
          <w:lang w:val="en-GB"/>
        </w:rPr>
        <w:t>u</w:t>
      </w:r>
      <w:r w:rsidRPr="000564E9">
        <w:rPr>
          <w:lang w:val="en-GB"/>
        </w:rPr>
        <w:t xml:space="preserve">ltures after 24 h of incubation with the Na-alginate </w:t>
      </w:r>
      <w:r w:rsidRPr="005E1DBE">
        <w:rPr>
          <w:lang w:val="en-GB"/>
        </w:rPr>
        <w:t>solution (</w:t>
      </w:r>
      <w:r w:rsidRPr="00DE5787">
        <w:rPr>
          <w:lang w:val="en-GB"/>
        </w:rPr>
        <w:t>Rakin et al., 2010</w:t>
      </w:r>
      <w:r w:rsidR="00A10C5B" w:rsidRPr="005E1DBE">
        <w:rPr>
          <w:lang w:val="en-GB"/>
        </w:rPr>
        <w:t>).</w:t>
      </w:r>
      <w:r w:rsidR="006D5192">
        <w:rPr>
          <w:lang w:val="en-GB"/>
        </w:rPr>
        <w:t xml:space="preserve"> </w:t>
      </w:r>
      <w:r w:rsidRPr="000564E9">
        <w:rPr>
          <w:lang w:val="en-GB"/>
        </w:rPr>
        <w:t xml:space="preserve">This solution was gassed with oxygen-free nitrogen to maintain anaerobic </w:t>
      </w:r>
      <w:r w:rsidRPr="005E1DBE">
        <w:rPr>
          <w:lang w:val="en-GB"/>
        </w:rPr>
        <w:t>conditions (</w:t>
      </w:r>
      <w:r w:rsidRPr="00DE5787">
        <w:rPr>
          <w:lang w:val="en-GB"/>
        </w:rPr>
        <w:t>Kheyrandish et al., 2015</w:t>
      </w:r>
      <w:r w:rsidRPr="005E1DBE">
        <w:rPr>
          <w:lang w:val="en-GB"/>
        </w:rPr>
        <w:t>) an</w:t>
      </w:r>
      <w:r w:rsidRPr="000564E9">
        <w:rPr>
          <w:lang w:val="en-GB"/>
        </w:rPr>
        <w:t xml:space="preserve">d </w:t>
      </w:r>
      <w:r w:rsidR="00DD1FD8">
        <w:rPr>
          <w:lang w:val="en-GB"/>
        </w:rPr>
        <w:t>t</w:t>
      </w:r>
      <w:r w:rsidRPr="000564E9">
        <w:rPr>
          <w:lang w:val="en-GB"/>
        </w:rPr>
        <w:t>his solution was added drop by drop through a syringe into a solution containing 2% (w/v) CaCl</w:t>
      </w:r>
      <w:r w:rsidRPr="00DE5787">
        <w:rPr>
          <w:vertAlign w:val="subscript"/>
          <w:lang w:val="en-GB"/>
        </w:rPr>
        <w:t>2</w:t>
      </w:r>
      <w:r w:rsidRPr="000564E9">
        <w:rPr>
          <w:lang w:val="en-GB"/>
        </w:rPr>
        <w:t>. The resulting beads with a diameter approximately between 3 to 4 mm, were washed with 2% CaCl2 solution and stored in 2% CaCl</w:t>
      </w:r>
      <w:r w:rsidRPr="00DE5787">
        <w:rPr>
          <w:vertAlign w:val="subscript"/>
          <w:lang w:val="en-GB"/>
        </w:rPr>
        <w:t>2</w:t>
      </w:r>
      <w:r w:rsidRPr="000564E9">
        <w:rPr>
          <w:lang w:val="en-GB"/>
        </w:rPr>
        <w:t xml:space="preserve"> solution at 4°</w:t>
      </w:r>
      <w:r w:rsidRPr="005E1DBE">
        <w:rPr>
          <w:lang w:val="en-GB"/>
        </w:rPr>
        <w:t>C (</w:t>
      </w:r>
      <w:r w:rsidRPr="00DE5787">
        <w:rPr>
          <w:lang w:val="en-GB"/>
        </w:rPr>
        <w:t>Wu</w:t>
      </w:r>
      <w:r w:rsidR="00284E9D">
        <w:rPr>
          <w:lang w:val="en-GB"/>
        </w:rPr>
        <w:t xml:space="preserve"> and </w:t>
      </w:r>
      <w:r w:rsidR="00284E9D" w:rsidRPr="00551BB6">
        <w:t>Wisecarver</w:t>
      </w:r>
      <w:r w:rsidRPr="00DE5787">
        <w:rPr>
          <w:lang w:val="en-GB"/>
        </w:rPr>
        <w:t>, 2015).</w:t>
      </w:r>
    </w:p>
    <w:p w14:paraId="14DC74E4" w14:textId="77777777" w:rsidR="00536EC3" w:rsidRDefault="00536EC3" w:rsidP="00536EC3">
      <w:pPr>
        <w:pStyle w:val="CETheadingx"/>
        <w:numPr>
          <w:ilvl w:val="2"/>
          <w:numId w:val="18"/>
        </w:numPr>
        <w:spacing w:after="0"/>
        <w:rPr>
          <w:lang w:val="en-GB"/>
        </w:rPr>
      </w:pPr>
      <w:r w:rsidRPr="00536EC3">
        <w:rPr>
          <w:lang w:val="en-GB"/>
        </w:rPr>
        <w:t>Fermentation with alginate beads</w:t>
      </w:r>
    </w:p>
    <w:p w14:paraId="5561B896" w14:textId="1F3BA939" w:rsidR="00E61D5D" w:rsidRPr="00702A7E" w:rsidRDefault="00A10C5B" w:rsidP="00AF025B">
      <w:pPr>
        <w:pStyle w:val="CETBodytext"/>
        <w:rPr>
          <w:lang w:val="en-GB"/>
        </w:rPr>
      </w:pPr>
      <w:r>
        <w:rPr>
          <w:lang w:val="en-GB"/>
        </w:rPr>
        <w:t>B</w:t>
      </w:r>
      <w:r w:rsidRPr="00A10C5B">
        <w:rPr>
          <w:lang w:val="en-GB"/>
        </w:rPr>
        <w:t>atch fermentations were carried out in duplicates</w:t>
      </w:r>
      <w:r w:rsidR="00DF3086">
        <w:rPr>
          <w:lang w:val="en-GB"/>
        </w:rPr>
        <w:t xml:space="preserve"> (</w:t>
      </w:r>
      <w:r w:rsidR="007701EF">
        <w:rPr>
          <w:lang w:val="en-GB"/>
        </w:rPr>
        <w:t>t</w:t>
      </w:r>
      <w:r w:rsidR="007701EF" w:rsidRPr="007701EF">
        <w:rPr>
          <w:lang w:val="en-GB"/>
        </w:rPr>
        <w:t>he data reported in the figures and tables are the mean valu</w:t>
      </w:r>
      <w:r w:rsidR="007701EF">
        <w:rPr>
          <w:lang w:val="en-GB"/>
        </w:rPr>
        <w:t>es: t</w:t>
      </w:r>
      <w:r w:rsidR="007701EF" w:rsidRPr="007701EF">
        <w:rPr>
          <w:lang w:val="en-GB"/>
        </w:rPr>
        <w:t>he standard error was always lower than 5 %</w:t>
      </w:r>
      <w:r w:rsidR="00DF3086">
        <w:rPr>
          <w:lang w:val="en-GB"/>
        </w:rPr>
        <w:t>)</w:t>
      </w:r>
      <w:r w:rsidRPr="00A10C5B">
        <w:rPr>
          <w:lang w:val="en-GB"/>
        </w:rPr>
        <w:t xml:space="preserve"> in flasks with total volume of 1 L and working volume of 200 m</w:t>
      </w:r>
      <w:r w:rsidR="004E1A12">
        <w:rPr>
          <w:lang w:val="en-GB"/>
        </w:rPr>
        <w:t xml:space="preserve">L. </w:t>
      </w:r>
      <w:r w:rsidRPr="00A10C5B">
        <w:rPr>
          <w:lang w:val="en-GB"/>
        </w:rPr>
        <w:t xml:space="preserve">Before their addition into the fermentation broth the immobilized cells were washed twice with distilled water, in order to remove the free cells. </w:t>
      </w:r>
      <w:r w:rsidR="00DD1FD8">
        <w:rPr>
          <w:lang w:val="en-GB"/>
        </w:rPr>
        <w:t>T</w:t>
      </w:r>
      <w:r w:rsidRPr="00A10C5B">
        <w:rPr>
          <w:lang w:val="en-GB"/>
        </w:rPr>
        <w:t xml:space="preserve">he immobilized biocatalyst was introduced into </w:t>
      </w:r>
      <w:r w:rsidR="00DD1FD8" w:rsidRPr="00DD1FD8">
        <w:rPr>
          <w:lang w:val="en-GB"/>
        </w:rPr>
        <w:t>the fermentation broth placed in flasks</w:t>
      </w:r>
      <w:r w:rsidRPr="00A10C5B">
        <w:rPr>
          <w:lang w:val="en-GB"/>
        </w:rPr>
        <w:t xml:space="preserve"> under aseptic conditions. The flasks were sealed with a cotton plug and placed in an orbital shaker at 37°C and 150 rpm. Samples were collected every 3 hours during the fermentation period and after each one the </w:t>
      </w:r>
      <w:r w:rsidR="00CD4435">
        <w:rPr>
          <w:lang w:val="en-GB"/>
        </w:rPr>
        <w:t>fermentation broth</w:t>
      </w:r>
      <w:r w:rsidR="00CD4435" w:rsidRPr="00A10C5B">
        <w:rPr>
          <w:lang w:val="en-GB"/>
        </w:rPr>
        <w:t xml:space="preserve"> </w:t>
      </w:r>
      <w:r w:rsidRPr="00A10C5B">
        <w:rPr>
          <w:lang w:val="en-GB"/>
        </w:rPr>
        <w:t>was gassed with oxygen-free-nitrogen to maintain anaerobic conditions</w:t>
      </w:r>
      <w:r w:rsidR="00E61D5D" w:rsidRPr="00702A7E">
        <w:rPr>
          <w:lang w:val="en-GB"/>
        </w:rPr>
        <w:t>.</w:t>
      </w:r>
    </w:p>
    <w:p w14:paraId="222AA621" w14:textId="1292FD0A" w:rsidR="005F452F" w:rsidRDefault="00DF05FA" w:rsidP="005F452F">
      <w:pPr>
        <w:pStyle w:val="CETBodytext"/>
      </w:pPr>
      <w:r>
        <w:rPr>
          <w:lang w:val="en-GB"/>
        </w:rPr>
        <w:t>The</w:t>
      </w:r>
      <w:r w:rsidR="005F452F" w:rsidRPr="00702A7E">
        <w:rPr>
          <w:lang w:val="en-GB"/>
        </w:rPr>
        <w:t xml:space="preserve"> fermentation </w:t>
      </w:r>
      <w:r>
        <w:rPr>
          <w:lang w:val="en-GB"/>
        </w:rPr>
        <w:t xml:space="preserve">was characterized </w:t>
      </w:r>
      <w:r w:rsidR="005F452F" w:rsidRPr="00702A7E">
        <w:rPr>
          <w:lang w:val="en-GB"/>
        </w:rPr>
        <w:t>in terms of pH, sugar conversion, acid production</w:t>
      </w:r>
      <w:r w:rsidR="005F452F">
        <w:t xml:space="preserve"> and cell growth. In particular, the following parameters were evaluated:</w:t>
      </w:r>
    </w:p>
    <w:p w14:paraId="2A7DE2A7" w14:textId="77777777" w:rsidR="005F452F" w:rsidRPr="00536EC3" w:rsidRDefault="005F452F" w:rsidP="005F452F">
      <w:pPr>
        <w:pStyle w:val="CETBodytext"/>
        <w:numPr>
          <w:ilvl w:val="0"/>
          <w:numId w:val="21"/>
        </w:numPr>
        <w:ind w:left="428"/>
        <w:rPr>
          <w:lang w:val="en-GB"/>
        </w:rPr>
      </w:pPr>
      <w:r w:rsidRPr="00536EC3">
        <w:rPr>
          <w:lang w:val="en-GB"/>
        </w:rPr>
        <w:t>overall sugar conversion (ξ</w:t>
      </w:r>
      <w:r w:rsidRPr="00B9526E">
        <w:rPr>
          <w:vertAlign w:val="subscript"/>
          <w:lang w:val="en-GB"/>
        </w:rPr>
        <w:t>S</w:t>
      </w:r>
      <w:r w:rsidRPr="00536EC3">
        <w:rPr>
          <w:lang w:val="en-GB"/>
        </w:rPr>
        <w:t>), the ratio between the sugar converted and the initial sugar (S</w:t>
      </w:r>
      <w:r w:rsidRPr="007133BB">
        <w:rPr>
          <w:vertAlign w:val="subscript"/>
          <w:lang w:val="en-GB"/>
        </w:rPr>
        <w:t>0</w:t>
      </w:r>
      <w:r w:rsidRPr="00536EC3">
        <w:rPr>
          <w:lang w:val="en-GB"/>
        </w:rPr>
        <w:t xml:space="preserve"> - S)/S</w:t>
      </w:r>
      <w:r w:rsidRPr="007133BB">
        <w:rPr>
          <w:vertAlign w:val="subscript"/>
          <w:lang w:val="en-GB"/>
        </w:rPr>
        <w:t>0</w:t>
      </w:r>
      <w:r w:rsidRPr="00536EC3">
        <w:rPr>
          <w:lang w:val="en-GB"/>
        </w:rPr>
        <w:t>;</w:t>
      </w:r>
    </w:p>
    <w:p w14:paraId="3A6CF869" w14:textId="77777777" w:rsidR="005F452F" w:rsidRPr="00536EC3" w:rsidRDefault="005F452F" w:rsidP="005F452F">
      <w:pPr>
        <w:pStyle w:val="CETBodytext"/>
        <w:numPr>
          <w:ilvl w:val="0"/>
          <w:numId w:val="21"/>
        </w:numPr>
        <w:ind w:left="428"/>
        <w:rPr>
          <w:lang w:val="en-GB"/>
        </w:rPr>
      </w:pPr>
      <w:r w:rsidRPr="00536EC3">
        <w:rPr>
          <w:lang w:val="en-GB"/>
        </w:rPr>
        <w:t>sugar-to-product “i” yield coefficient (Y</w:t>
      </w:r>
      <w:r w:rsidRPr="007133BB">
        <w:rPr>
          <w:vertAlign w:val="subscript"/>
          <w:lang w:val="en-GB"/>
        </w:rPr>
        <w:t>i/S</w:t>
      </w:r>
      <w:r w:rsidRPr="00536EC3">
        <w:rPr>
          <w:lang w:val="en-GB"/>
        </w:rPr>
        <w:t>), the ratio between the produced mass of product “i” (cells or succinic acid) and the related decrease of the substrate mass.;</w:t>
      </w:r>
    </w:p>
    <w:p w14:paraId="0182A286" w14:textId="39D7626D" w:rsidR="005F452F" w:rsidRDefault="005F452F" w:rsidP="005F452F">
      <w:pPr>
        <w:pStyle w:val="CETBodytext"/>
        <w:numPr>
          <w:ilvl w:val="0"/>
          <w:numId w:val="21"/>
        </w:numPr>
        <w:ind w:left="428"/>
        <w:rPr>
          <w:lang w:val="en-GB"/>
        </w:rPr>
      </w:pPr>
      <w:r w:rsidRPr="00536EC3">
        <w:rPr>
          <w:lang w:val="en-GB"/>
        </w:rPr>
        <w:t>SA specific productivity (</w:t>
      </w:r>
      <w:r w:rsidR="00A77E22">
        <w:rPr>
          <w:lang w:val="en-GB"/>
        </w:rPr>
        <w:t>W</w:t>
      </w:r>
      <w:r w:rsidRPr="00B9526E">
        <w:rPr>
          <w:vertAlign w:val="subscript"/>
          <w:lang w:val="en-GB"/>
        </w:rPr>
        <w:t>SA</w:t>
      </w:r>
      <w:r w:rsidRPr="00536EC3">
        <w:rPr>
          <w:lang w:val="en-GB"/>
        </w:rPr>
        <w:t>), the ration between the SA concentration and the fermentation time.</w:t>
      </w:r>
    </w:p>
    <w:p w14:paraId="591D4229" w14:textId="0CAEAD6F" w:rsidR="005F452F" w:rsidRDefault="00155E42" w:rsidP="005F452F">
      <w:pPr>
        <w:pStyle w:val="CETBodytext"/>
        <w:numPr>
          <w:ilvl w:val="0"/>
          <w:numId w:val="21"/>
        </w:numPr>
        <w:ind w:left="428"/>
        <w:rPr>
          <w:lang w:val="en-GB"/>
        </w:rPr>
      </w:pPr>
      <w:r w:rsidRPr="00155E42">
        <w:rPr>
          <w:lang w:val="en-GB"/>
        </w:rPr>
        <w:t>the specific growth rate (μ). It was estimated at the beginning of the exponential phase as the slope of the biomass concentration (X) versus time curve on a log scale;</w:t>
      </w:r>
    </w:p>
    <w:p w14:paraId="703BE02E" w14:textId="19153FE3" w:rsidR="0062657B" w:rsidRDefault="0062657B" w:rsidP="005F452F">
      <w:pPr>
        <w:pStyle w:val="CETBodytext"/>
        <w:numPr>
          <w:ilvl w:val="0"/>
          <w:numId w:val="21"/>
        </w:numPr>
        <w:ind w:left="428"/>
        <w:rPr>
          <w:lang w:val="en-GB"/>
        </w:rPr>
      </w:pPr>
      <w:r w:rsidRPr="0062657B">
        <w:rPr>
          <w:lang w:val="en-GB"/>
        </w:rPr>
        <w:t>the maximum specific succinic acid production rate (</w:t>
      </w:r>
      <m:oMath>
        <m:sSubSup>
          <m:sSubSupPr>
            <m:ctrlPr>
              <w:rPr>
                <w:rFonts w:ascii="Cambria Math" w:hAnsi="Cambria Math"/>
                <w:i/>
                <w:lang w:val="en-GB"/>
              </w:rPr>
            </m:ctrlPr>
          </m:sSubSupPr>
          <m:e>
            <m:r>
              <w:rPr>
                <w:rFonts w:ascii="Cambria Math" w:hAnsi="Cambria Math"/>
                <w:lang w:val="en-GB"/>
              </w:rPr>
              <m:t>r</m:t>
            </m:r>
          </m:e>
          <m:sub>
            <m:r>
              <w:rPr>
                <w:rFonts w:ascii="Cambria Math" w:hAnsi="Cambria Math"/>
                <w:lang w:val="en-GB"/>
              </w:rPr>
              <m:t>SA</m:t>
            </m:r>
          </m:sub>
          <m:sup>
            <m:r>
              <w:rPr>
                <w:rFonts w:ascii="Cambria Math" w:hAnsi="Cambria Math"/>
                <w:lang w:val="en-GB"/>
              </w:rPr>
              <m:t>max</m:t>
            </m:r>
          </m:sup>
        </m:sSubSup>
      </m:oMath>
      <w:r w:rsidRPr="0062657B">
        <w:rPr>
          <w:lang w:val="en-GB"/>
        </w:rPr>
        <w:t>). It was estimated at the onset of</w:t>
      </w:r>
      <w:r w:rsidR="005C23B0">
        <w:rPr>
          <w:lang w:val="en-GB"/>
        </w:rPr>
        <w:t xml:space="preserve"> </w:t>
      </w:r>
      <w:r w:rsidRPr="0062657B">
        <w:rPr>
          <w:lang w:val="en-GB"/>
        </w:rPr>
        <w:t>the SA production as the slope of</w:t>
      </w:r>
      <w:r w:rsidR="005C23B0">
        <w:rPr>
          <w:lang w:val="en-GB"/>
        </w:rPr>
        <w:t xml:space="preserve"> </w:t>
      </w:r>
      <w:r w:rsidRPr="0062657B">
        <w:rPr>
          <w:lang w:val="en-GB"/>
        </w:rPr>
        <w:t>the SA concentration versus time curve, divided by the cells concentration measured</w:t>
      </w:r>
      <w:r w:rsidR="00DF05FA">
        <w:rPr>
          <w:lang w:val="en-GB"/>
        </w:rPr>
        <w:t>.</w:t>
      </w:r>
    </w:p>
    <w:p w14:paraId="7FA40930" w14:textId="77777777" w:rsidR="00536EC3" w:rsidRDefault="00536EC3" w:rsidP="00536EC3">
      <w:pPr>
        <w:pStyle w:val="CETheadingx"/>
        <w:numPr>
          <w:ilvl w:val="2"/>
          <w:numId w:val="18"/>
        </w:numPr>
        <w:spacing w:after="0"/>
        <w:rPr>
          <w:lang w:val="en-GB"/>
        </w:rPr>
      </w:pPr>
      <w:r w:rsidRPr="00536EC3">
        <w:rPr>
          <w:lang w:val="en-GB"/>
        </w:rPr>
        <w:t>Fermentation with free cells</w:t>
      </w:r>
    </w:p>
    <w:p w14:paraId="7A95DEDF" w14:textId="49674F2E" w:rsidR="00AF025B" w:rsidRDefault="00DF05FA" w:rsidP="00E112BF">
      <w:pPr>
        <w:pStyle w:val="CETBodytext"/>
        <w:rPr>
          <w:lang w:val="en-GB"/>
        </w:rPr>
      </w:pPr>
      <w:r>
        <w:rPr>
          <w:lang w:val="en-GB"/>
        </w:rPr>
        <w:t xml:space="preserve">Fermentation tests with </w:t>
      </w:r>
      <w:r w:rsidR="00E8718F" w:rsidRPr="007133BB">
        <w:rPr>
          <w:lang w:val="en-GB"/>
        </w:rPr>
        <w:t>free cells w</w:t>
      </w:r>
      <w:r>
        <w:rPr>
          <w:lang w:val="en-GB"/>
        </w:rPr>
        <w:t>ere</w:t>
      </w:r>
      <w:r w:rsidR="00E8718F" w:rsidRPr="007133BB">
        <w:rPr>
          <w:lang w:val="en-GB"/>
        </w:rPr>
        <w:t xml:space="preserve"> carried out using the same mass of cells (8% (v/v) susp</w:t>
      </w:r>
      <w:r w:rsidR="00CC5EFE" w:rsidRPr="00CC5EFE">
        <w:rPr>
          <w:lang w:val="en-GB"/>
        </w:rPr>
        <w:t>ension of actively growing precu</w:t>
      </w:r>
      <w:r w:rsidR="00E8718F" w:rsidRPr="007133BB">
        <w:rPr>
          <w:lang w:val="en-GB"/>
        </w:rPr>
        <w:t xml:space="preserve">ltures in flasks with total volume of 1 L and working volume of 200 mL) as that used in the immobilized beads. The experiments were carried out under the same experimental conditions with </w:t>
      </w:r>
      <w:r w:rsidR="00E8718F" w:rsidRPr="007133BB">
        <w:rPr>
          <w:lang w:val="en-GB"/>
        </w:rPr>
        <w:lastRenderedPageBreak/>
        <w:t xml:space="preserve">glucose as carbon source. </w:t>
      </w:r>
      <w:r w:rsidR="00536EC3" w:rsidRPr="00536EC3">
        <w:rPr>
          <w:lang w:val="en-GB"/>
        </w:rPr>
        <w:t>Experiments with free cells were carried out in duplicates</w:t>
      </w:r>
      <w:r w:rsidR="007701EF">
        <w:rPr>
          <w:lang w:val="en-GB"/>
        </w:rPr>
        <w:t xml:space="preserve"> (t</w:t>
      </w:r>
      <w:r w:rsidR="007701EF" w:rsidRPr="007701EF">
        <w:rPr>
          <w:lang w:val="en-GB"/>
        </w:rPr>
        <w:t>he data reported in the figures and tables are the mean valu</w:t>
      </w:r>
      <w:r w:rsidR="007701EF">
        <w:rPr>
          <w:lang w:val="en-GB"/>
        </w:rPr>
        <w:t>es: t</w:t>
      </w:r>
      <w:r w:rsidR="007701EF" w:rsidRPr="007701EF">
        <w:rPr>
          <w:lang w:val="en-GB"/>
        </w:rPr>
        <w:t>he standard error was always lower than 5 %</w:t>
      </w:r>
      <w:r w:rsidR="007701EF">
        <w:rPr>
          <w:lang w:val="en-GB"/>
        </w:rPr>
        <w:t>)</w:t>
      </w:r>
      <w:r w:rsidR="00E112BF">
        <w:rPr>
          <w:lang w:val="en-GB"/>
        </w:rPr>
        <w:t>.</w:t>
      </w:r>
      <w:r w:rsidR="00536EC3" w:rsidRPr="00536EC3">
        <w:rPr>
          <w:lang w:val="en-GB"/>
        </w:rPr>
        <w:t xml:space="preserve"> </w:t>
      </w:r>
    </w:p>
    <w:p w14:paraId="6294018D" w14:textId="06CED468" w:rsidR="00536EC3" w:rsidRPr="00536EC3" w:rsidRDefault="00536EC3" w:rsidP="00536EC3">
      <w:pPr>
        <w:pStyle w:val="CETBodytext"/>
        <w:rPr>
          <w:lang w:val="en-GB"/>
        </w:rPr>
      </w:pPr>
      <w:r w:rsidRPr="00536EC3">
        <w:rPr>
          <w:lang w:val="en-GB"/>
        </w:rPr>
        <w:t>Fermentations were carried out at 37 °C without pH control, and the agitation was provided by a rotary shaker (150 rpm). The batch tests were characterized in terms of pH, sugar conversion, acid production</w:t>
      </w:r>
      <w:r w:rsidR="00B2350D">
        <w:rPr>
          <w:lang w:val="en-GB"/>
        </w:rPr>
        <w:t xml:space="preserve"> and cell growth</w:t>
      </w:r>
      <w:r w:rsidR="0051563E">
        <w:rPr>
          <w:lang w:val="en-GB"/>
        </w:rPr>
        <w:t xml:space="preserve"> (Ferone et al.,</w:t>
      </w:r>
      <w:r w:rsidR="00DF05FA">
        <w:rPr>
          <w:lang w:val="en-GB"/>
        </w:rPr>
        <w:t xml:space="preserve"> </w:t>
      </w:r>
      <w:r w:rsidR="0051563E">
        <w:rPr>
          <w:lang w:val="en-GB"/>
        </w:rPr>
        <w:t>201</w:t>
      </w:r>
      <w:r w:rsidR="000D0659">
        <w:rPr>
          <w:lang w:val="en-GB"/>
        </w:rPr>
        <w:t>9.</w:t>
      </w:r>
      <w:r w:rsidR="0051563E">
        <w:rPr>
          <w:lang w:val="en-GB"/>
        </w:rPr>
        <w:t>)</w:t>
      </w:r>
      <w:r w:rsidR="00E8718F">
        <w:rPr>
          <w:lang w:val="en-GB"/>
        </w:rPr>
        <w:t xml:space="preserve"> </w:t>
      </w:r>
      <w:r w:rsidR="00E8718F" w:rsidRPr="00E8718F">
        <w:rPr>
          <w:lang w:val="en-GB"/>
        </w:rPr>
        <w:t>Measurements were worked out to assess the parameter</w:t>
      </w:r>
      <w:r w:rsidR="00E8718F">
        <w:rPr>
          <w:lang w:val="en-GB"/>
        </w:rPr>
        <w:t>s reported in section 2.3.</w:t>
      </w:r>
    </w:p>
    <w:p w14:paraId="630C77D4" w14:textId="77777777" w:rsidR="00536EC3" w:rsidRDefault="00536EC3" w:rsidP="00536EC3">
      <w:pPr>
        <w:pStyle w:val="CETheadingx"/>
        <w:numPr>
          <w:ilvl w:val="2"/>
          <w:numId w:val="18"/>
        </w:numPr>
        <w:spacing w:after="0"/>
        <w:rPr>
          <w:lang w:val="en-GB"/>
        </w:rPr>
      </w:pPr>
      <w:r w:rsidRPr="00536EC3">
        <w:rPr>
          <w:lang w:val="en-GB"/>
        </w:rPr>
        <w:t>Analytical method</w:t>
      </w:r>
    </w:p>
    <w:p w14:paraId="705DF8A6" w14:textId="77DE4A4D" w:rsidR="00536EC3" w:rsidRPr="00536EC3" w:rsidRDefault="00536EC3" w:rsidP="00536EC3">
      <w:pPr>
        <w:pStyle w:val="CETBodytext"/>
        <w:rPr>
          <w:lang w:val="en-GB"/>
        </w:rPr>
      </w:pPr>
      <w:r w:rsidRPr="00536EC3">
        <w:rPr>
          <w:lang w:val="en-GB"/>
        </w:rPr>
        <w:t xml:space="preserve">The concentration of soluble species was measured in the liquid phase after spinning down the cells by centrifugation (13000g, 10 min). Sugar and organic acid concentrations were measured by means of a high-performance liquid chromatography (HPLC) (HP1260 working station system—Agilent Technologies, USA) equipped with a cation-exclusion column (REZEX-Organic Acids; 300 mm × 7.8 mm, 9 µm; Bio-Rad Chemical Division, Richmond, CA). Analytes were detected by </w:t>
      </w:r>
      <w:r w:rsidR="00CE7A71" w:rsidRPr="00CE7A71">
        <w:rPr>
          <w:lang w:val="en-GB"/>
        </w:rPr>
        <w:t>diode array detector</w:t>
      </w:r>
      <w:r w:rsidR="00CE7A71" w:rsidRPr="00CE7A71" w:rsidDel="00CE7A71">
        <w:rPr>
          <w:lang w:val="en-GB"/>
        </w:rPr>
        <w:t xml:space="preserve"> </w:t>
      </w:r>
      <w:r w:rsidRPr="00536EC3">
        <w:rPr>
          <w:lang w:val="en-GB"/>
        </w:rPr>
        <w:t>(Agilent Technologies, G1315D) and refractive index (Agilent Technologies, G1362A). H</w:t>
      </w:r>
      <w:r w:rsidRPr="00AF025B">
        <w:rPr>
          <w:vertAlign w:val="subscript"/>
          <w:lang w:val="en-GB"/>
        </w:rPr>
        <w:t>2</w:t>
      </w:r>
      <w:r w:rsidRPr="00536EC3">
        <w:rPr>
          <w:lang w:val="en-GB"/>
        </w:rPr>
        <w:t>SO</w:t>
      </w:r>
      <w:r w:rsidRPr="00AF025B">
        <w:rPr>
          <w:vertAlign w:val="subscript"/>
          <w:lang w:val="en-GB"/>
        </w:rPr>
        <w:t>4</w:t>
      </w:r>
      <w:r w:rsidRPr="00536EC3">
        <w:rPr>
          <w:lang w:val="en-GB"/>
        </w:rPr>
        <w:t xml:space="preserve"> 5 mM was used as mobile phase at 0.6 mL/min flow rate at room temperature. The injection volume was 20 µL.</w:t>
      </w:r>
    </w:p>
    <w:p w14:paraId="1BFD468B" w14:textId="6827BEC9" w:rsidR="005E4819" w:rsidRDefault="00536EC3" w:rsidP="00536EC3">
      <w:pPr>
        <w:pStyle w:val="CETBodytext"/>
        <w:rPr>
          <w:lang w:val="en-GB"/>
        </w:rPr>
      </w:pPr>
      <w:r w:rsidRPr="005E4819">
        <w:rPr>
          <w:lang w:val="en-GB"/>
        </w:rPr>
        <w:t xml:space="preserve">Cell density was </w:t>
      </w:r>
      <w:r w:rsidR="005E4819">
        <w:rPr>
          <w:lang w:val="en-GB"/>
        </w:rPr>
        <w:t>determined by measuring</w:t>
      </w:r>
      <w:r w:rsidR="005E4819" w:rsidRPr="005E4819">
        <w:rPr>
          <w:lang w:val="en-GB"/>
        </w:rPr>
        <w:t xml:space="preserve"> </w:t>
      </w:r>
      <w:r w:rsidR="005E4819">
        <w:rPr>
          <w:lang w:val="en-GB"/>
        </w:rPr>
        <w:t>the absorbance</w:t>
      </w:r>
      <w:r w:rsidR="005E4819" w:rsidRPr="005E4819">
        <w:rPr>
          <w:lang w:val="en-GB"/>
        </w:rPr>
        <w:t xml:space="preserve"> </w:t>
      </w:r>
      <w:r w:rsidRPr="005E4819">
        <w:rPr>
          <w:lang w:val="en-GB"/>
        </w:rPr>
        <w:t xml:space="preserve">at 660 nm </w:t>
      </w:r>
      <w:r w:rsidR="005E4819">
        <w:rPr>
          <w:lang w:val="en-GB"/>
        </w:rPr>
        <w:t>(</w:t>
      </w:r>
      <w:r w:rsidR="005E4819" w:rsidRPr="005E4819">
        <w:rPr>
          <w:lang w:val="en-GB"/>
        </w:rPr>
        <w:t>Cary-Varian mod. 50 scan UV-VIS spectrophotometer</w:t>
      </w:r>
      <w:r w:rsidRPr="005E4819">
        <w:rPr>
          <w:lang w:val="en-GB"/>
        </w:rPr>
        <w:t>)</w:t>
      </w:r>
      <w:r w:rsidR="005E4819">
        <w:rPr>
          <w:lang w:val="en-GB"/>
        </w:rPr>
        <w:t>; c</w:t>
      </w:r>
      <w:r w:rsidR="005E4819" w:rsidRPr="005E4819">
        <w:rPr>
          <w:lang w:val="en-GB"/>
        </w:rPr>
        <w:t xml:space="preserve">alibration tests indicated that the optical density is proportional to </w:t>
      </w:r>
      <w:r w:rsidR="005E4819" w:rsidRPr="002B4708">
        <w:rPr>
          <w:i/>
          <w:lang w:val="en-GB"/>
        </w:rPr>
        <w:t>A. succinogenes</w:t>
      </w:r>
      <w:r w:rsidR="005E4819" w:rsidRPr="005E4819">
        <w:rPr>
          <w:lang w:val="en-GB"/>
        </w:rPr>
        <w:t xml:space="preserve"> dry mass under the operating conditions tested, in partic</w:t>
      </w:r>
      <w:r w:rsidR="005E4819">
        <w:rPr>
          <w:lang w:val="en-GB"/>
        </w:rPr>
        <w:t>ular 1 OD corresponded to 0.377</w:t>
      </w:r>
      <w:r w:rsidR="005E4819" w:rsidRPr="005E4819">
        <w:rPr>
          <w:lang w:val="en-GB"/>
        </w:rPr>
        <w:t xml:space="preserve"> g</w:t>
      </w:r>
      <w:r w:rsidR="005E4819" w:rsidRPr="002B4708">
        <w:rPr>
          <w:vertAlign w:val="subscript"/>
          <w:lang w:val="en-GB"/>
        </w:rPr>
        <w:t>DM</w:t>
      </w:r>
      <w:r w:rsidR="005E4819" w:rsidRPr="005E4819">
        <w:rPr>
          <w:lang w:val="en-GB"/>
        </w:rPr>
        <w:t>/L.</w:t>
      </w:r>
    </w:p>
    <w:p w14:paraId="35CC49F6" w14:textId="150DBE00" w:rsidR="00536EC3" w:rsidRPr="00536EC3" w:rsidRDefault="00536EC3" w:rsidP="00536EC3">
      <w:pPr>
        <w:pStyle w:val="CETBodytext"/>
        <w:rPr>
          <w:lang w:val="en-GB"/>
        </w:rPr>
      </w:pPr>
      <w:r w:rsidRPr="00536EC3">
        <w:rPr>
          <w:lang w:val="en-GB"/>
        </w:rPr>
        <w:t xml:space="preserve">To determine the entrapped biomass concentration inside the alginate beads, 5 </w:t>
      </w:r>
      <w:r w:rsidR="004E1D56">
        <w:rPr>
          <w:lang w:val="en-GB"/>
        </w:rPr>
        <w:t>mL</w:t>
      </w:r>
      <w:r w:rsidR="004E1D56" w:rsidRPr="00536EC3">
        <w:rPr>
          <w:lang w:val="en-GB"/>
        </w:rPr>
        <w:t xml:space="preserve"> </w:t>
      </w:r>
      <w:r w:rsidRPr="00536EC3">
        <w:rPr>
          <w:lang w:val="en-GB"/>
        </w:rPr>
        <w:t>of 0</w:t>
      </w:r>
      <w:r w:rsidR="00546020">
        <w:rPr>
          <w:lang w:val="en-GB"/>
        </w:rPr>
        <w:t>.</w:t>
      </w:r>
      <w:r w:rsidRPr="00536EC3">
        <w:rPr>
          <w:lang w:val="en-GB"/>
        </w:rPr>
        <w:t>2 mol</w:t>
      </w:r>
      <w:r w:rsidR="004E1D56">
        <w:rPr>
          <w:lang w:val="en-GB"/>
        </w:rPr>
        <w:t>/L</w:t>
      </w:r>
      <w:r w:rsidRPr="00536EC3">
        <w:rPr>
          <w:lang w:val="en-GB"/>
        </w:rPr>
        <w:t xml:space="preserve"> sodium citrate was added to 20 washed </w:t>
      </w:r>
      <w:r w:rsidR="004E1D56">
        <w:rPr>
          <w:lang w:val="en-GB"/>
        </w:rPr>
        <w:t>beads</w:t>
      </w:r>
      <w:r w:rsidRPr="00536EC3">
        <w:rPr>
          <w:lang w:val="en-GB"/>
        </w:rPr>
        <w:t>. Sodium citrate chelated the calcium which bound the alginate, releasing the cells previously entrapped (</w:t>
      </w:r>
      <w:r w:rsidRPr="00DE5787">
        <w:rPr>
          <w:lang w:val="en-GB"/>
        </w:rPr>
        <w:t xml:space="preserve">Stuckey </w:t>
      </w:r>
      <w:r w:rsidR="00284E9D">
        <w:rPr>
          <w:lang w:val="en-GB"/>
        </w:rPr>
        <w:t>and Stuckey</w:t>
      </w:r>
      <w:r w:rsidRPr="00DE5787">
        <w:rPr>
          <w:lang w:val="en-GB"/>
        </w:rPr>
        <w:t>,</w:t>
      </w:r>
      <w:r w:rsidR="005D30EC">
        <w:rPr>
          <w:lang w:val="en-GB"/>
        </w:rPr>
        <w:t xml:space="preserve"> </w:t>
      </w:r>
      <w:r w:rsidRPr="00DE5787">
        <w:rPr>
          <w:lang w:val="en-GB"/>
        </w:rPr>
        <w:t>2015</w:t>
      </w:r>
      <w:r w:rsidRPr="00536EC3">
        <w:rPr>
          <w:lang w:val="en-GB"/>
        </w:rPr>
        <w:t>). The solution was centrifuged and the pellet was dissolved in a lower volume</w:t>
      </w:r>
      <w:r w:rsidR="004E1D56">
        <w:rPr>
          <w:lang w:val="en-GB"/>
        </w:rPr>
        <w:t xml:space="preserve"> of distilled water to measure the absorbance at 660 nm</w:t>
      </w:r>
      <w:r w:rsidRPr="00536EC3">
        <w:rPr>
          <w:lang w:val="en-GB"/>
        </w:rPr>
        <w:t>.</w:t>
      </w:r>
    </w:p>
    <w:p w14:paraId="793E3815" w14:textId="77777777" w:rsidR="005346C8" w:rsidRDefault="000C3315" w:rsidP="00190D14">
      <w:pPr>
        <w:pStyle w:val="CETHeading1"/>
        <w:tabs>
          <w:tab w:val="right" w:pos="7100"/>
        </w:tabs>
        <w:jc w:val="both"/>
        <w:rPr>
          <w:lang w:val="en-GB"/>
        </w:rPr>
      </w:pPr>
      <w:r>
        <w:rPr>
          <w:lang w:val="en-GB"/>
        </w:rPr>
        <w:t>Results</w:t>
      </w:r>
    </w:p>
    <w:p w14:paraId="62FA7609" w14:textId="77777777" w:rsidR="00D34327" w:rsidRDefault="00845F5E" w:rsidP="00D34327">
      <w:pPr>
        <w:pStyle w:val="CETheadingx"/>
        <w:spacing w:after="0"/>
      </w:pPr>
      <w:r>
        <w:t>Comparing immobilized cells and free cells fermentation</w:t>
      </w:r>
    </w:p>
    <w:p w14:paraId="0CAE75A7" w14:textId="5D0372CD" w:rsidR="00B50898" w:rsidRDefault="00D34327" w:rsidP="00877421">
      <w:pPr>
        <w:pStyle w:val="CETBodytext"/>
      </w:pPr>
      <w:r w:rsidRPr="00D34327">
        <w:t xml:space="preserve">The </w:t>
      </w:r>
      <w:r w:rsidR="00845F5E">
        <w:t xml:space="preserve">comparison between immobilized and free cells fermentation was carried out setting glucose initial concentration to </w:t>
      </w:r>
      <w:r w:rsidR="0042714C">
        <w:t xml:space="preserve">40 g/L </w:t>
      </w:r>
      <w:r w:rsidRPr="00D34327">
        <w:t>while the inoculum content was kept constant for both tests so that results could be compared. Tests with immobilized cells were made</w:t>
      </w:r>
      <w:r w:rsidR="00760905">
        <w:t xml:space="preserve"> with 250 g/L of beads.</w:t>
      </w:r>
      <w:r w:rsidR="006D5192">
        <w:t xml:space="preserve"> </w:t>
      </w:r>
      <w:r w:rsidR="009A3A62" w:rsidRPr="009A3A62">
        <w:t>Production of SA with immobilized and</w:t>
      </w:r>
      <w:r w:rsidR="009A3A62">
        <w:t xml:space="preserve"> free cells is shown in Fig. 1; </w:t>
      </w:r>
      <w:r w:rsidR="009A3A62" w:rsidRPr="009A3A62">
        <w:t>the time to reach the maximum concentration of SA was reduced with cells entrapped in alginate beads compared to free cells because immobilized cells are adapted, whereas free cells show a lag phase and require time to initiate acid production</w:t>
      </w:r>
      <w:r w:rsidR="009A3A62">
        <w:t xml:space="preserve"> (</w:t>
      </w:r>
      <w:r w:rsidR="008666FA" w:rsidRPr="009A3A62">
        <w:t>Galazzo and Bailey, 1990</w:t>
      </w:r>
      <w:r w:rsidR="009A3A62">
        <w:t>)</w:t>
      </w:r>
      <w:r w:rsidR="009A3A62" w:rsidRPr="009A3A62">
        <w:t>. Additionally, it is likely that the pH within the alginate beads decreased, thereby increasing cellular metabolism. pH decreases due to increased proton permeability in the cytoplasmic membrane, which induces a higher ATP consumption and increases metabolism (Galazzo and Bailey, 1990). Moreover, it is shown that higher production of SA was o</w:t>
      </w:r>
      <w:r w:rsidR="004135B5">
        <w:t>btained compared to free cells</w:t>
      </w:r>
      <w:r w:rsidR="009A3A62" w:rsidRPr="009A3A62">
        <w:t xml:space="preserve">. In particular, </w:t>
      </w:r>
      <w:r w:rsidR="004135B5">
        <w:t>6.5</w:t>
      </w:r>
      <w:r w:rsidR="009A3A62" w:rsidRPr="009A3A62">
        <w:t xml:space="preserve">% increase in succinic acid production </w:t>
      </w:r>
      <w:r w:rsidR="004135B5">
        <w:t xml:space="preserve">was obtained </w:t>
      </w:r>
      <w:r w:rsidR="009A3A62" w:rsidRPr="009A3A62">
        <w:t>when immobilized cells system was used instead of free cells system.</w:t>
      </w:r>
    </w:p>
    <w:p w14:paraId="5EAB39B1" w14:textId="00F4A95F" w:rsidR="00B50898" w:rsidRDefault="00B50898" w:rsidP="00D7187E">
      <w:pPr>
        <w:pStyle w:val="CETBodytext"/>
        <w:jc w:val="center"/>
      </w:pPr>
      <w:r>
        <w:rPr>
          <w:noProof/>
          <w:lang w:val="it-IT" w:eastAsia="it-IT"/>
        </w:rPr>
        <w:drawing>
          <wp:inline distT="0" distB="0" distL="0" distR="0" wp14:anchorId="3D9B38FC" wp14:editId="6EC9F100">
            <wp:extent cx="3333115" cy="2694059"/>
            <wp:effectExtent l="0" t="0" r="0" b="0"/>
            <wp:docPr id="8" name="Immagine 8" descr="Macintosh HD:Users:user:Desktop:Dottorato&amp;PostDoc:Francesca:Pubblicazioni:ICheaP 14:Alessia_Acido Succinico:Finale:Revision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user:Desktop:Dottorato&amp;PostDoc:Francesca:Pubblicazioni:ICheaP 14:Alessia_Acido Succinico:Finale:Revisioni:S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980" cy="2694758"/>
                    </a:xfrm>
                    <a:prstGeom prst="rect">
                      <a:avLst/>
                    </a:prstGeom>
                    <a:noFill/>
                    <a:ln>
                      <a:noFill/>
                    </a:ln>
                  </pic:spPr>
                </pic:pic>
              </a:graphicData>
            </a:graphic>
          </wp:inline>
        </w:drawing>
      </w:r>
    </w:p>
    <w:p w14:paraId="54359C2E" w14:textId="77777777" w:rsidR="00DF05FA" w:rsidRDefault="00DF05FA" w:rsidP="00DF05FA">
      <w:pPr>
        <w:pStyle w:val="CETCaption"/>
      </w:pPr>
      <w:r w:rsidRPr="00347EB5">
        <w:t xml:space="preserve">Figure 1: </w:t>
      </w:r>
      <w:r>
        <w:t>SA production at initial glucose concentration of 40 g/L</w:t>
      </w:r>
      <w:r w:rsidRPr="00D34327">
        <w:t xml:space="preserve"> in immobilized and free cells fermentation tests</w:t>
      </w:r>
    </w:p>
    <w:p w14:paraId="7E5A4DC3" w14:textId="1EC08CF3" w:rsidR="00810C0F" w:rsidRDefault="00877421" w:rsidP="00760905">
      <w:pPr>
        <w:pStyle w:val="CETBodytext"/>
      </w:pPr>
      <w:r>
        <w:lastRenderedPageBreak/>
        <w:t xml:space="preserve">Table 1 reports the maximum </w:t>
      </w:r>
      <w:r w:rsidR="00113F33">
        <w:t xml:space="preserve">SA </w:t>
      </w:r>
      <w:r>
        <w:t xml:space="preserve">productivity </w:t>
      </w:r>
      <w:r w:rsidR="00113F33">
        <w:t xml:space="preserve">and the specific SA production rate </w:t>
      </w:r>
      <w:r>
        <w:t xml:space="preserve">achieved in the two systems and it is clear that immobilized cells </w:t>
      </w:r>
      <w:r w:rsidR="00113F33">
        <w:t xml:space="preserve">were characterized by higher performances </w:t>
      </w:r>
      <w:r>
        <w:t>than free cells</w:t>
      </w:r>
      <w:r w:rsidRPr="00FE2653">
        <w:t>.</w:t>
      </w:r>
      <w:r w:rsidR="00CE7A71">
        <w:t xml:space="preserve"> </w:t>
      </w:r>
      <w:r w:rsidR="008B1353" w:rsidRPr="008B1353">
        <w:t xml:space="preserve">Higher production of SA was obtained due to cell retention within agar beads and sufficient diffusion of nutrients through the beads, which have appropriate particle size, porosity and thickness as well as good </w:t>
      </w:r>
      <w:r w:rsidR="008B1353" w:rsidRPr="001B2C0C">
        <w:t>mechanical stability (Galaction et al., 2011</w:t>
      </w:r>
      <w:r w:rsidRPr="001200E5">
        <w:t xml:space="preserve">; </w:t>
      </w:r>
      <w:r w:rsidRPr="00DE5787">
        <w:t>Dishisha et al., 2012; Angelova et al., 2000</w:t>
      </w:r>
      <w:r w:rsidR="008B1353" w:rsidRPr="001B2C0C">
        <w:t>). Different reports have</w:t>
      </w:r>
      <w:r w:rsidR="008B1353" w:rsidRPr="008B1353">
        <w:t xml:space="preserve"> shown increased metabolic activity of immobilized cells in comparison to free cells (Dishisha et al., 2012; Angelova et al., 2000). Particularly, Shindo et al. (1993) reported that SA production was threefold higher with immobilized </w:t>
      </w:r>
      <w:r w:rsidR="008B1353" w:rsidRPr="00DE5787">
        <w:rPr>
          <w:i/>
        </w:rPr>
        <w:t>Saccharomyces cerevisiae</w:t>
      </w:r>
      <w:r w:rsidR="008B1353" w:rsidRPr="008B1353">
        <w:t xml:space="preserve"> due to increased metabolic activity, resulting in increased conversion of isoleucine to </w:t>
      </w:r>
      <w:r w:rsidR="0065684E">
        <w:t>SA</w:t>
      </w:r>
      <w:r w:rsidR="008B1353" w:rsidRPr="008B1353">
        <w:t>.</w:t>
      </w:r>
      <w:bookmarkStart w:id="0" w:name="_GoBack"/>
      <w:bookmarkEnd w:id="0"/>
    </w:p>
    <w:p w14:paraId="7141FB21" w14:textId="77777777" w:rsidR="00CE7A71" w:rsidRDefault="00CE7A71" w:rsidP="00760905">
      <w:pPr>
        <w:pStyle w:val="CETBodytext"/>
      </w:pP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701"/>
        <w:gridCol w:w="1701"/>
        <w:gridCol w:w="993"/>
      </w:tblGrid>
      <w:tr w:rsidR="00CE7A71" w:rsidRPr="005946D2" w14:paraId="11FF1B49" w14:textId="77777777" w:rsidTr="000F55C3">
        <w:tc>
          <w:tcPr>
            <w:tcW w:w="1701" w:type="dxa"/>
            <w:tcBorders>
              <w:top w:val="single" w:sz="12" w:space="0" w:color="008000"/>
              <w:bottom w:val="single" w:sz="6" w:space="0" w:color="008000"/>
            </w:tcBorders>
            <w:shd w:val="clear" w:color="auto" w:fill="FFFFFF"/>
          </w:tcPr>
          <w:p w14:paraId="11E8A925" w14:textId="77777777" w:rsidR="00CE7A71" w:rsidRPr="005946D2" w:rsidRDefault="00CE7A71" w:rsidP="000F55C3">
            <w:pPr>
              <w:pStyle w:val="CETBodytext"/>
              <w:rPr>
                <w:lang w:val="en-GB"/>
              </w:rPr>
            </w:pPr>
          </w:p>
        </w:tc>
        <w:tc>
          <w:tcPr>
            <w:tcW w:w="1701" w:type="dxa"/>
            <w:tcBorders>
              <w:top w:val="single" w:sz="12" w:space="0" w:color="008000"/>
              <w:bottom w:val="single" w:sz="6" w:space="0" w:color="008000"/>
            </w:tcBorders>
            <w:shd w:val="clear" w:color="auto" w:fill="FFFFFF"/>
          </w:tcPr>
          <w:p w14:paraId="25ADAD96" w14:textId="77777777" w:rsidR="00CE7A71" w:rsidRPr="005946D2" w:rsidRDefault="00CE7A71" w:rsidP="000F55C3">
            <w:pPr>
              <w:pStyle w:val="CETBodytext"/>
              <w:rPr>
                <w:lang w:val="en-GB"/>
              </w:rPr>
            </w:pPr>
            <w:r w:rsidRPr="005946D2">
              <w:rPr>
                <w:lang w:val="en-GB"/>
              </w:rPr>
              <w:t>Immobilized cells</w:t>
            </w:r>
          </w:p>
        </w:tc>
        <w:tc>
          <w:tcPr>
            <w:tcW w:w="993" w:type="dxa"/>
            <w:tcBorders>
              <w:top w:val="single" w:sz="12" w:space="0" w:color="008000"/>
              <w:bottom w:val="single" w:sz="6" w:space="0" w:color="008000"/>
            </w:tcBorders>
            <w:shd w:val="clear" w:color="auto" w:fill="FFFFFF"/>
          </w:tcPr>
          <w:p w14:paraId="12E90F5D" w14:textId="77777777" w:rsidR="00CE7A71" w:rsidRPr="00D7187E" w:rsidRDefault="00CE7A71" w:rsidP="000F55C3">
            <w:pPr>
              <w:pStyle w:val="CETBodytext"/>
              <w:rPr>
                <w:lang w:val="en-GB"/>
              </w:rPr>
            </w:pPr>
            <w:r w:rsidRPr="00D7187E">
              <w:rPr>
                <w:rFonts w:cs="Arial"/>
                <w:szCs w:val="18"/>
                <w:lang w:val="en-GB"/>
              </w:rPr>
              <w:t>Free cells</w:t>
            </w:r>
          </w:p>
        </w:tc>
      </w:tr>
      <w:tr w:rsidR="00CE7A71" w:rsidRPr="005946D2" w14:paraId="6182E51F" w14:textId="77777777" w:rsidTr="000F55C3">
        <w:tc>
          <w:tcPr>
            <w:tcW w:w="1701" w:type="dxa"/>
            <w:shd w:val="clear" w:color="auto" w:fill="FFFFFF"/>
            <w:vAlign w:val="bottom"/>
          </w:tcPr>
          <w:p w14:paraId="02C6715A" w14:textId="77777777" w:rsidR="00CE7A71" w:rsidRPr="005946D2" w:rsidRDefault="00CE7A71" w:rsidP="000F55C3">
            <w:pPr>
              <w:pStyle w:val="CETBodytext"/>
              <w:rPr>
                <w:rFonts w:cs="Arial"/>
                <w:szCs w:val="18"/>
                <w:lang w:val="en-GB"/>
              </w:rPr>
            </w:pPr>
            <w:r w:rsidRPr="005946D2">
              <w:rPr>
                <w:rFonts w:cs="Arial"/>
                <w:szCs w:val="18"/>
              </w:rPr>
              <w:t>μ</w:t>
            </w:r>
            <w:r w:rsidRPr="005946D2">
              <w:rPr>
                <w:rFonts w:cs="Arial"/>
                <w:bCs/>
                <w:szCs w:val="18"/>
                <w:lang w:val="it-IT" w:eastAsia="it-IT"/>
              </w:rPr>
              <w:t xml:space="preserve"> - h</w:t>
            </w:r>
            <w:r w:rsidRPr="005946D2">
              <w:rPr>
                <w:rFonts w:cs="Arial"/>
                <w:bCs/>
                <w:szCs w:val="18"/>
                <w:vertAlign w:val="superscript"/>
                <w:lang w:val="it-IT" w:eastAsia="it-IT"/>
              </w:rPr>
              <w:t>-1</w:t>
            </w:r>
          </w:p>
        </w:tc>
        <w:tc>
          <w:tcPr>
            <w:tcW w:w="1701" w:type="dxa"/>
            <w:shd w:val="clear" w:color="auto" w:fill="FFFFFF"/>
            <w:vAlign w:val="center"/>
          </w:tcPr>
          <w:p w14:paraId="11F73528" w14:textId="77777777" w:rsidR="00CE7A71" w:rsidRPr="00D7187E" w:rsidRDefault="00CE7A71" w:rsidP="000F55C3">
            <w:pPr>
              <w:pStyle w:val="CETBodytext"/>
              <w:jc w:val="center"/>
              <w:rPr>
                <w:rFonts w:cs="Arial"/>
                <w:szCs w:val="18"/>
                <w:lang w:val="en-GB"/>
              </w:rPr>
            </w:pPr>
            <w:r w:rsidRPr="00D7187E">
              <w:rPr>
                <w:rFonts w:cs="Arial"/>
                <w:color w:val="000000"/>
                <w:szCs w:val="18"/>
                <w:lang w:val="it-IT" w:eastAsia="it-IT"/>
              </w:rPr>
              <w:t>0.22</w:t>
            </w:r>
          </w:p>
        </w:tc>
        <w:tc>
          <w:tcPr>
            <w:tcW w:w="993" w:type="dxa"/>
            <w:shd w:val="clear" w:color="auto" w:fill="FFFFFF"/>
            <w:vAlign w:val="center"/>
          </w:tcPr>
          <w:p w14:paraId="53BF007F" w14:textId="77777777" w:rsidR="00CE7A71" w:rsidRPr="004D1E7D" w:rsidRDefault="00CE7A71" w:rsidP="000F55C3">
            <w:pPr>
              <w:pStyle w:val="CETBodytext"/>
              <w:jc w:val="center"/>
              <w:rPr>
                <w:rFonts w:cs="Arial"/>
                <w:szCs w:val="18"/>
                <w:lang w:val="en-GB"/>
              </w:rPr>
            </w:pPr>
            <w:r w:rsidRPr="00BB2BE0">
              <w:rPr>
                <w:rFonts w:cs="Arial"/>
                <w:color w:val="000000"/>
                <w:szCs w:val="18"/>
                <w:lang w:val="it-IT" w:eastAsia="it-IT"/>
              </w:rPr>
              <w:t>0.14</w:t>
            </w:r>
          </w:p>
        </w:tc>
      </w:tr>
      <w:tr w:rsidR="00CE7A71" w:rsidRPr="005946D2" w14:paraId="27C0972B" w14:textId="77777777" w:rsidTr="000F55C3">
        <w:tc>
          <w:tcPr>
            <w:tcW w:w="1701" w:type="dxa"/>
            <w:shd w:val="clear" w:color="auto" w:fill="FFFFFF"/>
            <w:vAlign w:val="bottom"/>
          </w:tcPr>
          <w:p w14:paraId="759CC00F" w14:textId="77777777" w:rsidR="00CE7A71" w:rsidRPr="005946D2" w:rsidRDefault="00CE7A71" w:rsidP="000F55C3">
            <w:pPr>
              <w:pStyle w:val="CETBodytext"/>
              <w:ind w:right="-1"/>
              <w:rPr>
                <w:rFonts w:cs="Arial"/>
                <w:szCs w:val="18"/>
                <w:lang w:val="en-GB"/>
              </w:rPr>
            </w:pPr>
            <w:r w:rsidRPr="005946D2">
              <w:rPr>
                <w:rFonts w:cs="Arial"/>
                <w:bCs/>
                <w:szCs w:val="18"/>
                <w:lang w:val="it-IT" w:eastAsia="it-IT"/>
              </w:rPr>
              <w:t>Y</w:t>
            </w:r>
            <w:r w:rsidRPr="005946D2">
              <w:rPr>
                <w:rFonts w:cs="Arial"/>
                <w:bCs/>
                <w:szCs w:val="18"/>
                <w:vertAlign w:val="subscript"/>
                <w:lang w:val="it-IT" w:eastAsia="it-IT"/>
              </w:rPr>
              <w:t>X/G</w:t>
            </w:r>
            <w:r w:rsidRPr="005946D2">
              <w:rPr>
                <w:rFonts w:cs="Arial"/>
                <w:bCs/>
                <w:szCs w:val="18"/>
                <w:lang w:val="it-IT" w:eastAsia="it-IT"/>
              </w:rPr>
              <w:t xml:space="preserve"> - gDM/g</w:t>
            </w:r>
          </w:p>
        </w:tc>
        <w:tc>
          <w:tcPr>
            <w:tcW w:w="1701" w:type="dxa"/>
            <w:shd w:val="clear" w:color="auto" w:fill="FFFFFF"/>
            <w:vAlign w:val="center"/>
          </w:tcPr>
          <w:p w14:paraId="1980EB93" w14:textId="77777777" w:rsidR="00CE7A71" w:rsidRPr="00D7187E" w:rsidRDefault="00CE7A71" w:rsidP="000F55C3">
            <w:pPr>
              <w:pStyle w:val="CETBodytext"/>
              <w:ind w:right="-1"/>
              <w:jc w:val="center"/>
              <w:rPr>
                <w:rFonts w:cs="Arial"/>
                <w:szCs w:val="18"/>
                <w:lang w:val="en-GB"/>
              </w:rPr>
            </w:pPr>
            <w:r w:rsidRPr="00D7187E">
              <w:rPr>
                <w:rFonts w:cs="Arial"/>
                <w:color w:val="000000"/>
                <w:szCs w:val="18"/>
                <w:lang w:val="it-IT" w:eastAsia="it-IT"/>
              </w:rPr>
              <w:t>0.06</w:t>
            </w:r>
          </w:p>
        </w:tc>
        <w:tc>
          <w:tcPr>
            <w:tcW w:w="993" w:type="dxa"/>
            <w:shd w:val="clear" w:color="auto" w:fill="FFFFFF"/>
            <w:vAlign w:val="center"/>
          </w:tcPr>
          <w:p w14:paraId="01DA1E14" w14:textId="77777777" w:rsidR="00CE7A71" w:rsidRPr="004D1E7D" w:rsidRDefault="00CE7A71" w:rsidP="000F55C3">
            <w:pPr>
              <w:pStyle w:val="CETBodytext"/>
              <w:ind w:right="-1"/>
              <w:jc w:val="center"/>
              <w:rPr>
                <w:rFonts w:cs="Arial"/>
                <w:szCs w:val="18"/>
                <w:lang w:val="en-GB"/>
              </w:rPr>
            </w:pPr>
            <w:r w:rsidRPr="00BB2BE0">
              <w:rPr>
                <w:rFonts w:cs="Arial"/>
                <w:color w:val="000000"/>
                <w:szCs w:val="18"/>
                <w:lang w:val="it-IT" w:eastAsia="it-IT"/>
              </w:rPr>
              <w:t>0.05</w:t>
            </w:r>
          </w:p>
        </w:tc>
      </w:tr>
      <w:tr w:rsidR="00CE7A71" w:rsidRPr="005946D2" w14:paraId="0C04C581" w14:textId="77777777" w:rsidTr="000F55C3">
        <w:tc>
          <w:tcPr>
            <w:tcW w:w="1701" w:type="dxa"/>
            <w:shd w:val="clear" w:color="auto" w:fill="FFFFFF"/>
            <w:vAlign w:val="bottom"/>
          </w:tcPr>
          <w:p w14:paraId="2274256A" w14:textId="17DF9CBF" w:rsidR="00CE7A71" w:rsidRPr="005946D2" w:rsidRDefault="00F56432" w:rsidP="000F55C3">
            <w:pPr>
              <w:pStyle w:val="CETBodytext"/>
              <w:ind w:right="-1"/>
              <w:rPr>
                <w:rFonts w:cs="Arial"/>
                <w:szCs w:val="18"/>
                <w:lang w:val="en-GB"/>
              </w:rPr>
            </w:pPr>
            <m:oMath>
              <m:sSubSup>
                <m:sSubSupPr>
                  <m:ctrlPr>
                    <w:rPr>
                      <w:rFonts w:ascii="Cambria Math" w:hAnsi="Cambria Math" w:cs="Arial"/>
                      <w:szCs w:val="18"/>
                    </w:rPr>
                  </m:ctrlPr>
                </m:sSubSupPr>
                <m:e>
                  <m:r>
                    <m:rPr>
                      <m:sty m:val="p"/>
                    </m:rPr>
                    <w:rPr>
                      <w:rFonts w:ascii="Cambria Math" w:hAnsi="Cambria Math" w:cs="Arial"/>
                      <w:szCs w:val="18"/>
                    </w:rPr>
                    <m:t>r</m:t>
                  </m:r>
                </m:e>
                <m:sub>
                  <m:r>
                    <m:rPr>
                      <m:sty m:val="p"/>
                    </m:rPr>
                    <w:rPr>
                      <w:rFonts w:ascii="Cambria Math" w:hAnsi="Cambria Math" w:cs="Arial"/>
                      <w:szCs w:val="18"/>
                    </w:rPr>
                    <m:t>SA</m:t>
                  </m:r>
                </m:sub>
                <m:sup>
                  <m:r>
                    <m:rPr>
                      <m:sty m:val="p"/>
                    </m:rPr>
                    <w:rPr>
                      <w:rFonts w:ascii="Cambria Math" w:hAnsi="Cambria Math" w:cs="Arial"/>
                      <w:szCs w:val="18"/>
                    </w:rPr>
                    <m:t>max</m:t>
                  </m:r>
                </m:sup>
              </m:sSubSup>
            </m:oMath>
            <w:r w:rsidR="00CE7A71" w:rsidRPr="005946D2">
              <w:rPr>
                <w:rFonts w:cs="Arial"/>
                <w:szCs w:val="18"/>
              </w:rPr>
              <w:t xml:space="preserve"> </w:t>
            </w:r>
            <w:r w:rsidR="00CE7A71" w:rsidRPr="005946D2">
              <w:rPr>
                <w:rFonts w:cs="Arial"/>
                <w:bCs/>
                <w:szCs w:val="18"/>
                <w:lang w:eastAsia="it-IT"/>
              </w:rPr>
              <w:t>- g/g</w:t>
            </w:r>
            <w:r w:rsidR="00CE7A71" w:rsidRPr="005946D2">
              <w:rPr>
                <w:rFonts w:cs="Arial"/>
                <w:bCs/>
                <w:szCs w:val="18"/>
                <w:vertAlign w:val="subscript"/>
                <w:lang w:eastAsia="it-IT"/>
              </w:rPr>
              <w:t>DM</w:t>
            </w:r>
            <w:r w:rsidR="00CE7A71" w:rsidRPr="005946D2">
              <w:rPr>
                <w:rFonts w:cs="Arial"/>
                <w:bCs/>
                <w:szCs w:val="18"/>
                <w:lang w:eastAsia="it-IT"/>
              </w:rPr>
              <w:t>h</w:t>
            </w:r>
          </w:p>
        </w:tc>
        <w:tc>
          <w:tcPr>
            <w:tcW w:w="1701" w:type="dxa"/>
            <w:shd w:val="clear" w:color="auto" w:fill="FFFFFF"/>
            <w:vAlign w:val="center"/>
          </w:tcPr>
          <w:p w14:paraId="5CCC275A" w14:textId="77777777" w:rsidR="00CE7A71" w:rsidRPr="00D7187E" w:rsidRDefault="00CE7A71" w:rsidP="000F55C3">
            <w:pPr>
              <w:pStyle w:val="CETBodytext"/>
              <w:ind w:right="-1"/>
              <w:jc w:val="center"/>
              <w:rPr>
                <w:rFonts w:cs="Arial"/>
                <w:szCs w:val="18"/>
                <w:lang w:val="en-GB"/>
              </w:rPr>
            </w:pPr>
            <w:r w:rsidRPr="00D7187E">
              <w:rPr>
                <w:rFonts w:cs="Arial"/>
                <w:color w:val="000000"/>
                <w:szCs w:val="18"/>
                <w:lang w:val="it-IT" w:eastAsia="it-IT"/>
              </w:rPr>
              <w:t>0.82</w:t>
            </w:r>
          </w:p>
        </w:tc>
        <w:tc>
          <w:tcPr>
            <w:tcW w:w="993" w:type="dxa"/>
            <w:shd w:val="clear" w:color="auto" w:fill="FFFFFF"/>
            <w:vAlign w:val="center"/>
          </w:tcPr>
          <w:p w14:paraId="1F0E8B5A" w14:textId="77777777" w:rsidR="00CE7A71" w:rsidRPr="004D1E7D" w:rsidRDefault="00CE7A71" w:rsidP="000F55C3">
            <w:pPr>
              <w:pStyle w:val="CETBodytext"/>
              <w:ind w:right="-1"/>
              <w:jc w:val="center"/>
              <w:rPr>
                <w:rFonts w:cs="Arial"/>
                <w:szCs w:val="18"/>
                <w:lang w:val="en-GB"/>
              </w:rPr>
            </w:pPr>
            <w:r w:rsidRPr="00BB2BE0">
              <w:rPr>
                <w:rFonts w:cs="Arial"/>
                <w:color w:val="000000"/>
                <w:szCs w:val="18"/>
                <w:lang w:val="it-IT" w:eastAsia="it-IT"/>
              </w:rPr>
              <w:t>0.74</w:t>
            </w:r>
          </w:p>
        </w:tc>
      </w:tr>
      <w:tr w:rsidR="00CE7A71" w:rsidRPr="005946D2" w14:paraId="255CB995" w14:textId="77777777" w:rsidTr="000F55C3">
        <w:tc>
          <w:tcPr>
            <w:tcW w:w="1701" w:type="dxa"/>
            <w:shd w:val="clear" w:color="auto" w:fill="FFFFFF"/>
            <w:vAlign w:val="bottom"/>
          </w:tcPr>
          <w:p w14:paraId="2E19961E" w14:textId="77777777" w:rsidR="00CE7A71" w:rsidRPr="005946D2" w:rsidRDefault="00CE7A71" w:rsidP="000F55C3">
            <w:pPr>
              <w:pStyle w:val="CETBodytext"/>
              <w:ind w:right="-1"/>
              <w:rPr>
                <w:rFonts w:cs="Arial"/>
                <w:szCs w:val="18"/>
                <w:lang w:val="en-GB"/>
              </w:rPr>
            </w:pPr>
            <w:r w:rsidRPr="005946D2">
              <w:rPr>
                <w:rFonts w:cs="Arial"/>
                <w:bCs/>
                <w:szCs w:val="18"/>
                <w:lang w:val="it-IT" w:eastAsia="it-IT"/>
              </w:rPr>
              <w:t>Y</w:t>
            </w:r>
            <w:r w:rsidRPr="005946D2">
              <w:rPr>
                <w:rFonts w:cs="Arial"/>
                <w:bCs/>
                <w:szCs w:val="18"/>
                <w:vertAlign w:val="subscript"/>
                <w:lang w:val="it-IT" w:eastAsia="it-IT"/>
              </w:rPr>
              <w:t>SA/G</w:t>
            </w:r>
            <w:r w:rsidRPr="005946D2">
              <w:rPr>
                <w:rFonts w:cs="Arial"/>
                <w:bCs/>
                <w:szCs w:val="18"/>
                <w:lang w:val="it-IT" w:eastAsia="it-IT"/>
              </w:rPr>
              <w:t xml:space="preserve"> - g/g</w:t>
            </w:r>
          </w:p>
        </w:tc>
        <w:tc>
          <w:tcPr>
            <w:tcW w:w="1701" w:type="dxa"/>
            <w:shd w:val="clear" w:color="auto" w:fill="FFFFFF"/>
            <w:vAlign w:val="center"/>
          </w:tcPr>
          <w:p w14:paraId="26A0D5D7" w14:textId="77777777" w:rsidR="00CE7A71" w:rsidRPr="00D7187E" w:rsidRDefault="00CE7A71" w:rsidP="000F55C3">
            <w:pPr>
              <w:pStyle w:val="CETBodytext"/>
              <w:ind w:right="-1"/>
              <w:jc w:val="center"/>
              <w:rPr>
                <w:rFonts w:cs="Arial"/>
                <w:szCs w:val="18"/>
                <w:lang w:val="en-GB"/>
              </w:rPr>
            </w:pPr>
            <w:r w:rsidRPr="00D7187E">
              <w:rPr>
                <w:rFonts w:cs="Arial"/>
                <w:color w:val="000000"/>
                <w:szCs w:val="18"/>
                <w:lang w:val="it-IT" w:eastAsia="it-IT"/>
              </w:rPr>
              <w:t>0.87</w:t>
            </w:r>
          </w:p>
        </w:tc>
        <w:tc>
          <w:tcPr>
            <w:tcW w:w="993" w:type="dxa"/>
            <w:shd w:val="clear" w:color="auto" w:fill="FFFFFF"/>
            <w:vAlign w:val="center"/>
          </w:tcPr>
          <w:p w14:paraId="033863E3" w14:textId="77777777" w:rsidR="00CE7A71" w:rsidRPr="004D1E7D" w:rsidRDefault="00CE7A71" w:rsidP="000F55C3">
            <w:pPr>
              <w:pStyle w:val="CETBodytext"/>
              <w:ind w:right="-1"/>
              <w:jc w:val="center"/>
              <w:rPr>
                <w:rFonts w:cs="Arial"/>
                <w:szCs w:val="18"/>
                <w:lang w:val="en-GB"/>
              </w:rPr>
            </w:pPr>
            <w:r w:rsidRPr="00BB2BE0">
              <w:rPr>
                <w:rFonts w:cs="Arial"/>
                <w:color w:val="000000"/>
                <w:szCs w:val="18"/>
                <w:lang w:val="it-IT" w:eastAsia="it-IT"/>
              </w:rPr>
              <w:t>0.78</w:t>
            </w:r>
          </w:p>
        </w:tc>
      </w:tr>
      <w:tr w:rsidR="00CE7A71" w:rsidRPr="005946D2" w14:paraId="45B04B19" w14:textId="77777777" w:rsidTr="000F55C3">
        <w:tc>
          <w:tcPr>
            <w:tcW w:w="1701" w:type="dxa"/>
            <w:shd w:val="clear" w:color="auto" w:fill="FFFFFF"/>
            <w:vAlign w:val="bottom"/>
          </w:tcPr>
          <w:p w14:paraId="714852DC" w14:textId="77777777" w:rsidR="00CE7A71" w:rsidRPr="005946D2" w:rsidRDefault="00CE7A71" w:rsidP="000F55C3">
            <w:pPr>
              <w:pStyle w:val="CETBodytext"/>
              <w:ind w:right="-1"/>
              <w:rPr>
                <w:rFonts w:cs="Arial"/>
                <w:szCs w:val="18"/>
                <w:lang w:val="en-GB"/>
              </w:rPr>
            </w:pPr>
            <w:r w:rsidRPr="005946D2">
              <w:rPr>
                <w:rFonts w:cs="Arial"/>
                <w:bCs/>
                <w:szCs w:val="18"/>
                <w:lang w:val="it-IT" w:eastAsia="it-IT"/>
              </w:rPr>
              <w:t>W</w:t>
            </w:r>
            <w:r w:rsidRPr="005946D2">
              <w:rPr>
                <w:rFonts w:cs="Arial"/>
                <w:bCs/>
                <w:szCs w:val="18"/>
                <w:vertAlign w:val="subscript"/>
                <w:lang w:val="it-IT" w:eastAsia="it-IT"/>
              </w:rPr>
              <w:t>SA</w:t>
            </w:r>
            <w:r w:rsidRPr="005946D2">
              <w:rPr>
                <w:rFonts w:cs="Arial"/>
                <w:bCs/>
                <w:szCs w:val="18"/>
                <w:lang w:val="it-IT" w:eastAsia="it-IT"/>
              </w:rPr>
              <w:t xml:space="preserve"> MAX - g/Lh</w:t>
            </w:r>
          </w:p>
        </w:tc>
        <w:tc>
          <w:tcPr>
            <w:tcW w:w="1701" w:type="dxa"/>
            <w:shd w:val="clear" w:color="auto" w:fill="FFFFFF"/>
            <w:vAlign w:val="center"/>
          </w:tcPr>
          <w:p w14:paraId="7E9FA892" w14:textId="77777777" w:rsidR="00CE7A71" w:rsidRPr="00D7187E" w:rsidRDefault="00CE7A71" w:rsidP="000F55C3">
            <w:pPr>
              <w:pStyle w:val="CETBodytext"/>
              <w:ind w:right="-1"/>
              <w:jc w:val="center"/>
              <w:rPr>
                <w:rFonts w:cs="Arial"/>
                <w:szCs w:val="18"/>
                <w:lang w:val="en-GB"/>
              </w:rPr>
            </w:pPr>
            <w:r w:rsidRPr="00D7187E">
              <w:rPr>
                <w:rFonts w:cs="Arial"/>
                <w:color w:val="000000"/>
                <w:szCs w:val="18"/>
                <w:lang w:val="it-IT" w:eastAsia="it-IT"/>
              </w:rPr>
              <w:t>0.77</w:t>
            </w:r>
          </w:p>
        </w:tc>
        <w:tc>
          <w:tcPr>
            <w:tcW w:w="993" w:type="dxa"/>
            <w:shd w:val="clear" w:color="auto" w:fill="FFFFFF"/>
            <w:vAlign w:val="center"/>
          </w:tcPr>
          <w:p w14:paraId="4E12E38C" w14:textId="77777777" w:rsidR="00CE7A71" w:rsidRPr="004D1E7D" w:rsidRDefault="00CE7A71" w:rsidP="000F55C3">
            <w:pPr>
              <w:pStyle w:val="CETBodytext"/>
              <w:ind w:right="-1"/>
              <w:jc w:val="center"/>
              <w:rPr>
                <w:rFonts w:cs="Arial"/>
                <w:szCs w:val="18"/>
                <w:lang w:val="en-GB"/>
              </w:rPr>
            </w:pPr>
            <w:r w:rsidRPr="00BB2BE0">
              <w:rPr>
                <w:rFonts w:cs="Arial"/>
                <w:color w:val="000000"/>
                <w:szCs w:val="18"/>
                <w:lang w:val="it-IT" w:eastAsia="it-IT"/>
              </w:rPr>
              <w:t>0.32</w:t>
            </w:r>
          </w:p>
        </w:tc>
      </w:tr>
      <w:tr w:rsidR="00CE7A71" w:rsidRPr="005946D2" w14:paraId="569065E2" w14:textId="77777777" w:rsidTr="000F55C3">
        <w:tc>
          <w:tcPr>
            <w:tcW w:w="1701" w:type="dxa"/>
            <w:shd w:val="clear" w:color="auto" w:fill="FFFFFF"/>
            <w:vAlign w:val="bottom"/>
          </w:tcPr>
          <w:p w14:paraId="173DE4BD" w14:textId="77777777" w:rsidR="00CE7A71" w:rsidRPr="005946D2" w:rsidRDefault="00CE7A71" w:rsidP="000F55C3">
            <w:pPr>
              <w:pStyle w:val="CETBodytext"/>
              <w:ind w:right="-1"/>
              <w:rPr>
                <w:rFonts w:cs="Arial"/>
                <w:szCs w:val="18"/>
                <w:lang w:val="en-GB"/>
              </w:rPr>
            </w:pPr>
            <w:r w:rsidRPr="005946D2">
              <w:rPr>
                <w:rFonts w:cs="Arial"/>
                <w:szCs w:val="18"/>
              </w:rPr>
              <w:t>ξ</w:t>
            </w:r>
            <w:r w:rsidRPr="005946D2">
              <w:rPr>
                <w:rFonts w:cs="Arial"/>
                <w:szCs w:val="18"/>
                <w:vertAlign w:val="subscript"/>
              </w:rPr>
              <w:t>S</w:t>
            </w:r>
            <w:r w:rsidRPr="005946D2">
              <w:rPr>
                <w:rFonts w:cs="Arial"/>
                <w:szCs w:val="18"/>
              </w:rPr>
              <w:t xml:space="preserve"> - </w:t>
            </w:r>
          </w:p>
        </w:tc>
        <w:tc>
          <w:tcPr>
            <w:tcW w:w="1701" w:type="dxa"/>
            <w:shd w:val="clear" w:color="auto" w:fill="FFFFFF"/>
            <w:vAlign w:val="center"/>
          </w:tcPr>
          <w:p w14:paraId="3C7CD44B" w14:textId="77777777" w:rsidR="00CE7A71" w:rsidRPr="00D7187E" w:rsidRDefault="00CE7A71" w:rsidP="000F55C3">
            <w:pPr>
              <w:pStyle w:val="CETBodytext"/>
              <w:ind w:right="-1"/>
              <w:jc w:val="center"/>
              <w:rPr>
                <w:rFonts w:cs="Arial"/>
                <w:szCs w:val="18"/>
                <w:lang w:val="en-GB"/>
              </w:rPr>
            </w:pPr>
            <w:r w:rsidRPr="00D7187E">
              <w:rPr>
                <w:rFonts w:cs="Arial"/>
                <w:color w:val="000000"/>
                <w:szCs w:val="18"/>
                <w:lang w:val="it-IT" w:eastAsia="it-IT"/>
              </w:rPr>
              <w:t>1</w:t>
            </w:r>
          </w:p>
        </w:tc>
        <w:tc>
          <w:tcPr>
            <w:tcW w:w="993" w:type="dxa"/>
            <w:shd w:val="clear" w:color="auto" w:fill="FFFFFF"/>
            <w:vAlign w:val="center"/>
          </w:tcPr>
          <w:p w14:paraId="1BE90C7A" w14:textId="77777777" w:rsidR="00CE7A71" w:rsidRPr="004D1E7D" w:rsidRDefault="00CE7A71" w:rsidP="000F55C3">
            <w:pPr>
              <w:pStyle w:val="CETBodytext"/>
              <w:ind w:right="-1"/>
              <w:jc w:val="center"/>
              <w:rPr>
                <w:rFonts w:cs="Arial"/>
                <w:szCs w:val="18"/>
                <w:lang w:val="en-GB"/>
              </w:rPr>
            </w:pPr>
            <w:r w:rsidRPr="00BB2BE0">
              <w:rPr>
                <w:rFonts w:cs="Arial"/>
                <w:color w:val="000000"/>
                <w:szCs w:val="18"/>
                <w:lang w:val="it-IT" w:eastAsia="it-IT"/>
              </w:rPr>
              <w:t>0.95</w:t>
            </w:r>
          </w:p>
        </w:tc>
      </w:tr>
    </w:tbl>
    <w:p w14:paraId="7CA16677" w14:textId="77777777" w:rsidR="00CE7A71" w:rsidRPr="005946D2" w:rsidRDefault="00CE7A71" w:rsidP="00CE7A71">
      <w:pPr>
        <w:pStyle w:val="CETTabletitle"/>
      </w:pPr>
      <w:r w:rsidRPr="005946D2">
        <w:t>Table 1: Relevant kinetic parameters: specific growth rate, biomass yield, succinic acid production rate on gram of cells, SA yield, maximum SA productivity and glucose conversion in immobilized and free cells fermentation.</w:t>
      </w:r>
    </w:p>
    <w:p w14:paraId="10493929" w14:textId="77777777" w:rsidR="00CE7A71" w:rsidRDefault="00CE7A71" w:rsidP="00666BBF"/>
    <w:p w14:paraId="311FF91F" w14:textId="77777777" w:rsidR="00CE7A71" w:rsidRDefault="00CE7A71" w:rsidP="00666BBF"/>
    <w:p w14:paraId="50AF0A8F" w14:textId="038EC365" w:rsidR="00666BBF" w:rsidRDefault="008B1353" w:rsidP="00666BBF">
      <w:r>
        <w:t xml:space="preserve">Fig. 2 reports the cell concentration for the free-cells and for the immobilized-cells system. It is evident that the immobilization of cells had a significant effect on cell growth. In particular immobilized cells </w:t>
      </w:r>
      <w:r w:rsidRPr="007322AD">
        <w:t xml:space="preserve">show a </w:t>
      </w:r>
      <w:r>
        <w:t>shorter l</w:t>
      </w:r>
      <w:r w:rsidRPr="007322AD">
        <w:t>ag phase</w:t>
      </w:r>
      <w:r>
        <w:t xml:space="preserve"> and a higher maximum cell concentration when compared to free cells.</w:t>
      </w:r>
      <w:r w:rsidR="00666BBF">
        <w:t xml:space="preserve"> Moreover, table 1</w:t>
      </w:r>
      <w:r w:rsidR="001F32CB">
        <w:t xml:space="preserve"> reports</w:t>
      </w:r>
      <w:r w:rsidR="00666BBF">
        <w:t xml:space="preserve"> the specific growth rate for free and immobilized systems; the immobilized cells had a specific growth rate 70 % higher than the </w:t>
      </w:r>
      <w:r w:rsidR="00173049">
        <w:t>free cells.</w:t>
      </w:r>
    </w:p>
    <w:p w14:paraId="1C095CA1" w14:textId="77777777" w:rsidR="000F55C3" w:rsidRDefault="000F55C3" w:rsidP="00666BBF"/>
    <w:p w14:paraId="4D17DDA6" w14:textId="48CF1B36" w:rsidR="000F55C3" w:rsidRDefault="000F55C3" w:rsidP="000F55C3">
      <w:pPr>
        <w:jc w:val="center"/>
      </w:pPr>
      <w:r>
        <w:rPr>
          <w:noProof/>
          <w:lang w:val="it-IT" w:eastAsia="it-IT"/>
        </w:rPr>
        <w:drawing>
          <wp:inline distT="0" distB="0" distL="0" distR="0" wp14:anchorId="27D1A312" wp14:editId="18762E6D">
            <wp:extent cx="3943665" cy="2875915"/>
            <wp:effectExtent l="0" t="0" r="0" b="0"/>
            <wp:docPr id="2" name="Immagine 2" descr="Macintosh HD:Users:user:Desktop:Dottorato&amp;PostDoc:Francesca:Pubblicazioni:ICheaP 14:Alessia_Acido Succinico:Finale:Revisioni:Bioma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ser:Desktop:Dottorato&amp;PostDoc:Francesca:Pubblicazioni:ICheaP 14:Alessia_Acido Succinico:Finale:Revisioni:Biomassa.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8250"/>
                    <a:stretch/>
                  </pic:blipFill>
                  <pic:spPr bwMode="auto">
                    <a:xfrm>
                      <a:off x="0" y="0"/>
                      <a:ext cx="3946122" cy="2877707"/>
                    </a:xfrm>
                    <a:prstGeom prst="rect">
                      <a:avLst/>
                    </a:prstGeom>
                    <a:noFill/>
                    <a:ln>
                      <a:noFill/>
                    </a:ln>
                    <a:extLst>
                      <a:ext uri="{53640926-AAD7-44d8-BBD7-CCE9431645EC}">
                        <a14:shadowObscured xmlns:a14="http://schemas.microsoft.com/office/drawing/2010/main"/>
                      </a:ext>
                    </a:extLst>
                  </pic:spPr>
                </pic:pic>
              </a:graphicData>
            </a:graphic>
          </wp:inline>
        </w:drawing>
      </w:r>
    </w:p>
    <w:p w14:paraId="4558B108" w14:textId="77777777" w:rsidR="000F55C3" w:rsidRDefault="000F55C3" w:rsidP="00666BBF"/>
    <w:p w14:paraId="18CBC0A1" w14:textId="368D54B0" w:rsidR="00B649A9" w:rsidRDefault="003E741E" w:rsidP="00C725D4">
      <w:pPr>
        <w:pStyle w:val="CETCaption"/>
        <w:jc w:val="left"/>
      </w:pPr>
      <w:r>
        <w:t>Figure 2</w:t>
      </w:r>
      <w:r w:rsidRPr="00D63B3E">
        <w:t xml:space="preserve">: </w:t>
      </w:r>
      <w:r>
        <w:t>T</w:t>
      </w:r>
      <w:r w:rsidRPr="00830D6C">
        <w:t>ime-resolved measurements of the concentration of A. succinogenes cells</w:t>
      </w:r>
      <w:r>
        <w:t xml:space="preserve"> in immobilized and free cells fermentation</w:t>
      </w:r>
    </w:p>
    <w:p w14:paraId="604A6D97" w14:textId="6F5168EA" w:rsidR="001F32CB" w:rsidRDefault="00F266B4" w:rsidP="00113F33">
      <w:pPr>
        <w:pStyle w:val="CETCaption"/>
        <w:rPr>
          <w:i w:val="0"/>
        </w:rPr>
      </w:pPr>
      <w:r w:rsidRPr="00DE5787">
        <w:rPr>
          <w:i w:val="0"/>
        </w:rPr>
        <w:t>Fig</w:t>
      </w:r>
      <w:r>
        <w:rPr>
          <w:i w:val="0"/>
        </w:rPr>
        <w:t xml:space="preserve">. 3 reports the </w:t>
      </w:r>
      <w:r w:rsidR="00FB3F4F">
        <w:rPr>
          <w:i w:val="0"/>
        </w:rPr>
        <w:t>glucose consumption</w:t>
      </w:r>
      <w:r>
        <w:rPr>
          <w:i w:val="0"/>
        </w:rPr>
        <w:t xml:space="preserve"> </w:t>
      </w:r>
      <w:r w:rsidRPr="00F266B4">
        <w:rPr>
          <w:i w:val="0"/>
        </w:rPr>
        <w:t>in immobilized and free cells fermentation tests</w:t>
      </w:r>
      <w:r>
        <w:rPr>
          <w:i w:val="0"/>
        </w:rPr>
        <w:t>. It is evident that in both cases glucose was completely consumed but</w:t>
      </w:r>
      <w:r w:rsidR="00A0216D">
        <w:rPr>
          <w:i w:val="0"/>
        </w:rPr>
        <w:t xml:space="preserve"> </w:t>
      </w:r>
      <w:r w:rsidR="00591780">
        <w:rPr>
          <w:i w:val="0"/>
        </w:rPr>
        <w:t>immobilized cells reduce</w:t>
      </w:r>
      <w:r>
        <w:rPr>
          <w:i w:val="0"/>
        </w:rPr>
        <w:t>d</w:t>
      </w:r>
      <w:r w:rsidR="00591780">
        <w:rPr>
          <w:i w:val="0"/>
        </w:rPr>
        <w:t xml:space="preserve"> of 70 hours </w:t>
      </w:r>
      <w:r w:rsidR="00A0216D" w:rsidRPr="00A0216D">
        <w:rPr>
          <w:i w:val="0"/>
        </w:rPr>
        <w:t xml:space="preserve">the </w:t>
      </w:r>
      <w:r>
        <w:rPr>
          <w:i w:val="0"/>
        </w:rPr>
        <w:t xml:space="preserve">conversion </w:t>
      </w:r>
      <w:r w:rsidR="00A0216D" w:rsidRPr="00A0216D">
        <w:rPr>
          <w:i w:val="0"/>
        </w:rPr>
        <w:t>time</w:t>
      </w:r>
      <w:r>
        <w:rPr>
          <w:i w:val="0"/>
        </w:rPr>
        <w:t xml:space="preserve">. This was due to the increased metabolic activity of the </w:t>
      </w:r>
      <w:r w:rsidR="00D73AB1">
        <w:rPr>
          <w:i w:val="0"/>
        </w:rPr>
        <w:t>immobilized cell</w:t>
      </w:r>
      <w:r>
        <w:rPr>
          <w:i w:val="0"/>
        </w:rPr>
        <w:t>s</w:t>
      </w:r>
      <w:r w:rsidR="001F32CB" w:rsidRPr="001F32CB">
        <w:rPr>
          <w:i w:val="0"/>
        </w:rPr>
        <w:t>.</w:t>
      </w:r>
    </w:p>
    <w:p w14:paraId="52B7C1B2" w14:textId="77777777" w:rsidR="00891944" w:rsidRDefault="00891944" w:rsidP="00A0216D">
      <w:pPr>
        <w:jc w:val="center"/>
        <w:rPr>
          <w:rFonts w:cs="Arial"/>
          <w:lang w:val="en-US"/>
        </w:rPr>
      </w:pPr>
    </w:p>
    <w:p w14:paraId="6CDFB3D5" w14:textId="38A9E0A5" w:rsidR="00891944" w:rsidRDefault="00891944" w:rsidP="00A0216D">
      <w:pPr>
        <w:jc w:val="center"/>
        <w:rPr>
          <w:rFonts w:cs="Arial"/>
          <w:lang w:val="en-US"/>
        </w:rPr>
      </w:pPr>
      <w:r>
        <w:rPr>
          <w:rFonts w:cs="Arial"/>
          <w:noProof/>
          <w:lang w:val="it-IT" w:eastAsia="it-IT"/>
        </w:rPr>
        <w:drawing>
          <wp:inline distT="0" distB="0" distL="0" distR="0" wp14:anchorId="2A163C65" wp14:editId="180330C4">
            <wp:extent cx="3898572" cy="3151105"/>
            <wp:effectExtent l="0" t="0" r="0" b="0"/>
            <wp:docPr id="7" name="Immagine 7" descr="Macintosh HD:Users:user:Desktop:Dottorato&amp;PostDoc:Francesca:Pubblicazioni:ICheaP 14:Alessia_Acido Succinico:Finale:Revisioni:Glucos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ser:Desktop:Dottorato&amp;PostDoc:Francesca:Pubblicazioni:ICheaP 14:Alessia_Acido Succinico:Finale:Revisioni:Glucosi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1142" cy="3153182"/>
                    </a:xfrm>
                    <a:prstGeom prst="rect">
                      <a:avLst/>
                    </a:prstGeom>
                    <a:noFill/>
                    <a:ln>
                      <a:noFill/>
                    </a:ln>
                  </pic:spPr>
                </pic:pic>
              </a:graphicData>
            </a:graphic>
          </wp:inline>
        </w:drawing>
      </w:r>
    </w:p>
    <w:p w14:paraId="31D5A542" w14:textId="77777777" w:rsidR="00891944" w:rsidRDefault="00891944" w:rsidP="00A0216D">
      <w:pPr>
        <w:jc w:val="center"/>
        <w:rPr>
          <w:rFonts w:cs="Arial"/>
          <w:lang w:val="en-US"/>
        </w:rPr>
      </w:pPr>
    </w:p>
    <w:p w14:paraId="0675B218" w14:textId="1A9B1757" w:rsidR="00A0216D" w:rsidRPr="00830D6C" w:rsidRDefault="00FE2653" w:rsidP="00FE2653">
      <w:pPr>
        <w:rPr>
          <w:rFonts w:cs="Arial"/>
          <w:i/>
          <w:lang w:val="en-US"/>
        </w:rPr>
      </w:pPr>
      <w:r w:rsidRPr="00830D6C">
        <w:rPr>
          <w:rFonts w:cs="Arial"/>
          <w:i/>
          <w:lang w:val="en-US"/>
        </w:rPr>
        <w:t xml:space="preserve">Figure </w:t>
      </w:r>
      <w:r w:rsidR="00471947">
        <w:rPr>
          <w:rFonts w:cs="Arial"/>
          <w:i/>
          <w:lang w:val="en-US"/>
        </w:rPr>
        <w:t>3</w:t>
      </w:r>
      <w:r w:rsidRPr="00830D6C">
        <w:rPr>
          <w:rFonts w:cs="Arial"/>
          <w:i/>
          <w:lang w:val="en-US"/>
        </w:rPr>
        <w:t xml:space="preserve">: </w:t>
      </w:r>
      <w:r w:rsidR="00830D6C">
        <w:rPr>
          <w:rFonts w:cs="Arial"/>
          <w:i/>
          <w:lang w:val="en-US"/>
        </w:rPr>
        <w:t>Time resolved profiles of g</w:t>
      </w:r>
      <w:r w:rsidRPr="00830D6C">
        <w:rPr>
          <w:rFonts w:cs="Arial"/>
          <w:i/>
          <w:lang w:val="en-US"/>
        </w:rPr>
        <w:t>lucose consumption in immobilized and free cells fermentation tests</w:t>
      </w:r>
    </w:p>
    <w:p w14:paraId="1C8F0A0B" w14:textId="77777777" w:rsidR="00830D6C" w:rsidRDefault="00830D6C" w:rsidP="00926FF6"/>
    <w:p w14:paraId="65D4BF54" w14:textId="2447F244" w:rsidR="00852CBD" w:rsidRDefault="00852CBD" w:rsidP="00852CBD">
      <w:pPr>
        <w:rPr>
          <w:lang w:val="en-US"/>
        </w:rPr>
      </w:pPr>
      <w:r>
        <w:rPr>
          <w:lang w:val="en-US"/>
        </w:rPr>
        <w:t xml:space="preserve">Table </w:t>
      </w:r>
      <w:r w:rsidR="00022D71">
        <w:rPr>
          <w:lang w:val="en-US"/>
        </w:rPr>
        <w:t>2</w:t>
      </w:r>
      <w:r w:rsidRPr="00852CBD">
        <w:rPr>
          <w:lang w:val="en-US"/>
        </w:rPr>
        <w:t xml:space="preserve"> reports the final concentration</w:t>
      </w:r>
      <w:r w:rsidR="00022D71">
        <w:rPr>
          <w:lang w:val="en-US"/>
        </w:rPr>
        <w:t xml:space="preserve"> and yield </w:t>
      </w:r>
      <w:r w:rsidRPr="00852CBD">
        <w:rPr>
          <w:lang w:val="en-US"/>
        </w:rPr>
        <w:t xml:space="preserve">of the most abundant by-products of the fermentation: acetic and formic acid. Their concentrations were much lower than SA (always below 7.5 g/L). A higher concentration of formic and acetic acid in free cells fermentation tests was observed in comparison with immobilized cells tests; that is because final SA concentration in free cells tests was lower than the one </w:t>
      </w:r>
      <w:r w:rsidRPr="009A1B10">
        <w:rPr>
          <w:lang w:val="en-US"/>
        </w:rPr>
        <w:t>obtained in immobilized cells tests</w:t>
      </w:r>
      <w:r w:rsidR="00D175BE" w:rsidRPr="009A1B10">
        <w:rPr>
          <w:lang w:val="en-US"/>
        </w:rPr>
        <w:t xml:space="preserve"> </w:t>
      </w:r>
      <w:r w:rsidRPr="00746B00">
        <w:rPr>
          <w:lang w:val="en-US"/>
        </w:rPr>
        <w:t>(</w:t>
      </w:r>
      <w:r w:rsidRPr="00DE5787">
        <w:rPr>
          <w:lang w:val="en-US"/>
        </w:rPr>
        <w:t xml:space="preserve">Bradfield </w:t>
      </w:r>
      <w:r w:rsidR="00D104C9">
        <w:rPr>
          <w:lang w:val="en-US"/>
        </w:rPr>
        <w:t>and Nicol</w:t>
      </w:r>
      <w:r w:rsidRPr="00DE5787">
        <w:rPr>
          <w:lang w:val="en-US"/>
        </w:rPr>
        <w:t>, 2014)</w:t>
      </w:r>
      <w:r w:rsidR="004468BC">
        <w:rPr>
          <w:lang w:val="en-US"/>
        </w:rPr>
        <w:t>.</w:t>
      </w:r>
    </w:p>
    <w:p w14:paraId="10F2F9DA" w14:textId="77777777" w:rsidR="001A3C43" w:rsidRDefault="001A3C43" w:rsidP="00852CBD">
      <w:pPr>
        <w:rPr>
          <w:lang w:val="en-US"/>
        </w:rPr>
      </w:pP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701"/>
        <w:gridCol w:w="1418"/>
        <w:gridCol w:w="992"/>
        <w:gridCol w:w="1418"/>
        <w:gridCol w:w="554"/>
        <w:gridCol w:w="13"/>
      </w:tblGrid>
      <w:tr w:rsidR="008C5F43" w:rsidRPr="00B57B36" w14:paraId="532B8F34" w14:textId="77777777" w:rsidTr="00AF718D">
        <w:trPr>
          <w:gridAfter w:val="1"/>
          <w:wAfter w:w="13" w:type="dxa"/>
        </w:trPr>
        <w:tc>
          <w:tcPr>
            <w:tcW w:w="1701" w:type="dxa"/>
            <w:tcBorders>
              <w:top w:val="single" w:sz="12" w:space="0" w:color="008000"/>
              <w:bottom w:val="single" w:sz="6" w:space="0" w:color="008000"/>
            </w:tcBorders>
            <w:shd w:val="clear" w:color="auto" w:fill="FFFFFF"/>
          </w:tcPr>
          <w:p w14:paraId="7353E5D8" w14:textId="77777777" w:rsidR="008C5F43" w:rsidRPr="00B57B36" w:rsidRDefault="008C5F43" w:rsidP="000F55C3">
            <w:pPr>
              <w:pStyle w:val="CETBodytext"/>
              <w:rPr>
                <w:lang w:val="en-GB"/>
              </w:rPr>
            </w:pPr>
          </w:p>
        </w:tc>
        <w:tc>
          <w:tcPr>
            <w:tcW w:w="2410" w:type="dxa"/>
            <w:gridSpan w:val="2"/>
            <w:tcBorders>
              <w:top w:val="single" w:sz="12" w:space="0" w:color="008000"/>
              <w:bottom w:val="single" w:sz="6" w:space="0" w:color="008000"/>
            </w:tcBorders>
            <w:shd w:val="clear" w:color="auto" w:fill="FFFFFF"/>
            <w:vAlign w:val="center"/>
          </w:tcPr>
          <w:p w14:paraId="0B43F0BD" w14:textId="3F8DA136" w:rsidR="008C5F43" w:rsidRPr="00B57B36" w:rsidRDefault="008C5F43" w:rsidP="008B6C00">
            <w:pPr>
              <w:pStyle w:val="CETBodytext"/>
              <w:jc w:val="center"/>
              <w:rPr>
                <w:lang w:val="en-GB"/>
              </w:rPr>
            </w:pPr>
            <w:r>
              <w:rPr>
                <w:lang w:val="en-GB"/>
              </w:rPr>
              <w:t>Formic Acid</w:t>
            </w:r>
          </w:p>
        </w:tc>
        <w:tc>
          <w:tcPr>
            <w:tcW w:w="1972" w:type="dxa"/>
            <w:gridSpan w:val="2"/>
            <w:tcBorders>
              <w:top w:val="single" w:sz="12" w:space="0" w:color="008000"/>
              <w:bottom w:val="single" w:sz="6" w:space="0" w:color="008000"/>
            </w:tcBorders>
            <w:shd w:val="clear" w:color="auto" w:fill="FFFFFF"/>
            <w:vAlign w:val="center"/>
          </w:tcPr>
          <w:p w14:paraId="2241D8EC" w14:textId="376E731A" w:rsidR="008C5F43" w:rsidRPr="00B57B36" w:rsidRDefault="008C5F43" w:rsidP="008B6C00">
            <w:pPr>
              <w:pStyle w:val="CETBodytext"/>
              <w:ind w:right="-1"/>
              <w:jc w:val="center"/>
              <w:rPr>
                <w:rFonts w:cs="Arial"/>
                <w:szCs w:val="18"/>
                <w:lang w:val="en-GB"/>
              </w:rPr>
            </w:pPr>
            <w:r>
              <w:rPr>
                <w:rFonts w:cs="Arial"/>
                <w:szCs w:val="18"/>
                <w:lang w:val="en-GB"/>
              </w:rPr>
              <w:t>Acetic Acid</w:t>
            </w:r>
          </w:p>
        </w:tc>
      </w:tr>
      <w:tr w:rsidR="00AF718D" w:rsidRPr="00B57B36" w14:paraId="7E07897F" w14:textId="77777777" w:rsidTr="00B649A9">
        <w:tc>
          <w:tcPr>
            <w:tcW w:w="1701" w:type="dxa"/>
            <w:tcBorders>
              <w:top w:val="single" w:sz="12" w:space="0" w:color="008000"/>
              <w:bottom w:val="single" w:sz="6" w:space="0" w:color="008000"/>
            </w:tcBorders>
            <w:shd w:val="clear" w:color="auto" w:fill="FFFFFF"/>
          </w:tcPr>
          <w:p w14:paraId="0B971EBD" w14:textId="5500F2BF" w:rsidR="000D627E" w:rsidRPr="00B57B36" w:rsidRDefault="000D627E" w:rsidP="000F55C3">
            <w:pPr>
              <w:pStyle w:val="CETBodytext"/>
              <w:rPr>
                <w:lang w:val="en-GB"/>
              </w:rPr>
            </w:pPr>
          </w:p>
        </w:tc>
        <w:tc>
          <w:tcPr>
            <w:tcW w:w="1418" w:type="dxa"/>
            <w:tcBorders>
              <w:top w:val="single" w:sz="12" w:space="0" w:color="008000"/>
              <w:bottom w:val="single" w:sz="6" w:space="0" w:color="008000"/>
            </w:tcBorders>
            <w:shd w:val="clear" w:color="auto" w:fill="FFFFFF"/>
          </w:tcPr>
          <w:p w14:paraId="3F82E7B7" w14:textId="1F3E7786" w:rsidR="000D627E" w:rsidRPr="00B57B36" w:rsidRDefault="000D627E" w:rsidP="000F55C3">
            <w:pPr>
              <w:pStyle w:val="CETBodytext"/>
              <w:rPr>
                <w:lang w:val="en-GB"/>
              </w:rPr>
            </w:pPr>
            <w:r>
              <w:rPr>
                <w:lang w:val="en-GB"/>
              </w:rPr>
              <w:t>Concentration g/L</w:t>
            </w:r>
          </w:p>
        </w:tc>
        <w:tc>
          <w:tcPr>
            <w:tcW w:w="992" w:type="dxa"/>
            <w:tcBorders>
              <w:top w:val="single" w:sz="12" w:space="0" w:color="008000"/>
              <w:bottom w:val="single" w:sz="6" w:space="0" w:color="008000"/>
            </w:tcBorders>
            <w:shd w:val="clear" w:color="auto" w:fill="FFFFFF"/>
          </w:tcPr>
          <w:p w14:paraId="428667B8" w14:textId="77777777" w:rsidR="000D627E" w:rsidRDefault="000D627E" w:rsidP="000F55C3">
            <w:pPr>
              <w:pStyle w:val="CETBodytext"/>
              <w:rPr>
                <w:lang w:val="en-GB"/>
              </w:rPr>
            </w:pPr>
            <w:r>
              <w:rPr>
                <w:lang w:val="en-GB"/>
              </w:rPr>
              <w:t>Yield</w:t>
            </w:r>
          </w:p>
          <w:p w14:paraId="1C003405" w14:textId="3945E7B8" w:rsidR="000D627E" w:rsidRPr="00B57B36" w:rsidRDefault="000D627E" w:rsidP="000F55C3">
            <w:pPr>
              <w:pStyle w:val="CETBodytext"/>
              <w:rPr>
                <w:lang w:val="en-GB"/>
              </w:rPr>
            </w:pPr>
            <w:r>
              <w:rPr>
                <w:lang w:val="en-GB"/>
              </w:rPr>
              <w:t>g/g</w:t>
            </w:r>
          </w:p>
        </w:tc>
        <w:tc>
          <w:tcPr>
            <w:tcW w:w="1418" w:type="dxa"/>
            <w:tcBorders>
              <w:top w:val="single" w:sz="12" w:space="0" w:color="008000"/>
              <w:bottom w:val="single" w:sz="6" w:space="0" w:color="008000"/>
            </w:tcBorders>
            <w:shd w:val="clear" w:color="auto" w:fill="FFFFFF"/>
          </w:tcPr>
          <w:p w14:paraId="4ED863CE" w14:textId="13D845EE" w:rsidR="000D627E" w:rsidRPr="00B57B36" w:rsidRDefault="000D627E" w:rsidP="000F55C3">
            <w:pPr>
              <w:pStyle w:val="CETBodytext"/>
              <w:ind w:right="-1"/>
              <w:rPr>
                <w:rFonts w:cs="Arial"/>
                <w:szCs w:val="18"/>
                <w:lang w:val="en-GB"/>
              </w:rPr>
            </w:pPr>
            <w:r>
              <w:rPr>
                <w:lang w:val="en-GB"/>
              </w:rPr>
              <w:t>Concentration g/L</w:t>
            </w:r>
          </w:p>
        </w:tc>
        <w:tc>
          <w:tcPr>
            <w:tcW w:w="567" w:type="dxa"/>
            <w:gridSpan w:val="2"/>
            <w:tcBorders>
              <w:top w:val="single" w:sz="12" w:space="0" w:color="008000"/>
              <w:bottom w:val="single" w:sz="6" w:space="0" w:color="008000"/>
            </w:tcBorders>
            <w:shd w:val="clear" w:color="auto" w:fill="FFFFFF"/>
          </w:tcPr>
          <w:p w14:paraId="6AFF8689" w14:textId="77777777" w:rsidR="000D627E" w:rsidRDefault="000D627E" w:rsidP="000F55C3">
            <w:pPr>
              <w:pStyle w:val="CETBodytext"/>
              <w:rPr>
                <w:lang w:val="en-GB"/>
              </w:rPr>
            </w:pPr>
            <w:r>
              <w:rPr>
                <w:lang w:val="en-GB"/>
              </w:rPr>
              <w:t>Yield</w:t>
            </w:r>
          </w:p>
          <w:p w14:paraId="5E79B452" w14:textId="67D9361F" w:rsidR="000D627E" w:rsidRPr="00B57B36" w:rsidRDefault="000D627E" w:rsidP="000F55C3">
            <w:pPr>
              <w:pStyle w:val="CETBodytext"/>
              <w:ind w:right="-1"/>
              <w:rPr>
                <w:rFonts w:cs="Arial"/>
                <w:szCs w:val="18"/>
                <w:lang w:val="en-GB"/>
              </w:rPr>
            </w:pPr>
            <w:r>
              <w:rPr>
                <w:lang w:val="en-GB"/>
              </w:rPr>
              <w:t>g/g</w:t>
            </w:r>
          </w:p>
        </w:tc>
      </w:tr>
      <w:tr w:rsidR="00AF718D" w:rsidRPr="00B57B36" w14:paraId="13C61887" w14:textId="77777777" w:rsidTr="00B649A9">
        <w:tc>
          <w:tcPr>
            <w:tcW w:w="1701" w:type="dxa"/>
            <w:shd w:val="clear" w:color="auto" w:fill="FFFFFF"/>
          </w:tcPr>
          <w:p w14:paraId="0232D9EE" w14:textId="00809110" w:rsidR="001A3C43" w:rsidRPr="00B57B36" w:rsidRDefault="001A3C43" w:rsidP="000F55C3">
            <w:pPr>
              <w:pStyle w:val="CETBodytext"/>
              <w:rPr>
                <w:lang w:val="en-GB"/>
              </w:rPr>
            </w:pPr>
            <w:r w:rsidRPr="001A3C43">
              <w:rPr>
                <w:lang w:val="en-GB"/>
              </w:rPr>
              <w:t>Immobilized Cells</w:t>
            </w:r>
          </w:p>
        </w:tc>
        <w:tc>
          <w:tcPr>
            <w:tcW w:w="1418" w:type="dxa"/>
            <w:shd w:val="clear" w:color="auto" w:fill="FFFFFF"/>
          </w:tcPr>
          <w:p w14:paraId="73DF3E9F" w14:textId="4A9DDCD6" w:rsidR="001A3C43" w:rsidRPr="00B57B36" w:rsidRDefault="008C5F43" w:rsidP="000F55C3">
            <w:pPr>
              <w:pStyle w:val="CETBodytext"/>
              <w:rPr>
                <w:lang w:val="en-GB"/>
              </w:rPr>
            </w:pPr>
            <w:r>
              <w:rPr>
                <w:lang w:val="en-GB"/>
              </w:rPr>
              <w:t>1.7</w:t>
            </w:r>
          </w:p>
        </w:tc>
        <w:tc>
          <w:tcPr>
            <w:tcW w:w="992" w:type="dxa"/>
            <w:shd w:val="clear" w:color="auto" w:fill="FFFFFF"/>
          </w:tcPr>
          <w:p w14:paraId="56725EB0" w14:textId="23A24148" w:rsidR="001A3C43" w:rsidRPr="00B57B36" w:rsidRDefault="008B6C00" w:rsidP="000F55C3">
            <w:pPr>
              <w:pStyle w:val="CETBodytext"/>
              <w:rPr>
                <w:lang w:val="en-GB"/>
              </w:rPr>
            </w:pPr>
            <w:r>
              <w:rPr>
                <w:lang w:val="en-GB"/>
              </w:rPr>
              <w:t>0.05</w:t>
            </w:r>
          </w:p>
        </w:tc>
        <w:tc>
          <w:tcPr>
            <w:tcW w:w="1418" w:type="dxa"/>
            <w:shd w:val="clear" w:color="auto" w:fill="FFFFFF"/>
          </w:tcPr>
          <w:p w14:paraId="7CA75954" w14:textId="36BF5AEF" w:rsidR="001A3C43" w:rsidRPr="00B57B36" w:rsidRDefault="008B6C00" w:rsidP="000F55C3">
            <w:pPr>
              <w:pStyle w:val="CETBodytext"/>
              <w:ind w:right="-1"/>
              <w:rPr>
                <w:rFonts w:cs="Arial"/>
                <w:szCs w:val="18"/>
                <w:lang w:val="en-GB"/>
              </w:rPr>
            </w:pPr>
            <w:r>
              <w:rPr>
                <w:rFonts w:cs="Arial"/>
                <w:szCs w:val="18"/>
                <w:lang w:val="en-GB"/>
              </w:rPr>
              <w:t>3</w:t>
            </w:r>
          </w:p>
        </w:tc>
        <w:tc>
          <w:tcPr>
            <w:tcW w:w="567" w:type="dxa"/>
            <w:gridSpan w:val="2"/>
            <w:shd w:val="clear" w:color="auto" w:fill="FFFFFF"/>
          </w:tcPr>
          <w:p w14:paraId="3B1AF216" w14:textId="19A09B63" w:rsidR="001A3C43" w:rsidRPr="00B57B36" w:rsidRDefault="008B6C00" w:rsidP="000F55C3">
            <w:pPr>
              <w:pStyle w:val="CETBodytext"/>
              <w:ind w:right="-1"/>
              <w:rPr>
                <w:rFonts w:cs="Arial"/>
                <w:szCs w:val="18"/>
                <w:lang w:val="en-GB"/>
              </w:rPr>
            </w:pPr>
            <w:r>
              <w:rPr>
                <w:rFonts w:cs="Arial"/>
                <w:szCs w:val="18"/>
                <w:lang w:val="en-GB"/>
              </w:rPr>
              <w:t>0.08</w:t>
            </w:r>
          </w:p>
        </w:tc>
      </w:tr>
      <w:tr w:rsidR="00AF718D" w:rsidRPr="00B57B36" w14:paraId="421A95D6" w14:textId="77777777" w:rsidTr="00B649A9">
        <w:tc>
          <w:tcPr>
            <w:tcW w:w="1701" w:type="dxa"/>
            <w:shd w:val="clear" w:color="auto" w:fill="FFFFFF"/>
          </w:tcPr>
          <w:p w14:paraId="31A7A10D" w14:textId="4AEE33B6" w:rsidR="001A3C43" w:rsidRPr="00B57B36" w:rsidRDefault="001A3C43" w:rsidP="000F55C3">
            <w:pPr>
              <w:pStyle w:val="CETBodytext"/>
              <w:ind w:right="-1"/>
              <w:rPr>
                <w:rFonts w:cs="Arial"/>
                <w:szCs w:val="18"/>
                <w:lang w:val="en-GB"/>
              </w:rPr>
            </w:pPr>
            <w:r w:rsidRPr="001A3C43">
              <w:rPr>
                <w:rFonts w:cs="Arial"/>
                <w:szCs w:val="18"/>
                <w:lang w:val="en-GB"/>
              </w:rPr>
              <w:t>Free Cells</w:t>
            </w:r>
          </w:p>
        </w:tc>
        <w:tc>
          <w:tcPr>
            <w:tcW w:w="1418" w:type="dxa"/>
            <w:shd w:val="clear" w:color="auto" w:fill="FFFFFF"/>
          </w:tcPr>
          <w:p w14:paraId="06DA376F" w14:textId="252DED9D" w:rsidR="001A3C43" w:rsidRPr="00B57B36" w:rsidRDefault="008C5F43" w:rsidP="000F55C3">
            <w:pPr>
              <w:pStyle w:val="CETBodytext"/>
              <w:ind w:right="-1"/>
              <w:rPr>
                <w:rFonts w:cs="Arial"/>
                <w:szCs w:val="18"/>
                <w:lang w:val="en-GB"/>
              </w:rPr>
            </w:pPr>
            <w:r>
              <w:rPr>
                <w:rFonts w:cs="Arial"/>
                <w:szCs w:val="18"/>
                <w:lang w:val="en-GB"/>
              </w:rPr>
              <w:t>5.2</w:t>
            </w:r>
          </w:p>
        </w:tc>
        <w:tc>
          <w:tcPr>
            <w:tcW w:w="992" w:type="dxa"/>
            <w:shd w:val="clear" w:color="auto" w:fill="FFFFFF"/>
          </w:tcPr>
          <w:p w14:paraId="7C8D4A47" w14:textId="22AF3635" w:rsidR="001A3C43" w:rsidRPr="00B57B36" w:rsidRDefault="008B6C00" w:rsidP="000F55C3">
            <w:pPr>
              <w:pStyle w:val="CETBodytext"/>
              <w:ind w:right="-1"/>
              <w:rPr>
                <w:rFonts w:cs="Arial"/>
                <w:szCs w:val="18"/>
                <w:lang w:val="en-GB"/>
              </w:rPr>
            </w:pPr>
            <w:r>
              <w:rPr>
                <w:rFonts w:cs="Arial"/>
                <w:szCs w:val="18"/>
                <w:lang w:val="en-GB"/>
              </w:rPr>
              <w:t>0.13</w:t>
            </w:r>
          </w:p>
        </w:tc>
        <w:tc>
          <w:tcPr>
            <w:tcW w:w="1418" w:type="dxa"/>
            <w:shd w:val="clear" w:color="auto" w:fill="FFFFFF"/>
          </w:tcPr>
          <w:p w14:paraId="53678565" w14:textId="661047D5" w:rsidR="001A3C43" w:rsidRPr="00B57B36" w:rsidRDefault="008B6C00" w:rsidP="000F55C3">
            <w:pPr>
              <w:pStyle w:val="CETBodytext"/>
              <w:ind w:right="-1"/>
              <w:rPr>
                <w:rFonts w:cs="Arial"/>
                <w:szCs w:val="18"/>
                <w:lang w:val="en-GB"/>
              </w:rPr>
            </w:pPr>
            <w:r>
              <w:rPr>
                <w:rFonts w:cs="Arial"/>
                <w:szCs w:val="18"/>
                <w:lang w:val="en-GB"/>
              </w:rPr>
              <w:t>7.5</w:t>
            </w:r>
          </w:p>
        </w:tc>
        <w:tc>
          <w:tcPr>
            <w:tcW w:w="567" w:type="dxa"/>
            <w:gridSpan w:val="2"/>
            <w:shd w:val="clear" w:color="auto" w:fill="FFFFFF"/>
          </w:tcPr>
          <w:p w14:paraId="45755A6B" w14:textId="4175D2BF" w:rsidR="001A3C43" w:rsidRPr="00B57B36" w:rsidRDefault="008B6C00" w:rsidP="000F55C3">
            <w:pPr>
              <w:pStyle w:val="CETBodytext"/>
              <w:ind w:right="-1"/>
              <w:rPr>
                <w:rFonts w:cs="Arial"/>
                <w:szCs w:val="18"/>
                <w:lang w:val="en-GB"/>
              </w:rPr>
            </w:pPr>
            <w:r>
              <w:rPr>
                <w:rFonts w:cs="Arial"/>
                <w:szCs w:val="18"/>
                <w:lang w:val="en-GB"/>
              </w:rPr>
              <w:t>0.19</w:t>
            </w:r>
          </w:p>
        </w:tc>
      </w:tr>
    </w:tbl>
    <w:p w14:paraId="729A605E" w14:textId="77777777" w:rsidR="004468BC" w:rsidRPr="00DE5787" w:rsidRDefault="004468BC" w:rsidP="00852CBD">
      <w:pPr>
        <w:rPr>
          <w:lang w:val="en-US"/>
        </w:rPr>
      </w:pPr>
    </w:p>
    <w:p w14:paraId="2DBCF4D9" w14:textId="6D175857" w:rsidR="00852CBD" w:rsidRPr="00DE5787" w:rsidRDefault="00022D71" w:rsidP="00E81003">
      <w:pPr>
        <w:rPr>
          <w:rFonts w:cs="Arial"/>
          <w:i/>
          <w:lang w:val="en-US"/>
        </w:rPr>
      </w:pPr>
      <w:r w:rsidRPr="00607E6C">
        <w:rPr>
          <w:rFonts w:cs="Arial"/>
          <w:i/>
          <w:lang w:val="en-US"/>
        </w:rPr>
        <w:t>Table 2</w:t>
      </w:r>
      <w:r w:rsidR="008A110C">
        <w:rPr>
          <w:rFonts w:cs="Arial"/>
          <w:i/>
          <w:lang w:val="en-US"/>
        </w:rPr>
        <w:t>: final concentration and yield</w:t>
      </w:r>
      <w:r w:rsidRPr="00607E6C">
        <w:rPr>
          <w:rFonts w:cs="Arial"/>
          <w:i/>
          <w:lang w:val="en-US"/>
        </w:rPr>
        <w:t xml:space="preserve"> of formic and acetic acid in immobilized and free cells fermentation.</w:t>
      </w:r>
    </w:p>
    <w:p w14:paraId="2BF89373" w14:textId="77777777" w:rsidR="005346C8" w:rsidRPr="00347EB5" w:rsidRDefault="004F764F" w:rsidP="00FC2695">
      <w:pPr>
        <w:pStyle w:val="CETHeading1"/>
      </w:pPr>
      <w:r>
        <w:t>Main remarks</w:t>
      </w:r>
    </w:p>
    <w:p w14:paraId="7A3D7F03" w14:textId="317A701B" w:rsidR="00E81003" w:rsidRDefault="009620AE" w:rsidP="00E81003">
      <w:pPr>
        <w:pStyle w:val="CETBodytext"/>
        <w:rPr>
          <w:lang w:val="en-GB"/>
        </w:rPr>
      </w:pPr>
      <w:r w:rsidRPr="009620AE">
        <w:rPr>
          <w:lang w:val="en-GB"/>
        </w:rPr>
        <w:t xml:space="preserve">Based on these results, it can be concluded that immobilization in alginate beads is an effective technique for </w:t>
      </w:r>
      <w:r w:rsidR="00D175BE">
        <w:rPr>
          <w:lang w:val="en-GB"/>
        </w:rPr>
        <w:t>SA</w:t>
      </w:r>
      <w:r w:rsidRPr="009620AE">
        <w:rPr>
          <w:lang w:val="en-GB"/>
        </w:rPr>
        <w:t xml:space="preserve"> production by </w:t>
      </w:r>
      <w:r w:rsidRPr="009620AE">
        <w:rPr>
          <w:i/>
          <w:lang w:val="en-GB"/>
        </w:rPr>
        <w:t>A. succinogenes</w:t>
      </w:r>
      <w:r w:rsidR="00E81003">
        <w:rPr>
          <w:lang w:val="en-GB"/>
        </w:rPr>
        <w:t xml:space="preserve">. Glucose was the sugar used as substrate with the initial concentration set to 40 g/L. The performance of immobilized and free cells fermentation </w:t>
      </w:r>
      <w:r w:rsidR="00D175BE">
        <w:rPr>
          <w:lang w:val="en-GB"/>
        </w:rPr>
        <w:t>were compared: SA</w:t>
      </w:r>
      <w:r w:rsidR="00E81003">
        <w:rPr>
          <w:lang w:val="en-GB"/>
        </w:rPr>
        <w:t xml:space="preserve"> production</w:t>
      </w:r>
      <w:r w:rsidR="00D175BE">
        <w:rPr>
          <w:lang w:val="en-GB"/>
        </w:rPr>
        <w:t>,</w:t>
      </w:r>
      <w:r w:rsidR="00E81003">
        <w:rPr>
          <w:lang w:val="en-GB"/>
        </w:rPr>
        <w:t xml:space="preserve"> glucose consumption</w:t>
      </w:r>
      <w:r w:rsidR="00D175BE">
        <w:rPr>
          <w:lang w:val="en-GB"/>
        </w:rPr>
        <w:t xml:space="preserve"> and cell growth</w:t>
      </w:r>
      <w:r w:rsidR="00E81003">
        <w:rPr>
          <w:lang w:val="en-GB"/>
        </w:rPr>
        <w:t xml:space="preserve"> </w:t>
      </w:r>
      <w:r w:rsidR="00D175BE">
        <w:rPr>
          <w:lang w:val="en-GB"/>
        </w:rPr>
        <w:t xml:space="preserve">were </w:t>
      </w:r>
      <w:r w:rsidR="00E81003">
        <w:rPr>
          <w:lang w:val="en-GB"/>
        </w:rPr>
        <w:t xml:space="preserve">faster in immobilized cells system of </w:t>
      </w:r>
      <w:r w:rsidR="00CE6341">
        <w:rPr>
          <w:lang w:val="en-GB"/>
        </w:rPr>
        <w:t xml:space="preserve">about </w:t>
      </w:r>
      <w:r w:rsidR="00E81003">
        <w:rPr>
          <w:lang w:val="en-GB"/>
        </w:rPr>
        <w:t>70 hours</w:t>
      </w:r>
      <w:r w:rsidR="000519C2">
        <w:rPr>
          <w:lang w:val="en-GB"/>
        </w:rPr>
        <w:t xml:space="preserve"> </w:t>
      </w:r>
      <w:r w:rsidR="00D175BE">
        <w:rPr>
          <w:lang w:val="en-GB"/>
        </w:rPr>
        <w:t xml:space="preserve">with respect to free cells system; moreover the </w:t>
      </w:r>
      <w:r w:rsidR="000519C2">
        <w:rPr>
          <w:lang w:val="en-GB"/>
        </w:rPr>
        <w:t xml:space="preserve">maximum </w:t>
      </w:r>
      <w:r w:rsidR="00D175BE">
        <w:rPr>
          <w:lang w:val="en-GB"/>
        </w:rPr>
        <w:t xml:space="preserve">SA </w:t>
      </w:r>
      <w:r w:rsidR="000519C2">
        <w:rPr>
          <w:lang w:val="en-GB"/>
        </w:rPr>
        <w:t xml:space="preserve">productivity in immobilized cells </w:t>
      </w:r>
      <w:r w:rsidR="00D175BE">
        <w:rPr>
          <w:lang w:val="en-GB"/>
        </w:rPr>
        <w:t xml:space="preserve">was </w:t>
      </w:r>
      <w:r w:rsidR="000519C2">
        <w:rPr>
          <w:lang w:val="en-GB"/>
        </w:rPr>
        <w:t xml:space="preserve">twice the one </w:t>
      </w:r>
      <w:r w:rsidR="00D175BE">
        <w:rPr>
          <w:lang w:val="en-GB"/>
        </w:rPr>
        <w:t xml:space="preserve">obtained </w:t>
      </w:r>
      <w:r w:rsidR="000519C2">
        <w:rPr>
          <w:lang w:val="en-GB"/>
        </w:rPr>
        <w:t>with free cells.</w:t>
      </w:r>
    </w:p>
    <w:p w14:paraId="243E86EF" w14:textId="5AF766B1" w:rsidR="00591780" w:rsidRDefault="00D175BE" w:rsidP="00E81003">
      <w:pPr>
        <w:pStyle w:val="CETBodytext"/>
        <w:rPr>
          <w:lang w:val="en-GB"/>
        </w:rPr>
      </w:pPr>
      <w:r>
        <w:rPr>
          <w:lang w:val="en-GB"/>
        </w:rPr>
        <w:t xml:space="preserve">Therefore, </w:t>
      </w:r>
      <w:r w:rsidR="00273E62">
        <w:rPr>
          <w:lang w:val="en-GB"/>
        </w:rPr>
        <w:t>i</w:t>
      </w:r>
      <w:r w:rsidR="00E81003" w:rsidRPr="00E81003">
        <w:rPr>
          <w:lang w:val="en-GB"/>
        </w:rPr>
        <w:t>mmobilization in calcium alginate</w:t>
      </w:r>
      <w:r>
        <w:rPr>
          <w:lang w:val="en-GB"/>
        </w:rPr>
        <w:t xml:space="preserve"> beads</w:t>
      </w:r>
      <w:r w:rsidR="00E81003" w:rsidRPr="00E81003">
        <w:rPr>
          <w:lang w:val="en-GB"/>
        </w:rPr>
        <w:t xml:space="preserve"> could be an attractive commercial alternative because yield, productivity and final concentration of SA increased in comparison wit</w:t>
      </w:r>
      <w:r w:rsidR="00E81003">
        <w:rPr>
          <w:lang w:val="en-GB"/>
        </w:rPr>
        <w:t>h free cell</w:t>
      </w:r>
      <w:r>
        <w:rPr>
          <w:lang w:val="en-GB"/>
        </w:rPr>
        <w:t>s</w:t>
      </w:r>
      <w:r w:rsidR="00E81003">
        <w:rPr>
          <w:lang w:val="en-GB"/>
        </w:rPr>
        <w:t xml:space="preserve"> fermentation.</w:t>
      </w:r>
      <w:r w:rsidR="0051074A">
        <w:rPr>
          <w:lang w:val="en-GB"/>
        </w:rPr>
        <w:t xml:space="preserve"> </w:t>
      </w:r>
      <w:r w:rsidR="00E81003" w:rsidRPr="00E81003">
        <w:rPr>
          <w:lang w:val="en-GB"/>
        </w:rPr>
        <w:t xml:space="preserve">This leads to the conclusion that this immobilization technique could be used for </w:t>
      </w:r>
      <w:r w:rsidR="00E81003">
        <w:rPr>
          <w:lang w:val="en-GB"/>
        </w:rPr>
        <w:t xml:space="preserve">repeated fed-batch and </w:t>
      </w:r>
      <w:r w:rsidR="00E81003" w:rsidRPr="00E81003">
        <w:rPr>
          <w:lang w:val="en-GB"/>
        </w:rPr>
        <w:t>continuous production of succinic acid as long as process optimization is carried out.</w:t>
      </w:r>
    </w:p>
    <w:p w14:paraId="0DCB4795" w14:textId="77777777" w:rsidR="005346C8" w:rsidRDefault="008168FC" w:rsidP="00FC2695">
      <w:pPr>
        <w:pStyle w:val="CETAcknowledgements"/>
      </w:pPr>
      <w:r w:rsidRPr="008168FC">
        <w:t>A</w:t>
      </w:r>
      <w:r w:rsidR="00A76EFC">
        <w:t>c</w:t>
      </w:r>
      <w:r w:rsidR="00683620">
        <w:t>knowledgments</w:t>
      </w:r>
    </w:p>
    <w:p w14:paraId="36EC6C18" w14:textId="619A7A45" w:rsidR="00336DA8" w:rsidRPr="007133BB" w:rsidRDefault="00336DA8" w:rsidP="007133BB">
      <w:pPr>
        <w:pStyle w:val="CETBodytext"/>
      </w:pPr>
      <w:r w:rsidRPr="007133BB">
        <w:rPr>
          <w:lang w:val="en-GB"/>
        </w:rPr>
        <w:t>The study was supported by the Ministero dell’Istruzione, dell’Università e della Ricerca project BDevelopment of green technologies for production of BIOchemicals and their use in preparation and industrial application of POLImeric materials from agricultural biomasses cultivated in a sustainable way in Campania Region</w:t>
      </w:r>
      <w:r w:rsidR="00DF05FA">
        <w:rPr>
          <w:lang w:val="en-GB"/>
        </w:rPr>
        <w:t xml:space="preserve"> </w:t>
      </w:r>
      <w:r w:rsidRPr="007133BB">
        <w:rPr>
          <w:lang w:val="en-GB"/>
        </w:rPr>
        <w:t>—BIOPOLIS^ PON03PE_00107_1/1</w:t>
      </w:r>
      <w:r w:rsidR="00567AE1">
        <w:rPr>
          <w:lang w:val="en-GB"/>
        </w:rPr>
        <w:t>.</w:t>
      </w:r>
    </w:p>
    <w:p w14:paraId="0D125D48" w14:textId="77777777" w:rsidR="005346C8" w:rsidRPr="00347EB5" w:rsidRDefault="008168FC" w:rsidP="00836CE9">
      <w:pPr>
        <w:pStyle w:val="CETReference"/>
      </w:pPr>
      <w:r>
        <w:lastRenderedPageBreak/>
        <w:t>Reference</w:t>
      </w:r>
      <w:r w:rsidR="00441BAA">
        <w:t>s</w:t>
      </w:r>
    </w:p>
    <w:p w14:paraId="3EED2368" w14:textId="77777777" w:rsidR="00506F61" w:rsidRDefault="00506F61" w:rsidP="00506F61">
      <w:pPr>
        <w:pStyle w:val="CETReference-text"/>
        <w:rPr>
          <w:lang w:val="en-US"/>
        </w:rPr>
      </w:pPr>
      <w:r w:rsidRPr="00551BB6">
        <w:rPr>
          <w:lang w:val="en-US"/>
        </w:rPr>
        <w:t>Alexandri M., Papapostolou H, Stragier L.,Verstraete W., Papanikolaou S., Koutinas A.,2017. Succinic acid production by immobilized cultures using spent sulphite liquor as fermentation medium, Bioresource Technology, 238, 214-222.</w:t>
      </w:r>
    </w:p>
    <w:p w14:paraId="60A9824D" w14:textId="0802B46E" w:rsidR="00506F61" w:rsidRDefault="00506F61" w:rsidP="00506F61">
      <w:pPr>
        <w:pStyle w:val="CETReference-text"/>
        <w:rPr>
          <w:lang w:val="en-US"/>
        </w:rPr>
      </w:pPr>
      <w:r w:rsidRPr="00551BB6">
        <w:rPr>
          <w:lang w:val="en-US"/>
        </w:rPr>
        <w:t>Angelova M.B., Pashova S.B., Slokoska L.S., 2000</w:t>
      </w:r>
      <w:r w:rsidR="0001105D">
        <w:rPr>
          <w:lang w:val="en-US"/>
        </w:rPr>
        <w:t>,</w:t>
      </w:r>
      <w:r w:rsidRPr="00551BB6">
        <w:rPr>
          <w:lang w:val="en-US"/>
        </w:rPr>
        <w:t xml:space="preserve"> Comparison of antioxidant enzyme biosynthesis by free and immobilized </w:t>
      </w:r>
      <w:r w:rsidRPr="0001105D">
        <w:rPr>
          <w:i/>
          <w:lang w:val="en-US"/>
        </w:rPr>
        <w:t>Aspergillus niger</w:t>
      </w:r>
      <w:r w:rsidRPr="00551BB6">
        <w:rPr>
          <w:lang w:val="en-US"/>
        </w:rPr>
        <w:t xml:space="preserve"> cells</w:t>
      </w:r>
      <w:r w:rsidR="0001105D">
        <w:rPr>
          <w:lang w:val="en-US"/>
        </w:rPr>
        <w:t>,</w:t>
      </w:r>
      <w:r w:rsidRPr="00551BB6">
        <w:rPr>
          <w:lang w:val="en-US"/>
        </w:rPr>
        <w:t xml:space="preserve"> Enzyme Microb.</w:t>
      </w:r>
      <w:r w:rsidR="0001105D">
        <w:rPr>
          <w:lang w:val="en-US"/>
        </w:rPr>
        <w:t xml:space="preserve"> </w:t>
      </w:r>
      <w:r w:rsidRPr="00551BB6">
        <w:rPr>
          <w:lang w:val="en-US"/>
        </w:rPr>
        <w:t>Technol</w:t>
      </w:r>
      <w:r w:rsidR="0001105D">
        <w:rPr>
          <w:lang w:val="en-US"/>
        </w:rPr>
        <w:t>.,</w:t>
      </w:r>
      <w:r w:rsidRPr="00551BB6">
        <w:rPr>
          <w:lang w:val="en-US"/>
        </w:rPr>
        <w:t xml:space="preserve"> 26, 544–549.</w:t>
      </w:r>
    </w:p>
    <w:p w14:paraId="0E294D78" w14:textId="53D50CC1" w:rsidR="00B6471D" w:rsidRDefault="00D104C9" w:rsidP="00B6471D">
      <w:pPr>
        <w:pStyle w:val="CETReference-text"/>
        <w:rPr>
          <w:lang w:val="en-US"/>
        </w:rPr>
      </w:pPr>
      <w:r>
        <w:rPr>
          <w:lang w:val="en-US"/>
        </w:rPr>
        <w:t xml:space="preserve">Bradfield M., </w:t>
      </w:r>
      <w:r w:rsidR="00B6471D" w:rsidRPr="00852CBD">
        <w:rPr>
          <w:lang w:val="en-US"/>
        </w:rPr>
        <w:t xml:space="preserve">Nicol W., 2014, Continuous succinic acid production by </w:t>
      </w:r>
      <w:r w:rsidR="00B6471D" w:rsidRPr="00674332">
        <w:rPr>
          <w:i/>
          <w:lang w:val="en-US"/>
        </w:rPr>
        <w:t>Actinobacillus succinogenes</w:t>
      </w:r>
      <w:r w:rsidR="00B6471D" w:rsidRPr="00852CBD">
        <w:rPr>
          <w:lang w:val="en-US"/>
        </w:rPr>
        <w:t xml:space="preserve"> in a biofilm reactor: Steady-state metabolic flux variation</w:t>
      </w:r>
      <w:r w:rsidR="00674332">
        <w:rPr>
          <w:lang w:val="en-US"/>
        </w:rPr>
        <w:t>,</w:t>
      </w:r>
      <w:r w:rsidR="00B6471D">
        <w:rPr>
          <w:lang w:val="en-US"/>
        </w:rPr>
        <w:t xml:space="preserve"> </w:t>
      </w:r>
      <w:r w:rsidR="00674332" w:rsidRPr="00674332">
        <w:rPr>
          <w:lang w:val="en-US"/>
        </w:rPr>
        <w:t>Biochemical Engineering Journal</w:t>
      </w:r>
      <w:r w:rsidR="00674332">
        <w:rPr>
          <w:lang w:val="en-US"/>
        </w:rPr>
        <w:t>,</w:t>
      </w:r>
      <w:r w:rsidR="00674332" w:rsidRPr="00674332">
        <w:rPr>
          <w:lang w:val="en-US"/>
        </w:rPr>
        <w:t xml:space="preserve"> </w:t>
      </w:r>
      <w:r w:rsidR="00B6471D">
        <w:rPr>
          <w:lang w:val="en-US"/>
        </w:rPr>
        <w:t>85, 1-7</w:t>
      </w:r>
      <w:r w:rsidR="00742E71">
        <w:rPr>
          <w:lang w:val="en-US"/>
        </w:rPr>
        <w:t>.</w:t>
      </w:r>
    </w:p>
    <w:p w14:paraId="6A324BB7" w14:textId="2645A69C" w:rsidR="004D2D76" w:rsidRPr="00DE5787" w:rsidRDefault="00742E71" w:rsidP="004D2D76">
      <w:pPr>
        <w:pStyle w:val="CETReference-text"/>
        <w:rPr>
          <w:lang w:val="en-US"/>
        </w:rPr>
      </w:pPr>
      <w:r>
        <w:rPr>
          <w:lang w:val="it-IT"/>
        </w:rPr>
        <w:t>Corona-González R.I., Miramontes-Murillo</w:t>
      </w:r>
      <w:r w:rsidR="00217528" w:rsidRPr="00217528">
        <w:rPr>
          <w:lang w:val="it-IT"/>
        </w:rPr>
        <w:t xml:space="preserve"> R., Arriola</w:t>
      </w:r>
      <w:r>
        <w:rPr>
          <w:lang w:val="it-IT"/>
        </w:rPr>
        <w:t xml:space="preserve">-Guevara E., Guatemala- Morales G., Toriz </w:t>
      </w:r>
      <w:r w:rsidR="00217528" w:rsidRPr="00217528">
        <w:rPr>
          <w:lang w:val="it-IT"/>
        </w:rPr>
        <w:t xml:space="preserve">G., </w:t>
      </w:r>
      <w:r>
        <w:rPr>
          <w:lang w:val="it-IT"/>
        </w:rPr>
        <w:t>Pelayo-Ortiz C., 2014,</w:t>
      </w:r>
      <w:r w:rsidR="00217528" w:rsidRPr="00217528">
        <w:rPr>
          <w:lang w:val="it-IT"/>
        </w:rPr>
        <w:t xml:space="preserve"> </w:t>
      </w:r>
      <w:r w:rsidR="00217528" w:rsidRPr="00217528">
        <w:rPr>
          <w:lang w:val="en-US"/>
        </w:rPr>
        <w:t xml:space="preserve">Immobilization of </w:t>
      </w:r>
      <w:r w:rsidR="00217528" w:rsidRPr="00742E71">
        <w:rPr>
          <w:i/>
          <w:lang w:val="en-US"/>
        </w:rPr>
        <w:t>Actinobacillus succinogenes</w:t>
      </w:r>
      <w:r w:rsidR="00217528" w:rsidRPr="00217528">
        <w:rPr>
          <w:lang w:val="en-US"/>
        </w:rPr>
        <w:t xml:space="preserve"> by adhesion or entrapment for </w:t>
      </w:r>
      <w:r>
        <w:rPr>
          <w:lang w:val="en-US"/>
        </w:rPr>
        <w:t>the production of succinic acid,</w:t>
      </w:r>
      <w:r w:rsidR="00217528" w:rsidRPr="00217528">
        <w:rPr>
          <w:lang w:val="en-US"/>
        </w:rPr>
        <w:t xml:space="preserve"> </w:t>
      </w:r>
      <w:r>
        <w:rPr>
          <w:lang w:val="en-US"/>
        </w:rPr>
        <w:t>Bioresource Technology,</w:t>
      </w:r>
      <w:r w:rsidR="00217528" w:rsidRPr="00DE5787">
        <w:rPr>
          <w:lang w:val="en-US"/>
        </w:rPr>
        <w:t xml:space="preserve"> 164, 113-118</w:t>
      </w:r>
      <w:r>
        <w:rPr>
          <w:lang w:val="en-US"/>
        </w:rPr>
        <w:t>.</w:t>
      </w:r>
    </w:p>
    <w:p w14:paraId="5E9805D9" w14:textId="1C1DA266" w:rsidR="00506F61" w:rsidRDefault="006137D7" w:rsidP="00506F61">
      <w:pPr>
        <w:pStyle w:val="CETReference-text"/>
        <w:rPr>
          <w:lang w:val="en-US"/>
        </w:rPr>
      </w:pPr>
      <w:r>
        <w:rPr>
          <w:lang w:val="en-US"/>
        </w:rPr>
        <w:t>Dishisha T., Alvarez M.T., Hatti-Kaul</w:t>
      </w:r>
      <w:r w:rsidR="00506F61" w:rsidRPr="00DE5787">
        <w:rPr>
          <w:lang w:val="en-US"/>
        </w:rPr>
        <w:t xml:space="preserve"> </w:t>
      </w:r>
      <w:r>
        <w:rPr>
          <w:lang w:val="en-US"/>
        </w:rPr>
        <w:t>R., 2012,</w:t>
      </w:r>
      <w:r w:rsidR="00506F61" w:rsidRPr="00DE5787">
        <w:rPr>
          <w:lang w:val="en-US"/>
        </w:rPr>
        <w:t xml:space="preserve"> </w:t>
      </w:r>
      <w:r>
        <w:rPr>
          <w:lang w:val="en-US"/>
        </w:rPr>
        <w:t>Batch</w:t>
      </w:r>
      <w:r w:rsidR="00506F61" w:rsidRPr="00551BB6">
        <w:rPr>
          <w:lang w:val="en-US"/>
        </w:rPr>
        <w:t xml:space="preserve"> and continuous propionic acid production from glycerol using free and immobilized cells of </w:t>
      </w:r>
      <w:r w:rsidR="00506F61" w:rsidRPr="006137D7">
        <w:rPr>
          <w:i/>
          <w:lang w:val="en-US"/>
        </w:rPr>
        <w:t>Propionibacterium acidipropionici</w:t>
      </w:r>
      <w:r>
        <w:rPr>
          <w:lang w:val="en-US"/>
        </w:rPr>
        <w:t>, Bioresource Technology,</w:t>
      </w:r>
      <w:r w:rsidR="00506F61" w:rsidRPr="00551BB6">
        <w:rPr>
          <w:lang w:val="en-US"/>
        </w:rPr>
        <w:t xml:space="preserve"> 118, 553–562.</w:t>
      </w:r>
    </w:p>
    <w:p w14:paraId="0D452A0F" w14:textId="51300FE3" w:rsidR="00506F61" w:rsidRPr="00A345B8" w:rsidRDefault="00506F61" w:rsidP="00506F61">
      <w:pPr>
        <w:pStyle w:val="CETReference-text"/>
        <w:rPr>
          <w:lang w:val="it-IT"/>
        </w:rPr>
      </w:pPr>
      <w:r>
        <w:rPr>
          <w:lang w:val="it-IT"/>
        </w:rPr>
        <w:t>Ferone</w:t>
      </w:r>
      <w:r w:rsidRPr="0051563E">
        <w:rPr>
          <w:lang w:val="it-IT"/>
        </w:rPr>
        <w:t xml:space="preserve"> M</w:t>
      </w:r>
      <w:r>
        <w:rPr>
          <w:lang w:val="it-IT"/>
        </w:rPr>
        <w:t>. ,Raganati</w:t>
      </w:r>
      <w:r w:rsidRPr="0051563E">
        <w:rPr>
          <w:lang w:val="it-IT"/>
        </w:rPr>
        <w:t xml:space="preserve"> F</w:t>
      </w:r>
      <w:r>
        <w:rPr>
          <w:lang w:val="it-IT"/>
        </w:rPr>
        <w:t>.,Olivieri</w:t>
      </w:r>
      <w:r w:rsidRPr="0051563E">
        <w:rPr>
          <w:lang w:val="it-IT"/>
        </w:rPr>
        <w:t xml:space="preserve"> G</w:t>
      </w:r>
      <w:r>
        <w:rPr>
          <w:lang w:val="it-IT"/>
        </w:rPr>
        <w:t xml:space="preserve">., Salatino </w:t>
      </w:r>
      <w:r w:rsidRPr="0051563E">
        <w:rPr>
          <w:lang w:val="it-IT"/>
        </w:rPr>
        <w:t>P</w:t>
      </w:r>
      <w:r>
        <w:rPr>
          <w:lang w:val="it-IT"/>
        </w:rPr>
        <w:t>., Marzocchella</w:t>
      </w:r>
      <w:r w:rsidRPr="0051563E">
        <w:rPr>
          <w:lang w:val="it-IT"/>
        </w:rPr>
        <w:t xml:space="preserve"> A</w:t>
      </w:r>
      <w:r>
        <w:rPr>
          <w:lang w:val="it-IT"/>
        </w:rPr>
        <w:t>.,</w:t>
      </w:r>
      <w:r w:rsidR="008B2BAA">
        <w:rPr>
          <w:lang w:val="it-IT"/>
        </w:rPr>
        <w:t xml:space="preserve"> </w:t>
      </w:r>
      <w:r w:rsidR="008D3BD2">
        <w:rPr>
          <w:lang w:val="it-IT"/>
        </w:rPr>
        <w:t>2016,</w:t>
      </w:r>
      <w:r w:rsidRPr="00F707A6">
        <w:rPr>
          <w:lang w:val="it-IT"/>
        </w:rPr>
        <w:t xml:space="preserve"> </w:t>
      </w:r>
      <w:r w:rsidRPr="0051563E">
        <w:t xml:space="preserve">Succinic acid production from hexoses and pentoses by fermentation of </w:t>
      </w:r>
      <w:r w:rsidRPr="008D3BD2">
        <w:rPr>
          <w:i/>
        </w:rPr>
        <w:t>actinobacillus succinogenes</w:t>
      </w:r>
      <w:r w:rsidR="008D3BD2">
        <w:t xml:space="preserve">, </w:t>
      </w:r>
      <w:r w:rsidRPr="0051563E">
        <w:t>Chemical Engineering Transactions</w:t>
      </w:r>
      <w:r w:rsidR="008D3BD2">
        <w:t>,</w:t>
      </w:r>
      <w:r>
        <w:t xml:space="preserve"> </w:t>
      </w:r>
      <w:r w:rsidRPr="00A345B8">
        <w:rPr>
          <w:lang w:val="it-IT"/>
        </w:rPr>
        <w:t>49, 211-216.</w:t>
      </w:r>
    </w:p>
    <w:p w14:paraId="7950FE71" w14:textId="156F4036" w:rsidR="0051563E" w:rsidRDefault="0044617A" w:rsidP="0051563E">
      <w:pPr>
        <w:pStyle w:val="CETReference-text"/>
      </w:pPr>
      <w:r>
        <w:rPr>
          <w:lang w:val="it-IT"/>
        </w:rPr>
        <w:t>Ferone M.</w:t>
      </w:r>
      <w:r w:rsidR="0051563E" w:rsidRPr="0051563E">
        <w:rPr>
          <w:lang w:val="it-IT"/>
        </w:rPr>
        <w:t>,</w:t>
      </w:r>
      <w:r>
        <w:rPr>
          <w:lang w:val="it-IT"/>
        </w:rPr>
        <w:t xml:space="preserve"> </w:t>
      </w:r>
      <w:r w:rsidR="0051563E" w:rsidRPr="0051563E">
        <w:rPr>
          <w:lang w:val="it-IT"/>
        </w:rPr>
        <w:t>Raganati F.,Olivieri G., Salatino P., Marzocchella A.,</w:t>
      </w:r>
      <w:r w:rsidR="00724012">
        <w:rPr>
          <w:lang w:val="it-IT"/>
        </w:rPr>
        <w:t xml:space="preserve"> </w:t>
      </w:r>
      <w:r w:rsidR="0051563E" w:rsidRPr="0051563E">
        <w:rPr>
          <w:lang w:val="it-IT"/>
        </w:rPr>
        <w:t>201</w:t>
      </w:r>
      <w:r w:rsidR="00724012">
        <w:rPr>
          <w:lang w:val="it-IT"/>
        </w:rPr>
        <w:t>7,</w:t>
      </w:r>
      <w:r w:rsidR="0051563E" w:rsidRPr="00F707A6">
        <w:rPr>
          <w:lang w:val="it-IT"/>
        </w:rPr>
        <w:t xml:space="preserve"> </w:t>
      </w:r>
      <w:r w:rsidR="0051563E" w:rsidRPr="0051563E">
        <w:t xml:space="preserve">Biosuccinic Acid from Lignocellulosic-Based Hexoses and Pentoses by </w:t>
      </w:r>
      <w:r w:rsidR="0051563E" w:rsidRPr="00724012">
        <w:rPr>
          <w:i/>
        </w:rPr>
        <w:t>Actinobacillus succinogenes</w:t>
      </w:r>
      <w:r w:rsidR="0051563E" w:rsidRPr="0051563E">
        <w:t>: Characterization of the Conversion Process</w:t>
      </w:r>
      <w:r w:rsidR="00724012">
        <w:t>,</w:t>
      </w:r>
      <w:r w:rsidR="0051563E" w:rsidRPr="0051563E">
        <w:t xml:space="preserve"> </w:t>
      </w:r>
      <w:r w:rsidR="00724012">
        <w:t xml:space="preserve">Applied </w:t>
      </w:r>
      <w:r w:rsidR="0051563E" w:rsidRPr="0051563E">
        <w:t>Biochemistry and Biotechnology</w:t>
      </w:r>
      <w:r w:rsidR="00724012">
        <w:t xml:space="preserve">. 183, </w:t>
      </w:r>
      <w:r w:rsidR="0051563E" w:rsidRPr="0051563E">
        <w:t>1465-1477</w:t>
      </w:r>
      <w:r w:rsidR="000D0659">
        <w:t>.</w:t>
      </w:r>
    </w:p>
    <w:p w14:paraId="7A3954C4" w14:textId="7EDC7AF7" w:rsidR="00415647" w:rsidRDefault="00415647" w:rsidP="00415647">
      <w:pPr>
        <w:pStyle w:val="CETReference-text"/>
        <w:rPr>
          <w:lang w:val="en-US"/>
        </w:rPr>
      </w:pPr>
      <w:r w:rsidRPr="00DE5787">
        <w:rPr>
          <w:lang w:val="it-IT"/>
        </w:rPr>
        <w:t xml:space="preserve">Ferone M., Ercole A., Olivieri G., Salatino P., Marzocchella </w:t>
      </w:r>
      <w:r w:rsidR="00250240" w:rsidRPr="00DE5787">
        <w:rPr>
          <w:lang w:val="it-IT"/>
        </w:rPr>
        <w:t xml:space="preserve">A., </w:t>
      </w:r>
      <w:r w:rsidRPr="00DE5787">
        <w:rPr>
          <w:lang w:val="it-IT"/>
        </w:rPr>
        <w:t xml:space="preserve">2018. </w:t>
      </w:r>
      <w:r w:rsidRPr="00F707A6">
        <w:rPr>
          <w:lang w:val="en-US"/>
        </w:rPr>
        <w:t xml:space="preserve">Continuous succinic acid fermentation by </w:t>
      </w:r>
      <w:r w:rsidRPr="005E1DBE">
        <w:rPr>
          <w:i/>
          <w:lang w:val="en-US"/>
        </w:rPr>
        <w:t>Actinobacillus succinogenes</w:t>
      </w:r>
      <w:r w:rsidR="0044617A">
        <w:rPr>
          <w:lang w:val="en-US"/>
        </w:rPr>
        <w:t xml:space="preserve"> in a packed bed reactor,</w:t>
      </w:r>
      <w:r w:rsidRPr="00F707A6">
        <w:rPr>
          <w:lang w:val="en-US"/>
        </w:rPr>
        <w:t xml:space="preserve"> Biotechnology for Biofuels,</w:t>
      </w:r>
      <w:r w:rsidR="0044617A">
        <w:rPr>
          <w:lang w:val="en-US"/>
        </w:rPr>
        <w:t xml:space="preserve"> </w:t>
      </w:r>
      <w:r w:rsidRPr="00F707A6">
        <w:rPr>
          <w:lang w:val="en-US"/>
        </w:rPr>
        <w:t>11</w:t>
      </w:r>
      <w:r w:rsidR="0044617A">
        <w:rPr>
          <w:lang w:val="en-US"/>
        </w:rPr>
        <w:t xml:space="preserve">, </w:t>
      </w:r>
      <w:r w:rsidR="00996D93">
        <w:rPr>
          <w:lang w:val="en-US"/>
        </w:rPr>
        <w:t>138</w:t>
      </w:r>
      <w:r w:rsidRPr="00F707A6">
        <w:rPr>
          <w:lang w:val="en-US"/>
        </w:rPr>
        <w:t xml:space="preserve">. </w:t>
      </w:r>
    </w:p>
    <w:p w14:paraId="7725C2FC" w14:textId="623BCCD3" w:rsidR="008B2BAA" w:rsidRDefault="008B2BAA" w:rsidP="008B2BAA">
      <w:pPr>
        <w:pStyle w:val="CETReference-text"/>
      </w:pPr>
      <w:r w:rsidRPr="00F707A6">
        <w:rPr>
          <w:lang w:val="en-US"/>
        </w:rPr>
        <w:t>Ferone M. ,Raganati F.,Olivieri G., Salatino P., Marzocchella</w:t>
      </w:r>
      <w:r w:rsidR="00FE67EA">
        <w:rPr>
          <w:lang w:val="en-US"/>
        </w:rPr>
        <w:t>., 2019</w:t>
      </w:r>
      <w:r>
        <w:rPr>
          <w:lang w:val="en-US"/>
        </w:rPr>
        <w:t>.</w:t>
      </w:r>
      <w:r w:rsidRPr="00F707A6">
        <w:rPr>
          <w:lang w:val="en-US"/>
        </w:rPr>
        <w:t xml:space="preserve"> </w:t>
      </w:r>
      <w:r w:rsidR="0044617A">
        <w:t>Continuous s</w:t>
      </w:r>
      <w:r w:rsidR="00E04FAF">
        <w:t>uccinic acid f</w:t>
      </w:r>
      <w:r w:rsidRPr="005446D3">
        <w:t xml:space="preserve">ermentation by </w:t>
      </w:r>
      <w:r w:rsidRPr="0044617A">
        <w:rPr>
          <w:i/>
        </w:rPr>
        <w:t>Actinobacillus Succinogenes</w:t>
      </w:r>
      <w:r w:rsidR="00E04FAF">
        <w:t>: assessment of g</w:t>
      </w:r>
      <w:r w:rsidRPr="005446D3">
        <w:t>rowth an</w:t>
      </w:r>
      <w:r w:rsidR="00E04FAF">
        <w:t>d succinic acid production k</w:t>
      </w:r>
      <w:r w:rsidRPr="005446D3">
        <w:t>inetics</w:t>
      </w:r>
      <w:r w:rsidR="00E04FAF">
        <w:t xml:space="preserve">, Applied </w:t>
      </w:r>
      <w:r w:rsidRPr="005446D3">
        <w:t>Biochemistry and Biotechnology</w:t>
      </w:r>
      <w:r w:rsidR="00FE67EA">
        <w:t>, 187, 782-799.</w:t>
      </w:r>
    </w:p>
    <w:p w14:paraId="00C5AB4C" w14:textId="531D7D2F" w:rsidR="00607E6C" w:rsidRDefault="000D0659" w:rsidP="005D30EC">
      <w:pPr>
        <w:pStyle w:val="CETReference-text"/>
        <w:rPr>
          <w:lang w:val="en-US"/>
        </w:rPr>
      </w:pPr>
      <w:r>
        <w:rPr>
          <w:lang w:val="it-IT"/>
        </w:rPr>
        <w:t>Galazzo J.L., Bailey J.E., 1990,</w:t>
      </w:r>
      <w:r w:rsidR="00607E6C" w:rsidRPr="00DE5787">
        <w:rPr>
          <w:lang w:val="it-IT"/>
        </w:rPr>
        <w:t xml:space="preserve"> </w:t>
      </w:r>
      <w:r w:rsidR="00607E6C" w:rsidRPr="00607E6C">
        <w:rPr>
          <w:lang w:val="en-US"/>
        </w:rPr>
        <w:t xml:space="preserve">Growing </w:t>
      </w:r>
      <w:r w:rsidR="00607E6C" w:rsidRPr="00007926">
        <w:rPr>
          <w:i/>
          <w:lang w:val="en-US"/>
        </w:rPr>
        <w:t>Saccharomyces cerevisiae</w:t>
      </w:r>
      <w:r w:rsidR="00607E6C" w:rsidRPr="00607E6C">
        <w:rPr>
          <w:lang w:val="en-US"/>
        </w:rPr>
        <w:t xml:space="preserve"> in calcium-alginate beads induces cell alterations, which accelerate glucose conversion to ethanol. Biotechnol. Bioeng.</w:t>
      </w:r>
      <w:r w:rsidR="00007926">
        <w:rPr>
          <w:lang w:val="en-US"/>
        </w:rPr>
        <w:t>,</w:t>
      </w:r>
      <w:r w:rsidR="00607E6C" w:rsidRPr="00607E6C">
        <w:rPr>
          <w:lang w:val="en-US"/>
        </w:rPr>
        <w:t xml:space="preserve"> 36, 417–426.</w:t>
      </w:r>
    </w:p>
    <w:p w14:paraId="62B65FA7" w14:textId="4A13CE10" w:rsidR="00607E6C" w:rsidRDefault="006B3776" w:rsidP="005D30EC">
      <w:pPr>
        <w:pStyle w:val="CETReference-text"/>
        <w:rPr>
          <w:lang w:val="en-US"/>
        </w:rPr>
      </w:pPr>
      <w:r>
        <w:rPr>
          <w:lang w:val="en-US"/>
        </w:rPr>
        <w:t>Galaction A.I., Lenuta-Kloetzer R.R., Vlysidis A., Webb C., Turnea M., Cascaval</w:t>
      </w:r>
      <w:r w:rsidR="00607E6C" w:rsidRPr="00607E6C">
        <w:rPr>
          <w:lang w:val="en-US"/>
        </w:rPr>
        <w:t xml:space="preserve"> D., 2011</w:t>
      </w:r>
      <w:r>
        <w:rPr>
          <w:lang w:val="en-US"/>
        </w:rPr>
        <w:t>,</w:t>
      </w:r>
      <w:r w:rsidR="00607E6C" w:rsidRPr="00607E6C">
        <w:rPr>
          <w:lang w:val="en-US"/>
        </w:rPr>
        <w:t xml:space="preserve"> External and internal glucose mass transfers in succinic acid fermentation with stirred bed of immobilized </w:t>
      </w:r>
      <w:r w:rsidR="00607E6C" w:rsidRPr="006B3776">
        <w:rPr>
          <w:i/>
          <w:lang w:val="en-US"/>
        </w:rPr>
        <w:t>Actinobacillus succinogenes</w:t>
      </w:r>
      <w:r w:rsidR="00607E6C" w:rsidRPr="00607E6C">
        <w:rPr>
          <w:lang w:val="en-US"/>
        </w:rPr>
        <w:t xml:space="preserve"> under su</w:t>
      </w:r>
      <w:r w:rsidR="00AE1CFB">
        <w:rPr>
          <w:lang w:val="en-US"/>
        </w:rPr>
        <w:t>bstrate and product inhibitions,</w:t>
      </w:r>
      <w:r w:rsidR="00607E6C" w:rsidRPr="00607E6C">
        <w:rPr>
          <w:lang w:val="en-US"/>
        </w:rPr>
        <w:t xml:space="preserve"> J. Microbiol. Biotechnol.</w:t>
      </w:r>
      <w:r w:rsidR="00AE1CFB">
        <w:rPr>
          <w:lang w:val="en-US"/>
        </w:rPr>
        <w:t>,</w:t>
      </w:r>
      <w:r w:rsidR="00607E6C" w:rsidRPr="00607E6C">
        <w:rPr>
          <w:lang w:val="en-US"/>
        </w:rPr>
        <w:t xml:space="preserve"> 21, 1257–1263.</w:t>
      </w:r>
    </w:p>
    <w:p w14:paraId="0FF1686A" w14:textId="526BD4C9" w:rsidR="001B0518" w:rsidRDefault="001B0518" w:rsidP="00506F61">
      <w:pPr>
        <w:pStyle w:val="CETReference-text"/>
        <w:rPr>
          <w:lang w:val="en-US"/>
        </w:rPr>
      </w:pPr>
      <w:r w:rsidRPr="001B0518">
        <w:rPr>
          <w:lang w:val="en-US"/>
        </w:rPr>
        <w:t>Klein, B.C., Silva, J.F.L., Junqueira, T.L., Rabelo, S.C., Arruda, P.V., Ienczak, J.L., Mantelatto, P.E., Pradella, J.G.C., Junior, S.V., Bonomi, A., 2017</w:t>
      </w:r>
      <w:r w:rsidR="00AE1CFB">
        <w:rPr>
          <w:lang w:val="en-US"/>
        </w:rPr>
        <w:t>,</w:t>
      </w:r>
      <w:r w:rsidRPr="001B0518">
        <w:rPr>
          <w:lang w:val="en-US"/>
        </w:rPr>
        <w:t xml:space="preserve"> Process development and techno- economic analysis of bio-based succinic acid derived from pentoses integrated to a sugarcane biorefinery</w:t>
      </w:r>
      <w:r w:rsidR="00AE1CFB">
        <w:rPr>
          <w:lang w:val="en-US"/>
        </w:rPr>
        <w:t>,</w:t>
      </w:r>
      <w:r w:rsidRPr="001B0518">
        <w:rPr>
          <w:lang w:val="en-US"/>
        </w:rPr>
        <w:t xml:space="preserve"> Biofuels, Bioprod. Biorefining</w:t>
      </w:r>
      <w:r w:rsidR="00760B47">
        <w:rPr>
          <w:lang w:val="en-US"/>
        </w:rPr>
        <w:t>,</w:t>
      </w:r>
      <w:r w:rsidRPr="001B0518">
        <w:rPr>
          <w:lang w:val="en-US"/>
        </w:rPr>
        <w:t xml:space="preserve"> 132–153. </w:t>
      </w:r>
    </w:p>
    <w:p w14:paraId="3A8F3DFB" w14:textId="0F3E80FD" w:rsidR="00506F61" w:rsidRDefault="00760B47" w:rsidP="00506F61">
      <w:pPr>
        <w:pStyle w:val="CETReference-text"/>
        <w:rPr>
          <w:lang w:val="en-US"/>
        </w:rPr>
      </w:pPr>
      <w:r>
        <w:rPr>
          <w:lang w:val="en-US"/>
        </w:rPr>
        <w:t>Kheyrandish M., Asadollahi M.A.</w:t>
      </w:r>
      <w:r w:rsidR="00506F61" w:rsidRPr="00551BB6">
        <w:rPr>
          <w:lang w:val="en-US"/>
        </w:rPr>
        <w:t>, Jeihanipour A.</w:t>
      </w:r>
      <w:r>
        <w:rPr>
          <w:lang w:val="en-US"/>
        </w:rPr>
        <w:t>, Doostmohammadia M., Yazdi H.R.</w:t>
      </w:r>
      <w:r w:rsidR="00506F61" w:rsidRPr="00551BB6">
        <w:rPr>
          <w:lang w:val="en-US"/>
        </w:rPr>
        <w:t>, Karimi K.</w:t>
      </w:r>
      <w:r>
        <w:rPr>
          <w:lang w:val="en-US"/>
        </w:rPr>
        <w:t>,</w:t>
      </w:r>
      <w:r w:rsidR="00506F61" w:rsidRPr="00551BB6">
        <w:rPr>
          <w:lang w:val="en-US"/>
        </w:rPr>
        <w:t xml:space="preserve"> 2015</w:t>
      </w:r>
      <w:r>
        <w:rPr>
          <w:lang w:val="en-US"/>
        </w:rPr>
        <w:t>,</w:t>
      </w:r>
      <w:r w:rsidR="00506F61" w:rsidRPr="00551BB6">
        <w:rPr>
          <w:lang w:val="en-US"/>
        </w:rPr>
        <w:t xml:space="preserve"> Direct production of acetone–butanol–ethanol from waste starch by free and immobilized </w:t>
      </w:r>
      <w:r w:rsidR="00506F61" w:rsidRPr="00867011">
        <w:rPr>
          <w:i/>
          <w:lang w:val="en-US"/>
        </w:rPr>
        <w:t>Clostridium acetobutylicum</w:t>
      </w:r>
      <w:r w:rsidR="00506F61">
        <w:rPr>
          <w:lang w:val="en-US"/>
        </w:rPr>
        <w:t>,</w:t>
      </w:r>
      <w:r w:rsidR="00867011">
        <w:rPr>
          <w:lang w:val="en-US"/>
        </w:rPr>
        <w:t xml:space="preserve"> Fuel,</w:t>
      </w:r>
      <w:r w:rsidR="00506F61">
        <w:rPr>
          <w:lang w:val="en-US"/>
        </w:rPr>
        <w:t xml:space="preserve"> 142, </w:t>
      </w:r>
      <w:r w:rsidR="00506F61" w:rsidRPr="00551BB6">
        <w:rPr>
          <w:lang w:val="en-US"/>
        </w:rPr>
        <w:t>129-133</w:t>
      </w:r>
      <w:r w:rsidR="00506F61">
        <w:rPr>
          <w:lang w:val="en-US"/>
        </w:rPr>
        <w:t>.</w:t>
      </w:r>
    </w:p>
    <w:p w14:paraId="5E1D2A33" w14:textId="52824A1B" w:rsidR="00506F61" w:rsidRDefault="00506F61" w:rsidP="00506F61">
      <w:pPr>
        <w:pStyle w:val="CETReference-text"/>
        <w:rPr>
          <w:lang w:val="en-US"/>
        </w:rPr>
      </w:pPr>
      <w:r w:rsidRPr="00551BB6">
        <w:rPr>
          <w:lang w:val="en-US"/>
        </w:rPr>
        <w:t>Rakin</w:t>
      </w:r>
      <w:r w:rsidR="00113BD8">
        <w:rPr>
          <w:lang w:val="en-US"/>
        </w:rPr>
        <w:t xml:space="preserve"> M., Mojovic L., Nikolic S., 2010,</w:t>
      </w:r>
      <w:r w:rsidRPr="00551BB6">
        <w:rPr>
          <w:lang w:val="en-US"/>
        </w:rPr>
        <w:t xml:space="preserve"> Bioethanol production by immobilized </w:t>
      </w:r>
      <w:r w:rsidRPr="00113BD8">
        <w:rPr>
          <w:i/>
          <w:lang w:val="en-US"/>
        </w:rPr>
        <w:t>Sacharomyces cerevisiae</w:t>
      </w:r>
      <w:r w:rsidRPr="00551BB6">
        <w:rPr>
          <w:lang w:val="en-US"/>
        </w:rPr>
        <w:t xml:space="preserve"> </w:t>
      </w:r>
      <w:r w:rsidRPr="00113BD8">
        <w:rPr>
          <w:i/>
          <w:lang w:val="en-US"/>
        </w:rPr>
        <w:t>var.</w:t>
      </w:r>
      <w:r w:rsidRPr="00551BB6">
        <w:rPr>
          <w:lang w:val="en-US"/>
        </w:rPr>
        <w:t xml:space="preserve"> </w:t>
      </w:r>
      <w:r w:rsidRPr="00113BD8">
        <w:rPr>
          <w:i/>
          <w:lang w:val="en-US"/>
        </w:rPr>
        <w:t>ellipsoideus</w:t>
      </w:r>
      <w:r w:rsidRPr="00551BB6">
        <w:rPr>
          <w:lang w:val="en-US"/>
        </w:rPr>
        <w:t xml:space="preserve"> cells</w:t>
      </w:r>
      <w:r w:rsidR="00113BD8">
        <w:rPr>
          <w:lang w:val="en-US"/>
        </w:rPr>
        <w:t>,</w:t>
      </w:r>
      <w:r w:rsidRPr="00551BB6">
        <w:rPr>
          <w:lang w:val="en-US"/>
        </w:rPr>
        <w:t xml:space="preserve"> African Journal of Biotechnology</w:t>
      </w:r>
      <w:r>
        <w:rPr>
          <w:lang w:val="en-US"/>
        </w:rPr>
        <w:t xml:space="preserve">, 8, </w:t>
      </w:r>
      <w:r w:rsidRPr="00551BB6">
        <w:rPr>
          <w:lang w:val="en-US"/>
        </w:rPr>
        <w:t>464-471</w:t>
      </w:r>
    </w:p>
    <w:p w14:paraId="1C30ED4E" w14:textId="3DD2E324" w:rsidR="00607E6C" w:rsidRDefault="00113BD8" w:rsidP="00506F61">
      <w:pPr>
        <w:pStyle w:val="CETReference-text"/>
        <w:rPr>
          <w:lang w:val="en-US"/>
        </w:rPr>
      </w:pPr>
      <w:r>
        <w:rPr>
          <w:lang w:val="it-IT"/>
        </w:rPr>
        <w:t>Shindo S., Sahara H., Koshino S., 1993,</w:t>
      </w:r>
      <w:r w:rsidR="00607E6C" w:rsidRPr="00DE5787">
        <w:rPr>
          <w:lang w:val="it-IT"/>
        </w:rPr>
        <w:t xml:space="preserve"> </w:t>
      </w:r>
      <w:r w:rsidR="00607E6C" w:rsidRPr="00607E6C">
        <w:rPr>
          <w:lang w:val="en-US"/>
        </w:rPr>
        <w:t>Relationship of production of succinic acid and methyl citric acid pathway during alcohol ferm</w:t>
      </w:r>
      <w:r>
        <w:rPr>
          <w:lang w:val="en-US"/>
        </w:rPr>
        <w:t>entation with immobilized yeast,</w:t>
      </w:r>
      <w:r w:rsidR="00607E6C" w:rsidRPr="00607E6C">
        <w:rPr>
          <w:lang w:val="en-US"/>
        </w:rPr>
        <w:t xml:space="preserve"> Biotechnol. Lett. 15, 51–56.</w:t>
      </w:r>
    </w:p>
    <w:p w14:paraId="3DFECAFF" w14:textId="6E0D20AD" w:rsidR="00607E6C" w:rsidRDefault="00883E1B" w:rsidP="00607E6C">
      <w:pPr>
        <w:pStyle w:val="CETReference-text"/>
        <w:rPr>
          <w:lang w:val="en-US"/>
        </w:rPr>
      </w:pPr>
      <w:r>
        <w:rPr>
          <w:lang w:val="en-US"/>
        </w:rPr>
        <w:t>Stuckey D.M.A., Stuckey D.C., 2015,</w:t>
      </w:r>
      <w:r w:rsidR="00506F61" w:rsidRPr="00551BB6">
        <w:rPr>
          <w:lang w:val="en-US"/>
        </w:rPr>
        <w:t xml:space="preserve"> Maximizing the production of acetone-butanol in an alginate bead fluidized bed reactor using </w:t>
      </w:r>
      <w:r w:rsidR="00506F61" w:rsidRPr="00852CBD">
        <w:rPr>
          <w:i/>
          <w:lang w:val="en-US"/>
        </w:rPr>
        <w:t>Clostridium acetobutylicum</w:t>
      </w:r>
      <w:r w:rsidR="00506F61" w:rsidRPr="00551BB6">
        <w:rPr>
          <w:lang w:val="en-US"/>
        </w:rPr>
        <w:t>,</w:t>
      </w:r>
      <w:r>
        <w:rPr>
          <w:lang w:val="en-US"/>
        </w:rPr>
        <w:t xml:space="preserve"> </w:t>
      </w:r>
      <w:r w:rsidR="00506F61" w:rsidRPr="00551BB6">
        <w:rPr>
          <w:lang w:val="en-US"/>
        </w:rPr>
        <w:t>Journal of Chemical Technology &amp; Biotechnology, 56, 83-89</w:t>
      </w:r>
      <w:r>
        <w:rPr>
          <w:lang w:val="en-US"/>
        </w:rPr>
        <w:t>.</w:t>
      </w:r>
    </w:p>
    <w:p w14:paraId="6ABD8D37" w14:textId="237AFEDE" w:rsidR="00506F61" w:rsidRDefault="00506F61" w:rsidP="00506F61">
      <w:pPr>
        <w:pStyle w:val="CETReference-text"/>
        <w:rPr>
          <w:lang w:val="en-US"/>
        </w:rPr>
      </w:pPr>
      <w:r w:rsidRPr="00551BB6">
        <w:rPr>
          <w:lang w:val="en-US"/>
        </w:rPr>
        <w:t>Wu K</w:t>
      </w:r>
      <w:r w:rsidR="00886344">
        <w:rPr>
          <w:lang w:val="en-US"/>
        </w:rPr>
        <w:t>.</w:t>
      </w:r>
      <w:r w:rsidRPr="00551BB6">
        <w:rPr>
          <w:lang w:val="en-US"/>
        </w:rPr>
        <w:t>, Wisecarver K.</w:t>
      </w:r>
      <w:r w:rsidR="00886344">
        <w:rPr>
          <w:lang w:val="en-US"/>
        </w:rPr>
        <w:t>, 1992,</w:t>
      </w:r>
      <w:r w:rsidRPr="00551BB6">
        <w:rPr>
          <w:lang w:val="en-US"/>
        </w:rPr>
        <w:t xml:space="preserve"> Cell immobilization using PVA crosslinked with bor</w:t>
      </w:r>
      <w:r w:rsidR="00886344">
        <w:rPr>
          <w:lang w:val="en-US"/>
        </w:rPr>
        <w:t xml:space="preserve">ic acid, Biotechnol. Bioeng., </w:t>
      </w:r>
      <w:r w:rsidRPr="00551BB6">
        <w:rPr>
          <w:lang w:val="en-US"/>
        </w:rPr>
        <w:t>39:447–9</w:t>
      </w:r>
      <w:r w:rsidR="00886344">
        <w:rPr>
          <w:lang w:val="en-US"/>
        </w:rPr>
        <w:t>.</w:t>
      </w:r>
    </w:p>
    <w:p w14:paraId="7B0D9F79" w14:textId="71EE9E89" w:rsidR="00ED208A" w:rsidRDefault="00886344" w:rsidP="004D2D76">
      <w:pPr>
        <w:pStyle w:val="CETReference-text"/>
        <w:rPr>
          <w:lang w:val="en-US"/>
        </w:rPr>
      </w:pPr>
      <w:r>
        <w:rPr>
          <w:lang w:val="en-US"/>
        </w:rPr>
        <w:t>Yan Q., Zheng</w:t>
      </w:r>
      <w:r w:rsidR="00ED208A" w:rsidRPr="00ED208A">
        <w:rPr>
          <w:lang w:val="en-US"/>
        </w:rPr>
        <w:t xml:space="preserve"> </w:t>
      </w:r>
      <w:r>
        <w:rPr>
          <w:lang w:val="en-US"/>
        </w:rPr>
        <w:t>P., Dong J.J., Sun Z.H., 2014,</w:t>
      </w:r>
      <w:r w:rsidR="00ED208A" w:rsidRPr="00ED208A">
        <w:rPr>
          <w:lang w:val="en-US"/>
        </w:rPr>
        <w:t xml:space="preserve"> A fibrous bed bioreactor to improve the productivity of succinic acid by </w:t>
      </w:r>
      <w:r w:rsidR="00ED208A" w:rsidRPr="00886344">
        <w:rPr>
          <w:i/>
          <w:lang w:val="en-US"/>
        </w:rPr>
        <w:t>Actinobacillus succinogenes</w:t>
      </w:r>
      <w:r w:rsidR="00ED208A" w:rsidRPr="00ED208A">
        <w:rPr>
          <w:lang w:val="en-US"/>
        </w:rPr>
        <w:t>. J. Chem. Technol. Biotechnol.</w:t>
      </w:r>
      <w:r>
        <w:rPr>
          <w:lang w:val="en-US"/>
        </w:rPr>
        <w:t>,</w:t>
      </w:r>
      <w:r w:rsidR="00ED208A" w:rsidRPr="00ED208A">
        <w:rPr>
          <w:lang w:val="en-US"/>
        </w:rPr>
        <w:t xml:space="preserve"> 89, 1760–1766</w:t>
      </w:r>
      <w:r>
        <w:rPr>
          <w:lang w:val="en-US"/>
        </w:rPr>
        <w:t>.</w:t>
      </w:r>
    </w:p>
    <w:p w14:paraId="2DF6A0CF" w14:textId="77777777" w:rsidR="00551BB6" w:rsidRPr="00502E80" w:rsidRDefault="00551BB6" w:rsidP="004D2D76">
      <w:pPr>
        <w:pStyle w:val="CETReference-text"/>
        <w:rPr>
          <w:lang w:val="en-US"/>
        </w:rPr>
      </w:pPr>
    </w:p>
    <w:sectPr w:rsidR="00551BB6" w:rsidRPr="00502E80" w:rsidSect="007A797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EA346" w14:textId="77777777" w:rsidR="00342DB5" w:rsidRDefault="00342DB5" w:rsidP="004F5E36">
      <w:r>
        <w:separator/>
      </w:r>
    </w:p>
  </w:endnote>
  <w:endnote w:type="continuationSeparator" w:id="0">
    <w:p w14:paraId="522E35E3" w14:textId="77777777" w:rsidR="00342DB5" w:rsidRDefault="00342DB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8BD16" w14:textId="77777777" w:rsidR="00342DB5" w:rsidRDefault="00342DB5" w:rsidP="004F5E36">
      <w:r>
        <w:separator/>
      </w:r>
    </w:p>
  </w:footnote>
  <w:footnote w:type="continuationSeparator" w:id="0">
    <w:p w14:paraId="57015B20" w14:textId="77777777" w:rsidR="00342DB5" w:rsidRDefault="00342DB5" w:rsidP="004F5E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3B870AD"/>
    <w:multiLevelType w:val="hybridMultilevel"/>
    <w:tmpl w:val="B6E04EF4"/>
    <w:lvl w:ilvl="0" w:tplc="156043CE">
      <w:numFmt w:val="bullet"/>
      <w:lvlText w:val="•"/>
      <w:lvlJc w:val="left"/>
      <w:pPr>
        <w:ind w:left="428" w:hanging="360"/>
      </w:pPr>
      <w:rPr>
        <w:rFonts w:ascii="Arial" w:eastAsia="Times New Roman" w:hAnsi="Arial" w:cs="Arial" w:hint="default"/>
      </w:rPr>
    </w:lvl>
    <w:lvl w:ilvl="1" w:tplc="04100003" w:tentative="1">
      <w:start w:val="1"/>
      <w:numFmt w:val="bullet"/>
      <w:lvlText w:val="o"/>
      <w:lvlJc w:val="left"/>
      <w:pPr>
        <w:ind w:left="1148" w:hanging="360"/>
      </w:pPr>
      <w:rPr>
        <w:rFonts w:ascii="Courier New" w:hAnsi="Courier New" w:cs="Courier New" w:hint="default"/>
      </w:rPr>
    </w:lvl>
    <w:lvl w:ilvl="2" w:tplc="04100005" w:tentative="1">
      <w:start w:val="1"/>
      <w:numFmt w:val="bullet"/>
      <w:lvlText w:val=""/>
      <w:lvlJc w:val="left"/>
      <w:pPr>
        <w:ind w:left="1868" w:hanging="360"/>
      </w:pPr>
      <w:rPr>
        <w:rFonts w:ascii="Wingdings" w:hAnsi="Wingdings" w:hint="default"/>
      </w:rPr>
    </w:lvl>
    <w:lvl w:ilvl="3" w:tplc="04100001" w:tentative="1">
      <w:start w:val="1"/>
      <w:numFmt w:val="bullet"/>
      <w:lvlText w:val=""/>
      <w:lvlJc w:val="left"/>
      <w:pPr>
        <w:ind w:left="2588" w:hanging="360"/>
      </w:pPr>
      <w:rPr>
        <w:rFonts w:ascii="Symbol" w:hAnsi="Symbol" w:hint="default"/>
      </w:rPr>
    </w:lvl>
    <w:lvl w:ilvl="4" w:tplc="04100003" w:tentative="1">
      <w:start w:val="1"/>
      <w:numFmt w:val="bullet"/>
      <w:lvlText w:val="o"/>
      <w:lvlJc w:val="left"/>
      <w:pPr>
        <w:ind w:left="3308" w:hanging="360"/>
      </w:pPr>
      <w:rPr>
        <w:rFonts w:ascii="Courier New" w:hAnsi="Courier New" w:cs="Courier New" w:hint="default"/>
      </w:rPr>
    </w:lvl>
    <w:lvl w:ilvl="5" w:tplc="04100005" w:tentative="1">
      <w:start w:val="1"/>
      <w:numFmt w:val="bullet"/>
      <w:lvlText w:val=""/>
      <w:lvlJc w:val="left"/>
      <w:pPr>
        <w:ind w:left="4028" w:hanging="360"/>
      </w:pPr>
      <w:rPr>
        <w:rFonts w:ascii="Wingdings" w:hAnsi="Wingdings" w:hint="default"/>
      </w:rPr>
    </w:lvl>
    <w:lvl w:ilvl="6" w:tplc="04100001" w:tentative="1">
      <w:start w:val="1"/>
      <w:numFmt w:val="bullet"/>
      <w:lvlText w:val=""/>
      <w:lvlJc w:val="left"/>
      <w:pPr>
        <w:ind w:left="4748" w:hanging="360"/>
      </w:pPr>
      <w:rPr>
        <w:rFonts w:ascii="Symbol" w:hAnsi="Symbol" w:hint="default"/>
      </w:rPr>
    </w:lvl>
    <w:lvl w:ilvl="7" w:tplc="04100003" w:tentative="1">
      <w:start w:val="1"/>
      <w:numFmt w:val="bullet"/>
      <w:lvlText w:val="o"/>
      <w:lvlJc w:val="left"/>
      <w:pPr>
        <w:ind w:left="5468" w:hanging="360"/>
      </w:pPr>
      <w:rPr>
        <w:rFonts w:ascii="Courier New" w:hAnsi="Courier New" w:cs="Courier New" w:hint="default"/>
      </w:rPr>
    </w:lvl>
    <w:lvl w:ilvl="8" w:tplc="04100005" w:tentative="1">
      <w:start w:val="1"/>
      <w:numFmt w:val="bullet"/>
      <w:lvlText w:val=""/>
      <w:lvlJc w:val="left"/>
      <w:pPr>
        <w:ind w:left="6188" w:hanging="360"/>
      </w:pPr>
      <w:rPr>
        <w:rFonts w:ascii="Wingdings" w:hAnsi="Wingdings" w:hint="default"/>
      </w:r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1559"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2E7D2452"/>
    <w:multiLevelType w:val="hybridMultilevel"/>
    <w:tmpl w:val="37900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742539A"/>
    <w:multiLevelType w:val="hybridMultilevel"/>
    <w:tmpl w:val="4E5ED81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B2A4185"/>
    <w:multiLevelType w:val="hybridMultilevel"/>
    <w:tmpl w:val="A0C89DFA"/>
    <w:lvl w:ilvl="0" w:tplc="04100001">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9">
    <w:nsid w:val="7D6E41A3"/>
    <w:multiLevelType w:val="hybridMultilevel"/>
    <w:tmpl w:val="F0581544"/>
    <w:lvl w:ilvl="0" w:tplc="D584E0B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6"/>
  </w:num>
  <w:num w:numId="15">
    <w:abstractNumId w:val="17"/>
  </w:num>
  <w:num w:numId="16">
    <w:abstractNumId w:val="15"/>
  </w:num>
  <w:num w:numId="17">
    <w:abstractNumId w:val="11"/>
    <w:lvlOverride w:ilvl="0">
      <w:startOverride w:val="1"/>
    </w:lvlOverride>
    <w:lvlOverride w:ilvl="1">
      <w:startOverride w:val="2"/>
    </w:lvlOverride>
    <w:lvlOverride w:ilvl="2">
      <w:startOverride w:val="3"/>
    </w:lvlOverride>
  </w:num>
  <w:num w:numId="18">
    <w:abstractNumId w:val="11"/>
    <w:lvlOverride w:ilvl="0">
      <w:startOverride w:val="1"/>
    </w:lvlOverride>
    <w:lvlOverride w:ilvl="1">
      <w:startOverride w:val="2"/>
    </w:lvlOverride>
    <w:lvlOverride w:ilvl="2">
      <w:startOverride w:val="3"/>
    </w:lvlOverride>
  </w:num>
  <w:num w:numId="19">
    <w:abstractNumId w:val="12"/>
  </w:num>
  <w:num w:numId="20">
    <w:abstractNumId w:val="19"/>
  </w:num>
  <w:num w:numId="21">
    <w:abstractNumId w:val="18"/>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onio Marzocchella">
    <w15:presenceInfo w15:providerId="Windows Live" w15:userId="cfa65f8951d4bc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07926"/>
    <w:rsid w:val="0001105D"/>
    <w:rsid w:val="000117CB"/>
    <w:rsid w:val="00020E02"/>
    <w:rsid w:val="00022D71"/>
    <w:rsid w:val="000233BB"/>
    <w:rsid w:val="00025DF9"/>
    <w:rsid w:val="0003148D"/>
    <w:rsid w:val="00037C21"/>
    <w:rsid w:val="0004218B"/>
    <w:rsid w:val="00045821"/>
    <w:rsid w:val="0004697F"/>
    <w:rsid w:val="000519C2"/>
    <w:rsid w:val="00051A14"/>
    <w:rsid w:val="000564E9"/>
    <w:rsid w:val="00062A9A"/>
    <w:rsid w:val="00067FA4"/>
    <w:rsid w:val="00076286"/>
    <w:rsid w:val="00083993"/>
    <w:rsid w:val="00085817"/>
    <w:rsid w:val="000A03B2"/>
    <w:rsid w:val="000A5D9A"/>
    <w:rsid w:val="000A6A14"/>
    <w:rsid w:val="000C0FD8"/>
    <w:rsid w:val="000C3315"/>
    <w:rsid w:val="000D0659"/>
    <w:rsid w:val="000D34BE"/>
    <w:rsid w:val="000D4B73"/>
    <w:rsid w:val="000D627E"/>
    <w:rsid w:val="000E3660"/>
    <w:rsid w:val="000E36F1"/>
    <w:rsid w:val="000E3A73"/>
    <w:rsid w:val="000E414A"/>
    <w:rsid w:val="000E7F3B"/>
    <w:rsid w:val="000F55C3"/>
    <w:rsid w:val="00104102"/>
    <w:rsid w:val="00113BD8"/>
    <w:rsid w:val="00113F33"/>
    <w:rsid w:val="00113FE1"/>
    <w:rsid w:val="001200E5"/>
    <w:rsid w:val="0013121F"/>
    <w:rsid w:val="00134DE4"/>
    <w:rsid w:val="00135E36"/>
    <w:rsid w:val="00150E59"/>
    <w:rsid w:val="00155E42"/>
    <w:rsid w:val="00172FF7"/>
    <w:rsid w:val="00173049"/>
    <w:rsid w:val="00176712"/>
    <w:rsid w:val="0018084F"/>
    <w:rsid w:val="00182070"/>
    <w:rsid w:val="00184AD6"/>
    <w:rsid w:val="00190D14"/>
    <w:rsid w:val="00194EE8"/>
    <w:rsid w:val="00197445"/>
    <w:rsid w:val="001A3C43"/>
    <w:rsid w:val="001A5A09"/>
    <w:rsid w:val="001A7AA3"/>
    <w:rsid w:val="001B0518"/>
    <w:rsid w:val="001B2C0C"/>
    <w:rsid w:val="001B32BB"/>
    <w:rsid w:val="001B65C1"/>
    <w:rsid w:val="001C3CD2"/>
    <w:rsid w:val="001C684B"/>
    <w:rsid w:val="001D53FC"/>
    <w:rsid w:val="001D6109"/>
    <w:rsid w:val="001F32CB"/>
    <w:rsid w:val="002111CC"/>
    <w:rsid w:val="00217528"/>
    <w:rsid w:val="0022277B"/>
    <w:rsid w:val="002447EF"/>
    <w:rsid w:val="00245427"/>
    <w:rsid w:val="00245824"/>
    <w:rsid w:val="00245A68"/>
    <w:rsid w:val="00250240"/>
    <w:rsid w:val="00251550"/>
    <w:rsid w:val="00251C75"/>
    <w:rsid w:val="0027221A"/>
    <w:rsid w:val="00273E62"/>
    <w:rsid w:val="0027425F"/>
    <w:rsid w:val="00275B61"/>
    <w:rsid w:val="002803C1"/>
    <w:rsid w:val="00283A3E"/>
    <w:rsid w:val="00284E9D"/>
    <w:rsid w:val="002A0D9C"/>
    <w:rsid w:val="002B0862"/>
    <w:rsid w:val="002B434A"/>
    <w:rsid w:val="002B4708"/>
    <w:rsid w:val="002C0B2B"/>
    <w:rsid w:val="002D61F5"/>
    <w:rsid w:val="002E0FCC"/>
    <w:rsid w:val="002E673A"/>
    <w:rsid w:val="002F276E"/>
    <w:rsid w:val="002F3A7A"/>
    <w:rsid w:val="002F545C"/>
    <w:rsid w:val="002F599B"/>
    <w:rsid w:val="003009B7"/>
    <w:rsid w:val="0030469C"/>
    <w:rsid w:val="00305030"/>
    <w:rsid w:val="00325920"/>
    <w:rsid w:val="00331688"/>
    <w:rsid w:val="00332B86"/>
    <w:rsid w:val="00335CF4"/>
    <w:rsid w:val="00336DA8"/>
    <w:rsid w:val="00342DB5"/>
    <w:rsid w:val="00360973"/>
    <w:rsid w:val="0036544A"/>
    <w:rsid w:val="003723D4"/>
    <w:rsid w:val="003725B3"/>
    <w:rsid w:val="00375E6B"/>
    <w:rsid w:val="003A5A03"/>
    <w:rsid w:val="003A6DD2"/>
    <w:rsid w:val="003A7B1E"/>
    <w:rsid w:val="003A7D1C"/>
    <w:rsid w:val="003C2800"/>
    <w:rsid w:val="003C7BD8"/>
    <w:rsid w:val="003E741E"/>
    <w:rsid w:val="003F08BB"/>
    <w:rsid w:val="003F19EA"/>
    <w:rsid w:val="003F2486"/>
    <w:rsid w:val="00411D98"/>
    <w:rsid w:val="004135B5"/>
    <w:rsid w:val="00415647"/>
    <w:rsid w:val="00417013"/>
    <w:rsid w:val="0042714C"/>
    <w:rsid w:val="00435D1D"/>
    <w:rsid w:val="00441BAA"/>
    <w:rsid w:val="004429AD"/>
    <w:rsid w:val="0044617A"/>
    <w:rsid w:val="004468BC"/>
    <w:rsid w:val="0046164A"/>
    <w:rsid w:val="00462DCD"/>
    <w:rsid w:val="00471947"/>
    <w:rsid w:val="0048352C"/>
    <w:rsid w:val="00492471"/>
    <w:rsid w:val="004925DD"/>
    <w:rsid w:val="004A7540"/>
    <w:rsid w:val="004C06DD"/>
    <w:rsid w:val="004D1E7D"/>
    <w:rsid w:val="004D2D76"/>
    <w:rsid w:val="004D346E"/>
    <w:rsid w:val="004E0477"/>
    <w:rsid w:val="004E1A12"/>
    <w:rsid w:val="004E1D56"/>
    <w:rsid w:val="004E4DD6"/>
    <w:rsid w:val="004E71D4"/>
    <w:rsid w:val="004F3FD6"/>
    <w:rsid w:val="004F4C43"/>
    <w:rsid w:val="004F5E36"/>
    <w:rsid w:val="004F764F"/>
    <w:rsid w:val="00502E80"/>
    <w:rsid w:val="00505338"/>
    <w:rsid w:val="00506F61"/>
    <w:rsid w:val="0051074A"/>
    <w:rsid w:val="005119A5"/>
    <w:rsid w:val="0051563E"/>
    <w:rsid w:val="00516D3F"/>
    <w:rsid w:val="0052621A"/>
    <w:rsid w:val="00527215"/>
    <w:rsid w:val="005278B7"/>
    <w:rsid w:val="00530821"/>
    <w:rsid w:val="005346C8"/>
    <w:rsid w:val="0053497B"/>
    <w:rsid w:val="00535593"/>
    <w:rsid w:val="00536EC3"/>
    <w:rsid w:val="005446D3"/>
    <w:rsid w:val="0054487A"/>
    <w:rsid w:val="00546020"/>
    <w:rsid w:val="00551BB6"/>
    <w:rsid w:val="00567AE1"/>
    <w:rsid w:val="0057018C"/>
    <w:rsid w:val="00574150"/>
    <w:rsid w:val="00576199"/>
    <w:rsid w:val="00576FC7"/>
    <w:rsid w:val="00587F5A"/>
    <w:rsid w:val="00590FDB"/>
    <w:rsid w:val="00591780"/>
    <w:rsid w:val="00591F54"/>
    <w:rsid w:val="0059450B"/>
    <w:rsid w:val="005946D2"/>
    <w:rsid w:val="00596860"/>
    <w:rsid w:val="005A66D8"/>
    <w:rsid w:val="005A7626"/>
    <w:rsid w:val="005B3364"/>
    <w:rsid w:val="005B34F8"/>
    <w:rsid w:val="005B61E6"/>
    <w:rsid w:val="005C23B0"/>
    <w:rsid w:val="005C5CB3"/>
    <w:rsid w:val="005C7232"/>
    <w:rsid w:val="005C77E1"/>
    <w:rsid w:val="005D30EC"/>
    <w:rsid w:val="005D6A2F"/>
    <w:rsid w:val="005D78C0"/>
    <w:rsid w:val="005E1A82"/>
    <w:rsid w:val="005E1DBE"/>
    <w:rsid w:val="005E4819"/>
    <w:rsid w:val="005E5F10"/>
    <w:rsid w:val="005F0A28"/>
    <w:rsid w:val="005F0E5E"/>
    <w:rsid w:val="005F2580"/>
    <w:rsid w:val="005F3A9F"/>
    <w:rsid w:val="005F452F"/>
    <w:rsid w:val="00600D0B"/>
    <w:rsid w:val="00607877"/>
    <w:rsid w:val="00607E6C"/>
    <w:rsid w:val="006137D7"/>
    <w:rsid w:val="00620DEE"/>
    <w:rsid w:val="00625331"/>
    <w:rsid w:val="00625639"/>
    <w:rsid w:val="0062657B"/>
    <w:rsid w:val="006274E1"/>
    <w:rsid w:val="00627DBA"/>
    <w:rsid w:val="0063690C"/>
    <w:rsid w:val="00636A29"/>
    <w:rsid w:val="0064184D"/>
    <w:rsid w:val="00651AFB"/>
    <w:rsid w:val="0065684E"/>
    <w:rsid w:val="0065770E"/>
    <w:rsid w:val="00660E3E"/>
    <w:rsid w:val="00662E74"/>
    <w:rsid w:val="00663462"/>
    <w:rsid w:val="00663F97"/>
    <w:rsid w:val="006643CE"/>
    <w:rsid w:val="00666BBF"/>
    <w:rsid w:val="00674332"/>
    <w:rsid w:val="00682A07"/>
    <w:rsid w:val="00683620"/>
    <w:rsid w:val="00691D21"/>
    <w:rsid w:val="00693A0B"/>
    <w:rsid w:val="006A0EC3"/>
    <w:rsid w:val="006A1F2F"/>
    <w:rsid w:val="006B3776"/>
    <w:rsid w:val="006B479D"/>
    <w:rsid w:val="006B5DA1"/>
    <w:rsid w:val="006B6D26"/>
    <w:rsid w:val="006C51A0"/>
    <w:rsid w:val="006C5579"/>
    <w:rsid w:val="006C568B"/>
    <w:rsid w:val="006D1A15"/>
    <w:rsid w:val="006D5192"/>
    <w:rsid w:val="006E2356"/>
    <w:rsid w:val="006F4F3C"/>
    <w:rsid w:val="0070203B"/>
    <w:rsid w:val="00702A7E"/>
    <w:rsid w:val="007064AF"/>
    <w:rsid w:val="007133BB"/>
    <w:rsid w:val="00724012"/>
    <w:rsid w:val="0072484F"/>
    <w:rsid w:val="007322AD"/>
    <w:rsid w:val="00742E71"/>
    <w:rsid w:val="007447F3"/>
    <w:rsid w:val="00746B00"/>
    <w:rsid w:val="007520C9"/>
    <w:rsid w:val="007551C2"/>
    <w:rsid w:val="00756619"/>
    <w:rsid w:val="00760905"/>
    <w:rsid w:val="00760B47"/>
    <w:rsid w:val="00761BAA"/>
    <w:rsid w:val="007642B6"/>
    <w:rsid w:val="007661C8"/>
    <w:rsid w:val="0076724B"/>
    <w:rsid w:val="007701EF"/>
    <w:rsid w:val="007704A3"/>
    <w:rsid w:val="007A39A2"/>
    <w:rsid w:val="007A797E"/>
    <w:rsid w:val="007B0C50"/>
    <w:rsid w:val="007C1A43"/>
    <w:rsid w:val="007C513A"/>
    <w:rsid w:val="007C7A8F"/>
    <w:rsid w:val="007D48EE"/>
    <w:rsid w:val="007F0EB0"/>
    <w:rsid w:val="007F2228"/>
    <w:rsid w:val="00810C0F"/>
    <w:rsid w:val="0081137F"/>
    <w:rsid w:val="00813288"/>
    <w:rsid w:val="008168FC"/>
    <w:rsid w:val="008213E3"/>
    <w:rsid w:val="00825DB1"/>
    <w:rsid w:val="008267D8"/>
    <w:rsid w:val="00830D6C"/>
    <w:rsid w:val="00832944"/>
    <w:rsid w:val="00836CE9"/>
    <w:rsid w:val="00842DAF"/>
    <w:rsid w:val="00845F5E"/>
    <w:rsid w:val="00852B94"/>
    <w:rsid w:val="00852CBD"/>
    <w:rsid w:val="00855743"/>
    <w:rsid w:val="008666FA"/>
    <w:rsid w:val="00867011"/>
    <w:rsid w:val="0087637F"/>
    <w:rsid w:val="00877421"/>
    <w:rsid w:val="00883E1B"/>
    <w:rsid w:val="008853E8"/>
    <w:rsid w:val="00886344"/>
    <w:rsid w:val="00891944"/>
    <w:rsid w:val="008A110C"/>
    <w:rsid w:val="008A1512"/>
    <w:rsid w:val="008A560D"/>
    <w:rsid w:val="008B1353"/>
    <w:rsid w:val="008B2BAA"/>
    <w:rsid w:val="008B6C00"/>
    <w:rsid w:val="008C5F43"/>
    <w:rsid w:val="008D0F94"/>
    <w:rsid w:val="008D2FC6"/>
    <w:rsid w:val="008D3BD2"/>
    <w:rsid w:val="008E566E"/>
    <w:rsid w:val="008E707F"/>
    <w:rsid w:val="008F56B5"/>
    <w:rsid w:val="00901EB6"/>
    <w:rsid w:val="00905EB4"/>
    <w:rsid w:val="00926FF6"/>
    <w:rsid w:val="009450CE"/>
    <w:rsid w:val="0095164B"/>
    <w:rsid w:val="009578D2"/>
    <w:rsid w:val="009620AE"/>
    <w:rsid w:val="0096343A"/>
    <w:rsid w:val="00964DF5"/>
    <w:rsid w:val="0098083C"/>
    <w:rsid w:val="00996483"/>
    <w:rsid w:val="00996D93"/>
    <w:rsid w:val="00996F5A"/>
    <w:rsid w:val="00997FFA"/>
    <w:rsid w:val="009A1B10"/>
    <w:rsid w:val="009A3A62"/>
    <w:rsid w:val="009A48CE"/>
    <w:rsid w:val="009A6FA5"/>
    <w:rsid w:val="009B041A"/>
    <w:rsid w:val="009B4783"/>
    <w:rsid w:val="009C7FCC"/>
    <w:rsid w:val="009D16A5"/>
    <w:rsid w:val="009D36DB"/>
    <w:rsid w:val="009D4BC9"/>
    <w:rsid w:val="009E5094"/>
    <w:rsid w:val="009E788A"/>
    <w:rsid w:val="009F6FE5"/>
    <w:rsid w:val="00A00802"/>
    <w:rsid w:val="00A0216D"/>
    <w:rsid w:val="00A10C5B"/>
    <w:rsid w:val="00A1763D"/>
    <w:rsid w:val="00A17CEC"/>
    <w:rsid w:val="00A24E02"/>
    <w:rsid w:val="00A24E5E"/>
    <w:rsid w:val="00A27C3C"/>
    <w:rsid w:val="00A27EF0"/>
    <w:rsid w:val="00A32965"/>
    <w:rsid w:val="00A32D1F"/>
    <w:rsid w:val="00A33F86"/>
    <w:rsid w:val="00A345B8"/>
    <w:rsid w:val="00A41CB5"/>
    <w:rsid w:val="00A422A3"/>
    <w:rsid w:val="00A46BEE"/>
    <w:rsid w:val="00A4788A"/>
    <w:rsid w:val="00A52F1C"/>
    <w:rsid w:val="00A52F81"/>
    <w:rsid w:val="00A53CF4"/>
    <w:rsid w:val="00A54F39"/>
    <w:rsid w:val="00A6081A"/>
    <w:rsid w:val="00A61C2E"/>
    <w:rsid w:val="00A64590"/>
    <w:rsid w:val="00A745B4"/>
    <w:rsid w:val="00A76EFC"/>
    <w:rsid w:val="00A77E22"/>
    <w:rsid w:val="00A83CB8"/>
    <w:rsid w:val="00A86703"/>
    <w:rsid w:val="00A873E4"/>
    <w:rsid w:val="00A97F29"/>
    <w:rsid w:val="00AA64A4"/>
    <w:rsid w:val="00AB0964"/>
    <w:rsid w:val="00AD6FFC"/>
    <w:rsid w:val="00AD71E8"/>
    <w:rsid w:val="00AE1CFB"/>
    <w:rsid w:val="00AE213D"/>
    <w:rsid w:val="00AE2E2D"/>
    <w:rsid w:val="00AE377D"/>
    <w:rsid w:val="00AF025B"/>
    <w:rsid w:val="00AF718D"/>
    <w:rsid w:val="00B0072E"/>
    <w:rsid w:val="00B0145C"/>
    <w:rsid w:val="00B1741E"/>
    <w:rsid w:val="00B17FBD"/>
    <w:rsid w:val="00B227D4"/>
    <w:rsid w:val="00B2350D"/>
    <w:rsid w:val="00B24196"/>
    <w:rsid w:val="00B368B3"/>
    <w:rsid w:val="00B44489"/>
    <w:rsid w:val="00B50898"/>
    <w:rsid w:val="00B51520"/>
    <w:rsid w:val="00B52C18"/>
    <w:rsid w:val="00B60245"/>
    <w:rsid w:val="00B6471D"/>
    <w:rsid w:val="00B649A9"/>
    <w:rsid w:val="00B70F19"/>
    <w:rsid w:val="00B9526E"/>
    <w:rsid w:val="00BA102D"/>
    <w:rsid w:val="00BB2BE0"/>
    <w:rsid w:val="00BB36B9"/>
    <w:rsid w:val="00BC30C9"/>
    <w:rsid w:val="00BC7447"/>
    <w:rsid w:val="00BD0B73"/>
    <w:rsid w:val="00BE3E58"/>
    <w:rsid w:val="00BE7A08"/>
    <w:rsid w:val="00BF7EA3"/>
    <w:rsid w:val="00C01616"/>
    <w:rsid w:val="00C0162B"/>
    <w:rsid w:val="00C345B1"/>
    <w:rsid w:val="00C40142"/>
    <w:rsid w:val="00C45611"/>
    <w:rsid w:val="00C4587F"/>
    <w:rsid w:val="00C47099"/>
    <w:rsid w:val="00C472FB"/>
    <w:rsid w:val="00C55BEA"/>
    <w:rsid w:val="00C57182"/>
    <w:rsid w:val="00C6279D"/>
    <w:rsid w:val="00C638F5"/>
    <w:rsid w:val="00C655FD"/>
    <w:rsid w:val="00C676A6"/>
    <w:rsid w:val="00C725D4"/>
    <w:rsid w:val="00C761E6"/>
    <w:rsid w:val="00C76E89"/>
    <w:rsid w:val="00C82E55"/>
    <w:rsid w:val="00C84481"/>
    <w:rsid w:val="00C849EE"/>
    <w:rsid w:val="00C85F5A"/>
    <w:rsid w:val="00C94434"/>
    <w:rsid w:val="00CA1C95"/>
    <w:rsid w:val="00CA5A9C"/>
    <w:rsid w:val="00CA7112"/>
    <w:rsid w:val="00CC4610"/>
    <w:rsid w:val="00CC5EFE"/>
    <w:rsid w:val="00CD4435"/>
    <w:rsid w:val="00CD4514"/>
    <w:rsid w:val="00CD5FE2"/>
    <w:rsid w:val="00CE0DCD"/>
    <w:rsid w:val="00CE6341"/>
    <w:rsid w:val="00CE7A71"/>
    <w:rsid w:val="00D003CE"/>
    <w:rsid w:val="00D02B4C"/>
    <w:rsid w:val="00D03BC7"/>
    <w:rsid w:val="00D05EF8"/>
    <w:rsid w:val="00D0788F"/>
    <w:rsid w:val="00D104C9"/>
    <w:rsid w:val="00D129F4"/>
    <w:rsid w:val="00D175BE"/>
    <w:rsid w:val="00D26C98"/>
    <w:rsid w:val="00D27F37"/>
    <w:rsid w:val="00D34327"/>
    <w:rsid w:val="00D409C9"/>
    <w:rsid w:val="00D515AA"/>
    <w:rsid w:val="00D63B3E"/>
    <w:rsid w:val="00D7187E"/>
    <w:rsid w:val="00D73AB1"/>
    <w:rsid w:val="00D76BD7"/>
    <w:rsid w:val="00D81727"/>
    <w:rsid w:val="00D81ECE"/>
    <w:rsid w:val="00D84576"/>
    <w:rsid w:val="00DB282A"/>
    <w:rsid w:val="00DB65AC"/>
    <w:rsid w:val="00DC5C00"/>
    <w:rsid w:val="00DD1FD8"/>
    <w:rsid w:val="00DD3282"/>
    <w:rsid w:val="00DE264A"/>
    <w:rsid w:val="00DE5787"/>
    <w:rsid w:val="00DE6D64"/>
    <w:rsid w:val="00DE6D8D"/>
    <w:rsid w:val="00DE77C5"/>
    <w:rsid w:val="00DF05FA"/>
    <w:rsid w:val="00DF1B3A"/>
    <w:rsid w:val="00DF3086"/>
    <w:rsid w:val="00E02632"/>
    <w:rsid w:val="00E041E7"/>
    <w:rsid w:val="00E04FAF"/>
    <w:rsid w:val="00E112BF"/>
    <w:rsid w:val="00E14383"/>
    <w:rsid w:val="00E16BA3"/>
    <w:rsid w:val="00E175B0"/>
    <w:rsid w:val="00E17C31"/>
    <w:rsid w:val="00E23CA1"/>
    <w:rsid w:val="00E26CD2"/>
    <w:rsid w:val="00E346CC"/>
    <w:rsid w:val="00E364FC"/>
    <w:rsid w:val="00E406D4"/>
    <w:rsid w:val="00E409A8"/>
    <w:rsid w:val="00E46D4A"/>
    <w:rsid w:val="00E52BCD"/>
    <w:rsid w:val="00E61D5D"/>
    <w:rsid w:val="00E67EA7"/>
    <w:rsid w:val="00E7209D"/>
    <w:rsid w:val="00E773A2"/>
    <w:rsid w:val="00E81003"/>
    <w:rsid w:val="00E8718F"/>
    <w:rsid w:val="00E87683"/>
    <w:rsid w:val="00E973F2"/>
    <w:rsid w:val="00EA622B"/>
    <w:rsid w:val="00EB5BCF"/>
    <w:rsid w:val="00EC0687"/>
    <w:rsid w:val="00ED208A"/>
    <w:rsid w:val="00ED33B2"/>
    <w:rsid w:val="00ED3584"/>
    <w:rsid w:val="00EE0131"/>
    <w:rsid w:val="00EE17D1"/>
    <w:rsid w:val="00EE2EBE"/>
    <w:rsid w:val="00EF3C2A"/>
    <w:rsid w:val="00EF6D1E"/>
    <w:rsid w:val="00F05D76"/>
    <w:rsid w:val="00F06FDF"/>
    <w:rsid w:val="00F15575"/>
    <w:rsid w:val="00F266B4"/>
    <w:rsid w:val="00F30C64"/>
    <w:rsid w:val="00F353B9"/>
    <w:rsid w:val="00F56432"/>
    <w:rsid w:val="00F707A6"/>
    <w:rsid w:val="00F75233"/>
    <w:rsid w:val="00F87716"/>
    <w:rsid w:val="00F92BF4"/>
    <w:rsid w:val="00F96C38"/>
    <w:rsid w:val="00FB0DB5"/>
    <w:rsid w:val="00FB3F4F"/>
    <w:rsid w:val="00FB4483"/>
    <w:rsid w:val="00FB730C"/>
    <w:rsid w:val="00FB7950"/>
    <w:rsid w:val="00FC2695"/>
    <w:rsid w:val="00FC2860"/>
    <w:rsid w:val="00FC3E03"/>
    <w:rsid w:val="00FD26C6"/>
    <w:rsid w:val="00FD5FD4"/>
    <w:rsid w:val="00FE17A6"/>
    <w:rsid w:val="00FE2653"/>
    <w:rsid w:val="00FE544C"/>
    <w:rsid w:val="00FE58CB"/>
    <w:rsid w:val="00FE67EA"/>
    <w:rsid w:val="00FF537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E0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uiPriority="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uiPriority="59"/>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e">
    <w:name w:val="Normal"/>
    <w:aliases w:val="CET Top_page"/>
    <w:rsid w:val="00D63B3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locked/>
    <w:rsid w:val="000E414A"/>
    <w:pPr>
      <w:numPr>
        <w:ilvl w:val="3"/>
        <w:numId w:val="1"/>
      </w:numPr>
      <w:spacing w:after="0" w:line="264" w:lineRule="auto"/>
      <w:ind w:left="0"/>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attere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atterepredefinitoparagrafo"/>
    <w:link w:val="Corpodeltesto3"/>
    <w:uiPriority w:val="99"/>
    <w:semiHidden/>
    <w:rsid w:val="0003148D"/>
    <w:rPr>
      <w:sz w:val="16"/>
      <w:szCs w:val="16"/>
    </w:rPr>
  </w:style>
  <w:style w:type="paragraph" w:styleId="Corpodeltesto">
    <w:name w:val="Body Text"/>
    <w:basedOn w:val="Normale"/>
    <w:link w:val="CorpodeltestoCarattere"/>
    <w:uiPriority w:val="99"/>
    <w:semiHidden/>
    <w:unhideWhenUsed/>
    <w:rsid w:val="0003148D"/>
    <w:pPr>
      <w:spacing w:after="120"/>
    </w:pPr>
  </w:style>
  <w:style w:type="character" w:customStyle="1" w:styleId="CorpodeltestoCarattere">
    <w:name w:val="Corpo del testo Carattere"/>
    <w:basedOn w:val="Caratterepredefinitoparagrafo"/>
    <w:link w:val="Corpodel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attere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attere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attere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attere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attere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attere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attere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attere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attere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attere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del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del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attere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attere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attere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attere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Bloccoditest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attere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attere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attere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atterepredefinitoparagrafo"/>
    <w:link w:val="Testonotadichiusura"/>
    <w:uiPriority w:val="99"/>
    <w:semiHidden/>
    <w:rsid w:val="0003148D"/>
    <w:rPr>
      <w:sz w:val="20"/>
      <w:szCs w:val="20"/>
    </w:rPr>
  </w:style>
  <w:style w:type="character" w:customStyle="1" w:styleId="Titolo1Carattere">
    <w:name w:val="Titolo 1 Carattere"/>
    <w:basedOn w:val="Carattere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attere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attere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attere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attere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attere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attere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attere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attere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attere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atterepredefinitoparagrafo"/>
    <w:link w:val="Intestazione"/>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tbodytext0">
    <w:name w:val="cetbodytext"/>
    <w:basedOn w:val="Normale"/>
    <w:rsid w:val="00761BAA"/>
    <w:pPr>
      <w:tabs>
        <w:tab w:val="clear" w:pos="7100"/>
      </w:tabs>
      <w:spacing w:before="100" w:beforeAutospacing="1" w:after="100" w:afterAutospacing="1" w:line="240" w:lineRule="auto"/>
      <w:jc w:val="left"/>
    </w:pPr>
    <w:rPr>
      <w:rFonts w:ascii="Times New Roman" w:hAnsi="Times New Roman"/>
      <w:sz w:val="24"/>
      <w:szCs w:val="24"/>
      <w:lang w:val="en-US"/>
    </w:rPr>
  </w:style>
  <w:style w:type="paragraph" w:styleId="Paragrafoelenco">
    <w:name w:val="List Paragraph"/>
    <w:basedOn w:val="Normale"/>
    <w:uiPriority w:val="34"/>
    <w:qFormat/>
    <w:locked/>
    <w:rsid w:val="00190D14"/>
    <w:pPr>
      <w:ind w:left="720"/>
      <w:contextualSpacing/>
    </w:pPr>
  </w:style>
  <w:style w:type="paragraph" w:styleId="Revisione">
    <w:name w:val="Revision"/>
    <w:hidden/>
    <w:uiPriority w:val="99"/>
    <w:semiHidden/>
    <w:rsid w:val="00D409C9"/>
    <w:pPr>
      <w:spacing w:after="0" w:line="240" w:lineRule="auto"/>
    </w:pPr>
    <w:rPr>
      <w:rFonts w:ascii="Arial" w:eastAsia="Times New Roman" w:hAnsi="Arial" w:cs="Times New Roman"/>
      <w:sz w:val="18"/>
      <w:szCs w:val="20"/>
      <w:lang w:val="en-GB"/>
    </w:rPr>
  </w:style>
  <w:style w:type="character" w:styleId="Rimandocommento">
    <w:name w:val="annotation reference"/>
    <w:basedOn w:val="Caratterepredefinitoparagrafo"/>
    <w:uiPriority w:val="99"/>
    <w:semiHidden/>
    <w:unhideWhenUsed/>
    <w:locked/>
    <w:rsid w:val="005A66D8"/>
    <w:rPr>
      <w:sz w:val="16"/>
      <w:szCs w:val="16"/>
    </w:rPr>
  </w:style>
  <w:style w:type="character" w:styleId="Collegamentoipertestuale">
    <w:name w:val="Hyperlink"/>
    <w:basedOn w:val="Caratterepredefinitoparagrafo"/>
    <w:uiPriority w:val="99"/>
    <w:unhideWhenUsed/>
    <w:locked/>
    <w:rsid w:val="00ED208A"/>
    <w:rPr>
      <w:color w:val="0000FF" w:themeColor="hyperlink"/>
      <w:u w:val="single"/>
    </w:rPr>
  </w:style>
  <w:style w:type="character" w:styleId="Testosegnaposto">
    <w:name w:val="Placeholder Text"/>
    <w:basedOn w:val="Caratterepredefinitoparagrafo"/>
    <w:uiPriority w:val="99"/>
    <w:semiHidden/>
    <w:locked/>
    <w:rsid w:val="00B368B3"/>
    <w:rPr>
      <w:color w:val="808080"/>
    </w:rPr>
  </w:style>
  <w:style w:type="character" w:styleId="Collegamentovisitato">
    <w:name w:val="FollowedHyperlink"/>
    <w:basedOn w:val="Caratterepredefinitoparagrafo"/>
    <w:uiPriority w:val="99"/>
    <w:semiHidden/>
    <w:unhideWhenUsed/>
    <w:locked/>
    <w:rsid w:val="005E1DBE"/>
    <w:rPr>
      <w:color w:val="800080" w:themeColor="followedHyperlink"/>
      <w:u w:val="single"/>
    </w:rPr>
  </w:style>
  <w:style w:type="paragraph" w:customStyle="1" w:styleId="CETTabletitle">
    <w:name w:val="CET Table title"/>
    <w:qFormat/>
    <w:rsid w:val="008A110C"/>
    <w:pPr>
      <w:keepNext/>
      <w:spacing w:before="240" w:after="80" w:line="240" w:lineRule="exact"/>
    </w:pPr>
    <w:rPr>
      <w:rFonts w:ascii="Arial" w:eastAsia="Times New Roman" w:hAnsi="Arial" w:cs="Times New Roman"/>
      <w:i/>
      <w:sz w:val="18"/>
      <w:szCs w:val="20"/>
      <w:lang w:val="en-GB"/>
    </w:rPr>
  </w:style>
  <w:style w:type="character" w:styleId="Numeroriga">
    <w:name w:val="line number"/>
    <w:basedOn w:val="Caratterepredefinitoparagrafo"/>
    <w:uiPriority w:val="99"/>
    <w:semiHidden/>
    <w:unhideWhenUsed/>
    <w:locked/>
    <w:rsid w:val="00EB5B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uiPriority="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uiPriority="59"/>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e">
    <w:name w:val="Normal"/>
    <w:aliases w:val="CET Top_page"/>
    <w:rsid w:val="00D63B3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locked/>
    <w:rsid w:val="000E414A"/>
    <w:pPr>
      <w:numPr>
        <w:ilvl w:val="3"/>
        <w:numId w:val="1"/>
      </w:numPr>
      <w:spacing w:after="0" w:line="264" w:lineRule="auto"/>
      <w:ind w:left="0"/>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attere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atterepredefinitoparagrafo"/>
    <w:link w:val="Corpodeltesto3"/>
    <w:uiPriority w:val="99"/>
    <w:semiHidden/>
    <w:rsid w:val="0003148D"/>
    <w:rPr>
      <w:sz w:val="16"/>
      <w:szCs w:val="16"/>
    </w:rPr>
  </w:style>
  <w:style w:type="paragraph" w:styleId="Corpodeltesto">
    <w:name w:val="Body Text"/>
    <w:basedOn w:val="Normale"/>
    <w:link w:val="CorpodeltestoCarattere"/>
    <w:uiPriority w:val="99"/>
    <w:semiHidden/>
    <w:unhideWhenUsed/>
    <w:rsid w:val="0003148D"/>
    <w:pPr>
      <w:spacing w:after="120"/>
    </w:pPr>
  </w:style>
  <w:style w:type="character" w:customStyle="1" w:styleId="CorpodeltestoCarattere">
    <w:name w:val="Corpo del testo Carattere"/>
    <w:basedOn w:val="Caratterepredefinitoparagrafo"/>
    <w:link w:val="Corpodel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attere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attere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attere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attere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attere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attere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attere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attere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attere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attere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del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del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attere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attere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attere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attere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Bloccoditest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attere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attere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attere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atterepredefinitoparagrafo"/>
    <w:link w:val="Testonotadichiusura"/>
    <w:uiPriority w:val="99"/>
    <w:semiHidden/>
    <w:rsid w:val="0003148D"/>
    <w:rPr>
      <w:sz w:val="20"/>
      <w:szCs w:val="20"/>
    </w:rPr>
  </w:style>
  <w:style w:type="character" w:customStyle="1" w:styleId="Titolo1Carattere">
    <w:name w:val="Titolo 1 Carattere"/>
    <w:basedOn w:val="Carattere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attere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attere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attere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attere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attere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attere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attere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attere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attere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atterepredefinitoparagrafo"/>
    <w:link w:val="Intestazione"/>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tbodytext0">
    <w:name w:val="cetbodytext"/>
    <w:basedOn w:val="Normale"/>
    <w:rsid w:val="00761BAA"/>
    <w:pPr>
      <w:tabs>
        <w:tab w:val="clear" w:pos="7100"/>
      </w:tabs>
      <w:spacing w:before="100" w:beforeAutospacing="1" w:after="100" w:afterAutospacing="1" w:line="240" w:lineRule="auto"/>
      <w:jc w:val="left"/>
    </w:pPr>
    <w:rPr>
      <w:rFonts w:ascii="Times New Roman" w:hAnsi="Times New Roman"/>
      <w:sz w:val="24"/>
      <w:szCs w:val="24"/>
      <w:lang w:val="en-US"/>
    </w:rPr>
  </w:style>
  <w:style w:type="paragraph" w:styleId="Paragrafoelenco">
    <w:name w:val="List Paragraph"/>
    <w:basedOn w:val="Normale"/>
    <w:uiPriority w:val="34"/>
    <w:qFormat/>
    <w:locked/>
    <w:rsid w:val="00190D14"/>
    <w:pPr>
      <w:ind w:left="720"/>
      <w:contextualSpacing/>
    </w:pPr>
  </w:style>
  <w:style w:type="paragraph" w:styleId="Revisione">
    <w:name w:val="Revision"/>
    <w:hidden/>
    <w:uiPriority w:val="99"/>
    <w:semiHidden/>
    <w:rsid w:val="00D409C9"/>
    <w:pPr>
      <w:spacing w:after="0" w:line="240" w:lineRule="auto"/>
    </w:pPr>
    <w:rPr>
      <w:rFonts w:ascii="Arial" w:eastAsia="Times New Roman" w:hAnsi="Arial" w:cs="Times New Roman"/>
      <w:sz w:val="18"/>
      <w:szCs w:val="20"/>
      <w:lang w:val="en-GB"/>
    </w:rPr>
  </w:style>
  <w:style w:type="character" w:styleId="Rimandocommento">
    <w:name w:val="annotation reference"/>
    <w:basedOn w:val="Caratterepredefinitoparagrafo"/>
    <w:uiPriority w:val="99"/>
    <w:semiHidden/>
    <w:unhideWhenUsed/>
    <w:locked/>
    <w:rsid w:val="005A66D8"/>
    <w:rPr>
      <w:sz w:val="16"/>
      <w:szCs w:val="16"/>
    </w:rPr>
  </w:style>
  <w:style w:type="character" w:styleId="Collegamentoipertestuale">
    <w:name w:val="Hyperlink"/>
    <w:basedOn w:val="Caratterepredefinitoparagrafo"/>
    <w:uiPriority w:val="99"/>
    <w:unhideWhenUsed/>
    <w:locked/>
    <w:rsid w:val="00ED208A"/>
    <w:rPr>
      <w:color w:val="0000FF" w:themeColor="hyperlink"/>
      <w:u w:val="single"/>
    </w:rPr>
  </w:style>
  <w:style w:type="character" w:styleId="Testosegnaposto">
    <w:name w:val="Placeholder Text"/>
    <w:basedOn w:val="Caratterepredefinitoparagrafo"/>
    <w:uiPriority w:val="99"/>
    <w:semiHidden/>
    <w:locked/>
    <w:rsid w:val="00B368B3"/>
    <w:rPr>
      <w:color w:val="808080"/>
    </w:rPr>
  </w:style>
  <w:style w:type="character" w:styleId="Collegamentovisitato">
    <w:name w:val="FollowedHyperlink"/>
    <w:basedOn w:val="Caratterepredefinitoparagrafo"/>
    <w:uiPriority w:val="99"/>
    <w:semiHidden/>
    <w:unhideWhenUsed/>
    <w:locked/>
    <w:rsid w:val="005E1DBE"/>
    <w:rPr>
      <w:color w:val="800080" w:themeColor="followedHyperlink"/>
      <w:u w:val="single"/>
    </w:rPr>
  </w:style>
  <w:style w:type="paragraph" w:customStyle="1" w:styleId="CETTabletitle">
    <w:name w:val="CET Table title"/>
    <w:qFormat/>
    <w:rsid w:val="008A110C"/>
    <w:pPr>
      <w:keepNext/>
      <w:spacing w:before="240" w:after="80" w:line="240" w:lineRule="exact"/>
    </w:pPr>
    <w:rPr>
      <w:rFonts w:ascii="Arial" w:eastAsia="Times New Roman" w:hAnsi="Arial" w:cs="Times New Roman"/>
      <w:i/>
      <w:sz w:val="18"/>
      <w:szCs w:val="20"/>
      <w:lang w:val="en-GB"/>
    </w:rPr>
  </w:style>
  <w:style w:type="character" w:styleId="Numeroriga">
    <w:name w:val="line number"/>
    <w:basedOn w:val="Caratterepredefinitoparagrafo"/>
    <w:uiPriority w:val="99"/>
    <w:semiHidden/>
    <w:unhideWhenUsed/>
    <w:locked/>
    <w:rsid w:val="00EB5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9337">
      <w:bodyDiv w:val="1"/>
      <w:marLeft w:val="0"/>
      <w:marRight w:val="0"/>
      <w:marTop w:val="0"/>
      <w:marBottom w:val="0"/>
      <w:divBdr>
        <w:top w:val="none" w:sz="0" w:space="0" w:color="auto"/>
        <w:left w:val="none" w:sz="0" w:space="0" w:color="auto"/>
        <w:bottom w:val="none" w:sz="0" w:space="0" w:color="auto"/>
        <w:right w:val="none" w:sz="0" w:space="0" w:color="auto"/>
      </w:divBdr>
    </w:div>
    <w:div w:id="141894257">
      <w:bodyDiv w:val="1"/>
      <w:marLeft w:val="0"/>
      <w:marRight w:val="0"/>
      <w:marTop w:val="0"/>
      <w:marBottom w:val="0"/>
      <w:divBdr>
        <w:top w:val="none" w:sz="0" w:space="0" w:color="auto"/>
        <w:left w:val="none" w:sz="0" w:space="0" w:color="auto"/>
        <w:bottom w:val="none" w:sz="0" w:space="0" w:color="auto"/>
        <w:right w:val="none" w:sz="0" w:space="0" w:color="auto"/>
      </w:divBdr>
    </w:div>
    <w:div w:id="182327880">
      <w:bodyDiv w:val="1"/>
      <w:marLeft w:val="0"/>
      <w:marRight w:val="0"/>
      <w:marTop w:val="0"/>
      <w:marBottom w:val="0"/>
      <w:divBdr>
        <w:top w:val="none" w:sz="0" w:space="0" w:color="auto"/>
        <w:left w:val="none" w:sz="0" w:space="0" w:color="auto"/>
        <w:bottom w:val="none" w:sz="0" w:space="0" w:color="auto"/>
        <w:right w:val="none" w:sz="0" w:space="0" w:color="auto"/>
      </w:divBdr>
    </w:div>
    <w:div w:id="259532997">
      <w:bodyDiv w:val="1"/>
      <w:marLeft w:val="0"/>
      <w:marRight w:val="0"/>
      <w:marTop w:val="0"/>
      <w:marBottom w:val="0"/>
      <w:divBdr>
        <w:top w:val="none" w:sz="0" w:space="0" w:color="auto"/>
        <w:left w:val="none" w:sz="0" w:space="0" w:color="auto"/>
        <w:bottom w:val="none" w:sz="0" w:space="0" w:color="auto"/>
        <w:right w:val="none" w:sz="0" w:space="0" w:color="auto"/>
      </w:divBdr>
    </w:div>
    <w:div w:id="261651867">
      <w:bodyDiv w:val="1"/>
      <w:marLeft w:val="0"/>
      <w:marRight w:val="0"/>
      <w:marTop w:val="0"/>
      <w:marBottom w:val="0"/>
      <w:divBdr>
        <w:top w:val="none" w:sz="0" w:space="0" w:color="auto"/>
        <w:left w:val="none" w:sz="0" w:space="0" w:color="auto"/>
        <w:bottom w:val="none" w:sz="0" w:space="0" w:color="auto"/>
        <w:right w:val="none" w:sz="0" w:space="0" w:color="auto"/>
      </w:divBdr>
    </w:div>
    <w:div w:id="369451068">
      <w:bodyDiv w:val="1"/>
      <w:marLeft w:val="0"/>
      <w:marRight w:val="0"/>
      <w:marTop w:val="0"/>
      <w:marBottom w:val="0"/>
      <w:divBdr>
        <w:top w:val="none" w:sz="0" w:space="0" w:color="auto"/>
        <w:left w:val="none" w:sz="0" w:space="0" w:color="auto"/>
        <w:bottom w:val="none" w:sz="0" w:space="0" w:color="auto"/>
        <w:right w:val="none" w:sz="0" w:space="0" w:color="auto"/>
      </w:divBdr>
    </w:div>
    <w:div w:id="920674859">
      <w:bodyDiv w:val="1"/>
      <w:marLeft w:val="0"/>
      <w:marRight w:val="0"/>
      <w:marTop w:val="0"/>
      <w:marBottom w:val="0"/>
      <w:divBdr>
        <w:top w:val="none" w:sz="0" w:space="0" w:color="auto"/>
        <w:left w:val="none" w:sz="0" w:space="0" w:color="auto"/>
        <w:bottom w:val="none" w:sz="0" w:space="0" w:color="auto"/>
        <w:right w:val="none" w:sz="0" w:space="0" w:color="auto"/>
      </w:divBdr>
    </w:div>
    <w:div w:id="1065640848">
      <w:bodyDiv w:val="1"/>
      <w:marLeft w:val="0"/>
      <w:marRight w:val="0"/>
      <w:marTop w:val="0"/>
      <w:marBottom w:val="0"/>
      <w:divBdr>
        <w:top w:val="none" w:sz="0" w:space="0" w:color="auto"/>
        <w:left w:val="none" w:sz="0" w:space="0" w:color="auto"/>
        <w:bottom w:val="none" w:sz="0" w:space="0" w:color="auto"/>
        <w:right w:val="none" w:sz="0" w:space="0" w:color="auto"/>
      </w:divBdr>
    </w:div>
    <w:div w:id="1150099133">
      <w:bodyDiv w:val="1"/>
      <w:marLeft w:val="0"/>
      <w:marRight w:val="0"/>
      <w:marTop w:val="0"/>
      <w:marBottom w:val="0"/>
      <w:divBdr>
        <w:top w:val="none" w:sz="0" w:space="0" w:color="auto"/>
        <w:left w:val="none" w:sz="0" w:space="0" w:color="auto"/>
        <w:bottom w:val="none" w:sz="0" w:space="0" w:color="auto"/>
        <w:right w:val="none" w:sz="0" w:space="0" w:color="auto"/>
      </w:divBdr>
    </w:div>
    <w:div w:id="1176388132">
      <w:bodyDiv w:val="1"/>
      <w:marLeft w:val="0"/>
      <w:marRight w:val="0"/>
      <w:marTop w:val="0"/>
      <w:marBottom w:val="0"/>
      <w:divBdr>
        <w:top w:val="none" w:sz="0" w:space="0" w:color="auto"/>
        <w:left w:val="none" w:sz="0" w:space="0" w:color="auto"/>
        <w:bottom w:val="none" w:sz="0" w:space="0" w:color="auto"/>
        <w:right w:val="none" w:sz="0" w:space="0" w:color="auto"/>
      </w:divBdr>
    </w:div>
    <w:div w:id="1197810218">
      <w:bodyDiv w:val="1"/>
      <w:marLeft w:val="0"/>
      <w:marRight w:val="0"/>
      <w:marTop w:val="0"/>
      <w:marBottom w:val="0"/>
      <w:divBdr>
        <w:top w:val="none" w:sz="0" w:space="0" w:color="auto"/>
        <w:left w:val="none" w:sz="0" w:space="0" w:color="auto"/>
        <w:bottom w:val="none" w:sz="0" w:space="0" w:color="auto"/>
        <w:right w:val="none" w:sz="0" w:space="0" w:color="auto"/>
      </w:divBdr>
    </w:div>
    <w:div w:id="1221215291">
      <w:bodyDiv w:val="1"/>
      <w:marLeft w:val="0"/>
      <w:marRight w:val="0"/>
      <w:marTop w:val="0"/>
      <w:marBottom w:val="0"/>
      <w:divBdr>
        <w:top w:val="none" w:sz="0" w:space="0" w:color="auto"/>
        <w:left w:val="none" w:sz="0" w:space="0" w:color="auto"/>
        <w:bottom w:val="none" w:sz="0" w:space="0" w:color="auto"/>
        <w:right w:val="none" w:sz="0" w:space="0" w:color="auto"/>
      </w:divBdr>
    </w:div>
    <w:div w:id="1353069226">
      <w:bodyDiv w:val="1"/>
      <w:marLeft w:val="0"/>
      <w:marRight w:val="0"/>
      <w:marTop w:val="0"/>
      <w:marBottom w:val="0"/>
      <w:divBdr>
        <w:top w:val="none" w:sz="0" w:space="0" w:color="auto"/>
        <w:left w:val="none" w:sz="0" w:space="0" w:color="auto"/>
        <w:bottom w:val="none" w:sz="0" w:space="0" w:color="auto"/>
        <w:right w:val="none" w:sz="0" w:space="0" w:color="auto"/>
      </w:divBdr>
      <w:divsChild>
        <w:div w:id="1046492055">
          <w:marLeft w:val="0"/>
          <w:marRight w:val="0"/>
          <w:marTop w:val="0"/>
          <w:marBottom w:val="0"/>
          <w:divBdr>
            <w:top w:val="none" w:sz="0" w:space="0" w:color="auto"/>
            <w:left w:val="none" w:sz="0" w:space="0" w:color="auto"/>
            <w:bottom w:val="none" w:sz="0" w:space="0" w:color="auto"/>
            <w:right w:val="none" w:sz="0" w:space="0" w:color="auto"/>
          </w:divBdr>
          <w:divsChild>
            <w:div w:id="656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6799">
      <w:bodyDiv w:val="1"/>
      <w:marLeft w:val="0"/>
      <w:marRight w:val="0"/>
      <w:marTop w:val="0"/>
      <w:marBottom w:val="0"/>
      <w:divBdr>
        <w:top w:val="none" w:sz="0" w:space="0" w:color="auto"/>
        <w:left w:val="none" w:sz="0" w:space="0" w:color="auto"/>
        <w:bottom w:val="none" w:sz="0" w:space="0" w:color="auto"/>
        <w:right w:val="none" w:sz="0" w:space="0" w:color="auto"/>
      </w:divBdr>
    </w:div>
    <w:div w:id="1475028584">
      <w:bodyDiv w:val="1"/>
      <w:marLeft w:val="0"/>
      <w:marRight w:val="0"/>
      <w:marTop w:val="0"/>
      <w:marBottom w:val="0"/>
      <w:divBdr>
        <w:top w:val="none" w:sz="0" w:space="0" w:color="auto"/>
        <w:left w:val="none" w:sz="0" w:space="0" w:color="auto"/>
        <w:bottom w:val="none" w:sz="0" w:space="0" w:color="auto"/>
        <w:right w:val="none" w:sz="0" w:space="0" w:color="auto"/>
      </w:divBdr>
    </w:div>
    <w:div w:id="1681734731">
      <w:bodyDiv w:val="1"/>
      <w:marLeft w:val="0"/>
      <w:marRight w:val="0"/>
      <w:marTop w:val="0"/>
      <w:marBottom w:val="0"/>
      <w:divBdr>
        <w:top w:val="none" w:sz="0" w:space="0" w:color="auto"/>
        <w:left w:val="none" w:sz="0" w:space="0" w:color="auto"/>
        <w:bottom w:val="none" w:sz="0" w:space="0" w:color="auto"/>
        <w:right w:val="none" w:sz="0" w:space="0" w:color="auto"/>
      </w:divBdr>
    </w:div>
    <w:div w:id="1702168625">
      <w:bodyDiv w:val="1"/>
      <w:marLeft w:val="0"/>
      <w:marRight w:val="0"/>
      <w:marTop w:val="0"/>
      <w:marBottom w:val="0"/>
      <w:divBdr>
        <w:top w:val="none" w:sz="0" w:space="0" w:color="auto"/>
        <w:left w:val="none" w:sz="0" w:space="0" w:color="auto"/>
        <w:bottom w:val="none" w:sz="0" w:space="0" w:color="auto"/>
        <w:right w:val="none" w:sz="0" w:space="0" w:color="auto"/>
      </w:divBdr>
    </w:div>
    <w:div w:id="1891770103">
      <w:bodyDiv w:val="1"/>
      <w:marLeft w:val="0"/>
      <w:marRight w:val="0"/>
      <w:marTop w:val="0"/>
      <w:marBottom w:val="0"/>
      <w:divBdr>
        <w:top w:val="none" w:sz="0" w:space="0" w:color="auto"/>
        <w:left w:val="none" w:sz="0" w:space="0" w:color="auto"/>
        <w:bottom w:val="none" w:sz="0" w:space="0" w:color="auto"/>
        <w:right w:val="none" w:sz="0" w:space="0" w:color="auto"/>
      </w:divBdr>
    </w:div>
    <w:div w:id="1948006068">
      <w:bodyDiv w:val="1"/>
      <w:marLeft w:val="0"/>
      <w:marRight w:val="0"/>
      <w:marTop w:val="0"/>
      <w:marBottom w:val="0"/>
      <w:divBdr>
        <w:top w:val="none" w:sz="0" w:space="0" w:color="auto"/>
        <w:left w:val="none" w:sz="0" w:space="0" w:color="auto"/>
        <w:bottom w:val="none" w:sz="0" w:space="0" w:color="auto"/>
        <w:right w:val="none" w:sz="0" w:space="0" w:color="auto"/>
      </w:divBdr>
    </w:div>
    <w:div w:id="1991398719">
      <w:bodyDiv w:val="1"/>
      <w:marLeft w:val="0"/>
      <w:marRight w:val="0"/>
      <w:marTop w:val="0"/>
      <w:marBottom w:val="0"/>
      <w:divBdr>
        <w:top w:val="none" w:sz="0" w:space="0" w:color="auto"/>
        <w:left w:val="none" w:sz="0" w:space="0" w:color="auto"/>
        <w:bottom w:val="none" w:sz="0" w:space="0" w:color="auto"/>
        <w:right w:val="none" w:sz="0" w:space="0" w:color="auto"/>
      </w:divBdr>
    </w:div>
    <w:div w:id="2031444079">
      <w:bodyDiv w:val="1"/>
      <w:marLeft w:val="0"/>
      <w:marRight w:val="0"/>
      <w:marTop w:val="0"/>
      <w:marBottom w:val="0"/>
      <w:divBdr>
        <w:top w:val="none" w:sz="0" w:space="0" w:color="auto"/>
        <w:left w:val="none" w:sz="0" w:space="0" w:color="auto"/>
        <w:bottom w:val="none" w:sz="0" w:space="0" w:color="auto"/>
        <w:right w:val="none" w:sz="0" w:space="0" w:color="auto"/>
      </w:divBdr>
    </w:div>
    <w:div w:id="212942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3D9C-139D-B143-A44D-890A7080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3099</Words>
  <Characters>17670</Characters>
  <Application>Microsoft Macintosh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20728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Francesca</cp:lastModifiedBy>
  <cp:revision>70</cp:revision>
  <cp:lastPrinted>2015-05-12T18:31:00Z</cp:lastPrinted>
  <dcterms:created xsi:type="dcterms:W3CDTF">2019-02-15T11:26:00Z</dcterms:created>
  <dcterms:modified xsi:type="dcterms:W3CDTF">2019-04-09T16:18:00Z</dcterms:modified>
</cp:coreProperties>
</file>