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14:paraId="7494FE6B" w14:textId="77777777">
        <w:trPr>
          <w:trHeight w:val="852"/>
          <w:jc w:val="center"/>
        </w:trPr>
        <w:tc>
          <w:tcPr>
            <w:tcW w:w="6946" w:type="dxa"/>
            <w:vMerge w:val="restart"/>
            <w:tcBorders>
              <w:right w:val="single" w:sz="4" w:space="0" w:color="auto"/>
            </w:tcBorders>
          </w:tcPr>
          <w:p w14:paraId="45536417"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34E2437F" wp14:editId="674427D1">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2B338F1D" w14:textId="77777777" w:rsidR="000A03B2" w:rsidRPr="00B57B36" w:rsidRDefault="00A76EFC" w:rsidP="009635B9">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7931FA">
              <w:rPr>
                <w:rFonts w:cs="Arial"/>
                <w:b/>
                <w:bCs/>
                <w:i/>
                <w:iCs/>
                <w:color w:val="000066"/>
                <w:sz w:val="22"/>
                <w:szCs w:val="22"/>
                <w:lang w:eastAsia="it-IT"/>
              </w:rPr>
              <w:t>7</w:t>
            </w:r>
            <w:r w:rsidR="009635B9">
              <w:rPr>
                <w:rFonts w:cs="Arial"/>
                <w:b/>
                <w:bCs/>
                <w:i/>
                <w:iCs/>
                <w:color w:val="000066"/>
                <w:sz w:val="22"/>
                <w:szCs w:val="22"/>
                <w:lang w:eastAsia="it-IT"/>
              </w:rPr>
              <w:t>6</w:t>
            </w:r>
            <w:r w:rsidR="00FA5F5F">
              <w:rPr>
                <w:rFonts w:cs="Arial"/>
                <w:b/>
                <w:bCs/>
                <w:i/>
                <w:iCs/>
                <w:color w:val="000066"/>
                <w:sz w:val="22"/>
                <w:szCs w:val="22"/>
                <w:lang w:eastAsia="it-IT"/>
              </w:rPr>
              <w:t>, 201</w:t>
            </w:r>
            <w:r w:rsidR="007931FA">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14:paraId="74060D5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2739EF10" w14:textId="77777777" w:rsidR="000A03B2" w:rsidRPr="00B57B36" w:rsidRDefault="000A03B2" w:rsidP="00CD5FE2">
            <w:pPr>
              <w:jc w:val="right"/>
            </w:pPr>
            <w:r w:rsidRPr="00B57B36">
              <w:rPr>
                <w:noProof/>
                <w:lang w:val="it-IT" w:eastAsia="it-IT"/>
              </w:rPr>
              <w:drawing>
                <wp:inline distT="0" distB="0" distL="0" distR="0" wp14:anchorId="3CB85E1C" wp14:editId="07FF2234">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7DB84CDE" w14:textId="77777777">
        <w:trPr>
          <w:trHeight w:val="567"/>
          <w:jc w:val="center"/>
        </w:trPr>
        <w:tc>
          <w:tcPr>
            <w:tcW w:w="6946" w:type="dxa"/>
            <w:vMerge/>
            <w:tcBorders>
              <w:right w:val="single" w:sz="4" w:space="0" w:color="auto"/>
            </w:tcBorders>
          </w:tcPr>
          <w:p w14:paraId="12F14543"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CFACE84"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4CD17A1D" w14:textId="77777777" w:rsidR="000A03B2" w:rsidRPr="00B57B36" w:rsidRDefault="000A03B2" w:rsidP="00CD5FE2">
            <w:pPr>
              <w:spacing w:line="140" w:lineRule="atLeast"/>
              <w:jc w:val="right"/>
              <w:rPr>
                <w:rFonts w:cs="Arial"/>
                <w:sz w:val="14"/>
                <w:szCs w:val="14"/>
              </w:rPr>
            </w:pPr>
            <w:proofErr w:type="gramStart"/>
            <w:r w:rsidRPr="00B57B36">
              <w:rPr>
                <w:rFonts w:cs="Arial"/>
                <w:sz w:val="14"/>
                <w:szCs w:val="14"/>
              </w:rPr>
              <w:t>of</w:t>
            </w:r>
            <w:proofErr w:type="gramEnd"/>
            <w:r w:rsidRPr="00B57B36">
              <w:rPr>
                <w:rFonts w:cs="Arial"/>
                <w:sz w:val="14"/>
                <w:szCs w:val="14"/>
              </w:rPr>
              <w:t xml:space="preserve"> Chemical Engineering</w:t>
            </w:r>
          </w:p>
          <w:p w14:paraId="1B469469" w14:textId="77777777" w:rsidR="000A03B2" w:rsidRPr="00B57B36" w:rsidRDefault="000A03B2" w:rsidP="00162642">
            <w:pPr>
              <w:spacing w:line="140" w:lineRule="atLeast"/>
              <w:jc w:val="right"/>
              <w:rPr>
                <w:rFonts w:cs="Arial"/>
                <w:sz w:val="14"/>
                <w:szCs w:val="14"/>
              </w:rPr>
            </w:pPr>
            <w:r w:rsidRPr="00B57B36">
              <w:rPr>
                <w:rFonts w:cs="Arial"/>
                <w:sz w:val="14"/>
                <w:szCs w:val="14"/>
              </w:rPr>
              <w:t xml:space="preserve">Online at </w:t>
            </w:r>
            <w:r w:rsidR="00162642">
              <w:rPr>
                <w:rFonts w:cs="Arial"/>
                <w:sz w:val="14"/>
                <w:szCs w:val="14"/>
              </w:rPr>
              <w:t>www.cetjournal.it</w:t>
            </w:r>
          </w:p>
        </w:tc>
      </w:tr>
      <w:tr w:rsidR="000A03B2" w:rsidRPr="00B57B36" w14:paraId="0A9FE9EA" w14:textId="77777777">
        <w:trPr>
          <w:trHeight w:val="68"/>
          <w:jc w:val="center"/>
        </w:trPr>
        <w:tc>
          <w:tcPr>
            <w:tcW w:w="8789" w:type="dxa"/>
            <w:gridSpan w:val="2"/>
          </w:tcPr>
          <w:p w14:paraId="2269E0DA" w14:textId="77777777" w:rsidR="00300E56" w:rsidRPr="00252C1A" w:rsidRDefault="00300E56" w:rsidP="003365E3">
            <w:pPr>
              <w:ind w:left="-107"/>
              <w:rPr>
                <w:lang w:val="it-IT"/>
              </w:rPr>
            </w:pPr>
            <w:r w:rsidRPr="00252C1A">
              <w:rPr>
                <w:rFonts w:ascii="Tahoma" w:hAnsi="Tahoma" w:cs="Tahoma"/>
                <w:iCs/>
                <w:color w:val="333333"/>
                <w:sz w:val="14"/>
                <w:szCs w:val="14"/>
                <w:lang w:val="it-IT" w:eastAsia="it-IT"/>
              </w:rPr>
              <w:t xml:space="preserve">Guest </w:t>
            </w:r>
            <w:proofErr w:type="spellStart"/>
            <w:r w:rsidRPr="00252C1A">
              <w:rPr>
                <w:rFonts w:ascii="Tahoma" w:hAnsi="Tahoma" w:cs="Tahoma"/>
                <w:iCs/>
                <w:color w:val="333333"/>
                <w:sz w:val="14"/>
                <w:szCs w:val="14"/>
                <w:lang w:val="it-IT" w:eastAsia="it-IT"/>
              </w:rPr>
              <w:t>Editors</w:t>
            </w:r>
            <w:proofErr w:type="spellEnd"/>
            <w:r w:rsidRPr="00252C1A">
              <w:rPr>
                <w:rFonts w:ascii="Tahoma" w:hAnsi="Tahoma" w:cs="Tahoma"/>
                <w:iCs/>
                <w:color w:val="333333"/>
                <w:sz w:val="14"/>
                <w:szCs w:val="14"/>
                <w:lang w:val="it-IT" w:eastAsia="it-IT"/>
              </w:rPr>
              <w:t>:</w:t>
            </w:r>
            <w:r w:rsidR="00904C62" w:rsidRPr="00252C1A">
              <w:rPr>
                <w:rFonts w:ascii="Tahoma" w:hAnsi="Tahoma" w:cs="Tahoma"/>
                <w:iCs/>
                <w:color w:val="333333"/>
                <w:sz w:val="14"/>
                <w:szCs w:val="14"/>
                <w:lang w:val="it-IT" w:eastAsia="it-IT"/>
              </w:rPr>
              <w:t xml:space="preserve"> </w:t>
            </w:r>
            <w:r w:rsidR="009635B9" w:rsidRPr="00252C1A">
              <w:rPr>
                <w:rFonts w:ascii="Tahoma" w:hAnsi="Tahoma" w:cs="Tahoma"/>
                <w:sz w:val="14"/>
                <w:szCs w:val="14"/>
                <w:lang w:val="it-IT"/>
              </w:rPr>
              <w:t>Sauro Pierucci,</w:t>
            </w:r>
            <w:r w:rsidR="003B60F3" w:rsidRPr="00252C1A">
              <w:rPr>
                <w:rFonts w:ascii="Tahoma" w:hAnsi="Tahoma" w:cs="Tahoma"/>
                <w:sz w:val="14"/>
                <w:szCs w:val="14"/>
                <w:lang w:val="it-IT"/>
              </w:rPr>
              <w:t xml:space="preserve"> </w:t>
            </w:r>
            <w:proofErr w:type="spellStart"/>
            <w:r w:rsidR="00047D7F" w:rsidRPr="00252C1A">
              <w:rPr>
                <w:rFonts w:ascii="Tahoma" w:hAnsi="Tahoma" w:cs="Tahoma"/>
                <w:sz w:val="14"/>
                <w:szCs w:val="14"/>
                <w:shd w:val="clear" w:color="auto" w:fill="FFFFFF"/>
                <w:lang w:val="it-IT"/>
              </w:rPr>
              <w:t>Jiří</w:t>
            </w:r>
            <w:proofErr w:type="spellEnd"/>
            <w:r w:rsidR="00047D7F" w:rsidRPr="00252C1A">
              <w:rPr>
                <w:rFonts w:ascii="Tahoma" w:hAnsi="Tahoma" w:cs="Tahoma"/>
                <w:sz w:val="14"/>
                <w:szCs w:val="14"/>
                <w:shd w:val="clear" w:color="auto" w:fill="FFFFFF"/>
                <w:lang w:val="it-IT"/>
              </w:rPr>
              <w:t xml:space="preserve"> </w:t>
            </w:r>
            <w:proofErr w:type="spellStart"/>
            <w:r w:rsidR="00047D7F" w:rsidRPr="00252C1A">
              <w:rPr>
                <w:rFonts w:ascii="Tahoma" w:hAnsi="Tahoma" w:cs="Tahoma"/>
                <w:sz w:val="14"/>
                <w:szCs w:val="14"/>
                <w:shd w:val="clear" w:color="auto" w:fill="FFFFFF"/>
                <w:lang w:val="it-IT"/>
              </w:rPr>
              <w:t>Jaromír</w:t>
            </w:r>
            <w:proofErr w:type="spellEnd"/>
            <w:r w:rsidR="00047D7F" w:rsidRPr="00252C1A">
              <w:rPr>
                <w:rFonts w:ascii="Tahoma" w:hAnsi="Tahoma" w:cs="Tahoma"/>
                <w:sz w:val="14"/>
                <w:szCs w:val="14"/>
                <w:shd w:val="clear" w:color="auto" w:fill="FFFFFF"/>
                <w:lang w:val="it-IT"/>
              </w:rPr>
              <w:t xml:space="preserve"> </w:t>
            </w:r>
            <w:proofErr w:type="spellStart"/>
            <w:r w:rsidR="00047D7F" w:rsidRPr="00252C1A">
              <w:rPr>
                <w:rFonts w:ascii="Tahoma" w:hAnsi="Tahoma" w:cs="Tahoma"/>
                <w:sz w:val="14"/>
                <w:szCs w:val="14"/>
                <w:shd w:val="clear" w:color="auto" w:fill="FFFFFF"/>
                <w:lang w:val="it-IT"/>
              </w:rPr>
              <w:t>Klemeš</w:t>
            </w:r>
            <w:proofErr w:type="spellEnd"/>
            <w:r w:rsidR="00252C1A">
              <w:rPr>
                <w:rFonts w:ascii="Tahoma" w:hAnsi="Tahoma" w:cs="Tahoma"/>
                <w:sz w:val="14"/>
                <w:szCs w:val="14"/>
                <w:shd w:val="clear" w:color="auto" w:fill="FFFFFF"/>
                <w:lang w:val="it-IT"/>
              </w:rPr>
              <w:t>, Lau</w:t>
            </w:r>
            <w:r w:rsidR="00252C1A" w:rsidRPr="00252C1A">
              <w:rPr>
                <w:rFonts w:ascii="Tahoma" w:hAnsi="Tahoma" w:cs="Tahoma"/>
                <w:sz w:val="14"/>
                <w:szCs w:val="14"/>
                <w:shd w:val="clear" w:color="auto" w:fill="FFFFFF"/>
                <w:lang w:val="it-IT"/>
              </w:rPr>
              <w:t>ra Piazza</w:t>
            </w:r>
          </w:p>
          <w:p w14:paraId="52E3DCF1" w14:textId="77777777" w:rsidR="000A03B2" w:rsidRPr="00B57B36" w:rsidRDefault="00FA5F5F" w:rsidP="00131FAB">
            <w:pPr>
              <w:tabs>
                <w:tab w:val="left" w:pos="-108"/>
              </w:tabs>
              <w:spacing w:line="140" w:lineRule="atLeast"/>
              <w:ind w:left="-107"/>
              <w:jc w:val="left"/>
            </w:pPr>
            <w:r>
              <w:rPr>
                <w:rFonts w:ascii="Tahoma" w:hAnsi="Tahoma" w:cs="Tahoma"/>
                <w:iCs/>
                <w:color w:val="333333"/>
                <w:sz w:val="14"/>
                <w:szCs w:val="14"/>
                <w:lang w:eastAsia="it-IT"/>
              </w:rPr>
              <w:t>Copyright © 201</w:t>
            </w:r>
            <w:r w:rsidR="007931FA">
              <w:rPr>
                <w:rFonts w:ascii="Tahoma" w:hAnsi="Tahoma" w:cs="Tahoma"/>
                <w:iCs/>
                <w:color w:val="333333"/>
                <w:sz w:val="14"/>
                <w:szCs w:val="14"/>
                <w:lang w:eastAsia="it-IT"/>
              </w:rPr>
              <w:t>9</w:t>
            </w:r>
            <w:r w:rsidR="00904C62" w:rsidRPr="00B57B36">
              <w:rPr>
                <w:rFonts w:ascii="Tahoma" w:hAnsi="Tahoma" w:cs="Tahoma"/>
                <w:iCs/>
                <w:color w:val="333333"/>
                <w:sz w:val="14"/>
                <w:szCs w:val="14"/>
                <w:lang w:eastAsia="it-IT"/>
              </w:rPr>
              <w:t xml:space="preserve">, AIDIC </w:t>
            </w:r>
            <w:proofErr w:type="spellStart"/>
            <w:r w:rsidR="00904C62" w:rsidRPr="00B57B36">
              <w:rPr>
                <w:rFonts w:ascii="Tahoma" w:hAnsi="Tahoma" w:cs="Tahoma"/>
                <w:iCs/>
                <w:color w:val="333333"/>
                <w:sz w:val="14"/>
                <w:szCs w:val="14"/>
                <w:lang w:eastAsia="it-IT"/>
              </w:rPr>
              <w:t>Servizi</w:t>
            </w:r>
            <w:proofErr w:type="spellEnd"/>
            <w:r w:rsidR="00904C62" w:rsidRPr="00B57B36">
              <w:rPr>
                <w:rFonts w:ascii="Tahoma" w:hAnsi="Tahoma" w:cs="Tahoma"/>
                <w:iCs/>
                <w:color w:val="333333"/>
                <w:sz w:val="14"/>
                <w:szCs w:val="14"/>
                <w:lang w:eastAsia="it-IT"/>
              </w:rPr>
              <w:t xml:space="preserve"> </w:t>
            </w:r>
            <w:proofErr w:type="spellStart"/>
            <w:r w:rsidR="00904C62" w:rsidRPr="00B57B36">
              <w:rPr>
                <w:rFonts w:ascii="Tahoma" w:hAnsi="Tahoma" w:cs="Tahoma"/>
                <w:iCs/>
                <w:color w:val="333333"/>
                <w:sz w:val="14"/>
                <w:szCs w:val="14"/>
                <w:lang w:eastAsia="it-IT"/>
              </w:rPr>
              <w:t>S.r.l</w:t>
            </w:r>
            <w:proofErr w:type="spellEnd"/>
            <w:r w:rsidR="00904C62" w:rsidRPr="00B57B36">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sidRPr="00131FAB">
              <w:rPr>
                <w:rFonts w:ascii="Tahoma" w:hAnsi="Tahoma" w:cs="Tahoma"/>
                <w:sz w:val="14"/>
                <w:szCs w:val="14"/>
              </w:rPr>
              <w:t>978-88-95608-</w:t>
            </w:r>
            <w:r w:rsidR="009635B9">
              <w:rPr>
                <w:rFonts w:ascii="Tahoma" w:hAnsi="Tahoma" w:cs="Tahoma"/>
                <w:sz w:val="14"/>
                <w:szCs w:val="14"/>
              </w:rPr>
              <w:t>73</w:t>
            </w:r>
            <w:r w:rsidR="008D32B9" w:rsidRPr="00131FAB">
              <w:rPr>
                <w:rFonts w:ascii="Tahoma" w:hAnsi="Tahoma" w:cs="Tahoma"/>
                <w:sz w:val="14"/>
                <w:szCs w:val="14"/>
              </w:rPr>
              <w:t>-</w:t>
            </w:r>
            <w:r w:rsidR="009635B9">
              <w:rPr>
                <w:rFonts w:ascii="Tahoma" w:hAnsi="Tahoma" w:cs="Tahoma"/>
                <w:sz w:val="14"/>
                <w:szCs w:val="14"/>
              </w:rPr>
              <w:t>0</w:t>
            </w:r>
            <w:r w:rsidR="00300E56" w:rsidRPr="00131FAB">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14:paraId="33DD59C0" w14:textId="77777777" w:rsidR="000A03B2" w:rsidRPr="00B57B36" w:rsidRDefault="000A03B2" w:rsidP="000A03B2">
      <w:pPr>
        <w:pStyle w:val="CETAuthors"/>
        <w:sectPr w:rsidR="000A03B2" w:rsidRPr="00B57B36">
          <w:type w:val="continuous"/>
          <w:pgSz w:w="11906" w:h="16838" w:code="9"/>
          <w:pgMar w:top="1701" w:right="1418" w:bottom="1701" w:left="1701" w:header="1701" w:footer="0" w:gutter="0"/>
          <w:cols w:space="708"/>
          <w:titlePg/>
          <w:docGrid w:linePitch="360"/>
        </w:sectPr>
      </w:pPr>
    </w:p>
    <w:p w14:paraId="4DC8E6E0" w14:textId="77777777" w:rsidR="00E978D0" w:rsidRPr="00B57B36" w:rsidRDefault="004C3B1C" w:rsidP="004C3B1C">
      <w:pPr>
        <w:pStyle w:val="CETTitle"/>
      </w:pPr>
      <w:r>
        <w:lastRenderedPageBreak/>
        <w:t>Mass transport in polymers through the theory of stochastic processes possessing finite propagation velocity</w:t>
      </w:r>
    </w:p>
    <w:p w14:paraId="2F4E0E32" w14:textId="77777777" w:rsidR="00E978D0" w:rsidRPr="00B57B36" w:rsidRDefault="004C3B1C" w:rsidP="00AB5011">
      <w:pPr>
        <w:pStyle w:val="CETAuthors"/>
      </w:pPr>
      <w:r>
        <w:t xml:space="preserve">Antonio </w:t>
      </w:r>
      <w:r w:rsidRPr="004C3B1C">
        <w:t>Brasiello</w:t>
      </w:r>
      <w:r w:rsidR="00600535" w:rsidRPr="00B57B36">
        <w:rPr>
          <w:vertAlign w:val="superscript"/>
        </w:rPr>
        <w:t>a</w:t>
      </w:r>
      <w:r w:rsidRPr="00B57B36">
        <w:rPr>
          <w:vertAlign w:val="superscript"/>
        </w:rPr>
        <w:t>,</w:t>
      </w:r>
      <w:r w:rsidRPr="00B57B36">
        <w:t>*</w:t>
      </w:r>
      <w:r>
        <w:t>,Alessandra Adrover</w:t>
      </w:r>
      <w:r w:rsidR="00600535" w:rsidRPr="00B57B36">
        <w:rPr>
          <w:vertAlign w:val="superscript"/>
        </w:rPr>
        <w:t>b</w:t>
      </w:r>
      <w:r>
        <w:t>,Silvestro Crescitelli</w:t>
      </w:r>
      <w:r>
        <w:rPr>
          <w:vertAlign w:val="superscript"/>
        </w:rPr>
        <w:t>c</w:t>
      </w:r>
      <w:r>
        <w:t>,Massimiliano Giona</w:t>
      </w:r>
      <w:r>
        <w:rPr>
          <w:vertAlign w:val="superscript"/>
        </w:rPr>
        <w:t>b</w:t>
      </w:r>
    </w:p>
    <w:p w14:paraId="21381848" w14:textId="313AE054" w:rsidR="00024341" w:rsidRPr="00B57B36" w:rsidRDefault="00E978D0" w:rsidP="00024341">
      <w:pPr>
        <w:pStyle w:val="CETAddress"/>
      </w:pPr>
      <w:r w:rsidRPr="00B57B36">
        <w:rPr>
          <w:vertAlign w:val="superscript"/>
        </w:rPr>
        <w:t>a</w:t>
      </w:r>
      <w:r w:rsidR="00024341" w:rsidRPr="00B733A6">
        <w:t>Dipartimento di Ingegneria Industriale, Università degli Studi di</w:t>
      </w:r>
      <w:r w:rsidR="00024341">
        <w:t xml:space="preserve"> Salerno, via Giovanni Paolo II</w:t>
      </w:r>
      <w:r w:rsidR="00024341" w:rsidRPr="00B733A6">
        <w:t xml:space="preserve"> 132</w:t>
      </w:r>
      <w:r w:rsidR="00024341">
        <w:t>,</w:t>
      </w:r>
      <w:r w:rsidR="00024341" w:rsidRPr="00B733A6">
        <w:t xml:space="preserve"> 84084, Fisciano (SA), Italy</w:t>
      </w:r>
    </w:p>
    <w:p w14:paraId="2B17A572" w14:textId="0F9D50F9" w:rsidR="00E978D0" w:rsidRDefault="00E978D0" w:rsidP="00E978D0">
      <w:pPr>
        <w:pStyle w:val="CETAddress"/>
      </w:pPr>
      <w:r w:rsidRPr="00B57B36">
        <w:rPr>
          <w:vertAlign w:val="superscript"/>
        </w:rPr>
        <w:t>b</w:t>
      </w:r>
      <w:r w:rsidR="00024341" w:rsidRPr="00024341">
        <w:t>Dipartimento di Ingegneria Chimica, Materiali e Ambiente, Sapienza Università degli Studi di Roma,  via Eudossiana 18, 00184, Roma, Italy</w:t>
      </w:r>
    </w:p>
    <w:p w14:paraId="2CF296DC" w14:textId="2924FD3D" w:rsidR="00024341" w:rsidRPr="00B57B36" w:rsidRDefault="00024341" w:rsidP="00E978D0">
      <w:pPr>
        <w:pStyle w:val="CETAddress"/>
      </w:pPr>
      <w:r>
        <w:rPr>
          <w:vertAlign w:val="superscript"/>
        </w:rPr>
        <w:t>c</w:t>
      </w:r>
      <w:r w:rsidRPr="00024341">
        <w:t xml:space="preserve">Dipartimento di Ingegneria Chimica, </w:t>
      </w:r>
      <w:r>
        <w:t xml:space="preserve">dei Materiali e della Produzione Industriale, </w:t>
      </w:r>
      <w:r w:rsidRPr="00024341">
        <w:t xml:space="preserve">Università degli Studi di </w:t>
      </w:r>
      <w:r>
        <w:t>Napoli Federico II</w:t>
      </w:r>
      <w:r w:rsidRPr="00024341">
        <w:t xml:space="preserve">,  </w:t>
      </w:r>
      <w:r>
        <w:t>Piazzale Tecchio 80, 80125, Napoli</w:t>
      </w:r>
      <w:r w:rsidRPr="00024341">
        <w:t>, Italy</w:t>
      </w:r>
    </w:p>
    <w:p w14:paraId="4532CA73" w14:textId="77777777" w:rsidR="00E978D0" w:rsidRPr="00B57B36" w:rsidRDefault="00AB5011" w:rsidP="00E978D0">
      <w:pPr>
        <w:pStyle w:val="CETemail"/>
      </w:pPr>
      <w:r>
        <w:t xml:space="preserve"> </w:t>
      </w:r>
      <w:r w:rsidR="004C3B1C">
        <w:t>abrasiello@unisa.it</w:t>
      </w:r>
    </w:p>
    <w:p w14:paraId="7F0B152D" w14:textId="6FC63E23" w:rsidR="00024341" w:rsidRPr="00024341" w:rsidRDefault="00024341" w:rsidP="00024341">
      <w:pPr>
        <w:pStyle w:val="CETBodytext"/>
      </w:pPr>
      <w:r w:rsidRPr="00024341">
        <w:t>Non-</w:t>
      </w:r>
      <w:proofErr w:type="spellStart"/>
      <w:r w:rsidRPr="00024341">
        <w:t>Fickian</w:t>
      </w:r>
      <w:proofErr w:type="spellEnd"/>
      <w:r w:rsidRPr="00024341">
        <w:t xml:space="preserve"> behaviors in mass transport are very common in polymeric materials. The classical </w:t>
      </w:r>
      <w:proofErr w:type="spellStart"/>
      <w:r w:rsidRPr="00024341">
        <w:t>Fickian</w:t>
      </w:r>
      <w:proofErr w:type="spellEnd"/>
      <w:r w:rsidRPr="00024341">
        <w:t xml:space="preserve"> law, dictating the instantaneous response of the mass flux to changes in the driving force (namely the concentration gradient),</w:t>
      </w:r>
      <w:r w:rsidR="008B1D64">
        <w:t xml:space="preserve"> seems to be too simplistic</w:t>
      </w:r>
      <w:r w:rsidRPr="00024341">
        <w:t xml:space="preserve"> for mass transport in viscoelastic materials, generally linked through characteristic times to stress relaxation or structural changes. A constitutive equation in which the evolution of the mass flux is governed by a characteristic relaxation time thus appeared to be the most na</w:t>
      </w:r>
      <w:r>
        <w:t xml:space="preserve">tural choice in order to catch </w:t>
      </w:r>
      <w:r w:rsidRPr="00024341">
        <w:rPr>
          <w:i/>
        </w:rPr>
        <w:t>anomalous</w:t>
      </w:r>
      <w:r w:rsidR="00850C95">
        <w:t xml:space="preserve"> behaviors. </w:t>
      </w:r>
      <w:r w:rsidRPr="00024341">
        <w:t xml:space="preserve">This has led since </w:t>
      </w:r>
      <w:r w:rsidR="002C3662">
        <w:t xml:space="preserve">the </w:t>
      </w:r>
      <w:r w:rsidRPr="00024341">
        <w:t xml:space="preserve">'80s to the hyperbolic formulation of the transport equations, known as </w:t>
      </w:r>
      <w:proofErr w:type="spellStart"/>
      <w:r w:rsidRPr="00024341">
        <w:t>Cattaneo</w:t>
      </w:r>
      <w:proofErr w:type="spellEnd"/>
      <w:r w:rsidRPr="00024341">
        <w:t>-Maxwell equations in the one-dimensional case. H</w:t>
      </w:r>
      <w:r w:rsidR="005D1567">
        <w:t xml:space="preserve">owever, hyperbolic equations use for mass transport applications were limited by the well known but never understood </w:t>
      </w:r>
      <w:r w:rsidR="002C3662">
        <w:t xml:space="preserve">the </w:t>
      </w:r>
      <w:r w:rsidR="005D1567">
        <w:t xml:space="preserve">unpredictable appearance of </w:t>
      </w:r>
      <w:r w:rsidRPr="00024341">
        <w:t>inconsistencies (read unphysical concentration overshoots an</w:t>
      </w:r>
      <w:r w:rsidR="00850C95">
        <w:t>d negative concentration values).</w:t>
      </w:r>
      <w:r w:rsidR="005D1567">
        <w:t xml:space="preserve"> Recently, </w:t>
      </w:r>
      <w:r w:rsidRPr="00024341">
        <w:t xml:space="preserve">inconsistencies </w:t>
      </w:r>
      <w:r w:rsidR="005D1567">
        <w:t>are explained</w:t>
      </w:r>
      <w:r w:rsidRPr="00024341">
        <w:t xml:space="preserve"> by letting the hyperbolic formulation of transport equations in polymeric systems be derived from the theory of stochastic processes possessing finite propagation velocity, na</w:t>
      </w:r>
      <w:r w:rsidR="007366A6">
        <w:t>mely the Poisson</w:t>
      </w:r>
      <w:r w:rsidR="00850C95">
        <w:t>-</w:t>
      </w:r>
      <w:proofErr w:type="spellStart"/>
      <w:r w:rsidR="00850C95">
        <w:t>Kac</w:t>
      </w:r>
      <w:proofErr w:type="spellEnd"/>
      <w:r w:rsidR="00850C95">
        <w:t xml:space="preserve"> processes.</w:t>
      </w:r>
      <w:r w:rsidR="0094015B">
        <w:t xml:space="preserve"> In this paper, the hyperbolic transport model based on partial</w:t>
      </w:r>
      <w:r w:rsidR="00CE71F2">
        <w:t xml:space="preserve"> probability waves is</w:t>
      </w:r>
      <w:r w:rsidR="0094015B">
        <w:t xml:space="preserve"> introduced</w:t>
      </w:r>
      <w:r w:rsidR="005D1567">
        <w:t xml:space="preserve"> and discussed</w:t>
      </w:r>
      <w:r w:rsidR="00CE71F2">
        <w:t>. The model was</w:t>
      </w:r>
      <w:r w:rsidR="0094015B">
        <w:t xml:space="preserve"> </w:t>
      </w:r>
      <w:r w:rsidR="005D1567">
        <w:t xml:space="preserve">applied to two relevant literature cases, showing </w:t>
      </w:r>
      <w:r w:rsidR="0094015B">
        <w:t>to be suitable for the description of anomalou</w:t>
      </w:r>
      <w:r w:rsidR="005D1567">
        <w:t xml:space="preserve">s diffusional phenomena. </w:t>
      </w:r>
      <w:r w:rsidRPr="00024341">
        <w:t xml:space="preserve"> </w:t>
      </w:r>
    </w:p>
    <w:p w14:paraId="0A0928A6" w14:textId="77777777" w:rsidR="00600535" w:rsidRDefault="00600535" w:rsidP="00600535">
      <w:pPr>
        <w:pStyle w:val="CETHeading1"/>
        <w:rPr>
          <w:lang w:val="en-GB"/>
        </w:rPr>
      </w:pPr>
      <w:r w:rsidRPr="00B57B36">
        <w:rPr>
          <w:lang w:val="en-GB"/>
        </w:rPr>
        <w:t>Introduction</w:t>
      </w:r>
    </w:p>
    <w:p w14:paraId="14878767" w14:textId="7EA2440D" w:rsidR="00C35DC2" w:rsidRDefault="00197455" w:rsidP="00C8757E">
      <w:pPr>
        <w:pStyle w:val="CETBodytext"/>
      </w:pPr>
      <w:r>
        <w:t>In many cases of practical interest, t</w:t>
      </w:r>
      <w:r w:rsidR="00725191" w:rsidRPr="00725191">
        <w:t>he classical theory of mass transport</w:t>
      </w:r>
      <w:r>
        <w:t>,</w:t>
      </w:r>
      <w:r w:rsidR="00725191" w:rsidRPr="00725191">
        <w:t xml:space="preserve"> </w:t>
      </w:r>
      <w:r w:rsidR="00A2202B">
        <w:t>base</w:t>
      </w:r>
      <w:r>
        <w:t>d</w:t>
      </w:r>
      <w:r w:rsidR="00A2202B">
        <w:t xml:space="preserve"> on </w:t>
      </w:r>
      <w:proofErr w:type="spellStart"/>
      <w:r w:rsidR="00A2202B">
        <w:t>Fickian</w:t>
      </w:r>
      <w:proofErr w:type="spellEnd"/>
      <w:r w:rsidR="00A2202B">
        <w:t xml:space="preserve"> laws </w:t>
      </w:r>
      <w:r w:rsidR="00725191" w:rsidRPr="00725191">
        <w:t xml:space="preserve">has often proved </w:t>
      </w:r>
      <w:r w:rsidR="00C04C7A">
        <w:t xml:space="preserve">to be </w:t>
      </w:r>
      <w:r>
        <w:t>unsuitable for process</w:t>
      </w:r>
      <w:r w:rsidR="00C04C7A" w:rsidRPr="00C04C7A">
        <w:t xml:space="preserve"> </w:t>
      </w:r>
      <w:r w:rsidR="00C04C7A">
        <w:t>description</w:t>
      </w:r>
      <w:r w:rsidR="00A2202B">
        <w:t xml:space="preserve">. </w:t>
      </w:r>
      <w:r w:rsidR="00EE3772">
        <w:t>T</w:t>
      </w:r>
      <w:r w:rsidR="007366A6">
        <w:t>his</w:t>
      </w:r>
      <w:r>
        <w:t xml:space="preserve"> </w:t>
      </w:r>
      <w:r w:rsidR="007366A6">
        <w:t>is the case, for instance,</w:t>
      </w:r>
      <w:r>
        <w:t xml:space="preserve"> of low molecular weight penetrants </w:t>
      </w:r>
      <w:r w:rsidR="009730EA">
        <w:t xml:space="preserve">(toluene) </w:t>
      </w:r>
      <w:r>
        <w:t>in polymer matrices (e.g</w:t>
      </w:r>
      <w:r w:rsidR="007366A6">
        <w:t>.</w:t>
      </w:r>
      <w:r>
        <w:t xml:space="preserve"> </w:t>
      </w:r>
      <w:proofErr w:type="spellStart"/>
      <w:r>
        <w:t>Rath</w:t>
      </w:r>
      <w:proofErr w:type="spellEnd"/>
      <w:r>
        <w:t xml:space="preserve"> et Al.</w:t>
      </w:r>
      <w:r w:rsidR="00447425">
        <w:t>,</w:t>
      </w:r>
      <w:r>
        <w:t xml:space="preserve"> 2018) or </w:t>
      </w:r>
      <w:r w:rsidR="007366A6">
        <w:t xml:space="preserve">of </w:t>
      </w:r>
      <w:r w:rsidR="005211FB">
        <w:t xml:space="preserve">local </w:t>
      </w:r>
      <w:r>
        <w:t xml:space="preserve">drug transport in </w:t>
      </w:r>
      <w:proofErr w:type="spellStart"/>
      <w:r w:rsidR="005211FB">
        <w:t>m</w:t>
      </w:r>
      <w:r w:rsidR="005211FB" w:rsidRPr="005211FB">
        <w:t>ucoadhesive</w:t>
      </w:r>
      <w:proofErr w:type="spellEnd"/>
      <w:r w:rsidR="005211FB" w:rsidRPr="005211FB">
        <w:t xml:space="preserve"> alginate pastes with embedded liposomes </w:t>
      </w:r>
      <w:r w:rsidR="005211FB">
        <w:t>(</w:t>
      </w:r>
      <w:proofErr w:type="spellStart"/>
      <w:r w:rsidR="005211FB">
        <w:t>Shtenberg</w:t>
      </w:r>
      <w:proofErr w:type="spellEnd"/>
      <w:r>
        <w:t xml:space="preserve"> et Al., 2018).</w:t>
      </w:r>
      <w:r w:rsidR="000243DC">
        <w:t xml:space="preserve"> </w:t>
      </w:r>
    </w:p>
    <w:p w14:paraId="64791933" w14:textId="2E622E58" w:rsidR="000F099C" w:rsidRDefault="00A2202B" w:rsidP="00C8757E">
      <w:pPr>
        <w:pStyle w:val="CETBodytext"/>
      </w:pPr>
      <w:r>
        <w:t xml:space="preserve">The limit of </w:t>
      </w:r>
      <w:r w:rsidR="007366A6">
        <w:t>the classical</w:t>
      </w:r>
      <w:r w:rsidR="007566E2">
        <w:t xml:space="preserve"> </w:t>
      </w:r>
      <w:r w:rsidR="007366A6">
        <w:t>(</w:t>
      </w:r>
      <w:proofErr w:type="spellStart"/>
      <w:r w:rsidR="007366A6">
        <w:t>Fickian</w:t>
      </w:r>
      <w:proofErr w:type="spellEnd"/>
      <w:r w:rsidR="007366A6">
        <w:t xml:space="preserve">) </w:t>
      </w:r>
      <w:r w:rsidR="007566E2">
        <w:t xml:space="preserve">theory </w:t>
      </w:r>
      <w:r>
        <w:t xml:space="preserve">emerges quite easily from the observation that </w:t>
      </w:r>
      <w:r w:rsidR="007366A6">
        <w:t xml:space="preserve">related </w:t>
      </w:r>
      <w:r w:rsidR="007566E2">
        <w:t>equation</w:t>
      </w:r>
      <w:r w:rsidR="007366A6">
        <w:t>s correspond</w:t>
      </w:r>
      <w:r w:rsidR="007566E2">
        <w:t>,</w:t>
      </w:r>
      <w:r w:rsidR="00EE3772">
        <w:t xml:space="preserve"> at the microscopic level</w:t>
      </w:r>
      <w:r w:rsidR="007566E2">
        <w:t>,</w:t>
      </w:r>
      <w:r w:rsidR="007366A6">
        <w:t xml:space="preserve"> to</w:t>
      </w:r>
      <w:r w:rsidR="00EE3772">
        <w:t xml:space="preserve"> Wiener stochastic dynamics (i.e. Brownian </w:t>
      </w:r>
      <w:r w:rsidR="007566E2">
        <w:t>motion</w:t>
      </w:r>
      <w:r w:rsidR="00EE3772">
        <w:t xml:space="preserve">) </w:t>
      </w:r>
      <w:r w:rsidR="00F02A9F">
        <w:t>in which particles velocities are unbounded</w:t>
      </w:r>
      <w:r w:rsidR="00EE3772">
        <w:t>, uncorrelated and</w:t>
      </w:r>
      <w:r w:rsidR="00F02A9F">
        <w:t xml:space="preserve"> Gaus</w:t>
      </w:r>
      <w:r w:rsidR="00EE3772">
        <w:t>sian distributed</w:t>
      </w:r>
      <w:r w:rsidR="007566E2">
        <w:t xml:space="preserve">. This </w:t>
      </w:r>
      <w:r w:rsidR="00BC41D9">
        <w:t xml:space="preserve">is obviously a too simple microscopic framework </w:t>
      </w:r>
      <w:r w:rsidR="00D92D48">
        <w:t>when dealing</w:t>
      </w:r>
      <w:r w:rsidR="007566E2">
        <w:t xml:space="preserve"> with cases, as those </w:t>
      </w:r>
      <w:r w:rsidR="009730EA">
        <w:t>cit</w:t>
      </w:r>
      <w:r w:rsidR="007566E2">
        <w:t xml:space="preserve">ed here, </w:t>
      </w:r>
      <w:r w:rsidR="00BC41D9">
        <w:t xml:space="preserve">in which, for example, </w:t>
      </w:r>
      <w:r w:rsidR="00EE3772" w:rsidRPr="00EE3772">
        <w:t>the</w:t>
      </w:r>
      <w:r w:rsidR="00BC41D9">
        <w:t xml:space="preserve"> interaction between solute </w:t>
      </w:r>
      <w:r w:rsidR="007566E2">
        <w:t>and</w:t>
      </w:r>
      <w:r w:rsidR="00EE3772" w:rsidRPr="00EE3772">
        <w:t xml:space="preserve"> polymer matrix </w:t>
      </w:r>
      <w:r w:rsidR="00BC41D9">
        <w:t>both limits</w:t>
      </w:r>
      <w:r w:rsidR="00EE3772" w:rsidRPr="00EE3772">
        <w:t xml:space="preserve"> particles </w:t>
      </w:r>
      <w:r w:rsidR="00BC41D9">
        <w:t xml:space="preserve">velocities </w:t>
      </w:r>
      <w:r w:rsidR="00EE3772" w:rsidRPr="00EE3772">
        <w:t>and induces correlation</w:t>
      </w:r>
      <w:r w:rsidR="00BC41D9">
        <w:t>s</w:t>
      </w:r>
      <w:r w:rsidR="007566E2">
        <w:t xml:space="preserve"> among them</w:t>
      </w:r>
      <w:r w:rsidR="00EE3772" w:rsidRPr="00EE3772">
        <w:t>.</w:t>
      </w:r>
    </w:p>
    <w:p w14:paraId="5EE04A92" w14:textId="6DC6A1AC" w:rsidR="00447425" w:rsidRDefault="00A160DD" w:rsidP="007A7E9D">
      <w:pPr>
        <w:pStyle w:val="CETBodytext"/>
      </w:pPr>
      <w:r>
        <w:t xml:space="preserve">One of the first attempts to provide a mass transport equation suitable for such cases </w:t>
      </w:r>
      <w:r w:rsidR="006B3459">
        <w:t>was</w:t>
      </w:r>
      <w:r>
        <w:t xml:space="preserve"> due to </w:t>
      </w:r>
      <w:r w:rsidR="002E28C9">
        <w:t xml:space="preserve">the mathematician Carlo </w:t>
      </w:r>
      <w:proofErr w:type="spellStart"/>
      <w:r w:rsidR="00DA14B3">
        <w:t>Cattaneo</w:t>
      </w:r>
      <w:proofErr w:type="spellEnd"/>
      <w:r w:rsidR="00DA14B3">
        <w:t xml:space="preserve"> (</w:t>
      </w:r>
      <w:proofErr w:type="spellStart"/>
      <w:r w:rsidR="00DA14B3">
        <w:t>Cattaneo</w:t>
      </w:r>
      <w:proofErr w:type="spellEnd"/>
      <w:r w:rsidR="00DA14B3">
        <w:t>, 1958</w:t>
      </w:r>
      <w:r>
        <w:t xml:space="preserve">). </w:t>
      </w:r>
      <w:r w:rsidR="00A422CD">
        <w:t xml:space="preserve">The </w:t>
      </w:r>
      <w:proofErr w:type="spellStart"/>
      <w:r w:rsidR="00A422CD">
        <w:t>Cattaneo</w:t>
      </w:r>
      <w:proofErr w:type="spellEnd"/>
      <w:r w:rsidR="0034743C">
        <w:t xml:space="preserve"> equation, a</w:t>
      </w:r>
      <w:r w:rsidR="007A7E9D">
        <w:t xml:space="preserve">ctually </w:t>
      </w:r>
      <w:r w:rsidR="007366A6">
        <w:t xml:space="preserve">proposed </w:t>
      </w:r>
      <w:r w:rsidR="009730EA">
        <w:t>in order</w:t>
      </w:r>
      <w:r w:rsidR="00A422CD">
        <w:t xml:space="preserve"> to solve a</w:t>
      </w:r>
      <w:r w:rsidR="007A7E9D">
        <w:t xml:space="preserve"> </w:t>
      </w:r>
      <w:r w:rsidR="009730EA">
        <w:t>physical inconsistency</w:t>
      </w:r>
      <w:r w:rsidR="007366A6" w:rsidRPr="007366A6">
        <w:t xml:space="preserve"> </w:t>
      </w:r>
      <w:r w:rsidR="007366A6">
        <w:t xml:space="preserve">affecting </w:t>
      </w:r>
      <w:r w:rsidR="00D92D48">
        <w:t>the classical (</w:t>
      </w:r>
      <w:proofErr w:type="spellStart"/>
      <w:r w:rsidR="00D92D48">
        <w:t>Fickian</w:t>
      </w:r>
      <w:proofErr w:type="spellEnd"/>
      <w:r w:rsidR="00D92D48">
        <w:t xml:space="preserve">) theory </w:t>
      </w:r>
      <w:r w:rsidR="0034743C">
        <w:t>(</w:t>
      </w:r>
      <w:r w:rsidR="009730EA">
        <w:t>namely</w:t>
      </w:r>
      <w:r w:rsidR="002E28C9">
        <w:t xml:space="preserve"> </w:t>
      </w:r>
      <w:r w:rsidR="009730EA">
        <w:t xml:space="preserve">the </w:t>
      </w:r>
      <w:r w:rsidR="002E28C9">
        <w:t>infinite propagation velocity</w:t>
      </w:r>
      <w:r w:rsidR="0034743C">
        <w:t>)</w:t>
      </w:r>
      <w:r w:rsidR="00C35DC2">
        <w:t>,</w:t>
      </w:r>
      <w:r w:rsidR="007366A6">
        <w:t xml:space="preserve"> is a one-dimensional </w:t>
      </w:r>
      <w:r w:rsidR="00A422CD">
        <w:t>hyperbolic formulation of a</w:t>
      </w:r>
      <w:r w:rsidR="0034743C">
        <w:t xml:space="preserve"> transport equation obtained through the introduction of</w:t>
      </w:r>
      <w:r w:rsidR="007366A6">
        <w:t xml:space="preserve"> </w:t>
      </w:r>
      <w:r w:rsidR="002E28C9">
        <w:t xml:space="preserve">a new constitutive </w:t>
      </w:r>
      <w:r w:rsidR="009730EA">
        <w:t>law</w:t>
      </w:r>
      <w:r w:rsidR="007566E2">
        <w:t>,</w:t>
      </w:r>
      <w:r w:rsidR="002E28C9">
        <w:t xml:space="preserve"> relating flux and concentration gradient</w:t>
      </w:r>
      <w:r w:rsidR="007A7E9D">
        <w:t xml:space="preserve"> and depending on a </w:t>
      </w:r>
      <w:r w:rsidR="0034743C">
        <w:t>relaxation time</w:t>
      </w:r>
      <w:r w:rsidR="007366A6">
        <w:t xml:space="preserve">. </w:t>
      </w:r>
      <w:r w:rsidR="008E7031">
        <w:t>S</w:t>
      </w:r>
      <w:r w:rsidR="007A7E9D">
        <w:t xml:space="preserve">uch </w:t>
      </w:r>
      <w:r w:rsidR="008E7031">
        <w:t>equation, although fruitfully used for analysis of mass transport in polymers with relaxation</w:t>
      </w:r>
      <w:r w:rsidR="00184F2E">
        <w:t xml:space="preserve"> </w:t>
      </w:r>
      <w:r w:rsidR="00952A41">
        <w:t>(</w:t>
      </w:r>
      <w:proofErr w:type="spellStart"/>
      <w:r w:rsidR="00952A41">
        <w:t>Doghieri</w:t>
      </w:r>
      <w:proofErr w:type="spellEnd"/>
      <w:r w:rsidR="00952A41">
        <w:t xml:space="preserve"> et Al., 1993</w:t>
      </w:r>
      <w:r w:rsidR="00C35DC2">
        <w:t>)</w:t>
      </w:r>
      <w:r w:rsidR="008E7031">
        <w:t>, has shown to be</w:t>
      </w:r>
      <w:r w:rsidR="007A7E9D">
        <w:t xml:space="preserve"> affected by inconsistencies (namely</w:t>
      </w:r>
      <w:r w:rsidR="007A7E9D" w:rsidRPr="00024341">
        <w:t xml:space="preserve"> unphysical concentration overshoots and</w:t>
      </w:r>
      <w:r w:rsidR="008E7031">
        <w:t xml:space="preserve"> negative concentration </w:t>
      </w:r>
      <w:r w:rsidR="00447425">
        <w:t xml:space="preserve">values). </w:t>
      </w:r>
      <w:proofErr w:type="spellStart"/>
      <w:r w:rsidR="00447425">
        <w:t>Doghieri</w:t>
      </w:r>
      <w:proofErr w:type="spellEnd"/>
      <w:r w:rsidR="00447425">
        <w:t xml:space="preserve"> et Al. (</w:t>
      </w:r>
      <w:r w:rsidR="00952A41">
        <w:t>1993</w:t>
      </w:r>
      <w:r w:rsidR="00447425">
        <w:t>)</w:t>
      </w:r>
      <w:r w:rsidR="008E7031">
        <w:t xml:space="preserve"> </w:t>
      </w:r>
      <w:r w:rsidR="00140027">
        <w:t>demonstrated</w:t>
      </w:r>
      <w:r w:rsidR="00D92D48">
        <w:t>, basing</w:t>
      </w:r>
      <w:r w:rsidR="00D92D48" w:rsidRPr="00D92D48">
        <w:t xml:space="preserve"> on</w:t>
      </w:r>
      <w:r w:rsidR="008A28FC" w:rsidRPr="008A28FC">
        <w:t xml:space="preserve"> </w:t>
      </w:r>
      <w:r w:rsidR="008A28FC">
        <w:t>simplified</w:t>
      </w:r>
      <w:r w:rsidR="008A28FC" w:rsidRPr="00D92D48">
        <w:t xml:space="preserve"> </w:t>
      </w:r>
      <w:r w:rsidR="00952A41">
        <w:t>thermodynamic</w:t>
      </w:r>
      <w:r w:rsidR="008A28FC">
        <w:t xml:space="preserve"> assumption</w:t>
      </w:r>
      <w:r w:rsidR="00D92D48" w:rsidRPr="00D92D48">
        <w:t>s</w:t>
      </w:r>
      <w:r w:rsidR="00D92D48">
        <w:t>,</w:t>
      </w:r>
      <w:r w:rsidR="00140027">
        <w:t xml:space="preserve"> that it is possible to avoid such troubles by suitably imposing a function</w:t>
      </w:r>
      <w:r w:rsidR="00B92DD1">
        <w:t>al</w:t>
      </w:r>
      <w:r w:rsidR="00140027">
        <w:t xml:space="preserve"> form for the relaxation time. </w:t>
      </w:r>
      <w:r w:rsidR="00447425">
        <w:t xml:space="preserve">Some </w:t>
      </w:r>
      <w:r w:rsidR="00447425">
        <w:lastRenderedPageBreak/>
        <w:t>authors (</w:t>
      </w:r>
      <w:proofErr w:type="spellStart"/>
      <w:r w:rsidR="00447425">
        <w:t>Brasiello</w:t>
      </w:r>
      <w:proofErr w:type="spellEnd"/>
      <w:r w:rsidR="00447425">
        <w:t xml:space="preserve"> et Al., 2016a; </w:t>
      </w:r>
      <w:proofErr w:type="spellStart"/>
      <w:r w:rsidR="00447425">
        <w:t>Giona</w:t>
      </w:r>
      <w:proofErr w:type="spellEnd"/>
      <w:r w:rsidR="00447425">
        <w:t xml:space="preserve"> et Al., 2016</w:t>
      </w:r>
      <w:r w:rsidR="008A28FC">
        <w:t>) basing on the partial waves formulation described in the following mathematical section, show</w:t>
      </w:r>
      <w:r w:rsidR="006B3459">
        <w:t>ed</w:t>
      </w:r>
      <w:r w:rsidR="008A28FC">
        <w:t xml:space="preserve"> the reason for such inconsistencies without any simplified assumptions. </w:t>
      </w:r>
      <w:r w:rsidR="00C35DC2">
        <w:t>Moreover, i</w:t>
      </w:r>
      <w:r w:rsidR="00447425">
        <w:t xml:space="preserve">n the papers of </w:t>
      </w:r>
      <w:proofErr w:type="spellStart"/>
      <w:r w:rsidR="00447425">
        <w:t>Giona</w:t>
      </w:r>
      <w:proofErr w:type="spellEnd"/>
      <w:r w:rsidR="00447425">
        <w:t xml:space="preserve"> et Al. (2017a, 2017b, 2017c)</w:t>
      </w:r>
      <w:r w:rsidR="008A28FC">
        <w:t>, the authors extend</w:t>
      </w:r>
      <w:r w:rsidR="006B3459">
        <w:t>ed</w:t>
      </w:r>
      <w:r w:rsidR="008A28FC">
        <w:t xml:space="preserve"> the hyperbolic transport formulation to higher dimensions.</w:t>
      </w:r>
      <w:r w:rsidR="0030002B">
        <w:t xml:space="preserve"> </w:t>
      </w:r>
    </w:p>
    <w:p w14:paraId="7BE5CCDF" w14:textId="6C0AA744" w:rsidR="00140027" w:rsidRPr="00140027" w:rsidRDefault="00533C47" w:rsidP="007A7E9D">
      <w:pPr>
        <w:pStyle w:val="CETBodytext"/>
      </w:pPr>
      <w:r>
        <w:t xml:space="preserve">In this work, </w:t>
      </w:r>
      <w:r w:rsidR="0030002B">
        <w:t xml:space="preserve">we </w:t>
      </w:r>
      <w:r>
        <w:t xml:space="preserve">will </w:t>
      </w:r>
      <w:r w:rsidR="00C35DC2">
        <w:t>show</w:t>
      </w:r>
      <w:r w:rsidR="0030002B">
        <w:t xml:space="preserve"> </w:t>
      </w:r>
      <w:r w:rsidR="00C35DC2">
        <w:t>for the first time and discuss the results of</w:t>
      </w:r>
      <w:r w:rsidR="0030002B">
        <w:t xml:space="preserve"> application</w:t>
      </w:r>
      <w:r w:rsidR="00C35DC2">
        <w:t>s</w:t>
      </w:r>
      <w:r w:rsidR="0030002B">
        <w:t xml:space="preserve"> of the hyperbolic transport model derived by Poisson-</w:t>
      </w:r>
      <w:proofErr w:type="spellStart"/>
      <w:r w:rsidR="0030002B">
        <w:t>Kac</w:t>
      </w:r>
      <w:proofErr w:type="spellEnd"/>
      <w:r w:rsidR="0030002B">
        <w:t xml:space="preserve"> process to</w:t>
      </w:r>
      <w:r>
        <w:t xml:space="preserve"> some </w:t>
      </w:r>
      <w:r w:rsidR="00447425">
        <w:t xml:space="preserve">recent </w:t>
      </w:r>
      <w:r w:rsidR="00A515C4">
        <w:t xml:space="preserve">literature </w:t>
      </w:r>
      <w:r>
        <w:t>data characterized by anomalous diffusional transport</w:t>
      </w:r>
      <w:r w:rsidR="003B6787">
        <w:t xml:space="preserve">. </w:t>
      </w:r>
      <w:r w:rsidR="003E0AE3">
        <w:t xml:space="preserve">In particular, </w:t>
      </w:r>
      <w:r>
        <w:t>two relevant cas</w:t>
      </w:r>
      <w:r w:rsidR="003E0AE3">
        <w:t>e</w:t>
      </w:r>
      <w:r>
        <w:t>s</w:t>
      </w:r>
      <w:r w:rsidR="003E0AE3">
        <w:t xml:space="preserve"> </w:t>
      </w:r>
      <w:r>
        <w:t>h</w:t>
      </w:r>
      <w:r w:rsidR="00740613">
        <w:t>ave been selected for the purpo</w:t>
      </w:r>
      <w:r>
        <w:t>se:</w:t>
      </w:r>
      <w:r w:rsidR="003E0AE3">
        <w:t xml:space="preserve"> toluene transport in polyurethane-urea/clay </w:t>
      </w:r>
      <w:proofErr w:type="spellStart"/>
      <w:r w:rsidR="003E0AE3">
        <w:t>nanocomposite</w:t>
      </w:r>
      <w:r>
        <w:t>s</w:t>
      </w:r>
      <w:proofErr w:type="spellEnd"/>
      <w:r w:rsidR="00C35DC2">
        <w:t xml:space="preserve"> (</w:t>
      </w:r>
      <w:proofErr w:type="spellStart"/>
      <w:r w:rsidR="00447425">
        <w:t>Rath</w:t>
      </w:r>
      <w:proofErr w:type="spellEnd"/>
      <w:r w:rsidR="00447425">
        <w:t xml:space="preserve"> et Al., 2018</w:t>
      </w:r>
      <w:r w:rsidR="00C35DC2">
        <w:t>)</w:t>
      </w:r>
      <w:r w:rsidR="003E0AE3">
        <w:t xml:space="preserve"> </w:t>
      </w:r>
      <w:r>
        <w:t xml:space="preserve">and </w:t>
      </w:r>
      <w:r w:rsidR="00C35DC2">
        <w:t>doxorubicin</w:t>
      </w:r>
      <w:r>
        <w:t xml:space="preserve"> transport </w:t>
      </w:r>
      <w:r w:rsidR="00C35DC2">
        <w:t xml:space="preserve">in </w:t>
      </w:r>
      <w:proofErr w:type="spellStart"/>
      <w:r w:rsidR="00C35DC2">
        <w:t>m</w:t>
      </w:r>
      <w:r w:rsidR="00C35DC2" w:rsidRPr="005211FB">
        <w:t>uco</w:t>
      </w:r>
      <w:proofErr w:type="spellEnd"/>
      <w:r w:rsidR="00C35DC2">
        <w:t>-</w:t>
      </w:r>
      <w:r w:rsidR="00C35DC2" w:rsidRPr="005211FB">
        <w:t>adhesive alginate pastes with embedded liposomes</w:t>
      </w:r>
      <w:r w:rsidR="00C35DC2">
        <w:t xml:space="preserve"> (</w:t>
      </w:r>
      <w:proofErr w:type="spellStart"/>
      <w:r w:rsidR="00447425">
        <w:t>Shtenberg</w:t>
      </w:r>
      <w:proofErr w:type="spellEnd"/>
      <w:r w:rsidR="00447425">
        <w:t xml:space="preserve"> et Al., 2018</w:t>
      </w:r>
      <w:r w:rsidR="00C35DC2">
        <w:t>)</w:t>
      </w:r>
      <w:r>
        <w:t xml:space="preserve">. The first case </w:t>
      </w:r>
      <w:r w:rsidR="00D77192">
        <w:t>was chosen because of the importance of the</w:t>
      </w:r>
      <w:r>
        <w:t xml:space="preserve"> </w:t>
      </w:r>
      <w:r w:rsidR="003E0AE3">
        <w:t xml:space="preserve">mass transport </w:t>
      </w:r>
      <w:r>
        <w:t>of</w:t>
      </w:r>
      <w:r w:rsidR="003E0AE3">
        <w:t xml:space="preserve"> low molecular weight solute</w:t>
      </w:r>
      <w:r>
        <w:t>s</w:t>
      </w:r>
      <w:r w:rsidR="003E0AE3">
        <w:t xml:space="preserve"> in polymer matrices </w:t>
      </w:r>
      <w:r w:rsidR="00D77192">
        <w:t>in the field of solvent recovery</w:t>
      </w:r>
      <w:r>
        <w:t>, packaging</w:t>
      </w:r>
      <w:r w:rsidR="00740613">
        <w:t>,</w:t>
      </w:r>
      <w:r>
        <w:t xml:space="preserve"> etc. The second case is an</w:t>
      </w:r>
      <w:r w:rsidR="00740613">
        <w:t xml:space="preserve"> interesting application in the field of drug release for </w:t>
      </w:r>
      <w:r w:rsidR="00C35DC2">
        <w:t>oral cancers treatments</w:t>
      </w:r>
      <w:r w:rsidR="00740613">
        <w:t xml:space="preserve">. </w:t>
      </w:r>
    </w:p>
    <w:p w14:paraId="5E690DEF" w14:textId="083C4720" w:rsidR="002218CE" w:rsidRDefault="002218CE" w:rsidP="002218CE">
      <w:pPr>
        <w:pStyle w:val="CETHeading1"/>
      </w:pPr>
      <w:r>
        <w:t>Mathematical model</w:t>
      </w:r>
    </w:p>
    <w:p w14:paraId="14DA3FCC" w14:textId="1BC4F37F" w:rsidR="00542DA7" w:rsidRDefault="007106A3" w:rsidP="00600535">
      <w:pPr>
        <w:pStyle w:val="CETBodytext"/>
        <w:rPr>
          <w:lang w:val="en-GB"/>
        </w:rPr>
      </w:pPr>
      <w:r>
        <w:rPr>
          <w:lang w:val="en-GB"/>
        </w:rPr>
        <w:t xml:space="preserve">In 1974, M. </w:t>
      </w:r>
      <w:proofErr w:type="spellStart"/>
      <w:r>
        <w:rPr>
          <w:lang w:val="en-GB"/>
        </w:rPr>
        <w:t>Kac</w:t>
      </w:r>
      <w:proofErr w:type="spellEnd"/>
      <w:r>
        <w:rPr>
          <w:lang w:val="en-GB"/>
        </w:rPr>
        <w:t xml:space="preserve"> demonstrated</w:t>
      </w:r>
      <w:r w:rsidR="00F825DB">
        <w:rPr>
          <w:lang w:val="en-GB"/>
        </w:rPr>
        <w:t>,</w:t>
      </w:r>
      <w:r>
        <w:rPr>
          <w:lang w:val="en-GB"/>
        </w:rPr>
        <w:t xml:space="preserve"> in his seminal paper (</w:t>
      </w:r>
      <w:proofErr w:type="spellStart"/>
      <w:r>
        <w:rPr>
          <w:lang w:val="en-GB"/>
        </w:rPr>
        <w:t>Kac</w:t>
      </w:r>
      <w:proofErr w:type="spellEnd"/>
      <w:r>
        <w:rPr>
          <w:lang w:val="en-GB"/>
        </w:rPr>
        <w:t>, 1974)</w:t>
      </w:r>
      <w:r w:rsidR="00F825DB">
        <w:rPr>
          <w:lang w:val="en-GB"/>
        </w:rPr>
        <w:t>,</w:t>
      </w:r>
      <w:r w:rsidR="006B3459">
        <w:rPr>
          <w:lang w:val="en-GB"/>
        </w:rPr>
        <w:t xml:space="preserve"> that it was</w:t>
      </w:r>
      <w:r>
        <w:rPr>
          <w:lang w:val="en-GB"/>
        </w:rPr>
        <w:t xml:space="preserve"> possible to build a coherent microscopic framework</w:t>
      </w:r>
      <w:r w:rsidR="00522DD0">
        <w:rPr>
          <w:lang w:val="en-GB"/>
        </w:rPr>
        <w:t>, which is now called Poisson-</w:t>
      </w:r>
      <w:proofErr w:type="spellStart"/>
      <w:r w:rsidR="00522DD0">
        <w:rPr>
          <w:lang w:val="en-GB"/>
        </w:rPr>
        <w:t>Kac</w:t>
      </w:r>
      <w:proofErr w:type="spellEnd"/>
      <w:r w:rsidR="00522DD0">
        <w:rPr>
          <w:lang w:val="en-GB"/>
        </w:rPr>
        <w:t xml:space="preserve"> process,</w:t>
      </w:r>
      <w:r>
        <w:rPr>
          <w:lang w:val="en-GB"/>
        </w:rPr>
        <w:t xml:space="preserve"> </w:t>
      </w:r>
      <w:r w:rsidR="00CD498E">
        <w:rPr>
          <w:lang w:val="en-GB"/>
        </w:rPr>
        <w:t>from</w:t>
      </w:r>
      <w:r>
        <w:rPr>
          <w:lang w:val="en-GB"/>
        </w:rPr>
        <w:t xml:space="preserve"> which </w:t>
      </w:r>
      <w:r w:rsidR="00CD498E">
        <w:rPr>
          <w:lang w:val="en-GB"/>
        </w:rPr>
        <w:t xml:space="preserve">to derive </w:t>
      </w:r>
      <w:r w:rsidR="005A0084">
        <w:rPr>
          <w:lang w:val="en-GB"/>
        </w:rPr>
        <w:t xml:space="preserve">a </w:t>
      </w:r>
      <w:r w:rsidR="00F825DB">
        <w:rPr>
          <w:lang w:val="en-GB"/>
        </w:rPr>
        <w:t>hyperbolic mass transport model. In one-dimensional form such model corresponds</w:t>
      </w:r>
      <w:r w:rsidR="005A0084">
        <w:rPr>
          <w:lang w:val="en-GB"/>
        </w:rPr>
        <w:t xml:space="preserve"> to the </w:t>
      </w:r>
      <w:proofErr w:type="spellStart"/>
      <w:r w:rsidR="00FB1561">
        <w:rPr>
          <w:lang w:val="en-GB"/>
        </w:rPr>
        <w:t>Cattaneo</w:t>
      </w:r>
      <w:proofErr w:type="spellEnd"/>
      <w:r w:rsidR="00FB1561">
        <w:rPr>
          <w:lang w:val="en-GB"/>
        </w:rPr>
        <w:t xml:space="preserve">-Maxwell </w:t>
      </w:r>
      <w:r>
        <w:rPr>
          <w:lang w:val="en-GB"/>
        </w:rPr>
        <w:t>equation</w:t>
      </w:r>
      <w:r w:rsidR="00CD498E">
        <w:rPr>
          <w:lang w:val="en-GB"/>
        </w:rPr>
        <w:t xml:space="preserve">s. </w:t>
      </w:r>
    </w:p>
    <w:p w14:paraId="5F305E3E" w14:textId="030D0960" w:rsidR="00CD498E" w:rsidRDefault="0012096B" w:rsidP="00600535">
      <w:pPr>
        <w:pStyle w:val="CETBodytext"/>
        <w:rPr>
          <w:lang w:val="en-GB"/>
        </w:rPr>
      </w:pPr>
      <w:r>
        <w:rPr>
          <w:lang w:val="en-GB"/>
        </w:rPr>
        <w:t xml:space="preserve">The one-dimensional formulation of </w:t>
      </w:r>
      <w:r w:rsidR="00BA3918">
        <w:rPr>
          <w:lang w:val="en-GB"/>
        </w:rPr>
        <w:t>t</w:t>
      </w:r>
      <w:r w:rsidR="00CD498E">
        <w:rPr>
          <w:lang w:val="en-GB"/>
        </w:rPr>
        <w:t>he Poisson</w:t>
      </w:r>
      <w:r w:rsidR="00BA3918">
        <w:rPr>
          <w:lang w:val="en-GB"/>
        </w:rPr>
        <w:t>-</w:t>
      </w:r>
      <w:proofErr w:type="spellStart"/>
      <w:r w:rsidR="00BA3918">
        <w:rPr>
          <w:lang w:val="en-GB"/>
        </w:rPr>
        <w:t>Kac</w:t>
      </w:r>
      <w:proofErr w:type="spellEnd"/>
      <w:r w:rsidR="00BA3918">
        <w:rPr>
          <w:lang w:val="en-GB"/>
        </w:rPr>
        <w:t xml:space="preserve"> process </w:t>
      </w:r>
      <w:r w:rsidR="00CA2B49">
        <w:rPr>
          <w:lang w:val="en-GB"/>
        </w:rPr>
        <w:t xml:space="preserve">reads </w:t>
      </w:r>
    </w:p>
    <w:p w14:paraId="23FC5C64" w14:textId="79F7BC78" w:rsidR="00CD498E" w:rsidRDefault="00CE71F2" w:rsidP="0057522D">
      <w:pPr>
        <w:pStyle w:val="CETEquation"/>
      </w:pPr>
      <w:r>
        <w:rPr>
          <w:position w:val="-8"/>
        </w:rPr>
        <w:pict w14:anchorId="34A65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1pt">
            <v:imagedata r:id="rId11" o:title=""/>
          </v:shape>
        </w:pict>
      </w:r>
      <w:r w:rsidR="005C0AF6">
        <w:tab/>
      </w:r>
      <w:r w:rsidR="005C0AF6">
        <w:tab/>
      </w:r>
      <w:r w:rsidR="0057522D">
        <w:tab/>
      </w:r>
      <w:r w:rsidR="005C0AF6">
        <w:t>(1)</w:t>
      </w:r>
      <w:r w:rsidR="00CD498E">
        <w:t xml:space="preserve"> </w:t>
      </w:r>
    </w:p>
    <w:p w14:paraId="3D26E752" w14:textId="1AC28FE4" w:rsidR="00806223" w:rsidRDefault="003D2BD5" w:rsidP="00600535">
      <w:pPr>
        <w:pStyle w:val="CETBodytext"/>
        <w:rPr>
          <w:lang w:val="en-GB"/>
        </w:rPr>
      </w:pPr>
      <w:proofErr w:type="gramStart"/>
      <w:r>
        <w:rPr>
          <w:lang w:val="en-GB"/>
        </w:rPr>
        <w:t>in</w:t>
      </w:r>
      <w:proofErr w:type="gramEnd"/>
      <w:r>
        <w:rPr>
          <w:lang w:val="en-GB"/>
        </w:rPr>
        <w:t xml:space="preserve"> which c represents a velocity modulus and </w:t>
      </w:r>
      <w:r w:rsidR="00CE71F2">
        <w:rPr>
          <w:position w:val="-10"/>
          <w:lang w:val="en-GB"/>
        </w:rPr>
        <w:pict w14:anchorId="33B14FBA">
          <v:shape id="_x0000_i1026" type="#_x0000_t75" style="width:9.05pt;height:12.6pt">
            <v:imagedata r:id="rId12" o:title=""/>
          </v:shape>
        </w:pict>
      </w:r>
      <w:r>
        <w:rPr>
          <w:lang w:val="en-GB"/>
        </w:rPr>
        <w:t xml:space="preserve"> </w:t>
      </w:r>
      <w:r w:rsidR="00806223">
        <w:rPr>
          <w:lang w:val="en-GB"/>
        </w:rPr>
        <w:t>is a</w:t>
      </w:r>
      <w:r>
        <w:rPr>
          <w:lang w:val="en-GB"/>
        </w:rPr>
        <w:t xml:space="preserve"> </w:t>
      </w:r>
      <w:r w:rsidR="00F825DB">
        <w:rPr>
          <w:lang w:val="en-GB"/>
        </w:rPr>
        <w:t xml:space="preserve">stochastic </w:t>
      </w:r>
      <w:r>
        <w:rPr>
          <w:lang w:val="en-GB"/>
        </w:rPr>
        <w:t xml:space="preserve">Poisson process. </w:t>
      </w:r>
      <w:r w:rsidR="00CA2B49">
        <w:rPr>
          <w:lang w:val="en-GB"/>
        </w:rPr>
        <w:t>It describes the elementary moveme</w:t>
      </w:r>
      <w:r w:rsidR="00806223">
        <w:rPr>
          <w:lang w:val="en-GB"/>
        </w:rPr>
        <w:t>nt</w:t>
      </w:r>
      <w:r w:rsidR="00964009">
        <w:rPr>
          <w:lang w:val="en-GB"/>
        </w:rPr>
        <w:t>s</w:t>
      </w:r>
      <w:r w:rsidR="00806223">
        <w:rPr>
          <w:lang w:val="en-GB"/>
        </w:rPr>
        <w:t xml:space="preserve"> dx along a straight line of</w:t>
      </w:r>
      <w:r w:rsidR="00CA2B49">
        <w:rPr>
          <w:lang w:val="en-GB"/>
        </w:rPr>
        <w:t xml:space="preserve"> microscopic </w:t>
      </w:r>
      <w:r>
        <w:rPr>
          <w:lang w:val="en-GB"/>
        </w:rPr>
        <w:t>particle</w:t>
      </w:r>
      <w:r w:rsidR="00806223">
        <w:rPr>
          <w:lang w:val="en-GB"/>
        </w:rPr>
        <w:t>s</w:t>
      </w:r>
      <w:r>
        <w:rPr>
          <w:lang w:val="en-GB"/>
        </w:rPr>
        <w:t>, which</w:t>
      </w:r>
      <w:r w:rsidR="00806223">
        <w:rPr>
          <w:lang w:val="en-GB"/>
        </w:rPr>
        <w:t xml:space="preserve"> invert</w:t>
      </w:r>
      <w:r w:rsidR="00CA2B49">
        <w:rPr>
          <w:lang w:val="en-GB"/>
        </w:rPr>
        <w:t xml:space="preserve"> velocity direction</w:t>
      </w:r>
      <w:r w:rsidR="00806223">
        <w:rPr>
          <w:lang w:val="en-GB"/>
        </w:rPr>
        <w:t>s</w:t>
      </w:r>
      <w:r w:rsidR="00F825DB">
        <w:rPr>
          <w:lang w:val="en-GB"/>
        </w:rPr>
        <w:t xml:space="preserve"> according to</w:t>
      </w:r>
      <w:r w:rsidR="00CA2B49">
        <w:rPr>
          <w:lang w:val="en-GB"/>
        </w:rPr>
        <w:t xml:space="preserve"> </w:t>
      </w:r>
      <w:r w:rsidR="00F825DB">
        <w:rPr>
          <w:lang w:val="en-GB"/>
        </w:rPr>
        <w:t xml:space="preserve">the stochastic </w:t>
      </w:r>
      <w:r w:rsidR="00CA2B49">
        <w:rPr>
          <w:lang w:val="en-GB"/>
        </w:rPr>
        <w:t>process</w:t>
      </w:r>
      <w:r>
        <w:rPr>
          <w:lang w:val="en-GB"/>
        </w:rPr>
        <w:t xml:space="preserve">. </w:t>
      </w:r>
      <w:r w:rsidR="00806223">
        <w:rPr>
          <w:lang w:val="en-GB"/>
        </w:rPr>
        <w:t xml:space="preserve">This means that: </w:t>
      </w:r>
    </w:p>
    <w:p w14:paraId="5117F329" w14:textId="61319C40" w:rsidR="00806223" w:rsidRDefault="00806223" w:rsidP="00806223">
      <w:pPr>
        <w:pStyle w:val="CETBodytext"/>
        <w:numPr>
          <w:ilvl w:val="0"/>
          <w:numId w:val="22"/>
        </w:numPr>
        <w:rPr>
          <w:lang w:val="en-GB"/>
        </w:rPr>
      </w:pPr>
      <w:r>
        <w:rPr>
          <w:lang w:val="en-GB"/>
        </w:rPr>
        <w:t>Particle velocities switch</w:t>
      </w:r>
      <w:r w:rsidR="003D2BD5">
        <w:rPr>
          <w:lang w:val="en-GB"/>
        </w:rPr>
        <w:t xml:space="preserve"> </w:t>
      </w:r>
      <w:r>
        <w:rPr>
          <w:lang w:val="en-GB"/>
        </w:rPr>
        <w:t xml:space="preserve">randomly </w:t>
      </w:r>
      <w:r w:rsidR="003D2BD5">
        <w:rPr>
          <w:lang w:val="en-GB"/>
        </w:rPr>
        <w:t xml:space="preserve">between </w:t>
      </w:r>
      <w:r w:rsidR="00CE71F2">
        <w:rPr>
          <w:position w:val="-4"/>
          <w:lang w:val="en-GB"/>
        </w:rPr>
        <w:pict w14:anchorId="3BE98D0C">
          <v:shape id="_x0000_i1027" type="#_x0000_t75" style="width:14.1pt;height:10.05pt">
            <v:imagedata r:id="rId13" o:title=""/>
          </v:shape>
        </w:pict>
      </w:r>
      <w:r w:rsidR="003D2BD5">
        <w:rPr>
          <w:lang w:val="en-GB"/>
        </w:rPr>
        <w:t xml:space="preserve"> and </w:t>
      </w:r>
      <w:r w:rsidR="00CE71F2">
        <w:rPr>
          <w:position w:val="-4"/>
          <w:lang w:val="en-GB"/>
        </w:rPr>
        <w:pict w14:anchorId="3332045D">
          <v:shape id="_x0000_i1028" type="#_x0000_t75" style="width:14.1pt;height:10.05pt">
            <v:imagedata r:id="rId14" o:title=""/>
          </v:shape>
        </w:pict>
      </w:r>
      <w:r w:rsidR="00283EAB">
        <w:rPr>
          <w:lang w:val="en-GB"/>
        </w:rPr>
        <w:t>.</w:t>
      </w:r>
      <w:r>
        <w:rPr>
          <w:lang w:val="en-GB"/>
        </w:rPr>
        <w:t xml:space="preserve"> </w:t>
      </w:r>
    </w:p>
    <w:p w14:paraId="7A21DBDC" w14:textId="1092D1AB" w:rsidR="00BA3918" w:rsidRDefault="00806223" w:rsidP="0057522D">
      <w:pPr>
        <w:pStyle w:val="CETBodytext"/>
        <w:numPr>
          <w:ilvl w:val="0"/>
          <w:numId w:val="22"/>
        </w:numPr>
        <w:rPr>
          <w:lang w:val="en-GB"/>
        </w:rPr>
      </w:pPr>
      <w:r>
        <w:rPr>
          <w:lang w:val="en-GB"/>
        </w:rPr>
        <w:t>T</w:t>
      </w:r>
      <w:r w:rsidR="00BA3918" w:rsidRPr="00806223">
        <w:rPr>
          <w:lang w:val="en-GB"/>
        </w:rPr>
        <w:t>he probability of having n velocity inversions</w:t>
      </w:r>
      <w:r w:rsidR="00FB1236" w:rsidRPr="00806223">
        <w:rPr>
          <w:lang w:val="en-GB"/>
        </w:rPr>
        <w:t xml:space="preserve"> in a certain time period t is given by</w:t>
      </w:r>
      <w:r w:rsidR="00BA3918" w:rsidRPr="00806223">
        <w:rPr>
          <w:lang w:val="en-GB"/>
        </w:rPr>
        <w:t xml:space="preserve"> the </w:t>
      </w:r>
      <w:r>
        <w:rPr>
          <w:lang w:val="en-GB"/>
        </w:rPr>
        <w:t xml:space="preserve">following </w:t>
      </w:r>
      <w:r w:rsidR="00BA3918" w:rsidRPr="00806223">
        <w:rPr>
          <w:lang w:val="en-GB"/>
        </w:rPr>
        <w:t>Poisson distribution:</w:t>
      </w:r>
      <w:r w:rsidR="00CE71F2">
        <w:rPr>
          <w:position w:val="-8"/>
          <w:lang w:val="en-GB"/>
        </w:rPr>
        <w:pict w14:anchorId="706CE874">
          <v:shape id="_x0000_i1029" type="#_x0000_t75" style="width:50.85pt;height:17.1pt">
            <v:imagedata r:id="rId15" o:title=""/>
          </v:shape>
        </w:pict>
      </w:r>
      <w:proofErr w:type="gramStart"/>
      <w:r w:rsidR="00524FCC">
        <w:rPr>
          <w:lang w:val="en-GB"/>
        </w:rPr>
        <w:t>;</w:t>
      </w:r>
      <w:proofErr w:type="gramEnd"/>
      <w:r w:rsidR="0000579C">
        <w:rPr>
          <w:lang w:val="en-GB"/>
        </w:rPr>
        <w:t xml:space="preserve"> a being the transition rate.</w:t>
      </w:r>
    </w:p>
    <w:p w14:paraId="643208E3" w14:textId="3DEAA01B" w:rsidR="00A57557" w:rsidRDefault="00A57557" w:rsidP="0057522D">
      <w:pPr>
        <w:pStyle w:val="CETBodytext"/>
        <w:numPr>
          <w:ilvl w:val="0"/>
          <w:numId w:val="22"/>
        </w:numPr>
        <w:rPr>
          <w:lang w:val="en-GB"/>
        </w:rPr>
      </w:pPr>
      <w:r>
        <w:rPr>
          <w:lang w:val="en-GB"/>
        </w:rPr>
        <w:t>Particle trajectories are almost everywhere</w:t>
      </w:r>
      <w:r w:rsidRPr="00A57557">
        <w:rPr>
          <w:lang w:val="en-GB"/>
        </w:rPr>
        <w:t xml:space="preserve"> </w:t>
      </w:r>
      <w:r>
        <w:rPr>
          <w:lang w:val="en-GB"/>
        </w:rPr>
        <w:t>continuous.</w:t>
      </w:r>
    </w:p>
    <w:p w14:paraId="2956BF43" w14:textId="77777777" w:rsidR="00A57557" w:rsidRPr="00806223" w:rsidRDefault="00A57557" w:rsidP="00A57557">
      <w:pPr>
        <w:pStyle w:val="CETBodytext"/>
        <w:ind w:left="360"/>
        <w:rPr>
          <w:lang w:val="en-GB"/>
        </w:rPr>
      </w:pPr>
    </w:p>
    <w:p w14:paraId="195D322B" w14:textId="2EB3447C" w:rsidR="0000579C" w:rsidRDefault="00F825DB" w:rsidP="00600535">
      <w:pPr>
        <w:pStyle w:val="CETBodytext"/>
        <w:rPr>
          <w:lang w:val="en-GB"/>
        </w:rPr>
      </w:pPr>
      <w:r>
        <w:rPr>
          <w:lang w:val="en-GB"/>
        </w:rPr>
        <w:t xml:space="preserve">This last </w:t>
      </w:r>
      <w:r w:rsidR="00B14C80">
        <w:rPr>
          <w:lang w:val="en-GB"/>
        </w:rPr>
        <w:t>represents a fundamental issue</w:t>
      </w:r>
      <w:r w:rsidR="0012096B">
        <w:rPr>
          <w:lang w:val="en-GB"/>
        </w:rPr>
        <w:t xml:space="preserve"> concerning</w:t>
      </w:r>
      <w:r w:rsidR="00B14C80">
        <w:rPr>
          <w:lang w:val="en-GB"/>
        </w:rPr>
        <w:t xml:space="preserve"> </w:t>
      </w:r>
      <w:r w:rsidR="00A57557">
        <w:rPr>
          <w:lang w:val="en-GB"/>
        </w:rPr>
        <w:t>the</w:t>
      </w:r>
      <w:r w:rsidR="00283EAB">
        <w:rPr>
          <w:lang w:val="en-GB"/>
        </w:rPr>
        <w:t xml:space="preserve"> Poisson-</w:t>
      </w:r>
      <w:proofErr w:type="spellStart"/>
      <w:r w:rsidR="00283EAB">
        <w:rPr>
          <w:lang w:val="en-GB"/>
        </w:rPr>
        <w:t>Kac</w:t>
      </w:r>
      <w:proofErr w:type="spellEnd"/>
      <w:r w:rsidR="00283EAB">
        <w:rPr>
          <w:lang w:val="en-GB"/>
        </w:rPr>
        <w:t xml:space="preserve"> process</w:t>
      </w:r>
      <w:r w:rsidR="0012096B">
        <w:rPr>
          <w:lang w:val="en-GB"/>
        </w:rPr>
        <w:t>, which makes</w:t>
      </w:r>
      <w:r w:rsidR="00283EAB">
        <w:rPr>
          <w:lang w:val="en-GB"/>
        </w:rPr>
        <w:t xml:space="preserve"> </w:t>
      </w:r>
      <w:r w:rsidR="0012096B">
        <w:rPr>
          <w:lang w:val="en-GB"/>
        </w:rPr>
        <w:t>it</w:t>
      </w:r>
      <w:r w:rsidR="00B14C80">
        <w:rPr>
          <w:lang w:val="en-GB"/>
        </w:rPr>
        <w:t xml:space="preserve"> </w:t>
      </w:r>
      <w:r w:rsidR="00283EAB">
        <w:rPr>
          <w:lang w:val="en-GB"/>
        </w:rPr>
        <w:t xml:space="preserve">a suitable </w:t>
      </w:r>
      <w:r w:rsidR="00A57557">
        <w:rPr>
          <w:lang w:val="en-GB"/>
        </w:rPr>
        <w:t xml:space="preserve">microscopic </w:t>
      </w:r>
      <w:proofErr w:type="spellStart"/>
      <w:r w:rsidR="00A57557">
        <w:rPr>
          <w:lang w:val="en-GB"/>
        </w:rPr>
        <w:t>Lagrangian</w:t>
      </w:r>
      <w:proofErr w:type="spellEnd"/>
      <w:r w:rsidR="00A57557">
        <w:rPr>
          <w:lang w:val="en-GB"/>
        </w:rPr>
        <w:t xml:space="preserve"> </w:t>
      </w:r>
      <w:r w:rsidR="00D77192">
        <w:rPr>
          <w:lang w:val="en-GB"/>
        </w:rPr>
        <w:t>description</w:t>
      </w:r>
      <w:r w:rsidR="00447425">
        <w:rPr>
          <w:lang w:val="en-GB"/>
        </w:rPr>
        <w:t xml:space="preserve"> overcoming</w:t>
      </w:r>
      <w:r w:rsidR="00A57557">
        <w:rPr>
          <w:lang w:val="en-GB"/>
        </w:rPr>
        <w:t xml:space="preserve"> the intrinsic physical limitation of the Wiener process</w:t>
      </w:r>
      <w:r w:rsidR="00F35983">
        <w:rPr>
          <w:lang w:val="en-GB"/>
        </w:rPr>
        <w:t>,</w:t>
      </w:r>
      <w:r w:rsidR="00A57557">
        <w:rPr>
          <w:lang w:val="en-GB"/>
        </w:rPr>
        <w:t xml:space="preserve"> which </w:t>
      </w:r>
      <w:r w:rsidR="00B34FCB">
        <w:rPr>
          <w:lang w:val="en-GB"/>
        </w:rPr>
        <w:t xml:space="preserve">is </w:t>
      </w:r>
      <w:r w:rsidR="00A57557">
        <w:rPr>
          <w:lang w:val="en-GB"/>
        </w:rPr>
        <w:t>the m</w:t>
      </w:r>
      <w:r w:rsidR="00F35983">
        <w:rPr>
          <w:lang w:val="en-GB"/>
        </w:rPr>
        <w:t>icroscopic framework historically ad</w:t>
      </w:r>
      <w:r w:rsidR="00283EAB">
        <w:rPr>
          <w:lang w:val="en-GB"/>
        </w:rPr>
        <w:t>opted for the description of</w:t>
      </w:r>
      <w:r w:rsidR="00F35983">
        <w:rPr>
          <w:lang w:val="en-GB"/>
        </w:rPr>
        <w:t xml:space="preserve"> Brownian motion (</w:t>
      </w:r>
      <w:r w:rsidR="00B14C80">
        <w:rPr>
          <w:lang w:val="en-GB"/>
        </w:rPr>
        <w:t xml:space="preserve">whose </w:t>
      </w:r>
      <w:proofErr w:type="spellStart"/>
      <w:r w:rsidR="00B14C80">
        <w:rPr>
          <w:lang w:val="en-GB"/>
        </w:rPr>
        <w:t>Eulerian</w:t>
      </w:r>
      <w:proofErr w:type="spellEnd"/>
      <w:r w:rsidR="00B14C80">
        <w:rPr>
          <w:lang w:val="en-GB"/>
        </w:rPr>
        <w:t xml:space="preserve"> description is</w:t>
      </w:r>
      <w:r w:rsidR="00F35983">
        <w:rPr>
          <w:lang w:val="en-GB"/>
        </w:rPr>
        <w:t xml:space="preserve"> the cl</w:t>
      </w:r>
      <w:r w:rsidR="00FC7D72">
        <w:rPr>
          <w:lang w:val="en-GB"/>
        </w:rPr>
        <w:t>ass</w:t>
      </w:r>
      <w:r w:rsidR="00283EAB">
        <w:rPr>
          <w:lang w:val="en-GB"/>
        </w:rPr>
        <w:t xml:space="preserve">ical diffusion equation). In a </w:t>
      </w:r>
      <w:r w:rsidR="00F35983">
        <w:rPr>
          <w:lang w:val="en-GB"/>
        </w:rPr>
        <w:t>Wiener process</w:t>
      </w:r>
      <w:r w:rsidR="00FC7D72">
        <w:rPr>
          <w:lang w:val="en-GB"/>
        </w:rPr>
        <w:t xml:space="preserve">, </w:t>
      </w:r>
      <w:r w:rsidR="00F35983">
        <w:rPr>
          <w:lang w:val="en-GB"/>
        </w:rPr>
        <w:t>in fact</w:t>
      </w:r>
      <w:r w:rsidR="00FC7D72">
        <w:rPr>
          <w:lang w:val="en-GB"/>
        </w:rPr>
        <w:t>,</w:t>
      </w:r>
      <w:r w:rsidR="00F35983">
        <w:rPr>
          <w:lang w:val="en-GB"/>
        </w:rPr>
        <w:t xml:space="preserve"> </w:t>
      </w:r>
      <w:r w:rsidR="00FC7D72">
        <w:rPr>
          <w:lang w:val="en-GB"/>
        </w:rPr>
        <w:t xml:space="preserve">we have </w:t>
      </w:r>
      <w:r w:rsidR="00B14C80">
        <w:rPr>
          <w:lang w:val="en-GB"/>
        </w:rPr>
        <w:t xml:space="preserve">(stochastic) </w:t>
      </w:r>
      <w:r w:rsidR="00FC7D72">
        <w:rPr>
          <w:lang w:val="en-GB"/>
        </w:rPr>
        <w:t>Gaussian independent elementary movements</w:t>
      </w:r>
      <w:r w:rsidR="00964009">
        <w:rPr>
          <w:lang w:val="en-GB"/>
        </w:rPr>
        <w:t>,</w:t>
      </w:r>
      <w:r w:rsidR="00FC7D72">
        <w:rPr>
          <w:lang w:val="en-GB"/>
        </w:rPr>
        <w:t xml:space="preserve"> which imply unbounded particles velocities; this reflects on the derived </w:t>
      </w:r>
      <w:r w:rsidR="00283EAB">
        <w:rPr>
          <w:lang w:val="en-GB"/>
        </w:rPr>
        <w:t xml:space="preserve">classical </w:t>
      </w:r>
      <w:r w:rsidR="00FC7D72">
        <w:rPr>
          <w:lang w:val="en-GB"/>
        </w:rPr>
        <w:t xml:space="preserve">diffusion equation: </w:t>
      </w:r>
      <w:r w:rsidR="00CE71F2">
        <w:rPr>
          <w:position w:val="-12"/>
          <w:lang w:val="en-GB"/>
        </w:rPr>
        <w:pict w14:anchorId="6C7DE7CD">
          <v:shape id="_x0000_i1030" type="#_x0000_t75" style="width:82.05pt;height:19.65pt">
            <v:imagedata r:id="rId16" o:title=""/>
          </v:shape>
        </w:pict>
      </w:r>
      <w:r w:rsidR="00FC7D72">
        <w:rPr>
          <w:lang w:val="en-GB"/>
        </w:rPr>
        <w:t xml:space="preserve"> which admits unbounded propagation </w:t>
      </w:r>
      <w:r w:rsidR="006B3459">
        <w:rPr>
          <w:lang w:val="en-GB"/>
        </w:rPr>
        <w:t>velocities. The</w:t>
      </w:r>
      <w:r w:rsidR="00964009">
        <w:rPr>
          <w:lang w:val="en-GB"/>
        </w:rPr>
        <w:t xml:space="preserve"> </w:t>
      </w:r>
      <w:r w:rsidR="0000579C">
        <w:rPr>
          <w:lang w:val="en-GB"/>
        </w:rPr>
        <w:t xml:space="preserve">last issue </w:t>
      </w:r>
      <w:r w:rsidR="00964009">
        <w:rPr>
          <w:lang w:val="en-GB"/>
        </w:rPr>
        <w:t>makes such</w:t>
      </w:r>
      <w:r w:rsidR="00FC7D72">
        <w:rPr>
          <w:lang w:val="en-GB"/>
        </w:rPr>
        <w:t xml:space="preserve"> equation useless </w:t>
      </w:r>
      <w:r w:rsidR="00964009">
        <w:rPr>
          <w:lang w:val="en-GB"/>
        </w:rPr>
        <w:t xml:space="preserve">in transport phenomena </w:t>
      </w:r>
      <w:r w:rsidR="00283EAB">
        <w:rPr>
          <w:lang w:val="en-GB"/>
        </w:rPr>
        <w:t xml:space="preserve">description </w:t>
      </w:r>
      <w:r w:rsidR="00FC7D72">
        <w:rPr>
          <w:lang w:val="en-GB"/>
        </w:rPr>
        <w:t>when deal</w:t>
      </w:r>
      <w:r w:rsidR="00964009">
        <w:rPr>
          <w:lang w:val="en-GB"/>
        </w:rPr>
        <w:t>ing</w:t>
      </w:r>
      <w:r w:rsidR="00FC7D72">
        <w:rPr>
          <w:lang w:val="en-GB"/>
        </w:rPr>
        <w:t xml:space="preserve"> with</w:t>
      </w:r>
      <w:r w:rsidR="00964009">
        <w:rPr>
          <w:lang w:val="en-GB"/>
        </w:rPr>
        <w:t xml:space="preserve"> very short timesc</w:t>
      </w:r>
      <w:r w:rsidR="009932C5">
        <w:rPr>
          <w:lang w:val="en-GB"/>
        </w:rPr>
        <w:t>ales (</w:t>
      </w:r>
      <w:proofErr w:type="spellStart"/>
      <w:r w:rsidR="00447425">
        <w:rPr>
          <w:lang w:val="en-GB"/>
        </w:rPr>
        <w:t>Brasiello</w:t>
      </w:r>
      <w:proofErr w:type="spellEnd"/>
      <w:r w:rsidR="00447425">
        <w:rPr>
          <w:lang w:val="en-GB"/>
        </w:rPr>
        <w:t xml:space="preserve"> et Al, 2016b and references therein</w:t>
      </w:r>
      <w:r w:rsidR="009932C5">
        <w:rPr>
          <w:lang w:val="en-GB"/>
        </w:rPr>
        <w:t>) as well as</w:t>
      </w:r>
      <w:r w:rsidR="00964009">
        <w:rPr>
          <w:lang w:val="en-GB"/>
        </w:rPr>
        <w:t xml:space="preserve"> when wave-like behaviours </w:t>
      </w:r>
      <w:r w:rsidR="009932C5">
        <w:rPr>
          <w:lang w:val="en-GB"/>
        </w:rPr>
        <w:t xml:space="preserve">or correlations emerge as in </w:t>
      </w:r>
      <w:r w:rsidR="00964009">
        <w:rPr>
          <w:lang w:val="en-GB"/>
        </w:rPr>
        <w:t xml:space="preserve">the case </w:t>
      </w:r>
      <w:r w:rsidR="00283EAB">
        <w:rPr>
          <w:lang w:val="en-GB"/>
        </w:rPr>
        <w:t>of transport behavi</w:t>
      </w:r>
      <w:r w:rsidR="00952A41">
        <w:rPr>
          <w:lang w:val="en-GB"/>
        </w:rPr>
        <w:t>our in polymer matrices (</w:t>
      </w:r>
      <w:r w:rsidR="00283EAB">
        <w:rPr>
          <w:lang w:val="en-GB"/>
        </w:rPr>
        <w:t>Th</w:t>
      </w:r>
      <w:r w:rsidR="0000579C">
        <w:rPr>
          <w:lang w:val="en-GB"/>
        </w:rPr>
        <w:t xml:space="preserve">omas </w:t>
      </w:r>
      <w:r w:rsidR="00952A41">
        <w:rPr>
          <w:lang w:val="en-GB"/>
        </w:rPr>
        <w:t xml:space="preserve">and </w:t>
      </w:r>
      <w:proofErr w:type="spellStart"/>
      <w:r w:rsidR="0000579C">
        <w:rPr>
          <w:lang w:val="en-GB"/>
        </w:rPr>
        <w:t>Windle</w:t>
      </w:r>
      <w:proofErr w:type="spellEnd"/>
      <w:r w:rsidR="00952A41">
        <w:rPr>
          <w:lang w:val="en-GB"/>
        </w:rPr>
        <w:t>, 1982</w:t>
      </w:r>
      <w:r w:rsidR="0000579C">
        <w:rPr>
          <w:lang w:val="en-GB"/>
        </w:rPr>
        <w:t>).</w:t>
      </w:r>
    </w:p>
    <w:p w14:paraId="218D54AF" w14:textId="2E7960DB" w:rsidR="00441F6D" w:rsidRDefault="00441F6D" w:rsidP="00441F6D">
      <w:pPr>
        <w:pStyle w:val="CETBodytext"/>
        <w:rPr>
          <w:lang w:val="en-GB"/>
        </w:rPr>
      </w:pPr>
      <w:r>
        <w:rPr>
          <w:lang w:val="en-GB"/>
        </w:rPr>
        <w:t>From Eq. (1) the following definition of probability density functions (</w:t>
      </w:r>
      <w:r>
        <w:t>also known as partial probability waves)</w:t>
      </w:r>
      <w:r>
        <w:rPr>
          <w:lang w:val="en-GB"/>
        </w:rPr>
        <w:t xml:space="preserve"> arises: </w:t>
      </w:r>
    </w:p>
    <w:p w14:paraId="45F67E03" w14:textId="58ED94AA" w:rsidR="00441F6D" w:rsidRDefault="00524FCC" w:rsidP="00441F6D">
      <w:pPr>
        <w:pStyle w:val="CETEquation"/>
      </w:pPr>
      <w:r w:rsidRPr="00FC0D21">
        <w:rPr>
          <w:position w:val="-28"/>
        </w:rPr>
        <w:object w:dxaOrig="3720" w:dyaOrig="660" w14:anchorId="7C87440F">
          <v:shape id="_x0000_i1031" type="#_x0000_t75" style="width:185.8pt;height:33.25pt" o:ole="">
            <v:imagedata r:id="rId17" o:title=""/>
          </v:shape>
          <o:OLEObject Type="Embed" ProgID="Equation.DSMT4" ShapeID="_x0000_i1031" DrawAspect="Content" ObjectID="_1489682459" r:id="rId18"/>
        </w:object>
      </w:r>
      <w:r w:rsidR="00441F6D">
        <w:t xml:space="preserve"> </w:t>
      </w:r>
      <w:r w:rsidR="00441F6D">
        <w:tab/>
      </w:r>
      <w:r w:rsidR="00441F6D">
        <w:tab/>
      </w:r>
      <w:r w:rsidR="00441F6D">
        <w:tab/>
        <w:t>(2)</w:t>
      </w:r>
    </w:p>
    <w:p w14:paraId="1C4D1B06" w14:textId="0F92AA1B" w:rsidR="00441F6D" w:rsidRDefault="00CE71F2" w:rsidP="00441F6D">
      <w:pPr>
        <w:pStyle w:val="CETBodytext"/>
      </w:pPr>
      <w:r>
        <w:rPr>
          <w:position w:val="-8"/>
        </w:rPr>
        <w:pict w14:anchorId="6C4AF0E0">
          <v:shape id="_x0000_i1032" type="#_x0000_t75" style="width:31.2pt;height:17.1pt">
            <v:imagedata r:id="rId19" o:title=""/>
          </v:shape>
        </w:pict>
      </w:r>
      <w:r w:rsidR="00441F6D">
        <w:t xml:space="preserve"> </w:t>
      </w:r>
      <w:proofErr w:type="gramStart"/>
      <w:r w:rsidR="00B34FCB">
        <w:t>is</w:t>
      </w:r>
      <w:proofErr w:type="gramEnd"/>
      <w:r w:rsidR="00B34FCB">
        <w:t xml:space="preserve"> the</w:t>
      </w:r>
      <w:r w:rsidR="00441F6D">
        <w:t xml:space="preserve"> probability density </w:t>
      </w:r>
      <w:r w:rsidR="00B34FCB">
        <w:t>function</w:t>
      </w:r>
      <w:r w:rsidR="00441F6D">
        <w:t xml:space="preserve"> of </w:t>
      </w:r>
      <w:r w:rsidR="00B34FCB">
        <w:t xml:space="preserve">the distribution of </w:t>
      </w:r>
      <w:r w:rsidR="00441F6D">
        <w:t xml:space="preserve">particles with </w:t>
      </w:r>
      <w:r>
        <w:rPr>
          <w:position w:val="-4"/>
        </w:rPr>
        <w:pict w14:anchorId="1207C447">
          <v:shape id="_x0000_i1033" type="#_x0000_t75" style="width:14.1pt;height:10.05pt">
            <v:imagedata r:id="rId20" o:title=""/>
          </v:shape>
        </w:pict>
      </w:r>
      <w:r w:rsidR="00441F6D">
        <w:t xml:space="preserve"> velocity, while</w:t>
      </w:r>
      <w:r w:rsidR="00B34FCB">
        <w:t xml:space="preserve"> </w:t>
      </w:r>
      <w:r>
        <w:rPr>
          <w:position w:val="-8"/>
        </w:rPr>
        <w:pict w14:anchorId="4F0197DB">
          <v:shape id="_x0000_i1034" type="#_x0000_t75" style="width:31.2pt;height:17.1pt">
            <v:imagedata r:id="rId21" o:title=""/>
          </v:shape>
        </w:pict>
      </w:r>
      <w:r w:rsidR="00441F6D">
        <w:t xml:space="preserve">is the probability density function related to </w:t>
      </w:r>
      <w:r w:rsidR="00B34FCB">
        <w:t>the distribution of particles having</w:t>
      </w:r>
      <w:r w:rsidR="00441F6D">
        <w:t xml:space="preserve"> </w:t>
      </w:r>
      <w:r>
        <w:rPr>
          <w:position w:val="-4"/>
        </w:rPr>
        <w:pict w14:anchorId="0B2B9204">
          <v:shape id="_x0000_i1035" type="#_x0000_t75" style="width:14.1pt;height:10.05pt">
            <v:imagedata r:id="rId22" o:title=""/>
          </v:shape>
        </w:pict>
      </w:r>
      <w:r w:rsidR="00441F6D">
        <w:t xml:space="preserve"> velocity.</w:t>
      </w:r>
    </w:p>
    <w:p w14:paraId="082F976B" w14:textId="1ED1B5B4" w:rsidR="00441F6D" w:rsidRDefault="00441F6D" w:rsidP="00441F6D">
      <w:pPr>
        <w:pStyle w:val="CETBodytext"/>
      </w:pPr>
      <w:r>
        <w:t xml:space="preserve">It is possible to demonstrate </w:t>
      </w:r>
      <w:r w:rsidR="00B14C80">
        <w:t>(</w:t>
      </w:r>
      <w:proofErr w:type="spellStart"/>
      <w:r w:rsidR="00447425">
        <w:t>Giona</w:t>
      </w:r>
      <w:proofErr w:type="spellEnd"/>
      <w:r w:rsidR="00447425">
        <w:t xml:space="preserve"> et Al</w:t>
      </w:r>
      <w:r w:rsidR="00134251">
        <w:t>.</w:t>
      </w:r>
      <w:r w:rsidR="00447425">
        <w:t>, 2015</w:t>
      </w:r>
      <w:r w:rsidR="00B14C80">
        <w:t xml:space="preserve">) </w:t>
      </w:r>
      <w:r>
        <w:t xml:space="preserve">that </w:t>
      </w:r>
      <w:r w:rsidR="00CE71F2">
        <w:rPr>
          <w:position w:val="-8"/>
        </w:rPr>
        <w:pict w14:anchorId="4B17FB22">
          <v:shape id="_x0000_i1036" type="#_x0000_t75" style="width:30.2pt;height:17.1pt">
            <v:imagedata r:id="rId23" o:title=""/>
          </v:shape>
        </w:pict>
      </w:r>
      <w:r>
        <w:t xml:space="preserve"> satisfy the following dissipative wave equations:</w:t>
      </w:r>
    </w:p>
    <w:p w14:paraId="24D099BF" w14:textId="5048768F" w:rsidR="00441F6D" w:rsidRDefault="00441F6D" w:rsidP="00441F6D">
      <w:pPr>
        <w:pStyle w:val="MTDisplayEquation"/>
      </w:pPr>
      <w:r w:rsidRPr="004078BE">
        <w:rPr>
          <w:position w:val="-50"/>
        </w:rPr>
        <w:object w:dxaOrig="3420" w:dyaOrig="1100" w14:anchorId="720A175F">
          <v:shape id="_x0000_i1037" type="#_x0000_t75" style="width:171.2pt;height:54.9pt" o:ole="">
            <v:imagedata r:id="rId24" o:title=""/>
          </v:shape>
          <o:OLEObject Type="Embed" ProgID="Equation.DSMT4" ShapeID="_x0000_i1037" DrawAspect="Content" ObjectID="_1489682460" r:id="rId25"/>
        </w:object>
      </w:r>
      <w:r>
        <w:t xml:space="preserve"> </w:t>
      </w:r>
      <w:r>
        <w:tab/>
      </w:r>
      <w:r>
        <w:tab/>
        <w:t>(3)</w:t>
      </w:r>
    </w:p>
    <w:p w14:paraId="6F00810C" w14:textId="364E7340" w:rsidR="00441F6D" w:rsidRDefault="00B14C80" w:rsidP="00441F6D">
      <w:proofErr w:type="spellStart"/>
      <w:r>
        <w:lastRenderedPageBreak/>
        <w:t>Eqs</w:t>
      </w:r>
      <w:proofErr w:type="spellEnd"/>
      <w:r>
        <w:t xml:space="preserve">. (3) </w:t>
      </w:r>
      <w:proofErr w:type="gramStart"/>
      <w:r>
        <w:t>are</w:t>
      </w:r>
      <w:proofErr w:type="gramEnd"/>
      <w:r>
        <w:t xml:space="preserve"> hyperbolic with linear recombination terms </w:t>
      </w:r>
      <w:r>
        <w:rPr>
          <w:noProof/>
          <w:position w:val="-18"/>
          <w:lang w:val="it-IT" w:eastAsia="it-IT"/>
        </w:rPr>
        <w:drawing>
          <wp:inline distT="0" distB="0" distL="0" distR="0" wp14:anchorId="4A8E148E" wp14:editId="6F7BE88B">
            <wp:extent cx="773430" cy="28130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3430" cy="281305"/>
                    </a:xfrm>
                    <a:prstGeom prst="rect">
                      <a:avLst/>
                    </a:prstGeom>
                    <a:noFill/>
                    <a:ln>
                      <a:noFill/>
                    </a:ln>
                  </pic:spPr>
                </pic:pic>
              </a:graphicData>
            </a:graphic>
          </wp:inline>
        </w:drawing>
      </w:r>
      <w:r>
        <w:t xml:space="preserve">. </w:t>
      </w:r>
      <w:r w:rsidR="00441F6D">
        <w:t>From Eq. (3), by defining the overa</w:t>
      </w:r>
      <w:r w:rsidR="002207D0">
        <w:t xml:space="preserve">ll probability density function </w:t>
      </w:r>
      <w:r w:rsidR="00CE71F2">
        <w:rPr>
          <w:position w:val="-8"/>
        </w:rPr>
        <w:pict w14:anchorId="1C2394DC">
          <v:shape id="_x0000_i1038" type="#_x0000_t75" style="width:60.4pt;height:17.1pt">
            <v:imagedata r:id="rId27" o:title=""/>
          </v:shape>
        </w:pict>
      </w:r>
      <w:r w:rsidR="00441F6D">
        <w:t xml:space="preserve"> and the diffusion flux </w:t>
      </w:r>
      <w:r w:rsidR="00CE71F2">
        <w:rPr>
          <w:position w:val="-8"/>
        </w:rPr>
        <w:pict w14:anchorId="1C128761">
          <v:shape id="_x0000_i1039" type="#_x0000_t75" style="width:1in;height:17.1pt">
            <v:imagedata r:id="rId28" o:title=""/>
          </v:shape>
        </w:pict>
      </w:r>
      <w:r w:rsidR="002207D0">
        <w:t xml:space="preserve">, </w:t>
      </w:r>
      <w:r w:rsidR="00441F6D">
        <w:t>we derive the following equations:</w:t>
      </w:r>
    </w:p>
    <w:p w14:paraId="0163A080" w14:textId="23BE7A9C" w:rsidR="00441F6D" w:rsidRDefault="00CE71F2" w:rsidP="00441F6D">
      <w:pPr>
        <w:pStyle w:val="MTDisplayEquation"/>
      </w:pPr>
      <w:r>
        <w:rPr>
          <w:position w:val="-46"/>
        </w:rPr>
        <w:pict w14:anchorId="0DE04458">
          <v:shape id="_x0000_i1040" type="#_x0000_t75" style="width:110.75pt;height:50.85pt">
            <v:imagedata r:id="rId29" o:title=""/>
          </v:shape>
        </w:pict>
      </w:r>
      <w:r w:rsidR="00673254">
        <w:tab/>
      </w:r>
      <w:r w:rsidR="00673254">
        <w:tab/>
        <w:t>(4</w:t>
      </w:r>
      <w:r w:rsidR="00441F6D">
        <w:t xml:space="preserve">) </w:t>
      </w:r>
    </w:p>
    <w:p w14:paraId="45B02C9F" w14:textId="77777777" w:rsidR="00AA34B0" w:rsidRDefault="00441F6D" w:rsidP="00A37666">
      <w:pPr>
        <w:pStyle w:val="CETBodytext"/>
      </w:pPr>
      <w:proofErr w:type="gramStart"/>
      <w:r>
        <w:t>in</w:t>
      </w:r>
      <w:proofErr w:type="gramEnd"/>
      <w:r>
        <w:t xml:space="preserve"> which </w:t>
      </w:r>
      <w:r w:rsidR="00CE71F2">
        <w:rPr>
          <w:position w:val="-8"/>
        </w:rPr>
        <w:pict w14:anchorId="6FAAAEF8">
          <v:shape id="_x0000_i1041" type="#_x0000_t75" style="width:41.8pt;height:12.6pt">
            <v:imagedata r:id="rId30" o:title=""/>
          </v:shape>
        </w:pict>
      </w:r>
      <w:r>
        <w:t xml:space="preserve"> is the relaxation time and </w:t>
      </w:r>
      <w:r w:rsidR="00CE71F2">
        <w:rPr>
          <w:position w:val="-8"/>
        </w:rPr>
        <w:pict w14:anchorId="0207597B">
          <v:shape id="_x0000_i1042" type="#_x0000_t75" style="width:50.85pt;height:17.1pt">
            <v:imagedata r:id="rId31" o:title=""/>
          </v:shape>
        </w:pict>
      </w:r>
      <w:r>
        <w:t xml:space="preserve"> is the diffusion coefficient.</w:t>
      </w:r>
      <w:r w:rsidR="00673254">
        <w:t xml:space="preserve"> </w:t>
      </w:r>
      <w:proofErr w:type="gramStart"/>
      <w:r w:rsidR="00673254">
        <w:t xml:space="preserve">From </w:t>
      </w:r>
      <w:proofErr w:type="spellStart"/>
      <w:r w:rsidR="00673254">
        <w:t>Eqs</w:t>
      </w:r>
      <w:proofErr w:type="spellEnd"/>
      <w:r w:rsidR="00673254">
        <w:t>.</w:t>
      </w:r>
      <w:proofErr w:type="gramEnd"/>
      <w:r w:rsidR="00673254">
        <w:t xml:space="preserve"> (4),</w:t>
      </w:r>
      <w:r w:rsidR="00827890">
        <w:t xml:space="preserve"> t</w:t>
      </w:r>
      <w:r w:rsidR="002207D0">
        <w:t xml:space="preserve">he well-known </w:t>
      </w:r>
      <w:proofErr w:type="spellStart"/>
      <w:r w:rsidR="002207D0">
        <w:t>Cattaneo</w:t>
      </w:r>
      <w:proofErr w:type="spellEnd"/>
      <w:r w:rsidR="002207D0">
        <w:t xml:space="preserve"> equation,</w:t>
      </w:r>
      <w:r w:rsidR="00827890">
        <w:t xml:space="preserve"> </w:t>
      </w:r>
      <w:r w:rsidR="001F1181" w:rsidRPr="002207D0">
        <w:rPr>
          <w:position w:val="-12"/>
        </w:rPr>
        <w:object w:dxaOrig="2460" w:dyaOrig="380" w14:anchorId="002B1934">
          <v:shape id="_x0000_i1043" type="#_x0000_t75" style="width:122.85pt;height:19.65pt" o:ole="">
            <v:imagedata r:id="rId32" o:title=""/>
          </v:shape>
          <o:OLEObject Type="Embed" ProgID="Equation.DSMT4" ShapeID="_x0000_i1043" DrawAspect="Content" ObjectID="_1489682461" r:id="rId33"/>
        </w:object>
      </w:r>
      <w:r w:rsidR="002207D0">
        <w:t>, d</w:t>
      </w:r>
      <w:r w:rsidR="00827890">
        <w:t>erive</w:t>
      </w:r>
      <w:r w:rsidR="002207D0">
        <w:t>s</w:t>
      </w:r>
      <w:r w:rsidR="00827890">
        <w:t>.</w:t>
      </w:r>
    </w:p>
    <w:p w14:paraId="78DCCC8E" w14:textId="08F0D7A5" w:rsidR="00A37666" w:rsidRDefault="00F90E67" w:rsidP="00A37666">
      <w:pPr>
        <w:pStyle w:val="CETBodytext"/>
      </w:pPr>
      <w:r>
        <w:t>I</w:t>
      </w:r>
      <w:r w:rsidR="00A37666">
        <w:t>t is possible to recover the classical transport equations (</w:t>
      </w:r>
      <w:proofErr w:type="spellStart"/>
      <w:r w:rsidR="00A37666">
        <w:t>Fickian</w:t>
      </w:r>
      <w:proofErr w:type="spellEnd"/>
      <w:r w:rsidR="00A37666">
        <w:t xml:space="preserve"> </w:t>
      </w:r>
      <w:r w:rsidR="00774EAB">
        <w:t>transport) as a limit condition</w:t>
      </w:r>
      <w:r w:rsidR="00A37666">
        <w:t xml:space="preserve"> </w:t>
      </w:r>
      <w:r w:rsidR="00774EAB">
        <w:t>w</w:t>
      </w:r>
      <w:r>
        <w:t>hen both a and c parameters diverge but the following limit holds</w:t>
      </w:r>
      <w:r w:rsidR="00447425">
        <w:t xml:space="preserve"> (</w:t>
      </w:r>
      <w:proofErr w:type="spellStart"/>
      <w:r w:rsidR="00447425">
        <w:t>Kac</w:t>
      </w:r>
      <w:proofErr w:type="spellEnd"/>
      <w:r w:rsidR="00447425">
        <w:t xml:space="preserve"> limit)</w:t>
      </w:r>
      <w:r>
        <w:t xml:space="preserve">: </w:t>
      </w:r>
    </w:p>
    <w:p w14:paraId="328B7D1E" w14:textId="75B3C079" w:rsidR="00F90E67" w:rsidRDefault="00A37666" w:rsidP="00F90E67">
      <w:pPr>
        <w:pStyle w:val="CETEquation"/>
      </w:pPr>
      <w:r>
        <w:t xml:space="preserve"> </w:t>
      </w:r>
      <w:r w:rsidR="00F22EF7" w:rsidRPr="00F90E67">
        <w:rPr>
          <w:position w:val="-22"/>
        </w:rPr>
        <w:object w:dxaOrig="1320" w:dyaOrig="600" w14:anchorId="6CFEB340">
          <v:shape id="_x0000_i1044" type="#_x0000_t75" style="width:65.95pt;height:30.2pt" o:ole="">
            <v:imagedata r:id="rId34" o:title=""/>
          </v:shape>
          <o:OLEObject Type="Embed" ProgID="Equation.DSMT4" ShapeID="_x0000_i1044" DrawAspect="Content" ObjectID="_1489682462" r:id="rId35"/>
        </w:object>
      </w:r>
      <w:r w:rsidR="00F90E67">
        <w:t xml:space="preserve"> </w:t>
      </w:r>
      <w:r w:rsidR="00F90E67">
        <w:tab/>
      </w:r>
      <w:r w:rsidR="00F90E67">
        <w:tab/>
      </w:r>
      <w:r w:rsidR="00F90E67">
        <w:tab/>
        <w:t>(5)</w:t>
      </w:r>
    </w:p>
    <w:p w14:paraId="56430404" w14:textId="7F5F224C" w:rsidR="00DC2CA4" w:rsidRPr="00F90E67" w:rsidRDefault="00B34FCB" w:rsidP="00DC2CA4">
      <w:pPr>
        <w:pStyle w:val="CETBodytext"/>
      </w:pPr>
      <w:r>
        <w:t>In such a case, t</w:t>
      </w:r>
      <w:r w:rsidR="00774EAB">
        <w:t xml:space="preserve">he relaxation time thus vanishes in </w:t>
      </w:r>
      <w:proofErr w:type="spellStart"/>
      <w:r w:rsidR="00774EAB">
        <w:t>Eqs</w:t>
      </w:r>
      <w:proofErr w:type="spellEnd"/>
      <w:r w:rsidR="00774EAB">
        <w:t xml:space="preserve">. (4) </w:t>
      </w:r>
      <w:proofErr w:type="gramStart"/>
      <w:r w:rsidR="00774EAB">
        <w:t>and</w:t>
      </w:r>
      <w:proofErr w:type="gramEnd"/>
      <w:r w:rsidR="00774EAB">
        <w:t xml:space="preserve"> the Fick’s constitutive law </w:t>
      </w:r>
      <w:r w:rsidR="00774EAB" w:rsidRPr="00774EAB">
        <w:rPr>
          <w:position w:val="-12"/>
        </w:rPr>
        <w:object w:dxaOrig="880" w:dyaOrig="340" w14:anchorId="22A63B3A">
          <v:shape id="_x0000_i1045" type="#_x0000_t75" style="width:43.8pt;height:17.1pt" o:ole="">
            <v:imagedata r:id="rId36" o:title=""/>
          </v:shape>
          <o:OLEObject Type="Embed" ProgID="Equation.DSMT4" ShapeID="_x0000_i1045" DrawAspect="Content" ObjectID="_1489682463" r:id="rId37"/>
        </w:object>
      </w:r>
      <w:r w:rsidR="00774EAB">
        <w:t xml:space="preserve"> is then obtained.</w:t>
      </w:r>
    </w:p>
    <w:p w14:paraId="3F3416C1" w14:textId="1E85E9AF" w:rsidR="00283EAB" w:rsidRDefault="005C1452" w:rsidP="00E3488B">
      <w:pPr>
        <w:pStyle w:val="CETBodytext"/>
        <w:rPr>
          <w:lang w:val="en-GB"/>
        </w:rPr>
      </w:pPr>
      <w:r>
        <w:rPr>
          <w:lang w:val="en-GB"/>
        </w:rPr>
        <w:t>More</w:t>
      </w:r>
      <w:r w:rsidR="00827890">
        <w:rPr>
          <w:lang w:val="en-GB"/>
        </w:rPr>
        <w:t xml:space="preserve"> complex cases can be described through suitable generalizations</w:t>
      </w:r>
      <w:r>
        <w:rPr>
          <w:lang w:val="en-GB"/>
        </w:rPr>
        <w:t xml:space="preserve"> of Eq. (1)</w:t>
      </w:r>
      <w:r w:rsidR="00B14C80">
        <w:rPr>
          <w:lang w:val="en-GB"/>
        </w:rPr>
        <w:t xml:space="preserve"> (and hence of </w:t>
      </w:r>
      <w:proofErr w:type="spellStart"/>
      <w:r w:rsidR="00B14C80">
        <w:rPr>
          <w:lang w:val="en-GB"/>
        </w:rPr>
        <w:t>Eqs</w:t>
      </w:r>
      <w:proofErr w:type="spellEnd"/>
      <w:r w:rsidR="00B14C80">
        <w:rPr>
          <w:lang w:val="en-GB"/>
        </w:rPr>
        <w:t>. (4))</w:t>
      </w:r>
      <w:r w:rsidR="00827890">
        <w:rPr>
          <w:lang w:val="en-GB"/>
        </w:rPr>
        <w:t xml:space="preserve">: </w:t>
      </w:r>
      <w:r w:rsidR="0000579C">
        <w:rPr>
          <w:lang w:val="en-GB"/>
        </w:rPr>
        <w:t>I</w:t>
      </w:r>
      <w:r w:rsidR="00EC54B6">
        <w:rPr>
          <w:lang w:val="en-GB"/>
        </w:rPr>
        <w:t xml:space="preserve">n order to include the </w:t>
      </w:r>
      <w:r w:rsidR="00565D8A">
        <w:rPr>
          <w:lang w:val="en-GB"/>
        </w:rPr>
        <w:t xml:space="preserve">action of </w:t>
      </w:r>
      <w:r w:rsidR="00EC54B6">
        <w:rPr>
          <w:lang w:val="en-GB"/>
        </w:rPr>
        <w:t xml:space="preserve">a deterministic velocity field </w:t>
      </w:r>
      <w:r w:rsidR="00CE71F2">
        <w:rPr>
          <w:position w:val="-12"/>
          <w:lang w:val="en-GB"/>
        </w:rPr>
        <w:pict w14:anchorId="1387054F">
          <v:shape id="_x0000_i1046" type="#_x0000_t75" style="width:21.15pt;height:17.1pt">
            <v:imagedata r:id="rId38" o:title=""/>
          </v:shape>
        </w:pict>
      </w:r>
      <w:r w:rsidR="00565D8A">
        <w:rPr>
          <w:lang w:val="en-GB"/>
        </w:rPr>
        <w:t xml:space="preserve"> </w:t>
      </w:r>
      <w:r w:rsidR="00EC54B6">
        <w:rPr>
          <w:lang w:val="en-GB"/>
        </w:rPr>
        <w:t>imposed from outside</w:t>
      </w:r>
      <w:r w:rsidR="00827890">
        <w:rPr>
          <w:lang w:val="en-GB"/>
        </w:rPr>
        <w:t xml:space="preserve"> (advection-diffusion transport)</w:t>
      </w:r>
      <w:r w:rsidR="00565D8A">
        <w:rPr>
          <w:lang w:val="en-GB"/>
        </w:rPr>
        <w:t xml:space="preserve"> a suitable </w:t>
      </w:r>
      <w:r>
        <w:rPr>
          <w:lang w:val="en-GB"/>
        </w:rPr>
        <w:t xml:space="preserve">advection </w:t>
      </w:r>
      <w:r w:rsidR="00565D8A">
        <w:rPr>
          <w:lang w:val="en-GB"/>
        </w:rPr>
        <w:t>term can be added</w:t>
      </w:r>
      <w:r w:rsidR="00673254">
        <w:rPr>
          <w:lang w:val="en-GB"/>
        </w:rPr>
        <w:t xml:space="preserve">; </w:t>
      </w:r>
      <w:r>
        <w:rPr>
          <w:lang w:val="en-GB"/>
        </w:rPr>
        <w:t xml:space="preserve">moreover, if </w:t>
      </w:r>
      <w:r w:rsidR="00673254">
        <w:t>a non-constant velocity modulus</w:t>
      </w:r>
      <w:r w:rsidR="00673254" w:rsidRPr="001617ED">
        <w:rPr>
          <w:position w:val="-4"/>
        </w:rPr>
        <w:object w:dxaOrig="180" w:dyaOrig="200" w14:anchorId="39DB01AA">
          <v:shape id="_x0000_i1047" type="#_x0000_t75" style="width:9.05pt;height:10.05pt" o:ole="">
            <v:imagedata r:id="rId39" o:title=""/>
          </v:shape>
          <o:OLEObject Type="Embed" ProgID="Equation.DSMT4" ShapeID="_x0000_i1047" DrawAspect="Content" ObjectID="_1489682464" r:id="rId40"/>
        </w:object>
      </w:r>
      <w:r>
        <w:t>is</w:t>
      </w:r>
      <w:r w:rsidR="00673254">
        <w:t xml:space="preserve"> also considered</w:t>
      </w:r>
      <w:r>
        <w:t>,</w:t>
      </w:r>
      <w:r w:rsidR="00673254">
        <w:t xml:space="preserve"> </w:t>
      </w:r>
      <w:r w:rsidR="00EC54B6">
        <w:rPr>
          <w:lang w:val="en-GB"/>
        </w:rPr>
        <w:t>the Poisson-</w:t>
      </w:r>
      <w:proofErr w:type="spellStart"/>
      <w:r w:rsidR="00EC54B6">
        <w:rPr>
          <w:lang w:val="en-GB"/>
        </w:rPr>
        <w:t>Kac</w:t>
      </w:r>
      <w:proofErr w:type="spellEnd"/>
      <w:r w:rsidR="00EC54B6">
        <w:rPr>
          <w:lang w:val="en-GB"/>
        </w:rPr>
        <w:t xml:space="preserve"> process </w:t>
      </w:r>
      <w:r>
        <w:rPr>
          <w:lang w:val="en-GB"/>
        </w:rPr>
        <w:t>(</w:t>
      </w:r>
      <w:proofErr w:type="spellStart"/>
      <w:r>
        <w:rPr>
          <w:lang w:val="en-GB"/>
        </w:rPr>
        <w:t>Eqs</w:t>
      </w:r>
      <w:proofErr w:type="spellEnd"/>
      <w:r>
        <w:rPr>
          <w:lang w:val="en-GB"/>
        </w:rPr>
        <w:t xml:space="preserve">. (1)) </w:t>
      </w:r>
      <w:proofErr w:type="gramStart"/>
      <w:r w:rsidR="00673254">
        <w:rPr>
          <w:lang w:val="en-GB"/>
        </w:rPr>
        <w:t>modifies</w:t>
      </w:r>
      <w:proofErr w:type="gramEnd"/>
      <w:r w:rsidR="00EC54B6">
        <w:rPr>
          <w:lang w:val="en-GB"/>
        </w:rPr>
        <w:t xml:space="preserve"> as follows:</w:t>
      </w:r>
    </w:p>
    <w:p w14:paraId="6DCDBC78" w14:textId="753DD874" w:rsidR="00FC7D72" w:rsidRDefault="00673254" w:rsidP="0000579C">
      <w:pPr>
        <w:pStyle w:val="CETEquation"/>
      </w:pPr>
      <w:r w:rsidRPr="00673254">
        <w:rPr>
          <w:position w:val="-12"/>
        </w:rPr>
        <w:object w:dxaOrig="2720" w:dyaOrig="380" w14:anchorId="78E5A8C4">
          <v:shape id="_x0000_i1048" type="#_x0000_t75" style="width:135.95pt;height:19.65pt" o:ole="">
            <v:imagedata r:id="rId41" o:title=""/>
          </v:shape>
          <o:OLEObject Type="Embed" ProgID="Equation.DSMT4" ShapeID="_x0000_i1048" DrawAspect="Content" ObjectID="_1489682465" r:id="rId42"/>
        </w:object>
      </w:r>
      <w:r w:rsidR="00EC54B6" w:rsidRPr="0000579C">
        <w:tab/>
      </w:r>
      <w:r w:rsidR="00EC54B6" w:rsidRPr="0000579C">
        <w:tab/>
      </w:r>
      <w:r w:rsidR="00EC54B6" w:rsidRPr="0000579C">
        <w:tab/>
        <w:t>(2)</w:t>
      </w:r>
    </w:p>
    <w:p w14:paraId="63EB2A2D" w14:textId="238C3E05" w:rsidR="001617ED" w:rsidRDefault="00673254" w:rsidP="001617ED">
      <w:pPr>
        <w:pStyle w:val="CETBodytext"/>
      </w:pPr>
      <w:proofErr w:type="gramStart"/>
      <w:r>
        <w:t>while</w:t>
      </w:r>
      <w:proofErr w:type="gramEnd"/>
      <w:r>
        <w:t xml:space="preserve"> the </w:t>
      </w:r>
      <w:r w:rsidR="001617ED">
        <w:t>dissipative wave equations</w:t>
      </w:r>
      <w:r>
        <w:t xml:space="preserve"> become</w:t>
      </w:r>
      <w:r w:rsidR="001617ED">
        <w:t>:</w:t>
      </w:r>
    </w:p>
    <w:p w14:paraId="41723D40" w14:textId="280723D3" w:rsidR="001617ED" w:rsidRDefault="00050496" w:rsidP="001617ED">
      <w:pPr>
        <w:pStyle w:val="MTDisplayEquation"/>
      </w:pPr>
      <w:r w:rsidRPr="004078BE">
        <w:rPr>
          <w:position w:val="-50"/>
        </w:rPr>
        <w:object w:dxaOrig="3900" w:dyaOrig="1100" w14:anchorId="1C1AFE2A">
          <v:shape id="_x0000_i1049" type="#_x0000_t75" style="width:194.85pt;height:54.9pt" o:ole="">
            <v:imagedata r:id="rId43" o:title=""/>
          </v:shape>
          <o:OLEObject Type="Embed" ProgID="Equation.DSMT4" ShapeID="_x0000_i1049" DrawAspect="Content" ObjectID="_1489682466" r:id="rId44"/>
        </w:object>
      </w:r>
      <w:r w:rsidR="001617ED">
        <w:t xml:space="preserve"> </w:t>
      </w:r>
      <w:r w:rsidR="0081387A">
        <w:tab/>
      </w:r>
      <w:r w:rsidR="0081387A">
        <w:tab/>
        <w:t>(4)</w:t>
      </w:r>
    </w:p>
    <w:p w14:paraId="7FB3CC1F" w14:textId="6FBFD1B6" w:rsidR="00B34FCB" w:rsidRDefault="006B7FF8" w:rsidP="0081387A">
      <w:proofErr w:type="gramStart"/>
      <w:r>
        <w:t>where</w:t>
      </w:r>
      <w:proofErr w:type="gramEnd"/>
      <w:r w:rsidR="00CE71F2">
        <w:rPr>
          <w:position w:val="-8"/>
        </w:rPr>
        <w:pict w14:anchorId="7FD26632">
          <v:shape id="_x0000_i1050" type="#_x0000_t75" style="width:89.1pt;height:17.1pt">
            <v:imagedata r:id="rId45" o:title=""/>
          </v:shape>
        </w:pict>
      </w:r>
      <w:r w:rsidR="0081387A">
        <w:t>and</w:t>
      </w:r>
      <w:r w:rsidR="00CE71F2">
        <w:rPr>
          <w:position w:val="-8"/>
        </w:rPr>
        <w:pict w14:anchorId="1C4EA540">
          <v:shape id="_x0000_i1051" type="#_x0000_t75" style="width:89.1pt;height:17.1pt">
            <v:imagedata r:id="rId46" o:title=""/>
          </v:shape>
        </w:pict>
      </w:r>
      <w:r w:rsidR="00047317">
        <w:t xml:space="preserve">. </w:t>
      </w:r>
      <w:r w:rsidR="00E7681C">
        <w:t xml:space="preserve">It </w:t>
      </w:r>
      <w:r w:rsidR="00441F6D">
        <w:t xml:space="preserve">is </w:t>
      </w:r>
      <w:r w:rsidR="00E7681C">
        <w:t xml:space="preserve">worth noting that a further generalization can be </w:t>
      </w:r>
      <w:r w:rsidR="00047317">
        <w:t>possible</w:t>
      </w:r>
      <w:r w:rsidR="00E7681C">
        <w:t xml:space="preserve"> by </w:t>
      </w:r>
      <w:r w:rsidR="001F1181">
        <w:t>lett</w:t>
      </w:r>
      <w:r w:rsidR="00BC6D2D">
        <w:t>ing</w:t>
      </w:r>
      <w:r w:rsidR="00E7681C">
        <w:t xml:space="preserve"> a </w:t>
      </w:r>
      <w:r w:rsidR="001F1181">
        <w:t xml:space="preserve">to be </w:t>
      </w:r>
      <w:r w:rsidR="00E7681C">
        <w:t xml:space="preserve">non-constant. However, this means to change </w:t>
      </w:r>
      <w:r w:rsidR="00832D88">
        <w:t>the law of</w:t>
      </w:r>
      <w:r w:rsidR="00E7681C">
        <w:t xml:space="preserve"> </w:t>
      </w:r>
      <w:r w:rsidR="00832D88">
        <w:t>occurrence of velocities switches in the recombination terms.</w:t>
      </w:r>
      <w:r w:rsidR="00B34FCB">
        <w:t xml:space="preserve"> </w:t>
      </w:r>
      <w:proofErr w:type="gramStart"/>
      <w:r w:rsidR="00447425">
        <w:t xml:space="preserve">An exhaustive discussion </w:t>
      </w:r>
      <w:r w:rsidR="003B6787">
        <w:t xml:space="preserve">about the topic </w:t>
      </w:r>
      <w:r w:rsidR="00447425">
        <w:t xml:space="preserve">is provided by </w:t>
      </w:r>
      <w:proofErr w:type="spellStart"/>
      <w:r w:rsidR="00447425">
        <w:t>Giona</w:t>
      </w:r>
      <w:proofErr w:type="spellEnd"/>
      <w:r w:rsidR="00447425">
        <w:t xml:space="preserve"> et Al</w:t>
      </w:r>
      <w:r w:rsidR="00134251">
        <w:t>.</w:t>
      </w:r>
      <w:proofErr w:type="gramEnd"/>
      <w:r w:rsidR="00447425">
        <w:t xml:space="preserve"> (2017a, 2017b, 2017c)</w:t>
      </w:r>
      <w:r w:rsidR="00A161BA">
        <w:t>.</w:t>
      </w:r>
    </w:p>
    <w:p w14:paraId="1DF281AE" w14:textId="4A43C421" w:rsidR="00DC2CA4" w:rsidRDefault="00FF3AA6" w:rsidP="00FF3AA6">
      <w:pPr>
        <w:pStyle w:val="CETHeading1"/>
      </w:pPr>
      <w:r>
        <w:t>Results and discussion</w:t>
      </w:r>
    </w:p>
    <w:p w14:paraId="0D6A8382" w14:textId="01B01FA4" w:rsidR="00FF3AA6" w:rsidRDefault="00FF3AA6" w:rsidP="00FF3AA6">
      <w:pPr>
        <w:pStyle w:val="CETheadingx"/>
      </w:pPr>
      <w:r>
        <w:t xml:space="preserve">Anomalous toluene transport in model segmented polyurethane-urea/clay </w:t>
      </w:r>
      <w:proofErr w:type="spellStart"/>
      <w:r>
        <w:t>nanocomposites</w:t>
      </w:r>
      <w:proofErr w:type="spellEnd"/>
      <w:r w:rsidR="005F3736">
        <w:t>.</w:t>
      </w:r>
    </w:p>
    <w:p w14:paraId="22C31E6F" w14:textId="30225BE5" w:rsidR="003B6787" w:rsidRDefault="003E0AE3" w:rsidP="00FF3AA6">
      <w:pPr>
        <w:pStyle w:val="CETBodytext"/>
      </w:pPr>
      <w:r>
        <w:t>A wide literature show</w:t>
      </w:r>
      <w:r w:rsidR="0056233A">
        <w:t>ed</w:t>
      </w:r>
      <w:r>
        <w:t xml:space="preserve"> that </w:t>
      </w:r>
      <w:r w:rsidR="005150D7">
        <w:t xml:space="preserve">transport properties in </w:t>
      </w:r>
      <w:r w:rsidR="00131CD1">
        <w:t>polymer are often widely dependent</w:t>
      </w:r>
      <w:r w:rsidR="005150D7">
        <w:t xml:space="preserve"> on chemistry, polymer size and by the presence of </w:t>
      </w:r>
      <w:r w:rsidR="00771A3B">
        <w:t xml:space="preserve">incorporated </w:t>
      </w:r>
      <w:proofErr w:type="spellStart"/>
      <w:r w:rsidR="00771A3B">
        <w:t>nano</w:t>
      </w:r>
      <w:r w:rsidR="000B1CAE">
        <w:t>sized</w:t>
      </w:r>
      <w:proofErr w:type="spellEnd"/>
      <w:r w:rsidR="000B1CAE">
        <w:t xml:space="preserve"> particles, which could interact with penetrant</w:t>
      </w:r>
      <w:r w:rsidR="00771A3B">
        <w:t>s, leading</w:t>
      </w:r>
      <w:r w:rsidR="000B1CAE">
        <w:t xml:space="preserve"> to deviation from </w:t>
      </w:r>
      <w:proofErr w:type="spellStart"/>
      <w:r w:rsidR="000B1CAE">
        <w:t>Fickian</w:t>
      </w:r>
      <w:proofErr w:type="spellEnd"/>
      <w:r w:rsidR="000B1CAE">
        <w:t xml:space="preserve"> behavior</w:t>
      </w:r>
      <w:r w:rsidR="003B6787">
        <w:t xml:space="preserve"> (</w:t>
      </w:r>
      <w:proofErr w:type="spellStart"/>
      <w:r w:rsidR="003B6787">
        <w:t>Rath</w:t>
      </w:r>
      <w:proofErr w:type="spellEnd"/>
      <w:r w:rsidR="003B6787">
        <w:t xml:space="preserve"> et Al., 2018 and references therein)</w:t>
      </w:r>
      <w:r w:rsidR="000B1CAE">
        <w:t xml:space="preserve">. This is the case of segmented polyurethane-urea/clay </w:t>
      </w:r>
      <w:proofErr w:type="spellStart"/>
      <w:r w:rsidR="000B1CAE">
        <w:t>nanocomposites</w:t>
      </w:r>
      <w:proofErr w:type="spellEnd"/>
      <w:r w:rsidR="000B1CAE">
        <w:t>.</w:t>
      </w:r>
    </w:p>
    <w:p w14:paraId="0B59872C" w14:textId="77777777" w:rsidR="003B6787" w:rsidRDefault="000B1CAE" w:rsidP="00FF3AA6">
      <w:pPr>
        <w:pStyle w:val="CETBodytext"/>
      </w:pPr>
      <w:r>
        <w:t>Several works showed that the introduction of clays nanoparticles into the polymer matrix influences phase morphology and transport properti</w:t>
      </w:r>
      <w:r w:rsidR="00C63454">
        <w:t>es (</w:t>
      </w:r>
      <w:proofErr w:type="spellStart"/>
      <w:r w:rsidR="00C63454">
        <w:t>Rath</w:t>
      </w:r>
      <w:proofErr w:type="spellEnd"/>
      <w:r w:rsidR="00C63454">
        <w:t xml:space="preserve"> et Al., 2018)</w:t>
      </w:r>
      <w:r w:rsidR="00771A3B">
        <w:t>. Anomal</w:t>
      </w:r>
      <w:r w:rsidR="00131CD1">
        <w:t>ous behaviors are observed but</w:t>
      </w:r>
      <w:r w:rsidR="00771A3B">
        <w:t xml:space="preserve"> </w:t>
      </w:r>
      <w:r w:rsidR="006E72C6">
        <w:t>not understood. This causes</w:t>
      </w:r>
      <w:r w:rsidR="007C4A33">
        <w:t xml:space="preserve"> the lack of </w:t>
      </w:r>
      <w:r w:rsidR="00771A3B">
        <w:t>good mathematical models for accurate process description.</w:t>
      </w:r>
      <w:r w:rsidR="007C4A33">
        <w:t xml:space="preserve"> </w:t>
      </w:r>
    </w:p>
    <w:p w14:paraId="24C7FEC8" w14:textId="04A358A3" w:rsidR="00FF3AA6" w:rsidRDefault="008B5801" w:rsidP="00FF3AA6">
      <w:pPr>
        <w:pStyle w:val="CETBodytext"/>
      </w:pPr>
      <w:r>
        <w:t xml:space="preserve">Experimental </w:t>
      </w:r>
      <w:r w:rsidR="00977F1C">
        <w:t xml:space="preserve">sorption data </w:t>
      </w:r>
      <w:r w:rsidR="00B42D73">
        <w:t>of toluene in</w:t>
      </w:r>
      <w:r w:rsidR="00131CD1">
        <w:t xml:space="preserve">to </w:t>
      </w:r>
      <w:r w:rsidR="00FF544F">
        <w:t xml:space="preserve">a 1 mm depth slice of </w:t>
      </w:r>
      <w:r w:rsidR="00131CD1">
        <w:t xml:space="preserve">polyurethane-urea/clay </w:t>
      </w:r>
      <w:proofErr w:type="spellStart"/>
      <w:r w:rsidR="00131CD1">
        <w:t>nanocomposites</w:t>
      </w:r>
      <w:proofErr w:type="spellEnd"/>
      <w:r w:rsidR="00131CD1">
        <w:t xml:space="preserve"> </w:t>
      </w:r>
      <w:r w:rsidR="00977F1C">
        <w:t xml:space="preserve">are taken from </w:t>
      </w:r>
      <w:r>
        <w:t xml:space="preserve">the paper of </w:t>
      </w:r>
      <w:proofErr w:type="spellStart"/>
      <w:r>
        <w:t>Rath</w:t>
      </w:r>
      <w:proofErr w:type="spellEnd"/>
      <w:r>
        <w:t xml:space="preserve"> et Al., 2018. </w:t>
      </w:r>
      <w:r w:rsidR="00AF46BC">
        <w:t>Data for s</w:t>
      </w:r>
      <w:r w:rsidR="00977F1C">
        <w:t xml:space="preserve">everal </w:t>
      </w:r>
      <w:r>
        <w:t xml:space="preserve">sorption </w:t>
      </w:r>
      <w:r w:rsidR="00977F1C">
        <w:t>experiments</w:t>
      </w:r>
      <w:r>
        <w:t>,</w:t>
      </w:r>
      <w:r w:rsidR="00977F1C">
        <w:t xml:space="preserve"> </w:t>
      </w:r>
      <w:r w:rsidR="006E72C6">
        <w:t xml:space="preserve">differing by </w:t>
      </w:r>
      <w:r>
        <w:t>clay nanoparticles content (</w:t>
      </w:r>
      <w:proofErr w:type="spellStart"/>
      <w:r>
        <w:t>wt</w:t>
      </w:r>
      <w:proofErr w:type="spellEnd"/>
      <w:r>
        <w:t>%), are</w:t>
      </w:r>
      <w:r w:rsidR="00AF46BC">
        <w:t xml:space="preserve"> available</w:t>
      </w:r>
      <w:r>
        <w:t xml:space="preserve">. Details about </w:t>
      </w:r>
      <w:proofErr w:type="spellStart"/>
      <w:r>
        <w:t>nanocomposite</w:t>
      </w:r>
      <w:proofErr w:type="spellEnd"/>
      <w:r>
        <w:t xml:space="preserve"> preparation and experim</w:t>
      </w:r>
      <w:r w:rsidR="00BC4494">
        <w:t>ent</w:t>
      </w:r>
      <w:r>
        <w:t xml:space="preserve">al setups are </w:t>
      </w:r>
      <w:r w:rsidR="00BC4494">
        <w:t>reported in the original paper.</w:t>
      </w:r>
    </w:p>
    <w:p w14:paraId="71B503E2" w14:textId="591DAEE0" w:rsidR="00AF46BC" w:rsidRDefault="00C51CEB" w:rsidP="00FF3AA6">
      <w:pPr>
        <w:pStyle w:val="CETBodytext"/>
      </w:pPr>
      <w:r>
        <w:t xml:space="preserve">In Figure 1, the comparison between experimental and predicted data is reported. </w:t>
      </w:r>
      <w:r w:rsidR="0056233A" w:rsidRPr="0056233A">
        <w:rPr>
          <w:position w:val="-12"/>
        </w:rPr>
        <w:object w:dxaOrig="260" w:dyaOrig="340" w14:anchorId="312C3B4E">
          <v:shape id="_x0000_i1068" type="#_x0000_t75" style="width:13.1pt;height:17.1pt" o:ole="">
            <v:imagedata r:id="rId47" o:title=""/>
          </v:shape>
          <o:OLEObject Type="Embed" ProgID="Equation.DSMT4" ShapeID="_x0000_i1068" DrawAspect="Content" ObjectID="_1489682467" r:id="rId48"/>
        </w:object>
      </w:r>
      <w:r w:rsidR="0056233A">
        <w:t xml:space="preserve"> </w:t>
      </w:r>
      <w:proofErr w:type="gramStart"/>
      <w:r w:rsidR="0056233A">
        <w:t>is</w:t>
      </w:r>
      <w:proofErr w:type="gramEnd"/>
      <w:r w:rsidR="0056233A">
        <w:t xml:space="preserve"> the weight uptake at time </w:t>
      </w:r>
      <w:r w:rsidR="0056233A" w:rsidRPr="0056233A">
        <w:rPr>
          <w:position w:val="-4"/>
        </w:rPr>
        <w:object w:dxaOrig="140" w:dyaOrig="220" w14:anchorId="0CCFE623">
          <v:shape id="_x0000_i1071" type="#_x0000_t75" style="width:7.05pt;height:11.1pt" o:ole="">
            <v:imagedata r:id="rId49" o:title=""/>
          </v:shape>
          <o:OLEObject Type="Embed" ProgID="Equation.DSMT4" ShapeID="_x0000_i1071" DrawAspect="Content" ObjectID="_1489682468" r:id="rId50"/>
        </w:object>
      </w:r>
      <w:r w:rsidR="0056233A">
        <w:t xml:space="preserve">; </w:t>
      </w:r>
      <w:r w:rsidR="0056233A" w:rsidRPr="0056233A">
        <w:rPr>
          <w:position w:val="-12"/>
        </w:rPr>
        <w:object w:dxaOrig="360" w:dyaOrig="340" w14:anchorId="7EC62190">
          <v:shape id="_x0000_i1074" type="#_x0000_t75" style="width:18.15pt;height:17.1pt" o:ole="">
            <v:imagedata r:id="rId51" o:title=""/>
          </v:shape>
          <o:OLEObject Type="Embed" ProgID="Equation.DSMT4" ShapeID="_x0000_i1074" DrawAspect="Content" ObjectID="_1489682469" r:id="rId52"/>
        </w:object>
      </w:r>
      <w:r w:rsidR="0056233A">
        <w:t xml:space="preserve"> is its equilibrium value. </w:t>
      </w:r>
      <w:r w:rsidR="00F54551">
        <w:t>The adopted model, based on dissipative wave equations, is able to capture with good ac</w:t>
      </w:r>
      <w:r w:rsidR="00B42D73">
        <w:t>curacy the experimental trends. Since the objective is to test the prediction capabilities of the model, no fu</w:t>
      </w:r>
      <w:r w:rsidR="003B6787">
        <w:t>nctional form for parameters is</w:t>
      </w:r>
      <w:r w:rsidR="00B42D73">
        <w:t xml:space="preserve"> introduced (</w:t>
      </w:r>
      <w:r w:rsidR="001767C5">
        <w:t xml:space="preserve">i.e. </w:t>
      </w:r>
      <w:r w:rsidR="00B42D73">
        <w:t xml:space="preserve">no additional parameters). </w:t>
      </w:r>
      <w:r>
        <w:t xml:space="preserve">In Table 1 parameters values obtained from a suitable regression procedure are also reported. </w:t>
      </w:r>
      <w:r w:rsidR="001767C5">
        <w:t>It</w:t>
      </w:r>
      <w:r w:rsidR="00B42D73">
        <w:t xml:space="preserve"> is worth noting that, f</w:t>
      </w:r>
      <w:r w:rsidR="00131CD1">
        <w:t xml:space="preserve">rom the observation of the parameters </w:t>
      </w:r>
      <w:r w:rsidR="00B42D73">
        <w:t>value</w:t>
      </w:r>
      <w:r w:rsidR="00F54551">
        <w:t xml:space="preserve"> it is possible to argue </w:t>
      </w:r>
      <w:r w:rsidR="003B39BF">
        <w:t xml:space="preserve">that </w:t>
      </w:r>
      <w:r w:rsidR="003B39BF">
        <w:lastRenderedPageBreak/>
        <w:t xml:space="preserve">all the </w:t>
      </w:r>
      <w:r w:rsidR="00B42D73">
        <w:t xml:space="preserve">analyzed </w:t>
      </w:r>
      <w:r w:rsidR="003B39BF">
        <w:t xml:space="preserve">cases are far from being representative of </w:t>
      </w:r>
      <w:r w:rsidR="00B42D73">
        <w:t xml:space="preserve">a </w:t>
      </w:r>
      <w:proofErr w:type="spellStart"/>
      <w:r w:rsidR="003B39BF">
        <w:t>Fickian</w:t>
      </w:r>
      <w:proofErr w:type="spellEnd"/>
      <w:r w:rsidR="003B39BF">
        <w:t xml:space="preserve"> transport</w:t>
      </w:r>
      <w:r w:rsidR="00B42D73">
        <w:t>. A common method to assess the</w:t>
      </w:r>
      <w:r w:rsidR="003B39BF">
        <w:t xml:space="preserve"> statement is to evaluate </w:t>
      </w:r>
      <w:r w:rsidR="00131CD1">
        <w:t xml:space="preserve">the deviation </w:t>
      </w:r>
      <w:r w:rsidR="001767C5">
        <w:t xml:space="preserve">from 0.5 </w:t>
      </w:r>
      <w:r w:rsidR="00131CD1">
        <w:t xml:space="preserve">of the slope of a straight line </w:t>
      </w:r>
      <w:r w:rsidR="001767C5">
        <w:t xml:space="preserve">passing </w:t>
      </w:r>
      <w:r w:rsidR="00131CD1">
        <w:t xml:space="preserve">through the data </w:t>
      </w:r>
      <w:r w:rsidR="001767C5">
        <w:t>(</w:t>
      </w:r>
      <w:r w:rsidR="00131CD1">
        <w:t>in</w:t>
      </w:r>
      <w:r w:rsidR="003B39BF">
        <w:t xml:space="preserve"> </w:t>
      </w:r>
      <w:r w:rsidR="001767C5">
        <w:t>log-log form)</w:t>
      </w:r>
      <w:r w:rsidR="00B42D73">
        <w:t>. For the purpose, in Figure 1B, log-log</w:t>
      </w:r>
      <w:r w:rsidR="003B39BF">
        <w:t xml:space="preserve"> plots</w:t>
      </w:r>
      <w:r w:rsidR="001767C5">
        <w:t>,</w:t>
      </w:r>
      <w:r w:rsidR="00131CD1">
        <w:t xml:space="preserve"> </w:t>
      </w:r>
      <w:r w:rsidR="00B42D73">
        <w:t>in which su</w:t>
      </w:r>
      <w:r w:rsidR="001767C5">
        <w:t>ch deviation can be appreciated</w:t>
      </w:r>
      <w:r w:rsidR="00B42D73">
        <w:t xml:space="preserve"> </w:t>
      </w:r>
      <w:r w:rsidR="00B15D9B">
        <w:t>together with the slope</w:t>
      </w:r>
      <w:r w:rsidR="00131CD1">
        <w:t xml:space="preserve"> </w:t>
      </w:r>
      <w:proofErr w:type="gramStart"/>
      <w:r w:rsidR="00B42D73">
        <w:t>values</w:t>
      </w:r>
      <w:r w:rsidR="001767C5">
        <w:t>,</w:t>
      </w:r>
      <w:proofErr w:type="gramEnd"/>
      <w:r w:rsidR="00B42D73">
        <w:t xml:space="preserve"> are</w:t>
      </w:r>
      <w:r w:rsidR="00131CD1">
        <w:t xml:space="preserve"> </w:t>
      </w:r>
      <w:r w:rsidR="00B42D73">
        <w:t xml:space="preserve">also </w:t>
      </w:r>
      <w:r w:rsidR="00131CD1">
        <w:t>reported.</w:t>
      </w:r>
      <w:r w:rsidR="00B15D9B">
        <w:t xml:space="preserve"> Slopes oscillate</w:t>
      </w:r>
      <w:r w:rsidR="00B31594">
        <w:t xml:space="preserve"> among</w:t>
      </w:r>
      <w:r w:rsidR="00B15D9B">
        <w:t xml:space="preserve"> 0.65 and 0.7. This means intermediate behavior</w:t>
      </w:r>
      <w:r w:rsidR="003B1A39">
        <w:t>s</w:t>
      </w:r>
      <w:r w:rsidR="00B15D9B">
        <w:t xml:space="preserve"> between </w:t>
      </w:r>
      <w:proofErr w:type="spellStart"/>
      <w:r w:rsidR="00B15D9B">
        <w:t>Fickian</w:t>
      </w:r>
      <w:proofErr w:type="spellEnd"/>
      <w:r w:rsidR="00B15D9B">
        <w:t xml:space="preserve"> </w:t>
      </w:r>
      <w:r w:rsidR="00DB39A6">
        <w:t>and Case II</w:t>
      </w:r>
      <w:r w:rsidR="00B15D9B">
        <w:t>.</w:t>
      </w:r>
    </w:p>
    <w:p w14:paraId="18C3D9BD" w14:textId="651D3896" w:rsidR="007A4F52" w:rsidRDefault="00D1111B" w:rsidP="00FF3AA6">
      <w:pPr>
        <w:pStyle w:val="CETBodytext"/>
      </w:pPr>
      <w:r w:rsidRPr="00D1111B">
        <w:rPr>
          <w:noProof/>
          <w:lang w:val="it-IT" w:eastAsia="it-IT"/>
        </w:rPr>
        <w:drawing>
          <wp:inline distT="0" distB="0" distL="0" distR="0" wp14:anchorId="2D10CFA0" wp14:editId="78F9EDA3">
            <wp:extent cx="5575935" cy="2404110"/>
            <wp:effectExtent l="0" t="0" r="12065" b="8890"/>
            <wp:docPr id="10" name="Immagine 10" descr="Macintosh HD:Users:antonio:MEGA:Lavori in corso:ICHEAP14:Giona:rathdef.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cintosh HD:Users:antonio:MEGA:Lavori in corso:ICHEAP14:Giona:rathdef.eps"/>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75935" cy="2404110"/>
                    </a:xfrm>
                    <a:prstGeom prst="rect">
                      <a:avLst/>
                    </a:prstGeom>
                    <a:noFill/>
                    <a:ln>
                      <a:noFill/>
                    </a:ln>
                  </pic:spPr>
                </pic:pic>
              </a:graphicData>
            </a:graphic>
          </wp:inline>
        </w:drawing>
      </w:r>
    </w:p>
    <w:p w14:paraId="2CCE562A" w14:textId="615A6D3A" w:rsidR="00231559" w:rsidRDefault="00231559" w:rsidP="00FF3AA6">
      <w:pPr>
        <w:pStyle w:val="CETBodytext"/>
      </w:pPr>
    </w:p>
    <w:p w14:paraId="698456D5" w14:textId="6D8E85C9" w:rsidR="00AF46BC" w:rsidRDefault="00C51CEB" w:rsidP="00B42D73">
      <w:pPr>
        <w:pStyle w:val="CETCaption"/>
      </w:pPr>
      <w:r>
        <w:t xml:space="preserve">Figure </w:t>
      </w:r>
      <w:r w:rsidR="007A4F52">
        <w:t>1</w:t>
      </w:r>
      <w:r>
        <w:t>:</w:t>
      </w:r>
      <w:r w:rsidR="006E72C6">
        <w:t xml:space="preserve"> </w:t>
      </w:r>
      <w:r w:rsidR="007A4F52">
        <w:t xml:space="preserve">Toluene </w:t>
      </w:r>
      <w:r w:rsidR="006E72C6">
        <w:t xml:space="preserve">sorption in polyurethane–urea </w:t>
      </w:r>
      <w:proofErr w:type="spellStart"/>
      <w:r w:rsidR="006E72C6">
        <w:t>nanocomposite</w:t>
      </w:r>
      <w:proofErr w:type="spellEnd"/>
      <w:r w:rsidR="006E72C6" w:rsidRPr="006E72C6">
        <w:t xml:space="preserve"> </w:t>
      </w:r>
      <w:proofErr w:type="gramStart"/>
      <w:r w:rsidR="006E72C6" w:rsidRPr="006E72C6">
        <w:t>with 1, 3, 5</w:t>
      </w:r>
      <w:r w:rsidR="006E72C6">
        <w:t xml:space="preserve"> and 7.5 </w:t>
      </w:r>
      <w:proofErr w:type="spellStart"/>
      <w:r w:rsidR="006E72C6">
        <w:t>wt</w:t>
      </w:r>
      <w:proofErr w:type="spellEnd"/>
      <w:r w:rsidR="006E72C6">
        <w:t>% clay</w:t>
      </w:r>
      <w:proofErr w:type="gramEnd"/>
      <w:r w:rsidR="006E72C6">
        <w:t xml:space="preserve"> content</w:t>
      </w:r>
      <w:r w:rsidR="007A4F52">
        <w:t>.</w:t>
      </w:r>
      <w:r w:rsidR="006E72C6">
        <w:t xml:space="preserve"> Data are taken from </w:t>
      </w:r>
      <w:proofErr w:type="spellStart"/>
      <w:r w:rsidR="006E72C6">
        <w:t>Rath</w:t>
      </w:r>
      <w:proofErr w:type="spellEnd"/>
      <w:r w:rsidR="006E72C6">
        <w:t xml:space="preserve"> et Al., 2018</w:t>
      </w:r>
      <w:r w:rsidR="007A4F52">
        <w:t xml:space="preserve"> </w:t>
      </w:r>
      <w:r w:rsidR="006E72C6">
        <w:t>(</w:t>
      </w:r>
      <w:r w:rsidR="007A4F52">
        <w:t>A</w:t>
      </w:r>
      <w:r w:rsidR="006E72C6">
        <w:t>) Comparison between experimental and predicted data. Parameters values</w:t>
      </w:r>
      <w:r w:rsidR="006825FE">
        <w:t xml:space="preserve"> are reported in Table 1. (B) </w:t>
      </w:r>
      <w:proofErr w:type="gramStart"/>
      <w:r w:rsidR="006825FE">
        <w:t>log</w:t>
      </w:r>
      <w:proofErr w:type="gramEnd"/>
      <w:r w:rsidR="006825FE">
        <w:t xml:space="preserve"> - log</w:t>
      </w:r>
      <w:r w:rsidR="006E72C6">
        <w:t xml:space="preserve"> plot of the experimental data. Straights lines of the linear fits and related slopes are also reported.</w:t>
      </w:r>
    </w:p>
    <w:p w14:paraId="5FC1580F" w14:textId="7A86F125" w:rsidR="00B12AE6" w:rsidRDefault="00B12AE6" w:rsidP="00B12AE6">
      <w:pPr>
        <w:pStyle w:val="CETTabletitle"/>
      </w:pPr>
      <w:r>
        <w:t xml:space="preserve">Table 1: Parameters values for the dissipative wave equations obtained from a suitable regression procedure from the data reported in </w:t>
      </w:r>
      <w:proofErr w:type="spellStart"/>
      <w:r>
        <w:t>Rath</w:t>
      </w:r>
      <w:proofErr w:type="spellEnd"/>
      <w:r>
        <w:t xml:space="preserve"> et Al., 2018.</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01"/>
        <w:gridCol w:w="1560"/>
        <w:gridCol w:w="1134"/>
        <w:gridCol w:w="1276"/>
        <w:gridCol w:w="1277"/>
      </w:tblGrid>
      <w:tr w:rsidR="00B12AE6" w:rsidRPr="00B57B36" w14:paraId="13A32A81" w14:textId="77777777" w:rsidTr="00447425">
        <w:tc>
          <w:tcPr>
            <w:tcW w:w="1701" w:type="dxa"/>
            <w:tcBorders>
              <w:top w:val="single" w:sz="12" w:space="0" w:color="008000"/>
              <w:bottom w:val="single" w:sz="6" w:space="0" w:color="008000"/>
            </w:tcBorders>
            <w:shd w:val="clear" w:color="auto" w:fill="FFFFFF"/>
          </w:tcPr>
          <w:p w14:paraId="175C291E" w14:textId="77777777" w:rsidR="00B12AE6" w:rsidRPr="00B57B36" w:rsidRDefault="00B12AE6" w:rsidP="00447425">
            <w:pPr>
              <w:pStyle w:val="CETBodytext"/>
              <w:rPr>
                <w:lang w:val="en-GB"/>
              </w:rPr>
            </w:pPr>
            <w:proofErr w:type="spellStart"/>
            <w:r>
              <w:rPr>
                <w:lang w:val="en-GB"/>
              </w:rPr>
              <w:t>Nanocomposite</w:t>
            </w:r>
            <w:proofErr w:type="spellEnd"/>
          </w:p>
        </w:tc>
        <w:tc>
          <w:tcPr>
            <w:tcW w:w="1560" w:type="dxa"/>
            <w:tcBorders>
              <w:top w:val="single" w:sz="12" w:space="0" w:color="008000"/>
              <w:bottom w:val="single" w:sz="6" w:space="0" w:color="008000"/>
            </w:tcBorders>
            <w:shd w:val="clear" w:color="auto" w:fill="FFFFFF"/>
          </w:tcPr>
          <w:p w14:paraId="45A22C6E" w14:textId="77777777" w:rsidR="00B12AE6" w:rsidRPr="00B57B36" w:rsidRDefault="00B12AE6" w:rsidP="00447425">
            <w:pPr>
              <w:pStyle w:val="CETBodytext"/>
              <w:rPr>
                <w:lang w:val="en-GB"/>
              </w:rPr>
            </w:pPr>
            <w:proofErr w:type="gramStart"/>
            <w:r>
              <w:rPr>
                <w:lang w:val="en-GB"/>
              </w:rPr>
              <w:t>c</w:t>
            </w:r>
            <w:proofErr w:type="gramEnd"/>
            <w:r>
              <w:rPr>
                <w:lang w:val="en-GB"/>
              </w:rPr>
              <w:t xml:space="preserve"> (</w:t>
            </w:r>
            <w:r w:rsidRPr="00FF544F">
              <w:rPr>
                <w:position w:val="-4"/>
                <w:lang w:val="en-GB"/>
              </w:rPr>
              <w:object w:dxaOrig="860" w:dyaOrig="300" w14:anchorId="4C67A8DF">
                <v:shape id="_x0000_i1052" type="#_x0000_t75" style="width:42.8pt;height:15.1pt" o:ole="">
                  <v:imagedata r:id="rId54" o:title=""/>
                </v:shape>
                <o:OLEObject Type="Embed" ProgID="Equation.DSMT4" ShapeID="_x0000_i1052" DrawAspect="Content" ObjectID="_1489682470" r:id="rId55"/>
              </w:object>
            </w:r>
            <w:r>
              <w:rPr>
                <w:lang w:val="en-GB"/>
              </w:rPr>
              <w:t xml:space="preserve"> )</w:t>
            </w:r>
          </w:p>
        </w:tc>
        <w:tc>
          <w:tcPr>
            <w:tcW w:w="1134" w:type="dxa"/>
            <w:tcBorders>
              <w:top w:val="single" w:sz="12" w:space="0" w:color="008000"/>
              <w:bottom w:val="single" w:sz="6" w:space="0" w:color="008000"/>
            </w:tcBorders>
            <w:shd w:val="clear" w:color="auto" w:fill="FFFFFF"/>
          </w:tcPr>
          <w:p w14:paraId="798F4B34" w14:textId="77777777" w:rsidR="00B12AE6" w:rsidRPr="00B57B36" w:rsidRDefault="00B12AE6" w:rsidP="00447425">
            <w:pPr>
              <w:pStyle w:val="CETBodytext"/>
              <w:ind w:left="284" w:hanging="284"/>
              <w:rPr>
                <w:lang w:val="en-GB"/>
              </w:rPr>
            </w:pPr>
            <w:proofErr w:type="gramStart"/>
            <w:r>
              <w:rPr>
                <w:lang w:val="en-GB"/>
              </w:rPr>
              <w:t>a</w:t>
            </w:r>
            <w:proofErr w:type="gramEnd"/>
            <w:r>
              <w:rPr>
                <w:lang w:val="en-GB"/>
              </w:rPr>
              <w:t xml:space="preserve"> (</w:t>
            </w:r>
            <w:r w:rsidRPr="00FF544F">
              <w:rPr>
                <w:position w:val="-4"/>
                <w:lang w:val="en-GB"/>
              </w:rPr>
              <w:object w:dxaOrig="500" w:dyaOrig="300" w14:anchorId="3FC65D2F">
                <v:shape id="_x0000_i1053" type="#_x0000_t75" style="width:25.15pt;height:15.1pt" o:ole="">
                  <v:imagedata r:id="rId56" o:title=""/>
                </v:shape>
                <o:OLEObject Type="Embed" ProgID="Equation.DSMT4" ShapeID="_x0000_i1053" DrawAspect="Content" ObjectID="_1489682471" r:id="rId57"/>
              </w:object>
            </w:r>
            <w:r>
              <w:rPr>
                <w:lang w:val="en-GB"/>
              </w:rPr>
              <w:t xml:space="preserve">) </w:t>
            </w:r>
          </w:p>
        </w:tc>
        <w:tc>
          <w:tcPr>
            <w:tcW w:w="1276" w:type="dxa"/>
            <w:tcBorders>
              <w:top w:val="single" w:sz="12" w:space="0" w:color="008000"/>
              <w:bottom w:val="single" w:sz="6" w:space="0" w:color="008000"/>
            </w:tcBorders>
            <w:shd w:val="clear" w:color="auto" w:fill="FFFFFF"/>
          </w:tcPr>
          <w:p w14:paraId="09450287" w14:textId="77777777" w:rsidR="00B12AE6" w:rsidRPr="00B57B36" w:rsidRDefault="00B12AE6" w:rsidP="00447425">
            <w:pPr>
              <w:pStyle w:val="CETBodytext"/>
              <w:ind w:right="-426"/>
              <w:rPr>
                <w:rFonts w:cs="Arial"/>
                <w:szCs w:val="18"/>
                <w:lang w:val="en-GB"/>
              </w:rPr>
            </w:pPr>
            <w:proofErr w:type="gramStart"/>
            <w:r>
              <w:rPr>
                <w:rFonts w:cs="Arial"/>
                <w:szCs w:val="18"/>
                <w:lang w:val="en-GB"/>
              </w:rPr>
              <w:t>h</w:t>
            </w:r>
            <w:proofErr w:type="gramEnd"/>
            <w:r>
              <w:rPr>
                <w:rFonts w:cs="Arial"/>
                <w:szCs w:val="18"/>
                <w:lang w:val="en-GB"/>
              </w:rPr>
              <w:t xml:space="preserve"> (</w:t>
            </w:r>
            <w:r w:rsidRPr="00FF544F">
              <w:rPr>
                <w:position w:val="-4"/>
                <w:lang w:val="en-GB"/>
              </w:rPr>
              <w:object w:dxaOrig="860" w:dyaOrig="300" w14:anchorId="37F1BCAD">
                <v:shape id="_x0000_i1054" type="#_x0000_t75" style="width:42.8pt;height:15.1pt" o:ole="">
                  <v:imagedata r:id="rId58" o:title=""/>
                </v:shape>
                <o:OLEObject Type="Embed" ProgID="Equation.DSMT4" ShapeID="_x0000_i1054" DrawAspect="Content" ObjectID="_1489682472" r:id="rId59"/>
              </w:object>
            </w:r>
            <w:r>
              <w:rPr>
                <w:rFonts w:cs="Arial"/>
                <w:szCs w:val="18"/>
                <w:lang w:val="en-GB"/>
              </w:rPr>
              <w:t>)</w:t>
            </w:r>
          </w:p>
        </w:tc>
        <w:tc>
          <w:tcPr>
            <w:tcW w:w="1277" w:type="dxa"/>
            <w:tcBorders>
              <w:top w:val="single" w:sz="12" w:space="0" w:color="008000"/>
              <w:bottom w:val="single" w:sz="6" w:space="0" w:color="008000"/>
            </w:tcBorders>
            <w:shd w:val="clear" w:color="auto" w:fill="FFFFFF"/>
          </w:tcPr>
          <w:p w14:paraId="377EB99A" w14:textId="77777777" w:rsidR="00B12AE6" w:rsidRPr="00B57B36" w:rsidRDefault="00B12AE6" w:rsidP="00447425">
            <w:pPr>
              <w:pStyle w:val="CETBodytext"/>
              <w:tabs>
                <w:tab w:val="clear" w:pos="7100"/>
                <w:tab w:val="left" w:pos="655"/>
              </w:tabs>
              <w:ind w:right="-1"/>
              <w:rPr>
                <w:rFonts w:cs="Arial"/>
                <w:szCs w:val="18"/>
                <w:lang w:val="en-GB"/>
              </w:rPr>
            </w:pPr>
            <w:proofErr w:type="gramStart"/>
            <w:r>
              <w:rPr>
                <w:rFonts w:cs="Arial"/>
                <w:szCs w:val="18"/>
                <w:lang w:val="en-GB"/>
              </w:rPr>
              <w:t>v</w:t>
            </w:r>
            <w:proofErr w:type="gramEnd"/>
            <w:r>
              <w:rPr>
                <w:rFonts w:cs="Arial"/>
                <w:szCs w:val="18"/>
                <w:lang w:val="en-GB"/>
              </w:rPr>
              <w:t xml:space="preserve"> (</w:t>
            </w:r>
            <w:r w:rsidRPr="00FF544F">
              <w:rPr>
                <w:position w:val="-4"/>
                <w:lang w:val="en-GB"/>
              </w:rPr>
              <w:object w:dxaOrig="860" w:dyaOrig="300" w14:anchorId="4FE00234">
                <v:shape id="_x0000_i1055" type="#_x0000_t75" style="width:42.8pt;height:15.1pt" o:ole="">
                  <v:imagedata r:id="rId60" o:title=""/>
                </v:shape>
                <o:OLEObject Type="Embed" ProgID="Equation.DSMT4" ShapeID="_x0000_i1055" DrawAspect="Content" ObjectID="_1489682473" r:id="rId61"/>
              </w:object>
            </w:r>
            <w:r>
              <w:rPr>
                <w:rFonts w:cs="Arial"/>
                <w:szCs w:val="18"/>
                <w:lang w:val="en-GB"/>
              </w:rPr>
              <w:t>)</w:t>
            </w:r>
          </w:p>
        </w:tc>
      </w:tr>
      <w:tr w:rsidR="00B12AE6" w:rsidRPr="00B57B36" w14:paraId="2D6E5A01" w14:textId="77777777" w:rsidTr="00447425">
        <w:tc>
          <w:tcPr>
            <w:tcW w:w="1701" w:type="dxa"/>
            <w:shd w:val="clear" w:color="auto" w:fill="FFFFFF"/>
          </w:tcPr>
          <w:p w14:paraId="75A25D5E" w14:textId="77777777" w:rsidR="00B12AE6" w:rsidRDefault="00B12AE6" w:rsidP="00447425">
            <w:pPr>
              <w:pStyle w:val="CETBodytext"/>
              <w:rPr>
                <w:lang w:val="en-GB"/>
              </w:rPr>
            </w:pPr>
            <w:r>
              <w:rPr>
                <w:lang w:val="en-GB"/>
              </w:rPr>
              <w:t>PBDPU-1</w:t>
            </w:r>
          </w:p>
          <w:p w14:paraId="70E4DC6D" w14:textId="77777777" w:rsidR="00B12AE6" w:rsidRPr="00B57B36" w:rsidRDefault="00B12AE6" w:rsidP="00447425">
            <w:pPr>
              <w:pStyle w:val="CETBodytext"/>
              <w:rPr>
                <w:lang w:val="en-GB"/>
              </w:rPr>
            </w:pPr>
            <w:r>
              <w:rPr>
                <w:lang w:val="en-GB"/>
              </w:rPr>
              <w:t>PBDPU-3</w:t>
            </w:r>
          </w:p>
        </w:tc>
        <w:tc>
          <w:tcPr>
            <w:tcW w:w="1560" w:type="dxa"/>
            <w:shd w:val="clear" w:color="auto" w:fill="FFFFFF"/>
          </w:tcPr>
          <w:p w14:paraId="16E9366A" w14:textId="77777777" w:rsidR="00B12AE6" w:rsidRPr="009E4F43" w:rsidRDefault="00B12AE6" w:rsidP="00447425">
            <w:pPr>
              <w:widowControl w:val="0"/>
              <w:tabs>
                <w:tab w:val="clear" w:pos="7100"/>
              </w:tabs>
              <w:autoSpaceDE w:val="0"/>
              <w:autoSpaceDN w:val="0"/>
              <w:adjustRightInd w:val="0"/>
              <w:spacing w:line="240" w:lineRule="auto"/>
              <w:jc w:val="left"/>
              <w:rPr>
                <w:rFonts w:eastAsiaTheme="minorHAnsi" w:cs="Arial"/>
                <w:szCs w:val="18"/>
                <w:lang w:val="it-IT"/>
              </w:rPr>
            </w:pPr>
            <w:r w:rsidRPr="009E4F43">
              <w:rPr>
                <w:rFonts w:eastAsiaTheme="minorHAnsi" w:cs="Arial"/>
                <w:color w:val="000000"/>
                <w:szCs w:val="18"/>
                <w:lang w:val="it-IT"/>
              </w:rPr>
              <w:t>0.491</w:t>
            </w:r>
          </w:p>
          <w:p w14:paraId="0BD93AE1" w14:textId="77777777" w:rsidR="00B12AE6" w:rsidRPr="009E4F43" w:rsidRDefault="00B12AE6" w:rsidP="00447425">
            <w:pPr>
              <w:pStyle w:val="CETBodytext"/>
              <w:rPr>
                <w:rFonts w:cs="Arial"/>
                <w:szCs w:val="18"/>
                <w:lang w:val="en-GB"/>
              </w:rPr>
            </w:pPr>
            <w:r>
              <w:rPr>
                <w:rFonts w:cs="Arial"/>
                <w:szCs w:val="18"/>
                <w:lang w:val="en-GB"/>
              </w:rPr>
              <w:t>0.497</w:t>
            </w:r>
          </w:p>
        </w:tc>
        <w:tc>
          <w:tcPr>
            <w:tcW w:w="1134" w:type="dxa"/>
            <w:shd w:val="clear" w:color="auto" w:fill="FFFFFF"/>
          </w:tcPr>
          <w:p w14:paraId="27B49053" w14:textId="77777777" w:rsidR="00B12AE6" w:rsidRPr="009E4F43" w:rsidRDefault="00B12AE6" w:rsidP="00447425">
            <w:pPr>
              <w:widowControl w:val="0"/>
              <w:tabs>
                <w:tab w:val="clear" w:pos="7100"/>
              </w:tabs>
              <w:autoSpaceDE w:val="0"/>
              <w:autoSpaceDN w:val="0"/>
              <w:adjustRightInd w:val="0"/>
              <w:spacing w:line="240" w:lineRule="auto"/>
              <w:jc w:val="left"/>
              <w:rPr>
                <w:rFonts w:eastAsiaTheme="minorHAnsi" w:cs="Arial"/>
                <w:color w:val="000000"/>
                <w:szCs w:val="18"/>
                <w:lang w:val="it-IT"/>
              </w:rPr>
            </w:pPr>
            <w:r w:rsidRPr="009E4F43">
              <w:rPr>
                <w:rFonts w:eastAsiaTheme="minorHAnsi" w:cs="Arial"/>
                <w:color w:val="000000"/>
                <w:szCs w:val="18"/>
                <w:lang w:val="it-IT"/>
              </w:rPr>
              <w:t>3.682</w:t>
            </w:r>
          </w:p>
          <w:p w14:paraId="551177AC" w14:textId="77777777" w:rsidR="00B12AE6" w:rsidRPr="009E4F43" w:rsidRDefault="00B12AE6" w:rsidP="00447425">
            <w:pPr>
              <w:widowControl w:val="0"/>
              <w:tabs>
                <w:tab w:val="clear" w:pos="7100"/>
              </w:tabs>
              <w:autoSpaceDE w:val="0"/>
              <w:autoSpaceDN w:val="0"/>
              <w:adjustRightInd w:val="0"/>
              <w:spacing w:line="240" w:lineRule="auto"/>
              <w:jc w:val="left"/>
              <w:rPr>
                <w:rFonts w:eastAsiaTheme="minorHAnsi" w:cs="Arial"/>
                <w:szCs w:val="18"/>
                <w:lang w:val="it-IT"/>
              </w:rPr>
            </w:pPr>
            <w:r w:rsidRPr="009E4F43">
              <w:rPr>
                <w:rFonts w:cs="Arial"/>
                <w:szCs w:val="18"/>
              </w:rPr>
              <w:t>3.596</w:t>
            </w:r>
          </w:p>
        </w:tc>
        <w:tc>
          <w:tcPr>
            <w:tcW w:w="1276" w:type="dxa"/>
            <w:shd w:val="clear" w:color="auto" w:fill="FFFFFF"/>
          </w:tcPr>
          <w:p w14:paraId="1A28F22E" w14:textId="77777777" w:rsidR="00B12AE6" w:rsidRPr="009E4F43" w:rsidRDefault="00B12AE6" w:rsidP="00447425">
            <w:pPr>
              <w:pStyle w:val="CETBodytext"/>
              <w:ind w:right="-1"/>
              <w:rPr>
                <w:rFonts w:cs="Arial"/>
                <w:szCs w:val="18"/>
                <w:lang w:val="en-GB"/>
              </w:rPr>
            </w:pPr>
            <w:r w:rsidRPr="009E4F43">
              <w:rPr>
                <w:rFonts w:cs="Arial"/>
                <w:szCs w:val="18"/>
                <w:lang w:val="en-GB"/>
              </w:rPr>
              <w:t>0.071</w:t>
            </w:r>
          </w:p>
          <w:p w14:paraId="2FDF8962" w14:textId="77777777" w:rsidR="00B12AE6" w:rsidRPr="009E4F43" w:rsidRDefault="00B12AE6" w:rsidP="00447425">
            <w:pPr>
              <w:pStyle w:val="CETBodytext"/>
              <w:ind w:right="-1"/>
              <w:rPr>
                <w:rFonts w:cs="Arial"/>
                <w:szCs w:val="18"/>
                <w:lang w:val="en-GB"/>
              </w:rPr>
            </w:pPr>
            <w:r w:rsidRPr="009E4F43">
              <w:rPr>
                <w:rFonts w:cs="Arial"/>
                <w:szCs w:val="18"/>
                <w:lang w:val="en-GB"/>
              </w:rPr>
              <w:t>0.051</w:t>
            </w:r>
          </w:p>
        </w:tc>
        <w:tc>
          <w:tcPr>
            <w:tcW w:w="1277" w:type="dxa"/>
            <w:shd w:val="clear" w:color="auto" w:fill="FFFFFF"/>
          </w:tcPr>
          <w:p w14:paraId="2DA630B2" w14:textId="77777777" w:rsidR="00B12AE6" w:rsidRDefault="00B12AE6" w:rsidP="00447425">
            <w:pPr>
              <w:pStyle w:val="CETBodytext"/>
              <w:ind w:right="-1"/>
              <w:rPr>
                <w:rFonts w:cs="Arial"/>
                <w:szCs w:val="18"/>
                <w:lang w:val="en-GB"/>
              </w:rPr>
            </w:pPr>
            <w:r w:rsidRPr="009E4F43">
              <w:rPr>
                <w:rFonts w:cs="Arial"/>
                <w:szCs w:val="18"/>
                <w:lang w:val="en-GB"/>
              </w:rPr>
              <w:t>0.169</w:t>
            </w:r>
          </w:p>
          <w:p w14:paraId="5BA6EA10" w14:textId="77777777" w:rsidR="00B12AE6" w:rsidRPr="009E4F43" w:rsidRDefault="00B12AE6" w:rsidP="00447425">
            <w:pPr>
              <w:pStyle w:val="CETBodytext"/>
              <w:ind w:right="-1"/>
              <w:rPr>
                <w:rFonts w:cs="Arial"/>
                <w:szCs w:val="18"/>
                <w:lang w:val="en-GB"/>
              </w:rPr>
            </w:pPr>
            <w:r>
              <w:rPr>
                <w:rFonts w:cs="Arial"/>
                <w:szCs w:val="18"/>
                <w:lang w:val="en-GB"/>
              </w:rPr>
              <w:t>0.099</w:t>
            </w:r>
          </w:p>
        </w:tc>
      </w:tr>
      <w:tr w:rsidR="00B12AE6" w:rsidRPr="00B57B36" w14:paraId="177A0D82" w14:textId="77777777" w:rsidTr="00447425">
        <w:tc>
          <w:tcPr>
            <w:tcW w:w="1701" w:type="dxa"/>
            <w:shd w:val="clear" w:color="auto" w:fill="FFFFFF"/>
          </w:tcPr>
          <w:p w14:paraId="7D7FAB4E" w14:textId="77777777" w:rsidR="00B12AE6" w:rsidRDefault="00B12AE6" w:rsidP="00447425">
            <w:pPr>
              <w:pStyle w:val="CETBodytext"/>
              <w:ind w:right="-1"/>
              <w:rPr>
                <w:rFonts w:cs="Arial"/>
                <w:szCs w:val="18"/>
                <w:lang w:val="en-GB"/>
              </w:rPr>
            </w:pPr>
            <w:r>
              <w:rPr>
                <w:rFonts w:cs="Arial"/>
                <w:szCs w:val="18"/>
                <w:lang w:val="en-GB"/>
              </w:rPr>
              <w:t>PBDPU-5</w:t>
            </w:r>
          </w:p>
          <w:p w14:paraId="25DBD276" w14:textId="77777777" w:rsidR="00B12AE6" w:rsidRPr="00B57B36" w:rsidRDefault="00B12AE6" w:rsidP="00447425">
            <w:pPr>
              <w:pStyle w:val="CETBodytext"/>
              <w:ind w:right="-1"/>
              <w:rPr>
                <w:rFonts w:cs="Arial"/>
                <w:szCs w:val="18"/>
                <w:lang w:val="en-GB"/>
              </w:rPr>
            </w:pPr>
            <w:r>
              <w:rPr>
                <w:rFonts w:cs="Arial"/>
                <w:szCs w:val="18"/>
                <w:lang w:val="en-GB"/>
              </w:rPr>
              <w:t>PBDPU-7.5</w:t>
            </w:r>
          </w:p>
        </w:tc>
        <w:tc>
          <w:tcPr>
            <w:tcW w:w="1560" w:type="dxa"/>
            <w:shd w:val="clear" w:color="auto" w:fill="FFFFFF"/>
          </w:tcPr>
          <w:p w14:paraId="7D25CDE8" w14:textId="77777777" w:rsidR="00B12AE6" w:rsidRDefault="00B12AE6" w:rsidP="00447425">
            <w:pPr>
              <w:pStyle w:val="CETBodytext"/>
              <w:ind w:right="-1"/>
              <w:rPr>
                <w:rFonts w:cs="Arial"/>
                <w:szCs w:val="18"/>
                <w:lang w:val="en-GB"/>
              </w:rPr>
            </w:pPr>
            <w:r>
              <w:rPr>
                <w:rFonts w:cs="Arial"/>
                <w:szCs w:val="18"/>
                <w:lang w:val="en-GB"/>
              </w:rPr>
              <w:t>0.509</w:t>
            </w:r>
          </w:p>
          <w:p w14:paraId="2E5943B4" w14:textId="77777777" w:rsidR="00B12AE6" w:rsidRPr="00B57B36" w:rsidRDefault="00B12AE6" w:rsidP="00447425">
            <w:pPr>
              <w:pStyle w:val="CETBodytext"/>
              <w:ind w:right="-1"/>
              <w:rPr>
                <w:rFonts w:cs="Arial"/>
                <w:szCs w:val="18"/>
                <w:lang w:val="en-GB"/>
              </w:rPr>
            </w:pPr>
            <w:r>
              <w:rPr>
                <w:rFonts w:cs="Arial"/>
                <w:szCs w:val="18"/>
                <w:lang w:val="en-GB"/>
              </w:rPr>
              <w:t>0.497</w:t>
            </w:r>
          </w:p>
        </w:tc>
        <w:tc>
          <w:tcPr>
            <w:tcW w:w="1134" w:type="dxa"/>
            <w:shd w:val="clear" w:color="auto" w:fill="FFFFFF"/>
          </w:tcPr>
          <w:p w14:paraId="31872523" w14:textId="77777777" w:rsidR="00B12AE6" w:rsidRDefault="00B12AE6" w:rsidP="00447425">
            <w:pPr>
              <w:pStyle w:val="CETBodytext"/>
              <w:ind w:right="-1"/>
              <w:rPr>
                <w:rFonts w:cs="Arial"/>
                <w:szCs w:val="18"/>
                <w:lang w:val="en-GB"/>
              </w:rPr>
            </w:pPr>
            <w:r>
              <w:rPr>
                <w:rFonts w:cs="Arial"/>
                <w:szCs w:val="18"/>
                <w:lang w:val="en-GB"/>
              </w:rPr>
              <w:t>3.924</w:t>
            </w:r>
          </w:p>
          <w:p w14:paraId="28A873E7" w14:textId="77777777" w:rsidR="00B12AE6" w:rsidRPr="00B57B36" w:rsidRDefault="00B12AE6" w:rsidP="00447425">
            <w:pPr>
              <w:pStyle w:val="CETBodytext"/>
              <w:ind w:right="-1"/>
              <w:rPr>
                <w:rFonts w:cs="Arial"/>
                <w:szCs w:val="18"/>
                <w:lang w:val="en-GB"/>
              </w:rPr>
            </w:pPr>
            <w:r>
              <w:rPr>
                <w:rFonts w:cs="Arial"/>
                <w:szCs w:val="18"/>
                <w:lang w:val="en-GB"/>
              </w:rPr>
              <w:t>2.507</w:t>
            </w:r>
          </w:p>
        </w:tc>
        <w:tc>
          <w:tcPr>
            <w:tcW w:w="1276" w:type="dxa"/>
            <w:shd w:val="clear" w:color="auto" w:fill="FFFFFF"/>
          </w:tcPr>
          <w:p w14:paraId="617323A2" w14:textId="77777777" w:rsidR="00B12AE6" w:rsidRDefault="00B12AE6" w:rsidP="00447425">
            <w:pPr>
              <w:pStyle w:val="CETBodytext"/>
              <w:ind w:right="-1"/>
              <w:rPr>
                <w:rFonts w:cs="Arial"/>
                <w:szCs w:val="18"/>
                <w:lang w:val="en-GB"/>
              </w:rPr>
            </w:pPr>
            <w:r>
              <w:rPr>
                <w:rFonts w:cs="Arial"/>
                <w:szCs w:val="18"/>
                <w:lang w:val="en-GB"/>
              </w:rPr>
              <w:t>0.042</w:t>
            </w:r>
          </w:p>
          <w:p w14:paraId="192AD8F8" w14:textId="77777777" w:rsidR="00B12AE6" w:rsidRPr="00B57B36" w:rsidRDefault="00B12AE6" w:rsidP="00447425">
            <w:pPr>
              <w:pStyle w:val="CETBodytext"/>
              <w:ind w:right="-1"/>
              <w:rPr>
                <w:rFonts w:cs="Arial"/>
                <w:szCs w:val="18"/>
                <w:lang w:val="en-GB"/>
              </w:rPr>
            </w:pPr>
            <w:r>
              <w:rPr>
                <w:rFonts w:cs="Arial"/>
                <w:szCs w:val="18"/>
                <w:lang w:val="en-GB"/>
              </w:rPr>
              <w:t>0.061</w:t>
            </w:r>
          </w:p>
        </w:tc>
        <w:tc>
          <w:tcPr>
            <w:tcW w:w="1277" w:type="dxa"/>
            <w:shd w:val="clear" w:color="auto" w:fill="FFFFFF"/>
          </w:tcPr>
          <w:p w14:paraId="1BD250C7" w14:textId="77777777" w:rsidR="00B12AE6" w:rsidRDefault="00B12AE6" w:rsidP="00447425">
            <w:pPr>
              <w:pStyle w:val="CETBodytext"/>
              <w:ind w:right="-1"/>
              <w:rPr>
                <w:rFonts w:cs="Arial"/>
                <w:szCs w:val="18"/>
                <w:lang w:val="en-GB"/>
              </w:rPr>
            </w:pPr>
            <w:r>
              <w:rPr>
                <w:rFonts w:cs="Arial"/>
                <w:szCs w:val="18"/>
                <w:lang w:val="en-GB"/>
              </w:rPr>
              <w:t>0.050</w:t>
            </w:r>
          </w:p>
          <w:p w14:paraId="6E719BFC" w14:textId="77777777" w:rsidR="00B12AE6" w:rsidRPr="00B57B36" w:rsidRDefault="00B12AE6" w:rsidP="00447425">
            <w:pPr>
              <w:pStyle w:val="CETBodytext"/>
              <w:ind w:right="-1"/>
              <w:rPr>
                <w:rFonts w:cs="Arial"/>
                <w:szCs w:val="18"/>
                <w:lang w:val="en-GB"/>
              </w:rPr>
            </w:pPr>
            <w:r>
              <w:rPr>
                <w:rFonts w:cs="Arial"/>
                <w:szCs w:val="18"/>
                <w:lang w:val="en-GB"/>
              </w:rPr>
              <w:t>0.0</w:t>
            </w:r>
          </w:p>
        </w:tc>
      </w:tr>
    </w:tbl>
    <w:p w14:paraId="7612DAFA" w14:textId="77777777" w:rsidR="00B12AE6" w:rsidRDefault="00B12AE6" w:rsidP="00B42D73">
      <w:pPr>
        <w:pStyle w:val="CETCaption"/>
      </w:pPr>
    </w:p>
    <w:p w14:paraId="5A23B99A" w14:textId="6ACA4AD1" w:rsidR="001767C5" w:rsidRDefault="001767C5" w:rsidP="001767C5">
      <w:pPr>
        <w:pStyle w:val="CETheadingx"/>
      </w:pPr>
      <w:r>
        <w:t xml:space="preserve">Doxorubicin transport in </w:t>
      </w:r>
      <w:proofErr w:type="spellStart"/>
      <w:r>
        <w:t>m</w:t>
      </w:r>
      <w:r w:rsidRPr="005211FB">
        <w:t>uco</w:t>
      </w:r>
      <w:proofErr w:type="spellEnd"/>
      <w:r>
        <w:t>-</w:t>
      </w:r>
      <w:r w:rsidRPr="005211FB">
        <w:t>adhesive alginate pastes with embedded liposomes</w:t>
      </w:r>
    </w:p>
    <w:p w14:paraId="6D8A1B9B" w14:textId="3AAE1E53" w:rsidR="00C43F35" w:rsidRDefault="000C4BEC" w:rsidP="00C43F35">
      <w:pPr>
        <w:pStyle w:val="CETBodytext"/>
      </w:pPr>
      <w:proofErr w:type="spellStart"/>
      <w:r>
        <w:t>Muco</w:t>
      </w:r>
      <w:r w:rsidR="00695A80">
        <w:t>adhesive</w:t>
      </w:r>
      <w:proofErr w:type="spellEnd"/>
      <w:r w:rsidR="00695A80">
        <w:t xml:space="preserve"> polymers with embedded liposomes seem to be promising in treatments of oral cancers as drug carrier</w:t>
      </w:r>
      <w:r w:rsidR="00CD5759">
        <w:t>s</w:t>
      </w:r>
      <w:r w:rsidR="00695A80">
        <w:t>. Polymer attach</w:t>
      </w:r>
      <w:r w:rsidR="00CD5759">
        <w:t>es</w:t>
      </w:r>
      <w:r w:rsidR="00695A80">
        <w:t xml:space="preserve"> on oral mucosa inducing local release of drugs, while liposomes avoids drug degradation also improving cells absorption. The aim is both tumor size reduction and </w:t>
      </w:r>
      <w:r w:rsidR="00D07B6E">
        <w:t xml:space="preserve">tumor cells dissemination.  </w:t>
      </w:r>
      <w:r w:rsidR="00CD5759">
        <w:t>T</w:t>
      </w:r>
      <w:r w:rsidR="00695A80">
        <w:t xml:space="preserve">he </w:t>
      </w:r>
      <w:r w:rsidR="00CD5759">
        <w:t xml:space="preserve">paper of </w:t>
      </w:r>
      <w:proofErr w:type="spellStart"/>
      <w:r w:rsidR="00CD5759">
        <w:t>Shtenberg</w:t>
      </w:r>
      <w:proofErr w:type="spellEnd"/>
      <w:r w:rsidR="00CD5759">
        <w:t xml:space="preserve"> et Al., 2018, from which data are taken, is</w:t>
      </w:r>
      <w:r w:rsidR="00695A80">
        <w:t xml:space="preserve"> </w:t>
      </w:r>
      <w:r>
        <w:t xml:space="preserve">an experimental study in which they analyze different alginate/liposomes innovative formulations from the point of view of </w:t>
      </w:r>
      <w:proofErr w:type="spellStart"/>
      <w:r>
        <w:t>mucoadhesive</w:t>
      </w:r>
      <w:proofErr w:type="spellEnd"/>
      <w:r>
        <w:t xml:space="preserve"> properties and drug release evolution.</w:t>
      </w:r>
      <w:r w:rsidR="00AD34E8">
        <w:t xml:space="preserve"> </w:t>
      </w:r>
      <w:r w:rsidR="00C43F35">
        <w:t>Here, we apply the dissipative wave equation to the description of the time evolution of liposomes release from alginate pastes with different alginate concentrations in simulated saliva buffers (</w:t>
      </w:r>
      <w:proofErr w:type="spellStart"/>
      <w:r w:rsidR="00C43F35">
        <w:t>Shtenberg</w:t>
      </w:r>
      <w:proofErr w:type="spellEnd"/>
      <w:r w:rsidR="00C43F35">
        <w:t xml:space="preserve"> et Al., 2018). Details of materials and experiments can be found therein.</w:t>
      </w:r>
    </w:p>
    <w:p w14:paraId="7B071631" w14:textId="350A5AC5" w:rsidR="00A53783" w:rsidRPr="00486B96" w:rsidRDefault="00B72951" w:rsidP="00A53783">
      <w:pPr>
        <w:pStyle w:val="CETBodytext"/>
      </w:pPr>
      <w:r>
        <w:t xml:space="preserve">From the comparison between predicted and experimental data, reported in Figure 2, the good prediction capability of the model is observed. Model’s parameters are also reported in Table 2. It is worth noting that in this case, differently from the preceding, the advection term is not introduced (v=0). This means that, being no neat flux imposed from outside, the transport mechanism is purely leaded by molecular fluctuations which, differently from the classical diffusional transport, takes also into account molecular correlations.  </w:t>
      </w:r>
    </w:p>
    <w:p w14:paraId="1CE4661C" w14:textId="77777777" w:rsidR="00A53783" w:rsidRDefault="00A53783" w:rsidP="001767C5">
      <w:pPr>
        <w:pStyle w:val="CETBodytext"/>
      </w:pPr>
    </w:p>
    <w:p w14:paraId="30BD0845" w14:textId="174E4DDA" w:rsidR="00486B96" w:rsidRDefault="001A3696" w:rsidP="00486B96">
      <w:pPr>
        <w:pStyle w:val="CETBodytext"/>
      </w:pPr>
      <w:r>
        <w:rPr>
          <w:noProof/>
          <w:lang w:val="it-IT" w:eastAsia="it-IT"/>
        </w:rPr>
        <w:lastRenderedPageBreak/>
        <w:drawing>
          <wp:inline distT="0" distB="0" distL="0" distR="0" wp14:anchorId="6B38BD07" wp14:editId="320D57D2">
            <wp:extent cx="2884170" cy="2436495"/>
            <wp:effectExtent l="0" t="0" r="11430" b="1905"/>
            <wp:docPr id="1" name="Immagine 1" descr="Macintosh HD:Users:antonio:MEGA:Lavori in corso:ICHEAP14:Giona:shte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acintosh HD:Users:antonio:MEGA:Lavori in corso:ICHEAP14:Giona:shten.eps"/>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84170" cy="2436495"/>
                    </a:xfrm>
                    <a:prstGeom prst="rect">
                      <a:avLst/>
                    </a:prstGeom>
                    <a:noFill/>
                    <a:ln>
                      <a:noFill/>
                    </a:ln>
                  </pic:spPr>
                </pic:pic>
              </a:graphicData>
            </a:graphic>
          </wp:inline>
        </w:drawing>
      </w:r>
    </w:p>
    <w:p w14:paraId="0C770802" w14:textId="0AF94F30" w:rsidR="00AD34E8" w:rsidRDefault="00C43F35" w:rsidP="00A274C7">
      <w:pPr>
        <w:pStyle w:val="CETCaption"/>
      </w:pPr>
      <w:r>
        <w:t>Figure 2</w:t>
      </w:r>
      <w:r w:rsidR="00AD34E8">
        <w:t xml:space="preserve">: </w:t>
      </w:r>
      <w:r w:rsidR="00A274C7">
        <w:t xml:space="preserve">Doxorubicin release in simulated saliva buffers from </w:t>
      </w:r>
      <w:proofErr w:type="spellStart"/>
      <w:r w:rsidR="00A274C7">
        <w:t>m</w:t>
      </w:r>
      <w:r w:rsidR="00A274C7" w:rsidRPr="005211FB">
        <w:t>uco</w:t>
      </w:r>
      <w:proofErr w:type="spellEnd"/>
      <w:r w:rsidR="00A274C7">
        <w:t>-</w:t>
      </w:r>
      <w:r w:rsidR="00A274C7" w:rsidRPr="005211FB">
        <w:t>adhesive alginate pastes with embedded liposomes</w:t>
      </w:r>
      <w:r w:rsidR="00A274C7">
        <w:t xml:space="preserve"> </w:t>
      </w:r>
      <w:r w:rsidR="00AD34E8" w:rsidRPr="006E72C6">
        <w:t>wit</w:t>
      </w:r>
      <w:r w:rsidR="00A274C7">
        <w:t>h 3%, 4%</w:t>
      </w:r>
      <w:r w:rsidR="00AD34E8" w:rsidRPr="006E72C6">
        <w:t xml:space="preserve">, </w:t>
      </w:r>
      <w:proofErr w:type="gramStart"/>
      <w:r w:rsidR="00AD34E8" w:rsidRPr="006E72C6">
        <w:t>5</w:t>
      </w:r>
      <w:r w:rsidR="005B45A2">
        <w:t>%</w:t>
      </w:r>
      <w:r w:rsidR="001A3696">
        <w:t>(w/V</w:t>
      </w:r>
      <w:r w:rsidR="00A274C7">
        <w:t>) alginate concentration</w:t>
      </w:r>
      <w:proofErr w:type="gramEnd"/>
      <w:r w:rsidR="00AD34E8">
        <w:t xml:space="preserve">. Data are taken from </w:t>
      </w:r>
      <w:proofErr w:type="spellStart"/>
      <w:r w:rsidR="00A274C7">
        <w:t>Shtenberg</w:t>
      </w:r>
      <w:proofErr w:type="spellEnd"/>
      <w:r w:rsidR="00A274C7">
        <w:t xml:space="preserve"> et Al., 2018:</w:t>
      </w:r>
      <w:r w:rsidR="00AD34E8">
        <w:t xml:space="preserve"> Comparison between e</w:t>
      </w:r>
      <w:r w:rsidR="00A274C7">
        <w:t>xperimental and predicted data.</w:t>
      </w:r>
    </w:p>
    <w:p w14:paraId="02A992DE" w14:textId="77777777" w:rsidR="00B12AE6" w:rsidRDefault="00B12AE6" w:rsidP="00B12AE6">
      <w:pPr>
        <w:pStyle w:val="CETTabletitle"/>
      </w:pPr>
      <w:r>
        <w:t xml:space="preserve">Table 2: Parameters values for the dissipative wave equations obtained from a suitable regression procedure from the data reported in </w:t>
      </w:r>
      <w:proofErr w:type="spellStart"/>
      <w:r>
        <w:t>Shtenberg</w:t>
      </w:r>
      <w:proofErr w:type="spellEnd"/>
      <w:r>
        <w:t xml:space="preserve"> et Al., 2018.</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85"/>
        <w:gridCol w:w="1560"/>
        <w:gridCol w:w="1134"/>
        <w:gridCol w:w="1276"/>
        <w:gridCol w:w="1277"/>
      </w:tblGrid>
      <w:tr w:rsidR="00B12AE6" w:rsidRPr="00B57B36" w14:paraId="2C2A97B3" w14:textId="77777777" w:rsidTr="00447425">
        <w:tc>
          <w:tcPr>
            <w:tcW w:w="1985" w:type="dxa"/>
            <w:tcBorders>
              <w:top w:val="single" w:sz="12" w:space="0" w:color="008000"/>
              <w:bottom w:val="single" w:sz="6" w:space="0" w:color="008000"/>
            </w:tcBorders>
            <w:shd w:val="clear" w:color="auto" w:fill="FFFFFF"/>
          </w:tcPr>
          <w:p w14:paraId="3E74062C" w14:textId="77777777" w:rsidR="00B12AE6" w:rsidRPr="00CD5759" w:rsidRDefault="00B12AE6" w:rsidP="00447425">
            <w:pPr>
              <w:pStyle w:val="CETBodytext"/>
              <w:rPr>
                <w:lang w:val="en-GB"/>
              </w:rPr>
            </w:pPr>
            <w:r w:rsidRPr="00CD5759">
              <w:rPr>
                <w:lang w:val="en-GB"/>
              </w:rPr>
              <w:t>Alginate concentration</w:t>
            </w:r>
          </w:p>
        </w:tc>
        <w:tc>
          <w:tcPr>
            <w:tcW w:w="1560" w:type="dxa"/>
            <w:tcBorders>
              <w:top w:val="single" w:sz="12" w:space="0" w:color="008000"/>
              <w:bottom w:val="single" w:sz="6" w:space="0" w:color="008000"/>
            </w:tcBorders>
            <w:shd w:val="clear" w:color="auto" w:fill="FFFFFF"/>
          </w:tcPr>
          <w:p w14:paraId="041D9052" w14:textId="77777777" w:rsidR="00B12AE6" w:rsidRPr="00B57B36" w:rsidRDefault="00B12AE6" w:rsidP="00447425">
            <w:pPr>
              <w:pStyle w:val="CETBodytext"/>
              <w:rPr>
                <w:lang w:val="en-GB"/>
              </w:rPr>
            </w:pPr>
            <w:proofErr w:type="gramStart"/>
            <w:r>
              <w:rPr>
                <w:lang w:val="en-GB"/>
              </w:rPr>
              <w:t>c</w:t>
            </w:r>
            <w:proofErr w:type="gramEnd"/>
            <w:r>
              <w:rPr>
                <w:lang w:val="en-GB"/>
              </w:rPr>
              <w:t xml:space="preserve"> (</w:t>
            </w:r>
            <w:r w:rsidRPr="00FF544F">
              <w:rPr>
                <w:position w:val="-4"/>
                <w:lang w:val="en-GB"/>
              </w:rPr>
              <w:object w:dxaOrig="760" w:dyaOrig="300" w14:anchorId="76F6D4F9">
                <v:shape id="_x0000_i1056" type="#_x0000_t75" style="width:37.75pt;height:15.1pt" o:ole="">
                  <v:imagedata r:id="rId63" o:title=""/>
                </v:shape>
                <o:OLEObject Type="Embed" ProgID="Equation.DSMT4" ShapeID="_x0000_i1056" DrawAspect="Content" ObjectID="_1489682474" r:id="rId64"/>
              </w:object>
            </w:r>
            <w:r>
              <w:rPr>
                <w:lang w:val="en-GB"/>
              </w:rPr>
              <w:t xml:space="preserve"> )</w:t>
            </w:r>
          </w:p>
        </w:tc>
        <w:tc>
          <w:tcPr>
            <w:tcW w:w="1134" w:type="dxa"/>
            <w:tcBorders>
              <w:top w:val="single" w:sz="12" w:space="0" w:color="008000"/>
              <w:bottom w:val="single" w:sz="6" w:space="0" w:color="008000"/>
            </w:tcBorders>
            <w:shd w:val="clear" w:color="auto" w:fill="FFFFFF"/>
          </w:tcPr>
          <w:p w14:paraId="7D364518" w14:textId="77777777" w:rsidR="00B12AE6" w:rsidRPr="00B57B36" w:rsidRDefault="00B12AE6" w:rsidP="00447425">
            <w:pPr>
              <w:pStyle w:val="CETBodytext"/>
              <w:ind w:left="284" w:hanging="284"/>
              <w:rPr>
                <w:lang w:val="en-GB"/>
              </w:rPr>
            </w:pPr>
            <w:proofErr w:type="gramStart"/>
            <w:r>
              <w:rPr>
                <w:lang w:val="en-GB"/>
              </w:rPr>
              <w:t>a</w:t>
            </w:r>
            <w:proofErr w:type="gramEnd"/>
            <w:r>
              <w:rPr>
                <w:lang w:val="en-GB"/>
              </w:rPr>
              <w:t xml:space="preserve"> (</w:t>
            </w:r>
            <w:r w:rsidRPr="00FF544F">
              <w:rPr>
                <w:position w:val="-4"/>
                <w:lang w:val="en-GB"/>
              </w:rPr>
              <w:object w:dxaOrig="380" w:dyaOrig="300" w14:anchorId="765551BC">
                <v:shape id="_x0000_i1057" type="#_x0000_t75" style="width:19.65pt;height:15.1pt" o:ole="">
                  <v:imagedata r:id="rId65" o:title=""/>
                </v:shape>
                <o:OLEObject Type="Embed" ProgID="Equation.DSMT4" ShapeID="_x0000_i1057" DrawAspect="Content" ObjectID="_1489682475" r:id="rId66"/>
              </w:object>
            </w:r>
            <w:r>
              <w:rPr>
                <w:lang w:val="en-GB"/>
              </w:rPr>
              <w:t xml:space="preserve">) </w:t>
            </w:r>
          </w:p>
        </w:tc>
        <w:tc>
          <w:tcPr>
            <w:tcW w:w="1276" w:type="dxa"/>
            <w:tcBorders>
              <w:top w:val="single" w:sz="12" w:space="0" w:color="008000"/>
              <w:bottom w:val="single" w:sz="6" w:space="0" w:color="008000"/>
            </w:tcBorders>
            <w:shd w:val="clear" w:color="auto" w:fill="FFFFFF"/>
          </w:tcPr>
          <w:p w14:paraId="2605A979" w14:textId="77777777" w:rsidR="00B12AE6" w:rsidRPr="00B57B36" w:rsidRDefault="00B12AE6" w:rsidP="00447425">
            <w:pPr>
              <w:pStyle w:val="CETBodytext"/>
              <w:ind w:right="-426"/>
              <w:rPr>
                <w:rFonts w:cs="Arial"/>
                <w:szCs w:val="18"/>
                <w:lang w:val="en-GB"/>
              </w:rPr>
            </w:pPr>
            <w:proofErr w:type="gramStart"/>
            <w:r>
              <w:rPr>
                <w:rFonts w:cs="Arial"/>
                <w:szCs w:val="18"/>
                <w:lang w:val="en-GB"/>
              </w:rPr>
              <w:t>h</w:t>
            </w:r>
            <w:proofErr w:type="gramEnd"/>
            <w:r>
              <w:rPr>
                <w:rFonts w:cs="Arial"/>
                <w:szCs w:val="18"/>
                <w:lang w:val="en-GB"/>
              </w:rPr>
              <w:t xml:space="preserve"> (</w:t>
            </w:r>
            <w:r w:rsidRPr="00FF544F">
              <w:rPr>
                <w:position w:val="-4"/>
                <w:lang w:val="en-GB"/>
              </w:rPr>
              <w:object w:dxaOrig="760" w:dyaOrig="300" w14:anchorId="422D8E1C">
                <v:shape id="_x0000_i1058" type="#_x0000_t75" style="width:37.75pt;height:15.1pt" o:ole="">
                  <v:imagedata r:id="rId67" o:title=""/>
                </v:shape>
                <o:OLEObject Type="Embed" ProgID="Equation.DSMT4" ShapeID="_x0000_i1058" DrawAspect="Content" ObjectID="_1489682476" r:id="rId68"/>
              </w:object>
            </w:r>
            <w:r>
              <w:rPr>
                <w:rFonts w:cs="Arial"/>
                <w:szCs w:val="18"/>
                <w:lang w:val="en-GB"/>
              </w:rPr>
              <w:t>)</w:t>
            </w:r>
          </w:p>
        </w:tc>
        <w:tc>
          <w:tcPr>
            <w:tcW w:w="1277" w:type="dxa"/>
            <w:tcBorders>
              <w:top w:val="single" w:sz="12" w:space="0" w:color="008000"/>
              <w:bottom w:val="single" w:sz="6" w:space="0" w:color="008000"/>
            </w:tcBorders>
            <w:shd w:val="clear" w:color="auto" w:fill="FFFFFF"/>
          </w:tcPr>
          <w:p w14:paraId="42435542" w14:textId="77777777" w:rsidR="00B12AE6" w:rsidRPr="00B57B36" w:rsidRDefault="00B12AE6" w:rsidP="00447425">
            <w:pPr>
              <w:pStyle w:val="CETBodytext"/>
              <w:tabs>
                <w:tab w:val="clear" w:pos="7100"/>
                <w:tab w:val="left" w:pos="655"/>
              </w:tabs>
              <w:ind w:right="-1"/>
              <w:rPr>
                <w:rFonts w:cs="Arial"/>
                <w:szCs w:val="18"/>
                <w:lang w:val="en-GB"/>
              </w:rPr>
            </w:pPr>
            <w:proofErr w:type="gramStart"/>
            <w:r>
              <w:rPr>
                <w:rFonts w:cs="Arial"/>
                <w:szCs w:val="18"/>
                <w:lang w:val="en-GB"/>
              </w:rPr>
              <w:t>v</w:t>
            </w:r>
            <w:proofErr w:type="gramEnd"/>
            <w:r>
              <w:rPr>
                <w:rFonts w:cs="Arial"/>
                <w:szCs w:val="18"/>
                <w:lang w:val="en-GB"/>
              </w:rPr>
              <w:t xml:space="preserve"> (</w:t>
            </w:r>
            <w:r w:rsidRPr="00FF544F">
              <w:rPr>
                <w:position w:val="-4"/>
                <w:lang w:val="en-GB"/>
              </w:rPr>
              <w:object w:dxaOrig="760" w:dyaOrig="300" w14:anchorId="68B1A8E7">
                <v:shape id="_x0000_i1059" type="#_x0000_t75" style="width:37.75pt;height:15.1pt" o:ole="">
                  <v:imagedata r:id="rId69" o:title=""/>
                </v:shape>
                <o:OLEObject Type="Embed" ProgID="Equation.DSMT4" ShapeID="_x0000_i1059" DrawAspect="Content" ObjectID="_1489682477" r:id="rId70"/>
              </w:object>
            </w:r>
            <w:r>
              <w:rPr>
                <w:rFonts w:cs="Arial"/>
                <w:szCs w:val="18"/>
                <w:lang w:val="en-GB"/>
              </w:rPr>
              <w:t>)</w:t>
            </w:r>
          </w:p>
        </w:tc>
      </w:tr>
      <w:tr w:rsidR="00B12AE6" w:rsidRPr="00B57B36" w14:paraId="457C9952" w14:textId="77777777" w:rsidTr="00447425">
        <w:tc>
          <w:tcPr>
            <w:tcW w:w="1985" w:type="dxa"/>
            <w:shd w:val="clear" w:color="auto" w:fill="FFFFFF"/>
          </w:tcPr>
          <w:p w14:paraId="790A75E1" w14:textId="77777777" w:rsidR="00B12AE6" w:rsidRDefault="00B12AE6" w:rsidP="00447425">
            <w:pPr>
              <w:pStyle w:val="CETBodytext"/>
              <w:ind w:right="-1"/>
              <w:jc w:val="center"/>
              <w:rPr>
                <w:rFonts w:cs="Arial"/>
                <w:szCs w:val="18"/>
                <w:lang w:val="en-GB"/>
              </w:rPr>
            </w:pPr>
            <w:r>
              <w:rPr>
                <w:rFonts w:cs="Arial"/>
                <w:szCs w:val="18"/>
                <w:lang w:val="en-GB"/>
              </w:rPr>
              <w:t>3%(w/V)</w:t>
            </w:r>
          </w:p>
          <w:p w14:paraId="2159405C" w14:textId="77777777" w:rsidR="00B12AE6" w:rsidRPr="00B57B36" w:rsidRDefault="00B12AE6" w:rsidP="00447425">
            <w:pPr>
              <w:pStyle w:val="CETBodytext"/>
              <w:ind w:right="-1"/>
              <w:jc w:val="center"/>
              <w:rPr>
                <w:rFonts w:cs="Arial"/>
                <w:szCs w:val="18"/>
                <w:lang w:val="en-GB"/>
              </w:rPr>
            </w:pPr>
            <w:r>
              <w:rPr>
                <w:rFonts w:cs="Arial"/>
                <w:szCs w:val="18"/>
                <w:lang w:val="en-GB"/>
              </w:rPr>
              <w:t>4%(w/V)</w:t>
            </w:r>
          </w:p>
        </w:tc>
        <w:tc>
          <w:tcPr>
            <w:tcW w:w="1560" w:type="dxa"/>
            <w:shd w:val="clear" w:color="auto" w:fill="FFFFFF"/>
          </w:tcPr>
          <w:p w14:paraId="7806DA91" w14:textId="77777777" w:rsidR="00B12AE6" w:rsidRPr="00D61ABC" w:rsidRDefault="00B12AE6" w:rsidP="00447425">
            <w:pPr>
              <w:pStyle w:val="CETBodytext"/>
              <w:ind w:right="-1"/>
              <w:rPr>
                <w:rFonts w:cs="Arial"/>
                <w:szCs w:val="18"/>
                <w:vertAlign w:val="superscript"/>
                <w:lang w:val="en-GB"/>
              </w:rPr>
            </w:pPr>
            <w:r>
              <w:rPr>
                <w:rFonts w:cs="Arial"/>
                <w:szCs w:val="18"/>
                <w:lang w:val="en-GB"/>
              </w:rPr>
              <w:t>6.85*10</w:t>
            </w:r>
            <w:r>
              <w:rPr>
                <w:rFonts w:cs="Arial"/>
                <w:szCs w:val="18"/>
                <w:vertAlign w:val="superscript"/>
                <w:lang w:val="en-GB"/>
              </w:rPr>
              <w:t>-5</w:t>
            </w:r>
          </w:p>
          <w:p w14:paraId="39FBE204" w14:textId="77777777" w:rsidR="00B12AE6" w:rsidRPr="00B57B36" w:rsidRDefault="00B12AE6" w:rsidP="00447425">
            <w:pPr>
              <w:pStyle w:val="CETBodytext"/>
              <w:ind w:right="-1"/>
              <w:rPr>
                <w:rFonts w:cs="Arial"/>
                <w:szCs w:val="18"/>
                <w:lang w:val="en-GB"/>
              </w:rPr>
            </w:pPr>
            <w:r>
              <w:rPr>
                <w:rFonts w:cs="Arial"/>
                <w:szCs w:val="18"/>
                <w:lang w:val="en-GB"/>
              </w:rPr>
              <w:t>0.0421</w:t>
            </w:r>
          </w:p>
        </w:tc>
        <w:tc>
          <w:tcPr>
            <w:tcW w:w="1134" w:type="dxa"/>
            <w:shd w:val="clear" w:color="auto" w:fill="FFFFFF"/>
          </w:tcPr>
          <w:p w14:paraId="0F1A7851" w14:textId="77777777" w:rsidR="00B12AE6" w:rsidRDefault="00B12AE6" w:rsidP="00447425">
            <w:pPr>
              <w:pStyle w:val="CETBodytext"/>
              <w:ind w:right="-1"/>
              <w:rPr>
                <w:rFonts w:cs="Arial"/>
                <w:szCs w:val="18"/>
                <w:lang w:val="en-GB"/>
              </w:rPr>
            </w:pPr>
            <w:r>
              <w:rPr>
                <w:rFonts w:cs="Arial"/>
                <w:szCs w:val="18"/>
                <w:lang w:val="en-GB"/>
              </w:rPr>
              <w:t>6.740</w:t>
            </w:r>
          </w:p>
          <w:p w14:paraId="05866C22" w14:textId="77777777" w:rsidR="00B12AE6" w:rsidRPr="00B57B36" w:rsidRDefault="00B12AE6" w:rsidP="00447425">
            <w:pPr>
              <w:pStyle w:val="CETBodytext"/>
              <w:ind w:right="-1"/>
              <w:rPr>
                <w:rFonts w:cs="Arial"/>
                <w:szCs w:val="18"/>
                <w:lang w:val="en-GB"/>
              </w:rPr>
            </w:pPr>
            <w:r>
              <w:rPr>
                <w:rFonts w:cs="Arial"/>
                <w:szCs w:val="18"/>
                <w:lang w:val="en-GB"/>
              </w:rPr>
              <w:t>7.020</w:t>
            </w:r>
          </w:p>
        </w:tc>
        <w:tc>
          <w:tcPr>
            <w:tcW w:w="1276" w:type="dxa"/>
            <w:shd w:val="clear" w:color="auto" w:fill="FFFFFF"/>
          </w:tcPr>
          <w:p w14:paraId="10EF0A61" w14:textId="77777777" w:rsidR="00B12AE6" w:rsidRDefault="00B12AE6" w:rsidP="00447425">
            <w:pPr>
              <w:pStyle w:val="CETBodytext"/>
              <w:ind w:right="-1"/>
              <w:rPr>
                <w:rFonts w:cs="Arial"/>
                <w:szCs w:val="18"/>
                <w:lang w:val="en-GB"/>
              </w:rPr>
            </w:pPr>
            <w:r>
              <w:rPr>
                <w:rFonts w:cs="Arial"/>
                <w:szCs w:val="18"/>
                <w:lang w:val="en-GB"/>
              </w:rPr>
              <w:t>0.131</w:t>
            </w:r>
          </w:p>
          <w:p w14:paraId="3D6DDD4A" w14:textId="77777777" w:rsidR="00B12AE6" w:rsidRPr="00B57B36" w:rsidRDefault="00B12AE6" w:rsidP="00447425">
            <w:pPr>
              <w:pStyle w:val="CETBodytext"/>
              <w:ind w:right="-1"/>
              <w:rPr>
                <w:rFonts w:cs="Arial"/>
                <w:szCs w:val="18"/>
                <w:lang w:val="en-GB"/>
              </w:rPr>
            </w:pPr>
            <w:r>
              <w:rPr>
                <w:rFonts w:cs="Arial"/>
                <w:szCs w:val="18"/>
                <w:lang w:val="en-GB"/>
              </w:rPr>
              <w:t>0.0838</w:t>
            </w:r>
          </w:p>
        </w:tc>
        <w:tc>
          <w:tcPr>
            <w:tcW w:w="1277" w:type="dxa"/>
            <w:shd w:val="clear" w:color="auto" w:fill="FFFFFF"/>
          </w:tcPr>
          <w:p w14:paraId="3ACF469C" w14:textId="77777777" w:rsidR="00B12AE6" w:rsidRDefault="00B12AE6" w:rsidP="00447425">
            <w:pPr>
              <w:pStyle w:val="CETBodytext"/>
              <w:ind w:right="-1"/>
              <w:rPr>
                <w:rFonts w:cs="Arial"/>
                <w:szCs w:val="18"/>
                <w:lang w:val="en-GB"/>
              </w:rPr>
            </w:pPr>
            <w:r>
              <w:rPr>
                <w:rFonts w:cs="Arial"/>
                <w:szCs w:val="18"/>
                <w:lang w:val="en-GB"/>
              </w:rPr>
              <w:t>0.000</w:t>
            </w:r>
          </w:p>
          <w:p w14:paraId="3CD4A9A3" w14:textId="77777777" w:rsidR="00B12AE6" w:rsidRPr="00B57B36" w:rsidRDefault="00B12AE6" w:rsidP="00447425">
            <w:pPr>
              <w:pStyle w:val="CETBodytext"/>
              <w:ind w:right="-1"/>
              <w:rPr>
                <w:rFonts w:cs="Arial"/>
                <w:szCs w:val="18"/>
                <w:lang w:val="en-GB"/>
              </w:rPr>
            </w:pPr>
            <w:r>
              <w:rPr>
                <w:rFonts w:cs="Arial"/>
                <w:szCs w:val="18"/>
                <w:lang w:val="en-GB"/>
              </w:rPr>
              <w:t>0.000</w:t>
            </w:r>
          </w:p>
        </w:tc>
      </w:tr>
      <w:tr w:rsidR="00B12AE6" w:rsidRPr="00B57B36" w14:paraId="19CD8F00" w14:textId="77777777" w:rsidTr="00447425">
        <w:tc>
          <w:tcPr>
            <w:tcW w:w="1985" w:type="dxa"/>
            <w:shd w:val="clear" w:color="auto" w:fill="FFFFFF"/>
          </w:tcPr>
          <w:p w14:paraId="5812C717" w14:textId="77777777" w:rsidR="00B12AE6" w:rsidRDefault="00B12AE6" w:rsidP="00447425">
            <w:pPr>
              <w:pStyle w:val="CETBodytext"/>
              <w:ind w:right="-1"/>
              <w:jc w:val="center"/>
              <w:rPr>
                <w:rFonts w:cs="Arial"/>
                <w:szCs w:val="18"/>
                <w:lang w:val="en-GB"/>
              </w:rPr>
            </w:pPr>
            <w:r>
              <w:rPr>
                <w:rFonts w:cs="Arial"/>
                <w:szCs w:val="18"/>
                <w:lang w:val="en-GB"/>
              </w:rPr>
              <w:t>5%(w/V)</w:t>
            </w:r>
          </w:p>
        </w:tc>
        <w:tc>
          <w:tcPr>
            <w:tcW w:w="1560" w:type="dxa"/>
            <w:shd w:val="clear" w:color="auto" w:fill="FFFFFF"/>
          </w:tcPr>
          <w:p w14:paraId="636C9133" w14:textId="77777777" w:rsidR="00B12AE6" w:rsidRDefault="00B12AE6" w:rsidP="00447425">
            <w:pPr>
              <w:pStyle w:val="CETBodytext"/>
              <w:ind w:right="-1"/>
              <w:rPr>
                <w:rFonts w:cs="Arial"/>
                <w:szCs w:val="18"/>
                <w:lang w:val="en-GB"/>
              </w:rPr>
            </w:pPr>
            <w:r>
              <w:rPr>
                <w:rFonts w:cs="Arial"/>
                <w:szCs w:val="18"/>
                <w:lang w:val="en-GB"/>
              </w:rPr>
              <w:t>0.244</w:t>
            </w:r>
          </w:p>
        </w:tc>
        <w:tc>
          <w:tcPr>
            <w:tcW w:w="1134" w:type="dxa"/>
            <w:shd w:val="clear" w:color="auto" w:fill="FFFFFF"/>
          </w:tcPr>
          <w:p w14:paraId="570B352E" w14:textId="77777777" w:rsidR="00B12AE6" w:rsidRDefault="00B12AE6" w:rsidP="00447425">
            <w:pPr>
              <w:pStyle w:val="CETBodytext"/>
              <w:ind w:right="-1"/>
              <w:rPr>
                <w:rFonts w:cs="Arial"/>
                <w:szCs w:val="18"/>
                <w:lang w:val="en-GB"/>
              </w:rPr>
            </w:pPr>
            <w:r>
              <w:rPr>
                <w:rFonts w:cs="Arial"/>
                <w:szCs w:val="18"/>
                <w:lang w:val="en-GB"/>
              </w:rPr>
              <w:t>7.087</w:t>
            </w:r>
          </w:p>
        </w:tc>
        <w:tc>
          <w:tcPr>
            <w:tcW w:w="1276" w:type="dxa"/>
            <w:shd w:val="clear" w:color="auto" w:fill="FFFFFF"/>
          </w:tcPr>
          <w:p w14:paraId="640415E0" w14:textId="77777777" w:rsidR="00B12AE6" w:rsidRDefault="00B12AE6" w:rsidP="00447425">
            <w:pPr>
              <w:pStyle w:val="CETBodytext"/>
              <w:ind w:right="-1"/>
              <w:rPr>
                <w:rFonts w:cs="Arial"/>
                <w:szCs w:val="18"/>
                <w:lang w:val="en-GB"/>
              </w:rPr>
            </w:pPr>
            <w:r>
              <w:rPr>
                <w:rFonts w:cs="Arial"/>
                <w:szCs w:val="18"/>
                <w:lang w:val="en-GB"/>
              </w:rPr>
              <w:t>0.0586</w:t>
            </w:r>
          </w:p>
        </w:tc>
        <w:tc>
          <w:tcPr>
            <w:tcW w:w="1277" w:type="dxa"/>
            <w:shd w:val="clear" w:color="auto" w:fill="FFFFFF"/>
          </w:tcPr>
          <w:p w14:paraId="0BC82F5C" w14:textId="77777777" w:rsidR="00B12AE6" w:rsidRDefault="00B12AE6" w:rsidP="00447425">
            <w:pPr>
              <w:pStyle w:val="CETBodytext"/>
              <w:ind w:right="-1"/>
              <w:rPr>
                <w:rFonts w:cs="Arial"/>
                <w:szCs w:val="18"/>
                <w:lang w:val="en-GB"/>
              </w:rPr>
            </w:pPr>
            <w:r>
              <w:rPr>
                <w:rFonts w:cs="Arial"/>
                <w:szCs w:val="18"/>
                <w:lang w:val="en-GB"/>
              </w:rPr>
              <w:t>0.000</w:t>
            </w:r>
          </w:p>
        </w:tc>
      </w:tr>
    </w:tbl>
    <w:p w14:paraId="24F570D8" w14:textId="77777777" w:rsidR="00B12AE6" w:rsidRDefault="00B12AE6" w:rsidP="00A274C7">
      <w:pPr>
        <w:pStyle w:val="CETCaption"/>
      </w:pPr>
    </w:p>
    <w:p w14:paraId="26007871" w14:textId="3958E842" w:rsidR="003C719E" w:rsidRDefault="001327EC" w:rsidP="001327EC">
      <w:pPr>
        <w:pStyle w:val="CETHeading1"/>
      </w:pPr>
      <w:r>
        <w:t>Conclusion</w:t>
      </w:r>
    </w:p>
    <w:p w14:paraId="3162E0DA" w14:textId="3F26A433" w:rsidR="001327EC" w:rsidRPr="001327EC" w:rsidRDefault="001327EC" w:rsidP="001327EC">
      <w:pPr>
        <w:pStyle w:val="CETBodytext"/>
      </w:pPr>
      <w:r>
        <w:t>In this paper, we discuss</w:t>
      </w:r>
      <w:r w:rsidR="00FC11B7">
        <w:t>ed</w:t>
      </w:r>
      <w:r>
        <w:t xml:space="preserve"> the hyperbolic equations for mass transport </w:t>
      </w:r>
      <w:r w:rsidR="00ED1B91">
        <w:t xml:space="preserve">based on the definition of partial waves and </w:t>
      </w:r>
      <w:r>
        <w:t>derived from Poisson-</w:t>
      </w:r>
      <w:proofErr w:type="spellStart"/>
      <w:r>
        <w:t>Kac</w:t>
      </w:r>
      <w:proofErr w:type="spellEnd"/>
      <w:r>
        <w:t xml:space="preserve"> process</w:t>
      </w:r>
      <w:r w:rsidR="00ED1B91">
        <w:t xml:space="preserve">. Equations </w:t>
      </w:r>
      <w:r w:rsidR="00FC11B7">
        <w:t>have been</w:t>
      </w:r>
      <w:r w:rsidR="00ED1B91">
        <w:t xml:space="preserve"> here applied to the description of </w:t>
      </w:r>
      <w:r w:rsidR="004C0502">
        <w:t xml:space="preserve">two </w:t>
      </w:r>
      <w:r w:rsidR="00ED1B91">
        <w:t xml:space="preserve">literature cases of mass transport in complex matrices, showing good prediction capabilities. The aim </w:t>
      </w:r>
      <w:r w:rsidR="00FC11B7">
        <w:t>was</w:t>
      </w:r>
      <w:r w:rsidR="00ED1B91">
        <w:t xml:space="preserve"> to underline the advantages </w:t>
      </w:r>
      <w:r w:rsidR="004C0502">
        <w:t xml:space="preserve">of the new </w:t>
      </w:r>
      <w:r w:rsidR="005B45A2">
        <w:t>approach, which</w:t>
      </w:r>
      <w:r w:rsidR="004C0502">
        <w:t>, overcoming</w:t>
      </w:r>
      <w:r w:rsidR="00175505">
        <w:t xml:space="preserve"> </w:t>
      </w:r>
      <w:r w:rsidR="004C0C7C">
        <w:t>the concentration-flux paradigm</w:t>
      </w:r>
      <w:r w:rsidR="004C0502">
        <w:t xml:space="preserve">, </w:t>
      </w:r>
      <w:r w:rsidR="00FC11B7">
        <w:t>allows</w:t>
      </w:r>
      <w:bookmarkStart w:id="0" w:name="_GoBack"/>
      <w:bookmarkEnd w:id="0"/>
      <w:r w:rsidR="00AD569C">
        <w:t xml:space="preserve"> the treatment of several different transport conditions going from wave-like transport</w:t>
      </w:r>
      <w:r w:rsidR="00ED1B91">
        <w:t xml:space="preserve"> </w:t>
      </w:r>
      <w:r w:rsidR="004C0C7C">
        <w:t>to</w:t>
      </w:r>
      <w:r w:rsidR="00AD569C">
        <w:t xml:space="preserve"> classical</w:t>
      </w:r>
      <w:r w:rsidR="00175505">
        <w:t xml:space="preserve"> </w:t>
      </w:r>
      <w:proofErr w:type="spellStart"/>
      <w:r w:rsidR="00175505">
        <w:t>Fickian</w:t>
      </w:r>
      <w:proofErr w:type="spellEnd"/>
      <w:r w:rsidR="00175505">
        <w:t xml:space="preserve"> </w:t>
      </w:r>
      <w:r w:rsidR="004C0C7C">
        <w:t>behavior</w:t>
      </w:r>
      <w:r w:rsidR="00175505">
        <w:t xml:space="preserve"> by using partial wave</w:t>
      </w:r>
      <w:r w:rsidR="00EF4775">
        <w:t xml:space="preserve">s as fundamental variables. </w:t>
      </w:r>
      <w:r w:rsidR="004C0C7C">
        <w:t>Such</w:t>
      </w:r>
      <w:r w:rsidR="004C0C7C" w:rsidRPr="004C0C7C">
        <w:t xml:space="preserve"> variables, although </w:t>
      </w:r>
      <w:r w:rsidR="004C0C7C">
        <w:t xml:space="preserve">having </w:t>
      </w:r>
      <w:r w:rsidR="004C0C7C" w:rsidRPr="004C0C7C">
        <w:t>a less immediate correspondence with the experimental responses</w:t>
      </w:r>
      <w:r w:rsidR="003B6FAB">
        <w:t>,</w:t>
      </w:r>
      <w:r w:rsidR="004C0C7C" w:rsidRPr="004C0C7C">
        <w:t xml:space="preserve"> generally in terms of flow and concentration,</w:t>
      </w:r>
      <w:r w:rsidR="003B6FAB">
        <w:t xml:space="preserve"> have in our opinion</w:t>
      </w:r>
      <w:r w:rsidR="004C0C7C" w:rsidRPr="004C0C7C">
        <w:t xml:space="preserve"> a deeper meaning because they provide a more intimate and immediate link with the underlying stochastic reality. </w:t>
      </w:r>
    </w:p>
    <w:p w14:paraId="0FF250A3" w14:textId="77777777" w:rsidR="00600535" w:rsidRPr="00B57B36" w:rsidRDefault="00600535" w:rsidP="00600535">
      <w:pPr>
        <w:pStyle w:val="CETReference"/>
      </w:pPr>
      <w:r w:rsidRPr="00B57B36">
        <w:t>References</w:t>
      </w:r>
    </w:p>
    <w:p w14:paraId="4343423F" w14:textId="6CC3CF74" w:rsidR="007106A3" w:rsidRDefault="005746D8" w:rsidP="005746D8">
      <w:pPr>
        <w:pStyle w:val="CETReferencetext"/>
      </w:pPr>
      <w:proofErr w:type="spellStart"/>
      <w:r>
        <w:t>Brasiello</w:t>
      </w:r>
      <w:proofErr w:type="spellEnd"/>
      <w:r>
        <w:t xml:space="preserve"> A., </w:t>
      </w:r>
      <w:proofErr w:type="spellStart"/>
      <w:r>
        <w:t>Crescitelli</w:t>
      </w:r>
      <w:proofErr w:type="spellEnd"/>
      <w:r>
        <w:t xml:space="preserve"> S., </w:t>
      </w:r>
      <w:proofErr w:type="spellStart"/>
      <w:r>
        <w:t>Giona</w:t>
      </w:r>
      <w:proofErr w:type="spellEnd"/>
      <w:r w:rsidR="007106A3">
        <w:t xml:space="preserve"> M., 2016</w:t>
      </w:r>
      <w:r>
        <w:t>a</w:t>
      </w:r>
      <w:r w:rsidR="007106A3">
        <w:t xml:space="preserve">, One-dimensional hyperbolic transport: Positivity and admissible boundary conditions derived from the wave formulation, </w:t>
      </w:r>
      <w:proofErr w:type="spellStart"/>
      <w:r w:rsidR="007106A3">
        <w:t>Physica</w:t>
      </w:r>
      <w:proofErr w:type="spellEnd"/>
      <w:r w:rsidR="007106A3">
        <w:t xml:space="preserve"> A: Statistical Mechanics and its Applications 449, 176</w:t>
      </w:r>
      <w:r w:rsidR="00AB7BE4">
        <w:t xml:space="preserve"> - </w:t>
      </w:r>
      <w:r w:rsidR="007106A3">
        <w:t>191.</w:t>
      </w:r>
    </w:p>
    <w:p w14:paraId="724561CA" w14:textId="7336A0E6" w:rsidR="007A4EEC" w:rsidRDefault="005746D8" w:rsidP="005746D8">
      <w:pPr>
        <w:pStyle w:val="CETReferencetext"/>
      </w:pPr>
      <w:proofErr w:type="spellStart"/>
      <w:r>
        <w:t>Brasiello</w:t>
      </w:r>
      <w:proofErr w:type="spellEnd"/>
      <w:r>
        <w:t xml:space="preserve"> A., </w:t>
      </w:r>
      <w:proofErr w:type="spellStart"/>
      <w:r>
        <w:t>Crescitelli</w:t>
      </w:r>
      <w:proofErr w:type="spellEnd"/>
      <w:r>
        <w:t xml:space="preserve"> S., </w:t>
      </w:r>
      <w:proofErr w:type="spellStart"/>
      <w:r>
        <w:t>Giona</w:t>
      </w:r>
      <w:proofErr w:type="spellEnd"/>
      <w:r w:rsidR="007A4EEC">
        <w:t xml:space="preserve"> M., 2016</w:t>
      </w:r>
      <w:r>
        <w:t>b</w:t>
      </w:r>
      <w:r w:rsidR="007A4EEC">
        <w:t xml:space="preserve">, </w:t>
      </w:r>
      <w:r w:rsidR="007A4EEC" w:rsidRPr="007A4EEC">
        <w:t>Energetics of Poisson-</w:t>
      </w:r>
      <w:proofErr w:type="spellStart"/>
      <w:r w:rsidR="007A4EEC" w:rsidRPr="007A4EEC">
        <w:t>Kac</w:t>
      </w:r>
      <w:proofErr w:type="spellEnd"/>
      <w:r w:rsidR="007A4EEC" w:rsidRPr="007A4EEC">
        <w:t xml:space="preserve"> Stochastic Processes Possessing Finite Propagation Velocity</w:t>
      </w:r>
      <w:r w:rsidR="007A4EEC">
        <w:t xml:space="preserve">, </w:t>
      </w:r>
      <w:r>
        <w:t>Journal of Non-equilibrium Thermodynamics, 41 (2), 115 - 122</w:t>
      </w:r>
      <w:r w:rsidR="007A4EEC">
        <w:t>.</w:t>
      </w:r>
    </w:p>
    <w:p w14:paraId="20549CB5" w14:textId="7D64B6D7" w:rsidR="009576CB" w:rsidRDefault="00AB7BE4" w:rsidP="005746D8">
      <w:pPr>
        <w:pStyle w:val="CETReferencetext"/>
      </w:pPr>
      <w:proofErr w:type="spellStart"/>
      <w:r>
        <w:t>Cattaneo</w:t>
      </w:r>
      <w:proofErr w:type="spellEnd"/>
      <w:r>
        <w:t xml:space="preserve"> C., 1958, Sulla </w:t>
      </w:r>
      <w:proofErr w:type="spellStart"/>
      <w:r>
        <w:t>conduzione</w:t>
      </w:r>
      <w:proofErr w:type="spellEnd"/>
      <w:r>
        <w:t xml:space="preserve"> del </w:t>
      </w:r>
      <w:proofErr w:type="spellStart"/>
      <w:r>
        <w:t>calore</w:t>
      </w:r>
      <w:proofErr w:type="spellEnd"/>
      <w:r>
        <w:t xml:space="preserve">, </w:t>
      </w:r>
      <w:proofErr w:type="spellStart"/>
      <w:r>
        <w:t>Atti</w:t>
      </w:r>
      <w:proofErr w:type="spellEnd"/>
      <w:r>
        <w:t xml:space="preserve"> del </w:t>
      </w:r>
      <w:proofErr w:type="spellStart"/>
      <w:r>
        <w:t>Seminario</w:t>
      </w:r>
      <w:proofErr w:type="spellEnd"/>
      <w:r>
        <w:t xml:space="preserve"> Mat. </w:t>
      </w:r>
      <w:proofErr w:type="spellStart"/>
      <w:r>
        <w:t>Fis</w:t>
      </w:r>
      <w:proofErr w:type="spellEnd"/>
      <w:r>
        <w:t xml:space="preserve">. Univ. Modena 3 (1), 83 </w:t>
      </w:r>
      <w:r w:rsidR="009576CB">
        <w:t>–</w:t>
      </w:r>
      <w:r>
        <w:t xml:space="preserve"> 101</w:t>
      </w:r>
      <w:r w:rsidR="009576CB">
        <w:t>.</w:t>
      </w:r>
    </w:p>
    <w:p w14:paraId="58E5A417" w14:textId="0DBDCEEF" w:rsidR="008A4A13" w:rsidRDefault="008A4A13" w:rsidP="005746D8">
      <w:pPr>
        <w:pStyle w:val="CETReferencetext"/>
      </w:pPr>
      <w:proofErr w:type="spellStart"/>
      <w:r>
        <w:t>Doghieri</w:t>
      </w:r>
      <w:proofErr w:type="spellEnd"/>
      <w:r>
        <w:t xml:space="preserve"> F, Camera-</w:t>
      </w:r>
      <w:proofErr w:type="spellStart"/>
      <w:r>
        <w:t>Roda</w:t>
      </w:r>
      <w:proofErr w:type="spellEnd"/>
      <w:r>
        <w:t xml:space="preserve"> G., </w:t>
      </w:r>
      <w:proofErr w:type="spellStart"/>
      <w:r>
        <w:t>Sarti</w:t>
      </w:r>
      <w:proofErr w:type="spellEnd"/>
      <w:r>
        <w:t xml:space="preserve"> G. C., 1993, Rate type equations for the diffusion in polymers: Thermodynamics Constraints, </w:t>
      </w:r>
      <w:proofErr w:type="spellStart"/>
      <w:r>
        <w:t>AIChE</w:t>
      </w:r>
      <w:proofErr w:type="spellEnd"/>
      <w:r>
        <w:t xml:space="preserve"> Journal, 39 (11), 1847 – 1858.</w:t>
      </w:r>
    </w:p>
    <w:p w14:paraId="16327FA9" w14:textId="0BB3F49F" w:rsidR="009576CB" w:rsidRDefault="005746D8" w:rsidP="005746D8">
      <w:pPr>
        <w:pStyle w:val="CETReferencetext"/>
      </w:pPr>
      <w:proofErr w:type="spellStart"/>
      <w:r>
        <w:t>Giona</w:t>
      </w:r>
      <w:proofErr w:type="spellEnd"/>
      <w:r w:rsidR="007106A3">
        <w:t xml:space="preserve"> M., </w:t>
      </w:r>
      <w:proofErr w:type="spellStart"/>
      <w:r w:rsidR="007106A3">
        <w:t>Brasi</w:t>
      </w:r>
      <w:r>
        <w:t>ello</w:t>
      </w:r>
      <w:proofErr w:type="spellEnd"/>
      <w:r>
        <w:t xml:space="preserve"> A., </w:t>
      </w:r>
      <w:proofErr w:type="spellStart"/>
      <w:r>
        <w:t>Crescitelli</w:t>
      </w:r>
      <w:proofErr w:type="spellEnd"/>
      <w:r w:rsidR="008A4A13">
        <w:t xml:space="preserve"> S., 2015,</w:t>
      </w:r>
      <w:r w:rsidR="007106A3">
        <w:t xml:space="preserve"> </w:t>
      </w:r>
      <w:proofErr w:type="spellStart"/>
      <w:r w:rsidR="007106A3">
        <w:t>Ergodicity</w:t>
      </w:r>
      <w:proofErr w:type="spellEnd"/>
      <w:r w:rsidR="007106A3">
        <w:t xml:space="preserve">-breaking bifurcations </w:t>
      </w:r>
      <w:proofErr w:type="spellStart"/>
      <w:r w:rsidR="007106A3">
        <w:t>tu</w:t>
      </w:r>
      <w:r w:rsidR="009576CB">
        <w:t>nneling</w:t>
      </w:r>
      <w:proofErr w:type="spellEnd"/>
      <w:r w:rsidR="009576CB">
        <w:t xml:space="preserve"> in hyperbolic transport </w:t>
      </w:r>
      <w:r w:rsidR="008A4A13">
        <w:t>models,</w:t>
      </w:r>
      <w:r w:rsidR="007106A3">
        <w:t xml:space="preserve"> EPL</w:t>
      </w:r>
      <w:r w:rsidR="008A4A13">
        <w:t>,</w:t>
      </w:r>
      <w:r w:rsidR="007106A3">
        <w:t xml:space="preserve"> 112 (3), 30001.</w:t>
      </w:r>
    </w:p>
    <w:p w14:paraId="1886F8D2" w14:textId="68634B71" w:rsidR="008A4A13" w:rsidRDefault="005746D8" w:rsidP="005746D8">
      <w:pPr>
        <w:pStyle w:val="CETReferencetext"/>
      </w:pPr>
      <w:proofErr w:type="spellStart"/>
      <w:r>
        <w:t>Giona</w:t>
      </w:r>
      <w:proofErr w:type="spellEnd"/>
      <w:r>
        <w:t xml:space="preserve"> M., </w:t>
      </w:r>
      <w:proofErr w:type="spellStart"/>
      <w:r>
        <w:t>Brasiello</w:t>
      </w:r>
      <w:proofErr w:type="spellEnd"/>
      <w:r w:rsidR="008A4A13">
        <w:t xml:space="preserve"> A., </w:t>
      </w:r>
      <w:proofErr w:type="spellStart"/>
      <w:r w:rsidR="008A4A13">
        <w:t>Crescite</w:t>
      </w:r>
      <w:r>
        <w:t>lli</w:t>
      </w:r>
      <w:proofErr w:type="spellEnd"/>
      <w:r w:rsidR="008A4A13">
        <w:t xml:space="preserve"> S., 2016, </w:t>
      </w:r>
      <w:r w:rsidR="008A4A13" w:rsidRPr="00767BCC">
        <w:t>On the influence of reflective boundary conditions on the statistics of Poisson-</w:t>
      </w:r>
      <w:proofErr w:type="spellStart"/>
      <w:r w:rsidR="008A4A13" w:rsidRPr="00767BCC">
        <w:t>Kac</w:t>
      </w:r>
      <w:proofErr w:type="spellEnd"/>
      <w:r w:rsidR="008A4A13" w:rsidRPr="00767BCC">
        <w:t xml:space="preserve"> diffusion processes</w:t>
      </w:r>
      <w:r w:rsidR="008A4A13">
        <w:t xml:space="preserve">, </w:t>
      </w:r>
      <w:proofErr w:type="spellStart"/>
      <w:r w:rsidR="008A4A13">
        <w:t>Physica</w:t>
      </w:r>
      <w:proofErr w:type="spellEnd"/>
      <w:r w:rsidR="008A4A13">
        <w:t xml:space="preserve"> A: Statistical Mechanics and its Applications, 450, 148 - 164.</w:t>
      </w:r>
    </w:p>
    <w:p w14:paraId="05E444C7" w14:textId="774E24C8" w:rsidR="00767BCC" w:rsidRDefault="005746D8" w:rsidP="009576CB">
      <w:pPr>
        <w:pStyle w:val="CETReferencetext"/>
      </w:pPr>
      <w:proofErr w:type="spellStart"/>
      <w:r>
        <w:lastRenderedPageBreak/>
        <w:t>Giona</w:t>
      </w:r>
      <w:proofErr w:type="spellEnd"/>
      <w:r>
        <w:t xml:space="preserve"> M., </w:t>
      </w:r>
      <w:proofErr w:type="spellStart"/>
      <w:r>
        <w:t>Brasiello</w:t>
      </w:r>
      <w:proofErr w:type="spellEnd"/>
      <w:r>
        <w:t xml:space="preserve"> A., </w:t>
      </w:r>
      <w:proofErr w:type="spellStart"/>
      <w:r>
        <w:t>Crescitelli</w:t>
      </w:r>
      <w:proofErr w:type="spellEnd"/>
      <w:r w:rsidR="00767BCC">
        <w:t xml:space="preserve"> S., 2017</w:t>
      </w:r>
      <w:r w:rsidR="008A4A13">
        <w:t>a</w:t>
      </w:r>
      <w:r w:rsidR="00767BCC">
        <w:t xml:space="preserve">, Stochastic foundations of </w:t>
      </w:r>
      <w:proofErr w:type="spellStart"/>
      <w:r w:rsidR="009576CB">
        <w:t>undulatory</w:t>
      </w:r>
      <w:proofErr w:type="spellEnd"/>
      <w:r w:rsidR="009576CB">
        <w:t xml:space="preserve"> transport phenomena:</w:t>
      </w:r>
      <w:r w:rsidR="008A4A13">
        <w:t xml:space="preserve"> </w:t>
      </w:r>
      <w:r w:rsidR="00767BCC">
        <w:t xml:space="preserve">Generalized </w:t>
      </w:r>
      <w:proofErr w:type="spellStart"/>
      <w:r w:rsidR="00767BCC">
        <w:t>poisson-kac</w:t>
      </w:r>
      <w:proofErr w:type="spellEnd"/>
      <w:r w:rsidR="00767BCC">
        <w:t xml:space="preserve"> processes - part </w:t>
      </w:r>
      <w:proofErr w:type="spellStart"/>
      <w:r w:rsidR="00767BCC">
        <w:t>i</w:t>
      </w:r>
      <w:proofErr w:type="spellEnd"/>
      <w:r w:rsidR="00767BCC">
        <w:t xml:space="preserve"> basic theory, Journal of Physics A: Mathematical and Theoretica</w:t>
      </w:r>
      <w:r w:rsidR="008A4A13">
        <w:t xml:space="preserve">l, </w:t>
      </w:r>
      <w:r w:rsidR="00767BCC">
        <w:t>50 (33), 335002.</w:t>
      </w:r>
    </w:p>
    <w:p w14:paraId="22CA9620" w14:textId="15453243" w:rsidR="007106A3" w:rsidRDefault="005746D8" w:rsidP="009576CB">
      <w:pPr>
        <w:pStyle w:val="CETReferencetext"/>
      </w:pPr>
      <w:proofErr w:type="spellStart"/>
      <w:r>
        <w:t>Giona</w:t>
      </w:r>
      <w:proofErr w:type="spellEnd"/>
      <w:r>
        <w:t xml:space="preserve"> M., </w:t>
      </w:r>
      <w:proofErr w:type="spellStart"/>
      <w:r>
        <w:t>Brasiello</w:t>
      </w:r>
      <w:proofErr w:type="spellEnd"/>
      <w:r>
        <w:t xml:space="preserve"> A., </w:t>
      </w:r>
      <w:proofErr w:type="spellStart"/>
      <w:r>
        <w:t>Crescitelli</w:t>
      </w:r>
      <w:proofErr w:type="spellEnd"/>
      <w:r w:rsidR="007106A3">
        <w:t xml:space="preserve"> S., 2017</w:t>
      </w:r>
      <w:r w:rsidR="008A4A13">
        <w:t>b</w:t>
      </w:r>
      <w:r w:rsidR="007106A3">
        <w:t xml:space="preserve">, Stochastic foundations of </w:t>
      </w:r>
      <w:proofErr w:type="spellStart"/>
      <w:r w:rsidR="007106A3">
        <w:t>undulatory</w:t>
      </w:r>
      <w:proofErr w:type="spellEnd"/>
      <w:r w:rsidR="007106A3">
        <w:t xml:space="preserve"> transport phenomena: Generalized </w:t>
      </w:r>
      <w:proofErr w:type="spellStart"/>
      <w:r w:rsidR="007106A3">
        <w:t>poisson-kac</w:t>
      </w:r>
      <w:proofErr w:type="spellEnd"/>
      <w:r w:rsidR="007106A3">
        <w:t xml:space="preserve"> processes - part ii irreversibility, norms and entropies, Journal of Physics A: Mathematical and Theoretical</w:t>
      </w:r>
      <w:r w:rsidR="008A4A13">
        <w:t>,</w:t>
      </w:r>
      <w:r w:rsidR="007106A3">
        <w:t xml:space="preserve"> 50 (33), 335003.</w:t>
      </w:r>
    </w:p>
    <w:p w14:paraId="25FAD10A" w14:textId="7559B97C" w:rsidR="00767BCC" w:rsidRDefault="00767BCC" w:rsidP="009576CB">
      <w:pPr>
        <w:pStyle w:val="CETReferencetext"/>
      </w:pPr>
      <w:proofErr w:type="spellStart"/>
      <w:r>
        <w:t>Giona</w:t>
      </w:r>
      <w:proofErr w:type="spellEnd"/>
      <w:r>
        <w:t xml:space="preserve">, M., </w:t>
      </w:r>
      <w:proofErr w:type="spellStart"/>
      <w:r>
        <w:t>Brasiello</w:t>
      </w:r>
      <w:proofErr w:type="spellEnd"/>
      <w:r>
        <w:t xml:space="preserve">, A., </w:t>
      </w:r>
      <w:proofErr w:type="spellStart"/>
      <w:r>
        <w:t>Crescitelli</w:t>
      </w:r>
      <w:proofErr w:type="spellEnd"/>
      <w:r>
        <w:t>, S., 2017</w:t>
      </w:r>
      <w:r w:rsidR="008A4A13">
        <w:t>c</w:t>
      </w:r>
      <w:r>
        <w:t xml:space="preserve">, Stochastic foundations of </w:t>
      </w:r>
      <w:proofErr w:type="spellStart"/>
      <w:r>
        <w:t>undulatory</w:t>
      </w:r>
      <w:proofErr w:type="spellEnd"/>
      <w:r>
        <w:t xml:space="preserve"> transport phenomena: Generalized </w:t>
      </w:r>
      <w:proofErr w:type="spellStart"/>
      <w:r>
        <w:t>poisson-kac</w:t>
      </w:r>
      <w:proofErr w:type="spellEnd"/>
      <w:r>
        <w:t xml:space="preserve"> processes - part iii extensions and applications to kinetic theory and transport, Journal of Physics A: Mathematical and Theoretical</w:t>
      </w:r>
      <w:r w:rsidR="008A4A13">
        <w:t>,</w:t>
      </w:r>
      <w:r>
        <w:t xml:space="preserve"> 50 (33), 335004.</w:t>
      </w:r>
    </w:p>
    <w:p w14:paraId="396BC536" w14:textId="0E2DBFC3" w:rsidR="00767BCC" w:rsidRDefault="00767BCC" w:rsidP="009576CB">
      <w:pPr>
        <w:pStyle w:val="CETReferencetext"/>
      </w:pPr>
      <w:proofErr w:type="spellStart"/>
      <w:r>
        <w:t>Giona</w:t>
      </w:r>
      <w:proofErr w:type="spellEnd"/>
      <w:r>
        <w:t xml:space="preserve">, M., </w:t>
      </w:r>
      <w:proofErr w:type="spellStart"/>
      <w:r>
        <w:t>Brasiello</w:t>
      </w:r>
      <w:proofErr w:type="spellEnd"/>
      <w:r>
        <w:t xml:space="preserve">, A., </w:t>
      </w:r>
      <w:proofErr w:type="spellStart"/>
      <w:r>
        <w:t>Crescitelli</w:t>
      </w:r>
      <w:proofErr w:type="spellEnd"/>
      <w:r>
        <w:t>, S., 2017</w:t>
      </w:r>
      <w:r w:rsidR="008A4A13">
        <w:t>d</w:t>
      </w:r>
      <w:r>
        <w:t xml:space="preserve">, </w:t>
      </w:r>
      <w:proofErr w:type="spellStart"/>
      <w:r>
        <w:t>Markovian</w:t>
      </w:r>
      <w:proofErr w:type="spellEnd"/>
      <w:r>
        <w:t xml:space="preserve"> nature, completeness, </w:t>
      </w:r>
      <w:proofErr w:type="gramStart"/>
      <w:r>
        <w:t>regularity</w:t>
      </w:r>
      <w:proofErr w:type="gramEnd"/>
      <w:r>
        <w:t xml:space="preserve"> and correlation properties of generalized Poisson-</w:t>
      </w:r>
      <w:proofErr w:type="spellStart"/>
      <w:r>
        <w:t>Kac</w:t>
      </w:r>
      <w:proofErr w:type="spellEnd"/>
      <w:r>
        <w:t xml:space="preserve"> processes, Journal of Statistical Mechanics: Theory and Experiment</w:t>
      </w:r>
      <w:r w:rsidR="008A4A13">
        <w:t>,</w:t>
      </w:r>
      <w:r>
        <w:t xml:space="preserve"> 2, 023205.</w:t>
      </w:r>
    </w:p>
    <w:p w14:paraId="4DCBBDDE" w14:textId="55285FD7" w:rsidR="008A4A13" w:rsidRDefault="008A4A13" w:rsidP="008A4A13">
      <w:pPr>
        <w:pStyle w:val="CETReferencetext"/>
      </w:pPr>
      <w:proofErr w:type="spellStart"/>
      <w:r>
        <w:t>Kac</w:t>
      </w:r>
      <w:proofErr w:type="spellEnd"/>
      <w:r>
        <w:t xml:space="preserve"> M, 1974, A stochastic model related to the telegrapher’s equation, Rocky Mountain Journal of Mathematics, 4(3), 497 – 509.</w:t>
      </w:r>
    </w:p>
    <w:p w14:paraId="3969FCE0" w14:textId="36E5C157" w:rsidR="008A4A13" w:rsidRDefault="008A4A13" w:rsidP="008A4A13">
      <w:pPr>
        <w:pStyle w:val="CETReferencetext"/>
      </w:pPr>
      <w:proofErr w:type="spellStart"/>
      <w:r w:rsidRPr="00DA14B3">
        <w:t>Rath</w:t>
      </w:r>
      <w:proofErr w:type="spellEnd"/>
      <w:r>
        <w:t xml:space="preserve"> S. K., </w:t>
      </w:r>
      <w:proofErr w:type="spellStart"/>
      <w:r w:rsidRPr="00DA14B3">
        <w:t>Bahadur</w:t>
      </w:r>
      <w:proofErr w:type="spellEnd"/>
      <w:r>
        <w:t xml:space="preserve"> J.,</w:t>
      </w:r>
      <w:r w:rsidRPr="00DA14B3">
        <w:t xml:space="preserve"> Panda</w:t>
      </w:r>
      <w:r>
        <w:t xml:space="preserve"> H. S., </w:t>
      </w:r>
      <w:proofErr w:type="spellStart"/>
      <w:r w:rsidRPr="00DA14B3">
        <w:t>Sen</w:t>
      </w:r>
      <w:proofErr w:type="spellEnd"/>
      <w:r>
        <w:t xml:space="preserve"> D.,</w:t>
      </w:r>
      <w:r w:rsidRPr="00DA14B3">
        <w:t xml:space="preserve"> </w:t>
      </w:r>
      <w:proofErr w:type="spellStart"/>
      <w:r>
        <w:t>Umasankar</w:t>
      </w:r>
      <w:proofErr w:type="spellEnd"/>
      <w:r>
        <w:t xml:space="preserve"> </w:t>
      </w:r>
      <w:proofErr w:type="spellStart"/>
      <w:r w:rsidRPr="00DA14B3">
        <w:t>Patro</w:t>
      </w:r>
      <w:proofErr w:type="spellEnd"/>
      <w:r>
        <w:t xml:space="preserve"> T., </w:t>
      </w:r>
      <w:r w:rsidRPr="00DA14B3">
        <w:t>Praveen S.,</w:t>
      </w:r>
      <w:r>
        <w:t xml:space="preserve"> </w:t>
      </w:r>
      <w:r w:rsidRPr="00DA14B3">
        <w:t xml:space="preserve">Patria </w:t>
      </w:r>
      <w:r>
        <w:t>M.,</w:t>
      </w:r>
      <w:r w:rsidRPr="00DA14B3">
        <w:t xml:space="preserve"> </w:t>
      </w:r>
      <w:proofErr w:type="spellStart"/>
      <w:r w:rsidRPr="00DA14B3">
        <w:t>Khakhard</w:t>
      </w:r>
      <w:proofErr w:type="spellEnd"/>
      <w:r w:rsidRPr="00DA14B3">
        <w:t xml:space="preserve"> </w:t>
      </w:r>
      <w:r>
        <w:t xml:space="preserve">D. V., 2018, </w:t>
      </w:r>
      <w:r w:rsidRPr="00DA14B3">
        <w:t>Anomalous toluene transport in model segmented polyure</w:t>
      </w:r>
      <w:r>
        <w:t xml:space="preserve">thane–urea/clay </w:t>
      </w:r>
      <w:proofErr w:type="spellStart"/>
      <w:r>
        <w:t>nanocomposites</w:t>
      </w:r>
      <w:proofErr w:type="spellEnd"/>
      <w:r>
        <w:t>, Soft Matter, 14, 3870 – 3881.</w:t>
      </w:r>
    </w:p>
    <w:p w14:paraId="17E56EB8" w14:textId="7DC10DF2" w:rsidR="00BA6DBF" w:rsidRDefault="008A0E3A" w:rsidP="009576CB">
      <w:pPr>
        <w:pStyle w:val="CETReferencetext"/>
      </w:pPr>
      <w:proofErr w:type="spellStart"/>
      <w:r>
        <w:t>Shtenberg</w:t>
      </w:r>
      <w:proofErr w:type="spellEnd"/>
      <w:r>
        <w:t xml:space="preserve"> Y., </w:t>
      </w:r>
      <w:proofErr w:type="spellStart"/>
      <w:r>
        <w:t>Goldfeder</w:t>
      </w:r>
      <w:proofErr w:type="spellEnd"/>
      <w:r>
        <w:t xml:space="preserve"> M.</w:t>
      </w:r>
      <w:r w:rsidRPr="008A0E3A">
        <w:t>,</w:t>
      </w:r>
      <w:r>
        <w:t xml:space="preserve"> </w:t>
      </w:r>
      <w:proofErr w:type="spellStart"/>
      <w:r>
        <w:t>Prinz</w:t>
      </w:r>
      <w:proofErr w:type="spellEnd"/>
      <w:r>
        <w:t xml:space="preserve"> H., </w:t>
      </w:r>
      <w:proofErr w:type="spellStart"/>
      <w:r>
        <w:t>Shainsky</w:t>
      </w:r>
      <w:proofErr w:type="spellEnd"/>
      <w:r>
        <w:t xml:space="preserve"> J.</w:t>
      </w:r>
      <w:r w:rsidRPr="008A0E3A">
        <w:t>,</w:t>
      </w:r>
      <w:r>
        <w:t xml:space="preserve"> </w:t>
      </w:r>
      <w:proofErr w:type="spellStart"/>
      <w:r>
        <w:t>Ghantous</w:t>
      </w:r>
      <w:proofErr w:type="spellEnd"/>
      <w:r>
        <w:t xml:space="preserve"> Y., Abu El-</w:t>
      </w:r>
      <w:proofErr w:type="spellStart"/>
      <w:r>
        <w:t>Naaj</w:t>
      </w:r>
      <w:proofErr w:type="spellEnd"/>
      <w:r>
        <w:t xml:space="preserve"> I.</w:t>
      </w:r>
      <w:r w:rsidRPr="008A0E3A">
        <w:t xml:space="preserve">, </w:t>
      </w:r>
      <w:r>
        <w:t>Schroeder A.</w:t>
      </w:r>
      <w:r w:rsidRPr="008A0E3A">
        <w:t>,</w:t>
      </w:r>
      <w:r>
        <w:t xml:space="preserve"> </w:t>
      </w:r>
      <w:proofErr w:type="spellStart"/>
      <w:r>
        <w:t>Bianco-Peled</w:t>
      </w:r>
      <w:proofErr w:type="spellEnd"/>
      <w:r>
        <w:t xml:space="preserve"> H., 2018, </w:t>
      </w:r>
      <w:proofErr w:type="spellStart"/>
      <w:r w:rsidRPr="008A0E3A">
        <w:t>Mucoadhesive</w:t>
      </w:r>
      <w:proofErr w:type="spellEnd"/>
      <w:r w:rsidRPr="008A0E3A">
        <w:t xml:space="preserve"> alginate pastes with embedded liposomes for local oral drug delivery</w:t>
      </w:r>
      <w:r>
        <w:t>, International Journal of Biological Macromolecules, 111, 62 – 69.</w:t>
      </w:r>
    </w:p>
    <w:p w14:paraId="3C4ED9D3" w14:textId="3C48B262" w:rsidR="00C01650" w:rsidRDefault="00FA7651" w:rsidP="009576CB">
      <w:pPr>
        <w:pStyle w:val="CETReferencetext"/>
      </w:pPr>
      <w:r>
        <w:t xml:space="preserve">Thomas N. L., </w:t>
      </w:r>
      <w:proofErr w:type="spellStart"/>
      <w:r>
        <w:t>Windle</w:t>
      </w:r>
      <w:proofErr w:type="spellEnd"/>
      <w:r>
        <w:t xml:space="preserve"> A. H., 1982</w:t>
      </w:r>
      <w:r w:rsidR="003B66B9">
        <w:t xml:space="preserve">, A theory of Case II diffusion, Polymer, 23, 529 – 542. </w:t>
      </w:r>
      <w:r w:rsidR="00C01650">
        <w:t xml:space="preserve"> </w:t>
      </w:r>
    </w:p>
    <w:p w14:paraId="4E7335C2" w14:textId="3A96459C" w:rsidR="004628D2" w:rsidRDefault="004628D2" w:rsidP="007106A3">
      <w:pPr>
        <w:pStyle w:val="CETReferencetext"/>
      </w:pPr>
    </w:p>
    <w:sectPr w:rsidR="004628D2"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F9F6F" w14:textId="77777777" w:rsidR="00FC11B7" w:rsidRDefault="00FC11B7" w:rsidP="004F5E36">
      <w:r>
        <w:separator/>
      </w:r>
    </w:p>
  </w:endnote>
  <w:endnote w:type="continuationSeparator" w:id="0">
    <w:p w14:paraId="44CF411C" w14:textId="77777777" w:rsidR="00FC11B7" w:rsidRDefault="00FC11B7"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dvP696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85EE6" w14:textId="77777777" w:rsidR="00FC11B7" w:rsidRDefault="00FC11B7" w:rsidP="004F5E36">
      <w:r>
        <w:separator/>
      </w:r>
    </w:p>
  </w:footnote>
  <w:footnote w:type="continuationSeparator" w:id="0">
    <w:p w14:paraId="0475BF67" w14:textId="77777777" w:rsidR="00FC11B7" w:rsidRDefault="00FC11B7" w:rsidP="004F5E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2438217E"/>
    <w:multiLevelType w:val="multilevel"/>
    <w:tmpl w:val="0204B61E"/>
    <w:lvl w:ilvl="0">
      <w:start w:val="1"/>
      <w:numFmt w:val="decimal"/>
      <w:lvlText w:val="%1."/>
      <w:lvlJc w:val="left"/>
      <w:pPr>
        <w:ind w:left="360" w:hanging="36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40071EDA"/>
    <w:multiLevelType w:val="hybridMultilevel"/>
    <w:tmpl w:val="A69892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86B0141"/>
    <w:multiLevelType w:val="hybridMultilevel"/>
    <w:tmpl w:val="6E16B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FF350F2"/>
    <w:multiLevelType w:val="hybridMultilevel"/>
    <w:tmpl w:val="338A85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F471691"/>
    <w:multiLevelType w:val="hybridMultilevel"/>
    <w:tmpl w:val="DA1AAA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9"/>
  </w:num>
  <w:num w:numId="13">
    <w:abstractNumId w:val="12"/>
  </w:num>
  <w:num w:numId="14">
    <w:abstractNumId w:val="20"/>
  </w:num>
  <w:num w:numId="15">
    <w:abstractNumId w:val="22"/>
  </w:num>
  <w:num w:numId="16">
    <w:abstractNumId w:val="21"/>
  </w:num>
  <w:num w:numId="17">
    <w:abstractNumId w:val="11"/>
  </w:num>
  <w:num w:numId="18">
    <w:abstractNumId w:val="12"/>
    <w:lvlOverride w:ilvl="0">
      <w:startOverride w:val="1"/>
    </w:lvlOverride>
  </w:num>
  <w:num w:numId="19">
    <w:abstractNumId w:val="18"/>
  </w:num>
  <w:num w:numId="20">
    <w:abstractNumId w:val="17"/>
  </w:num>
  <w:num w:numId="21">
    <w:abstractNumId w:val="13"/>
  </w:num>
  <w:num w:numId="22">
    <w:abstractNumId w:val="14"/>
  </w:num>
  <w:num w:numId="23">
    <w:abstractNumId w:val="23"/>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79C"/>
    <w:rsid w:val="000061B3"/>
    <w:rsid w:val="00010F40"/>
    <w:rsid w:val="000117CB"/>
    <w:rsid w:val="00015EF5"/>
    <w:rsid w:val="00024341"/>
    <w:rsid w:val="000243DC"/>
    <w:rsid w:val="0003148D"/>
    <w:rsid w:val="00043B7E"/>
    <w:rsid w:val="00047317"/>
    <w:rsid w:val="00047D7F"/>
    <w:rsid w:val="00050496"/>
    <w:rsid w:val="00051566"/>
    <w:rsid w:val="00062A9A"/>
    <w:rsid w:val="00065058"/>
    <w:rsid w:val="00086C39"/>
    <w:rsid w:val="000A03B2"/>
    <w:rsid w:val="000A3B79"/>
    <w:rsid w:val="000B1CAE"/>
    <w:rsid w:val="000C4BEC"/>
    <w:rsid w:val="000D34BE"/>
    <w:rsid w:val="000D6BAF"/>
    <w:rsid w:val="000E102F"/>
    <w:rsid w:val="000E36F1"/>
    <w:rsid w:val="000E3A73"/>
    <w:rsid w:val="000E414A"/>
    <w:rsid w:val="000F093C"/>
    <w:rsid w:val="000F099C"/>
    <w:rsid w:val="000F16BD"/>
    <w:rsid w:val="000F787B"/>
    <w:rsid w:val="001144DB"/>
    <w:rsid w:val="0012091F"/>
    <w:rsid w:val="0012096B"/>
    <w:rsid w:val="00126BC2"/>
    <w:rsid w:val="001308B6"/>
    <w:rsid w:val="0013121F"/>
    <w:rsid w:val="00131CD1"/>
    <w:rsid w:val="00131FAB"/>
    <w:rsid w:val="00131FE6"/>
    <w:rsid w:val="0013263F"/>
    <w:rsid w:val="001327EC"/>
    <w:rsid w:val="00134251"/>
    <w:rsid w:val="00134DE4"/>
    <w:rsid w:val="00140027"/>
    <w:rsid w:val="0014034D"/>
    <w:rsid w:val="00150E59"/>
    <w:rsid w:val="00152DE3"/>
    <w:rsid w:val="001617ED"/>
    <w:rsid w:val="00162642"/>
    <w:rsid w:val="00164CF9"/>
    <w:rsid w:val="00175505"/>
    <w:rsid w:val="001767C5"/>
    <w:rsid w:val="00184AD6"/>
    <w:rsid w:val="00184F2E"/>
    <w:rsid w:val="00197455"/>
    <w:rsid w:val="001A3696"/>
    <w:rsid w:val="001B0349"/>
    <w:rsid w:val="001B65C1"/>
    <w:rsid w:val="001C684B"/>
    <w:rsid w:val="001D53FC"/>
    <w:rsid w:val="001F1181"/>
    <w:rsid w:val="001F42A5"/>
    <w:rsid w:val="001F7B9D"/>
    <w:rsid w:val="002207D0"/>
    <w:rsid w:val="002218CE"/>
    <w:rsid w:val="002224B4"/>
    <w:rsid w:val="00231559"/>
    <w:rsid w:val="00243954"/>
    <w:rsid w:val="002447EF"/>
    <w:rsid w:val="00244963"/>
    <w:rsid w:val="00251550"/>
    <w:rsid w:val="00252C1A"/>
    <w:rsid w:val="00263951"/>
    <w:rsid w:val="00263B05"/>
    <w:rsid w:val="0027221A"/>
    <w:rsid w:val="00275B61"/>
    <w:rsid w:val="00282656"/>
    <w:rsid w:val="00283EAB"/>
    <w:rsid w:val="00296B83"/>
    <w:rsid w:val="002B78CE"/>
    <w:rsid w:val="002C2FB6"/>
    <w:rsid w:val="002C3662"/>
    <w:rsid w:val="002D5BCD"/>
    <w:rsid w:val="002D6CFF"/>
    <w:rsid w:val="002E28C9"/>
    <w:rsid w:val="0030002B"/>
    <w:rsid w:val="003009B7"/>
    <w:rsid w:val="00300E56"/>
    <w:rsid w:val="0030469C"/>
    <w:rsid w:val="00321CA6"/>
    <w:rsid w:val="00334C09"/>
    <w:rsid w:val="003365E3"/>
    <w:rsid w:val="0034743C"/>
    <w:rsid w:val="003723D4"/>
    <w:rsid w:val="00380787"/>
    <w:rsid w:val="00384CC8"/>
    <w:rsid w:val="003871FD"/>
    <w:rsid w:val="003A1E30"/>
    <w:rsid w:val="003A7D1C"/>
    <w:rsid w:val="003B1A39"/>
    <w:rsid w:val="003B304B"/>
    <w:rsid w:val="003B3146"/>
    <w:rsid w:val="003B39BF"/>
    <w:rsid w:val="003B60F3"/>
    <w:rsid w:val="003B66B9"/>
    <w:rsid w:val="003B6787"/>
    <w:rsid w:val="003B6FAB"/>
    <w:rsid w:val="003C719E"/>
    <w:rsid w:val="003D2BD5"/>
    <w:rsid w:val="003E0AE3"/>
    <w:rsid w:val="003F015E"/>
    <w:rsid w:val="00400414"/>
    <w:rsid w:val="004019AD"/>
    <w:rsid w:val="004078BE"/>
    <w:rsid w:val="0041446B"/>
    <w:rsid w:val="00441F6D"/>
    <w:rsid w:val="0044329C"/>
    <w:rsid w:val="00447425"/>
    <w:rsid w:val="004577FE"/>
    <w:rsid w:val="00457B9C"/>
    <w:rsid w:val="0046164A"/>
    <w:rsid w:val="004628D2"/>
    <w:rsid w:val="00462DCD"/>
    <w:rsid w:val="004648AD"/>
    <w:rsid w:val="004703A9"/>
    <w:rsid w:val="004760DE"/>
    <w:rsid w:val="00485025"/>
    <w:rsid w:val="00486B96"/>
    <w:rsid w:val="004A004E"/>
    <w:rsid w:val="004A24CF"/>
    <w:rsid w:val="004A72E4"/>
    <w:rsid w:val="004B6721"/>
    <w:rsid w:val="004C0502"/>
    <w:rsid w:val="004C0C7C"/>
    <w:rsid w:val="004C3B1C"/>
    <w:rsid w:val="004C3D1D"/>
    <w:rsid w:val="004C7913"/>
    <w:rsid w:val="004E4DD6"/>
    <w:rsid w:val="004F5E36"/>
    <w:rsid w:val="00507B47"/>
    <w:rsid w:val="00507CC9"/>
    <w:rsid w:val="005119A5"/>
    <w:rsid w:val="005150D7"/>
    <w:rsid w:val="005211FB"/>
    <w:rsid w:val="00522DD0"/>
    <w:rsid w:val="00524FCC"/>
    <w:rsid w:val="005278B7"/>
    <w:rsid w:val="00532016"/>
    <w:rsid w:val="00533C47"/>
    <w:rsid w:val="005346C8"/>
    <w:rsid w:val="00542DA7"/>
    <w:rsid w:val="00543E7D"/>
    <w:rsid w:val="00546B05"/>
    <w:rsid w:val="00547A68"/>
    <w:rsid w:val="005531C9"/>
    <w:rsid w:val="0056233A"/>
    <w:rsid w:val="00565D8A"/>
    <w:rsid w:val="005746D8"/>
    <w:rsid w:val="0057522D"/>
    <w:rsid w:val="005A0084"/>
    <w:rsid w:val="005A68BC"/>
    <w:rsid w:val="005B2110"/>
    <w:rsid w:val="005B45A2"/>
    <w:rsid w:val="005B61E6"/>
    <w:rsid w:val="005B6A04"/>
    <w:rsid w:val="005C0AF6"/>
    <w:rsid w:val="005C1452"/>
    <w:rsid w:val="005C77E1"/>
    <w:rsid w:val="005D1567"/>
    <w:rsid w:val="005D6A2F"/>
    <w:rsid w:val="005E1A82"/>
    <w:rsid w:val="005E4C6E"/>
    <w:rsid w:val="005E6B6B"/>
    <w:rsid w:val="005E794C"/>
    <w:rsid w:val="005F0A28"/>
    <w:rsid w:val="005F0E5E"/>
    <w:rsid w:val="005F3736"/>
    <w:rsid w:val="00600535"/>
    <w:rsid w:val="00610CD6"/>
    <w:rsid w:val="00620DEE"/>
    <w:rsid w:val="00621F92"/>
    <w:rsid w:val="00625639"/>
    <w:rsid w:val="00631B33"/>
    <w:rsid w:val="0064184D"/>
    <w:rsid w:val="006422CC"/>
    <w:rsid w:val="00660E3E"/>
    <w:rsid w:val="00662E74"/>
    <w:rsid w:val="00673254"/>
    <w:rsid w:val="00680C23"/>
    <w:rsid w:val="006825FE"/>
    <w:rsid w:val="00693766"/>
    <w:rsid w:val="00695A80"/>
    <w:rsid w:val="006A3281"/>
    <w:rsid w:val="006B3459"/>
    <w:rsid w:val="006B4888"/>
    <w:rsid w:val="006B7FF8"/>
    <w:rsid w:val="006C2E45"/>
    <w:rsid w:val="006C359C"/>
    <w:rsid w:val="006C5579"/>
    <w:rsid w:val="006D539B"/>
    <w:rsid w:val="006E72C6"/>
    <w:rsid w:val="006E737D"/>
    <w:rsid w:val="0070195D"/>
    <w:rsid w:val="007106A3"/>
    <w:rsid w:val="00720A24"/>
    <w:rsid w:val="00725191"/>
    <w:rsid w:val="00732386"/>
    <w:rsid w:val="007366A6"/>
    <w:rsid w:val="00740613"/>
    <w:rsid w:val="007447F3"/>
    <w:rsid w:val="0075499F"/>
    <w:rsid w:val="007566E2"/>
    <w:rsid w:val="007661C8"/>
    <w:rsid w:val="00767BCC"/>
    <w:rsid w:val="0077098D"/>
    <w:rsid w:val="00771A3B"/>
    <w:rsid w:val="00774EAB"/>
    <w:rsid w:val="007931FA"/>
    <w:rsid w:val="007A4EEC"/>
    <w:rsid w:val="007A4F52"/>
    <w:rsid w:val="007A7BBA"/>
    <w:rsid w:val="007A7E9D"/>
    <w:rsid w:val="007B0C50"/>
    <w:rsid w:val="007C1A43"/>
    <w:rsid w:val="007C4A33"/>
    <w:rsid w:val="007E1DC6"/>
    <w:rsid w:val="00806223"/>
    <w:rsid w:val="00813288"/>
    <w:rsid w:val="0081387A"/>
    <w:rsid w:val="008168FC"/>
    <w:rsid w:val="00827890"/>
    <w:rsid w:val="00830996"/>
    <w:rsid w:val="00832D88"/>
    <w:rsid w:val="008345F1"/>
    <w:rsid w:val="008465F6"/>
    <w:rsid w:val="00850C95"/>
    <w:rsid w:val="00865B07"/>
    <w:rsid w:val="008667EA"/>
    <w:rsid w:val="0087637F"/>
    <w:rsid w:val="008830F0"/>
    <w:rsid w:val="008904B9"/>
    <w:rsid w:val="00892AD5"/>
    <w:rsid w:val="008A0E3A"/>
    <w:rsid w:val="008A1512"/>
    <w:rsid w:val="008A28FC"/>
    <w:rsid w:val="008A4A13"/>
    <w:rsid w:val="008B1D64"/>
    <w:rsid w:val="008B5801"/>
    <w:rsid w:val="008B6A15"/>
    <w:rsid w:val="008C78C1"/>
    <w:rsid w:val="008D32B9"/>
    <w:rsid w:val="008D433B"/>
    <w:rsid w:val="008E566E"/>
    <w:rsid w:val="008E7031"/>
    <w:rsid w:val="0090161A"/>
    <w:rsid w:val="00901EB6"/>
    <w:rsid w:val="00904C62"/>
    <w:rsid w:val="00924DAC"/>
    <w:rsid w:val="00927058"/>
    <w:rsid w:val="0094015B"/>
    <w:rsid w:val="009450CE"/>
    <w:rsid w:val="00947179"/>
    <w:rsid w:val="0095164B"/>
    <w:rsid w:val="00952A41"/>
    <w:rsid w:val="00954090"/>
    <w:rsid w:val="009573E7"/>
    <w:rsid w:val="009576CB"/>
    <w:rsid w:val="009635B9"/>
    <w:rsid w:val="00963E05"/>
    <w:rsid w:val="00964009"/>
    <w:rsid w:val="00967D54"/>
    <w:rsid w:val="009730EA"/>
    <w:rsid w:val="00977F1C"/>
    <w:rsid w:val="00986335"/>
    <w:rsid w:val="009932C5"/>
    <w:rsid w:val="00996483"/>
    <w:rsid w:val="00996F5A"/>
    <w:rsid w:val="009A0A3E"/>
    <w:rsid w:val="009A4CDF"/>
    <w:rsid w:val="009B041A"/>
    <w:rsid w:val="009B79D8"/>
    <w:rsid w:val="009C6DB8"/>
    <w:rsid w:val="009C7C86"/>
    <w:rsid w:val="009D2FF7"/>
    <w:rsid w:val="009E4F43"/>
    <w:rsid w:val="009E7884"/>
    <w:rsid w:val="009E788A"/>
    <w:rsid w:val="009F0E08"/>
    <w:rsid w:val="00A160DD"/>
    <w:rsid w:val="00A161BA"/>
    <w:rsid w:val="00A1763D"/>
    <w:rsid w:val="00A17CEC"/>
    <w:rsid w:val="00A2202B"/>
    <w:rsid w:val="00A274C7"/>
    <w:rsid w:val="00A27EF0"/>
    <w:rsid w:val="00A37666"/>
    <w:rsid w:val="00A422CD"/>
    <w:rsid w:val="00A50B20"/>
    <w:rsid w:val="00A51390"/>
    <w:rsid w:val="00A515C4"/>
    <w:rsid w:val="00A53783"/>
    <w:rsid w:val="00A57557"/>
    <w:rsid w:val="00A60D13"/>
    <w:rsid w:val="00A72745"/>
    <w:rsid w:val="00A76EFC"/>
    <w:rsid w:val="00A91010"/>
    <w:rsid w:val="00A97F29"/>
    <w:rsid w:val="00AA342E"/>
    <w:rsid w:val="00AA34B0"/>
    <w:rsid w:val="00AA702E"/>
    <w:rsid w:val="00AB0964"/>
    <w:rsid w:val="00AB5011"/>
    <w:rsid w:val="00AB7BE4"/>
    <w:rsid w:val="00AC7368"/>
    <w:rsid w:val="00AD16B9"/>
    <w:rsid w:val="00AD34E8"/>
    <w:rsid w:val="00AD569C"/>
    <w:rsid w:val="00AE29BC"/>
    <w:rsid w:val="00AE377D"/>
    <w:rsid w:val="00AF46BC"/>
    <w:rsid w:val="00B12AE6"/>
    <w:rsid w:val="00B14C80"/>
    <w:rsid w:val="00B15D9B"/>
    <w:rsid w:val="00B17FBD"/>
    <w:rsid w:val="00B229A7"/>
    <w:rsid w:val="00B31594"/>
    <w:rsid w:val="00B315A6"/>
    <w:rsid w:val="00B31813"/>
    <w:rsid w:val="00B33365"/>
    <w:rsid w:val="00B34FCB"/>
    <w:rsid w:val="00B42D73"/>
    <w:rsid w:val="00B57B36"/>
    <w:rsid w:val="00B72951"/>
    <w:rsid w:val="00B817DA"/>
    <w:rsid w:val="00B8686D"/>
    <w:rsid w:val="00B92DD1"/>
    <w:rsid w:val="00B94E83"/>
    <w:rsid w:val="00BA3918"/>
    <w:rsid w:val="00BA6DBF"/>
    <w:rsid w:val="00BA7E90"/>
    <w:rsid w:val="00BB5B97"/>
    <w:rsid w:val="00BC30C9"/>
    <w:rsid w:val="00BC41D9"/>
    <w:rsid w:val="00BC4494"/>
    <w:rsid w:val="00BC6D2D"/>
    <w:rsid w:val="00BE3E58"/>
    <w:rsid w:val="00C01616"/>
    <w:rsid w:val="00C0162B"/>
    <w:rsid w:val="00C01650"/>
    <w:rsid w:val="00C04C7A"/>
    <w:rsid w:val="00C275AC"/>
    <w:rsid w:val="00C345B1"/>
    <w:rsid w:val="00C35DC2"/>
    <w:rsid w:val="00C40142"/>
    <w:rsid w:val="00C43F35"/>
    <w:rsid w:val="00C51CEB"/>
    <w:rsid w:val="00C57182"/>
    <w:rsid w:val="00C57863"/>
    <w:rsid w:val="00C63454"/>
    <w:rsid w:val="00C655FD"/>
    <w:rsid w:val="00C709B7"/>
    <w:rsid w:val="00C870A8"/>
    <w:rsid w:val="00C8757E"/>
    <w:rsid w:val="00C94434"/>
    <w:rsid w:val="00CA0D75"/>
    <w:rsid w:val="00CA1C95"/>
    <w:rsid w:val="00CA2B49"/>
    <w:rsid w:val="00CA5A9C"/>
    <w:rsid w:val="00CD3517"/>
    <w:rsid w:val="00CD498E"/>
    <w:rsid w:val="00CD5759"/>
    <w:rsid w:val="00CD5A00"/>
    <w:rsid w:val="00CD5FE2"/>
    <w:rsid w:val="00CE71F2"/>
    <w:rsid w:val="00CE7C68"/>
    <w:rsid w:val="00D02B4C"/>
    <w:rsid w:val="00D040C4"/>
    <w:rsid w:val="00D07B6E"/>
    <w:rsid w:val="00D1111B"/>
    <w:rsid w:val="00D57C84"/>
    <w:rsid w:val="00D60214"/>
    <w:rsid w:val="00D6057D"/>
    <w:rsid w:val="00D61ABC"/>
    <w:rsid w:val="00D77192"/>
    <w:rsid w:val="00D84576"/>
    <w:rsid w:val="00D92D48"/>
    <w:rsid w:val="00DA1399"/>
    <w:rsid w:val="00DA14B3"/>
    <w:rsid w:val="00DA24C6"/>
    <w:rsid w:val="00DA4D7B"/>
    <w:rsid w:val="00DB39A6"/>
    <w:rsid w:val="00DB437A"/>
    <w:rsid w:val="00DC2CA4"/>
    <w:rsid w:val="00DC4B30"/>
    <w:rsid w:val="00DE264A"/>
    <w:rsid w:val="00E02D18"/>
    <w:rsid w:val="00E041E7"/>
    <w:rsid w:val="00E23CA1"/>
    <w:rsid w:val="00E26995"/>
    <w:rsid w:val="00E3488B"/>
    <w:rsid w:val="00E409A8"/>
    <w:rsid w:val="00E50C12"/>
    <w:rsid w:val="00E65B91"/>
    <w:rsid w:val="00E7209D"/>
    <w:rsid w:val="00E7681C"/>
    <w:rsid w:val="00E77223"/>
    <w:rsid w:val="00E8528B"/>
    <w:rsid w:val="00E85B94"/>
    <w:rsid w:val="00E978D0"/>
    <w:rsid w:val="00EA4613"/>
    <w:rsid w:val="00EA7F91"/>
    <w:rsid w:val="00EB1523"/>
    <w:rsid w:val="00EC0E49"/>
    <w:rsid w:val="00EC54B6"/>
    <w:rsid w:val="00ED1B91"/>
    <w:rsid w:val="00EE0131"/>
    <w:rsid w:val="00EE3772"/>
    <w:rsid w:val="00EF4775"/>
    <w:rsid w:val="00F02A9F"/>
    <w:rsid w:val="00F155B2"/>
    <w:rsid w:val="00F22EF7"/>
    <w:rsid w:val="00F30C64"/>
    <w:rsid w:val="00F32CDB"/>
    <w:rsid w:val="00F35983"/>
    <w:rsid w:val="00F45F19"/>
    <w:rsid w:val="00F54551"/>
    <w:rsid w:val="00F63A70"/>
    <w:rsid w:val="00F825DB"/>
    <w:rsid w:val="00F87101"/>
    <w:rsid w:val="00F90E67"/>
    <w:rsid w:val="00FA21D0"/>
    <w:rsid w:val="00FA5F5F"/>
    <w:rsid w:val="00FA7651"/>
    <w:rsid w:val="00FB1236"/>
    <w:rsid w:val="00FB1561"/>
    <w:rsid w:val="00FB730C"/>
    <w:rsid w:val="00FC0D21"/>
    <w:rsid w:val="00FC11B7"/>
    <w:rsid w:val="00FC2695"/>
    <w:rsid w:val="00FC3E03"/>
    <w:rsid w:val="00FC3FC1"/>
    <w:rsid w:val="00FC7D72"/>
    <w:rsid w:val="00FD2A5D"/>
    <w:rsid w:val="00FF3AA6"/>
    <w:rsid w:val="00FF544F"/>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FE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B94E83"/>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B94E83"/>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attere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attere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atterepredefinitoparagrafo"/>
    <w:link w:val="Corpodeltesto3"/>
    <w:uiPriority w:val="99"/>
    <w:semiHidden/>
    <w:rsid w:val="0003148D"/>
    <w:rPr>
      <w:sz w:val="16"/>
      <w:szCs w:val="16"/>
    </w:rPr>
  </w:style>
  <w:style w:type="paragraph" w:styleId="Corpodeltesto">
    <w:name w:val="Body Text"/>
    <w:basedOn w:val="Normale"/>
    <w:link w:val="CorpodeltestoCarattere"/>
    <w:uiPriority w:val="99"/>
    <w:semiHidden/>
    <w:unhideWhenUsed/>
    <w:rsid w:val="0003148D"/>
    <w:pPr>
      <w:spacing w:after="120"/>
    </w:pPr>
  </w:style>
  <w:style w:type="character" w:customStyle="1" w:styleId="CorpodeltestoCarattere">
    <w:name w:val="Corpo del testo Carattere"/>
    <w:basedOn w:val="Caratterepredefinitoparagrafo"/>
    <w:link w:val="Corpodel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attere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attere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attere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attere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attere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attere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attere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attere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attere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attere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del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del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attere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attere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attere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attere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Bloccoditest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attere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attere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attere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atterepredefinitoparagrafo"/>
    <w:link w:val="Testonotadichiusura"/>
    <w:uiPriority w:val="99"/>
    <w:semiHidden/>
    <w:rsid w:val="0003148D"/>
    <w:rPr>
      <w:sz w:val="20"/>
      <w:szCs w:val="20"/>
    </w:rPr>
  </w:style>
  <w:style w:type="character" w:customStyle="1" w:styleId="Titolo1Carattere">
    <w:name w:val="Titolo 1 Carattere"/>
    <w:basedOn w:val="Carattere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attere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attere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attere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attere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attere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attere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attere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attere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attere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attere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attere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atterepredefinitoparagrafo"/>
    <w:uiPriority w:val="99"/>
    <w:unhideWhenUsed/>
    <w:rsid w:val="00904C62"/>
    <w:rPr>
      <w:color w:val="0000FF" w:themeColor="hyperlink"/>
      <w:u w:val="single"/>
    </w:rPr>
  </w:style>
  <w:style w:type="character" w:customStyle="1" w:styleId="eudoraheader">
    <w:name w:val="eudoraheader"/>
    <w:basedOn w:val="Carattere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character" w:customStyle="1" w:styleId="InternetLink">
    <w:name w:val="Internet Link"/>
    <w:basedOn w:val="Caratterepredefinitoparagrafo"/>
    <w:rsid w:val="007106A3"/>
    <w:rPr>
      <w:color w:val="0000FF"/>
      <w:u w:val="single"/>
    </w:rPr>
  </w:style>
  <w:style w:type="paragraph" w:customStyle="1" w:styleId="MTDisplayEquation">
    <w:name w:val="MTDisplayEquation"/>
    <w:basedOn w:val="CETBodytext"/>
    <w:next w:val="Normale"/>
    <w:rsid w:val="00CD498E"/>
    <w:pPr>
      <w:tabs>
        <w:tab w:val="clear" w:pos="7100"/>
        <w:tab w:val="center" w:pos="4400"/>
        <w:tab w:val="right" w:pos="8780"/>
      </w:tabs>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B94E83"/>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B94E83"/>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attere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attere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atterepredefinitoparagrafo"/>
    <w:link w:val="Corpodeltesto3"/>
    <w:uiPriority w:val="99"/>
    <w:semiHidden/>
    <w:rsid w:val="0003148D"/>
    <w:rPr>
      <w:sz w:val="16"/>
      <w:szCs w:val="16"/>
    </w:rPr>
  </w:style>
  <w:style w:type="paragraph" w:styleId="Corpodeltesto">
    <w:name w:val="Body Text"/>
    <w:basedOn w:val="Normale"/>
    <w:link w:val="CorpodeltestoCarattere"/>
    <w:uiPriority w:val="99"/>
    <w:semiHidden/>
    <w:unhideWhenUsed/>
    <w:rsid w:val="0003148D"/>
    <w:pPr>
      <w:spacing w:after="120"/>
    </w:pPr>
  </w:style>
  <w:style w:type="character" w:customStyle="1" w:styleId="CorpodeltestoCarattere">
    <w:name w:val="Corpo del testo Carattere"/>
    <w:basedOn w:val="Caratterepredefinitoparagrafo"/>
    <w:link w:val="Corpodel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attere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attere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attere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attere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attere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attere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attere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attere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attere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attere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del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del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attere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attere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attere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attere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Bloccoditest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attere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attere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attere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atterepredefinitoparagrafo"/>
    <w:link w:val="Testonotadichiusura"/>
    <w:uiPriority w:val="99"/>
    <w:semiHidden/>
    <w:rsid w:val="0003148D"/>
    <w:rPr>
      <w:sz w:val="20"/>
      <w:szCs w:val="20"/>
    </w:rPr>
  </w:style>
  <w:style w:type="character" w:customStyle="1" w:styleId="Titolo1Carattere">
    <w:name w:val="Titolo 1 Carattere"/>
    <w:basedOn w:val="Carattere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attere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attere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attere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attere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attere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attere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attere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attere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attere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attere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attere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atterepredefinitoparagrafo"/>
    <w:uiPriority w:val="99"/>
    <w:unhideWhenUsed/>
    <w:rsid w:val="00904C62"/>
    <w:rPr>
      <w:color w:val="0000FF" w:themeColor="hyperlink"/>
      <w:u w:val="single"/>
    </w:rPr>
  </w:style>
  <w:style w:type="character" w:customStyle="1" w:styleId="eudoraheader">
    <w:name w:val="eudoraheader"/>
    <w:basedOn w:val="Carattere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character" w:customStyle="1" w:styleId="InternetLink">
    <w:name w:val="Internet Link"/>
    <w:basedOn w:val="Caratterepredefinitoparagrafo"/>
    <w:rsid w:val="007106A3"/>
    <w:rPr>
      <w:color w:val="0000FF"/>
      <w:u w:val="single"/>
    </w:rPr>
  </w:style>
  <w:style w:type="paragraph" w:customStyle="1" w:styleId="MTDisplayEquation">
    <w:name w:val="MTDisplayEquation"/>
    <w:basedOn w:val="CETBodytext"/>
    <w:next w:val="Normale"/>
    <w:rsid w:val="00CD498E"/>
    <w:pPr>
      <w:tabs>
        <w:tab w:val="clear" w:pos="7100"/>
        <w:tab w:val="center" w:pos="4400"/>
        <w:tab w:val="right" w:pos="8780"/>
      </w:tabs>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6087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4" Type="http://schemas.openxmlformats.org/officeDocument/2006/relationships/image" Target="media/image6.emf"/><Relationship Id="rId15" Type="http://schemas.openxmlformats.org/officeDocument/2006/relationships/image" Target="media/image7.emf"/><Relationship Id="rId16" Type="http://schemas.openxmlformats.org/officeDocument/2006/relationships/image" Target="media/image8.emf"/><Relationship Id="rId17" Type="http://schemas.openxmlformats.org/officeDocument/2006/relationships/image" Target="media/image9.emf"/><Relationship Id="rId18" Type="http://schemas.openxmlformats.org/officeDocument/2006/relationships/oleObject" Target="embeddings/oleObject1.bin"/><Relationship Id="rId19" Type="http://schemas.openxmlformats.org/officeDocument/2006/relationships/image" Target="media/image10.emf"/><Relationship Id="rId63" Type="http://schemas.openxmlformats.org/officeDocument/2006/relationships/image" Target="media/image40.emf"/><Relationship Id="rId64" Type="http://schemas.openxmlformats.org/officeDocument/2006/relationships/oleObject" Target="embeddings/oleObject16.bin"/><Relationship Id="rId65" Type="http://schemas.openxmlformats.org/officeDocument/2006/relationships/image" Target="media/image41.emf"/><Relationship Id="rId66" Type="http://schemas.openxmlformats.org/officeDocument/2006/relationships/oleObject" Target="embeddings/oleObject17.bin"/><Relationship Id="rId67" Type="http://schemas.openxmlformats.org/officeDocument/2006/relationships/image" Target="media/image42.emf"/><Relationship Id="rId68" Type="http://schemas.openxmlformats.org/officeDocument/2006/relationships/oleObject" Target="embeddings/oleObject18.bin"/><Relationship Id="rId69" Type="http://schemas.openxmlformats.org/officeDocument/2006/relationships/image" Target="media/image43.emf"/><Relationship Id="rId50" Type="http://schemas.openxmlformats.org/officeDocument/2006/relationships/oleObject" Target="embeddings/oleObject10.bin"/><Relationship Id="rId51" Type="http://schemas.openxmlformats.org/officeDocument/2006/relationships/image" Target="media/image33.emf"/><Relationship Id="rId52" Type="http://schemas.openxmlformats.org/officeDocument/2006/relationships/oleObject" Target="embeddings/oleObject11.bin"/><Relationship Id="rId53" Type="http://schemas.openxmlformats.org/officeDocument/2006/relationships/image" Target="media/image34.emf"/><Relationship Id="rId54" Type="http://schemas.openxmlformats.org/officeDocument/2006/relationships/image" Target="media/image35.emf"/><Relationship Id="rId55" Type="http://schemas.openxmlformats.org/officeDocument/2006/relationships/oleObject" Target="embeddings/oleObject12.bin"/><Relationship Id="rId56" Type="http://schemas.openxmlformats.org/officeDocument/2006/relationships/image" Target="media/image36.emf"/><Relationship Id="rId57" Type="http://schemas.openxmlformats.org/officeDocument/2006/relationships/oleObject" Target="embeddings/oleObject13.bin"/><Relationship Id="rId58" Type="http://schemas.openxmlformats.org/officeDocument/2006/relationships/image" Target="media/image37.emf"/><Relationship Id="rId59" Type="http://schemas.openxmlformats.org/officeDocument/2006/relationships/oleObject" Target="embeddings/oleObject14.bin"/><Relationship Id="rId40" Type="http://schemas.openxmlformats.org/officeDocument/2006/relationships/oleObject" Target="embeddings/oleObject6.bin"/><Relationship Id="rId41" Type="http://schemas.openxmlformats.org/officeDocument/2006/relationships/image" Target="media/image27.emf"/><Relationship Id="rId42" Type="http://schemas.openxmlformats.org/officeDocument/2006/relationships/oleObject" Target="embeddings/oleObject7.bin"/><Relationship Id="rId43" Type="http://schemas.openxmlformats.org/officeDocument/2006/relationships/image" Target="media/image28.emf"/><Relationship Id="rId44" Type="http://schemas.openxmlformats.org/officeDocument/2006/relationships/oleObject" Target="embeddings/oleObject8.bin"/><Relationship Id="rId45" Type="http://schemas.openxmlformats.org/officeDocument/2006/relationships/image" Target="media/image29.emf"/><Relationship Id="rId46" Type="http://schemas.openxmlformats.org/officeDocument/2006/relationships/image" Target="media/image30.emf"/><Relationship Id="rId47" Type="http://schemas.openxmlformats.org/officeDocument/2006/relationships/image" Target="media/image31.emf"/><Relationship Id="rId48" Type="http://schemas.openxmlformats.org/officeDocument/2006/relationships/oleObject" Target="embeddings/oleObject9.bin"/><Relationship Id="rId49" Type="http://schemas.openxmlformats.org/officeDocument/2006/relationships/image" Target="media/image32.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20.emf"/><Relationship Id="rId31" Type="http://schemas.openxmlformats.org/officeDocument/2006/relationships/image" Target="media/image21.emf"/><Relationship Id="rId32" Type="http://schemas.openxmlformats.org/officeDocument/2006/relationships/image" Target="media/image22.emf"/><Relationship Id="rId33" Type="http://schemas.openxmlformats.org/officeDocument/2006/relationships/oleObject" Target="embeddings/oleObject3.bin"/><Relationship Id="rId34" Type="http://schemas.openxmlformats.org/officeDocument/2006/relationships/image" Target="media/image23.emf"/><Relationship Id="rId35" Type="http://schemas.openxmlformats.org/officeDocument/2006/relationships/oleObject" Target="embeddings/oleObject4.bin"/><Relationship Id="rId36" Type="http://schemas.openxmlformats.org/officeDocument/2006/relationships/image" Target="media/image24.emf"/><Relationship Id="rId37" Type="http://schemas.openxmlformats.org/officeDocument/2006/relationships/oleObject" Target="embeddings/oleObject5.bin"/><Relationship Id="rId38" Type="http://schemas.openxmlformats.org/officeDocument/2006/relationships/image" Target="media/image25.emf"/><Relationship Id="rId39" Type="http://schemas.openxmlformats.org/officeDocument/2006/relationships/image" Target="media/image26.emf"/><Relationship Id="rId70" Type="http://schemas.openxmlformats.org/officeDocument/2006/relationships/oleObject" Target="embeddings/oleObject19.bin"/><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image" Target="media/image11.emf"/><Relationship Id="rId21" Type="http://schemas.openxmlformats.org/officeDocument/2006/relationships/image" Target="media/image12.emf"/><Relationship Id="rId22" Type="http://schemas.openxmlformats.org/officeDocument/2006/relationships/image" Target="media/image13.emf"/><Relationship Id="rId23" Type="http://schemas.openxmlformats.org/officeDocument/2006/relationships/image" Target="media/image14.emf"/><Relationship Id="rId24" Type="http://schemas.openxmlformats.org/officeDocument/2006/relationships/image" Target="media/image15.emf"/><Relationship Id="rId25" Type="http://schemas.openxmlformats.org/officeDocument/2006/relationships/oleObject" Target="embeddings/oleObject2.bin"/><Relationship Id="rId26" Type="http://schemas.openxmlformats.org/officeDocument/2006/relationships/image" Target="media/image16.emf"/><Relationship Id="rId27" Type="http://schemas.openxmlformats.org/officeDocument/2006/relationships/image" Target="media/image17.emf"/><Relationship Id="rId28" Type="http://schemas.openxmlformats.org/officeDocument/2006/relationships/image" Target="media/image18.emf"/><Relationship Id="rId29" Type="http://schemas.openxmlformats.org/officeDocument/2006/relationships/image" Target="media/image19.emf"/><Relationship Id="rId60" Type="http://schemas.openxmlformats.org/officeDocument/2006/relationships/image" Target="media/image38.emf"/><Relationship Id="rId61" Type="http://schemas.openxmlformats.org/officeDocument/2006/relationships/oleObject" Target="embeddings/oleObject15.bin"/><Relationship Id="rId62" Type="http://schemas.openxmlformats.org/officeDocument/2006/relationships/image" Target="media/image39.emf"/><Relationship Id="rId10" Type="http://schemas.openxmlformats.org/officeDocument/2006/relationships/image" Target="media/image2.jpeg"/><Relationship Id="rId11" Type="http://schemas.openxmlformats.org/officeDocument/2006/relationships/image" Target="media/image3.emf"/><Relationship Id="rId12"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13C95-CBE4-3547-80CA-EA784C7E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6</Pages>
  <Words>2717</Words>
  <Characters>15490</Characters>
  <Application>Microsoft Macintosh Word</Application>
  <DocSecurity>0</DocSecurity>
  <Lines>129</Lines>
  <Paragraphs>36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Antonio Brasiello</cp:lastModifiedBy>
  <cp:revision>133</cp:revision>
  <cp:lastPrinted>2019-02-28T17:10:00Z</cp:lastPrinted>
  <dcterms:created xsi:type="dcterms:W3CDTF">2019-02-23T10:30:00Z</dcterms:created>
  <dcterms:modified xsi:type="dcterms:W3CDTF">2019-04-03T17:54:00Z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TMacEqns">
    <vt:bool>true</vt:bool>
  </property>
</Properties>
</file>