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4CD688BF" wp14:editId="5D48E3EC">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CO" w:eastAsia="es-CO"/>
              </w:rPr>
              <w:drawing>
                <wp:inline distT="0" distB="0" distL="0" distR="0" wp14:anchorId="505CBB16" wp14:editId="1082197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A15EFD" w:rsidP="00E978D0">
      <w:pPr>
        <w:pStyle w:val="CETTitle"/>
      </w:pPr>
      <w:r>
        <w:t xml:space="preserve">Reducing Sugars Production from </w:t>
      </w:r>
      <w:r w:rsidR="007711EB">
        <w:t>Cellulosic Wastes by Subcritical Water Hydrolysis in a Continuous Lab Scale Unit</w:t>
      </w:r>
    </w:p>
    <w:p w:rsidR="00E978D0" w:rsidRPr="00DE26EF" w:rsidRDefault="00DE26EF" w:rsidP="00AB5011">
      <w:pPr>
        <w:pStyle w:val="CETAuthors"/>
        <w:rPr>
          <w:lang w:val="es-CO"/>
        </w:rPr>
      </w:pPr>
      <w:r>
        <w:rPr>
          <w:lang w:val="es-CO"/>
        </w:rPr>
        <w:t>Luz A. Color</w:t>
      </w:r>
      <w:r w:rsidRPr="00DE26EF">
        <w:rPr>
          <w:lang w:val="es-CO"/>
        </w:rPr>
        <w:t>ado,</w:t>
      </w:r>
      <w:r w:rsidR="002D3210">
        <w:rPr>
          <w:lang w:val="es-CO"/>
        </w:rPr>
        <w:t xml:space="preserve"> Erika V. Alba</w:t>
      </w:r>
      <w:r w:rsidR="0087487C">
        <w:rPr>
          <w:lang w:val="es-CO"/>
        </w:rPr>
        <w:t xml:space="preserve"> ,</w:t>
      </w:r>
      <w:r w:rsidRPr="00DE26EF">
        <w:rPr>
          <w:lang w:val="es-CO"/>
        </w:rPr>
        <w:t>Victor F</w:t>
      </w:r>
      <w:r w:rsidR="00600535" w:rsidRPr="00DE26EF">
        <w:rPr>
          <w:lang w:val="es-CO"/>
        </w:rPr>
        <w:t xml:space="preserve">. </w:t>
      </w:r>
      <w:r w:rsidRPr="00DE26EF">
        <w:rPr>
          <w:lang w:val="es-CO"/>
        </w:rPr>
        <w:t>Marulanda</w:t>
      </w:r>
      <w:r>
        <w:rPr>
          <w:lang w:val="es-CO"/>
        </w:rPr>
        <w:t>*</w:t>
      </w:r>
    </w:p>
    <w:p w:rsidR="00E978D0" w:rsidRPr="00DE26EF" w:rsidRDefault="00DE26EF" w:rsidP="00E978D0">
      <w:pPr>
        <w:pStyle w:val="CETAddress"/>
        <w:rPr>
          <w:lang w:val="es-CO"/>
        </w:rPr>
      </w:pPr>
      <w:r w:rsidRPr="00DE26EF">
        <w:rPr>
          <w:lang w:val="es-CO"/>
        </w:rPr>
        <w:t>Universidad de La Salle, Programa de Ingenieria Sanitaria y Ambiental, Carrera 2 # 10-70, Bogota, Colombia</w:t>
      </w:r>
      <w:r w:rsidR="00E978D0" w:rsidRPr="00DE26EF">
        <w:rPr>
          <w:lang w:val="es-CO"/>
        </w:rPr>
        <w:t xml:space="preserve"> </w:t>
      </w:r>
    </w:p>
    <w:p w:rsidR="00E978D0" w:rsidRPr="00B57B36" w:rsidRDefault="00DE26EF" w:rsidP="00E978D0">
      <w:pPr>
        <w:pStyle w:val="CETemail"/>
      </w:pPr>
      <w:r>
        <w:t>vfmarulanda@unisalle.edu.co</w:t>
      </w:r>
    </w:p>
    <w:p w:rsidR="002D3210" w:rsidRPr="004A0EA1" w:rsidRDefault="002D3210" w:rsidP="002D3210">
      <w:pPr>
        <w:pStyle w:val="CETBodytext"/>
        <w:rPr>
          <w:szCs w:val="18"/>
        </w:rPr>
      </w:pPr>
      <w:r w:rsidRPr="004A0EA1">
        <w:rPr>
          <w:szCs w:val="18"/>
        </w:rPr>
        <w:t>Second generation biofuels are those produced from lignocellulosic biomass or crops that do not compete with food production. Cellulose and hemicellulose in plants can be transformed to building blocks, pentoses and hexoses, by hydrolysis. However, most processes require a physic-chemical pretreatment to remove lignin, which acts as a barrier for chemicals during hydrolysis.</w:t>
      </w:r>
      <w:r w:rsidR="004F2952" w:rsidRPr="004A0EA1">
        <w:rPr>
          <w:szCs w:val="18"/>
        </w:rPr>
        <w:t xml:space="preserve"> In </w:t>
      </w:r>
      <w:r w:rsidR="00FC27DC" w:rsidRPr="004A0EA1">
        <w:rPr>
          <w:szCs w:val="18"/>
        </w:rPr>
        <w:t>fact,</w:t>
      </w:r>
      <w:r w:rsidR="004A0EA1" w:rsidRPr="004A0EA1">
        <w:rPr>
          <w:szCs w:val="18"/>
        </w:rPr>
        <w:t xml:space="preserve"> </w:t>
      </w:r>
      <w:r w:rsidR="00D27416" w:rsidRPr="004A0EA1">
        <w:rPr>
          <w:szCs w:val="18"/>
        </w:rPr>
        <w:t>pretreatment for removal of lignin or lignin byproducts formed during hydrolysis</w:t>
      </w:r>
      <w:r w:rsidRPr="004A0EA1">
        <w:rPr>
          <w:szCs w:val="18"/>
        </w:rPr>
        <w:t xml:space="preserve"> can be considered as limiting steps for subsequent sugar transformation processes. </w:t>
      </w:r>
      <w:bookmarkStart w:id="0" w:name="_Hlk4880611"/>
      <w:r w:rsidRPr="004A0EA1">
        <w:rPr>
          <w:szCs w:val="18"/>
        </w:rPr>
        <w:t xml:space="preserve">Alternatively, industrial cellulosic </w:t>
      </w:r>
      <w:r w:rsidR="007516F1" w:rsidRPr="004A0EA1">
        <w:rPr>
          <w:szCs w:val="18"/>
        </w:rPr>
        <w:t>residues</w:t>
      </w:r>
      <w:r w:rsidRPr="004A0EA1">
        <w:rPr>
          <w:szCs w:val="18"/>
        </w:rPr>
        <w:t>, in which lignin and most of hemicellulose have been previously removed through chemical treatment,</w:t>
      </w:r>
      <w:r w:rsidR="00A26BC5" w:rsidRPr="004A0EA1">
        <w:rPr>
          <w:szCs w:val="18"/>
          <w:lang w:val="en-GB"/>
        </w:rPr>
        <w:t xml:space="preserve"> could be used as raw material for the production of </w:t>
      </w:r>
      <w:r w:rsidR="004F2952" w:rsidRPr="004A0EA1">
        <w:rPr>
          <w:szCs w:val="18"/>
          <w:lang w:val="en-GB"/>
        </w:rPr>
        <w:t xml:space="preserve">reducing </w:t>
      </w:r>
      <w:r w:rsidR="00A26BC5" w:rsidRPr="004A0EA1">
        <w:rPr>
          <w:szCs w:val="18"/>
          <w:lang w:val="en-GB"/>
        </w:rPr>
        <w:t>sugars </w:t>
      </w:r>
      <w:r w:rsidRPr="004A0EA1">
        <w:rPr>
          <w:szCs w:val="18"/>
        </w:rPr>
        <w:t xml:space="preserve">without the drawbacks related to pretreatment and purification </w:t>
      </w:r>
      <w:bookmarkEnd w:id="0"/>
      <w:r w:rsidR="004A0EA1" w:rsidRPr="004A0EA1">
        <w:rPr>
          <w:szCs w:val="18"/>
        </w:rPr>
        <w:t>steps</w:t>
      </w:r>
      <w:r w:rsidRPr="004A0EA1">
        <w:rPr>
          <w:szCs w:val="18"/>
        </w:rPr>
        <w:t>. Such is the case for diape</w:t>
      </w:r>
      <w:r w:rsidR="000C203F" w:rsidRPr="004A0EA1">
        <w:rPr>
          <w:szCs w:val="18"/>
        </w:rPr>
        <w:t>r industry</w:t>
      </w:r>
      <w:r w:rsidRPr="004A0EA1">
        <w:rPr>
          <w:szCs w:val="18"/>
        </w:rPr>
        <w:t>,</w:t>
      </w:r>
      <w:r w:rsidR="000C203F" w:rsidRPr="004A0EA1">
        <w:rPr>
          <w:szCs w:val="18"/>
        </w:rPr>
        <w:t xml:space="preserve"> which generates a polyacrylate-cellulose dust (POCEL)</w:t>
      </w:r>
      <w:r w:rsidRPr="004A0EA1">
        <w:rPr>
          <w:szCs w:val="18"/>
        </w:rPr>
        <w:t xml:space="preserve">, which </w:t>
      </w:r>
      <w:r w:rsidR="000C203F" w:rsidRPr="004A0EA1">
        <w:rPr>
          <w:szCs w:val="18"/>
        </w:rPr>
        <w:t xml:space="preserve">cannot be recycled to the </w:t>
      </w:r>
      <w:r w:rsidR="00600872" w:rsidRPr="004A0EA1">
        <w:rPr>
          <w:szCs w:val="18"/>
        </w:rPr>
        <w:t>process. POCEL</w:t>
      </w:r>
      <w:r w:rsidR="000C203F" w:rsidRPr="004A0EA1">
        <w:rPr>
          <w:szCs w:val="18"/>
        </w:rPr>
        <w:t xml:space="preserve"> is</w:t>
      </w:r>
      <w:r w:rsidR="00413C45" w:rsidRPr="004A0EA1">
        <w:rPr>
          <w:szCs w:val="18"/>
        </w:rPr>
        <w:t xml:space="preserve"> comprised by around </w:t>
      </w:r>
      <w:r w:rsidR="002F635C" w:rsidRPr="004A0EA1">
        <w:rPr>
          <w:szCs w:val="18"/>
        </w:rPr>
        <w:t xml:space="preserve">of </w:t>
      </w:r>
      <w:r w:rsidR="00413C45" w:rsidRPr="004A0EA1">
        <w:rPr>
          <w:szCs w:val="18"/>
        </w:rPr>
        <w:t>60 wt. % cellulose and 4</w:t>
      </w:r>
      <w:r w:rsidRPr="004A0EA1">
        <w:rPr>
          <w:szCs w:val="18"/>
        </w:rPr>
        <w:t xml:space="preserve">0 wt. % super absorbent polymer sodium polyacrylate. </w:t>
      </w:r>
      <w:r w:rsidR="00600872" w:rsidRPr="004A0EA1">
        <w:rPr>
          <w:szCs w:val="18"/>
        </w:rPr>
        <w:t>Due to the high content of cellulose in comparison to lignocellulosic biomass</w:t>
      </w:r>
      <w:r w:rsidRPr="004A0EA1">
        <w:rPr>
          <w:szCs w:val="18"/>
        </w:rPr>
        <w:t xml:space="preserve">, in which </w:t>
      </w:r>
      <w:r w:rsidR="00600872" w:rsidRPr="004A0EA1">
        <w:rPr>
          <w:szCs w:val="18"/>
        </w:rPr>
        <w:t xml:space="preserve">the </w:t>
      </w:r>
      <w:r w:rsidRPr="004A0EA1">
        <w:rPr>
          <w:szCs w:val="18"/>
        </w:rPr>
        <w:t xml:space="preserve">cellulose </w:t>
      </w:r>
      <w:r w:rsidR="00FC27DC" w:rsidRPr="004A0EA1">
        <w:rPr>
          <w:szCs w:val="18"/>
        </w:rPr>
        <w:t>content usually</w:t>
      </w:r>
      <w:r w:rsidRPr="004A0EA1">
        <w:rPr>
          <w:szCs w:val="18"/>
        </w:rPr>
        <w:t xml:space="preserve"> </w:t>
      </w:r>
      <w:r w:rsidR="00600872" w:rsidRPr="004A0EA1">
        <w:rPr>
          <w:szCs w:val="18"/>
        </w:rPr>
        <w:t xml:space="preserve">oscillate between </w:t>
      </w:r>
      <w:r w:rsidRPr="004A0EA1">
        <w:rPr>
          <w:szCs w:val="18"/>
        </w:rPr>
        <w:t xml:space="preserve">in the range 20 to 40 wt.%, </w:t>
      </w:r>
      <w:r w:rsidR="000A16D5" w:rsidRPr="004A0EA1">
        <w:rPr>
          <w:szCs w:val="18"/>
        </w:rPr>
        <w:t>POCEL</w:t>
      </w:r>
      <w:r w:rsidRPr="004A0EA1">
        <w:rPr>
          <w:szCs w:val="18"/>
        </w:rPr>
        <w:t xml:space="preserve"> could be used as a low cost raw material for glucose production, that can be subsequently fermented to produce bioethanol.</w:t>
      </w:r>
      <w:r w:rsidRPr="004A0EA1">
        <w:rPr>
          <w:sz w:val="22"/>
          <w:szCs w:val="22"/>
        </w:rPr>
        <w:t xml:space="preserve"> </w:t>
      </w:r>
    </w:p>
    <w:p w:rsidR="002D3210" w:rsidRDefault="00EB4BA6" w:rsidP="00EB4BA6">
      <w:pPr>
        <w:pStyle w:val="CETBodytext"/>
        <w:rPr>
          <w:szCs w:val="18"/>
        </w:rPr>
      </w:pPr>
      <w:r w:rsidRPr="004A0EA1">
        <w:rPr>
          <w:szCs w:val="18"/>
        </w:rPr>
        <w:t xml:space="preserve">In this </w:t>
      </w:r>
      <w:r w:rsidR="009E2F34" w:rsidRPr="004A0EA1">
        <w:rPr>
          <w:szCs w:val="18"/>
        </w:rPr>
        <w:t>work, experimental</w:t>
      </w:r>
      <w:r w:rsidRPr="004A0EA1">
        <w:rPr>
          <w:szCs w:val="18"/>
        </w:rPr>
        <w:t xml:space="preserve"> results of </w:t>
      </w:r>
      <w:r w:rsidR="00594B89" w:rsidRPr="004A0EA1">
        <w:rPr>
          <w:szCs w:val="18"/>
        </w:rPr>
        <w:t>POCEL suspensions</w:t>
      </w:r>
      <w:r w:rsidR="00A86572" w:rsidRPr="004A0EA1">
        <w:rPr>
          <w:szCs w:val="18"/>
        </w:rPr>
        <w:t xml:space="preserve"> </w:t>
      </w:r>
      <w:r w:rsidR="00D247FE" w:rsidRPr="004A0EA1">
        <w:rPr>
          <w:szCs w:val="18"/>
        </w:rPr>
        <w:t xml:space="preserve">hydrolysis </w:t>
      </w:r>
      <w:r w:rsidR="009A054B" w:rsidRPr="004A0EA1">
        <w:rPr>
          <w:szCs w:val="18"/>
        </w:rPr>
        <w:t>under</w:t>
      </w:r>
      <w:r w:rsidR="00594B89" w:rsidRPr="004A0EA1">
        <w:rPr>
          <w:szCs w:val="18"/>
        </w:rPr>
        <w:t xml:space="preserve"> </w:t>
      </w:r>
      <w:r w:rsidRPr="004A0EA1">
        <w:rPr>
          <w:szCs w:val="18"/>
        </w:rPr>
        <w:t xml:space="preserve">subcritical water </w:t>
      </w:r>
      <w:r w:rsidR="009E2F34" w:rsidRPr="004A0EA1">
        <w:rPr>
          <w:szCs w:val="18"/>
        </w:rPr>
        <w:t xml:space="preserve">conditions </w:t>
      </w:r>
      <w:r w:rsidRPr="004A0EA1">
        <w:rPr>
          <w:szCs w:val="18"/>
        </w:rPr>
        <w:t>in a</w:t>
      </w:r>
      <w:r w:rsidR="00594B89" w:rsidRPr="004A0EA1">
        <w:rPr>
          <w:szCs w:val="18"/>
        </w:rPr>
        <w:t xml:space="preserve"> </w:t>
      </w:r>
      <w:r w:rsidR="009E2F34" w:rsidRPr="004A0EA1">
        <w:rPr>
          <w:szCs w:val="18"/>
        </w:rPr>
        <w:t>continuous</w:t>
      </w:r>
      <w:r w:rsidR="00594B89" w:rsidRPr="004A0EA1">
        <w:rPr>
          <w:szCs w:val="18"/>
        </w:rPr>
        <w:t xml:space="preserve"> laboratory </w:t>
      </w:r>
      <w:r w:rsidR="009E2F34" w:rsidRPr="004A0EA1">
        <w:rPr>
          <w:szCs w:val="18"/>
        </w:rPr>
        <w:t>scale unit</w:t>
      </w:r>
      <w:r w:rsidR="004A0EA1" w:rsidRPr="004A0EA1">
        <w:rPr>
          <w:szCs w:val="18"/>
        </w:rPr>
        <w:t xml:space="preserve"> are presented</w:t>
      </w:r>
      <w:r w:rsidR="009E2F34" w:rsidRPr="004A0EA1">
        <w:rPr>
          <w:szCs w:val="18"/>
        </w:rPr>
        <w:t>.</w:t>
      </w:r>
      <w:r w:rsidRPr="004A0EA1">
        <w:rPr>
          <w:szCs w:val="18"/>
        </w:rPr>
        <w:t xml:space="preserve"> </w:t>
      </w:r>
      <w:r w:rsidR="000C203F" w:rsidRPr="004A0EA1">
        <w:rPr>
          <w:szCs w:val="18"/>
        </w:rPr>
        <w:t>POCEL</w:t>
      </w:r>
      <w:r w:rsidR="004A0EA1" w:rsidRPr="004A0EA1">
        <w:rPr>
          <w:szCs w:val="18"/>
        </w:rPr>
        <w:t xml:space="preserve"> suspensions</w:t>
      </w:r>
      <w:r w:rsidRPr="004A0EA1">
        <w:rPr>
          <w:szCs w:val="18"/>
        </w:rPr>
        <w:t xml:space="preserve"> </w:t>
      </w:r>
      <w:r w:rsidR="009A054B" w:rsidRPr="004A0EA1">
        <w:rPr>
          <w:szCs w:val="18"/>
        </w:rPr>
        <w:t xml:space="preserve">in water </w:t>
      </w:r>
      <w:r w:rsidR="007E25AC" w:rsidRPr="004A0EA1">
        <w:rPr>
          <w:szCs w:val="18"/>
        </w:rPr>
        <w:t>at 1</w:t>
      </w:r>
      <w:r w:rsidRPr="004A0EA1">
        <w:rPr>
          <w:szCs w:val="18"/>
        </w:rPr>
        <w:t>.2 wt. % were prepared by adding a few drops of hydrochloric acid</w:t>
      </w:r>
      <w:r w:rsidR="004A0EA1" w:rsidRPr="004A0EA1">
        <w:rPr>
          <w:szCs w:val="18"/>
        </w:rPr>
        <w:t xml:space="preserve"> up to pH 2</w:t>
      </w:r>
      <w:r w:rsidRPr="004A0EA1">
        <w:rPr>
          <w:szCs w:val="18"/>
        </w:rPr>
        <w:t xml:space="preserve"> to prevent sodium polyacrylate jellification with water. </w:t>
      </w:r>
      <w:r w:rsidR="007E25AC" w:rsidRPr="004A0EA1">
        <w:rPr>
          <w:szCs w:val="18"/>
        </w:rPr>
        <w:t>The h</w:t>
      </w:r>
      <w:r w:rsidR="00A864A5" w:rsidRPr="004A0EA1">
        <w:rPr>
          <w:szCs w:val="18"/>
        </w:rPr>
        <w:t>ydrolysis unit in subcritical water at continuous laboratory scale</w:t>
      </w:r>
      <w:r w:rsidRPr="004A0EA1">
        <w:rPr>
          <w:szCs w:val="18"/>
        </w:rPr>
        <w:t xml:space="preserve"> consisted of a high pressure pump, preheater, a tubular reactor immersed in an electrical oven, heat exchanger and needle valve to regulate system pressure. Experiments were carrie</w:t>
      </w:r>
      <w:r w:rsidR="000A16D5" w:rsidRPr="004A0EA1">
        <w:rPr>
          <w:szCs w:val="18"/>
        </w:rPr>
        <w:t>d out in the temperature range 3</w:t>
      </w:r>
      <w:r w:rsidRPr="004A0EA1">
        <w:rPr>
          <w:szCs w:val="18"/>
        </w:rPr>
        <w:t>50 to 420 °C, pressures of 100 to 136 atm and suspension flowrates</w:t>
      </w:r>
      <w:r w:rsidR="009838F3" w:rsidRPr="004A0EA1">
        <w:rPr>
          <w:szCs w:val="18"/>
        </w:rPr>
        <w:t xml:space="preserve"> of</w:t>
      </w:r>
      <w:r w:rsidRPr="004A0EA1">
        <w:rPr>
          <w:szCs w:val="18"/>
        </w:rPr>
        <w:t xml:space="preserve"> up to </w:t>
      </w:r>
      <w:r w:rsidR="000A16D5" w:rsidRPr="004A0EA1">
        <w:rPr>
          <w:szCs w:val="18"/>
        </w:rPr>
        <w:t>6.4 mL</w:t>
      </w:r>
      <w:r w:rsidRPr="004A0EA1">
        <w:rPr>
          <w:szCs w:val="18"/>
        </w:rPr>
        <w:t xml:space="preserve">/min. Reactor effluent samples were characterized by means of </w:t>
      </w:r>
      <w:proofErr w:type="spellStart"/>
      <w:r w:rsidRPr="004A0EA1">
        <w:rPr>
          <w:szCs w:val="18"/>
        </w:rPr>
        <w:t>dinitrosalicylic</w:t>
      </w:r>
      <w:proofErr w:type="spellEnd"/>
      <w:r w:rsidRPr="004A0EA1">
        <w:rPr>
          <w:szCs w:val="18"/>
        </w:rPr>
        <w:t xml:space="preserve"> acid (DNS) colorimetric </w:t>
      </w:r>
      <w:r w:rsidR="009838F3" w:rsidRPr="004A0EA1">
        <w:rPr>
          <w:szCs w:val="18"/>
        </w:rPr>
        <w:t>method. The</w:t>
      </w:r>
      <w:r w:rsidRPr="004A0EA1">
        <w:rPr>
          <w:szCs w:val="18"/>
        </w:rPr>
        <w:t xml:space="preserve"> </w:t>
      </w:r>
      <w:r w:rsidR="009838F3" w:rsidRPr="004A0EA1">
        <w:rPr>
          <w:szCs w:val="18"/>
        </w:rPr>
        <w:t>h</w:t>
      </w:r>
      <w:r w:rsidRPr="004A0EA1">
        <w:rPr>
          <w:szCs w:val="18"/>
        </w:rPr>
        <w:t xml:space="preserve">ighest concentration of reducing sugars </w:t>
      </w:r>
      <w:r w:rsidR="00C255EA" w:rsidRPr="004A0EA1">
        <w:rPr>
          <w:szCs w:val="18"/>
        </w:rPr>
        <w:t>was</w:t>
      </w:r>
      <w:r w:rsidR="003912C4" w:rsidRPr="004A0EA1">
        <w:rPr>
          <w:lang w:val="en-GB"/>
        </w:rPr>
        <w:t xml:space="preserve"> obtained at 390 °C and a water flowrate of 1.9 mL/min, which corresponds to a residence time of 126.7 s</w:t>
      </w:r>
      <w:r w:rsidR="000A16D5" w:rsidRPr="004A0EA1">
        <w:rPr>
          <w:lang w:val="en-GB"/>
        </w:rPr>
        <w:t xml:space="preserve"> in the reactor</w:t>
      </w:r>
      <w:r w:rsidRPr="004A0EA1">
        <w:rPr>
          <w:szCs w:val="18"/>
        </w:rPr>
        <w:t xml:space="preserve">. </w:t>
      </w:r>
      <w:r w:rsidR="009838F3" w:rsidRPr="004A0EA1">
        <w:rPr>
          <w:szCs w:val="18"/>
        </w:rPr>
        <w:t>The e</w:t>
      </w:r>
      <w:r w:rsidRPr="004A0EA1">
        <w:rPr>
          <w:szCs w:val="18"/>
        </w:rPr>
        <w:t xml:space="preserve">stimated </w:t>
      </w:r>
      <w:r w:rsidR="009838F3" w:rsidRPr="004A0EA1">
        <w:rPr>
          <w:szCs w:val="18"/>
        </w:rPr>
        <w:t xml:space="preserve">productivity of </w:t>
      </w:r>
      <w:r w:rsidRPr="004A0EA1">
        <w:rPr>
          <w:szCs w:val="18"/>
        </w:rPr>
        <w:t xml:space="preserve">sugar </w:t>
      </w:r>
      <w:r w:rsidR="009838F3" w:rsidRPr="004A0EA1">
        <w:rPr>
          <w:szCs w:val="18"/>
        </w:rPr>
        <w:t>production based</w:t>
      </w:r>
      <w:r w:rsidRPr="004A0EA1">
        <w:rPr>
          <w:szCs w:val="18"/>
        </w:rPr>
        <w:t xml:space="preserve"> on a </w:t>
      </w:r>
      <w:r w:rsidR="009838F3" w:rsidRPr="004A0EA1">
        <w:rPr>
          <w:szCs w:val="18"/>
        </w:rPr>
        <w:t xml:space="preserve">cellulose content of </w:t>
      </w:r>
      <w:r w:rsidRPr="004A0EA1">
        <w:rPr>
          <w:szCs w:val="18"/>
        </w:rPr>
        <w:t xml:space="preserve">60 wt.% in </w:t>
      </w:r>
      <w:r w:rsidR="005241EB" w:rsidRPr="004A0EA1">
        <w:rPr>
          <w:szCs w:val="18"/>
        </w:rPr>
        <w:t xml:space="preserve">POCEL </w:t>
      </w:r>
      <w:r w:rsidRPr="004A0EA1">
        <w:rPr>
          <w:szCs w:val="18"/>
        </w:rPr>
        <w:t xml:space="preserve">was </w:t>
      </w:r>
      <w:r w:rsidR="003912C4" w:rsidRPr="004A0EA1">
        <w:rPr>
          <w:szCs w:val="18"/>
        </w:rPr>
        <w:t>85.4</w:t>
      </w:r>
      <w:r w:rsidRPr="004A0EA1">
        <w:rPr>
          <w:szCs w:val="18"/>
        </w:rPr>
        <w:t>%, which indicates this kind of cellulosic waste could be used to obtain</w:t>
      </w:r>
      <w:r w:rsidR="003F5CD4" w:rsidRPr="004A0EA1">
        <w:rPr>
          <w:szCs w:val="18"/>
        </w:rPr>
        <w:t xml:space="preserve"> </w:t>
      </w:r>
      <w:r w:rsidRPr="004A0EA1">
        <w:rPr>
          <w:szCs w:val="18"/>
        </w:rPr>
        <w:t xml:space="preserve">high reducing sugars concentration in hydrolysates through a </w:t>
      </w:r>
      <w:r w:rsidR="005241EB" w:rsidRPr="004A0EA1">
        <w:rPr>
          <w:szCs w:val="18"/>
        </w:rPr>
        <w:t xml:space="preserve">continuous </w:t>
      </w:r>
      <w:r w:rsidRPr="004A0EA1">
        <w:rPr>
          <w:szCs w:val="18"/>
        </w:rPr>
        <w:t>subcritical water process.</w:t>
      </w:r>
    </w:p>
    <w:p w:rsidR="00600535" w:rsidRDefault="00600535" w:rsidP="00600535">
      <w:pPr>
        <w:pStyle w:val="CETHeading1"/>
        <w:rPr>
          <w:lang w:val="en-GB"/>
        </w:rPr>
      </w:pPr>
      <w:r w:rsidRPr="00B57B36">
        <w:rPr>
          <w:lang w:val="en-GB"/>
        </w:rPr>
        <w:t>Introduction</w:t>
      </w:r>
    </w:p>
    <w:p w:rsidR="00A337B0" w:rsidRPr="00546615" w:rsidRDefault="00797E73" w:rsidP="000C203F">
      <w:pPr>
        <w:pStyle w:val="CETBodytext"/>
        <w:rPr>
          <w:highlight w:val="green"/>
        </w:rPr>
      </w:pPr>
      <w:r w:rsidRPr="002D3210">
        <w:rPr>
          <w:szCs w:val="18"/>
        </w:rPr>
        <w:t>Second generation biofuels are those produced from lignocellulosic biomass or crops that do not compete with food production</w:t>
      </w:r>
      <w:r>
        <w:rPr>
          <w:szCs w:val="18"/>
        </w:rPr>
        <w:t xml:space="preserve"> </w:t>
      </w:r>
      <w:r w:rsidRPr="00F705B2">
        <w:rPr>
          <w:szCs w:val="18"/>
        </w:rPr>
        <w:t xml:space="preserve">(Naik et al., 2010). </w:t>
      </w:r>
      <w:r w:rsidRPr="00F848D3">
        <w:rPr>
          <w:szCs w:val="18"/>
        </w:rPr>
        <w:t>Cellulose and hemicellulose in plants can be transformed to building blocks, pent</w:t>
      </w:r>
      <w:r w:rsidR="0054607E" w:rsidRPr="00F848D3">
        <w:rPr>
          <w:szCs w:val="18"/>
        </w:rPr>
        <w:t>oses and hexoses, by hydrolysis</w:t>
      </w:r>
      <w:r w:rsidR="00F403D6" w:rsidRPr="00F848D3">
        <w:rPr>
          <w:szCs w:val="18"/>
        </w:rPr>
        <w:t xml:space="preserve"> (</w:t>
      </w:r>
      <w:proofErr w:type="spellStart"/>
      <w:r w:rsidR="00F403D6" w:rsidRPr="00F848D3">
        <w:t>Aditiya</w:t>
      </w:r>
      <w:proofErr w:type="spellEnd"/>
      <w:r w:rsidR="00F403D6" w:rsidRPr="00F848D3">
        <w:t xml:space="preserve"> et al., 2016). </w:t>
      </w:r>
      <w:r w:rsidR="00E0406B" w:rsidRPr="00E0406B">
        <w:rPr>
          <w:lang w:val="en-GB"/>
        </w:rPr>
        <w:t xml:space="preserve">Alternatively, industrial cellulosic residues, in which lignin and most of hemicellulose have been previously removed through chemical treatment, could be used as raw material for the production of reducing sugars without the drawbacks related to the </w:t>
      </w:r>
      <w:proofErr w:type="spellStart"/>
      <w:r w:rsidR="00E0406B" w:rsidRPr="00E0406B">
        <w:rPr>
          <w:lang w:val="en-GB"/>
        </w:rPr>
        <w:t>pretreatment</w:t>
      </w:r>
      <w:proofErr w:type="spellEnd"/>
      <w:r w:rsidR="00E0406B" w:rsidRPr="00E0406B">
        <w:rPr>
          <w:lang w:val="en-GB"/>
        </w:rPr>
        <w:t xml:space="preserve"> and purification </w:t>
      </w:r>
      <w:r w:rsidR="004A0EA1">
        <w:rPr>
          <w:lang w:val="en-GB"/>
        </w:rPr>
        <w:t>steps</w:t>
      </w:r>
      <w:r w:rsidRPr="002D3210">
        <w:rPr>
          <w:szCs w:val="18"/>
        </w:rPr>
        <w:t>.</w:t>
      </w:r>
      <w:r w:rsidR="004A0EA1">
        <w:rPr>
          <w:szCs w:val="18"/>
        </w:rPr>
        <w:t xml:space="preserve"> </w:t>
      </w:r>
      <w:r w:rsidRPr="002D3210">
        <w:rPr>
          <w:szCs w:val="18"/>
        </w:rPr>
        <w:t>Such is the case for diape</w:t>
      </w:r>
      <w:r>
        <w:rPr>
          <w:szCs w:val="18"/>
        </w:rPr>
        <w:t>r industry</w:t>
      </w:r>
      <w:r w:rsidRPr="002D3210">
        <w:rPr>
          <w:szCs w:val="18"/>
        </w:rPr>
        <w:t>,</w:t>
      </w:r>
      <w:r>
        <w:rPr>
          <w:szCs w:val="18"/>
        </w:rPr>
        <w:t xml:space="preserve"> which generates a polyacrylate-cellulose dust (POCEL)</w:t>
      </w:r>
      <w:r w:rsidRPr="002D3210">
        <w:rPr>
          <w:szCs w:val="18"/>
        </w:rPr>
        <w:t xml:space="preserve">, which </w:t>
      </w:r>
      <w:r>
        <w:rPr>
          <w:szCs w:val="18"/>
        </w:rPr>
        <w:t>cannot be recycled to the process</w:t>
      </w:r>
      <w:r w:rsidRPr="002D3210">
        <w:rPr>
          <w:szCs w:val="18"/>
        </w:rPr>
        <w:t xml:space="preserve">. </w:t>
      </w:r>
      <w:r w:rsidR="004A0EA1">
        <w:rPr>
          <w:lang w:val="en-GB"/>
        </w:rPr>
        <w:t>POCEL</w:t>
      </w:r>
      <w:r w:rsidR="000C203F">
        <w:rPr>
          <w:lang w:val="en-GB"/>
        </w:rPr>
        <w:t xml:space="preserve"> is a </w:t>
      </w:r>
      <w:r w:rsidR="00EF6AD5">
        <w:rPr>
          <w:lang w:val="en-GB"/>
        </w:rPr>
        <w:t>by-product</w:t>
      </w:r>
      <w:r w:rsidR="000C203F">
        <w:rPr>
          <w:lang w:val="en-GB"/>
        </w:rPr>
        <w:t xml:space="preserve"> obtained during pneumatic transport and</w:t>
      </w:r>
      <w:r w:rsidR="00EF6AD5">
        <w:rPr>
          <w:lang w:val="en-GB"/>
        </w:rPr>
        <w:t xml:space="preserve"> cellulose</w:t>
      </w:r>
      <w:r w:rsidR="000C203F">
        <w:rPr>
          <w:lang w:val="en-GB"/>
        </w:rPr>
        <w:t xml:space="preserve"> shredding </w:t>
      </w:r>
      <w:r w:rsidR="00EF6AD5">
        <w:rPr>
          <w:lang w:val="en-GB"/>
        </w:rPr>
        <w:t>and is comprised by very fine particles collected through</w:t>
      </w:r>
      <w:r w:rsidR="00A337B0">
        <w:rPr>
          <w:lang w:val="en-GB"/>
        </w:rPr>
        <w:t xml:space="preserve"> vacuum systems. Due to its size</w:t>
      </w:r>
      <w:r w:rsidR="00EF6AD5">
        <w:rPr>
          <w:lang w:val="en-GB"/>
        </w:rPr>
        <w:t xml:space="preserve"> characteristics, </w:t>
      </w:r>
      <w:r w:rsidR="00EF6AD5" w:rsidRPr="004A0EA1">
        <w:rPr>
          <w:lang w:val="en-GB"/>
        </w:rPr>
        <w:t>POCEL</w:t>
      </w:r>
      <w:r w:rsidR="0018104B" w:rsidRPr="004A0EA1">
        <w:rPr>
          <w:lang w:val="en-GB"/>
        </w:rPr>
        <w:t xml:space="preserve"> </w:t>
      </w:r>
      <w:r w:rsidR="00EF6AD5" w:rsidRPr="004A0EA1">
        <w:rPr>
          <w:lang w:val="en-GB"/>
        </w:rPr>
        <w:t xml:space="preserve">cannot be recycled back </w:t>
      </w:r>
      <w:r w:rsidR="0018104B" w:rsidRPr="004A0EA1">
        <w:rPr>
          <w:lang w:val="en-GB"/>
        </w:rPr>
        <w:t>into</w:t>
      </w:r>
      <w:r w:rsidR="00EF6AD5" w:rsidRPr="004A0EA1">
        <w:rPr>
          <w:lang w:val="en-GB"/>
        </w:rPr>
        <w:t xml:space="preserve"> the process and must be </w:t>
      </w:r>
      <w:r w:rsidR="0018104B" w:rsidRPr="004A0EA1">
        <w:rPr>
          <w:lang w:val="en-GB"/>
        </w:rPr>
        <w:t>disposed of by</w:t>
      </w:r>
      <w:r w:rsidR="00EF6AD5" w:rsidRPr="004A0EA1">
        <w:rPr>
          <w:lang w:val="en-GB"/>
        </w:rPr>
        <w:t xml:space="preserve"> incine</w:t>
      </w:r>
      <w:r w:rsidR="00A337B0" w:rsidRPr="004A0EA1">
        <w:rPr>
          <w:lang w:val="en-GB"/>
        </w:rPr>
        <w:t>ration or in sanitary landfills</w:t>
      </w:r>
      <w:r w:rsidR="00A337B0">
        <w:rPr>
          <w:lang w:val="en-GB"/>
        </w:rPr>
        <w:t>, where its high hygroscopicity can cause terrain instability</w:t>
      </w:r>
      <w:r w:rsidR="00C255EA">
        <w:rPr>
          <w:lang w:val="en-GB"/>
        </w:rPr>
        <w:t xml:space="preserve">. POCEL utilization </w:t>
      </w:r>
      <w:r w:rsidR="00A337B0">
        <w:rPr>
          <w:lang w:val="en-GB"/>
        </w:rPr>
        <w:t>has been sca</w:t>
      </w:r>
      <w:r w:rsidR="00E968CC">
        <w:rPr>
          <w:lang w:val="en-GB"/>
        </w:rPr>
        <w:t xml:space="preserve">rcely studied in literature. </w:t>
      </w:r>
      <w:r w:rsidR="0018104B" w:rsidRPr="00A11FCD">
        <w:rPr>
          <w:lang w:val="en-GB"/>
        </w:rPr>
        <w:t>The composition of super adsorbent</w:t>
      </w:r>
      <w:r w:rsidR="00A337B0" w:rsidRPr="00A11FCD">
        <w:rPr>
          <w:lang w:val="en-GB"/>
        </w:rPr>
        <w:t xml:space="preserve"> </w:t>
      </w:r>
      <w:r w:rsidR="0018104B" w:rsidRPr="00A11FCD">
        <w:rPr>
          <w:lang w:val="en-GB"/>
        </w:rPr>
        <w:t xml:space="preserve">polyacrylate </w:t>
      </w:r>
      <w:r w:rsidR="00A337B0" w:rsidRPr="00A11FCD">
        <w:rPr>
          <w:lang w:val="en-GB"/>
        </w:rPr>
        <w:t xml:space="preserve">in POCEL varies in the range 38 to </w:t>
      </w:r>
      <w:r w:rsidR="00C4733A" w:rsidRPr="00A11FCD">
        <w:rPr>
          <w:lang w:val="en-GB"/>
        </w:rPr>
        <w:t>6</w:t>
      </w:r>
      <w:r w:rsidR="00413C45" w:rsidRPr="00A11FCD">
        <w:rPr>
          <w:lang w:val="en-GB"/>
        </w:rPr>
        <w:t>0</w:t>
      </w:r>
      <w:r w:rsidR="00A337B0" w:rsidRPr="00A11FCD">
        <w:rPr>
          <w:lang w:val="en-GB"/>
        </w:rPr>
        <w:t xml:space="preserve"> wt</w:t>
      </w:r>
      <w:r w:rsidR="002B3286" w:rsidRPr="00A11FCD">
        <w:rPr>
          <w:lang w:val="en-GB"/>
        </w:rPr>
        <w:t>. %</w:t>
      </w:r>
      <w:r w:rsidR="00A337B0">
        <w:rPr>
          <w:lang w:val="en-GB"/>
        </w:rPr>
        <w:t xml:space="preserve"> and some research studies have focus</w:t>
      </w:r>
      <w:r w:rsidR="00A11FCD">
        <w:rPr>
          <w:lang w:val="en-GB"/>
        </w:rPr>
        <w:t>ed</w:t>
      </w:r>
      <w:r w:rsidR="00A337B0">
        <w:rPr>
          <w:lang w:val="en-GB"/>
        </w:rPr>
        <w:t xml:space="preserve"> in its water sequestration capacity for </w:t>
      </w:r>
      <w:r w:rsidR="00A337B0">
        <w:rPr>
          <w:lang w:val="en-GB"/>
        </w:rPr>
        <w:lastRenderedPageBreak/>
        <w:t xml:space="preserve">several industrial applications to replace pure </w:t>
      </w:r>
      <w:proofErr w:type="spellStart"/>
      <w:r w:rsidR="00A337B0">
        <w:rPr>
          <w:lang w:val="en-GB"/>
        </w:rPr>
        <w:t>polycrylate</w:t>
      </w:r>
      <w:proofErr w:type="spellEnd"/>
      <w:r w:rsidR="00A337B0">
        <w:rPr>
          <w:lang w:val="en-GB"/>
        </w:rPr>
        <w:t xml:space="preserve"> consumption</w:t>
      </w:r>
      <w:r w:rsidR="00546615" w:rsidRPr="00A11FCD">
        <w:t>.</w:t>
      </w:r>
      <w:r w:rsidR="00A11FCD">
        <w:t xml:space="preserve"> </w:t>
      </w:r>
      <w:r w:rsidR="00A6422C" w:rsidRPr="00A11FCD">
        <w:rPr>
          <w:lang w:val="en-GB"/>
        </w:rPr>
        <w:t xml:space="preserve">Alternately, high cellulose content </w:t>
      </w:r>
      <w:r w:rsidR="00546615" w:rsidRPr="00A11FCD">
        <w:rPr>
          <w:lang w:val="en-GB"/>
        </w:rPr>
        <w:t xml:space="preserve">in POCEL </w:t>
      </w:r>
      <w:r w:rsidR="00E968CC" w:rsidRPr="00A11FCD">
        <w:rPr>
          <w:lang w:val="en-GB"/>
        </w:rPr>
        <w:t>could be hydrolysed to fermentable hexoses</w:t>
      </w:r>
      <w:r w:rsidR="00E968CC">
        <w:rPr>
          <w:lang w:val="en-GB"/>
        </w:rPr>
        <w:t xml:space="preserve">, with the added advantage of the absence of hemicellulose and lignin present </w:t>
      </w:r>
      <w:r w:rsidR="00E968CC" w:rsidRPr="00F848D3">
        <w:rPr>
          <w:lang w:val="en-GB"/>
        </w:rPr>
        <w:t>i</w:t>
      </w:r>
      <w:r w:rsidR="005F341B" w:rsidRPr="00F848D3">
        <w:rPr>
          <w:lang w:val="en-GB"/>
        </w:rPr>
        <w:t>n biomass materials which form</w:t>
      </w:r>
      <w:r w:rsidR="00E968CC" w:rsidRPr="00F848D3">
        <w:rPr>
          <w:lang w:val="en-GB"/>
        </w:rPr>
        <w:t xml:space="preserve"> pentoses and phenolic decomposition products during hydrolysis</w:t>
      </w:r>
      <w:r w:rsidR="00680DAF" w:rsidRPr="00F848D3">
        <w:rPr>
          <w:lang w:val="en-GB"/>
        </w:rPr>
        <w:t xml:space="preserve"> </w:t>
      </w:r>
      <w:r w:rsidR="00C255EA" w:rsidRPr="00F848D3">
        <w:rPr>
          <w:lang w:val="en-GB"/>
        </w:rPr>
        <w:t>(</w:t>
      </w:r>
      <w:proofErr w:type="spellStart"/>
      <w:r w:rsidR="00680DAF" w:rsidRPr="00016987">
        <w:rPr>
          <w:lang w:val="en-GB"/>
        </w:rPr>
        <w:t>Limaye</w:t>
      </w:r>
      <w:r w:rsidR="00F848D3" w:rsidRPr="00016987">
        <w:rPr>
          <w:lang w:val="en-GB"/>
        </w:rPr>
        <w:t>m</w:t>
      </w:r>
      <w:proofErr w:type="spellEnd"/>
      <w:r w:rsidR="00680DAF" w:rsidRPr="00016987">
        <w:rPr>
          <w:lang w:val="en-GB"/>
        </w:rPr>
        <w:t xml:space="preserve"> </w:t>
      </w:r>
      <w:r w:rsidR="00016987" w:rsidRPr="00016987">
        <w:t>&amp;</w:t>
      </w:r>
      <w:r w:rsidR="00680DAF" w:rsidRPr="00016987">
        <w:rPr>
          <w:lang w:val="en-GB"/>
        </w:rPr>
        <w:t xml:space="preserve"> </w:t>
      </w:r>
      <w:proofErr w:type="spellStart"/>
      <w:r w:rsidR="00680DAF" w:rsidRPr="00016987">
        <w:rPr>
          <w:lang w:val="en-GB"/>
        </w:rPr>
        <w:t>Ricke</w:t>
      </w:r>
      <w:proofErr w:type="spellEnd"/>
      <w:r w:rsidR="00ED5810" w:rsidRPr="00016987">
        <w:rPr>
          <w:lang w:val="en-GB"/>
        </w:rPr>
        <w:t>,</w:t>
      </w:r>
      <w:r w:rsidR="00ED5810" w:rsidRPr="00F848D3">
        <w:rPr>
          <w:lang w:val="en-GB"/>
        </w:rPr>
        <w:t xml:space="preserve"> 2012</w:t>
      </w:r>
      <w:r w:rsidR="00C255EA" w:rsidRPr="00F848D3">
        <w:rPr>
          <w:lang w:val="en-GB"/>
        </w:rPr>
        <w:t>)</w:t>
      </w:r>
      <w:r w:rsidR="00E968CC" w:rsidRPr="00F848D3">
        <w:rPr>
          <w:lang w:val="en-GB"/>
        </w:rPr>
        <w:t>.</w:t>
      </w:r>
    </w:p>
    <w:p w:rsidR="00B60810" w:rsidRDefault="00B60810" w:rsidP="000C203F">
      <w:pPr>
        <w:pStyle w:val="CETBodytext"/>
        <w:rPr>
          <w:lang w:val="en-GB"/>
        </w:rPr>
      </w:pPr>
    </w:p>
    <w:p w:rsidR="00292C2B" w:rsidRPr="00292C2B" w:rsidRDefault="00220146" w:rsidP="00AB0759">
      <w:pPr>
        <w:pStyle w:val="CETBodytext"/>
        <w:rPr>
          <w:lang w:val="en-GB"/>
        </w:rPr>
      </w:pPr>
      <w:r w:rsidRPr="00A11FCD">
        <w:rPr>
          <w:lang w:val="en-GB"/>
        </w:rPr>
        <w:t>The</w:t>
      </w:r>
      <w:r w:rsidR="00B60810" w:rsidRPr="00A11FCD">
        <w:rPr>
          <w:lang w:val="en-GB"/>
        </w:rPr>
        <w:t xml:space="preserve"> hydrolysis</w:t>
      </w:r>
      <w:r w:rsidRPr="00A11FCD">
        <w:rPr>
          <w:lang w:val="en-GB"/>
        </w:rPr>
        <w:t xml:space="preserve"> of cellulose</w:t>
      </w:r>
      <w:r w:rsidR="00B60810" w:rsidRPr="00A11FCD">
        <w:rPr>
          <w:lang w:val="en-GB"/>
        </w:rPr>
        <w:t xml:space="preserve"> can be accomplished by conventional acid, basic and enzymatic</w:t>
      </w:r>
      <w:r w:rsidR="00A11FCD" w:rsidRPr="00A11FCD">
        <w:rPr>
          <w:lang w:val="en-GB"/>
        </w:rPr>
        <w:t xml:space="preserve"> </w:t>
      </w:r>
      <w:proofErr w:type="gramStart"/>
      <w:r w:rsidR="00A11FCD" w:rsidRPr="00A11FCD">
        <w:rPr>
          <w:lang w:val="en-GB"/>
        </w:rPr>
        <w:t>methods</w:t>
      </w:r>
      <w:r w:rsidR="00377F6C" w:rsidRPr="00A11FCD">
        <w:rPr>
          <w:lang w:val="en-GB"/>
        </w:rPr>
        <w:t>(</w:t>
      </w:r>
      <w:proofErr w:type="gramEnd"/>
      <w:r w:rsidR="00377F6C" w:rsidRPr="00A11FCD">
        <w:rPr>
          <w:lang w:val="en-GB"/>
        </w:rPr>
        <w:t>Nguyen et al., 2018)</w:t>
      </w:r>
      <w:r w:rsidR="00B60810" w:rsidRPr="00A11FCD">
        <w:rPr>
          <w:lang w:val="en-GB"/>
        </w:rPr>
        <w:t xml:space="preserve">. These processes usually required </w:t>
      </w:r>
      <w:r w:rsidR="00A85094" w:rsidRPr="00A11FCD">
        <w:rPr>
          <w:lang w:val="en-GB"/>
        </w:rPr>
        <w:t xml:space="preserve">steps of </w:t>
      </w:r>
      <w:r w:rsidR="002E65A4" w:rsidRPr="00A11FCD">
        <w:rPr>
          <w:lang w:val="en-GB"/>
        </w:rPr>
        <w:t xml:space="preserve">physical, chemical or biological </w:t>
      </w:r>
      <w:proofErr w:type="spellStart"/>
      <w:r w:rsidR="002E65A4" w:rsidRPr="00A11FCD">
        <w:rPr>
          <w:lang w:val="en-GB"/>
        </w:rPr>
        <w:t>pretreatment</w:t>
      </w:r>
      <w:proofErr w:type="spellEnd"/>
      <w:r w:rsidR="00A85094" w:rsidRPr="00A11FCD">
        <w:rPr>
          <w:lang w:val="en-GB"/>
        </w:rPr>
        <w:t xml:space="preserve"> of biomass</w:t>
      </w:r>
      <w:r w:rsidR="00B60810" w:rsidRPr="00A11FCD">
        <w:rPr>
          <w:lang w:val="en-GB"/>
        </w:rPr>
        <w:t xml:space="preserve"> to separate lignin</w:t>
      </w:r>
      <w:r w:rsidR="00956780" w:rsidRPr="00A22CC3">
        <w:rPr>
          <w:lang w:val="en-GB"/>
        </w:rPr>
        <w:t xml:space="preserve"> (</w:t>
      </w:r>
      <w:proofErr w:type="spellStart"/>
      <w:r w:rsidR="00956780" w:rsidRPr="00A22CC3">
        <w:rPr>
          <w:lang w:val="en-GB"/>
        </w:rPr>
        <w:t>Haghighi</w:t>
      </w:r>
      <w:proofErr w:type="spellEnd"/>
      <w:r w:rsidR="00956780" w:rsidRPr="00A22CC3">
        <w:rPr>
          <w:lang w:val="en-GB"/>
        </w:rPr>
        <w:t xml:space="preserve"> et al., 2013)</w:t>
      </w:r>
      <w:r w:rsidR="00B60810" w:rsidRPr="00A22CC3">
        <w:rPr>
          <w:lang w:val="en-GB"/>
        </w:rPr>
        <w:t>, which</w:t>
      </w:r>
      <w:r w:rsidR="00B60810">
        <w:rPr>
          <w:lang w:val="en-GB"/>
        </w:rPr>
        <w:t xml:space="preserve"> acts as a barrier to cellulose and hemicellulose chemical attack </w:t>
      </w:r>
      <w:r w:rsidR="00B60810" w:rsidRPr="00016987">
        <w:rPr>
          <w:lang w:val="en-GB"/>
        </w:rPr>
        <w:t>(Prado</w:t>
      </w:r>
      <w:r w:rsidR="005F341B" w:rsidRPr="00016987">
        <w:rPr>
          <w:lang w:val="en-GB"/>
        </w:rPr>
        <w:t xml:space="preserve"> et al., 2014</w:t>
      </w:r>
      <w:r w:rsidR="00B60810" w:rsidRPr="00016987">
        <w:rPr>
          <w:lang w:val="en-GB"/>
        </w:rPr>
        <w:t xml:space="preserve">).These </w:t>
      </w:r>
      <w:proofErr w:type="spellStart"/>
      <w:r w:rsidR="00B60810" w:rsidRPr="00016987">
        <w:rPr>
          <w:lang w:val="en-GB"/>
        </w:rPr>
        <w:t>pretreatment</w:t>
      </w:r>
      <w:proofErr w:type="spellEnd"/>
      <w:r w:rsidR="00B60810" w:rsidRPr="00016987">
        <w:rPr>
          <w:lang w:val="en-GB"/>
        </w:rPr>
        <w:t xml:space="preserve"> steps not only increase processing costs but also could produce decomposition products</w:t>
      </w:r>
      <w:r w:rsidR="00B60810">
        <w:rPr>
          <w:lang w:val="en-GB"/>
        </w:rPr>
        <w:t xml:space="preserve"> that inhibit subsequent fermentation. Alternatively</w:t>
      </w:r>
      <w:r w:rsidR="00292C2B">
        <w:rPr>
          <w:lang w:val="en-GB"/>
        </w:rPr>
        <w:t xml:space="preserve">, a hydrolysis process that uses only water at high temperature and pressure, </w:t>
      </w:r>
      <w:r w:rsidR="00292C2B" w:rsidRPr="00016987">
        <w:rPr>
          <w:lang w:val="en-GB"/>
        </w:rPr>
        <w:t>conditions, known as subcritical water</w:t>
      </w:r>
      <w:r w:rsidR="002E65A4" w:rsidRPr="00016987">
        <w:rPr>
          <w:lang w:val="en-GB"/>
        </w:rPr>
        <w:t xml:space="preserve"> hydrolysis</w:t>
      </w:r>
      <w:r w:rsidR="00292C2B" w:rsidRPr="00016987">
        <w:rPr>
          <w:lang w:val="en-GB"/>
        </w:rPr>
        <w:t>, has gained increased attention (</w:t>
      </w:r>
      <w:r w:rsidR="00ED5810" w:rsidRPr="00016987">
        <w:t xml:space="preserve">Kruse &amp; </w:t>
      </w:r>
      <w:proofErr w:type="spellStart"/>
      <w:r w:rsidR="00ED5810" w:rsidRPr="00016987">
        <w:t>Dahmen</w:t>
      </w:r>
      <w:proofErr w:type="spellEnd"/>
      <w:r w:rsidR="00ED5810" w:rsidRPr="00016987">
        <w:t>, 2015</w:t>
      </w:r>
      <w:r w:rsidR="00292C2B" w:rsidRPr="00016987">
        <w:rPr>
          <w:lang w:val="en-GB"/>
        </w:rPr>
        <w:t>).</w:t>
      </w:r>
      <w:r w:rsidR="00292C2B">
        <w:rPr>
          <w:lang w:val="en-GB"/>
        </w:rPr>
        <w:t xml:space="preserve"> T</w:t>
      </w:r>
      <w:r w:rsidR="00292C2B" w:rsidRPr="00D4723B">
        <w:rPr>
          <w:lang w:val="en-GB"/>
        </w:rPr>
        <w:t>his</w:t>
      </w:r>
      <w:r w:rsidR="00292C2B">
        <w:rPr>
          <w:lang w:val="en-GB"/>
        </w:rPr>
        <w:t xml:space="preserve"> process takes advantage of the well-known </w:t>
      </w:r>
      <w:proofErr w:type="spellStart"/>
      <w:r w:rsidR="00292C2B" w:rsidRPr="00292C2B">
        <w:rPr>
          <w:lang w:val="en-GB"/>
        </w:rPr>
        <w:t>tunable</w:t>
      </w:r>
      <w:proofErr w:type="spellEnd"/>
      <w:r w:rsidR="00292C2B" w:rsidRPr="00292C2B">
        <w:rPr>
          <w:lang w:val="en-GB"/>
        </w:rPr>
        <w:t xml:space="preserve"> properties of wat</w:t>
      </w:r>
      <w:r w:rsidR="00292C2B">
        <w:rPr>
          <w:lang w:val="en-GB"/>
        </w:rPr>
        <w:t xml:space="preserve">er in the vicinity or above the </w:t>
      </w:r>
      <w:r w:rsidR="00292C2B" w:rsidRPr="00292C2B">
        <w:rPr>
          <w:lang w:val="en-GB"/>
        </w:rPr>
        <w:t>supercritical p</w:t>
      </w:r>
      <w:r w:rsidR="002B3286">
        <w:rPr>
          <w:lang w:val="en-GB"/>
        </w:rPr>
        <w:t xml:space="preserve">oint, </w:t>
      </w:r>
      <w:r w:rsidR="00292C2B" w:rsidRPr="00292C2B">
        <w:rPr>
          <w:lang w:val="en-GB"/>
        </w:rPr>
        <w:t xml:space="preserve">374 </w:t>
      </w:r>
      <w:r w:rsidR="00292C2B" w:rsidRPr="00292C2B">
        <w:rPr>
          <w:rFonts w:hint="eastAsia"/>
          <w:lang w:val="en-GB"/>
        </w:rPr>
        <w:t>°</w:t>
      </w:r>
      <w:r w:rsidR="002B3286">
        <w:rPr>
          <w:lang w:val="en-GB"/>
        </w:rPr>
        <w:t>C and 22.1 MPa,</w:t>
      </w:r>
      <w:r w:rsidR="00292C2B">
        <w:rPr>
          <w:lang w:val="en-GB"/>
        </w:rPr>
        <w:t xml:space="preserve"> </w:t>
      </w:r>
      <w:r w:rsidR="00292C2B" w:rsidRPr="00292C2B">
        <w:rPr>
          <w:lang w:val="en-GB"/>
        </w:rPr>
        <w:t xml:space="preserve">to </w:t>
      </w:r>
      <w:proofErr w:type="spellStart"/>
      <w:r w:rsidR="00292C2B" w:rsidRPr="00292C2B">
        <w:rPr>
          <w:lang w:val="en-GB"/>
        </w:rPr>
        <w:t>favor</w:t>
      </w:r>
      <w:proofErr w:type="spellEnd"/>
      <w:r w:rsidR="00292C2B" w:rsidRPr="00292C2B">
        <w:rPr>
          <w:lang w:val="en-GB"/>
        </w:rPr>
        <w:t xml:space="preserve"> or </w:t>
      </w:r>
      <w:proofErr w:type="spellStart"/>
      <w:r w:rsidR="00292C2B" w:rsidRPr="00292C2B">
        <w:rPr>
          <w:lang w:val="en-GB"/>
        </w:rPr>
        <w:t>disfavor</w:t>
      </w:r>
      <w:proofErr w:type="spellEnd"/>
      <w:r w:rsidR="00292C2B" w:rsidRPr="00292C2B">
        <w:rPr>
          <w:lang w:val="en-GB"/>
        </w:rPr>
        <w:t xml:space="preserve"> acid/</w:t>
      </w:r>
      <w:r w:rsidR="00292C2B">
        <w:rPr>
          <w:lang w:val="en-GB"/>
        </w:rPr>
        <w:t>basis catalysis (</w:t>
      </w:r>
      <w:proofErr w:type="spellStart"/>
      <w:r w:rsidR="00292C2B" w:rsidRPr="00CD4E94">
        <w:rPr>
          <w:lang w:val="en-GB"/>
        </w:rPr>
        <w:t>Cantero</w:t>
      </w:r>
      <w:proofErr w:type="spellEnd"/>
      <w:r w:rsidR="00C04224" w:rsidRPr="00CD4E94">
        <w:rPr>
          <w:lang w:val="en-GB"/>
        </w:rPr>
        <w:t xml:space="preserve"> et al.,</w:t>
      </w:r>
      <w:r w:rsidR="00292C2B" w:rsidRPr="00CD4E94">
        <w:rPr>
          <w:lang w:val="en-GB"/>
        </w:rPr>
        <w:t xml:space="preserve"> 2015),</w:t>
      </w:r>
      <w:r w:rsidR="00292C2B">
        <w:rPr>
          <w:lang w:val="en-GB"/>
        </w:rPr>
        <w:t xml:space="preserve"> avoiding the use </w:t>
      </w:r>
      <w:r w:rsidR="00292C2B" w:rsidRPr="00292C2B">
        <w:rPr>
          <w:lang w:val="en-GB"/>
        </w:rPr>
        <w:t>of corrosive acids such as sulphuric and hydrochloric</w:t>
      </w:r>
      <w:r w:rsidR="00292C2B">
        <w:rPr>
          <w:lang w:val="en-GB"/>
        </w:rPr>
        <w:t xml:space="preserve"> </w:t>
      </w:r>
      <w:r w:rsidR="00292C2B" w:rsidRPr="00292C2B">
        <w:rPr>
          <w:lang w:val="en-GB"/>
        </w:rPr>
        <w:t>acid</w:t>
      </w:r>
      <w:r w:rsidR="00292C2B">
        <w:rPr>
          <w:lang w:val="en-GB"/>
        </w:rPr>
        <w:t>s</w:t>
      </w:r>
      <w:r w:rsidR="00292C2B" w:rsidRPr="00292C2B">
        <w:rPr>
          <w:lang w:val="en-GB"/>
        </w:rPr>
        <w:t xml:space="preserve"> commonly employed in the conventional acid catalysed hydrolysis</w:t>
      </w:r>
      <w:r w:rsidR="00292C2B">
        <w:rPr>
          <w:lang w:val="en-GB"/>
        </w:rPr>
        <w:t xml:space="preserve">. </w:t>
      </w:r>
      <w:r w:rsidR="00292C2B" w:rsidRPr="00A11FCD">
        <w:t xml:space="preserve">Due to the properties of subcritical/supercritical fluids, water can easily penetrate biomass structures to </w:t>
      </w:r>
      <w:r w:rsidR="00A11FCD" w:rsidRPr="00A11FCD">
        <w:t>hydrolyze</w:t>
      </w:r>
      <w:r w:rsidR="00292C2B" w:rsidRPr="00A11FCD">
        <w:t xml:space="preserve"> cellulose and hemicellulos</w:t>
      </w:r>
      <w:r w:rsidR="002E65A4" w:rsidRPr="00A11FCD">
        <w:t>e</w:t>
      </w:r>
      <w:r w:rsidR="0045531B" w:rsidRPr="00A11FCD">
        <w:t xml:space="preserve"> (</w:t>
      </w:r>
      <w:proofErr w:type="spellStart"/>
      <w:r w:rsidR="0045531B" w:rsidRPr="00A11FCD">
        <w:t>Cocero</w:t>
      </w:r>
      <w:proofErr w:type="spellEnd"/>
      <w:r w:rsidR="0045531B" w:rsidRPr="00A11FCD">
        <w:t xml:space="preserve"> et al., 2018)</w:t>
      </w:r>
      <w:r w:rsidR="00A11FCD" w:rsidRPr="00A11FCD">
        <w:t>.</w:t>
      </w:r>
      <w:r w:rsidR="00865712" w:rsidRPr="00865712">
        <w:t xml:space="preserve"> </w:t>
      </w:r>
      <w:r w:rsidR="00865712" w:rsidRPr="00813DB1">
        <w:rPr>
          <w:lang w:val="en-GB"/>
        </w:rPr>
        <w:t>Hydrolysis in subcritical and Supercritical water has been conducted through reactor configurations for the batch, semi-continuous and continuous</w:t>
      </w:r>
      <w:r w:rsidR="00865712">
        <w:rPr>
          <w:lang w:val="en-GB"/>
        </w:rPr>
        <w:t>,</w:t>
      </w:r>
      <w:r w:rsidR="000165D6">
        <w:rPr>
          <w:lang w:val="en-GB"/>
        </w:rPr>
        <w:t xml:space="preserve"> as </w:t>
      </w:r>
      <w:r w:rsidR="000165D6" w:rsidRPr="00CD4E94">
        <w:rPr>
          <w:lang w:val="en-GB"/>
        </w:rPr>
        <w:t>reviewed by Prado</w:t>
      </w:r>
      <w:r w:rsidR="00BF0697" w:rsidRPr="00CD4E94">
        <w:rPr>
          <w:lang w:val="en-GB"/>
        </w:rPr>
        <w:t xml:space="preserve"> </w:t>
      </w:r>
      <w:r w:rsidR="00016987" w:rsidRPr="00CD4E94">
        <w:t xml:space="preserve">&amp; </w:t>
      </w:r>
      <w:proofErr w:type="spellStart"/>
      <w:r w:rsidR="00BF0697" w:rsidRPr="00CD4E94">
        <w:rPr>
          <w:lang w:val="en-GB"/>
        </w:rPr>
        <w:t>coworkers</w:t>
      </w:r>
      <w:proofErr w:type="spellEnd"/>
      <w:r w:rsidR="00BF0697" w:rsidRPr="00CD4E94">
        <w:rPr>
          <w:lang w:val="en-GB"/>
        </w:rPr>
        <w:t xml:space="preserve"> </w:t>
      </w:r>
      <w:r w:rsidR="000165D6" w:rsidRPr="00CD4E94">
        <w:rPr>
          <w:lang w:val="en-GB"/>
        </w:rPr>
        <w:t>(</w:t>
      </w:r>
      <w:r w:rsidR="00BF0697" w:rsidRPr="00CD4E94">
        <w:rPr>
          <w:lang w:val="en-GB"/>
        </w:rPr>
        <w:t>2015</w:t>
      </w:r>
      <w:r w:rsidR="000165D6" w:rsidRPr="00CD4E94">
        <w:rPr>
          <w:lang w:val="en-GB"/>
        </w:rPr>
        <w:t>).</w:t>
      </w:r>
      <w:r w:rsidR="00865712" w:rsidRPr="00865712">
        <w:t xml:space="preserve"> </w:t>
      </w:r>
      <w:proofErr w:type="spellStart"/>
      <w:r w:rsidR="00865712" w:rsidRPr="00865712">
        <w:rPr>
          <w:lang w:val="en-GB"/>
        </w:rPr>
        <w:t>Semibatch</w:t>
      </w:r>
      <w:proofErr w:type="spellEnd"/>
      <w:r w:rsidR="00865712" w:rsidRPr="00865712">
        <w:rPr>
          <w:lang w:val="en-GB"/>
        </w:rPr>
        <w:t xml:space="preserve"> and continuous mode operation data can be transferred to industrial-scale reactors</w:t>
      </w:r>
      <w:r w:rsidR="00D6113F" w:rsidRPr="00CD4E94">
        <w:rPr>
          <w:lang w:val="en-GB"/>
        </w:rPr>
        <w:t xml:space="preserve"> </w:t>
      </w:r>
      <w:r w:rsidR="005769A2" w:rsidRPr="00CD4E94">
        <w:rPr>
          <w:lang w:val="en-GB"/>
        </w:rPr>
        <w:t>(</w:t>
      </w:r>
      <w:r w:rsidR="005769A2" w:rsidRPr="00CD4E94">
        <w:t>Schacht et al., 2008</w:t>
      </w:r>
      <w:r w:rsidR="005769A2" w:rsidRPr="00CD4E94">
        <w:rPr>
          <w:lang w:val="en-GB"/>
        </w:rPr>
        <w:t>)</w:t>
      </w:r>
      <w:r w:rsidR="00D6113F" w:rsidRPr="00CD4E94">
        <w:rPr>
          <w:lang w:val="en-GB"/>
        </w:rPr>
        <w:t xml:space="preserve">.  </w:t>
      </w:r>
      <w:r w:rsidR="002E65A4" w:rsidRPr="00CD4E94">
        <w:rPr>
          <w:lang w:val="en-GB"/>
        </w:rPr>
        <w:t>Accordingly</w:t>
      </w:r>
      <w:r w:rsidR="002E65A4" w:rsidRPr="002E65A4">
        <w:rPr>
          <w:lang w:val="en-GB"/>
        </w:rPr>
        <w:t>, in this w</w:t>
      </w:r>
      <w:proofErr w:type="spellStart"/>
      <w:r w:rsidR="002E65A4">
        <w:t>ork</w:t>
      </w:r>
      <w:proofErr w:type="spellEnd"/>
      <w:r w:rsidR="002E65A4">
        <w:t xml:space="preserve"> we report on the production </w:t>
      </w:r>
      <w:r w:rsidR="002E65A4" w:rsidRPr="002E65A4">
        <w:rPr>
          <w:lang w:val="en-GB"/>
        </w:rPr>
        <w:t xml:space="preserve">of </w:t>
      </w:r>
      <w:r w:rsidR="00813DB1">
        <w:rPr>
          <w:lang w:val="en-GB"/>
        </w:rPr>
        <w:t xml:space="preserve">total </w:t>
      </w:r>
      <w:r w:rsidR="002E65A4" w:rsidRPr="002E65A4">
        <w:rPr>
          <w:lang w:val="en-GB"/>
        </w:rPr>
        <w:t>reducing sugars</w:t>
      </w:r>
      <w:r w:rsidR="00813DB1">
        <w:rPr>
          <w:lang w:val="en-GB"/>
        </w:rPr>
        <w:t xml:space="preserve"> (TRS)</w:t>
      </w:r>
      <w:r w:rsidR="002E65A4" w:rsidRPr="002E65A4">
        <w:rPr>
          <w:lang w:val="en-GB"/>
        </w:rPr>
        <w:t xml:space="preserve"> by subcritical water </w:t>
      </w:r>
      <w:r w:rsidR="00D6113F">
        <w:rPr>
          <w:lang w:val="en-GB"/>
        </w:rPr>
        <w:t>hydrolysis</w:t>
      </w:r>
      <w:r w:rsidR="002E65A4" w:rsidRPr="002E65A4">
        <w:rPr>
          <w:lang w:val="en-GB"/>
        </w:rPr>
        <w:t xml:space="preserve"> of</w:t>
      </w:r>
      <w:r w:rsidR="00D6113F">
        <w:rPr>
          <w:lang w:val="en-GB"/>
        </w:rPr>
        <w:t xml:space="preserve"> </w:t>
      </w:r>
      <w:r w:rsidR="00D6113F">
        <w:t>POCEL in a continuous mode operation</w:t>
      </w:r>
      <w:r w:rsidR="00D6113F">
        <w:rPr>
          <w:lang w:val="en-GB"/>
        </w:rPr>
        <w:t xml:space="preserve"> in order to </w:t>
      </w:r>
      <w:r w:rsidR="00EF314B">
        <w:rPr>
          <w:lang w:val="en-GB"/>
        </w:rPr>
        <w:t>assess its usability as a raw material for biofuels or chemicals production.</w:t>
      </w:r>
    </w:p>
    <w:p w:rsidR="00600535" w:rsidRPr="00B57B36" w:rsidRDefault="00EF314B" w:rsidP="00600535">
      <w:pPr>
        <w:pStyle w:val="CETHeading1"/>
        <w:tabs>
          <w:tab w:val="clear" w:pos="360"/>
          <w:tab w:val="right" w:pos="7100"/>
        </w:tabs>
        <w:jc w:val="both"/>
        <w:rPr>
          <w:lang w:val="en-GB"/>
        </w:rPr>
      </w:pPr>
      <w:r>
        <w:rPr>
          <w:lang w:val="en-GB"/>
        </w:rPr>
        <w:t>Materials and methods</w:t>
      </w:r>
    </w:p>
    <w:p w:rsidR="00600535" w:rsidRDefault="00EF314B" w:rsidP="00FA5F5F">
      <w:pPr>
        <w:pStyle w:val="CETheadingx"/>
      </w:pPr>
      <w:r>
        <w:t>Polyacrylate-cellulose (POCEL</w:t>
      </w:r>
      <w:r>
        <w:rPr>
          <w:lang w:val="es-CO"/>
        </w:rPr>
        <w:t>)</w:t>
      </w:r>
      <w:r>
        <w:t xml:space="preserve"> dust</w:t>
      </w:r>
    </w:p>
    <w:p w:rsidR="00E14B2F" w:rsidRDefault="000561D0" w:rsidP="00E14B2F">
      <w:pPr>
        <w:pStyle w:val="CETBodytext"/>
        <w:rPr>
          <w:lang w:val="en-GB"/>
        </w:rPr>
      </w:pPr>
      <w:r>
        <w:t>POCEL</w:t>
      </w:r>
      <w:r w:rsidR="00813DB1">
        <w:t xml:space="preserve"> dust </w:t>
      </w:r>
      <w:r>
        <w:t>was provided by a diaper industry located near Bogotá</w:t>
      </w:r>
      <w:r w:rsidR="00813DB1">
        <w:t xml:space="preserve"> and the reported cellulose and polyacrylate composition as used in diaper processing was 60% and 40% respectively</w:t>
      </w:r>
      <w:r>
        <w:t>. In this particular industry, POCEL is a waste problem and its proper handling and disposition is carried out by incineration with additional costs. POCEL physical aspect is shown in Figure 1a</w:t>
      </w:r>
      <w:r w:rsidR="00E14B2F">
        <w:t xml:space="preserve">. It is a compacted dust which can be easily disintegrated. </w:t>
      </w:r>
      <w:r w:rsidR="00E14B2F">
        <w:rPr>
          <w:lang w:val="en-GB"/>
        </w:rPr>
        <w:t>POCEL was prepared as a water suspension 1.2 wt</w:t>
      </w:r>
      <w:r w:rsidR="002B3286">
        <w:rPr>
          <w:lang w:val="en-GB"/>
        </w:rPr>
        <w:t>. %</w:t>
      </w:r>
      <w:r w:rsidR="00E14B2F">
        <w:rPr>
          <w:lang w:val="en-GB"/>
        </w:rPr>
        <w:t xml:space="preserve"> by adding a few drops of hydrochloric acid in order to avoid water jellification caused by polyacrylate super adsorbent as shown in Figure 1b. Higher POCEL concentrations could not be prepared because of the resulting high viscosity which makes its handling difficult. </w:t>
      </w:r>
    </w:p>
    <w:p w:rsidR="000561D0" w:rsidRPr="000561D0" w:rsidRDefault="000561D0" w:rsidP="000561D0">
      <w:pPr>
        <w:pStyle w:val="CETBodytext"/>
      </w:pPr>
    </w:p>
    <w:p w:rsidR="00346760" w:rsidRDefault="00E14B2F" w:rsidP="00346760">
      <w:pPr>
        <w:pStyle w:val="CETBodytext"/>
        <w:jc w:val="left"/>
        <w:rPr>
          <w:rFonts w:ascii="Calibri" w:eastAsia="Calibri" w:hAnsi="Calibri" w:cs="Calibri"/>
          <w:noProof/>
          <w:sz w:val="22"/>
          <w:szCs w:val="22"/>
          <w:lang w:eastAsia="es-CO"/>
        </w:rPr>
      </w:pPr>
      <w:r>
        <w:rPr>
          <w:rFonts w:ascii="Calibri" w:eastAsia="Calibri" w:hAnsi="Calibri" w:cs="Calibri"/>
          <w:noProof/>
          <w:sz w:val="22"/>
          <w:szCs w:val="22"/>
          <w:lang w:val="es-CO" w:eastAsia="es-CO"/>
        </w:rPr>
        <w:drawing>
          <wp:inline distT="0" distB="0" distL="0" distR="0" wp14:anchorId="0F72A468" wp14:editId="3C19D58A">
            <wp:extent cx="2238375" cy="1255473"/>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375" cy="1255473"/>
                    </a:xfrm>
                    <a:prstGeom prst="rect">
                      <a:avLst/>
                    </a:prstGeom>
                    <a:noFill/>
                    <a:ln>
                      <a:noFill/>
                    </a:ln>
                  </pic:spPr>
                </pic:pic>
              </a:graphicData>
            </a:graphic>
          </wp:inline>
        </w:drawing>
      </w:r>
      <w:r w:rsidR="000561D0">
        <w:rPr>
          <w:rFonts w:ascii="Calibri" w:eastAsia="Calibri" w:hAnsi="Calibri" w:cs="Calibri"/>
          <w:noProof/>
          <w:sz w:val="22"/>
          <w:szCs w:val="22"/>
          <w:lang w:eastAsia="es-CO"/>
        </w:rPr>
        <w:t xml:space="preserve">         </w:t>
      </w:r>
      <w:r>
        <w:rPr>
          <w:rFonts w:ascii="Calibri" w:eastAsia="Calibri" w:hAnsi="Calibri" w:cs="Calibri"/>
          <w:noProof/>
          <w:sz w:val="22"/>
          <w:szCs w:val="22"/>
          <w:lang w:val="es-CO" w:eastAsia="es-CO"/>
        </w:rPr>
        <w:drawing>
          <wp:inline distT="0" distB="0" distL="0" distR="0" wp14:anchorId="4621EBF8" wp14:editId="1E6664F5">
            <wp:extent cx="2228754" cy="1247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6147" cy="1263111"/>
                    </a:xfrm>
                    <a:prstGeom prst="rect">
                      <a:avLst/>
                    </a:prstGeom>
                    <a:noFill/>
                    <a:ln>
                      <a:noFill/>
                    </a:ln>
                  </pic:spPr>
                </pic:pic>
              </a:graphicData>
            </a:graphic>
          </wp:inline>
        </w:drawing>
      </w:r>
    </w:p>
    <w:p w:rsidR="000561D0" w:rsidRPr="00346760" w:rsidRDefault="00E14B2F" w:rsidP="00346760">
      <w:pPr>
        <w:pStyle w:val="CETBodytext"/>
        <w:jc w:val="left"/>
        <w:rPr>
          <w:lang w:val="en-GB"/>
        </w:rPr>
      </w:pPr>
      <w:r>
        <w:t xml:space="preserve">Figure </w:t>
      </w:r>
      <w:r w:rsidR="00D2490F">
        <w:t>1: Polyacrylate</w:t>
      </w:r>
      <w:r>
        <w:t xml:space="preserve">-cellulose dust (POCEL) a) Physical aspect. b) water suspension 1.2 wt.%  </w:t>
      </w:r>
    </w:p>
    <w:p w:rsidR="00600535" w:rsidRDefault="00E14B2F" w:rsidP="00A3211F">
      <w:pPr>
        <w:pStyle w:val="CETheadingx"/>
        <w:jc w:val="both"/>
      </w:pPr>
      <w:r>
        <w:t>Experimental set-up</w:t>
      </w:r>
    </w:p>
    <w:p w:rsidR="007D6D15" w:rsidRDefault="00A24D57" w:rsidP="00050E72">
      <w:pPr>
        <w:tabs>
          <w:tab w:val="clear" w:pos="7100"/>
        </w:tabs>
        <w:autoSpaceDE w:val="0"/>
        <w:autoSpaceDN w:val="0"/>
        <w:adjustRightInd w:val="0"/>
        <w:spacing w:line="240" w:lineRule="auto"/>
      </w:pPr>
      <w:r w:rsidRPr="00486154">
        <w:t xml:space="preserve">The </w:t>
      </w:r>
      <w:r w:rsidR="00813DB1" w:rsidRPr="00486154">
        <w:t xml:space="preserve">scheme of the continuous lab scale </w:t>
      </w:r>
      <w:r w:rsidRPr="00486154">
        <w:t>subcritical hydrolysis unit is shown in Figure 2</w:t>
      </w:r>
      <w:r w:rsidR="003E71A5" w:rsidRPr="00486154">
        <w:t xml:space="preserve">. </w:t>
      </w:r>
      <w:r w:rsidRPr="00486154">
        <w:t>It consisted of deionized water supply tanks and POCEL suspension</w:t>
      </w:r>
      <w:r w:rsidR="00A4070C" w:rsidRPr="00486154">
        <w:t>, a Williams Milton Roy (PA, USA)</w:t>
      </w:r>
      <w:r w:rsidR="00695DE3" w:rsidRPr="00486154">
        <w:t xml:space="preserve"> </w:t>
      </w:r>
      <w:r w:rsidR="00A4070C" w:rsidRPr="00486154">
        <w:t>pneumatic high pressure pump model CP250V225,</w:t>
      </w:r>
      <w:r w:rsidR="00695DE3" w:rsidRPr="00486154">
        <w:t xml:space="preserve"> two POCEL suspension reservoirs made of </w:t>
      </w:r>
      <w:r w:rsidR="00A3211F" w:rsidRPr="00486154">
        <w:t xml:space="preserve">1/2 in O.D. </w:t>
      </w:r>
      <w:r w:rsidR="00695DE3" w:rsidRPr="00486154">
        <w:t xml:space="preserve">stainless steel tubing 3 m long placed in </w:t>
      </w:r>
      <w:r w:rsidR="00A3211F" w:rsidRPr="00486154">
        <w:t>parallel</w:t>
      </w:r>
      <w:r w:rsidR="00695DE3" w:rsidRPr="00486154">
        <w:t>,</w:t>
      </w:r>
      <w:r w:rsidR="00A4070C" w:rsidRPr="00486154">
        <w:t xml:space="preserve"> a</w:t>
      </w:r>
      <w:r w:rsidR="00695DE3" w:rsidRPr="00486154">
        <w:t xml:space="preserve"> </w:t>
      </w:r>
      <w:r w:rsidR="00A4070C" w:rsidRPr="00486154">
        <w:t>preheater made of 316SS Swagelok tubing</w:t>
      </w:r>
      <w:r w:rsidR="00A4070C" w:rsidRPr="00695DE3">
        <w:t xml:space="preserve"> 1/8 in O.D</w:t>
      </w:r>
      <w:r w:rsidR="00695DE3" w:rsidRPr="00695DE3">
        <w:t xml:space="preserve"> </w:t>
      </w:r>
      <w:r w:rsidR="00A4070C" w:rsidRPr="00695DE3">
        <w:t>(3.175 mm), length of 3 m coiled tubing and electrical</w:t>
      </w:r>
      <w:r w:rsidR="00695DE3" w:rsidRPr="00695DE3">
        <w:t xml:space="preserve"> </w:t>
      </w:r>
      <w:r w:rsidR="00A4070C" w:rsidRPr="00695DE3">
        <w:t>resistances, an insulated tubular reactor</w:t>
      </w:r>
      <w:r w:rsidR="00050E72">
        <w:t xml:space="preserve"> </w:t>
      </w:r>
      <w:r w:rsidR="00050E72" w:rsidRPr="00050E72">
        <w:t xml:space="preserve">made of 316SS Swagelok tubing 0.5 in O.D (1.27cm), 0.065 in (0.17 cm) wall thickness, length of 100 cm </w:t>
      </w:r>
      <w:r w:rsidR="00050E72">
        <w:t>and volume of 67.9</w:t>
      </w:r>
      <w:r w:rsidR="00050E72" w:rsidRPr="00050E72">
        <w:t xml:space="preserve"> cm</w:t>
      </w:r>
      <w:r w:rsidR="00050E72" w:rsidRPr="00050E72">
        <w:rPr>
          <w:vertAlign w:val="superscript"/>
        </w:rPr>
        <w:t>3</w:t>
      </w:r>
      <w:r w:rsidR="00A4070C" w:rsidRPr="00695DE3">
        <w:t>, a concentric tube heat exchanger with water as</w:t>
      </w:r>
      <w:r w:rsidR="00A3211F">
        <w:t xml:space="preserve"> </w:t>
      </w:r>
      <w:r w:rsidR="00A4070C" w:rsidRPr="00695DE3">
        <w:t xml:space="preserve">cooling media, a needle depressurization </w:t>
      </w:r>
      <w:r w:rsidR="00695DE3" w:rsidRPr="00695DE3">
        <w:t xml:space="preserve">valve </w:t>
      </w:r>
      <w:r w:rsidR="00A4070C" w:rsidRPr="00695DE3">
        <w:t>model SS-1RS4</w:t>
      </w:r>
      <w:r w:rsidR="00695DE3" w:rsidRPr="00695DE3">
        <w:t xml:space="preserve"> </w:t>
      </w:r>
      <w:r w:rsidR="00A4070C" w:rsidRPr="00695DE3">
        <w:t>(Swagelok, Barranquilla Colombia) valve and sample</w:t>
      </w:r>
      <w:r w:rsidR="00695DE3" w:rsidRPr="00695DE3">
        <w:t xml:space="preserve"> </w:t>
      </w:r>
      <w:r w:rsidR="00A4070C" w:rsidRPr="00695DE3">
        <w:t>collection recipient, pressure gauges (Ashcroft CT,</w:t>
      </w:r>
      <w:r w:rsidR="00695DE3" w:rsidRPr="00695DE3">
        <w:t xml:space="preserve"> </w:t>
      </w:r>
      <w:r w:rsidR="00A4070C" w:rsidRPr="00695DE3">
        <w:t>USA) and the</w:t>
      </w:r>
      <w:r w:rsidR="00695DE3" w:rsidRPr="00695DE3">
        <w:t>rmocouples, as shown in Figure 2.</w:t>
      </w:r>
      <w:r w:rsidR="00A3211F">
        <w:t xml:space="preserve"> In a typical run, both reservoirs are filled up with POCEL suspensions but only one is feeding the reactor by means of water that flows from the high pressure pump and pushes </w:t>
      </w:r>
      <w:r w:rsidR="00A3211F" w:rsidRPr="007D6D15">
        <w:t xml:space="preserve">the suspension through the system. After a specific time, depending on the water flow </w:t>
      </w:r>
      <w:r w:rsidR="000D5B37" w:rsidRPr="007D6D15">
        <w:t xml:space="preserve">rate, </w:t>
      </w:r>
      <w:r w:rsidR="00813DB1" w:rsidRPr="007D6D15">
        <w:t>high pressure water</w:t>
      </w:r>
      <w:r w:rsidR="00A3211F" w:rsidRPr="007D6D15">
        <w:t xml:space="preserve"> is diverted to the second reservoir while the other</w:t>
      </w:r>
      <w:r w:rsidR="000D5B37" w:rsidRPr="007D6D15">
        <w:t xml:space="preserve"> is</w:t>
      </w:r>
      <w:r w:rsidR="00A3211F" w:rsidRPr="007D6D15">
        <w:t xml:space="preserve"> emptied </w:t>
      </w:r>
      <w:r w:rsidR="000D5B37" w:rsidRPr="007D6D15">
        <w:t>of the water and filled up again with suspension</w:t>
      </w:r>
      <w:r w:rsidR="00A3211F" w:rsidRPr="007D6D15">
        <w:t>. This</w:t>
      </w:r>
      <w:r w:rsidR="00A3211F">
        <w:t xml:space="preserve"> approach avoids passing POCEL suspension through the pump, which can cause </w:t>
      </w:r>
      <w:r w:rsidR="00A3211F">
        <w:lastRenderedPageBreak/>
        <w:t>clogging</w:t>
      </w:r>
      <w:r w:rsidR="003E71A5">
        <w:t xml:space="preserve"> in check valves. </w:t>
      </w:r>
      <w:r w:rsidR="007D6D15">
        <w:t xml:space="preserve">Samples were collected under steady state conditions, which were obtained after at least four residence times in the reactor had passed, and was verified for </w:t>
      </w:r>
      <w:proofErr w:type="gramStart"/>
      <w:r w:rsidR="007D6D15">
        <w:t>an</w:t>
      </w:r>
      <w:proofErr w:type="gramEnd"/>
      <w:r w:rsidR="007D6D15">
        <w:t xml:space="preserve"> steady temperature and pressure and the physical aspect of the effluent.</w:t>
      </w:r>
    </w:p>
    <w:p w:rsidR="003E71A5" w:rsidRDefault="00A4070C" w:rsidP="00346760">
      <w:pPr>
        <w:pStyle w:val="CETBodytext"/>
        <w:jc w:val="left"/>
      </w:pPr>
      <w:r>
        <w:rPr>
          <w:noProof/>
          <w:lang w:val="es-CO" w:eastAsia="es-CO"/>
        </w:rPr>
        <w:drawing>
          <wp:inline distT="0" distB="0" distL="0" distR="0" wp14:anchorId="44790B37" wp14:editId="72B02667">
            <wp:extent cx="5628503" cy="2449264"/>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9975" cy="2462959"/>
                    </a:xfrm>
                    <a:prstGeom prst="rect">
                      <a:avLst/>
                    </a:prstGeom>
                    <a:noFill/>
                    <a:ln>
                      <a:noFill/>
                    </a:ln>
                  </pic:spPr>
                </pic:pic>
              </a:graphicData>
            </a:graphic>
          </wp:inline>
        </w:drawing>
      </w:r>
      <w:r w:rsidR="003E71A5">
        <w:t>Figure 2</w:t>
      </w:r>
      <w:r w:rsidR="00D2490F" w:rsidRPr="007D6D15">
        <w:t>:</w:t>
      </w:r>
      <w:r w:rsidR="003E71A5" w:rsidRPr="007D6D15">
        <w:t xml:space="preserve"> </w:t>
      </w:r>
      <w:r w:rsidR="007D6D15" w:rsidRPr="007D6D15">
        <w:t>Scheme of the continuous lab scale subcritical hydrolysis unit</w:t>
      </w:r>
    </w:p>
    <w:p w:rsidR="003E71A5" w:rsidRPr="00B57B36" w:rsidRDefault="003E71A5" w:rsidP="003E71A5">
      <w:pPr>
        <w:pStyle w:val="CETheadingx"/>
      </w:pPr>
      <w:r>
        <w:t>Analytical methods</w:t>
      </w:r>
    </w:p>
    <w:p w:rsidR="00042935" w:rsidRPr="004A6CC8" w:rsidRDefault="00E7687E" w:rsidP="004A6CC8">
      <w:pPr>
        <w:tabs>
          <w:tab w:val="clear" w:pos="7100"/>
        </w:tabs>
        <w:autoSpaceDE w:val="0"/>
        <w:autoSpaceDN w:val="0"/>
        <w:adjustRightInd w:val="0"/>
        <w:spacing w:line="240" w:lineRule="auto"/>
      </w:pPr>
      <w:r>
        <w:t>The determination of t</w:t>
      </w:r>
      <w:r w:rsidR="0030004F">
        <w:t>otal r</w:t>
      </w:r>
      <w:r w:rsidR="003E71A5" w:rsidRPr="003E71A5">
        <w:t>educing sugars (</w:t>
      </w:r>
      <w:r w:rsidR="0030004F">
        <w:t>T</w:t>
      </w:r>
      <w:r w:rsidR="003E71A5" w:rsidRPr="003E71A5">
        <w:t>RS)</w:t>
      </w:r>
      <w:r>
        <w:t xml:space="preserve"> consisted of the</w:t>
      </w:r>
      <w:r w:rsidR="003E71A5" w:rsidRPr="003E71A5">
        <w:t xml:space="preserve"> measure</w:t>
      </w:r>
      <w:r>
        <w:t>ment</w:t>
      </w:r>
      <w:r w:rsidR="003E71A5" w:rsidRPr="003E71A5">
        <w:t xml:space="preserve"> </w:t>
      </w:r>
      <w:r>
        <w:t>of</w:t>
      </w:r>
      <w:r w:rsidR="003E71A5" w:rsidRPr="003E71A5">
        <w:t xml:space="preserve"> reactor effluent samples by the </w:t>
      </w:r>
      <w:proofErr w:type="spellStart"/>
      <w:r w:rsidR="003E71A5" w:rsidRPr="003E71A5">
        <w:t>dinitrosalicylic</w:t>
      </w:r>
      <w:proofErr w:type="spellEnd"/>
      <w:r w:rsidR="003E71A5" w:rsidRPr="003E71A5">
        <w:t xml:space="preserve"> (DNS) colorimetric method using d-glucose as standard (</w:t>
      </w:r>
      <w:proofErr w:type="spellStart"/>
      <w:r w:rsidR="003E71A5" w:rsidRPr="003E71A5">
        <w:t>Panreac</w:t>
      </w:r>
      <w:proofErr w:type="spellEnd"/>
      <w:r w:rsidR="003E71A5" w:rsidRPr="003E71A5">
        <w:t xml:space="preserve">, Barcelona Spain) </w:t>
      </w:r>
      <w:r w:rsidR="003E71A5" w:rsidRPr="00CD4E94">
        <w:t>(Miller, 1959).</w:t>
      </w:r>
      <w:r w:rsidR="003E71A5" w:rsidRPr="003E71A5">
        <w:t xml:space="preserve"> Briefly, for each ml of hydrolysate sample, 1 ml DNS reagent previously prepared was added, boiled for 15 min, and 1 ml deionized water added afterwards to keep </w:t>
      </w:r>
      <w:r w:rsidR="003E71A5">
        <w:t xml:space="preserve">for 10 min in cold water before </w:t>
      </w:r>
      <w:r w:rsidR="003E71A5" w:rsidRPr="003E71A5">
        <w:t xml:space="preserve">reading the absorbance in a </w:t>
      </w:r>
      <w:proofErr w:type="spellStart"/>
      <w:r w:rsidR="003E71A5" w:rsidRPr="003E71A5">
        <w:t>Macherey</w:t>
      </w:r>
      <w:proofErr w:type="spellEnd"/>
      <w:r w:rsidR="003E71A5" w:rsidRPr="003E71A5">
        <w:t xml:space="preserve">-Nagel </w:t>
      </w:r>
      <w:proofErr w:type="spellStart"/>
      <w:r w:rsidR="003E71A5" w:rsidRPr="003E71A5">
        <w:t>Nanocolor</w:t>
      </w:r>
      <w:proofErr w:type="spellEnd"/>
      <w:r w:rsidR="003E71A5" w:rsidRPr="003E71A5">
        <w:t xml:space="preserve"> 500 D photometer at 540 nm. The concentration of reducing sugars was</w:t>
      </w:r>
      <w:r w:rsidR="003E71A5">
        <w:t xml:space="preserve"> calculated based on a standard </w:t>
      </w:r>
      <w:r w:rsidR="003E71A5" w:rsidRPr="003E71A5">
        <w:t>curve obtained with glucose concentrati</w:t>
      </w:r>
      <w:r w:rsidR="005769A2">
        <w:t>ons of up to 1 mg/ml</w:t>
      </w:r>
      <w:r w:rsidR="003E71A5" w:rsidRPr="003E71A5">
        <w:t>.</w:t>
      </w:r>
      <w:r w:rsidR="00042935">
        <w:t xml:space="preserve"> </w:t>
      </w:r>
      <w:r w:rsidR="004A6CC8">
        <w:t xml:space="preserve"> </w:t>
      </w:r>
      <w:r w:rsidR="0030004F">
        <w:t>T</w:t>
      </w:r>
      <w:r w:rsidR="00042935" w:rsidRPr="004A6CC8">
        <w:t>RS yield was calculated</w:t>
      </w:r>
      <w:r w:rsidR="004A6CC8" w:rsidRPr="004A6CC8">
        <w:t xml:space="preserve"> with the concent</w:t>
      </w:r>
      <w:r w:rsidR="005769A2">
        <w:t xml:space="preserve">ration and </w:t>
      </w:r>
      <w:r w:rsidR="00991A23">
        <w:t>volume collected</w:t>
      </w:r>
      <w:r w:rsidR="005769A2">
        <w:t xml:space="preserve"> to </w:t>
      </w:r>
      <w:r w:rsidR="0030004F">
        <w:t>find</w:t>
      </w:r>
      <w:r w:rsidR="00991A23">
        <w:t xml:space="preserve"> the mass of total r</w:t>
      </w:r>
      <w:r w:rsidR="00991A23" w:rsidRPr="003E71A5">
        <w:t xml:space="preserve">educing sugars </w:t>
      </w:r>
      <w:r w:rsidR="00991A23">
        <w:t>(</w:t>
      </w:r>
      <w:r w:rsidR="0030004F">
        <w:t>T</w:t>
      </w:r>
      <w:r w:rsidR="004A6CC8" w:rsidRPr="004A6CC8">
        <w:t>RS</w:t>
      </w:r>
      <w:r w:rsidR="00991A23">
        <w:t>)</w:t>
      </w:r>
      <w:r w:rsidR="004A6CC8" w:rsidRPr="004A6CC8">
        <w:t xml:space="preserve"> in hydrolysate samples and it was assumed a </w:t>
      </w:r>
      <w:r w:rsidR="005769A2">
        <w:t>60</w:t>
      </w:r>
      <w:r w:rsidR="004A6CC8" w:rsidRPr="004A6CC8">
        <w:t xml:space="preserve"> wt. cellulose composition in POCEL to approach total cellulose mass fed to the system.</w:t>
      </w:r>
    </w:p>
    <w:p w:rsidR="00714BFD" w:rsidRDefault="00714BFD" w:rsidP="00714BFD">
      <w:pPr>
        <w:pStyle w:val="CETHeading1"/>
        <w:rPr>
          <w:lang w:val="en-GB"/>
        </w:rPr>
      </w:pPr>
      <w:r>
        <w:rPr>
          <w:lang w:val="en-GB"/>
        </w:rPr>
        <w:t>Results and discussion</w:t>
      </w:r>
    </w:p>
    <w:p w:rsidR="00097D12" w:rsidRPr="00A42193" w:rsidRDefault="00097D12" w:rsidP="00185D0F">
      <w:pPr>
        <w:tabs>
          <w:tab w:val="clear" w:pos="7100"/>
        </w:tabs>
        <w:autoSpaceDE w:val="0"/>
        <w:autoSpaceDN w:val="0"/>
        <w:adjustRightInd w:val="0"/>
      </w:pPr>
      <w:r w:rsidRPr="00BE11DE">
        <w:t xml:space="preserve">Figure 3 shows the physical appearance of </w:t>
      </w:r>
      <w:r w:rsidR="00CD1138" w:rsidRPr="00BE11DE">
        <w:t xml:space="preserve">POCEL </w:t>
      </w:r>
      <w:r w:rsidRPr="00BE11DE">
        <w:t>hydrolysate samples obtained a</w:t>
      </w:r>
      <w:r w:rsidR="0011439E">
        <w:t xml:space="preserve">t different reaction conditions, which were selected based on preliminary experimental studies that showed </w:t>
      </w:r>
      <w:r w:rsidR="00346760">
        <w:t xml:space="preserve">hydrolysis </w:t>
      </w:r>
      <w:r w:rsidR="0011439E">
        <w:t>experiments carried out at temperatures lower than 350 °C did not p</w:t>
      </w:r>
      <w:r w:rsidR="00346760">
        <w:t xml:space="preserve">roceed considerably. </w:t>
      </w:r>
      <w:r w:rsidR="00916944" w:rsidRPr="00BE11DE">
        <w:t>System pressure was kept constant at 2000 psi</w:t>
      </w:r>
      <w:r w:rsidR="0030004F" w:rsidRPr="00BE11DE">
        <w:t>.</w:t>
      </w:r>
      <w:r w:rsidRPr="00BE11DE">
        <w:t xml:space="preserve"> A brownish </w:t>
      </w:r>
      <w:proofErr w:type="spellStart"/>
      <w:r w:rsidRPr="00BE11DE">
        <w:t>color</w:t>
      </w:r>
      <w:proofErr w:type="spellEnd"/>
      <w:r w:rsidR="00A036F8" w:rsidRPr="00BE11DE">
        <w:t xml:space="preserve"> and pleasant sweet scent indicate</w:t>
      </w:r>
      <w:r w:rsidRPr="00BE11DE">
        <w:t xml:space="preserve"> a high total reducing sugar (TRS) concentration</w:t>
      </w:r>
      <w:r w:rsidR="00A036F8" w:rsidRPr="00BE11DE">
        <w:t xml:space="preserve"> in hydrolysate samples.</w:t>
      </w:r>
      <w:r w:rsidR="00916944" w:rsidRPr="00BE11DE">
        <w:t xml:space="preserve"> The darker the brown </w:t>
      </w:r>
      <w:proofErr w:type="spellStart"/>
      <w:r w:rsidR="00916944" w:rsidRPr="00BE11DE">
        <w:t>color</w:t>
      </w:r>
      <w:proofErr w:type="spellEnd"/>
      <w:r w:rsidR="00916944" w:rsidRPr="00BE11DE">
        <w:t xml:space="preserve"> the higher the measured absorbance or </w:t>
      </w:r>
      <w:r w:rsidR="0030004F" w:rsidRPr="00BE11DE">
        <w:t>T</w:t>
      </w:r>
      <w:r w:rsidR="00916944" w:rsidRPr="00BE11DE">
        <w:t>RS concentration in the obtained hydrolysate at that specific reaction time</w:t>
      </w:r>
      <w:r w:rsidR="00BE11DE">
        <w:t>, as in s</w:t>
      </w:r>
      <w:r w:rsidR="00671052" w:rsidRPr="00BE11DE">
        <w:t>ample 3</w:t>
      </w:r>
      <w:r w:rsidR="00BE11DE">
        <w:t xml:space="preserve"> (</w:t>
      </w:r>
      <w:r w:rsidR="00671052" w:rsidRPr="00BE11DE">
        <w:t>a</w:t>
      </w:r>
      <w:r w:rsidR="00BE11DE">
        <w:t>)</w:t>
      </w:r>
      <w:r w:rsidR="00BE11DE" w:rsidRPr="00BE11DE">
        <w:t>. A lighter</w:t>
      </w:r>
      <w:r w:rsidR="00BE11DE">
        <w:t xml:space="preserve"> brown</w:t>
      </w:r>
      <w:r w:rsidR="00BE11DE" w:rsidRPr="00BE11DE">
        <w:t xml:space="preserve"> </w:t>
      </w:r>
      <w:proofErr w:type="spellStart"/>
      <w:r w:rsidR="00BE11DE" w:rsidRPr="00BE11DE">
        <w:t>color</w:t>
      </w:r>
      <w:proofErr w:type="spellEnd"/>
      <w:r w:rsidR="00BE11DE" w:rsidRPr="00BE11DE">
        <w:t>, as sh</w:t>
      </w:r>
      <w:r w:rsidR="00BE11DE">
        <w:t>o</w:t>
      </w:r>
      <w:r w:rsidR="00BE11DE" w:rsidRPr="00BE11DE">
        <w:t xml:space="preserve">wn in samples </w:t>
      </w:r>
      <w:r w:rsidR="00BE11DE">
        <w:t>(</w:t>
      </w:r>
      <w:r w:rsidR="00BE11DE" w:rsidRPr="00BE11DE">
        <w:t>b</w:t>
      </w:r>
      <w:r w:rsidR="00BE11DE">
        <w:t>)</w:t>
      </w:r>
      <w:r w:rsidR="00BE11DE" w:rsidRPr="00BE11DE">
        <w:t xml:space="preserve">, </w:t>
      </w:r>
      <w:r w:rsidR="00BE11DE">
        <w:t>(</w:t>
      </w:r>
      <w:r w:rsidR="00BE11DE" w:rsidRPr="00BE11DE">
        <w:t>c</w:t>
      </w:r>
      <w:r w:rsidR="00BE11DE">
        <w:t>)</w:t>
      </w:r>
      <w:r w:rsidR="00BE11DE" w:rsidRPr="00BE11DE">
        <w:t xml:space="preserve">, and </w:t>
      </w:r>
      <w:r w:rsidR="00BE11DE">
        <w:t>(</w:t>
      </w:r>
      <w:r w:rsidR="00BE11DE" w:rsidRPr="00BE11DE">
        <w:t>d</w:t>
      </w:r>
      <w:r w:rsidR="00BE11DE">
        <w:t>)</w:t>
      </w:r>
      <w:r w:rsidR="00BE11DE" w:rsidRPr="00BE11DE">
        <w:t xml:space="preserve">,  indicates a lower TRS concentration as a result of </w:t>
      </w:r>
      <w:r w:rsidR="00BE11DE">
        <w:t xml:space="preserve">subsequent </w:t>
      </w:r>
      <w:r w:rsidR="00BE11DE" w:rsidRPr="00BE11DE">
        <w:t>biomass exhaustion in the reactor</w:t>
      </w:r>
      <w:r w:rsidR="00BE11DE">
        <w:t>,</w:t>
      </w:r>
      <w:r w:rsidR="00BE11DE" w:rsidRPr="00BE11DE">
        <w:t xml:space="preserve"> until effluent becomes transparent again as in sample </w:t>
      </w:r>
      <w:r w:rsidR="00A42193">
        <w:t>(</w:t>
      </w:r>
      <w:r w:rsidR="00BE11DE" w:rsidRPr="00BE11DE">
        <w:t>e</w:t>
      </w:r>
      <w:r w:rsidR="00A42193">
        <w:t>)</w:t>
      </w:r>
      <w:r w:rsidR="00BE11DE" w:rsidRPr="00BE11DE">
        <w:t>, which is practically water and indicates the end of hydrolysis.</w:t>
      </w:r>
      <w:r w:rsidR="00A036F8">
        <w:t xml:space="preserve"> </w:t>
      </w:r>
      <w:r w:rsidR="00A036F8" w:rsidRPr="00A42193">
        <w:rPr>
          <w:lang w:val="en-US"/>
        </w:rPr>
        <w:t xml:space="preserve">Table 1 summarizes continuous hydrolysis experimental conditions and obtained TRS </w:t>
      </w:r>
      <w:r w:rsidR="00916944" w:rsidRPr="00A42193">
        <w:rPr>
          <w:lang w:val="en-US"/>
        </w:rPr>
        <w:t>concentration and yield</w:t>
      </w:r>
      <w:r w:rsidR="00A42193">
        <w:rPr>
          <w:lang w:val="en-US"/>
        </w:rPr>
        <w:t>. Average TRS</w:t>
      </w:r>
      <w:r w:rsidR="00916944" w:rsidRPr="00A42193">
        <w:rPr>
          <w:lang w:val="en-US"/>
        </w:rPr>
        <w:t xml:space="preserve"> </w:t>
      </w:r>
      <w:r w:rsidR="005C04C6" w:rsidRPr="00A42193">
        <w:t xml:space="preserve">was taken as the average of at least four consecutive samples taken under </w:t>
      </w:r>
      <w:r w:rsidR="00A42193" w:rsidRPr="00A42193">
        <w:t xml:space="preserve">steady state </w:t>
      </w:r>
      <w:r w:rsidR="005C04C6" w:rsidRPr="00A42193">
        <w:t>operation conditions</w:t>
      </w:r>
      <w:r w:rsidR="00185D0F" w:rsidRPr="00A42193">
        <w:t>.</w:t>
      </w:r>
      <w:r w:rsidR="00916944" w:rsidRPr="00A42193">
        <w:t xml:space="preserve"> </w:t>
      </w:r>
      <w:r w:rsidR="0011439E">
        <w:t xml:space="preserve">STDV is the standard deviation. </w:t>
      </w:r>
      <w:r w:rsidR="00F84AE9" w:rsidRPr="00A42193">
        <w:t>Since POCEL is comprised by mostly cellulose, it can be assumed that TRS concentration is equivalent</w:t>
      </w:r>
      <w:r w:rsidR="00F84AE9">
        <w:t xml:space="preserve"> to glucose concentration</w:t>
      </w:r>
      <w:r w:rsidR="00916944">
        <w:t xml:space="preserve"> or </w:t>
      </w:r>
      <w:r w:rsidR="00916944" w:rsidRPr="00A42193">
        <w:t>fermentable sugars concentration, since pentoses obtained from hemicellulose</w:t>
      </w:r>
      <w:r w:rsidR="0030004F" w:rsidRPr="00A42193">
        <w:t>, which</w:t>
      </w:r>
      <w:r w:rsidR="00916944" w:rsidRPr="00A42193">
        <w:t xml:space="preserve"> are not fermentable by </w:t>
      </w:r>
      <w:r w:rsidR="00185D0F" w:rsidRPr="00A42193">
        <w:rPr>
          <w:i/>
        </w:rPr>
        <w:t>S</w:t>
      </w:r>
      <w:r w:rsidR="00916944" w:rsidRPr="00A42193">
        <w:rPr>
          <w:i/>
        </w:rPr>
        <w:t>accharomyces cerevisiae</w:t>
      </w:r>
      <w:r w:rsidR="0030004F">
        <w:t>, could not be produced from cellulose</w:t>
      </w:r>
      <w:r w:rsidR="00F84AE9">
        <w:t xml:space="preserve">. </w:t>
      </w:r>
    </w:p>
    <w:p w:rsidR="00582E67" w:rsidRDefault="00582E67" w:rsidP="00CF3AAB">
      <w:pPr>
        <w:tabs>
          <w:tab w:val="clear" w:pos="7100"/>
        </w:tabs>
        <w:autoSpaceDE w:val="0"/>
        <w:autoSpaceDN w:val="0"/>
        <w:adjustRightInd w:val="0"/>
        <w:spacing w:line="240" w:lineRule="auto"/>
      </w:pPr>
    </w:p>
    <w:p w:rsidR="00582E67" w:rsidRDefault="00671052" w:rsidP="00CF3AAB">
      <w:pPr>
        <w:tabs>
          <w:tab w:val="clear" w:pos="7100"/>
        </w:tabs>
        <w:autoSpaceDE w:val="0"/>
        <w:autoSpaceDN w:val="0"/>
        <w:adjustRightInd w:val="0"/>
        <w:spacing w:line="240" w:lineRule="auto"/>
      </w:pPr>
      <w:r>
        <w:rPr>
          <w:noProof/>
          <w:lang w:val="es-CO" w:eastAsia="es-CO"/>
        </w:rPr>
        <w:drawing>
          <wp:inline distT="0" distB="0" distL="0" distR="0" wp14:anchorId="03995C30" wp14:editId="5911629A">
            <wp:extent cx="2324100" cy="131464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66" t="19433" r="81734" b="63563"/>
                    <a:stretch/>
                  </pic:blipFill>
                  <pic:spPr bwMode="auto">
                    <a:xfrm>
                      <a:off x="0" y="0"/>
                      <a:ext cx="2339571" cy="1323393"/>
                    </a:xfrm>
                    <a:prstGeom prst="rect">
                      <a:avLst/>
                    </a:prstGeom>
                    <a:ln>
                      <a:noFill/>
                    </a:ln>
                    <a:extLst>
                      <a:ext uri="{53640926-AAD7-44D8-BBD7-CCE9431645EC}">
                        <a14:shadowObscured xmlns:a14="http://schemas.microsoft.com/office/drawing/2010/main"/>
                      </a:ext>
                    </a:extLst>
                  </pic:spPr>
                </pic:pic>
              </a:graphicData>
            </a:graphic>
          </wp:inline>
        </w:drawing>
      </w:r>
    </w:p>
    <w:p w:rsidR="00A42193" w:rsidRPr="00A42193" w:rsidRDefault="00582E67" w:rsidP="00582E67">
      <w:pPr>
        <w:pStyle w:val="CETCaption"/>
        <w:rPr>
          <w:lang w:val="en-US"/>
        </w:rPr>
      </w:pPr>
      <w:r w:rsidRPr="00A42193">
        <w:rPr>
          <w:lang w:val="en-US"/>
        </w:rPr>
        <w:lastRenderedPageBreak/>
        <w:t>Figure 3</w:t>
      </w:r>
      <w:r w:rsidR="00D2490F" w:rsidRPr="00A42193">
        <w:rPr>
          <w:lang w:val="en-US"/>
        </w:rPr>
        <w:t>:</w:t>
      </w:r>
      <w:r w:rsidRPr="00A42193">
        <w:rPr>
          <w:lang w:val="en-US"/>
        </w:rPr>
        <w:t xml:space="preserve"> Physical appearance </w:t>
      </w:r>
      <w:r w:rsidRPr="001528CB">
        <w:rPr>
          <w:lang w:val="en-US"/>
        </w:rPr>
        <w:t xml:space="preserve">of </w:t>
      </w:r>
      <w:r w:rsidR="00E108B2" w:rsidRPr="001528CB">
        <w:rPr>
          <w:lang w:val="en-US"/>
        </w:rPr>
        <w:t xml:space="preserve">POCEL </w:t>
      </w:r>
      <w:r w:rsidRPr="001528CB">
        <w:rPr>
          <w:lang w:val="en-US"/>
        </w:rPr>
        <w:t>hydrolysate</w:t>
      </w:r>
      <w:r w:rsidRPr="00A42193">
        <w:rPr>
          <w:lang w:val="en-US"/>
        </w:rPr>
        <w:t xml:space="preserve"> samples</w:t>
      </w:r>
      <w:r w:rsidR="00A42193" w:rsidRPr="00A42193">
        <w:rPr>
          <w:lang w:val="en-US"/>
        </w:rPr>
        <w:t>.</w:t>
      </w:r>
      <w:r w:rsidR="00A42193">
        <w:rPr>
          <w:lang w:val="en-US"/>
        </w:rPr>
        <w:t xml:space="preserve"> </w:t>
      </w:r>
      <w:r w:rsidR="00A42193" w:rsidRPr="00486154">
        <w:rPr>
          <w:lang w:val="en-US"/>
        </w:rPr>
        <w:t xml:space="preserve">(a) Highest TRS yield. </w:t>
      </w:r>
      <w:r w:rsidR="00A42193" w:rsidRPr="00A42193">
        <w:rPr>
          <w:lang w:val="en-US"/>
        </w:rPr>
        <w:t xml:space="preserve">(b-d) Decreasing TRS yield due to biomass exhaustion. (e) End of hydrolysis  </w:t>
      </w:r>
    </w:p>
    <w:p w:rsidR="00582E67" w:rsidRPr="001528CB" w:rsidRDefault="001528CB" w:rsidP="00582E67">
      <w:pPr>
        <w:tabs>
          <w:tab w:val="clear" w:pos="7100"/>
        </w:tabs>
        <w:autoSpaceDE w:val="0"/>
        <w:autoSpaceDN w:val="0"/>
        <w:adjustRightInd w:val="0"/>
        <w:spacing w:line="240" w:lineRule="auto"/>
        <w:rPr>
          <w:lang w:val="en-US"/>
        </w:rPr>
      </w:pPr>
      <w:r>
        <w:rPr>
          <w:lang w:val="en-US"/>
        </w:rPr>
        <w:t>Total reducing sugars (</w:t>
      </w:r>
      <w:r w:rsidR="00582E67" w:rsidRPr="001528CB">
        <w:rPr>
          <w:lang w:val="en-US"/>
        </w:rPr>
        <w:t>TRS</w:t>
      </w:r>
      <w:r>
        <w:rPr>
          <w:lang w:val="en-US"/>
        </w:rPr>
        <w:t>)</w:t>
      </w:r>
      <w:r w:rsidR="00582E67" w:rsidRPr="001528CB">
        <w:rPr>
          <w:lang w:val="en-US"/>
        </w:rPr>
        <w:t xml:space="preserve"> yield was approximated by having into account a 60 wt.</w:t>
      </w:r>
      <w:r w:rsidRPr="001528CB">
        <w:rPr>
          <w:lang w:val="en-US"/>
        </w:rPr>
        <w:t>% cellulose composition in POCE</w:t>
      </w:r>
      <w:r w:rsidR="00582E67" w:rsidRPr="001528CB">
        <w:rPr>
          <w:lang w:val="en-US"/>
        </w:rPr>
        <w:t xml:space="preserve"> dust</w:t>
      </w:r>
      <w:r>
        <w:rPr>
          <w:lang w:val="en-US"/>
        </w:rPr>
        <w:t>, according to the weight percent characterization provided by the diapers producer</w:t>
      </w:r>
      <w:r w:rsidR="00582E67" w:rsidRPr="001528CB">
        <w:rPr>
          <w:lang w:val="en-US"/>
        </w:rPr>
        <w:t xml:space="preserve">, which is equivalent to a 0.72 wt.% in POCEL suspension fed to the system. </w:t>
      </w:r>
      <w:r w:rsidR="00582E67">
        <w:t xml:space="preserve">Residence time in the reactor </w:t>
      </w:r>
      <m:oMath>
        <m:r>
          <w:rPr>
            <w:rFonts w:ascii="Cambria Math" w:hAnsi="Cambria Math"/>
          </w:rPr>
          <m:t xml:space="preserve">τ </m:t>
        </m:r>
        <m:d>
          <m:dPr>
            <m:ctrlPr>
              <w:rPr>
                <w:rFonts w:ascii="Cambria Math" w:hAnsi="Cambria Math"/>
                <w:i/>
              </w:rPr>
            </m:ctrlPr>
          </m:dPr>
          <m:e>
            <m:r>
              <w:rPr>
                <w:rFonts w:ascii="Cambria Math" w:hAnsi="Cambria Math"/>
              </w:rPr>
              <m:t>min</m:t>
            </m:r>
          </m:e>
        </m:d>
      </m:oMath>
      <w:r w:rsidR="00582E67">
        <w:t xml:space="preserve"> was calculated with the reactor volume </w:t>
      </w:r>
      <m:oMath>
        <m:r>
          <w:rPr>
            <w:rFonts w:ascii="Cambria Math" w:hAnsi="Cambria Math"/>
          </w:rPr>
          <m:t>V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oMath>
      <w:r w:rsidR="00582E67">
        <w:t xml:space="preserve"> and the volumetric flowrate at reaction conditions </w:t>
      </w:r>
      <m:oMath>
        <m:sSub>
          <m:sSubPr>
            <m:ctrlPr>
              <w:rPr>
                <w:rFonts w:ascii="Cambria Math" w:hAnsi="Cambria Math"/>
                <w:i/>
              </w:rPr>
            </m:ctrlPr>
          </m:sSubPr>
          <m:e>
            <m:r>
              <w:rPr>
                <w:rFonts w:ascii="Cambria Math" w:hAnsi="Cambria Math"/>
              </w:rPr>
              <m:t>ϑ</m:t>
            </m:r>
          </m:e>
          <m:sub>
            <m:r>
              <w:rPr>
                <w:rFonts w:ascii="Cambria Math" w:hAnsi="Cambria Math"/>
              </w:rPr>
              <m:t xml:space="preserve">SC </m:t>
            </m:r>
          </m:sub>
        </m:sSub>
        <m:d>
          <m:dPr>
            <m:ctrlPr>
              <w:rPr>
                <w:rFonts w:ascii="Cambria Math" w:hAnsi="Cambria Math"/>
                <w:i/>
              </w:rPr>
            </m:ctrlPr>
          </m:dPr>
          <m:e>
            <m:f>
              <m:fPr>
                <m:type m:val="lin"/>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min</m:t>
                </m:r>
              </m:den>
            </m:f>
          </m:e>
        </m:d>
        <m:r>
          <w:rPr>
            <w:rFonts w:ascii="Cambria Math" w:hAnsi="Cambria Math"/>
          </w:rPr>
          <m:t xml:space="preserve">   </m:t>
        </m:r>
      </m:oMath>
      <w:r w:rsidR="00582E67">
        <w:t xml:space="preserve">which was estimated by means of a mass balance between the pump outlet at room temperature conditions </w:t>
      </w:r>
      <m:oMath>
        <m:d>
          <m:dPr>
            <m:ctrlPr>
              <w:rPr>
                <w:rFonts w:ascii="Cambria Math" w:hAnsi="Cambria Math"/>
                <w:i/>
              </w:rPr>
            </m:ctrlPr>
          </m:dPr>
          <m:e>
            <m:r>
              <w:rPr>
                <w:rFonts w:ascii="Cambria Math" w:hAnsi="Cambria Math"/>
              </w:rPr>
              <m:t>RT</m:t>
            </m:r>
          </m:e>
        </m:d>
        <m:r>
          <w:rPr>
            <w:rFonts w:ascii="Cambria Math" w:hAnsi="Cambria Math"/>
          </w:rPr>
          <m:t xml:space="preserve"> </m:t>
        </m:r>
      </m:oMath>
      <w:r w:rsidR="00582E67">
        <w:t>and reactor inlet at subcritical reaction conditions</w:t>
      </w:r>
      <w:r>
        <w:t xml:space="preserve"> </w:t>
      </w:r>
      <m:oMath>
        <m:d>
          <m:dPr>
            <m:ctrlPr>
              <w:rPr>
                <w:rFonts w:ascii="Cambria Math" w:hAnsi="Cambria Math"/>
                <w:i/>
              </w:rPr>
            </m:ctrlPr>
          </m:dPr>
          <m:e>
            <m:r>
              <w:rPr>
                <w:rFonts w:ascii="Cambria Math" w:hAnsi="Cambria Math"/>
              </w:rPr>
              <m:t>SC</m:t>
            </m:r>
          </m:e>
        </m:d>
      </m:oMath>
      <w:r w:rsidR="00582E67">
        <w:t>, as shown in Eq</w:t>
      </w:r>
      <w:r>
        <w:t xml:space="preserve">uation </w:t>
      </w:r>
      <w:r w:rsidR="00582E67">
        <w:t xml:space="preserve">(1). Mixture density at reaction conditions </w:t>
      </w:r>
      <m:oMath>
        <m:sSub>
          <m:sSubPr>
            <m:ctrlPr>
              <w:rPr>
                <w:rFonts w:ascii="Cambria Math" w:hAnsi="Cambria Math"/>
                <w:i/>
              </w:rPr>
            </m:ctrlPr>
          </m:sSubPr>
          <m:e>
            <m:r>
              <w:rPr>
                <w:rFonts w:ascii="Cambria Math" w:hAnsi="Cambria Math"/>
              </w:rPr>
              <m:t>ρ</m:t>
            </m:r>
          </m:e>
          <m:sub>
            <m:r>
              <w:rPr>
                <w:rFonts w:ascii="Cambria Math" w:hAnsi="Cambria Math"/>
              </w:rPr>
              <m:t>SC</m:t>
            </m:r>
          </m:sub>
        </m:sSub>
        <m:r>
          <w:rPr>
            <w:rFonts w:ascii="Cambria Math" w:hAnsi="Cambria Math"/>
          </w:rPr>
          <m:t xml:space="preserve"> </m:t>
        </m:r>
        <m:d>
          <m:dPr>
            <m:ctrlPr>
              <w:rPr>
                <w:rFonts w:ascii="Cambria Math" w:hAnsi="Cambria Math"/>
                <w:i/>
              </w:rPr>
            </m:ctrlPr>
          </m:dPr>
          <m:e>
            <m:f>
              <m:fPr>
                <m:type m:val="lin"/>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e>
        </m:d>
      </m:oMath>
      <w:r w:rsidR="00582E67">
        <w:t xml:space="preserve">  was approximated as that of water in steam tabs, since water comprises more than 98% of reactive mixture. Residence time calculation is shown in Eq</w:t>
      </w:r>
      <w:r>
        <w:t xml:space="preserve">uation </w:t>
      </w:r>
      <w:r w:rsidR="00582E67">
        <w:t>(2)</w:t>
      </w:r>
      <w:r w:rsidR="00D2490F">
        <w:t>.</w:t>
      </w:r>
    </w:p>
    <w:p w:rsidR="00582E67" w:rsidRDefault="00582E67" w:rsidP="00CF3AAB">
      <w:pPr>
        <w:tabs>
          <w:tab w:val="clear" w:pos="7100"/>
        </w:tabs>
        <w:autoSpaceDE w:val="0"/>
        <w:autoSpaceDN w:val="0"/>
        <w:adjustRightInd w:val="0"/>
        <w:spacing w:line="240" w:lineRule="auto"/>
      </w:pPr>
    </w:p>
    <w:p w:rsidR="00346690" w:rsidRPr="00CF3AAB" w:rsidRDefault="00022509" w:rsidP="00916944">
      <w:pPr>
        <w:tabs>
          <w:tab w:val="clear" w:pos="7100"/>
        </w:tabs>
        <w:autoSpaceDE w:val="0"/>
        <w:autoSpaceDN w:val="0"/>
        <w:adjustRightInd w:val="0"/>
        <w:spacing w:line="240" w:lineRule="auto"/>
        <w:rPr>
          <w:rFonts w:cs="Arial"/>
        </w:rPr>
      </w:pPr>
      <m:oMath>
        <m:sSub>
          <m:sSubPr>
            <m:ctrlPr>
              <w:rPr>
                <w:rFonts w:ascii="Cambria Math" w:hAnsi="Cambria Math" w:cs="Arial"/>
                <w:sz w:val="24"/>
                <w:szCs w:val="24"/>
              </w:rPr>
            </m:ctrlPr>
          </m:sSubPr>
          <m:e>
            <m:r>
              <w:rPr>
                <w:rFonts w:ascii="Cambria Math" w:hAnsi="Cambria Math" w:cs="Arial"/>
                <w:sz w:val="24"/>
                <w:szCs w:val="24"/>
              </w:rPr>
              <m:t>ϑ</m:t>
            </m:r>
          </m:e>
          <m:sub>
            <m:r>
              <w:rPr>
                <w:rFonts w:ascii="Cambria Math" w:hAnsi="Cambria Math" w:cs="Arial"/>
                <w:sz w:val="24"/>
                <w:szCs w:val="24"/>
              </w:rPr>
              <m:t>RT</m:t>
            </m:r>
          </m:sub>
        </m:sSub>
        <m:r>
          <m:rPr>
            <m:sty m:val="p"/>
          </m:rPr>
          <w:rPr>
            <w:rFonts w:ascii="Cambria Math" w:hAnsi="Cambria Math" w:cs="Arial"/>
            <w:sz w:val="24"/>
            <w:szCs w:val="24"/>
          </w:rPr>
          <m:t>∙</m:t>
        </m:r>
        <m:sSub>
          <m:sSubPr>
            <m:ctrlPr>
              <w:rPr>
                <w:rFonts w:ascii="Cambria Math" w:hAnsi="Cambria Math" w:cs="Arial"/>
                <w:sz w:val="24"/>
                <w:szCs w:val="24"/>
              </w:rPr>
            </m:ctrlPr>
          </m:sSubPr>
          <m:e>
            <m:r>
              <w:rPr>
                <w:rFonts w:ascii="Cambria Math" w:hAnsi="Cambria Math" w:cs="Arial"/>
                <w:sz w:val="24"/>
                <w:szCs w:val="24"/>
              </w:rPr>
              <m:t>ρ</m:t>
            </m:r>
          </m:e>
          <m:sub>
            <m:r>
              <w:rPr>
                <w:rFonts w:ascii="Cambria Math" w:hAnsi="Cambria Math" w:cs="Arial"/>
                <w:sz w:val="24"/>
                <w:szCs w:val="24"/>
              </w:rPr>
              <m:t>RT</m:t>
            </m:r>
          </m:sub>
        </m:sSub>
        <m:r>
          <m:rPr>
            <m:sty m:val="p"/>
          </m:rPr>
          <w:rPr>
            <w:rFonts w:ascii="Cambria Math" w:hAnsi="Cambria Math" w:cs="Arial"/>
            <w:sz w:val="24"/>
            <w:szCs w:val="24"/>
          </w:rPr>
          <m:t>=</m:t>
        </m:r>
        <m:sSub>
          <m:sSubPr>
            <m:ctrlPr>
              <w:rPr>
                <w:rFonts w:ascii="Cambria Math" w:hAnsi="Cambria Math" w:cs="Arial"/>
                <w:sz w:val="24"/>
                <w:szCs w:val="24"/>
              </w:rPr>
            </m:ctrlPr>
          </m:sSubPr>
          <m:e>
            <m:r>
              <w:rPr>
                <w:rFonts w:ascii="Cambria Math" w:hAnsi="Cambria Math" w:cs="Arial"/>
                <w:sz w:val="24"/>
                <w:szCs w:val="24"/>
              </w:rPr>
              <m:t>ϑ</m:t>
            </m:r>
          </m:e>
          <m:sub>
            <m:r>
              <w:rPr>
                <w:rFonts w:ascii="Cambria Math" w:hAnsi="Cambria Math" w:cs="Arial"/>
                <w:sz w:val="24"/>
                <w:szCs w:val="24"/>
              </w:rPr>
              <m:t>SC</m:t>
            </m:r>
          </m:sub>
        </m:sSub>
        <m:r>
          <m:rPr>
            <m:sty m:val="p"/>
          </m:rPr>
          <w:rPr>
            <w:rFonts w:ascii="Cambria Math" w:hAnsi="Cambria Math" w:cs="Arial"/>
            <w:sz w:val="24"/>
            <w:szCs w:val="24"/>
          </w:rPr>
          <m:t>∙</m:t>
        </m:r>
        <m:sSub>
          <m:sSubPr>
            <m:ctrlPr>
              <w:rPr>
                <w:rFonts w:ascii="Cambria Math" w:hAnsi="Cambria Math" w:cs="Arial"/>
                <w:sz w:val="24"/>
                <w:szCs w:val="24"/>
              </w:rPr>
            </m:ctrlPr>
          </m:sSubPr>
          <m:e>
            <m:r>
              <w:rPr>
                <w:rFonts w:ascii="Cambria Math" w:hAnsi="Cambria Math" w:cs="Arial"/>
                <w:sz w:val="24"/>
                <w:szCs w:val="24"/>
              </w:rPr>
              <m:t>ρ</m:t>
            </m:r>
          </m:e>
          <m:sub>
            <m:r>
              <w:rPr>
                <w:rFonts w:ascii="Cambria Math" w:hAnsi="Cambria Math" w:cs="Arial"/>
                <w:sz w:val="24"/>
                <w:szCs w:val="24"/>
              </w:rPr>
              <m:t>SC</m:t>
            </m:r>
          </m:sub>
        </m:sSub>
      </m:oMath>
      <w:r w:rsidR="00346690" w:rsidRPr="00CF3AAB">
        <w:rPr>
          <w:rFonts w:cs="Arial"/>
        </w:rPr>
        <w:tab/>
      </w:r>
      <w:r w:rsidR="00D2490F">
        <w:rPr>
          <w:rFonts w:cs="Arial"/>
        </w:rPr>
        <w:t xml:space="preserve">                                                                                                                                </w:t>
      </w:r>
      <w:r w:rsidR="00346690" w:rsidRPr="00CF3AAB">
        <w:rPr>
          <w:rFonts w:cs="Arial"/>
        </w:rPr>
        <w:t>(1)</w:t>
      </w:r>
    </w:p>
    <w:p w:rsidR="00CF3AAB" w:rsidRDefault="00CF3AAB" w:rsidP="00916944">
      <w:pPr>
        <w:tabs>
          <w:tab w:val="clear" w:pos="7100"/>
        </w:tabs>
        <w:autoSpaceDE w:val="0"/>
        <w:autoSpaceDN w:val="0"/>
        <w:adjustRightInd w:val="0"/>
        <w:spacing w:line="240" w:lineRule="auto"/>
      </w:pPr>
    </w:p>
    <w:p w:rsidR="00CF3AAB" w:rsidRPr="00CF3AAB" w:rsidRDefault="00CF3AAB" w:rsidP="00916944">
      <w:pPr>
        <w:tabs>
          <w:tab w:val="clear" w:pos="7100"/>
        </w:tabs>
        <w:autoSpaceDE w:val="0"/>
        <w:autoSpaceDN w:val="0"/>
        <w:adjustRightInd w:val="0"/>
        <w:spacing w:line="240" w:lineRule="auto"/>
      </w:pPr>
      <m:oMath>
        <m:r>
          <w:rPr>
            <w:rFonts w:ascii="Cambria Math" w:hAnsi="Cambria Math" w:cs="Arial"/>
            <w:sz w:val="24"/>
            <w:szCs w:val="24"/>
          </w:rPr>
          <m:t>τ=</m:t>
        </m:r>
        <m:f>
          <m:fPr>
            <m:ctrlPr>
              <w:rPr>
                <w:rFonts w:ascii="Cambria Math" w:hAnsi="Cambria Math" w:cs="Arial"/>
                <w:i/>
                <w:sz w:val="24"/>
                <w:szCs w:val="24"/>
              </w:rPr>
            </m:ctrlPr>
          </m:fPr>
          <m:num>
            <m:r>
              <w:rPr>
                <w:rFonts w:ascii="Cambria Math" w:hAnsi="Cambria Math" w:cs="Arial"/>
                <w:sz w:val="24"/>
                <w:szCs w:val="24"/>
              </w:rPr>
              <m:t>V∙</m:t>
            </m:r>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SC</m:t>
                </m:r>
              </m:sub>
            </m:sSub>
          </m:num>
          <m:den>
            <m:sSub>
              <m:sSubPr>
                <m:ctrlPr>
                  <w:rPr>
                    <w:rFonts w:ascii="Cambria Math" w:hAnsi="Cambria Math" w:cs="Arial"/>
                    <w:i/>
                    <w:sz w:val="24"/>
                    <w:szCs w:val="24"/>
                  </w:rPr>
                </m:ctrlPr>
              </m:sSubPr>
              <m:e>
                <m:r>
                  <w:rPr>
                    <w:rFonts w:ascii="Cambria Math" w:hAnsi="Cambria Math" w:cs="Arial"/>
                    <w:sz w:val="24"/>
                    <w:szCs w:val="24"/>
                  </w:rPr>
                  <m:t>ϑ</m:t>
                </m:r>
              </m:e>
              <m:sub>
                <m:r>
                  <w:rPr>
                    <w:rFonts w:ascii="Cambria Math" w:hAnsi="Cambria Math" w:cs="Arial"/>
                    <w:sz w:val="24"/>
                    <w:szCs w:val="24"/>
                  </w:rPr>
                  <m:t>RT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RT</m:t>
                </m:r>
              </m:sub>
            </m:sSub>
          </m:den>
        </m:f>
      </m:oMath>
      <w:r>
        <w:tab/>
      </w:r>
      <w:r>
        <w:tab/>
      </w:r>
      <w:r w:rsidR="00D2490F">
        <w:t xml:space="preserve">                                                                                                                                </w:t>
      </w:r>
      <w:r>
        <w:t>(2)</w:t>
      </w:r>
    </w:p>
    <w:p w:rsidR="00AC09A1" w:rsidRPr="001528CB" w:rsidRDefault="00AC09A1" w:rsidP="00AC09A1">
      <w:pPr>
        <w:pStyle w:val="CETTabletitle"/>
        <w:rPr>
          <w:lang w:val="en-US"/>
        </w:rPr>
      </w:pPr>
      <w:r w:rsidRPr="001528CB">
        <w:rPr>
          <w:lang w:val="en-US"/>
        </w:rPr>
        <w:t xml:space="preserve">Table 1: </w:t>
      </w:r>
      <w:r w:rsidR="001528CB">
        <w:rPr>
          <w:lang w:val="en-US"/>
        </w:rPr>
        <w:t>C</w:t>
      </w:r>
      <w:r w:rsidR="001528CB" w:rsidRPr="00A42193">
        <w:rPr>
          <w:lang w:val="en-US"/>
        </w:rPr>
        <w:t>ontinuous hydrolysis experimental conditions and obtained TRS concentration and yield</w:t>
      </w:r>
    </w:p>
    <w:tbl>
      <w:tblPr>
        <w:tblW w:w="878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276"/>
        <w:gridCol w:w="993"/>
        <w:gridCol w:w="1842"/>
        <w:gridCol w:w="1275"/>
        <w:gridCol w:w="1134"/>
        <w:gridCol w:w="992"/>
      </w:tblGrid>
      <w:tr w:rsidR="00F426F1" w:rsidRPr="00B57B36" w:rsidTr="00EA0ED1">
        <w:tc>
          <w:tcPr>
            <w:tcW w:w="1276" w:type="dxa"/>
            <w:tcBorders>
              <w:top w:val="single" w:sz="12" w:space="0" w:color="008000"/>
              <w:bottom w:val="single" w:sz="6" w:space="0" w:color="008000"/>
            </w:tcBorders>
            <w:shd w:val="clear" w:color="auto" w:fill="FFFFFF"/>
          </w:tcPr>
          <w:p w:rsidR="00F426F1" w:rsidRPr="00B57B36" w:rsidRDefault="00F426F1" w:rsidP="00F426F1">
            <w:pPr>
              <w:pStyle w:val="CETBodytext"/>
              <w:rPr>
                <w:lang w:val="en-GB"/>
              </w:rPr>
            </w:pPr>
            <w:r>
              <w:rPr>
                <w:lang w:val="en-GB"/>
              </w:rPr>
              <w:t>Experimental Run</w:t>
            </w:r>
            <w:r w:rsidRPr="00B57B36">
              <w:rPr>
                <w:lang w:val="en-GB"/>
              </w:rPr>
              <w:t xml:space="preserve"> </w:t>
            </w:r>
          </w:p>
        </w:tc>
        <w:tc>
          <w:tcPr>
            <w:tcW w:w="1276" w:type="dxa"/>
            <w:tcBorders>
              <w:top w:val="single" w:sz="12" w:space="0" w:color="008000"/>
              <w:bottom w:val="single" w:sz="6" w:space="0" w:color="008000"/>
            </w:tcBorders>
            <w:shd w:val="clear" w:color="auto" w:fill="FFFFFF"/>
          </w:tcPr>
          <w:p w:rsidR="00F426F1" w:rsidRPr="00B57B36" w:rsidRDefault="00F426F1" w:rsidP="00F426F1">
            <w:pPr>
              <w:pStyle w:val="CETBodytext"/>
              <w:rPr>
                <w:lang w:val="en-GB"/>
              </w:rPr>
            </w:pPr>
            <w:r>
              <w:rPr>
                <w:lang w:val="en-GB"/>
              </w:rPr>
              <w:t xml:space="preserve">Temperature (°C)  </w:t>
            </w:r>
          </w:p>
        </w:tc>
        <w:tc>
          <w:tcPr>
            <w:tcW w:w="993" w:type="dxa"/>
            <w:tcBorders>
              <w:top w:val="single" w:sz="12" w:space="0" w:color="008000"/>
              <w:bottom w:val="single" w:sz="6" w:space="0" w:color="008000"/>
            </w:tcBorders>
            <w:shd w:val="clear" w:color="auto" w:fill="FFFFFF"/>
          </w:tcPr>
          <w:p w:rsidR="00F426F1" w:rsidRPr="001528CB" w:rsidRDefault="00F426F1" w:rsidP="00F426F1">
            <w:pPr>
              <w:pStyle w:val="CETBodytext"/>
              <w:rPr>
                <w:lang w:val="en-GB"/>
              </w:rPr>
            </w:pPr>
            <w:r w:rsidRPr="001528CB">
              <w:rPr>
                <w:lang w:val="en-GB"/>
              </w:rPr>
              <w:t>Flowrate (mL/min)</w:t>
            </w:r>
          </w:p>
        </w:tc>
        <w:tc>
          <w:tcPr>
            <w:tcW w:w="1842" w:type="dxa"/>
            <w:tcBorders>
              <w:top w:val="single" w:sz="12" w:space="0" w:color="008000"/>
              <w:bottom w:val="single" w:sz="6" w:space="0" w:color="008000"/>
            </w:tcBorders>
            <w:shd w:val="clear" w:color="auto" w:fill="FFFFFF"/>
          </w:tcPr>
          <w:p w:rsidR="0011439E" w:rsidRDefault="00F426F1" w:rsidP="00F426F1">
            <w:pPr>
              <w:pStyle w:val="CETBodytext"/>
              <w:ind w:right="-1"/>
              <w:jc w:val="left"/>
              <w:rPr>
                <w:rFonts w:cs="Arial"/>
                <w:szCs w:val="18"/>
                <w:lang w:val="en-GB"/>
              </w:rPr>
            </w:pPr>
            <w:r w:rsidRPr="001528CB">
              <w:rPr>
                <w:rFonts w:cs="Arial"/>
                <w:szCs w:val="18"/>
                <w:lang w:val="en-GB"/>
              </w:rPr>
              <w:t xml:space="preserve">[TRS]   </w:t>
            </w:r>
          </w:p>
          <w:p w:rsidR="00F426F1" w:rsidRPr="001528CB" w:rsidRDefault="00984112" w:rsidP="00F426F1">
            <w:pPr>
              <w:pStyle w:val="CETBodytext"/>
              <w:ind w:right="-1"/>
              <w:jc w:val="left"/>
              <w:rPr>
                <w:rFonts w:cs="Arial"/>
                <w:szCs w:val="18"/>
                <w:lang w:val="en-GB"/>
              </w:rPr>
            </w:pPr>
            <w:r w:rsidRPr="001528CB">
              <w:rPr>
                <w:rFonts w:cs="Arial"/>
                <w:szCs w:val="18"/>
                <w:lang w:val="en-GB"/>
              </w:rPr>
              <w:t>(mg/mL)</w:t>
            </w:r>
            <w:r w:rsidR="00F426F1" w:rsidRPr="001528CB">
              <w:rPr>
                <w:rFonts w:cs="Arial"/>
                <w:szCs w:val="18"/>
                <w:lang w:val="en-GB"/>
              </w:rPr>
              <w:t xml:space="preserve">            </w:t>
            </w:r>
          </w:p>
        </w:tc>
        <w:tc>
          <w:tcPr>
            <w:tcW w:w="1275" w:type="dxa"/>
            <w:tcBorders>
              <w:top w:val="single" w:sz="12" w:space="0" w:color="008000"/>
              <w:bottom w:val="single" w:sz="6" w:space="0" w:color="008000"/>
            </w:tcBorders>
            <w:shd w:val="clear" w:color="auto" w:fill="FFFFFF"/>
          </w:tcPr>
          <w:p w:rsidR="0011439E" w:rsidRDefault="00EA0ED1" w:rsidP="00F426F1">
            <w:pPr>
              <w:pStyle w:val="CETBodytext"/>
              <w:ind w:right="-142"/>
              <w:rPr>
                <w:rFonts w:cs="Arial"/>
                <w:szCs w:val="18"/>
                <w:lang w:val="en-GB"/>
              </w:rPr>
            </w:pPr>
            <w:r>
              <w:rPr>
                <w:rFonts w:cs="Arial"/>
                <w:szCs w:val="18"/>
                <w:lang w:val="en-GB"/>
              </w:rPr>
              <w:t>Av</w:t>
            </w:r>
            <w:r w:rsidR="0011439E">
              <w:rPr>
                <w:rFonts w:cs="Arial"/>
                <w:szCs w:val="18"/>
                <w:lang w:val="en-GB"/>
              </w:rPr>
              <w:t>erage</w:t>
            </w:r>
          </w:p>
          <w:p w:rsidR="00F426F1" w:rsidRDefault="00EA0ED1" w:rsidP="00F426F1">
            <w:pPr>
              <w:pStyle w:val="CETBodytext"/>
              <w:ind w:right="-142"/>
              <w:rPr>
                <w:rFonts w:cs="Arial"/>
                <w:szCs w:val="18"/>
                <w:lang w:val="en-GB"/>
              </w:rPr>
            </w:pPr>
            <w:r>
              <w:rPr>
                <w:rFonts w:cs="Arial"/>
                <w:szCs w:val="18"/>
                <w:lang w:val="en-GB"/>
              </w:rPr>
              <w:t xml:space="preserve">[TRS] </w:t>
            </w:r>
            <w:r w:rsidR="00F426F1" w:rsidRPr="001528CB">
              <w:rPr>
                <w:rFonts w:cs="Arial"/>
                <w:szCs w:val="18"/>
                <w:lang w:val="en-GB"/>
              </w:rPr>
              <w:t>(mg/mL)</w:t>
            </w:r>
          </w:p>
          <w:p w:rsidR="00EA0ED1" w:rsidRPr="001528CB" w:rsidRDefault="00EA0ED1" w:rsidP="00F426F1">
            <w:pPr>
              <w:pStyle w:val="CETBodytext"/>
              <w:ind w:right="-142"/>
              <w:rPr>
                <w:rFonts w:cs="Arial"/>
                <w:szCs w:val="18"/>
                <w:lang w:val="en-GB"/>
              </w:rPr>
            </w:pPr>
            <w:r>
              <w:rPr>
                <w:rFonts w:cs="Arial"/>
                <w:szCs w:val="18"/>
                <w:lang w:val="en-GB"/>
              </w:rPr>
              <w:t>(STDV)</w:t>
            </w:r>
          </w:p>
        </w:tc>
        <w:tc>
          <w:tcPr>
            <w:tcW w:w="1134" w:type="dxa"/>
            <w:tcBorders>
              <w:top w:val="single" w:sz="12" w:space="0" w:color="008000"/>
              <w:bottom w:val="single" w:sz="6" w:space="0" w:color="008000"/>
            </w:tcBorders>
            <w:shd w:val="clear" w:color="auto" w:fill="FFFFFF"/>
          </w:tcPr>
          <w:p w:rsidR="00F426F1" w:rsidRDefault="00F426F1" w:rsidP="00F426F1">
            <w:pPr>
              <w:pStyle w:val="CETBodytext"/>
              <w:ind w:right="-1"/>
              <w:jc w:val="left"/>
              <w:rPr>
                <w:rFonts w:cs="Arial"/>
                <w:szCs w:val="18"/>
                <w:lang w:val="en-GB"/>
              </w:rPr>
            </w:pPr>
            <w:r>
              <w:rPr>
                <w:rFonts w:cs="Arial"/>
                <w:szCs w:val="18"/>
                <w:lang w:val="en-GB"/>
              </w:rPr>
              <w:t xml:space="preserve">TRS yield                            (%)                                       </w:t>
            </w:r>
          </w:p>
        </w:tc>
        <w:tc>
          <w:tcPr>
            <w:tcW w:w="992" w:type="dxa"/>
            <w:tcBorders>
              <w:top w:val="single" w:sz="12" w:space="0" w:color="008000"/>
              <w:bottom w:val="single" w:sz="6" w:space="0" w:color="008000"/>
            </w:tcBorders>
            <w:shd w:val="clear" w:color="auto" w:fill="FFFFFF"/>
          </w:tcPr>
          <w:p w:rsidR="00F426F1" w:rsidRDefault="00F426F1" w:rsidP="00F426F1">
            <w:pPr>
              <w:pStyle w:val="CETBodytext"/>
              <w:ind w:right="-1"/>
              <w:jc w:val="left"/>
              <w:rPr>
                <w:rFonts w:cs="Arial"/>
                <w:szCs w:val="18"/>
                <w:lang w:val="en-GB"/>
              </w:rPr>
            </w:pPr>
            <w:r>
              <w:rPr>
                <w:rFonts w:cs="Arial"/>
                <w:szCs w:val="18"/>
                <w:lang w:val="en-GB"/>
              </w:rPr>
              <w:t>Residence time (s)</w:t>
            </w:r>
          </w:p>
        </w:tc>
      </w:tr>
      <w:tr w:rsidR="00F426F1" w:rsidRPr="00B57B36" w:rsidTr="00EA0ED1">
        <w:tc>
          <w:tcPr>
            <w:tcW w:w="1276" w:type="dxa"/>
            <w:shd w:val="clear" w:color="auto" w:fill="FFFFFF"/>
          </w:tcPr>
          <w:p w:rsidR="00F426F1" w:rsidRPr="00B57B36" w:rsidRDefault="00F426F1" w:rsidP="00F426F1">
            <w:pPr>
              <w:pStyle w:val="CETBodytext"/>
              <w:rPr>
                <w:lang w:val="en-GB"/>
              </w:rPr>
            </w:pPr>
            <w:r>
              <w:rPr>
                <w:lang w:val="en-GB"/>
              </w:rPr>
              <w:t>1</w:t>
            </w:r>
          </w:p>
        </w:tc>
        <w:tc>
          <w:tcPr>
            <w:tcW w:w="1276" w:type="dxa"/>
            <w:shd w:val="clear" w:color="auto" w:fill="FFFFFF"/>
          </w:tcPr>
          <w:p w:rsidR="00F426F1" w:rsidRPr="00B57B36" w:rsidRDefault="00F426F1" w:rsidP="00F426F1">
            <w:pPr>
              <w:pStyle w:val="CETBodytext"/>
              <w:rPr>
                <w:lang w:val="en-GB"/>
              </w:rPr>
            </w:pPr>
            <w:r>
              <w:rPr>
                <w:lang w:val="en-GB"/>
              </w:rPr>
              <w:t>350</w:t>
            </w:r>
          </w:p>
        </w:tc>
        <w:tc>
          <w:tcPr>
            <w:tcW w:w="993" w:type="dxa"/>
            <w:shd w:val="clear" w:color="auto" w:fill="FFFFFF"/>
          </w:tcPr>
          <w:p w:rsidR="00F426F1" w:rsidRPr="00B57B36" w:rsidRDefault="00F426F1" w:rsidP="00F426F1">
            <w:pPr>
              <w:pStyle w:val="CETBodytext"/>
              <w:rPr>
                <w:lang w:val="en-GB"/>
              </w:rPr>
            </w:pPr>
            <w:r>
              <w:rPr>
                <w:lang w:val="en-GB"/>
              </w:rPr>
              <w:t>6.4</w:t>
            </w:r>
          </w:p>
        </w:tc>
        <w:tc>
          <w:tcPr>
            <w:tcW w:w="1842" w:type="dxa"/>
            <w:shd w:val="clear" w:color="auto" w:fill="FFFFFF"/>
          </w:tcPr>
          <w:p w:rsidR="00994813" w:rsidRDefault="00994813" w:rsidP="00994813">
            <w:pPr>
              <w:pStyle w:val="CETBodytext"/>
              <w:ind w:right="-1"/>
              <w:rPr>
                <w:rFonts w:cs="Arial"/>
                <w:szCs w:val="18"/>
                <w:lang w:val="en-GB"/>
              </w:rPr>
            </w:pPr>
            <w:r>
              <w:rPr>
                <w:rFonts w:cs="Arial"/>
                <w:szCs w:val="18"/>
                <w:lang w:val="en-GB"/>
              </w:rPr>
              <w:t>0.158  1.158</w:t>
            </w:r>
          </w:p>
          <w:p w:rsidR="00994813" w:rsidRDefault="00994813" w:rsidP="00994813">
            <w:pPr>
              <w:pStyle w:val="CETBodytext"/>
              <w:ind w:right="-1"/>
              <w:rPr>
                <w:rFonts w:cs="Arial"/>
                <w:szCs w:val="18"/>
                <w:lang w:val="en-GB"/>
              </w:rPr>
            </w:pPr>
            <w:r>
              <w:rPr>
                <w:rFonts w:cs="Arial"/>
                <w:szCs w:val="18"/>
                <w:lang w:val="en-GB"/>
              </w:rPr>
              <w:t>0.707  2.715</w:t>
            </w:r>
          </w:p>
          <w:p w:rsidR="009D42F3" w:rsidRDefault="00994813" w:rsidP="00994813">
            <w:pPr>
              <w:pStyle w:val="CETBodytext"/>
              <w:ind w:right="-1"/>
              <w:rPr>
                <w:rFonts w:cs="Arial"/>
                <w:szCs w:val="18"/>
                <w:lang w:val="en-GB"/>
              </w:rPr>
            </w:pPr>
            <w:r>
              <w:rPr>
                <w:rFonts w:cs="Arial"/>
                <w:szCs w:val="18"/>
                <w:lang w:val="en-GB"/>
              </w:rPr>
              <w:t>0.218  1.160</w:t>
            </w:r>
          </w:p>
          <w:p w:rsidR="00F426F1" w:rsidRDefault="00F426F1" w:rsidP="00994813">
            <w:pPr>
              <w:pStyle w:val="CETBodytext"/>
              <w:ind w:right="-1"/>
              <w:rPr>
                <w:rFonts w:cs="Arial"/>
                <w:szCs w:val="18"/>
                <w:lang w:val="en-GB"/>
              </w:rPr>
            </w:pPr>
          </w:p>
        </w:tc>
        <w:tc>
          <w:tcPr>
            <w:tcW w:w="1275" w:type="dxa"/>
            <w:shd w:val="clear" w:color="auto" w:fill="FFFFFF"/>
          </w:tcPr>
          <w:p w:rsidR="00F426F1" w:rsidRDefault="00F426F1" w:rsidP="00F426F1">
            <w:pPr>
              <w:pStyle w:val="CETBodytext"/>
              <w:ind w:right="-142"/>
              <w:rPr>
                <w:rFonts w:cs="Arial"/>
                <w:szCs w:val="18"/>
                <w:lang w:val="en-GB"/>
              </w:rPr>
            </w:pPr>
            <w:r>
              <w:rPr>
                <w:rFonts w:cs="Arial"/>
                <w:szCs w:val="18"/>
                <w:lang w:val="en-GB"/>
              </w:rPr>
              <w:t>1.02</w:t>
            </w:r>
          </w:p>
          <w:p w:rsidR="00EA0ED1" w:rsidRPr="00B57B36" w:rsidRDefault="00EA0ED1" w:rsidP="00F426F1">
            <w:pPr>
              <w:pStyle w:val="CETBodytext"/>
              <w:ind w:right="-142"/>
              <w:rPr>
                <w:rFonts w:cs="Arial"/>
                <w:szCs w:val="18"/>
                <w:lang w:val="en-GB"/>
              </w:rPr>
            </w:pPr>
            <w:r>
              <w:rPr>
                <w:rFonts w:cs="Arial"/>
                <w:szCs w:val="18"/>
                <w:lang w:val="en-GB"/>
              </w:rPr>
              <w:t>(0.94)</w:t>
            </w:r>
          </w:p>
        </w:tc>
        <w:tc>
          <w:tcPr>
            <w:tcW w:w="1134" w:type="dxa"/>
            <w:shd w:val="clear" w:color="auto" w:fill="FFFFFF"/>
          </w:tcPr>
          <w:p w:rsidR="00F426F1" w:rsidRDefault="00F426F1" w:rsidP="00F426F1">
            <w:pPr>
              <w:pStyle w:val="CETBodytext"/>
              <w:ind w:right="-1"/>
              <w:rPr>
                <w:rFonts w:cs="Arial"/>
                <w:szCs w:val="18"/>
                <w:lang w:val="en-GB"/>
              </w:rPr>
            </w:pPr>
            <w:r>
              <w:rPr>
                <w:rFonts w:cs="Arial"/>
                <w:szCs w:val="18"/>
                <w:lang w:val="en-GB"/>
              </w:rPr>
              <w:t>14.1</w:t>
            </w:r>
          </w:p>
        </w:tc>
        <w:tc>
          <w:tcPr>
            <w:tcW w:w="992" w:type="dxa"/>
            <w:shd w:val="clear" w:color="auto" w:fill="FFFFFF"/>
          </w:tcPr>
          <w:p w:rsidR="00F426F1" w:rsidRDefault="00F426F1" w:rsidP="00F426F1">
            <w:pPr>
              <w:pStyle w:val="CETBodytext"/>
              <w:ind w:right="-1"/>
              <w:rPr>
                <w:rFonts w:cs="Arial"/>
                <w:szCs w:val="18"/>
                <w:lang w:val="en-GB"/>
              </w:rPr>
            </w:pPr>
            <w:r>
              <w:rPr>
                <w:rFonts w:cs="Arial"/>
                <w:szCs w:val="18"/>
                <w:lang w:val="en-GB"/>
              </w:rPr>
              <w:t>46.8</w:t>
            </w:r>
          </w:p>
        </w:tc>
      </w:tr>
      <w:tr w:rsidR="00F426F1" w:rsidRPr="00B57B36" w:rsidTr="00EA0ED1">
        <w:tc>
          <w:tcPr>
            <w:tcW w:w="1276" w:type="dxa"/>
            <w:shd w:val="clear" w:color="auto" w:fill="FFFFFF"/>
          </w:tcPr>
          <w:p w:rsidR="00F426F1" w:rsidRPr="00B57B36" w:rsidRDefault="00F426F1" w:rsidP="00F426F1">
            <w:pPr>
              <w:pStyle w:val="CETBodytext"/>
              <w:rPr>
                <w:lang w:val="en-GB"/>
              </w:rPr>
            </w:pPr>
            <w:r>
              <w:rPr>
                <w:lang w:val="en-GB"/>
              </w:rPr>
              <w:t>2</w:t>
            </w:r>
          </w:p>
        </w:tc>
        <w:tc>
          <w:tcPr>
            <w:tcW w:w="1276" w:type="dxa"/>
            <w:shd w:val="clear" w:color="auto" w:fill="FFFFFF"/>
          </w:tcPr>
          <w:p w:rsidR="00F426F1" w:rsidRPr="00B57B36" w:rsidRDefault="00F426F1" w:rsidP="00F426F1">
            <w:pPr>
              <w:pStyle w:val="CETBodytext"/>
              <w:rPr>
                <w:lang w:val="en-GB"/>
              </w:rPr>
            </w:pPr>
            <w:r>
              <w:rPr>
                <w:lang w:val="en-GB"/>
              </w:rPr>
              <w:t>350</w:t>
            </w:r>
          </w:p>
        </w:tc>
        <w:tc>
          <w:tcPr>
            <w:tcW w:w="993" w:type="dxa"/>
            <w:shd w:val="clear" w:color="auto" w:fill="FFFFFF"/>
          </w:tcPr>
          <w:p w:rsidR="00F426F1" w:rsidRPr="00B57B36" w:rsidRDefault="00F426F1" w:rsidP="00F426F1">
            <w:pPr>
              <w:pStyle w:val="CETBodytext"/>
              <w:rPr>
                <w:lang w:val="en-GB"/>
              </w:rPr>
            </w:pPr>
            <w:r>
              <w:rPr>
                <w:lang w:val="en-GB"/>
              </w:rPr>
              <w:t>3.2</w:t>
            </w:r>
          </w:p>
        </w:tc>
        <w:tc>
          <w:tcPr>
            <w:tcW w:w="1842" w:type="dxa"/>
            <w:shd w:val="clear" w:color="auto" w:fill="FFFFFF"/>
          </w:tcPr>
          <w:p w:rsidR="00F426F1" w:rsidRDefault="00994813" w:rsidP="00F426F1">
            <w:pPr>
              <w:pStyle w:val="CETBodytext"/>
              <w:ind w:right="-1"/>
              <w:rPr>
                <w:rFonts w:cs="Arial"/>
                <w:szCs w:val="18"/>
                <w:lang w:val="en-GB"/>
              </w:rPr>
            </w:pPr>
            <w:r>
              <w:rPr>
                <w:rFonts w:cs="Arial"/>
                <w:szCs w:val="18"/>
                <w:lang w:val="en-GB"/>
              </w:rPr>
              <w:t>0.160  1.637</w:t>
            </w:r>
          </w:p>
          <w:p w:rsidR="009D42F3" w:rsidRDefault="00994813" w:rsidP="00F426F1">
            <w:pPr>
              <w:pStyle w:val="CETBodytext"/>
              <w:ind w:right="-1"/>
              <w:rPr>
                <w:rFonts w:cs="Arial"/>
                <w:szCs w:val="18"/>
                <w:lang w:val="en-GB"/>
              </w:rPr>
            </w:pPr>
            <w:r>
              <w:rPr>
                <w:rFonts w:cs="Arial"/>
                <w:szCs w:val="18"/>
                <w:lang w:val="en-GB"/>
              </w:rPr>
              <w:t xml:space="preserve">0.244 </w:t>
            </w:r>
            <w:r w:rsidR="009D42F3">
              <w:rPr>
                <w:rFonts w:cs="Arial"/>
                <w:szCs w:val="18"/>
                <w:lang w:val="en-GB"/>
              </w:rPr>
              <w:t xml:space="preserve"> 1.277</w:t>
            </w:r>
          </w:p>
          <w:p w:rsidR="009D42F3" w:rsidRDefault="009D42F3" w:rsidP="00F426F1">
            <w:pPr>
              <w:pStyle w:val="CETBodytext"/>
              <w:ind w:right="-1"/>
              <w:rPr>
                <w:rFonts w:cs="Arial"/>
                <w:szCs w:val="18"/>
                <w:lang w:val="en-GB"/>
              </w:rPr>
            </w:pPr>
            <w:r>
              <w:rPr>
                <w:rFonts w:cs="Arial"/>
                <w:szCs w:val="18"/>
                <w:lang w:val="en-GB"/>
              </w:rPr>
              <w:t>1.557  1.437</w:t>
            </w:r>
          </w:p>
          <w:p w:rsidR="00994813" w:rsidRDefault="009D42F3" w:rsidP="00F426F1">
            <w:pPr>
              <w:pStyle w:val="CETBodytext"/>
              <w:ind w:right="-1"/>
              <w:rPr>
                <w:rFonts w:cs="Arial"/>
                <w:szCs w:val="18"/>
                <w:lang w:val="en-GB"/>
              </w:rPr>
            </w:pPr>
            <w:r>
              <w:rPr>
                <w:rFonts w:cs="Arial"/>
                <w:szCs w:val="18"/>
                <w:lang w:val="en-GB"/>
              </w:rPr>
              <w:t>2.275</w:t>
            </w:r>
            <w:r w:rsidR="00994813">
              <w:rPr>
                <w:rFonts w:cs="Arial"/>
                <w:szCs w:val="18"/>
                <w:lang w:val="en-GB"/>
              </w:rPr>
              <w:t xml:space="preserve"> </w:t>
            </w:r>
          </w:p>
          <w:p w:rsidR="009D42F3" w:rsidRDefault="009D42F3" w:rsidP="00F426F1">
            <w:pPr>
              <w:pStyle w:val="CETBodytext"/>
              <w:ind w:right="-1"/>
              <w:rPr>
                <w:rFonts w:cs="Arial"/>
                <w:szCs w:val="18"/>
                <w:lang w:val="en-GB"/>
              </w:rPr>
            </w:pPr>
          </w:p>
        </w:tc>
        <w:tc>
          <w:tcPr>
            <w:tcW w:w="1275" w:type="dxa"/>
            <w:shd w:val="clear" w:color="auto" w:fill="FFFFFF"/>
          </w:tcPr>
          <w:p w:rsidR="00EA0ED1" w:rsidRDefault="00F426F1" w:rsidP="00F426F1">
            <w:pPr>
              <w:pStyle w:val="CETBodytext"/>
              <w:ind w:right="-142"/>
              <w:rPr>
                <w:rFonts w:cs="Arial"/>
                <w:szCs w:val="18"/>
                <w:lang w:val="en-GB"/>
              </w:rPr>
            </w:pPr>
            <w:r>
              <w:rPr>
                <w:rFonts w:cs="Arial"/>
                <w:szCs w:val="18"/>
                <w:lang w:val="en-GB"/>
              </w:rPr>
              <w:t>1.23</w:t>
            </w:r>
          </w:p>
          <w:p w:rsidR="00F426F1" w:rsidRPr="00B57B36" w:rsidRDefault="00EA0ED1" w:rsidP="00F426F1">
            <w:pPr>
              <w:pStyle w:val="CETBodytext"/>
              <w:ind w:right="-142"/>
              <w:rPr>
                <w:rFonts w:cs="Arial"/>
                <w:szCs w:val="18"/>
                <w:lang w:val="en-GB"/>
              </w:rPr>
            </w:pPr>
            <w:r>
              <w:rPr>
                <w:rFonts w:cs="Arial"/>
                <w:szCs w:val="18"/>
                <w:lang w:val="en-GB"/>
              </w:rPr>
              <w:t>(0.77)</w:t>
            </w:r>
            <w:r w:rsidR="00F426F1">
              <w:rPr>
                <w:rFonts w:cs="Arial"/>
                <w:szCs w:val="18"/>
                <w:lang w:val="en-GB"/>
              </w:rPr>
              <w:t xml:space="preserve">                              </w:t>
            </w:r>
          </w:p>
        </w:tc>
        <w:tc>
          <w:tcPr>
            <w:tcW w:w="1134" w:type="dxa"/>
            <w:shd w:val="clear" w:color="auto" w:fill="FFFFFF"/>
          </w:tcPr>
          <w:p w:rsidR="00F426F1" w:rsidRDefault="00F426F1" w:rsidP="00F426F1">
            <w:pPr>
              <w:pStyle w:val="CETBodytext"/>
              <w:ind w:right="-1"/>
              <w:rPr>
                <w:rFonts w:cs="Arial"/>
                <w:szCs w:val="18"/>
                <w:lang w:val="en-GB"/>
              </w:rPr>
            </w:pPr>
            <w:r>
              <w:rPr>
                <w:rFonts w:cs="Arial"/>
                <w:szCs w:val="18"/>
                <w:lang w:val="en-GB"/>
              </w:rPr>
              <w:t>17.1</w:t>
            </w:r>
          </w:p>
        </w:tc>
        <w:tc>
          <w:tcPr>
            <w:tcW w:w="992" w:type="dxa"/>
            <w:shd w:val="clear" w:color="auto" w:fill="FFFFFF"/>
          </w:tcPr>
          <w:p w:rsidR="00F426F1" w:rsidRDefault="00F426F1" w:rsidP="00F426F1">
            <w:pPr>
              <w:pStyle w:val="CETBodytext"/>
              <w:ind w:right="-1"/>
              <w:rPr>
                <w:rFonts w:cs="Arial"/>
                <w:szCs w:val="18"/>
                <w:lang w:val="en-GB"/>
              </w:rPr>
            </w:pPr>
            <w:r>
              <w:rPr>
                <w:rFonts w:cs="Arial"/>
                <w:szCs w:val="18"/>
                <w:lang w:val="en-GB"/>
              </w:rPr>
              <w:t>93.6</w:t>
            </w:r>
          </w:p>
        </w:tc>
      </w:tr>
      <w:tr w:rsidR="00F426F1" w:rsidRPr="00B57B36" w:rsidTr="00EA0ED1">
        <w:tc>
          <w:tcPr>
            <w:tcW w:w="1276"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3</w:t>
            </w:r>
          </w:p>
        </w:tc>
        <w:tc>
          <w:tcPr>
            <w:tcW w:w="1276"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370</w:t>
            </w:r>
          </w:p>
        </w:tc>
        <w:tc>
          <w:tcPr>
            <w:tcW w:w="993"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3.2</w:t>
            </w:r>
          </w:p>
        </w:tc>
        <w:tc>
          <w:tcPr>
            <w:tcW w:w="1842" w:type="dxa"/>
            <w:shd w:val="clear" w:color="auto" w:fill="FFFFFF"/>
          </w:tcPr>
          <w:p w:rsidR="009D42F3" w:rsidRDefault="009D42F3" w:rsidP="009D42F3">
            <w:pPr>
              <w:pStyle w:val="CETBodytext"/>
              <w:ind w:right="-1"/>
              <w:rPr>
                <w:rFonts w:cs="Arial"/>
                <w:szCs w:val="18"/>
                <w:lang w:val="en-GB"/>
              </w:rPr>
            </w:pPr>
            <w:r>
              <w:rPr>
                <w:rFonts w:cs="Arial"/>
                <w:szCs w:val="18"/>
                <w:lang w:val="en-GB"/>
              </w:rPr>
              <w:t>4.411  5.689</w:t>
            </w:r>
          </w:p>
          <w:p w:rsidR="009D42F3" w:rsidRDefault="009D42F3" w:rsidP="009D42F3">
            <w:pPr>
              <w:pStyle w:val="CETBodytext"/>
              <w:ind w:right="-1"/>
              <w:rPr>
                <w:rFonts w:cs="Arial"/>
                <w:szCs w:val="18"/>
                <w:lang w:val="en-GB"/>
              </w:rPr>
            </w:pPr>
            <w:r>
              <w:rPr>
                <w:rFonts w:cs="Arial"/>
                <w:szCs w:val="18"/>
                <w:lang w:val="en-GB"/>
              </w:rPr>
              <w:t xml:space="preserve">7.305  4.611 </w:t>
            </w:r>
          </w:p>
          <w:p w:rsidR="00F426F1" w:rsidRDefault="009D42F3" w:rsidP="00F426F1">
            <w:pPr>
              <w:pStyle w:val="CETBodytext"/>
              <w:ind w:right="-1"/>
              <w:rPr>
                <w:rFonts w:cs="Arial"/>
                <w:szCs w:val="18"/>
                <w:lang w:val="en-GB"/>
              </w:rPr>
            </w:pPr>
            <w:r>
              <w:rPr>
                <w:rFonts w:cs="Arial"/>
                <w:szCs w:val="18"/>
                <w:lang w:val="en-GB"/>
              </w:rPr>
              <w:t xml:space="preserve">5.269  </w:t>
            </w:r>
          </w:p>
          <w:p w:rsidR="009D42F3" w:rsidRDefault="009D42F3" w:rsidP="00F426F1">
            <w:pPr>
              <w:pStyle w:val="CETBodytext"/>
              <w:ind w:right="-1"/>
              <w:rPr>
                <w:rFonts w:cs="Arial"/>
                <w:szCs w:val="18"/>
                <w:lang w:val="en-GB"/>
              </w:rPr>
            </w:pPr>
          </w:p>
        </w:tc>
        <w:tc>
          <w:tcPr>
            <w:tcW w:w="1275" w:type="dxa"/>
            <w:shd w:val="clear" w:color="auto" w:fill="FFFFFF"/>
          </w:tcPr>
          <w:p w:rsidR="00F426F1" w:rsidRDefault="00F426F1" w:rsidP="00F426F1">
            <w:pPr>
              <w:pStyle w:val="CETBodytext"/>
              <w:ind w:right="-142"/>
              <w:rPr>
                <w:rFonts w:cs="Arial"/>
                <w:szCs w:val="18"/>
                <w:lang w:val="en-GB"/>
              </w:rPr>
            </w:pPr>
            <w:r>
              <w:rPr>
                <w:rFonts w:cs="Arial"/>
                <w:szCs w:val="18"/>
                <w:lang w:val="en-GB"/>
              </w:rPr>
              <w:t>5.50</w:t>
            </w:r>
          </w:p>
          <w:p w:rsidR="00EA0ED1" w:rsidRPr="00B57B36" w:rsidRDefault="00EA0ED1" w:rsidP="00EA0ED1">
            <w:pPr>
              <w:pStyle w:val="CETBodytext"/>
              <w:ind w:right="-142"/>
              <w:rPr>
                <w:rFonts w:cs="Arial"/>
                <w:szCs w:val="18"/>
                <w:lang w:val="en-GB"/>
              </w:rPr>
            </w:pPr>
            <w:r>
              <w:rPr>
                <w:rFonts w:cs="Arial"/>
                <w:szCs w:val="18"/>
                <w:lang w:val="en-GB"/>
              </w:rPr>
              <w:t>(1.15)</w:t>
            </w:r>
          </w:p>
        </w:tc>
        <w:tc>
          <w:tcPr>
            <w:tcW w:w="1134" w:type="dxa"/>
            <w:shd w:val="clear" w:color="auto" w:fill="FFFFFF"/>
          </w:tcPr>
          <w:p w:rsidR="00F426F1" w:rsidRDefault="00F426F1" w:rsidP="00F426F1">
            <w:pPr>
              <w:pStyle w:val="CETBodytext"/>
              <w:ind w:right="-1"/>
              <w:rPr>
                <w:rFonts w:cs="Arial"/>
                <w:szCs w:val="18"/>
                <w:lang w:val="en-GB"/>
              </w:rPr>
            </w:pPr>
            <w:r>
              <w:rPr>
                <w:rFonts w:cs="Arial"/>
                <w:szCs w:val="18"/>
                <w:lang w:val="en-GB"/>
              </w:rPr>
              <w:t>76.4</w:t>
            </w:r>
          </w:p>
        </w:tc>
        <w:tc>
          <w:tcPr>
            <w:tcW w:w="992" w:type="dxa"/>
            <w:shd w:val="clear" w:color="auto" w:fill="FFFFFF"/>
          </w:tcPr>
          <w:p w:rsidR="00F426F1" w:rsidRDefault="00F426F1" w:rsidP="00F426F1">
            <w:pPr>
              <w:pStyle w:val="CETBodytext"/>
              <w:ind w:right="-1"/>
              <w:rPr>
                <w:rFonts w:cs="Arial"/>
                <w:szCs w:val="18"/>
                <w:lang w:val="en-GB"/>
              </w:rPr>
            </w:pPr>
            <w:r>
              <w:rPr>
                <w:rFonts w:cs="Arial"/>
                <w:szCs w:val="18"/>
                <w:lang w:val="en-GB"/>
              </w:rPr>
              <w:t>82.4</w:t>
            </w:r>
          </w:p>
        </w:tc>
      </w:tr>
      <w:tr w:rsidR="00F426F1" w:rsidRPr="00B57B36" w:rsidTr="00EA0ED1">
        <w:tc>
          <w:tcPr>
            <w:tcW w:w="1276" w:type="dxa"/>
            <w:shd w:val="clear" w:color="auto" w:fill="FFFFFF"/>
          </w:tcPr>
          <w:p w:rsidR="00F426F1" w:rsidRDefault="00F426F1" w:rsidP="00F426F1">
            <w:pPr>
              <w:pStyle w:val="CETBodytext"/>
              <w:ind w:right="-1"/>
              <w:rPr>
                <w:rFonts w:cs="Arial"/>
                <w:szCs w:val="18"/>
                <w:lang w:val="en-GB"/>
              </w:rPr>
            </w:pPr>
            <w:r>
              <w:rPr>
                <w:rFonts w:cs="Arial"/>
                <w:szCs w:val="18"/>
                <w:lang w:val="en-GB"/>
              </w:rPr>
              <w:t>4</w:t>
            </w:r>
          </w:p>
        </w:tc>
        <w:tc>
          <w:tcPr>
            <w:tcW w:w="1276"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390</w:t>
            </w:r>
          </w:p>
        </w:tc>
        <w:tc>
          <w:tcPr>
            <w:tcW w:w="993"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3.2</w:t>
            </w:r>
          </w:p>
        </w:tc>
        <w:tc>
          <w:tcPr>
            <w:tcW w:w="1842" w:type="dxa"/>
            <w:shd w:val="clear" w:color="auto" w:fill="FFFFFF"/>
          </w:tcPr>
          <w:p w:rsidR="00F426F1" w:rsidRDefault="009D42F3" w:rsidP="00F426F1">
            <w:pPr>
              <w:pStyle w:val="CETBodytext"/>
              <w:ind w:right="-1"/>
              <w:rPr>
                <w:rFonts w:cs="Arial"/>
                <w:szCs w:val="18"/>
                <w:lang w:val="en-GB"/>
              </w:rPr>
            </w:pPr>
            <w:r>
              <w:rPr>
                <w:rFonts w:cs="Arial"/>
                <w:szCs w:val="18"/>
                <w:lang w:val="en-GB"/>
              </w:rPr>
              <w:t>6.447  5.030</w:t>
            </w:r>
          </w:p>
          <w:p w:rsidR="009D42F3" w:rsidRDefault="009D42F3" w:rsidP="00F426F1">
            <w:pPr>
              <w:pStyle w:val="CETBodytext"/>
              <w:ind w:right="-1"/>
              <w:rPr>
                <w:rFonts w:cs="Arial"/>
                <w:szCs w:val="18"/>
                <w:lang w:val="en-GB"/>
              </w:rPr>
            </w:pPr>
            <w:r>
              <w:rPr>
                <w:rFonts w:cs="Arial"/>
                <w:szCs w:val="18"/>
                <w:lang w:val="en-GB"/>
              </w:rPr>
              <w:t>6.607  6.188</w:t>
            </w:r>
          </w:p>
          <w:p w:rsidR="009D42F3" w:rsidRDefault="009D42F3" w:rsidP="00F426F1">
            <w:pPr>
              <w:pStyle w:val="CETBodytext"/>
              <w:ind w:right="-1"/>
              <w:rPr>
                <w:rFonts w:cs="Arial"/>
                <w:szCs w:val="18"/>
                <w:lang w:val="en-GB"/>
              </w:rPr>
            </w:pPr>
            <w:r>
              <w:rPr>
                <w:rFonts w:cs="Arial"/>
                <w:szCs w:val="18"/>
                <w:lang w:val="en-GB"/>
              </w:rPr>
              <w:t>7.046  4.371</w:t>
            </w:r>
          </w:p>
          <w:p w:rsidR="009D42F3" w:rsidRDefault="009D42F3" w:rsidP="00F426F1">
            <w:pPr>
              <w:pStyle w:val="CETBodytext"/>
              <w:ind w:right="-1"/>
              <w:rPr>
                <w:rFonts w:cs="Arial"/>
                <w:szCs w:val="18"/>
                <w:lang w:val="en-GB"/>
              </w:rPr>
            </w:pPr>
          </w:p>
        </w:tc>
        <w:tc>
          <w:tcPr>
            <w:tcW w:w="1275" w:type="dxa"/>
            <w:shd w:val="clear" w:color="auto" w:fill="FFFFFF"/>
          </w:tcPr>
          <w:p w:rsidR="00F426F1" w:rsidRDefault="00F426F1" w:rsidP="00F426F1">
            <w:pPr>
              <w:pStyle w:val="CETBodytext"/>
              <w:ind w:right="-142"/>
              <w:rPr>
                <w:rFonts w:cs="Arial"/>
                <w:szCs w:val="18"/>
                <w:lang w:val="en-GB"/>
              </w:rPr>
            </w:pPr>
            <w:r>
              <w:rPr>
                <w:rFonts w:cs="Arial"/>
                <w:szCs w:val="18"/>
                <w:lang w:val="en-GB"/>
              </w:rPr>
              <w:t>5.95</w:t>
            </w:r>
          </w:p>
          <w:p w:rsidR="00EA0ED1" w:rsidRDefault="0011439E" w:rsidP="00F426F1">
            <w:pPr>
              <w:pStyle w:val="CETBodytext"/>
              <w:ind w:right="-142"/>
              <w:rPr>
                <w:rFonts w:cs="Arial"/>
                <w:szCs w:val="18"/>
                <w:lang w:val="en-GB"/>
              </w:rPr>
            </w:pPr>
            <w:r>
              <w:rPr>
                <w:rFonts w:cs="Arial"/>
                <w:szCs w:val="18"/>
                <w:lang w:val="en-GB"/>
              </w:rPr>
              <w:t>(</w:t>
            </w:r>
            <w:r w:rsidR="008152D5">
              <w:rPr>
                <w:rFonts w:cs="Arial"/>
                <w:szCs w:val="18"/>
                <w:lang w:val="en-GB"/>
              </w:rPr>
              <w:t>1.02</w:t>
            </w:r>
            <w:r>
              <w:rPr>
                <w:rFonts w:cs="Arial"/>
                <w:szCs w:val="18"/>
                <w:lang w:val="en-GB"/>
              </w:rPr>
              <w:t>)</w:t>
            </w:r>
          </w:p>
          <w:p w:rsidR="00EA0ED1" w:rsidRPr="00B57B36" w:rsidRDefault="00EA0ED1" w:rsidP="00F426F1">
            <w:pPr>
              <w:pStyle w:val="CETBodytext"/>
              <w:ind w:right="-142"/>
              <w:rPr>
                <w:rFonts w:cs="Arial"/>
                <w:szCs w:val="18"/>
                <w:lang w:val="en-GB"/>
              </w:rPr>
            </w:pPr>
          </w:p>
        </w:tc>
        <w:tc>
          <w:tcPr>
            <w:tcW w:w="1134" w:type="dxa"/>
            <w:shd w:val="clear" w:color="auto" w:fill="FFFFFF"/>
          </w:tcPr>
          <w:p w:rsidR="00F426F1" w:rsidRDefault="00F426F1" w:rsidP="00F426F1">
            <w:pPr>
              <w:pStyle w:val="CETBodytext"/>
              <w:ind w:right="-1"/>
              <w:rPr>
                <w:rFonts w:cs="Arial"/>
                <w:szCs w:val="18"/>
                <w:lang w:val="en-GB"/>
              </w:rPr>
            </w:pPr>
            <w:r>
              <w:rPr>
                <w:rFonts w:cs="Arial"/>
                <w:szCs w:val="18"/>
                <w:lang w:val="en-GB"/>
              </w:rPr>
              <w:t>82.6</w:t>
            </w:r>
          </w:p>
        </w:tc>
        <w:tc>
          <w:tcPr>
            <w:tcW w:w="992" w:type="dxa"/>
            <w:shd w:val="clear" w:color="auto" w:fill="FFFFFF"/>
          </w:tcPr>
          <w:p w:rsidR="00F426F1" w:rsidRDefault="00F426F1" w:rsidP="00F426F1">
            <w:pPr>
              <w:pStyle w:val="CETBodytext"/>
              <w:ind w:right="-1"/>
              <w:rPr>
                <w:rFonts w:cs="Arial"/>
                <w:szCs w:val="18"/>
                <w:lang w:val="en-GB"/>
              </w:rPr>
            </w:pPr>
            <w:r>
              <w:rPr>
                <w:rFonts w:cs="Arial"/>
                <w:szCs w:val="18"/>
                <w:lang w:val="en-GB"/>
              </w:rPr>
              <w:t>75.3</w:t>
            </w:r>
          </w:p>
        </w:tc>
      </w:tr>
      <w:tr w:rsidR="00F426F1" w:rsidRPr="00B57B36" w:rsidTr="00EA0ED1">
        <w:tc>
          <w:tcPr>
            <w:tcW w:w="1276" w:type="dxa"/>
            <w:shd w:val="clear" w:color="auto" w:fill="FFFFFF"/>
          </w:tcPr>
          <w:p w:rsidR="00F426F1" w:rsidRDefault="00F426F1" w:rsidP="00F426F1">
            <w:pPr>
              <w:pStyle w:val="CETBodytext"/>
              <w:ind w:right="-1"/>
              <w:rPr>
                <w:rFonts w:cs="Arial"/>
                <w:szCs w:val="18"/>
                <w:lang w:val="en-GB"/>
              </w:rPr>
            </w:pPr>
            <w:r>
              <w:rPr>
                <w:rFonts w:cs="Arial"/>
                <w:szCs w:val="18"/>
                <w:lang w:val="en-GB"/>
              </w:rPr>
              <w:t>5</w:t>
            </w:r>
          </w:p>
        </w:tc>
        <w:tc>
          <w:tcPr>
            <w:tcW w:w="1276"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390</w:t>
            </w:r>
          </w:p>
        </w:tc>
        <w:tc>
          <w:tcPr>
            <w:tcW w:w="993"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1.9</w:t>
            </w:r>
          </w:p>
        </w:tc>
        <w:tc>
          <w:tcPr>
            <w:tcW w:w="1842" w:type="dxa"/>
            <w:shd w:val="clear" w:color="auto" w:fill="FFFFFF"/>
          </w:tcPr>
          <w:p w:rsidR="00F426F1" w:rsidRDefault="009D42F3" w:rsidP="00F426F1">
            <w:pPr>
              <w:pStyle w:val="CETBodytext"/>
              <w:ind w:right="-1"/>
              <w:rPr>
                <w:rFonts w:cs="Arial"/>
                <w:szCs w:val="18"/>
                <w:lang w:val="en-GB"/>
              </w:rPr>
            </w:pPr>
            <w:r>
              <w:rPr>
                <w:rFonts w:cs="Arial"/>
                <w:szCs w:val="18"/>
                <w:lang w:val="en-GB"/>
              </w:rPr>
              <w:t>6.707  5.589</w:t>
            </w:r>
          </w:p>
          <w:p w:rsidR="009D42F3" w:rsidRDefault="009721F7" w:rsidP="00F426F1">
            <w:pPr>
              <w:pStyle w:val="CETBodytext"/>
              <w:ind w:right="-1"/>
              <w:rPr>
                <w:rFonts w:cs="Arial"/>
                <w:szCs w:val="18"/>
                <w:lang w:val="en-GB"/>
              </w:rPr>
            </w:pPr>
            <w:r>
              <w:rPr>
                <w:rFonts w:cs="Arial"/>
                <w:szCs w:val="18"/>
                <w:lang w:val="en-GB"/>
              </w:rPr>
              <w:t>6.21</w:t>
            </w:r>
            <w:r w:rsidR="009D42F3">
              <w:rPr>
                <w:rFonts w:cs="Arial"/>
                <w:szCs w:val="18"/>
                <w:lang w:val="en-GB"/>
              </w:rPr>
              <w:t xml:space="preserve">4  </w:t>
            </w:r>
            <w:r>
              <w:rPr>
                <w:rFonts w:cs="Arial"/>
                <w:szCs w:val="18"/>
                <w:lang w:val="en-GB"/>
              </w:rPr>
              <w:t>6.112</w:t>
            </w:r>
          </w:p>
          <w:p w:rsidR="009D42F3" w:rsidRDefault="009D42F3" w:rsidP="00F426F1">
            <w:pPr>
              <w:pStyle w:val="CETBodytext"/>
              <w:ind w:right="-1"/>
              <w:rPr>
                <w:rFonts w:cs="Arial"/>
                <w:szCs w:val="18"/>
                <w:lang w:val="en-GB"/>
              </w:rPr>
            </w:pPr>
          </w:p>
        </w:tc>
        <w:tc>
          <w:tcPr>
            <w:tcW w:w="1275" w:type="dxa"/>
            <w:shd w:val="clear" w:color="auto" w:fill="FFFFFF"/>
          </w:tcPr>
          <w:p w:rsidR="00F426F1" w:rsidRDefault="00F426F1" w:rsidP="00F426F1">
            <w:pPr>
              <w:pStyle w:val="CETBodytext"/>
              <w:ind w:right="-142"/>
              <w:rPr>
                <w:rFonts w:cs="Arial"/>
                <w:szCs w:val="18"/>
                <w:lang w:val="en-GB"/>
              </w:rPr>
            </w:pPr>
            <w:r>
              <w:rPr>
                <w:rFonts w:cs="Arial"/>
                <w:szCs w:val="18"/>
                <w:lang w:val="en-GB"/>
              </w:rPr>
              <w:t>6.15</w:t>
            </w:r>
          </w:p>
          <w:p w:rsidR="0011439E" w:rsidRDefault="0011439E" w:rsidP="00F426F1">
            <w:pPr>
              <w:pStyle w:val="CETBodytext"/>
              <w:ind w:right="-142"/>
              <w:rPr>
                <w:rFonts w:cs="Arial"/>
                <w:szCs w:val="18"/>
                <w:lang w:val="en-GB"/>
              </w:rPr>
            </w:pPr>
            <w:r>
              <w:rPr>
                <w:rFonts w:cs="Arial"/>
                <w:szCs w:val="18"/>
                <w:lang w:val="en-GB"/>
              </w:rPr>
              <w:t>(0.46)</w:t>
            </w:r>
          </w:p>
          <w:p w:rsidR="008152D5" w:rsidRPr="00B57B36" w:rsidRDefault="008152D5" w:rsidP="00F426F1">
            <w:pPr>
              <w:pStyle w:val="CETBodytext"/>
              <w:ind w:right="-142"/>
              <w:rPr>
                <w:rFonts w:cs="Arial"/>
                <w:szCs w:val="18"/>
                <w:lang w:val="en-GB"/>
              </w:rPr>
            </w:pPr>
          </w:p>
        </w:tc>
        <w:tc>
          <w:tcPr>
            <w:tcW w:w="1134" w:type="dxa"/>
            <w:shd w:val="clear" w:color="auto" w:fill="FFFFFF"/>
          </w:tcPr>
          <w:p w:rsidR="00F426F1" w:rsidRDefault="00F426F1" w:rsidP="00F426F1">
            <w:pPr>
              <w:pStyle w:val="CETBodytext"/>
              <w:ind w:right="-1"/>
              <w:rPr>
                <w:rFonts w:cs="Arial"/>
                <w:szCs w:val="18"/>
                <w:lang w:val="en-GB"/>
              </w:rPr>
            </w:pPr>
            <w:r>
              <w:rPr>
                <w:rFonts w:cs="Arial"/>
                <w:szCs w:val="18"/>
                <w:lang w:val="en-GB"/>
              </w:rPr>
              <w:t>85.4</w:t>
            </w:r>
          </w:p>
        </w:tc>
        <w:tc>
          <w:tcPr>
            <w:tcW w:w="992" w:type="dxa"/>
            <w:shd w:val="clear" w:color="auto" w:fill="FFFFFF"/>
          </w:tcPr>
          <w:p w:rsidR="00F426F1" w:rsidRDefault="00F426F1" w:rsidP="00F426F1">
            <w:pPr>
              <w:pStyle w:val="CETBodytext"/>
              <w:ind w:right="-1"/>
              <w:rPr>
                <w:rFonts w:cs="Arial"/>
                <w:szCs w:val="18"/>
                <w:lang w:val="en-GB"/>
              </w:rPr>
            </w:pPr>
            <w:r>
              <w:rPr>
                <w:rFonts w:cs="Arial"/>
                <w:szCs w:val="18"/>
                <w:lang w:val="en-GB"/>
              </w:rPr>
              <w:t>126.7</w:t>
            </w:r>
          </w:p>
        </w:tc>
      </w:tr>
      <w:tr w:rsidR="00F426F1" w:rsidRPr="00B57B36" w:rsidTr="00EA0ED1">
        <w:tc>
          <w:tcPr>
            <w:tcW w:w="1276" w:type="dxa"/>
            <w:shd w:val="clear" w:color="auto" w:fill="FFFFFF"/>
          </w:tcPr>
          <w:p w:rsidR="00F426F1" w:rsidRDefault="00F426F1" w:rsidP="00F426F1">
            <w:pPr>
              <w:pStyle w:val="CETBodytext"/>
              <w:ind w:right="-1"/>
              <w:rPr>
                <w:rFonts w:cs="Arial"/>
                <w:szCs w:val="18"/>
                <w:lang w:val="en-GB"/>
              </w:rPr>
            </w:pPr>
            <w:r>
              <w:rPr>
                <w:rFonts w:cs="Arial"/>
                <w:szCs w:val="18"/>
                <w:lang w:val="en-GB"/>
              </w:rPr>
              <w:t>6</w:t>
            </w:r>
          </w:p>
        </w:tc>
        <w:tc>
          <w:tcPr>
            <w:tcW w:w="1276"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390</w:t>
            </w:r>
          </w:p>
        </w:tc>
        <w:tc>
          <w:tcPr>
            <w:tcW w:w="993"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5.1</w:t>
            </w:r>
          </w:p>
        </w:tc>
        <w:tc>
          <w:tcPr>
            <w:tcW w:w="1842" w:type="dxa"/>
            <w:shd w:val="clear" w:color="auto" w:fill="FFFFFF"/>
          </w:tcPr>
          <w:p w:rsidR="00F426F1" w:rsidRDefault="009D42F3" w:rsidP="00F426F1">
            <w:pPr>
              <w:pStyle w:val="CETBodytext"/>
              <w:ind w:right="-1"/>
              <w:rPr>
                <w:rFonts w:cs="Arial"/>
                <w:szCs w:val="18"/>
                <w:lang w:val="en-GB"/>
              </w:rPr>
            </w:pPr>
            <w:r>
              <w:rPr>
                <w:rFonts w:cs="Arial"/>
                <w:szCs w:val="18"/>
                <w:lang w:val="en-GB"/>
              </w:rPr>
              <w:t>5.609  4.651</w:t>
            </w:r>
          </w:p>
          <w:p w:rsidR="009D42F3" w:rsidRDefault="009D42F3" w:rsidP="00F426F1">
            <w:pPr>
              <w:pStyle w:val="CETBodytext"/>
              <w:ind w:right="-1"/>
              <w:rPr>
                <w:rFonts w:cs="Arial"/>
                <w:szCs w:val="18"/>
                <w:lang w:val="en-GB"/>
              </w:rPr>
            </w:pPr>
            <w:r>
              <w:rPr>
                <w:rFonts w:cs="Arial"/>
                <w:szCs w:val="18"/>
                <w:lang w:val="en-GB"/>
              </w:rPr>
              <w:t>5.289  6.128</w:t>
            </w:r>
          </w:p>
          <w:p w:rsidR="009D42F3" w:rsidRDefault="009D42F3" w:rsidP="00F426F1">
            <w:pPr>
              <w:pStyle w:val="CETBodytext"/>
              <w:ind w:right="-1"/>
              <w:rPr>
                <w:rFonts w:cs="Arial"/>
                <w:szCs w:val="18"/>
                <w:lang w:val="en-GB"/>
              </w:rPr>
            </w:pPr>
            <w:r>
              <w:rPr>
                <w:rFonts w:cs="Arial"/>
                <w:szCs w:val="18"/>
                <w:lang w:val="en-GB"/>
              </w:rPr>
              <w:t>5.888  5.349</w:t>
            </w:r>
          </w:p>
          <w:p w:rsidR="009D42F3" w:rsidRDefault="009D42F3" w:rsidP="00F426F1">
            <w:pPr>
              <w:pStyle w:val="CETBodytext"/>
              <w:ind w:right="-1"/>
              <w:rPr>
                <w:rFonts w:cs="Arial"/>
                <w:szCs w:val="18"/>
                <w:lang w:val="en-GB"/>
              </w:rPr>
            </w:pPr>
            <w:r>
              <w:rPr>
                <w:rFonts w:cs="Arial"/>
                <w:szCs w:val="18"/>
                <w:lang w:val="en-GB"/>
              </w:rPr>
              <w:t>6.487  3.972</w:t>
            </w:r>
          </w:p>
          <w:p w:rsidR="009D42F3" w:rsidRDefault="009D42F3" w:rsidP="00F426F1">
            <w:pPr>
              <w:pStyle w:val="CETBodytext"/>
              <w:ind w:right="-1"/>
              <w:rPr>
                <w:rFonts w:cs="Arial"/>
                <w:szCs w:val="18"/>
                <w:lang w:val="en-GB"/>
              </w:rPr>
            </w:pPr>
          </w:p>
        </w:tc>
        <w:tc>
          <w:tcPr>
            <w:tcW w:w="1275" w:type="dxa"/>
            <w:shd w:val="clear" w:color="auto" w:fill="FFFFFF"/>
          </w:tcPr>
          <w:p w:rsidR="00F426F1" w:rsidRDefault="00F426F1" w:rsidP="00F426F1">
            <w:pPr>
              <w:pStyle w:val="CETBodytext"/>
              <w:ind w:right="-142"/>
              <w:rPr>
                <w:rFonts w:cs="Arial"/>
                <w:szCs w:val="18"/>
                <w:lang w:val="en-GB"/>
              </w:rPr>
            </w:pPr>
            <w:r>
              <w:rPr>
                <w:rFonts w:cs="Arial"/>
                <w:szCs w:val="18"/>
                <w:lang w:val="en-GB"/>
              </w:rPr>
              <w:t>5.42</w:t>
            </w:r>
          </w:p>
          <w:p w:rsidR="0011439E" w:rsidRPr="00B57B36" w:rsidRDefault="0011439E" w:rsidP="00F426F1">
            <w:pPr>
              <w:pStyle w:val="CETBodytext"/>
              <w:ind w:right="-142"/>
              <w:rPr>
                <w:rFonts w:cs="Arial"/>
                <w:szCs w:val="18"/>
                <w:lang w:val="en-GB"/>
              </w:rPr>
            </w:pPr>
            <w:r>
              <w:rPr>
                <w:rFonts w:cs="Arial"/>
                <w:szCs w:val="18"/>
                <w:lang w:val="en-GB"/>
              </w:rPr>
              <w:t>(0.81)</w:t>
            </w:r>
          </w:p>
        </w:tc>
        <w:tc>
          <w:tcPr>
            <w:tcW w:w="1134" w:type="dxa"/>
            <w:shd w:val="clear" w:color="auto" w:fill="FFFFFF"/>
          </w:tcPr>
          <w:p w:rsidR="00F426F1" w:rsidRDefault="00F426F1" w:rsidP="00F426F1">
            <w:pPr>
              <w:pStyle w:val="CETBodytext"/>
              <w:ind w:right="-1"/>
              <w:rPr>
                <w:rFonts w:cs="Arial"/>
                <w:szCs w:val="18"/>
                <w:lang w:val="en-GB"/>
              </w:rPr>
            </w:pPr>
            <w:r>
              <w:rPr>
                <w:rFonts w:cs="Arial"/>
                <w:szCs w:val="18"/>
                <w:lang w:val="en-GB"/>
              </w:rPr>
              <w:t>75.3</w:t>
            </w:r>
          </w:p>
        </w:tc>
        <w:tc>
          <w:tcPr>
            <w:tcW w:w="992" w:type="dxa"/>
            <w:shd w:val="clear" w:color="auto" w:fill="FFFFFF"/>
          </w:tcPr>
          <w:p w:rsidR="00F426F1" w:rsidRDefault="00F426F1" w:rsidP="00F426F1">
            <w:pPr>
              <w:pStyle w:val="CETBodytext"/>
              <w:ind w:right="-1"/>
              <w:rPr>
                <w:rFonts w:cs="Arial"/>
                <w:szCs w:val="18"/>
                <w:lang w:val="en-GB"/>
              </w:rPr>
            </w:pPr>
            <w:r>
              <w:rPr>
                <w:rFonts w:cs="Arial"/>
                <w:szCs w:val="18"/>
                <w:lang w:val="en-GB"/>
              </w:rPr>
              <w:t>47.2</w:t>
            </w:r>
          </w:p>
        </w:tc>
      </w:tr>
      <w:tr w:rsidR="00F426F1" w:rsidRPr="00B57B36" w:rsidTr="00EA0ED1">
        <w:tc>
          <w:tcPr>
            <w:tcW w:w="1276" w:type="dxa"/>
            <w:shd w:val="clear" w:color="auto" w:fill="FFFFFF"/>
          </w:tcPr>
          <w:p w:rsidR="00F426F1" w:rsidRDefault="00F426F1" w:rsidP="00F426F1">
            <w:pPr>
              <w:pStyle w:val="CETBodytext"/>
              <w:ind w:right="-1"/>
              <w:rPr>
                <w:rFonts w:cs="Arial"/>
                <w:szCs w:val="18"/>
                <w:lang w:val="en-GB"/>
              </w:rPr>
            </w:pPr>
            <w:r>
              <w:rPr>
                <w:rFonts w:cs="Arial"/>
                <w:szCs w:val="18"/>
                <w:lang w:val="en-GB"/>
              </w:rPr>
              <w:t>7</w:t>
            </w:r>
          </w:p>
        </w:tc>
        <w:tc>
          <w:tcPr>
            <w:tcW w:w="1276"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420</w:t>
            </w:r>
          </w:p>
        </w:tc>
        <w:tc>
          <w:tcPr>
            <w:tcW w:w="993"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5.1</w:t>
            </w:r>
          </w:p>
        </w:tc>
        <w:tc>
          <w:tcPr>
            <w:tcW w:w="1842" w:type="dxa"/>
            <w:shd w:val="clear" w:color="auto" w:fill="FFFFFF"/>
          </w:tcPr>
          <w:p w:rsidR="00F426F1" w:rsidRDefault="009D42F3" w:rsidP="00F426F1">
            <w:pPr>
              <w:pStyle w:val="CETBodytext"/>
              <w:ind w:right="-1"/>
              <w:rPr>
                <w:rFonts w:cs="Arial"/>
                <w:szCs w:val="18"/>
                <w:lang w:val="en-GB"/>
              </w:rPr>
            </w:pPr>
            <w:r>
              <w:rPr>
                <w:rFonts w:cs="Arial"/>
                <w:szCs w:val="18"/>
                <w:lang w:val="en-GB"/>
              </w:rPr>
              <w:t>6.747  7.565</w:t>
            </w:r>
          </w:p>
          <w:p w:rsidR="009D42F3" w:rsidRDefault="007238ED" w:rsidP="00F426F1">
            <w:pPr>
              <w:pStyle w:val="CETBodytext"/>
              <w:ind w:right="-1"/>
              <w:rPr>
                <w:rFonts w:cs="Arial"/>
                <w:szCs w:val="18"/>
                <w:lang w:val="en-GB"/>
              </w:rPr>
            </w:pPr>
            <w:r>
              <w:rPr>
                <w:rFonts w:cs="Arial"/>
                <w:szCs w:val="18"/>
                <w:lang w:val="en-GB"/>
              </w:rPr>
              <w:t>6.070</w:t>
            </w:r>
            <w:r w:rsidR="009D42F3">
              <w:rPr>
                <w:rFonts w:cs="Arial"/>
                <w:szCs w:val="18"/>
                <w:lang w:val="en-GB"/>
              </w:rPr>
              <w:t xml:space="preserve">  5.828</w:t>
            </w:r>
          </w:p>
          <w:p w:rsidR="009D42F3" w:rsidRDefault="009D42F3" w:rsidP="00F426F1">
            <w:pPr>
              <w:pStyle w:val="CETBodytext"/>
              <w:ind w:right="-1"/>
              <w:rPr>
                <w:rFonts w:cs="Arial"/>
                <w:szCs w:val="18"/>
                <w:lang w:val="en-GB"/>
              </w:rPr>
            </w:pPr>
            <w:r>
              <w:rPr>
                <w:rFonts w:cs="Arial"/>
                <w:szCs w:val="18"/>
                <w:lang w:val="en-GB"/>
              </w:rPr>
              <w:t>4.371</w:t>
            </w:r>
          </w:p>
          <w:p w:rsidR="009D42F3" w:rsidRDefault="009D42F3" w:rsidP="00F426F1">
            <w:pPr>
              <w:pStyle w:val="CETBodytext"/>
              <w:ind w:right="-1"/>
              <w:rPr>
                <w:rFonts w:cs="Arial"/>
                <w:szCs w:val="18"/>
                <w:lang w:val="en-GB"/>
              </w:rPr>
            </w:pPr>
          </w:p>
        </w:tc>
        <w:tc>
          <w:tcPr>
            <w:tcW w:w="1275" w:type="dxa"/>
            <w:shd w:val="clear" w:color="auto" w:fill="FFFFFF"/>
          </w:tcPr>
          <w:p w:rsidR="00F426F1" w:rsidRDefault="007238ED" w:rsidP="00F426F1">
            <w:pPr>
              <w:pStyle w:val="CETBodytext"/>
              <w:ind w:right="-142"/>
              <w:rPr>
                <w:rFonts w:cs="Arial"/>
                <w:szCs w:val="18"/>
                <w:lang w:val="en-GB"/>
              </w:rPr>
            </w:pPr>
            <w:r>
              <w:rPr>
                <w:rFonts w:cs="Arial"/>
                <w:szCs w:val="18"/>
                <w:lang w:val="en-GB"/>
              </w:rPr>
              <w:t>6</w:t>
            </w:r>
            <w:r w:rsidR="00F426F1">
              <w:rPr>
                <w:rFonts w:cs="Arial"/>
                <w:szCs w:val="18"/>
                <w:lang w:val="en-GB"/>
              </w:rPr>
              <w:t>.11</w:t>
            </w:r>
          </w:p>
          <w:p w:rsidR="0011439E" w:rsidRPr="00B57B36" w:rsidRDefault="0011439E" w:rsidP="00F426F1">
            <w:pPr>
              <w:pStyle w:val="CETBodytext"/>
              <w:ind w:right="-142"/>
              <w:rPr>
                <w:rFonts w:cs="Arial"/>
                <w:szCs w:val="18"/>
                <w:lang w:val="en-GB"/>
              </w:rPr>
            </w:pPr>
            <w:r>
              <w:rPr>
                <w:rFonts w:cs="Arial"/>
                <w:szCs w:val="18"/>
                <w:lang w:val="en-GB"/>
              </w:rPr>
              <w:t>(1.18)</w:t>
            </w:r>
          </w:p>
        </w:tc>
        <w:tc>
          <w:tcPr>
            <w:tcW w:w="1134" w:type="dxa"/>
            <w:shd w:val="clear" w:color="auto" w:fill="FFFFFF"/>
          </w:tcPr>
          <w:p w:rsidR="00F426F1" w:rsidRDefault="00784A39" w:rsidP="00F426F1">
            <w:pPr>
              <w:pStyle w:val="CETBodytext"/>
              <w:ind w:right="-1"/>
              <w:rPr>
                <w:rFonts w:cs="Arial"/>
                <w:szCs w:val="18"/>
                <w:lang w:val="en-GB"/>
              </w:rPr>
            </w:pPr>
            <w:r>
              <w:rPr>
                <w:rFonts w:cs="Arial"/>
                <w:szCs w:val="18"/>
                <w:lang w:val="en-GB"/>
              </w:rPr>
              <w:t>84.9</w:t>
            </w:r>
          </w:p>
        </w:tc>
        <w:tc>
          <w:tcPr>
            <w:tcW w:w="992" w:type="dxa"/>
            <w:shd w:val="clear" w:color="auto" w:fill="FFFFFF"/>
          </w:tcPr>
          <w:p w:rsidR="00F426F1" w:rsidRDefault="00F426F1" w:rsidP="00F426F1">
            <w:pPr>
              <w:pStyle w:val="CETBodytext"/>
              <w:ind w:right="-1"/>
              <w:rPr>
                <w:rFonts w:cs="Arial"/>
                <w:szCs w:val="18"/>
                <w:lang w:val="en-GB"/>
              </w:rPr>
            </w:pPr>
            <w:r>
              <w:rPr>
                <w:rFonts w:cs="Arial"/>
                <w:szCs w:val="18"/>
                <w:lang w:val="en-GB"/>
              </w:rPr>
              <w:t>42.5</w:t>
            </w:r>
          </w:p>
        </w:tc>
      </w:tr>
      <w:tr w:rsidR="00F426F1" w:rsidRPr="00B57B36" w:rsidTr="00EA0ED1">
        <w:tc>
          <w:tcPr>
            <w:tcW w:w="1276" w:type="dxa"/>
            <w:shd w:val="clear" w:color="auto" w:fill="FFFFFF"/>
          </w:tcPr>
          <w:p w:rsidR="00F426F1" w:rsidRDefault="00F426F1" w:rsidP="00F426F1">
            <w:pPr>
              <w:pStyle w:val="CETBodytext"/>
              <w:ind w:right="-1"/>
              <w:rPr>
                <w:rFonts w:cs="Arial"/>
                <w:szCs w:val="18"/>
                <w:lang w:val="en-GB"/>
              </w:rPr>
            </w:pPr>
            <w:r>
              <w:rPr>
                <w:rFonts w:cs="Arial"/>
                <w:szCs w:val="18"/>
                <w:lang w:val="en-GB"/>
              </w:rPr>
              <w:t>8</w:t>
            </w:r>
          </w:p>
        </w:tc>
        <w:tc>
          <w:tcPr>
            <w:tcW w:w="1276"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420</w:t>
            </w:r>
          </w:p>
        </w:tc>
        <w:tc>
          <w:tcPr>
            <w:tcW w:w="993" w:type="dxa"/>
            <w:shd w:val="clear" w:color="auto" w:fill="FFFFFF"/>
          </w:tcPr>
          <w:p w:rsidR="00F426F1" w:rsidRPr="00B57B36" w:rsidRDefault="00F426F1" w:rsidP="00F426F1">
            <w:pPr>
              <w:pStyle w:val="CETBodytext"/>
              <w:ind w:right="-1"/>
              <w:rPr>
                <w:rFonts w:cs="Arial"/>
                <w:szCs w:val="18"/>
                <w:lang w:val="en-GB"/>
              </w:rPr>
            </w:pPr>
            <w:r>
              <w:rPr>
                <w:rFonts w:cs="Arial"/>
                <w:szCs w:val="18"/>
                <w:lang w:val="en-GB"/>
              </w:rPr>
              <w:t>3.2</w:t>
            </w:r>
          </w:p>
        </w:tc>
        <w:tc>
          <w:tcPr>
            <w:tcW w:w="1842" w:type="dxa"/>
            <w:shd w:val="clear" w:color="auto" w:fill="FFFFFF"/>
          </w:tcPr>
          <w:p w:rsidR="00F426F1" w:rsidRDefault="009D42F3" w:rsidP="00F426F1">
            <w:pPr>
              <w:pStyle w:val="CETBodytext"/>
              <w:ind w:right="-1"/>
              <w:rPr>
                <w:rFonts w:cs="Arial"/>
                <w:szCs w:val="18"/>
                <w:lang w:val="en-GB"/>
              </w:rPr>
            </w:pPr>
            <w:r>
              <w:rPr>
                <w:rFonts w:cs="Arial"/>
                <w:szCs w:val="18"/>
                <w:lang w:val="en-GB"/>
              </w:rPr>
              <w:t>5.269  5.649</w:t>
            </w:r>
          </w:p>
          <w:p w:rsidR="009D42F3" w:rsidRDefault="009D42F3" w:rsidP="00F426F1">
            <w:pPr>
              <w:pStyle w:val="CETBodytext"/>
              <w:ind w:right="-1"/>
              <w:rPr>
                <w:rFonts w:cs="Arial"/>
                <w:szCs w:val="18"/>
                <w:lang w:val="en-GB"/>
              </w:rPr>
            </w:pPr>
            <w:r>
              <w:rPr>
                <w:rFonts w:cs="Arial"/>
                <w:szCs w:val="18"/>
                <w:lang w:val="en-GB"/>
              </w:rPr>
              <w:t>6.128  6.048</w:t>
            </w:r>
          </w:p>
        </w:tc>
        <w:tc>
          <w:tcPr>
            <w:tcW w:w="1275" w:type="dxa"/>
            <w:shd w:val="clear" w:color="auto" w:fill="FFFFFF"/>
          </w:tcPr>
          <w:p w:rsidR="00F426F1" w:rsidRDefault="00F426F1" w:rsidP="00F426F1">
            <w:pPr>
              <w:pStyle w:val="CETBodytext"/>
              <w:ind w:right="-142"/>
              <w:rPr>
                <w:rFonts w:cs="Arial"/>
                <w:szCs w:val="18"/>
                <w:lang w:val="en-GB"/>
              </w:rPr>
            </w:pPr>
            <w:r>
              <w:rPr>
                <w:rFonts w:cs="Arial"/>
                <w:szCs w:val="18"/>
                <w:lang w:val="en-GB"/>
              </w:rPr>
              <w:t>5.77</w:t>
            </w:r>
          </w:p>
          <w:p w:rsidR="0011439E" w:rsidRPr="00B57B36" w:rsidRDefault="0011439E" w:rsidP="00F426F1">
            <w:pPr>
              <w:pStyle w:val="CETBodytext"/>
              <w:ind w:right="-142"/>
              <w:rPr>
                <w:rFonts w:cs="Arial"/>
                <w:szCs w:val="18"/>
                <w:lang w:val="en-GB"/>
              </w:rPr>
            </w:pPr>
            <w:r>
              <w:rPr>
                <w:rFonts w:cs="Arial"/>
                <w:szCs w:val="18"/>
                <w:lang w:val="en-GB"/>
              </w:rPr>
              <w:t>(0.40)</w:t>
            </w:r>
          </w:p>
        </w:tc>
        <w:tc>
          <w:tcPr>
            <w:tcW w:w="1134" w:type="dxa"/>
            <w:shd w:val="clear" w:color="auto" w:fill="FFFFFF"/>
          </w:tcPr>
          <w:p w:rsidR="00F426F1" w:rsidRDefault="00F426F1" w:rsidP="00F426F1">
            <w:pPr>
              <w:pStyle w:val="CETBodytext"/>
              <w:ind w:right="-1"/>
              <w:rPr>
                <w:rFonts w:cs="Arial"/>
                <w:szCs w:val="18"/>
                <w:lang w:val="en-GB"/>
              </w:rPr>
            </w:pPr>
            <w:r>
              <w:rPr>
                <w:rFonts w:cs="Arial"/>
                <w:szCs w:val="18"/>
                <w:lang w:val="en-GB"/>
              </w:rPr>
              <w:t>80.1</w:t>
            </w:r>
          </w:p>
        </w:tc>
        <w:tc>
          <w:tcPr>
            <w:tcW w:w="992" w:type="dxa"/>
            <w:shd w:val="clear" w:color="auto" w:fill="FFFFFF"/>
          </w:tcPr>
          <w:p w:rsidR="00F426F1" w:rsidRDefault="00F426F1" w:rsidP="00F426F1">
            <w:pPr>
              <w:pStyle w:val="CETBodytext"/>
              <w:ind w:right="-1"/>
              <w:rPr>
                <w:rFonts w:cs="Arial"/>
                <w:szCs w:val="18"/>
                <w:lang w:val="en-GB"/>
              </w:rPr>
            </w:pPr>
            <w:r>
              <w:rPr>
                <w:rFonts w:cs="Arial"/>
                <w:szCs w:val="18"/>
                <w:lang w:val="en-GB"/>
              </w:rPr>
              <w:t>67.7</w:t>
            </w:r>
          </w:p>
        </w:tc>
      </w:tr>
    </w:tbl>
    <w:p w:rsidR="0000515D" w:rsidRDefault="0000515D" w:rsidP="00097D12">
      <w:pPr>
        <w:tabs>
          <w:tab w:val="clear" w:pos="7100"/>
        </w:tabs>
        <w:autoSpaceDE w:val="0"/>
        <w:autoSpaceDN w:val="0"/>
        <w:adjustRightInd w:val="0"/>
        <w:spacing w:line="240" w:lineRule="auto"/>
        <w:jc w:val="left"/>
        <w:rPr>
          <w:rFonts w:ascii="TimesNewRomanPSMT" w:eastAsia="TimesNewRomanPSMT" w:hAnsiTheme="minorHAnsi" w:cs="TimesNewRomanPSMT"/>
          <w:sz w:val="22"/>
          <w:szCs w:val="22"/>
          <w:lang w:val="es-CO"/>
        </w:rPr>
      </w:pPr>
    </w:p>
    <w:p w:rsidR="00710C75" w:rsidRPr="004A0EA1" w:rsidRDefault="009200BB" w:rsidP="00A066FC">
      <w:pPr>
        <w:tabs>
          <w:tab w:val="clear" w:pos="7100"/>
        </w:tabs>
        <w:autoSpaceDE w:val="0"/>
        <w:autoSpaceDN w:val="0"/>
        <w:adjustRightInd w:val="0"/>
        <w:rPr>
          <w:lang w:val="en-US"/>
        </w:rPr>
      </w:pPr>
      <w:r w:rsidRPr="00424D71">
        <w:rPr>
          <w:lang w:val="en-US"/>
        </w:rPr>
        <w:t xml:space="preserve">Results in </w:t>
      </w:r>
      <w:r w:rsidR="001528CB" w:rsidRPr="00424D71">
        <w:rPr>
          <w:lang w:val="en-US"/>
        </w:rPr>
        <w:t>Table 1 indicate a large amount of variation in experimental results for TRS measurements at temperatures up to 370</w:t>
      </w:r>
      <w:r w:rsidR="00424D71">
        <w:rPr>
          <w:lang w:val="en-US"/>
        </w:rPr>
        <w:t xml:space="preserve"> °C</w:t>
      </w:r>
      <w:r w:rsidR="001528CB" w:rsidRPr="00424D71">
        <w:rPr>
          <w:lang w:val="en-US"/>
        </w:rPr>
        <w:t>, whereas runs 4-8 displayed a lot less variation as evidenced by</w:t>
      </w:r>
      <w:r w:rsidR="0011439E">
        <w:rPr>
          <w:lang w:val="en-US"/>
        </w:rPr>
        <w:t xml:space="preserve"> the standard deviation of data when compared to runs 1-3</w:t>
      </w:r>
      <w:r w:rsidR="00424D71" w:rsidRPr="00424D71">
        <w:rPr>
          <w:lang w:val="en-US"/>
        </w:rPr>
        <w:t xml:space="preserve">. This could be attributed to a faster hydrolysis reaction rates at higher </w:t>
      </w:r>
      <w:r w:rsidR="00424D71">
        <w:rPr>
          <w:lang w:val="en-US"/>
        </w:rPr>
        <w:t>temperature</w:t>
      </w:r>
      <w:r w:rsidR="00424D71" w:rsidRPr="00424D71">
        <w:rPr>
          <w:lang w:val="en-US"/>
        </w:rPr>
        <w:t xml:space="preserve">s </w:t>
      </w:r>
      <w:r w:rsidR="00424D71">
        <w:rPr>
          <w:lang w:val="en-US"/>
        </w:rPr>
        <w:t xml:space="preserve">and the establishment of homogeneous phase conditions in contrast to the existence of solid POCEL and liquid phases at lower temperatures, which at the same time </w:t>
      </w:r>
      <w:r w:rsidR="0011439E">
        <w:rPr>
          <w:lang w:val="en-US"/>
        </w:rPr>
        <w:t>difficult</w:t>
      </w:r>
      <w:r w:rsidR="00424D71">
        <w:rPr>
          <w:lang w:val="en-US"/>
        </w:rPr>
        <w:t xml:space="preserve"> depressurization control </w:t>
      </w:r>
      <w:r w:rsidR="00424D71">
        <w:rPr>
          <w:lang w:val="en-US"/>
        </w:rPr>
        <w:lastRenderedPageBreak/>
        <w:t>and sample collection</w:t>
      </w:r>
      <w:r w:rsidRPr="000A1573">
        <w:t xml:space="preserve">. </w:t>
      </w:r>
      <w:r w:rsidR="00710C75" w:rsidRPr="000A1573">
        <w:t>TRS concentration and yield varied in the range 1.02 to 6.15 mg/mL and 14.1 to 85.4 %, respectively, and</w:t>
      </w:r>
      <w:r w:rsidR="00710C75">
        <w:t xml:space="preserve"> highest TRS concentration</w:t>
      </w:r>
      <w:r w:rsidR="004F0417">
        <w:t xml:space="preserve"> and yield was obtained in run 5, which was carried out at 390 °C and a water flowrate of 1.9</w:t>
      </w:r>
      <w:r w:rsidR="00710C75">
        <w:t xml:space="preserve"> mL/min, which corresponds to a residence time of </w:t>
      </w:r>
      <w:r w:rsidR="004F0417">
        <w:t>126.7 s</w:t>
      </w:r>
      <w:r w:rsidR="00710C75">
        <w:t>.</w:t>
      </w:r>
      <w:r w:rsidR="004F0417">
        <w:t xml:space="preserve"> However, similar results were obtained when working at a higher temperature in a considerable shorter residence time as indicated in run 7, which was carried out at 420 °C, 5.1 mL/min flowrate</w:t>
      </w:r>
      <w:r w:rsidR="000A1573">
        <w:t xml:space="preserve"> and a residence time of 42.5 s</w:t>
      </w:r>
      <w:r w:rsidR="004F0417">
        <w:t>. A shorter residence time when working at 390 °C produced a decrease in concentration and yield, as indicated in run 6,</w:t>
      </w:r>
      <w:r w:rsidR="00710C75">
        <w:t xml:space="preserve"> which can be attributed to </w:t>
      </w:r>
      <w:r w:rsidR="000A1573">
        <w:t>insufficient time for hydrolysis to proceed</w:t>
      </w:r>
      <w:r w:rsidR="00710C75">
        <w:t>. Runs 1 and 2 indicate hydrolysis does not occur significantly at temperatures lower than 350 °C, even at longer residence times. Hydrolysis proceeds only at temperatures higher than 370 °C and it is observed the effect of temperature is mo</w:t>
      </w:r>
      <w:r w:rsidR="000A1573">
        <w:t>re significant than</w:t>
      </w:r>
      <w:r w:rsidR="00710C75">
        <w:t xml:space="preserve"> the effect of flowrate, since  TRS yield increases only 3% at 390°C as a result of increasing residence time by decreasing flowrate by half.</w:t>
      </w:r>
      <w:r w:rsidR="000A1573">
        <w:t xml:space="preserve"> </w:t>
      </w:r>
      <w:r w:rsidR="000A1573" w:rsidRPr="000A1573">
        <w:t>These results suggest high TRS yields can be obtained at temperatures around 400 °C and that high temperatures make possible to attain high TRS yields in considerably shorter residence times.</w:t>
      </w:r>
    </w:p>
    <w:p w:rsidR="00710C75" w:rsidRDefault="00710C75" w:rsidP="005E7B25">
      <w:pPr>
        <w:tabs>
          <w:tab w:val="clear" w:pos="7100"/>
        </w:tabs>
        <w:autoSpaceDE w:val="0"/>
        <w:autoSpaceDN w:val="0"/>
        <w:adjustRightInd w:val="0"/>
        <w:spacing w:line="240" w:lineRule="auto"/>
        <w:rPr>
          <w:highlight w:val="yellow"/>
        </w:rPr>
      </w:pPr>
    </w:p>
    <w:p w:rsidR="00F4541C" w:rsidRDefault="00384D72" w:rsidP="005E7B25">
      <w:pPr>
        <w:tabs>
          <w:tab w:val="clear" w:pos="7100"/>
        </w:tabs>
        <w:autoSpaceDE w:val="0"/>
        <w:autoSpaceDN w:val="0"/>
        <w:adjustRightInd w:val="0"/>
        <w:spacing w:line="240" w:lineRule="auto"/>
      </w:pPr>
      <w:r>
        <w:t xml:space="preserve">The vast majority of subcritical water hydrolysis studies with different </w:t>
      </w:r>
      <w:r w:rsidRPr="00DC4A69">
        <w:t>types of bio</w:t>
      </w:r>
      <w:r w:rsidR="006C397C" w:rsidRPr="00DC4A69">
        <w:t>mass are carried out by means of</w:t>
      </w:r>
      <w:r w:rsidRPr="00DC4A69">
        <w:t xml:space="preserve"> </w:t>
      </w:r>
      <w:proofErr w:type="spellStart"/>
      <w:r w:rsidRPr="00DC4A69">
        <w:t>semibatch</w:t>
      </w:r>
      <w:proofErr w:type="spellEnd"/>
      <w:r w:rsidRPr="00DC4A69">
        <w:t xml:space="preserve">, also known as </w:t>
      </w:r>
      <w:proofErr w:type="spellStart"/>
      <w:r w:rsidRPr="00DC4A69">
        <w:t>semicontinuous</w:t>
      </w:r>
      <w:proofErr w:type="spellEnd"/>
      <w:r w:rsidR="006C397C" w:rsidRPr="00DC4A69">
        <w:t>,</w:t>
      </w:r>
      <w:r w:rsidRPr="00DC4A69">
        <w:t xml:space="preserve"> reactor set-</w:t>
      </w:r>
      <w:proofErr w:type="gramStart"/>
      <w:r w:rsidRPr="00DC4A69">
        <w:t>ups</w:t>
      </w:r>
      <w:r w:rsidR="006C397C" w:rsidRPr="00DC4A69">
        <w:t xml:space="preserve"> </w:t>
      </w:r>
      <w:r w:rsidR="00FC46D7">
        <w:t>.</w:t>
      </w:r>
      <w:r w:rsidRPr="00DC4A69">
        <w:t>In</w:t>
      </w:r>
      <w:proofErr w:type="gramEnd"/>
      <w:r>
        <w:t xml:space="preserve"> this </w:t>
      </w:r>
      <w:r w:rsidR="001C135C" w:rsidRPr="001C135C">
        <w:t xml:space="preserve">type of reactor, a fixed amount of biomass is charged to the reactor and water flows continuously, removing reaction products to avoid </w:t>
      </w:r>
      <w:r w:rsidR="001C135C" w:rsidRPr="00DC4A69">
        <w:t>degradation (</w:t>
      </w:r>
      <w:proofErr w:type="spellStart"/>
      <w:r w:rsidR="001C135C" w:rsidRPr="00DC4A69">
        <w:t>Marulanda</w:t>
      </w:r>
      <w:proofErr w:type="spellEnd"/>
      <w:r w:rsidR="001C135C" w:rsidRPr="00DC4A69">
        <w:t xml:space="preserve"> &amp; </w:t>
      </w:r>
      <w:proofErr w:type="spellStart"/>
      <w:r w:rsidR="001C135C" w:rsidRPr="00DC4A69">
        <w:t>Marulanda</w:t>
      </w:r>
      <w:proofErr w:type="spellEnd"/>
      <w:r w:rsidR="001C135C" w:rsidRPr="00DC4A69">
        <w:t>, 2017).</w:t>
      </w:r>
      <w:r w:rsidR="006C397C">
        <w:t xml:space="preserve"> This approach is useful for lignocellulosic materials due to the technical difficulties that might arise from pumping solids at high pressure, or the requirements with respect to size reduction to facilitate this operation. Only a few studies have been carried out with continuous reactors and have studied the supercritical hydrolysis of pure cellulose in order to elucidate kinetic mechanisms, products and degradation products at different reaction conditions.</w:t>
      </w:r>
      <w:r w:rsidR="00956780">
        <w:t xml:space="preserve"> For example</w:t>
      </w:r>
      <w:r w:rsidR="00956780" w:rsidRPr="00DC4A69">
        <w:t xml:space="preserve">, </w:t>
      </w:r>
      <w:proofErr w:type="spellStart"/>
      <w:r w:rsidR="00E70009" w:rsidRPr="00DC4A69">
        <w:t>Cant</w:t>
      </w:r>
      <w:r w:rsidR="00276D2F" w:rsidRPr="00DC4A69">
        <w:t>ero</w:t>
      </w:r>
      <w:proofErr w:type="spellEnd"/>
      <w:r w:rsidR="00276D2F" w:rsidRPr="00DC4A69">
        <w:t xml:space="preserve"> and </w:t>
      </w:r>
      <w:proofErr w:type="spellStart"/>
      <w:r w:rsidR="00276D2F" w:rsidRPr="00DC4A69">
        <w:t>coworkers</w:t>
      </w:r>
      <w:proofErr w:type="spellEnd"/>
      <w:r w:rsidR="00276D2F" w:rsidRPr="00DC4A69">
        <w:t xml:space="preserve"> (2013)</w:t>
      </w:r>
      <w:r w:rsidR="00276D2F">
        <w:t xml:space="preserve"> pointed out </w:t>
      </w:r>
      <w:r w:rsidR="00587778">
        <w:t>cellulose hydrolysis is completed at subcritical temperatures with a high concentration of glucose and oligosaccharides but the reaction has a low selectivity and needs bigger reactors and longer residence times. In order to improve selectivity, a novel reactor capable of operating under supercritical conditions with an effective control of residence time</w:t>
      </w:r>
      <w:r w:rsidR="005E7B25" w:rsidRPr="005E7B25">
        <w:t xml:space="preserve"> </w:t>
      </w:r>
      <w:r w:rsidR="005E7B25">
        <w:t>was developed</w:t>
      </w:r>
      <w:r w:rsidR="00AD220B">
        <w:t>, deemed as a sudden expansion micro reactor</w:t>
      </w:r>
      <w:r w:rsidR="00B020AE">
        <w:t xml:space="preserve">, </w:t>
      </w:r>
      <w:r w:rsidR="00AD220B">
        <w:t xml:space="preserve">in which heating </w:t>
      </w:r>
      <w:r w:rsidR="0030004F">
        <w:t>and cooling slopes were avoided</w:t>
      </w:r>
      <w:r w:rsidR="00AD220B">
        <w:t>. Experiments were carried out</w:t>
      </w:r>
      <w:r w:rsidR="005E7B25">
        <w:t xml:space="preserve"> with a </w:t>
      </w:r>
      <w:r w:rsidR="000A1573">
        <w:t xml:space="preserve">micro-crystalline </w:t>
      </w:r>
      <w:r w:rsidR="005E7B25">
        <w:t>cellulose concentrat</w:t>
      </w:r>
      <w:r w:rsidR="00B020AE">
        <w:t>ion 1.6 wt</w:t>
      </w:r>
      <w:r w:rsidR="005E7B25">
        <w:t>. %</w:t>
      </w:r>
      <w:r w:rsidR="00AD220B">
        <w:t xml:space="preserve"> </w:t>
      </w:r>
      <w:r w:rsidR="00B020AE">
        <w:t xml:space="preserve">and temperature </w:t>
      </w:r>
      <w:r w:rsidR="00AD220B">
        <w:t>in the range 30</w:t>
      </w:r>
      <w:r w:rsidR="00B020AE">
        <w:t>0 to 400 °C at a constant 25 MPa</w:t>
      </w:r>
      <w:r w:rsidR="00AD220B">
        <w:t xml:space="preserve"> pressure and residence times </w:t>
      </w:r>
      <w:r w:rsidR="005E7B25">
        <w:t>were</w:t>
      </w:r>
      <w:r w:rsidR="00AD220B">
        <w:t xml:space="preserve"> </w:t>
      </w:r>
      <w:r w:rsidR="006B3789">
        <w:t>varied from</w:t>
      </w:r>
      <w:r w:rsidR="00AD220B">
        <w:t xml:space="preserve"> 0.004 s to 5 s.  Experimental results showed that </w:t>
      </w:r>
      <w:r w:rsidR="00DD7134">
        <w:t xml:space="preserve">above 375 °C cellulose hydrolysis accelerated more than was predicted by the </w:t>
      </w:r>
      <w:r w:rsidR="006B3789">
        <w:t>Arrhenius</w:t>
      </w:r>
      <w:r w:rsidR="00DD7134">
        <w:t xml:space="preserve"> parameters of the reaction for subcritical temperature, which could be attributed to the reaction taking place under </w:t>
      </w:r>
      <w:r w:rsidR="00AD220B">
        <w:t>homogeneous</w:t>
      </w:r>
      <w:r w:rsidR="00DD7134">
        <w:t xml:space="preserve"> phase conditions without mass transfer limitation that could be present when working at subcritical conditions</w:t>
      </w:r>
      <w:r w:rsidR="00B020AE">
        <w:t xml:space="preserve">, </w:t>
      </w:r>
      <w:r w:rsidR="00AD220B">
        <w:t xml:space="preserve">and the highest selectivity of 98% </w:t>
      </w:r>
      <w:r w:rsidR="006B3789">
        <w:t>was achieved</w:t>
      </w:r>
      <w:r w:rsidR="00AD220B">
        <w:t xml:space="preserve"> at 400 °C and residence time of 0.023 s. </w:t>
      </w:r>
      <w:r w:rsidR="006B3789">
        <w:t>Experimental</w:t>
      </w:r>
      <w:r w:rsidR="00AD220B">
        <w:t xml:space="preserve"> </w:t>
      </w:r>
      <w:r w:rsidR="006B3789">
        <w:t>results shown in T</w:t>
      </w:r>
      <w:r w:rsidR="00AD220B">
        <w:t xml:space="preserve">able </w:t>
      </w:r>
      <w:r w:rsidR="006B3789">
        <w:t xml:space="preserve">1 agree well with these results in which </w:t>
      </w:r>
      <w:r w:rsidR="00AD220B">
        <w:t xml:space="preserve">a high yield of sugars was </w:t>
      </w:r>
      <w:r w:rsidR="006B3789">
        <w:t>obtained</w:t>
      </w:r>
      <w:r w:rsidR="00AD220B">
        <w:t xml:space="preserve"> only at temperatures higher than 370 °C with a maximum at </w:t>
      </w:r>
      <w:r w:rsidR="00E526A2">
        <w:t>390</w:t>
      </w:r>
      <w:r w:rsidR="00AD220B">
        <w:t xml:space="preserve"> °C </w:t>
      </w:r>
      <w:r w:rsidR="006B3789">
        <w:t>even if pressure was lower than supercritical pressure, which suggest effect of temperature is</w:t>
      </w:r>
      <w:r w:rsidR="00B020AE">
        <w:t xml:space="preserve"> more significant than pressure. Longer residence times needed in this study when compared to experimental data obtained by </w:t>
      </w:r>
      <w:proofErr w:type="spellStart"/>
      <w:r w:rsidR="00B020AE">
        <w:t>Cantero</w:t>
      </w:r>
      <w:proofErr w:type="spellEnd"/>
      <w:r w:rsidR="00B020AE">
        <w:t xml:space="preserve"> and </w:t>
      </w:r>
      <w:proofErr w:type="spellStart"/>
      <w:r w:rsidR="00B020AE">
        <w:t>coworkers</w:t>
      </w:r>
      <w:proofErr w:type="spellEnd"/>
      <w:r w:rsidR="00B020AE">
        <w:t xml:space="preserve"> (2013) could be attributed to the heating procedure, which was gradual instead of instantaneous, and the use of an industrial polyacrylate-cellulose </w:t>
      </w:r>
      <w:proofErr w:type="spellStart"/>
      <w:r w:rsidR="00B020AE">
        <w:t>fiber</w:t>
      </w:r>
      <w:proofErr w:type="spellEnd"/>
      <w:r w:rsidR="00B020AE">
        <w:t xml:space="preserve"> waste instead of </w:t>
      </w:r>
      <w:r w:rsidR="00B020AE" w:rsidRPr="00B020AE">
        <w:t>micro-crystalline cellulose.</w:t>
      </w:r>
      <w:r w:rsidR="00F4541C">
        <w:t xml:space="preserve"> </w:t>
      </w:r>
    </w:p>
    <w:p w:rsidR="00F4541C" w:rsidRDefault="00F4541C" w:rsidP="005E7B25">
      <w:pPr>
        <w:tabs>
          <w:tab w:val="clear" w:pos="7100"/>
        </w:tabs>
        <w:autoSpaceDE w:val="0"/>
        <w:autoSpaceDN w:val="0"/>
        <w:adjustRightInd w:val="0"/>
        <w:spacing w:line="240" w:lineRule="auto"/>
      </w:pPr>
    </w:p>
    <w:p w:rsidR="00940C2C" w:rsidRDefault="00F4541C" w:rsidP="005E7B25">
      <w:pPr>
        <w:tabs>
          <w:tab w:val="clear" w:pos="7100"/>
        </w:tabs>
        <w:autoSpaceDE w:val="0"/>
        <w:autoSpaceDN w:val="0"/>
        <w:adjustRightInd w:val="0"/>
        <w:spacing w:line="240" w:lineRule="auto"/>
      </w:pPr>
      <w:r>
        <w:t xml:space="preserve">Use of higher temperatures with short residence times in the continuous subcritical or supercritical hydrolysis of biomass materials could improve </w:t>
      </w:r>
      <w:r w:rsidR="005E3B79">
        <w:t xml:space="preserve">obtained </w:t>
      </w:r>
      <w:r>
        <w:t>sugar yield</w:t>
      </w:r>
      <w:r w:rsidR="00940C2C">
        <w:t>s</w:t>
      </w:r>
      <w:r w:rsidR="00E526A2">
        <w:t xml:space="preserve"> as experimental results in Table 1 suggest</w:t>
      </w:r>
      <w:r w:rsidR="00940C2C">
        <w:t xml:space="preserve">. In this regard, a direct comparison of residence times with </w:t>
      </w:r>
      <w:proofErr w:type="spellStart"/>
      <w:r w:rsidR="00940C2C">
        <w:t>semibatch</w:t>
      </w:r>
      <w:proofErr w:type="spellEnd"/>
      <w:r w:rsidR="00940C2C">
        <w:t xml:space="preserve"> studies is not practical since water is passed through the packed</w:t>
      </w:r>
      <w:r w:rsidR="0030004F">
        <w:t xml:space="preserve"> bed</w:t>
      </w:r>
      <w:r w:rsidR="00940C2C">
        <w:t xml:space="preserve"> reactor until cellulose and hemicellulose are practically depleted.  Although a rapid remo</w:t>
      </w:r>
      <w:r w:rsidR="005E3B79">
        <w:t>val</w:t>
      </w:r>
      <w:r w:rsidR="00940C2C">
        <w:t xml:space="preserve"> of reaction products </w:t>
      </w:r>
      <w:r w:rsidR="005E3B79">
        <w:t xml:space="preserve">is accomplished in </w:t>
      </w:r>
      <w:proofErr w:type="spellStart"/>
      <w:r w:rsidR="005E3B79">
        <w:t>semibatch</w:t>
      </w:r>
      <w:proofErr w:type="spellEnd"/>
      <w:r w:rsidR="005E3B79">
        <w:t xml:space="preserve"> reactors, decomposition reactions due to an extended reaction time could </w:t>
      </w:r>
      <w:r w:rsidR="0030004F">
        <w:t>decrease</w:t>
      </w:r>
      <w:r w:rsidR="005E3B79">
        <w:t xml:space="preserve"> yield. Table 2 shows experimental data of </w:t>
      </w:r>
      <w:proofErr w:type="spellStart"/>
      <w:r w:rsidR="005E3B79">
        <w:t>semibatch</w:t>
      </w:r>
      <w:proofErr w:type="spellEnd"/>
      <w:r w:rsidR="005E3B79">
        <w:t xml:space="preserve"> studies for different biomass materials and reported data in this work.</w:t>
      </w:r>
    </w:p>
    <w:p w:rsidR="00712B0A" w:rsidRPr="00B57B36" w:rsidRDefault="00712B0A" w:rsidP="00712B0A">
      <w:pPr>
        <w:pStyle w:val="CETTabletitle"/>
      </w:pPr>
      <w:r>
        <w:t>Table 2</w:t>
      </w:r>
      <w:r w:rsidRPr="00B57B36">
        <w:t xml:space="preserve">: </w:t>
      </w:r>
      <w:r w:rsidR="00B05F99">
        <w:t xml:space="preserve">Experimental data of </w:t>
      </w:r>
      <w:proofErr w:type="spellStart"/>
      <w:r w:rsidR="00B05F99">
        <w:t>semibatch</w:t>
      </w:r>
      <w:proofErr w:type="spellEnd"/>
      <w:r w:rsidR="00B05F99">
        <w:t xml:space="preserve"> studies for different biomass materials and TRS yield</w:t>
      </w:r>
    </w:p>
    <w:tbl>
      <w:tblPr>
        <w:tblW w:w="879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3544"/>
        <w:gridCol w:w="993"/>
        <w:gridCol w:w="1843"/>
      </w:tblGrid>
      <w:tr w:rsidR="00E64306" w:rsidRPr="00E64306" w:rsidTr="00AC3802">
        <w:tc>
          <w:tcPr>
            <w:tcW w:w="2410" w:type="dxa"/>
            <w:tcBorders>
              <w:top w:val="single" w:sz="12" w:space="0" w:color="008000"/>
              <w:bottom w:val="single" w:sz="6" w:space="0" w:color="008000"/>
            </w:tcBorders>
            <w:shd w:val="clear" w:color="auto" w:fill="FFFFFF"/>
          </w:tcPr>
          <w:p w:rsidR="00E64306" w:rsidRPr="00E64306" w:rsidRDefault="00E64306" w:rsidP="00E64306">
            <w:pPr>
              <w:tabs>
                <w:tab w:val="clear" w:pos="7100"/>
              </w:tabs>
              <w:autoSpaceDE w:val="0"/>
              <w:autoSpaceDN w:val="0"/>
              <w:adjustRightInd w:val="0"/>
              <w:spacing w:line="240" w:lineRule="auto"/>
            </w:pPr>
            <w:r w:rsidRPr="00E64306">
              <w:t>Raw material</w:t>
            </w:r>
          </w:p>
          <w:p w:rsidR="00E64306" w:rsidRPr="00E64306" w:rsidRDefault="00E64306" w:rsidP="00E64306">
            <w:pPr>
              <w:tabs>
                <w:tab w:val="clear" w:pos="7100"/>
              </w:tabs>
              <w:autoSpaceDE w:val="0"/>
              <w:autoSpaceDN w:val="0"/>
              <w:adjustRightInd w:val="0"/>
              <w:spacing w:line="240" w:lineRule="auto"/>
            </w:pPr>
            <w:r w:rsidRPr="00E64306">
              <w:t xml:space="preserve">Cellulose/hemicellulose </w:t>
            </w:r>
          </w:p>
        </w:tc>
        <w:tc>
          <w:tcPr>
            <w:tcW w:w="3544" w:type="dxa"/>
            <w:tcBorders>
              <w:top w:val="single" w:sz="12" w:space="0" w:color="008000"/>
              <w:bottom w:val="single" w:sz="6" w:space="0" w:color="008000"/>
            </w:tcBorders>
            <w:shd w:val="clear" w:color="auto" w:fill="FFFFFF"/>
          </w:tcPr>
          <w:p w:rsidR="00E64306" w:rsidRPr="00E64306" w:rsidRDefault="00E64306" w:rsidP="00E64306">
            <w:pPr>
              <w:tabs>
                <w:tab w:val="clear" w:pos="7100"/>
              </w:tabs>
              <w:autoSpaceDE w:val="0"/>
              <w:autoSpaceDN w:val="0"/>
              <w:adjustRightInd w:val="0"/>
              <w:spacing w:line="240" w:lineRule="auto"/>
            </w:pPr>
            <w:r w:rsidRPr="00E64306">
              <w:t>Reaction conditions</w:t>
            </w:r>
          </w:p>
          <w:p w:rsidR="00E64306" w:rsidRPr="00E64306" w:rsidRDefault="00E64306" w:rsidP="00E64306">
            <w:pPr>
              <w:tabs>
                <w:tab w:val="clear" w:pos="7100"/>
              </w:tabs>
              <w:autoSpaceDE w:val="0"/>
              <w:autoSpaceDN w:val="0"/>
              <w:adjustRightInd w:val="0"/>
              <w:spacing w:line="240" w:lineRule="auto"/>
            </w:pPr>
            <w:r w:rsidRPr="00E64306">
              <w:t xml:space="preserve">T(°C), P(psi), Flowrate, Time  </w:t>
            </w:r>
          </w:p>
        </w:tc>
        <w:tc>
          <w:tcPr>
            <w:tcW w:w="993" w:type="dxa"/>
            <w:tcBorders>
              <w:top w:val="single" w:sz="12" w:space="0" w:color="008000"/>
              <w:bottom w:val="single" w:sz="6" w:space="0" w:color="008000"/>
            </w:tcBorders>
            <w:shd w:val="clear" w:color="auto" w:fill="FFFFFF"/>
          </w:tcPr>
          <w:p w:rsidR="00E64306" w:rsidRPr="00E64306" w:rsidRDefault="00E64306" w:rsidP="00E64306">
            <w:pPr>
              <w:tabs>
                <w:tab w:val="clear" w:pos="7100"/>
              </w:tabs>
              <w:autoSpaceDE w:val="0"/>
              <w:autoSpaceDN w:val="0"/>
              <w:adjustRightInd w:val="0"/>
              <w:spacing w:line="240" w:lineRule="auto"/>
            </w:pPr>
            <w:r w:rsidRPr="00E64306">
              <w:t>TRS yield</w:t>
            </w:r>
          </w:p>
          <w:p w:rsidR="00E64306" w:rsidRPr="00E64306" w:rsidRDefault="00E64306" w:rsidP="00E64306">
            <w:pPr>
              <w:tabs>
                <w:tab w:val="clear" w:pos="7100"/>
              </w:tabs>
              <w:autoSpaceDE w:val="0"/>
              <w:autoSpaceDN w:val="0"/>
              <w:adjustRightInd w:val="0"/>
              <w:spacing w:line="240" w:lineRule="auto"/>
            </w:pPr>
            <w:r w:rsidRPr="00E64306">
              <w:t>%</w:t>
            </w:r>
          </w:p>
        </w:tc>
        <w:tc>
          <w:tcPr>
            <w:tcW w:w="1843" w:type="dxa"/>
            <w:tcBorders>
              <w:top w:val="single" w:sz="12" w:space="0" w:color="008000"/>
              <w:bottom w:val="single" w:sz="6" w:space="0" w:color="008000"/>
            </w:tcBorders>
            <w:shd w:val="clear" w:color="auto" w:fill="FFFFFF"/>
          </w:tcPr>
          <w:p w:rsidR="00E64306" w:rsidRPr="00E64306" w:rsidRDefault="00E64306" w:rsidP="00E64306">
            <w:pPr>
              <w:tabs>
                <w:tab w:val="clear" w:pos="7100"/>
              </w:tabs>
              <w:autoSpaceDE w:val="0"/>
              <w:autoSpaceDN w:val="0"/>
              <w:adjustRightInd w:val="0"/>
              <w:spacing w:line="240" w:lineRule="auto"/>
            </w:pPr>
            <w:r w:rsidRPr="00E64306">
              <w:t>Reference</w:t>
            </w:r>
          </w:p>
        </w:tc>
      </w:tr>
      <w:tr w:rsidR="00E64306" w:rsidRPr="00E64306" w:rsidTr="00AC3802">
        <w:tc>
          <w:tcPr>
            <w:tcW w:w="2410" w:type="dxa"/>
            <w:shd w:val="clear" w:color="auto" w:fill="FFFFFF"/>
          </w:tcPr>
          <w:p w:rsidR="00E64306" w:rsidRPr="00E64306" w:rsidRDefault="00E64306" w:rsidP="00E64306">
            <w:pPr>
              <w:tabs>
                <w:tab w:val="clear" w:pos="7100"/>
              </w:tabs>
              <w:autoSpaceDE w:val="0"/>
              <w:autoSpaceDN w:val="0"/>
              <w:adjustRightInd w:val="0"/>
              <w:spacing w:line="240" w:lineRule="auto"/>
            </w:pPr>
            <w:proofErr w:type="spellStart"/>
            <w:r w:rsidRPr="00E64306">
              <w:t>Kikuyo</w:t>
            </w:r>
            <w:proofErr w:type="spellEnd"/>
            <w:r w:rsidRPr="00E64306">
              <w:t xml:space="preserve"> grass </w:t>
            </w:r>
          </w:p>
          <w:p w:rsidR="00E64306" w:rsidRPr="00E64306" w:rsidRDefault="00E64306" w:rsidP="00E64306">
            <w:pPr>
              <w:tabs>
                <w:tab w:val="clear" w:pos="7100"/>
              </w:tabs>
              <w:autoSpaceDE w:val="0"/>
              <w:autoSpaceDN w:val="0"/>
              <w:adjustRightInd w:val="0"/>
              <w:spacing w:line="240" w:lineRule="auto"/>
            </w:pPr>
            <w:r w:rsidRPr="00E64306">
              <w:t>(26.9% 26.2%)</w:t>
            </w:r>
          </w:p>
        </w:tc>
        <w:tc>
          <w:tcPr>
            <w:tcW w:w="3544" w:type="dxa"/>
            <w:shd w:val="clear" w:color="auto" w:fill="FFFFFF"/>
          </w:tcPr>
          <w:p w:rsidR="00E64306" w:rsidRPr="00E64306" w:rsidRDefault="00E64306" w:rsidP="00E64306">
            <w:pPr>
              <w:tabs>
                <w:tab w:val="clear" w:pos="7100"/>
              </w:tabs>
              <w:autoSpaceDE w:val="0"/>
              <w:autoSpaceDN w:val="0"/>
              <w:adjustRightInd w:val="0"/>
              <w:spacing w:line="240" w:lineRule="auto"/>
              <w:rPr>
                <w:lang w:val="es-CO"/>
              </w:rPr>
            </w:pPr>
            <w:r w:rsidRPr="00E64306">
              <w:rPr>
                <w:lang w:val="es-CO"/>
              </w:rPr>
              <w:t>300 °C, 3190 psi, 9 ml/min, 11 min</w:t>
            </w:r>
          </w:p>
        </w:tc>
        <w:tc>
          <w:tcPr>
            <w:tcW w:w="993"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22%</w:t>
            </w:r>
          </w:p>
        </w:tc>
        <w:tc>
          <w:tcPr>
            <w:tcW w:w="1843"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w:t>
            </w:r>
            <w:proofErr w:type="spellStart"/>
            <w:r w:rsidRPr="00E64306">
              <w:t>Marulanda</w:t>
            </w:r>
            <w:proofErr w:type="spellEnd"/>
            <w:r w:rsidRPr="00E64306">
              <w:t xml:space="preserve"> &amp; </w:t>
            </w:r>
          </w:p>
          <w:p w:rsidR="00E64306" w:rsidRPr="00E64306" w:rsidRDefault="00E64306" w:rsidP="00E64306">
            <w:pPr>
              <w:tabs>
                <w:tab w:val="clear" w:pos="7100"/>
              </w:tabs>
              <w:autoSpaceDE w:val="0"/>
              <w:autoSpaceDN w:val="0"/>
              <w:adjustRightInd w:val="0"/>
              <w:spacing w:line="240" w:lineRule="auto"/>
            </w:pPr>
            <w:proofErr w:type="spellStart"/>
            <w:r w:rsidRPr="00E64306">
              <w:t>Marulanda</w:t>
            </w:r>
            <w:proofErr w:type="spellEnd"/>
            <w:r w:rsidRPr="00E64306">
              <w:t xml:space="preserve"> 2017)</w:t>
            </w:r>
          </w:p>
        </w:tc>
      </w:tr>
      <w:tr w:rsidR="00E64306" w:rsidRPr="00E64306" w:rsidTr="00AC3802">
        <w:tc>
          <w:tcPr>
            <w:tcW w:w="2410"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 xml:space="preserve">Sugar cane bagasse </w:t>
            </w:r>
          </w:p>
          <w:p w:rsidR="00E64306" w:rsidRPr="00E64306" w:rsidRDefault="00E64306" w:rsidP="00E64306">
            <w:pPr>
              <w:tabs>
                <w:tab w:val="clear" w:pos="7100"/>
              </w:tabs>
              <w:autoSpaceDE w:val="0"/>
              <w:autoSpaceDN w:val="0"/>
              <w:adjustRightInd w:val="0"/>
              <w:spacing w:line="240" w:lineRule="auto"/>
            </w:pPr>
            <w:r w:rsidRPr="00E64306">
              <w:t>(35%, &gt;30%)</w:t>
            </w:r>
          </w:p>
        </w:tc>
        <w:tc>
          <w:tcPr>
            <w:tcW w:w="3544" w:type="dxa"/>
            <w:shd w:val="clear" w:color="auto" w:fill="FFFFFF"/>
          </w:tcPr>
          <w:p w:rsidR="00E64306" w:rsidRPr="00E64306" w:rsidRDefault="00E64306" w:rsidP="00E64306">
            <w:pPr>
              <w:tabs>
                <w:tab w:val="clear" w:pos="7100"/>
              </w:tabs>
              <w:autoSpaceDE w:val="0"/>
              <w:autoSpaceDN w:val="0"/>
              <w:adjustRightInd w:val="0"/>
              <w:spacing w:line="240" w:lineRule="auto"/>
              <w:rPr>
                <w:lang w:val="es-CO"/>
              </w:rPr>
            </w:pPr>
            <w:r w:rsidRPr="00E64306">
              <w:rPr>
                <w:lang w:val="es-CO"/>
              </w:rPr>
              <w:t>290°C, 2900 psi, 33 ml/min, 16 min</w:t>
            </w:r>
          </w:p>
        </w:tc>
        <w:tc>
          <w:tcPr>
            <w:tcW w:w="993"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23%</w:t>
            </w:r>
          </w:p>
        </w:tc>
        <w:tc>
          <w:tcPr>
            <w:tcW w:w="1843"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rPr>
                <w:lang w:val="es-CO"/>
              </w:rPr>
              <w:t>(Prado et al., 2014)</w:t>
            </w:r>
          </w:p>
        </w:tc>
      </w:tr>
      <w:tr w:rsidR="00E64306" w:rsidRPr="00E64306" w:rsidTr="00AC3802">
        <w:tc>
          <w:tcPr>
            <w:tcW w:w="2410"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Rice husks</w:t>
            </w:r>
          </w:p>
          <w:p w:rsidR="00E64306" w:rsidRPr="00E64306" w:rsidRDefault="00E64306" w:rsidP="00E64306">
            <w:pPr>
              <w:tabs>
                <w:tab w:val="clear" w:pos="7100"/>
              </w:tabs>
              <w:autoSpaceDE w:val="0"/>
              <w:autoSpaceDN w:val="0"/>
              <w:adjustRightInd w:val="0"/>
              <w:spacing w:line="240" w:lineRule="auto"/>
            </w:pPr>
            <w:r w:rsidRPr="00E64306">
              <w:t>(18.5%, 28%)</w:t>
            </w:r>
          </w:p>
        </w:tc>
        <w:tc>
          <w:tcPr>
            <w:tcW w:w="3544"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220 °C, 2900 psi, 5 min</w:t>
            </w:r>
          </w:p>
        </w:tc>
        <w:tc>
          <w:tcPr>
            <w:tcW w:w="993"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18%</w:t>
            </w:r>
          </w:p>
        </w:tc>
        <w:tc>
          <w:tcPr>
            <w:tcW w:w="1843"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w:t>
            </w:r>
            <w:proofErr w:type="spellStart"/>
            <w:r w:rsidRPr="00E64306">
              <w:t>Abaide</w:t>
            </w:r>
            <w:proofErr w:type="spellEnd"/>
            <w:r w:rsidRPr="00E64306">
              <w:t xml:space="preserve"> et al., 2019)</w:t>
            </w:r>
          </w:p>
        </w:tc>
      </w:tr>
      <w:tr w:rsidR="00E64306" w:rsidRPr="00E64306" w:rsidTr="00AC3802">
        <w:tc>
          <w:tcPr>
            <w:tcW w:w="2410"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POCEL suspension</w:t>
            </w:r>
          </w:p>
          <w:p w:rsidR="00E64306" w:rsidRPr="00E64306" w:rsidRDefault="00E64306" w:rsidP="00E64306">
            <w:pPr>
              <w:tabs>
                <w:tab w:val="clear" w:pos="7100"/>
              </w:tabs>
              <w:autoSpaceDE w:val="0"/>
              <w:autoSpaceDN w:val="0"/>
              <w:adjustRightInd w:val="0"/>
              <w:spacing w:line="240" w:lineRule="auto"/>
            </w:pPr>
            <w:r w:rsidRPr="00E64306">
              <w:t>(0.72% cellulose)</w:t>
            </w:r>
          </w:p>
        </w:tc>
        <w:tc>
          <w:tcPr>
            <w:tcW w:w="3544"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390 °C, 2000 psi, 1.9 mL/min, 126.7 s</w:t>
            </w:r>
          </w:p>
          <w:p w:rsidR="00E64306" w:rsidRPr="00E64306" w:rsidRDefault="00E64306" w:rsidP="00E64306">
            <w:pPr>
              <w:tabs>
                <w:tab w:val="clear" w:pos="7100"/>
              </w:tabs>
              <w:autoSpaceDE w:val="0"/>
              <w:autoSpaceDN w:val="0"/>
              <w:adjustRightInd w:val="0"/>
              <w:spacing w:line="240" w:lineRule="auto"/>
            </w:pPr>
            <w:r w:rsidRPr="00E64306">
              <w:t>420 °C, 2000 psi, 5.1 mL/min, 42.7 s</w:t>
            </w:r>
          </w:p>
        </w:tc>
        <w:tc>
          <w:tcPr>
            <w:tcW w:w="993"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85.4%</w:t>
            </w:r>
          </w:p>
          <w:p w:rsidR="00E64306" w:rsidRPr="00E64306" w:rsidRDefault="00E64306" w:rsidP="00E64306">
            <w:pPr>
              <w:tabs>
                <w:tab w:val="clear" w:pos="7100"/>
              </w:tabs>
              <w:autoSpaceDE w:val="0"/>
              <w:autoSpaceDN w:val="0"/>
              <w:adjustRightInd w:val="0"/>
              <w:spacing w:line="240" w:lineRule="auto"/>
            </w:pPr>
            <w:r w:rsidRPr="00E64306">
              <w:t>84.9%</w:t>
            </w:r>
          </w:p>
        </w:tc>
        <w:tc>
          <w:tcPr>
            <w:tcW w:w="1843" w:type="dxa"/>
            <w:shd w:val="clear" w:color="auto" w:fill="FFFFFF"/>
          </w:tcPr>
          <w:p w:rsidR="00E64306" w:rsidRPr="00E64306" w:rsidRDefault="00E64306" w:rsidP="00E64306">
            <w:pPr>
              <w:tabs>
                <w:tab w:val="clear" w:pos="7100"/>
              </w:tabs>
              <w:autoSpaceDE w:val="0"/>
              <w:autoSpaceDN w:val="0"/>
              <w:adjustRightInd w:val="0"/>
              <w:spacing w:line="240" w:lineRule="auto"/>
            </w:pPr>
            <w:r w:rsidRPr="00E64306">
              <w:t>This work</w:t>
            </w:r>
          </w:p>
        </w:tc>
      </w:tr>
    </w:tbl>
    <w:p w:rsidR="00712B0A" w:rsidRPr="000A1573" w:rsidRDefault="00712B0A" w:rsidP="00F403D6">
      <w:pPr>
        <w:tabs>
          <w:tab w:val="clear" w:pos="7100"/>
        </w:tabs>
        <w:autoSpaceDE w:val="0"/>
        <w:autoSpaceDN w:val="0"/>
        <w:adjustRightInd w:val="0"/>
        <w:spacing w:line="240" w:lineRule="auto"/>
      </w:pPr>
    </w:p>
    <w:p w:rsidR="000A1573" w:rsidRPr="000A1573" w:rsidRDefault="000A1573" w:rsidP="00F403D6">
      <w:pPr>
        <w:tabs>
          <w:tab w:val="clear" w:pos="7100"/>
        </w:tabs>
        <w:autoSpaceDE w:val="0"/>
        <w:autoSpaceDN w:val="0"/>
        <w:adjustRightInd w:val="0"/>
        <w:spacing w:line="240" w:lineRule="auto"/>
      </w:pPr>
      <w:r w:rsidRPr="000A1573">
        <w:t xml:space="preserve">As shown in Table 2, continuous flow or water through the packet biomass bed </w:t>
      </w:r>
      <w:r>
        <w:t xml:space="preserve">in </w:t>
      </w:r>
      <w:proofErr w:type="spellStart"/>
      <w:r>
        <w:t>semibatch</w:t>
      </w:r>
      <w:proofErr w:type="spellEnd"/>
      <w:r>
        <w:t xml:space="preserve"> studies </w:t>
      </w:r>
      <w:r w:rsidRPr="000A1573">
        <w:t>can take several minutes</w:t>
      </w:r>
      <w:r>
        <w:t xml:space="preserve"> and decomposition due to an extended reaction time in the </w:t>
      </w:r>
      <w:r w:rsidRPr="00DC4A69">
        <w:t xml:space="preserve">fixed bed could </w:t>
      </w:r>
      <w:r w:rsidR="00F403D6" w:rsidRPr="00DC4A69">
        <w:t xml:space="preserve">result in </w:t>
      </w:r>
      <w:r w:rsidR="0030004F" w:rsidRPr="00DC4A69">
        <w:t>loss</w:t>
      </w:r>
      <w:r w:rsidR="00F403D6" w:rsidRPr="00DC4A69">
        <w:t xml:space="preserve"> of </w:t>
      </w:r>
      <w:r w:rsidR="00F403D6" w:rsidRPr="00DC4A69">
        <w:lastRenderedPageBreak/>
        <w:t>productiv</w:t>
      </w:r>
      <w:r w:rsidR="0030004F" w:rsidRPr="00DC4A69">
        <w:t>it</w:t>
      </w:r>
      <w:r w:rsidR="00F403D6" w:rsidRPr="00DC4A69">
        <w:t>y and the formation of several decomposition products such</w:t>
      </w:r>
      <w:r w:rsidR="0030004F" w:rsidRPr="00DC4A69">
        <w:t xml:space="preserve"> as furfural, hydroxymethyl furf</w:t>
      </w:r>
      <w:r w:rsidR="00F403D6" w:rsidRPr="00DC4A69">
        <w:t>u</w:t>
      </w:r>
      <w:r w:rsidR="0030004F" w:rsidRPr="00DC4A69">
        <w:t>r</w:t>
      </w:r>
      <w:r w:rsidR="00F403D6" w:rsidRPr="00DC4A69">
        <w:t>al, acetic acid,</w:t>
      </w:r>
      <w:r w:rsidR="0030004F" w:rsidRPr="00DC4A69">
        <w:t xml:space="preserve"> </w:t>
      </w:r>
      <w:r w:rsidR="00F403D6" w:rsidRPr="00DC4A69">
        <w:t>acrylic acid and formic acid</w:t>
      </w:r>
      <w:r w:rsidR="0030004F" w:rsidRPr="00DC4A69">
        <w:t>,</w:t>
      </w:r>
      <w:r w:rsidR="00F403D6" w:rsidRPr="00DC4A69">
        <w:t xml:space="preserve"> which could prevent the fermentation process (</w:t>
      </w:r>
      <w:proofErr w:type="spellStart"/>
      <w:r w:rsidR="00F403D6" w:rsidRPr="00DC4A69">
        <w:t>Mussatto</w:t>
      </w:r>
      <w:proofErr w:type="spellEnd"/>
      <w:r w:rsidR="00F403D6" w:rsidRPr="00DC4A69">
        <w:t xml:space="preserve"> &amp; Roberto, 2004). In order to avoid or minimize decomposition products formation, shorter residence times should be preferred. I</w:t>
      </w:r>
      <w:r w:rsidR="006607DF" w:rsidRPr="00DC4A69">
        <w:t>n</w:t>
      </w:r>
      <w:r w:rsidR="00F403D6" w:rsidRPr="00DC4A69">
        <w:t xml:space="preserve"> this regard, continuous subcritical or supercritical hydrolysis of cellulosic materials such as POCEL, </w:t>
      </w:r>
      <w:proofErr w:type="spellStart"/>
      <w:r w:rsidR="00F403D6" w:rsidRPr="00DC4A69">
        <w:t>cottom</w:t>
      </w:r>
      <w:proofErr w:type="spellEnd"/>
      <w:r w:rsidR="00F403D6" w:rsidRPr="00DC4A69">
        <w:t xml:space="preserve"> and paper waste and other cellulosic industrial residues is a promising process due to the fact that these raw materials have high cellulose compositions, practically no lignin and hemicellulose and could</w:t>
      </w:r>
      <w:r w:rsidR="00F403D6">
        <w:t xml:space="preserve"> be pumped at high pressure and temperature with special equipment or flow arrangements that make possible to work in a continuous mode operation.</w:t>
      </w:r>
    </w:p>
    <w:p w:rsidR="00600535" w:rsidRDefault="00600535" w:rsidP="00600535">
      <w:pPr>
        <w:pStyle w:val="CETHeading1"/>
        <w:rPr>
          <w:lang w:val="en-GB"/>
        </w:rPr>
      </w:pPr>
      <w:r w:rsidRPr="00B57B36">
        <w:rPr>
          <w:lang w:val="en-GB"/>
        </w:rPr>
        <w:t>Conclusions</w:t>
      </w:r>
    </w:p>
    <w:p w:rsidR="001E5C5D" w:rsidRPr="004A0EA1" w:rsidRDefault="00F403D6" w:rsidP="001E5C5D">
      <w:pPr>
        <w:pStyle w:val="CETBodytext"/>
        <w:rPr>
          <w:szCs w:val="18"/>
        </w:rPr>
      </w:pPr>
      <w:r w:rsidRPr="00424D71">
        <w:t xml:space="preserve">Continuous subcritical hydrolysis of </w:t>
      </w:r>
      <w:r w:rsidR="001E5C5D" w:rsidRPr="00424D71">
        <w:rPr>
          <w:szCs w:val="18"/>
        </w:rPr>
        <w:t xml:space="preserve">polyacrylate-cellulose dust (POCEL) waste, which is currently discarded without any valorization, was carried out. </w:t>
      </w:r>
      <w:r w:rsidR="001E5C5D">
        <w:rPr>
          <w:lang w:val="en-GB"/>
        </w:rPr>
        <w:t>Highest TRS concentration and yield was obtained at 390 °C and a water flowrate of 1.9 mL/min, which corresponds to a residence time of 126.7 s. However, similar results were obtained when working at 420 °C, 5.1 mL/min flowrate</w:t>
      </w:r>
      <w:r w:rsidR="001E5C5D">
        <w:t xml:space="preserve"> and a residence time of 42.5 s.</w:t>
      </w:r>
      <w:r w:rsidR="001E5C5D">
        <w:rPr>
          <w:lang w:val="en-GB"/>
        </w:rPr>
        <w:t xml:space="preserve"> H</w:t>
      </w:r>
      <w:r w:rsidR="006607DF">
        <w:rPr>
          <w:lang w:val="en-GB"/>
        </w:rPr>
        <w:t>ydrolysis did</w:t>
      </w:r>
      <w:r w:rsidR="001E5C5D">
        <w:rPr>
          <w:lang w:val="en-GB"/>
        </w:rPr>
        <w:t xml:space="preserve"> not occur significantly at temperatures lower than 350 °C, even at longer residence times. Hydrolysis proceeds only at temperatures higher than 370 °C and it is observed the effect of temperature is mo</w:t>
      </w:r>
      <w:r w:rsidR="001E5C5D">
        <w:t>re significant than</w:t>
      </w:r>
      <w:r w:rsidR="001E5C5D">
        <w:rPr>
          <w:lang w:val="en-GB"/>
        </w:rPr>
        <w:t xml:space="preserve"> the effect of flowrate, since  TRS yield increases only 3% at 390°C as a result of increasing residence time by decreasing flowrate by half.</w:t>
      </w:r>
      <w:r w:rsidR="001E5C5D">
        <w:t xml:space="preserve"> </w:t>
      </w:r>
      <w:r w:rsidR="001E5C5D" w:rsidRPr="000A1573">
        <w:t>These results suggest high TRS yields can be obtained at temperatures around 400 °C and that high temperatures make possible to attain high TRS yields in considerably shorter residence times.</w:t>
      </w:r>
      <w:r w:rsidR="006607DF">
        <w:t xml:space="preserve"> Continuous subcritical or supercritical hydrolysis of cellulosic wastes is a promising process to obtained TRS increased yields in considerable shorter residence times that in </w:t>
      </w:r>
      <w:proofErr w:type="spellStart"/>
      <w:r w:rsidR="006607DF">
        <w:t>semibatch</w:t>
      </w:r>
      <w:proofErr w:type="spellEnd"/>
      <w:r w:rsidR="006607DF">
        <w:t xml:space="preserve"> mode operation.</w:t>
      </w:r>
    </w:p>
    <w:p w:rsidR="00600535" w:rsidRPr="004A0EA1" w:rsidRDefault="00600535" w:rsidP="00600535">
      <w:pPr>
        <w:pStyle w:val="CETReference"/>
        <w:rPr>
          <w:lang w:val="en-US"/>
        </w:rPr>
      </w:pPr>
      <w:r w:rsidRPr="004A0EA1">
        <w:rPr>
          <w:lang w:val="en-US"/>
        </w:rPr>
        <w:t>References</w:t>
      </w:r>
    </w:p>
    <w:p w:rsidR="00BF30B9" w:rsidRPr="00DC4A69" w:rsidRDefault="00BF30B9" w:rsidP="00E70009">
      <w:pPr>
        <w:pStyle w:val="CETReferencetext"/>
      </w:pPr>
      <w:proofErr w:type="spellStart"/>
      <w:r w:rsidRPr="00DC4A69">
        <w:t>Aditiya</w:t>
      </w:r>
      <w:proofErr w:type="spellEnd"/>
      <w:r w:rsidR="00F705B2" w:rsidRPr="00DC4A69">
        <w:t xml:space="preserve"> </w:t>
      </w:r>
      <w:r w:rsidRPr="00DC4A69">
        <w:t xml:space="preserve">H.B., </w:t>
      </w:r>
      <w:proofErr w:type="spellStart"/>
      <w:r w:rsidRPr="00DC4A69">
        <w:t>Mahlia</w:t>
      </w:r>
      <w:proofErr w:type="spellEnd"/>
      <w:r w:rsidRPr="00DC4A69">
        <w:t xml:space="preserve"> T.M., Chong W.T., Nur H., </w:t>
      </w:r>
      <w:proofErr w:type="spellStart"/>
      <w:r w:rsidRPr="00DC4A69">
        <w:t>Sebayang</w:t>
      </w:r>
      <w:proofErr w:type="spellEnd"/>
      <w:r w:rsidRPr="00DC4A69">
        <w:t xml:space="preserve"> A.H., 2016, Second generation bioethanol production: a critical review</w:t>
      </w:r>
      <w:r w:rsidR="00F705B2" w:rsidRPr="00DC4A69">
        <w:t>, Renewable and Sustainable Energy Reviews</w:t>
      </w:r>
      <w:r w:rsidRPr="00DC4A69">
        <w:t>,</w:t>
      </w:r>
      <w:r w:rsidR="00F705B2" w:rsidRPr="00DC4A69">
        <w:t xml:space="preserve"> 66,</w:t>
      </w:r>
      <w:r w:rsidR="00F848D3" w:rsidRPr="00DC4A69">
        <w:t xml:space="preserve"> </w:t>
      </w:r>
      <w:r w:rsidR="00F705B2" w:rsidRPr="00DC4A69">
        <w:t>631-653.</w:t>
      </w:r>
      <w:r w:rsidRPr="00DC4A69">
        <w:t xml:space="preserve"> </w:t>
      </w:r>
    </w:p>
    <w:p w:rsidR="00B737C3" w:rsidRPr="00DC4A69" w:rsidRDefault="00DC2318" w:rsidP="00DC2318">
      <w:pPr>
        <w:pStyle w:val="CETReferencetext"/>
      </w:pPr>
      <w:proofErr w:type="spellStart"/>
      <w:r w:rsidRPr="00DC4A69">
        <w:t>Cantero</w:t>
      </w:r>
      <w:proofErr w:type="spellEnd"/>
      <w:r w:rsidR="00956780" w:rsidRPr="00DC4A69">
        <w:t xml:space="preserve"> D.</w:t>
      </w:r>
      <w:r w:rsidRPr="00DC4A69">
        <w:t>A., Tapia</w:t>
      </w:r>
      <w:r w:rsidR="00B737C3" w:rsidRPr="00DC4A69">
        <w:t xml:space="preserve"> </w:t>
      </w:r>
      <w:r w:rsidRPr="00DC4A69">
        <w:rPr>
          <w:rFonts w:hint="eastAsia"/>
        </w:rPr>
        <w:t>A</w:t>
      </w:r>
      <w:r w:rsidR="00B737C3" w:rsidRPr="00DC4A69">
        <w:t>.S., Dolores M.</w:t>
      </w:r>
      <w:r w:rsidRPr="00DC4A69">
        <w:t xml:space="preserve">, </w:t>
      </w:r>
      <w:proofErr w:type="spellStart"/>
      <w:r w:rsidRPr="00DC4A69">
        <w:t>Cocero</w:t>
      </w:r>
      <w:proofErr w:type="spellEnd"/>
      <w:r w:rsidR="00B737C3" w:rsidRPr="00DC4A69">
        <w:t xml:space="preserve"> M.</w:t>
      </w:r>
      <w:r w:rsidRPr="00DC4A69">
        <w:t>,</w:t>
      </w:r>
      <w:r w:rsidR="00B737C3" w:rsidRPr="00DC4A69">
        <w:t xml:space="preserve"> 2015</w:t>
      </w:r>
      <w:r w:rsidRPr="00DC4A69">
        <w:t>,</w:t>
      </w:r>
      <w:r w:rsidR="00B737C3" w:rsidRPr="00DC4A69">
        <w:t xml:space="preserve"> </w:t>
      </w:r>
      <w:r w:rsidRPr="00DC4A69">
        <w:t xml:space="preserve">Pressure and temperature effect </w:t>
      </w:r>
      <w:r w:rsidR="00B737C3" w:rsidRPr="00DC4A69">
        <w:t>on cellulose hydrolysis in pressurized water</w:t>
      </w:r>
      <w:r w:rsidRPr="00DC4A69">
        <w:t>,</w:t>
      </w:r>
      <w:r w:rsidR="00B737C3" w:rsidRPr="00DC4A69">
        <w:t xml:space="preserve"> Chemical</w:t>
      </w:r>
      <w:r w:rsidRPr="00DC4A69">
        <w:t xml:space="preserve"> </w:t>
      </w:r>
      <w:r w:rsidR="00B737C3" w:rsidRPr="00DC4A69">
        <w:t>Engineering Journal, 276, 145</w:t>
      </w:r>
      <w:r w:rsidR="00B737C3" w:rsidRPr="00DC4A69">
        <w:rPr>
          <w:rFonts w:hint="eastAsia"/>
        </w:rPr>
        <w:t>–</w:t>
      </w:r>
      <w:r w:rsidR="00B737C3" w:rsidRPr="00DC4A69">
        <w:t>154.</w:t>
      </w:r>
    </w:p>
    <w:p w:rsidR="00956780" w:rsidRPr="00DC4A69" w:rsidRDefault="00956780" w:rsidP="00956780">
      <w:pPr>
        <w:pStyle w:val="CETReferencetext"/>
      </w:pPr>
      <w:proofErr w:type="spellStart"/>
      <w:r w:rsidRPr="00DC4A69">
        <w:t>Cantero</w:t>
      </w:r>
      <w:proofErr w:type="spellEnd"/>
      <w:r w:rsidRPr="00DC4A69">
        <w:t xml:space="preserve"> D.A., Dolores M.D., </w:t>
      </w:r>
      <w:proofErr w:type="spellStart"/>
      <w:r w:rsidRPr="00DC4A69">
        <w:t>Cocero</w:t>
      </w:r>
      <w:proofErr w:type="spellEnd"/>
      <w:r w:rsidRPr="00DC4A69">
        <w:t xml:space="preserve"> M.J., 2013, High glucose selectivity in pressurized water hydrolysis of cellulose using ultra-fast reactors. Bioresource Technology, 135, 697</w:t>
      </w:r>
      <w:r w:rsidRPr="00DC4A69">
        <w:rPr>
          <w:rFonts w:hint="eastAsia"/>
        </w:rPr>
        <w:t>–</w:t>
      </w:r>
      <w:r w:rsidRPr="00DC4A69">
        <w:t>703</w:t>
      </w:r>
    </w:p>
    <w:p w:rsidR="002A2B14" w:rsidRPr="00DC4A69" w:rsidRDefault="002A2B14" w:rsidP="00DC2318">
      <w:pPr>
        <w:pStyle w:val="CETReferencetext"/>
      </w:pPr>
      <w:proofErr w:type="spellStart"/>
      <w:r w:rsidRPr="00DC4A69">
        <w:t>Cocero</w:t>
      </w:r>
      <w:proofErr w:type="spellEnd"/>
      <w:r w:rsidRPr="00DC4A69">
        <w:t xml:space="preserve"> M.J., Cabeza A., Abad N., </w:t>
      </w:r>
      <w:proofErr w:type="spellStart"/>
      <w:r w:rsidRPr="00DC4A69">
        <w:t>Adamovic</w:t>
      </w:r>
      <w:proofErr w:type="spellEnd"/>
      <w:r w:rsidRPr="00DC4A69">
        <w:t xml:space="preserve"> T., </w:t>
      </w:r>
      <w:proofErr w:type="spellStart"/>
      <w:r w:rsidRPr="00DC4A69">
        <w:t>Vaquerizo</w:t>
      </w:r>
      <w:proofErr w:type="spellEnd"/>
      <w:r w:rsidRPr="00DC4A69">
        <w:t xml:space="preserve"> L., Martínez C., </w:t>
      </w:r>
      <w:proofErr w:type="spellStart"/>
      <w:r w:rsidRPr="00DC4A69">
        <w:t>Pazo</w:t>
      </w:r>
      <w:r w:rsidR="00CD4E94" w:rsidRPr="00DC4A69">
        <w:t>-cepeda</w:t>
      </w:r>
      <w:proofErr w:type="spellEnd"/>
      <w:r w:rsidRPr="00DC4A69">
        <w:t xml:space="preserve"> M., 2018, Understanding biomass fractionation in subcritical &amp; supercritical water, </w:t>
      </w:r>
      <w:r w:rsidR="0045531B" w:rsidRPr="00DC4A69">
        <w:t xml:space="preserve">Journal of Supercritical Fluids, 133, 550-565. </w:t>
      </w:r>
    </w:p>
    <w:p w:rsidR="00956780" w:rsidRPr="00DC4A69" w:rsidRDefault="00956780" w:rsidP="00956780">
      <w:pPr>
        <w:pStyle w:val="CETReferencetext"/>
      </w:pPr>
      <w:proofErr w:type="spellStart"/>
      <w:r w:rsidRPr="00DC4A69">
        <w:t>Haghighi</w:t>
      </w:r>
      <w:proofErr w:type="spellEnd"/>
      <w:r w:rsidRPr="00DC4A69">
        <w:t xml:space="preserve"> S., Hossein A., </w:t>
      </w:r>
      <w:proofErr w:type="spellStart"/>
      <w:r w:rsidRPr="00DC4A69">
        <w:t>Tabatabaei</w:t>
      </w:r>
      <w:proofErr w:type="spellEnd"/>
      <w:r w:rsidRPr="00DC4A69">
        <w:t xml:space="preserve"> M., Salehi</w:t>
      </w:r>
      <w:r w:rsidR="00A22CC3" w:rsidRPr="00DC4A69">
        <w:t xml:space="preserve"> </w:t>
      </w:r>
      <w:r w:rsidRPr="00DC4A69">
        <w:t>G., Najafi</w:t>
      </w:r>
      <w:r w:rsidR="00A22CC3" w:rsidRPr="00DC4A69">
        <w:t xml:space="preserve"> </w:t>
      </w:r>
      <w:r w:rsidRPr="00DC4A69">
        <w:t xml:space="preserve">G.H., </w:t>
      </w:r>
      <w:proofErr w:type="spellStart"/>
      <w:r w:rsidRPr="00DC4A69">
        <w:t>Gholami</w:t>
      </w:r>
      <w:proofErr w:type="spellEnd"/>
      <w:r w:rsidRPr="00DC4A69">
        <w:t xml:space="preserve"> M., </w:t>
      </w:r>
      <w:proofErr w:type="spellStart"/>
      <w:r w:rsidRPr="00DC4A69">
        <w:t>Ardjmand</w:t>
      </w:r>
      <w:proofErr w:type="spellEnd"/>
      <w:r w:rsidR="00A22CC3" w:rsidRPr="00DC4A69">
        <w:t xml:space="preserve"> </w:t>
      </w:r>
      <w:r w:rsidRPr="00DC4A69">
        <w:t xml:space="preserve">M., 2013, Lignocellulosic biomass to bioethanol, a comprehensive review with a focus on </w:t>
      </w:r>
      <w:proofErr w:type="spellStart"/>
      <w:r w:rsidRPr="00DC4A69">
        <w:t>pretreatment</w:t>
      </w:r>
      <w:proofErr w:type="spellEnd"/>
      <w:r w:rsidR="00A22CC3" w:rsidRPr="00DC4A69">
        <w:t>,</w:t>
      </w:r>
      <w:r w:rsidRPr="00DC4A69">
        <w:t xml:space="preserve"> Renewable and Sustainable Energy Reviews, 27, 77</w:t>
      </w:r>
      <w:r w:rsidRPr="00DC4A69">
        <w:rPr>
          <w:rFonts w:hint="eastAsia"/>
        </w:rPr>
        <w:t>–</w:t>
      </w:r>
      <w:r w:rsidRPr="00DC4A69">
        <w:t>93.</w:t>
      </w:r>
    </w:p>
    <w:p w:rsidR="00AF1D3C" w:rsidRPr="00DC4A69" w:rsidRDefault="00AF1D3C" w:rsidP="00956780">
      <w:pPr>
        <w:pStyle w:val="CETReferencetext"/>
      </w:pPr>
      <w:r w:rsidRPr="00DC4A69">
        <w:t xml:space="preserve">Kruse A., </w:t>
      </w:r>
      <w:proofErr w:type="spellStart"/>
      <w:r w:rsidRPr="00DC4A69">
        <w:t>Dahmen</w:t>
      </w:r>
      <w:proofErr w:type="spellEnd"/>
      <w:r w:rsidRPr="00DC4A69">
        <w:t xml:space="preserve"> N., 2015, Water- a magic solvent for biomass conversion, Journal of Supercritical Fluids, 96, 36</w:t>
      </w:r>
      <w:r w:rsidRPr="00DC4A69">
        <w:rPr>
          <w:rFonts w:hint="eastAsia"/>
        </w:rPr>
        <w:t>–</w:t>
      </w:r>
      <w:r w:rsidRPr="00DC4A69">
        <w:t>45.</w:t>
      </w:r>
    </w:p>
    <w:p w:rsidR="00C255EA" w:rsidRPr="00DC4A69" w:rsidRDefault="00C255EA" w:rsidP="00956780">
      <w:pPr>
        <w:pStyle w:val="CETReferencetext"/>
      </w:pPr>
      <w:proofErr w:type="spellStart"/>
      <w:r w:rsidRPr="00DC4A69">
        <w:t>Limaye</w:t>
      </w:r>
      <w:r w:rsidR="00F848D3" w:rsidRPr="00DC4A69">
        <w:t>m</w:t>
      </w:r>
      <w:proofErr w:type="spellEnd"/>
      <w:r w:rsidRPr="00DC4A69">
        <w:t xml:space="preserve"> A., </w:t>
      </w:r>
      <w:proofErr w:type="spellStart"/>
      <w:r w:rsidRPr="00DC4A69">
        <w:t>Ricke</w:t>
      </w:r>
      <w:proofErr w:type="spellEnd"/>
      <w:r w:rsidRPr="00DC4A69">
        <w:t xml:space="preserve"> S., 2012, Lignocellulosic biomass for bioethanol production: Current perspectives, potential issues and future prospects, Progress in </w:t>
      </w:r>
      <w:r w:rsidR="00F848D3" w:rsidRPr="00DC4A69">
        <w:t>E</w:t>
      </w:r>
      <w:r w:rsidRPr="00DC4A69">
        <w:t xml:space="preserve">nergy and </w:t>
      </w:r>
      <w:r w:rsidR="00F848D3" w:rsidRPr="00DC4A69">
        <w:t>C</w:t>
      </w:r>
      <w:r w:rsidRPr="00DC4A69">
        <w:t xml:space="preserve">ombustion </w:t>
      </w:r>
      <w:r w:rsidR="00F848D3" w:rsidRPr="00DC4A69">
        <w:t>S</w:t>
      </w:r>
      <w:r w:rsidRPr="00DC4A69">
        <w:t>cience, 38, 449-467.</w:t>
      </w:r>
    </w:p>
    <w:p w:rsidR="00AB1258" w:rsidRPr="00DC4A69" w:rsidRDefault="00AB1258" w:rsidP="00AB1258">
      <w:pPr>
        <w:pStyle w:val="CETReferencetext"/>
      </w:pPr>
      <w:proofErr w:type="spellStart"/>
      <w:r w:rsidRPr="00DC4A69">
        <w:t>Marulanda</w:t>
      </w:r>
      <w:proofErr w:type="spellEnd"/>
      <w:r w:rsidRPr="00DC4A69">
        <w:t xml:space="preserve"> P.A., </w:t>
      </w:r>
      <w:proofErr w:type="spellStart"/>
      <w:r w:rsidRPr="00DC4A69">
        <w:t>Marulanda</w:t>
      </w:r>
      <w:proofErr w:type="spellEnd"/>
      <w:r w:rsidRPr="00DC4A69">
        <w:t xml:space="preserve"> V.F., 2017, Production of reducing sugars from lignocellulosic Kikuyu Grass residues by Hydrolysis using subcritical water i</w:t>
      </w:r>
      <w:r w:rsidR="00C04224" w:rsidRPr="00DC4A69">
        <w:t xml:space="preserve">n batch and </w:t>
      </w:r>
      <w:proofErr w:type="spellStart"/>
      <w:r w:rsidR="00C04224" w:rsidRPr="00DC4A69">
        <w:t>s</w:t>
      </w:r>
      <w:r w:rsidRPr="00DC4A69">
        <w:t>emibatch</w:t>
      </w:r>
      <w:proofErr w:type="spellEnd"/>
      <w:r w:rsidRPr="00DC4A69">
        <w:t xml:space="preserve"> reactors, CT&amp;F - </w:t>
      </w:r>
      <w:proofErr w:type="spellStart"/>
      <w:r w:rsidRPr="00DC4A69">
        <w:t>Ciencia</w:t>
      </w:r>
      <w:proofErr w:type="spellEnd"/>
      <w:r w:rsidRPr="00DC4A69">
        <w:t xml:space="preserve">, </w:t>
      </w:r>
      <w:proofErr w:type="spellStart"/>
      <w:r w:rsidRPr="00DC4A69">
        <w:t>Tecnología</w:t>
      </w:r>
      <w:proofErr w:type="spellEnd"/>
      <w:r w:rsidRPr="00DC4A69">
        <w:t xml:space="preserve"> y </w:t>
      </w:r>
      <w:proofErr w:type="spellStart"/>
      <w:r w:rsidRPr="00DC4A69">
        <w:t>Futuro</w:t>
      </w:r>
      <w:proofErr w:type="spellEnd"/>
      <w:r w:rsidRPr="00DC4A69">
        <w:t>, 7, 137 - 146.</w:t>
      </w:r>
    </w:p>
    <w:p w:rsidR="00BF0697" w:rsidRPr="00DC4A69" w:rsidRDefault="00BF0697" w:rsidP="00BF0697">
      <w:pPr>
        <w:pStyle w:val="CETReferencetext"/>
      </w:pPr>
      <w:r w:rsidRPr="00DC4A69">
        <w:t xml:space="preserve">Miller G.L., 1959, Use of </w:t>
      </w:r>
      <w:proofErr w:type="spellStart"/>
      <w:r w:rsidRPr="00DC4A69">
        <w:t>Dinitrosalicylic</w:t>
      </w:r>
      <w:proofErr w:type="spellEnd"/>
      <w:r w:rsidRPr="00DC4A69">
        <w:t xml:space="preserve"> Acid Reagent for Determination of Reducing Sugar, Analytical Chemistry, 31, 426</w:t>
      </w:r>
      <w:r w:rsidRPr="00DC4A69">
        <w:rPr>
          <w:rFonts w:hint="eastAsia"/>
        </w:rPr>
        <w:t>–</w:t>
      </w:r>
      <w:r w:rsidRPr="00DC4A69">
        <w:t>428</w:t>
      </w:r>
    </w:p>
    <w:p w:rsidR="00F403D6" w:rsidRPr="00DC4A69" w:rsidRDefault="00F403D6" w:rsidP="00F403D6">
      <w:pPr>
        <w:pStyle w:val="CETReferencetext"/>
      </w:pPr>
      <w:proofErr w:type="spellStart"/>
      <w:r w:rsidRPr="00DC4A69">
        <w:t>Mussatto</w:t>
      </w:r>
      <w:proofErr w:type="spellEnd"/>
      <w:r w:rsidRPr="00DC4A69">
        <w:t>, S.I., Roberto I.C</w:t>
      </w:r>
      <w:r w:rsidR="00DC4A69">
        <w:t xml:space="preserve">., </w:t>
      </w:r>
      <w:r w:rsidRPr="00DC4A69">
        <w:t>2004</w:t>
      </w:r>
      <w:r w:rsidR="00DC4A69">
        <w:t>,</w:t>
      </w:r>
      <w:r w:rsidRPr="00DC4A69">
        <w:t xml:space="preserve"> Alternatives for detoxification of diluted-acid lignocellulosic </w:t>
      </w:r>
      <w:proofErr w:type="spellStart"/>
      <w:r w:rsidRPr="00DC4A69">
        <w:t>hydrolyzates</w:t>
      </w:r>
      <w:proofErr w:type="spellEnd"/>
      <w:r w:rsidRPr="00DC4A69">
        <w:t xml:space="preserve"> for use in fermentative processes: A review. Bioresource Technology, 93, 1</w:t>
      </w:r>
      <w:r w:rsidRPr="00DC4A69">
        <w:rPr>
          <w:rFonts w:hint="eastAsia"/>
        </w:rPr>
        <w:t>–</w:t>
      </w:r>
      <w:r w:rsidRPr="00DC4A69">
        <w:t xml:space="preserve">10. </w:t>
      </w:r>
    </w:p>
    <w:p w:rsidR="00F0733C" w:rsidRPr="00DC4A69" w:rsidRDefault="00F0733C" w:rsidP="00BF0697">
      <w:pPr>
        <w:pStyle w:val="CETReferencetext"/>
        <w:rPr>
          <w:rFonts w:ascii="AdvP4DF60E" w:eastAsiaTheme="minorHAnsi" w:hAnsi="AdvP4DF60E" w:cs="AdvP4DF60E"/>
          <w:sz w:val="13"/>
          <w:szCs w:val="13"/>
          <w:lang w:val="en-US"/>
        </w:rPr>
      </w:pPr>
      <w:r w:rsidRPr="00DC4A69">
        <w:t>Naik S.N., Goud V.V., Rout P.K., Dalai A.K., 2010, Production of first and second generation biofuels: a comprehensive review</w:t>
      </w:r>
      <w:r w:rsidR="00F705B2" w:rsidRPr="00DC4A69">
        <w:t>, Renewable and Sustainable Energy Reviews</w:t>
      </w:r>
      <w:r w:rsidRPr="00DC4A69">
        <w:t>,</w:t>
      </w:r>
      <w:r w:rsidR="00F705B2" w:rsidRPr="00DC4A69">
        <w:t xml:space="preserve"> 14, 578-597.</w:t>
      </w:r>
      <w:r w:rsidRPr="00DC4A69">
        <w:t xml:space="preserve"> </w:t>
      </w:r>
    </w:p>
    <w:p w:rsidR="00377F6C" w:rsidRPr="00DC4A69" w:rsidRDefault="00377F6C" w:rsidP="00377F6C">
      <w:pPr>
        <w:pStyle w:val="CETReferencetext"/>
      </w:pPr>
      <w:r w:rsidRPr="00DC4A69">
        <w:t xml:space="preserve">Nguyen Q., Phung T., </w:t>
      </w:r>
      <w:proofErr w:type="spellStart"/>
      <w:r w:rsidRPr="00DC4A69">
        <w:t>Thi</w:t>
      </w:r>
      <w:proofErr w:type="spellEnd"/>
      <w:r w:rsidRPr="00DC4A69">
        <w:t xml:space="preserve"> T., 2018, A Technique to Smartly Re-Use Alkaline Solution in Lignocellulose Pre-treatment, Chemical Engineering Transactions, 63, 157-162.</w:t>
      </w:r>
    </w:p>
    <w:p w:rsidR="00F252A6" w:rsidRPr="001E5C5D" w:rsidRDefault="00F252A6" w:rsidP="0030004F">
      <w:pPr>
        <w:pStyle w:val="CETReferencetext"/>
      </w:pPr>
      <w:r w:rsidRPr="001E5C5D">
        <w:t xml:space="preserve">Prado J.M., </w:t>
      </w:r>
      <w:proofErr w:type="spellStart"/>
      <w:r w:rsidRPr="001E5C5D">
        <w:t>Follegatti-romero</w:t>
      </w:r>
      <w:proofErr w:type="spellEnd"/>
      <w:r w:rsidRPr="001E5C5D">
        <w:t xml:space="preserve"> L. A., Forster-</w:t>
      </w:r>
      <w:proofErr w:type="spellStart"/>
      <w:r w:rsidRPr="001E5C5D">
        <w:t>carneiro</w:t>
      </w:r>
      <w:proofErr w:type="spellEnd"/>
      <w:r w:rsidRPr="001E5C5D">
        <w:t xml:space="preserve"> T., </w:t>
      </w:r>
      <w:proofErr w:type="spellStart"/>
      <w:r w:rsidRPr="001E5C5D">
        <w:t>Rostagno</w:t>
      </w:r>
      <w:proofErr w:type="spellEnd"/>
      <w:r w:rsidRPr="001E5C5D">
        <w:t xml:space="preserve"> M.A., Filho</w:t>
      </w:r>
      <w:r w:rsidR="00DC4A69">
        <w:t xml:space="preserve"> </w:t>
      </w:r>
      <w:r w:rsidRPr="001E5C5D">
        <w:t xml:space="preserve">F.M., </w:t>
      </w:r>
      <w:proofErr w:type="spellStart"/>
      <w:r w:rsidRPr="001E5C5D">
        <w:t>Meireles</w:t>
      </w:r>
      <w:proofErr w:type="spellEnd"/>
      <w:r w:rsidRPr="001E5C5D">
        <w:t xml:space="preserve"> M.A</w:t>
      </w:r>
      <w:r w:rsidR="00DC4A69">
        <w:t xml:space="preserve">, </w:t>
      </w:r>
      <w:r w:rsidRPr="001E5C5D">
        <w:t>2014</w:t>
      </w:r>
      <w:r w:rsidR="00DC4A69">
        <w:t>,</w:t>
      </w:r>
      <w:r w:rsidRPr="001E5C5D">
        <w:t xml:space="preserve"> The Journal of Supercritical Fluids Hydrolysis of sugarcane bagasse in subcritical water. The Journal of Supercritical Fluids, 86, 15</w:t>
      </w:r>
      <w:r w:rsidRPr="001E5C5D">
        <w:rPr>
          <w:rFonts w:hint="eastAsia"/>
        </w:rPr>
        <w:t>–</w:t>
      </w:r>
      <w:r w:rsidRPr="001E5C5D">
        <w:t xml:space="preserve">22. </w:t>
      </w:r>
    </w:p>
    <w:p w:rsidR="00C04224" w:rsidRPr="00DC4A69" w:rsidRDefault="00C04224" w:rsidP="00C04224">
      <w:pPr>
        <w:pStyle w:val="CETReferencetext"/>
      </w:pPr>
      <w:r w:rsidRPr="00DC4A69">
        <w:t xml:space="preserve">Prado J. M., </w:t>
      </w:r>
      <w:proofErr w:type="spellStart"/>
      <w:r w:rsidRPr="00DC4A69">
        <w:t>Lachos</w:t>
      </w:r>
      <w:proofErr w:type="spellEnd"/>
      <w:r w:rsidRPr="00DC4A69">
        <w:t xml:space="preserve"> D., Forster T., </w:t>
      </w:r>
      <w:proofErr w:type="spellStart"/>
      <w:r w:rsidRPr="00DC4A69">
        <w:t>Rostagno</w:t>
      </w:r>
      <w:proofErr w:type="spellEnd"/>
      <w:r w:rsidRPr="00DC4A69">
        <w:t xml:space="preserve"> M.A., 2015, Food and Bioproducts Processing Sub- and </w:t>
      </w:r>
      <w:r w:rsidR="00CD4E94" w:rsidRPr="00DC4A69">
        <w:t>s</w:t>
      </w:r>
      <w:r w:rsidRPr="00DC4A69">
        <w:t>upercritical water hydrolysis of agricultural and food industry residues for the production of fermentable sugars: A review. Food and Bioproducts Processing, 98, 95</w:t>
      </w:r>
      <w:r w:rsidRPr="00DC4A69">
        <w:rPr>
          <w:rFonts w:hint="eastAsia"/>
        </w:rPr>
        <w:t>–</w:t>
      </w:r>
      <w:r w:rsidRPr="00DC4A69">
        <w:t>123.</w:t>
      </w:r>
    </w:p>
    <w:p w:rsidR="004628D2" w:rsidRPr="004F0417" w:rsidRDefault="00956780" w:rsidP="001E5C5D">
      <w:pPr>
        <w:pStyle w:val="CETReferencetext"/>
        <w:rPr>
          <w:lang w:val="en-US"/>
        </w:rPr>
      </w:pPr>
      <w:r w:rsidRPr="00DC4A69">
        <w:t xml:space="preserve">Schacht C., </w:t>
      </w:r>
      <w:proofErr w:type="spellStart"/>
      <w:r w:rsidRPr="00DC4A69">
        <w:t>Zetzl</w:t>
      </w:r>
      <w:proofErr w:type="spellEnd"/>
      <w:r w:rsidRPr="00DC4A69">
        <w:t xml:space="preserve"> C., Brunner</w:t>
      </w:r>
      <w:r w:rsidR="00FD0AC2" w:rsidRPr="00DC4A69">
        <w:t xml:space="preserve"> G.</w:t>
      </w:r>
      <w:r w:rsidRPr="00DC4A69">
        <w:t>, 2008,</w:t>
      </w:r>
      <w:r w:rsidR="00FD0AC2" w:rsidRPr="00DC4A69">
        <w:t xml:space="preserve"> From plant </w:t>
      </w:r>
      <w:r w:rsidR="00865DFB" w:rsidRPr="00DC4A69">
        <w:t xml:space="preserve">materials to ethanol </w:t>
      </w:r>
      <w:r w:rsidRPr="00DC4A69">
        <w:t xml:space="preserve">by means of supercritical fluid </w:t>
      </w:r>
      <w:bookmarkStart w:id="1" w:name="_GoBack"/>
      <w:bookmarkEnd w:id="1"/>
      <w:r w:rsidRPr="00DC4A69">
        <w:t>technology,</w:t>
      </w:r>
      <w:r w:rsidR="00865DFB" w:rsidRPr="00DC4A69">
        <w:t xml:space="preserve"> Journal of Supercritical Fluids, 46, 299</w:t>
      </w:r>
      <w:r w:rsidR="00865DFB" w:rsidRPr="00DC4A69">
        <w:rPr>
          <w:rFonts w:hint="eastAsia"/>
        </w:rPr>
        <w:t>–</w:t>
      </w:r>
      <w:r w:rsidR="00865DFB" w:rsidRPr="00DC4A69">
        <w:t>321.</w:t>
      </w:r>
    </w:p>
    <w:sectPr w:rsidR="004628D2" w:rsidRPr="004F041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509" w:rsidRDefault="00022509" w:rsidP="004F5E36">
      <w:r>
        <w:separator/>
      </w:r>
    </w:p>
  </w:endnote>
  <w:endnote w:type="continuationSeparator" w:id="0">
    <w:p w:rsidR="00022509" w:rsidRDefault="0002250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dvP4DF60E">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509" w:rsidRDefault="00022509" w:rsidP="004F5E36">
      <w:r>
        <w:separator/>
      </w:r>
    </w:p>
  </w:footnote>
  <w:footnote w:type="continuationSeparator" w:id="0">
    <w:p w:rsidR="00022509" w:rsidRDefault="0002250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036460"/>
    <w:multiLevelType w:val="hybridMultilevel"/>
    <w:tmpl w:val="ED48A5AC"/>
    <w:lvl w:ilvl="0" w:tplc="CB30750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15D"/>
    <w:rsid w:val="000052FB"/>
    <w:rsid w:val="00010F40"/>
    <w:rsid w:val="000117CB"/>
    <w:rsid w:val="000165D6"/>
    <w:rsid w:val="00016987"/>
    <w:rsid w:val="00022509"/>
    <w:rsid w:val="0003148D"/>
    <w:rsid w:val="00042935"/>
    <w:rsid w:val="00047D7F"/>
    <w:rsid w:val="00050E72"/>
    <w:rsid w:val="00051566"/>
    <w:rsid w:val="000561D0"/>
    <w:rsid w:val="00057A3B"/>
    <w:rsid w:val="00062A9A"/>
    <w:rsid w:val="00065058"/>
    <w:rsid w:val="0007298F"/>
    <w:rsid w:val="00080D53"/>
    <w:rsid w:val="00086C39"/>
    <w:rsid w:val="00097D12"/>
    <w:rsid w:val="000A03B2"/>
    <w:rsid w:val="000A1573"/>
    <w:rsid w:val="000A16D5"/>
    <w:rsid w:val="000A3B79"/>
    <w:rsid w:val="000B406E"/>
    <w:rsid w:val="000C203F"/>
    <w:rsid w:val="000D34BE"/>
    <w:rsid w:val="000D5B37"/>
    <w:rsid w:val="000E102F"/>
    <w:rsid w:val="000E36F1"/>
    <w:rsid w:val="000E3A73"/>
    <w:rsid w:val="000E414A"/>
    <w:rsid w:val="000F093C"/>
    <w:rsid w:val="000F16BD"/>
    <w:rsid w:val="000F787B"/>
    <w:rsid w:val="0011439E"/>
    <w:rsid w:val="0012091F"/>
    <w:rsid w:val="00126BC2"/>
    <w:rsid w:val="001308B6"/>
    <w:rsid w:val="0013121F"/>
    <w:rsid w:val="00131FAB"/>
    <w:rsid w:val="00131FE6"/>
    <w:rsid w:val="0013263F"/>
    <w:rsid w:val="00134DE4"/>
    <w:rsid w:val="0014034D"/>
    <w:rsid w:val="00150E59"/>
    <w:rsid w:val="001528CB"/>
    <w:rsid w:val="00152DE3"/>
    <w:rsid w:val="00162642"/>
    <w:rsid w:val="00164CF9"/>
    <w:rsid w:val="0018104B"/>
    <w:rsid w:val="00184AD6"/>
    <w:rsid w:val="00185D0F"/>
    <w:rsid w:val="001B0349"/>
    <w:rsid w:val="001B65C1"/>
    <w:rsid w:val="001C135C"/>
    <w:rsid w:val="001C684B"/>
    <w:rsid w:val="001D53FC"/>
    <w:rsid w:val="001E5C5D"/>
    <w:rsid w:val="001F42A5"/>
    <w:rsid w:val="001F7B9D"/>
    <w:rsid w:val="00220146"/>
    <w:rsid w:val="002224B4"/>
    <w:rsid w:val="002447EF"/>
    <w:rsid w:val="00251550"/>
    <w:rsid w:val="00252C1A"/>
    <w:rsid w:val="00263B05"/>
    <w:rsid w:val="0027221A"/>
    <w:rsid w:val="00275B61"/>
    <w:rsid w:val="00276D2F"/>
    <w:rsid w:val="00282656"/>
    <w:rsid w:val="00292C2B"/>
    <w:rsid w:val="00296256"/>
    <w:rsid w:val="00296B83"/>
    <w:rsid w:val="002A2B14"/>
    <w:rsid w:val="002B3286"/>
    <w:rsid w:val="002B73A1"/>
    <w:rsid w:val="002B78CE"/>
    <w:rsid w:val="002C2FB6"/>
    <w:rsid w:val="002D3210"/>
    <w:rsid w:val="002D5BCD"/>
    <w:rsid w:val="002E65A4"/>
    <w:rsid w:val="002F635C"/>
    <w:rsid w:val="0030004F"/>
    <w:rsid w:val="003009B7"/>
    <w:rsid w:val="00300E56"/>
    <w:rsid w:val="0030469C"/>
    <w:rsid w:val="00321CA6"/>
    <w:rsid w:val="00334C09"/>
    <w:rsid w:val="003365E3"/>
    <w:rsid w:val="00346690"/>
    <w:rsid w:val="00346760"/>
    <w:rsid w:val="00371A11"/>
    <w:rsid w:val="0037229D"/>
    <w:rsid w:val="003723D4"/>
    <w:rsid w:val="00375EE0"/>
    <w:rsid w:val="00377F6C"/>
    <w:rsid w:val="00384CC8"/>
    <w:rsid w:val="00384D72"/>
    <w:rsid w:val="003871FD"/>
    <w:rsid w:val="003912C4"/>
    <w:rsid w:val="003A1E30"/>
    <w:rsid w:val="003A7D1C"/>
    <w:rsid w:val="003B304B"/>
    <w:rsid w:val="003B3146"/>
    <w:rsid w:val="003B60F3"/>
    <w:rsid w:val="003E71A5"/>
    <w:rsid w:val="003F015E"/>
    <w:rsid w:val="003F5CD4"/>
    <w:rsid w:val="00400414"/>
    <w:rsid w:val="00413C45"/>
    <w:rsid w:val="0041446B"/>
    <w:rsid w:val="00424D71"/>
    <w:rsid w:val="0044329C"/>
    <w:rsid w:val="0045531B"/>
    <w:rsid w:val="004577FE"/>
    <w:rsid w:val="00457B9C"/>
    <w:rsid w:val="0046164A"/>
    <w:rsid w:val="004628D2"/>
    <w:rsid w:val="00462DCD"/>
    <w:rsid w:val="004648AD"/>
    <w:rsid w:val="004703A9"/>
    <w:rsid w:val="004760DE"/>
    <w:rsid w:val="00477B21"/>
    <w:rsid w:val="00486154"/>
    <w:rsid w:val="00491C97"/>
    <w:rsid w:val="00496BB1"/>
    <w:rsid w:val="00497CDA"/>
    <w:rsid w:val="004A004E"/>
    <w:rsid w:val="004A0EA1"/>
    <w:rsid w:val="004A24CF"/>
    <w:rsid w:val="004A650E"/>
    <w:rsid w:val="004A6CC8"/>
    <w:rsid w:val="004B5133"/>
    <w:rsid w:val="004B6721"/>
    <w:rsid w:val="004C3D1D"/>
    <w:rsid w:val="004C7913"/>
    <w:rsid w:val="004E4DD6"/>
    <w:rsid w:val="004F0417"/>
    <w:rsid w:val="004F2952"/>
    <w:rsid w:val="004F5E36"/>
    <w:rsid w:val="00505F71"/>
    <w:rsid w:val="00507B47"/>
    <w:rsid w:val="00507CC9"/>
    <w:rsid w:val="005119A5"/>
    <w:rsid w:val="005241EB"/>
    <w:rsid w:val="0052619C"/>
    <w:rsid w:val="005278B7"/>
    <w:rsid w:val="00532016"/>
    <w:rsid w:val="0053347B"/>
    <w:rsid w:val="005346C8"/>
    <w:rsid w:val="00543E7D"/>
    <w:rsid w:val="0054607E"/>
    <w:rsid w:val="00546615"/>
    <w:rsid w:val="00546824"/>
    <w:rsid w:val="00546B05"/>
    <w:rsid w:val="00547A68"/>
    <w:rsid w:val="005531C9"/>
    <w:rsid w:val="005769A2"/>
    <w:rsid w:val="00582E67"/>
    <w:rsid w:val="00587778"/>
    <w:rsid w:val="00594B89"/>
    <w:rsid w:val="005B2110"/>
    <w:rsid w:val="005B61E6"/>
    <w:rsid w:val="005C04C6"/>
    <w:rsid w:val="005C77E1"/>
    <w:rsid w:val="005D6A2F"/>
    <w:rsid w:val="005E1A82"/>
    <w:rsid w:val="005E3B79"/>
    <w:rsid w:val="005E40FA"/>
    <w:rsid w:val="005E794C"/>
    <w:rsid w:val="005E7B25"/>
    <w:rsid w:val="005F0A28"/>
    <w:rsid w:val="005F0E5E"/>
    <w:rsid w:val="005F341B"/>
    <w:rsid w:val="00600535"/>
    <w:rsid w:val="00600872"/>
    <w:rsid w:val="00610CD6"/>
    <w:rsid w:val="00617BF4"/>
    <w:rsid w:val="00620DEE"/>
    <w:rsid w:val="00621F92"/>
    <w:rsid w:val="00625639"/>
    <w:rsid w:val="00631B33"/>
    <w:rsid w:val="0064184D"/>
    <w:rsid w:val="006422CC"/>
    <w:rsid w:val="006607DF"/>
    <w:rsid w:val="00660E3E"/>
    <w:rsid w:val="00662E74"/>
    <w:rsid w:val="00671052"/>
    <w:rsid w:val="00680C23"/>
    <w:rsid w:val="00680DAF"/>
    <w:rsid w:val="00693766"/>
    <w:rsid w:val="00695DE3"/>
    <w:rsid w:val="006A3281"/>
    <w:rsid w:val="006B3789"/>
    <w:rsid w:val="006B4888"/>
    <w:rsid w:val="006B6DBA"/>
    <w:rsid w:val="006C2E45"/>
    <w:rsid w:val="006C359C"/>
    <w:rsid w:val="006C397C"/>
    <w:rsid w:val="006C5579"/>
    <w:rsid w:val="006C70F0"/>
    <w:rsid w:val="006E737D"/>
    <w:rsid w:val="0070195D"/>
    <w:rsid w:val="00710C75"/>
    <w:rsid w:val="00712B0A"/>
    <w:rsid w:val="00714BFD"/>
    <w:rsid w:val="00720A24"/>
    <w:rsid w:val="0072371B"/>
    <w:rsid w:val="007238ED"/>
    <w:rsid w:val="00732386"/>
    <w:rsid w:val="00733475"/>
    <w:rsid w:val="007447F3"/>
    <w:rsid w:val="00745BE6"/>
    <w:rsid w:val="00746802"/>
    <w:rsid w:val="00747E6C"/>
    <w:rsid w:val="007516F1"/>
    <w:rsid w:val="0075499F"/>
    <w:rsid w:val="007661C8"/>
    <w:rsid w:val="0077098D"/>
    <w:rsid w:val="007711EB"/>
    <w:rsid w:val="00771EE0"/>
    <w:rsid w:val="00784A39"/>
    <w:rsid w:val="0079112F"/>
    <w:rsid w:val="007931FA"/>
    <w:rsid w:val="00797E73"/>
    <w:rsid w:val="007A7BBA"/>
    <w:rsid w:val="007B0C50"/>
    <w:rsid w:val="007C1A43"/>
    <w:rsid w:val="007D1287"/>
    <w:rsid w:val="007D33CE"/>
    <w:rsid w:val="007D6D15"/>
    <w:rsid w:val="007E1DC6"/>
    <w:rsid w:val="007E25AC"/>
    <w:rsid w:val="007E72FF"/>
    <w:rsid w:val="00813288"/>
    <w:rsid w:val="00813A65"/>
    <w:rsid w:val="00813DB1"/>
    <w:rsid w:val="008152D5"/>
    <w:rsid w:val="008168FC"/>
    <w:rsid w:val="0082559C"/>
    <w:rsid w:val="00830996"/>
    <w:rsid w:val="008345F1"/>
    <w:rsid w:val="0083709B"/>
    <w:rsid w:val="00865712"/>
    <w:rsid w:val="00865B07"/>
    <w:rsid w:val="00865DFB"/>
    <w:rsid w:val="008667EA"/>
    <w:rsid w:val="0087487C"/>
    <w:rsid w:val="0087637F"/>
    <w:rsid w:val="0088266F"/>
    <w:rsid w:val="008904B9"/>
    <w:rsid w:val="00892AD5"/>
    <w:rsid w:val="008A1512"/>
    <w:rsid w:val="008C78C1"/>
    <w:rsid w:val="008D32B9"/>
    <w:rsid w:val="008D433B"/>
    <w:rsid w:val="008E566E"/>
    <w:rsid w:val="0090161A"/>
    <w:rsid w:val="00901EB6"/>
    <w:rsid w:val="00904C62"/>
    <w:rsid w:val="00905E1A"/>
    <w:rsid w:val="009060D0"/>
    <w:rsid w:val="00916944"/>
    <w:rsid w:val="009200BB"/>
    <w:rsid w:val="00924DAC"/>
    <w:rsid w:val="00927058"/>
    <w:rsid w:val="00940C2C"/>
    <w:rsid w:val="009450CE"/>
    <w:rsid w:val="00947179"/>
    <w:rsid w:val="0095164B"/>
    <w:rsid w:val="00954090"/>
    <w:rsid w:val="00955CE6"/>
    <w:rsid w:val="00956780"/>
    <w:rsid w:val="009573E7"/>
    <w:rsid w:val="009635B9"/>
    <w:rsid w:val="00963E05"/>
    <w:rsid w:val="00967D54"/>
    <w:rsid w:val="009721F7"/>
    <w:rsid w:val="009838F3"/>
    <w:rsid w:val="00984112"/>
    <w:rsid w:val="00991A23"/>
    <w:rsid w:val="00994813"/>
    <w:rsid w:val="00996483"/>
    <w:rsid w:val="00996F5A"/>
    <w:rsid w:val="009A054B"/>
    <w:rsid w:val="009A0A3E"/>
    <w:rsid w:val="009B041A"/>
    <w:rsid w:val="009C7C86"/>
    <w:rsid w:val="009D2FF7"/>
    <w:rsid w:val="009D42F3"/>
    <w:rsid w:val="009E2F34"/>
    <w:rsid w:val="009E7042"/>
    <w:rsid w:val="009E7884"/>
    <w:rsid w:val="009E788A"/>
    <w:rsid w:val="009F0E08"/>
    <w:rsid w:val="00A036F8"/>
    <w:rsid w:val="00A066FC"/>
    <w:rsid w:val="00A11FCD"/>
    <w:rsid w:val="00A15EFD"/>
    <w:rsid w:val="00A1763D"/>
    <w:rsid w:val="00A17CEC"/>
    <w:rsid w:val="00A22CC3"/>
    <w:rsid w:val="00A24D57"/>
    <w:rsid w:val="00A26BC5"/>
    <w:rsid w:val="00A27EF0"/>
    <w:rsid w:val="00A3211F"/>
    <w:rsid w:val="00A337B0"/>
    <w:rsid w:val="00A4070C"/>
    <w:rsid w:val="00A42193"/>
    <w:rsid w:val="00A50B20"/>
    <w:rsid w:val="00A51390"/>
    <w:rsid w:val="00A60D13"/>
    <w:rsid w:val="00A6422C"/>
    <w:rsid w:val="00A72745"/>
    <w:rsid w:val="00A75666"/>
    <w:rsid w:val="00A76EFC"/>
    <w:rsid w:val="00A85094"/>
    <w:rsid w:val="00A864A5"/>
    <w:rsid w:val="00A86572"/>
    <w:rsid w:val="00A91010"/>
    <w:rsid w:val="00A93A2B"/>
    <w:rsid w:val="00A97F29"/>
    <w:rsid w:val="00AA702E"/>
    <w:rsid w:val="00AB0759"/>
    <w:rsid w:val="00AB0964"/>
    <w:rsid w:val="00AB1258"/>
    <w:rsid w:val="00AB5011"/>
    <w:rsid w:val="00AC09A1"/>
    <w:rsid w:val="00AC7368"/>
    <w:rsid w:val="00AD16B9"/>
    <w:rsid w:val="00AD220B"/>
    <w:rsid w:val="00AE377D"/>
    <w:rsid w:val="00AF1D3C"/>
    <w:rsid w:val="00AF4B1C"/>
    <w:rsid w:val="00B020AE"/>
    <w:rsid w:val="00B05F99"/>
    <w:rsid w:val="00B10D23"/>
    <w:rsid w:val="00B17FBD"/>
    <w:rsid w:val="00B30F56"/>
    <w:rsid w:val="00B315A6"/>
    <w:rsid w:val="00B31813"/>
    <w:rsid w:val="00B33365"/>
    <w:rsid w:val="00B33D95"/>
    <w:rsid w:val="00B57B36"/>
    <w:rsid w:val="00B60810"/>
    <w:rsid w:val="00B737C3"/>
    <w:rsid w:val="00B83437"/>
    <w:rsid w:val="00B8686D"/>
    <w:rsid w:val="00BA7199"/>
    <w:rsid w:val="00BC2AE8"/>
    <w:rsid w:val="00BC30C9"/>
    <w:rsid w:val="00BD3CC4"/>
    <w:rsid w:val="00BE11DE"/>
    <w:rsid w:val="00BE3E58"/>
    <w:rsid w:val="00BF0697"/>
    <w:rsid w:val="00BF30B9"/>
    <w:rsid w:val="00C01616"/>
    <w:rsid w:val="00C0162B"/>
    <w:rsid w:val="00C04224"/>
    <w:rsid w:val="00C255EA"/>
    <w:rsid w:val="00C345B1"/>
    <w:rsid w:val="00C36654"/>
    <w:rsid w:val="00C40142"/>
    <w:rsid w:val="00C4733A"/>
    <w:rsid w:val="00C50BAF"/>
    <w:rsid w:val="00C57182"/>
    <w:rsid w:val="00C57863"/>
    <w:rsid w:val="00C6282B"/>
    <w:rsid w:val="00C655FD"/>
    <w:rsid w:val="00C870A8"/>
    <w:rsid w:val="00C94434"/>
    <w:rsid w:val="00CA0D75"/>
    <w:rsid w:val="00CA1C95"/>
    <w:rsid w:val="00CA5A9C"/>
    <w:rsid w:val="00CD1138"/>
    <w:rsid w:val="00CD3517"/>
    <w:rsid w:val="00CD4E94"/>
    <w:rsid w:val="00CD5A00"/>
    <w:rsid w:val="00CD5FE2"/>
    <w:rsid w:val="00CE4067"/>
    <w:rsid w:val="00CE7C68"/>
    <w:rsid w:val="00CF3366"/>
    <w:rsid w:val="00CF3AAB"/>
    <w:rsid w:val="00D02B4C"/>
    <w:rsid w:val="00D040C4"/>
    <w:rsid w:val="00D06937"/>
    <w:rsid w:val="00D247FE"/>
    <w:rsid w:val="00D2490F"/>
    <w:rsid w:val="00D27416"/>
    <w:rsid w:val="00D4723B"/>
    <w:rsid w:val="00D57C84"/>
    <w:rsid w:val="00D6057D"/>
    <w:rsid w:val="00D6113F"/>
    <w:rsid w:val="00D84576"/>
    <w:rsid w:val="00DA1399"/>
    <w:rsid w:val="00DA24C6"/>
    <w:rsid w:val="00DA4D7B"/>
    <w:rsid w:val="00DC2318"/>
    <w:rsid w:val="00DC4A69"/>
    <w:rsid w:val="00DD33DB"/>
    <w:rsid w:val="00DD7134"/>
    <w:rsid w:val="00DE264A"/>
    <w:rsid w:val="00DE26EF"/>
    <w:rsid w:val="00DF22D9"/>
    <w:rsid w:val="00E02D18"/>
    <w:rsid w:val="00E0406B"/>
    <w:rsid w:val="00E041E7"/>
    <w:rsid w:val="00E108B2"/>
    <w:rsid w:val="00E14B2F"/>
    <w:rsid w:val="00E23CA1"/>
    <w:rsid w:val="00E26995"/>
    <w:rsid w:val="00E37E64"/>
    <w:rsid w:val="00E409A8"/>
    <w:rsid w:val="00E50C12"/>
    <w:rsid w:val="00E526A2"/>
    <w:rsid w:val="00E64306"/>
    <w:rsid w:val="00E65B91"/>
    <w:rsid w:val="00E70009"/>
    <w:rsid w:val="00E7209D"/>
    <w:rsid w:val="00E7687E"/>
    <w:rsid w:val="00E77223"/>
    <w:rsid w:val="00E8528B"/>
    <w:rsid w:val="00E85B94"/>
    <w:rsid w:val="00E94624"/>
    <w:rsid w:val="00E968CC"/>
    <w:rsid w:val="00E978D0"/>
    <w:rsid w:val="00EA0ED1"/>
    <w:rsid w:val="00EA4613"/>
    <w:rsid w:val="00EA7F91"/>
    <w:rsid w:val="00EB1523"/>
    <w:rsid w:val="00EB4BA6"/>
    <w:rsid w:val="00EC0E49"/>
    <w:rsid w:val="00ED5810"/>
    <w:rsid w:val="00EE0131"/>
    <w:rsid w:val="00EF314B"/>
    <w:rsid w:val="00EF6AD5"/>
    <w:rsid w:val="00EF7E49"/>
    <w:rsid w:val="00F0733C"/>
    <w:rsid w:val="00F155B2"/>
    <w:rsid w:val="00F252A6"/>
    <w:rsid w:val="00F30C64"/>
    <w:rsid w:val="00F32CDB"/>
    <w:rsid w:val="00F403D6"/>
    <w:rsid w:val="00F426F1"/>
    <w:rsid w:val="00F44808"/>
    <w:rsid w:val="00F4541C"/>
    <w:rsid w:val="00F577F4"/>
    <w:rsid w:val="00F63A70"/>
    <w:rsid w:val="00F705B2"/>
    <w:rsid w:val="00F848D3"/>
    <w:rsid w:val="00F84AE9"/>
    <w:rsid w:val="00FA21D0"/>
    <w:rsid w:val="00FA47E7"/>
    <w:rsid w:val="00FA5F5F"/>
    <w:rsid w:val="00FB730C"/>
    <w:rsid w:val="00FC2695"/>
    <w:rsid w:val="00FC27DC"/>
    <w:rsid w:val="00FC3E03"/>
    <w:rsid w:val="00FC3FC1"/>
    <w:rsid w:val="00FC46D7"/>
    <w:rsid w:val="00FD0AC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4BE2B"/>
  <w15:docId w15:val="{15459D8A-0242-44A5-BE38-96492E44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Default">
    <w:name w:val="Default"/>
    <w:rsid w:val="002D3210"/>
    <w:pPr>
      <w:autoSpaceDE w:val="0"/>
      <w:autoSpaceDN w:val="0"/>
      <w:adjustRightInd w:val="0"/>
      <w:spacing w:after="0" w:line="240" w:lineRule="auto"/>
    </w:pPr>
    <w:rPr>
      <w:rFonts w:ascii="Arial" w:hAnsi="Arial" w:cs="Arial"/>
      <w:color w:val="000000"/>
      <w:sz w:val="24"/>
      <w:szCs w:val="24"/>
      <w:lang w:val="es-CO"/>
    </w:rPr>
  </w:style>
  <w:style w:type="paragraph" w:styleId="Prrafodelista">
    <w:name w:val="List Paragraph"/>
    <w:basedOn w:val="Normal"/>
    <w:uiPriority w:val="34"/>
    <w:rsid w:val="00A4070C"/>
    <w:pPr>
      <w:ind w:left="720"/>
      <w:contextualSpacing/>
    </w:pPr>
  </w:style>
  <w:style w:type="character" w:styleId="Textodelmarcadordeposicin">
    <w:name w:val="Placeholder Text"/>
    <w:basedOn w:val="Fuentedeprrafopredeter"/>
    <w:uiPriority w:val="99"/>
    <w:semiHidden/>
    <w:rsid w:val="003466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6129">
      <w:bodyDiv w:val="1"/>
      <w:marLeft w:val="0"/>
      <w:marRight w:val="0"/>
      <w:marTop w:val="0"/>
      <w:marBottom w:val="0"/>
      <w:divBdr>
        <w:top w:val="none" w:sz="0" w:space="0" w:color="auto"/>
        <w:left w:val="none" w:sz="0" w:space="0" w:color="auto"/>
        <w:bottom w:val="none" w:sz="0" w:space="0" w:color="auto"/>
        <w:right w:val="none" w:sz="0" w:space="0" w:color="auto"/>
      </w:divBdr>
    </w:div>
    <w:div w:id="221252582">
      <w:bodyDiv w:val="1"/>
      <w:marLeft w:val="0"/>
      <w:marRight w:val="0"/>
      <w:marTop w:val="0"/>
      <w:marBottom w:val="0"/>
      <w:divBdr>
        <w:top w:val="none" w:sz="0" w:space="0" w:color="auto"/>
        <w:left w:val="none" w:sz="0" w:space="0" w:color="auto"/>
        <w:bottom w:val="none" w:sz="0" w:space="0" w:color="auto"/>
        <w:right w:val="none" w:sz="0" w:space="0" w:color="auto"/>
      </w:divBdr>
    </w:div>
    <w:div w:id="326250309">
      <w:bodyDiv w:val="1"/>
      <w:marLeft w:val="0"/>
      <w:marRight w:val="0"/>
      <w:marTop w:val="0"/>
      <w:marBottom w:val="0"/>
      <w:divBdr>
        <w:top w:val="none" w:sz="0" w:space="0" w:color="auto"/>
        <w:left w:val="none" w:sz="0" w:space="0" w:color="auto"/>
        <w:bottom w:val="none" w:sz="0" w:space="0" w:color="auto"/>
        <w:right w:val="none" w:sz="0" w:space="0" w:color="auto"/>
      </w:divBdr>
    </w:div>
    <w:div w:id="501238568">
      <w:bodyDiv w:val="1"/>
      <w:marLeft w:val="0"/>
      <w:marRight w:val="0"/>
      <w:marTop w:val="0"/>
      <w:marBottom w:val="0"/>
      <w:divBdr>
        <w:top w:val="none" w:sz="0" w:space="0" w:color="auto"/>
        <w:left w:val="none" w:sz="0" w:space="0" w:color="auto"/>
        <w:bottom w:val="none" w:sz="0" w:space="0" w:color="auto"/>
        <w:right w:val="none" w:sz="0" w:space="0" w:color="auto"/>
      </w:divBdr>
    </w:div>
    <w:div w:id="522401776">
      <w:bodyDiv w:val="1"/>
      <w:marLeft w:val="0"/>
      <w:marRight w:val="0"/>
      <w:marTop w:val="0"/>
      <w:marBottom w:val="0"/>
      <w:divBdr>
        <w:top w:val="none" w:sz="0" w:space="0" w:color="auto"/>
        <w:left w:val="none" w:sz="0" w:space="0" w:color="auto"/>
        <w:bottom w:val="none" w:sz="0" w:space="0" w:color="auto"/>
        <w:right w:val="none" w:sz="0" w:space="0" w:color="auto"/>
      </w:divBdr>
    </w:div>
    <w:div w:id="686057410">
      <w:bodyDiv w:val="1"/>
      <w:marLeft w:val="0"/>
      <w:marRight w:val="0"/>
      <w:marTop w:val="0"/>
      <w:marBottom w:val="0"/>
      <w:divBdr>
        <w:top w:val="none" w:sz="0" w:space="0" w:color="auto"/>
        <w:left w:val="none" w:sz="0" w:space="0" w:color="auto"/>
        <w:bottom w:val="none" w:sz="0" w:space="0" w:color="auto"/>
        <w:right w:val="none" w:sz="0" w:space="0" w:color="auto"/>
      </w:divBdr>
    </w:div>
    <w:div w:id="76915619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3281">
      <w:bodyDiv w:val="1"/>
      <w:marLeft w:val="0"/>
      <w:marRight w:val="0"/>
      <w:marTop w:val="0"/>
      <w:marBottom w:val="0"/>
      <w:divBdr>
        <w:top w:val="none" w:sz="0" w:space="0" w:color="auto"/>
        <w:left w:val="none" w:sz="0" w:space="0" w:color="auto"/>
        <w:bottom w:val="none" w:sz="0" w:space="0" w:color="auto"/>
        <w:right w:val="none" w:sz="0" w:space="0" w:color="auto"/>
      </w:divBdr>
    </w:div>
    <w:div w:id="975766995">
      <w:bodyDiv w:val="1"/>
      <w:marLeft w:val="0"/>
      <w:marRight w:val="0"/>
      <w:marTop w:val="0"/>
      <w:marBottom w:val="0"/>
      <w:divBdr>
        <w:top w:val="none" w:sz="0" w:space="0" w:color="auto"/>
        <w:left w:val="none" w:sz="0" w:space="0" w:color="auto"/>
        <w:bottom w:val="none" w:sz="0" w:space="0" w:color="auto"/>
        <w:right w:val="none" w:sz="0" w:space="0" w:color="auto"/>
      </w:divBdr>
    </w:div>
    <w:div w:id="1056859280">
      <w:bodyDiv w:val="1"/>
      <w:marLeft w:val="0"/>
      <w:marRight w:val="0"/>
      <w:marTop w:val="0"/>
      <w:marBottom w:val="0"/>
      <w:divBdr>
        <w:top w:val="none" w:sz="0" w:space="0" w:color="auto"/>
        <w:left w:val="none" w:sz="0" w:space="0" w:color="auto"/>
        <w:bottom w:val="none" w:sz="0" w:space="0" w:color="auto"/>
        <w:right w:val="none" w:sz="0" w:space="0" w:color="auto"/>
      </w:divBdr>
    </w:div>
    <w:div w:id="1254360624">
      <w:bodyDiv w:val="1"/>
      <w:marLeft w:val="0"/>
      <w:marRight w:val="0"/>
      <w:marTop w:val="0"/>
      <w:marBottom w:val="0"/>
      <w:divBdr>
        <w:top w:val="none" w:sz="0" w:space="0" w:color="auto"/>
        <w:left w:val="none" w:sz="0" w:space="0" w:color="auto"/>
        <w:bottom w:val="none" w:sz="0" w:space="0" w:color="auto"/>
        <w:right w:val="none" w:sz="0" w:space="0" w:color="auto"/>
      </w:divBdr>
    </w:div>
    <w:div w:id="1320307654">
      <w:bodyDiv w:val="1"/>
      <w:marLeft w:val="0"/>
      <w:marRight w:val="0"/>
      <w:marTop w:val="0"/>
      <w:marBottom w:val="0"/>
      <w:divBdr>
        <w:top w:val="none" w:sz="0" w:space="0" w:color="auto"/>
        <w:left w:val="none" w:sz="0" w:space="0" w:color="auto"/>
        <w:bottom w:val="none" w:sz="0" w:space="0" w:color="auto"/>
        <w:right w:val="none" w:sz="0" w:space="0" w:color="auto"/>
      </w:divBdr>
    </w:div>
    <w:div w:id="1462264620">
      <w:bodyDiv w:val="1"/>
      <w:marLeft w:val="0"/>
      <w:marRight w:val="0"/>
      <w:marTop w:val="0"/>
      <w:marBottom w:val="0"/>
      <w:divBdr>
        <w:top w:val="none" w:sz="0" w:space="0" w:color="auto"/>
        <w:left w:val="none" w:sz="0" w:space="0" w:color="auto"/>
        <w:bottom w:val="none" w:sz="0" w:space="0" w:color="auto"/>
        <w:right w:val="none" w:sz="0" w:space="0" w:color="auto"/>
      </w:divBdr>
    </w:div>
    <w:div w:id="1511261804">
      <w:bodyDiv w:val="1"/>
      <w:marLeft w:val="0"/>
      <w:marRight w:val="0"/>
      <w:marTop w:val="0"/>
      <w:marBottom w:val="0"/>
      <w:divBdr>
        <w:top w:val="none" w:sz="0" w:space="0" w:color="auto"/>
        <w:left w:val="none" w:sz="0" w:space="0" w:color="auto"/>
        <w:bottom w:val="none" w:sz="0" w:space="0" w:color="auto"/>
        <w:right w:val="none" w:sz="0" w:space="0" w:color="auto"/>
      </w:divBdr>
    </w:div>
    <w:div w:id="154809982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266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9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4A8C3-A752-4782-86DC-612FDCBA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3823</Words>
  <Characters>21032</Characters>
  <Application>Microsoft Office Word</Application>
  <DocSecurity>0</DocSecurity>
  <Lines>175</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ORLANDO COLORADO</cp:lastModifiedBy>
  <cp:revision>2</cp:revision>
  <cp:lastPrinted>2015-05-12T18:31:00Z</cp:lastPrinted>
  <dcterms:created xsi:type="dcterms:W3CDTF">2019-04-02T04:49:00Z</dcterms:created>
  <dcterms:modified xsi:type="dcterms:W3CDTF">2019-04-02T04:49:00Z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