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A4375" w14:paraId="79C64157" w14:textId="77777777">
        <w:trPr>
          <w:trHeight w:val="852"/>
          <w:jc w:val="center"/>
        </w:trPr>
        <w:tc>
          <w:tcPr>
            <w:tcW w:w="6946" w:type="dxa"/>
            <w:vMerge w:val="restart"/>
            <w:tcBorders>
              <w:right w:val="single" w:sz="4" w:space="0" w:color="auto"/>
            </w:tcBorders>
          </w:tcPr>
          <w:p w14:paraId="3BB4661C" w14:textId="77777777" w:rsidR="000A03B2" w:rsidRPr="003A4375" w:rsidRDefault="000A03B2" w:rsidP="003F5AF5">
            <w:pPr>
              <w:tabs>
                <w:tab w:val="left" w:pos="-108"/>
              </w:tabs>
              <w:ind w:left="-108"/>
              <w:jc w:val="left"/>
              <w:rPr>
                <w:rFonts w:cs="Arial"/>
                <w:b/>
                <w:bCs/>
                <w:i/>
                <w:iCs/>
                <w:color w:val="000066"/>
                <w:sz w:val="12"/>
                <w:szCs w:val="12"/>
                <w:lang w:eastAsia="it-IT"/>
              </w:rPr>
            </w:pPr>
            <w:r w:rsidRPr="003A4375">
              <w:rPr>
                <w:rFonts w:ascii="AdvP6960" w:hAnsi="AdvP6960" w:cs="AdvP6960"/>
                <w:noProof/>
                <w:color w:val="241F20"/>
                <w:szCs w:val="18"/>
                <w:lang w:val="it-IT" w:eastAsia="it-IT"/>
              </w:rPr>
              <w:drawing>
                <wp:inline distT="0" distB="0" distL="0" distR="0" wp14:anchorId="43C87E3C" wp14:editId="7D9F9C5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A4375">
              <w:rPr>
                <w:rFonts w:ascii="AdvP6960" w:hAnsi="AdvP6960" w:cs="AdvP6960"/>
                <w:color w:val="241F20"/>
                <w:szCs w:val="18"/>
                <w:lang w:eastAsia="it-IT"/>
              </w:rPr>
              <w:t xml:space="preserve"> </w:t>
            </w:r>
            <w:r w:rsidRPr="003A4375">
              <w:rPr>
                <w:rFonts w:cs="Arial"/>
                <w:b/>
                <w:bCs/>
                <w:i/>
                <w:iCs/>
                <w:color w:val="000066"/>
                <w:sz w:val="24"/>
                <w:szCs w:val="24"/>
                <w:lang w:eastAsia="it-IT"/>
              </w:rPr>
              <w:t>CHEMICAL ENGINEERING</w:t>
            </w:r>
            <w:r w:rsidRPr="003A4375">
              <w:rPr>
                <w:rFonts w:cs="Arial"/>
                <w:b/>
                <w:bCs/>
                <w:i/>
                <w:iCs/>
                <w:color w:val="0033FF"/>
                <w:sz w:val="24"/>
                <w:szCs w:val="24"/>
                <w:lang w:eastAsia="it-IT"/>
              </w:rPr>
              <w:t xml:space="preserve"> </w:t>
            </w:r>
            <w:r w:rsidRPr="003A4375">
              <w:rPr>
                <w:rFonts w:cs="Arial"/>
                <w:b/>
                <w:bCs/>
                <w:i/>
                <w:iCs/>
                <w:color w:val="666666"/>
                <w:sz w:val="24"/>
                <w:szCs w:val="24"/>
                <w:lang w:eastAsia="it-IT"/>
              </w:rPr>
              <w:t>TRANSACTIONS</w:t>
            </w:r>
            <w:r w:rsidRPr="003A4375">
              <w:rPr>
                <w:color w:val="333333"/>
                <w:sz w:val="24"/>
                <w:szCs w:val="24"/>
                <w:lang w:eastAsia="it-IT"/>
              </w:rPr>
              <w:t xml:space="preserve"> </w:t>
            </w:r>
            <w:r w:rsidRPr="003A4375">
              <w:rPr>
                <w:rFonts w:cs="Arial"/>
                <w:b/>
                <w:bCs/>
                <w:i/>
                <w:iCs/>
                <w:color w:val="000066"/>
                <w:sz w:val="27"/>
                <w:szCs w:val="27"/>
                <w:lang w:eastAsia="it-IT"/>
              </w:rPr>
              <w:br/>
            </w:r>
          </w:p>
          <w:p w14:paraId="12BE06AF" w14:textId="77777777" w:rsidR="000A03B2" w:rsidRPr="003A4375" w:rsidRDefault="00A76EFC" w:rsidP="003F5AF5">
            <w:pPr>
              <w:tabs>
                <w:tab w:val="left" w:pos="-108"/>
              </w:tabs>
              <w:ind w:left="-108"/>
              <w:rPr>
                <w:rFonts w:cs="Arial"/>
                <w:b/>
                <w:bCs/>
                <w:i/>
                <w:iCs/>
                <w:color w:val="000066"/>
                <w:sz w:val="22"/>
                <w:szCs w:val="22"/>
                <w:lang w:eastAsia="it-IT"/>
              </w:rPr>
            </w:pPr>
            <w:r w:rsidRPr="003A4375">
              <w:rPr>
                <w:rFonts w:cs="Arial"/>
                <w:b/>
                <w:bCs/>
                <w:i/>
                <w:iCs/>
                <w:color w:val="000066"/>
                <w:sz w:val="22"/>
                <w:szCs w:val="22"/>
                <w:lang w:eastAsia="it-IT"/>
              </w:rPr>
              <w:t xml:space="preserve">VOL. </w:t>
            </w:r>
            <w:r w:rsidR="007931FA" w:rsidRPr="003A4375">
              <w:rPr>
                <w:rFonts w:cs="Arial"/>
                <w:b/>
                <w:bCs/>
                <w:i/>
                <w:iCs/>
                <w:color w:val="000066"/>
                <w:sz w:val="22"/>
                <w:szCs w:val="22"/>
                <w:lang w:eastAsia="it-IT"/>
              </w:rPr>
              <w:t>7</w:t>
            </w:r>
            <w:r w:rsidR="009635B9" w:rsidRPr="003A4375">
              <w:rPr>
                <w:rFonts w:cs="Arial"/>
                <w:b/>
                <w:bCs/>
                <w:i/>
                <w:iCs/>
                <w:color w:val="000066"/>
                <w:sz w:val="22"/>
                <w:szCs w:val="22"/>
                <w:lang w:eastAsia="it-IT"/>
              </w:rPr>
              <w:t>6</w:t>
            </w:r>
            <w:r w:rsidR="00FA5F5F" w:rsidRPr="003A4375">
              <w:rPr>
                <w:rFonts w:cs="Arial"/>
                <w:b/>
                <w:bCs/>
                <w:i/>
                <w:iCs/>
                <w:color w:val="000066"/>
                <w:sz w:val="22"/>
                <w:szCs w:val="22"/>
                <w:lang w:eastAsia="it-IT"/>
              </w:rPr>
              <w:t>, 201</w:t>
            </w:r>
            <w:r w:rsidR="007931FA" w:rsidRPr="003A4375">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F131821" w14:textId="77777777" w:rsidR="000A03B2" w:rsidRPr="003A4375" w:rsidRDefault="000A03B2" w:rsidP="003F5AF5">
            <w:pPr>
              <w:spacing w:line="140" w:lineRule="atLeast"/>
              <w:jc w:val="right"/>
              <w:rPr>
                <w:rFonts w:cs="Arial"/>
                <w:sz w:val="14"/>
                <w:szCs w:val="14"/>
              </w:rPr>
            </w:pPr>
            <w:r w:rsidRPr="003A4375">
              <w:rPr>
                <w:rFonts w:cs="Arial"/>
                <w:sz w:val="14"/>
                <w:szCs w:val="14"/>
              </w:rPr>
              <w:t>A publication of</w:t>
            </w:r>
          </w:p>
          <w:p w14:paraId="3A917870" w14:textId="77777777" w:rsidR="000A03B2" w:rsidRPr="003A4375" w:rsidRDefault="000A03B2" w:rsidP="003F5AF5">
            <w:pPr>
              <w:jc w:val="right"/>
            </w:pPr>
            <w:r w:rsidRPr="003A4375">
              <w:rPr>
                <w:noProof/>
                <w:lang w:val="it-IT" w:eastAsia="it-IT"/>
              </w:rPr>
              <w:drawing>
                <wp:inline distT="0" distB="0" distL="0" distR="0" wp14:anchorId="6F3E6A15" wp14:editId="4878A0C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A4375" w14:paraId="7B4360AC" w14:textId="77777777">
        <w:trPr>
          <w:trHeight w:val="567"/>
          <w:jc w:val="center"/>
        </w:trPr>
        <w:tc>
          <w:tcPr>
            <w:tcW w:w="6946" w:type="dxa"/>
            <w:vMerge/>
            <w:tcBorders>
              <w:right w:val="single" w:sz="4" w:space="0" w:color="auto"/>
            </w:tcBorders>
          </w:tcPr>
          <w:p w14:paraId="45C5B2F2" w14:textId="77777777" w:rsidR="000A03B2" w:rsidRPr="003A4375" w:rsidRDefault="000A03B2" w:rsidP="003F5AF5">
            <w:pPr>
              <w:tabs>
                <w:tab w:val="left" w:pos="-108"/>
              </w:tabs>
            </w:pPr>
          </w:p>
        </w:tc>
        <w:tc>
          <w:tcPr>
            <w:tcW w:w="1843" w:type="dxa"/>
            <w:tcBorders>
              <w:left w:val="single" w:sz="4" w:space="0" w:color="auto"/>
              <w:bottom w:val="nil"/>
              <w:right w:val="single" w:sz="4" w:space="0" w:color="auto"/>
            </w:tcBorders>
          </w:tcPr>
          <w:p w14:paraId="4C6ECFFF" w14:textId="77777777" w:rsidR="000A03B2" w:rsidRPr="003A4375" w:rsidRDefault="000A03B2" w:rsidP="003F5AF5">
            <w:pPr>
              <w:spacing w:line="140" w:lineRule="atLeast"/>
              <w:jc w:val="right"/>
              <w:rPr>
                <w:rFonts w:cs="Arial"/>
                <w:sz w:val="14"/>
                <w:szCs w:val="14"/>
              </w:rPr>
            </w:pPr>
            <w:r w:rsidRPr="003A4375">
              <w:rPr>
                <w:rFonts w:cs="Arial"/>
                <w:sz w:val="14"/>
                <w:szCs w:val="14"/>
              </w:rPr>
              <w:t>The Italian Association</w:t>
            </w:r>
          </w:p>
          <w:p w14:paraId="522E3A8F" w14:textId="77777777" w:rsidR="000A03B2" w:rsidRPr="003A4375" w:rsidRDefault="000A03B2" w:rsidP="003F5AF5">
            <w:pPr>
              <w:spacing w:line="140" w:lineRule="atLeast"/>
              <w:jc w:val="right"/>
              <w:rPr>
                <w:rFonts w:cs="Arial"/>
                <w:sz w:val="14"/>
                <w:szCs w:val="14"/>
              </w:rPr>
            </w:pPr>
            <w:r w:rsidRPr="003A4375">
              <w:rPr>
                <w:rFonts w:cs="Arial"/>
                <w:sz w:val="14"/>
                <w:szCs w:val="14"/>
              </w:rPr>
              <w:t>of Chemical Engineering</w:t>
            </w:r>
          </w:p>
          <w:p w14:paraId="52896062" w14:textId="77777777" w:rsidR="000A03B2" w:rsidRPr="003A4375" w:rsidRDefault="000A03B2" w:rsidP="003F5AF5">
            <w:pPr>
              <w:spacing w:line="140" w:lineRule="atLeast"/>
              <w:jc w:val="right"/>
              <w:rPr>
                <w:rFonts w:cs="Arial"/>
                <w:sz w:val="14"/>
                <w:szCs w:val="14"/>
              </w:rPr>
            </w:pPr>
            <w:r w:rsidRPr="003A4375">
              <w:rPr>
                <w:rFonts w:cs="Arial"/>
                <w:sz w:val="14"/>
                <w:szCs w:val="14"/>
              </w:rPr>
              <w:t xml:space="preserve">Online at </w:t>
            </w:r>
            <w:r w:rsidR="00162642" w:rsidRPr="003A4375">
              <w:rPr>
                <w:rFonts w:cs="Arial"/>
                <w:sz w:val="14"/>
                <w:szCs w:val="14"/>
              </w:rPr>
              <w:t>www.cetjournal.it</w:t>
            </w:r>
          </w:p>
        </w:tc>
      </w:tr>
      <w:tr w:rsidR="000A03B2" w:rsidRPr="003A4375" w14:paraId="1B23CAF5" w14:textId="77777777">
        <w:trPr>
          <w:trHeight w:val="68"/>
          <w:jc w:val="center"/>
        </w:trPr>
        <w:tc>
          <w:tcPr>
            <w:tcW w:w="8789" w:type="dxa"/>
            <w:gridSpan w:val="2"/>
          </w:tcPr>
          <w:p w14:paraId="62E094DA" w14:textId="77777777" w:rsidR="00300E56" w:rsidRPr="003A4375" w:rsidRDefault="00300E56" w:rsidP="003F5AF5">
            <w:pPr>
              <w:ind w:left="-107"/>
              <w:rPr>
                <w:lang w:val="it-IT"/>
              </w:rPr>
            </w:pPr>
            <w:r w:rsidRPr="003A4375">
              <w:rPr>
                <w:rFonts w:ascii="Tahoma" w:hAnsi="Tahoma" w:cs="Tahoma"/>
                <w:iCs/>
                <w:color w:val="333333"/>
                <w:sz w:val="14"/>
                <w:szCs w:val="14"/>
                <w:lang w:val="it-IT" w:eastAsia="it-IT"/>
              </w:rPr>
              <w:t>Guest Editors:</w:t>
            </w:r>
            <w:r w:rsidR="00904C62" w:rsidRPr="003A4375">
              <w:rPr>
                <w:rFonts w:ascii="Tahoma" w:hAnsi="Tahoma" w:cs="Tahoma"/>
                <w:iCs/>
                <w:color w:val="333333"/>
                <w:sz w:val="14"/>
                <w:szCs w:val="14"/>
                <w:lang w:val="it-IT" w:eastAsia="it-IT"/>
              </w:rPr>
              <w:t xml:space="preserve"> </w:t>
            </w:r>
            <w:r w:rsidR="009635B9" w:rsidRPr="003A4375">
              <w:rPr>
                <w:rFonts w:ascii="Tahoma" w:hAnsi="Tahoma" w:cs="Tahoma"/>
                <w:sz w:val="14"/>
                <w:szCs w:val="14"/>
                <w:lang w:val="it-IT"/>
              </w:rPr>
              <w:t>Sauro Pierucci,</w:t>
            </w:r>
            <w:r w:rsidR="003B60F3" w:rsidRPr="003A4375">
              <w:rPr>
                <w:rFonts w:ascii="Tahoma" w:hAnsi="Tahoma" w:cs="Tahoma"/>
                <w:sz w:val="14"/>
                <w:szCs w:val="14"/>
                <w:lang w:val="it-IT"/>
              </w:rPr>
              <w:t xml:space="preserve"> </w:t>
            </w:r>
            <w:r w:rsidR="00047D7F" w:rsidRPr="003A4375">
              <w:rPr>
                <w:rFonts w:ascii="Tahoma" w:hAnsi="Tahoma" w:cs="Tahoma"/>
                <w:sz w:val="14"/>
                <w:szCs w:val="14"/>
                <w:shd w:val="clear" w:color="auto" w:fill="FFFFFF"/>
                <w:lang w:val="it-IT"/>
              </w:rPr>
              <w:t>Jiří Jaromír Klemeš</w:t>
            </w:r>
            <w:r w:rsidR="00252C1A" w:rsidRPr="003A4375">
              <w:rPr>
                <w:rFonts w:ascii="Tahoma" w:hAnsi="Tahoma" w:cs="Tahoma"/>
                <w:sz w:val="14"/>
                <w:szCs w:val="14"/>
                <w:shd w:val="clear" w:color="auto" w:fill="FFFFFF"/>
                <w:lang w:val="it-IT"/>
              </w:rPr>
              <w:t>, Laura Piazza</w:t>
            </w:r>
          </w:p>
          <w:p w14:paraId="5CBB5E76" w14:textId="77777777" w:rsidR="000A03B2" w:rsidRPr="003A4375" w:rsidRDefault="00FA5F5F" w:rsidP="003F5AF5">
            <w:pPr>
              <w:tabs>
                <w:tab w:val="left" w:pos="-108"/>
              </w:tabs>
              <w:spacing w:line="140" w:lineRule="atLeast"/>
              <w:ind w:left="-107"/>
              <w:jc w:val="left"/>
            </w:pPr>
            <w:r w:rsidRPr="003A4375">
              <w:rPr>
                <w:rFonts w:ascii="Tahoma" w:hAnsi="Tahoma" w:cs="Tahoma"/>
                <w:iCs/>
                <w:color w:val="333333"/>
                <w:sz w:val="14"/>
                <w:szCs w:val="14"/>
                <w:lang w:eastAsia="it-IT"/>
              </w:rPr>
              <w:t>Copyright © 201</w:t>
            </w:r>
            <w:r w:rsidR="007931FA" w:rsidRPr="003A4375">
              <w:rPr>
                <w:rFonts w:ascii="Tahoma" w:hAnsi="Tahoma" w:cs="Tahoma"/>
                <w:iCs/>
                <w:color w:val="333333"/>
                <w:sz w:val="14"/>
                <w:szCs w:val="14"/>
                <w:lang w:eastAsia="it-IT"/>
              </w:rPr>
              <w:t>9</w:t>
            </w:r>
            <w:r w:rsidR="00904C62" w:rsidRPr="003A4375">
              <w:rPr>
                <w:rFonts w:ascii="Tahoma" w:hAnsi="Tahoma" w:cs="Tahoma"/>
                <w:iCs/>
                <w:color w:val="333333"/>
                <w:sz w:val="14"/>
                <w:szCs w:val="14"/>
                <w:lang w:eastAsia="it-IT"/>
              </w:rPr>
              <w:t>, AIDIC Servizi S.r.l.</w:t>
            </w:r>
            <w:r w:rsidR="00300E56" w:rsidRPr="003A4375">
              <w:rPr>
                <w:rFonts w:ascii="Tahoma" w:hAnsi="Tahoma" w:cs="Tahoma"/>
                <w:iCs/>
                <w:color w:val="333333"/>
                <w:sz w:val="14"/>
                <w:szCs w:val="14"/>
                <w:lang w:eastAsia="it-IT"/>
              </w:rPr>
              <w:br/>
            </w:r>
            <w:r w:rsidR="00300E56" w:rsidRPr="003A4375">
              <w:rPr>
                <w:rFonts w:ascii="Tahoma" w:hAnsi="Tahoma" w:cs="Tahoma"/>
                <w:b/>
                <w:iCs/>
                <w:color w:val="000000"/>
                <w:sz w:val="14"/>
                <w:szCs w:val="14"/>
                <w:lang w:eastAsia="it-IT"/>
              </w:rPr>
              <w:t>ISBN</w:t>
            </w:r>
            <w:r w:rsidR="00300E56" w:rsidRPr="003A4375">
              <w:rPr>
                <w:rFonts w:ascii="Tahoma" w:hAnsi="Tahoma" w:cs="Tahoma"/>
                <w:iCs/>
                <w:color w:val="000000"/>
                <w:sz w:val="14"/>
                <w:szCs w:val="14"/>
                <w:lang w:eastAsia="it-IT"/>
              </w:rPr>
              <w:t xml:space="preserve"> </w:t>
            </w:r>
            <w:r w:rsidR="008D32B9" w:rsidRPr="003A4375">
              <w:rPr>
                <w:rFonts w:ascii="Tahoma" w:hAnsi="Tahoma" w:cs="Tahoma"/>
                <w:sz w:val="14"/>
                <w:szCs w:val="14"/>
              </w:rPr>
              <w:t>978-88-95608-</w:t>
            </w:r>
            <w:r w:rsidR="009635B9" w:rsidRPr="003A4375">
              <w:rPr>
                <w:rFonts w:ascii="Tahoma" w:hAnsi="Tahoma" w:cs="Tahoma"/>
                <w:sz w:val="14"/>
                <w:szCs w:val="14"/>
              </w:rPr>
              <w:t>73</w:t>
            </w:r>
            <w:r w:rsidR="008D32B9" w:rsidRPr="003A4375">
              <w:rPr>
                <w:rFonts w:ascii="Tahoma" w:hAnsi="Tahoma" w:cs="Tahoma"/>
                <w:sz w:val="14"/>
                <w:szCs w:val="14"/>
              </w:rPr>
              <w:t>-</w:t>
            </w:r>
            <w:r w:rsidR="009635B9" w:rsidRPr="003A4375">
              <w:rPr>
                <w:rFonts w:ascii="Tahoma" w:hAnsi="Tahoma" w:cs="Tahoma"/>
                <w:sz w:val="14"/>
                <w:szCs w:val="14"/>
              </w:rPr>
              <w:t>0</w:t>
            </w:r>
            <w:r w:rsidR="00300E56" w:rsidRPr="003A4375">
              <w:rPr>
                <w:rFonts w:ascii="Tahoma" w:hAnsi="Tahoma" w:cs="Tahoma"/>
                <w:iCs/>
                <w:color w:val="333333"/>
                <w:sz w:val="14"/>
                <w:szCs w:val="14"/>
                <w:lang w:eastAsia="it-IT"/>
              </w:rPr>
              <w:t xml:space="preserve">; </w:t>
            </w:r>
            <w:r w:rsidR="00300E56" w:rsidRPr="003A4375">
              <w:rPr>
                <w:rFonts w:ascii="Tahoma" w:hAnsi="Tahoma" w:cs="Tahoma"/>
                <w:b/>
                <w:iCs/>
                <w:color w:val="333333"/>
                <w:sz w:val="14"/>
                <w:szCs w:val="14"/>
                <w:lang w:eastAsia="it-IT"/>
              </w:rPr>
              <w:t>ISSN</w:t>
            </w:r>
            <w:r w:rsidR="00300E56" w:rsidRPr="003A4375">
              <w:rPr>
                <w:rFonts w:ascii="Tahoma" w:hAnsi="Tahoma" w:cs="Tahoma"/>
                <w:iCs/>
                <w:color w:val="333333"/>
                <w:sz w:val="14"/>
                <w:szCs w:val="14"/>
                <w:lang w:eastAsia="it-IT"/>
              </w:rPr>
              <w:t xml:space="preserve"> 2283-9216</w:t>
            </w:r>
          </w:p>
        </w:tc>
      </w:tr>
    </w:tbl>
    <w:p w14:paraId="472DD6AB" w14:textId="77777777" w:rsidR="000A03B2" w:rsidRPr="003A4375" w:rsidRDefault="000A03B2" w:rsidP="003F5AF5">
      <w:pPr>
        <w:pStyle w:val="CETAuthors"/>
        <w:sectPr w:rsidR="000A03B2" w:rsidRPr="003A4375">
          <w:type w:val="continuous"/>
          <w:pgSz w:w="11906" w:h="16838" w:code="9"/>
          <w:pgMar w:top="1701" w:right="1418" w:bottom="1701" w:left="1701" w:header="1701" w:footer="0" w:gutter="0"/>
          <w:cols w:space="708"/>
          <w:titlePg/>
          <w:docGrid w:linePitch="360"/>
        </w:sect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C2253A" w:rsidRPr="003A4375" w14:paraId="14EE2995" w14:textId="77777777" w:rsidTr="003F5AF5">
        <w:tc>
          <w:tcPr>
            <w:tcW w:w="9356" w:type="dxa"/>
            <w:shd w:val="clear" w:color="auto" w:fill="FFFFFF"/>
            <w:tcMar>
              <w:top w:w="0" w:type="dxa"/>
              <w:left w:w="0" w:type="dxa"/>
              <w:bottom w:w="0" w:type="dxa"/>
              <w:right w:w="0" w:type="dxa"/>
            </w:tcMar>
            <w:vAlign w:val="center"/>
            <w:hideMark/>
          </w:tcPr>
          <w:p w14:paraId="44914AC4" w14:textId="3579D7AE" w:rsidR="00C2253A" w:rsidRPr="003A4375" w:rsidRDefault="00C2253A" w:rsidP="00C16A28">
            <w:pPr>
              <w:pStyle w:val="CETTitle"/>
              <w:tabs>
                <w:tab w:val="left" w:pos="8789"/>
              </w:tabs>
              <w:ind w:right="567"/>
            </w:pPr>
            <w:r w:rsidRPr="003A4375">
              <w:lastRenderedPageBreak/>
              <w:t>R</w:t>
            </w:r>
            <w:r w:rsidR="00C20744" w:rsidRPr="003A4375">
              <w:t>everse</w:t>
            </w:r>
            <w:r w:rsidRPr="003A4375">
              <w:t xml:space="preserve"> E</w:t>
            </w:r>
            <w:r w:rsidR="00C20744" w:rsidRPr="003A4375">
              <w:t xml:space="preserve">lectrodialysis – </w:t>
            </w:r>
            <w:r w:rsidRPr="003A4375">
              <w:t>M</w:t>
            </w:r>
            <w:r w:rsidR="00C20744" w:rsidRPr="003A4375">
              <w:t>ulti effect Distillation Heat Engine</w:t>
            </w:r>
            <w:r w:rsidRPr="003A4375">
              <w:t xml:space="preserve"> </w:t>
            </w:r>
            <w:bookmarkStart w:id="0" w:name="_GoBack"/>
            <w:bookmarkEnd w:id="0"/>
            <w:r w:rsidR="00C20744" w:rsidRPr="003A4375">
              <w:t>fed</w:t>
            </w:r>
            <w:r w:rsidRPr="003A4375">
              <w:t xml:space="preserve"> </w:t>
            </w:r>
            <w:r w:rsidR="00055570" w:rsidRPr="003A4375">
              <w:t>by</w:t>
            </w:r>
            <w:r w:rsidRPr="003A4375">
              <w:t xml:space="preserve"> </w:t>
            </w:r>
            <w:r w:rsidR="00C20744" w:rsidRPr="003A4375">
              <w:t xml:space="preserve">Lithium Chloride </w:t>
            </w:r>
            <w:r w:rsidR="00B10616" w:rsidRPr="003A4375">
              <w:t>s</w:t>
            </w:r>
            <w:r w:rsidR="00C20744" w:rsidRPr="003A4375">
              <w:t>olutions</w:t>
            </w:r>
            <w:r w:rsidRPr="003A4375">
              <w:t> </w:t>
            </w:r>
          </w:p>
        </w:tc>
      </w:tr>
    </w:tbl>
    <w:p w14:paraId="0FBDED95" w14:textId="77777777" w:rsidR="00E978D0" w:rsidRPr="003A4375" w:rsidRDefault="00C2253A" w:rsidP="003F5AF5">
      <w:pPr>
        <w:pStyle w:val="CETAuthors"/>
        <w:rPr>
          <w:lang w:val="it-IT"/>
        </w:rPr>
      </w:pPr>
      <w:r w:rsidRPr="003A4375">
        <w:rPr>
          <w:lang w:val="it-IT"/>
        </w:rPr>
        <w:t>F. Giacalone, A. Tamburini, A. Cipollina</w:t>
      </w:r>
      <w:r w:rsidR="00DC152F" w:rsidRPr="003A4375">
        <w:rPr>
          <w:vertAlign w:val="superscript"/>
          <w:lang w:val="it-IT"/>
        </w:rPr>
        <w:t>*</w:t>
      </w:r>
      <w:r w:rsidRPr="003A4375">
        <w:rPr>
          <w:lang w:val="it-IT"/>
        </w:rPr>
        <w:t>, G. Micale</w:t>
      </w:r>
    </w:p>
    <w:p w14:paraId="0450264E" w14:textId="5424FE3F" w:rsidR="00E978D0" w:rsidRPr="003A4375" w:rsidRDefault="00C2253A" w:rsidP="003F5AF5">
      <w:pPr>
        <w:pStyle w:val="CETAddress"/>
        <w:rPr>
          <w:lang w:val="it-IT"/>
        </w:rPr>
      </w:pPr>
      <w:r w:rsidRPr="003A4375">
        <w:rPr>
          <w:lang w:val="it-IT"/>
        </w:rPr>
        <w:t xml:space="preserve">Dipartimento </w:t>
      </w:r>
      <w:r w:rsidR="00FC3046">
        <w:rPr>
          <w:lang w:val="it-IT"/>
        </w:rPr>
        <w:t>di Ingegneria</w:t>
      </w:r>
      <w:r w:rsidRPr="003A4375">
        <w:rPr>
          <w:lang w:val="it-IT"/>
        </w:rPr>
        <w:t>, Università degli Studi di Palermo, viale delle scienze ed. 6, 90128 Palermo -Italy</w:t>
      </w:r>
    </w:p>
    <w:p w14:paraId="11DA2228" w14:textId="77777777" w:rsidR="00E978D0" w:rsidRPr="003A4375" w:rsidRDefault="00C2253A" w:rsidP="003F5AF5">
      <w:pPr>
        <w:pStyle w:val="CETemail"/>
      </w:pPr>
      <w:r w:rsidRPr="003A4375">
        <w:t>andrea.cipollina</w:t>
      </w:r>
      <w:r w:rsidR="00600535" w:rsidRPr="003A4375">
        <w:t>@</w:t>
      </w:r>
      <w:r w:rsidRPr="003A4375">
        <w:t>unipa.it</w:t>
      </w:r>
    </w:p>
    <w:p w14:paraId="785D0543" w14:textId="54E800AB" w:rsidR="00C20744" w:rsidRPr="003A4375" w:rsidRDefault="00C20744" w:rsidP="00FC3046">
      <w:pPr>
        <w:pStyle w:val="CETnumberingbullets"/>
        <w:numPr>
          <w:ilvl w:val="0"/>
          <w:numId w:val="0"/>
        </w:numPr>
        <w:spacing w:line="240" w:lineRule="auto"/>
        <w:jc w:val="both"/>
      </w:pPr>
      <w:bookmarkStart w:id="1" w:name="OLE_LINK5"/>
      <w:bookmarkStart w:id="2" w:name="OLE_LINK6"/>
      <w:bookmarkStart w:id="3" w:name="OLE_LINK3"/>
      <w:bookmarkStart w:id="4" w:name="OLE_LINK4"/>
      <w:bookmarkStart w:id="5" w:name="OLE_LINK7"/>
      <w:bookmarkStart w:id="6" w:name="OLE_LINK8"/>
      <w:r w:rsidRPr="003A4375">
        <w:t xml:space="preserve">Salinity Gradient Heat Engines (SG-HEs) have been proposed as </w:t>
      </w:r>
      <w:r w:rsidR="00C15B6D" w:rsidRPr="003A4375">
        <w:t xml:space="preserve">a </w:t>
      </w:r>
      <w:r w:rsidRPr="003A4375">
        <w:t xml:space="preserve">promising technology for converting low-temperature heat into electricity. </w:t>
      </w:r>
      <w:bookmarkStart w:id="7" w:name="OLE_LINK20"/>
      <w:bookmarkStart w:id="8" w:name="OLE_LINK21"/>
      <w:bookmarkStart w:id="9" w:name="OLE_LINK22"/>
      <w:r w:rsidR="00C15B6D" w:rsidRPr="003A4375">
        <w:t>The SG-HE includes two different processes</w:t>
      </w:r>
      <w:r w:rsidRPr="003A4375">
        <w:t xml:space="preserve">: (i) a </w:t>
      </w:r>
      <w:r w:rsidR="00C15B6D" w:rsidRPr="003A4375">
        <w:t>salinity gradient process where the</w:t>
      </w:r>
      <w:r w:rsidRPr="003A4375">
        <w:t xml:space="preserve"> salinity gradient between t</w:t>
      </w:r>
      <w:r w:rsidR="00936CA9" w:rsidRPr="003A4375">
        <w:t>w</w:t>
      </w:r>
      <w:r w:rsidRPr="003A4375">
        <w:t xml:space="preserve">o solutions </w:t>
      </w:r>
      <w:r w:rsidR="00C15B6D" w:rsidRPr="003A4375">
        <w:t>is converted into ele</w:t>
      </w:r>
      <w:r w:rsidRPr="003A4375">
        <w:t xml:space="preserve">ctricity and (ii) a </w:t>
      </w:r>
      <w:r w:rsidR="00C15B6D" w:rsidRPr="003A4375">
        <w:t>thermal regeneration</w:t>
      </w:r>
      <w:r w:rsidR="00C15B6D" w:rsidRPr="003A4375">
        <w:rPr>
          <w:i/>
        </w:rPr>
        <w:t xml:space="preserve"> </w:t>
      </w:r>
      <w:r w:rsidR="00C15B6D" w:rsidRPr="003A4375">
        <w:t>process where low-</w:t>
      </w:r>
      <w:r w:rsidRPr="003A4375">
        <w:t>grade heat</w:t>
      </w:r>
      <w:r w:rsidR="00C15B6D" w:rsidRPr="003A4375">
        <w:t xml:space="preserve"> (T&lt;100°C)</w:t>
      </w:r>
      <w:r w:rsidRPr="003A4375">
        <w:t xml:space="preserve"> </w:t>
      </w:r>
      <w:r w:rsidR="00C15B6D" w:rsidRPr="003A4375">
        <w:t xml:space="preserve">is used </w:t>
      </w:r>
      <w:r w:rsidRPr="003A4375">
        <w:t>to re-establish the original salinity gradient of the two streams.</w:t>
      </w:r>
      <w:r w:rsidR="00DB00A8" w:rsidRPr="003A4375">
        <w:t xml:space="preserve"> Among the </w:t>
      </w:r>
      <w:r w:rsidR="00D63EAD" w:rsidRPr="003A4375">
        <w:t>proposed working solutions</w:t>
      </w:r>
      <w:r w:rsidR="00DB00A8" w:rsidRPr="003A4375">
        <w:t>,</w:t>
      </w:r>
      <w:r w:rsidR="00D63EAD" w:rsidRPr="003A4375">
        <w:t xml:space="preserve"> aqueous solution of</w:t>
      </w:r>
      <w:r w:rsidR="00DB00A8" w:rsidRPr="003A4375">
        <w:t xml:space="preserve"> lithium chloride </w:t>
      </w:r>
      <w:r w:rsidR="00D63EAD" w:rsidRPr="003A4375">
        <w:t>has been identified</w:t>
      </w:r>
      <w:r w:rsidR="00DB00A8" w:rsidRPr="003A4375">
        <w:t xml:space="preserve"> as one of the most promising thanks to its remarkable solubility and activity.</w:t>
      </w:r>
      <w:bookmarkEnd w:id="7"/>
      <w:bookmarkEnd w:id="8"/>
      <w:bookmarkEnd w:id="9"/>
      <w:r w:rsidR="00D63EAD" w:rsidRPr="003A4375">
        <w:t xml:space="preserve"> </w:t>
      </w:r>
      <w:r w:rsidRPr="003A4375">
        <w:t>In this work, a process model to study the performance of a SG-HE constituted by a Reverse ElectroDialysis (RED) unit coupled with a Multi Effect Distillation (MED) unit</w:t>
      </w:r>
      <w:r w:rsidR="008B1525" w:rsidRPr="003A4375">
        <w:t xml:space="preserve"> fed with lithium chloride solution</w:t>
      </w:r>
      <w:r w:rsidRPr="003A4375">
        <w:t xml:space="preserve"> is presented</w:t>
      </w:r>
      <w:r w:rsidR="006D3BDC" w:rsidRPr="003A4375">
        <w:t xml:space="preserve">. </w:t>
      </w:r>
      <w:r w:rsidR="00816DCB" w:rsidRPr="003A4375">
        <w:t>T</w:t>
      </w:r>
      <w:r w:rsidRPr="003A4375">
        <w:t xml:space="preserve">he </w:t>
      </w:r>
      <w:r w:rsidR="00D63EAD" w:rsidRPr="003A4375">
        <w:t>influence o</w:t>
      </w:r>
      <w:r w:rsidRPr="003A4375">
        <w:t>f</w:t>
      </w:r>
      <w:r w:rsidR="00726EE7" w:rsidRPr="003A4375">
        <w:t xml:space="preserve"> </w:t>
      </w:r>
      <w:r w:rsidR="0074114F" w:rsidRPr="003A4375">
        <w:t>the</w:t>
      </w:r>
      <w:r w:rsidR="00816DCB" w:rsidRPr="003A4375">
        <w:t xml:space="preserve"> </w:t>
      </w:r>
      <w:r w:rsidR="00726EE7" w:rsidRPr="003A4375">
        <w:t>concentration</w:t>
      </w:r>
      <w:r w:rsidR="0074114F" w:rsidRPr="003A4375">
        <w:t xml:space="preserve"> of the inlet solution in the RED unit</w:t>
      </w:r>
      <w:r w:rsidR="00726EE7" w:rsidRPr="003A4375">
        <w:t xml:space="preserve"> and </w:t>
      </w:r>
      <w:r w:rsidR="00D63EAD" w:rsidRPr="003A4375">
        <w:t>the temperature difference in the evaporators</w:t>
      </w:r>
      <w:r w:rsidR="00726EE7" w:rsidRPr="003A4375">
        <w:t xml:space="preserve"> of the MED unit</w:t>
      </w:r>
      <w:r w:rsidR="00D63EAD" w:rsidRPr="003A4375">
        <w:t xml:space="preserve"> </w:t>
      </w:r>
      <w:r w:rsidR="00816DCB" w:rsidRPr="003A4375">
        <w:t xml:space="preserve">on the performance </w:t>
      </w:r>
      <w:r w:rsidR="00D63EAD" w:rsidRPr="003A4375">
        <w:t>w</w:t>
      </w:r>
      <w:r w:rsidR="00816DCB" w:rsidRPr="003A4375">
        <w:t>ere</w:t>
      </w:r>
      <w:r w:rsidR="00D63EAD" w:rsidRPr="003A4375">
        <w:t xml:space="preserve"> evaluated by considering ideal membrane</w:t>
      </w:r>
      <w:r w:rsidR="00C933A5" w:rsidRPr="003A4375">
        <w:t>s</w:t>
      </w:r>
      <w:r w:rsidR="00D63EAD" w:rsidRPr="003A4375">
        <w:t xml:space="preserve">. Furthermore, the impact of membrane permselectivity and resistance on the system performance was evaluated. </w:t>
      </w:r>
      <w:r w:rsidRPr="003A4375">
        <w:t xml:space="preserve">Results </w:t>
      </w:r>
      <w:r w:rsidR="00C933A5" w:rsidRPr="003A4375">
        <w:t>showed</w:t>
      </w:r>
      <w:r w:rsidRPr="003A4375">
        <w:t xml:space="preserve"> promising </w:t>
      </w:r>
      <w:r w:rsidR="00D63EAD" w:rsidRPr="003A4375">
        <w:t xml:space="preserve">system </w:t>
      </w:r>
      <w:r w:rsidRPr="003A4375">
        <w:t>efficienc</w:t>
      </w:r>
      <w:r w:rsidR="00726EE7" w:rsidRPr="003A4375">
        <w:t>ies</w:t>
      </w:r>
      <w:r w:rsidR="00D63EAD" w:rsidRPr="003A4375">
        <w:t xml:space="preserve">, </w:t>
      </w:r>
      <w:r w:rsidRPr="003A4375">
        <w:t xml:space="preserve">making this technology attractive for conversion of </w:t>
      </w:r>
      <w:r w:rsidR="00DB00A8" w:rsidRPr="003A4375">
        <w:t>low-grade</w:t>
      </w:r>
      <w:r w:rsidRPr="003A4375">
        <w:t xml:space="preserve"> heat </w:t>
      </w:r>
      <w:r w:rsidR="00C15B6D" w:rsidRPr="003A4375">
        <w:t xml:space="preserve">(&lt;100°C) </w:t>
      </w:r>
      <w:r w:rsidRPr="003A4375">
        <w:t>into electricity</w:t>
      </w:r>
      <w:r w:rsidR="00726EE7" w:rsidRPr="003A4375">
        <w:t xml:space="preserve">, but membrane properties should be enhanced. </w:t>
      </w:r>
    </w:p>
    <w:bookmarkEnd w:id="1"/>
    <w:bookmarkEnd w:id="2"/>
    <w:bookmarkEnd w:id="3"/>
    <w:bookmarkEnd w:id="4"/>
    <w:bookmarkEnd w:id="5"/>
    <w:bookmarkEnd w:id="6"/>
    <w:p w14:paraId="239FC60A" w14:textId="77777777" w:rsidR="000C6C2F" w:rsidRPr="003A4375" w:rsidRDefault="00600535" w:rsidP="003F5AF5">
      <w:pPr>
        <w:pStyle w:val="CETHeading1"/>
        <w:rPr>
          <w:lang w:val="en-GB"/>
        </w:rPr>
      </w:pPr>
      <w:r w:rsidRPr="003A4375">
        <w:rPr>
          <w:lang w:val="en-GB"/>
        </w:rPr>
        <w:t>Introduction</w:t>
      </w:r>
    </w:p>
    <w:p w14:paraId="437D3A49" w14:textId="4B4288C5" w:rsidR="003335FF" w:rsidRPr="003A4375" w:rsidRDefault="00AF7FF2" w:rsidP="003F5AF5">
      <w:pPr>
        <w:tabs>
          <w:tab w:val="clear" w:pos="7100"/>
        </w:tabs>
        <w:spacing w:line="240" w:lineRule="auto"/>
      </w:pPr>
      <w:bookmarkStart w:id="10" w:name="OLE_LINK9"/>
      <w:bookmarkStart w:id="11" w:name="OLE_LINK10"/>
      <w:bookmarkStart w:id="12" w:name="OLE_LINK11"/>
      <w:bookmarkStart w:id="13" w:name="OLE_LINK12"/>
      <w:bookmarkStart w:id="14" w:name="OLE_LINK13"/>
      <w:bookmarkStart w:id="15" w:name="OLE_LINK14"/>
      <w:bookmarkStart w:id="16" w:name="OLE_LINK18"/>
      <w:bookmarkStart w:id="17" w:name="OLE_LINK19"/>
      <w:r w:rsidRPr="003A4375">
        <w:t>Waste heat recovery aims to re</w:t>
      </w:r>
      <w:r w:rsidR="00C15B6D" w:rsidRPr="003A4375">
        <w:t>u</w:t>
      </w:r>
      <w:r w:rsidR="00D63EAD" w:rsidRPr="003A4375">
        <w:t>se</w:t>
      </w:r>
      <w:r w:rsidRPr="003A4375">
        <w:t xml:space="preserve"> the heat released by industries</w:t>
      </w:r>
      <w:r w:rsidR="004B3CF8" w:rsidRPr="003A4375">
        <w:t xml:space="preserve"> in </w:t>
      </w:r>
      <w:r w:rsidRPr="003A4375">
        <w:t>their production process</w:t>
      </w:r>
      <w:r w:rsidR="004B3CF8" w:rsidRPr="003A4375">
        <w:t xml:space="preserve"> in other exploitable energy form</w:t>
      </w:r>
      <w:r w:rsidR="00C15B6D" w:rsidRPr="003A4375">
        <w:t>s</w:t>
      </w:r>
      <w:r w:rsidR="00D63EAD" w:rsidRPr="003A4375">
        <w:t>,</w:t>
      </w:r>
      <w:r w:rsidR="004B3CF8" w:rsidRPr="003A4375">
        <w:t xml:space="preserve"> increasing the energy efficiency of such processes and reducing emissions</w:t>
      </w:r>
      <w:r w:rsidRPr="003A4375">
        <w:t>.</w:t>
      </w:r>
      <w:bookmarkEnd w:id="10"/>
      <w:bookmarkEnd w:id="11"/>
      <w:r w:rsidR="004B3CF8" w:rsidRPr="003A4375">
        <w:t xml:space="preserve"> It has been estimated that just from </w:t>
      </w:r>
      <w:r w:rsidR="003F5AF5">
        <w:t>the European</w:t>
      </w:r>
      <w:r w:rsidR="004B3CF8" w:rsidRPr="003A4375">
        <w:t xml:space="preserve"> industrial sector the amount of waste heat released accounts for 300 TWh/year in the 2015 (Papapetrou et al.</w:t>
      </w:r>
      <w:r w:rsidR="002355B2" w:rsidRPr="003A4375">
        <w:t>, 2018</w:t>
      </w:r>
      <w:r w:rsidR="004B3CF8" w:rsidRPr="003A4375">
        <w:t xml:space="preserve">), </w:t>
      </w:r>
      <w:r w:rsidR="00EF0545" w:rsidRPr="003A4375">
        <w:t>with</w:t>
      </w:r>
      <w:r w:rsidR="006571E4" w:rsidRPr="003A4375">
        <w:t xml:space="preserve"> one third </w:t>
      </w:r>
      <w:r w:rsidR="002D7D34" w:rsidRPr="003A4375">
        <w:t xml:space="preserve">of this </w:t>
      </w:r>
      <w:r w:rsidR="00C933A5" w:rsidRPr="003A4375">
        <w:t>amount</w:t>
      </w:r>
      <w:r w:rsidR="004B3CF8" w:rsidRPr="003A4375">
        <w:t xml:space="preserve"> available at temperature</w:t>
      </w:r>
      <w:r w:rsidR="003F5AF5">
        <w:t>s</w:t>
      </w:r>
      <w:r w:rsidR="004B3CF8" w:rsidRPr="003A4375">
        <w:t xml:space="preserve"> below 200</w:t>
      </w:r>
      <w:r w:rsidR="00EF0545" w:rsidRPr="003A4375">
        <w:t xml:space="preserve"> </w:t>
      </w:r>
      <w:r w:rsidR="004B3CF8" w:rsidRPr="003A4375">
        <w:t xml:space="preserve">°C. </w:t>
      </w:r>
      <w:bookmarkStart w:id="18" w:name="OLE_LINK15"/>
      <w:bookmarkStart w:id="19" w:name="OLE_LINK16"/>
      <w:bookmarkStart w:id="20" w:name="OLE_LINK17"/>
      <w:r w:rsidR="00E03016" w:rsidRPr="003A4375">
        <w:t xml:space="preserve">Any technology </w:t>
      </w:r>
      <w:r w:rsidR="003F5AF5">
        <w:t>able to convert</w:t>
      </w:r>
      <w:r w:rsidR="003F5AF5" w:rsidRPr="003A4375">
        <w:t xml:space="preserve"> </w:t>
      </w:r>
      <w:r w:rsidR="003F5AF5">
        <w:t xml:space="preserve">with </w:t>
      </w:r>
      <w:r w:rsidR="00E03016" w:rsidRPr="003A4375">
        <w:t xml:space="preserve">10% </w:t>
      </w:r>
      <w:r w:rsidR="003F5AF5">
        <w:t>efficiency</w:t>
      </w:r>
      <w:r w:rsidR="00E03016" w:rsidRPr="003A4375">
        <w:t xml:space="preserve"> </w:t>
      </w:r>
      <w:r w:rsidR="003F5AF5">
        <w:t xml:space="preserve">such heat </w:t>
      </w:r>
      <w:r w:rsidR="00E03016" w:rsidRPr="003A4375">
        <w:t xml:space="preserve">will produce an amount of electricity </w:t>
      </w:r>
      <w:r w:rsidR="001B26B8" w:rsidRPr="003A4375">
        <w:t xml:space="preserve">able to </w:t>
      </w:r>
      <w:r w:rsidR="00E03016" w:rsidRPr="003A4375">
        <w:t xml:space="preserve">cover the energy demand of </w:t>
      </w:r>
      <w:r w:rsidR="001B26B8" w:rsidRPr="003A4375">
        <w:t>many</w:t>
      </w:r>
      <w:r w:rsidR="00E03016" w:rsidRPr="003A4375">
        <w:t xml:space="preserve"> countries in Europe </w:t>
      </w:r>
      <w:r w:rsidR="001B26B8" w:rsidRPr="003A4375">
        <w:t>such as</w:t>
      </w:r>
      <w:r w:rsidR="00E03016" w:rsidRPr="003A4375">
        <w:t xml:space="preserve"> Denmark</w:t>
      </w:r>
      <w:r w:rsidR="001B26B8" w:rsidRPr="003A4375">
        <w:t xml:space="preserve">, </w:t>
      </w:r>
      <w:r w:rsidR="00E03016" w:rsidRPr="003A4375">
        <w:t>Ireland</w:t>
      </w:r>
      <w:r w:rsidR="001B26B8" w:rsidRPr="003A4375">
        <w:t>, or Croatia</w:t>
      </w:r>
      <w:r w:rsidR="00E03016" w:rsidRPr="003A4375">
        <w:t>.</w:t>
      </w:r>
    </w:p>
    <w:p w14:paraId="3631D564" w14:textId="77777777" w:rsidR="00726EE7" w:rsidRPr="003A4375" w:rsidRDefault="004B3CF8" w:rsidP="003F5AF5">
      <w:pPr>
        <w:tabs>
          <w:tab w:val="clear" w:pos="7100"/>
        </w:tabs>
        <w:spacing w:line="240" w:lineRule="auto"/>
      </w:pPr>
      <w:r w:rsidRPr="003A4375">
        <w:t>A number of technologies have been proposed</w:t>
      </w:r>
      <w:r w:rsidR="00936CA9" w:rsidRPr="003A4375">
        <w:t xml:space="preserve"> so far</w:t>
      </w:r>
      <w:r w:rsidRPr="003A4375">
        <w:t xml:space="preserve"> </w:t>
      </w:r>
      <w:r w:rsidR="00936CA9" w:rsidRPr="003A4375">
        <w:t>for the recovery of</w:t>
      </w:r>
      <w:r w:rsidR="002D7D34" w:rsidRPr="003A4375">
        <w:t xml:space="preserve"> low-grade heat in </w:t>
      </w:r>
      <w:r w:rsidR="00936CA9" w:rsidRPr="003A4375">
        <w:t>different form</w:t>
      </w:r>
      <w:r w:rsidR="002D7D34" w:rsidRPr="003A4375">
        <w:t>s</w:t>
      </w:r>
      <w:r w:rsidR="00936CA9" w:rsidRPr="003A4375">
        <w:t xml:space="preserve"> of energy which are classified in (i) wast</w:t>
      </w:r>
      <w:r w:rsidR="002D7D34" w:rsidRPr="003A4375">
        <w:t>e heat to heat</w:t>
      </w:r>
      <w:r w:rsidR="00936CA9" w:rsidRPr="003A4375">
        <w:t>, (ii) waste heat to cooling and (iii) waste heat to power</w:t>
      </w:r>
      <w:r w:rsidR="00726EE7" w:rsidRPr="003A4375">
        <w:t xml:space="preserve">. </w:t>
      </w:r>
      <w:r w:rsidR="00936CA9" w:rsidRPr="003A4375">
        <w:t>In particular, among the waste heat to power processes, salinity gradient heat engine</w:t>
      </w:r>
      <w:r w:rsidR="00643E3A" w:rsidRPr="003A4375">
        <w:t>s</w:t>
      </w:r>
      <w:r w:rsidR="003335FF" w:rsidRPr="003A4375">
        <w:t xml:space="preserve"> (SG-HE</w:t>
      </w:r>
      <w:r w:rsidR="00643E3A" w:rsidRPr="003A4375">
        <w:t>s</w:t>
      </w:r>
      <w:r w:rsidR="003335FF" w:rsidRPr="003A4375">
        <w:t xml:space="preserve">) </w:t>
      </w:r>
      <w:r w:rsidR="00936CA9" w:rsidRPr="003A4375">
        <w:t>appear</w:t>
      </w:r>
      <w:r w:rsidR="00643E3A" w:rsidRPr="003A4375">
        <w:t xml:space="preserve"> </w:t>
      </w:r>
      <w:r w:rsidR="00936CA9" w:rsidRPr="003A4375">
        <w:t xml:space="preserve">promising for the conversion of very low temperature </w:t>
      </w:r>
      <w:r w:rsidR="00726EE7" w:rsidRPr="003A4375">
        <w:t xml:space="preserve">heat </w:t>
      </w:r>
      <w:r w:rsidR="00936CA9" w:rsidRPr="003A4375">
        <w:t>(&lt;100°C).</w:t>
      </w:r>
      <w:r w:rsidR="003335FF" w:rsidRPr="003A4375">
        <w:t xml:space="preserve"> </w:t>
      </w:r>
      <w:r w:rsidR="00936CA9" w:rsidRPr="003A4375">
        <w:t xml:space="preserve">This innovative heat engine consists of two units: </w:t>
      </w:r>
    </w:p>
    <w:p w14:paraId="30D4331F" w14:textId="6303F774" w:rsidR="006F5C79" w:rsidRPr="003A4375" w:rsidRDefault="00936CA9" w:rsidP="003F5AF5">
      <w:pPr>
        <w:tabs>
          <w:tab w:val="clear" w:pos="7100"/>
        </w:tabs>
        <w:spacing w:line="240" w:lineRule="auto"/>
        <w:rPr>
          <w:i/>
        </w:rPr>
      </w:pPr>
      <w:r w:rsidRPr="003A4375">
        <w:t xml:space="preserve">(i) a power generation unit where a salinity gradient </w:t>
      </w:r>
      <w:r w:rsidR="00643E3A" w:rsidRPr="003A4375">
        <w:t xml:space="preserve">power (SGP) </w:t>
      </w:r>
      <w:r w:rsidRPr="003A4375">
        <w:t xml:space="preserve">technology exploits the concentration difference between two </w:t>
      </w:r>
      <w:r w:rsidR="003F5AF5" w:rsidRPr="003A4375">
        <w:t>sal</w:t>
      </w:r>
      <w:r w:rsidR="003F5AF5">
        <w:t>ine</w:t>
      </w:r>
      <w:r w:rsidRPr="003A4375">
        <w:t xml:space="preserve"> solutions</w:t>
      </w:r>
      <w:r w:rsidR="00493D3B" w:rsidRPr="003A4375">
        <w:t xml:space="preserve">, </w:t>
      </w:r>
      <w:r w:rsidR="00FB249D" w:rsidRPr="003A4375">
        <w:t>a concentrate</w:t>
      </w:r>
      <w:r w:rsidR="00C15B6D" w:rsidRPr="003A4375">
        <w:t xml:space="preserve"> solution (H</w:t>
      </w:r>
      <w:r w:rsidR="00643E3A" w:rsidRPr="003A4375">
        <w:t>igh, H</w:t>
      </w:r>
      <w:r w:rsidR="00C15B6D" w:rsidRPr="003A4375">
        <w:t>) and a dilute solution (L</w:t>
      </w:r>
      <w:r w:rsidR="00643E3A" w:rsidRPr="003A4375">
        <w:t>ow, L</w:t>
      </w:r>
      <w:r w:rsidR="00C15B6D" w:rsidRPr="003A4375">
        <w:t>)</w:t>
      </w:r>
      <w:r w:rsidR="00493D3B" w:rsidRPr="003A4375">
        <w:t>,</w:t>
      </w:r>
      <w:r w:rsidR="00FB249D" w:rsidRPr="003A4375">
        <w:t xml:space="preserve"> </w:t>
      </w:r>
      <w:r w:rsidRPr="003A4375">
        <w:t>to produce electricity</w:t>
      </w:r>
      <w:r w:rsidR="00726EE7" w:rsidRPr="003A4375">
        <w:t>;</w:t>
      </w:r>
      <w:r w:rsidRPr="003A4375">
        <w:t xml:space="preserve"> (ii) a thermally driven regeneration unit</w:t>
      </w:r>
      <w:r w:rsidR="00C15B6D" w:rsidRPr="003A4375">
        <w:t xml:space="preserve"> using low-</w:t>
      </w:r>
      <w:r w:rsidRPr="003A4375">
        <w:t>grade heat to re-establish the original salinity gradient of the two streams.</w:t>
      </w:r>
      <w:r w:rsidR="00E32929" w:rsidRPr="003A4375">
        <w:t xml:space="preserve"> </w:t>
      </w:r>
      <w:r w:rsidR="000444E2" w:rsidRPr="003A4375">
        <w:t>Differently from traditional open-loop SGP appli</w:t>
      </w:r>
      <w:r w:rsidR="003F5AF5">
        <w:t xml:space="preserve">cations, where natural salty streams </w:t>
      </w:r>
      <w:r w:rsidR="000444E2" w:rsidRPr="003A4375">
        <w:t xml:space="preserve">are </w:t>
      </w:r>
      <w:r w:rsidR="003F5AF5">
        <w:t xml:space="preserve">mixed and then </w:t>
      </w:r>
      <w:r w:rsidR="000444E2" w:rsidRPr="003A4375">
        <w:t>released in</w:t>
      </w:r>
      <w:r w:rsidR="003F5AF5">
        <w:t>to</w:t>
      </w:r>
      <w:r w:rsidR="000444E2" w:rsidRPr="003A4375">
        <w:t xml:space="preserve"> the environment, SGP-HEs operate in a closed-loop, where solutions are continuously recirculated from the power unit to the regeneration unit, </w:t>
      </w:r>
      <w:r w:rsidR="003F5AF5">
        <w:t xml:space="preserve">thus </w:t>
      </w:r>
      <w:r w:rsidR="000444E2" w:rsidRPr="003A4375">
        <w:t>reducing the amount of solutions required,</w:t>
      </w:r>
      <w:r w:rsidR="003F5AF5">
        <w:t xml:space="preserve"> minimizing</w:t>
      </w:r>
      <w:r w:rsidR="000444E2" w:rsidRPr="003A4375">
        <w:t xml:space="preserve"> the fouling potential and </w:t>
      </w:r>
      <w:r w:rsidR="003F5AF5">
        <w:t xml:space="preserve">overcoming </w:t>
      </w:r>
      <w:r w:rsidR="000444E2" w:rsidRPr="003A4375">
        <w:t xml:space="preserve">the need </w:t>
      </w:r>
      <w:r w:rsidR="003F5AF5">
        <w:t>for naturally available</w:t>
      </w:r>
      <w:r w:rsidR="000444E2" w:rsidRPr="003A4375">
        <w:t xml:space="preserve"> </w:t>
      </w:r>
      <w:r w:rsidR="003F5AF5">
        <w:t>salinity gradients</w:t>
      </w:r>
      <w:r w:rsidR="000444E2" w:rsidRPr="003A4375">
        <w:t>.</w:t>
      </w:r>
    </w:p>
    <w:p w14:paraId="57BA0547" w14:textId="71E2395E" w:rsidR="006D3BDC" w:rsidRPr="003A4375" w:rsidRDefault="00E32929" w:rsidP="003F5AF5">
      <w:pPr>
        <w:tabs>
          <w:tab w:val="clear" w:pos="7100"/>
        </w:tabs>
        <w:spacing w:line="240" w:lineRule="auto"/>
      </w:pPr>
      <w:r w:rsidRPr="003A4375">
        <w:t xml:space="preserve">The main salinity gradient technologies proposed so far are (i) reverse electrodialysis (RED) and (ii) pressure retarded osmosis (PRO). </w:t>
      </w:r>
      <w:bookmarkStart w:id="21" w:name="OLE_LINK26"/>
      <w:bookmarkStart w:id="22" w:name="OLE_LINK27"/>
      <w:bookmarkStart w:id="23" w:name="OLE_LINK28"/>
      <w:bookmarkStart w:id="24" w:name="OLE_LINK29"/>
      <w:bookmarkStart w:id="25" w:name="OLE_LINK23"/>
      <w:bookmarkStart w:id="26" w:name="OLE_LINK24"/>
      <w:bookmarkStart w:id="27" w:name="OLE_LINK25"/>
      <w:bookmarkStart w:id="28" w:name="OLE_LINK30"/>
      <w:bookmarkStart w:id="29" w:name="OLE_LINK31"/>
      <w:r w:rsidRPr="003A4375">
        <w:t>In PRO</w:t>
      </w:r>
      <w:bookmarkEnd w:id="12"/>
      <w:bookmarkEnd w:id="13"/>
      <w:bookmarkEnd w:id="14"/>
      <w:bookmarkEnd w:id="15"/>
      <w:bookmarkEnd w:id="16"/>
      <w:bookmarkEnd w:id="17"/>
      <w:bookmarkEnd w:id="18"/>
      <w:bookmarkEnd w:id="19"/>
      <w:bookmarkEnd w:id="20"/>
      <w:r w:rsidRPr="003A4375">
        <w:t xml:space="preserve"> (</w:t>
      </w:r>
      <w:r w:rsidR="006D3BDC" w:rsidRPr="003A4375">
        <w:t>Tamburini et al.</w:t>
      </w:r>
      <w:r w:rsidR="006F5C79" w:rsidRPr="003A4375">
        <w:t xml:space="preserve">, </w:t>
      </w:r>
      <w:r w:rsidR="006D3BDC" w:rsidRPr="003A4375">
        <w:t>2016)</w:t>
      </w:r>
      <w:r w:rsidR="00B879BA" w:rsidRPr="003A4375">
        <w:t>, osmotic membranes are</w:t>
      </w:r>
      <w:r w:rsidR="00282C4F" w:rsidRPr="003A4375">
        <w:t xml:space="preserve"> placed in between the two solutions. The chemical potential difference between the solutions generates a water flux from the dilute to the concentrate, which is </w:t>
      </w:r>
      <w:r w:rsidR="006B519C" w:rsidRPr="003A4375">
        <w:t>“</w:t>
      </w:r>
      <w:r w:rsidR="00282C4F" w:rsidRPr="003A4375">
        <w:t>retarded</w:t>
      </w:r>
      <w:r w:rsidR="006B519C" w:rsidRPr="003A4375">
        <w:t>”</w:t>
      </w:r>
      <w:r w:rsidR="00282C4F" w:rsidRPr="003A4375">
        <w:t xml:space="preserve"> by the application of a hydraulic pressure in the concentrate side, accumulating pressure energy. In a second step, this pressure energy is converted</w:t>
      </w:r>
      <w:r w:rsidR="00FB249D" w:rsidRPr="003A4375">
        <w:t xml:space="preserve"> into electricity in a hydro</w:t>
      </w:r>
      <w:r w:rsidR="007E17E1" w:rsidRPr="003A4375">
        <w:t>-</w:t>
      </w:r>
      <w:r w:rsidR="00FB249D" w:rsidRPr="003A4375">
        <w:t>turbine</w:t>
      </w:r>
      <w:r w:rsidR="00282C4F" w:rsidRPr="003A4375">
        <w:t>.</w:t>
      </w:r>
      <w:bookmarkEnd w:id="21"/>
      <w:bookmarkEnd w:id="22"/>
      <w:bookmarkEnd w:id="23"/>
      <w:bookmarkEnd w:id="24"/>
    </w:p>
    <w:p w14:paraId="1669468B" w14:textId="145EDB9C" w:rsidR="006F5C79" w:rsidRPr="003A4375" w:rsidRDefault="006F5C79" w:rsidP="003F5AF5">
      <w:pPr>
        <w:tabs>
          <w:tab w:val="clear" w:pos="7100"/>
        </w:tabs>
        <w:spacing w:line="240" w:lineRule="auto"/>
      </w:pPr>
      <w:bookmarkStart w:id="30" w:name="OLE_LINK32"/>
      <w:bookmarkStart w:id="31" w:name="OLE_LINK33"/>
      <w:bookmarkStart w:id="32" w:name="OLE_LINK34"/>
      <w:bookmarkStart w:id="33" w:name="OLE_LINK35"/>
      <w:bookmarkStart w:id="34" w:name="OLE_LINK36"/>
      <w:bookmarkStart w:id="35" w:name="OLE_LINK37"/>
      <w:bookmarkEnd w:id="25"/>
      <w:bookmarkEnd w:id="26"/>
      <w:bookmarkEnd w:id="27"/>
      <w:r w:rsidRPr="003A4375">
        <w:t>In RED (</w:t>
      </w:r>
      <w:r w:rsidR="00355B7A" w:rsidRPr="003A4375">
        <w:t>Giacalone et al., 2018</w:t>
      </w:r>
      <w:r w:rsidRPr="003A4375">
        <w:t>)</w:t>
      </w:r>
      <w:r w:rsidR="00FB249D" w:rsidRPr="003A4375">
        <w:t>,</w:t>
      </w:r>
      <w:r w:rsidR="00E12F06" w:rsidRPr="003A4375">
        <w:t xml:space="preserve"> ionic </w:t>
      </w:r>
      <w:r w:rsidR="00FB249D" w:rsidRPr="003A4375">
        <w:t>exchange membranes</w:t>
      </w:r>
      <w:r w:rsidR="00E12F06" w:rsidRPr="003A4375">
        <w:t xml:space="preserve"> (IEMs)</w:t>
      </w:r>
      <w:r w:rsidR="00FB249D" w:rsidRPr="003A4375">
        <w:t xml:space="preserve"> are alternatively placed between the concentrate solution and the dilute solution, generating repetitive </w:t>
      </w:r>
      <w:r w:rsidR="00643E3A" w:rsidRPr="003A4375">
        <w:t>units</w:t>
      </w:r>
      <w:r w:rsidR="00FB249D" w:rsidRPr="003A4375">
        <w:t xml:space="preserve"> called “cell pair</w:t>
      </w:r>
      <w:r w:rsidR="00643E3A" w:rsidRPr="003A4375">
        <w:t>s</w:t>
      </w:r>
      <w:r w:rsidR="00FB249D" w:rsidRPr="003A4375">
        <w:t xml:space="preserve">”. The chemical potential difference between the two solutions and the particular placement of the </w:t>
      </w:r>
      <w:r w:rsidR="00643E3A" w:rsidRPr="003A4375">
        <w:t>IEMs</w:t>
      </w:r>
      <w:r w:rsidR="00FB249D" w:rsidRPr="003A4375">
        <w:t xml:space="preserve"> generate an ordered flux</w:t>
      </w:r>
      <w:r w:rsidR="00C15B6D" w:rsidRPr="003A4375">
        <w:t xml:space="preserve"> of ions</w:t>
      </w:r>
      <w:r w:rsidR="00FB249D" w:rsidRPr="003A4375">
        <w:t xml:space="preserve"> </w:t>
      </w:r>
      <w:r w:rsidR="00FB249D" w:rsidRPr="003A4375">
        <w:lastRenderedPageBreak/>
        <w:t xml:space="preserve">through the </w:t>
      </w:r>
      <w:r w:rsidR="00643E3A" w:rsidRPr="003A4375">
        <w:t>IEMs</w:t>
      </w:r>
      <w:r w:rsidR="00FB249D" w:rsidRPr="003A4375">
        <w:t>. This ionic current is converted into electricity in the end-compartments w</w:t>
      </w:r>
      <w:r w:rsidR="006B519C" w:rsidRPr="003A4375">
        <w:t>here electrodic reactions occur</w:t>
      </w:r>
      <w:r w:rsidR="00FB249D" w:rsidRPr="003A4375">
        <w:t>.</w:t>
      </w:r>
    </w:p>
    <w:p w14:paraId="5FC3FC7D" w14:textId="303FBFD5" w:rsidR="00493D3B" w:rsidRPr="003A4375" w:rsidRDefault="00C15B6D" w:rsidP="00FC3046">
      <w:pPr>
        <w:pStyle w:val="CETnumberingbullets"/>
        <w:numPr>
          <w:ilvl w:val="0"/>
          <w:numId w:val="0"/>
        </w:numPr>
        <w:spacing w:line="240" w:lineRule="auto"/>
        <w:jc w:val="both"/>
      </w:pPr>
      <w:r w:rsidRPr="003A4375">
        <w:t>Concerning</w:t>
      </w:r>
      <w:r w:rsidR="00493D3B" w:rsidRPr="003A4375">
        <w:t xml:space="preserve"> the regeneration unit, two main strategies have been proposed so far, namely, solvent extraction and salt extraction. In </w:t>
      </w:r>
      <w:r w:rsidR="00FC3046">
        <w:t xml:space="preserve">the </w:t>
      </w:r>
      <w:r w:rsidR="00493D3B" w:rsidRPr="003A4375">
        <w:t>solvent extraction process</w:t>
      </w:r>
      <w:r w:rsidR="007E17E1" w:rsidRPr="003A4375">
        <w:t>,</w:t>
      </w:r>
      <w:r w:rsidR="00493D3B" w:rsidRPr="003A4375">
        <w:t xml:space="preserve"> the regeneration of the original concentration of the two streams exiting from the </w:t>
      </w:r>
      <w:r w:rsidR="00643E3A" w:rsidRPr="003A4375">
        <w:t>power</w:t>
      </w:r>
      <w:r w:rsidR="00493D3B" w:rsidRPr="003A4375">
        <w:t xml:space="preserve"> unit occurs by removing solvent from the exhausted concentrate stream, which is after transferred to the exhausted dilute stream. Then, low grade heat is used to vaporize the solvent from the exhausted concentration stream, like in a thermal desalination process. In this </w:t>
      </w:r>
      <w:r w:rsidR="006B519C" w:rsidRPr="003A4375">
        <w:t>regard</w:t>
      </w:r>
      <w:r w:rsidR="00493D3B" w:rsidRPr="003A4375">
        <w:t xml:space="preserve">, Multi Effects Distillation (MED) and Membrane Distillation (MD) represent the most interesting options. Conversely, in salt extraction </w:t>
      </w:r>
      <w:r w:rsidR="006B519C" w:rsidRPr="003A4375">
        <w:t>strategy,</w:t>
      </w:r>
      <w:r w:rsidR="00493D3B" w:rsidRPr="003A4375">
        <w:t xml:space="preserve"> the regeneration of the initial salt concentration is performed by removing the salt from</w:t>
      </w:r>
      <w:r w:rsidR="006B519C" w:rsidRPr="003A4375">
        <w:t xml:space="preserve"> the exhausted dilute solution to dissolve it</w:t>
      </w:r>
      <w:r w:rsidR="00493D3B" w:rsidRPr="003A4375">
        <w:t xml:space="preserve"> again into the exhausted concentrat</w:t>
      </w:r>
      <w:r w:rsidR="003335FF" w:rsidRPr="003A4375">
        <w:t>ed</w:t>
      </w:r>
      <w:r w:rsidR="00493D3B" w:rsidRPr="003A4375">
        <w:t xml:space="preserve"> solution. Among the proposed </w:t>
      </w:r>
      <w:r w:rsidR="006B519C" w:rsidRPr="003A4375">
        <w:t>processes</w:t>
      </w:r>
      <w:r w:rsidR="00493D3B" w:rsidRPr="003A4375">
        <w:t xml:space="preserve">, the use of </w:t>
      </w:r>
      <w:r w:rsidR="006B519C" w:rsidRPr="003A4375">
        <w:t xml:space="preserve">aqueous solutions with </w:t>
      </w:r>
      <w:r w:rsidR="00493D3B" w:rsidRPr="003A4375">
        <w:t xml:space="preserve">thermolytic salts </w:t>
      </w:r>
      <w:r w:rsidR="006B519C" w:rsidRPr="003A4375">
        <w:t>(</w:t>
      </w:r>
      <w:r w:rsidR="00493D3B" w:rsidRPr="003A4375">
        <w:t>in particular ammonium bicarbonate</w:t>
      </w:r>
      <w:r w:rsidR="006B519C" w:rsidRPr="003A4375">
        <w:t>)</w:t>
      </w:r>
      <w:r w:rsidR="00493D3B" w:rsidRPr="003A4375">
        <w:t xml:space="preserve"> is </w:t>
      </w:r>
      <w:r w:rsidR="006B519C" w:rsidRPr="003A4375">
        <w:t xml:space="preserve">regarded as </w:t>
      </w:r>
      <w:r w:rsidR="00493D3B" w:rsidRPr="003A4375">
        <w:t xml:space="preserve">the most promising </w:t>
      </w:r>
      <w:r w:rsidR="00EF0545" w:rsidRPr="003A4375">
        <w:t xml:space="preserve">option </w:t>
      </w:r>
      <w:r w:rsidR="00493D3B" w:rsidRPr="003A4375">
        <w:t>(</w:t>
      </w:r>
      <w:r w:rsidR="001B26B8" w:rsidRPr="003A4375">
        <w:t>Giacalone</w:t>
      </w:r>
      <w:r w:rsidR="00493D3B" w:rsidRPr="003A4375">
        <w:t xml:space="preserve"> et al., 201</w:t>
      </w:r>
      <w:r w:rsidR="001B26B8" w:rsidRPr="003A4375">
        <w:t>9</w:t>
      </w:r>
      <w:r w:rsidR="00CB17D4" w:rsidRPr="003A4375">
        <w:t>-a</w:t>
      </w:r>
      <w:r w:rsidR="00493D3B" w:rsidRPr="003A4375">
        <w:t>).</w:t>
      </w:r>
    </w:p>
    <w:p w14:paraId="7CBA37E0" w14:textId="1C9AF586" w:rsidR="000C6C2F" w:rsidRPr="003A4375" w:rsidRDefault="00493D3B" w:rsidP="00FC3046">
      <w:pPr>
        <w:pStyle w:val="CETnumberingbullets"/>
        <w:numPr>
          <w:ilvl w:val="0"/>
          <w:numId w:val="0"/>
        </w:numPr>
        <w:spacing w:line="240" w:lineRule="auto"/>
        <w:jc w:val="both"/>
      </w:pPr>
      <w:r w:rsidRPr="003A4375">
        <w:t xml:space="preserve">This work focused on </w:t>
      </w:r>
      <w:r w:rsidR="00547161" w:rsidRPr="003A4375">
        <w:t xml:space="preserve">a </w:t>
      </w:r>
      <w:r w:rsidRPr="003A4375">
        <w:t xml:space="preserve">reverse electrodialysis heat engine </w:t>
      </w:r>
      <w:r w:rsidR="00643E3A" w:rsidRPr="003A4375">
        <w:t xml:space="preserve">(RED-HE) </w:t>
      </w:r>
      <w:r w:rsidR="00547161" w:rsidRPr="003A4375">
        <w:t xml:space="preserve">adopting the </w:t>
      </w:r>
      <w:r w:rsidRPr="003A4375">
        <w:t>solvent extraction strategy.</w:t>
      </w:r>
      <w:bookmarkEnd w:id="28"/>
      <w:bookmarkEnd w:id="29"/>
      <w:bookmarkEnd w:id="30"/>
      <w:bookmarkEnd w:id="31"/>
      <w:bookmarkEnd w:id="32"/>
      <w:bookmarkEnd w:id="33"/>
      <w:bookmarkEnd w:id="34"/>
      <w:bookmarkEnd w:id="35"/>
      <w:r w:rsidRPr="003A4375">
        <w:t xml:space="preserve"> </w:t>
      </w:r>
      <w:r w:rsidR="00547161" w:rsidRPr="003A4375">
        <w:t>In principle,</w:t>
      </w:r>
      <w:r w:rsidR="00DB00A8" w:rsidRPr="003A4375">
        <w:t xml:space="preserve"> d</w:t>
      </w:r>
      <w:r w:rsidR="000C6C2F" w:rsidRPr="003A4375">
        <w:t xml:space="preserve">ifferent </w:t>
      </w:r>
      <w:r w:rsidR="00547161" w:rsidRPr="003A4375">
        <w:t>solute-solvent couples</w:t>
      </w:r>
      <w:r w:rsidR="000C6C2F" w:rsidRPr="003A4375">
        <w:t xml:space="preserve"> can be employed in the system. </w:t>
      </w:r>
      <w:r w:rsidR="00547161" w:rsidRPr="003A4375">
        <w:t xml:space="preserve">NaCl-water solutions </w:t>
      </w:r>
      <w:r w:rsidR="001F66C0" w:rsidRPr="003A4375">
        <w:t>have</w:t>
      </w:r>
      <w:r w:rsidR="00547161" w:rsidRPr="003A4375">
        <w:t xml:space="preserve"> been t</w:t>
      </w:r>
      <w:r w:rsidR="000C6C2F" w:rsidRPr="003A4375">
        <w:t xml:space="preserve">he most </w:t>
      </w:r>
      <w:r w:rsidR="00547161" w:rsidRPr="003A4375">
        <w:t xml:space="preserve">adopted and </w:t>
      </w:r>
      <w:r w:rsidR="000C6C2F" w:rsidRPr="003A4375">
        <w:t xml:space="preserve">studied </w:t>
      </w:r>
      <w:r w:rsidR="00547161" w:rsidRPr="003A4375">
        <w:t>so far</w:t>
      </w:r>
      <w:r w:rsidR="000C6C2F" w:rsidRPr="003A4375">
        <w:t xml:space="preserve">. Hu et al. </w:t>
      </w:r>
      <w:r w:rsidR="0038708A" w:rsidRPr="003A4375">
        <w:t>(2018)</w:t>
      </w:r>
      <w:r w:rsidR="003335FF" w:rsidRPr="003A4375">
        <w:t xml:space="preserve"> and </w:t>
      </w:r>
      <w:bookmarkStart w:id="36" w:name="OLE_LINK42"/>
      <w:bookmarkStart w:id="37" w:name="OLE_LINK43"/>
      <w:r w:rsidR="003335FF" w:rsidRPr="003A4375">
        <w:t>Palenzuela et al. (2019)</w:t>
      </w:r>
      <w:bookmarkEnd w:id="36"/>
      <w:bookmarkEnd w:id="37"/>
      <w:r w:rsidR="003335FF" w:rsidRPr="003A4375">
        <w:t xml:space="preserve"> performed modelling analyses on </w:t>
      </w:r>
      <w:r w:rsidR="00643E3A" w:rsidRPr="003A4375">
        <w:t>reverse elec</w:t>
      </w:r>
      <w:r w:rsidR="00A2543D" w:rsidRPr="003A4375">
        <w:t>trodialysis</w:t>
      </w:r>
      <w:r w:rsidR="00643E3A" w:rsidRPr="003A4375">
        <w:t>-multi effect distillation heat engine (</w:t>
      </w:r>
      <w:r w:rsidR="003335FF" w:rsidRPr="003A4375">
        <w:t>RED-MED HE</w:t>
      </w:r>
      <w:r w:rsidR="00643E3A" w:rsidRPr="003A4375">
        <w:t>)</w:t>
      </w:r>
      <w:r w:rsidR="003335FF" w:rsidRPr="003A4375">
        <w:t xml:space="preserve">. Results highlighted the interesting performance of such system in the recovery of low-grade heat with efficiency up to </w:t>
      </w:r>
      <w:r w:rsidR="00355B7A" w:rsidRPr="003A4375">
        <w:t>6.6</w:t>
      </w:r>
      <w:r w:rsidR="00C12215" w:rsidRPr="003A4375">
        <w:t xml:space="preserve"> </w:t>
      </w:r>
      <w:r w:rsidR="00355B7A" w:rsidRPr="003A4375">
        <w:t>%</w:t>
      </w:r>
      <w:r w:rsidR="003335FF" w:rsidRPr="003A4375">
        <w:t>.</w:t>
      </w:r>
      <w:r w:rsidR="000C6C2F" w:rsidRPr="003A4375">
        <w:t xml:space="preserve"> </w:t>
      </w:r>
      <w:r w:rsidR="002355B2" w:rsidRPr="003A4375">
        <w:t>Long et al. (2016</w:t>
      </w:r>
      <w:r w:rsidR="003335FF" w:rsidRPr="003A4375">
        <w:t xml:space="preserve">) and </w:t>
      </w:r>
      <w:r w:rsidR="000C6C2F" w:rsidRPr="003A4375">
        <w:t>Micari et al.</w:t>
      </w:r>
      <w:r w:rsidR="0038708A" w:rsidRPr="003A4375">
        <w:t xml:space="preserve"> (2019)</w:t>
      </w:r>
      <w:r w:rsidR="000C6C2F" w:rsidRPr="003A4375">
        <w:t>,</w:t>
      </w:r>
      <w:r w:rsidR="003335FF" w:rsidRPr="003A4375">
        <w:t xml:space="preserve"> proposed modelling analysis </w:t>
      </w:r>
      <w:r w:rsidR="00A2543D" w:rsidRPr="003A4375">
        <w:t>of</w:t>
      </w:r>
      <w:r w:rsidR="003335FF" w:rsidRPr="003A4375">
        <w:t xml:space="preserve"> </w:t>
      </w:r>
      <w:r w:rsidR="00643E3A" w:rsidRPr="003A4375">
        <w:t>reverse electrodialysis – membrane distillation heat engine (</w:t>
      </w:r>
      <w:r w:rsidR="003335FF" w:rsidRPr="003A4375">
        <w:t>RED-MD</w:t>
      </w:r>
      <w:r w:rsidR="00643E3A" w:rsidRPr="003A4375">
        <w:t xml:space="preserve"> HE)</w:t>
      </w:r>
      <w:r w:rsidR="003335FF" w:rsidRPr="003A4375">
        <w:t xml:space="preserve"> unit. Lower efficiencies were found but the system is simpler and is suitable for small-scale applications.</w:t>
      </w:r>
    </w:p>
    <w:p w14:paraId="0EFE7EDE" w14:textId="7E627FCE" w:rsidR="000C6C2F" w:rsidRPr="003A4375" w:rsidRDefault="000C6C2F" w:rsidP="00FC3046">
      <w:pPr>
        <w:pStyle w:val="CETBodytext"/>
        <w:spacing w:line="240" w:lineRule="auto"/>
        <w:rPr>
          <w:lang w:val="en-GB"/>
        </w:rPr>
      </w:pPr>
      <w:r w:rsidRPr="003A4375">
        <w:rPr>
          <w:lang w:val="en-GB"/>
        </w:rPr>
        <w:t>In the last year</w:t>
      </w:r>
      <w:r w:rsidR="003335FF" w:rsidRPr="003A4375">
        <w:rPr>
          <w:lang w:val="en-GB"/>
        </w:rPr>
        <w:t>,</w:t>
      </w:r>
      <w:r w:rsidRPr="003A4375">
        <w:rPr>
          <w:lang w:val="en-GB"/>
        </w:rPr>
        <w:t xml:space="preserve"> new salt</w:t>
      </w:r>
      <w:r w:rsidR="003335FF" w:rsidRPr="003A4375">
        <w:rPr>
          <w:lang w:val="en-GB"/>
        </w:rPr>
        <w:t>-solutions</w:t>
      </w:r>
      <w:r w:rsidRPr="003A4375">
        <w:rPr>
          <w:lang w:val="en-GB"/>
        </w:rPr>
        <w:t xml:space="preserve"> have been proposed in such applications</w:t>
      </w:r>
      <w:r w:rsidR="007E17E1" w:rsidRPr="003A4375">
        <w:rPr>
          <w:lang w:val="en-GB"/>
        </w:rPr>
        <w:t xml:space="preserve"> in order to enhance the process performances</w:t>
      </w:r>
      <w:r w:rsidR="003335FF" w:rsidRPr="003A4375">
        <w:rPr>
          <w:lang w:val="en-GB"/>
        </w:rPr>
        <w:t xml:space="preserve"> of the system</w:t>
      </w:r>
      <w:r w:rsidRPr="003A4375">
        <w:rPr>
          <w:lang w:val="en-GB"/>
        </w:rPr>
        <w:t>.</w:t>
      </w:r>
      <w:r w:rsidR="00DB00A8" w:rsidRPr="003A4375">
        <w:rPr>
          <w:lang w:val="en-GB"/>
        </w:rPr>
        <w:t xml:space="preserve"> </w:t>
      </w:r>
      <w:r w:rsidRPr="003A4375">
        <w:rPr>
          <w:lang w:val="en-GB"/>
        </w:rPr>
        <w:t>Giacalone et al.</w:t>
      </w:r>
      <w:r w:rsidR="002C744B" w:rsidRPr="003A4375">
        <w:rPr>
          <w:lang w:val="en-GB"/>
        </w:rPr>
        <w:t xml:space="preserve"> (2019</w:t>
      </w:r>
      <w:r w:rsidR="00CB17D4" w:rsidRPr="003A4375">
        <w:rPr>
          <w:lang w:val="en-GB"/>
        </w:rPr>
        <w:t>-b</w:t>
      </w:r>
      <w:r w:rsidR="002C744B" w:rsidRPr="003A4375">
        <w:rPr>
          <w:lang w:val="en-GB"/>
        </w:rPr>
        <w:t>)</w:t>
      </w:r>
      <w:r w:rsidRPr="003A4375">
        <w:rPr>
          <w:lang w:val="en-GB"/>
        </w:rPr>
        <w:t xml:space="preserve"> investigated the </w:t>
      </w:r>
      <w:r w:rsidR="005D003E" w:rsidRPr="003A4375">
        <w:rPr>
          <w:lang w:val="en-GB"/>
        </w:rPr>
        <w:t>theoretical</w:t>
      </w:r>
      <w:r w:rsidRPr="003A4375">
        <w:rPr>
          <w:lang w:val="en-GB"/>
        </w:rPr>
        <w:t xml:space="preserve"> impact of using different salts in ideal RED-HE, evaluating the heat engine efficiencies on the basis of the Gibbs free energy of the mixing and the latent heat required for the regeneration of the solutions. Results highlighted that</w:t>
      </w:r>
      <w:r w:rsidR="00DB00A8" w:rsidRPr="003A4375">
        <w:rPr>
          <w:lang w:val="en-GB"/>
        </w:rPr>
        <w:t xml:space="preserve">, </w:t>
      </w:r>
      <w:r w:rsidRPr="003A4375">
        <w:rPr>
          <w:lang w:val="en-GB"/>
        </w:rPr>
        <w:t>among the screened salts, LiCl is one of the most promising</w:t>
      </w:r>
      <w:r w:rsidR="00DB00A8" w:rsidRPr="003A4375">
        <w:rPr>
          <w:lang w:val="en-GB"/>
        </w:rPr>
        <w:t xml:space="preserve"> thanks to its remarkable solubility and activity</w:t>
      </w:r>
      <w:r w:rsidRPr="003A4375">
        <w:rPr>
          <w:lang w:val="en-GB"/>
        </w:rPr>
        <w:t>.</w:t>
      </w:r>
      <w:r w:rsidR="00E973B4" w:rsidRPr="003A4375">
        <w:rPr>
          <w:lang w:val="en-GB"/>
        </w:rPr>
        <w:t xml:space="preserve">  </w:t>
      </w:r>
    </w:p>
    <w:p w14:paraId="5455D31A" w14:textId="6F6C9D58" w:rsidR="000C6C2F" w:rsidRPr="003A4375" w:rsidRDefault="00DB00A8" w:rsidP="00FC3046">
      <w:pPr>
        <w:pStyle w:val="CETBodytext"/>
        <w:spacing w:line="240" w:lineRule="auto"/>
        <w:rPr>
          <w:lang w:val="en-GB"/>
        </w:rPr>
      </w:pPr>
      <w:r w:rsidRPr="003A4375">
        <w:rPr>
          <w:lang w:val="en-GB"/>
        </w:rPr>
        <w:t>In this work, an integrated process model was developed in Excel</w:t>
      </w:r>
      <w:r w:rsidR="00A2543D" w:rsidRPr="003A4375">
        <w:rPr>
          <w:lang w:val="en-GB"/>
        </w:rPr>
        <w:t>®</w:t>
      </w:r>
      <w:r w:rsidRPr="003A4375">
        <w:rPr>
          <w:lang w:val="en-GB"/>
        </w:rPr>
        <w:t xml:space="preserve"> to study the performance of a Reverse Electrodialysis Multi Effect Distillation heat engine</w:t>
      </w:r>
      <w:r w:rsidR="006D3BDC" w:rsidRPr="003A4375">
        <w:rPr>
          <w:lang w:val="en-GB"/>
        </w:rPr>
        <w:t xml:space="preserve"> fed </w:t>
      </w:r>
      <w:r w:rsidR="00643E3A" w:rsidRPr="003A4375">
        <w:rPr>
          <w:lang w:val="en-GB"/>
        </w:rPr>
        <w:t>with</w:t>
      </w:r>
      <w:r w:rsidR="006D3BDC" w:rsidRPr="003A4375">
        <w:rPr>
          <w:lang w:val="en-GB"/>
        </w:rPr>
        <w:t xml:space="preserve"> LiCl-water solutions. Firstly, the influence </w:t>
      </w:r>
      <w:r w:rsidR="00055570" w:rsidRPr="003A4375">
        <w:rPr>
          <w:lang w:val="en-GB"/>
        </w:rPr>
        <w:t xml:space="preserve">of the </w:t>
      </w:r>
      <w:r w:rsidR="00355B7A" w:rsidRPr="003A4375">
        <w:rPr>
          <w:lang w:val="en-GB"/>
        </w:rPr>
        <w:t xml:space="preserve">solution </w:t>
      </w:r>
      <w:r w:rsidR="006D3BDC" w:rsidRPr="003A4375">
        <w:rPr>
          <w:lang w:val="en-GB"/>
        </w:rPr>
        <w:t xml:space="preserve">concentrations </w:t>
      </w:r>
      <w:r w:rsidR="00055570" w:rsidRPr="003A4375">
        <w:rPr>
          <w:lang w:val="en-GB"/>
        </w:rPr>
        <w:t>fed to the</w:t>
      </w:r>
      <w:r w:rsidR="006D3BDC" w:rsidRPr="003A4375">
        <w:rPr>
          <w:lang w:val="en-GB"/>
        </w:rPr>
        <w:t xml:space="preserve"> RED unit</w:t>
      </w:r>
      <w:r w:rsidR="006B565D" w:rsidRPr="003A4375">
        <w:rPr>
          <w:lang w:val="en-GB"/>
        </w:rPr>
        <w:t xml:space="preserve"> </w:t>
      </w:r>
      <w:r w:rsidR="00355B7A" w:rsidRPr="003A4375">
        <w:rPr>
          <w:lang w:val="en-GB"/>
        </w:rPr>
        <w:t xml:space="preserve">on the system </w:t>
      </w:r>
      <w:r w:rsidR="00673EB6" w:rsidRPr="003A4375">
        <w:rPr>
          <w:lang w:val="en-GB"/>
        </w:rPr>
        <w:t>efficiency</w:t>
      </w:r>
      <w:r w:rsidR="006D3BDC" w:rsidRPr="003A4375">
        <w:rPr>
          <w:lang w:val="en-GB"/>
        </w:rPr>
        <w:t xml:space="preserve"> is investigate</w:t>
      </w:r>
      <w:r w:rsidR="002D7D34" w:rsidRPr="003A4375">
        <w:rPr>
          <w:lang w:val="en-GB"/>
        </w:rPr>
        <w:t xml:space="preserve">d by considering ideal </w:t>
      </w:r>
      <w:r w:rsidR="00643E3A" w:rsidRPr="003A4375">
        <w:rPr>
          <w:lang w:val="en-GB"/>
        </w:rPr>
        <w:t>IEMs</w:t>
      </w:r>
      <w:r w:rsidR="006D3BDC" w:rsidRPr="003A4375">
        <w:rPr>
          <w:lang w:val="en-GB"/>
        </w:rPr>
        <w:t xml:space="preserve">. </w:t>
      </w:r>
      <w:r w:rsidR="00055570" w:rsidRPr="003A4375">
        <w:rPr>
          <w:lang w:val="en-GB"/>
        </w:rPr>
        <w:t>Moreover</w:t>
      </w:r>
      <w:r w:rsidR="006D3BDC" w:rsidRPr="003A4375">
        <w:rPr>
          <w:lang w:val="en-GB"/>
        </w:rPr>
        <w:t>, for</w:t>
      </w:r>
      <w:r w:rsidR="00493D3B" w:rsidRPr="003A4375">
        <w:rPr>
          <w:lang w:val="en-GB"/>
        </w:rPr>
        <w:t xml:space="preserve"> </w:t>
      </w:r>
      <w:r w:rsidR="006B565D" w:rsidRPr="003A4375">
        <w:rPr>
          <w:lang w:val="en-GB"/>
        </w:rPr>
        <w:t>the</w:t>
      </w:r>
      <w:r w:rsidR="00055570" w:rsidRPr="003A4375">
        <w:rPr>
          <w:lang w:val="en-GB"/>
        </w:rPr>
        <w:t xml:space="preserve"> case of the</w:t>
      </w:r>
      <w:r w:rsidR="006B565D" w:rsidRPr="003A4375">
        <w:rPr>
          <w:lang w:val="en-GB"/>
        </w:rPr>
        <w:t xml:space="preserve"> concentrations </w:t>
      </w:r>
      <w:r w:rsidR="00055570" w:rsidRPr="003A4375">
        <w:rPr>
          <w:lang w:val="en-GB"/>
        </w:rPr>
        <w:t>providing the highest</w:t>
      </w:r>
      <w:r w:rsidR="006B565D" w:rsidRPr="003A4375">
        <w:rPr>
          <w:lang w:val="en-GB"/>
        </w:rPr>
        <w:t xml:space="preserve"> efficiency,</w:t>
      </w:r>
      <w:r w:rsidR="006D3BDC" w:rsidRPr="003A4375">
        <w:rPr>
          <w:lang w:val="en-GB"/>
        </w:rPr>
        <w:t xml:space="preserve"> the impact of membrane properties</w:t>
      </w:r>
      <w:r w:rsidR="00055570" w:rsidRPr="003A4375">
        <w:rPr>
          <w:lang w:val="en-GB"/>
        </w:rPr>
        <w:t xml:space="preserve"> (</w:t>
      </w:r>
      <w:r w:rsidR="006B565D" w:rsidRPr="003A4375">
        <w:rPr>
          <w:lang w:val="en-GB"/>
        </w:rPr>
        <w:t>i.e.</w:t>
      </w:r>
      <w:r w:rsidR="006D3BDC" w:rsidRPr="003A4375">
        <w:rPr>
          <w:lang w:val="en-GB"/>
        </w:rPr>
        <w:t xml:space="preserve"> permselectivity and resistance</w:t>
      </w:r>
      <w:r w:rsidR="00055570" w:rsidRPr="003A4375">
        <w:rPr>
          <w:lang w:val="en-GB"/>
        </w:rPr>
        <w:t>)</w:t>
      </w:r>
      <w:r w:rsidR="006D3BDC" w:rsidRPr="003A4375">
        <w:rPr>
          <w:lang w:val="en-GB"/>
        </w:rPr>
        <w:t xml:space="preserve"> on </w:t>
      </w:r>
      <w:r w:rsidR="00055570" w:rsidRPr="003A4375">
        <w:rPr>
          <w:lang w:val="en-GB"/>
        </w:rPr>
        <w:t xml:space="preserve">the heat engine efficiency </w:t>
      </w:r>
      <w:r w:rsidR="00493D3B" w:rsidRPr="003A4375">
        <w:rPr>
          <w:lang w:val="en-GB"/>
        </w:rPr>
        <w:t>is evaluated.</w:t>
      </w:r>
    </w:p>
    <w:p w14:paraId="7B907F15" w14:textId="77777777" w:rsidR="00600535" w:rsidRPr="003A4375" w:rsidRDefault="00C2253A" w:rsidP="003F5AF5">
      <w:pPr>
        <w:pStyle w:val="CETHeading1"/>
        <w:tabs>
          <w:tab w:val="clear" w:pos="360"/>
          <w:tab w:val="right" w:pos="7100"/>
        </w:tabs>
        <w:jc w:val="both"/>
        <w:rPr>
          <w:lang w:val="en-GB"/>
        </w:rPr>
      </w:pPr>
      <w:r w:rsidRPr="003A4375">
        <w:rPr>
          <w:lang w:val="en-GB"/>
        </w:rPr>
        <w:t>M</w:t>
      </w:r>
      <w:r w:rsidR="00493D3B" w:rsidRPr="003A4375">
        <w:rPr>
          <w:lang w:val="en-GB"/>
        </w:rPr>
        <w:t>ethod</w:t>
      </w:r>
    </w:p>
    <w:p w14:paraId="0DC1D617" w14:textId="1EB36A7B" w:rsidR="00E87BB0" w:rsidRPr="003A4375" w:rsidRDefault="00FE6894" w:rsidP="00FC3046">
      <w:pPr>
        <w:pStyle w:val="CETBodytext"/>
        <w:spacing w:line="240" w:lineRule="auto"/>
        <w:rPr>
          <w:lang w:val="en-GB"/>
        </w:rPr>
      </w:pPr>
      <w:r w:rsidRPr="003A4375">
        <w:rPr>
          <w:lang w:val="en-GB"/>
        </w:rPr>
        <w:t xml:space="preserve">The whole model </w:t>
      </w:r>
      <w:r w:rsidR="00D739A4" w:rsidRPr="003A4375">
        <w:rPr>
          <w:lang w:val="en-GB"/>
        </w:rPr>
        <w:t xml:space="preserve">consists of two main </w:t>
      </w:r>
      <w:r w:rsidR="00DC60D8" w:rsidRPr="003A4375">
        <w:rPr>
          <w:lang w:val="en-GB"/>
        </w:rPr>
        <w:t>sub-</w:t>
      </w:r>
      <w:r w:rsidR="00360291" w:rsidRPr="003A4375">
        <w:rPr>
          <w:lang w:val="en-GB"/>
        </w:rPr>
        <w:t>models</w:t>
      </w:r>
      <w:r w:rsidR="00D739A4" w:rsidRPr="003A4375">
        <w:rPr>
          <w:lang w:val="en-GB"/>
        </w:rPr>
        <w:t xml:space="preserve"> </w:t>
      </w:r>
      <w:r w:rsidR="00DC60D8" w:rsidRPr="003A4375">
        <w:rPr>
          <w:lang w:val="en-GB"/>
        </w:rPr>
        <w:t>including</w:t>
      </w:r>
      <w:r w:rsidR="00D739A4" w:rsidRPr="003A4375">
        <w:rPr>
          <w:lang w:val="en-GB"/>
        </w:rPr>
        <w:t xml:space="preserve"> (i) </w:t>
      </w:r>
      <w:r w:rsidR="00DC60D8" w:rsidRPr="003A4375">
        <w:rPr>
          <w:lang w:val="en-GB"/>
        </w:rPr>
        <w:t xml:space="preserve">the </w:t>
      </w:r>
      <w:r w:rsidR="00D739A4" w:rsidRPr="003A4375">
        <w:rPr>
          <w:lang w:val="en-GB"/>
        </w:rPr>
        <w:t xml:space="preserve">RED model and </w:t>
      </w:r>
      <w:r w:rsidR="00DC60D8" w:rsidRPr="003A4375">
        <w:rPr>
          <w:lang w:val="en-GB"/>
        </w:rPr>
        <w:t xml:space="preserve">(ii) </w:t>
      </w:r>
      <w:r w:rsidR="00D739A4" w:rsidRPr="003A4375">
        <w:rPr>
          <w:lang w:val="en-GB"/>
        </w:rPr>
        <w:t xml:space="preserve">the MED model. The two </w:t>
      </w:r>
      <w:r w:rsidR="00360291" w:rsidRPr="003A4375">
        <w:rPr>
          <w:lang w:val="en-GB"/>
        </w:rPr>
        <w:t>sub-models</w:t>
      </w:r>
      <w:r w:rsidR="00D739A4" w:rsidRPr="003A4375">
        <w:rPr>
          <w:lang w:val="en-GB"/>
        </w:rPr>
        <w:t xml:space="preserve"> are linked by means of mass balance </w:t>
      </w:r>
      <w:r w:rsidR="00360291" w:rsidRPr="003A4375">
        <w:rPr>
          <w:lang w:val="en-GB"/>
        </w:rPr>
        <w:t>in the</w:t>
      </w:r>
      <w:r w:rsidR="00DC60D8" w:rsidRPr="003A4375">
        <w:rPr>
          <w:lang w:val="en-GB"/>
        </w:rPr>
        <w:t xml:space="preserve"> </w:t>
      </w:r>
      <w:r w:rsidR="00D739A4" w:rsidRPr="003A4375">
        <w:rPr>
          <w:lang w:val="en-GB"/>
        </w:rPr>
        <w:t>mixing process</w:t>
      </w:r>
      <w:r w:rsidR="009840AF" w:rsidRPr="003A4375">
        <w:rPr>
          <w:lang w:val="en-GB"/>
        </w:rPr>
        <w:t>es</w:t>
      </w:r>
      <w:r w:rsidR="00DC60D8" w:rsidRPr="003A4375">
        <w:rPr>
          <w:lang w:val="en-GB"/>
        </w:rPr>
        <w:t xml:space="preserve">. </w:t>
      </w:r>
      <w:r w:rsidR="006E186E" w:rsidRPr="003A4375">
        <w:rPr>
          <w:lang w:val="en-GB"/>
        </w:rPr>
        <w:t xml:space="preserve">The integrated model is developed in Excel® using </w:t>
      </w:r>
      <w:r w:rsidR="00106917" w:rsidRPr="003A4375">
        <w:rPr>
          <w:lang w:val="en-GB"/>
        </w:rPr>
        <w:t xml:space="preserve">visual basic </w:t>
      </w:r>
      <w:r w:rsidR="006E186E" w:rsidRPr="003A4375">
        <w:rPr>
          <w:lang w:val="en-GB"/>
        </w:rPr>
        <w:t>Macro.</w:t>
      </w:r>
      <w:r w:rsidR="007E17E1" w:rsidRPr="003A4375">
        <w:rPr>
          <w:lang w:val="en-GB"/>
        </w:rPr>
        <w:t xml:space="preserve"> A schematic representation of the process is depicted in </w:t>
      </w:r>
      <w:r w:rsidR="00982C7D" w:rsidRPr="003A4375">
        <w:rPr>
          <w:lang w:val="en-GB"/>
        </w:rPr>
        <w:t>F</w:t>
      </w:r>
      <w:r w:rsidR="007E17E1" w:rsidRPr="003A4375">
        <w:rPr>
          <w:lang w:val="en-GB"/>
        </w:rPr>
        <w:t>ig</w:t>
      </w:r>
      <w:r w:rsidR="009C06DB" w:rsidRPr="003A4375">
        <w:rPr>
          <w:lang w:val="en-GB"/>
        </w:rPr>
        <w:t>.</w:t>
      </w:r>
      <w:r w:rsidR="007E17E1" w:rsidRPr="003A4375">
        <w:rPr>
          <w:lang w:val="en-GB"/>
        </w:rPr>
        <w:t xml:space="preserve"> </w:t>
      </w:r>
      <w:r w:rsidR="00982C7D" w:rsidRPr="003A4375">
        <w:rPr>
          <w:lang w:val="en-GB"/>
        </w:rPr>
        <w:t>1</w:t>
      </w:r>
      <w:r w:rsidR="007E17E1" w:rsidRPr="003A4375">
        <w:rPr>
          <w:lang w:val="en-GB"/>
        </w:rPr>
        <w:t>.</w:t>
      </w:r>
    </w:p>
    <w:p w14:paraId="4B455CEC" w14:textId="47FAA78E" w:rsidR="00885B0E" w:rsidRPr="003A4375" w:rsidRDefault="00885B0E" w:rsidP="003F5AF5">
      <w:pPr>
        <w:tabs>
          <w:tab w:val="clear" w:pos="7100"/>
        </w:tabs>
        <w:spacing w:before="120" w:line="240" w:lineRule="auto"/>
        <w:jc w:val="center"/>
        <w:rPr>
          <w:rFonts w:ascii="Times New Roman" w:hAnsi="Times New Roman"/>
          <w:sz w:val="24"/>
        </w:rPr>
      </w:pPr>
      <w:r w:rsidRPr="003A4375">
        <w:rPr>
          <w:noProof/>
          <w:lang w:val="it-IT" w:eastAsia="it-IT"/>
        </w:rPr>
        <w:drawing>
          <wp:inline distT="0" distB="0" distL="0" distR="0" wp14:anchorId="75FAD710" wp14:editId="6EDBC465">
            <wp:extent cx="2916000" cy="184742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6000" cy="1847428"/>
                    </a:xfrm>
                    <a:prstGeom prst="rect">
                      <a:avLst/>
                    </a:prstGeom>
                  </pic:spPr>
                </pic:pic>
              </a:graphicData>
            </a:graphic>
          </wp:inline>
        </w:drawing>
      </w:r>
    </w:p>
    <w:p w14:paraId="603EF031" w14:textId="77777777" w:rsidR="00982C7D" w:rsidRPr="003A4375" w:rsidRDefault="00982C7D" w:rsidP="003F5AF5">
      <w:pPr>
        <w:pStyle w:val="CETCaption"/>
      </w:pPr>
      <w:bookmarkStart w:id="38" w:name="OLE_LINK46"/>
      <w:bookmarkStart w:id="39" w:name="OLE_LINK47"/>
      <w:r w:rsidRPr="003A4375">
        <w:t xml:space="preserve">Figure 1: Schematic representation of </w:t>
      </w:r>
      <w:r w:rsidR="009840AF" w:rsidRPr="003A4375">
        <w:t>the</w:t>
      </w:r>
      <w:r w:rsidRPr="003A4375">
        <w:t xml:space="preserve"> </w:t>
      </w:r>
      <w:r w:rsidR="009840AF" w:rsidRPr="003A4375">
        <w:t>RED-MED</w:t>
      </w:r>
      <w:r w:rsidRPr="003A4375">
        <w:t xml:space="preserve"> </w:t>
      </w:r>
      <w:r w:rsidR="009840AF" w:rsidRPr="003A4375">
        <w:t xml:space="preserve">HE </w:t>
      </w:r>
      <w:r w:rsidRPr="003A4375">
        <w:t>with solvent extraction regeneration unit.</w:t>
      </w:r>
    </w:p>
    <w:bookmarkEnd w:id="38"/>
    <w:bookmarkEnd w:id="39"/>
    <w:p w14:paraId="69917EB6" w14:textId="4F391E56" w:rsidR="00F94865" w:rsidRPr="003A4375" w:rsidRDefault="00DC60D8" w:rsidP="00FC3046">
      <w:pPr>
        <w:pStyle w:val="CETBodytext"/>
        <w:spacing w:line="240" w:lineRule="auto"/>
        <w:rPr>
          <w:lang w:val="en-GB"/>
        </w:rPr>
      </w:pPr>
      <w:r w:rsidRPr="003A4375">
        <w:rPr>
          <w:lang w:val="en-GB"/>
        </w:rPr>
        <w:t>The RED</w:t>
      </w:r>
      <w:r w:rsidR="00D559B2" w:rsidRPr="003A4375">
        <w:rPr>
          <w:lang w:val="en-GB"/>
        </w:rPr>
        <w:t xml:space="preserve"> process is modelled considering a mono-dimensional approach, according to </w:t>
      </w:r>
      <w:r w:rsidR="009E225D" w:rsidRPr="003A4375">
        <w:rPr>
          <w:lang w:val="en-GB"/>
        </w:rPr>
        <w:t>those</w:t>
      </w:r>
      <w:r w:rsidR="00D559B2" w:rsidRPr="003A4375">
        <w:rPr>
          <w:lang w:val="en-GB"/>
        </w:rPr>
        <w:t xml:space="preserve"> described in previous literature papers </w:t>
      </w:r>
      <w:r w:rsidR="00A86992" w:rsidRPr="003A4375">
        <w:rPr>
          <w:lang w:val="en-GB"/>
        </w:rPr>
        <w:t>(Giacalone et al., 2018, Micari et al., 2019)</w:t>
      </w:r>
      <w:r w:rsidR="007E17E1" w:rsidRPr="003A4375">
        <w:rPr>
          <w:lang w:val="en-GB"/>
        </w:rPr>
        <w:t xml:space="preserve"> </w:t>
      </w:r>
      <w:r w:rsidR="00D559B2" w:rsidRPr="003A4375">
        <w:rPr>
          <w:lang w:val="en-GB"/>
        </w:rPr>
        <w:t xml:space="preserve">for the case of NaCl-water solution. Here the model is </w:t>
      </w:r>
      <w:r w:rsidR="002D7D34" w:rsidRPr="003A4375">
        <w:rPr>
          <w:lang w:val="en-GB"/>
        </w:rPr>
        <w:t>further developed</w:t>
      </w:r>
      <w:r w:rsidR="009E225D" w:rsidRPr="003A4375">
        <w:rPr>
          <w:lang w:val="en-GB"/>
        </w:rPr>
        <w:t xml:space="preserve"> by adopting </w:t>
      </w:r>
      <w:r w:rsidRPr="003A4375">
        <w:rPr>
          <w:lang w:val="en-GB"/>
        </w:rPr>
        <w:t xml:space="preserve">correlations to evaluate the properties </w:t>
      </w:r>
      <w:r w:rsidR="00360291" w:rsidRPr="003A4375">
        <w:rPr>
          <w:lang w:val="en-GB"/>
        </w:rPr>
        <w:t xml:space="preserve">of aqueous solution of LiCl </w:t>
      </w:r>
      <w:r w:rsidRPr="003A4375">
        <w:rPr>
          <w:lang w:val="en-GB"/>
        </w:rPr>
        <w:t xml:space="preserve">as a function of </w:t>
      </w:r>
      <w:r w:rsidR="002D7D34" w:rsidRPr="003A4375">
        <w:rPr>
          <w:lang w:val="en-GB"/>
        </w:rPr>
        <w:t xml:space="preserve">the </w:t>
      </w:r>
      <w:r w:rsidR="00360291" w:rsidRPr="003A4375">
        <w:rPr>
          <w:lang w:val="en-GB"/>
        </w:rPr>
        <w:t xml:space="preserve">solution </w:t>
      </w:r>
      <w:r w:rsidRPr="003A4375">
        <w:rPr>
          <w:lang w:val="en-GB"/>
        </w:rPr>
        <w:t>concentration</w:t>
      </w:r>
      <w:r w:rsidR="002D7D34" w:rsidRPr="003A4375">
        <w:rPr>
          <w:lang w:val="en-GB"/>
        </w:rPr>
        <w:t xml:space="preserve"> </w:t>
      </w:r>
      <w:r w:rsidRPr="003A4375">
        <w:rPr>
          <w:lang w:val="en-GB"/>
        </w:rPr>
        <w:t xml:space="preserve">and </w:t>
      </w:r>
      <w:r w:rsidR="00360291" w:rsidRPr="003A4375">
        <w:rPr>
          <w:lang w:val="en-GB"/>
        </w:rPr>
        <w:t>working</w:t>
      </w:r>
      <w:r w:rsidR="002D7D34" w:rsidRPr="003A4375">
        <w:rPr>
          <w:lang w:val="en-GB"/>
        </w:rPr>
        <w:t xml:space="preserve"> </w:t>
      </w:r>
      <w:r w:rsidRPr="003A4375">
        <w:rPr>
          <w:lang w:val="en-GB"/>
        </w:rPr>
        <w:t xml:space="preserve">temperature. </w:t>
      </w:r>
      <w:r w:rsidR="009E225D" w:rsidRPr="003A4375">
        <w:rPr>
          <w:lang w:val="en-GB"/>
        </w:rPr>
        <w:t>In particular, correlations</w:t>
      </w:r>
      <w:r w:rsidRPr="003A4375">
        <w:rPr>
          <w:lang w:val="en-GB"/>
        </w:rPr>
        <w:t xml:space="preserve"> for solution density, viscosity</w:t>
      </w:r>
      <w:r w:rsidR="00F94865" w:rsidRPr="003A4375">
        <w:rPr>
          <w:lang w:val="en-GB"/>
        </w:rPr>
        <w:t xml:space="preserve">, </w:t>
      </w:r>
      <w:r w:rsidRPr="003A4375">
        <w:rPr>
          <w:lang w:val="en-GB"/>
        </w:rPr>
        <w:t xml:space="preserve">conductivity </w:t>
      </w:r>
      <w:r w:rsidR="00F94865" w:rsidRPr="003A4375">
        <w:rPr>
          <w:lang w:val="en-GB"/>
        </w:rPr>
        <w:t xml:space="preserve">and specific heat capacity </w:t>
      </w:r>
      <w:r w:rsidRPr="003A4375">
        <w:rPr>
          <w:lang w:val="en-GB"/>
        </w:rPr>
        <w:t xml:space="preserve">are evaluated by fitting experimental results available in the literature </w:t>
      </w:r>
      <w:r w:rsidR="009218DF" w:rsidRPr="003A4375">
        <w:rPr>
          <w:lang w:val="en-GB"/>
        </w:rPr>
        <w:t>(</w:t>
      </w:r>
      <w:r w:rsidR="00F94865" w:rsidRPr="003A4375">
        <w:rPr>
          <w:lang w:val="en-GB"/>
        </w:rPr>
        <w:t xml:space="preserve">Isono T., 1985, </w:t>
      </w:r>
      <w:r w:rsidR="009218DF" w:rsidRPr="003A4375">
        <w:rPr>
          <w:lang w:val="en-GB"/>
        </w:rPr>
        <w:t>Tanaka,K. et al.; 1991</w:t>
      </w:r>
      <w:r w:rsidR="00F94865" w:rsidRPr="003A4375">
        <w:rPr>
          <w:lang w:val="en-GB"/>
        </w:rPr>
        <w:t>, He et al. 2014</w:t>
      </w:r>
      <w:r w:rsidR="009218DF" w:rsidRPr="003A4375">
        <w:rPr>
          <w:lang w:val="en-GB"/>
        </w:rPr>
        <w:t>)</w:t>
      </w:r>
      <w:r w:rsidRPr="003A4375">
        <w:rPr>
          <w:lang w:val="en-GB"/>
        </w:rPr>
        <w:t xml:space="preserve">. Activity and osmotic coefficients are evaluated according to the Pitzer’s Model </w:t>
      </w:r>
      <w:r w:rsidR="00497121" w:rsidRPr="003A4375">
        <w:rPr>
          <w:lang w:val="en-GB"/>
        </w:rPr>
        <w:t>(Pitzer et al., 19</w:t>
      </w:r>
      <w:r w:rsidR="00106917" w:rsidRPr="003A4375">
        <w:rPr>
          <w:lang w:val="en-GB"/>
        </w:rPr>
        <w:t>91</w:t>
      </w:r>
      <w:r w:rsidR="00497121" w:rsidRPr="003A4375">
        <w:rPr>
          <w:lang w:val="en-GB"/>
        </w:rPr>
        <w:t xml:space="preserve">), adopting virial coefficients computed by fitting </w:t>
      </w:r>
      <w:r w:rsidR="007E17E1" w:rsidRPr="003A4375">
        <w:rPr>
          <w:lang w:val="en-GB"/>
        </w:rPr>
        <w:t>literature</w:t>
      </w:r>
      <w:r w:rsidR="00497121" w:rsidRPr="003A4375">
        <w:rPr>
          <w:lang w:val="en-GB"/>
        </w:rPr>
        <w:t xml:space="preserve"> </w:t>
      </w:r>
      <w:r w:rsidR="00FC3046">
        <w:rPr>
          <w:lang w:val="en-GB"/>
        </w:rPr>
        <w:t>data</w:t>
      </w:r>
      <w:r w:rsidR="00497121" w:rsidRPr="003A4375">
        <w:rPr>
          <w:lang w:val="en-GB"/>
        </w:rPr>
        <w:t xml:space="preserve"> (</w:t>
      </w:r>
      <w:r w:rsidR="00A37CD4" w:rsidRPr="003A4375">
        <w:rPr>
          <w:lang w:val="en-GB"/>
        </w:rPr>
        <w:t>Gibbard et al., 1973</w:t>
      </w:r>
      <w:r w:rsidR="00106917" w:rsidRPr="003A4375">
        <w:rPr>
          <w:lang w:val="en-GB"/>
        </w:rPr>
        <w:t>)</w:t>
      </w:r>
      <w:r w:rsidR="00A37CD4" w:rsidRPr="003A4375">
        <w:rPr>
          <w:lang w:val="en-GB"/>
        </w:rPr>
        <w:t>.</w:t>
      </w:r>
    </w:p>
    <w:p w14:paraId="0DB6F013" w14:textId="2FA30E97" w:rsidR="00DC60D8" w:rsidRPr="003A4375" w:rsidRDefault="00F94865" w:rsidP="003F5AF5">
      <w:pPr>
        <w:pStyle w:val="CETBodytext"/>
        <w:rPr>
          <w:lang w:val="en-GB"/>
        </w:rPr>
      </w:pPr>
      <w:r w:rsidRPr="003A4375">
        <w:rPr>
          <w:lang w:val="en-GB"/>
        </w:rPr>
        <w:t>For given operating conditions (i.e. solution velocities and concentrations),</w:t>
      </w:r>
      <w:r w:rsidR="007E17E1" w:rsidRPr="003A4375">
        <w:rPr>
          <w:lang w:val="en-GB"/>
        </w:rPr>
        <w:t xml:space="preserve"> membrane properties (i.e. permselectivi</w:t>
      </w:r>
      <w:r w:rsidR="002D7D34" w:rsidRPr="003A4375">
        <w:rPr>
          <w:lang w:val="en-GB"/>
        </w:rPr>
        <w:t>ty and resistance</w:t>
      </w:r>
      <w:r w:rsidR="007E17E1" w:rsidRPr="003A4375">
        <w:rPr>
          <w:lang w:val="en-GB"/>
        </w:rPr>
        <w:t>),</w:t>
      </w:r>
      <w:r w:rsidRPr="003A4375">
        <w:rPr>
          <w:lang w:val="en-GB"/>
        </w:rPr>
        <w:t xml:space="preserve"> stack sizes </w:t>
      </w:r>
      <w:r w:rsidR="007E17E1" w:rsidRPr="003A4375">
        <w:rPr>
          <w:lang w:val="en-GB"/>
        </w:rPr>
        <w:t>and configuration</w:t>
      </w:r>
      <w:r w:rsidR="00CC3F07" w:rsidRPr="003A4375">
        <w:rPr>
          <w:lang w:val="en-GB"/>
        </w:rPr>
        <w:t xml:space="preserve"> </w:t>
      </w:r>
      <w:r w:rsidRPr="003A4375">
        <w:rPr>
          <w:lang w:val="en-GB"/>
        </w:rPr>
        <w:t xml:space="preserve">(i.e. length, wide, cell pair number, spacer), the </w:t>
      </w:r>
      <w:r w:rsidRPr="003A4375">
        <w:rPr>
          <w:lang w:val="en-GB"/>
        </w:rPr>
        <w:lastRenderedPageBreak/>
        <w:t>model</w:t>
      </w:r>
      <w:r w:rsidR="007E17E1" w:rsidRPr="003A4375">
        <w:rPr>
          <w:lang w:val="en-GB"/>
        </w:rPr>
        <w:t xml:space="preserve"> computes </w:t>
      </w:r>
      <w:r w:rsidRPr="003A4375">
        <w:rPr>
          <w:lang w:val="en-GB"/>
        </w:rPr>
        <w:t xml:space="preserve">the </w:t>
      </w:r>
      <w:r w:rsidR="0046543E" w:rsidRPr="003A4375">
        <w:rPr>
          <w:lang w:val="en-GB"/>
        </w:rPr>
        <w:t xml:space="preserve">maximum </w:t>
      </w:r>
      <w:r w:rsidR="004076B5" w:rsidRPr="003A4375">
        <w:rPr>
          <w:lang w:val="en-GB"/>
        </w:rPr>
        <w:t xml:space="preserve">net </w:t>
      </w:r>
      <w:r w:rsidRPr="003A4375">
        <w:rPr>
          <w:lang w:val="en-GB"/>
        </w:rPr>
        <w:t>power output</w:t>
      </w:r>
      <w:r w:rsidR="004076B5" w:rsidRPr="003A4375">
        <w:rPr>
          <w:lang w:val="en-GB"/>
        </w:rPr>
        <w:t xml:space="preserve"> (considering the pumping power required to fed the solutions </w:t>
      </w:r>
      <w:r w:rsidR="00697EC3" w:rsidRPr="003A4375">
        <w:rPr>
          <w:lang w:val="en-GB"/>
        </w:rPr>
        <w:t>to</w:t>
      </w:r>
      <w:r w:rsidR="004076B5" w:rsidRPr="003A4375">
        <w:rPr>
          <w:lang w:val="en-GB"/>
        </w:rPr>
        <w:t xml:space="preserve"> the unit</w:t>
      </w:r>
      <w:r w:rsidR="002D7D34" w:rsidRPr="003A4375">
        <w:rPr>
          <w:lang w:val="en-GB"/>
        </w:rPr>
        <w:t>s</w:t>
      </w:r>
      <w:r w:rsidR="004076B5" w:rsidRPr="003A4375">
        <w:rPr>
          <w:lang w:val="en-GB"/>
        </w:rPr>
        <w:t>)</w:t>
      </w:r>
      <w:r w:rsidRPr="003A4375">
        <w:rPr>
          <w:lang w:val="en-GB"/>
        </w:rPr>
        <w:t xml:space="preserve"> and the outlet conditions of the two solutions</w:t>
      </w:r>
      <w:r w:rsidR="00B84FF6" w:rsidRPr="003A4375">
        <w:rPr>
          <w:lang w:val="en-GB"/>
        </w:rPr>
        <w:t xml:space="preserve"> (flow rate and concentration)</w:t>
      </w:r>
      <w:r w:rsidRPr="003A4375">
        <w:rPr>
          <w:lang w:val="en-GB"/>
        </w:rPr>
        <w:t>.</w:t>
      </w:r>
      <w:r w:rsidR="000B5FE8" w:rsidRPr="003A4375">
        <w:rPr>
          <w:lang w:val="en-GB"/>
        </w:rPr>
        <w:t xml:space="preserve"> Power is always reported in the form of power density (P</w:t>
      </w:r>
      <w:r w:rsidR="000B5FE8" w:rsidRPr="003A4375">
        <w:rPr>
          <w:vertAlign w:val="subscript"/>
          <w:lang w:val="en-GB"/>
        </w:rPr>
        <w:t>d</w:t>
      </w:r>
      <w:r w:rsidR="000B5FE8" w:rsidRPr="003A4375">
        <w:rPr>
          <w:lang w:val="en-GB"/>
        </w:rPr>
        <w:t xml:space="preserve">), that is power divided by the total cell pair area. </w:t>
      </w:r>
    </w:p>
    <w:p w14:paraId="3E24C838" w14:textId="51E578D3" w:rsidR="007E17E1" w:rsidRPr="003A4375" w:rsidRDefault="007E17E1" w:rsidP="003F5AF5">
      <w:pPr>
        <w:pStyle w:val="CETBodytext"/>
        <w:rPr>
          <w:lang w:val="en-GB"/>
        </w:rPr>
      </w:pPr>
      <w:r w:rsidRPr="003A4375">
        <w:rPr>
          <w:lang w:val="en-GB"/>
        </w:rPr>
        <w:t xml:space="preserve">As shown in </w:t>
      </w:r>
      <w:r w:rsidR="00982C7D" w:rsidRPr="003A4375">
        <w:rPr>
          <w:lang w:val="en-GB"/>
        </w:rPr>
        <w:t>F</w:t>
      </w:r>
      <w:r w:rsidRPr="003A4375">
        <w:rPr>
          <w:lang w:val="en-GB"/>
        </w:rPr>
        <w:t>ig</w:t>
      </w:r>
      <w:r w:rsidR="009C06DB" w:rsidRPr="003A4375">
        <w:rPr>
          <w:lang w:val="en-GB"/>
        </w:rPr>
        <w:t>.</w:t>
      </w:r>
      <w:r w:rsidRPr="003A4375">
        <w:rPr>
          <w:lang w:val="en-GB"/>
        </w:rPr>
        <w:t xml:space="preserve"> </w:t>
      </w:r>
      <w:r w:rsidR="00982C7D" w:rsidRPr="003A4375">
        <w:rPr>
          <w:lang w:val="en-GB"/>
        </w:rPr>
        <w:t>1</w:t>
      </w:r>
      <w:r w:rsidRPr="003A4375">
        <w:rPr>
          <w:lang w:val="en-GB"/>
        </w:rPr>
        <w:t>, the solutions exiting from the RED unit are partially mixed</w:t>
      </w:r>
      <w:r w:rsidR="00355B7A" w:rsidRPr="003A4375">
        <w:rPr>
          <w:lang w:val="en-GB"/>
        </w:rPr>
        <w:t xml:space="preserve">. </w:t>
      </w:r>
      <w:r w:rsidR="005A5371" w:rsidRPr="003A4375">
        <w:rPr>
          <w:lang w:val="en-GB"/>
        </w:rPr>
        <w:t>This process is required</w:t>
      </w:r>
      <w:r w:rsidR="00355B7A" w:rsidRPr="003A4375">
        <w:rPr>
          <w:lang w:val="en-GB"/>
        </w:rPr>
        <w:t xml:space="preserve"> i</w:t>
      </w:r>
      <w:r w:rsidRPr="003A4375">
        <w:rPr>
          <w:lang w:val="en-GB"/>
        </w:rPr>
        <w:t>n order to restore the salt content in the concentrate stream</w:t>
      </w:r>
      <w:r w:rsidR="005A5371" w:rsidRPr="003A4375">
        <w:rPr>
          <w:lang w:val="en-GB"/>
        </w:rPr>
        <w:t xml:space="preserve">, because in the MED process just solvent is recovered and salt has to be transferred in the regeneration in the opposite direction of the RED one (i.e. from the dilute to the concentrate). Thus, part </w:t>
      </w:r>
      <w:r w:rsidRPr="003A4375">
        <w:rPr>
          <w:lang w:val="en-GB"/>
        </w:rPr>
        <w:t>of the dilute</w:t>
      </w:r>
      <w:r w:rsidR="005A5371" w:rsidRPr="003A4375">
        <w:rPr>
          <w:lang w:val="en-GB"/>
        </w:rPr>
        <w:t>,</w:t>
      </w:r>
      <w:r w:rsidRPr="003A4375">
        <w:rPr>
          <w:lang w:val="en-GB"/>
        </w:rPr>
        <w:t xml:space="preserve"> </w:t>
      </w:r>
      <w:r w:rsidR="005A5371" w:rsidRPr="003A4375">
        <w:rPr>
          <w:lang w:val="en-GB"/>
        </w:rPr>
        <w:t xml:space="preserve">containing the amount </w:t>
      </w:r>
      <w:r w:rsidR="00FC3046">
        <w:rPr>
          <w:lang w:val="en-GB"/>
        </w:rPr>
        <w:t xml:space="preserve">of </w:t>
      </w:r>
      <w:r w:rsidR="005A5371" w:rsidRPr="003A4375">
        <w:rPr>
          <w:lang w:val="en-GB"/>
        </w:rPr>
        <w:t>salt transferred within the RED unit,</w:t>
      </w:r>
      <w:r w:rsidRPr="003A4375">
        <w:rPr>
          <w:lang w:val="en-GB"/>
        </w:rPr>
        <w:t xml:space="preserve"> is added to the</w:t>
      </w:r>
      <w:r w:rsidR="00982C7D" w:rsidRPr="003A4375">
        <w:rPr>
          <w:lang w:val="en-GB"/>
        </w:rPr>
        <w:t xml:space="preserve"> concentrate</w:t>
      </w:r>
      <w:r w:rsidR="002D7D34" w:rsidRPr="003A4375">
        <w:rPr>
          <w:lang w:val="en-GB"/>
        </w:rPr>
        <w:t xml:space="preserve">. </w:t>
      </w:r>
      <w:r w:rsidRPr="003A4375">
        <w:rPr>
          <w:lang w:val="en-GB"/>
        </w:rPr>
        <w:t>After this step, the resulting solution is fed to the MED where p</w:t>
      </w:r>
      <w:r w:rsidR="002D7D34" w:rsidRPr="003A4375">
        <w:rPr>
          <w:lang w:val="en-GB"/>
        </w:rPr>
        <w:t xml:space="preserve">art of the solvent is recovered, </w:t>
      </w:r>
      <w:r w:rsidR="00982C7D" w:rsidRPr="003A4375">
        <w:rPr>
          <w:lang w:val="en-GB"/>
        </w:rPr>
        <w:t xml:space="preserve">restoring the </w:t>
      </w:r>
      <w:r w:rsidR="00355B7A" w:rsidRPr="003A4375">
        <w:rPr>
          <w:lang w:val="en-GB"/>
        </w:rPr>
        <w:t>origina</w:t>
      </w:r>
      <w:r w:rsidR="00982C7D" w:rsidRPr="003A4375">
        <w:rPr>
          <w:lang w:val="en-GB"/>
        </w:rPr>
        <w:t>l concentration of the concentrate. Finally, the solvent produced in the MED process is added to the dilute solution exiting from the RED unit, restoring its original concentration.</w:t>
      </w:r>
    </w:p>
    <w:p w14:paraId="2421D27B" w14:textId="6B590EEA" w:rsidR="009A09D7" w:rsidRPr="003A4375" w:rsidRDefault="00214189" w:rsidP="003F5AF5">
      <w:pPr>
        <w:pStyle w:val="CETBodytext"/>
        <w:rPr>
          <w:color w:val="000000" w:themeColor="text1"/>
          <w:lang w:val="en-GB"/>
        </w:rPr>
      </w:pPr>
      <w:r w:rsidRPr="003A4375">
        <w:rPr>
          <w:lang w:val="en-GB"/>
        </w:rPr>
        <w:t xml:space="preserve">The MED process is modelled by considering mass and heat balances stage by stage. The modelling approach is </w:t>
      </w:r>
      <w:r w:rsidR="006E186E" w:rsidRPr="003A4375">
        <w:rPr>
          <w:lang w:val="en-GB"/>
        </w:rPr>
        <w:t>analogous</w:t>
      </w:r>
      <w:r w:rsidRPr="003A4375">
        <w:rPr>
          <w:lang w:val="en-GB"/>
        </w:rPr>
        <w:t xml:space="preserve"> to the one </w:t>
      </w:r>
      <w:r w:rsidR="00355B7A" w:rsidRPr="003A4375">
        <w:rPr>
          <w:lang w:val="en-GB"/>
        </w:rPr>
        <w:t>used in a previous work</w:t>
      </w:r>
      <w:r w:rsidRPr="003A4375">
        <w:rPr>
          <w:lang w:val="en-GB"/>
        </w:rPr>
        <w:t xml:space="preserve"> </w:t>
      </w:r>
      <w:r w:rsidR="00A86992" w:rsidRPr="003A4375">
        <w:rPr>
          <w:lang w:val="en-GB"/>
        </w:rPr>
        <w:t>(Giacalone et al., 2019)</w:t>
      </w:r>
      <w:r w:rsidRPr="003A4375">
        <w:rPr>
          <w:lang w:val="en-GB"/>
        </w:rPr>
        <w:t xml:space="preserve">, but here the model is </w:t>
      </w:r>
      <w:r w:rsidR="00B84FF6" w:rsidRPr="003A4375">
        <w:rPr>
          <w:lang w:val="en-GB"/>
        </w:rPr>
        <w:t>further developed</w:t>
      </w:r>
      <w:r w:rsidRPr="003A4375">
        <w:rPr>
          <w:lang w:val="en-GB"/>
        </w:rPr>
        <w:t xml:space="preserve"> in order to </w:t>
      </w:r>
      <w:r w:rsidR="00F64D4F" w:rsidRPr="003A4375">
        <w:rPr>
          <w:lang w:val="en-GB"/>
        </w:rPr>
        <w:t>consider</w:t>
      </w:r>
      <w:r w:rsidR="001E006F" w:rsidRPr="003A4375">
        <w:rPr>
          <w:lang w:val="en-GB"/>
        </w:rPr>
        <w:t xml:space="preserve"> </w:t>
      </w:r>
      <w:r w:rsidR="009A09D7" w:rsidRPr="003A4375">
        <w:rPr>
          <w:lang w:val="en-GB"/>
        </w:rPr>
        <w:t>(</w:t>
      </w:r>
      <w:r w:rsidR="006E186E" w:rsidRPr="003A4375">
        <w:rPr>
          <w:lang w:val="en-GB"/>
        </w:rPr>
        <w:t xml:space="preserve">i) </w:t>
      </w:r>
      <w:r w:rsidRPr="003A4375">
        <w:rPr>
          <w:lang w:val="en-GB"/>
        </w:rPr>
        <w:t>the distillate produced by the flash phenomena within the MED unit</w:t>
      </w:r>
      <w:r w:rsidR="009A09D7" w:rsidRPr="003A4375">
        <w:rPr>
          <w:lang w:val="en-GB"/>
        </w:rPr>
        <w:t xml:space="preserve"> and (ii) the heat required to preheat the inlet solutions</w:t>
      </w:r>
      <w:r w:rsidRPr="003A4375">
        <w:rPr>
          <w:lang w:val="en-GB"/>
        </w:rPr>
        <w:t>.</w:t>
      </w:r>
      <w:r w:rsidR="009A09D7" w:rsidRPr="003A4375">
        <w:rPr>
          <w:lang w:val="en-GB"/>
        </w:rPr>
        <w:t xml:space="preserve"> As reported in O</w:t>
      </w:r>
      <w:r w:rsidR="001F66C0" w:rsidRPr="003A4375">
        <w:rPr>
          <w:lang w:val="en-GB"/>
        </w:rPr>
        <w:t>rteg</w:t>
      </w:r>
      <w:r w:rsidR="009A09D7" w:rsidRPr="003A4375">
        <w:rPr>
          <w:lang w:val="en-GB"/>
        </w:rPr>
        <w:t>a-Delgado et al. (2017)</w:t>
      </w:r>
      <w:r w:rsidR="00DD045C" w:rsidRPr="003A4375">
        <w:rPr>
          <w:lang w:val="en-GB"/>
        </w:rPr>
        <w:t xml:space="preserve"> </w:t>
      </w:r>
      <w:r w:rsidR="00DD045C" w:rsidRPr="003A4375">
        <w:rPr>
          <w:color w:val="000000" w:themeColor="text1"/>
          <w:lang w:val="en-GB"/>
        </w:rPr>
        <w:t>and El Dessouky et al. (</w:t>
      </w:r>
      <w:r w:rsidR="00F64D4F" w:rsidRPr="003A4375">
        <w:rPr>
          <w:color w:val="000000" w:themeColor="text1"/>
          <w:lang w:val="en-GB"/>
        </w:rPr>
        <w:t>2002</w:t>
      </w:r>
      <w:r w:rsidR="00DD045C" w:rsidRPr="003A4375">
        <w:rPr>
          <w:color w:val="000000" w:themeColor="text1"/>
          <w:lang w:val="en-GB"/>
        </w:rPr>
        <w:t>)</w:t>
      </w:r>
      <w:r w:rsidR="009A09D7" w:rsidRPr="003A4375">
        <w:rPr>
          <w:color w:val="000000" w:themeColor="text1"/>
          <w:lang w:val="en-GB"/>
        </w:rPr>
        <w:t>, excluding the first effect, the solution entering in the effect</w:t>
      </w:r>
      <w:r w:rsidR="008919B8" w:rsidRPr="003A4375">
        <w:rPr>
          <w:color w:val="000000" w:themeColor="text1"/>
          <w:lang w:val="en-GB"/>
        </w:rPr>
        <w:t xml:space="preserve"> (</w:t>
      </w:r>
      <m:oMath>
        <m:sSub>
          <m:sSubPr>
            <m:ctrlPr>
              <w:rPr>
                <w:rFonts w:ascii="Cambria Math" w:hAnsi="Cambria Math"/>
                <w:i/>
                <w:color w:val="000000" w:themeColor="text1"/>
                <w:lang w:val="en-GB"/>
              </w:rPr>
            </m:ctrlPr>
          </m:sSubPr>
          <m:e>
            <m:sSubSup>
              <m:sSubSupPr>
                <m:ctrlPr>
                  <w:rPr>
                    <w:rFonts w:ascii="Cambria Math" w:hAnsi="Cambria Math"/>
                    <w:i/>
                    <w:color w:val="000000" w:themeColor="text1"/>
                    <w:lang w:val="en-GB"/>
                  </w:rPr>
                </m:ctrlPr>
              </m:sSubSupPr>
              <m:e>
                <m:r>
                  <w:rPr>
                    <w:rFonts w:ascii="Cambria Math" w:hAnsi="Cambria Math"/>
                    <w:color w:val="000000" w:themeColor="text1"/>
                    <w:lang w:val="en-GB"/>
                  </w:rPr>
                  <m:t>w</m:t>
                </m:r>
              </m:e>
              <m:sub>
                <m:r>
                  <w:rPr>
                    <w:rFonts w:ascii="Cambria Math" w:hAnsi="Cambria Math"/>
                    <w:color w:val="000000" w:themeColor="text1"/>
                    <w:lang w:val="en-GB"/>
                  </w:rPr>
                  <m:t>sol,</m:t>
                </m:r>
              </m:sub>
              <m:sup>
                <m:r>
                  <w:rPr>
                    <w:rFonts w:ascii="Cambria Math" w:hAnsi="Cambria Math"/>
                    <w:color w:val="000000" w:themeColor="text1"/>
                    <w:lang w:val="en-GB"/>
                  </w:rPr>
                  <m:t>in</m:t>
                </m:r>
              </m:sup>
            </m:sSubSup>
          </m:e>
          <m:sub>
            <m:r>
              <w:rPr>
                <w:rFonts w:ascii="Cambria Math" w:hAnsi="Cambria Math"/>
                <w:color w:val="000000" w:themeColor="text1"/>
                <w:lang w:val="en-GB"/>
              </w:rPr>
              <m:t>k</m:t>
            </m:r>
          </m:sub>
        </m:sSub>
      </m:oMath>
      <w:r w:rsidR="008919B8" w:rsidRPr="003A4375">
        <w:rPr>
          <w:color w:val="000000" w:themeColor="text1"/>
          <w:lang w:val="en-GB"/>
        </w:rPr>
        <w:t>)</w:t>
      </w:r>
      <w:r w:rsidR="009A09D7" w:rsidRPr="003A4375">
        <w:rPr>
          <w:color w:val="000000" w:themeColor="text1"/>
          <w:lang w:val="en-GB"/>
        </w:rPr>
        <w:t xml:space="preserve"> undergo</w:t>
      </w:r>
      <w:r w:rsidR="008919B8" w:rsidRPr="003A4375">
        <w:rPr>
          <w:color w:val="000000" w:themeColor="text1"/>
          <w:lang w:val="en-GB"/>
        </w:rPr>
        <w:t>es</w:t>
      </w:r>
      <w:r w:rsidR="009A09D7" w:rsidRPr="003A4375">
        <w:rPr>
          <w:color w:val="000000" w:themeColor="text1"/>
          <w:lang w:val="en-GB"/>
        </w:rPr>
        <w:t xml:space="preserve"> a flashing process due to pressure reduction</w:t>
      </w:r>
      <w:r w:rsidR="008919B8" w:rsidRPr="003A4375">
        <w:rPr>
          <w:color w:val="000000" w:themeColor="text1"/>
          <w:lang w:val="en-GB"/>
        </w:rPr>
        <w:t>, producing additional vapour (</w:t>
      </w:r>
      <m:oMath>
        <m:sSub>
          <m:sSubPr>
            <m:ctrlPr>
              <w:rPr>
                <w:rFonts w:ascii="Cambria Math" w:hAnsi="Cambria Math"/>
                <w:i/>
                <w:color w:val="000000" w:themeColor="text1"/>
                <w:lang w:val="en-GB"/>
              </w:rPr>
            </m:ctrlPr>
          </m:sSubPr>
          <m:e>
            <m:sSubSup>
              <m:sSubSupPr>
                <m:ctrlPr>
                  <w:rPr>
                    <w:rFonts w:ascii="Cambria Math" w:hAnsi="Cambria Math"/>
                    <w:i/>
                    <w:color w:val="000000" w:themeColor="text1"/>
                    <w:lang w:val="en-GB"/>
                  </w:rPr>
                </m:ctrlPr>
              </m:sSubSupPr>
              <m:e>
                <m:r>
                  <w:rPr>
                    <w:rFonts w:ascii="Cambria Math" w:hAnsi="Cambria Math"/>
                    <w:color w:val="000000" w:themeColor="text1"/>
                    <w:lang w:val="en-GB"/>
                  </w:rPr>
                  <m:t>w</m:t>
                </m:r>
              </m:e>
              <m:sub>
                <m:r>
                  <w:rPr>
                    <w:rFonts w:ascii="Cambria Math" w:hAnsi="Cambria Math"/>
                    <w:color w:val="000000" w:themeColor="text1"/>
                    <w:lang w:val="en-GB"/>
                  </w:rPr>
                  <m:t>vap,</m:t>
                </m:r>
              </m:sub>
              <m:sup>
                <m:r>
                  <w:rPr>
                    <w:rFonts w:ascii="Cambria Math" w:hAnsi="Cambria Math"/>
                    <w:color w:val="000000" w:themeColor="text1"/>
                    <w:lang w:val="en-GB"/>
                  </w:rPr>
                  <m:t>F</m:t>
                </m:r>
              </m:sup>
            </m:sSubSup>
          </m:e>
          <m:sub>
            <m:r>
              <w:rPr>
                <w:rFonts w:ascii="Cambria Math" w:hAnsi="Cambria Math"/>
                <w:color w:val="000000" w:themeColor="text1"/>
                <w:lang w:val="en-GB"/>
              </w:rPr>
              <m:t>k</m:t>
            </m:r>
          </m:sub>
        </m:sSub>
      </m:oMath>
      <w:r w:rsidR="00B84FF6" w:rsidRPr="003A4375">
        <w:rPr>
          <w:color w:val="000000" w:themeColor="text1"/>
          <w:lang w:val="en-GB"/>
        </w:rPr>
        <w:t>)</w:t>
      </w:r>
      <w:r w:rsidR="008919B8" w:rsidRPr="003A4375">
        <w:rPr>
          <w:color w:val="000000" w:themeColor="text1"/>
          <w:lang w:val="en-GB"/>
        </w:rPr>
        <w:t>:</w:t>
      </w:r>
    </w:p>
    <w:tbl>
      <w:tblPr>
        <w:tblW w:w="5000" w:type="pct"/>
        <w:tblLook w:val="04A0" w:firstRow="1" w:lastRow="0" w:firstColumn="1" w:lastColumn="0" w:noHBand="0" w:noVBand="1"/>
      </w:tblPr>
      <w:tblGrid>
        <w:gridCol w:w="7985"/>
        <w:gridCol w:w="802"/>
      </w:tblGrid>
      <w:tr w:rsidR="007852E3" w:rsidRPr="003A4375" w14:paraId="10020D32" w14:textId="77777777" w:rsidTr="008E33F6">
        <w:tc>
          <w:tcPr>
            <w:tcW w:w="8188" w:type="dxa"/>
            <w:shd w:val="clear" w:color="auto" w:fill="auto"/>
            <w:vAlign w:val="center"/>
          </w:tcPr>
          <w:p w14:paraId="40946CC2" w14:textId="30A85434" w:rsidR="008919B8" w:rsidRPr="003A4375" w:rsidRDefault="00864111" w:rsidP="003F5AF5">
            <w:pPr>
              <w:pStyle w:val="CETEquation"/>
              <w:rPr>
                <w:color w:val="000000" w:themeColor="text1"/>
              </w:rPr>
            </w:pPr>
            <m:oMathPara>
              <m:oMathParaPr>
                <m:jc m:val="left"/>
              </m:oMathParaPr>
              <m:oMath>
                <m:sSub>
                  <m:sSubPr>
                    <m:ctrlPr>
                      <w:rPr>
                        <w:rFonts w:ascii="Cambria Math" w:hAnsi="Cambria Math"/>
                        <w:i/>
                        <w:color w:val="000000" w:themeColor="text1"/>
                      </w:rPr>
                    </m:ctrlPr>
                  </m:sSubPr>
                  <m:e>
                    <m:sSubSup>
                      <m:sSubSupPr>
                        <m:ctrlPr>
                          <w:rPr>
                            <w:rFonts w:ascii="Cambria Math" w:hAnsi="Cambria Math"/>
                            <w:i/>
                            <w:color w:val="000000" w:themeColor="text1"/>
                          </w:rPr>
                        </m:ctrlPr>
                      </m:sSubSupPr>
                      <m:e>
                        <m:r>
                          <w:rPr>
                            <w:rFonts w:ascii="Cambria Math" w:hAnsi="Cambria Math"/>
                            <w:color w:val="000000" w:themeColor="text1"/>
                          </w:rPr>
                          <m:t>w</m:t>
                        </m:r>
                      </m:e>
                      <m:sub>
                        <m:r>
                          <w:rPr>
                            <w:rFonts w:ascii="Cambria Math" w:hAnsi="Cambria Math"/>
                            <w:color w:val="000000" w:themeColor="text1"/>
                          </w:rPr>
                          <m:t>vap,</m:t>
                        </m:r>
                      </m:sub>
                      <m:sup>
                        <m:r>
                          <w:rPr>
                            <w:rFonts w:ascii="Cambria Math" w:hAnsi="Cambria Math"/>
                            <w:color w:val="000000" w:themeColor="text1"/>
                          </w:rPr>
                          <m:t>F</m:t>
                        </m:r>
                      </m:sup>
                    </m:sSubSup>
                  </m:e>
                  <m:sub>
                    <m:r>
                      <w:rPr>
                        <w:rFonts w:ascii="Cambria Math" w:hAnsi="Cambria Math"/>
                        <w:color w:val="000000" w:themeColor="text1"/>
                      </w:rPr>
                      <m:t>k</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sSubSup>
                          <m:sSubSupPr>
                            <m:ctrlPr>
                              <w:rPr>
                                <w:rFonts w:ascii="Cambria Math" w:hAnsi="Cambria Math"/>
                                <w:i/>
                                <w:color w:val="000000" w:themeColor="text1"/>
                              </w:rPr>
                            </m:ctrlPr>
                          </m:sSubSupPr>
                          <m:e>
                            <m:r>
                              <w:rPr>
                                <w:rFonts w:ascii="Cambria Math" w:hAnsi="Cambria Math"/>
                                <w:color w:val="000000" w:themeColor="text1"/>
                              </w:rPr>
                              <m:t>w</m:t>
                            </m:r>
                          </m:e>
                          <m:sub>
                            <m:r>
                              <w:rPr>
                                <w:rFonts w:ascii="Cambria Math" w:hAnsi="Cambria Math"/>
                                <w:color w:val="000000" w:themeColor="text1"/>
                              </w:rPr>
                              <m:t>sol,</m:t>
                            </m:r>
                          </m:sub>
                          <m:sup>
                            <m:r>
                              <w:rPr>
                                <w:rFonts w:ascii="Cambria Math" w:hAnsi="Cambria Math"/>
                                <w:color w:val="000000" w:themeColor="text1"/>
                              </w:rPr>
                              <m:t>in</m:t>
                            </m:r>
                          </m:sup>
                        </m:sSubSup>
                      </m:e>
                      <m:sub>
                        <m:r>
                          <w:rPr>
                            <w:rFonts w:ascii="Cambria Math" w:hAnsi="Cambria Math"/>
                            <w:color w:val="000000" w:themeColor="text1"/>
                          </w:rPr>
                          <m:t>k</m:t>
                        </m:r>
                      </m:sub>
                    </m:sSub>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p,s</m:t>
                            </m:r>
                          </m:sub>
                        </m:sSub>
                      </m:e>
                    </m:acc>
                    <m:d>
                      <m:dPr>
                        <m:ctrlPr>
                          <w:rPr>
                            <w:rFonts w:ascii="Cambria Math" w:hAnsi="Cambria Math"/>
                            <w:i/>
                            <w:color w:val="000000" w:themeColor="text1"/>
                          </w:rPr>
                        </m:ctrlPr>
                      </m:dPr>
                      <m:e>
                        <m:sSub>
                          <m:sSubPr>
                            <m:ctrlPr>
                              <w:rPr>
                                <w:rFonts w:ascii="Cambria Math" w:hAnsi="Cambria Math"/>
                                <w:i/>
                                <w:color w:val="000000" w:themeColor="text1"/>
                              </w:rPr>
                            </m:ctrlPr>
                          </m:sSubPr>
                          <m:e>
                            <m:sSubSup>
                              <m:sSubSupPr>
                                <m:ctrlPr>
                                  <w:rPr>
                                    <w:rFonts w:ascii="Cambria Math" w:hAnsi="Cambria Math"/>
                                    <w:i/>
                                    <w:color w:val="000000" w:themeColor="text1"/>
                                  </w:rPr>
                                </m:ctrlPr>
                              </m:sSubSupPr>
                              <m:e>
                                <m:r>
                                  <w:rPr>
                                    <w:rFonts w:ascii="Cambria Math" w:hAnsi="Cambria Math"/>
                                    <w:color w:val="000000" w:themeColor="text1"/>
                                  </w:rPr>
                                  <m:t>T</m:t>
                                </m:r>
                              </m:e>
                              <m:sub>
                                <m:r>
                                  <w:rPr>
                                    <w:rFonts w:ascii="Cambria Math" w:hAnsi="Cambria Math"/>
                                    <w:color w:val="000000" w:themeColor="text1"/>
                                  </w:rPr>
                                  <m:t>sol,</m:t>
                                </m:r>
                              </m:sub>
                              <m:sup>
                                <m:r>
                                  <w:rPr>
                                    <w:rFonts w:ascii="Cambria Math" w:hAnsi="Cambria Math"/>
                                    <w:color w:val="000000" w:themeColor="text1"/>
                                  </w:rPr>
                                  <m:t>in,ef</m:t>
                                </m:r>
                              </m:sup>
                            </m:sSubSup>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sSubSup>
                              <m:sSubSupPr>
                                <m:ctrlPr>
                                  <w:rPr>
                                    <w:rFonts w:ascii="Cambria Math" w:hAnsi="Cambria Math"/>
                                    <w:i/>
                                    <w:color w:val="000000" w:themeColor="text1"/>
                                  </w:rPr>
                                </m:ctrlPr>
                              </m:sSubSupPr>
                              <m:e>
                                <m:r>
                                  <w:rPr>
                                    <w:rFonts w:ascii="Cambria Math" w:hAnsi="Cambria Math"/>
                                    <w:color w:val="000000" w:themeColor="text1"/>
                                  </w:rPr>
                                  <m:t>T</m:t>
                                </m:r>
                              </m:e>
                              <m:sub>
                                <m:r>
                                  <w:rPr>
                                    <w:rFonts w:ascii="Cambria Math" w:hAnsi="Cambria Math"/>
                                    <w:color w:val="000000" w:themeColor="text1"/>
                                  </w:rPr>
                                  <m:t>sol,</m:t>
                                </m:r>
                              </m:sub>
                              <m:sup>
                                <m:r>
                                  <w:rPr>
                                    <w:rFonts w:ascii="Cambria Math" w:hAnsi="Cambria Math"/>
                                    <w:color w:val="000000" w:themeColor="text1"/>
                                  </w:rPr>
                                  <m:t>F</m:t>
                                </m:r>
                              </m:sup>
                            </m:sSubSup>
                          </m:e>
                          <m:sub>
                            <m:r>
                              <w:rPr>
                                <w:rFonts w:ascii="Cambria Math" w:hAnsi="Cambria Math"/>
                                <w:color w:val="000000" w:themeColor="text1"/>
                              </w:rPr>
                              <m:t>k</m:t>
                            </m:r>
                          </m:sub>
                        </m:sSub>
                      </m:e>
                    </m:d>
                  </m:num>
                  <m:den>
                    <m:sSub>
                      <m:sSubPr>
                        <m:ctrlPr>
                          <w:rPr>
                            <w:rFonts w:ascii="Cambria Math" w:hAnsi="Cambria Math"/>
                            <w:i/>
                            <w:color w:val="000000" w:themeColor="text1"/>
                          </w:rPr>
                        </m:ctrlPr>
                      </m:sSubPr>
                      <m:e>
                        <m:sSubSup>
                          <m:sSubSupPr>
                            <m:ctrlPr>
                              <w:rPr>
                                <w:rFonts w:ascii="Cambria Math" w:hAnsi="Cambria Math"/>
                                <w:i/>
                                <w:color w:val="000000" w:themeColor="text1"/>
                              </w:rPr>
                            </m:ctrlPr>
                          </m:sSubSupPr>
                          <m:e>
                            <m:r>
                              <w:rPr>
                                <w:rFonts w:ascii="Cambria Math" w:hAnsi="Cambria Math"/>
                                <w:color w:val="000000" w:themeColor="text1"/>
                              </w:rPr>
                              <m:t>λ</m:t>
                            </m:r>
                          </m:e>
                          <m:sub>
                            <m:r>
                              <w:rPr>
                                <w:rFonts w:ascii="Cambria Math" w:hAnsi="Cambria Math"/>
                                <w:color w:val="000000" w:themeColor="text1"/>
                              </w:rPr>
                              <m:t>ev,</m:t>
                            </m:r>
                          </m:sub>
                          <m:sup/>
                        </m:sSubSup>
                      </m:e>
                      <m:sub>
                        <m:r>
                          <w:rPr>
                            <w:rFonts w:ascii="Cambria Math" w:hAnsi="Cambria Math"/>
                            <w:color w:val="000000" w:themeColor="text1"/>
                          </w:rPr>
                          <m:t>k</m:t>
                        </m:r>
                      </m:sub>
                    </m:sSub>
                  </m:den>
                </m:f>
              </m:oMath>
            </m:oMathPara>
          </w:p>
        </w:tc>
        <w:tc>
          <w:tcPr>
            <w:tcW w:w="815" w:type="dxa"/>
            <w:shd w:val="clear" w:color="auto" w:fill="auto"/>
            <w:vAlign w:val="center"/>
          </w:tcPr>
          <w:p w14:paraId="191D3189" w14:textId="77777777" w:rsidR="008919B8" w:rsidRPr="003A4375" w:rsidRDefault="008919B8" w:rsidP="003F5AF5">
            <w:pPr>
              <w:pStyle w:val="CETEquation"/>
              <w:jc w:val="right"/>
              <w:rPr>
                <w:color w:val="000000" w:themeColor="text1"/>
              </w:rPr>
            </w:pPr>
            <w:r w:rsidRPr="003A4375">
              <w:rPr>
                <w:color w:val="000000" w:themeColor="text1"/>
              </w:rPr>
              <w:t>(1)</w:t>
            </w:r>
          </w:p>
        </w:tc>
      </w:tr>
    </w:tbl>
    <w:p w14:paraId="5AFC5DD4" w14:textId="74EE38FB" w:rsidR="00816DCB" w:rsidRPr="003A4375" w:rsidRDefault="002D7D34" w:rsidP="003F5AF5">
      <w:pPr>
        <w:pStyle w:val="CETBodytext"/>
        <w:rPr>
          <w:lang w:val="en-GB"/>
        </w:rPr>
      </w:pPr>
      <w:r w:rsidRPr="003A4375">
        <w:rPr>
          <w:lang w:val="en-GB"/>
        </w:rPr>
        <w:t>w</w:t>
      </w:r>
      <w:r w:rsidR="008919B8" w:rsidRPr="003A4375">
        <w:rPr>
          <w:lang w:val="en-GB"/>
        </w:rPr>
        <w:t xml:space="preserve">here </w:t>
      </w:r>
      <m:oMath>
        <m:acc>
          <m:accPr>
            <m:chr m:val="̅"/>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p</m:t>
                </m:r>
                <m:r>
                  <m:rPr>
                    <m:sty m:val="p"/>
                  </m:rPr>
                  <w:rPr>
                    <w:rFonts w:ascii="Cambria Math" w:hAnsi="Cambria Math"/>
                    <w:lang w:val="en-GB"/>
                  </w:rPr>
                  <m:t>,</m:t>
                </m:r>
                <m:r>
                  <w:rPr>
                    <w:rFonts w:ascii="Cambria Math" w:hAnsi="Cambria Math"/>
                    <w:lang w:val="en-GB"/>
                  </w:rPr>
                  <m:t>s</m:t>
                </m:r>
              </m:sub>
            </m:sSub>
          </m:e>
        </m:acc>
      </m:oMath>
      <w:r w:rsidR="008919B8" w:rsidRPr="003A4375">
        <w:rPr>
          <w:lang w:val="en-GB"/>
        </w:rPr>
        <w:t xml:space="preserve"> is the specific heat of the solutions at the average solution temperature, </w:t>
      </w:r>
      <m:oMath>
        <m:sSub>
          <m:sSubPr>
            <m:ctrlPr>
              <w:rPr>
                <w:rFonts w:ascii="Cambria Math" w:hAnsi="Cambria Math"/>
                <w:lang w:val="en-GB"/>
              </w:rPr>
            </m:ctrlPr>
          </m:sSubPr>
          <m:e>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sol</m:t>
                </m:r>
                <m:r>
                  <m:rPr>
                    <m:sty m:val="p"/>
                  </m:rPr>
                  <w:rPr>
                    <w:rFonts w:ascii="Cambria Math" w:hAnsi="Cambria Math"/>
                    <w:lang w:val="en-GB"/>
                  </w:rPr>
                  <m:t>,</m:t>
                </m:r>
              </m:sub>
              <m:sup>
                <m:r>
                  <w:rPr>
                    <w:rFonts w:ascii="Cambria Math" w:hAnsi="Cambria Math"/>
                    <w:lang w:val="en-GB"/>
                  </w:rPr>
                  <m:t>in</m:t>
                </m:r>
                <m:r>
                  <m:rPr>
                    <m:sty m:val="p"/>
                  </m:rPr>
                  <w:rPr>
                    <w:rFonts w:ascii="Cambria Math" w:hAnsi="Cambria Math"/>
                    <w:lang w:val="en-GB"/>
                  </w:rPr>
                  <m:t>,</m:t>
                </m:r>
                <m:r>
                  <w:rPr>
                    <w:rFonts w:ascii="Cambria Math" w:hAnsi="Cambria Math"/>
                    <w:lang w:val="en-GB"/>
                  </w:rPr>
                  <m:t>ef</m:t>
                </m:r>
              </m:sup>
            </m:sSubSup>
          </m:e>
          <m:sub>
            <m:r>
              <w:rPr>
                <w:rFonts w:ascii="Cambria Math" w:hAnsi="Cambria Math"/>
                <w:lang w:val="en-GB"/>
              </w:rPr>
              <m:t>k</m:t>
            </m:r>
          </m:sub>
        </m:sSub>
      </m:oMath>
      <w:r w:rsidR="008919B8" w:rsidRPr="003A4375">
        <w:rPr>
          <w:lang w:val="en-GB"/>
        </w:rPr>
        <w:t xml:space="preserve"> is the temperature of the solution entering the </w:t>
      </w:r>
      <w:r w:rsidR="00982568" w:rsidRPr="003A4375">
        <w:rPr>
          <w:lang w:val="en-GB"/>
        </w:rPr>
        <w:t xml:space="preserve">k-th </w:t>
      </w:r>
      <w:r w:rsidR="008919B8" w:rsidRPr="003A4375">
        <w:rPr>
          <w:lang w:val="en-GB"/>
        </w:rPr>
        <w:t xml:space="preserve">effect, </w:t>
      </w:r>
      <m:oMath>
        <m:sSub>
          <m:sSubPr>
            <m:ctrlPr>
              <w:rPr>
                <w:rFonts w:ascii="Cambria Math" w:hAnsi="Cambria Math"/>
                <w:lang w:val="en-GB"/>
              </w:rPr>
            </m:ctrlPr>
          </m:sSubPr>
          <m:e>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sol</m:t>
                </m:r>
                <m:r>
                  <m:rPr>
                    <m:sty m:val="p"/>
                  </m:rPr>
                  <w:rPr>
                    <w:rFonts w:ascii="Cambria Math" w:hAnsi="Cambria Math"/>
                    <w:lang w:val="en-GB"/>
                  </w:rPr>
                  <m:t>,</m:t>
                </m:r>
              </m:sub>
              <m:sup>
                <m:r>
                  <w:rPr>
                    <w:rFonts w:ascii="Cambria Math" w:hAnsi="Cambria Math"/>
                    <w:lang w:val="en-GB"/>
                  </w:rPr>
                  <m:t>F</m:t>
                </m:r>
              </m:sup>
            </m:sSubSup>
          </m:e>
          <m:sub>
            <m:r>
              <w:rPr>
                <w:rFonts w:ascii="Cambria Math" w:hAnsi="Cambria Math"/>
                <w:lang w:val="en-GB"/>
              </w:rPr>
              <m:t>k</m:t>
            </m:r>
          </m:sub>
        </m:sSub>
      </m:oMath>
      <w:r w:rsidR="008919B8" w:rsidRPr="003A4375">
        <w:rPr>
          <w:lang w:val="en-GB"/>
        </w:rPr>
        <w:t xml:space="preserve"> is the temperature of the solution after the flashing (evaluated </w:t>
      </w:r>
      <w:r w:rsidR="00245FA8" w:rsidRPr="003A4375">
        <w:rPr>
          <w:lang w:val="en-GB"/>
        </w:rPr>
        <w:t>via</w:t>
      </w:r>
      <w:r w:rsidR="008919B8" w:rsidRPr="003A4375">
        <w:rPr>
          <w:lang w:val="en-GB"/>
        </w:rPr>
        <w:t xml:space="preserve"> non-equilibrium allowance</w:t>
      </w:r>
      <w:r w:rsidR="00245FA8" w:rsidRPr="003A4375">
        <w:rPr>
          <w:lang w:val="en-GB"/>
        </w:rPr>
        <w:t xml:space="preserve"> (</w:t>
      </w:r>
      <w:bookmarkStart w:id="40" w:name="OLE_LINK88"/>
      <w:bookmarkStart w:id="41" w:name="OLE_LINK89"/>
      <w:bookmarkStart w:id="42" w:name="OLE_LINK86"/>
      <w:bookmarkStart w:id="43" w:name="OLE_LINK87"/>
      <w:r w:rsidR="00245FA8" w:rsidRPr="003A4375">
        <w:rPr>
          <w:lang w:val="en-GB"/>
        </w:rPr>
        <w:t>El Dessouky</w:t>
      </w:r>
      <w:r w:rsidR="00DA06B7" w:rsidRPr="003A4375">
        <w:rPr>
          <w:lang w:val="en-GB"/>
        </w:rPr>
        <w:t xml:space="preserve"> </w:t>
      </w:r>
      <w:bookmarkEnd w:id="40"/>
      <w:bookmarkEnd w:id="41"/>
      <w:r w:rsidR="00DA06B7" w:rsidRPr="003A4375">
        <w:rPr>
          <w:lang w:val="en-GB"/>
        </w:rPr>
        <w:t>et al.</w:t>
      </w:r>
      <w:r w:rsidR="00245FA8" w:rsidRPr="003A4375">
        <w:rPr>
          <w:lang w:val="en-GB"/>
        </w:rPr>
        <w:t xml:space="preserve">, </w:t>
      </w:r>
      <w:r w:rsidR="00DA06B7" w:rsidRPr="003A4375">
        <w:rPr>
          <w:lang w:val="en-GB"/>
        </w:rPr>
        <w:t>2002</w:t>
      </w:r>
      <w:bookmarkEnd w:id="42"/>
      <w:bookmarkEnd w:id="43"/>
      <w:r w:rsidR="00245FA8" w:rsidRPr="003A4375">
        <w:rPr>
          <w:lang w:val="en-GB"/>
        </w:rPr>
        <w:t>)</w:t>
      </w:r>
      <w:r w:rsidR="00B230FC" w:rsidRPr="003A4375">
        <w:rPr>
          <w:lang w:val="en-GB"/>
        </w:rPr>
        <w:t>)</w:t>
      </w:r>
      <w:r w:rsidR="008919B8" w:rsidRPr="003A4375">
        <w:rPr>
          <w:lang w:val="en-GB"/>
        </w:rPr>
        <w:t xml:space="preserve">, </w:t>
      </w:r>
      <m:oMath>
        <m:sSub>
          <m:sSubPr>
            <m:ctrlPr>
              <w:rPr>
                <w:rFonts w:ascii="Cambria Math" w:hAnsi="Cambria Math"/>
                <w:lang w:val="en-GB"/>
              </w:rPr>
            </m:ctrlPr>
          </m:sSubPr>
          <m:e>
            <m:sSubSup>
              <m:sSubSupPr>
                <m:ctrlPr>
                  <w:rPr>
                    <w:rFonts w:ascii="Cambria Math" w:hAnsi="Cambria Math"/>
                    <w:lang w:val="en-GB"/>
                  </w:rPr>
                </m:ctrlPr>
              </m:sSubSupPr>
              <m:e>
                <m:r>
                  <w:rPr>
                    <w:rFonts w:ascii="Cambria Math" w:hAnsi="Cambria Math"/>
                    <w:lang w:val="en-GB"/>
                  </w:rPr>
                  <m:t>λ</m:t>
                </m:r>
              </m:e>
              <m:sub>
                <m:r>
                  <w:rPr>
                    <w:rFonts w:ascii="Cambria Math" w:hAnsi="Cambria Math"/>
                    <w:lang w:val="en-GB"/>
                  </w:rPr>
                  <m:t>ev</m:t>
                </m:r>
                <m:r>
                  <m:rPr>
                    <m:sty m:val="p"/>
                  </m:rPr>
                  <w:rPr>
                    <w:rFonts w:ascii="Cambria Math" w:hAnsi="Cambria Math"/>
                    <w:lang w:val="en-GB"/>
                  </w:rPr>
                  <m:t>,</m:t>
                </m:r>
              </m:sub>
              <m:sup/>
            </m:sSubSup>
          </m:e>
          <m:sub>
            <m:r>
              <w:rPr>
                <w:rFonts w:ascii="Cambria Math" w:hAnsi="Cambria Math"/>
                <w:lang w:val="en-GB"/>
              </w:rPr>
              <m:t>k</m:t>
            </m:r>
          </m:sub>
        </m:sSub>
      </m:oMath>
      <w:r w:rsidR="008919B8" w:rsidRPr="003A4375">
        <w:rPr>
          <w:lang w:val="en-GB"/>
        </w:rPr>
        <w:t xml:space="preserve"> is</w:t>
      </w:r>
      <w:r w:rsidR="00245FA8" w:rsidRPr="003A4375">
        <w:rPr>
          <w:lang w:val="en-GB"/>
        </w:rPr>
        <w:t xml:space="preserve"> the heat of vaporization of the solution at the inlet temperature in the effect.</w:t>
      </w:r>
    </w:p>
    <w:p w14:paraId="37ABD620" w14:textId="3DE48C87" w:rsidR="00245FA8" w:rsidRPr="003A4375" w:rsidRDefault="00816DCB" w:rsidP="003F5AF5">
      <w:pPr>
        <w:pStyle w:val="CETBodytext"/>
        <w:rPr>
          <w:lang w:val="en-GB"/>
        </w:rPr>
      </w:pPr>
      <w:r w:rsidRPr="003A4375">
        <w:rPr>
          <w:lang w:val="en-GB"/>
        </w:rPr>
        <w:t>Similarly</w:t>
      </w:r>
      <w:r w:rsidR="00245FA8" w:rsidRPr="003A4375">
        <w:rPr>
          <w:lang w:val="en-GB"/>
        </w:rPr>
        <w:t xml:space="preserve">, the distillate </w:t>
      </w:r>
      <w:r w:rsidR="00A806B7">
        <w:rPr>
          <w:lang w:val="en-GB"/>
        </w:rPr>
        <w:t>undergoes</w:t>
      </w:r>
      <w:r w:rsidR="00245FA8" w:rsidRPr="003A4375">
        <w:rPr>
          <w:lang w:val="en-GB"/>
        </w:rPr>
        <w:t xml:space="preserve"> a flashing process in the flashing box, </w:t>
      </w:r>
      <w:r w:rsidR="00A806B7">
        <w:rPr>
          <w:lang w:val="en-GB"/>
        </w:rPr>
        <w:t>resulting in</w:t>
      </w:r>
      <w:r w:rsidR="00245FA8" w:rsidRPr="003A4375">
        <w:rPr>
          <w:lang w:val="en-GB"/>
        </w:rPr>
        <w:t xml:space="preserve"> a </w:t>
      </w:r>
      <w:r w:rsidR="00A806B7">
        <w:rPr>
          <w:lang w:val="en-GB"/>
        </w:rPr>
        <w:t xml:space="preserve">further </w:t>
      </w:r>
      <w:r w:rsidR="00245FA8" w:rsidRPr="003A4375">
        <w:rPr>
          <w:lang w:val="en-GB"/>
        </w:rPr>
        <w:t>th</w:t>
      </w:r>
      <w:r w:rsidR="002D7D34" w:rsidRPr="003A4375">
        <w:rPr>
          <w:lang w:val="en-GB"/>
        </w:rPr>
        <w:t>ermal recovery</w:t>
      </w:r>
      <w:r w:rsidR="009840AF" w:rsidRPr="003A4375">
        <w:rPr>
          <w:lang w:val="en-GB"/>
        </w:rPr>
        <w:t>. The amount of va</w:t>
      </w:r>
      <w:r w:rsidR="00216DAB" w:rsidRPr="003A4375">
        <w:rPr>
          <w:lang w:val="en-GB"/>
        </w:rPr>
        <w:t xml:space="preserve">pour vaporized in the flashing </w:t>
      </w:r>
      <w:r w:rsidR="009840AF" w:rsidRPr="003A4375">
        <w:rPr>
          <w:lang w:val="en-GB"/>
        </w:rPr>
        <w:t xml:space="preserve">box </w:t>
      </w:r>
      <w:r w:rsidRPr="003A4375">
        <w:rPr>
          <w:lang w:val="en-GB"/>
        </w:rPr>
        <w:t>(</w:t>
      </w:r>
      <m:oMath>
        <m:sSub>
          <m:sSubPr>
            <m:ctrlPr>
              <w:rPr>
                <w:rFonts w:ascii="Cambria Math" w:hAnsi="Cambria Math"/>
                <w:lang w:val="en-GB"/>
              </w:rPr>
            </m:ctrlPr>
          </m:sSubPr>
          <m:e>
            <m:sSubSup>
              <m:sSubSupPr>
                <m:ctrlPr>
                  <w:rPr>
                    <w:rFonts w:ascii="Cambria Math" w:hAnsi="Cambria Math"/>
                    <w:lang w:val="en-GB"/>
                  </w:rPr>
                </m:ctrlPr>
              </m:sSubSupPr>
              <m:e>
                <m:r>
                  <w:rPr>
                    <w:rFonts w:ascii="Cambria Math" w:hAnsi="Cambria Math"/>
                    <w:lang w:val="en-GB"/>
                  </w:rPr>
                  <m:t>w</m:t>
                </m:r>
              </m:e>
              <m:sub>
                <m:r>
                  <w:rPr>
                    <w:rFonts w:ascii="Cambria Math" w:hAnsi="Cambria Math"/>
                    <w:lang w:val="en-GB"/>
                  </w:rPr>
                  <m:t>dist</m:t>
                </m:r>
                <m:r>
                  <m:rPr>
                    <m:sty m:val="p"/>
                  </m:rPr>
                  <w:rPr>
                    <w:rFonts w:ascii="Cambria Math" w:hAnsi="Cambria Math"/>
                    <w:lang w:val="en-GB"/>
                  </w:rPr>
                  <m:t>,</m:t>
                </m:r>
              </m:sub>
              <m:sup>
                <m:r>
                  <w:rPr>
                    <w:rFonts w:ascii="Cambria Math" w:hAnsi="Cambria Math"/>
                    <w:lang w:val="en-GB"/>
                  </w:rPr>
                  <m:t>F</m:t>
                </m:r>
              </m:sup>
            </m:sSubSup>
          </m:e>
          <m:sub>
            <m:r>
              <w:rPr>
                <w:rFonts w:ascii="Cambria Math" w:hAnsi="Cambria Math"/>
                <w:lang w:val="en-GB"/>
              </w:rPr>
              <m:t>k</m:t>
            </m:r>
          </m:sub>
        </m:sSub>
        <m:r>
          <m:rPr>
            <m:sty m:val="p"/>
          </m:rPr>
          <w:rPr>
            <w:rFonts w:ascii="Cambria Math" w:hAnsi="Cambria Math"/>
            <w:lang w:val="en-GB"/>
          </w:rPr>
          <m:t xml:space="preserve">) </m:t>
        </m:r>
      </m:oMath>
      <w:r w:rsidR="009840AF" w:rsidRPr="003A4375">
        <w:rPr>
          <w:lang w:val="en-GB"/>
        </w:rPr>
        <w:t xml:space="preserve">is </w:t>
      </w:r>
      <w:r w:rsidR="002D7D34" w:rsidRPr="003A4375">
        <w:rPr>
          <w:lang w:val="en-GB"/>
        </w:rPr>
        <w:t>given by</w:t>
      </w:r>
      <w:r w:rsidR="00245FA8" w:rsidRPr="003A4375">
        <w:rPr>
          <w:lang w:val="en-GB"/>
        </w:rPr>
        <w:t>:</w:t>
      </w:r>
    </w:p>
    <w:tbl>
      <w:tblPr>
        <w:tblW w:w="5000" w:type="pct"/>
        <w:tblLook w:val="04A0" w:firstRow="1" w:lastRow="0" w:firstColumn="1" w:lastColumn="0" w:noHBand="0" w:noVBand="1"/>
      </w:tblPr>
      <w:tblGrid>
        <w:gridCol w:w="7986"/>
        <w:gridCol w:w="801"/>
      </w:tblGrid>
      <w:tr w:rsidR="00245FA8" w:rsidRPr="003A4375" w14:paraId="717B1B27" w14:textId="77777777" w:rsidTr="002D7D34">
        <w:tc>
          <w:tcPr>
            <w:tcW w:w="7986" w:type="dxa"/>
            <w:shd w:val="clear" w:color="auto" w:fill="auto"/>
            <w:vAlign w:val="center"/>
          </w:tcPr>
          <w:p w14:paraId="56424A36" w14:textId="77777777" w:rsidR="00245FA8" w:rsidRPr="003A4375" w:rsidRDefault="00864111" w:rsidP="003F5AF5">
            <w:pPr>
              <w:pStyle w:val="CETEquation"/>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w</m:t>
                        </m:r>
                      </m:e>
                      <m:sub>
                        <m:r>
                          <w:rPr>
                            <w:rFonts w:ascii="Cambria Math" w:hAnsi="Cambria Math"/>
                          </w:rPr>
                          <m:t>dist,</m:t>
                        </m:r>
                      </m:sub>
                      <m:sup>
                        <m:r>
                          <w:rPr>
                            <w:rFonts w:ascii="Cambria Math" w:hAnsi="Cambria Math"/>
                          </w:rPr>
                          <m:t>F</m:t>
                        </m:r>
                      </m:sup>
                    </m:sSubSup>
                  </m:e>
                  <m:sub>
                    <m:r>
                      <w:rPr>
                        <w:rFonts w:ascii="Cambria Math" w:hAnsi="Cambria Math"/>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w</m:t>
                            </m:r>
                          </m:e>
                          <m:sub>
                            <m:r>
                              <w:rPr>
                                <w:rFonts w:ascii="Cambria Math" w:hAnsi="Cambria Math"/>
                              </w:rPr>
                              <m:t>dist</m:t>
                            </m:r>
                          </m:sub>
                        </m:sSub>
                      </m:e>
                      <m:sub>
                        <m:r>
                          <w:rPr>
                            <w:rFonts w:ascii="Cambria Math" w:hAnsi="Cambria Math"/>
                          </w:rPr>
                          <m:t>k-1</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p,d</m:t>
                            </m:r>
                          </m:sub>
                        </m:sSub>
                      </m:e>
                    </m:acc>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vap,k-1</m:t>
                            </m:r>
                          </m:sub>
                          <m:sup>
                            <m:r>
                              <w:rPr>
                                <w:rFonts w:ascii="Cambria Math" w:hAnsi="Cambria Math"/>
                              </w:rPr>
                              <m:t>cond</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vap,k</m:t>
                            </m:r>
                          </m:sub>
                          <m:sup>
                            <m:r>
                              <w:rPr>
                                <w:rFonts w:ascii="Cambria Math" w:hAnsi="Cambria Math"/>
                              </w:rPr>
                              <m:t>cond,F</m:t>
                            </m:r>
                          </m:sup>
                        </m:sSubSup>
                      </m:e>
                    </m:d>
                  </m:num>
                  <m:den>
                    <m:sSub>
                      <m:sSubPr>
                        <m:ctrlPr>
                          <w:rPr>
                            <w:rFonts w:ascii="Cambria Math" w:hAnsi="Cambria Math"/>
                            <w:i/>
                          </w:rPr>
                        </m:ctrlPr>
                      </m:sSubPr>
                      <m:e>
                        <m:sSubSup>
                          <m:sSubSupPr>
                            <m:ctrlPr>
                              <w:rPr>
                                <w:rFonts w:ascii="Cambria Math" w:hAnsi="Cambria Math"/>
                                <w:i/>
                              </w:rPr>
                            </m:ctrlPr>
                          </m:sSubSupPr>
                          <m:e>
                            <m:r>
                              <w:rPr>
                                <w:rFonts w:ascii="Cambria Math" w:hAnsi="Cambria Math"/>
                              </w:rPr>
                              <m:t>λ</m:t>
                            </m:r>
                          </m:e>
                          <m:sub>
                            <m:r>
                              <w:rPr>
                                <w:rFonts w:ascii="Cambria Math" w:hAnsi="Cambria Math"/>
                              </w:rPr>
                              <m:t>ev,</m:t>
                            </m:r>
                          </m:sub>
                          <m:sup/>
                        </m:sSubSup>
                      </m:e>
                      <m:sub>
                        <m:r>
                          <w:rPr>
                            <w:rFonts w:ascii="Cambria Math" w:hAnsi="Cambria Math"/>
                          </w:rPr>
                          <m:t>k</m:t>
                        </m:r>
                      </m:sub>
                    </m:sSub>
                  </m:den>
                </m:f>
              </m:oMath>
            </m:oMathPara>
          </w:p>
        </w:tc>
        <w:tc>
          <w:tcPr>
            <w:tcW w:w="801" w:type="dxa"/>
            <w:shd w:val="clear" w:color="auto" w:fill="auto"/>
            <w:vAlign w:val="center"/>
          </w:tcPr>
          <w:p w14:paraId="4825E97C" w14:textId="77777777" w:rsidR="00245FA8" w:rsidRPr="003A4375" w:rsidRDefault="00245FA8" w:rsidP="003F5AF5">
            <w:pPr>
              <w:pStyle w:val="CETEquation"/>
              <w:jc w:val="right"/>
            </w:pPr>
            <w:r w:rsidRPr="003A4375">
              <w:t>(</w:t>
            </w:r>
            <w:r w:rsidR="00134E43" w:rsidRPr="003A4375">
              <w:t>2</w:t>
            </w:r>
            <w:r w:rsidRPr="003A4375">
              <w:t>)</w:t>
            </w:r>
          </w:p>
        </w:tc>
      </w:tr>
    </w:tbl>
    <w:p w14:paraId="1ACD9098" w14:textId="31A4F90C" w:rsidR="00280573" w:rsidRPr="003A4375" w:rsidRDefault="002D7D34" w:rsidP="003F5AF5">
      <w:pPr>
        <w:pStyle w:val="CETBodytext"/>
        <w:rPr>
          <w:lang w:val="en-GB"/>
        </w:rPr>
      </w:pPr>
      <w:r w:rsidRPr="003A4375">
        <w:rPr>
          <w:lang w:val="en-GB"/>
        </w:rPr>
        <w:t xml:space="preserve">where </w:t>
      </w:r>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dist</m:t>
                </m:r>
              </m:sub>
            </m:sSub>
          </m:e>
          <m:sub>
            <m:r>
              <w:rPr>
                <w:rFonts w:ascii="Cambria Math" w:hAnsi="Cambria Math"/>
                <w:lang w:val="en-GB"/>
              </w:rPr>
              <m:t>k-1</m:t>
            </m:r>
          </m:sub>
        </m:sSub>
      </m:oMath>
      <w:r w:rsidR="00F64D4F" w:rsidRPr="003A4375">
        <w:rPr>
          <w:lang w:val="en-GB"/>
        </w:rPr>
        <w:t xml:space="preserve"> is the </w:t>
      </w:r>
      <w:r w:rsidR="00982568" w:rsidRPr="003A4375">
        <w:rPr>
          <w:lang w:val="en-GB"/>
        </w:rPr>
        <w:t xml:space="preserve">distillate </w:t>
      </w:r>
      <w:r w:rsidR="00F64D4F" w:rsidRPr="003A4375">
        <w:rPr>
          <w:lang w:val="en-GB"/>
        </w:rPr>
        <w:t>mass flow rate coming from the previous flashing box</w:t>
      </w:r>
      <w:r w:rsidR="009840AF" w:rsidRPr="003A4375">
        <w:rPr>
          <w:lang w:val="en-GB"/>
        </w:rPr>
        <w:t>,</w:t>
      </w:r>
      <w:r w:rsidRPr="003A4375">
        <w:rPr>
          <w:lang w:val="en-GB"/>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p,d</m:t>
                </m:r>
              </m:sub>
            </m:sSub>
          </m:e>
        </m:acc>
        <m:r>
          <w:rPr>
            <w:rFonts w:ascii="Cambria Math" w:hAnsi="Cambria Math"/>
            <w:lang w:val="en-GB"/>
          </w:rPr>
          <m:t xml:space="preserve"> </m:t>
        </m:r>
      </m:oMath>
      <w:r w:rsidRPr="003A4375">
        <w:rPr>
          <w:lang w:val="en-GB"/>
        </w:rPr>
        <w:t xml:space="preserve">is the specific heat of </w:t>
      </w:r>
      <w:r w:rsidR="009840AF" w:rsidRPr="003A4375">
        <w:rPr>
          <w:lang w:val="en-GB"/>
        </w:rPr>
        <w:t>water</w:t>
      </w:r>
      <w:r w:rsidRPr="003A4375">
        <w:rPr>
          <w:lang w:val="en-GB"/>
        </w:rPr>
        <w:t>,</w:t>
      </w:r>
      <w:r w:rsidR="001D4399" w:rsidRPr="003A4375">
        <w:rPr>
          <w:lang w:val="en-GB"/>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vap,k</m:t>
            </m:r>
          </m:sub>
          <m:sup>
            <m:r>
              <w:rPr>
                <w:rFonts w:ascii="Cambria Math" w:hAnsi="Cambria Math"/>
              </w:rPr>
              <m:t>cond,F</m:t>
            </m:r>
          </m:sup>
        </m:sSubSup>
      </m:oMath>
      <w:r w:rsidRPr="003A4375">
        <w:rPr>
          <w:lang w:val="en-GB"/>
        </w:rPr>
        <w:t xml:space="preserve"> is the temperature of the </w:t>
      </w:r>
      <w:r w:rsidR="00982568" w:rsidRPr="003A4375">
        <w:rPr>
          <w:lang w:val="en-GB"/>
        </w:rPr>
        <w:t>distillate</w:t>
      </w:r>
      <w:r w:rsidRPr="003A4375">
        <w:rPr>
          <w:lang w:val="en-GB"/>
        </w:rPr>
        <w:t xml:space="preserve"> </w:t>
      </w:r>
      <w:r w:rsidR="00F64D4F" w:rsidRPr="003A4375">
        <w:rPr>
          <w:lang w:val="en-GB"/>
        </w:rPr>
        <w:t>exiting from</w:t>
      </w:r>
      <w:r w:rsidRPr="003A4375">
        <w:rPr>
          <w:lang w:val="en-GB"/>
        </w:rPr>
        <w:t xml:space="preserve"> the effect, </w:t>
      </w:r>
      <m:oMath>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vap,k-1</m:t>
            </m:r>
          </m:sub>
          <m:sup>
            <m:r>
              <w:rPr>
                <w:rFonts w:ascii="Cambria Math" w:hAnsi="Cambria Math"/>
                <w:lang w:val="en-GB"/>
              </w:rPr>
              <m:t>cond</m:t>
            </m:r>
          </m:sup>
        </m:sSubSup>
      </m:oMath>
      <w:r w:rsidRPr="003A4375">
        <w:rPr>
          <w:lang w:val="en-GB"/>
        </w:rPr>
        <w:t xml:space="preserve"> is the temperature of the </w:t>
      </w:r>
      <w:r w:rsidR="009840AF" w:rsidRPr="003A4375">
        <w:rPr>
          <w:lang w:val="en-GB"/>
        </w:rPr>
        <w:t>distillate coming from the previous</w:t>
      </w:r>
      <w:r w:rsidRPr="003A4375">
        <w:rPr>
          <w:lang w:val="en-GB"/>
        </w:rPr>
        <w:t xml:space="preserve"> flashing</w:t>
      </w:r>
      <w:r w:rsidR="009840AF" w:rsidRPr="003A4375">
        <w:rPr>
          <w:lang w:val="en-GB"/>
        </w:rPr>
        <w:t xml:space="preserve"> box</w:t>
      </w:r>
      <w:r w:rsidRPr="003A4375">
        <w:rPr>
          <w:lang w:val="en-GB"/>
        </w:rPr>
        <w:t xml:space="preserve"> (evaluated via non-equilibrium allowance</w:t>
      </w:r>
      <w:r w:rsidR="00CC5169" w:rsidRPr="003A4375">
        <w:rPr>
          <w:lang w:val="en-GB"/>
        </w:rPr>
        <w:t xml:space="preserve"> </w:t>
      </w:r>
      <w:r w:rsidR="00816DCB" w:rsidRPr="003A4375">
        <w:rPr>
          <w:lang w:val="en-GB"/>
        </w:rPr>
        <w:t>(</w:t>
      </w:r>
      <w:r w:rsidR="00CC5169" w:rsidRPr="003A4375">
        <w:rPr>
          <w:lang w:val="en-GB"/>
        </w:rPr>
        <w:t>El Dessouky et al., 2002</w:t>
      </w:r>
      <w:r w:rsidRPr="003A4375">
        <w:rPr>
          <w:lang w:val="en-GB"/>
        </w:rPr>
        <w:t>)</w:t>
      </w:r>
      <w:r w:rsidR="00816DCB" w:rsidRPr="003A4375">
        <w:rPr>
          <w:lang w:val="en-GB"/>
        </w:rPr>
        <w:t>)</w:t>
      </w:r>
      <w:r w:rsidRPr="003A4375">
        <w:rPr>
          <w:lang w:val="en-GB"/>
        </w:rPr>
        <w:t xml:space="preserve">, </w:t>
      </w:r>
      <m:oMath>
        <m:sSub>
          <m:sSubPr>
            <m:ctrlPr>
              <w:rPr>
                <w:rFonts w:ascii="Cambria Math" w:hAnsi="Cambria Math"/>
                <w:i/>
                <w:lang w:val="en-GB"/>
              </w:rPr>
            </m:ctrlPr>
          </m:sSub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ev,</m:t>
                </m:r>
              </m:sub>
              <m:sup/>
            </m:sSubSup>
          </m:e>
          <m:sub>
            <m:r>
              <w:rPr>
                <w:rFonts w:ascii="Cambria Math" w:hAnsi="Cambria Math"/>
                <w:lang w:val="en-GB"/>
              </w:rPr>
              <m:t>k</m:t>
            </m:r>
          </m:sub>
        </m:sSub>
      </m:oMath>
      <w:r w:rsidRPr="003A4375">
        <w:rPr>
          <w:lang w:val="en-GB"/>
        </w:rPr>
        <w:t xml:space="preserve"> is the heat of vaporization of the </w:t>
      </w:r>
      <w:r w:rsidR="009840AF" w:rsidRPr="003A4375">
        <w:rPr>
          <w:lang w:val="en-GB"/>
        </w:rPr>
        <w:t>distillate</w:t>
      </w:r>
      <w:r w:rsidRPr="003A4375">
        <w:rPr>
          <w:lang w:val="en-GB"/>
        </w:rPr>
        <w:t xml:space="preserve">. </w:t>
      </w:r>
    </w:p>
    <w:p w14:paraId="20F310DC" w14:textId="77777777" w:rsidR="00796EC8" w:rsidRPr="003A4375" w:rsidRDefault="00796EC8" w:rsidP="003F5AF5">
      <w:pPr>
        <w:pStyle w:val="CETBodytext"/>
        <w:rPr>
          <w:lang w:val="en-GB"/>
        </w:rPr>
      </w:pPr>
    </w:p>
    <w:p w14:paraId="5B30E092" w14:textId="3DF6CA46" w:rsidR="00EF229D" w:rsidRPr="003A4375" w:rsidRDefault="009840AF" w:rsidP="003F5AF5">
      <w:pPr>
        <w:pStyle w:val="CETBodytext"/>
        <w:rPr>
          <w:lang w:val="en-GB"/>
        </w:rPr>
      </w:pPr>
      <w:r w:rsidRPr="003A4375">
        <w:rPr>
          <w:lang w:val="en-GB"/>
        </w:rPr>
        <w:t xml:space="preserve">The </w:t>
      </w:r>
      <w:r w:rsidR="00EF229D" w:rsidRPr="003A4375">
        <w:rPr>
          <w:lang w:val="en-GB"/>
        </w:rPr>
        <w:t xml:space="preserve">preheating of the solution from </w:t>
      </w:r>
      <w:r w:rsidR="001D4399" w:rsidRPr="003A4375">
        <w:rPr>
          <w:lang w:val="en-GB"/>
        </w:rPr>
        <w:t>operating</w:t>
      </w:r>
      <w:r w:rsidR="00EF229D" w:rsidRPr="003A4375">
        <w:rPr>
          <w:lang w:val="en-GB"/>
        </w:rPr>
        <w:t xml:space="preserve"> temperature</w:t>
      </w:r>
      <w:r w:rsidR="001D4399" w:rsidRPr="003A4375">
        <w:rPr>
          <w:lang w:val="en-GB"/>
        </w:rPr>
        <w:t xml:space="preserve"> of the RED unit</w:t>
      </w:r>
      <w:r w:rsidR="00EF229D" w:rsidRPr="003A4375">
        <w:rPr>
          <w:lang w:val="en-GB"/>
        </w:rPr>
        <w:t xml:space="preserve"> (i.e. 25°C) to the </w:t>
      </w:r>
      <w:r w:rsidR="00982568" w:rsidRPr="003A4375">
        <w:rPr>
          <w:lang w:val="en-GB"/>
        </w:rPr>
        <w:t xml:space="preserve">temperature of the </w:t>
      </w:r>
      <w:r w:rsidR="00EF229D" w:rsidRPr="003A4375">
        <w:rPr>
          <w:lang w:val="en-GB"/>
        </w:rPr>
        <w:t xml:space="preserve">first effect is </w:t>
      </w:r>
      <w:r w:rsidR="00FB5AEB" w:rsidRPr="003A4375">
        <w:rPr>
          <w:lang w:val="en-GB"/>
        </w:rPr>
        <w:t>achieved in the preheaters</w:t>
      </w:r>
      <w:r w:rsidR="00EF229D" w:rsidRPr="003A4375">
        <w:rPr>
          <w:lang w:val="en-GB"/>
        </w:rPr>
        <w:t xml:space="preserve"> by </w:t>
      </w:r>
      <w:r w:rsidR="00FB5AEB" w:rsidRPr="003A4375">
        <w:rPr>
          <w:lang w:val="en-GB"/>
        </w:rPr>
        <w:t xml:space="preserve">using </w:t>
      </w:r>
      <w:r w:rsidR="001D4399" w:rsidRPr="003A4375">
        <w:rPr>
          <w:lang w:val="en-GB"/>
        </w:rPr>
        <w:t>a fraction</w:t>
      </w:r>
      <w:r w:rsidR="00FB5AEB" w:rsidRPr="003A4375">
        <w:rPr>
          <w:lang w:val="en-GB"/>
        </w:rPr>
        <w:t xml:space="preserve"> of the vapour produced in the previous effect</w:t>
      </w:r>
      <w:r w:rsidR="002B55C7" w:rsidRPr="003A4375">
        <w:rPr>
          <w:lang w:val="en-GB"/>
        </w:rPr>
        <w:t xml:space="preserve"> (</w:t>
      </w:r>
      <m:oMath>
        <m:r>
          <w:rPr>
            <w:rFonts w:ascii="Cambria Math" w:hAnsi="Cambria Math"/>
            <w:lang w:val="en-GB"/>
          </w:rPr>
          <m:t>β</m:t>
        </m:r>
      </m:oMath>
      <w:r w:rsidR="002B55C7" w:rsidRPr="003A4375">
        <w:rPr>
          <w:lang w:val="en-GB"/>
        </w:rPr>
        <w:t>)</w:t>
      </w:r>
      <w:r w:rsidR="00FB5AEB" w:rsidRPr="003A4375">
        <w:rPr>
          <w:lang w:val="en-GB"/>
        </w:rPr>
        <w:t>. For a generic preheater:</w:t>
      </w:r>
    </w:p>
    <w:p w14:paraId="7D243A92" w14:textId="645F9B45" w:rsidR="00FB5AEB" w:rsidRPr="003A4375" w:rsidRDefault="00864111" w:rsidP="003F5AF5">
      <w:pPr>
        <w:pStyle w:val="CETEquation"/>
        <w:rPr>
          <w:rFonts w:ascii="Cambria Math" w:hAnsi="Cambria Math"/>
          <w:i/>
        </w:rPr>
      </w:pPr>
      <m:oMath>
        <m:sSubSup>
          <m:sSubSupPr>
            <m:ctrlPr>
              <w:rPr>
                <w:rFonts w:ascii="Cambria Math" w:hAnsi="Cambria Math"/>
                <w:i/>
              </w:rPr>
            </m:ctrlPr>
          </m:sSubSupPr>
          <m:e>
            <m:r>
              <w:rPr>
                <w:rFonts w:ascii="Cambria Math" w:hAnsi="Cambria Math"/>
              </w:rPr>
              <m:t>w</m:t>
            </m:r>
          </m:e>
          <m:sub>
            <m:r>
              <w:rPr>
                <w:rFonts w:ascii="Cambria Math" w:hAnsi="Cambria Math"/>
              </w:rPr>
              <m:t>sol</m:t>
            </m:r>
          </m:sub>
          <m:sup>
            <m:r>
              <w:rPr>
                <w:rFonts w:ascii="Cambria Math" w:hAnsi="Cambria Math"/>
              </w:rPr>
              <m:t>in</m:t>
            </m:r>
          </m:sup>
        </m:sSubSup>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p,s</m:t>
                </m:r>
              </m:sub>
            </m:sSub>
          </m:e>
        </m:acc>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preh,k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preh,k+1</m:t>
                </m:r>
              </m:sub>
            </m:sSub>
          </m:e>
        </m:d>
        <m:r>
          <w:rPr>
            <w:rFonts w:ascii="Cambria Math" w:hAnsi="Cambria Math"/>
          </w:rPr>
          <m:t xml:space="preserve">=β </m:t>
        </m:r>
        <m:sSub>
          <m:sSubPr>
            <m:ctrlPr>
              <w:rPr>
                <w:rFonts w:ascii="Cambria Math" w:hAnsi="Cambria Math"/>
                <w:i/>
              </w:rPr>
            </m:ctrlPr>
          </m:sSubPr>
          <m:e>
            <m:r>
              <w:rPr>
                <w:rFonts w:ascii="Cambria Math" w:hAnsi="Cambria Math"/>
              </w:rPr>
              <m:t>w</m:t>
            </m:r>
          </m:e>
          <m:sub>
            <m:r>
              <w:rPr>
                <w:rFonts w:ascii="Cambria Math" w:hAnsi="Cambria Math"/>
              </w:rPr>
              <m:t>dist,k</m:t>
            </m:r>
          </m:sub>
        </m:sSub>
        <m:sSub>
          <m:sSubPr>
            <m:ctrlPr>
              <w:rPr>
                <w:rFonts w:ascii="Cambria Math" w:hAnsi="Cambria Math"/>
                <w:i/>
              </w:rPr>
            </m:ctrlPr>
          </m:sSubPr>
          <m:e>
            <m:sSubSup>
              <m:sSubSupPr>
                <m:ctrlPr>
                  <w:rPr>
                    <w:rFonts w:ascii="Cambria Math" w:hAnsi="Cambria Math"/>
                    <w:i/>
                  </w:rPr>
                </m:ctrlPr>
              </m:sSubSupPr>
              <m:e>
                <m:r>
                  <w:rPr>
                    <w:rFonts w:ascii="Cambria Math" w:hAnsi="Cambria Math"/>
                  </w:rPr>
                  <m:t>λ</m:t>
                </m:r>
              </m:e>
              <m:sub>
                <m:r>
                  <w:rPr>
                    <w:rFonts w:ascii="Cambria Math" w:hAnsi="Cambria Math"/>
                  </w:rPr>
                  <m:t>ev,</m:t>
                </m:r>
              </m:sub>
              <m:sup/>
            </m:sSubSup>
          </m:e>
          <m:sub>
            <m:r>
              <w:rPr>
                <w:rFonts w:ascii="Cambria Math" w:hAnsi="Cambria Math"/>
              </w:rPr>
              <m:t>k</m:t>
            </m:r>
          </m:sub>
        </m:sSub>
        <m:r>
          <w:rPr>
            <w:rFonts w:ascii="Cambria Math" w:hAnsi="Cambria Math"/>
          </w:rPr>
          <m:t>+β</m:t>
        </m:r>
        <m:sSub>
          <m:sSubPr>
            <m:ctrlPr>
              <w:rPr>
                <w:rFonts w:ascii="Cambria Math" w:hAnsi="Cambria Math"/>
                <w:i/>
              </w:rPr>
            </m:ctrlPr>
          </m:sSubPr>
          <m:e>
            <m:r>
              <w:rPr>
                <w:rFonts w:ascii="Cambria Math" w:hAnsi="Cambria Math"/>
              </w:rPr>
              <m:t>w</m:t>
            </m:r>
          </m:e>
          <m:sub>
            <m:r>
              <w:rPr>
                <w:rFonts w:ascii="Cambria Math" w:hAnsi="Cambria Math"/>
              </w:rPr>
              <m:t>dist,k</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p,v</m:t>
                </m:r>
              </m:sub>
            </m:sSub>
          </m:e>
        </m:acc>
        <m:r>
          <w:rPr>
            <w:rFonts w:ascii="Cambria Math" w:hAnsi="Cambria Math"/>
          </w:rPr>
          <m:t>(</m:t>
        </m:r>
        <m:sSub>
          <m:sSubPr>
            <m:ctrlPr>
              <w:rPr>
                <w:rFonts w:ascii="Cambria Math" w:hAnsi="Cambria Math"/>
                <w:i/>
              </w:rPr>
            </m:ctrlPr>
          </m:sSubPr>
          <m:e>
            <m:r>
              <w:rPr>
                <w:rFonts w:ascii="Cambria Math" w:hAnsi="Cambria Math"/>
              </w:rPr>
              <m:t>BPE</m:t>
            </m:r>
          </m:e>
          <m:sub>
            <m:r>
              <w:rPr>
                <w:rFonts w:ascii="Cambria Math" w:hAnsi="Cambria Math"/>
              </w:rPr>
              <m:t>k</m:t>
            </m:r>
          </m:sub>
        </m:sSub>
        <m:r>
          <w:rPr>
            <w:rFonts w:ascii="Cambria Math" w:hAnsi="Cambria Math"/>
          </w:rPr>
          <m:t>)</m:t>
        </m:r>
      </m:oMath>
      <w:r w:rsidR="00FB5AEB" w:rsidRPr="003A4375">
        <w:rPr>
          <w:rFonts w:ascii="Cambria Math" w:hAnsi="Cambria Math"/>
          <w:i/>
        </w:rPr>
        <w:tab/>
      </w:r>
      <w:r w:rsidR="00FB5AEB" w:rsidRPr="003A4375">
        <w:rPr>
          <w:rFonts w:ascii="Cambria Math" w:hAnsi="Cambria Math"/>
          <w:i/>
        </w:rPr>
        <w:tab/>
      </w:r>
      <w:r w:rsidR="00FB5AEB" w:rsidRPr="003A4375">
        <w:rPr>
          <w:rFonts w:ascii="Cambria Math" w:hAnsi="Cambria Math"/>
          <w:i/>
        </w:rPr>
        <w:tab/>
      </w:r>
      <w:r w:rsidR="00FB5AEB" w:rsidRPr="003A4375">
        <w:rPr>
          <w:rFonts w:cs="Arial"/>
        </w:rPr>
        <w:t>(3)</w:t>
      </w:r>
    </w:p>
    <w:p w14:paraId="71E7E4B4" w14:textId="4874200F" w:rsidR="00B84FF6" w:rsidRPr="003A4375" w:rsidRDefault="00044C20" w:rsidP="003F5AF5">
      <w:pPr>
        <w:pStyle w:val="CETBodytext"/>
        <w:rPr>
          <w:lang w:val="en-GB"/>
        </w:rPr>
      </w:pPr>
      <w:r w:rsidRPr="003A4375">
        <w:rPr>
          <w:lang w:val="en-GB"/>
        </w:rPr>
        <w:t>w</w:t>
      </w:r>
      <w:r w:rsidR="002B55C7" w:rsidRPr="003A4375">
        <w:rPr>
          <w:lang w:val="en-GB"/>
        </w:rPr>
        <w:t xml:space="preserve">here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sol</m:t>
            </m:r>
          </m:sub>
          <m:sup>
            <m:r>
              <w:rPr>
                <w:rFonts w:ascii="Cambria Math" w:hAnsi="Cambria Math"/>
                <w:lang w:val="en-GB"/>
              </w:rPr>
              <m:t>in</m:t>
            </m:r>
          </m:sup>
        </m:sSubSup>
      </m:oMath>
      <w:r w:rsidR="002B55C7" w:rsidRPr="003A4375">
        <w:rPr>
          <w:lang w:val="en-GB"/>
        </w:rPr>
        <w:t xml:space="preserve"> is the mass flow rate of the solution entering </w:t>
      </w:r>
      <w:r w:rsidR="00982568" w:rsidRPr="003A4375">
        <w:rPr>
          <w:lang w:val="en-GB"/>
        </w:rPr>
        <w:t>in MED</w:t>
      </w:r>
      <w:r w:rsidR="002B55C7" w:rsidRPr="003A4375">
        <w:rPr>
          <w:lang w:val="en-GB"/>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p,v</m:t>
                </m:r>
              </m:sub>
            </m:sSub>
          </m:e>
        </m:acc>
        <m:r>
          <w:rPr>
            <w:rFonts w:ascii="Cambria Math" w:hAnsi="Cambria Math"/>
            <w:lang w:val="en-GB"/>
          </w:rPr>
          <m:t xml:space="preserve"> </m:t>
        </m:r>
      </m:oMath>
      <w:r w:rsidR="002B55C7" w:rsidRPr="003A4375">
        <w:rPr>
          <w:lang w:val="en-GB"/>
        </w:rPr>
        <w:t xml:space="preserve">is the specific heat of the </w:t>
      </w:r>
      <w:r w:rsidR="00A13921" w:rsidRPr="003A4375">
        <w:rPr>
          <w:lang w:val="en-GB"/>
        </w:rPr>
        <w:t>vapour</w:t>
      </w:r>
      <w:r w:rsidR="002B55C7" w:rsidRPr="003A437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preh,k</m:t>
            </m:r>
          </m:sub>
        </m:sSub>
      </m:oMath>
      <w:r w:rsidR="002B55C7" w:rsidRPr="003A4375">
        <w:rPr>
          <w:lang w:val="en-GB"/>
        </w:rPr>
        <w:t xml:space="preserve"> is the</w:t>
      </w:r>
      <w:r w:rsidR="00CC5169" w:rsidRPr="003A4375">
        <w:rPr>
          <w:lang w:val="en-GB"/>
        </w:rPr>
        <w:t xml:space="preserve"> </w:t>
      </w:r>
      <w:r w:rsidR="002B55C7" w:rsidRPr="003A4375">
        <w:rPr>
          <w:lang w:val="en-GB"/>
        </w:rPr>
        <w:t xml:space="preserve">outlet </w:t>
      </w:r>
      <w:r w:rsidR="00CC5169" w:rsidRPr="003A4375">
        <w:rPr>
          <w:lang w:val="en-GB"/>
        </w:rPr>
        <w:t xml:space="preserve">solution </w:t>
      </w:r>
      <w:r w:rsidR="002B55C7" w:rsidRPr="003A4375">
        <w:rPr>
          <w:lang w:val="en-GB"/>
        </w:rPr>
        <w:t xml:space="preserve">temperature of the </w:t>
      </w:r>
      <w:r w:rsidR="00CC5169" w:rsidRPr="003A4375">
        <w:rPr>
          <w:lang w:val="en-GB"/>
        </w:rPr>
        <w:t>pre-heater</w:t>
      </w:r>
      <w:r w:rsidR="002B55C7" w:rsidRPr="003A437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preh,k+1</m:t>
            </m:r>
          </m:sub>
        </m:sSub>
      </m:oMath>
      <w:r w:rsidR="002B55C7" w:rsidRPr="003A4375">
        <w:rPr>
          <w:lang w:val="en-GB"/>
        </w:rPr>
        <w:t xml:space="preserve"> is the inlet </w:t>
      </w:r>
      <w:r w:rsidR="00CC5169" w:rsidRPr="003A4375">
        <w:rPr>
          <w:lang w:val="en-GB"/>
        </w:rPr>
        <w:t xml:space="preserve">solution </w:t>
      </w:r>
      <w:r w:rsidR="002B55C7" w:rsidRPr="003A4375">
        <w:rPr>
          <w:lang w:val="en-GB"/>
        </w:rPr>
        <w:t xml:space="preserve">temperature </w:t>
      </w:r>
      <w:r w:rsidR="00CC5169" w:rsidRPr="003A4375">
        <w:rPr>
          <w:lang w:val="en-GB"/>
        </w:rPr>
        <w:t>in</w:t>
      </w:r>
      <w:r w:rsidR="002B55C7" w:rsidRPr="003A4375">
        <w:rPr>
          <w:lang w:val="en-GB"/>
        </w:rPr>
        <w:t xml:space="preserve"> the </w:t>
      </w:r>
      <w:r w:rsidR="00CC5169" w:rsidRPr="003A4375">
        <w:rPr>
          <w:lang w:val="en-GB"/>
        </w:rPr>
        <w:t>pre-heater</w:t>
      </w:r>
      <w:r w:rsidR="002B55C7" w:rsidRPr="003A4375">
        <w:rPr>
          <w:lang w:val="en-GB"/>
        </w:rPr>
        <w:t xml:space="preserve">, </w:t>
      </w:r>
      <w:r w:rsidR="002B55C7" w:rsidRPr="003A4375">
        <w:rPr>
          <w:i/>
          <w:lang w:val="en-GB"/>
        </w:rPr>
        <w:t>BPE</w:t>
      </w:r>
      <w:r w:rsidR="002B55C7" w:rsidRPr="003A4375">
        <w:rPr>
          <w:i/>
          <w:vertAlign w:val="subscript"/>
          <w:lang w:val="en-GB"/>
        </w:rPr>
        <w:t>k</w:t>
      </w:r>
      <w:r w:rsidR="002B55C7" w:rsidRPr="003A4375">
        <w:rPr>
          <w:lang w:val="en-GB"/>
        </w:rPr>
        <w:t xml:space="preserve"> is the boiling point </w:t>
      </w:r>
      <w:r w:rsidR="00920581" w:rsidRPr="003A4375">
        <w:rPr>
          <w:lang w:val="en-GB"/>
        </w:rPr>
        <w:t xml:space="preserve">elevation (BPE) </w:t>
      </w:r>
      <w:r w:rsidR="002B55C7" w:rsidRPr="003A4375">
        <w:rPr>
          <w:lang w:val="en-GB"/>
        </w:rPr>
        <w:t>of the vapour produced in the k-th effect.</w:t>
      </w:r>
    </w:p>
    <w:p w14:paraId="703162B7" w14:textId="10256F63" w:rsidR="00796EC8" w:rsidRPr="003A4375" w:rsidRDefault="006E186E" w:rsidP="003F5AF5">
      <w:pPr>
        <w:pStyle w:val="CETBodytext"/>
        <w:rPr>
          <w:lang w:val="en-GB"/>
        </w:rPr>
      </w:pPr>
      <w:r w:rsidRPr="003A4375">
        <w:rPr>
          <w:lang w:val="en-GB"/>
        </w:rPr>
        <w:t xml:space="preserve">For a given temperature difference between brine and vapour in the </w:t>
      </w:r>
      <w:r w:rsidR="00274D24" w:rsidRPr="003A4375">
        <w:rPr>
          <w:lang w:val="en-GB"/>
        </w:rPr>
        <w:t xml:space="preserve">evaporators </w:t>
      </w:r>
      <w:r w:rsidR="00B84FF6" w:rsidRPr="003A4375">
        <w:rPr>
          <w:lang w:val="en-GB"/>
        </w:rPr>
        <w:t xml:space="preserve">of the MED system </w:t>
      </w:r>
      <w:r w:rsidR="009840AF" w:rsidRPr="003A4375">
        <w:rPr>
          <w:lang w:val="en-GB"/>
        </w:rPr>
        <w:t>(</w:t>
      </w:r>
      <w:bookmarkStart w:id="44" w:name="OLE_LINK96"/>
      <w:bookmarkStart w:id="45" w:name="OLE_LINK97"/>
      <w:bookmarkStart w:id="46" w:name="OLE_LINK98"/>
      <w:r w:rsidR="009840AF" w:rsidRPr="003A4375">
        <w:rPr>
          <w:i/>
          <w:lang w:val="en-GB"/>
        </w:rPr>
        <w:sym w:font="Symbol" w:char="F044"/>
      </w:r>
      <w:r w:rsidR="009840AF" w:rsidRPr="003A4375">
        <w:rPr>
          <w:i/>
          <w:lang w:val="en-GB"/>
        </w:rPr>
        <w:t>T</w:t>
      </w:r>
      <w:r w:rsidR="009840AF" w:rsidRPr="003A4375">
        <w:rPr>
          <w:i/>
          <w:vertAlign w:val="subscript"/>
          <w:lang w:val="en-GB"/>
        </w:rPr>
        <w:t>exch</w:t>
      </w:r>
      <w:bookmarkEnd w:id="44"/>
      <w:bookmarkEnd w:id="45"/>
      <w:bookmarkEnd w:id="46"/>
      <w:r w:rsidR="009840AF" w:rsidRPr="003A4375">
        <w:rPr>
          <w:lang w:val="en-GB"/>
        </w:rPr>
        <w:t>)</w:t>
      </w:r>
      <w:r w:rsidR="00EA4C76" w:rsidRPr="003A4375">
        <w:rPr>
          <w:lang w:val="en-GB"/>
        </w:rPr>
        <w:t xml:space="preserve"> and fixing </w:t>
      </w:r>
      <w:bookmarkStart w:id="47" w:name="OLE_LINK115"/>
      <w:bookmarkStart w:id="48" w:name="OLE_LINK116"/>
      <w:r w:rsidR="00EA4C76" w:rsidRPr="003A4375">
        <w:rPr>
          <w:lang w:val="en-GB"/>
        </w:rPr>
        <w:t>the lowest allowed pressure (or temperature) in the last effect</w:t>
      </w:r>
      <w:bookmarkEnd w:id="47"/>
      <w:bookmarkEnd w:id="48"/>
      <w:r w:rsidR="00EA4C76" w:rsidRPr="003A4375">
        <w:rPr>
          <w:lang w:val="en-GB"/>
        </w:rPr>
        <w:t xml:space="preserve">, </w:t>
      </w:r>
      <w:r w:rsidRPr="003A4375">
        <w:rPr>
          <w:lang w:val="en-GB"/>
        </w:rPr>
        <w:t>the model evaluates the maximum</w:t>
      </w:r>
      <w:r w:rsidR="00D44C63" w:rsidRPr="003A4375">
        <w:rPr>
          <w:lang w:val="en-GB"/>
        </w:rPr>
        <w:t xml:space="preserve"> suitable</w:t>
      </w:r>
      <w:r w:rsidRPr="003A4375">
        <w:rPr>
          <w:lang w:val="en-GB"/>
        </w:rPr>
        <w:t xml:space="preserve"> number of effects</w:t>
      </w:r>
      <w:r w:rsidR="00CC5169" w:rsidRPr="003A4375">
        <w:rPr>
          <w:lang w:val="en-GB"/>
        </w:rPr>
        <w:t xml:space="preserve"> </w:t>
      </w:r>
      <w:r w:rsidRPr="003A4375">
        <w:rPr>
          <w:lang w:val="en-GB"/>
        </w:rPr>
        <w:t>and the corresponding thermal power required to completely resto</w:t>
      </w:r>
      <w:r w:rsidR="00901320" w:rsidRPr="003A4375">
        <w:rPr>
          <w:lang w:val="en-GB"/>
        </w:rPr>
        <w:t>re</w:t>
      </w:r>
      <w:r w:rsidRPr="003A4375">
        <w:rPr>
          <w:lang w:val="en-GB"/>
        </w:rPr>
        <w:t xml:space="preserve"> the two salt-solutions, closing the loop.</w:t>
      </w:r>
      <w:r w:rsidR="00EF229D" w:rsidRPr="003A4375">
        <w:rPr>
          <w:lang w:val="en-GB"/>
        </w:rPr>
        <w:t xml:space="preserve"> </w:t>
      </w:r>
      <w:r w:rsidR="004076B5" w:rsidRPr="003A4375">
        <w:rPr>
          <w:lang w:val="en-GB"/>
        </w:rPr>
        <w:t xml:space="preserve">The MED model </w:t>
      </w:r>
      <w:r w:rsidR="00901320" w:rsidRPr="003A4375">
        <w:rPr>
          <w:lang w:val="en-GB"/>
        </w:rPr>
        <w:t>takes</w:t>
      </w:r>
      <w:r w:rsidR="009840AF" w:rsidRPr="003A4375">
        <w:rPr>
          <w:lang w:val="en-GB"/>
        </w:rPr>
        <w:t xml:space="preserve"> </w:t>
      </w:r>
      <w:r w:rsidR="004076B5" w:rsidRPr="003A4375">
        <w:rPr>
          <w:lang w:val="en-GB"/>
        </w:rPr>
        <w:t>also</w:t>
      </w:r>
      <w:r w:rsidR="00EF229D" w:rsidRPr="003A4375">
        <w:rPr>
          <w:lang w:val="en-GB"/>
        </w:rPr>
        <w:t xml:space="preserve"> </w:t>
      </w:r>
      <w:r w:rsidR="00901320" w:rsidRPr="003A4375">
        <w:rPr>
          <w:lang w:val="en-GB"/>
        </w:rPr>
        <w:t xml:space="preserve">into account </w:t>
      </w:r>
      <w:r w:rsidR="004076B5" w:rsidRPr="003A4375">
        <w:rPr>
          <w:lang w:val="en-GB"/>
        </w:rPr>
        <w:t>the</w:t>
      </w:r>
      <w:r w:rsidR="00EF229D" w:rsidRPr="003A4375">
        <w:rPr>
          <w:lang w:val="en-GB"/>
        </w:rPr>
        <w:t xml:space="preserve"> pumping power</w:t>
      </w:r>
      <w:r w:rsidR="004076B5" w:rsidRPr="003A4375">
        <w:rPr>
          <w:lang w:val="en-GB"/>
        </w:rPr>
        <w:t xml:space="preserve"> evaluated by </w:t>
      </w:r>
      <w:r w:rsidR="00EF229D" w:rsidRPr="003A4375">
        <w:rPr>
          <w:lang w:val="en-GB"/>
        </w:rPr>
        <w:t xml:space="preserve">considering a horizontal arrangement of the effects and </w:t>
      </w:r>
      <w:r w:rsidR="004076B5" w:rsidRPr="003A4375">
        <w:rPr>
          <w:lang w:val="en-GB"/>
        </w:rPr>
        <w:t xml:space="preserve">adopting the very same approach reported in </w:t>
      </w:r>
      <w:r w:rsidR="00EF229D" w:rsidRPr="003A4375">
        <w:rPr>
          <w:lang w:val="en-GB"/>
        </w:rPr>
        <w:t>Palenzuela et al. (2019).</w:t>
      </w:r>
      <w:r w:rsidR="0044642E" w:rsidRPr="003A4375">
        <w:rPr>
          <w:lang w:val="en-GB"/>
        </w:rPr>
        <w:t xml:space="preserve"> The temperature of the waste heat (T</w:t>
      </w:r>
      <w:r w:rsidR="0044642E" w:rsidRPr="003A4375">
        <w:rPr>
          <w:vertAlign w:val="subscript"/>
          <w:lang w:val="en-GB"/>
        </w:rPr>
        <w:t>wasteheat</w:t>
      </w:r>
      <w:r w:rsidR="0044642E" w:rsidRPr="003A4375">
        <w:rPr>
          <w:lang w:val="en-GB"/>
        </w:rPr>
        <w:t xml:space="preserve">) provided in the first effect is set </w:t>
      </w:r>
      <w:r w:rsidR="00901320" w:rsidRPr="003A4375">
        <w:rPr>
          <w:lang w:val="en-GB"/>
        </w:rPr>
        <w:t xml:space="preserve">equal </w:t>
      </w:r>
      <w:r w:rsidR="0044642E" w:rsidRPr="003A4375">
        <w:rPr>
          <w:lang w:val="en-GB"/>
        </w:rPr>
        <w:t>to 100°C for all cases</w:t>
      </w:r>
      <w:r w:rsidR="009840AF" w:rsidRPr="003A4375">
        <w:rPr>
          <w:lang w:val="en-GB"/>
        </w:rPr>
        <w:t xml:space="preserve"> while the temperature of the cooling stream is fixed </w:t>
      </w:r>
      <w:r w:rsidR="00901320" w:rsidRPr="003A4375">
        <w:rPr>
          <w:lang w:val="en-GB"/>
        </w:rPr>
        <w:t>equal to</w:t>
      </w:r>
      <w:r w:rsidR="009840AF" w:rsidRPr="003A4375">
        <w:rPr>
          <w:lang w:val="en-GB"/>
        </w:rPr>
        <w:t xml:space="preserve"> 20°C.</w:t>
      </w:r>
      <w:r w:rsidR="00CB17D4" w:rsidRPr="003A4375">
        <w:rPr>
          <w:lang w:val="en-GB"/>
        </w:rPr>
        <w:t xml:space="preserve"> </w:t>
      </w:r>
      <w:r w:rsidR="004076B5" w:rsidRPr="003A4375">
        <w:rPr>
          <w:lang w:val="en-GB"/>
        </w:rPr>
        <w:t xml:space="preserve">The net </w:t>
      </w:r>
      <w:r w:rsidR="001D4399" w:rsidRPr="003A4375">
        <w:rPr>
          <w:lang w:val="en-GB"/>
        </w:rPr>
        <w:t>thermal</w:t>
      </w:r>
      <w:r w:rsidR="004076B5" w:rsidRPr="003A4375">
        <w:rPr>
          <w:lang w:val="en-GB"/>
        </w:rPr>
        <w:t xml:space="preserve"> efficiency of the system</w:t>
      </w:r>
      <w:r w:rsidR="001D4399" w:rsidRPr="003A4375">
        <w:rPr>
          <w:lang w:val="en-GB"/>
        </w:rPr>
        <w:t xml:space="preserve"> (</w:t>
      </w:r>
      <w:bookmarkStart w:id="49" w:name="OLE_LINK121"/>
      <w:bookmarkStart w:id="50" w:name="OLE_LINK122"/>
      <w:bookmarkStart w:id="51" w:name="OLE_LINK127"/>
      <w:r w:rsidR="001D4399" w:rsidRPr="003A4375">
        <w:rPr>
          <w:lang w:val="en-GB"/>
        </w:rPr>
        <w:sym w:font="Symbol" w:char="F068"/>
      </w:r>
      <w:r w:rsidR="001D4399" w:rsidRPr="003A4375">
        <w:rPr>
          <w:vertAlign w:val="subscript"/>
          <w:lang w:val="en-GB"/>
        </w:rPr>
        <w:t>th</w:t>
      </w:r>
      <w:bookmarkEnd w:id="49"/>
      <w:bookmarkEnd w:id="50"/>
      <w:bookmarkEnd w:id="51"/>
      <w:r w:rsidR="001D4399" w:rsidRPr="003A4375">
        <w:rPr>
          <w:lang w:val="en-GB"/>
        </w:rPr>
        <w:t xml:space="preserve">) </w:t>
      </w:r>
      <w:r w:rsidR="004076B5" w:rsidRPr="003A4375">
        <w:rPr>
          <w:lang w:val="en-GB"/>
        </w:rPr>
        <w:t xml:space="preserve">is given by the ratio </w:t>
      </w:r>
      <w:r w:rsidR="001D4399" w:rsidRPr="003A4375">
        <w:rPr>
          <w:lang w:val="en-GB"/>
        </w:rPr>
        <w:t>between</w:t>
      </w:r>
      <w:r w:rsidR="004076B5" w:rsidRPr="003A4375">
        <w:rPr>
          <w:lang w:val="en-GB"/>
        </w:rPr>
        <w:t xml:space="preserve"> the net electrical power produced in the RED unit (</w:t>
      </w:r>
      <w:r w:rsidR="00A806B7">
        <w:rPr>
          <w:lang w:val="en-GB"/>
        </w:rPr>
        <w:t>i.e. the gross electrical power produced minus</w:t>
      </w:r>
      <w:r w:rsidR="004076B5" w:rsidRPr="003A4375">
        <w:rPr>
          <w:lang w:val="en-GB"/>
        </w:rPr>
        <w:t xml:space="preserve"> the pumping power of </w:t>
      </w:r>
      <w:r w:rsidR="00A806B7">
        <w:rPr>
          <w:lang w:val="en-GB"/>
        </w:rPr>
        <w:t xml:space="preserve">the </w:t>
      </w:r>
      <w:r w:rsidR="004076B5" w:rsidRPr="003A4375">
        <w:rPr>
          <w:lang w:val="en-GB"/>
        </w:rPr>
        <w:t>RED and MED process</w:t>
      </w:r>
      <w:r w:rsidR="00A806B7">
        <w:rPr>
          <w:lang w:val="en-GB"/>
        </w:rPr>
        <w:t>es</w:t>
      </w:r>
      <w:r w:rsidR="004076B5" w:rsidRPr="003A4375">
        <w:rPr>
          <w:lang w:val="en-GB"/>
        </w:rPr>
        <w:t>) and the thermal power required in the MED unit.</w:t>
      </w:r>
    </w:p>
    <w:p w14:paraId="184BEE3D" w14:textId="21CA00EF" w:rsidR="001E006F" w:rsidRPr="003A4375" w:rsidRDefault="006F74AB" w:rsidP="003F5AF5">
      <w:pPr>
        <w:pStyle w:val="CETBodytext"/>
        <w:rPr>
          <w:lang w:val="en-GB"/>
        </w:rPr>
      </w:pPr>
      <w:r w:rsidRPr="003A4375">
        <w:rPr>
          <w:lang w:val="en-GB"/>
        </w:rPr>
        <w:t xml:space="preserve">Simulations </w:t>
      </w:r>
      <w:r w:rsidR="00901320" w:rsidRPr="003A4375">
        <w:rPr>
          <w:lang w:val="en-GB"/>
        </w:rPr>
        <w:t>were</w:t>
      </w:r>
      <w:r w:rsidRPr="003A4375">
        <w:rPr>
          <w:lang w:val="en-GB"/>
        </w:rPr>
        <w:t xml:space="preserve"> carried out by considering a RED unit consisting of 500 cell pairs with a membrane area of 0.5x0.5 m</w:t>
      </w:r>
      <w:r w:rsidRPr="003A4375">
        <w:rPr>
          <w:vertAlign w:val="superscript"/>
          <w:lang w:val="en-GB"/>
        </w:rPr>
        <w:t>2</w:t>
      </w:r>
      <w:r w:rsidR="006E186E" w:rsidRPr="003A4375">
        <w:rPr>
          <w:lang w:val="en-GB"/>
        </w:rPr>
        <w:t xml:space="preserve"> and </w:t>
      </w:r>
      <w:r w:rsidRPr="003A4375">
        <w:rPr>
          <w:lang w:val="en-GB"/>
        </w:rPr>
        <w:t xml:space="preserve">spacers 155 </w:t>
      </w:r>
      <w:r w:rsidR="00901320" w:rsidRPr="003A4375">
        <w:rPr>
          <w:rFonts w:cs="Arial"/>
          <w:lang w:val="en-GB"/>
        </w:rPr>
        <w:t>µ</w:t>
      </w:r>
      <w:r w:rsidR="00901320" w:rsidRPr="003A4375">
        <w:rPr>
          <w:lang w:val="en-GB"/>
        </w:rPr>
        <w:t>m thick</w:t>
      </w:r>
      <w:r w:rsidRPr="003A4375">
        <w:rPr>
          <w:lang w:val="en-GB"/>
        </w:rPr>
        <w:t xml:space="preserve">. </w:t>
      </w:r>
      <w:r w:rsidR="00A37CD4" w:rsidRPr="003A4375">
        <w:rPr>
          <w:lang w:val="en-GB"/>
        </w:rPr>
        <w:t xml:space="preserve">Firstly, the </w:t>
      </w:r>
      <w:r w:rsidR="00901320" w:rsidRPr="003A4375">
        <w:rPr>
          <w:lang w:val="en-GB"/>
        </w:rPr>
        <w:t>effect</w:t>
      </w:r>
      <w:r w:rsidR="00A806B7">
        <w:rPr>
          <w:lang w:val="en-GB"/>
        </w:rPr>
        <w:t xml:space="preserve"> of the concentrations of the two </w:t>
      </w:r>
      <w:r w:rsidR="00934290" w:rsidRPr="003A4375">
        <w:rPr>
          <w:lang w:val="en-GB"/>
        </w:rPr>
        <w:t xml:space="preserve">inlet </w:t>
      </w:r>
      <w:r w:rsidR="00A37CD4" w:rsidRPr="003A4375">
        <w:rPr>
          <w:lang w:val="en-GB"/>
        </w:rPr>
        <w:t>solutio</w:t>
      </w:r>
      <w:r w:rsidR="00934290" w:rsidRPr="003A4375">
        <w:rPr>
          <w:lang w:val="en-GB"/>
        </w:rPr>
        <w:t>n</w:t>
      </w:r>
      <w:r w:rsidR="00A806B7">
        <w:rPr>
          <w:lang w:val="en-GB"/>
        </w:rPr>
        <w:t>s</w:t>
      </w:r>
      <w:r w:rsidR="001267D0" w:rsidRPr="003A4375">
        <w:rPr>
          <w:lang w:val="en-GB"/>
        </w:rPr>
        <w:t xml:space="preserve"> </w:t>
      </w:r>
      <w:r w:rsidR="00A806B7">
        <w:rPr>
          <w:lang w:val="en-GB"/>
        </w:rPr>
        <w:t>fed to the RED unit</w:t>
      </w:r>
      <w:r w:rsidR="00934290" w:rsidRPr="003A4375">
        <w:rPr>
          <w:lang w:val="en-GB"/>
        </w:rPr>
        <w:t xml:space="preserve"> </w:t>
      </w:r>
      <w:r w:rsidR="00441B64" w:rsidRPr="003A4375">
        <w:rPr>
          <w:lang w:val="en-GB"/>
        </w:rPr>
        <w:t>(</w:t>
      </w:r>
      <w:r w:rsidR="00A806B7">
        <w:rPr>
          <w:lang w:val="en-GB"/>
        </w:rPr>
        <w:t xml:space="preserve">high-concentration </w:t>
      </w:r>
      <w:r w:rsidR="00441B64" w:rsidRPr="003A4375">
        <w:t>C</w:t>
      </w:r>
      <w:r w:rsidR="00441B64" w:rsidRPr="003A4375">
        <w:rPr>
          <w:vertAlign w:val="subscript"/>
        </w:rPr>
        <w:t>H,in</w:t>
      </w:r>
      <w:r w:rsidR="00441B64" w:rsidRPr="003A4375">
        <w:t xml:space="preserve"> and </w:t>
      </w:r>
      <w:r w:rsidR="00A806B7">
        <w:t xml:space="preserve">low-concentration </w:t>
      </w:r>
      <w:r w:rsidR="00441B64" w:rsidRPr="003A4375">
        <w:t>C</w:t>
      </w:r>
      <w:r w:rsidR="00441B64" w:rsidRPr="003A4375">
        <w:rPr>
          <w:vertAlign w:val="subscript"/>
        </w:rPr>
        <w:t>L,in</w:t>
      </w:r>
      <w:r w:rsidR="001267D0" w:rsidRPr="003A4375">
        <w:t>, respectively</w:t>
      </w:r>
      <w:r w:rsidR="00441B64" w:rsidRPr="003A4375">
        <w:rPr>
          <w:lang w:val="en-GB"/>
        </w:rPr>
        <w:t xml:space="preserve">) </w:t>
      </w:r>
      <w:r w:rsidR="00A37CD4" w:rsidRPr="003A4375">
        <w:rPr>
          <w:lang w:val="en-GB"/>
        </w:rPr>
        <w:t xml:space="preserve">in the range </w:t>
      </w:r>
      <w:r w:rsidR="00A450A3" w:rsidRPr="003A4375">
        <w:rPr>
          <w:lang w:val="en-GB"/>
        </w:rPr>
        <w:t>1</w:t>
      </w:r>
      <w:r w:rsidR="00A37CD4" w:rsidRPr="003A4375">
        <w:rPr>
          <w:lang w:val="en-GB"/>
        </w:rPr>
        <w:t xml:space="preserve"> to 14 mol/l and 0.01</w:t>
      </w:r>
      <w:r w:rsidR="00B84FF6" w:rsidRPr="003A4375">
        <w:rPr>
          <w:lang w:val="en-GB"/>
        </w:rPr>
        <w:t xml:space="preserve"> </w:t>
      </w:r>
      <w:r w:rsidR="00A37CD4" w:rsidRPr="003A4375">
        <w:rPr>
          <w:lang w:val="en-GB"/>
        </w:rPr>
        <w:lastRenderedPageBreak/>
        <w:t>to 0.5 mol/l, respectively</w:t>
      </w:r>
      <w:r w:rsidR="00901320" w:rsidRPr="003A4375">
        <w:rPr>
          <w:lang w:val="en-GB"/>
        </w:rPr>
        <w:t>,</w:t>
      </w:r>
      <w:r w:rsidR="00A37CD4" w:rsidRPr="003A4375">
        <w:rPr>
          <w:lang w:val="en-GB"/>
        </w:rPr>
        <w:t xml:space="preserve"> </w:t>
      </w:r>
      <w:r w:rsidR="00901320" w:rsidRPr="003A4375">
        <w:rPr>
          <w:lang w:val="en-GB"/>
        </w:rPr>
        <w:t>was</w:t>
      </w:r>
      <w:r w:rsidR="00A37CD4" w:rsidRPr="003A4375">
        <w:rPr>
          <w:lang w:val="en-GB"/>
        </w:rPr>
        <w:t xml:space="preserve"> investigated</w:t>
      </w:r>
      <w:r w:rsidR="001267D0" w:rsidRPr="003A4375">
        <w:rPr>
          <w:lang w:val="en-GB"/>
        </w:rPr>
        <w:t xml:space="preserve">. In order to assess the potential of this </w:t>
      </w:r>
      <w:r w:rsidR="00A806B7">
        <w:rPr>
          <w:lang w:val="en-GB"/>
        </w:rPr>
        <w:t xml:space="preserve">heat </w:t>
      </w:r>
      <w:r w:rsidR="001267D0" w:rsidRPr="003A4375">
        <w:rPr>
          <w:lang w:val="en-GB"/>
        </w:rPr>
        <w:t xml:space="preserve">engine, ideal </w:t>
      </w:r>
      <w:r w:rsidR="00B3583E" w:rsidRPr="003A4375">
        <w:rPr>
          <w:lang w:val="en-GB"/>
        </w:rPr>
        <w:t>IEM</w:t>
      </w:r>
      <w:r w:rsidR="00A37CD4" w:rsidRPr="003A4375">
        <w:rPr>
          <w:lang w:val="en-GB"/>
        </w:rPr>
        <w:t>s</w:t>
      </w:r>
      <w:r w:rsidR="001E006F" w:rsidRPr="003A4375">
        <w:rPr>
          <w:lang w:val="en-GB"/>
        </w:rPr>
        <w:t xml:space="preserve"> </w:t>
      </w:r>
      <w:r w:rsidR="001267D0" w:rsidRPr="003A4375">
        <w:rPr>
          <w:lang w:val="en-GB"/>
        </w:rPr>
        <w:t>were considered: in particular, average permselectivity (</w:t>
      </w:r>
      <w:r w:rsidR="001267D0" w:rsidRPr="003A4375">
        <w:rPr>
          <w:lang w:val="en-GB"/>
        </w:rPr>
        <w:sym w:font="Symbol" w:char="F061"/>
      </w:r>
      <w:r w:rsidR="001267D0" w:rsidRPr="003A4375">
        <w:rPr>
          <w:lang w:val="en-GB"/>
        </w:rPr>
        <w:t>) was assumed as 100</w:t>
      </w:r>
      <w:r w:rsidR="00C12215" w:rsidRPr="003A4375">
        <w:rPr>
          <w:lang w:val="en-GB"/>
        </w:rPr>
        <w:t xml:space="preserve"> </w:t>
      </w:r>
      <w:r w:rsidR="001267D0" w:rsidRPr="003A4375">
        <w:rPr>
          <w:lang w:val="en-GB"/>
        </w:rPr>
        <w:t>%, water and salt permeability were neglected and resistance</w:t>
      </w:r>
      <w:r w:rsidR="001267D0" w:rsidRPr="003A4375">
        <w:rPr>
          <w:vertAlign w:val="superscript"/>
          <w:lang w:val="en-GB"/>
        </w:rPr>
        <w:t xml:space="preserve"> </w:t>
      </w:r>
      <w:r w:rsidR="001267D0" w:rsidRPr="003A4375">
        <w:rPr>
          <w:lang w:val="en-GB"/>
        </w:rPr>
        <w:t>(R</w:t>
      </w:r>
      <w:r w:rsidR="001267D0" w:rsidRPr="003A4375">
        <w:rPr>
          <w:vertAlign w:val="subscript"/>
          <w:lang w:val="en-GB"/>
        </w:rPr>
        <w:t>IEMs</w:t>
      </w:r>
      <w:r w:rsidR="001267D0" w:rsidRPr="003A4375">
        <w:rPr>
          <w:lang w:val="en-GB"/>
        </w:rPr>
        <w:t xml:space="preserve">) was set to 0.1 </w:t>
      </w:r>
      <w:r w:rsidR="001267D0" w:rsidRPr="003A4375">
        <w:rPr>
          <w:lang w:val="en-GB"/>
        </w:rPr>
        <w:sym w:font="Symbol" w:char="F057"/>
      </w:r>
      <w:r w:rsidR="001267D0" w:rsidRPr="003A4375">
        <w:rPr>
          <w:lang w:val="en-GB"/>
        </w:rPr>
        <w:t>cm</w:t>
      </w:r>
      <w:r w:rsidR="001267D0" w:rsidRPr="003A4375">
        <w:rPr>
          <w:vertAlign w:val="superscript"/>
          <w:lang w:val="en-GB"/>
        </w:rPr>
        <w:t>2</w:t>
      </w:r>
      <w:r w:rsidR="001267D0" w:rsidRPr="003A4375">
        <w:rPr>
          <w:lang w:val="en-GB"/>
        </w:rPr>
        <w:t xml:space="preserve">. Concerning the MED unit, </w:t>
      </w:r>
      <w:r w:rsidR="001267D0" w:rsidRPr="003A4375">
        <w:rPr>
          <w:i/>
          <w:lang w:val="en-GB"/>
        </w:rPr>
        <w:sym w:font="Symbol" w:char="F044"/>
      </w:r>
      <w:r w:rsidR="001267D0" w:rsidRPr="003A4375">
        <w:rPr>
          <w:i/>
          <w:lang w:val="en-GB"/>
        </w:rPr>
        <w:t>T</w:t>
      </w:r>
      <w:r w:rsidR="001267D0" w:rsidRPr="003A4375">
        <w:rPr>
          <w:i/>
          <w:vertAlign w:val="subscript"/>
          <w:lang w:val="en-GB"/>
        </w:rPr>
        <w:t xml:space="preserve">exch </w:t>
      </w:r>
      <w:r w:rsidR="001267D0" w:rsidRPr="003A4375">
        <w:rPr>
          <w:lang w:val="en-GB"/>
        </w:rPr>
        <w:t>was set to 2°C</w:t>
      </w:r>
      <w:r w:rsidR="000B5FE8" w:rsidRPr="003A4375">
        <w:rPr>
          <w:lang w:val="en-GB"/>
        </w:rPr>
        <w:t>,</w:t>
      </w:r>
      <w:r w:rsidR="001267D0" w:rsidRPr="003A4375">
        <w:rPr>
          <w:lang w:val="en-GB"/>
        </w:rPr>
        <w:t xml:space="preserve"> while the lowest allowed pressure value in the last effect was fixed at 0.05 bar. In the final part of the work, </w:t>
      </w:r>
      <w:r w:rsidR="00194A22" w:rsidRPr="003A4375">
        <w:rPr>
          <w:lang w:val="en-GB"/>
        </w:rPr>
        <w:t xml:space="preserve">the influence of </w:t>
      </w:r>
      <w:r w:rsidR="00B84FF6" w:rsidRPr="003A4375">
        <w:rPr>
          <w:lang w:val="en-GB"/>
        </w:rPr>
        <w:t xml:space="preserve">the </w:t>
      </w:r>
      <w:r w:rsidR="00194A22" w:rsidRPr="003A4375">
        <w:rPr>
          <w:lang w:val="en-GB"/>
        </w:rPr>
        <w:t xml:space="preserve">average </w:t>
      </w:r>
      <w:r w:rsidR="00CC5169" w:rsidRPr="003A4375">
        <w:rPr>
          <w:lang w:val="en-GB"/>
        </w:rPr>
        <w:t>IEMs</w:t>
      </w:r>
      <w:r w:rsidR="00194A22" w:rsidRPr="003A4375">
        <w:rPr>
          <w:lang w:val="en-GB"/>
        </w:rPr>
        <w:t xml:space="preserve"> </w:t>
      </w:r>
      <w:r w:rsidR="00CC5169" w:rsidRPr="003A4375">
        <w:rPr>
          <w:lang w:val="en-GB"/>
        </w:rPr>
        <w:t>properties</w:t>
      </w:r>
      <w:r w:rsidR="00194A22" w:rsidRPr="003A4375">
        <w:rPr>
          <w:lang w:val="en-GB"/>
        </w:rPr>
        <w:t xml:space="preserve"> on the performance of the system is </w:t>
      </w:r>
      <w:r w:rsidR="000A2F7F" w:rsidRPr="003A4375">
        <w:rPr>
          <w:lang w:val="en-GB"/>
        </w:rPr>
        <w:t>studied</w:t>
      </w:r>
      <w:r w:rsidR="00194A22" w:rsidRPr="003A4375">
        <w:rPr>
          <w:lang w:val="en-GB"/>
        </w:rPr>
        <w:t xml:space="preserve"> by varying </w:t>
      </w:r>
      <w:r w:rsidR="009D0721" w:rsidRPr="003A4375">
        <w:rPr>
          <w:lang w:val="en-GB"/>
        </w:rPr>
        <w:t xml:space="preserve">independently </w:t>
      </w:r>
      <w:r w:rsidR="001267D0" w:rsidRPr="003A4375">
        <w:rPr>
          <w:lang w:val="en-GB"/>
        </w:rPr>
        <w:sym w:font="Symbol" w:char="F061"/>
      </w:r>
      <w:r w:rsidR="001267D0" w:rsidRPr="003A4375">
        <w:rPr>
          <w:lang w:val="en-GB"/>
        </w:rPr>
        <w:t xml:space="preserve"> </w:t>
      </w:r>
      <w:r w:rsidR="00194A22" w:rsidRPr="003A4375">
        <w:rPr>
          <w:lang w:val="en-GB"/>
        </w:rPr>
        <w:t>in the ra</w:t>
      </w:r>
      <w:r w:rsidR="001267D0" w:rsidRPr="003A4375">
        <w:rPr>
          <w:lang w:val="en-GB"/>
        </w:rPr>
        <w:t>n</w:t>
      </w:r>
      <w:r w:rsidR="00194A22" w:rsidRPr="003A4375">
        <w:rPr>
          <w:lang w:val="en-GB"/>
        </w:rPr>
        <w:t>ge 50</w:t>
      </w:r>
      <w:r w:rsidR="00EA3E7E" w:rsidRPr="003A4375">
        <w:rPr>
          <w:lang w:val="en-GB"/>
        </w:rPr>
        <w:t>–</w:t>
      </w:r>
      <w:r w:rsidR="00467BDF" w:rsidRPr="003A4375">
        <w:rPr>
          <w:lang w:val="en-GB"/>
        </w:rPr>
        <w:t>1</w:t>
      </w:r>
      <w:r w:rsidR="00194A22" w:rsidRPr="003A4375">
        <w:rPr>
          <w:lang w:val="en-GB"/>
        </w:rPr>
        <w:t>00</w:t>
      </w:r>
      <w:r w:rsidR="00C12215" w:rsidRPr="003A4375">
        <w:rPr>
          <w:lang w:val="en-GB"/>
        </w:rPr>
        <w:t xml:space="preserve"> </w:t>
      </w:r>
      <w:r w:rsidR="00194A22" w:rsidRPr="003A4375">
        <w:rPr>
          <w:lang w:val="en-GB"/>
        </w:rPr>
        <w:t>%</w:t>
      </w:r>
      <w:r w:rsidR="00EA3E7E" w:rsidRPr="003A4375">
        <w:rPr>
          <w:lang w:val="en-GB"/>
        </w:rPr>
        <w:t xml:space="preserve"> </w:t>
      </w:r>
      <w:r w:rsidR="00194A22" w:rsidRPr="003A4375">
        <w:rPr>
          <w:lang w:val="en-GB"/>
        </w:rPr>
        <w:t>a</w:t>
      </w:r>
      <w:r w:rsidR="0079524A" w:rsidRPr="003A4375">
        <w:rPr>
          <w:lang w:val="en-GB"/>
        </w:rPr>
        <w:t xml:space="preserve">nd </w:t>
      </w:r>
      <w:r w:rsidR="00586CFC" w:rsidRPr="003A4375">
        <w:rPr>
          <w:lang w:val="en-GB"/>
        </w:rPr>
        <w:t>R</w:t>
      </w:r>
      <w:r w:rsidR="00586CFC" w:rsidRPr="003A4375">
        <w:rPr>
          <w:vertAlign w:val="subscript"/>
          <w:lang w:val="en-GB"/>
        </w:rPr>
        <w:t>IEMs</w:t>
      </w:r>
      <w:r w:rsidR="0079524A" w:rsidRPr="003A4375">
        <w:rPr>
          <w:lang w:val="en-GB"/>
        </w:rPr>
        <w:t xml:space="preserve"> in the range 0.1</w:t>
      </w:r>
      <w:r w:rsidR="00A450A3" w:rsidRPr="003A4375">
        <w:rPr>
          <w:lang w:val="en-GB"/>
        </w:rPr>
        <w:t xml:space="preserve"> </w:t>
      </w:r>
      <w:r w:rsidR="00EA3E7E" w:rsidRPr="003A4375">
        <w:rPr>
          <w:lang w:val="en-GB"/>
        </w:rPr>
        <w:t>–</w:t>
      </w:r>
      <w:r w:rsidR="00194A22" w:rsidRPr="003A4375">
        <w:rPr>
          <w:lang w:val="en-GB"/>
        </w:rPr>
        <w:t xml:space="preserve"> </w:t>
      </w:r>
      <w:bookmarkStart w:id="52" w:name="OLE_LINK1"/>
      <w:bookmarkStart w:id="53" w:name="OLE_LINK2"/>
      <w:r w:rsidR="00CC5169" w:rsidRPr="003A4375">
        <w:rPr>
          <w:lang w:val="en-GB"/>
        </w:rPr>
        <w:t>7</w:t>
      </w:r>
      <w:r w:rsidR="00EA3E7E" w:rsidRPr="003A4375">
        <w:rPr>
          <w:lang w:val="en-GB"/>
        </w:rPr>
        <w:t xml:space="preserve"> </w:t>
      </w:r>
      <w:bookmarkEnd w:id="52"/>
      <w:bookmarkEnd w:id="53"/>
      <w:r w:rsidR="00006DCD" w:rsidRPr="003A4375">
        <w:rPr>
          <w:lang w:val="en-GB"/>
        </w:rPr>
        <w:sym w:font="Symbol" w:char="F057"/>
      </w:r>
      <w:r w:rsidR="00006DCD" w:rsidRPr="003A4375">
        <w:rPr>
          <w:lang w:val="en-GB"/>
        </w:rPr>
        <w:t>cm</w:t>
      </w:r>
      <w:r w:rsidR="00006DCD" w:rsidRPr="003A4375">
        <w:rPr>
          <w:vertAlign w:val="superscript"/>
          <w:lang w:val="en-GB"/>
        </w:rPr>
        <w:t>2</w:t>
      </w:r>
      <w:r w:rsidR="00CC5169" w:rsidRPr="003A4375">
        <w:rPr>
          <w:lang w:val="en-GB"/>
        </w:rPr>
        <w:t>.</w:t>
      </w:r>
    </w:p>
    <w:p w14:paraId="33FF5AD3" w14:textId="77777777" w:rsidR="00DC152F" w:rsidRPr="003A4375" w:rsidRDefault="00DC152F" w:rsidP="003F5AF5">
      <w:pPr>
        <w:pStyle w:val="CETHeading1"/>
        <w:tabs>
          <w:tab w:val="clear" w:pos="360"/>
          <w:tab w:val="right" w:pos="7100"/>
        </w:tabs>
        <w:jc w:val="both"/>
        <w:rPr>
          <w:lang w:val="en-GB"/>
        </w:rPr>
      </w:pPr>
      <w:r w:rsidRPr="003A4375">
        <w:rPr>
          <w:lang w:val="en-GB"/>
        </w:rPr>
        <w:t>Results and discussion</w:t>
      </w:r>
    </w:p>
    <w:p w14:paraId="664C2120" w14:textId="62C72618" w:rsidR="00E1771F" w:rsidRPr="003A4375" w:rsidRDefault="004076B5" w:rsidP="003F5AF5">
      <w:pPr>
        <w:pStyle w:val="CETBodytext"/>
        <w:rPr>
          <w:lang w:val="en-GB"/>
        </w:rPr>
      </w:pPr>
      <w:r w:rsidRPr="003A4375">
        <w:rPr>
          <w:lang w:val="en-GB"/>
        </w:rPr>
        <w:t>The first sensitivity analysis, reported in fig</w:t>
      </w:r>
      <w:r w:rsidR="00E1771F" w:rsidRPr="003A4375">
        <w:rPr>
          <w:lang w:val="en-GB"/>
        </w:rPr>
        <w:t>.</w:t>
      </w:r>
      <w:r w:rsidRPr="003A4375">
        <w:rPr>
          <w:lang w:val="en-GB"/>
        </w:rPr>
        <w:t xml:space="preserve"> 2, shows the net</w:t>
      </w:r>
      <w:r w:rsidR="00E36DBE" w:rsidRPr="003A4375">
        <w:rPr>
          <w:lang w:val="en-GB"/>
        </w:rPr>
        <w:t xml:space="preserve"> power density</w:t>
      </w:r>
      <w:r w:rsidR="0046543E" w:rsidRPr="003A4375">
        <w:rPr>
          <w:lang w:val="en-GB"/>
        </w:rPr>
        <w:t xml:space="preserve"> </w:t>
      </w:r>
      <w:r w:rsidR="000B5FE8" w:rsidRPr="003A4375">
        <w:rPr>
          <w:lang w:val="en-GB"/>
        </w:rPr>
        <w:t xml:space="preserve">at </w:t>
      </w:r>
      <w:r w:rsidR="0046543E" w:rsidRPr="003A4375">
        <w:rPr>
          <w:lang w:val="en-GB"/>
        </w:rPr>
        <w:t>(P</w:t>
      </w:r>
      <w:r w:rsidR="000B5FE8" w:rsidRPr="003A4375">
        <w:rPr>
          <w:vertAlign w:val="subscript"/>
          <w:lang w:val="en-GB"/>
        </w:rPr>
        <w:t>d</w:t>
      </w:r>
      <w:r w:rsidR="0046543E" w:rsidRPr="003A4375">
        <w:rPr>
          <w:lang w:val="en-GB"/>
        </w:rPr>
        <w:t xml:space="preserve">) </w:t>
      </w:r>
      <w:r w:rsidR="00E36DBE" w:rsidRPr="003A4375">
        <w:rPr>
          <w:lang w:val="en-GB"/>
        </w:rPr>
        <w:t>and the specific thermal consumption</w:t>
      </w:r>
      <w:r w:rsidR="00D32F92" w:rsidRPr="003A4375">
        <w:rPr>
          <w:lang w:val="en-GB"/>
        </w:rPr>
        <w:t xml:space="preserve"> (STC)</w:t>
      </w:r>
      <w:r w:rsidR="00E1771F" w:rsidRPr="003A4375">
        <w:rPr>
          <w:lang w:val="en-GB"/>
        </w:rPr>
        <w:t xml:space="preserve"> </w:t>
      </w:r>
      <w:r w:rsidR="00F261B0" w:rsidRPr="003A4375">
        <w:rPr>
          <w:lang w:val="en-GB"/>
        </w:rPr>
        <w:t>of an ideal</w:t>
      </w:r>
      <w:r w:rsidR="00E36DBE" w:rsidRPr="003A4375">
        <w:rPr>
          <w:lang w:val="en-GB"/>
        </w:rPr>
        <w:t xml:space="preserve"> RED-MED HE system</w:t>
      </w:r>
      <w:r w:rsidRPr="003A4375">
        <w:rPr>
          <w:lang w:val="en-GB"/>
        </w:rPr>
        <w:t xml:space="preserve"> as a function of the </w:t>
      </w:r>
      <w:r w:rsidR="00E1771F" w:rsidRPr="003A4375">
        <w:rPr>
          <w:lang w:val="en-GB"/>
        </w:rPr>
        <w:t xml:space="preserve">RED inlet </w:t>
      </w:r>
      <w:r w:rsidRPr="003A4375">
        <w:rPr>
          <w:lang w:val="en-GB"/>
        </w:rPr>
        <w:t>concentration of the two solutions</w:t>
      </w:r>
      <w:r w:rsidR="00E36DBE" w:rsidRPr="003A4375">
        <w:rPr>
          <w:lang w:val="en-GB"/>
        </w:rPr>
        <w:t>.</w:t>
      </w:r>
      <w:r w:rsidR="0044642E" w:rsidRPr="003A4375">
        <w:rPr>
          <w:lang w:val="en-GB"/>
        </w:rPr>
        <w:t xml:space="preserve"> </w:t>
      </w:r>
      <w:r w:rsidR="000B5FE8" w:rsidRPr="003A4375">
        <w:rPr>
          <w:lang w:val="en-GB"/>
        </w:rPr>
        <w:t>Notably, in all simulations</w:t>
      </w:r>
      <w:r w:rsidR="00E1771F" w:rsidRPr="003A4375">
        <w:rPr>
          <w:lang w:val="en-GB"/>
        </w:rPr>
        <w:t xml:space="preserve">, the </w:t>
      </w:r>
      <w:r w:rsidR="00336DCD" w:rsidRPr="003A4375">
        <w:rPr>
          <w:lang w:val="en-GB"/>
        </w:rPr>
        <w:t>velocity of the high</w:t>
      </w:r>
      <w:r w:rsidR="00A806B7">
        <w:rPr>
          <w:lang w:val="en-GB"/>
        </w:rPr>
        <w:t>-concentration</w:t>
      </w:r>
      <w:r w:rsidR="00336DCD" w:rsidRPr="003A4375">
        <w:rPr>
          <w:lang w:val="en-GB"/>
        </w:rPr>
        <w:t xml:space="preserve"> and low</w:t>
      </w:r>
      <w:r w:rsidR="00A806B7">
        <w:rPr>
          <w:lang w:val="en-GB"/>
        </w:rPr>
        <w:t>-concentration</w:t>
      </w:r>
      <w:r w:rsidR="00336DCD" w:rsidRPr="003A4375">
        <w:rPr>
          <w:lang w:val="en-GB"/>
        </w:rPr>
        <w:t xml:space="preserve"> solutions fed in the RED unit (</w:t>
      </w:r>
      <w:r w:rsidR="00336DCD" w:rsidRPr="003A4375">
        <w:t>v</w:t>
      </w:r>
      <w:r w:rsidR="00336DCD" w:rsidRPr="003A4375">
        <w:rPr>
          <w:vertAlign w:val="subscript"/>
        </w:rPr>
        <w:t>H,in</w:t>
      </w:r>
      <w:r w:rsidR="00336DCD" w:rsidRPr="003A4375">
        <w:t xml:space="preserve"> and v</w:t>
      </w:r>
      <w:r w:rsidR="00336DCD" w:rsidRPr="003A4375">
        <w:rPr>
          <w:vertAlign w:val="subscript"/>
        </w:rPr>
        <w:t>L,in</w:t>
      </w:r>
      <w:r w:rsidR="00336DCD" w:rsidRPr="003A4375">
        <w:t>)</w:t>
      </w:r>
      <w:r w:rsidR="0044642E" w:rsidRPr="003A4375">
        <w:rPr>
          <w:lang w:val="en-GB"/>
        </w:rPr>
        <w:t xml:space="preserve"> </w:t>
      </w:r>
      <w:r w:rsidR="00E1771F" w:rsidRPr="003A4375">
        <w:rPr>
          <w:lang w:val="en-GB"/>
        </w:rPr>
        <w:t>are</w:t>
      </w:r>
      <w:r w:rsidR="00F261B0" w:rsidRPr="003A4375">
        <w:rPr>
          <w:lang w:val="en-GB"/>
        </w:rPr>
        <w:t xml:space="preserve"> set to 0.5</w:t>
      </w:r>
      <w:r w:rsidR="0044642E" w:rsidRPr="003A4375">
        <w:rPr>
          <w:lang w:val="en-GB"/>
        </w:rPr>
        <w:t xml:space="preserve"> cm/s</w:t>
      </w:r>
      <w:r w:rsidR="00005535" w:rsidRPr="003A4375">
        <w:rPr>
          <w:lang w:val="en-GB"/>
        </w:rPr>
        <w:t>, corresponding to</w:t>
      </w:r>
      <w:r w:rsidR="00E36DBE" w:rsidRPr="003A4375">
        <w:rPr>
          <w:lang w:val="en-GB"/>
        </w:rPr>
        <w:t xml:space="preserve"> </w:t>
      </w:r>
      <w:r w:rsidR="00005535" w:rsidRPr="003A4375">
        <w:rPr>
          <w:lang w:val="en-GB"/>
        </w:rPr>
        <w:t>feed flowrates of 560 l/h.</w:t>
      </w:r>
    </w:p>
    <w:p w14:paraId="04540F8B" w14:textId="37B4EA0F" w:rsidR="00ED1FF8" w:rsidRPr="003A4375" w:rsidRDefault="00ED1FF8" w:rsidP="003F5AF5">
      <w:pPr>
        <w:pStyle w:val="CETBodytext"/>
        <w:rPr>
          <w:lang w:val="en-GB"/>
        </w:rPr>
      </w:pPr>
      <w:r w:rsidRPr="003A4375">
        <w:rPr>
          <w:lang w:val="en-GB"/>
        </w:rPr>
        <w:t>The power density generated by the RED unit increases with the salinity gradient difference (</w:t>
      </w:r>
      <w:bookmarkStart w:id="54" w:name="OLE_LINK111"/>
      <w:bookmarkStart w:id="55" w:name="OLE_LINK112"/>
      <w:r w:rsidRPr="003A4375">
        <w:rPr>
          <w:i/>
          <w:lang w:val="en-GB"/>
        </w:rPr>
        <w:t>C</w:t>
      </w:r>
      <w:r w:rsidRPr="003A4375">
        <w:rPr>
          <w:i/>
          <w:vertAlign w:val="subscript"/>
          <w:lang w:val="en-GB"/>
        </w:rPr>
        <w:t>H,in</w:t>
      </w:r>
      <w:bookmarkEnd w:id="54"/>
      <w:bookmarkEnd w:id="55"/>
      <w:r w:rsidRPr="003A4375">
        <w:rPr>
          <w:i/>
          <w:lang w:val="en-GB"/>
        </w:rPr>
        <w:t>-</w:t>
      </w:r>
      <w:bookmarkStart w:id="56" w:name="OLE_LINK113"/>
      <w:bookmarkStart w:id="57" w:name="OLE_LINK114"/>
      <w:r w:rsidRPr="003A4375">
        <w:rPr>
          <w:i/>
          <w:lang w:val="en-GB"/>
        </w:rPr>
        <w:t>C</w:t>
      </w:r>
      <w:r w:rsidRPr="003A4375">
        <w:rPr>
          <w:i/>
          <w:vertAlign w:val="subscript"/>
          <w:lang w:val="en-GB"/>
        </w:rPr>
        <w:t>L,in</w:t>
      </w:r>
      <w:bookmarkEnd w:id="56"/>
      <w:bookmarkEnd w:id="57"/>
      <w:r w:rsidRPr="003A4375">
        <w:rPr>
          <w:lang w:val="en-GB"/>
        </w:rPr>
        <w:t>) in all the range under investigation</w:t>
      </w:r>
      <w:r w:rsidR="000B5FE8" w:rsidRPr="003A4375">
        <w:rPr>
          <w:lang w:val="en-GB"/>
        </w:rPr>
        <w:t xml:space="preserve"> (fig. 2a)</w:t>
      </w:r>
      <w:r w:rsidRPr="003A4375">
        <w:rPr>
          <w:lang w:val="en-GB"/>
        </w:rPr>
        <w:t xml:space="preserve">. </w:t>
      </w:r>
      <w:bookmarkStart w:id="58" w:name="OLE_LINK125"/>
      <w:bookmarkStart w:id="59" w:name="OLE_LINK126"/>
      <w:bookmarkStart w:id="60" w:name="OLE_LINK123"/>
      <w:bookmarkStart w:id="61" w:name="OLE_LINK124"/>
      <w:r w:rsidRPr="003A4375">
        <w:rPr>
          <w:lang w:val="en-GB"/>
        </w:rPr>
        <w:t>P</w:t>
      </w:r>
      <w:r w:rsidRPr="003A4375">
        <w:rPr>
          <w:vertAlign w:val="subscript"/>
          <w:lang w:val="en-GB"/>
        </w:rPr>
        <w:t>d</w:t>
      </w:r>
      <w:bookmarkEnd w:id="58"/>
      <w:bookmarkEnd w:id="59"/>
      <w:r w:rsidRPr="003A4375">
        <w:rPr>
          <w:lang w:val="en-GB"/>
        </w:rPr>
        <w:t xml:space="preserve"> </w:t>
      </w:r>
      <w:bookmarkEnd w:id="60"/>
      <w:bookmarkEnd w:id="61"/>
      <w:r w:rsidRPr="003A4375">
        <w:rPr>
          <w:lang w:val="en-GB"/>
        </w:rPr>
        <w:t>is significant</w:t>
      </w:r>
      <w:r w:rsidR="00C12215" w:rsidRPr="003A4375">
        <w:rPr>
          <w:lang w:val="en-GB"/>
        </w:rPr>
        <w:t>ly</w:t>
      </w:r>
      <w:r w:rsidRPr="003A4375">
        <w:rPr>
          <w:lang w:val="en-GB"/>
        </w:rPr>
        <w:t xml:space="preserve"> affected by the high solution concentration, while </w:t>
      </w:r>
      <w:r w:rsidR="00A806B7">
        <w:rPr>
          <w:lang w:val="en-GB"/>
        </w:rPr>
        <w:t xml:space="preserve">a far </w:t>
      </w:r>
      <w:r w:rsidRPr="003A4375">
        <w:rPr>
          <w:lang w:val="en-GB"/>
        </w:rPr>
        <w:t xml:space="preserve">less marked variation is </w:t>
      </w:r>
      <w:r w:rsidR="000B5FE8" w:rsidRPr="003A4375">
        <w:rPr>
          <w:lang w:val="en-GB"/>
        </w:rPr>
        <w:t>encountered when</w:t>
      </w:r>
      <w:r w:rsidRPr="003A4375">
        <w:rPr>
          <w:lang w:val="en-GB"/>
        </w:rPr>
        <w:t xml:space="preserve"> the dilute solution concentration</w:t>
      </w:r>
      <w:r w:rsidR="000B5FE8" w:rsidRPr="003A4375">
        <w:rPr>
          <w:lang w:val="en-GB"/>
        </w:rPr>
        <w:t xml:space="preserve"> increases</w:t>
      </w:r>
      <w:r w:rsidRPr="003A4375">
        <w:rPr>
          <w:lang w:val="en-GB"/>
        </w:rPr>
        <w:t xml:space="preserve">. </w:t>
      </w:r>
      <w:r w:rsidR="000B5FE8" w:rsidRPr="003A4375">
        <w:rPr>
          <w:lang w:val="en-GB"/>
        </w:rPr>
        <w:t>As a matter of</w:t>
      </w:r>
      <w:r w:rsidRPr="003A4375">
        <w:rPr>
          <w:lang w:val="en-GB"/>
        </w:rPr>
        <w:t xml:space="preserve"> fact, due to the high residence time of the solutions in the RED unit (i.e. long channel and low feed veloci</w:t>
      </w:r>
      <w:r w:rsidR="000B5FE8" w:rsidRPr="003A4375">
        <w:rPr>
          <w:lang w:val="en-GB"/>
        </w:rPr>
        <w:t>ty) and the low IEMs resistance</w:t>
      </w:r>
      <w:r w:rsidRPr="003A4375">
        <w:rPr>
          <w:lang w:val="en-GB"/>
        </w:rPr>
        <w:t xml:space="preserve">, the </w:t>
      </w:r>
      <w:r w:rsidR="000B5FE8" w:rsidRPr="003A4375">
        <w:rPr>
          <w:lang w:val="en-GB"/>
        </w:rPr>
        <w:t xml:space="preserve">inlet </w:t>
      </w:r>
      <w:r w:rsidRPr="003A4375">
        <w:rPr>
          <w:lang w:val="en-GB"/>
        </w:rPr>
        <w:t>concentration of the solutions within the channel undergo</w:t>
      </w:r>
      <w:r w:rsidR="000B5FE8" w:rsidRPr="003A4375">
        <w:rPr>
          <w:lang w:val="en-GB"/>
        </w:rPr>
        <w:t>es</w:t>
      </w:r>
      <w:r w:rsidRPr="003A4375">
        <w:rPr>
          <w:lang w:val="en-GB"/>
        </w:rPr>
        <w:t xml:space="preserve"> </w:t>
      </w:r>
      <w:r w:rsidR="00A806B7">
        <w:rPr>
          <w:lang w:val="en-GB"/>
        </w:rPr>
        <w:t xml:space="preserve">a </w:t>
      </w:r>
      <w:r w:rsidR="000B5FE8" w:rsidRPr="003A4375">
        <w:rPr>
          <w:lang w:val="en-GB"/>
        </w:rPr>
        <w:t xml:space="preserve">large </w:t>
      </w:r>
      <w:r w:rsidRPr="003A4375">
        <w:rPr>
          <w:lang w:val="en-GB"/>
        </w:rPr>
        <w:t xml:space="preserve">variation </w:t>
      </w:r>
      <w:r w:rsidR="000B5FE8" w:rsidRPr="003A4375">
        <w:rPr>
          <w:lang w:val="en-GB"/>
        </w:rPr>
        <w:t xml:space="preserve">along the stack, thus mitigating the impact of the dilute solution concentration. </w:t>
      </w:r>
      <w:r w:rsidRPr="003A4375">
        <w:rPr>
          <w:lang w:val="en-GB"/>
        </w:rPr>
        <w:t xml:space="preserve">This effect is more evident when high </w:t>
      </w:r>
      <w:r w:rsidRPr="003A4375">
        <w:rPr>
          <w:i/>
          <w:lang w:val="en-GB"/>
        </w:rPr>
        <w:t>C</w:t>
      </w:r>
      <w:r w:rsidRPr="003A4375">
        <w:rPr>
          <w:i/>
          <w:vertAlign w:val="subscript"/>
          <w:lang w:val="en-GB"/>
        </w:rPr>
        <w:t>H,in</w:t>
      </w:r>
      <w:r w:rsidRPr="003A4375">
        <w:rPr>
          <w:lang w:val="en-GB"/>
        </w:rPr>
        <w:t xml:space="preserve"> is considered due to the high driving forces involved which causes large ions fluxes and </w:t>
      </w:r>
      <w:r w:rsidR="000B5FE8" w:rsidRPr="003A4375">
        <w:rPr>
          <w:lang w:val="en-GB"/>
        </w:rPr>
        <w:t xml:space="preserve">corresponding </w:t>
      </w:r>
      <w:r w:rsidRPr="003A4375">
        <w:rPr>
          <w:lang w:val="en-GB"/>
        </w:rPr>
        <w:t>higher concentration variation. By using ideal IEMs, power density of 150 W/m</w:t>
      </w:r>
      <w:r w:rsidRPr="003A4375">
        <w:rPr>
          <w:vertAlign w:val="superscript"/>
          <w:lang w:val="en-GB"/>
        </w:rPr>
        <w:t>2</w:t>
      </w:r>
      <w:r w:rsidRPr="003A4375">
        <w:rPr>
          <w:lang w:val="en-GB"/>
        </w:rPr>
        <w:t xml:space="preserve"> could be theoretically reached by using saturated solution of LiCl.</w:t>
      </w:r>
    </w:p>
    <w:p w14:paraId="4C2422A5" w14:textId="5A372560" w:rsidR="00EB7986" w:rsidRPr="003A4375" w:rsidRDefault="000B5FE8" w:rsidP="003F5AF5">
      <w:pPr>
        <w:pStyle w:val="CETBodytext"/>
        <w:rPr>
          <w:lang w:val="en-GB"/>
        </w:rPr>
      </w:pPr>
      <w:r w:rsidRPr="003A4375">
        <w:rPr>
          <w:lang w:val="en-GB"/>
        </w:rPr>
        <w:t>As shown in fig. 2b</w:t>
      </w:r>
      <w:r w:rsidR="00EB7986" w:rsidRPr="003A4375">
        <w:rPr>
          <w:lang w:val="en-GB"/>
        </w:rPr>
        <w:t xml:space="preserve"> STC increases with the high solution concentration. </w:t>
      </w:r>
      <w:bookmarkStart w:id="62" w:name="OLE_LINK53"/>
      <w:bookmarkStart w:id="63" w:name="OLE_LINK54"/>
      <w:r w:rsidRPr="003A4375">
        <w:rPr>
          <w:lang w:val="en-GB"/>
        </w:rPr>
        <w:t>T</w:t>
      </w:r>
      <w:r w:rsidR="00EB7986" w:rsidRPr="003A4375">
        <w:rPr>
          <w:lang w:val="en-GB"/>
        </w:rPr>
        <w:t>he higher the solution concentration</w:t>
      </w:r>
      <w:bookmarkEnd w:id="62"/>
      <w:bookmarkEnd w:id="63"/>
      <w:r w:rsidRPr="003A4375">
        <w:rPr>
          <w:lang w:val="en-GB"/>
        </w:rPr>
        <w:t>,</w:t>
      </w:r>
      <w:r w:rsidR="00EB7986" w:rsidRPr="003A4375">
        <w:rPr>
          <w:lang w:val="en-GB"/>
        </w:rPr>
        <w:t xml:space="preserve"> the higher the BPE in the evaporators which </w:t>
      </w:r>
      <w:r w:rsidR="00A806B7">
        <w:rPr>
          <w:lang w:val="en-GB"/>
        </w:rPr>
        <w:t>reduces</w:t>
      </w:r>
      <w:r w:rsidR="00EB7986" w:rsidRPr="003A4375">
        <w:rPr>
          <w:lang w:val="en-GB"/>
        </w:rPr>
        <w:t xml:space="preserve"> </w:t>
      </w:r>
      <w:r w:rsidR="00EB7986" w:rsidRPr="003A4375">
        <w:rPr>
          <w:color w:val="000000" w:themeColor="text1"/>
          <w:lang w:val="en-GB"/>
        </w:rPr>
        <w:t xml:space="preserve">the available temperature difference </w:t>
      </w:r>
      <w:r w:rsidR="00EB7986" w:rsidRPr="003A4375">
        <w:rPr>
          <w:lang w:val="en-GB"/>
        </w:rPr>
        <w:t xml:space="preserve">between the first and the last effect of the MED unit, </w:t>
      </w:r>
      <w:r w:rsidRPr="003A4375">
        <w:rPr>
          <w:lang w:val="en-GB"/>
        </w:rPr>
        <w:t xml:space="preserve">thus </w:t>
      </w:r>
      <w:r w:rsidR="00A806B7">
        <w:rPr>
          <w:lang w:val="en-GB"/>
        </w:rPr>
        <w:t>limiting</w:t>
      </w:r>
      <w:r w:rsidR="00EB7986" w:rsidRPr="003A4375">
        <w:rPr>
          <w:lang w:val="en-GB"/>
        </w:rPr>
        <w:t xml:space="preserve"> the </w:t>
      </w:r>
      <w:r w:rsidR="00A806B7">
        <w:rPr>
          <w:lang w:val="en-GB"/>
        </w:rPr>
        <w:t>total</w:t>
      </w:r>
      <w:r w:rsidR="00EB7986" w:rsidRPr="003A4375">
        <w:rPr>
          <w:lang w:val="en-GB"/>
        </w:rPr>
        <w:t xml:space="preserve"> number of effects. An increase of </w:t>
      </w:r>
      <w:r w:rsidRPr="003A4375">
        <w:rPr>
          <w:i/>
          <w:lang w:val="en-GB"/>
        </w:rPr>
        <w:t>C</w:t>
      </w:r>
      <w:r w:rsidRPr="003A4375">
        <w:rPr>
          <w:i/>
          <w:vertAlign w:val="subscript"/>
          <w:lang w:val="en-GB"/>
        </w:rPr>
        <w:t>H,in</w:t>
      </w:r>
      <w:r w:rsidR="00EB7986" w:rsidRPr="003A4375">
        <w:rPr>
          <w:lang w:val="en-GB"/>
        </w:rPr>
        <w:t xml:space="preserve"> from 1 to 14 mol/l significantly reduces the number of effects from 24 to 2, increasing the STC from 60-90 kWh/m</w:t>
      </w:r>
      <w:r w:rsidR="00EB7986" w:rsidRPr="003A4375">
        <w:rPr>
          <w:vertAlign w:val="superscript"/>
          <w:lang w:val="en-GB"/>
        </w:rPr>
        <w:t>3</w:t>
      </w:r>
      <w:r w:rsidR="00EB7986" w:rsidRPr="003A4375">
        <w:rPr>
          <w:lang w:val="en-GB"/>
        </w:rPr>
        <w:t xml:space="preserve"> to 360-380 kWh/m</w:t>
      </w:r>
      <w:r w:rsidR="00EB7986" w:rsidRPr="003A4375">
        <w:rPr>
          <w:vertAlign w:val="superscript"/>
          <w:lang w:val="en-GB"/>
        </w:rPr>
        <w:t>3</w:t>
      </w:r>
      <w:r w:rsidR="00BA1162" w:rsidRPr="003A4375">
        <w:rPr>
          <w:lang w:val="en-GB"/>
        </w:rPr>
        <w:t>.</w:t>
      </w:r>
    </w:p>
    <w:p w14:paraId="119FA59D" w14:textId="66D63FFD" w:rsidR="00673EB6" w:rsidRPr="003A4375" w:rsidRDefault="00DD3AA8" w:rsidP="003F5AF5">
      <w:pPr>
        <w:pStyle w:val="CETBodytext"/>
        <w:spacing w:before="120"/>
        <w:jc w:val="center"/>
        <w:rPr>
          <w:lang w:val="en-GB"/>
        </w:rPr>
      </w:pPr>
      <w:r w:rsidRPr="003A4375">
        <w:rPr>
          <w:noProof/>
          <w:lang w:val="it-IT" w:eastAsia="it-IT"/>
        </w:rPr>
        <w:drawing>
          <wp:inline distT="0" distB="0" distL="0" distR="0" wp14:anchorId="71E3948A" wp14:editId="3C220D54">
            <wp:extent cx="5492750" cy="232918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2329180"/>
                    </a:xfrm>
                    <a:prstGeom prst="rect">
                      <a:avLst/>
                    </a:prstGeom>
                    <a:noFill/>
                  </pic:spPr>
                </pic:pic>
              </a:graphicData>
            </a:graphic>
          </wp:inline>
        </w:drawing>
      </w:r>
    </w:p>
    <w:p w14:paraId="34A13B79" w14:textId="06760724" w:rsidR="00673EB6" w:rsidRPr="003A4375" w:rsidRDefault="00673EB6" w:rsidP="003F5AF5">
      <w:pPr>
        <w:pStyle w:val="CETCaption"/>
      </w:pPr>
      <w:r w:rsidRPr="003A4375">
        <w:t xml:space="preserve">Figure 2: Power density (a) and specific thermal consumption as a function of the </w:t>
      </w:r>
      <w:r w:rsidR="00796EC8" w:rsidRPr="003A4375">
        <w:t>concentration</w:t>
      </w:r>
      <w:r w:rsidRPr="003A4375">
        <w:t xml:space="preserve"> of the</w:t>
      </w:r>
      <w:r w:rsidR="00615DAC" w:rsidRPr="003A4375">
        <w:t xml:space="preserve"> </w:t>
      </w:r>
      <w:r w:rsidR="00796EC8" w:rsidRPr="003A4375">
        <w:t xml:space="preserve">RED unit feed </w:t>
      </w:r>
      <w:r w:rsidRPr="003A4375">
        <w:t xml:space="preserve">solutions. </w:t>
      </w:r>
      <w:bookmarkStart w:id="64" w:name="OLE_LINK55"/>
      <w:bookmarkStart w:id="65" w:name="OLE_LINK56"/>
      <w:r w:rsidRPr="003A4375">
        <w:t>RED unit consisting of 500 cell pairs 0.5x0.5 m</w:t>
      </w:r>
      <w:r w:rsidRPr="003A4375">
        <w:rPr>
          <w:vertAlign w:val="superscript"/>
        </w:rPr>
        <w:t>2</w:t>
      </w:r>
      <w:r w:rsidRPr="003A4375">
        <w:t xml:space="preserve"> equipped with ideal IEMs (</w:t>
      </w:r>
      <w:r w:rsidRPr="003A4375">
        <w:sym w:font="Symbol" w:char="F061"/>
      </w:r>
      <w:r w:rsidRPr="003A4375">
        <w:t>=100</w:t>
      </w:r>
      <w:r w:rsidR="00C12215" w:rsidRPr="003A4375">
        <w:t xml:space="preserve"> </w:t>
      </w:r>
      <w:r w:rsidRPr="003A4375">
        <w:t xml:space="preserve">% </w:t>
      </w:r>
      <w:r w:rsidR="00586CFC" w:rsidRPr="003A4375">
        <w:t>R</w:t>
      </w:r>
      <w:r w:rsidRPr="003A4375">
        <w:rPr>
          <w:vertAlign w:val="subscript"/>
        </w:rPr>
        <w:t>IEM</w:t>
      </w:r>
      <w:r w:rsidR="0071738F" w:rsidRPr="003A4375">
        <w:rPr>
          <w:vertAlign w:val="subscript"/>
        </w:rPr>
        <w:t>s</w:t>
      </w:r>
      <w:r w:rsidRPr="003A4375">
        <w:t xml:space="preserve">=0.1 </w:t>
      </w:r>
      <w:r w:rsidR="00006DCD" w:rsidRPr="003A4375">
        <w:sym w:font="Symbol" w:char="F057"/>
      </w:r>
      <w:r w:rsidR="00006DCD" w:rsidRPr="003A4375">
        <w:t>cm</w:t>
      </w:r>
      <w:r w:rsidR="00006DCD" w:rsidRPr="003A4375">
        <w:rPr>
          <w:vertAlign w:val="superscript"/>
        </w:rPr>
        <w:t>2</w:t>
      </w:r>
      <w:r w:rsidR="00336DCD" w:rsidRPr="003A4375">
        <w:t xml:space="preserve">), </w:t>
      </w:r>
      <w:r w:rsidRPr="003A4375">
        <w:t>v</w:t>
      </w:r>
      <w:r w:rsidRPr="003A4375">
        <w:rPr>
          <w:vertAlign w:val="subscript"/>
        </w:rPr>
        <w:t>H</w:t>
      </w:r>
      <w:r w:rsidR="00336DCD" w:rsidRPr="003A4375">
        <w:rPr>
          <w:vertAlign w:val="subscript"/>
        </w:rPr>
        <w:t>,in</w:t>
      </w:r>
      <w:r w:rsidRPr="003A4375">
        <w:t>=v</w:t>
      </w:r>
      <w:r w:rsidRPr="003A4375">
        <w:rPr>
          <w:vertAlign w:val="subscript"/>
        </w:rPr>
        <w:t>L</w:t>
      </w:r>
      <w:r w:rsidR="00336DCD" w:rsidRPr="003A4375">
        <w:rPr>
          <w:vertAlign w:val="subscript"/>
        </w:rPr>
        <w:t>,in</w:t>
      </w:r>
      <w:r w:rsidRPr="003A4375">
        <w:t>=0.5 cm/s,</w:t>
      </w:r>
      <w:bookmarkStart w:id="66" w:name="OLE_LINK82"/>
      <w:bookmarkStart w:id="67" w:name="OLE_LINK83"/>
      <w:r w:rsidR="00615DAC" w:rsidRPr="003A4375">
        <w:t xml:space="preserve"> </w:t>
      </w:r>
      <w:r w:rsidRPr="003A4375">
        <w:rPr>
          <w:rFonts w:ascii="simbol" w:hAnsi="simbol"/>
        </w:rPr>
        <w:sym w:font="Symbol" w:char="F044"/>
      </w:r>
      <w:r w:rsidRPr="003A4375">
        <w:t>T</w:t>
      </w:r>
      <w:r w:rsidRPr="003A4375">
        <w:rPr>
          <w:vertAlign w:val="subscript"/>
        </w:rPr>
        <w:t>exch</w:t>
      </w:r>
      <w:r w:rsidRPr="003A4375">
        <w:t>=2°C, T</w:t>
      </w:r>
      <w:r w:rsidRPr="003A4375">
        <w:rPr>
          <w:vertAlign w:val="subscript"/>
        </w:rPr>
        <w:t>waste</w:t>
      </w:r>
      <w:r w:rsidR="0071738F" w:rsidRPr="003A4375">
        <w:rPr>
          <w:vertAlign w:val="subscript"/>
        </w:rPr>
        <w:t>-</w:t>
      </w:r>
      <w:r w:rsidRPr="003A4375">
        <w:rPr>
          <w:vertAlign w:val="subscript"/>
        </w:rPr>
        <w:t xml:space="preserve">heat </w:t>
      </w:r>
      <w:r w:rsidRPr="003A4375">
        <w:t>=100</w:t>
      </w:r>
      <w:r w:rsidR="0071738F" w:rsidRPr="003A4375">
        <w:t xml:space="preserve"> </w:t>
      </w:r>
      <w:r w:rsidRPr="003A4375">
        <w:t>°C.</w:t>
      </w:r>
      <w:bookmarkEnd w:id="64"/>
      <w:bookmarkEnd w:id="65"/>
      <w:bookmarkEnd w:id="66"/>
      <w:bookmarkEnd w:id="67"/>
    </w:p>
    <w:p w14:paraId="301F168D" w14:textId="1D54E628" w:rsidR="00BA1162" w:rsidRPr="003A4375" w:rsidRDefault="00ED1FF8" w:rsidP="003F5AF5">
      <w:pPr>
        <w:pStyle w:val="CETBodytext"/>
        <w:rPr>
          <w:lang w:val="en-GB"/>
        </w:rPr>
      </w:pPr>
      <w:bookmarkStart w:id="68" w:name="OLE_LINK117"/>
      <w:bookmarkStart w:id="69" w:name="OLE_LINK118"/>
      <w:r w:rsidRPr="003A4375">
        <w:rPr>
          <w:lang w:val="en-GB"/>
        </w:rPr>
        <w:t xml:space="preserve">The ratio between the net power generated by the RED unit and thermal power consumption of the MED unit </w:t>
      </w:r>
      <w:r w:rsidR="00D44C63" w:rsidRPr="003A4375">
        <w:rPr>
          <w:lang w:val="en-GB"/>
        </w:rPr>
        <w:t>giv</w:t>
      </w:r>
      <w:r w:rsidRPr="003A4375">
        <w:rPr>
          <w:lang w:val="en-GB"/>
        </w:rPr>
        <w:t xml:space="preserve">es the </w:t>
      </w:r>
      <w:r w:rsidR="00EA4C76" w:rsidRPr="003A4375">
        <w:rPr>
          <w:lang w:val="en-GB"/>
        </w:rPr>
        <w:t xml:space="preserve">thermal efficiency </w:t>
      </w:r>
      <w:r w:rsidR="000B5FE8" w:rsidRPr="003A4375">
        <w:rPr>
          <w:lang w:val="en-GB"/>
        </w:rPr>
        <w:sym w:font="Symbol" w:char="F068"/>
      </w:r>
      <w:r w:rsidR="000B5FE8" w:rsidRPr="003A4375">
        <w:rPr>
          <w:vertAlign w:val="subscript"/>
          <w:lang w:val="en-GB"/>
        </w:rPr>
        <w:t>th</w:t>
      </w:r>
      <w:r w:rsidR="000B5FE8" w:rsidRPr="003A4375">
        <w:rPr>
          <w:lang w:val="en-GB"/>
        </w:rPr>
        <w:t xml:space="preserve"> </w:t>
      </w:r>
      <w:r w:rsidR="00EA4C76" w:rsidRPr="003A4375">
        <w:rPr>
          <w:lang w:val="en-GB"/>
        </w:rPr>
        <w:t xml:space="preserve">of the system. </w:t>
      </w:r>
      <w:r w:rsidRPr="003A4375">
        <w:rPr>
          <w:lang w:val="en-GB"/>
        </w:rPr>
        <w:t xml:space="preserve">Figure 3 shows </w:t>
      </w:r>
      <w:r w:rsidR="000B5FE8" w:rsidRPr="003A4375">
        <w:rPr>
          <w:lang w:val="en-GB"/>
        </w:rPr>
        <w:sym w:font="Symbol" w:char="F068"/>
      </w:r>
      <w:r w:rsidR="000B5FE8" w:rsidRPr="003A4375">
        <w:rPr>
          <w:vertAlign w:val="subscript"/>
          <w:lang w:val="en-GB"/>
        </w:rPr>
        <w:t>th</w:t>
      </w:r>
      <w:r w:rsidR="000B5FE8" w:rsidRPr="003A4375">
        <w:rPr>
          <w:lang w:val="en-GB"/>
        </w:rPr>
        <w:t xml:space="preserve"> as a function of the concentration of the solutions for the investigated</w:t>
      </w:r>
      <w:r w:rsidRPr="003A4375">
        <w:rPr>
          <w:lang w:val="en-GB"/>
        </w:rPr>
        <w:t xml:space="preserve"> ideal RED-MED HE</w:t>
      </w:r>
      <w:bookmarkStart w:id="70" w:name="OLE_LINK92"/>
      <w:bookmarkStart w:id="71" w:name="OLE_LINK93"/>
      <w:r w:rsidRPr="003A4375">
        <w:rPr>
          <w:lang w:val="en-GB"/>
        </w:rPr>
        <w:t>.</w:t>
      </w:r>
      <w:r w:rsidR="00D44C63" w:rsidRPr="003A4375">
        <w:rPr>
          <w:lang w:val="en-GB"/>
        </w:rPr>
        <w:t xml:space="preserve"> </w:t>
      </w:r>
      <w:r w:rsidR="00A24A8C" w:rsidRPr="003A4375">
        <w:rPr>
          <w:lang w:val="en-GB"/>
        </w:rPr>
        <w:t xml:space="preserve">For a fixed dilute inlet concentration and high </w:t>
      </w:r>
      <w:r w:rsidR="00796EC8" w:rsidRPr="003A4375">
        <w:rPr>
          <w:lang w:val="en-GB"/>
        </w:rPr>
        <w:t xml:space="preserve">inlet </w:t>
      </w:r>
      <w:r w:rsidR="00A24A8C" w:rsidRPr="003A4375">
        <w:rPr>
          <w:lang w:val="en-GB"/>
        </w:rPr>
        <w:t>concentration from 1 to 7 mol/l, an increase of C</w:t>
      </w:r>
      <w:r w:rsidR="00A24A8C" w:rsidRPr="003A4375">
        <w:rPr>
          <w:vertAlign w:val="subscript"/>
          <w:lang w:val="en-GB"/>
        </w:rPr>
        <w:t>H,in</w:t>
      </w:r>
      <w:r w:rsidR="00A24A8C" w:rsidRPr="003A4375">
        <w:rPr>
          <w:lang w:val="en-GB"/>
        </w:rPr>
        <w:t xml:space="preserve"> results in</w:t>
      </w:r>
      <w:r w:rsidR="000B5FE8" w:rsidRPr="003A4375">
        <w:rPr>
          <w:lang w:val="en-GB"/>
        </w:rPr>
        <w:t>to</w:t>
      </w:r>
      <w:r w:rsidR="00A24A8C" w:rsidRPr="003A4375">
        <w:rPr>
          <w:lang w:val="en-GB"/>
        </w:rPr>
        <w:t xml:space="preserve"> an increase of </w:t>
      </w:r>
      <w:r w:rsidR="00A24A8C" w:rsidRPr="003A4375">
        <w:rPr>
          <w:lang w:val="en-GB"/>
        </w:rPr>
        <w:sym w:font="Symbol" w:char="F068"/>
      </w:r>
      <w:r w:rsidR="00A24A8C" w:rsidRPr="003A4375">
        <w:rPr>
          <w:vertAlign w:val="subscript"/>
          <w:lang w:val="en-GB"/>
        </w:rPr>
        <w:t>th</w:t>
      </w:r>
      <w:r w:rsidR="00A24A8C" w:rsidRPr="003A4375">
        <w:rPr>
          <w:lang w:val="en-GB"/>
        </w:rPr>
        <w:t>. For higher</w:t>
      </w:r>
      <w:r w:rsidR="00796EC8" w:rsidRPr="003A4375">
        <w:rPr>
          <w:lang w:val="en-GB"/>
        </w:rPr>
        <w:t xml:space="preserve"> inlet</w:t>
      </w:r>
      <w:r w:rsidR="00A24A8C" w:rsidRPr="003A4375">
        <w:rPr>
          <w:lang w:val="en-GB"/>
        </w:rPr>
        <w:t xml:space="preserve"> concentration</w:t>
      </w:r>
      <w:r w:rsidR="00A806B7">
        <w:rPr>
          <w:lang w:val="en-GB"/>
        </w:rPr>
        <w:t>s</w:t>
      </w:r>
      <w:r w:rsidR="00A24A8C" w:rsidRPr="003A4375">
        <w:rPr>
          <w:lang w:val="en-GB"/>
        </w:rPr>
        <w:t xml:space="preserve">, the behaviour of the efficiency is irregular due to </w:t>
      </w:r>
      <w:r w:rsidR="00657D38" w:rsidRPr="003A4375">
        <w:rPr>
          <w:lang w:val="en-GB"/>
        </w:rPr>
        <w:t xml:space="preserve">large impact of the BPE on the STC. At concentration </w:t>
      </w:r>
      <w:r w:rsidR="00A806B7">
        <w:rPr>
          <w:lang w:val="en-GB"/>
        </w:rPr>
        <w:t xml:space="preserve">higher than 11 mol/l </w:t>
      </w:r>
      <w:r w:rsidR="00657D38" w:rsidRPr="003A4375">
        <w:rPr>
          <w:lang w:val="en-GB"/>
        </w:rPr>
        <w:t>STC grows faster than P</w:t>
      </w:r>
      <w:r w:rsidR="000B5FE8" w:rsidRPr="003A4375">
        <w:rPr>
          <w:vertAlign w:val="subscript"/>
          <w:lang w:val="en-GB"/>
        </w:rPr>
        <w:t>d</w:t>
      </w:r>
      <w:r w:rsidR="00657D38" w:rsidRPr="003A4375">
        <w:rPr>
          <w:lang w:val="en-GB"/>
        </w:rPr>
        <w:t>. The highest thermal efficiency equal to 8.7</w:t>
      </w:r>
      <w:r w:rsidR="00C12215" w:rsidRPr="003A4375">
        <w:rPr>
          <w:lang w:val="en-GB"/>
        </w:rPr>
        <w:t xml:space="preserve"> </w:t>
      </w:r>
      <w:r w:rsidR="00657D38" w:rsidRPr="003A4375">
        <w:rPr>
          <w:lang w:val="en-GB"/>
        </w:rPr>
        <w:t>% in achieved in the case of</w:t>
      </w:r>
      <w:bookmarkStart w:id="72" w:name="OLE_LINK74"/>
      <w:bookmarkStart w:id="73" w:name="OLE_LINK75"/>
      <w:bookmarkStart w:id="74" w:name="OLE_LINK41"/>
      <w:bookmarkStart w:id="75" w:name="OLE_LINK60"/>
      <w:bookmarkStart w:id="76" w:name="OLE_LINK63"/>
      <w:bookmarkEnd w:id="68"/>
      <w:bookmarkEnd w:id="69"/>
      <w:r w:rsidR="00657D38" w:rsidRPr="003A4375">
        <w:rPr>
          <w:lang w:val="en-GB"/>
        </w:rPr>
        <w:t xml:space="preserve"> </w:t>
      </w:r>
      <w:r w:rsidRPr="003A4375">
        <w:rPr>
          <w:lang w:val="en-GB"/>
        </w:rPr>
        <w:t>C</w:t>
      </w:r>
      <w:r w:rsidRPr="003A4375">
        <w:rPr>
          <w:vertAlign w:val="subscript"/>
          <w:lang w:val="en-GB"/>
        </w:rPr>
        <w:t>H</w:t>
      </w:r>
      <w:r w:rsidRPr="003A4375">
        <w:rPr>
          <w:lang w:val="en-GB"/>
        </w:rPr>
        <w:t>=11 mol/l and C</w:t>
      </w:r>
      <w:r w:rsidRPr="003A4375">
        <w:rPr>
          <w:vertAlign w:val="subscript"/>
          <w:lang w:val="en-GB"/>
        </w:rPr>
        <w:t>L</w:t>
      </w:r>
      <w:r w:rsidRPr="003A4375">
        <w:rPr>
          <w:lang w:val="en-GB"/>
        </w:rPr>
        <w:t>=</w:t>
      </w:r>
      <w:bookmarkEnd w:id="72"/>
      <w:bookmarkEnd w:id="73"/>
      <w:r w:rsidRPr="003A4375">
        <w:rPr>
          <w:lang w:val="en-GB"/>
        </w:rPr>
        <w:t>0.05</w:t>
      </w:r>
      <w:bookmarkEnd w:id="74"/>
      <w:bookmarkEnd w:id="75"/>
      <w:bookmarkEnd w:id="76"/>
      <w:r w:rsidRPr="003A4375">
        <w:rPr>
          <w:lang w:val="en-GB"/>
        </w:rPr>
        <w:t xml:space="preserve"> mol/l</w:t>
      </w:r>
      <w:bookmarkEnd w:id="70"/>
      <w:bookmarkEnd w:id="71"/>
      <w:r w:rsidR="00657D38" w:rsidRPr="003A4375">
        <w:rPr>
          <w:lang w:val="en-GB"/>
        </w:rPr>
        <w:t xml:space="preserve">. </w:t>
      </w:r>
    </w:p>
    <w:p w14:paraId="6BD28870" w14:textId="49EEB371" w:rsidR="00F475A0" w:rsidRPr="003A4375" w:rsidRDefault="00BA1162" w:rsidP="003F5AF5">
      <w:pPr>
        <w:pStyle w:val="CETBodytext"/>
        <w:jc w:val="center"/>
        <w:rPr>
          <w:lang w:val="en-GB"/>
        </w:rPr>
      </w:pPr>
      <w:bookmarkStart w:id="77" w:name="OLE_LINK109"/>
      <w:bookmarkStart w:id="78" w:name="OLE_LINK110"/>
      <w:r w:rsidRPr="003A4375">
        <w:rPr>
          <w:noProof/>
          <w:lang w:val="it-IT" w:eastAsia="it-IT"/>
        </w:rPr>
        <w:lastRenderedPageBreak/>
        <w:drawing>
          <wp:inline distT="0" distB="0" distL="0" distR="0" wp14:anchorId="6EFB773F" wp14:editId="06D85B16">
            <wp:extent cx="2974422" cy="2412000"/>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422" cy="2412000"/>
                    </a:xfrm>
                    <a:prstGeom prst="rect">
                      <a:avLst/>
                    </a:prstGeom>
                    <a:noFill/>
                  </pic:spPr>
                </pic:pic>
              </a:graphicData>
            </a:graphic>
          </wp:inline>
        </w:drawing>
      </w:r>
    </w:p>
    <w:p w14:paraId="06C9285A" w14:textId="3E98ED73" w:rsidR="00F475A0" w:rsidRPr="003A4375" w:rsidRDefault="00F475A0" w:rsidP="003F5AF5">
      <w:pPr>
        <w:pStyle w:val="CETCaption"/>
      </w:pPr>
      <w:bookmarkStart w:id="79" w:name="OLE_LINK51"/>
      <w:bookmarkStart w:id="80" w:name="OLE_LINK52"/>
      <w:bookmarkStart w:id="81" w:name="OLE_LINK57"/>
      <w:bookmarkStart w:id="82" w:name="OLE_LINK58"/>
      <w:bookmarkStart w:id="83" w:name="OLE_LINK59"/>
      <w:bookmarkStart w:id="84" w:name="OLE_LINK71"/>
      <w:bookmarkStart w:id="85" w:name="OLE_LINK69"/>
      <w:bookmarkStart w:id="86" w:name="OLE_LINK70"/>
      <w:bookmarkEnd w:id="77"/>
      <w:bookmarkEnd w:id="78"/>
      <w:r w:rsidRPr="003A4375">
        <w:t xml:space="preserve">Figure </w:t>
      </w:r>
      <w:r w:rsidR="00280573" w:rsidRPr="003A4375">
        <w:t>3</w:t>
      </w:r>
      <w:r w:rsidRPr="003A4375">
        <w:t xml:space="preserve">: </w:t>
      </w:r>
      <w:bookmarkEnd w:id="79"/>
      <w:bookmarkEnd w:id="80"/>
      <w:r w:rsidRPr="003A4375">
        <w:t xml:space="preserve">Thermal efficiency as a function of the concentration of the </w:t>
      </w:r>
      <w:r w:rsidR="00336DCD" w:rsidRPr="003A4375">
        <w:t xml:space="preserve">RED unit </w:t>
      </w:r>
      <w:r w:rsidRPr="003A4375">
        <w:t xml:space="preserve">feed </w:t>
      </w:r>
      <w:bookmarkStart w:id="87" w:name="OLE_LINK61"/>
      <w:bookmarkStart w:id="88" w:name="OLE_LINK62"/>
      <w:bookmarkEnd w:id="81"/>
      <w:bookmarkEnd w:id="82"/>
      <w:bookmarkEnd w:id="83"/>
      <w:bookmarkEnd w:id="84"/>
      <w:r w:rsidR="00336DCD" w:rsidRPr="003A4375">
        <w:t xml:space="preserve">solutions. </w:t>
      </w:r>
      <w:r w:rsidR="00E1771F" w:rsidRPr="003A4375">
        <w:t>RED unit consisting of 500 cell pairs 0.5x 0.5 m</w:t>
      </w:r>
      <w:r w:rsidR="00E1771F" w:rsidRPr="003A4375">
        <w:rPr>
          <w:vertAlign w:val="superscript"/>
        </w:rPr>
        <w:t>2</w:t>
      </w:r>
      <w:r w:rsidR="00E1771F" w:rsidRPr="003A4375">
        <w:t xml:space="preserve"> equipped with ideal IEMs (</w:t>
      </w:r>
      <w:r w:rsidR="00E1771F" w:rsidRPr="003A4375">
        <w:sym w:font="Symbol" w:char="F061"/>
      </w:r>
      <w:r w:rsidR="00E1771F" w:rsidRPr="003A4375">
        <w:t>=100</w:t>
      </w:r>
      <w:r w:rsidR="00C12215" w:rsidRPr="003A4375">
        <w:t xml:space="preserve"> </w:t>
      </w:r>
      <w:r w:rsidR="00E1771F" w:rsidRPr="003A4375">
        <w:t xml:space="preserve">% </w:t>
      </w:r>
      <w:r w:rsidR="0046543E" w:rsidRPr="003A4375">
        <w:t>R</w:t>
      </w:r>
      <w:r w:rsidR="00E1771F" w:rsidRPr="003A4375">
        <w:rPr>
          <w:vertAlign w:val="subscript"/>
        </w:rPr>
        <w:t>IEM</w:t>
      </w:r>
      <w:r w:rsidR="0071738F" w:rsidRPr="003A4375">
        <w:rPr>
          <w:vertAlign w:val="subscript"/>
        </w:rPr>
        <w:t>s</w:t>
      </w:r>
      <w:r w:rsidR="00E1771F" w:rsidRPr="003A4375">
        <w:t xml:space="preserve">=0.1 </w:t>
      </w:r>
      <w:r w:rsidR="00E1771F" w:rsidRPr="003A4375">
        <w:sym w:font="Symbol" w:char="F057"/>
      </w:r>
      <w:r w:rsidR="00E1771F" w:rsidRPr="003A4375">
        <w:t>cm</w:t>
      </w:r>
      <w:r w:rsidR="00E1771F" w:rsidRPr="003A4375">
        <w:rPr>
          <w:vertAlign w:val="superscript"/>
        </w:rPr>
        <w:t>2</w:t>
      </w:r>
      <w:r w:rsidR="00E1771F" w:rsidRPr="003A4375">
        <w:t>)</w:t>
      </w:r>
      <w:bookmarkEnd w:id="87"/>
      <w:bookmarkEnd w:id="88"/>
      <w:r w:rsidR="00E1771F" w:rsidRPr="003A4375">
        <w:t xml:space="preserve">, </w:t>
      </w:r>
      <w:bookmarkStart w:id="89" w:name="OLE_LINK146"/>
      <w:bookmarkStart w:id="90" w:name="OLE_LINK147"/>
      <w:r w:rsidR="00E1771F" w:rsidRPr="003A4375">
        <w:t>v</w:t>
      </w:r>
      <w:r w:rsidR="00E1771F" w:rsidRPr="003A4375">
        <w:rPr>
          <w:vertAlign w:val="subscript"/>
        </w:rPr>
        <w:t>H</w:t>
      </w:r>
      <w:r w:rsidR="00336DCD" w:rsidRPr="003A4375">
        <w:rPr>
          <w:vertAlign w:val="subscript"/>
        </w:rPr>
        <w:t>,in</w:t>
      </w:r>
      <w:r w:rsidR="00E1771F" w:rsidRPr="003A4375">
        <w:t>=v</w:t>
      </w:r>
      <w:r w:rsidR="00E1771F" w:rsidRPr="003A4375">
        <w:rPr>
          <w:vertAlign w:val="subscript"/>
        </w:rPr>
        <w:t>L</w:t>
      </w:r>
      <w:r w:rsidR="00336DCD" w:rsidRPr="003A4375">
        <w:rPr>
          <w:vertAlign w:val="subscript"/>
        </w:rPr>
        <w:t>,in</w:t>
      </w:r>
      <w:bookmarkEnd w:id="89"/>
      <w:bookmarkEnd w:id="90"/>
      <w:r w:rsidR="00E1771F" w:rsidRPr="003A4375">
        <w:t xml:space="preserve">=0.5 cm/s, </w:t>
      </w:r>
      <w:r w:rsidR="00336DCD" w:rsidRPr="003A4375">
        <w:rPr>
          <w:rFonts w:ascii="simbol" w:hAnsi="simbol"/>
        </w:rPr>
        <w:sym w:font="Symbol" w:char="F044"/>
      </w:r>
      <w:r w:rsidR="00336DCD" w:rsidRPr="003A4375">
        <w:t>T</w:t>
      </w:r>
      <w:r w:rsidR="00336DCD" w:rsidRPr="003A4375">
        <w:rPr>
          <w:vertAlign w:val="subscript"/>
        </w:rPr>
        <w:t>exch</w:t>
      </w:r>
      <w:r w:rsidR="00336DCD" w:rsidRPr="003A4375">
        <w:t xml:space="preserve"> =2</w:t>
      </w:r>
      <w:r w:rsidR="0077409B" w:rsidRPr="003A4375">
        <w:t xml:space="preserve"> </w:t>
      </w:r>
      <w:r w:rsidR="00336DCD" w:rsidRPr="003A4375">
        <w:t xml:space="preserve">°C, </w:t>
      </w:r>
      <w:r w:rsidR="00E1771F" w:rsidRPr="003A4375">
        <w:t>T</w:t>
      </w:r>
      <w:r w:rsidR="00E1771F" w:rsidRPr="003A4375">
        <w:rPr>
          <w:vertAlign w:val="subscript"/>
        </w:rPr>
        <w:t xml:space="preserve">waste heat </w:t>
      </w:r>
      <w:r w:rsidR="00E1771F" w:rsidRPr="003A4375">
        <w:t>=100</w:t>
      </w:r>
      <w:r w:rsidR="00974F63" w:rsidRPr="003A4375">
        <w:t xml:space="preserve"> </w:t>
      </w:r>
      <w:r w:rsidR="00E1771F" w:rsidRPr="003A4375">
        <w:t>°C.</w:t>
      </w:r>
    </w:p>
    <w:p w14:paraId="11349925" w14:textId="4C88C254" w:rsidR="000B5FE8" w:rsidRPr="003A4375" w:rsidRDefault="000B5FE8" w:rsidP="003F5AF5">
      <w:pPr>
        <w:pStyle w:val="CETBodytext"/>
        <w:rPr>
          <w:lang w:val="en-GB"/>
        </w:rPr>
      </w:pPr>
      <w:bookmarkStart w:id="91" w:name="OLE_LINK141"/>
      <w:bookmarkStart w:id="92" w:name="OLE_LINK142"/>
      <w:r w:rsidRPr="003A4375">
        <w:rPr>
          <w:lang w:val="en-GB"/>
        </w:rPr>
        <w:t>For the case of these “highly performing concentrations”</w:t>
      </w:r>
      <w:r w:rsidR="00A806B7">
        <w:rPr>
          <w:lang w:val="en-GB"/>
        </w:rPr>
        <w:t xml:space="preserve"> (</w:t>
      </w:r>
      <w:r w:rsidR="00A806B7" w:rsidRPr="003A4375">
        <w:rPr>
          <w:lang w:val="en-GB"/>
        </w:rPr>
        <w:t>C</w:t>
      </w:r>
      <w:r w:rsidR="00A806B7" w:rsidRPr="003A4375">
        <w:rPr>
          <w:vertAlign w:val="subscript"/>
          <w:lang w:val="en-GB"/>
        </w:rPr>
        <w:t>H</w:t>
      </w:r>
      <w:r w:rsidR="00A806B7" w:rsidRPr="003A4375">
        <w:rPr>
          <w:lang w:val="en-GB"/>
        </w:rPr>
        <w:t>=11 mol/l and C</w:t>
      </w:r>
      <w:r w:rsidR="00A806B7" w:rsidRPr="003A4375">
        <w:rPr>
          <w:vertAlign w:val="subscript"/>
          <w:lang w:val="en-GB"/>
        </w:rPr>
        <w:t>L</w:t>
      </w:r>
      <w:r w:rsidR="00A806B7" w:rsidRPr="003A4375">
        <w:rPr>
          <w:lang w:val="en-GB"/>
        </w:rPr>
        <w:t>=0.05 mol/l</w:t>
      </w:r>
      <w:r w:rsidR="00A806B7">
        <w:rPr>
          <w:lang w:val="en-GB"/>
        </w:rPr>
        <w:t>)</w:t>
      </w:r>
      <w:r w:rsidRPr="003A4375">
        <w:rPr>
          <w:lang w:val="en-GB"/>
        </w:rPr>
        <w:t>, the influence of IEMs resistance and permselectivity on the system efficiency was analysed. Both properties significant</w:t>
      </w:r>
      <w:r w:rsidR="00C12215" w:rsidRPr="003A4375">
        <w:rPr>
          <w:lang w:val="en-GB"/>
        </w:rPr>
        <w:t>ly</w:t>
      </w:r>
      <w:r w:rsidRPr="003A4375">
        <w:rPr>
          <w:lang w:val="en-GB"/>
        </w:rPr>
        <w:t xml:space="preserve"> affect the performance of the whole RED-HE, due to the large influence on the power density. </w:t>
      </w:r>
      <w:bookmarkStart w:id="93" w:name="OLE_LINK128"/>
      <w:bookmarkStart w:id="94" w:name="OLE_LINK129"/>
      <w:r w:rsidRPr="003A4375">
        <w:rPr>
          <w:lang w:val="en-GB"/>
        </w:rPr>
        <w:t xml:space="preserve">Figures 4a </w:t>
      </w:r>
      <w:bookmarkEnd w:id="93"/>
      <w:bookmarkEnd w:id="94"/>
      <w:r w:rsidRPr="003A4375">
        <w:rPr>
          <w:lang w:val="en-GB"/>
        </w:rPr>
        <w:t xml:space="preserve">shows the impact of the IEMs resistance on </w:t>
      </w:r>
      <w:bookmarkStart w:id="95" w:name="OLE_LINK134"/>
      <w:bookmarkStart w:id="96" w:name="OLE_LINK135"/>
      <w:r w:rsidRPr="003A4375">
        <w:rPr>
          <w:lang w:val="en-GB"/>
        </w:rPr>
        <w:t>P</w:t>
      </w:r>
      <w:r w:rsidRPr="003A4375">
        <w:rPr>
          <w:vertAlign w:val="subscript"/>
          <w:lang w:val="en-GB"/>
        </w:rPr>
        <w:t xml:space="preserve">d </w:t>
      </w:r>
      <w:bookmarkEnd w:id="95"/>
      <w:bookmarkEnd w:id="96"/>
      <w:r w:rsidRPr="003A4375">
        <w:rPr>
          <w:lang w:val="en-GB"/>
        </w:rPr>
        <w:t xml:space="preserve">and </w:t>
      </w:r>
      <w:r w:rsidRPr="003A4375">
        <w:rPr>
          <w:lang w:val="en-GB"/>
        </w:rPr>
        <w:sym w:font="Symbol" w:char="F068"/>
      </w:r>
      <w:r w:rsidRPr="003A4375">
        <w:rPr>
          <w:vertAlign w:val="subscript"/>
          <w:lang w:val="en-GB"/>
        </w:rPr>
        <w:t>th</w:t>
      </w:r>
      <w:r w:rsidRPr="003A4375">
        <w:rPr>
          <w:lang w:val="en-GB"/>
        </w:rPr>
        <w:t xml:space="preserve">, at a given value of </w:t>
      </w:r>
      <w:r w:rsidRPr="003A4375">
        <w:rPr>
          <w:rFonts w:ascii="Symbol" w:hAnsi="Symbol"/>
          <w:lang w:val="en-GB"/>
        </w:rPr>
        <w:t></w:t>
      </w:r>
      <w:r w:rsidRPr="003A4375">
        <w:rPr>
          <w:lang w:val="en-GB"/>
        </w:rPr>
        <w:t xml:space="preserve"> (</w:t>
      </w:r>
      <w:r w:rsidRPr="003A4375">
        <w:rPr>
          <w:rFonts w:ascii="Symbol" w:hAnsi="Symbol"/>
          <w:lang w:val="en-GB"/>
        </w:rPr>
        <w:t></w:t>
      </w:r>
      <w:r w:rsidRPr="003A4375">
        <w:rPr>
          <w:lang w:val="en-GB"/>
        </w:rPr>
        <w:t>=100</w:t>
      </w:r>
      <w:r w:rsidR="00C12215" w:rsidRPr="003A4375">
        <w:rPr>
          <w:lang w:val="en-GB"/>
        </w:rPr>
        <w:t xml:space="preserve"> </w:t>
      </w:r>
      <w:r w:rsidRPr="003A4375">
        <w:rPr>
          <w:lang w:val="en-GB"/>
        </w:rPr>
        <w:t>%), while Figures 4b shows the impact of the permselectivity on the same parameters, at a given value of R</w:t>
      </w:r>
      <w:r w:rsidRPr="003A4375">
        <w:rPr>
          <w:vertAlign w:val="subscript"/>
          <w:lang w:val="en-GB"/>
        </w:rPr>
        <w:t>IEM</w:t>
      </w:r>
      <w:r w:rsidRPr="003A4375">
        <w:rPr>
          <w:lang w:val="en-GB"/>
        </w:rPr>
        <w:t xml:space="preserve"> (R</w:t>
      </w:r>
      <w:r w:rsidRPr="003A4375">
        <w:rPr>
          <w:vertAlign w:val="subscript"/>
          <w:lang w:val="en-GB"/>
        </w:rPr>
        <w:t>IEM</w:t>
      </w:r>
      <w:r w:rsidRPr="003A4375">
        <w:rPr>
          <w:lang w:val="en-GB"/>
        </w:rPr>
        <w:t xml:space="preserve"> =0.1 </w:t>
      </w:r>
      <w:r w:rsidRPr="003A4375">
        <w:rPr>
          <w:lang w:val="en-GB"/>
        </w:rPr>
        <w:sym w:font="Symbol" w:char="F057"/>
      </w:r>
      <w:r w:rsidRPr="003A4375">
        <w:rPr>
          <w:lang w:val="en-GB"/>
        </w:rPr>
        <w:t>cm</w:t>
      </w:r>
      <w:r w:rsidRPr="003A4375">
        <w:rPr>
          <w:vertAlign w:val="superscript"/>
          <w:lang w:val="en-GB"/>
        </w:rPr>
        <w:t>2</w:t>
      </w:r>
      <w:r w:rsidRPr="003A4375">
        <w:rPr>
          <w:lang w:val="en-GB"/>
        </w:rPr>
        <w:t>).</w:t>
      </w:r>
    </w:p>
    <w:p w14:paraId="377499F5" w14:textId="05B946FE" w:rsidR="000B5FE8" w:rsidRPr="003A4375" w:rsidRDefault="00336DCD" w:rsidP="003F5AF5">
      <w:pPr>
        <w:pStyle w:val="CETBodytext"/>
      </w:pPr>
      <w:r w:rsidRPr="003A4375">
        <w:rPr>
          <w:lang w:val="en-GB"/>
        </w:rPr>
        <w:t xml:space="preserve">The increase of the resistance from 0.1 to 7 </w:t>
      </w:r>
      <w:r w:rsidRPr="003A4375">
        <w:rPr>
          <w:lang w:val="en-GB"/>
        </w:rPr>
        <w:sym w:font="Symbol" w:char="F057"/>
      </w:r>
      <w:r w:rsidRPr="003A4375">
        <w:rPr>
          <w:lang w:val="en-GB"/>
        </w:rPr>
        <w:t>cm</w:t>
      </w:r>
      <w:r w:rsidRPr="003A4375">
        <w:rPr>
          <w:vertAlign w:val="superscript"/>
          <w:lang w:val="en-GB"/>
        </w:rPr>
        <w:t xml:space="preserve">2 </w:t>
      </w:r>
      <w:r w:rsidRPr="003A4375">
        <w:rPr>
          <w:lang w:val="en-GB"/>
        </w:rPr>
        <w:t>considerably reduces P</w:t>
      </w:r>
      <w:r w:rsidRPr="003A4375">
        <w:rPr>
          <w:vertAlign w:val="subscript"/>
          <w:lang w:val="en-GB"/>
        </w:rPr>
        <w:t>d</w:t>
      </w:r>
      <w:r w:rsidRPr="003A4375">
        <w:rPr>
          <w:lang w:val="en-GB"/>
        </w:rPr>
        <w:t xml:space="preserve"> from </w:t>
      </w:r>
      <w:bookmarkStart w:id="97" w:name="OLE_LINK138"/>
      <w:bookmarkStart w:id="98" w:name="OLE_LINK139"/>
      <w:r w:rsidRPr="003A4375">
        <w:rPr>
          <w:lang w:val="en-GB"/>
        </w:rPr>
        <w:sym w:font="Symbol" w:char="F07E"/>
      </w:r>
      <w:bookmarkEnd w:id="97"/>
      <w:bookmarkEnd w:id="98"/>
      <w:r w:rsidRPr="003A4375">
        <w:rPr>
          <w:lang w:val="en-GB"/>
        </w:rPr>
        <w:t xml:space="preserve">100 </w:t>
      </w:r>
      <w:bookmarkStart w:id="99" w:name="OLE_LINK136"/>
      <w:bookmarkStart w:id="100" w:name="OLE_LINK137"/>
      <w:r w:rsidRPr="003A4375">
        <w:rPr>
          <w:lang w:val="en-GB"/>
        </w:rPr>
        <w:t>W/m</w:t>
      </w:r>
      <w:r w:rsidRPr="003A4375">
        <w:rPr>
          <w:vertAlign w:val="superscript"/>
          <w:lang w:val="en-GB"/>
        </w:rPr>
        <w:t>2</w:t>
      </w:r>
      <w:r w:rsidRPr="003A4375">
        <w:rPr>
          <w:lang w:val="en-GB"/>
        </w:rPr>
        <w:t xml:space="preserve"> </w:t>
      </w:r>
      <w:bookmarkEnd w:id="99"/>
      <w:bookmarkEnd w:id="100"/>
      <w:r w:rsidRPr="003A4375">
        <w:rPr>
          <w:lang w:val="en-GB"/>
        </w:rPr>
        <w:t xml:space="preserve">to </w:t>
      </w:r>
      <w:r w:rsidRPr="003A4375">
        <w:rPr>
          <w:lang w:val="en-GB"/>
        </w:rPr>
        <w:sym w:font="Symbol" w:char="F07E"/>
      </w:r>
      <w:r w:rsidRPr="003A4375">
        <w:rPr>
          <w:lang w:val="en-GB"/>
        </w:rPr>
        <w:t>20 W/m</w:t>
      </w:r>
      <w:r w:rsidRPr="003A4375">
        <w:rPr>
          <w:vertAlign w:val="superscript"/>
          <w:lang w:val="en-GB"/>
        </w:rPr>
        <w:t>2</w:t>
      </w:r>
      <w:r w:rsidRPr="003A4375">
        <w:rPr>
          <w:lang w:val="en-GB"/>
        </w:rPr>
        <w:t>, resulting in an efficiency reduction from 8.7</w:t>
      </w:r>
      <w:r w:rsidR="00C12215" w:rsidRPr="003A4375">
        <w:rPr>
          <w:lang w:val="en-GB"/>
        </w:rPr>
        <w:t xml:space="preserve"> </w:t>
      </w:r>
      <w:r w:rsidRPr="003A4375">
        <w:rPr>
          <w:lang w:val="en-GB"/>
        </w:rPr>
        <w:t>% to 1.2</w:t>
      </w:r>
      <w:r w:rsidR="00C12215" w:rsidRPr="003A4375">
        <w:rPr>
          <w:lang w:val="en-GB"/>
        </w:rPr>
        <w:t xml:space="preserve"> </w:t>
      </w:r>
      <w:r w:rsidRPr="003A4375">
        <w:rPr>
          <w:lang w:val="en-GB"/>
        </w:rPr>
        <w:t>% (fig. 4a).</w:t>
      </w:r>
      <w:bookmarkEnd w:id="91"/>
      <w:bookmarkEnd w:id="92"/>
      <w:r w:rsidRPr="003A4375">
        <w:rPr>
          <w:lang w:val="en-GB"/>
        </w:rPr>
        <w:t xml:space="preserve"> The </w:t>
      </w:r>
      <w:r w:rsidR="000B5FE8" w:rsidRPr="003A4375">
        <w:rPr>
          <w:lang w:val="en-GB"/>
        </w:rPr>
        <w:t xml:space="preserve">sharp </w:t>
      </w:r>
      <w:r w:rsidRPr="003A4375">
        <w:rPr>
          <w:lang w:val="en-GB"/>
        </w:rPr>
        <w:t xml:space="preserve">drop of efficiency for IEMs resistance </w:t>
      </w:r>
      <w:r w:rsidR="000B5FE8" w:rsidRPr="003A4375">
        <w:rPr>
          <w:lang w:val="en-GB"/>
        </w:rPr>
        <w:t>shifting from 5 to 6</w:t>
      </w:r>
      <w:r w:rsidRPr="003A4375">
        <w:rPr>
          <w:lang w:val="en-GB"/>
        </w:rPr>
        <w:t xml:space="preserve"> </w:t>
      </w:r>
      <w:r w:rsidRPr="003A4375">
        <w:rPr>
          <w:lang w:val="en-GB"/>
        </w:rPr>
        <w:sym w:font="Symbol" w:char="F057"/>
      </w:r>
      <w:r w:rsidRPr="003A4375">
        <w:rPr>
          <w:lang w:val="en-GB"/>
        </w:rPr>
        <w:t>cm</w:t>
      </w:r>
      <w:r w:rsidRPr="003A4375">
        <w:rPr>
          <w:vertAlign w:val="superscript"/>
          <w:lang w:val="en-GB"/>
        </w:rPr>
        <w:t>2</w:t>
      </w:r>
      <w:r w:rsidRPr="003A4375">
        <w:rPr>
          <w:lang w:val="en-GB"/>
        </w:rPr>
        <w:t xml:space="preserve"> is due to the decrease of the number of effects from 3 to 2. </w:t>
      </w:r>
    </w:p>
    <w:p w14:paraId="5894C7BB" w14:textId="4B42E5B1" w:rsidR="00EB7986" w:rsidRPr="003A4375" w:rsidRDefault="000B5FE8" w:rsidP="003F5AF5">
      <w:pPr>
        <w:pStyle w:val="CETBodytext"/>
        <w:rPr>
          <w:i/>
          <w:lang w:val="en-GB"/>
        </w:rPr>
      </w:pPr>
      <w:r w:rsidRPr="003A4375">
        <w:t>T</w:t>
      </w:r>
      <w:r w:rsidR="00EB7986" w:rsidRPr="003A4375">
        <w:rPr>
          <w:lang w:val="en-GB"/>
        </w:rPr>
        <w:t xml:space="preserve">he </w:t>
      </w:r>
      <w:r w:rsidR="00EB7986" w:rsidRPr="003A4375">
        <w:t>decrease of the permselectivity</w:t>
      </w:r>
      <w:r w:rsidR="00EB7986" w:rsidRPr="003A4375">
        <w:rPr>
          <w:lang w:val="en-GB"/>
        </w:rPr>
        <w:t xml:space="preserve"> from </w:t>
      </w:r>
      <w:r w:rsidR="00EB7986" w:rsidRPr="003A4375">
        <w:t>100</w:t>
      </w:r>
      <w:r w:rsidR="00C12215" w:rsidRPr="003A4375">
        <w:t xml:space="preserve"> </w:t>
      </w:r>
      <w:r w:rsidR="00EB7986" w:rsidRPr="003A4375">
        <w:t>%</w:t>
      </w:r>
      <w:r w:rsidR="00EB7986" w:rsidRPr="003A4375">
        <w:rPr>
          <w:lang w:val="en-GB"/>
        </w:rPr>
        <w:t xml:space="preserve"> to </w:t>
      </w:r>
      <w:r w:rsidR="00EB7986" w:rsidRPr="003A4375">
        <w:t>50</w:t>
      </w:r>
      <w:r w:rsidR="00C12215" w:rsidRPr="003A4375">
        <w:t xml:space="preserve"> </w:t>
      </w:r>
      <w:r w:rsidR="00EB7986" w:rsidRPr="003A4375">
        <w:t>% significantly</w:t>
      </w:r>
      <w:r w:rsidR="00EB7986" w:rsidRPr="003A4375">
        <w:rPr>
          <w:vertAlign w:val="superscript"/>
          <w:lang w:val="en-GB"/>
        </w:rPr>
        <w:t xml:space="preserve"> </w:t>
      </w:r>
      <w:r w:rsidR="00EB7986" w:rsidRPr="003A4375">
        <w:rPr>
          <w:lang w:val="en-GB"/>
        </w:rPr>
        <w:t>reduces P</w:t>
      </w:r>
      <w:r w:rsidR="00EB7986" w:rsidRPr="003A4375">
        <w:rPr>
          <w:vertAlign w:val="subscript"/>
          <w:lang w:val="en-GB"/>
        </w:rPr>
        <w:t>d</w:t>
      </w:r>
      <w:r w:rsidR="00EB7986" w:rsidRPr="003A4375">
        <w:rPr>
          <w:lang w:val="en-GB"/>
        </w:rPr>
        <w:t xml:space="preserve"> from </w:t>
      </w:r>
      <w:r w:rsidR="00EB7986" w:rsidRPr="003A4375">
        <w:rPr>
          <w:lang w:val="en-GB"/>
        </w:rPr>
        <w:sym w:font="Symbol" w:char="F07E"/>
      </w:r>
      <w:r w:rsidR="00EB7986" w:rsidRPr="003A4375">
        <w:rPr>
          <w:lang w:val="en-GB"/>
        </w:rPr>
        <w:t>100 W/m</w:t>
      </w:r>
      <w:r w:rsidR="00EB7986" w:rsidRPr="003A4375">
        <w:rPr>
          <w:vertAlign w:val="superscript"/>
          <w:lang w:val="en-GB"/>
        </w:rPr>
        <w:t>2</w:t>
      </w:r>
      <w:r w:rsidR="00EB7986" w:rsidRPr="003A4375">
        <w:rPr>
          <w:lang w:val="en-GB"/>
        </w:rPr>
        <w:t xml:space="preserve"> to </w:t>
      </w:r>
      <w:r w:rsidR="00EB7986" w:rsidRPr="003A4375">
        <w:rPr>
          <w:lang w:val="en-GB"/>
        </w:rPr>
        <w:sym w:font="Symbol" w:char="F07E"/>
      </w:r>
      <w:r w:rsidR="00EB7986" w:rsidRPr="003A4375">
        <w:t>3</w:t>
      </w:r>
      <w:r w:rsidR="00EB7986" w:rsidRPr="003A4375">
        <w:rPr>
          <w:lang w:val="en-GB"/>
        </w:rPr>
        <w:t>0 W/m</w:t>
      </w:r>
      <w:r w:rsidR="00EB7986" w:rsidRPr="003A4375">
        <w:rPr>
          <w:vertAlign w:val="superscript"/>
          <w:lang w:val="en-GB"/>
        </w:rPr>
        <w:t>2</w:t>
      </w:r>
      <w:r w:rsidR="00EB7986" w:rsidRPr="003A4375">
        <w:rPr>
          <w:lang w:val="en-GB"/>
        </w:rPr>
        <w:t xml:space="preserve">, </w:t>
      </w:r>
      <w:r w:rsidRPr="003A4375">
        <w:rPr>
          <w:lang w:val="en-GB"/>
        </w:rPr>
        <w:t>leading to</w:t>
      </w:r>
      <w:r w:rsidR="00EB7986" w:rsidRPr="003A4375">
        <w:rPr>
          <w:lang w:val="en-GB"/>
        </w:rPr>
        <w:t xml:space="preserve"> an efficiency reduction from 8.7</w:t>
      </w:r>
      <w:r w:rsidR="00C12215" w:rsidRPr="003A4375">
        <w:rPr>
          <w:lang w:val="en-GB"/>
        </w:rPr>
        <w:t xml:space="preserve"> </w:t>
      </w:r>
      <w:r w:rsidR="00EB7986" w:rsidRPr="003A4375">
        <w:rPr>
          <w:lang w:val="en-GB"/>
        </w:rPr>
        <w:t xml:space="preserve">% to </w:t>
      </w:r>
      <w:r w:rsidR="00EB7986" w:rsidRPr="003A4375">
        <w:t>2.7</w:t>
      </w:r>
      <w:r w:rsidR="00C12215" w:rsidRPr="003A4375">
        <w:t xml:space="preserve"> </w:t>
      </w:r>
      <w:r w:rsidR="00EB7986" w:rsidRPr="003A4375">
        <w:rPr>
          <w:lang w:val="en-GB"/>
        </w:rPr>
        <w:t>% (fig. 4</w:t>
      </w:r>
      <w:r w:rsidR="00EB7986" w:rsidRPr="003A4375">
        <w:t>b</w:t>
      </w:r>
      <w:r w:rsidR="00EB7986" w:rsidRPr="003A4375">
        <w:rPr>
          <w:i/>
          <w:lang w:val="en-GB"/>
        </w:rPr>
        <w:t>).</w:t>
      </w:r>
    </w:p>
    <w:bookmarkEnd w:id="85"/>
    <w:bookmarkEnd w:id="86"/>
    <w:p w14:paraId="160FF510" w14:textId="13F9341A" w:rsidR="006B58F2" w:rsidRPr="003A4375" w:rsidRDefault="00C12215" w:rsidP="003F5AF5">
      <w:pPr>
        <w:pStyle w:val="CETBodytext"/>
        <w:jc w:val="center"/>
        <w:rPr>
          <w:lang w:val="en-GB"/>
        </w:rPr>
      </w:pPr>
      <w:r w:rsidRPr="003A4375">
        <w:rPr>
          <w:noProof/>
          <w:lang w:val="it-IT" w:eastAsia="it-IT"/>
        </w:rPr>
        <mc:AlternateContent>
          <mc:Choice Requires="wps">
            <w:drawing>
              <wp:anchor distT="45720" distB="45720" distL="114300" distR="114300" simplePos="0" relativeHeight="251659264" behindDoc="0" locked="0" layoutInCell="1" allowOverlap="1" wp14:anchorId="6CD8D27A" wp14:editId="58A38820">
                <wp:simplePos x="0" y="0"/>
                <wp:positionH relativeFrom="column">
                  <wp:posOffset>1496151</wp:posOffset>
                </wp:positionH>
                <wp:positionV relativeFrom="paragraph">
                  <wp:posOffset>564969</wp:posOffset>
                </wp:positionV>
                <wp:extent cx="709113" cy="231140"/>
                <wp:effectExtent l="0" t="0" r="254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13" cy="231140"/>
                        </a:xfrm>
                        <a:prstGeom prst="rect">
                          <a:avLst/>
                        </a:prstGeom>
                        <a:solidFill>
                          <a:srgbClr val="FFFFFF"/>
                        </a:solidFill>
                        <a:ln w="9525">
                          <a:noFill/>
                          <a:miter lim="800000"/>
                          <a:headEnd/>
                          <a:tailEnd/>
                        </a:ln>
                      </wps:spPr>
                      <wps:txbx>
                        <w:txbxContent>
                          <w:p w14:paraId="43442170" w14:textId="5331FBBA" w:rsidR="000B5FE8" w:rsidRPr="000B5FE8" w:rsidRDefault="000B5FE8">
                            <w:pPr>
                              <w:rPr>
                                <w:lang w:val="it-IT"/>
                              </w:rPr>
                            </w:pPr>
                            <w:r w:rsidRPr="000B5FE8">
                              <w:rPr>
                                <w:rFonts w:ascii="Symbol" w:hAnsi="Symbol"/>
                              </w:rPr>
                              <w:t></w:t>
                            </w:r>
                            <w:r>
                              <w:t>=100</w:t>
                            </w:r>
                            <w:r w:rsidR="00C12215">
                              <w:t xml:space="preserv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6CD8D27A" id="_x0000_t202" coordsize="21600,21600" o:spt="202" path="m,l,21600r21600,l21600,xe">
                <v:stroke joinstyle="miter"/>
                <v:path gradientshapeok="t" o:connecttype="rect"/>
              </v:shapetype>
              <v:shape id="Casella di testo 2" o:spid="_x0000_s1026" type="#_x0000_t202" style="position:absolute;left:0;text-align:left;margin-left:117.8pt;margin-top:44.5pt;width:55.85pt;height:1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" stroked="f">
                <v:textbox>
                  <w:txbxContent>
                    <w:p w14:paraId="43442170" w14:textId="5331FBBA" w:rsidR="000B5FE8" w:rsidRPr="000B5FE8" w:rsidRDefault="000B5FE8">
                      <w:pPr>
                        <w:rPr>
                          <w:lang w:val="it-IT"/>
                        </w:rPr>
                      </w:pPr>
                      <w:r w:rsidRPr="000B5FE8">
                        <w:rPr>
                          <w:rFonts w:ascii="Symbol" w:hAnsi="Symbol"/>
                        </w:rPr>
                        <w:t></w:t>
                      </w:r>
                      <w:r>
                        <w:t>=100</w:t>
                      </w:r>
                      <w:r w:rsidR="00C12215">
                        <w:t xml:space="preserve"> </w:t>
                      </w:r>
                      <w:r>
                        <w:t>%</w:t>
                      </w:r>
                    </w:p>
                  </w:txbxContent>
                </v:textbox>
              </v:shape>
            </w:pict>
          </mc:Fallback>
        </mc:AlternateContent>
      </w:r>
      <w:r w:rsidR="007852E3" w:rsidRPr="003A4375">
        <w:rPr>
          <w:noProof/>
          <w:lang w:val="it-IT" w:eastAsia="it-IT"/>
        </w:rPr>
        <mc:AlternateContent>
          <mc:Choice Requires="wps">
            <w:drawing>
              <wp:anchor distT="0" distB="0" distL="114300" distR="114300" simplePos="0" relativeHeight="251673600" behindDoc="0" locked="0" layoutInCell="1" allowOverlap="1" wp14:anchorId="4F1637F3" wp14:editId="2295BCE9">
                <wp:simplePos x="0" y="0"/>
                <wp:positionH relativeFrom="column">
                  <wp:posOffset>1290890</wp:posOffset>
                </wp:positionH>
                <wp:positionV relativeFrom="paragraph">
                  <wp:posOffset>307975</wp:posOffset>
                </wp:positionV>
                <wp:extent cx="359410" cy="220345"/>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359410" cy="220345"/>
                        </a:xfrm>
                        <a:prstGeom prst="rect">
                          <a:avLst/>
                        </a:prstGeom>
                        <a:noFill/>
                        <a:ln w="6350">
                          <a:noFill/>
                        </a:ln>
                      </wps:spPr>
                      <wps:txbx>
                        <w:txbxContent>
                          <w:p w14:paraId="671ED803" w14:textId="77777777" w:rsidR="007852E3" w:rsidRPr="007852E3" w:rsidRDefault="007852E3" w:rsidP="007852E3">
                            <w:pPr>
                              <w:jc w:val="left"/>
                              <w:rPr>
                                <w:lang w:val="it-IT"/>
                              </w:rPr>
                            </w:pPr>
                            <w:r w:rsidRPr="007852E3">
                              <w:rPr>
                                <w:lang w:val="it-IT"/>
                              </w:rPr>
                              <w:t>P</w:t>
                            </w:r>
                            <w:r w:rsidRPr="007852E3">
                              <w:rPr>
                                <w:vertAlign w:val="subscript"/>
                                <w:lang w:val="it-I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4F1637F3" id="Casella di testo 12" o:spid="_x0000_s1027" type="#_x0000_t202" style="position:absolute;left:0;text-align:left;margin-left:101.65pt;margin-top:24.25pt;width:28.3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" filled="f" stroked="f" strokeweight=".5pt">
                <v:textbox>
                  <w:txbxContent>
                    <w:p w14:paraId="671ED803" w14:textId="77777777" w:rsidR="007852E3" w:rsidRPr="007852E3" w:rsidRDefault="007852E3" w:rsidP="007852E3">
                      <w:pPr>
                        <w:jc w:val="left"/>
                        <w:rPr>
                          <w:lang w:val="it-IT"/>
                        </w:rPr>
                      </w:pPr>
                      <w:r w:rsidRPr="007852E3">
                        <w:rPr>
                          <w:lang w:val="it-IT"/>
                        </w:rPr>
                        <w:t>P</w:t>
                      </w:r>
                      <w:r w:rsidRPr="007852E3">
                        <w:rPr>
                          <w:vertAlign w:val="subscript"/>
                          <w:lang w:val="it-IT"/>
                        </w:rPr>
                        <w:t>d</w:t>
                      </w:r>
                    </w:p>
                  </w:txbxContent>
                </v:textbox>
              </v:shape>
            </w:pict>
          </mc:Fallback>
        </mc:AlternateContent>
      </w:r>
      <w:r w:rsidR="007852E3" w:rsidRPr="003A4375">
        <w:rPr>
          <w:noProof/>
          <w:lang w:val="it-IT" w:eastAsia="it-IT"/>
        </w:rPr>
        <mc:AlternateContent>
          <mc:Choice Requires="wps">
            <w:drawing>
              <wp:anchor distT="0" distB="0" distL="114300" distR="114300" simplePos="0" relativeHeight="251678720" behindDoc="0" locked="0" layoutInCell="1" allowOverlap="1" wp14:anchorId="090B3E91" wp14:editId="0A5C27C6">
                <wp:simplePos x="0" y="0"/>
                <wp:positionH relativeFrom="column">
                  <wp:posOffset>3435731</wp:posOffset>
                </wp:positionH>
                <wp:positionV relativeFrom="paragraph">
                  <wp:posOffset>304165</wp:posOffset>
                </wp:positionV>
                <wp:extent cx="359664" cy="2203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359664" cy="220345"/>
                        </a:xfrm>
                        <a:prstGeom prst="rect">
                          <a:avLst/>
                        </a:prstGeom>
                        <a:noFill/>
                        <a:ln w="6350">
                          <a:noFill/>
                        </a:ln>
                      </wps:spPr>
                      <wps:txbx>
                        <w:txbxContent>
                          <w:p w14:paraId="6AEDF1AF" w14:textId="77777777" w:rsidR="007852E3" w:rsidRPr="007852E3" w:rsidRDefault="007852E3" w:rsidP="007852E3">
                            <w:pPr>
                              <w:jc w:val="left"/>
                              <w:rPr>
                                <w:lang w:val="it-IT"/>
                              </w:rPr>
                            </w:pPr>
                            <w:r w:rsidRPr="007852E3">
                              <w:rPr>
                                <w:lang w:val="it-IT"/>
                              </w:rPr>
                              <w:t>P</w:t>
                            </w:r>
                            <w:r w:rsidRPr="007852E3">
                              <w:rPr>
                                <w:vertAlign w:val="subscript"/>
                                <w:lang w:val="it-I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090B3E91" id="Casella di testo 18" o:spid="_x0000_s1028" type="#_x0000_t202" style="position:absolute;left:0;text-align:left;margin-left:270.55pt;margin-top:23.95pt;width:28.3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" filled="f" stroked="f" strokeweight=".5pt">
                <v:textbox>
                  <w:txbxContent>
                    <w:p w14:paraId="6AEDF1AF" w14:textId="77777777" w:rsidR="007852E3" w:rsidRPr="007852E3" w:rsidRDefault="007852E3" w:rsidP="007852E3">
                      <w:pPr>
                        <w:jc w:val="left"/>
                        <w:rPr>
                          <w:lang w:val="it-IT"/>
                        </w:rPr>
                      </w:pPr>
                      <w:r w:rsidRPr="007852E3">
                        <w:rPr>
                          <w:lang w:val="it-IT"/>
                        </w:rPr>
                        <w:t>P</w:t>
                      </w:r>
                      <w:r w:rsidRPr="007852E3">
                        <w:rPr>
                          <w:vertAlign w:val="subscript"/>
                          <w:lang w:val="it-IT"/>
                        </w:rPr>
                        <w:t>d</w:t>
                      </w:r>
                    </w:p>
                  </w:txbxContent>
                </v:textbox>
              </v:shape>
            </w:pict>
          </mc:Fallback>
        </mc:AlternateContent>
      </w:r>
      <w:r w:rsidR="007852E3" w:rsidRPr="003A4375">
        <w:rPr>
          <w:noProof/>
          <w:lang w:val="it-IT" w:eastAsia="it-IT"/>
        </w:rPr>
        <mc:AlternateContent>
          <mc:Choice Requires="wps">
            <w:drawing>
              <wp:anchor distT="0" distB="0" distL="114300" distR="114300" simplePos="0" relativeHeight="251676672" behindDoc="0" locked="0" layoutInCell="1" allowOverlap="1" wp14:anchorId="4E5E259A" wp14:editId="1A60B05E">
                <wp:simplePos x="0" y="0"/>
                <wp:positionH relativeFrom="column">
                  <wp:posOffset>3429000</wp:posOffset>
                </wp:positionH>
                <wp:positionV relativeFrom="paragraph">
                  <wp:posOffset>140970</wp:posOffset>
                </wp:positionV>
                <wp:extent cx="505460" cy="220345"/>
                <wp:effectExtent l="0" t="0" r="0" b="0"/>
                <wp:wrapNone/>
                <wp:docPr id="17" name="Casella di testo 17"/>
                <wp:cNvGraphicFramePr/>
                <a:graphic xmlns:a="http://schemas.openxmlformats.org/drawingml/2006/main">
                  <a:graphicData uri="http://schemas.microsoft.com/office/word/2010/wordprocessingShape">
                    <wps:wsp>
                      <wps:cNvSpPr txBox="1"/>
                      <wps:spPr>
                        <a:xfrm>
                          <a:off x="0" y="0"/>
                          <a:ext cx="505460" cy="220345"/>
                        </a:xfrm>
                        <a:prstGeom prst="rect">
                          <a:avLst/>
                        </a:prstGeom>
                        <a:noFill/>
                        <a:ln w="6350">
                          <a:noFill/>
                        </a:ln>
                      </wps:spPr>
                      <wps:txbx>
                        <w:txbxContent>
                          <w:p w14:paraId="336C53D9" w14:textId="77777777" w:rsidR="007852E3" w:rsidRPr="007852E3" w:rsidRDefault="007852E3" w:rsidP="007852E3">
                            <w:pPr>
                              <w:jc w:val="left"/>
                              <w:rPr>
                                <w:lang w:val="it-IT"/>
                              </w:rPr>
                            </w:pPr>
                            <w:r w:rsidRPr="007852E3">
                              <w:rPr>
                                <w:rFonts w:ascii="Symbol" w:hAnsi="Symbol"/>
                              </w:rPr>
                              <w:sym w:font="Symbol" w:char="F068"/>
                            </w:r>
                            <w:r w:rsidRPr="00E00CE6">
                              <w:rPr>
                                <w:vertAlign w:val="subscript"/>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4E5E259A" id="Casella di testo 17" o:spid="_x0000_s1029" type="#_x0000_t202" style="position:absolute;left:0;text-align:left;margin-left:270pt;margin-top:11.1pt;width:39.8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" filled="f" stroked="f" strokeweight=".5pt">
                <v:textbox>
                  <w:txbxContent>
                    <w:p w14:paraId="336C53D9" w14:textId="77777777" w:rsidR="007852E3" w:rsidRPr="007852E3" w:rsidRDefault="007852E3" w:rsidP="007852E3">
                      <w:pPr>
                        <w:jc w:val="left"/>
                        <w:rPr>
                          <w:lang w:val="it-IT"/>
                        </w:rPr>
                      </w:pPr>
                      <w:r w:rsidRPr="007852E3">
                        <w:rPr>
                          <w:rFonts w:ascii="Symbol" w:hAnsi="Symbol"/>
                        </w:rPr>
                        <w:sym w:font="Symbol" w:char="F068"/>
                      </w:r>
                      <w:r w:rsidRPr="00E00CE6">
                        <w:rPr>
                          <w:vertAlign w:val="subscript"/>
                        </w:rPr>
                        <w:t>th</w:t>
                      </w:r>
                    </w:p>
                  </w:txbxContent>
                </v:textbox>
              </v:shape>
            </w:pict>
          </mc:Fallback>
        </mc:AlternateContent>
      </w:r>
      <w:r w:rsidR="007852E3" w:rsidRPr="003A4375">
        <w:rPr>
          <w:noProof/>
          <w:lang w:val="it-IT" w:eastAsia="it-IT"/>
        </w:rPr>
        <mc:AlternateContent>
          <mc:Choice Requires="wps">
            <w:drawing>
              <wp:anchor distT="0" distB="0" distL="114300" distR="114300" simplePos="0" relativeHeight="251675648" behindDoc="0" locked="0" layoutInCell="1" allowOverlap="1" wp14:anchorId="6E3898E9" wp14:editId="631E384A">
                <wp:simplePos x="0" y="0"/>
                <wp:positionH relativeFrom="column">
                  <wp:posOffset>3532124</wp:posOffset>
                </wp:positionH>
                <wp:positionV relativeFrom="paragraph">
                  <wp:posOffset>220980</wp:posOffset>
                </wp:positionV>
                <wp:extent cx="829310" cy="268605"/>
                <wp:effectExtent l="0" t="0" r="8890" b="0"/>
                <wp:wrapNone/>
                <wp:docPr id="16" name="Rettangolo 16"/>
                <wp:cNvGraphicFramePr/>
                <a:graphic xmlns:a="http://schemas.openxmlformats.org/drawingml/2006/main">
                  <a:graphicData uri="http://schemas.microsoft.com/office/word/2010/wordprocessingShape">
                    <wps:wsp>
                      <wps:cNvSpPr/>
                      <wps:spPr>
                        <a:xfrm>
                          <a:off x="0" y="0"/>
                          <a:ext cx="829310" cy="268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47F44834" id="Rettangolo 16" o:spid="_x0000_s1026" style="position:absolute;margin-left:278.1pt;margin-top:17.4pt;width:65.3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" fillcolor="white [3212]" stroked="f" strokeweight="2pt"/>
            </w:pict>
          </mc:Fallback>
        </mc:AlternateContent>
      </w:r>
      <w:r w:rsidR="001F66C0" w:rsidRPr="003A4375">
        <w:rPr>
          <w:noProof/>
          <w:lang w:val="it-IT" w:eastAsia="it-IT"/>
        </w:rPr>
        <mc:AlternateContent>
          <mc:Choice Requires="wps">
            <w:drawing>
              <wp:anchor distT="0" distB="0" distL="114300" distR="114300" simplePos="0" relativeHeight="251669504" behindDoc="0" locked="0" layoutInCell="1" allowOverlap="1" wp14:anchorId="66D291B3" wp14:editId="710B41D1">
                <wp:simplePos x="0" y="0"/>
                <wp:positionH relativeFrom="column">
                  <wp:posOffset>1385531</wp:posOffset>
                </wp:positionH>
                <wp:positionV relativeFrom="paragraph">
                  <wp:posOffset>222700</wp:posOffset>
                </wp:positionV>
                <wp:extent cx="829310" cy="268770"/>
                <wp:effectExtent l="0" t="0" r="8890" b="0"/>
                <wp:wrapNone/>
                <wp:docPr id="15" name="Rettangolo 15"/>
                <wp:cNvGraphicFramePr/>
                <a:graphic xmlns:a="http://schemas.openxmlformats.org/drawingml/2006/main">
                  <a:graphicData uri="http://schemas.microsoft.com/office/word/2010/wordprocessingShape">
                    <wps:wsp>
                      <wps:cNvSpPr/>
                      <wps:spPr>
                        <a:xfrm>
                          <a:off x="0" y="0"/>
                          <a:ext cx="829310" cy="2687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63C658EB" id="Rettangolo 15" o:spid="_x0000_s1026" style="position:absolute;margin-left:109.1pt;margin-top:17.55pt;width:65.3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" fillcolor="white [3212]" stroked="f" strokeweight="2pt"/>
            </w:pict>
          </mc:Fallback>
        </mc:AlternateContent>
      </w:r>
      <w:r w:rsidR="007852E3" w:rsidRPr="003A4375">
        <w:rPr>
          <w:noProof/>
          <w:lang w:val="it-IT" w:eastAsia="it-IT"/>
        </w:rPr>
        <mc:AlternateContent>
          <mc:Choice Requires="wps">
            <w:drawing>
              <wp:anchor distT="0" distB="0" distL="114300" distR="114300" simplePos="0" relativeHeight="251671552" behindDoc="0" locked="0" layoutInCell="1" allowOverlap="1" wp14:anchorId="1642007A" wp14:editId="140432CC">
                <wp:simplePos x="0" y="0"/>
                <wp:positionH relativeFrom="column">
                  <wp:posOffset>1282497</wp:posOffset>
                </wp:positionH>
                <wp:positionV relativeFrom="paragraph">
                  <wp:posOffset>142514</wp:posOffset>
                </wp:positionV>
                <wp:extent cx="505918" cy="220865"/>
                <wp:effectExtent l="0" t="0" r="0" b="0"/>
                <wp:wrapNone/>
                <wp:docPr id="14" name="Casella di testo 14"/>
                <wp:cNvGraphicFramePr/>
                <a:graphic xmlns:a="http://schemas.openxmlformats.org/drawingml/2006/main">
                  <a:graphicData uri="http://schemas.microsoft.com/office/word/2010/wordprocessingShape">
                    <wps:wsp>
                      <wps:cNvSpPr txBox="1"/>
                      <wps:spPr>
                        <a:xfrm>
                          <a:off x="0" y="0"/>
                          <a:ext cx="505918" cy="220865"/>
                        </a:xfrm>
                        <a:prstGeom prst="rect">
                          <a:avLst/>
                        </a:prstGeom>
                        <a:noFill/>
                        <a:ln w="6350">
                          <a:noFill/>
                        </a:ln>
                      </wps:spPr>
                      <wps:txbx>
                        <w:txbxContent>
                          <w:p w14:paraId="27F224A8" w14:textId="77777777" w:rsidR="007852E3" w:rsidRPr="007852E3" w:rsidRDefault="007852E3" w:rsidP="007852E3">
                            <w:pPr>
                              <w:jc w:val="left"/>
                              <w:rPr>
                                <w:lang w:val="it-IT"/>
                              </w:rPr>
                            </w:pPr>
                            <w:r w:rsidRPr="007852E3">
                              <w:rPr>
                                <w:rFonts w:ascii="Symbol" w:hAnsi="Symbol"/>
                              </w:rPr>
                              <w:sym w:font="Symbol" w:char="F068"/>
                            </w:r>
                            <w:r w:rsidRPr="00E00CE6">
                              <w:rPr>
                                <w:vertAlign w:val="subscript"/>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1642007A" id="Casella di testo 14" o:spid="_x0000_s1030" type="#_x0000_t202" style="position:absolute;left:0;text-align:left;margin-left:101pt;margin-top:11.2pt;width:39.85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" filled="f" stroked="f" strokeweight=".5pt">
                <v:textbox>
                  <w:txbxContent>
                    <w:p w14:paraId="27F224A8" w14:textId="77777777" w:rsidR="007852E3" w:rsidRPr="007852E3" w:rsidRDefault="007852E3" w:rsidP="007852E3">
                      <w:pPr>
                        <w:jc w:val="left"/>
                        <w:rPr>
                          <w:lang w:val="it-IT"/>
                        </w:rPr>
                      </w:pPr>
                      <w:r w:rsidRPr="007852E3">
                        <w:rPr>
                          <w:rFonts w:ascii="Symbol" w:hAnsi="Symbol"/>
                        </w:rPr>
                        <w:sym w:font="Symbol" w:char="F068"/>
                      </w:r>
                      <w:r w:rsidRPr="00E00CE6">
                        <w:rPr>
                          <w:vertAlign w:val="subscript"/>
                        </w:rPr>
                        <w:t>th</w:t>
                      </w:r>
                    </w:p>
                  </w:txbxContent>
                </v:textbox>
              </v:shape>
            </w:pict>
          </mc:Fallback>
        </mc:AlternateContent>
      </w:r>
      <w:r w:rsidR="007852E3" w:rsidRPr="003A4375">
        <w:rPr>
          <w:noProof/>
          <w:lang w:val="en-GB" w:eastAsia="en-GB"/>
        </w:rPr>
        <w:t xml:space="preserve"> </w:t>
      </w:r>
      <w:r w:rsidR="000B5FE8" w:rsidRPr="003A4375">
        <w:rPr>
          <w:noProof/>
          <w:lang w:val="it-IT" w:eastAsia="it-IT"/>
        </w:rPr>
        <mc:AlternateContent>
          <mc:Choice Requires="wps">
            <w:drawing>
              <wp:anchor distT="45720" distB="45720" distL="114300" distR="114300" simplePos="0" relativeHeight="251661312" behindDoc="0" locked="0" layoutInCell="1" allowOverlap="1" wp14:anchorId="3E0E9483" wp14:editId="24D9C0D7">
                <wp:simplePos x="0" y="0"/>
                <wp:positionH relativeFrom="column">
                  <wp:posOffset>3355299</wp:posOffset>
                </wp:positionH>
                <wp:positionV relativeFrom="paragraph">
                  <wp:posOffset>544969</wp:posOffset>
                </wp:positionV>
                <wp:extent cx="973776" cy="237507"/>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6" cy="237507"/>
                        </a:xfrm>
                        <a:prstGeom prst="rect">
                          <a:avLst/>
                        </a:prstGeom>
                        <a:solidFill>
                          <a:srgbClr val="FFFFFF"/>
                        </a:solidFill>
                        <a:ln w="9525">
                          <a:noFill/>
                          <a:miter lim="800000"/>
                          <a:headEnd/>
                          <a:tailEnd/>
                        </a:ln>
                      </wps:spPr>
                      <wps:txbx>
                        <w:txbxContent>
                          <w:p w14:paraId="7E8CD8E7" w14:textId="5019D930" w:rsidR="000B5FE8" w:rsidRPr="000B5FE8" w:rsidRDefault="000B5FE8" w:rsidP="000B5FE8">
                            <w:pPr>
                              <w:rPr>
                                <w:lang w:val="it-IT"/>
                              </w:rPr>
                            </w:pPr>
                            <w:r>
                              <w:t>R</w:t>
                            </w:r>
                            <w:r w:rsidRPr="000B5FE8">
                              <w:rPr>
                                <w:vertAlign w:val="subscript"/>
                              </w:rPr>
                              <w:t>IEM</w:t>
                            </w:r>
                            <w:r>
                              <w:t xml:space="preserve">=0.1 </w:t>
                            </w:r>
                            <w:r w:rsidRPr="00982568">
                              <w:sym w:font="Symbol" w:char="F057"/>
                            </w:r>
                            <w:r w:rsidRPr="00982568">
                              <w:sym w:font="Symbol" w:char="F0D7"/>
                            </w:r>
                            <w:r w:rsidRPr="00982568">
                              <w:t>cm</w:t>
                            </w:r>
                            <w:r w:rsidRPr="00982568">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3E0E9483" id="_x0000_s1031" type="#_x0000_t202" style="position:absolute;left:0;text-align:left;margin-left:264.2pt;margin-top:42.9pt;width:76.7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" stroked="f">
                <v:textbox>
                  <w:txbxContent>
                    <w:p w14:paraId="7E8CD8E7" w14:textId="5019D930" w:rsidR="000B5FE8" w:rsidRPr="000B5FE8" w:rsidRDefault="000B5FE8" w:rsidP="000B5FE8">
                      <w:pPr>
                        <w:rPr>
                          <w:lang w:val="it-IT"/>
                        </w:rPr>
                      </w:pPr>
                      <w:r>
                        <w:t>R</w:t>
                      </w:r>
                      <w:r w:rsidRPr="000B5FE8">
                        <w:rPr>
                          <w:vertAlign w:val="subscript"/>
                        </w:rPr>
                        <w:t>IEM</w:t>
                      </w:r>
                      <w:r>
                        <w:t xml:space="preserve">=0.1 </w:t>
                      </w:r>
                      <w:r w:rsidRPr="00982568">
                        <w:sym w:font="Symbol" w:char="F057"/>
                      </w:r>
                      <w:r w:rsidRPr="00982568">
                        <w:sym w:font="Symbol" w:char="F0D7"/>
                      </w:r>
                      <w:r w:rsidRPr="00982568">
                        <w:t>cm</w:t>
                      </w:r>
                      <w:r w:rsidRPr="00982568">
                        <w:rPr>
                          <w:vertAlign w:val="superscript"/>
                        </w:rPr>
                        <w:t>2</w:t>
                      </w:r>
                    </w:p>
                  </w:txbxContent>
                </v:textbox>
              </v:shape>
            </w:pict>
          </mc:Fallback>
        </mc:AlternateContent>
      </w:r>
      <w:r w:rsidR="006B58F2" w:rsidRPr="003A4375">
        <w:rPr>
          <w:noProof/>
          <w:lang w:val="it-IT" w:eastAsia="it-IT"/>
        </w:rPr>
        <w:drawing>
          <wp:inline distT="0" distB="0" distL="0" distR="0" wp14:anchorId="774CEFE8" wp14:editId="544B76D6">
            <wp:extent cx="2700000" cy="2412000"/>
            <wp:effectExtent l="0" t="0" r="5715" b="7620"/>
            <wp:docPr id="1" name="Gra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D29714A-B989-2C4E-8B25-D4674C8B3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B58F2" w:rsidRPr="003A4375">
        <w:rPr>
          <w:noProof/>
          <w:lang w:val="it-IT" w:eastAsia="it-IT"/>
        </w:rPr>
        <w:drawing>
          <wp:inline distT="0" distB="0" distL="0" distR="0" wp14:anchorId="59279BEB" wp14:editId="76723CAA">
            <wp:extent cx="2700000" cy="2412000"/>
            <wp:effectExtent l="0" t="0" r="5715" b="7620"/>
            <wp:docPr id="4" name="Grafico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EBDE050-3CF1-0048-A5F4-442763954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94B41E" w14:textId="6E68DDBA" w:rsidR="00673EB6" w:rsidRPr="003A4375" w:rsidRDefault="00673EB6" w:rsidP="003F5AF5">
      <w:pPr>
        <w:pStyle w:val="CETCaption"/>
      </w:pPr>
      <w:r w:rsidRPr="003A4375">
        <w:t xml:space="preserve">Figure 4: Power density and thermal efficiency </w:t>
      </w:r>
      <w:bookmarkStart w:id="101" w:name="OLE_LINK143"/>
      <w:bookmarkStart w:id="102" w:name="OLE_LINK144"/>
      <w:r w:rsidRPr="003A4375">
        <w:t>as a function of the</w:t>
      </w:r>
      <w:r w:rsidR="00615DAC" w:rsidRPr="003A4375">
        <w:t xml:space="preserve"> average</w:t>
      </w:r>
      <w:r w:rsidRPr="003A4375">
        <w:t xml:space="preserve"> IEM resistance </w:t>
      </w:r>
      <w:r w:rsidR="00336DCD" w:rsidRPr="003A4375">
        <w:t>fixing the average permselectivity to 100</w:t>
      </w:r>
      <w:r w:rsidR="00C12215" w:rsidRPr="003A4375">
        <w:t xml:space="preserve"> </w:t>
      </w:r>
      <w:r w:rsidR="00336DCD" w:rsidRPr="003A4375">
        <w:t>%</w:t>
      </w:r>
      <w:bookmarkEnd w:id="101"/>
      <w:bookmarkEnd w:id="102"/>
      <w:r w:rsidR="00336DCD" w:rsidRPr="003A4375">
        <w:t xml:space="preserve"> (a) and as a function of the average IEM permselectivity fixing the average resistance to 0.1 </w:t>
      </w:r>
      <w:r w:rsidR="00336DCD" w:rsidRPr="003A4375">
        <w:sym w:font="Symbol" w:char="F057"/>
      </w:r>
      <w:r w:rsidR="00336DCD" w:rsidRPr="003A4375">
        <w:t>cm</w:t>
      </w:r>
      <w:r w:rsidR="00336DCD" w:rsidRPr="003A4375">
        <w:rPr>
          <w:vertAlign w:val="superscript"/>
        </w:rPr>
        <w:t>2</w:t>
      </w:r>
      <w:r w:rsidR="00336DCD" w:rsidRPr="003A4375">
        <w:t xml:space="preserve"> (b)</w:t>
      </w:r>
      <w:r w:rsidRPr="003A4375">
        <w:t>. RED unit consisting of 500 cell pairs 0.5x0.5 m</w:t>
      </w:r>
      <w:r w:rsidRPr="003A4375">
        <w:rPr>
          <w:vertAlign w:val="superscript"/>
        </w:rPr>
        <w:t>2</w:t>
      </w:r>
      <w:r w:rsidR="00336DCD" w:rsidRPr="003A4375">
        <w:t xml:space="preserve"> fed with LiCl solution </w:t>
      </w:r>
      <w:bookmarkStart w:id="103" w:name="OLE_LINK72"/>
      <w:bookmarkStart w:id="104" w:name="OLE_LINK73"/>
      <w:bookmarkStart w:id="105" w:name="OLE_LINK80"/>
      <w:bookmarkStart w:id="106" w:name="OLE_LINK81"/>
      <w:r w:rsidR="00336DCD" w:rsidRPr="003A4375">
        <w:t>C</w:t>
      </w:r>
      <w:r w:rsidR="00336DCD" w:rsidRPr="003A4375">
        <w:rPr>
          <w:vertAlign w:val="subscript"/>
        </w:rPr>
        <w:t>H,in</w:t>
      </w:r>
      <w:r w:rsidR="00336DCD" w:rsidRPr="003A4375">
        <w:t>=</w:t>
      </w:r>
      <w:bookmarkEnd w:id="103"/>
      <w:bookmarkEnd w:id="104"/>
      <w:r w:rsidR="00336DCD" w:rsidRPr="003A4375">
        <w:t>11 mol/l and C</w:t>
      </w:r>
      <w:r w:rsidR="00336DCD" w:rsidRPr="003A4375">
        <w:rPr>
          <w:vertAlign w:val="subscript"/>
        </w:rPr>
        <w:t>L,in</w:t>
      </w:r>
      <w:r w:rsidR="00336DCD" w:rsidRPr="003A4375">
        <w:t>=0.05 mol/l</w:t>
      </w:r>
      <w:bookmarkEnd w:id="105"/>
      <w:bookmarkEnd w:id="106"/>
      <w:r w:rsidRPr="003A4375">
        <w:t xml:space="preserve"> v</w:t>
      </w:r>
      <w:r w:rsidRPr="003A4375">
        <w:rPr>
          <w:vertAlign w:val="subscript"/>
        </w:rPr>
        <w:t>H</w:t>
      </w:r>
      <w:r w:rsidR="00336DCD" w:rsidRPr="003A4375">
        <w:rPr>
          <w:vertAlign w:val="subscript"/>
        </w:rPr>
        <w:t>,in</w:t>
      </w:r>
      <w:r w:rsidRPr="003A4375">
        <w:t>=v</w:t>
      </w:r>
      <w:r w:rsidRPr="003A4375">
        <w:rPr>
          <w:vertAlign w:val="subscript"/>
        </w:rPr>
        <w:t>L</w:t>
      </w:r>
      <w:r w:rsidR="00336DCD" w:rsidRPr="003A4375">
        <w:rPr>
          <w:vertAlign w:val="subscript"/>
        </w:rPr>
        <w:t>,in</w:t>
      </w:r>
      <w:r w:rsidRPr="003A4375">
        <w:t xml:space="preserve">=0.5 cm/s, </w:t>
      </w:r>
      <w:bookmarkStart w:id="107" w:name="OLE_LINK84"/>
      <w:bookmarkStart w:id="108" w:name="OLE_LINK85"/>
      <w:r w:rsidRPr="003A4375">
        <w:sym w:font="Symbol" w:char="F044"/>
      </w:r>
      <w:r w:rsidRPr="003A4375">
        <w:t>T</w:t>
      </w:r>
      <w:r w:rsidRPr="003A4375">
        <w:rPr>
          <w:vertAlign w:val="subscript"/>
        </w:rPr>
        <w:t>exch</w:t>
      </w:r>
      <w:bookmarkEnd w:id="107"/>
      <w:bookmarkEnd w:id="108"/>
      <w:r w:rsidRPr="003A4375">
        <w:t>=2</w:t>
      </w:r>
      <w:r w:rsidR="00615DAC" w:rsidRPr="003A4375">
        <w:t xml:space="preserve"> </w:t>
      </w:r>
      <w:r w:rsidRPr="003A4375">
        <w:t>°C, T</w:t>
      </w:r>
      <w:r w:rsidRPr="003A4375">
        <w:rPr>
          <w:vertAlign w:val="subscript"/>
        </w:rPr>
        <w:t>waste</w:t>
      </w:r>
      <w:r w:rsidR="00615DAC" w:rsidRPr="003A4375">
        <w:rPr>
          <w:vertAlign w:val="subscript"/>
        </w:rPr>
        <w:t>-</w:t>
      </w:r>
      <w:r w:rsidRPr="003A4375">
        <w:rPr>
          <w:vertAlign w:val="subscript"/>
        </w:rPr>
        <w:t>heat</w:t>
      </w:r>
      <w:r w:rsidRPr="003A4375">
        <w:t>=100</w:t>
      </w:r>
      <w:r w:rsidR="00615DAC" w:rsidRPr="003A4375">
        <w:t xml:space="preserve"> </w:t>
      </w:r>
      <w:r w:rsidRPr="003A4375">
        <w:t>°C</w:t>
      </w:r>
      <w:r w:rsidR="00615DAC" w:rsidRPr="003A4375">
        <w:t>.</w:t>
      </w:r>
    </w:p>
    <w:p w14:paraId="02A14B09" w14:textId="77777777" w:rsidR="00600535" w:rsidRPr="003A4375" w:rsidRDefault="00600535" w:rsidP="003F5AF5">
      <w:pPr>
        <w:pStyle w:val="CETHeading1"/>
        <w:rPr>
          <w:lang w:val="en-GB"/>
        </w:rPr>
      </w:pPr>
      <w:r w:rsidRPr="003A4375">
        <w:rPr>
          <w:lang w:val="en-GB"/>
        </w:rPr>
        <w:t>Conclusions</w:t>
      </w:r>
    </w:p>
    <w:p w14:paraId="1CAA6B9C" w14:textId="3BEB42E9" w:rsidR="00204B11" w:rsidRPr="003A4375" w:rsidRDefault="00204B11" w:rsidP="003F5AF5">
      <w:pPr>
        <w:pStyle w:val="CETBodytext"/>
        <w:rPr>
          <w:color w:val="000000" w:themeColor="text1"/>
          <w:lang w:val="en-GB"/>
        </w:rPr>
      </w:pPr>
      <w:r w:rsidRPr="003A4375">
        <w:rPr>
          <w:lang w:val="en-GB"/>
        </w:rPr>
        <w:t xml:space="preserve">In this work, the performance of </w:t>
      </w:r>
      <w:r w:rsidR="00540E57" w:rsidRPr="003A4375">
        <w:rPr>
          <w:lang w:val="en-GB"/>
        </w:rPr>
        <w:t xml:space="preserve">a </w:t>
      </w:r>
      <w:r w:rsidRPr="003A4375">
        <w:rPr>
          <w:lang w:val="en-GB"/>
        </w:rPr>
        <w:t>RED</w:t>
      </w:r>
      <w:r w:rsidR="000B5FE8" w:rsidRPr="003A4375">
        <w:rPr>
          <w:lang w:val="en-GB"/>
        </w:rPr>
        <w:t>-</w:t>
      </w:r>
      <w:r w:rsidRPr="003A4375">
        <w:rPr>
          <w:lang w:val="en-GB"/>
        </w:rPr>
        <w:t xml:space="preserve">MED HE </w:t>
      </w:r>
      <w:r w:rsidR="0013168E" w:rsidRPr="003A4375">
        <w:rPr>
          <w:lang w:val="en-GB"/>
        </w:rPr>
        <w:t xml:space="preserve">fed with aqueous solutions of LiCl </w:t>
      </w:r>
      <w:r w:rsidRPr="003A4375">
        <w:rPr>
          <w:lang w:val="en-GB"/>
        </w:rPr>
        <w:t xml:space="preserve">was investigated. The adoption of </w:t>
      </w:r>
      <w:r w:rsidR="000B5FE8" w:rsidRPr="003A4375">
        <w:rPr>
          <w:lang w:val="en-GB"/>
        </w:rPr>
        <w:t>these solutions</w:t>
      </w:r>
      <w:r w:rsidRPr="003A4375">
        <w:rPr>
          <w:lang w:val="en-GB"/>
        </w:rPr>
        <w:t xml:space="preserve"> </w:t>
      </w:r>
      <w:r w:rsidR="00450464" w:rsidRPr="003A4375">
        <w:rPr>
          <w:color w:val="000000" w:themeColor="text1"/>
          <w:lang w:val="en-GB"/>
        </w:rPr>
        <w:t>in a system equipped with ideal membranes</w:t>
      </w:r>
      <w:r w:rsidRPr="003A4375">
        <w:rPr>
          <w:color w:val="000000" w:themeColor="text1"/>
          <w:lang w:val="en-GB"/>
        </w:rPr>
        <w:t xml:space="preserve"> results in high value</w:t>
      </w:r>
      <w:r w:rsidR="0013168E" w:rsidRPr="003A4375">
        <w:rPr>
          <w:color w:val="000000" w:themeColor="text1"/>
          <w:lang w:val="en-GB"/>
        </w:rPr>
        <w:t>s</w:t>
      </w:r>
      <w:r w:rsidRPr="003A4375">
        <w:rPr>
          <w:color w:val="000000" w:themeColor="text1"/>
          <w:lang w:val="en-GB"/>
        </w:rPr>
        <w:t xml:space="preserve"> of efficiency, due </w:t>
      </w:r>
      <w:r w:rsidRPr="003A4375">
        <w:rPr>
          <w:color w:val="000000" w:themeColor="text1"/>
          <w:lang w:val="en-GB"/>
        </w:rPr>
        <w:lastRenderedPageBreak/>
        <w:t xml:space="preserve">to the higher </w:t>
      </w:r>
      <w:r w:rsidR="000B5FE8" w:rsidRPr="003A4375">
        <w:rPr>
          <w:color w:val="000000" w:themeColor="text1"/>
          <w:lang w:val="en-GB"/>
        </w:rPr>
        <w:t>solubility of LiCl compared to the conventional NaCl</w:t>
      </w:r>
      <w:r w:rsidRPr="003A4375">
        <w:rPr>
          <w:color w:val="000000" w:themeColor="text1"/>
          <w:lang w:val="en-GB"/>
        </w:rPr>
        <w:t xml:space="preserve">. </w:t>
      </w:r>
      <w:r w:rsidR="00450464" w:rsidRPr="003A4375">
        <w:rPr>
          <w:color w:val="000000" w:themeColor="text1"/>
          <w:lang w:val="en-GB"/>
        </w:rPr>
        <w:t>In particular, t</w:t>
      </w:r>
      <w:r w:rsidRPr="003A4375">
        <w:rPr>
          <w:color w:val="000000" w:themeColor="text1"/>
          <w:lang w:val="en-GB"/>
        </w:rPr>
        <w:t>he performance of RED-MED HE equipped with ideal IEMs, results in thermal efficiency up to 8</w:t>
      </w:r>
      <w:r w:rsidR="00540E57" w:rsidRPr="003A4375">
        <w:rPr>
          <w:color w:val="000000" w:themeColor="text1"/>
          <w:lang w:val="en-GB"/>
        </w:rPr>
        <w:t>.</w:t>
      </w:r>
      <w:r w:rsidR="000B5FE8" w:rsidRPr="003A4375">
        <w:rPr>
          <w:color w:val="000000" w:themeColor="text1"/>
          <w:lang w:val="en-GB"/>
        </w:rPr>
        <w:t>7</w:t>
      </w:r>
      <w:r w:rsidR="00C12215" w:rsidRPr="003A4375">
        <w:rPr>
          <w:color w:val="000000" w:themeColor="text1"/>
          <w:lang w:val="en-GB"/>
        </w:rPr>
        <w:t xml:space="preserve"> </w:t>
      </w:r>
      <w:r w:rsidRPr="003A4375">
        <w:rPr>
          <w:color w:val="000000" w:themeColor="text1"/>
          <w:lang w:val="en-GB"/>
        </w:rPr>
        <w:t xml:space="preserve">%, making this technology interesting in the field of low-grade waste heat recovery. </w:t>
      </w:r>
      <w:r w:rsidR="000B5FE8" w:rsidRPr="003A4375">
        <w:rPr>
          <w:color w:val="000000" w:themeColor="text1"/>
          <w:lang w:val="en-GB"/>
        </w:rPr>
        <w:t xml:space="preserve">This value corresponds to </w:t>
      </w:r>
      <w:r w:rsidR="000B5FE8" w:rsidRPr="003A4375">
        <w:rPr>
          <w:rFonts w:cs="Arial"/>
          <w:color w:val="000000" w:themeColor="text1"/>
          <w:lang w:val="en-GB"/>
        </w:rPr>
        <w:t>~</w:t>
      </w:r>
      <w:r w:rsidR="000B5FE8" w:rsidRPr="003A4375">
        <w:rPr>
          <w:color w:val="000000" w:themeColor="text1"/>
          <w:lang w:val="en-GB"/>
        </w:rPr>
        <w:t>40</w:t>
      </w:r>
      <w:r w:rsidR="00C12215" w:rsidRPr="003A4375">
        <w:rPr>
          <w:color w:val="000000" w:themeColor="text1"/>
          <w:lang w:val="en-GB"/>
        </w:rPr>
        <w:t xml:space="preserve"> </w:t>
      </w:r>
      <w:r w:rsidR="000B5FE8" w:rsidRPr="003A4375">
        <w:rPr>
          <w:color w:val="000000" w:themeColor="text1"/>
          <w:lang w:val="en-GB"/>
        </w:rPr>
        <w:t xml:space="preserve">% of the maximum theoretical Carnot efficiency. </w:t>
      </w:r>
      <w:r w:rsidR="00932F4D" w:rsidRPr="003A4375">
        <w:rPr>
          <w:color w:val="000000" w:themeColor="text1"/>
          <w:lang w:val="en-GB"/>
        </w:rPr>
        <w:t>The</w:t>
      </w:r>
      <w:r w:rsidRPr="003A4375">
        <w:rPr>
          <w:color w:val="000000" w:themeColor="text1"/>
          <w:lang w:val="en-GB"/>
        </w:rPr>
        <w:t xml:space="preserve"> performance of current RED HE is significant</w:t>
      </w:r>
      <w:r w:rsidR="00450464" w:rsidRPr="003A4375">
        <w:rPr>
          <w:color w:val="000000" w:themeColor="text1"/>
          <w:lang w:val="en-GB"/>
        </w:rPr>
        <w:t>ly</w:t>
      </w:r>
      <w:r w:rsidRPr="003A4375">
        <w:rPr>
          <w:color w:val="000000" w:themeColor="text1"/>
          <w:lang w:val="en-GB"/>
        </w:rPr>
        <w:t xml:space="preserve"> affected by the performance</w:t>
      </w:r>
      <w:r w:rsidR="00A806B7">
        <w:rPr>
          <w:color w:val="000000" w:themeColor="text1"/>
          <w:lang w:val="en-GB"/>
        </w:rPr>
        <w:t xml:space="preserve"> of current membranes</w:t>
      </w:r>
      <w:r w:rsidR="000B5FE8" w:rsidRPr="003A4375">
        <w:rPr>
          <w:color w:val="000000" w:themeColor="text1"/>
          <w:lang w:val="en-GB"/>
        </w:rPr>
        <w:t>: significant</w:t>
      </w:r>
      <w:r w:rsidRPr="003A4375">
        <w:rPr>
          <w:color w:val="000000" w:themeColor="text1"/>
          <w:lang w:val="en-GB"/>
        </w:rPr>
        <w:t xml:space="preserve"> reduction</w:t>
      </w:r>
      <w:r w:rsidR="0013168E" w:rsidRPr="003A4375">
        <w:rPr>
          <w:color w:val="000000" w:themeColor="text1"/>
          <w:lang w:val="en-GB"/>
        </w:rPr>
        <w:t>s</w:t>
      </w:r>
      <w:r w:rsidR="00A806B7">
        <w:rPr>
          <w:color w:val="000000" w:themeColor="text1"/>
          <w:lang w:val="en-GB"/>
        </w:rPr>
        <w:t>,</w:t>
      </w:r>
      <w:r w:rsidR="0013168E" w:rsidRPr="003A4375">
        <w:rPr>
          <w:color w:val="000000" w:themeColor="text1"/>
          <w:lang w:val="en-GB"/>
        </w:rPr>
        <w:t xml:space="preserve"> </w:t>
      </w:r>
      <w:r w:rsidR="00A806B7">
        <w:rPr>
          <w:color w:val="000000" w:themeColor="text1"/>
          <w:lang w:val="en-GB"/>
        </w:rPr>
        <w:t xml:space="preserve">with respect to the ideal case, </w:t>
      </w:r>
      <w:r w:rsidR="0013168E" w:rsidRPr="003A4375">
        <w:rPr>
          <w:color w:val="000000" w:themeColor="text1"/>
          <w:lang w:val="en-GB"/>
        </w:rPr>
        <w:t>are</w:t>
      </w:r>
      <w:r w:rsidRPr="003A4375">
        <w:rPr>
          <w:color w:val="000000" w:themeColor="text1"/>
          <w:lang w:val="en-GB"/>
        </w:rPr>
        <w:t xml:space="preserve"> observed </w:t>
      </w:r>
      <w:r w:rsidR="00A806B7">
        <w:rPr>
          <w:color w:val="000000" w:themeColor="text1"/>
          <w:lang w:val="en-GB"/>
        </w:rPr>
        <w:t xml:space="preserve">as a result of the </w:t>
      </w:r>
      <w:r w:rsidRPr="003A4375">
        <w:rPr>
          <w:color w:val="000000" w:themeColor="text1"/>
          <w:lang w:val="en-GB"/>
        </w:rPr>
        <w:t>resistance and permselectivity</w:t>
      </w:r>
      <w:r w:rsidR="00A806B7">
        <w:rPr>
          <w:color w:val="000000" w:themeColor="text1"/>
          <w:lang w:val="en-GB"/>
        </w:rPr>
        <w:t xml:space="preserve"> values exhibited by the membranes</w:t>
      </w:r>
      <w:r w:rsidR="0013168E" w:rsidRPr="003A4375">
        <w:rPr>
          <w:color w:val="000000" w:themeColor="text1"/>
          <w:lang w:val="en-GB"/>
        </w:rPr>
        <w:t xml:space="preserve">. Thus, future developments of ionic exchange membranes are required in order to approach the </w:t>
      </w:r>
      <w:r w:rsidR="000E2B14" w:rsidRPr="003A4375">
        <w:rPr>
          <w:color w:val="000000" w:themeColor="text1"/>
          <w:lang w:val="en-GB"/>
        </w:rPr>
        <w:t>promising</w:t>
      </w:r>
      <w:r w:rsidR="0013168E" w:rsidRPr="003A4375">
        <w:rPr>
          <w:color w:val="000000" w:themeColor="text1"/>
          <w:lang w:val="en-GB"/>
        </w:rPr>
        <w:t xml:space="preserve"> performance of </w:t>
      </w:r>
      <w:r w:rsidR="000B5FE8" w:rsidRPr="003A4375">
        <w:rPr>
          <w:color w:val="000000" w:themeColor="text1"/>
          <w:lang w:val="en-GB"/>
        </w:rPr>
        <w:t>the ideal membrane - heat engine here investigated</w:t>
      </w:r>
      <w:r w:rsidR="0013168E" w:rsidRPr="003A4375">
        <w:rPr>
          <w:color w:val="000000" w:themeColor="text1"/>
          <w:lang w:val="en-GB"/>
        </w:rPr>
        <w:t>.</w:t>
      </w:r>
    </w:p>
    <w:p w14:paraId="50EF0520" w14:textId="77777777" w:rsidR="00600535" w:rsidRPr="003A4375" w:rsidRDefault="00600535" w:rsidP="003F5AF5">
      <w:pPr>
        <w:pStyle w:val="CETAcknowledgementstitle"/>
      </w:pPr>
      <w:r w:rsidRPr="003A4375">
        <w:t>Acknowledgments</w:t>
      </w:r>
    </w:p>
    <w:p w14:paraId="7CA471ED" w14:textId="77777777" w:rsidR="0033444F" w:rsidRPr="003A4375" w:rsidRDefault="0033444F" w:rsidP="003F5AF5">
      <w:pPr>
        <w:pStyle w:val="CETBodytext"/>
        <w:rPr>
          <w:lang w:val="en-GB"/>
        </w:rPr>
      </w:pPr>
      <w:r w:rsidRPr="003A4375">
        <w:rPr>
          <w:lang w:val="en-GB"/>
        </w:rPr>
        <w:t xml:space="preserve">This work was performed within the RED-Heat-to-Power project (Conversion of Low Grade Heat to Power through closed loop Reverse Electro-Dialysis), funded by EU within the H2020 research &amp; innovation programme, grant agreement No. 640667. </w:t>
      </w:r>
      <w:hyperlink r:id="rId15" w:history="1">
        <w:r w:rsidRPr="003A4375">
          <w:rPr>
            <w:rStyle w:val="Collegamentoipertestuale"/>
            <w:lang w:val="en-GB"/>
          </w:rPr>
          <w:t>www.red-heat-to-power.eu</w:t>
        </w:r>
      </w:hyperlink>
      <w:r w:rsidRPr="003A4375">
        <w:rPr>
          <w:lang w:val="en-GB"/>
        </w:rPr>
        <w:t>.</w:t>
      </w:r>
    </w:p>
    <w:p w14:paraId="4BB39CC3" w14:textId="77777777" w:rsidR="001E006F" w:rsidRPr="003A4375" w:rsidRDefault="00600535" w:rsidP="003F5AF5">
      <w:pPr>
        <w:pStyle w:val="CETReference"/>
      </w:pPr>
      <w:r w:rsidRPr="003A4375">
        <w:t>References</w:t>
      </w:r>
    </w:p>
    <w:p w14:paraId="299FC49B" w14:textId="358902B1" w:rsidR="00F64D4F" w:rsidRPr="003A4375" w:rsidRDefault="00F64D4F" w:rsidP="003F5AF5">
      <w:pPr>
        <w:pStyle w:val="CETReferencetext"/>
      </w:pPr>
      <w:r w:rsidRPr="003A4375">
        <w:t>El-Dessouky, H.T.; Ettouney, H.M. Fundamentals of Salt Water Desalination</w:t>
      </w:r>
      <w:r w:rsidR="00BB4790" w:rsidRPr="003A4375">
        <w:t>,</w:t>
      </w:r>
      <w:r w:rsidRPr="003A4375">
        <w:t xml:space="preserve"> Elsevier</w:t>
      </w:r>
      <w:r w:rsidR="00BB4790" w:rsidRPr="003A4375">
        <w:t>,</w:t>
      </w:r>
      <w:r w:rsidRPr="003A4375">
        <w:t xml:space="preserve"> Amsterdam, The Netherlands, 2002.</w:t>
      </w:r>
    </w:p>
    <w:p w14:paraId="71462920" w14:textId="0FDB70A9" w:rsidR="001E006F" w:rsidRPr="003A4375" w:rsidRDefault="001E006F" w:rsidP="003F5AF5">
      <w:pPr>
        <w:pStyle w:val="CETReferencetext"/>
      </w:pPr>
      <w:r w:rsidRPr="003A4375">
        <w:rPr>
          <w:lang w:val="it-IT"/>
        </w:rPr>
        <w:t>Giacalone F., Catrini P., Tamburini A., Cipollina A., Piacentino A., Micale G., 2018, Exergy Analysis of Reverse Electrodialysis</w:t>
      </w:r>
      <w:r w:rsidR="006C27A9" w:rsidRPr="003A4375">
        <w:rPr>
          <w:lang w:val="it-IT"/>
        </w:rPr>
        <w:t>.</w:t>
      </w:r>
      <w:r w:rsidRPr="003A4375">
        <w:rPr>
          <w:lang w:val="it-IT"/>
        </w:rPr>
        <w:t xml:space="preserve"> </w:t>
      </w:r>
      <w:r w:rsidRPr="003A4375">
        <w:t>Energy Conversion and Management, 164, 588-602.</w:t>
      </w:r>
    </w:p>
    <w:p w14:paraId="472E8B0A" w14:textId="01E2DD12" w:rsidR="00CB17D4" w:rsidRPr="003A4375" w:rsidRDefault="00CB17D4" w:rsidP="003F5AF5">
      <w:pPr>
        <w:pStyle w:val="CETReferencetext"/>
      </w:pPr>
      <w:r w:rsidRPr="003A4375">
        <w:t>Giacalone F., Vassallo F., Griffin L., Ferrari M.C., Micale G., Scargiali F., Tamburini A., Cipollina A., 2019-a, Thermolytic reverse electrodialysis heat engine: model development, T integration and performance analysis, Energy Conversion and Management, 189, 1-13.</w:t>
      </w:r>
    </w:p>
    <w:p w14:paraId="7747AC04" w14:textId="1B2396BD" w:rsidR="00CB17D4" w:rsidRPr="003A4375" w:rsidRDefault="00CB17D4" w:rsidP="003F5AF5">
      <w:pPr>
        <w:pStyle w:val="CETReferencetext"/>
      </w:pPr>
      <w:r w:rsidRPr="003A4375">
        <w:t>Giacalone F., Olkis C., Santori G., Cipollina A., Brandani S., Micale G., 2019-b, Novel solutions for closed-loop Reverse Electrodialysis: thermodynamic characterisation and perspective analysis, Energy, 166, 674-689.</w:t>
      </w:r>
    </w:p>
    <w:p w14:paraId="65C201F9" w14:textId="60E83462" w:rsidR="001E006F" w:rsidRPr="003A4375" w:rsidRDefault="001E006F" w:rsidP="003F5AF5">
      <w:pPr>
        <w:pStyle w:val="CETReferencetext"/>
      </w:pPr>
      <w:r w:rsidRPr="003A4375">
        <w:t>Gibbard H.F., Scatchard G., 1973, Liquid-vapor equilibrium of aqueous lithium chloride, from 25 to 100. deg. and from 1.0 to 18.5 molal, and related properties</w:t>
      </w:r>
      <w:r w:rsidR="0086692F" w:rsidRPr="003A4375">
        <w:t>,</w:t>
      </w:r>
      <w:r w:rsidRPr="003A4375">
        <w:t xml:space="preserve"> J Chem Eng Data, 18, 293-298.</w:t>
      </w:r>
    </w:p>
    <w:p w14:paraId="5ED2A065" w14:textId="2FF38411" w:rsidR="001E006F" w:rsidRPr="003A4375" w:rsidRDefault="001E006F" w:rsidP="003F5AF5">
      <w:pPr>
        <w:pStyle w:val="CETReferencetext"/>
      </w:pPr>
      <w:r w:rsidRPr="003A4375">
        <w:t>He Y., Gao N., Chen G., 2014, Isobaric specific heat capacity of typical lithium chloride liquid desiccants using scanning calorimetry</w:t>
      </w:r>
      <w:r w:rsidR="0086692F" w:rsidRPr="003A4375">
        <w:t>,</w:t>
      </w:r>
      <w:r w:rsidRPr="003A4375">
        <w:t xml:space="preserve"> The Journal of Chemical Thermodynamics, 70, 81-87.</w:t>
      </w:r>
    </w:p>
    <w:p w14:paraId="516034F5" w14:textId="2B4EB4FD" w:rsidR="00E12F06" w:rsidRPr="003A4375" w:rsidRDefault="00E12F06" w:rsidP="003F5AF5">
      <w:pPr>
        <w:pStyle w:val="CETReferencetext"/>
        <w:rPr>
          <w:color w:val="000000" w:themeColor="text1"/>
        </w:rPr>
      </w:pPr>
      <w:r w:rsidRPr="003A4375">
        <w:rPr>
          <w:color w:val="000000" w:themeColor="text1"/>
        </w:rPr>
        <w:t xml:space="preserve">Hu J., Xu S., Wu X., Wu D., Jin D., Wang P., Leng P., </w:t>
      </w:r>
      <w:r w:rsidR="00981167" w:rsidRPr="003A4375">
        <w:rPr>
          <w:color w:val="000000" w:themeColor="text1"/>
        </w:rPr>
        <w:t xml:space="preserve">2018, </w:t>
      </w:r>
      <w:r w:rsidRPr="003A4375">
        <w:rPr>
          <w:color w:val="000000" w:themeColor="text1"/>
        </w:rPr>
        <w:t>Theoretical simulation and evaluation for the performance of the hybrid multi-e</w:t>
      </w:r>
      <w:r w:rsidR="0006524D" w:rsidRPr="003A4375">
        <w:rPr>
          <w:color w:val="000000" w:themeColor="text1"/>
        </w:rPr>
        <w:t>ff</w:t>
      </w:r>
      <w:r w:rsidRPr="003A4375">
        <w:rPr>
          <w:color w:val="000000" w:themeColor="text1"/>
        </w:rPr>
        <w:t>ect distillation — reverse electrodialysis power generation system</w:t>
      </w:r>
      <w:r w:rsidR="0086692F" w:rsidRPr="003A4375">
        <w:rPr>
          <w:color w:val="000000" w:themeColor="text1"/>
        </w:rPr>
        <w:t>,</w:t>
      </w:r>
      <w:r w:rsidR="00981167" w:rsidRPr="003A4375">
        <w:rPr>
          <w:color w:val="000000" w:themeColor="text1"/>
        </w:rPr>
        <w:t xml:space="preserve"> </w:t>
      </w:r>
      <w:r w:rsidR="00BB4790" w:rsidRPr="003A4375">
        <w:rPr>
          <w:color w:val="000000" w:themeColor="text1"/>
        </w:rPr>
        <w:t>Desalination,</w:t>
      </w:r>
      <w:r w:rsidRPr="003A4375">
        <w:rPr>
          <w:color w:val="000000" w:themeColor="text1"/>
        </w:rPr>
        <w:t xml:space="preserve"> 443</w:t>
      </w:r>
      <w:r w:rsidR="00BB4790" w:rsidRPr="003A4375">
        <w:rPr>
          <w:color w:val="000000" w:themeColor="text1"/>
        </w:rPr>
        <w:t xml:space="preserve">, </w:t>
      </w:r>
      <w:r w:rsidRPr="003A4375">
        <w:rPr>
          <w:color w:val="000000" w:themeColor="text1"/>
        </w:rPr>
        <w:t xml:space="preserve">172–183. </w:t>
      </w:r>
    </w:p>
    <w:p w14:paraId="72DC74EA" w14:textId="40409AB6" w:rsidR="001E006F" w:rsidRPr="003A4375" w:rsidRDefault="001E006F" w:rsidP="003F5AF5">
      <w:pPr>
        <w:pStyle w:val="CETReferencetext"/>
      </w:pPr>
      <w:r w:rsidRPr="003A4375">
        <w:t>Isono T., 1985, Densities, Viscosities, and Electrolytic Conductivities of Concentrated Aqueous Solutions of 31 Solutes in the Temperature Range 15-55 C and Empirical Equations for the Relative Viscosity</w:t>
      </w:r>
      <w:r w:rsidR="0086692F" w:rsidRPr="003A4375">
        <w:t>,</w:t>
      </w:r>
      <w:r w:rsidRPr="003A4375">
        <w:t xml:space="preserve"> Rikagaku Kenkyusho Hokoku, 61, 53-79.</w:t>
      </w:r>
    </w:p>
    <w:p w14:paraId="0E7E3404" w14:textId="791FC648" w:rsidR="00355B7A" w:rsidRPr="003A4375" w:rsidRDefault="00355B7A" w:rsidP="003F5AF5">
      <w:pPr>
        <w:pStyle w:val="CETReferencetext"/>
      </w:pPr>
      <w:r w:rsidRPr="003A4375">
        <w:t xml:space="preserve">Long R., Li B., Liu Z., Liu W., </w:t>
      </w:r>
      <w:r w:rsidR="00981167" w:rsidRPr="003A4375">
        <w:t xml:space="preserve">2017, </w:t>
      </w:r>
      <w:r w:rsidRPr="003A4375">
        <w:t>Hybrid membrane distillation-reverse electrodialysis electricity generation system to harvest low-grade thermal energy</w:t>
      </w:r>
      <w:r w:rsidR="0086692F" w:rsidRPr="003A4375">
        <w:t>,</w:t>
      </w:r>
      <w:r w:rsidRPr="003A4375">
        <w:t xml:space="preserve"> J. Memb. Sci. 525</w:t>
      </w:r>
      <w:r w:rsidR="00981167" w:rsidRPr="003A4375">
        <w:t xml:space="preserve">, </w:t>
      </w:r>
      <w:r w:rsidRPr="003A4375">
        <w:t xml:space="preserve">107–115. </w:t>
      </w:r>
    </w:p>
    <w:p w14:paraId="1A9E2C70" w14:textId="45094584" w:rsidR="001E006F" w:rsidRPr="003A4375" w:rsidRDefault="001E006F" w:rsidP="003F5AF5">
      <w:pPr>
        <w:pStyle w:val="CETReferencetext"/>
      </w:pPr>
      <w:r w:rsidRPr="003A4375">
        <w:t>Micari M., Cipollina A., Giacalone F., Kosmadakis G., Papapetrou M., Zaragoza G., Micale G., Tamburini A., 2019, Towards the first proof of the concept of a Reverse ElectroDialysis-Membrane Distillation Heat Engine</w:t>
      </w:r>
      <w:r w:rsidR="0086692F" w:rsidRPr="003A4375">
        <w:t>,</w:t>
      </w:r>
      <w:r w:rsidRPr="003A4375">
        <w:t xml:space="preserve"> Desalination, 453, 77-88.</w:t>
      </w:r>
    </w:p>
    <w:p w14:paraId="5539DC4D" w14:textId="53779AB0" w:rsidR="00FB5AEB" w:rsidRPr="003A4375" w:rsidRDefault="00FB5AEB" w:rsidP="003F5AF5">
      <w:pPr>
        <w:pStyle w:val="CETReferencetext"/>
      </w:pPr>
      <w:r w:rsidRPr="003A4375">
        <w:t>Ortega-Delgado B., García-Rodríguez L., Alarcón-Padilla D. C.,</w:t>
      </w:r>
      <w:r w:rsidR="00981167" w:rsidRPr="003A4375">
        <w:t xml:space="preserve"> 2017,</w:t>
      </w:r>
      <w:r w:rsidRPr="003A4375">
        <w:t xml:space="preserve"> Opportunities of improvement of the MED seawater desalination process by pretreatments allowing high-temperature operation</w:t>
      </w:r>
      <w:r w:rsidR="0086692F" w:rsidRPr="003A4375">
        <w:t>,</w:t>
      </w:r>
      <w:r w:rsidRPr="003A4375">
        <w:t xml:space="preserve"> Desalin. W</w:t>
      </w:r>
      <w:r w:rsidR="00981167" w:rsidRPr="003A4375">
        <w:t>ater</w:t>
      </w:r>
      <w:r w:rsidRPr="003A4375">
        <w:t xml:space="preserve"> Treat.</w:t>
      </w:r>
      <w:r w:rsidR="00981167" w:rsidRPr="003A4375">
        <w:t>,</w:t>
      </w:r>
      <w:r w:rsidRPr="003A4375">
        <w:t xml:space="preserve"> 97</w:t>
      </w:r>
      <w:r w:rsidR="00981167" w:rsidRPr="003A4375">
        <w:t>,</w:t>
      </w:r>
      <w:r w:rsidRPr="003A4375">
        <w:t xml:space="preserve"> 94–108. </w:t>
      </w:r>
    </w:p>
    <w:p w14:paraId="27C55416" w14:textId="4D4E1D52" w:rsidR="001E006F" w:rsidRPr="003A4375" w:rsidRDefault="001E006F" w:rsidP="003F5AF5">
      <w:pPr>
        <w:pStyle w:val="CETReferencetext"/>
        <w:rPr>
          <w:color w:val="000000" w:themeColor="text1"/>
        </w:rPr>
      </w:pPr>
      <w:r w:rsidRPr="003A4375">
        <w:t>Palenzuela P., Micari M., Ortega-Delgado B., Giacalone F., Zaragoza G., Alarcón-Padilla D. C., Cipollina A., Tamburini A., Micale G., 2018, Performance Analysis of a RED-MED Salinity Gradient Heat Engine</w:t>
      </w:r>
      <w:r w:rsidR="0086692F" w:rsidRPr="003A4375">
        <w:t>,</w:t>
      </w:r>
      <w:r w:rsidRPr="003A4375">
        <w:t xml:space="preserve"> Energies </w:t>
      </w:r>
      <w:r w:rsidRPr="003A4375">
        <w:rPr>
          <w:color w:val="000000" w:themeColor="text1"/>
        </w:rPr>
        <w:t>11, 3385</w:t>
      </w:r>
      <w:r w:rsidR="00981167" w:rsidRPr="003A4375">
        <w:rPr>
          <w:color w:val="000000" w:themeColor="text1"/>
        </w:rPr>
        <w:t>.</w:t>
      </w:r>
    </w:p>
    <w:p w14:paraId="583788DD" w14:textId="17F7D785" w:rsidR="007D08C2" w:rsidRPr="003A4375" w:rsidRDefault="007D08C2" w:rsidP="003F5AF5">
      <w:pPr>
        <w:pStyle w:val="CETReferencetext"/>
        <w:rPr>
          <w:color w:val="000000" w:themeColor="text1"/>
        </w:rPr>
      </w:pPr>
      <w:r w:rsidRPr="003A4375">
        <w:rPr>
          <w:color w:val="000000" w:themeColor="text1"/>
        </w:rPr>
        <w:t>Papapetrou M., Kosmadakis G., Cipollina A., La</w:t>
      </w:r>
      <w:r w:rsidR="00981167" w:rsidRPr="003A4375">
        <w:rPr>
          <w:color w:val="000000" w:themeColor="text1"/>
        </w:rPr>
        <w:t xml:space="preserve"> </w:t>
      </w:r>
      <w:r w:rsidRPr="003A4375">
        <w:rPr>
          <w:color w:val="000000" w:themeColor="text1"/>
        </w:rPr>
        <w:t xml:space="preserve">Commare U., Micale G., </w:t>
      </w:r>
      <w:r w:rsidR="00981167" w:rsidRPr="003A4375">
        <w:rPr>
          <w:color w:val="000000" w:themeColor="text1"/>
        </w:rPr>
        <w:t xml:space="preserve">2018, </w:t>
      </w:r>
      <w:r w:rsidRPr="003A4375">
        <w:rPr>
          <w:color w:val="000000" w:themeColor="text1"/>
        </w:rPr>
        <w:t>Industrial waste heat: Estimation of the technically available resource in the EU per industrial sector, temperature level and country</w:t>
      </w:r>
      <w:r w:rsidR="0086692F" w:rsidRPr="003A4375">
        <w:rPr>
          <w:color w:val="000000" w:themeColor="text1"/>
        </w:rPr>
        <w:t>,</w:t>
      </w:r>
      <w:r w:rsidRPr="003A4375">
        <w:rPr>
          <w:color w:val="000000" w:themeColor="text1"/>
        </w:rPr>
        <w:t xml:space="preserve"> Appl. Therm. Eng. 138</w:t>
      </w:r>
      <w:r w:rsidR="00981167" w:rsidRPr="003A4375">
        <w:rPr>
          <w:color w:val="000000" w:themeColor="text1"/>
        </w:rPr>
        <w:t xml:space="preserve">, </w:t>
      </w:r>
      <w:r w:rsidRPr="003A4375">
        <w:rPr>
          <w:color w:val="000000" w:themeColor="text1"/>
        </w:rPr>
        <w:t>207–216.</w:t>
      </w:r>
    </w:p>
    <w:p w14:paraId="658A5AF4" w14:textId="77777777" w:rsidR="001E006F" w:rsidRPr="003A4375" w:rsidRDefault="001E006F" w:rsidP="003F5AF5">
      <w:pPr>
        <w:pStyle w:val="CETReferencetext"/>
      </w:pPr>
      <w:r w:rsidRPr="003A4375">
        <w:t>Pitzer K. S., 1991, Activity coefficients in electrolyte solutions, CRC Press, London, UK.</w:t>
      </w:r>
    </w:p>
    <w:p w14:paraId="07D02639" w14:textId="027526F7" w:rsidR="001E006F" w:rsidRPr="003A4375" w:rsidRDefault="001E006F" w:rsidP="003F5AF5">
      <w:pPr>
        <w:pStyle w:val="CETReferencetext"/>
      </w:pPr>
      <w:r w:rsidRPr="003A4375">
        <w:t>Tamburini A., Giacalone F., Cipollina A., Grisafi F., Vella G., Micale G., 2016, Pressure Retarded osmosis: a membrane process for environmental sustainability</w:t>
      </w:r>
      <w:r w:rsidR="0086692F" w:rsidRPr="003A4375">
        <w:t>,</w:t>
      </w:r>
      <w:r w:rsidRPr="003A4375">
        <w:t xml:space="preserve"> Chemical Engineering Transactions, 2016, 47, 355-360.</w:t>
      </w:r>
    </w:p>
    <w:p w14:paraId="103D52B9" w14:textId="5AEA4F38" w:rsidR="0077409B" w:rsidRPr="003A4375" w:rsidRDefault="001E006F" w:rsidP="003F5AF5">
      <w:pPr>
        <w:pStyle w:val="CETReferencetext"/>
      </w:pPr>
      <w:r w:rsidRPr="003A4375">
        <w:t>Tanaka,K.;Tamamushi,R.A, 1991, Physico-chemical Study of Concentrated Aqueous Solutions of Lithium Chloride</w:t>
      </w:r>
      <w:r w:rsidR="0086692F" w:rsidRPr="003A4375">
        <w:t>,</w:t>
      </w:r>
      <w:r w:rsidRPr="003A4375">
        <w:t xml:space="preserve"> Zeitschrift für Naturforschung A, 46, 141-147</w:t>
      </w:r>
      <w:r w:rsidR="0006524D" w:rsidRPr="003A4375">
        <w:t>.</w:t>
      </w:r>
    </w:p>
    <w:sectPr w:rsidR="0077409B" w:rsidRPr="003A437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C0723" w14:textId="77777777" w:rsidR="00864111" w:rsidRDefault="00864111" w:rsidP="004F5E36">
      <w:r>
        <w:separator/>
      </w:r>
    </w:p>
  </w:endnote>
  <w:endnote w:type="continuationSeparator" w:id="0">
    <w:p w14:paraId="7710680D" w14:textId="77777777" w:rsidR="00864111" w:rsidRDefault="0086411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bol">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B1A2" w14:textId="77777777" w:rsidR="00864111" w:rsidRDefault="00864111" w:rsidP="004F5E36">
      <w:r>
        <w:separator/>
      </w:r>
    </w:p>
  </w:footnote>
  <w:footnote w:type="continuationSeparator" w:id="0">
    <w:p w14:paraId="46B58746" w14:textId="77777777" w:rsidR="00864111" w:rsidRDefault="0086411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07D765E"/>
    <w:multiLevelType w:val="hybridMultilevel"/>
    <w:tmpl w:val="5A3047FC"/>
    <w:lvl w:ilvl="0" w:tplc="95EC116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it-IT"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2F9"/>
    <w:rsid w:val="000052FB"/>
    <w:rsid w:val="00005535"/>
    <w:rsid w:val="00006DCD"/>
    <w:rsid w:val="00007A9E"/>
    <w:rsid w:val="00010F40"/>
    <w:rsid w:val="000117CB"/>
    <w:rsid w:val="0001634B"/>
    <w:rsid w:val="0003148D"/>
    <w:rsid w:val="000431E2"/>
    <w:rsid w:val="000444E2"/>
    <w:rsid w:val="00044C20"/>
    <w:rsid w:val="00047D7F"/>
    <w:rsid w:val="00051566"/>
    <w:rsid w:val="000554A9"/>
    <w:rsid w:val="00055570"/>
    <w:rsid w:val="00055EDD"/>
    <w:rsid w:val="00062A9A"/>
    <w:rsid w:val="00065058"/>
    <w:rsid w:val="0006524D"/>
    <w:rsid w:val="00067587"/>
    <w:rsid w:val="00086C39"/>
    <w:rsid w:val="000A03B2"/>
    <w:rsid w:val="000A2F7F"/>
    <w:rsid w:val="000A3B79"/>
    <w:rsid w:val="000B5FE8"/>
    <w:rsid w:val="000C6C2F"/>
    <w:rsid w:val="000D34BE"/>
    <w:rsid w:val="000E102F"/>
    <w:rsid w:val="000E2B14"/>
    <w:rsid w:val="000E36F1"/>
    <w:rsid w:val="000E3A73"/>
    <w:rsid w:val="000E414A"/>
    <w:rsid w:val="000F093C"/>
    <w:rsid w:val="000F16BD"/>
    <w:rsid w:val="000F787B"/>
    <w:rsid w:val="00102729"/>
    <w:rsid w:val="00106917"/>
    <w:rsid w:val="00107887"/>
    <w:rsid w:val="00115487"/>
    <w:rsid w:val="0012091F"/>
    <w:rsid w:val="0012253F"/>
    <w:rsid w:val="001267D0"/>
    <w:rsid w:val="00126BC2"/>
    <w:rsid w:val="001308B6"/>
    <w:rsid w:val="0013121F"/>
    <w:rsid w:val="0013168E"/>
    <w:rsid w:val="00131FAB"/>
    <w:rsid w:val="00131FE6"/>
    <w:rsid w:val="0013263F"/>
    <w:rsid w:val="00134DE4"/>
    <w:rsid w:val="00134E43"/>
    <w:rsid w:val="00134ED2"/>
    <w:rsid w:val="0014034D"/>
    <w:rsid w:val="00150E59"/>
    <w:rsid w:val="00152DE3"/>
    <w:rsid w:val="00162642"/>
    <w:rsid w:val="00164CF9"/>
    <w:rsid w:val="00184AD6"/>
    <w:rsid w:val="001921A3"/>
    <w:rsid w:val="00194A22"/>
    <w:rsid w:val="001A71B9"/>
    <w:rsid w:val="001B0349"/>
    <w:rsid w:val="001B26B8"/>
    <w:rsid w:val="001B65C1"/>
    <w:rsid w:val="001C28F9"/>
    <w:rsid w:val="001C4D2F"/>
    <w:rsid w:val="001C684B"/>
    <w:rsid w:val="001D1D2E"/>
    <w:rsid w:val="001D4399"/>
    <w:rsid w:val="001D53FC"/>
    <w:rsid w:val="001E006F"/>
    <w:rsid w:val="001F42A5"/>
    <w:rsid w:val="001F66C0"/>
    <w:rsid w:val="001F7B9D"/>
    <w:rsid w:val="00204B11"/>
    <w:rsid w:val="00214189"/>
    <w:rsid w:val="00216DAB"/>
    <w:rsid w:val="002224B4"/>
    <w:rsid w:val="00231B52"/>
    <w:rsid w:val="002355B2"/>
    <w:rsid w:val="002447EF"/>
    <w:rsid w:val="00245FA8"/>
    <w:rsid w:val="00251550"/>
    <w:rsid w:val="00252C1A"/>
    <w:rsid w:val="00263B05"/>
    <w:rsid w:val="0027221A"/>
    <w:rsid w:val="00274D24"/>
    <w:rsid w:val="00275B61"/>
    <w:rsid w:val="00277998"/>
    <w:rsid w:val="00280573"/>
    <w:rsid w:val="00282656"/>
    <w:rsid w:val="00282C4F"/>
    <w:rsid w:val="00296B83"/>
    <w:rsid w:val="002B2238"/>
    <w:rsid w:val="002B5394"/>
    <w:rsid w:val="002B55C7"/>
    <w:rsid w:val="002B78CE"/>
    <w:rsid w:val="002C28FE"/>
    <w:rsid w:val="002C2FB6"/>
    <w:rsid w:val="002C6ED5"/>
    <w:rsid w:val="002C744B"/>
    <w:rsid w:val="002C7A5B"/>
    <w:rsid w:val="002D0458"/>
    <w:rsid w:val="002D5BCD"/>
    <w:rsid w:val="002D7D34"/>
    <w:rsid w:val="002F335A"/>
    <w:rsid w:val="003009B7"/>
    <w:rsid w:val="00300E56"/>
    <w:rsid w:val="0030469C"/>
    <w:rsid w:val="00316315"/>
    <w:rsid w:val="00321CA6"/>
    <w:rsid w:val="003335FF"/>
    <w:rsid w:val="0033444F"/>
    <w:rsid w:val="00334C09"/>
    <w:rsid w:val="003365E3"/>
    <w:rsid w:val="00336DCD"/>
    <w:rsid w:val="00337133"/>
    <w:rsid w:val="00337B71"/>
    <w:rsid w:val="00351864"/>
    <w:rsid w:val="00355B7A"/>
    <w:rsid w:val="00360291"/>
    <w:rsid w:val="00371A1F"/>
    <w:rsid w:val="003723D4"/>
    <w:rsid w:val="00374541"/>
    <w:rsid w:val="00384CC8"/>
    <w:rsid w:val="0038708A"/>
    <w:rsid w:val="003871FD"/>
    <w:rsid w:val="003A1E30"/>
    <w:rsid w:val="003A4375"/>
    <w:rsid w:val="003A7D1C"/>
    <w:rsid w:val="003B304B"/>
    <w:rsid w:val="003B3146"/>
    <w:rsid w:val="003B60F3"/>
    <w:rsid w:val="003C1A77"/>
    <w:rsid w:val="003F015E"/>
    <w:rsid w:val="003F5AF5"/>
    <w:rsid w:val="003F6496"/>
    <w:rsid w:val="00400414"/>
    <w:rsid w:val="004076B5"/>
    <w:rsid w:val="00412343"/>
    <w:rsid w:val="0041446B"/>
    <w:rsid w:val="00420121"/>
    <w:rsid w:val="00430844"/>
    <w:rsid w:val="00436122"/>
    <w:rsid w:val="00441B64"/>
    <w:rsid w:val="00443143"/>
    <w:rsid w:val="0044329C"/>
    <w:rsid w:val="0044642E"/>
    <w:rsid w:val="00450464"/>
    <w:rsid w:val="0045226A"/>
    <w:rsid w:val="004577FE"/>
    <w:rsid w:val="00457B9C"/>
    <w:rsid w:val="0046164A"/>
    <w:rsid w:val="004628D2"/>
    <w:rsid w:val="00462DCD"/>
    <w:rsid w:val="004648AD"/>
    <w:rsid w:val="0046543E"/>
    <w:rsid w:val="00465DC0"/>
    <w:rsid w:val="00467BDF"/>
    <w:rsid w:val="004703A9"/>
    <w:rsid w:val="00473EBB"/>
    <w:rsid w:val="004760DE"/>
    <w:rsid w:val="00481AA8"/>
    <w:rsid w:val="00484A8D"/>
    <w:rsid w:val="00493D3B"/>
    <w:rsid w:val="00497121"/>
    <w:rsid w:val="004A004E"/>
    <w:rsid w:val="004A15E4"/>
    <w:rsid w:val="004A2092"/>
    <w:rsid w:val="004A24CF"/>
    <w:rsid w:val="004B3CF8"/>
    <w:rsid w:val="004B6721"/>
    <w:rsid w:val="004C3D1D"/>
    <w:rsid w:val="004C7913"/>
    <w:rsid w:val="004D2CF6"/>
    <w:rsid w:val="004D5D78"/>
    <w:rsid w:val="004E4DD6"/>
    <w:rsid w:val="004F5E36"/>
    <w:rsid w:val="004F625B"/>
    <w:rsid w:val="00507B47"/>
    <w:rsid w:val="00507CC9"/>
    <w:rsid w:val="005119A5"/>
    <w:rsid w:val="005278B7"/>
    <w:rsid w:val="0053032D"/>
    <w:rsid w:val="00532016"/>
    <w:rsid w:val="00534589"/>
    <w:rsid w:val="005346C8"/>
    <w:rsid w:val="00540E57"/>
    <w:rsid w:val="00542651"/>
    <w:rsid w:val="00543E7D"/>
    <w:rsid w:val="00546B05"/>
    <w:rsid w:val="00547161"/>
    <w:rsid w:val="00547A68"/>
    <w:rsid w:val="00552BEA"/>
    <w:rsid w:val="00552D8D"/>
    <w:rsid w:val="005531C9"/>
    <w:rsid w:val="00554D1E"/>
    <w:rsid w:val="00580103"/>
    <w:rsid w:val="005869AA"/>
    <w:rsid w:val="00586CFC"/>
    <w:rsid w:val="00592380"/>
    <w:rsid w:val="00593134"/>
    <w:rsid w:val="005A5371"/>
    <w:rsid w:val="005B2110"/>
    <w:rsid w:val="005B4F17"/>
    <w:rsid w:val="005B61E6"/>
    <w:rsid w:val="005C5181"/>
    <w:rsid w:val="005C77E1"/>
    <w:rsid w:val="005D003E"/>
    <w:rsid w:val="005D0FE3"/>
    <w:rsid w:val="005D6A2F"/>
    <w:rsid w:val="005D72AC"/>
    <w:rsid w:val="005E1A82"/>
    <w:rsid w:val="005E45E8"/>
    <w:rsid w:val="005E4CCF"/>
    <w:rsid w:val="005E794C"/>
    <w:rsid w:val="005F0A28"/>
    <w:rsid w:val="005F0E5E"/>
    <w:rsid w:val="00600535"/>
    <w:rsid w:val="00601259"/>
    <w:rsid w:val="00610CD6"/>
    <w:rsid w:val="0061262B"/>
    <w:rsid w:val="00612704"/>
    <w:rsid w:val="00615DAC"/>
    <w:rsid w:val="00620DEE"/>
    <w:rsid w:val="00621F92"/>
    <w:rsid w:val="00625639"/>
    <w:rsid w:val="00631B33"/>
    <w:rsid w:val="0063411C"/>
    <w:rsid w:val="00635049"/>
    <w:rsid w:val="0064184D"/>
    <w:rsid w:val="006422CC"/>
    <w:rsid w:val="00643E3A"/>
    <w:rsid w:val="00654FA7"/>
    <w:rsid w:val="006571E4"/>
    <w:rsid w:val="00657D38"/>
    <w:rsid w:val="00660E3E"/>
    <w:rsid w:val="00662E74"/>
    <w:rsid w:val="00666A1C"/>
    <w:rsid w:val="00673EB6"/>
    <w:rsid w:val="00680C23"/>
    <w:rsid w:val="00681B23"/>
    <w:rsid w:val="00686F01"/>
    <w:rsid w:val="00693766"/>
    <w:rsid w:val="00694BA6"/>
    <w:rsid w:val="00697EC3"/>
    <w:rsid w:val="006A3281"/>
    <w:rsid w:val="006A5854"/>
    <w:rsid w:val="006B4888"/>
    <w:rsid w:val="006B519C"/>
    <w:rsid w:val="006B565D"/>
    <w:rsid w:val="006B58F2"/>
    <w:rsid w:val="006B6E46"/>
    <w:rsid w:val="006C27A9"/>
    <w:rsid w:val="006C2E45"/>
    <w:rsid w:val="006C359C"/>
    <w:rsid w:val="006C5579"/>
    <w:rsid w:val="006D29E2"/>
    <w:rsid w:val="006D3BDC"/>
    <w:rsid w:val="006E186E"/>
    <w:rsid w:val="006E737D"/>
    <w:rsid w:val="006F5C79"/>
    <w:rsid w:val="006F74AB"/>
    <w:rsid w:val="0070195D"/>
    <w:rsid w:val="0071738F"/>
    <w:rsid w:val="00720A24"/>
    <w:rsid w:val="00721F85"/>
    <w:rsid w:val="00726EE7"/>
    <w:rsid w:val="00732386"/>
    <w:rsid w:val="0073560E"/>
    <w:rsid w:val="0074114F"/>
    <w:rsid w:val="007447F3"/>
    <w:rsid w:val="0075499F"/>
    <w:rsid w:val="007661C8"/>
    <w:rsid w:val="0077098D"/>
    <w:rsid w:val="0077409B"/>
    <w:rsid w:val="007852E3"/>
    <w:rsid w:val="007905D4"/>
    <w:rsid w:val="00792FEB"/>
    <w:rsid w:val="007931FA"/>
    <w:rsid w:val="0079524A"/>
    <w:rsid w:val="00796EC8"/>
    <w:rsid w:val="007A7BBA"/>
    <w:rsid w:val="007B0C50"/>
    <w:rsid w:val="007B4F36"/>
    <w:rsid w:val="007C060D"/>
    <w:rsid w:val="007C1A43"/>
    <w:rsid w:val="007C440B"/>
    <w:rsid w:val="007C5057"/>
    <w:rsid w:val="007C5D5E"/>
    <w:rsid w:val="007D08C2"/>
    <w:rsid w:val="007E17E1"/>
    <w:rsid w:val="007E1DC6"/>
    <w:rsid w:val="007F19E3"/>
    <w:rsid w:val="00813288"/>
    <w:rsid w:val="008168FC"/>
    <w:rsid w:val="00816DCB"/>
    <w:rsid w:val="00830996"/>
    <w:rsid w:val="0083115E"/>
    <w:rsid w:val="008345F1"/>
    <w:rsid w:val="008431A0"/>
    <w:rsid w:val="008474DE"/>
    <w:rsid w:val="00853873"/>
    <w:rsid w:val="00855BB0"/>
    <w:rsid w:val="008610D7"/>
    <w:rsid w:val="00864111"/>
    <w:rsid w:val="00865B07"/>
    <w:rsid w:val="008667EA"/>
    <w:rsid w:val="0086692F"/>
    <w:rsid w:val="0087637F"/>
    <w:rsid w:val="008858E3"/>
    <w:rsid w:val="00885B0E"/>
    <w:rsid w:val="008904B9"/>
    <w:rsid w:val="008919B8"/>
    <w:rsid w:val="00892AD5"/>
    <w:rsid w:val="008A1512"/>
    <w:rsid w:val="008B0662"/>
    <w:rsid w:val="008B1525"/>
    <w:rsid w:val="008C78C1"/>
    <w:rsid w:val="008D0A9D"/>
    <w:rsid w:val="008D32B9"/>
    <w:rsid w:val="008D433B"/>
    <w:rsid w:val="008E33F6"/>
    <w:rsid w:val="008E566E"/>
    <w:rsid w:val="008E7210"/>
    <w:rsid w:val="008F0E9B"/>
    <w:rsid w:val="00901320"/>
    <w:rsid w:val="0090161A"/>
    <w:rsid w:val="00901EB6"/>
    <w:rsid w:val="00904C62"/>
    <w:rsid w:val="0090554B"/>
    <w:rsid w:val="00905587"/>
    <w:rsid w:val="009155FA"/>
    <w:rsid w:val="00920581"/>
    <w:rsid w:val="009218DF"/>
    <w:rsid w:val="00924DAC"/>
    <w:rsid w:val="00927058"/>
    <w:rsid w:val="00931256"/>
    <w:rsid w:val="00932F4D"/>
    <w:rsid w:val="00934290"/>
    <w:rsid w:val="00936CA9"/>
    <w:rsid w:val="009450CE"/>
    <w:rsid w:val="00946B3A"/>
    <w:rsid w:val="00947179"/>
    <w:rsid w:val="00950CEA"/>
    <w:rsid w:val="0095164B"/>
    <w:rsid w:val="00954090"/>
    <w:rsid w:val="009573E7"/>
    <w:rsid w:val="009635B9"/>
    <w:rsid w:val="00963E05"/>
    <w:rsid w:val="00967D54"/>
    <w:rsid w:val="00974F63"/>
    <w:rsid w:val="00981167"/>
    <w:rsid w:val="00982568"/>
    <w:rsid w:val="00982C7D"/>
    <w:rsid w:val="009840AF"/>
    <w:rsid w:val="00996483"/>
    <w:rsid w:val="00996F5A"/>
    <w:rsid w:val="009A09D7"/>
    <w:rsid w:val="009A0A3E"/>
    <w:rsid w:val="009A4790"/>
    <w:rsid w:val="009A5C37"/>
    <w:rsid w:val="009B041A"/>
    <w:rsid w:val="009C06DB"/>
    <w:rsid w:val="009C7C86"/>
    <w:rsid w:val="009D0721"/>
    <w:rsid w:val="009D2FF7"/>
    <w:rsid w:val="009E225D"/>
    <w:rsid w:val="009E64DA"/>
    <w:rsid w:val="009E7884"/>
    <w:rsid w:val="009E788A"/>
    <w:rsid w:val="009F0E08"/>
    <w:rsid w:val="009F4B70"/>
    <w:rsid w:val="009F5FC3"/>
    <w:rsid w:val="00A13921"/>
    <w:rsid w:val="00A1763D"/>
    <w:rsid w:val="00A17CEC"/>
    <w:rsid w:val="00A24A8C"/>
    <w:rsid w:val="00A2543D"/>
    <w:rsid w:val="00A27EF0"/>
    <w:rsid w:val="00A37CD4"/>
    <w:rsid w:val="00A450A3"/>
    <w:rsid w:val="00A46274"/>
    <w:rsid w:val="00A50B20"/>
    <w:rsid w:val="00A51390"/>
    <w:rsid w:val="00A53DD1"/>
    <w:rsid w:val="00A55A9C"/>
    <w:rsid w:val="00A60D13"/>
    <w:rsid w:val="00A6633F"/>
    <w:rsid w:val="00A72745"/>
    <w:rsid w:val="00A763CC"/>
    <w:rsid w:val="00A76EFC"/>
    <w:rsid w:val="00A806B7"/>
    <w:rsid w:val="00A86992"/>
    <w:rsid w:val="00A91010"/>
    <w:rsid w:val="00A97F29"/>
    <w:rsid w:val="00AA0DA8"/>
    <w:rsid w:val="00AA2A81"/>
    <w:rsid w:val="00AA702E"/>
    <w:rsid w:val="00AB0964"/>
    <w:rsid w:val="00AB5011"/>
    <w:rsid w:val="00AC33B8"/>
    <w:rsid w:val="00AC7368"/>
    <w:rsid w:val="00AD16B9"/>
    <w:rsid w:val="00AE377D"/>
    <w:rsid w:val="00AF6EA0"/>
    <w:rsid w:val="00AF7FF2"/>
    <w:rsid w:val="00B02ED4"/>
    <w:rsid w:val="00B10616"/>
    <w:rsid w:val="00B15327"/>
    <w:rsid w:val="00B17FBD"/>
    <w:rsid w:val="00B230FC"/>
    <w:rsid w:val="00B25FE3"/>
    <w:rsid w:val="00B315A6"/>
    <w:rsid w:val="00B31813"/>
    <w:rsid w:val="00B33365"/>
    <w:rsid w:val="00B3583E"/>
    <w:rsid w:val="00B57B36"/>
    <w:rsid w:val="00B8357E"/>
    <w:rsid w:val="00B84FF6"/>
    <w:rsid w:val="00B8686D"/>
    <w:rsid w:val="00B879BA"/>
    <w:rsid w:val="00BA1162"/>
    <w:rsid w:val="00BB4790"/>
    <w:rsid w:val="00BC30C9"/>
    <w:rsid w:val="00BE3E58"/>
    <w:rsid w:val="00BE57D2"/>
    <w:rsid w:val="00C01616"/>
    <w:rsid w:val="00C0162B"/>
    <w:rsid w:val="00C0706D"/>
    <w:rsid w:val="00C12215"/>
    <w:rsid w:val="00C15B6D"/>
    <w:rsid w:val="00C16A28"/>
    <w:rsid w:val="00C20744"/>
    <w:rsid w:val="00C2253A"/>
    <w:rsid w:val="00C278C6"/>
    <w:rsid w:val="00C345B1"/>
    <w:rsid w:val="00C40142"/>
    <w:rsid w:val="00C57182"/>
    <w:rsid w:val="00C57863"/>
    <w:rsid w:val="00C655FD"/>
    <w:rsid w:val="00C72BEE"/>
    <w:rsid w:val="00C779BB"/>
    <w:rsid w:val="00C86E15"/>
    <w:rsid w:val="00C870A8"/>
    <w:rsid w:val="00C933A5"/>
    <w:rsid w:val="00C94434"/>
    <w:rsid w:val="00C95144"/>
    <w:rsid w:val="00CA0D75"/>
    <w:rsid w:val="00CA199F"/>
    <w:rsid w:val="00CA1C95"/>
    <w:rsid w:val="00CA5A9C"/>
    <w:rsid w:val="00CB0B1C"/>
    <w:rsid w:val="00CB17D4"/>
    <w:rsid w:val="00CC1603"/>
    <w:rsid w:val="00CC3F07"/>
    <w:rsid w:val="00CC4754"/>
    <w:rsid w:val="00CC5169"/>
    <w:rsid w:val="00CC705E"/>
    <w:rsid w:val="00CD3517"/>
    <w:rsid w:val="00CD5A00"/>
    <w:rsid w:val="00CD5FE2"/>
    <w:rsid w:val="00CE2D3C"/>
    <w:rsid w:val="00CE7250"/>
    <w:rsid w:val="00CE7C68"/>
    <w:rsid w:val="00D02B4C"/>
    <w:rsid w:val="00D040C4"/>
    <w:rsid w:val="00D12D1F"/>
    <w:rsid w:val="00D14D66"/>
    <w:rsid w:val="00D23CA3"/>
    <w:rsid w:val="00D2718B"/>
    <w:rsid w:val="00D30A7F"/>
    <w:rsid w:val="00D32F92"/>
    <w:rsid w:val="00D44C63"/>
    <w:rsid w:val="00D52CC1"/>
    <w:rsid w:val="00D559B2"/>
    <w:rsid w:val="00D5790E"/>
    <w:rsid w:val="00D57C84"/>
    <w:rsid w:val="00D6057D"/>
    <w:rsid w:val="00D62ED6"/>
    <w:rsid w:val="00D63EAD"/>
    <w:rsid w:val="00D739A4"/>
    <w:rsid w:val="00D76442"/>
    <w:rsid w:val="00D84576"/>
    <w:rsid w:val="00D966B2"/>
    <w:rsid w:val="00DA06B7"/>
    <w:rsid w:val="00DA1399"/>
    <w:rsid w:val="00DA24C6"/>
    <w:rsid w:val="00DA4D7B"/>
    <w:rsid w:val="00DB00A8"/>
    <w:rsid w:val="00DB5ACE"/>
    <w:rsid w:val="00DC152F"/>
    <w:rsid w:val="00DC60D8"/>
    <w:rsid w:val="00DD045C"/>
    <w:rsid w:val="00DD3AA8"/>
    <w:rsid w:val="00DD4CED"/>
    <w:rsid w:val="00DE264A"/>
    <w:rsid w:val="00DF3BE5"/>
    <w:rsid w:val="00E00CE6"/>
    <w:rsid w:val="00E02D18"/>
    <w:rsid w:val="00E03016"/>
    <w:rsid w:val="00E041E7"/>
    <w:rsid w:val="00E12F06"/>
    <w:rsid w:val="00E1771F"/>
    <w:rsid w:val="00E2001E"/>
    <w:rsid w:val="00E23CA1"/>
    <w:rsid w:val="00E26995"/>
    <w:rsid w:val="00E32929"/>
    <w:rsid w:val="00E33B50"/>
    <w:rsid w:val="00E35B7A"/>
    <w:rsid w:val="00E3653D"/>
    <w:rsid w:val="00E36DBE"/>
    <w:rsid w:val="00E409A8"/>
    <w:rsid w:val="00E46E9F"/>
    <w:rsid w:val="00E4717F"/>
    <w:rsid w:val="00E50C12"/>
    <w:rsid w:val="00E554C1"/>
    <w:rsid w:val="00E65B91"/>
    <w:rsid w:val="00E7209D"/>
    <w:rsid w:val="00E77223"/>
    <w:rsid w:val="00E77FAF"/>
    <w:rsid w:val="00E84ACA"/>
    <w:rsid w:val="00E8528B"/>
    <w:rsid w:val="00E85B94"/>
    <w:rsid w:val="00E87BB0"/>
    <w:rsid w:val="00E90B13"/>
    <w:rsid w:val="00E9442F"/>
    <w:rsid w:val="00E973B4"/>
    <w:rsid w:val="00E978D0"/>
    <w:rsid w:val="00EA3E7E"/>
    <w:rsid w:val="00EA4613"/>
    <w:rsid w:val="00EA4C76"/>
    <w:rsid w:val="00EA7F91"/>
    <w:rsid w:val="00EB1523"/>
    <w:rsid w:val="00EB5E72"/>
    <w:rsid w:val="00EB7986"/>
    <w:rsid w:val="00EC0E49"/>
    <w:rsid w:val="00EC2364"/>
    <w:rsid w:val="00ED1FF8"/>
    <w:rsid w:val="00EE0131"/>
    <w:rsid w:val="00EE3C99"/>
    <w:rsid w:val="00EF0545"/>
    <w:rsid w:val="00EF229D"/>
    <w:rsid w:val="00F079C5"/>
    <w:rsid w:val="00F155B2"/>
    <w:rsid w:val="00F1691B"/>
    <w:rsid w:val="00F253E9"/>
    <w:rsid w:val="00F261B0"/>
    <w:rsid w:val="00F30C64"/>
    <w:rsid w:val="00F32CDB"/>
    <w:rsid w:val="00F352B1"/>
    <w:rsid w:val="00F475A0"/>
    <w:rsid w:val="00F63A70"/>
    <w:rsid w:val="00F64D4F"/>
    <w:rsid w:val="00F94865"/>
    <w:rsid w:val="00FA20A2"/>
    <w:rsid w:val="00FA21D0"/>
    <w:rsid w:val="00FA5F5F"/>
    <w:rsid w:val="00FB249D"/>
    <w:rsid w:val="00FB5AEB"/>
    <w:rsid w:val="00FB60C3"/>
    <w:rsid w:val="00FB730C"/>
    <w:rsid w:val="00FC2695"/>
    <w:rsid w:val="00FC3046"/>
    <w:rsid w:val="00FC3E03"/>
    <w:rsid w:val="00FC3FC1"/>
    <w:rsid w:val="00FC7341"/>
    <w:rsid w:val="00FD6822"/>
    <w:rsid w:val="00FE6894"/>
    <w:rsid w:val="00FE7DD6"/>
    <w:rsid w:val="00FF22E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B5CF"/>
  <w15:docId w15:val="{68BFC496-1CA4-9B43-BB32-9A2185E4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EF229D"/>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33444F"/>
    <w:rPr>
      <w:color w:val="605E5C"/>
      <w:shd w:val="clear" w:color="auto" w:fill="E1DFDD"/>
    </w:rPr>
  </w:style>
  <w:style w:type="character" w:styleId="Testosegnaposto">
    <w:name w:val="Placeholder Text"/>
    <w:basedOn w:val="Carpredefinitoparagrafo"/>
    <w:uiPriority w:val="99"/>
    <w:semiHidden/>
    <w:rsid w:val="009A09D7"/>
    <w:rPr>
      <w:color w:val="808080"/>
    </w:rPr>
  </w:style>
  <w:style w:type="paragraph" w:styleId="Paragrafoelenco">
    <w:name w:val="List Paragraph"/>
    <w:basedOn w:val="Normale"/>
    <w:uiPriority w:val="34"/>
    <w:rsid w:val="00726EE7"/>
    <w:pPr>
      <w:ind w:left="720"/>
      <w:contextualSpacing/>
    </w:pPr>
  </w:style>
  <w:style w:type="character" w:customStyle="1" w:styleId="apple-converted-space">
    <w:name w:val="apple-converted-space"/>
    <w:basedOn w:val="Carpredefinitoparagrafo"/>
    <w:rsid w:val="0072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5758">
      <w:bodyDiv w:val="1"/>
      <w:marLeft w:val="0"/>
      <w:marRight w:val="0"/>
      <w:marTop w:val="0"/>
      <w:marBottom w:val="0"/>
      <w:divBdr>
        <w:top w:val="none" w:sz="0" w:space="0" w:color="auto"/>
        <w:left w:val="none" w:sz="0" w:space="0" w:color="auto"/>
        <w:bottom w:val="none" w:sz="0" w:space="0" w:color="auto"/>
        <w:right w:val="none" w:sz="0" w:space="0" w:color="auto"/>
      </w:divBdr>
      <w:divsChild>
        <w:div w:id="1843356362">
          <w:marLeft w:val="0"/>
          <w:marRight w:val="0"/>
          <w:marTop w:val="0"/>
          <w:marBottom w:val="0"/>
          <w:divBdr>
            <w:top w:val="none" w:sz="0" w:space="0" w:color="auto"/>
            <w:left w:val="none" w:sz="0" w:space="0" w:color="auto"/>
            <w:bottom w:val="none" w:sz="0" w:space="0" w:color="auto"/>
            <w:right w:val="none" w:sz="0" w:space="0" w:color="auto"/>
          </w:divBdr>
          <w:divsChild>
            <w:div w:id="105585749">
              <w:marLeft w:val="0"/>
              <w:marRight w:val="0"/>
              <w:marTop w:val="0"/>
              <w:marBottom w:val="0"/>
              <w:divBdr>
                <w:top w:val="none" w:sz="0" w:space="0" w:color="auto"/>
                <w:left w:val="none" w:sz="0" w:space="0" w:color="auto"/>
                <w:bottom w:val="none" w:sz="0" w:space="0" w:color="auto"/>
                <w:right w:val="none" w:sz="0" w:space="0" w:color="auto"/>
              </w:divBdr>
              <w:divsChild>
                <w:div w:id="6998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1688">
      <w:bodyDiv w:val="1"/>
      <w:marLeft w:val="0"/>
      <w:marRight w:val="0"/>
      <w:marTop w:val="0"/>
      <w:marBottom w:val="0"/>
      <w:divBdr>
        <w:top w:val="none" w:sz="0" w:space="0" w:color="auto"/>
        <w:left w:val="none" w:sz="0" w:space="0" w:color="auto"/>
        <w:bottom w:val="none" w:sz="0" w:space="0" w:color="auto"/>
        <w:right w:val="none" w:sz="0" w:space="0" w:color="auto"/>
      </w:divBdr>
    </w:div>
    <w:div w:id="66863054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75085">
      <w:bodyDiv w:val="1"/>
      <w:marLeft w:val="0"/>
      <w:marRight w:val="0"/>
      <w:marTop w:val="0"/>
      <w:marBottom w:val="0"/>
      <w:divBdr>
        <w:top w:val="none" w:sz="0" w:space="0" w:color="auto"/>
        <w:left w:val="none" w:sz="0" w:space="0" w:color="auto"/>
        <w:bottom w:val="none" w:sz="0" w:space="0" w:color="auto"/>
        <w:right w:val="none" w:sz="0" w:space="0" w:color="auto"/>
      </w:divBdr>
      <w:divsChild>
        <w:div w:id="996960929">
          <w:marLeft w:val="0"/>
          <w:marRight w:val="0"/>
          <w:marTop w:val="0"/>
          <w:marBottom w:val="0"/>
          <w:divBdr>
            <w:top w:val="none" w:sz="0" w:space="0" w:color="auto"/>
            <w:left w:val="none" w:sz="0" w:space="0" w:color="auto"/>
            <w:bottom w:val="none" w:sz="0" w:space="0" w:color="auto"/>
            <w:right w:val="none" w:sz="0" w:space="0" w:color="auto"/>
          </w:divBdr>
        </w:div>
      </w:divsChild>
    </w:div>
    <w:div w:id="1105077348">
      <w:bodyDiv w:val="1"/>
      <w:marLeft w:val="0"/>
      <w:marRight w:val="0"/>
      <w:marTop w:val="0"/>
      <w:marBottom w:val="0"/>
      <w:divBdr>
        <w:top w:val="none" w:sz="0" w:space="0" w:color="auto"/>
        <w:left w:val="none" w:sz="0" w:space="0" w:color="auto"/>
        <w:bottom w:val="none" w:sz="0" w:space="0" w:color="auto"/>
        <w:right w:val="none" w:sz="0" w:space="0" w:color="auto"/>
      </w:divBdr>
    </w:div>
    <w:div w:id="1226991648">
      <w:bodyDiv w:val="1"/>
      <w:marLeft w:val="0"/>
      <w:marRight w:val="0"/>
      <w:marTop w:val="0"/>
      <w:marBottom w:val="0"/>
      <w:divBdr>
        <w:top w:val="none" w:sz="0" w:space="0" w:color="auto"/>
        <w:left w:val="none" w:sz="0" w:space="0" w:color="auto"/>
        <w:bottom w:val="none" w:sz="0" w:space="0" w:color="auto"/>
        <w:right w:val="none" w:sz="0" w:space="0" w:color="auto"/>
      </w:divBdr>
      <w:divsChild>
        <w:div w:id="994065374">
          <w:marLeft w:val="0"/>
          <w:marRight w:val="0"/>
          <w:marTop w:val="0"/>
          <w:marBottom w:val="0"/>
          <w:divBdr>
            <w:top w:val="none" w:sz="0" w:space="0" w:color="auto"/>
            <w:left w:val="none" w:sz="0" w:space="0" w:color="auto"/>
            <w:bottom w:val="none" w:sz="0" w:space="0" w:color="auto"/>
            <w:right w:val="none" w:sz="0" w:space="0" w:color="auto"/>
          </w:divBdr>
          <w:divsChild>
            <w:div w:id="1439368050">
              <w:marLeft w:val="0"/>
              <w:marRight w:val="0"/>
              <w:marTop w:val="0"/>
              <w:marBottom w:val="0"/>
              <w:divBdr>
                <w:top w:val="none" w:sz="0" w:space="0" w:color="auto"/>
                <w:left w:val="none" w:sz="0" w:space="0" w:color="auto"/>
                <w:bottom w:val="none" w:sz="0" w:space="0" w:color="auto"/>
                <w:right w:val="none" w:sz="0" w:space="0" w:color="auto"/>
              </w:divBdr>
              <w:divsChild>
                <w:div w:id="267853141">
                  <w:marLeft w:val="0"/>
                  <w:marRight w:val="0"/>
                  <w:marTop w:val="0"/>
                  <w:marBottom w:val="0"/>
                  <w:divBdr>
                    <w:top w:val="none" w:sz="0" w:space="0" w:color="auto"/>
                    <w:left w:val="none" w:sz="0" w:space="0" w:color="auto"/>
                    <w:bottom w:val="none" w:sz="0" w:space="0" w:color="auto"/>
                    <w:right w:val="none" w:sz="0" w:space="0" w:color="auto"/>
                  </w:divBdr>
                  <w:divsChild>
                    <w:div w:id="4996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6259">
      <w:bodyDiv w:val="1"/>
      <w:marLeft w:val="0"/>
      <w:marRight w:val="0"/>
      <w:marTop w:val="0"/>
      <w:marBottom w:val="0"/>
      <w:divBdr>
        <w:top w:val="none" w:sz="0" w:space="0" w:color="auto"/>
        <w:left w:val="none" w:sz="0" w:space="0" w:color="auto"/>
        <w:bottom w:val="none" w:sz="0" w:space="0" w:color="auto"/>
        <w:right w:val="none" w:sz="0" w:space="0" w:color="auto"/>
      </w:divBdr>
    </w:div>
    <w:div w:id="1363704012">
      <w:bodyDiv w:val="1"/>
      <w:marLeft w:val="0"/>
      <w:marRight w:val="0"/>
      <w:marTop w:val="0"/>
      <w:marBottom w:val="0"/>
      <w:divBdr>
        <w:top w:val="none" w:sz="0" w:space="0" w:color="auto"/>
        <w:left w:val="none" w:sz="0" w:space="0" w:color="auto"/>
        <w:bottom w:val="none" w:sz="0" w:space="0" w:color="auto"/>
        <w:right w:val="none" w:sz="0" w:space="0" w:color="auto"/>
      </w:divBdr>
    </w:div>
    <w:div w:id="1377505449">
      <w:bodyDiv w:val="1"/>
      <w:marLeft w:val="0"/>
      <w:marRight w:val="0"/>
      <w:marTop w:val="0"/>
      <w:marBottom w:val="0"/>
      <w:divBdr>
        <w:top w:val="none" w:sz="0" w:space="0" w:color="auto"/>
        <w:left w:val="none" w:sz="0" w:space="0" w:color="auto"/>
        <w:bottom w:val="none" w:sz="0" w:space="0" w:color="auto"/>
        <w:right w:val="none" w:sz="0" w:space="0" w:color="auto"/>
      </w:divBdr>
    </w:div>
    <w:div w:id="1460226475">
      <w:bodyDiv w:val="1"/>
      <w:marLeft w:val="0"/>
      <w:marRight w:val="0"/>
      <w:marTop w:val="0"/>
      <w:marBottom w:val="0"/>
      <w:divBdr>
        <w:top w:val="none" w:sz="0" w:space="0" w:color="auto"/>
        <w:left w:val="none" w:sz="0" w:space="0" w:color="auto"/>
        <w:bottom w:val="none" w:sz="0" w:space="0" w:color="auto"/>
        <w:right w:val="none" w:sz="0" w:space="0" w:color="auto"/>
      </w:divBdr>
      <w:divsChild>
        <w:div w:id="1061487271">
          <w:marLeft w:val="0"/>
          <w:marRight w:val="0"/>
          <w:marTop w:val="0"/>
          <w:marBottom w:val="0"/>
          <w:divBdr>
            <w:top w:val="none" w:sz="0" w:space="0" w:color="auto"/>
            <w:left w:val="none" w:sz="0" w:space="0" w:color="auto"/>
            <w:bottom w:val="none" w:sz="0" w:space="0" w:color="auto"/>
            <w:right w:val="none" w:sz="0" w:space="0" w:color="auto"/>
          </w:divBdr>
          <w:divsChild>
            <w:div w:id="1110971572">
              <w:marLeft w:val="0"/>
              <w:marRight w:val="0"/>
              <w:marTop w:val="0"/>
              <w:marBottom w:val="0"/>
              <w:divBdr>
                <w:top w:val="none" w:sz="0" w:space="0" w:color="auto"/>
                <w:left w:val="none" w:sz="0" w:space="0" w:color="auto"/>
                <w:bottom w:val="none" w:sz="0" w:space="0" w:color="auto"/>
                <w:right w:val="none" w:sz="0" w:space="0" w:color="auto"/>
              </w:divBdr>
              <w:divsChild>
                <w:div w:id="8603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0557">
      <w:bodyDiv w:val="1"/>
      <w:marLeft w:val="0"/>
      <w:marRight w:val="0"/>
      <w:marTop w:val="0"/>
      <w:marBottom w:val="0"/>
      <w:divBdr>
        <w:top w:val="none" w:sz="0" w:space="0" w:color="auto"/>
        <w:left w:val="none" w:sz="0" w:space="0" w:color="auto"/>
        <w:bottom w:val="none" w:sz="0" w:space="0" w:color="auto"/>
        <w:right w:val="none" w:sz="0" w:space="0" w:color="auto"/>
      </w:divBdr>
      <w:divsChild>
        <w:div w:id="1084455517">
          <w:marLeft w:val="0"/>
          <w:marRight w:val="0"/>
          <w:marTop w:val="0"/>
          <w:marBottom w:val="0"/>
          <w:divBdr>
            <w:top w:val="none" w:sz="0" w:space="0" w:color="auto"/>
            <w:left w:val="none" w:sz="0" w:space="0" w:color="auto"/>
            <w:bottom w:val="none" w:sz="0" w:space="0" w:color="auto"/>
            <w:right w:val="none" w:sz="0" w:space="0" w:color="auto"/>
          </w:divBdr>
          <w:divsChild>
            <w:div w:id="1051151627">
              <w:marLeft w:val="0"/>
              <w:marRight w:val="0"/>
              <w:marTop w:val="0"/>
              <w:marBottom w:val="0"/>
              <w:divBdr>
                <w:top w:val="none" w:sz="0" w:space="0" w:color="auto"/>
                <w:left w:val="none" w:sz="0" w:space="0" w:color="auto"/>
                <w:bottom w:val="none" w:sz="0" w:space="0" w:color="auto"/>
                <w:right w:val="none" w:sz="0" w:space="0" w:color="auto"/>
              </w:divBdr>
              <w:divsChild>
                <w:div w:id="12128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ed-heat-to-power.eu"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francescogiacalone\Google%20Drive\Last%20Models\RED-MED_summary6.xlsm"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francescogiacalone\Google%20Drive\Last%20Models\RED-MED_summary6.xlsm"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37598564117383"/>
          <c:y val="5.5436507936507937E-2"/>
          <c:w val="0.64257599416163325"/>
          <c:h val="0.71519490158516907"/>
        </c:manualLayout>
      </c:layout>
      <c:scatterChart>
        <c:scatterStyle val="lineMarker"/>
        <c:varyColors val="0"/>
        <c:ser>
          <c:idx val="0"/>
          <c:order val="0"/>
          <c:tx>
            <c:v>Thermal efficiency </c:v>
          </c:tx>
          <c:spPr>
            <a:ln w="28575" cap="rnd">
              <a:noFill/>
              <a:round/>
            </a:ln>
            <a:effectLst/>
          </c:spPr>
          <c:marker>
            <c:symbol val="circle"/>
            <c:size val="5"/>
            <c:spPr>
              <a:solidFill>
                <a:schemeClr val="accent1"/>
              </a:solidFill>
              <a:ln w="9525">
                <a:solidFill>
                  <a:schemeClr val="tx1"/>
                </a:solidFill>
              </a:ln>
              <a:effectLst/>
            </c:spPr>
          </c:marker>
          <c:xVal>
            <c:numRef>
              <c:f>'Results (P) (7)'!$L$183:$L$192</c:f>
              <c:numCache>
                <c:formatCode>General</c:formatCode>
                <c:ptCount val="10"/>
                <c:pt idx="0">
                  <c:v>0.1</c:v>
                </c:pt>
                <c:pt idx="1">
                  <c:v>0.3</c:v>
                </c:pt>
                <c:pt idx="2">
                  <c:v>0.5</c:v>
                </c:pt>
                <c:pt idx="3">
                  <c:v>1</c:v>
                </c:pt>
                <c:pt idx="4">
                  <c:v>2</c:v>
                </c:pt>
                <c:pt idx="5">
                  <c:v>2.9999999999999996</c:v>
                </c:pt>
                <c:pt idx="6">
                  <c:v>4</c:v>
                </c:pt>
                <c:pt idx="7">
                  <c:v>5</c:v>
                </c:pt>
                <c:pt idx="8">
                  <c:v>5.9999999999999991</c:v>
                </c:pt>
                <c:pt idx="9">
                  <c:v>7</c:v>
                </c:pt>
              </c:numCache>
            </c:numRef>
          </c:xVal>
          <c:yVal>
            <c:numRef>
              <c:f>'Results (P) (7)'!$T$183:$T$192</c:f>
              <c:numCache>
                <c:formatCode>0.00%</c:formatCode>
                <c:ptCount val="10"/>
                <c:pt idx="0">
                  <c:v>8.7261801472163336E-2</c:v>
                </c:pt>
                <c:pt idx="1">
                  <c:v>7.67209088912542E-2</c:v>
                </c:pt>
                <c:pt idx="2">
                  <c:v>6.8561979014489141E-2</c:v>
                </c:pt>
                <c:pt idx="3">
                  <c:v>5.4510813863110318E-2</c:v>
                </c:pt>
                <c:pt idx="4">
                  <c:v>3.9293629822920839E-2</c:v>
                </c:pt>
                <c:pt idx="5">
                  <c:v>3.1092604645562315E-2</c:v>
                </c:pt>
                <c:pt idx="6">
                  <c:v>2.5902956541789604E-2</c:v>
                </c:pt>
                <c:pt idx="7">
                  <c:v>2.2294545836090064E-2</c:v>
                </c:pt>
                <c:pt idx="8">
                  <c:v>1.3188787830674462E-2</c:v>
                </c:pt>
                <c:pt idx="9">
                  <c:v>1.1769370913096735E-2</c:v>
                </c:pt>
              </c:numCache>
            </c:numRef>
          </c:yVal>
          <c:smooth val="0"/>
          <c:extLst xmlns:c16r2="http://schemas.microsoft.com/office/drawing/2015/06/chart">
            <c:ext xmlns:c16="http://schemas.microsoft.com/office/drawing/2014/chart" uri="{C3380CC4-5D6E-409C-BE32-E72D297353CC}">
              <c16:uniqueId val="{00000000-4780-8446-891E-29433E231AA4}"/>
            </c:ext>
          </c:extLst>
        </c:ser>
        <c:dLbls>
          <c:showLegendKey val="0"/>
          <c:showVal val="0"/>
          <c:showCatName val="0"/>
          <c:showSerName val="0"/>
          <c:showPercent val="0"/>
          <c:showBubbleSize val="0"/>
        </c:dLbls>
        <c:axId val="332402624"/>
        <c:axId val="332403408"/>
      </c:scatterChart>
      <c:scatterChart>
        <c:scatterStyle val="lineMarker"/>
        <c:varyColors val="0"/>
        <c:ser>
          <c:idx val="1"/>
          <c:order val="1"/>
          <c:tx>
            <c:v>P_dmax </c:v>
          </c:tx>
          <c:spPr>
            <a:ln w="25400" cap="rnd">
              <a:noFill/>
              <a:round/>
            </a:ln>
            <a:effectLst/>
          </c:spPr>
          <c:marker>
            <c:symbol val="square"/>
            <c:size val="5"/>
            <c:spPr>
              <a:noFill/>
              <a:ln w="12700">
                <a:solidFill>
                  <a:srgbClr val="FF0000"/>
                </a:solidFill>
              </a:ln>
              <a:effectLst/>
            </c:spPr>
          </c:marker>
          <c:xVal>
            <c:numRef>
              <c:f>'Results (P) (7)'!$L$183:$L$192</c:f>
              <c:numCache>
                <c:formatCode>General</c:formatCode>
                <c:ptCount val="10"/>
                <c:pt idx="0">
                  <c:v>0.1</c:v>
                </c:pt>
                <c:pt idx="1">
                  <c:v>0.3</c:v>
                </c:pt>
                <c:pt idx="2">
                  <c:v>0.5</c:v>
                </c:pt>
                <c:pt idx="3">
                  <c:v>1</c:v>
                </c:pt>
                <c:pt idx="4">
                  <c:v>2</c:v>
                </c:pt>
                <c:pt idx="5">
                  <c:v>2.9999999999999996</c:v>
                </c:pt>
                <c:pt idx="6">
                  <c:v>4</c:v>
                </c:pt>
                <c:pt idx="7">
                  <c:v>5</c:v>
                </c:pt>
                <c:pt idx="8">
                  <c:v>5.9999999999999991</c:v>
                </c:pt>
                <c:pt idx="9">
                  <c:v>7</c:v>
                </c:pt>
              </c:numCache>
            </c:numRef>
          </c:xVal>
          <c:yVal>
            <c:numRef>
              <c:f>'Results (P) (7)'!$J$183:$J$192</c:f>
              <c:numCache>
                <c:formatCode>General</c:formatCode>
                <c:ptCount val="10"/>
                <c:pt idx="0">
                  <c:v>99.759039999999999</c:v>
                </c:pt>
                <c:pt idx="1">
                  <c:v>87.584975382391846</c:v>
                </c:pt>
                <c:pt idx="2">
                  <c:v>78.162619045611521</c:v>
                </c:pt>
                <c:pt idx="3">
                  <c:v>61.933575269545493</c:v>
                </c:pt>
                <c:pt idx="4">
                  <c:v>44.352353944869407</c:v>
                </c:pt>
                <c:pt idx="5">
                  <c:v>34.874682935168373</c:v>
                </c:pt>
                <c:pt idx="6">
                  <c:v>28.876802641853153</c:v>
                </c:pt>
                <c:pt idx="7">
                  <c:v>24.706900865269997</c:v>
                </c:pt>
                <c:pt idx="8">
                  <c:v>21.127698986971193</c:v>
                </c:pt>
                <c:pt idx="9">
                  <c:v>18.748804460305415</c:v>
                </c:pt>
              </c:numCache>
            </c:numRef>
          </c:yVal>
          <c:smooth val="0"/>
          <c:extLst xmlns:c16r2="http://schemas.microsoft.com/office/drawing/2015/06/chart">
            <c:ext xmlns:c16="http://schemas.microsoft.com/office/drawing/2014/chart" uri="{C3380CC4-5D6E-409C-BE32-E72D297353CC}">
              <c16:uniqueId val="{00000001-4780-8446-891E-29433E231AA4}"/>
            </c:ext>
          </c:extLst>
        </c:ser>
        <c:dLbls>
          <c:showLegendKey val="0"/>
          <c:showVal val="0"/>
          <c:showCatName val="0"/>
          <c:showSerName val="0"/>
          <c:showPercent val="0"/>
          <c:showBubbleSize val="0"/>
        </c:dLbls>
        <c:axId val="332404584"/>
        <c:axId val="332403016"/>
      </c:scatterChart>
      <c:valAx>
        <c:axId val="332402624"/>
        <c:scaling>
          <c:orientation val="minMax"/>
          <c:max val="8"/>
          <c:min val="0"/>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it-IT" b="1">
                    <a:latin typeface="Arial" panose="020B0604020202020204" pitchFamily="34" charset="0"/>
                    <a:cs typeface="Arial" panose="020B0604020202020204" pitchFamily="34" charset="0"/>
                  </a:rPr>
                  <a:t>R</a:t>
                </a:r>
                <a:r>
                  <a:rPr lang="it-IT" b="1" baseline="-25000">
                    <a:latin typeface="Arial" panose="020B0604020202020204" pitchFamily="34" charset="0"/>
                    <a:cs typeface="Arial" panose="020B0604020202020204" pitchFamily="34" charset="0"/>
                  </a:rPr>
                  <a:t>IEM</a:t>
                </a:r>
                <a:r>
                  <a:rPr lang="it-IT" b="1" baseline="0">
                    <a:latin typeface="Arial" panose="020B0604020202020204" pitchFamily="34" charset="0"/>
                    <a:cs typeface="Arial" panose="020B0604020202020204" pitchFamily="34" charset="0"/>
                  </a:rPr>
                  <a:t> [Ωcm</a:t>
                </a:r>
                <a:r>
                  <a:rPr lang="it-IT" b="1" baseline="30000">
                    <a:latin typeface="Arial" panose="020B0604020202020204" pitchFamily="34" charset="0"/>
                    <a:cs typeface="Arial" panose="020B0604020202020204" pitchFamily="34" charset="0"/>
                  </a:rPr>
                  <a:t>2</a:t>
                </a:r>
                <a:r>
                  <a:rPr lang="it-IT" b="1" baseline="0">
                    <a:latin typeface="Arial" panose="020B0604020202020204" pitchFamily="34" charset="0"/>
                    <a:cs typeface="Arial" panose="020B0604020202020204" pitchFamily="34" charset="0"/>
                  </a:rPr>
                  <a:t>]</a:t>
                </a:r>
                <a:endParaRPr lang="it-IT"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332403408"/>
        <c:crosses val="autoZero"/>
        <c:crossBetween val="midCat"/>
        <c:majorUnit val="1"/>
      </c:valAx>
      <c:valAx>
        <c:axId val="3324034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it-IT" b="1">
                    <a:latin typeface="Arial" panose="020B0604020202020204" pitchFamily="34" charset="0"/>
                    <a:cs typeface="Arial" panose="020B0604020202020204" pitchFamily="34" charset="0"/>
                  </a:rPr>
                  <a:t>Thermal efficiency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332402624"/>
        <c:crosses val="autoZero"/>
        <c:crossBetween val="midCat"/>
      </c:valAx>
      <c:valAx>
        <c:axId val="332403016"/>
        <c:scaling>
          <c:orientation val="minMax"/>
        </c:scaling>
        <c:delete val="0"/>
        <c:axPos val="r"/>
        <c:title>
          <c:tx>
            <c:rich>
              <a:bodyPr rot="5400000" spcFirstLastPara="1" vertOverflow="ellipsis"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it-IT" b="1">
                    <a:latin typeface="Arial" panose="020B0604020202020204" pitchFamily="34" charset="0"/>
                    <a:cs typeface="Arial" panose="020B0604020202020204" pitchFamily="34" charset="0"/>
                  </a:rPr>
                  <a:t>P</a:t>
                </a:r>
                <a:r>
                  <a:rPr lang="it-IT" b="1" baseline="-25000">
                    <a:latin typeface="Arial" panose="020B0604020202020204" pitchFamily="34" charset="0"/>
                    <a:cs typeface="Arial" panose="020B0604020202020204" pitchFamily="34" charset="0"/>
                  </a:rPr>
                  <a:t>d </a:t>
                </a:r>
                <a:r>
                  <a:rPr lang="it-IT" b="1">
                    <a:latin typeface="Arial" panose="020B0604020202020204" pitchFamily="34" charset="0"/>
                    <a:cs typeface="Arial" panose="020B0604020202020204" pitchFamily="34" charset="0"/>
                  </a:rPr>
                  <a:t>[W/m</a:t>
                </a:r>
                <a:r>
                  <a:rPr lang="it-IT" b="1" baseline="30000">
                    <a:latin typeface="Arial" panose="020B0604020202020204" pitchFamily="34" charset="0"/>
                    <a:cs typeface="Arial" panose="020B0604020202020204" pitchFamily="34" charset="0"/>
                  </a:rPr>
                  <a:t>2</a:t>
                </a:r>
                <a:r>
                  <a:rPr lang="it-IT" b="1">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332404584"/>
        <c:crosses val="max"/>
        <c:crossBetween val="midCat"/>
      </c:valAx>
      <c:valAx>
        <c:axId val="332404584"/>
        <c:scaling>
          <c:orientation val="minMax"/>
        </c:scaling>
        <c:delete val="1"/>
        <c:axPos val="b"/>
        <c:numFmt formatCode="General" sourceLinked="1"/>
        <c:majorTickMark val="out"/>
        <c:minorTickMark val="none"/>
        <c:tickLblPos val="nextTo"/>
        <c:crossAx val="332403016"/>
        <c:crosses val="autoZero"/>
        <c:crossBetween val="midCat"/>
      </c:valAx>
      <c:spPr>
        <a:noFill/>
        <a:ln>
          <a:solidFill>
            <a:schemeClr val="tx1"/>
          </a:solidFill>
        </a:ln>
        <a:effectLst/>
      </c:spPr>
    </c:plotArea>
    <c:legend>
      <c:legendPos val="r"/>
      <c:layout>
        <c:manualLayout>
          <c:xMode val="edge"/>
          <c:yMode val="edge"/>
          <c:x val="0.43264558408674569"/>
          <c:y val="8.9209405696325891E-2"/>
          <c:w val="0.3544829689195631"/>
          <c:h val="0.11741169654798371"/>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78553633512818"/>
          <c:y val="5.5436507936507937E-2"/>
          <c:w val="0.62375689277372448"/>
          <c:h val="0.7099289721486236"/>
        </c:manualLayout>
      </c:layout>
      <c:scatterChart>
        <c:scatterStyle val="lineMarker"/>
        <c:varyColors val="0"/>
        <c:ser>
          <c:idx val="0"/>
          <c:order val="0"/>
          <c:tx>
            <c:v>Thermal efficiency </c:v>
          </c:tx>
          <c:spPr>
            <a:ln w="28575" cap="rnd">
              <a:noFill/>
              <a:round/>
            </a:ln>
            <a:effectLst/>
          </c:spPr>
          <c:marker>
            <c:symbol val="circle"/>
            <c:size val="5"/>
            <c:spPr>
              <a:solidFill>
                <a:schemeClr val="accent1"/>
              </a:solidFill>
              <a:ln w="9525">
                <a:solidFill>
                  <a:schemeClr val="tx1"/>
                </a:solidFill>
              </a:ln>
              <a:effectLst/>
            </c:spPr>
          </c:marker>
          <c:xVal>
            <c:numRef>
              <c:f>'Results (P) (7)'!$M$182:$T$182</c:f>
              <c:numCache>
                <c:formatCode>General</c:formatCode>
                <c:ptCount val="8"/>
                <c:pt idx="0">
                  <c:v>0.5</c:v>
                </c:pt>
                <c:pt idx="1">
                  <c:v>0.6</c:v>
                </c:pt>
                <c:pt idx="2">
                  <c:v>0.7</c:v>
                </c:pt>
                <c:pt idx="3">
                  <c:v>0.8</c:v>
                </c:pt>
                <c:pt idx="4">
                  <c:v>0.85</c:v>
                </c:pt>
                <c:pt idx="5">
                  <c:v>0.9</c:v>
                </c:pt>
                <c:pt idx="6">
                  <c:v>0.95</c:v>
                </c:pt>
                <c:pt idx="7">
                  <c:v>1</c:v>
                </c:pt>
              </c:numCache>
            </c:numRef>
          </c:xVal>
          <c:yVal>
            <c:numRef>
              <c:f>'Results (P) (7)'!$M$193:$T$193</c:f>
              <c:numCache>
                <c:formatCode>0.00%</c:formatCode>
                <c:ptCount val="8"/>
                <c:pt idx="0">
                  <c:v>2.63E-2</c:v>
                </c:pt>
                <c:pt idx="1">
                  <c:v>3.5200000000000002E-2</c:v>
                </c:pt>
                <c:pt idx="2">
                  <c:v>4.5400000000000003E-2</c:v>
                </c:pt>
                <c:pt idx="3">
                  <c:v>5.7200000000000001E-2</c:v>
                </c:pt>
                <c:pt idx="4">
                  <c:v>6.3799999999999996E-2</c:v>
                </c:pt>
                <c:pt idx="5">
                  <c:v>7.0999999999999994E-2</c:v>
                </c:pt>
                <c:pt idx="6">
                  <c:v>7.8799999999999995E-2</c:v>
                </c:pt>
                <c:pt idx="7">
                  <c:v>8.7300000000000003E-2</c:v>
                </c:pt>
              </c:numCache>
            </c:numRef>
          </c:yVal>
          <c:smooth val="0"/>
          <c:extLst xmlns:c16r2="http://schemas.microsoft.com/office/drawing/2015/06/chart">
            <c:ext xmlns:c16="http://schemas.microsoft.com/office/drawing/2014/chart" uri="{C3380CC4-5D6E-409C-BE32-E72D297353CC}">
              <c16:uniqueId val="{00000000-1A9D-4B4A-B827-52F8A278F209}"/>
            </c:ext>
          </c:extLst>
        </c:ser>
        <c:dLbls>
          <c:showLegendKey val="0"/>
          <c:showVal val="0"/>
          <c:showCatName val="0"/>
          <c:showSerName val="0"/>
          <c:showPercent val="0"/>
          <c:showBubbleSize val="0"/>
        </c:dLbls>
        <c:axId val="419696136"/>
        <c:axId val="419694960"/>
      </c:scatterChart>
      <c:scatterChart>
        <c:scatterStyle val="lineMarker"/>
        <c:varyColors val="0"/>
        <c:ser>
          <c:idx val="1"/>
          <c:order val="1"/>
          <c:tx>
            <c:v>P_dmax </c:v>
          </c:tx>
          <c:spPr>
            <a:ln w="25400" cap="rnd">
              <a:noFill/>
              <a:round/>
            </a:ln>
            <a:effectLst/>
          </c:spPr>
          <c:marker>
            <c:symbol val="square"/>
            <c:size val="5"/>
            <c:spPr>
              <a:noFill/>
              <a:ln w="12700">
                <a:solidFill>
                  <a:srgbClr val="FF0000"/>
                </a:solidFill>
              </a:ln>
              <a:effectLst/>
            </c:spPr>
          </c:marker>
          <c:xVal>
            <c:numRef>
              <c:f>'Results (P) (7)'!$M$182:$T$182</c:f>
              <c:numCache>
                <c:formatCode>General</c:formatCode>
                <c:ptCount val="8"/>
                <c:pt idx="0">
                  <c:v>0.5</c:v>
                </c:pt>
                <c:pt idx="1">
                  <c:v>0.6</c:v>
                </c:pt>
                <c:pt idx="2">
                  <c:v>0.7</c:v>
                </c:pt>
                <c:pt idx="3">
                  <c:v>0.8</c:v>
                </c:pt>
                <c:pt idx="4">
                  <c:v>0.85</c:v>
                </c:pt>
                <c:pt idx="5">
                  <c:v>0.9</c:v>
                </c:pt>
                <c:pt idx="6">
                  <c:v>0.95</c:v>
                </c:pt>
                <c:pt idx="7">
                  <c:v>1</c:v>
                </c:pt>
              </c:numCache>
            </c:numRef>
          </c:xVal>
          <c:yVal>
            <c:numRef>
              <c:f>'Results (P) (7)'!$C$183:$J$183</c:f>
              <c:numCache>
                <c:formatCode>General</c:formatCode>
                <c:ptCount val="8"/>
                <c:pt idx="0">
                  <c:v>30.01464</c:v>
                </c:pt>
                <c:pt idx="1">
                  <c:v>40.213200000000001</c:v>
                </c:pt>
                <c:pt idx="2">
                  <c:v>51.900800000000004</c:v>
                </c:pt>
                <c:pt idx="3">
                  <c:v>65.401679999999999</c:v>
                </c:pt>
                <c:pt idx="4">
                  <c:v>72.963520000000003</c:v>
                </c:pt>
                <c:pt idx="5">
                  <c:v>81.154479999999992</c:v>
                </c:pt>
                <c:pt idx="6">
                  <c:v>90.054720000000003</c:v>
                </c:pt>
                <c:pt idx="7">
                  <c:v>99.759039999999999</c:v>
                </c:pt>
              </c:numCache>
            </c:numRef>
          </c:yVal>
          <c:smooth val="0"/>
          <c:extLst xmlns:c16r2="http://schemas.microsoft.com/office/drawing/2015/06/chart">
            <c:ext xmlns:c16="http://schemas.microsoft.com/office/drawing/2014/chart" uri="{C3380CC4-5D6E-409C-BE32-E72D297353CC}">
              <c16:uniqueId val="{00000001-1A9D-4B4A-B827-52F8A278F209}"/>
            </c:ext>
          </c:extLst>
        </c:ser>
        <c:dLbls>
          <c:showLegendKey val="0"/>
          <c:showVal val="0"/>
          <c:showCatName val="0"/>
          <c:showSerName val="0"/>
          <c:showPercent val="0"/>
          <c:showBubbleSize val="0"/>
        </c:dLbls>
        <c:axId val="330518072"/>
        <c:axId val="212494168"/>
      </c:scatterChart>
      <c:valAx>
        <c:axId val="419696136"/>
        <c:scaling>
          <c:orientation val="minMax"/>
          <c:max val="1"/>
          <c:min val="0.5"/>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it-IT" b="1">
                    <a:latin typeface="Symbol" pitchFamily="2" charset="2"/>
                    <a:cs typeface="Arial" panose="020B0604020202020204" pitchFamily="34" charset="0"/>
                  </a:rPr>
                  <a:t>a</a:t>
                </a:r>
                <a:r>
                  <a:rPr lang="it-IT" b="1" baseline="0">
                    <a:latin typeface="Arial" panose="020B0604020202020204" pitchFamily="34" charset="0"/>
                    <a:cs typeface="Arial" panose="020B0604020202020204" pitchFamily="34" charset="0"/>
                  </a:rPr>
                  <a:t> [%]</a:t>
                </a:r>
                <a:endParaRPr lang="it-IT"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419694960"/>
        <c:crosses val="autoZero"/>
        <c:crossBetween val="midCat"/>
        <c:majorUnit val="0.1"/>
      </c:valAx>
      <c:valAx>
        <c:axId val="41969496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it-IT" b="1">
                    <a:latin typeface="Arial" panose="020B0604020202020204" pitchFamily="34" charset="0"/>
                    <a:cs typeface="Arial" panose="020B0604020202020204" pitchFamily="34" charset="0"/>
                  </a:rPr>
                  <a:t>Thermal efficiency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419696136"/>
        <c:crosses val="autoZero"/>
        <c:crossBetween val="midCat"/>
      </c:valAx>
      <c:valAx>
        <c:axId val="212494168"/>
        <c:scaling>
          <c:orientation val="minMax"/>
        </c:scaling>
        <c:delete val="0"/>
        <c:axPos val="r"/>
        <c:title>
          <c:tx>
            <c:rich>
              <a:bodyPr rot="5400000" spcFirstLastPara="1" vertOverflow="ellipsis"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it-IT" b="1">
                    <a:latin typeface="Arial" panose="020B0604020202020204" pitchFamily="34" charset="0"/>
                    <a:cs typeface="Arial" panose="020B0604020202020204" pitchFamily="34" charset="0"/>
                  </a:rPr>
                  <a:t>P</a:t>
                </a:r>
                <a:r>
                  <a:rPr lang="it-IT" b="1" baseline="-25000">
                    <a:latin typeface="Arial" panose="020B0604020202020204" pitchFamily="34" charset="0"/>
                    <a:cs typeface="Arial" panose="020B0604020202020204" pitchFamily="34" charset="0"/>
                  </a:rPr>
                  <a:t>d </a:t>
                </a:r>
                <a:r>
                  <a:rPr lang="it-IT" b="1">
                    <a:latin typeface="Arial" panose="020B0604020202020204" pitchFamily="34" charset="0"/>
                    <a:cs typeface="Arial" panose="020B0604020202020204" pitchFamily="34" charset="0"/>
                  </a:rPr>
                  <a:t>[W/m</a:t>
                </a:r>
                <a:r>
                  <a:rPr lang="it-IT" b="1" baseline="30000">
                    <a:latin typeface="Arial" panose="020B0604020202020204" pitchFamily="34" charset="0"/>
                    <a:cs typeface="Arial" panose="020B0604020202020204" pitchFamily="34" charset="0"/>
                  </a:rPr>
                  <a:t>2</a:t>
                </a:r>
                <a:r>
                  <a:rPr lang="it-IT" b="1">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330518072"/>
        <c:crosses val="max"/>
        <c:crossBetween val="midCat"/>
      </c:valAx>
      <c:valAx>
        <c:axId val="330518072"/>
        <c:scaling>
          <c:orientation val="minMax"/>
        </c:scaling>
        <c:delete val="1"/>
        <c:axPos val="b"/>
        <c:numFmt formatCode="General" sourceLinked="1"/>
        <c:majorTickMark val="out"/>
        <c:minorTickMark val="none"/>
        <c:tickLblPos val="nextTo"/>
        <c:crossAx val="212494168"/>
        <c:crosses val="autoZero"/>
        <c:crossBetween val="midCat"/>
      </c:valAx>
      <c:spPr>
        <a:noFill/>
        <a:ln>
          <a:solidFill>
            <a:schemeClr val="tx1"/>
          </a:solidFill>
        </a:ln>
        <a:effectLst/>
      </c:spPr>
    </c:plotArea>
    <c:legend>
      <c:legendPos val="r"/>
      <c:layout>
        <c:manualLayout>
          <c:xMode val="edge"/>
          <c:yMode val="edge"/>
          <c:x val="0.22628339418052631"/>
          <c:y val="8.9128550874268672E-2"/>
          <c:w val="0.3544829689195631"/>
          <c:h val="0.11741169654798371"/>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0.85935</cdr:x>
      <cdr:y>0.85831</cdr:y>
    </cdr:from>
    <cdr:to>
      <cdr:x>0.98728</cdr:x>
      <cdr:y>0.95528</cdr:y>
    </cdr:to>
    <cdr:sp macro="" textlink="">
      <cdr:nvSpPr>
        <cdr:cNvPr id="2" name="CasellaDiTesto 1">
          <a:extLst xmlns:a="http://schemas.openxmlformats.org/drawingml/2006/main">
            <a:ext uri="{FF2B5EF4-FFF2-40B4-BE49-F238E27FC236}">
              <a16:creationId xmlns="" xmlns:a16="http://schemas.microsoft.com/office/drawing/2014/main" id="{12C64179-7F88-8D4F-8494-4B5BA7360DE3}"/>
            </a:ext>
          </a:extLst>
        </cdr:cNvPr>
        <cdr:cNvSpPr txBox="1"/>
      </cdr:nvSpPr>
      <cdr:spPr>
        <a:xfrm xmlns:a="http://schemas.openxmlformats.org/drawingml/2006/main">
          <a:off x="2319716" y="2070008"/>
          <a:ext cx="345333" cy="2338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1000">
              <a:latin typeface="Arial" panose="020B0604020202020204" pitchFamily="34" charset="0"/>
              <a:cs typeface="Arial" panose="020B0604020202020204" pitchFamily="34"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0.87206</cdr:x>
      <cdr:y>0.84886</cdr:y>
    </cdr:from>
    <cdr:to>
      <cdr:x>1</cdr:x>
      <cdr:y>0.94584</cdr:y>
    </cdr:to>
    <cdr:sp macro="" textlink="">
      <cdr:nvSpPr>
        <cdr:cNvPr id="2" name="CasellaDiTesto 1">
          <a:extLst xmlns:a="http://schemas.openxmlformats.org/drawingml/2006/main">
            <a:ext uri="{FF2B5EF4-FFF2-40B4-BE49-F238E27FC236}">
              <a16:creationId xmlns="" xmlns:a16="http://schemas.microsoft.com/office/drawing/2014/main" id="{4CD081B5-230C-A04E-99DF-06475063AFFE}"/>
            </a:ext>
          </a:extLst>
        </cdr:cNvPr>
        <cdr:cNvSpPr txBox="1"/>
      </cdr:nvSpPr>
      <cdr:spPr>
        <a:xfrm xmlns:a="http://schemas.openxmlformats.org/drawingml/2006/main">
          <a:off x="2354026" y="2047212"/>
          <a:ext cx="345359" cy="2338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t-IT" sz="1000">
              <a:latin typeface="Arial" panose="020B0604020202020204" pitchFamily="34" charset="0"/>
              <a:cs typeface="Arial" panose="020B0604020202020204" pitchFamily="34" charset="0"/>
            </a:rPr>
            <a:t>(b)</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0500-111F-4BD6-8C25-DC651DBD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3585</Words>
  <Characters>20437</Characters>
  <Application>Microsoft Office Word</Application>
  <DocSecurity>0</DocSecurity>
  <Lines>170</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cp:lastModifiedBy>
  <cp:revision>7</cp:revision>
  <cp:lastPrinted>2019-04-12T13:37:00Z</cp:lastPrinted>
  <dcterms:created xsi:type="dcterms:W3CDTF">2019-04-12T11:39:00Z</dcterms:created>
  <dcterms:modified xsi:type="dcterms:W3CDTF">2019-05-13T07:48:00Z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http://www.zotero.org/styles/journal-of-membrane-science</vt:lpwstr>
  </property>
  <property fmtid="{D5CDD505-2E9C-101B-9397-08002B2CF9AE}" pid="17" name="Mendeley Recent Style Name 6_1">
    <vt:lpwstr>Journal of Membrane Science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26f457e2-7862-3f77-a904-ff4b45e4b459</vt:lpwstr>
  </property>
  <property fmtid="{D5CDD505-2E9C-101B-9397-08002B2CF9AE}" pid="26" name="Mendeley Citation Style_1">
    <vt:lpwstr>http://www.zotero.org/styles/journal-of-membrane-science</vt:lpwstr>
  </property>
</Properties>
</file>