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B438B6" w:rsidRPr="00DE264A" w:rsidRDefault="00B438B6" w:rsidP="00B438B6">
      <w:pPr>
        <w:pStyle w:val="CETTitle"/>
      </w:pPr>
      <w:r>
        <w:t>CFD Simulation of Radially Stirred Baffled and Unbaffled Tanks</w:t>
      </w:r>
    </w:p>
    <w:p w:rsidR="00B438B6" w:rsidRPr="00B438B6" w:rsidRDefault="00B438B6" w:rsidP="00B438B6">
      <w:pPr>
        <w:pStyle w:val="CETAuthors"/>
        <w:rPr>
          <w:vertAlign w:val="superscript"/>
          <w:lang w:val="it-IT"/>
        </w:rPr>
      </w:pPr>
      <w:r w:rsidRPr="00376C74">
        <w:rPr>
          <w:lang w:val="it-IT"/>
        </w:rPr>
        <w:t>Alessandro Tamburini</w:t>
      </w:r>
      <w:r w:rsidRPr="00376C74">
        <w:rPr>
          <w:vertAlign w:val="superscript"/>
          <w:lang w:val="it-IT"/>
        </w:rPr>
        <w:t>a</w:t>
      </w:r>
      <w:r>
        <w:rPr>
          <w:vertAlign w:val="superscript"/>
          <w:lang w:val="it-IT"/>
        </w:rPr>
        <w:t>,</w:t>
      </w:r>
      <w:r w:rsidRPr="00B438B6">
        <w:rPr>
          <w:lang w:val="it-IT"/>
        </w:rPr>
        <w:t>*</w:t>
      </w:r>
      <w:r w:rsidRPr="00376C74">
        <w:rPr>
          <w:lang w:val="it-IT"/>
        </w:rPr>
        <w:t xml:space="preserve">, </w:t>
      </w:r>
      <w:r>
        <w:rPr>
          <w:lang w:val="it-IT"/>
        </w:rPr>
        <w:t>Gaetano Gagliano</w:t>
      </w:r>
      <w:r w:rsidRPr="00376C74">
        <w:rPr>
          <w:vertAlign w:val="superscript"/>
          <w:lang w:val="it-IT"/>
        </w:rPr>
        <w:t>a</w:t>
      </w:r>
      <w:r w:rsidRPr="00376C74">
        <w:rPr>
          <w:lang w:val="it-IT"/>
        </w:rPr>
        <w:t>, Francesca Scargiali</w:t>
      </w:r>
      <w:r w:rsidRPr="00376C74">
        <w:rPr>
          <w:vertAlign w:val="superscript"/>
          <w:lang w:val="it-IT"/>
        </w:rPr>
        <w:t>a</w:t>
      </w:r>
      <w:r w:rsidRPr="00376C74">
        <w:rPr>
          <w:lang w:val="it-IT"/>
        </w:rPr>
        <w:t>, Giorgio Micale</w:t>
      </w:r>
      <w:r w:rsidRPr="00376C74">
        <w:rPr>
          <w:vertAlign w:val="superscript"/>
          <w:lang w:val="it-IT"/>
        </w:rPr>
        <w:t>a</w:t>
      </w:r>
      <w:r w:rsidRPr="00376C74">
        <w:rPr>
          <w:lang w:val="it-IT"/>
        </w:rPr>
        <w:t>, Alberto Brucato</w:t>
      </w:r>
      <w:r w:rsidRPr="00376C74">
        <w:rPr>
          <w:vertAlign w:val="superscript"/>
          <w:lang w:val="it-IT"/>
        </w:rPr>
        <w:t>a</w:t>
      </w:r>
      <w:r>
        <w:rPr>
          <w:lang w:val="it-IT"/>
        </w:rPr>
        <w:t>, Michele Ciofalo</w:t>
      </w:r>
      <w:r>
        <w:rPr>
          <w:vertAlign w:val="superscript"/>
          <w:lang w:val="it-IT"/>
        </w:rPr>
        <w:t>a</w:t>
      </w:r>
    </w:p>
    <w:p w:rsidR="00B438B6" w:rsidRPr="00CC5F8D" w:rsidRDefault="00B438B6" w:rsidP="00B438B6">
      <w:pPr>
        <w:pStyle w:val="CETAddress"/>
        <w:rPr>
          <w:lang w:val="it-IT"/>
        </w:rPr>
      </w:pPr>
      <w:r w:rsidRPr="00CC5F8D">
        <w:rPr>
          <w:vertAlign w:val="superscript"/>
          <w:lang w:val="it-IT"/>
        </w:rPr>
        <w:t>a</w:t>
      </w:r>
      <w:r w:rsidRPr="00CC5F8D">
        <w:rPr>
          <w:lang w:val="it-IT"/>
        </w:rPr>
        <w:t xml:space="preserve"> </w:t>
      </w:r>
      <w:r w:rsidRPr="00007CB8">
        <w:rPr>
          <w:lang w:val="it-IT"/>
        </w:rPr>
        <w:t>Dipartimento di Ingegneria - Università degli Studi di Palermo, Viale delle Scienze Edificio 6 - 90128 Palermo</w:t>
      </w:r>
      <w:r w:rsidRPr="00CC5F8D">
        <w:rPr>
          <w:lang w:val="it-IT"/>
        </w:rPr>
        <w:t xml:space="preserve"> </w:t>
      </w:r>
    </w:p>
    <w:p w:rsidR="00E978D0" w:rsidRPr="00B57B36" w:rsidRDefault="00B438B6" w:rsidP="00B438B6">
      <w:pPr>
        <w:pStyle w:val="CETemail"/>
      </w:pPr>
      <w:r>
        <w:t>*alessandro.tamburini</w:t>
      </w:r>
      <w:r w:rsidRPr="00A27EF0">
        <w:t>@</w:t>
      </w:r>
      <w:r>
        <w:t>unipa.it</w:t>
      </w:r>
    </w:p>
    <w:p w:rsidR="00B438B6" w:rsidRDefault="00B438B6" w:rsidP="00B438B6">
      <w:pPr>
        <w:pStyle w:val="CETBodytext"/>
      </w:pPr>
      <w:r>
        <w:t xml:space="preserve">Stirred tanks </w:t>
      </w:r>
      <w:r w:rsidR="006711F5">
        <w:t xml:space="preserve">typically </w:t>
      </w:r>
      <w:r>
        <w:t>employed in process industries</w:t>
      </w:r>
      <w:r w:rsidR="006711F5">
        <w:t xml:space="preserve"> are provided with baffles</w:t>
      </w:r>
      <w:r>
        <w:t xml:space="preserve">. </w:t>
      </w:r>
      <w:r w:rsidR="006711F5">
        <w:t xml:space="preserve">Although the presence of baffles is known to guarantee good mixing rates, unbaffled vessels may be compulsory in some applications as </w:t>
      </w:r>
      <w:r>
        <w:t xml:space="preserve">crystallization, bioremediation, biotechnology and ore industry. </w:t>
      </w:r>
      <w:r w:rsidR="0077458E">
        <w:t xml:space="preserve">A better understanding of unbaffled stirred vessels flow dynamics may allow (i) a proper design to be performed and (i) conditions/processes where baffle presence can be avoided to be recognized. </w:t>
      </w:r>
    </w:p>
    <w:p w:rsidR="00DA24C6" w:rsidRDefault="00B438B6" w:rsidP="00B438B6">
      <w:pPr>
        <w:pStyle w:val="CETBodytext"/>
      </w:pPr>
      <w:r>
        <w:t xml:space="preserve">In the present study, </w:t>
      </w:r>
      <w:r w:rsidR="005E3B1F">
        <w:t>the</w:t>
      </w:r>
      <w:r>
        <w:t xml:space="preserve"> k-</w:t>
      </w:r>
      <w:r w:rsidR="005E3B1F">
        <w:rPr>
          <w:rFonts w:ascii="Symbol" w:hAnsi="Symbol"/>
        </w:rPr>
        <w:t></w:t>
      </w:r>
      <w:r>
        <w:t xml:space="preserve"> SST </w:t>
      </w:r>
      <w:r w:rsidR="005E3B1F">
        <w:t>was</w:t>
      </w:r>
      <w:r w:rsidR="00972AD4">
        <w:t xml:space="preserve"> </w:t>
      </w:r>
      <w:r>
        <w:t xml:space="preserve">used to simulate </w:t>
      </w:r>
      <w:r w:rsidR="008A70FE">
        <w:t>an unbaffled tank</w:t>
      </w:r>
      <w:r>
        <w:t xml:space="preserve"> from early to fully turbulent regime (Re</w:t>
      </w:r>
      <w:r>
        <w:sym w:font="Symbol" w:char="F0BB"/>
      </w:r>
      <w:r>
        <w:t xml:space="preserve">600-33,000). </w:t>
      </w:r>
      <w:r w:rsidR="008A70FE">
        <w:t>The unbaffled tank simulated has a diameter T=0.19m and is stirred by a standard six-bladed Rushton turbine with diameter D=T/2 and clearance C=T/3. A corresponding baffled tank was also simulated in order to compare the the two systems.</w:t>
      </w:r>
      <w:r w:rsidR="008A70FE" w:rsidRPr="00657490">
        <w:t xml:space="preserve"> </w:t>
      </w:r>
      <w:r w:rsidR="00E441B9">
        <w:t>A</w:t>
      </w:r>
      <w:r>
        <w:t xml:space="preserve"> time dependent Sliding Grid approach was employed for the baffled tank to account for the impeller-to-baffle relative rotation. Conversely, for the case of the unbaffled vessel, a reference frame rotating with the impeller was adopted. Experimental literature data concerning the power and pumping numbers were employed for the simulation validation. RANS results were in good agreement with the experimental data for the baffled case</w:t>
      </w:r>
      <w:r w:rsidR="00092022">
        <w:t xml:space="preserve"> at the largest Re</w:t>
      </w:r>
      <w:r>
        <w:t>, whereas predictions for the unbaffled vessel exhibited a less satisfactory agreement with experimental data</w:t>
      </w:r>
      <w:r w:rsidR="00092022">
        <w:t>. The latter finding may be due to the poor capability of the two-equations model to manage the anisotropic turbulence typical of high swirling flows.</w:t>
      </w:r>
    </w:p>
    <w:p w:rsidR="00600535" w:rsidRPr="00B57B36" w:rsidRDefault="00600535" w:rsidP="00600535">
      <w:pPr>
        <w:pStyle w:val="CETHeading1"/>
        <w:rPr>
          <w:lang w:val="en-GB"/>
        </w:rPr>
      </w:pPr>
      <w:r w:rsidRPr="00B57B36">
        <w:rPr>
          <w:lang w:val="en-GB"/>
        </w:rPr>
        <w:t>Introduction</w:t>
      </w:r>
    </w:p>
    <w:p w:rsidR="00B438B6" w:rsidRDefault="00B438B6" w:rsidP="00600535">
      <w:pPr>
        <w:pStyle w:val="CETBodytext"/>
        <w:rPr>
          <w:lang w:val="en-GB"/>
        </w:rPr>
      </w:pPr>
      <w:r>
        <w:rPr>
          <w:lang w:val="en-GB"/>
        </w:rPr>
        <w:t xml:space="preserve">Mixing is a unit operation which can be easily </w:t>
      </w:r>
      <w:r w:rsidRPr="00092022">
        <w:rPr>
          <w:lang w:val="en-GB"/>
        </w:rPr>
        <w:t>encountered in many process industries</w:t>
      </w:r>
      <w:r w:rsidR="003F2FC6">
        <w:rPr>
          <w:lang w:val="en-GB"/>
        </w:rPr>
        <w:t xml:space="preserve"> (</w:t>
      </w:r>
      <w:r w:rsidR="00D9010A" w:rsidRPr="00D9010A">
        <w:t>Pukkella</w:t>
      </w:r>
      <w:r w:rsidR="00D9010A">
        <w:rPr>
          <w:lang w:val="en-GB"/>
        </w:rPr>
        <w:t xml:space="preserve"> et al., 2019</w:t>
      </w:r>
      <w:r w:rsidR="003F2FC6">
        <w:rPr>
          <w:lang w:val="en-GB"/>
        </w:rPr>
        <w:t xml:space="preserve">). </w:t>
      </w:r>
      <w:r w:rsidRPr="00092022">
        <w:rPr>
          <w:lang w:val="en-GB"/>
        </w:rPr>
        <w:t>This unit operation is usually performed in tanks mechanically agitated by stirrers</w:t>
      </w:r>
      <w:r w:rsidR="00D346DA">
        <w:rPr>
          <w:lang w:val="en-GB"/>
        </w:rPr>
        <w:t xml:space="preserve"> (</w:t>
      </w:r>
      <w:r w:rsidR="003239BE">
        <w:t>Gong</w:t>
      </w:r>
      <w:r w:rsidR="00D346DA">
        <w:t xml:space="preserve"> et al., 201</w:t>
      </w:r>
      <w:r w:rsidR="003239BE">
        <w:t>8</w:t>
      </w:r>
      <w:r w:rsidR="00D346DA">
        <w:t>)</w:t>
      </w:r>
      <w:r w:rsidRPr="00092022">
        <w:rPr>
          <w:lang w:val="en-GB"/>
        </w:rPr>
        <w:t>. Such tanks are traditionally provided with baffles</w:t>
      </w:r>
      <w:r w:rsidR="000834B9" w:rsidRPr="00092022">
        <w:rPr>
          <w:lang w:val="en-GB"/>
        </w:rPr>
        <w:t xml:space="preserve"> (Oldshue</w:t>
      </w:r>
      <w:r w:rsidR="0074286B" w:rsidRPr="00092022">
        <w:rPr>
          <w:lang w:val="en-GB"/>
        </w:rPr>
        <w:t>, 1983</w:t>
      </w:r>
      <w:r w:rsidR="000834B9" w:rsidRPr="00092022">
        <w:rPr>
          <w:lang w:val="en-GB"/>
        </w:rPr>
        <w:t>)</w:t>
      </w:r>
      <w:r w:rsidRPr="00092022">
        <w:rPr>
          <w:lang w:val="en-GB"/>
        </w:rPr>
        <w:t>: these are thin metal strips typically deployed along vessel walls with the purpose of suppressing the otherwise highly swirling fluid motion inside the tank. Their introduction quite dramatically changes tank fluid-dynamics, flattening liq</w:t>
      </w:r>
      <w:r w:rsidRPr="00B438B6">
        <w:rPr>
          <w:lang w:val="en-GB"/>
        </w:rPr>
        <w:t>uid free surface and also prompting a number of other effects, among which a faster mixing rate</w:t>
      </w:r>
      <w:r>
        <w:rPr>
          <w:lang w:val="en-GB"/>
        </w:rPr>
        <w:t>. Due to the latter benefit, tanks unprovided with</w:t>
      </w:r>
      <w:r w:rsidR="00C128AF">
        <w:rPr>
          <w:lang w:val="en-GB"/>
        </w:rPr>
        <w:t xml:space="preserve"> baffled, named unbaffled tanks, are rarely employed at industrial scale</w:t>
      </w:r>
      <w:r w:rsidR="00BF0B72">
        <w:rPr>
          <w:lang w:val="en-GB"/>
        </w:rPr>
        <w:t xml:space="preserve"> (Busciglio et al., 2017)</w:t>
      </w:r>
      <w:r w:rsidR="00C128AF">
        <w:rPr>
          <w:lang w:val="en-GB"/>
        </w:rPr>
        <w:t>. More precisely, unbaffled stirred vessels are conventionally employed only when baffle</w:t>
      </w:r>
      <w:r w:rsidR="006E3F6D">
        <w:rPr>
          <w:lang w:val="en-GB"/>
        </w:rPr>
        <w:t>s</w:t>
      </w:r>
      <w:r w:rsidR="00C128AF">
        <w:rPr>
          <w:lang w:val="en-GB"/>
        </w:rPr>
        <w:t xml:space="preserve"> presence may be an issue for the process</w:t>
      </w:r>
      <w:r w:rsidR="00D30E37">
        <w:rPr>
          <w:lang w:val="en-GB"/>
        </w:rPr>
        <w:t xml:space="preserve"> (Tamburini et al., 2009)</w:t>
      </w:r>
      <w:r w:rsidR="00C128AF">
        <w:rPr>
          <w:lang w:val="en-GB"/>
        </w:rPr>
        <w:t>. For instance, when baffle</w:t>
      </w:r>
      <w:r w:rsidR="005E3B1F">
        <w:rPr>
          <w:lang w:val="en-GB"/>
        </w:rPr>
        <w:t>s</w:t>
      </w:r>
      <w:r w:rsidR="00C128AF">
        <w:rPr>
          <w:lang w:val="en-GB"/>
        </w:rPr>
        <w:t xml:space="preserve"> may lead to incrustation issues</w:t>
      </w:r>
      <w:r w:rsidR="00425C90">
        <w:rPr>
          <w:lang w:val="en-GB"/>
        </w:rPr>
        <w:t>, dead zones formation</w:t>
      </w:r>
      <w:r w:rsidR="00C128AF">
        <w:rPr>
          <w:lang w:val="en-GB"/>
        </w:rPr>
        <w:t xml:space="preserve">, </w:t>
      </w:r>
      <w:r w:rsidR="007208E8">
        <w:rPr>
          <w:lang w:val="en-GB"/>
        </w:rPr>
        <w:t>or</w:t>
      </w:r>
      <w:r w:rsidR="00C128AF">
        <w:rPr>
          <w:lang w:val="en-GB"/>
        </w:rPr>
        <w:t xml:space="preserve"> undesired nucleation (crystallization), </w:t>
      </w:r>
      <w:r w:rsidR="007208E8">
        <w:rPr>
          <w:lang w:val="en-GB"/>
        </w:rPr>
        <w:t>or</w:t>
      </w:r>
      <w:r w:rsidR="00C128AF">
        <w:rPr>
          <w:lang w:val="en-GB"/>
        </w:rPr>
        <w:t xml:space="preserve"> cell damage (biotech processes)</w:t>
      </w:r>
      <w:r w:rsidR="007208E8">
        <w:rPr>
          <w:lang w:val="en-GB"/>
        </w:rPr>
        <w:t>,</w:t>
      </w:r>
      <w:r w:rsidR="00C128AF">
        <w:rPr>
          <w:lang w:val="en-GB"/>
        </w:rPr>
        <w:t xml:space="preserve"> their presence is avoided</w:t>
      </w:r>
      <w:r w:rsidR="007208E8">
        <w:rPr>
          <w:lang w:val="en-GB"/>
        </w:rPr>
        <w:t xml:space="preserve"> (</w:t>
      </w:r>
      <w:r w:rsidR="00425C90">
        <w:rPr>
          <w:lang w:val="en-GB"/>
        </w:rPr>
        <w:t xml:space="preserve">Ameur et al., 2017; </w:t>
      </w:r>
      <w:r w:rsidR="007208E8">
        <w:rPr>
          <w:lang w:val="en-GB"/>
        </w:rPr>
        <w:t>Aloi and Cherry, 1996</w:t>
      </w:r>
      <w:r w:rsidR="005831A9">
        <w:rPr>
          <w:lang w:val="en-GB"/>
        </w:rPr>
        <w:t xml:space="preserve">; </w:t>
      </w:r>
      <w:r w:rsidR="00FC2DD7">
        <w:rPr>
          <w:lang w:val="en-GB"/>
        </w:rPr>
        <w:t xml:space="preserve">Chisti, 2000; </w:t>
      </w:r>
      <w:r w:rsidR="005831A9">
        <w:rPr>
          <w:lang w:val="en-GB"/>
        </w:rPr>
        <w:t>Wang et al., 2016</w:t>
      </w:r>
      <w:r w:rsidR="007208E8">
        <w:rPr>
          <w:lang w:val="en-GB"/>
        </w:rPr>
        <w:t>)</w:t>
      </w:r>
      <w:r w:rsidR="00C128AF">
        <w:rPr>
          <w:lang w:val="en-GB"/>
        </w:rPr>
        <w:t xml:space="preserve">. However, some recent publications are reporting good performances of the unbaffled vessels also in common applications like the suspension of solid particles into </w:t>
      </w:r>
      <w:r w:rsidR="00C128AF" w:rsidRPr="000A3A71">
        <w:rPr>
          <w:lang w:val="en-GB"/>
        </w:rPr>
        <w:t>liquids</w:t>
      </w:r>
      <w:r w:rsidR="005E3B1F" w:rsidRPr="000A3A71">
        <w:rPr>
          <w:lang w:val="en-GB"/>
        </w:rPr>
        <w:t xml:space="preserve"> (</w:t>
      </w:r>
      <w:r w:rsidR="009946C1">
        <w:rPr>
          <w:lang w:val="en-GB"/>
        </w:rPr>
        <w:t>Tamburini</w:t>
      </w:r>
      <w:r w:rsidR="005E3B1F" w:rsidRPr="000A3A71">
        <w:rPr>
          <w:lang w:val="en-GB"/>
        </w:rPr>
        <w:t xml:space="preserve"> et al., 201</w:t>
      </w:r>
      <w:r w:rsidR="009946C1">
        <w:rPr>
          <w:lang w:val="en-GB"/>
        </w:rPr>
        <w:t>4</w:t>
      </w:r>
      <w:r w:rsidR="005E3B1F" w:rsidRPr="000A3A71">
        <w:rPr>
          <w:lang w:val="en-GB"/>
        </w:rPr>
        <w:t xml:space="preserve">; </w:t>
      </w:r>
      <w:r w:rsidR="002F520E">
        <w:rPr>
          <w:lang w:val="en-GB"/>
        </w:rPr>
        <w:t xml:space="preserve">Tamburini et al., 2012; </w:t>
      </w:r>
      <w:r w:rsidR="00B8346F">
        <w:rPr>
          <w:lang w:val="en-GB"/>
        </w:rPr>
        <w:t xml:space="preserve">Wang et al., 2012; </w:t>
      </w:r>
      <w:r w:rsidR="000A3A71" w:rsidRPr="000A3A71">
        <w:rPr>
          <w:lang w:val="en-GB"/>
        </w:rPr>
        <w:t>Wu et al., 2016</w:t>
      </w:r>
      <w:r w:rsidR="005E3B1F" w:rsidRPr="000A3A71">
        <w:rPr>
          <w:lang w:val="en-GB"/>
        </w:rPr>
        <w:t>)</w:t>
      </w:r>
      <w:r w:rsidR="00C128AF" w:rsidRPr="000A3A71">
        <w:rPr>
          <w:lang w:val="en-GB"/>
        </w:rPr>
        <w:t xml:space="preserve">. </w:t>
      </w:r>
      <w:r w:rsidR="00800215" w:rsidRPr="000A3A71">
        <w:rPr>
          <w:lang w:val="en-GB"/>
        </w:rPr>
        <w:t>When unbaffled vessels are not equipped with a top-cover, a vortex is generated</w:t>
      </w:r>
      <w:r w:rsidR="00800215">
        <w:rPr>
          <w:lang w:val="en-GB"/>
        </w:rPr>
        <w:t xml:space="preserve"> at the tank centre due to the high swirling flow. Although its presence is traditionally considered as a possible issue, some advantages have been shown in recent years</w:t>
      </w:r>
      <w:r w:rsidR="008B6D72">
        <w:rPr>
          <w:lang w:val="en-GB"/>
        </w:rPr>
        <w:t xml:space="preserve"> (Tamburini et al., 2016)</w:t>
      </w:r>
      <w:r w:rsidR="00800215">
        <w:rPr>
          <w:lang w:val="en-GB"/>
        </w:rPr>
        <w:t xml:space="preserve">. Just to give an example, the central vortex has been used as a source of oxygen to be used for biological </w:t>
      </w:r>
      <w:r w:rsidR="00800215" w:rsidRPr="00B63D80">
        <w:rPr>
          <w:lang w:val="en-GB"/>
        </w:rPr>
        <w:t>applications</w:t>
      </w:r>
      <w:r w:rsidR="005E3B1F" w:rsidRPr="00B63D80">
        <w:rPr>
          <w:lang w:val="en-GB"/>
        </w:rPr>
        <w:t xml:space="preserve"> (</w:t>
      </w:r>
      <w:r w:rsidR="00FF6D7F" w:rsidRPr="00B63D80">
        <w:rPr>
          <w:lang w:val="en-GB"/>
        </w:rPr>
        <w:t xml:space="preserve">Scargiali et al., </w:t>
      </w:r>
      <w:r w:rsidR="005E3B1F" w:rsidRPr="00B63D80">
        <w:rPr>
          <w:lang w:val="en-GB"/>
        </w:rPr>
        <w:t xml:space="preserve">et al., </w:t>
      </w:r>
      <w:r w:rsidR="00FF6D7F" w:rsidRPr="00B63D80">
        <w:rPr>
          <w:lang w:val="en-GB"/>
        </w:rPr>
        <w:t>2015; Busciglio et al., 2010</w:t>
      </w:r>
      <w:r w:rsidR="005E3B1F" w:rsidRPr="00B63D80">
        <w:rPr>
          <w:lang w:val="en-GB"/>
        </w:rPr>
        <w:t>)</w:t>
      </w:r>
      <w:r w:rsidR="00800215" w:rsidRPr="00B63D80">
        <w:rPr>
          <w:lang w:val="en-GB"/>
        </w:rPr>
        <w:t>. In particular, oxygen transfer rates</w:t>
      </w:r>
      <w:r w:rsidR="0074286B" w:rsidRPr="00B63D80">
        <w:rPr>
          <w:lang w:val="en-GB"/>
        </w:rPr>
        <w:t xml:space="preserve"> appear</w:t>
      </w:r>
      <w:r w:rsidR="00C128AF" w:rsidRPr="00B63D80">
        <w:rPr>
          <w:lang w:val="en-GB"/>
        </w:rPr>
        <w:t xml:space="preserve"> to be comparable with those of baffled vessels</w:t>
      </w:r>
      <w:r w:rsidR="00800215" w:rsidRPr="00B63D80">
        <w:rPr>
          <w:lang w:val="en-GB"/>
        </w:rPr>
        <w:t xml:space="preserve"> </w:t>
      </w:r>
      <w:r w:rsidR="00800215" w:rsidRPr="00B63D80">
        <w:rPr>
          <w:lang w:val="en-GB"/>
        </w:rPr>
        <w:lastRenderedPageBreak/>
        <w:t>equipped with air-spargers</w:t>
      </w:r>
      <w:r w:rsidR="005E3B1F" w:rsidRPr="00B63D80">
        <w:rPr>
          <w:lang w:val="en-GB"/>
        </w:rPr>
        <w:t xml:space="preserve"> (</w:t>
      </w:r>
      <w:r w:rsidR="00FF6D7F" w:rsidRPr="00B63D80">
        <w:rPr>
          <w:lang w:val="en-GB"/>
        </w:rPr>
        <w:t>Labi</w:t>
      </w:r>
      <w:r w:rsidR="00B63D80" w:rsidRPr="00B63D80">
        <w:rPr>
          <w:lang w:val="en-GB"/>
        </w:rPr>
        <w:t>k</w:t>
      </w:r>
      <w:r w:rsidR="005E3B1F" w:rsidRPr="00B63D80">
        <w:rPr>
          <w:lang w:val="en-GB"/>
        </w:rPr>
        <w:t xml:space="preserve"> et al.</w:t>
      </w:r>
      <w:r w:rsidR="00B63D80" w:rsidRPr="00B63D80">
        <w:rPr>
          <w:lang w:val="en-GB"/>
        </w:rPr>
        <w:t>,2018; Petricek et al, 2018</w:t>
      </w:r>
      <w:r w:rsidR="005E3B1F" w:rsidRPr="00B63D80">
        <w:rPr>
          <w:lang w:val="en-GB"/>
        </w:rPr>
        <w:t>)</w:t>
      </w:r>
      <w:r w:rsidR="00800215" w:rsidRPr="00B63D80">
        <w:rPr>
          <w:lang w:val="en-GB"/>
        </w:rPr>
        <w:t>, with the additional advantage of tackling the clogging issues typical of slurry processes</w:t>
      </w:r>
      <w:r w:rsidR="00296A81" w:rsidRPr="00B63D80">
        <w:rPr>
          <w:lang w:val="en-GB"/>
        </w:rPr>
        <w:t>.</w:t>
      </w:r>
    </w:p>
    <w:p w:rsidR="00296A81" w:rsidRDefault="00800215" w:rsidP="002E1AA8">
      <w:pPr>
        <w:pStyle w:val="CETBodytext"/>
        <w:rPr>
          <w:lang w:val="en-GB"/>
        </w:rPr>
      </w:pPr>
      <w:r>
        <w:rPr>
          <w:lang w:val="en-GB"/>
        </w:rPr>
        <w:t xml:space="preserve">Due to the traditional use of baffled vessels, scientific literature is missing data and studies on unbaffled vessels. This represents another reason for which baffled tanks are preferred. </w:t>
      </w:r>
    </w:p>
    <w:p w:rsidR="00B63D80" w:rsidRDefault="00800215" w:rsidP="002E1AA8">
      <w:pPr>
        <w:pStyle w:val="CETBodytext"/>
      </w:pPr>
      <w:r>
        <w:rPr>
          <w:lang w:val="en-GB"/>
        </w:rPr>
        <w:t>The present work aims at contributing to the increase of knowledge on unbaffled vessels. More precisely, literature lacks sufficient information on the fluid-dynamics of such kind of system</w:t>
      </w:r>
      <w:r w:rsidR="002E1AA8">
        <w:rPr>
          <w:lang w:val="en-GB"/>
        </w:rPr>
        <w:t>s</w:t>
      </w:r>
      <w:r>
        <w:rPr>
          <w:lang w:val="en-GB"/>
        </w:rPr>
        <w:t xml:space="preserve">. A fully understanding of the </w:t>
      </w:r>
      <w:r w:rsidR="00D60639">
        <w:rPr>
          <w:lang w:val="en-GB"/>
        </w:rPr>
        <w:t xml:space="preserve">different </w:t>
      </w:r>
      <w:r>
        <w:rPr>
          <w:lang w:val="en-GB"/>
        </w:rPr>
        <w:t>fluid-dynamics feature</w:t>
      </w:r>
      <w:r w:rsidR="002E1AA8">
        <w:rPr>
          <w:lang w:val="en-GB"/>
        </w:rPr>
        <w:t>s of baffled and unbaffled vessels would be beneficial for guiding the choice and the design of the best reactor.</w:t>
      </w:r>
      <w:r>
        <w:rPr>
          <w:lang w:val="en-GB"/>
        </w:rPr>
        <w:t xml:space="preserve"> </w:t>
      </w:r>
      <w:r w:rsidR="002E1AA8">
        <w:rPr>
          <w:lang w:val="en-GB"/>
        </w:rPr>
        <w:t xml:space="preserve">In this regard, </w:t>
      </w:r>
      <w:r w:rsidR="002E1AA8">
        <w:t>in a previous work</w:t>
      </w:r>
      <w:r w:rsidR="0062153D">
        <w:t xml:space="preserve"> (Tamburini et al., 2018)</w:t>
      </w:r>
      <w:r w:rsidR="002E1AA8">
        <w:t>, Direct Numerical Simulation</w:t>
      </w:r>
      <w:r w:rsidR="00E441B9">
        <w:t>s</w:t>
      </w:r>
      <w:r w:rsidR="002E1AA8">
        <w:t xml:space="preserve"> (DNS) </w:t>
      </w:r>
      <w:r w:rsidR="00E441B9">
        <w:t>were carried out</w:t>
      </w:r>
      <w:r w:rsidR="002E1AA8">
        <w:t xml:space="preserve"> to predict the flow field of </w:t>
      </w:r>
      <w:r w:rsidR="004325CA">
        <w:t>both a baffled and an</w:t>
      </w:r>
      <w:r w:rsidR="002E1AA8">
        <w:t xml:space="preserve"> unbaffled stirred tank in a broad range of Reynolds numbers encompassing creeping to early turbulent flow conditions (Re</w:t>
      </w:r>
      <w:r w:rsidR="002E1AA8">
        <w:sym w:font="Symbol" w:char="F0BB"/>
      </w:r>
      <w:r w:rsidR="002E1AA8">
        <w:t xml:space="preserve">1.7-600). </w:t>
      </w:r>
    </w:p>
    <w:p w:rsidR="002E1AA8" w:rsidRDefault="006E3F6D" w:rsidP="002E1AA8">
      <w:pPr>
        <w:pStyle w:val="CETBodytext"/>
      </w:pPr>
      <w:r>
        <w:t>In</w:t>
      </w:r>
      <w:r w:rsidR="002E1AA8">
        <w:t xml:space="preserve"> the</w:t>
      </w:r>
      <w:r w:rsidR="004325CA">
        <w:t xml:space="preserve"> present work, the</w:t>
      </w:r>
      <w:r w:rsidR="002E1AA8">
        <w:t xml:space="preserve"> </w:t>
      </w:r>
      <w:r w:rsidR="004325CA">
        <w:t>k-</w:t>
      </w:r>
      <w:r w:rsidR="004325CA" w:rsidRPr="004325CA">
        <w:rPr>
          <w:rFonts w:ascii="Symbol" w:hAnsi="Symbol"/>
        </w:rPr>
        <w:t></w:t>
      </w:r>
      <w:r w:rsidR="004325CA">
        <w:t xml:space="preserve"> Shear Stress Transport turbulence model</w:t>
      </w:r>
      <w:r w:rsidR="00E441B9">
        <w:t xml:space="preserve"> </w:t>
      </w:r>
      <w:r w:rsidR="004325CA">
        <w:t xml:space="preserve">is tested </w:t>
      </w:r>
      <w:r w:rsidR="002E1AA8">
        <w:t xml:space="preserve">to simulate the two reactors </w:t>
      </w:r>
      <w:r w:rsidR="004325CA">
        <w:t>at larger Reynolds number</w:t>
      </w:r>
      <w:r w:rsidR="00296A81">
        <w:t>s</w:t>
      </w:r>
      <w:r w:rsidR="004325CA">
        <w:t xml:space="preserve">, that is </w:t>
      </w:r>
      <w:r w:rsidR="002E1AA8">
        <w:t>from early to fully turbulent regime (Re</w:t>
      </w:r>
      <w:r w:rsidR="002E1AA8">
        <w:sym w:font="Symbol" w:char="F0BB"/>
      </w:r>
      <w:r w:rsidR="002E1AA8">
        <w:t xml:space="preserve">600-33,000). </w:t>
      </w:r>
      <w:r w:rsidR="007B7F27">
        <w:t>This model was chosen as it has been recently prove</w:t>
      </w:r>
      <w:r w:rsidR="00296A81">
        <w:t>n</w:t>
      </w:r>
      <w:r w:rsidR="007B7F27">
        <w:t xml:space="preserve"> to be more effective than the k-</w:t>
      </w:r>
      <w:r w:rsidR="007B7F27" w:rsidRPr="007B7F27">
        <w:rPr>
          <w:rFonts w:ascii="Symbol" w:hAnsi="Symbol"/>
        </w:rPr>
        <w:t></w:t>
      </w:r>
      <w:r w:rsidR="007B7F27">
        <w:t xml:space="preserve"> and RNG k-</w:t>
      </w:r>
      <w:r w:rsidR="007B7F27" w:rsidRPr="007B7F27">
        <w:rPr>
          <w:rFonts w:ascii="Symbol" w:hAnsi="Symbol"/>
        </w:rPr>
        <w:t></w:t>
      </w:r>
      <w:r w:rsidR="007B7F27">
        <w:t xml:space="preserve"> in simulating uncovered unbaffled stirred tanks (i.e. with a central air vortex) (Zamiri and </w:t>
      </w:r>
      <w:r w:rsidR="007B7F27" w:rsidRPr="007B7F27">
        <w:t>Chung</w:t>
      </w:r>
      <w:r w:rsidR="007B7F27">
        <w:t xml:space="preserve"> 2017)</w:t>
      </w:r>
      <w:r w:rsidR="005831A9">
        <w:t xml:space="preserve"> at high Reynolds number</w:t>
      </w:r>
      <w:r w:rsidR="00296A81">
        <w:t>s</w:t>
      </w:r>
      <w:r w:rsidR="007B7F27">
        <w:t>.</w:t>
      </w:r>
      <w:r w:rsidR="005831A9">
        <w:t xml:space="preserve"> </w:t>
      </w:r>
    </w:p>
    <w:p w:rsidR="00570D90" w:rsidRPr="00B57B36" w:rsidRDefault="00296A81" w:rsidP="00570D90">
      <w:pPr>
        <w:pStyle w:val="CETHeading1"/>
        <w:rPr>
          <w:lang w:val="en-GB"/>
        </w:rPr>
      </w:pPr>
      <w:r>
        <w:rPr>
          <w:lang w:val="en-GB"/>
        </w:rPr>
        <w:t>Tanks</w:t>
      </w:r>
      <w:r w:rsidR="00570D90">
        <w:rPr>
          <w:lang w:val="en-GB"/>
        </w:rPr>
        <w:t xml:space="preserve"> under </w:t>
      </w:r>
      <w:r>
        <w:rPr>
          <w:lang w:val="en-GB"/>
        </w:rPr>
        <w:t>study</w:t>
      </w:r>
      <w:r w:rsidR="00570D90">
        <w:rPr>
          <w:lang w:val="en-GB"/>
        </w:rPr>
        <w:t xml:space="preserve"> and </w:t>
      </w:r>
      <w:r w:rsidR="009539BC">
        <w:rPr>
          <w:lang w:val="en-GB"/>
        </w:rPr>
        <w:t>cases investigated</w:t>
      </w:r>
    </w:p>
    <w:p w:rsidR="00B438B6" w:rsidRDefault="00F328ED" w:rsidP="00570D90">
      <w:pPr>
        <w:pStyle w:val="CETBodytext"/>
        <w:rPr>
          <w:lang w:val="en-GB"/>
        </w:rPr>
      </w:pPr>
      <w:r>
        <w:rPr>
          <w:lang w:val="en-GB"/>
        </w:rPr>
        <w:t>Both an</w:t>
      </w:r>
      <w:r w:rsidR="00296A81">
        <w:rPr>
          <w:lang w:val="en-GB"/>
        </w:rPr>
        <w:t xml:space="preserve"> unbaffled and a baffled tank w</w:t>
      </w:r>
      <w:r>
        <w:rPr>
          <w:lang w:val="en-GB"/>
        </w:rPr>
        <w:t xml:space="preserve">ere investigated. These are sketched in Figure 1. Each tank has a diameter T=0.19 H, a liquid height H=T. Both </w:t>
      </w:r>
      <w:r w:rsidR="00832E54">
        <w:rPr>
          <w:lang w:val="en-GB"/>
        </w:rPr>
        <w:t xml:space="preserve">tanks </w:t>
      </w:r>
      <w:r>
        <w:rPr>
          <w:lang w:val="en-GB"/>
        </w:rPr>
        <w:t xml:space="preserve">are radially stirred by a standard six-bladed Rushton turbine with a diameter D=T/2 and a clearance C=T/3. </w:t>
      </w:r>
      <w:r w:rsidR="00832E54">
        <w:rPr>
          <w:lang w:val="en-GB"/>
        </w:rPr>
        <w:t>A top-cover is employed in the vessels in order to avoid the central v</w:t>
      </w:r>
      <w:r w:rsidR="006A1B68">
        <w:rPr>
          <w:lang w:val="en-GB"/>
        </w:rPr>
        <w:t>ortex formation</w:t>
      </w:r>
      <w:r w:rsidR="00296A81">
        <w:rPr>
          <w:lang w:val="en-GB"/>
        </w:rPr>
        <w:t>,</w:t>
      </w:r>
      <w:r w:rsidR="006A1B68">
        <w:rPr>
          <w:lang w:val="en-GB"/>
        </w:rPr>
        <w:t xml:space="preserve"> thus allowing an easier comparison of the fluid dynamics of both systems. </w:t>
      </w:r>
      <w:r>
        <w:rPr>
          <w:lang w:val="en-GB"/>
        </w:rPr>
        <w:t>Other geometrical details are reported in Figure 1.</w:t>
      </w:r>
    </w:p>
    <w:p w:rsidR="00711800" w:rsidRDefault="00711800" w:rsidP="00570D90">
      <w:pPr>
        <w:pStyle w:val="CETBodytext"/>
        <w:rPr>
          <w:lang w:val="en-GB"/>
        </w:rPr>
      </w:pPr>
    </w:p>
    <w:p w:rsidR="00711800" w:rsidRDefault="00711800" w:rsidP="00570D90">
      <w:pPr>
        <w:pStyle w:val="CETBodytext"/>
        <w:rPr>
          <w:lang w:val="en-GB"/>
        </w:rPr>
      </w:pPr>
      <w:r>
        <w:rPr>
          <w:noProof/>
          <w:lang w:val="it-IT" w:eastAsia="it-IT"/>
        </w:rPr>
        <w:drawing>
          <wp:inline distT="0" distB="0" distL="0" distR="0" wp14:anchorId="15D916D1">
            <wp:extent cx="4466288" cy="2190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805" cy="2210133"/>
                    </a:xfrm>
                    <a:prstGeom prst="rect">
                      <a:avLst/>
                    </a:prstGeom>
                    <a:noFill/>
                  </pic:spPr>
                </pic:pic>
              </a:graphicData>
            </a:graphic>
          </wp:inline>
        </w:drawing>
      </w:r>
    </w:p>
    <w:p w:rsidR="00570D90" w:rsidRDefault="00711800" w:rsidP="00711800">
      <w:pPr>
        <w:pStyle w:val="CETCaption"/>
      </w:pPr>
      <w:r>
        <w:t>Figure 1: Sketch and relevant geometrical features of the tanks investigated</w:t>
      </w:r>
    </w:p>
    <w:p w:rsidR="00711800" w:rsidRPr="009539BC" w:rsidRDefault="009539BC" w:rsidP="00570D90">
      <w:pPr>
        <w:pStyle w:val="CETBodytext"/>
        <w:rPr>
          <w:rFonts w:cs="Arial"/>
          <w:lang w:val="en-GB"/>
        </w:rPr>
      </w:pPr>
      <w:r>
        <w:rPr>
          <w:lang w:val="en-GB"/>
        </w:rPr>
        <w:t>Different cases were investigated, each one corresponding to a different impeller speed N. Relevant Reynolds number</w:t>
      </w:r>
      <w:r w:rsidR="00917C72">
        <w:rPr>
          <w:lang w:val="en-GB"/>
        </w:rPr>
        <w:t>s</w:t>
      </w:r>
      <w:r>
        <w:rPr>
          <w:lang w:val="en-GB"/>
        </w:rPr>
        <w:t xml:space="preserve">, assessed as Re= </w:t>
      </w:r>
      <w:r>
        <w:rPr>
          <w:rFonts w:ascii="Symbol" w:hAnsi="Symbol"/>
          <w:lang w:val="en-GB"/>
        </w:rPr>
        <w:t></w:t>
      </w:r>
      <w:r>
        <w:rPr>
          <w:lang w:val="en-GB"/>
        </w:rPr>
        <w:t>ND</w:t>
      </w:r>
      <w:r w:rsidRPr="009539BC">
        <w:rPr>
          <w:vertAlign w:val="superscript"/>
          <w:lang w:val="en-GB"/>
        </w:rPr>
        <w:t>2</w:t>
      </w:r>
      <w:r>
        <w:rPr>
          <w:lang w:val="en-GB"/>
        </w:rPr>
        <w:t>/</w:t>
      </w:r>
      <w:r w:rsidRPr="009539BC">
        <w:rPr>
          <w:rFonts w:ascii="Symbol" w:hAnsi="Symbol"/>
          <w:lang w:val="en-GB"/>
        </w:rPr>
        <w:t></w:t>
      </w:r>
      <w:r>
        <w:rPr>
          <w:rFonts w:cs="Arial"/>
          <w:lang w:val="en-GB"/>
        </w:rPr>
        <w:t xml:space="preserve">, are reported in Table 1. All these cases are representative of a non-stationary regime </w:t>
      </w:r>
      <w:r w:rsidR="00917C72">
        <w:rPr>
          <w:rFonts w:cs="Arial"/>
          <w:lang w:val="en-GB"/>
        </w:rPr>
        <w:t xml:space="preserve">ranging </w:t>
      </w:r>
      <w:r>
        <w:rPr>
          <w:rFonts w:cs="Arial"/>
          <w:lang w:val="en-GB"/>
        </w:rPr>
        <w:t>from early to fully turbulent.</w:t>
      </w:r>
    </w:p>
    <w:p w:rsidR="009539BC" w:rsidRPr="00B57B36" w:rsidRDefault="009539BC" w:rsidP="009539BC">
      <w:pPr>
        <w:pStyle w:val="CETTabletitle"/>
      </w:pPr>
      <w:r w:rsidRPr="00B57B36">
        <w:t xml:space="preserve">Table 1: </w:t>
      </w:r>
      <w:r>
        <w:t>Reynolds number</w:t>
      </w:r>
      <w:r w:rsidR="00B63D80">
        <w:t>s</w:t>
      </w:r>
      <w:r>
        <w:t xml:space="preserve"> simulated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9539BC" w:rsidRPr="00B57B36" w:rsidTr="00FC67E1">
        <w:tc>
          <w:tcPr>
            <w:tcW w:w="1134" w:type="dxa"/>
            <w:tcBorders>
              <w:top w:val="single" w:sz="12" w:space="0" w:color="008000"/>
              <w:bottom w:val="single" w:sz="6" w:space="0" w:color="008000"/>
            </w:tcBorders>
            <w:shd w:val="clear" w:color="auto" w:fill="FFFFFF"/>
          </w:tcPr>
          <w:p w:rsidR="009539BC" w:rsidRPr="00B57B36" w:rsidRDefault="009539BC" w:rsidP="00FC67E1">
            <w:pPr>
              <w:pStyle w:val="CETBodytext"/>
              <w:rPr>
                <w:lang w:val="en-GB"/>
              </w:rPr>
            </w:pPr>
            <w:r>
              <w:rPr>
                <w:lang w:val="en-GB"/>
              </w:rPr>
              <w:t>Re</w:t>
            </w:r>
            <w:r w:rsidRPr="00B57B36">
              <w:rPr>
                <w:lang w:val="en-GB"/>
              </w:rPr>
              <w:t xml:space="preserve"> </w:t>
            </w:r>
          </w:p>
        </w:tc>
        <w:tc>
          <w:tcPr>
            <w:tcW w:w="1134" w:type="dxa"/>
            <w:tcBorders>
              <w:top w:val="single" w:sz="12" w:space="0" w:color="008000"/>
              <w:bottom w:val="single" w:sz="6" w:space="0" w:color="008000"/>
            </w:tcBorders>
            <w:shd w:val="clear" w:color="auto" w:fill="FFFFFF"/>
          </w:tcPr>
          <w:p w:rsidR="009539BC" w:rsidRPr="00B57B36" w:rsidRDefault="009539BC" w:rsidP="00FC67E1">
            <w:pPr>
              <w:pStyle w:val="CETBodytext"/>
              <w:rPr>
                <w:lang w:val="en-GB"/>
              </w:rPr>
            </w:pPr>
            <w:r>
              <w:rPr>
                <w:lang w:val="en-GB"/>
              </w:rPr>
              <w:t>500</w:t>
            </w:r>
          </w:p>
        </w:tc>
        <w:tc>
          <w:tcPr>
            <w:tcW w:w="1134" w:type="dxa"/>
            <w:tcBorders>
              <w:top w:val="single" w:sz="12" w:space="0" w:color="008000"/>
              <w:bottom w:val="single" w:sz="6" w:space="0" w:color="008000"/>
            </w:tcBorders>
            <w:shd w:val="clear" w:color="auto" w:fill="FFFFFF"/>
          </w:tcPr>
          <w:p w:rsidR="009539BC" w:rsidRPr="00B57B36" w:rsidRDefault="009539BC" w:rsidP="00FC67E1">
            <w:pPr>
              <w:pStyle w:val="CETBodytext"/>
              <w:rPr>
                <w:lang w:val="en-GB"/>
              </w:rPr>
            </w:pPr>
            <w:r>
              <w:rPr>
                <w:lang w:val="en-GB"/>
              </w:rPr>
              <w:t>1000</w:t>
            </w:r>
          </w:p>
        </w:tc>
        <w:tc>
          <w:tcPr>
            <w:tcW w:w="1134" w:type="dxa"/>
            <w:tcBorders>
              <w:top w:val="single" w:sz="12" w:space="0" w:color="008000"/>
              <w:bottom w:val="single" w:sz="6" w:space="0" w:color="008000"/>
            </w:tcBorders>
            <w:shd w:val="clear" w:color="auto" w:fill="FFFFFF"/>
          </w:tcPr>
          <w:p w:rsidR="009539BC" w:rsidRPr="00B57B36" w:rsidRDefault="009539BC" w:rsidP="00FC67E1">
            <w:pPr>
              <w:pStyle w:val="CETBodytext"/>
              <w:ind w:right="-1"/>
              <w:rPr>
                <w:rFonts w:cs="Arial"/>
                <w:szCs w:val="18"/>
                <w:lang w:val="en-GB"/>
              </w:rPr>
            </w:pPr>
            <w:r>
              <w:rPr>
                <w:rFonts w:cs="Arial"/>
                <w:szCs w:val="18"/>
                <w:lang w:val="en-GB"/>
              </w:rPr>
              <w:t>2500</w:t>
            </w:r>
          </w:p>
        </w:tc>
        <w:tc>
          <w:tcPr>
            <w:tcW w:w="1134" w:type="dxa"/>
            <w:tcBorders>
              <w:top w:val="single" w:sz="12" w:space="0" w:color="008000"/>
              <w:bottom w:val="single" w:sz="6" w:space="0" w:color="008000"/>
            </w:tcBorders>
            <w:shd w:val="clear" w:color="auto" w:fill="FFFFFF"/>
          </w:tcPr>
          <w:p w:rsidR="009539BC" w:rsidRPr="00B57B36" w:rsidRDefault="009539BC" w:rsidP="00FC67E1">
            <w:pPr>
              <w:pStyle w:val="CETBodytext"/>
              <w:ind w:right="-1"/>
              <w:rPr>
                <w:rFonts w:cs="Arial"/>
                <w:szCs w:val="18"/>
                <w:lang w:val="en-GB"/>
              </w:rPr>
            </w:pPr>
            <w:r>
              <w:rPr>
                <w:rFonts w:cs="Arial"/>
                <w:szCs w:val="18"/>
                <w:lang w:val="en-GB"/>
              </w:rPr>
              <w:t>5000</w:t>
            </w:r>
          </w:p>
        </w:tc>
        <w:tc>
          <w:tcPr>
            <w:tcW w:w="1134" w:type="dxa"/>
            <w:tcBorders>
              <w:top w:val="single" w:sz="12" w:space="0" w:color="008000"/>
              <w:bottom w:val="single" w:sz="6" w:space="0" w:color="008000"/>
            </w:tcBorders>
            <w:shd w:val="clear" w:color="auto" w:fill="FFFFFF"/>
          </w:tcPr>
          <w:p w:rsidR="009539BC" w:rsidRDefault="009539BC" w:rsidP="00FC67E1">
            <w:pPr>
              <w:pStyle w:val="CETBodytext"/>
              <w:ind w:right="-1"/>
              <w:rPr>
                <w:rFonts w:cs="Arial"/>
                <w:szCs w:val="18"/>
                <w:lang w:val="en-GB"/>
              </w:rPr>
            </w:pPr>
            <w:r>
              <w:rPr>
                <w:rFonts w:cs="Arial"/>
                <w:szCs w:val="18"/>
                <w:lang w:val="en-GB"/>
              </w:rPr>
              <w:t>10000</w:t>
            </w:r>
          </w:p>
        </w:tc>
        <w:tc>
          <w:tcPr>
            <w:tcW w:w="1134" w:type="dxa"/>
            <w:tcBorders>
              <w:top w:val="single" w:sz="12" w:space="0" w:color="008000"/>
              <w:bottom w:val="single" w:sz="6" w:space="0" w:color="008000"/>
            </w:tcBorders>
            <w:shd w:val="clear" w:color="auto" w:fill="FFFFFF"/>
          </w:tcPr>
          <w:p w:rsidR="009539BC" w:rsidRDefault="009539BC" w:rsidP="00FC67E1">
            <w:pPr>
              <w:pStyle w:val="CETBodytext"/>
              <w:ind w:right="-1"/>
              <w:rPr>
                <w:rFonts w:cs="Arial"/>
                <w:szCs w:val="18"/>
                <w:lang w:val="en-GB"/>
              </w:rPr>
            </w:pPr>
            <w:r>
              <w:rPr>
                <w:rFonts w:cs="Arial"/>
                <w:szCs w:val="18"/>
                <w:lang w:val="en-GB"/>
              </w:rPr>
              <w:t>33000</w:t>
            </w:r>
          </w:p>
        </w:tc>
      </w:tr>
    </w:tbl>
    <w:p w:rsidR="00A37AD2" w:rsidRPr="00B57B36" w:rsidRDefault="009539BC" w:rsidP="00A37AD2">
      <w:pPr>
        <w:pStyle w:val="CETHeading1"/>
        <w:rPr>
          <w:lang w:val="en-GB"/>
        </w:rPr>
      </w:pPr>
      <w:r>
        <w:rPr>
          <w:lang w:val="en-GB"/>
        </w:rPr>
        <w:t>Modelling and numerical details</w:t>
      </w:r>
    </w:p>
    <w:p w:rsidR="00A37AD2" w:rsidRDefault="00ED31D4" w:rsidP="00A326A3">
      <w:pPr>
        <w:pStyle w:val="CETBodytext"/>
        <w:rPr>
          <w:lang w:val="en-GB"/>
        </w:rPr>
      </w:pPr>
      <w:r>
        <w:rPr>
          <w:lang w:val="en-GB"/>
        </w:rPr>
        <w:t>All simulations were carried out by solving the continuity and momentum equations (not-reported here for the case of brevity). Since turbulent regimes are simulated and Reynolds number</w:t>
      </w:r>
      <w:r w:rsidR="00917C72">
        <w:rPr>
          <w:lang w:val="en-GB"/>
        </w:rPr>
        <w:t>s</w:t>
      </w:r>
      <w:r>
        <w:rPr>
          <w:lang w:val="en-GB"/>
        </w:rPr>
        <w:t xml:space="preserve"> are quite high, Direct Numerical Simulations are inhibited by the prohibitive computational times and Reynolds Average Navier Stokes simulations were performed. In particular</w:t>
      </w:r>
      <w:r w:rsidR="008506A9">
        <w:rPr>
          <w:lang w:val="en-GB"/>
        </w:rPr>
        <w:t>,</w:t>
      </w:r>
      <w:r>
        <w:rPr>
          <w:lang w:val="en-GB"/>
        </w:rPr>
        <w:t xml:space="preserve"> </w:t>
      </w:r>
      <w:r w:rsidR="008506A9">
        <w:rPr>
          <w:lang w:val="en-GB"/>
        </w:rPr>
        <w:t xml:space="preserve">the </w:t>
      </w:r>
      <w:r w:rsidR="003E47EB">
        <w:rPr>
          <w:lang w:val="en-GB"/>
        </w:rPr>
        <w:t>k-</w:t>
      </w:r>
      <w:r w:rsidR="003E47EB" w:rsidRPr="003E47EB">
        <w:rPr>
          <w:rFonts w:ascii="Symbol" w:hAnsi="Symbol"/>
          <w:lang w:val="en-GB"/>
        </w:rPr>
        <w:t></w:t>
      </w:r>
      <w:r w:rsidR="003E47EB">
        <w:rPr>
          <w:lang w:val="en-GB"/>
        </w:rPr>
        <w:t xml:space="preserve"> S</w:t>
      </w:r>
      <w:r w:rsidR="008506A9">
        <w:rPr>
          <w:lang w:val="en-GB"/>
        </w:rPr>
        <w:t>hear Stress Transport (S</w:t>
      </w:r>
      <w:r w:rsidR="003E47EB">
        <w:rPr>
          <w:lang w:val="en-GB"/>
        </w:rPr>
        <w:t>ST</w:t>
      </w:r>
      <w:r w:rsidR="008506A9">
        <w:rPr>
          <w:lang w:val="en-GB"/>
        </w:rPr>
        <w:t>)</w:t>
      </w:r>
      <w:r w:rsidR="003E47EB">
        <w:rPr>
          <w:lang w:val="en-GB"/>
        </w:rPr>
        <w:t xml:space="preserve"> </w:t>
      </w:r>
      <w:r w:rsidR="003E47EB" w:rsidRPr="00FC2DD7">
        <w:rPr>
          <w:lang w:val="en-GB"/>
        </w:rPr>
        <w:t xml:space="preserve">turbulence model </w:t>
      </w:r>
      <w:r w:rsidR="005831A9" w:rsidRPr="00FC2DD7">
        <w:rPr>
          <w:rFonts w:cs="Arial"/>
          <w:color w:val="000000"/>
          <w:sz w:val="19"/>
          <w:szCs w:val="19"/>
          <w:shd w:val="clear" w:color="auto" w:fill="FFFFFF"/>
        </w:rPr>
        <w:t>(Menter</w:t>
      </w:r>
      <w:r w:rsidR="00FC2DD7">
        <w:rPr>
          <w:rFonts w:cs="Arial"/>
          <w:color w:val="000000"/>
          <w:sz w:val="19"/>
          <w:szCs w:val="19"/>
          <w:shd w:val="clear" w:color="auto" w:fill="FFFFFF"/>
        </w:rPr>
        <w:t>,</w:t>
      </w:r>
      <w:r w:rsidR="005831A9" w:rsidRPr="00FC2DD7">
        <w:rPr>
          <w:rFonts w:cs="Arial"/>
          <w:color w:val="000000"/>
          <w:sz w:val="19"/>
          <w:szCs w:val="19"/>
          <w:shd w:val="clear" w:color="auto" w:fill="FFFFFF"/>
        </w:rPr>
        <w:t xml:space="preserve"> 1993)</w:t>
      </w:r>
      <w:r w:rsidR="00EC6675" w:rsidRPr="00FC2DD7">
        <w:rPr>
          <w:lang w:val="en-GB"/>
        </w:rPr>
        <w:t xml:space="preserve"> </w:t>
      </w:r>
      <w:r w:rsidR="003E47EB" w:rsidRPr="00FC2DD7">
        <w:rPr>
          <w:lang w:val="en-GB"/>
        </w:rPr>
        <w:t>is adopted to compute the Reynolds stresses arising in the momentum</w:t>
      </w:r>
      <w:r w:rsidR="003E47EB">
        <w:rPr>
          <w:lang w:val="en-GB"/>
        </w:rPr>
        <w:t xml:space="preserve"> equations after Reynolds averaging.</w:t>
      </w:r>
      <w:r w:rsidR="008506A9">
        <w:rPr>
          <w:lang w:val="en-GB"/>
        </w:rPr>
        <w:t xml:space="preserve"> </w:t>
      </w:r>
      <w:r w:rsidR="00EC6675">
        <w:rPr>
          <w:lang w:val="en-GB"/>
        </w:rPr>
        <w:t>Basically, i</w:t>
      </w:r>
      <w:r w:rsidR="008506A9">
        <w:rPr>
          <w:lang w:val="en-GB"/>
        </w:rPr>
        <w:t>t is a two-equations eddy-viscosity model</w:t>
      </w:r>
      <w:r w:rsidR="00EC6675">
        <w:rPr>
          <w:lang w:val="en-GB"/>
        </w:rPr>
        <w:t xml:space="preserve"> including a blending function switching from</w:t>
      </w:r>
      <w:r w:rsidR="00CF06EA">
        <w:rPr>
          <w:lang w:val="en-GB"/>
        </w:rPr>
        <w:t xml:space="preserve"> </w:t>
      </w:r>
      <w:r w:rsidR="00A326A3">
        <w:rPr>
          <w:lang w:val="en-GB"/>
        </w:rPr>
        <w:t xml:space="preserve">the standard </w:t>
      </w:r>
      <w:r w:rsidR="00EC6675">
        <w:rPr>
          <w:lang w:val="en-GB"/>
        </w:rPr>
        <w:t>k</w:t>
      </w:r>
      <w:r w:rsidR="00CF06EA">
        <w:rPr>
          <w:lang w:val="en-GB"/>
        </w:rPr>
        <w:t>-</w:t>
      </w:r>
      <w:r w:rsidR="00EC6675" w:rsidRPr="003E47EB">
        <w:rPr>
          <w:rFonts w:ascii="Symbol" w:hAnsi="Symbol"/>
          <w:lang w:val="en-GB"/>
        </w:rPr>
        <w:t></w:t>
      </w:r>
      <w:r w:rsidR="00EC6675">
        <w:rPr>
          <w:lang w:val="en-GB"/>
        </w:rPr>
        <w:t xml:space="preserve"> </w:t>
      </w:r>
      <w:r w:rsidR="00A326A3">
        <w:rPr>
          <w:lang w:val="en-GB"/>
        </w:rPr>
        <w:t>formulation to predict the flow within boundary layers, to the k-</w:t>
      </w:r>
      <w:r w:rsidR="00A326A3">
        <w:rPr>
          <w:rFonts w:ascii="Symbol" w:hAnsi="Symbol"/>
          <w:lang w:val="en-GB"/>
        </w:rPr>
        <w:t></w:t>
      </w:r>
      <w:r w:rsidR="00A326A3">
        <w:rPr>
          <w:lang w:val="en-GB"/>
        </w:rPr>
        <w:t xml:space="preserve"> model to compute the free-stream </w:t>
      </w:r>
      <w:r w:rsidR="00A326A3">
        <w:rPr>
          <w:lang w:val="en-GB"/>
        </w:rPr>
        <w:lastRenderedPageBreak/>
        <w:t>turbulence. k-</w:t>
      </w:r>
      <w:r w:rsidR="00A326A3" w:rsidRPr="003E47EB">
        <w:rPr>
          <w:rFonts w:ascii="Symbol" w:hAnsi="Symbol"/>
          <w:lang w:val="en-GB"/>
        </w:rPr>
        <w:t></w:t>
      </w:r>
      <w:r w:rsidR="00A326A3">
        <w:rPr>
          <w:lang w:val="en-GB"/>
        </w:rPr>
        <w:t xml:space="preserve"> SST is commonly considered as a low Reynolds k-</w:t>
      </w:r>
      <w:r w:rsidR="00A326A3">
        <w:rPr>
          <w:rFonts w:ascii="Symbol" w:hAnsi="Symbol"/>
          <w:lang w:val="en-GB"/>
        </w:rPr>
        <w:t></w:t>
      </w:r>
      <w:r w:rsidR="00A326A3">
        <w:rPr>
          <w:lang w:val="en-GB"/>
        </w:rPr>
        <w:t xml:space="preserve"> model which has not been tested so far to predict the flow field of stirred tanks from early to fully turbulent regime.</w:t>
      </w:r>
    </w:p>
    <w:p w:rsidR="00F7410B" w:rsidRPr="00EE5D7B" w:rsidRDefault="00080211" w:rsidP="00A326A3">
      <w:pPr>
        <w:pStyle w:val="CETBodytext"/>
        <w:rPr>
          <w:lang w:val="en-GB"/>
        </w:rPr>
      </w:pPr>
      <w:r>
        <w:rPr>
          <w:lang w:val="en-GB"/>
        </w:rPr>
        <w:t>Three different computational grids were tested</w:t>
      </w:r>
      <w:r w:rsidR="00F7410B">
        <w:rPr>
          <w:lang w:val="en-GB"/>
        </w:rPr>
        <w:t>: t</w:t>
      </w:r>
      <w:r>
        <w:rPr>
          <w:lang w:val="en-GB"/>
        </w:rPr>
        <w:t>he coarsest one encompassed about 1 millions of computational volumes, the middle-one about 4 millions, the fines</w:t>
      </w:r>
      <w:r w:rsidR="00F7410B">
        <w:rPr>
          <w:lang w:val="en-GB"/>
        </w:rPr>
        <w:t xml:space="preserve">t one about 9 millions. Preliminary simulations showed that the 4 million grid is more than sufficient to obtain results unaffected by any grid-dependence: both global and local quantities </w:t>
      </w:r>
      <w:r w:rsidR="00F7410B" w:rsidRPr="00EE5D7B">
        <w:rPr>
          <w:lang w:val="en-GB"/>
        </w:rPr>
        <w:t>provided by this grid were found only a few percent different than the corresponding ones obtained with the finest grid.</w:t>
      </w:r>
    </w:p>
    <w:p w:rsidR="00570D90" w:rsidRDefault="00F7410B" w:rsidP="00570D90">
      <w:pPr>
        <w:pStyle w:val="CETBodytext"/>
        <w:rPr>
          <w:lang w:val="en-GB"/>
        </w:rPr>
      </w:pPr>
      <w:r w:rsidRPr="00EE5D7B">
        <w:rPr>
          <w:lang w:val="en-GB"/>
        </w:rPr>
        <w:t>All RANS simulations were performed unde</w:t>
      </w:r>
      <w:r w:rsidR="00FE3703" w:rsidRPr="00EE5D7B">
        <w:rPr>
          <w:lang w:val="en-GB"/>
        </w:rPr>
        <w:t xml:space="preserve">r </w:t>
      </w:r>
      <w:r w:rsidR="00FE3703" w:rsidRPr="00191E3C">
        <w:rPr>
          <w:lang w:val="en-GB"/>
        </w:rPr>
        <w:t>stationary conditions typical</w:t>
      </w:r>
      <w:r w:rsidRPr="00191E3C">
        <w:rPr>
          <w:lang w:val="en-GB"/>
        </w:rPr>
        <w:t xml:space="preserve"> of RANS </w:t>
      </w:r>
      <w:r w:rsidR="00FE3703" w:rsidRPr="00191E3C">
        <w:rPr>
          <w:lang w:val="en-GB"/>
        </w:rPr>
        <w:t>simulations. A number of iterations sufficient to obtain residuals to settle below 10</w:t>
      </w:r>
      <w:r w:rsidR="00FE3703" w:rsidRPr="00191E3C">
        <w:rPr>
          <w:vertAlign w:val="superscript"/>
          <w:lang w:val="en-GB"/>
        </w:rPr>
        <w:t>-6</w:t>
      </w:r>
      <w:r w:rsidR="00FE3703" w:rsidRPr="00191E3C">
        <w:rPr>
          <w:lang w:val="en-GB"/>
        </w:rPr>
        <w:t xml:space="preserve"> was</w:t>
      </w:r>
      <w:r w:rsidR="00FE3703">
        <w:rPr>
          <w:lang w:val="en-GB"/>
        </w:rPr>
        <w:t xml:space="preserve"> adopted.</w:t>
      </w:r>
    </w:p>
    <w:p w:rsidR="00BD71A0" w:rsidRPr="00B57B36" w:rsidRDefault="00BD71A0" w:rsidP="00BD71A0">
      <w:pPr>
        <w:pStyle w:val="CETHeading1"/>
        <w:rPr>
          <w:lang w:val="en-GB"/>
        </w:rPr>
      </w:pPr>
      <w:r>
        <w:rPr>
          <w:lang w:val="en-GB"/>
        </w:rPr>
        <w:t>Results and Discussion</w:t>
      </w:r>
    </w:p>
    <w:p w:rsidR="007E5223" w:rsidRDefault="00191E3C" w:rsidP="00512DF7">
      <w:pPr>
        <w:pStyle w:val="CETBodytext"/>
        <w:rPr>
          <w:lang w:val="en-GB"/>
        </w:rPr>
      </w:pPr>
      <w:r>
        <w:rPr>
          <w:lang w:val="en-GB"/>
        </w:rPr>
        <w:t xml:space="preserve">The </w:t>
      </w:r>
      <w:r w:rsidR="007E5223">
        <w:rPr>
          <w:lang w:val="en-GB"/>
        </w:rPr>
        <w:t xml:space="preserve">CFD simulations performed were used to </w:t>
      </w:r>
      <w:r w:rsidR="00513463">
        <w:rPr>
          <w:lang w:val="en-GB"/>
        </w:rPr>
        <w:t>provide global performance parameters as the power number N</w:t>
      </w:r>
      <w:r w:rsidR="00513463" w:rsidRPr="00513463">
        <w:rPr>
          <w:vertAlign w:val="subscript"/>
          <w:lang w:val="en-GB"/>
        </w:rPr>
        <w:t>p</w:t>
      </w:r>
      <w:r w:rsidR="00513463">
        <w:rPr>
          <w:lang w:val="en-GB"/>
        </w:rPr>
        <w:t xml:space="preserve"> and the pumping number N</w:t>
      </w:r>
      <w:r w:rsidR="00513463" w:rsidRPr="00513463">
        <w:rPr>
          <w:vertAlign w:val="subscript"/>
          <w:lang w:val="en-GB"/>
        </w:rPr>
        <w:t>Q</w:t>
      </w:r>
      <w:r w:rsidR="00513463">
        <w:rPr>
          <w:lang w:val="en-GB"/>
        </w:rPr>
        <w:t>: N</w:t>
      </w:r>
      <w:r w:rsidR="00513463" w:rsidRPr="00513463">
        <w:rPr>
          <w:vertAlign w:val="subscript"/>
          <w:lang w:val="en-GB"/>
        </w:rPr>
        <w:t>p</w:t>
      </w:r>
      <w:r w:rsidR="00513463">
        <w:rPr>
          <w:lang w:val="en-GB"/>
        </w:rPr>
        <w:t>=P/(</w:t>
      </w:r>
      <w:r w:rsidR="00513463" w:rsidRPr="00513463">
        <w:rPr>
          <w:rFonts w:ascii="Symbol" w:hAnsi="Symbol"/>
          <w:lang w:val="en-GB"/>
        </w:rPr>
        <w:t></w:t>
      </w:r>
      <w:r w:rsidR="00513463">
        <w:rPr>
          <w:lang w:val="en-GB"/>
        </w:rPr>
        <w:t>N</w:t>
      </w:r>
      <w:r w:rsidR="00513463" w:rsidRPr="00513463">
        <w:rPr>
          <w:vertAlign w:val="superscript"/>
          <w:lang w:val="en-GB"/>
        </w:rPr>
        <w:t>3</w:t>
      </w:r>
      <w:r w:rsidR="00513463">
        <w:rPr>
          <w:lang w:val="en-GB"/>
        </w:rPr>
        <w:t>D</w:t>
      </w:r>
      <w:r w:rsidR="00513463" w:rsidRPr="00513463">
        <w:rPr>
          <w:vertAlign w:val="superscript"/>
          <w:lang w:val="en-GB"/>
        </w:rPr>
        <w:t>5</w:t>
      </w:r>
      <w:r w:rsidR="00513463">
        <w:rPr>
          <w:lang w:val="en-GB"/>
        </w:rPr>
        <w:t>) where P is the torque power consumed by the impeller, N</w:t>
      </w:r>
      <w:r w:rsidR="00513463" w:rsidRPr="00513463">
        <w:rPr>
          <w:vertAlign w:val="subscript"/>
          <w:lang w:val="en-GB"/>
        </w:rPr>
        <w:t>Q</w:t>
      </w:r>
      <w:r w:rsidR="00513463">
        <w:rPr>
          <w:lang w:val="en-GB"/>
        </w:rPr>
        <w:t>=Q/ND</w:t>
      </w:r>
      <w:r w:rsidR="00513463" w:rsidRPr="00513463">
        <w:rPr>
          <w:vertAlign w:val="superscript"/>
          <w:lang w:val="en-GB"/>
        </w:rPr>
        <w:t>3</w:t>
      </w:r>
      <w:r w:rsidR="00513463">
        <w:rPr>
          <w:lang w:val="en-GB"/>
        </w:rPr>
        <w:t xml:space="preserve"> where Q is the flow rate discharged by the impeller. </w:t>
      </w:r>
      <w:r w:rsidR="00883A23">
        <w:rPr>
          <w:lang w:val="en-GB"/>
        </w:rPr>
        <w:t xml:space="preserve">The power number values predicted are </w:t>
      </w:r>
      <w:r w:rsidR="00883A23" w:rsidRPr="00D50A3F">
        <w:rPr>
          <w:lang w:val="en-GB"/>
        </w:rPr>
        <w:t xml:space="preserve">reported in Figure 2 </w:t>
      </w:r>
      <w:r w:rsidRPr="00D50A3F">
        <w:rPr>
          <w:lang w:val="en-GB"/>
        </w:rPr>
        <w:t>along with corresponding</w:t>
      </w:r>
      <w:r w:rsidR="00883A23" w:rsidRPr="00D50A3F">
        <w:rPr>
          <w:lang w:val="en-GB"/>
        </w:rPr>
        <w:t xml:space="preserve"> experimental literature data (Rushton et al. </w:t>
      </w:r>
      <w:r w:rsidR="0062153D" w:rsidRPr="00D50A3F">
        <w:rPr>
          <w:lang w:val="en-GB"/>
        </w:rPr>
        <w:t>1950</w:t>
      </w:r>
      <w:r w:rsidR="00883A23" w:rsidRPr="00D50A3F">
        <w:rPr>
          <w:lang w:val="en-GB"/>
        </w:rPr>
        <w:t xml:space="preserve">, Scargiali et al., </w:t>
      </w:r>
      <w:r w:rsidR="0062153D" w:rsidRPr="00D50A3F">
        <w:rPr>
          <w:lang w:val="en-GB"/>
        </w:rPr>
        <w:t>2017</w:t>
      </w:r>
      <w:r w:rsidR="00883A23" w:rsidRPr="00D50A3F">
        <w:rPr>
          <w:lang w:val="en-GB"/>
        </w:rPr>
        <w:t xml:space="preserve">) for comparison purposes. DNS simulation results relevant to creeping-to-early Re numbers </w:t>
      </w:r>
      <w:r w:rsidR="00D50A3F">
        <w:rPr>
          <w:lang w:val="en-GB"/>
        </w:rPr>
        <w:t xml:space="preserve">flow obtained in </w:t>
      </w:r>
      <w:r w:rsidR="00883A23" w:rsidRPr="00D50A3F">
        <w:rPr>
          <w:lang w:val="en-GB"/>
        </w:rPr>
        <w:t>a previous work (Tamburini et al., 2018) are shown</w:t>
      </w:r>
      <w:r w:rsidR="00603BE5" w:rsidRPr="00D50A3F">
        <w:rPr>
          <w:lang w:val="en-GB"/>
        </w:rPr>
        <w:t xml:space="preserve"> for </w:t>
      </w:r>
      <w:r w:rsidRPr="00D50A3F">
        <w:rPr>
          <w:lang w:val="en-GB"/>
        </w:rPr>
        <w:t xml:space="preserve">the sake of </w:t>
      </w:r>
      <w:r w:rsidR="00603BE5" w:rsidRPr="00D50A3F">
        <w:rPr>
          <w:lang w:val="en-GB"/>
        </w:rPr>
        <w:t>completeness. As it can be seen in Figure</w:t>
      </w:r>
      <w:r w:rsidR="006412E5" w:rsidRPr="00D50A3F">
        <w:rPr>
          <w:lang w:val="en-GB"/>
        </w:rPr>
        <w:t xml:space="preserve"> 2</w:t>
      </w:r>
      <w:r w:rsidR="00FF06D5" w:rsidRPr="00D50A3F">
        <w:rPr>
          <w:lang w:val="en-GB"/>
        </w:rPr>
        <w:t>,</w:t>
      </w:r>
      <w:r w:rsidR="00603BE5" w:rsidRPr="00D50A3F">
        <w:rPr>
          <w:lang w:val="en-GB"/>
        </w:rPr>
        <w:t xml:space="preserve"> the k-</w:t>
      </w:r>
      <w:r w:rsidR="00603BE5" w:rsidRPr="00D50A3F">
        <w:rPr>
          <w:rFonts w:ascii="Symbol" w:hAnsi="Symbol"/>
          <w:lang w:val="en-GB"/>
        </w:rPr>
        <w:t></w:t>
      </w:r>
      <w:r w:rsidR="00603BE5">
        <w:rPr>
          <w:lang w:val="en-GB"/>
        </w:rPr>
        <w:t xml:space="preserve"> SST</w:t>
      </w:r>
      <w:r w:rsidR="00FF06D5">
        <w:rPr>
          <w:lang w:val="en-GB"/>
        </w:rPr>
        <w:t xml:space="preserve"> </w:t>
      </w:r>
      <w:r w:rsidR="00A35A5C">
        <w:rPr>
          <w:lang w:val="en-GB"/>
        </w:rPr>
        <w:t xml:space="preserve">exhibit different performances for the baffled and unbaffled systems. For the case of baffled tank, a good agreement </w:t>
      </w:r>
      <w:r w:rsidR="00FD18B4">
        <w:rPr>
          <w:lang w:val="en-GB"/>
        </w:rPr>
        <w:t>is observable</w:t>
      </w:r>
      <w:r w:rsidR="00A35A5C">
        <w:rPr>
          <w:lang w:val="en-GB"/>
        </w:rPr>
        <w:t xml:space="preserve"> at large Re, while an overestimation was encountered</w:t>
      </w:r>
      <w:r w:rsidR="00512DF7">
        <w:rPr>
          <w:lang w:val="en-GB"/>
        </w:rPr>
        <w:t xml:space="preserve"> at low Re where early turbulent conditions are present. This appears somehow in contradiction with the k-</w:t>
      </w:r>
      <w:r w:rsidR="00512DF7" w:rsidRPr="00603BE5">
        <w:rPr>
          <w:rFonts w:ascii="Symbol" w:hAnsi="Symbol"/>
          <w:lang w:val="en-GB"/>
        </w:rPr>
        <w:t></w:t>
      </w:r>
      <w:r w:rsidR="00512DF7">
        <w:rPr>
          <w:lang w:val="en-GB"/>
        </w:rPr>
        <w:t xml:space="preserve"> SST model features</w:t>
      </w:r>
      <w:r w:rsidR="00D50A3F">
        <w:rPr>
          <w:lang w:val="en-GB"/>
        </w:rPr>
        <w:t xml:space="preserve"> which</w:t>
      </w:r>
      <w:r w:rsidR="00512DF7">
        <w:rPr>
          <w:lang w:val="en-GB"/>
        </w:rPr>
        <w:t xml:space="preserve"> is commonly considered as a turbulence model able to deal with </w:t>
      </w:r>
      <w:r w:rsidR="00DC6283">
        <w:rPr>
          <w:lang w:val="en-GB"/>
        </w:rPr>
        <w:t>low Re cases</w:t>
      </w:r>
      <w:r w:rsidR="00512DF7">
        <w:rPr>
          <w:lang w:val="en-GB"/>
        </w:rPr>
        <w:t xml:space="preserve"> where turbulence is not fully developed</w:t>
      </w:r>
      <w:r w:rsidR="00DC6283">
        <w:rPr>
          <w:lang w:val="en-GB"/>
        </w:rPr>
        <w:t xml:space="preserve"> yet</w:t>
      </w:r>
      <w:r w:rsidR="00512DF7">
        <w:rPr>
          <w:lang w:val="en-GB"/>
        </w:rPr>
        <w:t>.</w:t>
      </w:r>
    </w:p>
    <w:p w:rsidR="00512DF7" w:rsidRPr="00512DF7" w:rsidRDefault="00512DF7" w:rsidP="00CF42F6">
      <w:pPr>
        <w:pStyle w:val="CETBodytext"/>
        <w:rPr>
          <w:lang w:val="en-GB"/>
        </w:rPr>
      </w:pPr>
    </w:p>
    <w:p w:rsidR="007E5223" w:rsidRPr="00BD71A0" w:rsidRDefault="006E3F6D" w:rsidP="007E5223">
      <w:pPr>
        <w:pStyle w:val="CETCaption"/>
        <w:rPr>
          <w:lang w:val="en-US"/>
        </w:rPr>
      </w:pPr>
      <w:r>
        <w:rPr>
          <w:noProof/>
          <w:lang w:val="it-IT" w:eastAsia="it-IT"/>
        </w:rPr>
        <mc:AlternateContent>
          <mc:Choice Requires="wps">
            <w:drawing>
              <wp:anchor distT="45720" distB="45720" distL="114300" distR="114300" simplePos="0" relativeHeight="251672576" behindDoc="0" locked="0" layoutInCell="1" allowOverlap="1" wp14:anchorId="2F2E8D59" wp14:editId="27F16ABF">
                <wp:simplePos x="0" y="0"/>
                <wp:positionH relativeFrom="margin">
                  <wp:posOffset>3047365</wp:posOffset>
                </wp:positionH>
                <wp:positionV relativeFrom="paragraph">
                  <wp:posOffset>708660</wp:posOffset>
                </wp:positionV>
                <wp:extent cx="2003425" cy="142875"/>
                <wp:effectExtent l="0" t="0" r="0" b="952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142875"/>
                        </a:xfrm>
                        <a:prstGeom prst="rect">
                          <a:avLst/>
                        </a:prstGeom>
                        <a:solidFill>
                          <a:srgbClr val="FFFFFF"/>
                        </a:solidFill>
                        <a:ln w="9525">
                          <a:noFill/>
                          <a:miter lim="800000"/>
                          <a:headEnd/>
                          <a:tailEnd/>
                        </a:ln>
                      </wps:spPr>
                      <wps:txbx>
                        <w:txbxContent>
                          <w:p w:rsidR="006E3F6D" w:rsidRPr="006E3F6D" w:rsidRDefault="006E3F6D" w:rsidP="006E3F6D">
                            <w:pPr>
                              <w:jc w:val="left"/>
                              <w:rPr>
                                <w:sz w:val="16"/>
                                <w:szCs w:val="16"/>
                                <w:lang w:val="en-US"/>
                              </w:rPr>
                            </w:pPr>
                            <w:r w:rsidRPr="006E3F6D">
                              <w:rPr>
                                <w:sz w:val="16"/>
                                <w:szCs w:val="16"/>
                                <w:lang w:val="en-US"/>
                              </w:rPr>
                              <w:t>CFD_Unbaff_k-</w:t>
                            </w:r>
                            <w:r w:rsidRPr="006E3F6D">
                              <w:rPr>
                                <w:rFonts w:ascii="Symbol" w:hAnsi="Symbol"/>
                                <w:sz w:val="16"/>
                                <w:szCs w:val="16"/>
                                <w:lang w:val="en-US"/>
                              </w:rPr>
                              <w:t></w:t>
                            </w:r>
                            <w:r w:rsidRPr="006E3F6D">
                              <w:rPr>
                                <w:sz w:val="16"/>
                                <w:szCs w:val="16"/>
                                <w:lang w:val="en-US"/>
                              </w:rPr>
                              <w:t xml:space="preserve"> SST_This</w:t>
                            </w:r>
                            <w:r>
                              <w:rPr>
                                <w:sz w:val="16"/>
                                <w:szCs w:val="16"/>
                                <w:lang w:val="en-US"/>
                              </w:rPr>
                              <w:t xml:space="preserve"> work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E8D59" id="_x0000_t202" coordsize="21600,21600" o:spt="202" path="m,l,21600r21600,l21600,xe">
                <v:stroke joinstyle="miter"/>
                <v:path gradientshapeok="t" o:connecttype="rect"/>
              </v:shapetype>
              <v:shape id="Casella di testo 14" o:spid="_x0000_s1026" type="#_x0000_t202" style="position:absolute;left:0;text-align:left;margin-left:239.95pt;margin-top:55.8pt;width:157.75pt;height:1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" stroked="f">
                <v:textbox inset="0,0,0,0">
                  <w:txbxContent>
                    <w:p w:rsidR="006E3F6D" w:rsidRPr="006E3F6D" w:rsidRDefault="006E3F6D" w:rsidP="006E3F6D">
                      <w:pPr>
                        <w:jc w:val="left"/>
                        <w:rPr>
                          <w:sz w:val="16"/>
                          <w:szCs w:val="16"/>
                          <w:lang w:val="en-US"/>
                        </w:rPr>
                      </w:pPr>
                      <w:r w:rsidRPr="006E3F6D">
                        <w:rPr>
                          <w:sz w:val="16"/>
                          <w:szCs w:val="16"/>
                          <w:lang w:val="en-US"/>
                        </w:rPr>
                        <w:t>CFD_Unbaff_k-</w:t>
                      </w:r>
                      <w:r w:rsidRPr="006E3F6D">
                        <w:rPr>
                          <w:rFonts w:ascii="Symbol" w:hAnsi="Symbol"/>
                          <w:sz w:val="16"/>
                          <w:szCs w:val="16"/>
                          <w:lang w:val="en-US"/>
                        </w:rPr>
                        <w:t></w:t>
                      </w:r>
                      <w:r w:rsidRPr="006E3F6D">
                        <w:rPr>
                          <w:sz w:val="16"/>
                          <w:szCs w:val="16"/>
                          <w:lang w:val="en-US"/>
                        </w:rPr>
                        <w:t xml:space="preserve"> SST_This</w:t>
                      </w:r>
                      <w:r>
                        <w:rPr>
                          <w:sz w:val="16"/>
                          <w:szCs w:val="16"/>
                          <w:lang w:val="en-US"/>
                        </w:rPr>
                        <w:t xml:space="preserve"> work</w:t>
                      </w:r>
                    </w:p>
                  </w:txbxContent>
                </v:textbox>
                <w10:wrap anchorx="margin"/>
              </v:shape>
            </w:pict>
          </mc:Fallback>
        </mc:AlternateContent>
      </w:r>
      <w:r>
        <w:rPr>
          <w:noProof/>
          <w:lang w:val="it-IT" w:eastAsia="it-IT"/>
        </w:rPr>
        <mc:AlternateContent>
          <mc:Choice Requires="wps">
            <w:drawing>
              <wp:anchor distT="45720" distB="45720" distL="114300" distR="114300" simplePos="0" relativeHeight="251674624" behindDoc="0" locked="0" layoutInCell="1" allowOverlap="1" wp14:anchorId="09997732" wp14:editId="5F7E66F2">
                <wp:simplePos x="0" y="0"/>
                <wp:positionH relativeFrom="margin">
                  <wp:posOffset>3047724</wp:posOffset>
                </wp:positionH>
                <wp:positionV relativeFrom="paragraph">
                  <wp:posOffset>565592</wp:posOffset>
                </wp:positionV>
                <wp:extent cx="2003728" cy="143124"/>
                <wp:effectExtent l="0" t="0" r="0" b="952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8" cy="143124"/>
                        </a:xfrm>
                        <a:prstGeom prst="rect">
                          <a:avLst/>
                        </a:prstGeom>
                        <a:solidFill>
                          <a:srgbClr val="FFFFFF"/>
                        </a:solidFill>
                        <a:ln w="9525">
                          <a:noFill/>
                          <a:miter lim="800000"/>
                          <a:headEnd/>
                          <a:tailEnd/>
                        </a:ln>
                      </wps:spPr>
                      <wps:txbx>
                        <w:txbxContent>
                          <w:p w:rsidR="006E3F6D" w:rsidRPr="006E3F6D" w:rsidRDefault="006E3F6D" w:rsidP="006E3F6D">
                            <w:pPr>
                              <w:jc w:val="left"/>
                              <w:rPr>
                                <w:sz w:val="16"/>
                                <w:szCs w:val="16"/>
                                <w:lang w:val="en-US"/>
                              </w:rPr>
                            </w:pPr>
                            <w:r w:rsidRPr="006E3F6D">
                              <w:rPr>
                                <w:sz w:val="16"/>
                                <w:szCs w:val="16"/>
                                <w:lang w:val="en-US"/>
                              </w:rPr>
                              <w:t>CFD_</w:t>
                            </w:r>
                            <w:r>
                              <w:rPr>
                                <w:sz w:val="16"/>
                                <w:szCs w:val="16"/>
                                <w:lang w:val="en-US"/>
                              </w:rPr>
                              <w:t>B</w:t>
                            </w:r>
                            <w:r w:rsidRPr="006E3F6D">
                              <w:rPr>
                                <w:sz w:val="16"/>
                                <w:szCs w:val="16"/>
                                <w:lang w:val="en-US"/>
                              </w:rPr>
                              <w:t>aff_k-</w:t>
                            </w:r>
                            <w:r w:rsidRPr="006E3F6D">
                              <w:rPr>
                                <w:rFonts w:ascii="Symbol" w:hAnsi="Symbol"/>
                                <w:sz w:val="16"/>
                                <w:szCs w:val="16"/>
                                <w:lang w:val="en-US"/>
                              </w:rPr>
                              <w:t></w:t>
                            </w:r>
                            <w:r w:rsidRPr="006E3F6D">
                              <w:rPr>
                                <w:sz w:val="16"/>
                                <w:szCs w:val="16"/>
                                <w:lang w:val="en-US"/>
                              </w:rPr>
                              <w:t xml:space="preserve"> SST_This</w:t>
                            </w:r>
                            <w:r>
                              <w:rPr>
                                <w:sz w:val="16"/>
                                <w:szCs w:val="16"/>
                                <w:lang w:val="en-US"/>
                              </w:rPr>
                              <w:t xml:space="preserve"> work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97732" id="Casella di testo 15" o:spid="_x0000_s1027" type="#_x0000_t202" style="position:absolute;left:0;text-align:left;margin-left:240pt;margin-top:44.55pt;width:157.75pt;height:11.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" stroked="f">
                <v:textbox inset="0,0,0,0">
                  <w:txbxContent>
                    <w:p w:rsidR="006E3F6D" w:rsidRPr="006E3F6D" w:rsidRDefault="006E3F6D" w:rsidP="006E3F6D">
                      <w:pPr>
                        <w:jc w:val="left"/>
                        <w:rPr>
                          <w:sz w:val="16"/>
                          <w:szCs w:val="16"/>
                          <w:lang w:val="en-US"/>
                        </w:rPr>
                      </w:pPr>
                      <w:r w:rsidRPr="006E3F6D">
                        <w:rPr>
                          <w:sz w:val="16"/>
                          <w:szCs w:val="16"/>
                          <w:lang w:val="en-US"/>
                        </w:rPr>
                        <w:t>CFD_</w:t>
                      </w:r>
                      <w:r>
                        <w:rPr>
                          <w:sz w:val="16"/>
                          <w:szCs w:val="16"/>
                          <w:lang w:val="en-US"/>
                        </w:rPr>
                        <w:t>B</w:t>
                      </w:r>
                      <w:r w:rsidRPr="006E3F6D">
                        <w:rPr>
                          <w:sz w:val="16"/>
                          <w:szCs w:val="16"/>
                          <w:lang w:val="en-US"/>
                        </w:rPr>
                        <w:t>aff_k-</w:t>
                      </w:r>
                      <w:r w:rsidRPr="006E3F6D">
                        <w:rPr>
                          <w:rFonts w:ascii="Symbol" w:hAnsi="Symbol"/>
                          <w:sz w:val="16"/>
                          <w:szCs w:val="16"/>
                          <w:lang w:val="en-US"/>
                        </w:rPr>
                        <w:t></w:t>
                      </w:r>
                      <w:r w:rsidRPr="006E3F6D">
                        <w:rPr>
                          <w:sz w:val="16"/>
                          <w:szCs w:val="16"/>
                          <w:lang w:val="en-US"/>
                        </w:rPr>
                        <w:t xml:space="preserve"> SST_This</w:t>
                      </w:r>
                      <w:r>
                        <w:rPr>
                          <w:sz w:val="16"/>
                          <w:szCs w:val="16"/>
                          <w:lang w:val="en-US"/>
                        </w:rPr>
                        <w:t xml:space="preserve"> work</w:t>
                      </w:r>
                    </w:p>
                  </w:txbxContent>
                </v:textbox>
                <w10:wrap anchorx="margin"/>
              </v:shape>
            </w:pict>
          </mc:Fallback>
        </mc:AlternateContent>
      </w:r>
      <w:r>
        <w:rPr>
          <w:noProof/>
          <w:lang w:val="it-IT" w:eastAsia="it-IT"/>
        </w:rPr>
        <mc:AlternateContent>
          <mc:Choice Requires="wps">
            <w:drawing>
              <wp:anchor distT="45720" distB="45720" distL="114300" distR="114300" simplePos="0" relativeHeight="251668480" behindDoc="0" locked="0" layoutInCell="1" allowOverlap="1" wp14:anchorId="20517321" wp14:editId="6FBA839D">
                <wp:simplePos x="0" y="0"/>
                <wp:positionH relativeFrom="margin">
                  <wp:posOffset>3039110</wp:posOffset>
                </wp:positionH>
                <wp:positionV relativeFrom="paragraph">
                  <wp:posOffset>993775</wp:posOffset>
                </wp:positionV>
                <wp:extent cx="2003425" cy="142875"/>
                <wp:effectExtent l="0" t="0" r="0" b="952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142875"/>
                        </a:xfrm>
                        <a:prstGeom prst="rect">
                          <a:avLst/>
                        </a:prstGeom>
                        <a:solidFill>
                          <a:srgbClr val="FFFFFF"/>
                        </a:solidFill>
                        <a:ln w="9525">
                          <a:noFill/>
                          <a:miter lim="800000"/>
                          <a:headEnd/>
                          <a:tailEnd/>
                        </a:ln>
                      </wps:spPr>
                      <wps:txbx>
                        <w:txbxContent>
                          <w:p w:rsidR="006E3F6D" w:rsidRPr="00CC38C0" w:rsidRDefault="006E3F6D" w:rsidP="006E3F6D">
                            <w:pPr>
                              <w:jc w:val="left"/>
                              <w:rPr>
                                <w:sz w:val="16"/>
                                <w:szCs w:val="16"/>
                                <w:lang w:val="it-IT"/>
                              </w:rPr>
                            </w:pPr>
                            <w:r w:rsidRPr="00CC38C0">
                              <w:rPr>
                                <w:sz w:val="16"/>
                                <w:szCs w:val="16"/>
                                <w:lang w:val="it-IT"/>
                              </w:rPr>
                              <w:t>CFD_</w:t>
                            </w:r>
                            <w:r>
                              <w:rPr>
                                <w:sz w:val="16"/>
                                <w:szCs w:val="16"/>
                                <w:lang w:val="it-IT"/>
                              </w:rPr>
                              <w:t>Unbaff_DNS</w:t>
                            </w:r>
                            <w:r w:rsidRPr="00CC38C0">
                              <w:rPr>
                                <w:sz w:val="16"/>
                                <w:szCs w:val="16"/>
                                <w:lang w:val="it-IT"/>
                              </w:rPr>
                              <w:t>_</w:t>
                            </w:r>
                            <w:r>
                              <w:rPr>
                                <w:sz w:val="16"/>
                                <w:szCs w:val="16"/>
                                <w:lang w:val="it-IT"/>
                              </w:rPr>
                              <w:t>Tamburini</w:t>
                            </w:r>
                            <w:r w:rsidRPr="00CC38C0">
                              <w:rPr>
                                <w:sz w:val="16"/>
                                <w:szCs w:val="16"/>
                                <w:lang w:val="it-IT"/>
                              </w:rPr>
                              <w:t xml:space="preserve"> et al. (20</w:t>
                            </w:r>
                            <w:r>
                              <w:rPr>
                                <w:sz w:val="16"/>
                                <w:szCs w:val="16"/>
                                <w:lang w:val="it-IT"/>
                              </w:rPr>
                              <w:t>18</w:t>
                            </w:r>
                            <w:r w:rsidRPr="00CC38C0">
                              <w:rPr>
                                <w:sz w:val="16"/>
                                <w:szCs w:val="16"/>
                                <w:lang w:val="it-IT"/>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17321" id="Casella di testo 7" o:spid="_x0000_s1028" type="#_x0000_t202" style="position:absolute;left:0;text-align:left;margin-left:239.3pt;margin-top:78.25pt;width:157.75pt;height:1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" stroked="f">
                <v:textbox inset="0,0,0,0">
                  <w:txbxContent>
                    <w:p w:rsidR="006E3F6D" w:rsidRPr="00CC38C0" w:rsidRDefault="006E3F6D" w:rsidP="006E3F6D">
                      <w:pPr>
                        <w:jc w:val="left"/>
                        <w:rPr>
                          <w:sz w:val="16"/>
                          <w:szCs w:val="16"/>
                          <w:lang w:val="it-IT"/>
                        </w:rPr>
                      </w:pPr>
                      <w:r w:rsidRPr="00CC38C0">
                        <w:rPr>
                          <w:sz w:val="16"/>
                          <w:szCs w:val="16"/>
                          <w:lang w:val="it-IT"/>
                        </w:rPr>
                        <w:t>CFD_</w:t>
                      </w:r>
                      <w:r>
                        <w:rPr>
                          <w:sz w:val="16"/>
                          <w:szCs w:val="16"/>
                          <w:lang w:val="it-IT"/>
                        </w:rPr>
                        <w:t>Unbaff_DNS</w:t>
                      </w:r>
                      <w:r w:rsidRPr="00CC38C0">
                        <w:rPr>
                          <w:sz w:val="16"/>
                          <w:szCs w:val="16"/>
                          <w:lang w:val="it-IT"/>
                        </w:rPr>
                        <w:t>_</w:t>
                      </w:r>
                      <w:r>
                        <w:rPr>
                          <w:sz w:val="16"/>
                          <w:szCs w:val="16"/>
                          <w:lang w:val="it-IT"/>
                        </w:rPr>
                        <w:t>Tamburini</w:t>
                      </w:r>
                      <w:r w:rsidRPr="00CC38C0">
                        <w:rPr>
                          <w:sz w:val="16"/>
                          <w:szCs w:val="16"/>
                          <w:lang w:val="it-IT"/>
                        </w:rPr>
                        <w:t xml:space="preserve"> et al. (20</w:t>
                      </w:r>
                      <w:r>
                        <w:rPr>
                          <w:sz w:val="16"/>
                          <w:szCs w:val="16"/>
                          <w:lang w:val="it-IT"/>
                        </w:rPr>
                        <w:t>18</w:t>
                      </w:r>
                      <w:r w:rsidRPr="00CC38C0">
                        <w:rPr>
                          <w:sz w:val="16"/>
                          <w:szCs w:val="16"/>
                          <w:lang w:val="it-IT"/>
                        </w:rPr>
                        <w:t>)</w:t>
                      </w:r>
                    </w:p>
                  </w:txbxContent>
                </v:textbox>
                <w10:wrap anchorx="margin"/>
              </v:shape>
            </w:pict>
          </mc:Fallback>
        </mc:AlternateContent>
      </w:r>
      <w:r>
        <w:rPr>
          <w:noProof/>
          <w:lang w:val="it-IT" w:eastAsia="it-IT"/>
        </w:rPr>
        <mc:AlternateContent>
          <mc:Choice Requires="wps">
            <w:drawing>
              <wp:anchor distT="45720" distB="45720" distL="114300" distR="114300" simplePos="0" relativeHeight="251670528" behindDoc="0" locked="0" layoutInCell="1" allowOverlap="1" wp14:anchorId="2902B465" wp14:editId="67CF5DD5">
                <wp:simplePos x="0" y="0"/>
                <wp:positionH relativeFrom="margin">
                  <wp:posOffset>3039801</wp:posOffset>
                </wp:positionH>
                <wp:positionV relativeFrom="paragraph">
                  <wp:posOffset>1145346</wp:posOffset>
                </wp:positionV>
                <wp:extent cx="2003728" cy="143124"/>
                <wp:effectExtent l="0" t="0" r="0" b="952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8" cy="143124"/>
                        </a:xfrm>
                        <a:prstGeom prst="rect">
                          <a:avLst/>
                        </a:prstGeom>
                        <a:solidFill>
                          <a:srgbClr val="FFFFFF"/>
                        </a:solidFill>
                        <a:ln w="9525">
                          <a:noFill/>
                          <a:miter lim="800000"/>
                          <a:headEnd/>
                          <a:tailEnd/>
                        </a:ln>
                      </wps:spPr>
                      <wps:txbx>
                        <w:txbxContent>
                          <w:p w:rsidR="006E3F6D" w:rsidRPr="00CC38C0" w:rsidRDefault="006E3F6D" w:rsidP="006E3F6D">
                            <w:pPr>
                              <w:jc w:val="left"/>
                              <w:rPr>
                                <w:sz w:val="16"/>
                                <w:szCs w:val="16"/>
                                <w:lang w:val="it-IT"/>
                              </w:rPr>
                            </w:pPr>
                            <w:r w:rsidRPr="00CC38C0">
                              <w:rPr>
                                <w:sz w:val="16"/>
                                <w:szCs w:val="16"/>
                                <w:lang w:val="it-IT"/>
                              </w:rPr>
                              <w:t>CFD_</w:t>
                            </w:r>
                            <w:r>
                              <w:rPr>
                                <w:sz w:val="16"/>
                                <w:szCs w:val="16"/>
                                <w:lang w:val="it-IT"/>
                              </w:rPr>
                              <w:t>Baff_DNS</w:t>
                            </w:r>
                            <w:r w:rsidRPr="00CC38C0">
                              <w:rPr>
                                <w:sz w:val="16"/>
                                <w:szCs w:val="16"/>
                                <w:lang w:val="it-IT"/>
                              </w:rPr>
                              <w:t>_</w:t>
                            </w:r>
                            <w:r>
                              <w:rPr>
                                <w:sz w:val="16"/>
                                <w:szCs w:val="16"/>
                                <w:lang w:val="it-IT"/>
                              </w:rPr>
                              <w:t>Tamburini</w:t>
                            </w:r>
                            <w:r w:rsidRPr="00CC38C0">
                              <w:rPr>
                                <w:sz w:val="16"/>
                                <w:szCs w:val="16"/>
                                <w:lang w:val="it-IT"/>
                              </w:rPr>
                              <w:t xml:space="preserve"> et al. (20</w:t>
                            </w:r>
                            <w:r>
                              <w:rPr>
                                <w:sz w:val="16"/>
                                <w:szCs w:val="16"/>
                                <w:lang w:val="it-IT"/>
                              </w:rPr>
                              <w:t>18</w:t>
                            </w:r>
                            <w:r w:rsidRPr="00CC38C0">
                              <w:rPr>
                                <w:sz w:val="16"/>
                                <w:szCs w:val="16"/>
                                <w:lang w:val="it-IT"/>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2B465" id="Casella di testo 13" o:spid="_x0000_s1029" type="#_x0000_t202" style="position:absolute;left:0;text-align:left;margin-left:239.35pt;margin-top:90.2pt;width:157.75pt;height:1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" stroked="f">
                <v:textbox inset="0,0,0,0">
                  <w:txbxContent>
                    <w:p w:rsidR="006E3F6D" w:rsidRPr="00CC38C0" w:rsidRDefault="006E3F6D" w:rsidP="006E3F6D">
                      <w:pPr>
                        <w:jc w:val="left"/>
                        <w:rPr>
                          <w:sz w:val="16"/>
                          <w:szCs w:val="16"/>
                          <w:lang w:val="it-IT"/>
                        </w:rPr>
                      </w:pPr>
                      <w:r w:rsidRPr="00CC38C0">
                        <w:rPr>
                          <w:sz w:val="16"/>
                          <w:szCs w:val="16"/>
                          <w:lang w:val="it-IT"/>
                        </w:rPr>
                        <w:t>CFD_</w:t>
                      </w:r>
                      <w:r>
                        <w:rPr>
                          <w:sz w:val="16"/>
                          <w:szCs w:val="16"/>
                          <w:lang w:val="it-IT"/>
                        </w:rPr>
                        <w:t>Baff_DNS</w:t>
                      </w:r>
                      <w:r w:rsidRPr="00CC38C0">
                        <w:rPr>
                          <w:sz w:val="16"/>
                          <w:szCs w:val="16"/>
                          <w:lang w:val="it-IT"/>
                        </w:rPr>
                        <w:t>_</w:t>
                      </w:r>
                      <w:r>
                        <w:rPr>
                          <w:sz w:val="16"/>
                          <w:szCs w:val="16"/>
                          <w:lang w:val="it-IT"/>
                        </w:rPr>
                        <w:t>Tamburini</w:t>
                      </w:r>
                      <w:r w:rsidRPr="00CC38C0">
                        <w:rPr>
                          <w:sz w:val="16"/>
                          <w:szCs w:val="16"/>
                          <w:lang w:val="it-IT"/>
                        </w:rPr>
                        <w:t xml:space="preserve"> et al. (20</w:t>
                      </w:r>
                      <w:r>
                        <w:rPr>
                          <w:sz w:val="16"/>
                          <w:szCs w:val="16"/>
                          <w:lang w:val="it-IT"/>
                        </w:rPr>
                        <w:t>18</w:t>
                      </w:r>
                      <w:r w:rsidRPr="00CC38C0">
                        <w:rPr>
                          <w:sz w:val="16"/>
                          <w:szCs w:val="16"/>
                          <w:lang w:val="it-IT"/>
                        </w:rPr>
                        <w:t>)</w:t>
                      </w:r>
                    </w:p>
                  </w:txbxContent>
                </v:textbox>
                <w10:wrap anchorx="margin"/>
              </v:shape>
            </w:pict>
          </mc:Fallback>
        </mc:AlternateContent>
      </w:r>
      <w:r w:rsidR="00CC38C0">
        <w:rPr>
          <w:noProof/>
          <w:lang w:val="it-IT" w:eastAsia="it-IT"/>
        </w:rPr>
        <mc:AlternateContent>
          <mc:Choice Requires="wps">
            <w:drawing>
              <wp:anchor distT="45720" distB="45720" distL="114300" distR="114300" simplePos="0" relativeHeight="251666432" behindDoc="0" locked="0" layoutInCell="1" allowOverlap="1" wp14:anchorId="298FCC3C" wp14:editId="0C9AD8AA">
                <wp:simplePos x="0" y="0"/>
                <wp:positionH relativeFrom="margin">
                  <wp:posOffset>3038641</wp:posOffset>
                </wp:positionH>
                <wp:positionV relativeFrom="paragraph">
                  <wp:posOffset>850513</wp:posOffset>
                </wp:positionV>
                <wp:extent cx="2003728" cy="143124"/>
                <wp:effectExtent l="0" t="0" r="0"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8" cy="143124"/>
                        </a:xfrm>
                        <a:prstGeom prst="rect">
                          <a:avLst/>
                        </a:prstGeom>
                        <a:solidFill>
                          <a:srgbClr val="FFFFFF"/>
                        </a:solidFill>
                        <a:ln w="9525">
                          <a:noFill/>
                          <a:miter lim="800000"/>
                          <a:headEnd/>
                          <a:tailEnd/>
                        </a:ln>
                      </wps:spPr>
                      <wps:txbx>
                        <w:txbxContent>
                          <w:p w:rsidR="00CC38C0" w:rsidRPr="00CC38C0" w:rsidRDefault="00CC38C0" w:rsidP="00CC38C0">
                            <w:pPr>
                              <w:jc w:val="left"/>
                              <w:rPr>
                                <w:sz w:val="16"/>
                                <w:szCs w:val="16"/>
                                <w:lang w:val="it-IT"/>
                              </w:rPr>
                            </w:pPr>
                            <w:r w:rsidRPr="00CC38C0">
                              <w:rPr>
                                <w:sz w:val="16"/>
                                <w:szCs w:val="16"/>
                                <w:lang w:val="it-IT"/>
                              </w:rPr>
                              <w:t>CFD_</w:t>
                            </w:r>
                            <w:r w:rsidR="006E3F6D">
                              <w:rPr>
                                <w:sz w:val="16"/>
                                <w:szCs w:val="16"/>
                                <w:lang w:val="it-IT"/>
                              </w:rPr>
                              <w:t>Unbaff_</w:t>
                            </w:r>
                            <w:r w:rsidRPr="00CC38C0">
                              <w:rPr>
                                <w:sz w:val="16"/>
                                <w:szCs w:val="16"/>
                                <w:lang w:val="it-IT"/>
                              </w:rPr>
                              <w:t>LES_Alcamo et al. (2005)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FCC3C" id="Casella di testo 2" o:spid="_x0000_s1030" type="#_x0000_t202" style="position:absolute;left:0;text-align:left;margin-left:239.25pt;margin-top:66.95pt;width:157.75pt;height:1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" stroked="f">
                <v:textbox inset="0,0,0,0">
                  <w:txbxContent>
                    <w:p w:rsidR="00CC38C0" w:rsidRPr="00CC38C0" w:rsidRDefault="00CC38C0" w:rsidP="00CC38C0">
                      <w:pPr>
                        <w:jc w:val="left"/>
                        <w:rPr>
                          <w:sz w:val="16"/>
                          <w:szCs w:val="16"/>
                          <w:lang w:val="it-IT"/>
                        </w:rPr>
                      </w:pPr>
                      <w:r w:rsidRPr="00CC38C0">
                        <w:rPr>
                          <w:sz w:val="16"/>
                          <w:szCs w:val="16"/>
                          <w:lang w:val="it-IT"/>
                        </w:rPr>
                        <w:t>CFD_</w:t>
                      </w:r>
                      <w:r w:rsidR="006E3F6D">
                        <w:rPr>
                          <w:sz w:val="16"/>
                          <w:szCs w:val="16"/>
                          <w:lang w:val="it-IT"/>
                        </w:rPr>
                        <w:t>Unbaff_</w:t>
                      </w:r>
                      <w:r w:rsidRPr="00CC38C0">
                        <w:rPr>
                          <w:sz w:val="16"/>
                          <w:szCs w:val="16"/>
                          <w:lang w:val="it-IT"/>
                        </w:rPr>
                        <w:t>LES_Alcamo et al. (2005)</w:t>
                      </w:r>
                    </w:p>
                  </w:txbxContent>
                </v:textbox>
                <w10:wrap anchorx="margin"/>
              </v:shape>
            </w:pict>
          </mc:Fallback>
        </mc:AlternateContent>
      </w:r>
      <w:r w:rsidR="007E5223" w:rsidRPr="00B878BC">
        <w:rPr>
          <w:noProof/>
          <w:lang w:val="it-IT" w:eastAsia="it-IT"/>
        </w:rPr>
        <w:drawing>
          <wp:inline distT="0" distB="0" distL="0" distR="0" wp14:anchorId="11F54DD2" wp14:editId="0AB71D33">
            <wp:extent cx="5579745" cy="3357245"/>
            <wp:effectExtent l="0" t="0" r="1905" b="14605"/>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5223" w:rsidRPr="009A0F30" w:rsidRDefault="007E5223" w:rsidP="007E5223">
      <w:pPr>
        <w:pStyle w:val="CETCaption"/>
        <w:rPr>
          <w:lang w:val="en-US"/>
        </w:rPr>
      </w:pPr>
      <w:r w:rsidRPr="009A0F30">
        <w:t xml:space="preserve">Figure </w:t>
      </w:r>
      <w:r w:rsidR="007B5504" w:rsidRPr="009A0F30">
        <w:t>2</w:t>
      </w:r>
      <w:r w:rsidRPr="009A0F30">
        <w:t xml:space="preserve">: Power Number as a function of the Reynolds number </w:t>
      </w:r>
      <w:r w:rsidRPr="009A0F30">
        <w:rPr>
          <w:lang w:val="en-US"/>
        </w:rPr>
        <w:t xml:space="preserve"> </w:t>
      </w:r>
    </w:p>
    <w:p w:rsidR="00B8346F" w:rsidRDefault="00B8346F" w:rsidP="007E5223">
      <w:pPr>
        <w:pStyle w:val="CETBodytext"/>
        <w:rPr>
          <w:lang w:val="en-GB"/>
        </w:rPr>
      </w:pPr>
      <w:r w:rsidRPr="009A0F30">
        <w:rPr>
          <w:lang w:val="en-GB"/>
        </w:rPr>
        <w:t>Interestingly, the opposite occurs for the case of the unbaffled stirred tank. At the low Re investigated in the present work</w:t>
      </w:r>
      <w:r>
        <w:rPr>
          <w:lang w:val="en-GB"/>
        </w:rPr>
        <w:t xml:space="preserve"> the Np values predicted by the simulations match quite well the corresponding experimental data, while the two trends start diverging when turbulence is fully developed. In stirred tanks Re = 10000 is the commonly adopted cut off value beyond which fully turbulence conditions are achieved. The overestimation of experimental data is difficult to be explained properly. According to the collected </w:t>
      </w:r>
      <w:r w:rsidR="00574355" w:rsidRPr="00574355">
        <w:rPr>
          <w:lang w:val="en-GB"/>
        </w:rPr>
        <w:t xml:space="preserve">data </w:t>
      </w:r>
      <w:r>
        <w:rPr>
          <w:lang w:val="en-GB"/>
        </w:rPr>
        <w:t xml:space="preserve">and to </w:t>
      </w:r>
      <w:r w:rsidR="00574355">
        <w:rPr>
          <w:lang w:val="en-GB"/>
        </w:rPr>
        <w:t xml:space="preserve">literature </w:t>
      </w:r>
      <w:r>
        <w:rPr>
          <w:lang w:val="en-GB"/>
        </w:rPr>
        <w:t xml:space="preserve">considerations for other </w:t>
      </w:r>
      <w:r w:rsidR="00574355">
        <w:rPr>
          <w:lang w:val="en-GB"/>
        </w:rPr>
        <w:t xml:space="preserve">eddy-viscosity based </w:t>
      </w:r>
      <w:r>
        <w:rPr>
          <w:lang w:val="en-GB"/>
        </w:rPr>
        <w:t xml:space="preserve">turbulence models (Ng et al., 1998; Yeoh et al., 2004; Murthy and Joshi, </w:t>
      </w:r>
      <w:r w:rsidRPr="00CF42F6">
        <w:rPr>
          <w:lang w:val="en-GB"/>
        </w:rPr>
        <w:t>2008</w:t>
      </w:r>
      <w:r>
        <w:rPr>
          <w:lang w:val="en-GB"/>
        </w:rPr>
        <w:t>), k-</w:t>
      </w:r>
      <w:r w:rsidRPr="00603BE5">
        <w:rPr>
          <w:rFonts w:ascii="Symbol" w:hAnsi="Symbol"/>
          <w:lang w:val="en-GB"/>
        </w:rPr>
        <w:t></w:t>
      </w:r>
      <w:r>
        <w:rPr>
          <w:lang w:val="en-GB"/>
        </w:rPr>
        <w:t xml:space="preserve"> SST model fails in providing good predictions at high Re because</w:t>
      </w:r>
      <w:r w:rsidR="00574355">
        <w:rPr>
          <w:lang w:val="en-GB"/>
        </w:rPr>
        <w:t>,</w:t>
      </w:r>
      <w:r>
        <w:rPr>
          <w:lang w:val="en-GB"/>
        </w:rPr>
        <w:t xml:space="preserve"> at these agitation velocities, </w:t>
      </w:r>
      <w:r>
        <w:rPr>
          <w:lang w:val="en-GB"/>
        </w:rPr>
        <w:lastRenderedPageBreak/>
        <w:t>the swirling flow is significant and turbulence is highly inhomogeneous</w:t>
      </w:r>
      <w:r w:rsidR="00DE38F4">
        <w:rPr>
          <w:lang w:val="en-GB"/>
        </w:rPr>
        <w:t>.</w:t>
      </w:r>
      <w:r>
        <w:rPr>
          <w:lang w:val="en-GB"/>
        </w:rPr>
        <w:t xml:space="preserve"> </w:t>
      </w:r>
      <w:r w:rsidR="00DE38F4">
        <w:rPr>
          <w:lang w:val="en-GB"/>
        </w:rPr>
        <w:t>T</w:t>
      </w:r>
      <w:r>
        <w:rPr>
          <w:lang w:val="en-GB"/>
        </w:rPr>
        <w:t>he higher the Re, the higher the difference between the tangential velocity and the other two velocity components, thus allegedly leading to a higher anisotropy in turbulence patterns. k-</w:t>
      </w:r>
      <w:r w:rsidRPr="00603BE5">
        <w:rPr>
          <w:rFonts w:ascii="Symbol" w:hAnsi="Symbol"/>
          <w:lang w:val="en-GB"/>
        </w:rPr>
        <w:t></w:t>
      </w:r>
      <w:r>
        <w:rPr>
          <w:lang w:val="en-GB"/>
        </w:rPr>
        <w:t xml:space="preserve"> SST model is a turbulence model based on </w:t>
      </w:r>
      <w:r w:rsidRPr="00512DF7">
        <w:rPr>
          <w:lang w:val="en-GB"/>
        </w:rPr>
        <w:t>Boussinesq</w:t>
      </w:r>
      <w:r>
        <w:rPr>
          <w:lang w:val="en-GB"/>
        </w:rPr>
        <w:t xml:space="preserve">’s hypothesis and computes all Reynolds stresses as a function of the turbulence viscosity only. Thus, it is expected to be more suitable for homogenous turbulence cases and less prone than Reynolds stresses models to properly deal with high </w:t>
      </w:r>
      <w:r w:rsidR="00380EEE">
        <w:rPr>
          <w:lang w:val="en-GB"/>
        </w:rPr>
        <w:t>anisotropic</w:t>
      </w:r>
      <w:r>
        <w:rPr>
          <w:lang w:val="en-GB"/>
        </w:rPr>
        <w:t xml:space="preserve"> turbulence. Clearly, other simulations to be carried out with Reynolds stresses models are needed to compare data and properly validate the above hypothesis</w:t>
      </w:r>
      <w:r w:rsidR="00380EEE">
        <w:rPr>
          <w:lang w:val="en-GB"/>
        </w:rPr>
        <w:t xml:space="preserve"> at these Re values</w:t>
      </w:r>
      <w:r>
        <w:rPr>
          <w:lang w:val="en-GB"/>
        </w:rPr>
        <w:t>.</w:t>
      </w:r>
    </w:p>
    <w:p w:rsidR="00B8346F" w:rsidRDefault="00B8346F" w:rsidP="007E5223">
      <w:pPr>
        <w:pStyle w:val="CETBodytext"/>
        <w:rPr>
          <w:lang w:val="en-GB"/>
        </w:rPr>
      </w:pPr>
    </w:p>
    <w:p w:rsidR="007E5223" w:rsidRDefault="006412E5" w:rsidP="007E5223">
      <w:pPr>
        <w:pStyle w:val="CETBodytext"/>
      </w:pPr>
      <w:r w:rsidRPr="00574355">
        <w:t>In</w:t>
      </w:r>
      <w:r w:rsidR="007B5504" w:rsidRPr="00574355">
        <w:t xml:space="preserve"> Figure 3, the</w:t>
      </w:r>
      <w:r w:rsidR="007B5504">
        <w:t xml:space="preserve"> pumping number is reported as a function of Reynolds number. </w:t>
      </w:r>
      <w:r w:rsidR="003E42FA">
        <w:t>N</w:t>
      </w:r>
      <w:r w:rsidR="003E42FA" w:rsidRPr="003E42FA">
        <w:rPr>
          <w:vertAlign w:val="subscript"/>
        </w:rPr>
        <w:t>Q</w:t>
      </w:r>
      <w:r w:rsidR="007B5504">
        <w:t xml:space="preserve"> experimental data at different Re are not available in the literature</w:t>
      </w:r>
      <w:r w:rsidR="003E42FA">
        <w:t xml:space="preserve"> for this geometry</w:t>
      </w:r>
      <w:r w:rsidR="007B5504">
        <w:t xml:space="preserve">. </w:t>
      </w:r>
      <w:r w:rsidR="00380EEE">
        <w:t>T</w:t>
      </w:r>
      <w:r w:rsidR="007B5504">
        <w:t>he only experimental dat</w:t>
      </w:r>
      <w:r w:rsidR="00D50A3F">
        <w:t>um</w:t>
      </w:r>
      <w:r w:rsidR="007B5504">
        <w:t xml:space="preserve"> reported concerns the </w:t>
      </w:r>
      <w:r w:rsidR="001C65A8">
        <w:t>asymptotic N</w:t>
      </w:r>
      <w:r w:rsidR="001C65A8" w:rsidRPr="001C65A8">
        <w:rPr>
          <w:vertAlign w:val="subscript"/>
        </w:rPr>
        <w:t>Q</w:t>
      </w:r>
      <w:r w:rsidR="001C65A8">
        <w:t xml:space="preserve"> values at the </w:t>
      </w:r>
      <w:r w:rsidR="007B5504">
        <w:t>highest Re</w:t>
      </w:r>
      <w:r>
        <w:t xml:space="preserve"> </w:t>
      </w:r>
      <w:r w:rsidR="007B5504">
        <w:t xml:space="preserve">and comparison should be regarded as fully qualitative. </w:t>
      </w:r>
      <w:r w:rsidR="001C65A8">
        <w:t>The baffled tanks asymptotic datum is from Costes and Couderc (1988) who reported N</w:t>
      </w:r>
      <w:r w:rsidR="001C65A8" w:rsidRPr="001C65A8">
        <w:rPr>
          <w:vertAlign w:val="subscript"/>
        </w:rPr>
        <w:t>Q</w:t>
      </w:r>
      <w:r w:rsidR="001C65A8">
        <w:t xml:space="preserve"> = </w:t>
      </w:r>
      <w:r w:rsidR="001C65A8">
        <w:rPr>
          <w:rFonts w:cs="Arial"/>
        </w:rPr>
        <w:t>~</w:t>
      </w:r>
      <w:r w:rsidR="001C65A8">
        <w:t>0.73, while for unbaffled tanks the datum of N</w:t>
      </w:r>
      <w:r w:rsidR="001C65A8" w:rsidRPr="001C65A8">
        <w:rPr>
          <w:vertAlign w:val="subscript"/>
        </w:rPr>
        <w:t>Q</w:t>
      </w:r>
      <w:r w:rsidR="001C65A8">
        <w:t xml:space="preserve"> = </w:t>
      </w:r>
      <w:r w:rsidR="001C65A8">
        <w:rPr>
          <w:rFonts w:cs="Arial"/>
        </w:rPr>
        <w:t>~</w:t>
      </w:r>
      <w:r w:rsidR="001C65A8">
        <w:t>0.3</w:t>
      </w:r>
      <w:r w:rsidR="00FF4157">
        <w:t>4</w:t>
      </w:r>
      <w:r w:rsidR="001C65A8">
        <w:t xml:space="preserve"> is from Nagata (1975).</w:t>
      </w:r>
    </w:p>
    <w:p w:rsidR="007B5504" w:rsidRDefault="007B5504" w:rsidP="001C65A8">
      <w:pPr>
        <w:pStyle w:val="CETBodytext"/>
      </w:pPr>
      <w:r>
        <w:t>For the case of the baffled tank</w:t>
      </w:r>
      <w:r w:rsidR="003E42FA">
        <w:t xml:space="preserve"> the</w:t>
      </w:r>
      <w:r w:rsidR="00277FCD">
        <w:t xml:space="preserve"> model is somehow able to follow the </w:t>
      </w:r>
      <w:r w:rsidR="001C65A8">
        <w:t xml:space="preserve">qualitative </w:t>
      </w:r>
      <w:r w:rsidR="00277FCD">
        <w:t>sigmoidal trend reported</w:t>
      </w:r>
      <w:r w:rsidR="00305EE2">
        <w:t xml:space="preserve"> by</w:t>
      </w:r>
      <w:r w:rsidR="00277FCD">
        <w:t xml:space="preserve"> </w:t>
      </w:r>
      <w:r w:rsidR="001C65A8">
        <w:t>Dickey and Fenic (1976) for the right end of the Re range</w:t>
      </w:r>
      <w:r w:rsidR="00305EE2">
        <w:t>. More precisely, the model is capable of predicting the</w:t>
      </w:r>
      <w:r w:rsidR="001C65A8">
        <w:t xml:space="preserve"> increasing of </w:t>
      </w:r>
      <w:r w:rsidR="00305EE2">
        <w:t>N</w:t>
      </w:r>
      <w:r w:rsidR="00305EE2" w:rsidRPr="001C65A8">
        <w:rPr>
          <w:vertAlign w:val="subscript"/>
        </w:rPr>
        <w:t>Q</w:t>
      </w:r>
      <w:r w:rsidR="00305EE2">
        <w:t xml:space="preserve"> </w:t>
      </w:r>
      <w:r w:rsidR="001C65A8">
        <w:t>up to the achievement of an asymptotic value</w:t>
      </w:r>
      <w:r w:rsidR="00FF4157">
        <w:t xml:space="preserve">, </w:t>
      </w:r>
      <w:r w:rsidR="00A5176C">
        <w:t>although the latter</w:t>
      </w:r>
      <w:r w:rsidR="00FF4157">
        <w:t xml:space="preserve"> is slightly higher than the literature one.</w:t>
      </w:r>
      <w:r w:rsidR="001C65A8">
        <w:t xml:space="preserve"> </w:t>
      </w:r>
    </w:p>
    <w:p w:rsidR="00FF4157" w:rsidRDefault="00FF4157" w:rsidP="001C65A8">
      <w:pPr>
        <w:pStyle w:val="CETBodytext"/>
      </w:pPr>
      <w:r>
        <w:t>As it concerns the unbaffled tank, a decreasing trend is predicted by the CFD simulations. The higher Re, the lower the slope of the points thus indicating the achievement of some asymptotic value which seems really similar to the one reported by Nagata (1975).</w:t>
      </w:r>
    </w:p>
    <w:p w:rsidR="003E42FA" w:rsidRDefault="00FF4157" w:rsidP="003E42FA">
      <w:pPr>
        <w:pStyle w:val="CETBodytext"/>
      </w:pPr>
      <w:r>
        <w:t>Summarizing</w:t>
      </w:r>
      <w:r w:rsidR="00A5176C">
        <w:t>,</w:t>
      </w:r>
      <w:r>
        <w:t xml:space="preserve"> the two trends of N</w:t>
      </w:r>
      <w:r w:rsidRPr="001C65A8">
        <w:rPr>
          <w:vertAlign w:val="subscript"/>
        </w:rPr>
        <w:t>Q</w:t>
      </w:r>
      <w:r>
        <w:t xml:space="preserve"> vs Re are reasonable, but it is hard to give a quantitative indication of the model performance </w:t>
      </w:r>
      <w:r w:rsidR="000F4071">
        <w:t>without a comparison with other model data</w:t>
      </w:r>
      <w:r w:rsidR="003E42FA">
        <w:t>.</w:t>
      </w:r>
    </w:p>
    <w:p w:rsidR="007E5223" w:rsidRDefault="006412E5" w:rsidP="007E5223">
      <w:pPr>
        <w:pStyle w:val="CETBodytext"/>
      </w:pPr>
      <w:r w:rsidRPr="00B945F6">
        <w:rPr>
          <w:noProof/>
          <w:lang w:val="it-IT" w:eastAsia="it-IT"/>
        </w:rPr>
        <mc:AlternateContent>
          <mc:Choice Requires="wps">
            <w:drawing>
              <wp:anchor distT="0" distB="0" distL="114300" distR="114300" simplePos="0" relativeHeight="251659264" behindDoc="0" locked="0" layoutInCell="1" allowOverlap="1" wp14:anchorId="202A73F7" wp14:editId="17AF8687">
                <wp:simplePos x="0" y="0"/>
                <wp:positionH relativeFrom="column">
                  <wp:posOffset>-63500</wp:posOffset>
                </wp:positionH>
                <wp:positionV relativeFrom="paragraph">
                  <wp:posOffset>104140</wp:posOffset>
                </wp:positionV>
                <wp:extent cx="630301" cy="307777"/>
                <wp:effectExtent l="0" t="0" r="0" b="0"/>
                <wp:wrapNone/>
                <wp:docPr id="3" name="Rettangolo 2"/>
                <wp:cNvGraphicFramePr/>
                <a:graphic xmlns:a="http://schemas.openxmlformats.org/drawingml/2006/main">
                  <a:graphicData uri="http://schemas.microsoft.com/office/word/2010/wordprocessingShape">
                    <wps:wsp>
                      <wps:cNvSpPr/>
                      <wps:spPr>
                        <a:xfrm>
                          <a:off x="0" y="0"/>
                          <a:ext cx="630301" cy="307777"/>
                        </a:xfrm>
                        <a:prstGeom prst="rect">
                          <a:avLst/>
                        </a:prstGeom>
                      </wps:spPr>
                      <wps:txbx>
                        <w:txbxContent>
                          <w:p w:rsidR="007E5223" w:rsidRDefault="007E5223" w:rsidP="007E5223">
                            <w:pPr>
                              <w:pStyle w:val="NormaleWeb"/>
                            </w:pPr>
                            <w:r>
                              <w:rPr>
                                <w:b/>
                                <w:bCs/>
                                <w:color w:val="000000" w:themeColor="text1"/>
                                <w:kern w:val="24"/>
                                <w:sz w:val="28"/>
                                <w:szCs w:val="28"/>
                              </w:rPr>
                              <w:t>N</w:t>
                            </w:r>
                            <w:r>
                              <w:rPr>
                                <w:b/>
                                <w:bCs/>
                                <w:color w:val="000000" w:themeColor="text1"/>
                                <w:kern w:val="24"/>
                                <w:position w:val="-7"/>
                                <w:sz w:val="28"/>
                                <w:szCs w:val="28"/>
                                <w:vertAlign w:val="subscript"/>
                              </w:rPr>
                              <w:t>Q</w:t>
                            </w:r>
                            <w:r>
                              <w:rPr>
                                <w:b/>
                                <w:bCs/>
                                <w:color w:val="000000" w:themeColor="text1"/>
                                <w:kern w:val="24"/>
                                <w:sz w:val="28"/>
                                <w:szCs w:val="28"/>
                              </w:rPr>
                              <w:t xml:space="preserve"> [-]</w:t>
                            </w:r>
                          </w:p>
                        </w:txbxContent>
                      </wps:txbx>
                      <wps:bodyPr wrap="none">
                        <a:spAutoFit/>
                      </wps:bodyPr>
                    </wps:wsp>
                  </a:graphicData>
                </a:graphic>
              </wp:anchor>
            </w:drawing>
          </mc:Choice>
          <mc:Fallback>
            <w:pict>
              <v:rect w14:anchorId="202A73F7" id="Rettangolo 2" o:spid="_x0000_s1031" style="position:absolute;left:0;text-align:left;margin-left:-5pt;margin-top:8.2pt;width:49.65pt;height:2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" filled="f" stroked="f">
                <v:textbox style="mso-fit-shape-to-text:t">
                  <w:txbxContent>
                    <w:p w:rsidR="007E5223" w:rsidRDefault="007E5223" w:rsidP="007E5223">
                      <w:pPr>
                        <w:pStyle w:val="NormaleWeb"/>
                      </w:pPr>
                      <w:r>
                        <w:rPr>
                          <w:b/>
                          <w:bCs/>
                          <w:color w:val="000000" w:themeColor="text1"/>
                          <w:kern w:val="24"/>
                          <w:sz w:val="28"/>
                          <w:szCs w:val="28"/>
                        </w:rPr>
                        <w:t>N</w:t>
                      </w:r>
                      <w:r>
                        <w:rPr>
                          <w:b/>
                          <w:bCs/>
                          <w:color w:val="000000" w:themeColor="text1"/>
                          <w:kern w:val="24"/>
                          <w:position w:val="-7"/>
                          <w:sz w:val="28"/>
                          <w:szCs w:val="28"/>
                          <w:vertAlign w:val="subscript"/>
                        </w:rPr>
                        <w:t>Q</w:t>
                      </w:r>
                      <w:r>
                        <w:rPr>
                          <w:b/>
                          <w:bCs/>
                          <w:color w:val="000000" w:themeColor="text1"/>
                          <w:kern w:val="24"/>
                          <w:sz w:val="28"/>
                          <w:szCs w:val="28"/>
                        </w:rPr>
                        <w:t xml:space="preserve"> [-]</w:t>
                      </w:r>
                    </w:p>
                  </w:txbxContent>
                </v:textbox>
              </v:rect>
            </w:pict>
          </mc:Fallback>
        </mc:AlternateContent>
      </w:r>
    </w:p>
    <w:p w:rsidR="007E5223" w:rsidRPr="00B945F6" w:rsidRDefault="0010650D" w:rsidP="007E5223">
      <w:pPr>
        <w:pStyle w:val="CETBodytext"/>
      </w:pPr>
      <w:r w:rsidRPr="0010650D">
        <w:rPr>
          <w:noProof/>
          <w:lang w:val="it-IT" w:eastAsia="it-IT"/>
        </w:rPr>
        <mc:AlternateContent>
          <mc:Choice Requires="wps">
            <w:drawing>
              <wp:anchor distT="0" distB="0" distL="114300" distR="114300" simplePos="0" relativeHeight="251680768" behindDoc="0" locked="0" layoutInCell="1" allowOverlap="1" wp14:anchorId="6B6D5FA9" wp14:editId="7E57C4C8">
                <wp:simplePos x="0" y="0"/>
                <wp:positionH relativeFrom="column">
                  <wp:posOffset>938889</wp:posOffset>
                </wp:positionH>
                <wp:positionV relativeFrom="paragraph">
                  <wp:posOffset>851424</wp:posOffset>
                </wp:positionV>
                <wp:extent cx="1693628" cy="130507"/>
                <wp:effectExtent l="0" t="0" r="1905" b="3175"/>
                <wp:wrapNone/>
                <wp:docPr id="18"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130507"/>
                        </a:xfrm>
                        <a:prstGeom prst="rect">
                          <a:avLst/>
                        </a:prstGeom>
                        <a:solidFill>
                          <a:srgbClr val="FFFFFF"/>
                        </a:solidFill>
                        <a:ln w="9525">
                          <a:noFill/>
                          <a:miter lim="800000"/>
                          <a:headEnd/>
                          <a:tailEnd/>
                        </a:ln>
                      </wps:spPr>
                      <wps:txbx>
                        <w:txbxContent>
                          <w:p w:rsidR="0010650D" w:rsidRDefault="0010650D" w:rsidP="0010650D">
                            <w:pPr>
                              <w:pStyle w:val="NormaleWeb"/>
                            </w:pPr>
                            <w:r>
                              <w:rPr>
                                <w:sz w:val="14"/>
                                <w:szCs w:val="14"/>
                              </w:rPr>
                              <w:t>CFD_Baff_DNS_Tamburini et al. (2018)</w:t>
                            </w:r>
                          </w:p>
                        </w:txbxContent>
                      </wps:txbx>
                      <wps:bodyPr rot="0" vert="horz" wrap="square" lIns="0" tIns="0" rIns="0" bIns="0" anchor="t" anchorCtr="0">
                        <a:noAutofit/>
                      </wps:bodyPr>
                    </wps:wsp>
                  </a:graphicData>
                </a:graphic>
              </wp:anchor>
            </w:drawing>
          </mc:Choice>
          <mc:Fallback>
            <w:pict>
              <v:shape w14:anchorId="6B6D5FA9" id="_x0000_s1032" type="#_x0000_t202" style="position:absolute;left:0;text-align:left;margin-left:73.95pt;margin-top:67.05pt;width:133.35pt;height:10.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" stroked="f">
                <v:textbox inset="0,0,0,0">
                  <w:txbxContent>
                    <w:p w:rsidR="0010650D" w:rsidRDefault="0010650D" w:rsidP="0010650D">
                      <w:pPr>
                        <w:pStyle w:val="NormaleWeb"/>
                      </w:pPr>
                      <w:r>
                        <w:rPr>
                          <w:sz w:val="14"/>
                          <w:szCs w:val="14"/>
                        </w:rPr>
                        <w:t>CFD_Baff_DNS_Tamburini et al. (2018)</w:t>
                      </w:r>
                    </w:p>
                  </w:txbxContent>
                </v:textbox>
              </v:shape>
            </w:pict>
          </mc:Fallback>
        </mc:AlternateContent>
      </w:r>
      <w:r>
        <w:rPr>
          <w:noProof/>
          <w:lang w:val="it-IT" w:eastAsia="it-IT"/>
        </w:rPr>
        <mc:AlternateContent>
          <mc:Choice Requires="wps">
            <w:drawing>
              <wp:anchor distT="45720" distB="45720" distL="114300" distR="114300" simplePos="0" relativeHeight="251678720" behindDoc="0" locked="0" layoutInCell="1" allowOverlap="1" wp14:anchorId="228787AE" wp14:editId="446CD343">
                <wp:simplePos x="0" y="0"/>
                <wp:positionH relativeFrom="margin">
                  <wp:posOffset>940490</wp:posOffset>
                </wp:positionH>
                <wp:positionV relativeFrom="paragraph">
                  <wp:posOffset>534974</wp:posOffset>
                </wp:positionV>
                <wp:extent cx="1176793" cy="127221"/>
                <wp:effectExtent l="0" t="0" r="4445" b="635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127221"/>
                        </a:xfrm>
                        <a:prstGeom prst="rect">
                          <a:avLst/>
                        </a:prstGeom>
                        <a:solidFill>
                          <a:srgbClr val="FFFFFF"/>
                        </a:solidFill>
                        <a:ln w="9525">
                          <a:noFill/>
                          <a:miter lim="800000"/>
                          <a:headEnd/>
                          <a:tailEnd/>
                        </a:ln>
                      </wps:spPr>
                      <wps:txbx>
                        <w:txbxContent>
                          <w:p w:rsidR="0010650D" w:rsidRPr="0010650D" w:rsidRDefault="0010650D" w:rsidP="0010650D">
                            <w:pPr>
                              <w:jc w:val="left"/>
                              <w:rPr>
                                <w:sz w:val="14"/>
                                <w:szCs w:val="14"/>
                                <w:lang w:val="en-US"/>
                              </w:rPr>
                            </w:pPr>
                            <w:r w:rsidRPr="0010650D">
                              <w:rPr>
                                <w:sz w:val="14"/>
                                <w:szCs w:val="14"/>
                                <w:lang w:val="en-US"/>
                              </w:rPr>
                              <w:t>CFD_Unbaff_k-</w:t>
                            </w:r>
                            <w:r w:rsidRPr="0010650D">
                              <w:rPr>
                                <w:rFonts w:ascii="Symbol" w:hAnsi="Symbol"/>
                                <w:sz w:val="14"/>
                                <w:szCs w:val="14"/>
                                <w:lang w:val="en-US"/>
                              </w:rPr>
                              <w:t></w:t>
                            </w:r>
                            <w:r w:rsidRPr="0010650D">
                              <w:rPr>
                                <w:sz w:val="14"/>
                                <w:szCs w:val="14"/>
                                <w:lang w:val="en-US"/>
                              </w:rPr>
                              <w:t xml:space="preserve"> SST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87AE" id="Casella di testo 17" o:spid="_x0000_s1033" type="#_x0000_t202" style="position:absolute;left:0;text-align:left;margin-left:74.05pt;margin-top:42.1pt;width:92.65pt;height:10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" stroked="f">
                <v:textbox inset="0,0,0,0">
                  <w:txbxContent>
                    <w:p w:rsidR="0010650D" w:rsidRPr="0010650D" w:rsidRDefault="0010650D" w:rsidP="0010650D">
                      <w:pPr>
                        <w:jc w:val="left"/>
                        <w:rPr>
                          <w:sz w:val="14"/>
                          <w:szCs w:val="14"/>
                          <w:lang w:val="en-US"/>
                        </w:rPr>
                      </w:pPr>
                      <w:r w:rsidRPr="0010650D">
                        <w:rPr>
                          <w:sz w:val="14"/>
                          <w:szCs w:val="14"/>
                          <w:lang w:val="en-US"/>
                        </w:rPr>
                        <w:t>CFD_Unbaff_k-</w:t>
                      </w:r>
                      <w:r w:rsidRPr="0010650D">
                        <w:rPr>
                          <w:rFonts w:ascii="Symbol" w:hAnsi="Symbol"/>
                          <w:sz w:val="14"/>
                          <w:szCs w:val="14"/>
                          <w:lang w:val="en-US"/>
                        </w:rPr>
                        <w:t></w:t>
                      </w:r>
                      <w:r w:rsidRPr="0010650D">
                        <w:rPr>
                          <w:sz w:val="14"/>
                          <w:szCs w:val="14"/>
                          <w:lang w:val="en-US"/>
                        </w:rPr>
                        <w:t xml:space="preserve"> SST</w:t>
                      </w:r>
                    </w:p>
                  </w:txbxContent>
                </v:textbox>
                <w10:wrap anchorx="margin"/>
              </v:shape>
            </w:pict>
          </mc:Fallback>
        </mc:AlternateContent>
      </w:r>
      <w:r>
        <w:rPr>
          <w:noProof/>
          <w:lang w:val="it-IT" w:eastAsia="it-IT"/>
        </w:rPr>
        <mc:AlternateContent>
          <mc:Choice Requires="wps">
            <w:drawing>
              <wp:anchor distT="45720" distB="45720" distL="114300" distR="114300" simplePos="0" relativeHeight="251676672" behindDoc="0" locked="0" layoutInCell="1" allowOverlap="1" wp14:anchorId="0D96754F" wp14:editId="601F0B06">
                <wp:simplePos x="0" y="0"/>
                <wp:positionH relativeFrom="margin">
                  <wp:posOffset>939496</wp:posOffset>
                </wp:positionH>
                <wp:positionV relativeFrom="paragraph">
                  <wp:posOffset>390746</wp:posOffset>
                </wp:positionV>
                <wp:extent cx="1176793" cy="127221"/>
                <wp:effectExtent l="0" t="0" r="4445" b="635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127221"/>
                        </a:xfrm>
                        <a:prstGeom prst="rect">
                          <a:avLst/>
                        </a:prstGeom>
                        <a:solidFill>
                          <a:srgbClr val="FFFFFF"/>
                        </a:solidFill>
                        <a:ln w="9525">
                          <a:noFill/>
                          <a:miter lim="800000"/>
                          <a:headEnd/>
                          <a:tailEnd/>
                        </a:ln>
                      </wps:spPr>
                      <wps:txbx>
                        <w:txbxContent>
                          <w:p w:rsidR="0010650D" w:rsidRPr="0010650D" w:rsidRDefault="0010650D" w:rsidP="0010650D">
                            <w:pPr>
                              <w:jc w:val="left"/>
                              <w:rPr>
                                <w:sz w:val="14"/>
                                <w:szCs w:val="14"/>
                                <w:lang w:val="en-US"/>
                              </w:rPr>
                            </w:pPr>
                            <w:r w:rsidRPr="0010650D">
                              <w:rPr>
                                <w:sz w:val="14"/>
                                <w:szCs w:val="14"/>
                                <w:lang w:val="en-US"/>
                              </w:rPr>
                              <w:t>CFD_Baff_k-</w:t>
                            </w:r>
                            <w:r w:rsidRPr="0010650D">
                              <w:rPr>
                                <w:rFonts w:ascii="Symbol" w:hAnsi="Symbol"/>
                                <w:sz w:val="14"/>
                                <w:szCs w:val="14"/>
                                <w:lang w:val="en-US"/>
                              </w:rPr>
                              <w:t></w:t>
                            </w:r>
                            <w:r w:rsidRPr="0010650D">
                              <w:rPr>
                                <w:sz w:val="14"/>
                                <w:szCs w:val="14"/>
                                <w:lang w:val="en-US"/>
                              </w:rPr>
                              <w:t xml:space="preserve"> SST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6754F" id="Casella di testo 16" o:spid="_x0000_s1034" type="#_x0000_t202" style="position:absolute;left:0;text-align:left;margin-left:74pt;margin-top:30.75pt;width:92.65pt;height:1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" stroked="f">
                <v:textbox inset="0,0,0,0">
                  <w:txbxContent>
                    <w:p w:rsidR="0010650D" w:rsidRPr="0010650D" w:rsidRDefault="0010650D" w:rsidP="0010650D">
                      <w:pPr>
                        <w:jc w:val="left"/>
                        <w:rPr>
                          <w:sz w:val="14"/>
                          <w:szCs w:val="14"/>
                          <w:lang w:val="en-US"/>
                        </w:rPr>
                      </w:pPr>
                      <w:r w:rsidRPr="0010650D">
                        <w:rPr>
                          <w:sz w:val="14"/>
                          <w:szCs w:val="14"/>
                          <w:lang w:val="en-US"/>
                        </w:rPr>
                        <w:t>CFD_Baff_k-</w:t>
                      </w:r>
                      <w:r w:rsidRPr="0010650D">
                        <w:rPr>
                          <w:rFonts w:ascii="Symbol" w:hAnsi="Symbol"/>
                          <w:sz w:val="14"/>
                          <w:szCs w:val="14"/>
                          <w:lang w:val="en-US"/>
                        </w:rPr>
                        <w:t></w:t>
                      </w:r>
                      <w:r w:rsidRPr="0010650D">
                        <w:rPr>
                          <w:sz w:val="14"/>
                          <w:szCs w:val="14"/>
                          <w:lang w:val="en-US"/>
                        </w:rPr>
                        <w:t xml:space="preserve"> SST</w:t>
                      </w:r>
                    </w:p>
                  </w:txbxContent>
                </v:textbox>
                <w10:wrap anchorx="margin"/>
              </v:shape>
            </w:pict>
          </mc:Fallback>
        </mc:AlternateContent>
      </w:r>
      <w:r w:rsidR="005047E5">
        <w:rPr>
          <w:noProof/>
          <w:lang w:val="it-IT" w:eastAsia="it-IT"/>
        </w:rPr>
        <mc:AlternateContent>
          <mc:Choice Requires="wps">
            <w:drawing>
              <wp:anchor distT="45720" distB="45720" distL="114300" distR="114300" simplePos="0" relativeHeight="251664384" behindDoc="0" locked="0" layoutInCell="1" allowOverlap="1" wp14:anchorId="42FF7B2B" wp14:editId="5E24F43D">
                <wp:simplePos x="0" y="0"/>
                <wp:positionH relativeFrom="margin">
                  <wp:align>right</wp:align>
                </wp:positionH>
                <wp:positionV relativeFrom="paragraph">
                  <wp:posOffset>1160780</wp:posOffset>
                </wp:positionV>
                <wp:extent cx="1248508" cy="536330"/>
                <wp:effectExtent l="0" t="0" r="27940" b="1651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508" cy="536330"/>
                        </a:xfrm>
                        <a:prstGeom prst="rect">
                          <a:avLst/>
                        </a:prstGeom>
                        <a:solidFill>
                          <a:srgbClr val="FFFFFF"/>
                        </a:solidFill>
                        <a:ln w="9525">
                          <a:solidFill>
                            <a:srgbClr val="000000"/>
                          </a:solidFill>
                          <a:miter lim="800000"/>
                          <a:headEnd/>
                          <a:tailEnd/>
                        </a:ln>
                      </wps:spPr>
                      <wps:txbx>
                        <w:txbxContent>
                          <w:p w:rsidR="005047E5" w:rsidRPr="00D50A3F" w:rsidRDefault="005047E5" w:rsidP="005047E5">
                            <w:pPr>
                              <w:jc w:val="left"/>
                              <w:rPr>
                                <w:lang w:val="it-IT"/>
                              </w:rPr>
                            </w:pPr>
                            <w:r>
                              <w:t>N</w:t>
                            </w:r>
                            <w:r>
                              <w:rPr>
                                <w:vertAlign w:val="subscript"/>
                              </w:rPr>
                              <w:t>Q</w:t>
                            </w:r>
                            <w:r>
                              <w:t xml:space="preserve"> </w:t>
                            </w:r>
                            <w:r w:rsidRPr="00D50A3F">
                              <w:t>~</w:t>
                            </w:r>
                            <w:r>
                              <w:t xml:space="preserve"> </w:t>
                            </w:r>
                            <w:r w:rsidRPr="00D50A3F">
                              <w:t>0.</w:t>
                            </w:r>
                            <w:r>
                              <w:t>34</w:t>
                            </w:r>
                            <w:r>
                              <w:br/>
                              <w:t>Nagata (1975</w:t>
                            </w:r>
                            <w:r w:rsidRPr="00D50A3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F7B2B" id="_x0000_s1035" type="#_x0000_t202" style="position:absolute;left:0;text-align:left;margin-left:47.1pt;margin-top:91.4pt;width:98.3pt;height:4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">
                <v:textbox>
                  <w:txbxContent>
                    <w:p w:rsidR="005047E5" w:rsidRPr="00D50A3F" w:rsidRDefault="005047E5" w:rsidP="005047E5">
                      <w:pPr>
                        <w:jc w:val="left"/>
                        <w:rPr>
                          <w:lang w:val="it-IT"/>
                        </w:rPr>
                      </w:pPr>
                      <w:r>
                        <w:t>N</w:t>
                      </w:r>
                      <w:r>
                        <w:rPr>
                          <w:vertAlign w:val="subscript"/>
                        </w:rPr>
                        <w:t>Q</w:t>
                      </w:r>
                      <w:r>
                        <w:t xml:space="preserve"> </w:t>
                      </w:r>
                      <w:r w:rsidRPr="00D50A3F">
                        <w:t>~</w:t>
                      </w:r>
                      <w:r>
                        <w:t xml:space="preserve"> </w:t>
                      </w:r>
                      <w:r w:rsidRPr="00D50A3F">
                        <w:t>0.</w:t>
                      </w:r>
                      <w:r>
                        <w:t>34</w:t>
                      </w:r>
                      <w:r>
                        <w:br/>
                        <w:t>Nagata (1975</w:t>
                      </w:r>
                      <w:r w:rsidRPr="00D50A3F">
                        <w:t>)</w:t>
                      </w:r>
                    </w:p>
                  </w:txbxContent>
                </v:textbox>
                <w10:wrap anchorx="margin"/>
              </v:shape>
            </w:pict>
          </mc:Fallback>
        </mc:AlternateContent>
      </w:r>
      <w:r w:rsidR="003B0401">
        <w:rPr>
          <w:noProof/>
          <w:lang w:val="it-IT" w:eastAsia="it-IT"/>
        </w:rPr>
        <mc:AlternateContent>
          <mc:Choice Requires="wps">
            <w:drawing>
              <wp:anchor distT="45720" distB="45720" distL="114300" distR="114300" simplePos="0" relativeHeight="251662336" behindDoc="0" locked="0" layoutInCell="1" allowOverlap="1">
                <wp:simplePos x="0" y="0"/>
                <wp:positionH relativeFrom="margin">
                  <wp:posOffset>4300757</wp:posOffset>
                </wp:positionH>
                <wp:positionV relativeFrom="paragraph">
                  <wp:posOffset>323314</wp:posOffset>
                </wp:positionV>
                <wp:extent cx="1248508" cy="536330"/>
                <wp:effectExtent l="0" t="0" r="27940" b="1651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508" cy="536330"/>
                        </a:xfrm>
                        <a:prstGeom prst="rect">
                          <a:avLst/>
                        </a:prstGeom>
                        <a:solidFill>
                          <a:srgbClr val="FFFFFF"/>
                        </a:solidFill>
                        <a:ln w="9525">
                          <a:solidFill>
                            <a:srgbClr val="000000"/>
                          </a:solidFill>
                          <a:miter lim="800000"/>
                          <a:headEnd/>
                          <a:tailEnd/>
                        </a:ln>
                      </wps:spPr>
                      <wps:txbx>
                        <w:txbxContent>
                          <w:p w:rsidR="00D50A3F" w:rsidRPr="003B0401" w:rsidRDefault="00D50A3F" w:rsidP="00D50A3F">
                            <w:pPr>
                              <w:jc w:val="left"/>
                              <w:rPr>
                                <w:sz w:val="16"/>
                                <w:szCs w:val="16"/>
                                <w:lang w:val="it-IT"/>
                              </w:rPr>
                            </w:pPr>
                            <w:r w:rsidRPr="003B0401">
                              <w:rPr>
                                <w:sz w:val="16"/>
                                <w:szCs w:val="16"/>
                              </w:rPr>
                              <w:t>N</w:t>
                            </w:r>
                            <w:r w:rsidR="005047E5" w:rsidRPr="003B0401">
                              <w:rPr>
                                <w:sz w:val="16"/>
                                <w:szCs w:val="16"/>
                                <w:vertAlign w:val="subscript"/>
                              </w:rPr>
                              <w:t>Q</w:t>
                            </w:r>
                            <w:r w:rsidR="00574355" w:rsidRPr="003B0401">
                              <w:rPr>
                                <w:sz w:val="16"/>
                                <w:szCs w:val="16"/>
                              </w:rPr>
                              <w:t xml:space="preserve"> </w:t>
                            </w:r>
                            <w:r w:rsidRPr="003B0401">
                              <w:rPr>
                                <w:sz w:val="16"/>
                                <w:szCs w:val="16"/>
                              </w:rPr>
                              <w:t>~</w:t>
                            </w:r>
                            <w:r w:rsidR="00574355" w:rsidRPr="003B0401">
                              <w:rPr>
                                <w:sz w:val="16"/>
                                <w:szCs w:val="16"/>
                              </w:rPr>
                              <w:t xml:space="preserve"> </w:t>
                            </w:r>
                            <w:r w:rsidRPr="003B0401">
                              <w:rPr>
                                <w:sz w:val="16"/>
                                <w:szCs w:val="16"/>
                              </w:rPr>
                              <w:t>0.73</w:t>
                            </w:r>
                            <w:r w:rsidRPr="003B0401">
                              <w:rPr>
                                <w:sz w:val="16"/>
                                <w:szCs w:val="16"/>
                              </w:rPr>
                              <w:br/>
                              <w:t>Costes and Couderc (1988)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8.65pt;margin-top:25.45pt;width:98.3pt;height:4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">
                <v:textbox>
                  <w:txbxContent>
                    <w:p w:rsidR="00D50A3F" w:rsidRPr="003B0401" w:rsidRDefault="00D50A3F" w:rsidP="00D50A3F">
                      <w:pPr>
                        <w:jc w:val="left"/>
                        <w:rPr>
                          <w:sz w:val="16"/>
                          <w:szCs w:val="16"/>
                          <w:lang w:val="it-IT"/>
                        </w:rPr>
                      </w:pPr>
                      <w:r w:rsidRPr="003B0401">
                        <w:rPr>
                          <w:sz w:val="16"/>
                          <w:szCs w:val="16"/>
                        </w:rPr>
                        <w:t>N</w:t>
                      </w:r>
                      <w:r w:rsidR="005047E5" w:rsidRPr="003B0401">
                        <w:rPr>
                          <w:sz w:val="16"/>
                          <w:szCs w:val="16"/>
                          <w:vertAlign w:val="subscript"/>
                        </w:rPr>
                        <w:t>Q</w:t>
                      </w:r>
                      <w:r w:rsidR="00574355" w:rsidRPr="003B0401">
                        <w:rPr>
                          <w:sz w:val="16"/>
                          <w:szCs w:val="16"/>
                        </w:rPr>
                        <w:t xml:space="preserve"> </w:t>
                      </w:r>
                      <w:r w:rsidRPr="003B0401">
                        <w:rPr>
                          <w:sz w:val="16"/>
                          <w:szCs w:val="16"/>
                        </w:rPr>
                        <w:t>~</w:t>
                      </w:r>
                      <w:r w:rsidR="00574355" w:rsidRPr="003B0401">
                        <w:rPr>
                          <w:sz w:val="16"/>
                          <w:szCs w:val="16"/>
                        </w:rPr>
                        <w:t xml:space="preserve"> </w:t>
                      </w:r>
                      <w:r w:rsidRPr="003B0401">
                        <w:rPr>
                          <w:sz w:val="16"/>
                          <w:szCs w:val="16"/>
                        </w:rPr>
                        <w:t>0.73</w:t>
                      </w:r>
                      <w:r w:rsidRPr="003B0401">
                        <w:rPr>
                          <w:sz w:val="16"/>
                          <w:szCs w:val="16"/>
                        </w:rPr>
                        <w:br/>
                        <w:t>Costes and Couderc (1988)</w:t>
                      </w:r>
                    </w:p>
                  </w:txbxContent>
                </v:textbox>
                <w10:wrap anchorx="margin"/>
              </v:shape>
            </w:pict>
          </mc:Fallback>
        </mc:AlternateContent>
      </w:r>
      <w:r w:rsidR="007E5223" w:rsidRPr="00B945F6">
        <w:rPr>
          <w:noProof/>
          <w:lang w:val="it-IT" w:eastAsia="it-IT"/>
        </w:rPr>
        <w:drawing>
          <wp:inline distT="0" distB="0" distL="0" distR="0" wp14:anchorId="2320C8C2" wp14:editId="3BC27346">
            <wp:extent cx="5579745" cy="3129280"/>
            <wp:effectExtent l="0" t="0" r="1905" b="1397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E5223" w:rsidRPr="00B945F6">
        <w:rPr>
          <w:noProof/>
          <w:lang w:val="it-IT" w:eastAsia="it-IT"/>
        </w:rPr>
        <w:drawing>
          <wp:anchor distT="0" distB="0" distL="114300" distR="114300" simplePos="0" relativeHeight="251660288" behindDoc="0" locked="0" layoutInCell="1" allowOverlap="1" wp14:anchorId="78C888E7" wp14:editId="40390FC9">
            <wp:simplePos x="0" y="0"/>
            <wp:positionH relativeFrom="column">
              <wp:posOffset>11953240</wp:posOffset>
            </wp:positionH>
            <wp:positionV relativeFrom="paragraph">
              <wp:posOffset>5987415</wp:posOffset>
            </wp:positionV>
            <wp:extent cx="2699792" cy="1778044"/>
            <wp:effectExtent l="0" t="0" r="5715" b="0"/>
            <wp:wrapNone/>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3"/>
                    <a:stretch>
                      <a:fillRect/>
                    </a:stretch>
                  </pic:blipFill>
                  <pic:spPr>
                    <a:xfrm>
                      <a:off x="0" y="0"/>
                      <a:ext cx="2699792" cy="1778044"/>
                    </a:xfrm>
                    <a:prstGeom prst="rect">
                      <a:avLst/>
                    </a:prstGeom>
                  </pic:spPr>
                </pic:pic>
              </a:graphicData>
            </a:graphic>
          </wp:anchor>
        </w:drawing>
      </w:r>
    </w:p>
    <w:p w:rsidR="007E5223" w:rsidRPr="00BD71A0" w:rsidRDefault="007E5223" w:rsidP="007E5223">
      <w:pPr>
        <w:pStyle w:val="CETCaption"/>
        <w:rPr>
          <w:lang w:val="en-US"/>
        </w:rPr>
      </w:pPr>
      <w:r w:rsidRPr="00574355">
        <w:t xml:space="preserve">Figure </w:t>
      </w:r>
      <w:r w:rsidR="007B5504" w:rsidRPr="00574355">
        <w:t>3</w:t>
      </w:r>
      <w:r w:rsidRPr="00574355">
        <w:t>: Pumping</w:t>
      </w:r>
      <w:r>
        <w:t xml:space="preserve"> Number as a function of the Reynolds number </w:t>
      </w:r>
      <w:r w:rsidRPr="00BD71A0">
        <w:rPr>
          <w:lang w:val="en-US"/>
        </w:rPr>
        <w:t xml:space="preserve"> </w:t>
      </w:r>
    </w:p>
    <w:p w:rsidR="009D67A6" w:rsidRDefault="008C4E80" w:rsidP="009D67A6">
      <w:pPr>
        <w:pStyle w:val="CETBodytext"/>
      </w:pPr>
      <w:r w:rsidRPr="00541D99">
        <w:t xml:space="preserve">Azimuthally averaged </w:t>
      </w:r>
      <w:r w:rsidR="009D67A6" w:rsidRPr="00541D99">
        <w:t xml:space="preserve">radial profiles of axial and tangential velocity component were also calculated and are not reported for the sake of brevity. </w:t>
      </w:r>
      <w:r w:rsidRPr="00541D99">
        <w:t>A</w:t>
      </w:r>
      <w:r w:rsidR="009D67A6" w:rsidRPr="00541D99">
        <w:t xml:space="preserve">t the </w:t>
      </w:r>
      <w:r w:rsidRPr="00541D99">
        <w:t>highest</w:t>
      </w:r>
      <w:r w:rsidR="009D67A6" w:rsidRPr="00541D99">
        <w:t xml:space="preserve"> Re investigated</w:t>
      </w:r>
      <w:r w:rsidRPr="00541D99">
        <w:t xml:space="preserve"> (i.e. Re=33000)</w:t>
      </w:r>
      <w:r w:rsidR="009D67A6" w:rsidRPr="00541D99">
        <w:t>, the k-</w:t>
      </w:r>
      <w:r w:rsidR="009D67A6" w:rsidRPr="00541D99">
        <w:rPr>
          <w:rFonts w:ascii="Symbol" w:hAnsi="Symbol"/>
        </w:rPr>
        <w:t></w:t>
      </w:r>
      <w:r w:rsidR="009D67A6" w:rsidRPr="00541D99">
        <w:t xml:space="preserve"> SST predicted that axial velocities are higher in the baffled tank, while tangential velocity are higher in the unbaffled tank</w:t>
      </w:r>
      <w:r w:rsidRPr="00541D99">
        <w:t>, as expected</w:t>
      </w:r>
      <w:r w:rsidR="009D67A6" w:rsidRPr="00541D99">
        <w:t>.</w:t>
      </w:r>
    </w:p>
    <w:p w:rsidR="009D67A6" w:rsidRDefault="009D67A6" w:rsidP="009D67A6">
      <w:pPr>
        <w:pStyle w:val="CETBodytext"/>
      </w:pPr>
    </w:p>
    <w:p w:rsidR="00BD71A0" w:rsidRPr="008C4E80" w:rsidRDefault="009D67A6" w:rsidP="008C4E80">
      <w:pPr>
        <w:pStyle w:val="CETBodytext"/>
      </w:pPr>
      <w:r>
        <w:t>On overall, the comparison of the two systems suggest that</w:t>
      </w:r>
      <w:r w:rsidR="008C4E80">
        <w:t xml:space="preserve"> in accordance with literature findings</w:t>
      </w:r>
      <w:r>
        <w:t xml:space="preserve"> the higher flowrate discharged by the impeller</w:t>
      </w:r>
      <w:r w:rsidR="002F475F">
        <w:t xml:space="preserve"> </w:t>
      </w:r>
      <w:r>
        <w:t>(higher N</w:t>
      </w:r>
      <w:r w:rsidRPr="001C65A8">
        <w:rPr>
          <w:vertAlign w:val="subscript"/>
        </w:rPr>
        <w:t>Q</w:t>
      </w:r>
      <w:r>
        <w:t>) is somehow paid by higher power requirements (higher N</w:t>
      </w:r>
      <w:r>
        <w:rPr>
          <w:vertAlign w:val="subscript"/>
        </w:rPr>
        <w:t>p</w:t>
      </w:r>
      <w:r>
        <w:t>) in the baffled tanks</w:t>
      </w:r>
      <w:r w:rsidR="008C4E80">
        <w:t xml:space="preserve"> at any Re larger than the bifurcation one. Thus, the flow patterns occurring within the so-called transitional regime conditions (i.e. from bifurcation to fully turbulent conditions) should be regarded as the main responsible for the </w:t>
      </w:r>
      <w:r w:rsidR="008C4E80" w:rsidRPr="008C4E80">
        <w:t>differentiation</w:t>
      </w:r>
      <w:r w:rsidR="008C4E80">
        <w:t xml:space="preserve"> of the two systems. </w:t>
      </w:r>
    </w:p>
    <w:p w:rsidR="00BD71A0" w:rsidRPr="009D67A6" w:rsidRDefault="00BD71A0" w:rsidP="00570D90">
      <w:pPr>
        <w:pStyle w:val="CETBodytext"/>
      </w:pPr>
    </w:p>
    <w:p w:rsidR="00600535" w:rsidRPr="00B57B36" w:rsidRDefault="00600535" w:rsidP="00600535">
      <w:pPr>
        <w:pStyle w:val="CETHeading1"/>
        <w:rPr>
          <w:lang w:val="en-GB"/>
        </w:rPr>
      </w:pPr>
      <w:r w:rsidRPr="00B57B36">
        <w:rPr>
          <w:lang w:val="en-GB"/>
        </w:rPr>
        <w:lastRenderedPageBreak/>
        <w:t>Conclusions</w:t>
      </w:r>
    </w:p>
    <w:p w:rsidR="007B5504" w:rsidRDefault="007B5504" w:rsidP="00600535">
      <w:pPr>
        <w:pStyle w:val="CETBodytext"/>
        <w:rPr>
          <w:lang w:val="en-GB"/>
        </w:rPr>
      </w:pPr>
      <w:r>
        <w:rPr>
          <w:lang w:val="en-GB"/>
        </w:rPr>
        <w:t>The k-</w:t>
      </w:r>
      <w:r w:rsidRPr="000B05AA">
        <w:rPr>
          <w:rFonts w:ascii="Symbol" w:hAnsi="Symbol"/>
          <w:lang w:val="en-GB"/>
        </w:rPr>
        <w:t></w:t>
      </w:r>
      <w:r>
        <w:rPr>
          <w:lang w:val="en-GB"/>
        </w:rPr>
        <w:t xml:space="preserve"> SST was found able to catch the different behaviour of the two systems</w:t>
      </w:r>
      <w:r w:rsidR="00C73720">
        <w:rPr>
          <w:lang w:val="en-GB"/>
        </w:rPr>
        <w:t>.</w:t>
      </w:r>
      <w:r>
        <w:rPr>
          <w:lang w:val="en-GB"/>
        </w:rPr>
        <w:t xml:space="preserve"> </w:t>
      </w:r>
      <w:r w:rsidR="00C73720">
        <w:rPr>
          <w:lang w:val="en-GB"/>
        </w:rPr>
        <w:t>A</w:t>
      </w:r>
      <w:r>
        <w:rPr>
          <w:lang w:val="en-GB"/>
        </w:rPr>
        <w:t>t Re larger than the bifurcation one, the model was able to predict the increasing trend of N</w:t>
      </w:r>
      <w:r w:rsidRPr="000B05AA">
        <w:rPr>
          <w:vertAlign w:val="subscript"/>
          <w:lang w:val="en-GB"/>
        </w:rPr>
        <w:t>p</w:t>
      </w:r>
      <w:r>
        <w:rPr>
          <w:lang w:val="en-GB"/>
        </w:rPr>
        <w:t xml:space="preserve"> with Reynolds up to the achievement of a plateau at fully turbulent conditions at which a very good match wi</w:t>
      </w:r>
      <w:r w:rsidR="00C73720">
        <w:rPr>
          <w:lang w:val="en-GB"/>
        </w:rPr>
        <w:t>th experimental data was found.</w:t>
      </w:r>
      <w:r>
        <w:rPr>
          <w:lang w:val="en-GB"/>
        </w:rPr>
        <w:t xml:space="preserve"> </w:t>
      </w:r>
      <w:r w:rsidR="00C73720">
        <w:rPr>
          <w:lang w:val="en-GB"/>
        </w:rPr>
        <w:t>Similarly, the decreasing trend of N</w:t>
      </w:r>
      <w:r w:rsidR="00C73720" w:rsidRPr="000F4071">
        <w:rPr>
          <w:vertAlign w:val="subscript"/>
          <w:lang w:val="en-GB"/>
        </w:rPr>
        <w:t>p</w:t>
      </w:r>
      <w:r w:rsidR="00C73720">
        <w:rPr>
          <w:lang w:val="en-GB"/>
        </w:rPr>
        <w:t xml:space="preserve"> with Re typical of unbaffled tanks was correctly predicted by the model, although the agreement with experiments was poor at large Re probably because of the high turbulence anisotropy </w:t>
      </w:r>
      <w:r w:rsidR="000F4071">
        <w:rPr>
          <w:lang w:val="en-GB"/>
        </w:rPr>
        <w:t xml:space="preserve">typical of </w:t>
      </w:r>
      <w:r w:rsidR="00C73720">
        <w:rPr>
          <w:lang w:val="en-GB"/>
        </w:rPr>
        <w:t>these Re.</w:t>
      </w:r>
    </w:p>
    <w:p w:rsidR="000B05AA" w:rsidRDefault="000B05AA" w:rsidP="000B05AA">
      <w:pPr>
        <w:pStyle w:val="CETBodytext"/>
      </w:pPr>
      <w:r>
        <w:rPr>
          <w:lang w:val="en-GB"/>
        </w:rPr>
        <w:t xml:space="preserve">Concerning the </w:t>
      </w:r>
      <w:r>
        <w:t>N</w:t>
      </w:r>
      <w:r w:rsidRPr="001C65A8">
        <w:rPr>
          <w:vertAlign w:val="subscript"/>
        </w:rPr>
        <w:t>Q</w:t>
      </w:r>
      <w:r>
        <w:t xml:space="preserve"> predictions, a reasonable trend of N</w:t>
      </w:r>
      <w:r w:rsidRPr="001C65A8">
        <w:rPr>
          <w:vertAlign w:val="subscript"/>
        </w:rPr>
        <w:t>Q</w:t>
      </w:r>
      <w:r>
        <w:t xml:space="preserve"> vs Re for both the baffled and unbaffled tank and the corresponding asymptotic values were fairly well predicted.</w:t>
      </w:r>
    </w:p>
    <w:p w:rsidR="000B05AA" w:rsidRDefault="00A236E2" w:rsidP="000B05AA">
      <w:pPr>
        <w:pStyle w:val="CETBodytext"/>
      </w:pPr>
      <w:r>
        <w:t>Additional simulations to be performed with different turbulence models are needed to compare results and properly assess k-</w:t>
      </w:r>
      <w:r w:rsidRPr="00A236E2">
        <w:rPr>
          <w:rFonts w:ascii="Symbol" w:hAnsi="Symbol"/>
        </w:rPr>
        <w:t></w:t>
      </w:r>
      <w:r w:rsidR="00E959D5">
        <w:t xml:space="preserve"> SST performance within the investigated range of Re ranging from</w:t>
      </w:r>
      <w:r>
        <w:t xml:space="preserve"> early to fully turbulent</w:t>
      </w:r>
      <w:r w:rsidR="00E959D5">
        <w:t xml:space="preserve"> conditions</w:t>
      </w:r>
      <w:r>
        <w:t>.</w:t>
      </w:r>
    </w:p>
    <w:p w:rsidR="00A236E2" w:rsidRPr="000B05AA" w:rsidRDefault="00A236E2" w:rsidP="000B05AA">
      <w:pPr>
        <w:pStyle w:val="CETBodytext"/>
      </w:pPr>
    </w:p>
    <w:p w:rsidR="00600535" w:rsidRPr="004A36A5" w:rsidRDefault="00600535" w:rsidP="00600535">
      <w:pPr>
        <w:pStyle w:val="CETReference"/>
        <w:rPr>
          <w:lang w:val="it-IT"/>
        </w:rPr>
      </w:pPr>
      <w:r w:rsidRPr="004A36A5">
        <w:rPr>
          <w:lang w:val="it-IT"/>
        </w:rPr>
        <w:t>References</w:t>
      </w:r>
    </w:p>
    <w:p w:rsidR="0096082E" w:rsidRDefault="0096082E" w:rsidP="0096082E">
      <w:pPr>
        <w:pStyle w:val="CETReference-text"/>
        <w:rPr>
          <w:lang w:val="en-US"/>
        </w:rPr>
      </w:pPr>
      <w:r w:rsidRPr="0096082E">
        <w:rPr>
          <w:lang w:val="it-IT"/>
        </w:rPr>
        <w:t xml:space="preserve">Alcamo, R., Micale, G., Grisafi, F., Brucato, A., Ciofalo, M., 2005. </w:t>
      </w:r>
      <w:r w:rsidRPr="0096082E">
        <w:rPr>
          <w:lang w:val="en-US"/>
        </w:rPr>
        <w:t>Large-eddy</w:t>
      </w:r>
      <w:r>
        <w:rPr>
          <w:lang w:val="en-US"/>
        </w:rPr>
        <w:t xml:space="preserve"> </w:t>
      </w:r>
      <w:r w:rsidRPr="0096082E">
        <w:rPr>
          <w:lang w:val="en-US"/>
        </w:rPr>
        <w:t>simulation of turbulent flow in an unbaffled stirred tank driven by a Rushton</w:t>
      </w:r>
      <w:r>
        <w:rPr>
          <w:lang w:val="en-US"/>
        </w:rPr>
        <w:t xml:space="preserve"> </w:t>
      </w:r>
      <w:r w:rsidRPr="0096082E">
        <w:rPr>
          <w:lang w:val="en-US"/>
        </w:rPr>
        <w:t>turbine. Chem. Eng. Sci.</w:t>
      </w:r>
      <w:r w:rsidR="00D30E37">
        <w:rPr>
          <w:lang w:val="en-US"/>
        </w:rPr>
        <w:t>,</w:t>
      </w:r>
      <w:r w:rsidRPr="0096082E">
        <w:rPr>
          <w:lang w:val="en-US"/>
        </w:rPr>
        <w:t xml:space="preserve"> 60, 2303–2316.</w:t>
      </w:r>
    </w:p>
    <w:p w:rsidR="007208E8" w:rsidRDefault="009A0EED" w:rsidP="0096082E">
      <w:pPr>
        <w:pStyle w:val="CETReference-text"/>
        <w:rPr>
          <w:lang w:val="en-US"/>
        </w:rPr>
      </w:pPr>
      <w:r>
        <w:rPr>
          <w:lang w:val="en-US"/>
        </w:rPr>
        <w:t>Aloi, L.E., Cherry, R.S., 1996,</w:t>
      </w:r>
      <w:r w:rsidR="007208E8" w:rsidRPr="007208E8">
        <w:rPr>
          <w:lang w:val="en-US"/>
        </w:rPr>
        <w:t xml:space="preserve"> Cellular response to agitation characterized by energy</w:t>
      </w:r>
      <w:r w:rsidR="007208E8">
        <w:rPr>
          <w:lang w:val="en-US"/>
        </w:rPr>
        <w:t xml:space="preserve"> </w:t>
      </w:r>
      <w:r w:rsidR="007208E8" w:rsidRPr="007208E8">
        <w:rPr>
          <w:lang w:val="en-US"/>
        </w:rPr>
        <w:t>dissipation at the impeller tip. Chem. Eng. Sci.</w:t>
      </w:r>
      <w:r w:rsidR="007208E8">
        <w:rPr>
          <w:lang w:val="en-US"/>
        </w:rPr>
        <w:t>,</w:t>
      </w:r>
      <w:r w:rsidR="007208E8" w:rsidRPr="007208E8">
        <w:rPr>
          <w:lang w:val="en-US"/>
        </w:rPr>
        <w:t xml:space="preserve"> 51 (9), 1523–1529.</w:t>
      </w:r>
    </w:p>
    <w:p w:rsidR="008132CB" w:rsidRPr="008132CB" w:rsidRDefault="008132CB" w:rsidP="003767FB">
      <w:pPr>
        <w:pStyle w:val="CETReference-text"/>
        <w:ind w:left="0" w:firstLine="0"/>
        <w:rPr>
          <w:lang w:val="en-US"/>
        </w:rPr>
      </w:pPr>
      <w:r w:rsidRPr="008132CB">
        <w:t>Ameur, H.,  Sahel, D., Kamla, Y.</w:t>
      </w:r>
      <w:r>
        <w:t xml:space="preserve">, 2017, </w:t>
      </w:r>
      <w:r w:rsidRPr="008132CB">
        <w:t>Energy efficiency of a deep hollow bladed impeller for mixing viscoplastic fluids in a cylindrical vessel</w:t>
      </w:r>
      <w:r>
        <w:t xml:space="preserve">. </w:t>
      </w:r>
      <w:r w:rsidRPr="008132CB">
        <w:t>Advances in Mechanical Engineering</w:t>
      </w:r>
      <w:r>
        <w:t>, 9, 1-7.</w:t>
      </w:r>
    </w:p>
    <w:p w:rsidR="003767FB" w:rsidRDefault="003767FB" w:rsidP="003767FB">
      <w:pPr>
        <w:pStyle w:val="CETReference-text"/>
        <w:ind w:left="0" w:firstLine="0"/>
      </w:pPr>
      <w:r w:rsidRPr="003767FB">
        <w:t>Busciglio; F. Grisafi; F. Scargiali; A. Brucato,</w:t>
      </w:r>
      <w:r>
        <w:t xml:space="preserve"> 2010, </w:t>
      </w:r>
      <w:r w:rsidRPr="003767FB">
        <w:t>On the measurement of local gas hold-up and interfacial area in gas-liquid contactors via light sheet and image analysis</w:t>
      </w:r>
      <w:r>
        <w:t xml:space="preserve">. </w:t>
      </w:r>
      <w:r w:rsidRPr="003767FB">
        <w:rPr>
          <w:i/>
        </w:rPr>
        <w:t xml:space="preserve">Chemical Engineering Science </w:t>
      </w:r>
      <w:r>
        <w:t>65, 3699–3708.</w:t>
      </w:r>
    </w:p>
    <w:p w:rsidR="00BF0B72" w:rsidRPr="00BF0B72" w:rsidRDefault="00BF0B72" w:rsidP="00BF0B72">
      <w:pPr>
        <w:pStyle w:val="CETReference-text"/>
        <w:rPr>
          <w:lang w:val="en-US"/>
        </w:rPr>
      </w:pPr>
      <w:bookmarkStart w:id="0" w:name="_GoBack"/>
      <w:r w:rsidRPr="00BF0B72">
        <w:rPr>
          <w:lang w:val="it-IT"/>
        </w:rPr>
        <w:t>Busciglio, A., Montante, G., Kracík, T., Moucha, T., Paglianti, A.</w:t>
      </w:r>
      <w:r>
        <w:rPr>
          <w:lang w:val="it-IT"/>
        </w:rPr>
        <w:t xml:space="preserve">, 2017. </w:t>
      </w:r>
      <w:r w:rsidRPr="00BF0B72">
        <w:rPr>
          <w:lang w:val="en-US"/>
        </w:rPr>
        <w:t xml:space="preserve">Rotary sloshing induced by impeller action in unbaffled stirred vessels. </w:t>
      </w:r>
      <w:r w:rsidRPr="00BF0B72">
        <w:rPr>
          <w:lang w:val="en-US"/>
        </w:rPr>
        <w:t>Chemical Engineering Journal</w:t>
      </w:r>
      <w:r>
        <w:rPr>
          <w:lang w:val="en-US"/>
        </w:rPr>
        <w:t xml:space="preserve">, </w:t>
      </w:r>
      <w:r w:rsidRPr="00BF0B72">
        <w:rPr>
          <w:lang w:val="en-US"/>
        </w:rPr>
        <w:t>317</w:t>
      </w:r>
      <w:r>
        <w:rPr>
          <w:lang w:val="en-US"/>
        </w:rPr>
        <w:t>,</w:t>
      </w:r>
      <w:r w:rsidRPr="00BF0B72">
        <w:rPr>
          <w:lang w:val="en-US"/>
        </w:rPr>
        <w:t xml:space="preserve"> 433-443</w:t>
      </w:r>
      <w:r>
        <w:rPr>
          <w:lang w:val="en-US"/>
        </w:rPr>
        <w:t>.</w:t>
      </w:r>
    </w:p>
    <w:bookmarkEnd w:id="0"/>
    <w:p w:rsidR="00FC2DD7" w:rsidRDefault="00FC2DD7" w:rsidP="003767FB">
      <w:pPr>
        <w:pStyle w:val="CETReference-text"/>
        <w:ind w:left="0" w:firstLine="0"/>
        <w:rPr>
          <w:lang w:val="en-US"/>
        </w:rPr>
      </w:pPr>
      <w:r>
        <w:rPr>
          <w:lang w:val="en-US"/>
        </w:rPr>
        <w:t xml:space="preserve">Chisti, Y., 2000, </w:t>
      </w:r>
      <w:r w:rsidRPr="00FC2DD7">
        <w:rPr>
          <w:lang w:val="en-US"/>
        </w:rPr>
        <w:t>Animal-cell damage in sparged bioreactors.</w:t>
      </w:r>
      <w:r>
        <w:rPr>
          <w:lang w:val="en-US"/>
        </w:rPr>
        <w:t xml:space="preserve"> </w:t>
      </w:r>
      <w:r w:rsidRPr="00FC2DD7">
        <w:rPr>
          <w:lang w:val="en-US"/>
        </w:rPr>
        <w:t>Trends Biotechnol. 18, 420–432</w:t>
      </w:r>
      <w:r>
        <w:rPr>
          <w:lang w:val="en-US"/>
        </w:rPr>
        <w:t>.</w:t>
      </w:r>
    </w:p>
    <w:p w:rsidR="00B438B6" w:rsidRDefault="0074286B" w:rsidP="007208E8">
      <w:pPr>
        <w:pStyle w:val="CETReference-text"/>
        <w:rPr>
          <w:lang w:val="en-US"/>
        </w:rPr>
      </w:pPr>
      <w:r w:rsidRPr="0074286B">
        <w:rPr>
          <w:lang w:val="en-US"/>
        </w:rPr>
        <w:t>Costes, J., Couder</w:t>
      </w:r>
      <w:r w:rsidR="0062153D">
        <w:rPr>
          <w:lang w:val="en-US"/>
        </w:rPr>
        <w:t>c, J.P., 1988,</w:t>
      </w:r>
      <w:r w:rsidRPr="0074286B">
        <w:rPr>
          <w:lang w:val="en-US"/>
        </w:rPr>
        <w:t xml:space="preserve"> Study of laser Doppler anemometry of the turbulent</w:t>
      </w:r>
      <w:r>
        <w:rPr>
          <w:lang w:val="en-US"/>
        </w:rPr>
        <w:t xml:space="preserve"> </w:t>
      </w:r>
      <w:r w:rsidRPr="0074286B">
        <w:rPr>
          <w:lang w:val="en-US"/>
        </w:rPr>
        <w:t>flow induced by a Rushton turbine in a stirred tank: influence of the size of the</w:t>
      </w:r>
      <w:r>
        <w:rPr>
          <w:lang w:val="en-US"/>
        </w:rPr>
        <w:t xml:space="preserve"> </w:t>
      </w:r>
      <w:r w:rsidRPr="0074286B">
        <w:rPr>
          <w:lang w:val="en-US"/>
        </w:rPr>
        <w:t>units – I. Mean flow and turbulence. Chem. Eng. Sci.</w:t>
      </w:r>
      <w:r w:rsidR="0062153D">
        <w:rPr>
          <w:lang w:val="en-US"/>
        </w:rPr>
        <w:t>,</w:t>
      </w:r>
      <w:r w:rsidRPr="0074286B">
        <w:rPr>
          <w:lang w:val="en-US"/>
        </w:rPr>
        <w:t xml:space="preserve"> 43 (10), 2751–2764.</w:t>
      </w:r>
    </w:p>
    <w:p w:rsidR="0074286B" w:rsidRDefault="0062153D" w:rsidP="0074286B">
      <w:pPr>
        <w:pStyle w:val="CETReference-text"/>
        <w:rPr>
          <w:lang w:val="en-US"/>
        </w:rPr>
      </w:pPr>
      <w:r>
        <w:rPr>
          <w:lang w:val="en-US"/>
        </w:rPr>
        <w:t>Dickey, D., Fenic, J.C., 1976,</w:t>
      </w:r>
      <w:r w:rsidR="0074286B" w:rsidRPr="0074286B">
        <w:rPr>
          <w:lang w:val="en-US"/>
        </w:rPr>
        <w:t xml:space="preserve"> Dimensional analysis for fluid agitation systems. Chem.</w:t>
      </w:r>
      <w:r w:rsidR="0074286B">
        <w:rPr>
          <w:lang w:val="en-US"/>
        </w:rPr>
        <w:t xml:space="preserve"> </w:t>
      </w:r>
      <w:r w:rsidR="0074286B" w:rsidRPr="0074286B">
        <w:rPr>
          <w:lang w:val="en-US"/>
        </w:rPr>
        <w:t>Eng.</w:t>
      </w:r>
      <w:r>
        <w:rPr>
          <w:lang w:val="en-US"/>
        </w:rPr>
        <w:t>,</w:t>
      </w:r>
      <w:r w:rsidR="0074286B" w:rsidRPr="0074286B">
        <w:rPr>
          <w:lang w:val="en-US"/>
        </w:rPr>
        <w:t xml:space="preserve"> 83 (1), 139–145.</w:t>
      </w:r>
    </w:p>
    <w:p w:rsidR="002E467D" w:rsidRPr="00D9010A" w:rsidRDefault="00D9010A" w:rsidP="00D9010A">
      <w:pPr>
        <w:pStyle w:val="CETReference-text"/>
        <w:rPr>
          <w:lang w:val="en-US"/>
        </w:rPr>
      </w:pPr>
      <w:r w:rsidRPr="00D9010A">
        <w:rPr>
          <w:lang w:val="en-US"/>
        </w:rPr>
        <w:t>Pukkella, A.K., Vysyaraju, R., Tammishetti, V., Rai, B., Subramanian, S., 2019, Improved mixing of solid suspensions in stirred tanks with interface baffles: CFD simulation and experimental validation</w:t>
      </w:r>
      <w:r>
        <w:rPr>
          <w:lang w:val="en-US"/>
        </w:rPr>
        <w:t xml:space="preserve">. </w:t>
      </w:r>
      <w:r w:rsidRPr="00D9010A">
        <w:rPr>
          <w:lang w:val="en-US"/>
        </w:rPr>
        <w:t>Chemical Engineering Journal</w:t>
      </w:r>
      <w:r>
        <w:rPr>
          <w:lang w:val="en-US"/>
        </w:rPr>
        <w:t xml:space="preserve">, </w:t>
      </w:r>
      <w:r w:rsidRPr="00D9010A">
        <w:rPr>
          <w:lang w:val="en-US"/>
        </w:rPr>
        <w:t>358, 621-633</w:t>
      </w:r>
      <w:r>
        <w:rPr>
          <w:lang w:val="en-US"/>
        </w:rPr>
        <w:t>.</w:t>
      </w:r>
    </w:p>
    <w:p w:rsidR="003767FB" w:rsidRDefault="003767FB" w:rsidP="003767FB">
      <w:pPr>
        <w:pStyle w:val="CETReference-text"/>
        <w:rPr>
          <w:lang w:val="en-US"/>
        </w:rPr>
      </w:pPr>
      <w:r w:rsidRPr="003767FB">
        <w:rPr>
          <w:lang w:val="en-US"/>
        </w:rPr>
        <w:t>Labik L., Petricek R., Moucha T., Brucato A., Caputo G., Grisafi F., Scargiali F.,</w:t>
      </w:r>
      <w:r>
        <w:rPr>
          <w:lang w:val="en-US"/>
        </w:rPr>
        <w:t xml:space="preserve"> 2018, </w:t>
      </w:r>
      <w:r w:rsidRPr="003767FB">
        <w:rPr>
          <w:lang w:val="en-US"/>
        </w:rPr>
        <w:t>Scale-up and viscosity effects on gas-liquid mass transfer rates in unbaffle tanks</w:t>
      </w:r>
      <w:r>
        <w:rPr>
          <w:lang w:val="en-US"/>
        </w:rPr>
        <w:t xml:space="preserve">. </w:t>
      </w:r>
      <w:r w:rsidRPr="003767FB">
        <w:rPr>
          <w:i/>
        </w:rPr>
        <w:t>Chemical Engineering Research and Design</w:t>
      </w:r>
      <w:r w:rsidRPr="003767FB">
        <w:rPr>
          <w:lang w:val="en-US"/>
        </w:rPr>
        <w:t>, 132,  584-592.</w:t>
      </w:r>
    </w:p>
    <w:p w:rsidR="003239BE" w:rsidRDefault="003239BE" w:rsidP="0074286B">
      <w:pPr>
        <w:pStyle w:val="CETReference-text"/>
        <w:rPr>
          <w:lang w:val="en-US"/>
        </w:rPr>
      </w:pPr>
      <w:r w:rsidRPr="003239BE">
        <w:rPr>
          <w:lang w:val="en-US"/>
        </w:rPr>
        <w:t>Gong, H., Huang, F., Li, Z., Gao, Z., Derksen, J.J.</w:t>
      </w:r>
      <w:r>
        <w:rPr>
          <w:lang w:val="en-US"/>
        </w:rPr>
        <w:t xml:space="preserve">, 2018, </w:t>
      </w:r>
      <w:r w:rsidRPr="003239BE">
        <w:rPr>
          <w:lang w:val="en-US"/>
        </w:rPr>
        <w:t>Mechanisms for drawdown of floating particles in a laminar stirred tank flow</w:t>
      </w:r>
      <w:r w:rsidR="00477955">
        <w:rPr>
          <w:lang w:val="en-US"/>
        </w:rPr>
        <w:t>.</w:t>
      </w:r>
      <w:r>
        <w:rPr>
          <w:lang w:val="en-US"/>
        </w:rPr>
        <w:t xml:space="preserve"> </w:t>
      </w:r>
      <w:r w:rsidRPr="003239BE">
        <w:rPr>
          <w:lang w:val="en-US"/>
        </w:rPr>
        <w:t>Chemical Engineering Journal</w:t>
      </w:r>
      <w:r>
        <w:rPr>
          <w:lang w:val="en-US"/>
        </w:rPr>
        <w:t xml:space="preserve">, </w:t>
      </w:r>
      <w:r w:rsidRPr="003239BE">
        <w:rPr>
          <w:lang w:val="en-US"/>
        </w:rPr>
        <w:t>346, 340-350</w:t>
      </w:r>
      <w:r>
        <w:rPr>
          <w:lang w:val="en-US"/>
        </w:rPr>
        <w:t>.</w:t>
      </w:r>
    </w:p>
    <w:p w:rsidR="00C077CD" w:rsidRPr="00C077CD" w:rsidRDefault="00FC2DD7" w:rsidP="00BF0B72">
      <w:pPr>
        <w:pStyle w:val="CETReference-text"/>
        <w:rPr>
          <w:lang w:val="en-US"/>
        </w:rPr>
      </w:pPr>
      <w:r>
        <w:rPr>
          <w:lang w:val="en-US"/>
        </w:rPr>
        <w:t xml:space="preserve">Menter, F. R., 1993, </w:t>
      </w:r>
      <w:r w:rsidRPr="00FC2DD7">
        <w:rPr>
          <w:lang w:val="en-US"/>
        </w:rPr>
        <w:t>Zonal Two Equation k-ω Turbulen</w:t>
      </w:r>
      <w:r>
        <w:rPr>
          <w:lang w:val="en-US"/>
        </w:rPr>
        <w:t>ce Models for Aerodynamic Flows</w:t>
      </w:r>
      <w:r w:rsidRPr="00FC2DD7">
        <w:rPr>
          <w:lang w:val="en-US"/>
        </w:rPr>
        <w:t>, AIAA Paper 93-2906</w:t>
      </w:r>
      <w:r w:rsidR="005831A9">
        <w:rPr>
          <w:lang w:val="en-US"/>
        </w:rPr>
        <w:t>.</w:t>
      </w:r>
    </w:p>
    <w:p w:rsidR="00CF42F6" w:rsidRDefault="008A01E5" w:rsidP="008A01E5">
      <w:pPr>
        <w:pStyle w:val="CETReferencetext"/>
        <w:rPr>
          <w:lang w:val="en-US"/>
        </w:rPr>
      </w:pPr>
      <w:r>
        <w:t>Murthy, B.N. and Joshi, J.B., 2008, Assessment of standard k-</w:t>
      </w:r>
      <w:r w:rsidRPr="008A01E5">
        <w:rPr>
          <w:rFonts w:ascii="Symbol" w:hAnsi="Symbol"/>
        </w:rPr>
        <w:t></w:t>
      </w:r>
      <w:r>
        <w:t>, RSM and LES turbulence models in a baffled stirred vessel agitated by various impeller designs. Chem. Eng. Sci., 63, 5468-5495.</w:t>
      </w:r>
    </w:p>
    <w:p w:rsidR="0074286B" w:rsidRDefault="0074286B" w:rsidP="0074286B">
      <w:pPr>
        <w:pStyle w:val="CETReference-text"/>
        <w:rPr>
          <w:lang w:val="en-US"/>
        </w:rPr>
      </w:pPr>
      <w:r w:rsidRPr="0074286B">
        <w:rPr>
          <w:lang w:val="en-US"/>
        </w:rPr>
        <w:t>Nagata, S., 1975. Mixing – Principles and Applications. Wiley, New York</w:t>
      </w:r>
      <w:r>
        <w:rPr>
          <w:lang w:val="en-US"/>
        </w:rPr>
        <w:t>.</w:t>
      </w:r>
    </w:p>
    <w:p w:rsidR="00CF42F6" w:rsidRDefault="00CF42F6" w:rsidP="00CF42F6">
      <w:pPr>
        <w:pStyle w:val="CETReference-text"/>
        <w:rPr>
          <w:lang w:val="en-US"/>
        </w:rPr>
      </w:pPr>
      <w:r w:rsidRPr="00CF42F6">
        <w:rPr>
          <w:lang w:val="en-US"/>
        </w:rPr>
        <w:t xml:space="preserve">Ng, K., Fentiman, N.J., </w:t>
      </w:r>
      <w:r>
        <w:rPr>
          <w:lang w:val="en-US"/>
        </w:rPr>
        <w:t>Lee, K.C., Yianneskis, M., 1998,</w:t>
      </w:r>
      <w:r w:rsidRPr="00CF42F6">
        <w:rPr>
          <w:lang w:val="en-US"/>
        </w:rPr>
        <w:t xml:space="preserve"> Assessment of sliding</w:t>
      </w:r>
      <w:r>
        <w:rPr>
          <w:lang w:val="en-US"/>
        </w:rPr>
        <w:t xml:space="preserve"> </w:t>
      </w:r>
      <w:r w:rsidRPr="00CF42F6">
        <w:rPr>
          <w:lang w:val="en-US"/>
        </w:rPr>
        <w:t>mesh CFD predictions and LDA measurements of the flow in a tank stirred by a</w:t>
      </w:r>
      <w:r>
        <w:rPr>
          <w:lang w:val="en-US"/>
        </w:rPr>
        <w:t xml:space="preserve"> </w:t>
      </w:r>
      <w:r w:rsidRPr="00CF42F6">
        <w:rPr>
          <w:lang w:val="en-US"/>
        </w:rPr>
        <w:t>Rushton impeller. Trans. IChemE, Part A 76, 737–747</w:t>
      </w:r>
      <w:r>
        <w:rPr>
          <w:lang w:val="en-US"/>
        </w:rPr>
        <w:t>.</w:t>
      </w:r>
    </w:p>
    <w:p w:rsidR="0074286B" w:rsidRDefault="0062153D" w:rsidP="0074286B">
      <w:pPr>
        <w:pStyle w:val="CETReference-text"/>
        <w:rPr>
          <w:lang w:val="en-US"/>
        </w:rPr>
      </w:pPr>
      <w:r>
        <w:rPr>
          <w:lang w:val="en-US"/>
        </w:rPr>
        <w:t>Oldshue, J.Y., 1983,</w:t>
      </w:r>
      <w:r w:rsidR="0074286B" w:rsidRPr="0074286B">
        <w:rPr>
          <w:lang w:val="en-US"/>
        </w:rPr>
        <w:t xml:space="preserve"> Fluid Mixing Technology (Chapter 5). McGraw-Hill, New York,</w:t>
      </w:r>
      <w:r w:rsidR="0074286B">
        <w:rPr>
          <w:lang w:val="en-US"/>
        </w:rPr>
        <w:t xml:space="preserve"> </w:t>
      </w:r>
      <w:r w:rsidR="0074286B" w:rsidRPr="0074286B">
        <w:rPr>
          <w:lang w:val="en-US"/>
        </w:rPr>
        <w:t>NY.</w:t>
      </w:r>
    </w:p>
    <w:p w:rsidR="00574355" w:rsidRPr="00574355" w:rsidRDefault="00574355" w:rsidP="0074286B">
      <w:pPr>
        <w:pStyle w:val="CETReference-text"/>
        <w:rPr>
          <w:lang w:val="en-US"/>
        </w:rPr>
      </w:pPr>
      <w:r w:rsidRPr="00574355">
        <w:rPr>
          <w:lang w:val="en-US"/>
        </w:rPr>
        <w:t>Petricek R., Labik L., Moucha T., Brucato A., Scargiali F., 2018, Gas-liquid mass transfer rates in unbaffled tanks stirred by PBT: scale-up effects and pumping direction.</w:t>
      </w:r>
      <w:r>
        <w:rPr>
          <w:lang w:val="en-US"/>
        </w:rPr>
        <w:t xml:space="preserve"> </w:t>
      </w:r>
      <w:r w:rsidR="003767FB" w:rsidRPr="003767FB">
        <w:rPr>
          <w:i/>
          <w:lang w:val="en-US"/>
        </w:rPr>
        <w:t>Chemical Engineering Research and Design</w:t>
      </w:r>
      <w:r w:rsidR="003767FB" w:rsidRPr="003767FB">
        <w:rPr>
          <w:lang w:val="en-US"/>
        </w:rPr>
        <w:t>, 137, 265–272</w:t>
      </w:r>
    </w:p>
    <w:p w:rsidR="0062153D" w:rsidRDefault="0062153D" w:rsidP="0062153D">
      <w:pPr>
        <w:pStyle w:val="CETReference-text"/>
        <w:rPr>
          <w:lang w:val="en-US"/>
        </w:rPr>
      </w:pPr>
      <w:r w:rsidRPr="0062153D">
        <w:rPr>
          <w:lang w:val="en-US"/>
        </w:rPr>
        <w:t>Rushton, J.H., Cos</w:t>
      </w:r>
      <w:r>
        <w:rPr>
          <w:lang w:val="en-US"/>
        </w:rPr>
        <w:t>tich, E.W., Everett, H.J., 1950,</w:t>
      </w:r>
      <w:r w:rsidRPr="0062153D">
        <w:rPr>
          <w:lang w:val="en-US"/>
        </w:rPr>
        <w:t xml:space="preserve"> Power characteristics of mixing</w:t>
      </w:r>
      <w:r>
        <w:rPr>
          <w:lang w:val="en-US"/>
        </w:rPr>
        <w:t xml:space="preserve"> </w:t>
      </w:r>
      <w:r w:rsidRPr="0062153D">
        <w:rPr>
          <w:lang w:val="en-US"/>
        </w:rPr>
        <w:t>impeller (Parts I and II). Chem. Eng. Progr.</w:t>
      </w:r>
      <w:r>
        <w:rPr>
          <w:lang w:val="en-US"/>
        </w:rPr>
        <w:t>, 46 (8),</w:t>
      </w:r>
      <w:r w:rsidRPr="0062153D">
        <w:rPr>
          <w:lang w:val="en-US"/>
        </w:rPr>
        <w:t xml:space="preserve"> 395–403 and 467–476</w:t>
      </w:r>
      <w:r>
        <w:rPr>
          <w:lang w:val="en-US"/>
        </w:rPr>
        <w:t>.</w:t>
      </w:r>
    </w:p>
    <w:p w:rsidR="003767FB" w:rsidRDefault="003767FB" w:rsidP="0062153D">
      <w:pPr>
        <w:pStyle w:val="CETReference-text"/>
      </w:pPr>
      <w:r w:rsidRPr="003767FB">
        <w:rPr>
          <w:lang w:val="en-US"/>
        </w:rPr>
        <w:t>Scargiali F., Busciglio A., Grisafi F., Brucato A.,</w:t>
      </w:r>
      <w:r>
        <w:rPr>
          <w:lang w:val="en-US"/>
        </w:rPr>
        <w:t xml:space="preserve"> 2018, </w:t>
      </w:r>
      <w:r w:rsidRPr="003767FB">
        <w:rPr>
          <w:lang w:val="en-US"/>
        </w:rPr>
        <w:t>Mass transfer and hydrodynamic characteristics of unbaffled stirred bio-reactors: influence of impeller design</w:t>
      </w:r>
      <w:r>
        <w:rPr>
          <w:lang w:val="en-US"/>
        </w:rPr>
        <w:t xml:space="preserve">. </w:t>
      </w:r>
      <w:r w:rsidRPr="003767FB">
        <w:rPr>
          <w:i/>
        </w:rPr>
        <w:t xml:space="preserve">Biochemical Engineering Journal, </w:t>
      </w:r>
      <w:r>
        <w:t>82, 41- 47.</w:t>
      </w:r>
    </w:p>
    <w:p w:rsidR="0062153D" w:rsidRDefault="0062153D" w:rsidP="0062153D">
      <w:pPr>
        <w:pStyle w:val="CETReference-text"/>
        <w:rPr>
          <w:lang w:val="en-US"/>
        </w:rPr>
      </w:pPr>
      <w:r w:rsidRPr="0062153D">
        <w:rPr>
          <w:lang w:val="en-US"/>
        </w:rPr>
        <w:t>Scargiali, F., Tamburini, A., Caputo, G., Micale, G., 2017, On the assessment of power</w:t>
      </w:r>
      <w:r>
        <w:rPr>
          <w:lang w:val="en-US"/>
        </w:rPr>
        <w:t xml:space="preserve"> </w:t>
      </w:r>
      <w:r w:rsidRPr="0062153D">
        <w:rPr>
          <w:lang w:val="en-US"/>
        </w:rPr>
        <w:t>consumption and critical impeller speed in vortexing unbaffled stirred tanks.</w:t>
      </w:r>
      <w:r>
        <w:rPr>
          <w:lang w:val="en-US"/>
        </w:rPr>
        <w:t xml:space="preserve"> </w:t>
      </w:r>
      <w:r w:rsidRPr="0062153D">
        <w:rPr>
          <w:lang w:val="en-US"/>
        </w:rPr>
        <w:t>Chem. Eng. Res. Design</w:t>
      </w:r>
      <w:r>
        <w:rPr>
          <w:lang w:val="en-US"/>
        </w:rPr>
        <w:t>,</w:t>
      </w:r>
      <w:r w:rsidRPr="0062153D">
        <w:rPr>
          <w:lang w:val="en-US"/>
        </w:rPr>
        <w:t xml:space="preserve"> 123, 99–110.</w:t>
      </w:r>
    </w:p>
    <w:p w:rsidR="00D30E37" w:rsidRPr="00477955" w:rsidRDefault="00D30E37" w:rsidP="00D30E37">
      <w:pPr>
        <w:pStyle w:val="CETReference-text"/>
        <w:rPr>
          <w:lang w:val="en-US"/>
        </w:rPr>
      </w:pPr>
      <w:r w:rsidRPr="00477955">
        <w:rPr>
          <w:lang w:val="en-US"/>
        </w:rPr>
        <w:t xml:space="preserve">Tamburini, A., Gentile, L., Cipollina, A., Micale, G., Brucato, A., 2009, </w:t>
      </w:r>
      <w:r w:rsidR="00477955" w:rsidRPr="00477955">
        <w:rPr>
          <w:lang w:val="en-US"/>
        </w:rPr>
        <w:t>Experimental investigation of dilute solid-liquid suspension in an unbaffled stirred vessels by a novel pulsed laser based image analysis technique</w:t>
      </w:r>
      <w:r w:rsidR="00477955">
        <w:rPr>
          <w:lang w:val="en-US"/>
        </w:rPr>
        <w:t xml:space="preserve">. </w:t>
      </w:r>
      <w:r w:rsidRPr="00477955">
        <w:rPr>
          <w:lang w:val="en-US"/>
        </w:rPr>
        <w:t xml:space="preserve">Chem. Eng. </w:t>
      </w:r>
      <w:r w:rsidRPr="002F520E">
        <w:rPr>
          <w:lang w:val="en-US"/>
        </w:rPr>
        <w:t>Trans.</w:t>
      </w:r>
      <w:r>
        <w:rPr>
          <w:lang w:val="en-US"/>
        </w:rPr>
        <w:t>,</w:t>
      </w:r>
      <w:r w:rsidRPr="00477955">
        <w:rPr>
          <w:lang w:val="en-US"/>
        </w:rPr>
        <w:t xml:space="preserve"> 17, 531-536.</w:t>
      </w:r>
    </w:p>
    <w:p w:rsidR="002F520E" w:rsidRDefault="002F520E" w:rsidP="002F520E">
      <w:pPr>
        <w:pStyle w:val="CETReference-text"/>
        <w:rPr>
          <w:lang w:val="en-US"/>
        </w:rPr>
      </w:pPr>
      <w:r>
        <w:rPr>
          <w:lang w:val="en-US"/>
        </w:rPr>
        <w:lastRenderedPageBreak/>
        <w:t>Tamburini, A., Cipollina, A., Micale, G.,</w:t>
      </w:r>
      <w:r w:rsidRPr="002F520E">
        <w:rPr>
          <w:lang w:val="en-US"/>
        </w:rPr>
        <w:t xml:space="preserve"> Brucato, A.</w:t>
      </w:r>
      <w:r>
        <w:rPr>
          <w:lang w:val="en-US"/>
        </w:rPr>
        <w:t>, 2012,</w:t>
      </w:r>
      <w:r w:rsidRPr="002F520E">
        <w:rPr>
          <w:lang w:val="en-US"/>
        </w:rPr>
        <w:t xml:space="preserve"> Measurements of Njs and power requirements in unbaffled bioslurry reactors.</w:t>
      </w:r>
      <w:r>
        <w:rPr>
          <w:lang w:val="en-US"/>
        </w:rPr>
        <w:t xml:space="preserve"> </w:t>
      </w:r>
      <w:r w:rsidRPr="002F520E">
        <w:rPr>
          <w:lang w:val="en-US"/>
        </w:rPr>
        <w:t>Chem. Eng. Trans.</w:t>
      </w:r>
      <w:r>
        <w:rPr>
          <w:lang w:val="en-US"/>
        </w:rPr>
        <w:t>,</w:t>
      </w:r>
      <w:r w:rsidRPr="002F520E">
        <w:rPr>
          <w:lang w:val="en-US"/>
        </w:rPr>
        <w:t xml:space="preserve"> 27, 343−348</w:t>
      </w:r>
      <w:r>
        <w:rPr>
          <w:lang w:val="en-US"/>
        </w:rPr>
        <w:t>.</w:t>
      </w:r>
    </w:p>
    <w:p w:rsidR="009946C1" w:rsidRDefault="009946C1" w:rsidP="009946C1">
      <w:pPr>
        <w:pStyle w:val="CETReference-text"/>
        <w:rPr>
          <w:lang w:val="en-US"/>
        </w:rPr>
      </w:pPr>
      <w:r w:rsidRPr="009946C1">
        <w:rPr>
          <w:lang w:val="it-IT"/>
        </w:rPr>
        <w:t xml:space="preserve">Tamburini, A., Brucato, A., Busciglio, A., Cipollina, A., Grisafi, F., Micale, G., Scargiali, F., Vella, G., 2014. </w:t>
      </w:r>
      <w:r w:rsidRPr="009946C1">
        <w:rPr>
          <w:lang w:val="en-US"/>
        </w:rPr>
        <w:t>Solid-liquid suspensions in top-covered unbaffled vessels: Influence of particle size, liquid viscosity, impeller size, and clearance</w:t>
      </w:r>
      <w:r>
        <w:rPr>
          <w:lang w:val="en-US"/>
        </w:rPr>
        <w:t xml:space="preserve">. </w:t>
      </w:r>
      <w:r w:rsidRPr="009946C1">
        <w:rPr>
          <w:lang w:val="en-US"/>
        </w:rPr>
        <w:t>Industrial and Engineering Chemistry Research</w:t>
      </w:r>
      <w:r>
        <w:rPr>
          <w:lang w:val="en-US"/>
        </w:rPr>
        <w:t xml:space="preserve">, </w:t>
      </w:r>
      <w:r w:rsidRPr="009946C1">
        <w:rPr>
          <w:lang w:val="en-US"/>
        </w:rPr>
        <w:t>53, 9587-9599</w:t>
      </w:r>
      <w:r>
        <w:rPr>
          <w:lang w:val="en-US"/>
        </w:rPr>
        <w:t>.</w:t>
      </w:r>
    </w:p>
    <w:p w:rsidR="008B6D72" w:rsidRPr="008B6D72" w:rsidRDefault="008B6D72" w:rsidP="008B6D72">
      <w:pPr>
        <w:pStyle w:val="CETReference-text"/>
        <w:rPr>
          <w:lang w:val="en-US"/>
        </w:rPr>
      </w:pPr>
      <w:r w:rsidRPr="008B6D72">
        <w:rPr>
          <w:lang w:val="en-US"/>
        </w:rPr>
        <w:t>Tamburini, A., Cipollina, A., Micale, G., Scargiali, F., Brucato, A., 2016, Particle Suspension in Vortexing Unbaffled Stirred Tanks. Industrial and Eng</w:t>
      </w:r>
      <w:r>
        <w:rPr>
          <w:lang w:val="en-US"/>
        </w:rPr>
        <w:t xml:space="preserve">ineering Chemistry Research, 55, </w:t>
      </w:r>
      <w:r w:rsidRPr="008B6D72">
        <w:rPr>
          <w:lang w:val="en-US"/>
        </w:rPr>
        <w:t>7535-7547</w:t>
      </w:r>
      <w:r>
        <w:rPr>
          <w:lang w:val="en-US"/>
        </w:rPr>
        <w:t>.</w:t>
      </w:r>
    </w:p>
    <w:p w:rsidR="009A0EED" w:rsidRDefault="0062153D" w:rsidP="002F520E">
      <w:pPr>
        <w:pStyle w:val="CETReference-text"/>
        <w:rPr>
          <w:lang w:val="en-US"/>
        </w:rPr>
      </w:pPr>
      <w:r w:rsidRPr="008B6D72">
        <w:rPr>
          <w:lang w:val="en-US"/>
        </w:rPr>
        <w:t>Tamburini A., Gagliano G., Micale G., Brucato A., Scargiali F., Ciofalo M., 2018, Direct numerical simulations of cr</w:t>
      </w:r>
      <w:r w:rsidRPr="0062153D">
        <w:rPr>
          <w:lang w:val="en-US"/>
        </w:rPr>
        <w:t>eeping to early turbulent flow in</w:t>
      </w:r>
      <w:r>
        <w:rPr>
          <w:lang w:val="en-US"/>
        </w:rPr>
        <w:t xml:space="preserve"> </w:t>
      </w:r>
      <w:r w:rsidRPr="0062153D">
        <w:rPr>
          <w:lang w:val="en-US"/>
        </w:rPr>
        <w:t>unbaffled and baffled stirred tanks</w:t>
      </w:r>
      <w:r>
        <w:rPr>
          <w:lang w:val="en-US"/>
        </w:rPr>
        <w:t>. Chem. Eng. Sci., 192, 161-175.</w:t>
      </w:r>
    </w:p>
    <w:p w:rsidR="00B8346F" w:rsidRDefault="00B8346F" w:rsidP="00FC2DD7">
      <w:pPr>
        <w:pStyle w:val="CETReference-text"/>
      </w:pPr>
      <w:r>
        <w:t>Wang S., Parthasarathy R., Bong E.Y., Wu J., Slatter P., 2012</w:t>
      </w:r>
      <w:r w:rsidRPr="00552CDE">
        <w:t>. Suspension of ultrahigh concentration solids in an agitat</w:t>
      </w:r>
      <w:r>
        <w:t>ed vessel. AIChE Journal, 58</w:t>
      </w:r>
      <w:r w:rsidRPr="00552CDE">
        <w:t>, 1291-1298</w:t>
      </w:r>
      <w:r>
        <w:t>.</w:t>
      </w:r>
    </w:p>
    <w:p w:rsidR="00FC2DD7" w:rsidRDefault="00FC2DD7" w:rsidP="00FC2DD7">
      <w:pPr>
        <w:pStyle w:val="CETReference-text"/>
        <w:rPr>
          <w:lang w:val="en-US"/>
        </w:rPr>
      </w:pPr>
      <w:r>
        <w:rPr>
          <w:lang w:val="en-US"/>
        </w:rPr>
        <w:t xml:space="preserve">Wang, S., Jiang, M., Ibrahim, S., </w:t>
      </w:r>
      <w:r w:rsidR="002F520E">
        <w:rPr>
          <w:lang w:val="en-US"/>
        </w:rPr>
        <w:t xml:space="preserve">Wu, J., </w:t>
      </w:r>
      <w:r>
        <w:rPr>
          <w:lang w:val="en-US"/>
        </w:rPr>
        <w:t>Feng, X.</w:t>
      </w:r>
      <w:r w:rsidR="00B8346F">
        <w:rPr>
          <w:lang w:val="en-US"/>
        </w:rPr>
        <w:t xml:space="preserve">, </w:t>
      </w:r>
      <w:r w:rsidRPr="005831A9">
        <w:rPr>
          <w:lang w:val="en-US"/>
        </w:rPr>
        <w:t>Duan, X.</w:t>
      </w:r>
      <w:r>
        <w:rPr>
          <w:lang w:val="en-US"/>
        </w:rPr>
        <w:t>, Yang, Z. Yang, C.,</w:t>
      </w:r>
      <w:r w:rsidR="00B8346F">
        <w:rPr>
          <w:lang w:val="en-US"/>
        </w:rPr>
        <w:t xml:space="preserve"> </w:t>
      </w:r>
      <w:r w:rsidRPr="005831A9">
        <w:rPr>
          <w:lang w:val="en-US"/>
        </w:rPr>
        <w:t>Ohmura</w:t>
      </w:r>
      <w:r>
        <w:rPr>
          <w:lang w:val="en-US"/>
        </w:rPr>
        <w:t xml:space="preserve">, N., 2016, </w:t>
      </w:r>
      <w:r w:rsidRPr="005831A9">
        <w:rPr>
          <w:lang w:val="en-US"/>
        </w:rPr>
        <w:t>Optimized Stirred Reactor for Enhanced Particle Dispersion</w:t>
      </w:r>
      <w:r>
        <w:rPr>
          <w:lang w:val="en-US"/>
        </w:rPr>
        <w:t xml:space="preserve">, </w:t>
      </w:r>
      <w:r w:rsidRPr="005831A9">
        <w:rPr>
          <w:lang w:val="en-US"/>
        </w:rPr>
        <w:t>Chemical Engineering and Technology</w:t>
      </w:r>
      <w:r>
        <w:rPr>
          <w:lang w:val="en-US"/>
        </w:rPr>
        <w:t xml:space="preserve">, </w:t>
      </w:r>
      <w:r w:rsidRPr="005831A9">
        <w:rPr>
          <w:lang w:val="en-US"/>
        </w:rPr>
        <w:t>39, 680-688</w:t>
      </w:r>
      <w:r>
        <w:rPr>
          <w:lang w:val="en-US"/>
        </w:rPr>
        <w:t>.</w:t>
      </w:r>
    </w:p>
    <w:p w:rsidR="00FC2DD7" w:rsidRDefault="00FC2DD7" w:rsidP="00FC2DD7">
      <w:pPr>
        <w:pStyle w:val="CETReference-text"/>
        <w:rPr>
          <w:lang w:val="en-US"/>
        </w:rPr>
      </w:pPr>
      <w:r>
        <w:rPr>
          <w:lang w:val="en-US"/>
        </w:rPr>
        <w:t>Wu, J.,</w:t>
      </w:r>
      <w:r w:rsidRPr="00FC2DD7">
        <w:rPr>
          <w:lang w:val="en-US"/>
        </w:rPr>
        <w:t xml:space="preserve"> Wang, S.</w:t>
      </w:r>
      <w:r>
        <w:rPr>
          <w:lang w:val="en-US"/>
        </w:rPr>
        <w:t>,</w:t>
      </w:r>
      <w:r w:rsidRPr="00FC2DD7">
        <w:rPr>
          <w:lang w:val="en-US"/>
        </w:rPr>
        <w:t xml:space="preserve"> Nguyen, B.</w:t>
      </w:r>
      <w:r>
        <w:rPr>
          <w:lang w:val="en-US"/>
        </w:rPr>
        <w:t>,</w:t>
      </w:r>
      <w:r w:rsidRPr="00FC2DD7">
        <w:rPr>
          <w:lang w:val="en-US"/>
        </w:rPr>
        <w:t xml:space="preserve"> Marjavaara, D.</w:t>
      </w:r>
      <w:r>
        <w:rPr>
          <w:lang w:val="en-US"/>
        </w:rPr>
        <w:t>,</w:t>
      </w:r>
      <w:r w:rsidRPr="00FC2DD7">
        <w:rPr>
          <w:lang w:val="en-US"/>
        </w:rPr>
        <w:t xml:space="preserve"> Eriksson, O.</w:t>
      </w:r>
      <w:r>
        <w:rPr>
          <w:lang w:val="en-US"/>
        </w:rPr>
        <w:t xml:space="preserve">, 2016. </w:t>
      </w:r>
      <w:r w:rsidRPr="00FC2DD7">
        <w:rPr>
          <w:lang w:val="en-US"/>
        </w:rPr>
        <w:t>Improved Mixing in a Magnetite Iron Ore Tank via Swirl Flow: Lab-Scale and Full-Scale Studies. Chem. Eng. Technol., 39, 505−514.</w:t>
      </w:r>
    </w:p>
    <w:p w:rsidR="008A01E5" w:rsidRDefault="008A01E5" w:rsidP="008A01E5">
      <w:pPr>
        <w:pStyle w:val="CETReferencetext"/>
      </w:pPr>
      <w:r>
        <w:t xml:space="preserve">Yeoh, S.L., Papadakis, G., Yianneskis, M., 2004. Numerical simulation of turbulent flow characteristic in a stirred vessel using the LES and RANS approaches with the sliding/deforming mesh methodology. Trans. IChemE, Part A: Chem. Eng. Res. Des., 82, 834–848. </w:t>
      </w:r>
    </w:p>
    <w:p w:rsidR="00693D48" w:rsidRDefault="009A0EED" w:rsidP="00425C90">
      <w:pPr>
        <w:pStyle w:val="CETReference-text"/>
      </w:pPr>
      <w:r w:rsidRPr="009A0EED">
        <w:rPr>
          <w:lang w:val="en-US"/>
        </w:rPr>
        <w:t>Zamiri A., Chung</w:t>
      </w:r>
      <w:r w:rsidR="0062153D" w:rsidRPr="009A0EED">
        <w:rPr>
          <w:lang w:val="en-US"/>
        </w:rPr>
        <w:t xml:space="preserve"> </w:t>
      </w:r>
      <w:r w:rsidRPr="009A0EED">
        <w:rPr>
          <w:lang w:val="en-US"/>
        </w:rPr>
        <w:t>J. T., 2017, Ability of URANS approach in prediction of unsteady turbulent flows in an unbaffled stirred tank</w:t>
      </w:r>
      <w:r>
        <w:rPr>
          <w:lang w:val="en-US"/>
        </w:rPr>
        <w:t>.</w:t>
      </w:r>
      <w:r w:rsidRPr="009A0EED">
        <w:t xml:space="preserve"> </w:t>
      </w:r>
      <w:r w:rsidRPr="009A0EED">
        <w:rPr>
          <w:lang w:val="en-US"/>
        </w:rPr>
        <w:t>International Jour</w:t>
      </w:r>
      <w:r>
        <w:rPr>
          <w:lang w:val="en-US"/>
        </w:rPr>
        <w:t xml:space="preserve">nal of Mechanical Sciences, 133, </w:t>
      </w:r>
      <w:r w:rsidRPr="009A0EED">
        <w:rPr>
          <w:lang w:val="en-US"/>
        </w:rPr>
        <w:t>178–187</w:t>
      </w:r>
      <w:r>
        <w:rPr>
          <w:lang w:val="en-US"/>
        </w:rPr>
        <w:t>.</w:t>
      </w:r>
      <w:r w:rsidR="008C4E80" w:rsidRPr="00BD71A0">
        <w:rPr>
          <w:lang w:val="en-US"/>
        </w:rPr>
        <w:t xml:space="preserve"> </w:t>
      </w:r>
    </w:p>
    <w:sectPr w:rsidR="00693D4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82" w:rsidRDefault="00DB2A82" w:rsidP="004F5E36">
      <w:r>
        <w:separator/>
      </w:r>
    </w:p>
  </w:endnote>
  <w:endnote w:type="continuationSeparator" w:id="0">
    <w:p w:rsidR="00DB2A82" w:rsidRDefault="00DB2A8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82" w:rsidRDefault="00DB2A82" w:rsidP="004F5E36">
      <w:r>
        <w:separator/>
      </w:r>
    </w:p>
  </w:footnote>
  <w:footnote w:type="continuationSeparator" w:id="0">
    <w:p w:rsidR="00DB2A82" w:rsidRDefault="00DB2A8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4926852"/>
    <w:multiLevelType w:val="hybridMultilevel"/>
    <w:tmpl w:val="B3EAC3A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0AA1"/>
    <w:rsid w:val="0003148D"/>
    <w:rsid w:val="00047D7F"/>
    <w:rsid w:val="00051566"/>
    <w:rsid w:val="00062A9A"/>
    <w:rsid w:val="00065058"/>
    <w:rsid w:val="00080211"/>
    <w:rsid w:val="000834B9"/>
    <w:rsid w:val="00086C39"/>
    <w:rsid w:val="00092022"/>
    <w:rsid w:val="000A03B2"/>
    <w:rsid w:val="000A3A71"/>
    <w:rsid w:val="000A3B79"/>
    <w:rsid w:val="000B05AA"/>
    <w:rsid w:val="000D34BE"/>
    <w:rsid w:val="000E102F"/>
    <w:rsid w:val="000E36F1"/>
    <w:rsid w:val="000E3A73"/>
    <w:rsid w:val="000E414A"/>
    <w:rsid w:val="000F093C"/>
    <w:rsid w:val="000F16BD"/>
    <w:rsid w:val="000F4071"/>
    <w:rsid w:val="000F787B"/>
    <w:rsid w:val="0010650D"/>
    <w:rsid w:val="0012091F"/>
    <w:rsid w:val="00126BC2"/>
    <w:rsid w:val="001308B6"/>
    <w:rsid w:val="0013121F"/>
    <w:rsid w:val="00131FAB"/>
    <w:rsid w:val="00131FE6"/>
    <w:rsid w:val="0013263F"/>
    <w:rsid w:val="00134DE4"/>
    <w:rsid w:val="0014034D"/>
    <w:rsid w:val="00150E59"/>
    <w:rsid w:val="00152DE3"/>
    <w:rsid w:val="001568FB"/>
    <w:rsid w:val="00162642"/>
    <w:rsid w:val="00162EF7"/>
    <w:rsid w:val="00164CF9"/>
    <w:rsid w:val="00184AD6"/>
    <w:rsid w:val="00191E3C"/>
    <w:rsid w:val="001B0349"/>
    <w:rsid w:val="001B65C1"/>
    <w:rsid w:val="001C57C7"/>
    <w:rsid w:val="001C65A8"/>
    <w:rsid w:val="001C684B"/>
    <w:rsid w:val="001D53FC"/>
    <w:rsid w:val="001E2B58"/>
    <w:rsid w:val="001F42A5"/>
    <w:rsid w:val="001F7B9D"/>
    <w:rsid w:val="002224B4"/>
    <w:rsid w:val="002447EF"/>
    <w:rsid w:val="00251550"/>
    <w:rsid w:val="00252C1A"/>
    <w:rsid w:val="00263B05"/>
    <w:rsid w:val="0027221A"/>
    <w:rsid w:val="00275B61"/>
    <w:rsid w:val="00277FCD"/>
    <w:rsid w:val="00282656"/>
    <w:rsid w:val="00296A81"/>
    <w:rsid w:val="00296B83"/>
    <w:rsid w:val="002B78CE"/>
    <w:rsid w:val="002C2FB6"/>
    <w:rsid w:val="002D5BCD"/>
    <w:rsid w:val="002E1AA8"/>
    <w:rsid w:val="002E467D"/>
    <w:rsid w:val="002F475F"/>
    <w:rsid w:val="002F520E"/>
    <w:rsid w:val="003009B7"/>
    <w:rsid w:val="00300E56"/>
    <w:rsid w:val="0030469C"/>
    <w:rsid w:val="00305EE2"/>
    <w:rsid w:val="00321CA6"/>
    <w:rsid w:val="003239BE"/>
    <w:rsid w:val="00334C09"/>
    <w:rsid w:val="003365E3"/>
    <w:rsid w:val="003723D4"/>
    <w:rsid w:val="003767FB"/>
    <w:rsid w:val="00380EEE"/>
    <w:rsid w:val="00383E2D"/>
    <w:rsid w:val="00384CC8"/>
    <w:rsid w:val="003871FD"/>
    <w:rsid w:val="003A1E30"/>
    <w:rsid w:val="003A7D1C"/>
    <w:rsid w:val="003B0401"/>
    <w:rsid w:val="003B2905"/>
    <w:rsid w:val="003B304B"/>
    <w:rsid w:val="003B3146"/>
    <w:rsid w:val="003B60F3"/>
    <w:rsid w:val="003E42FA"/>
    <w:rsid w:val="003E47EB"/>
    <w:rsid w:val="003F015E"/>
    <w:rsid w:val="003F2FC6"/>
    <w:rsid w:val="00400414"/>
    <w:rsid w:val="0041446B"/>
    <w:rsid w:val="00425C90"/>
    <w:rsid w:val="004325CA"/>
    <w:rsid w:val="00437456"/>
    <w:rsid w:val="0044329C"/>
    <w:rsid w:val="004577FE"/>
    <w:rsid w:val="00457B9C"/>
    <w:rsid w:val="0046164A"/>
    <w:rsid w:val="004628D2"/>
    <w:rsid w:val="00462DCD"/>
    <w:rsid w:val="004648AD"/>
    <w:rsid w:val="004703A9"/>
    <w:rsid w:val="004760DE"/>
    <w:rsid w:val="00477955"/>
    <w:rsid w:val="00492C5F"/>
    <w:rsid w:val="004A004E"/>
    <w:rsid w:val="004A24CF"/>
    <w:rsid w:val="004A36A5"/>
    <w:rsid w:val="004B6721"/>
    <w:rsid w:val="004C3D1D"/>
    <w:rsid w:val="004C7913"/>
    <w:rsid w:val="004E4DD6"/>
    <w:rsid w:val="004F5E36"/>
    <w:rsid w:val="005047E5"/>
    <w:rsid w:val="00507B47"/>
    <w:rsid w:val="00507CC9"/>
    <w:rsid w:val="005119A5"/>
    <w:rsid w:val="00512DF7"/>
    <w:rsid w:val="00513463"/>
    <w:rsid w:val="005278B7"/>
    <w:rsid w:val="00532016"/>
    <w:rsid w:val="005346C8"/>
    <w:rsid w:val="00541D99"/>
    <w:rsid w:val="00543E7D"/>
    <w:rsid w:val="00546B05"/>
    <w:rsid w:val="00547A68"/>
    <w:rsid w:val="005531C9"/>
    <w:rsid w:val="00570D90"/>
    <w:rsid w:val="00574355"/>
    <w:rsid w:val="005831A9"/>
    <w:rsid w:val="005B2110"/>
    <w:rsid w:val="005B61E6"/>
    <w:rsid w:val="005C77E1"/>
    <w:rsid w:val="005D6A2F"/>
    <w:rsid w:val="005E1A82"/>
    <w:rsid w:val="005E3B1F"/>
    <w:rsid w:val="005E794C"/>
    <w:rsid w:val="005F0A28"/>
    <w:rsid w:val="005F0E5E"/>
    <w:rsid w:val="00600535"/>
    <w:rsid w:val="00603BE5"/>
    <w:rsid w:val="00610CD6"/>
    <w:rsid w:val="00620DEE"/>
    <w:rsid w:val="0062153D"/>
    <w:rsid w:val="00621F92"/>
    <w:rsid w:val="00625639"/>
    <w:rsid w:val="00631B33"/>
    <w:rsid w:val="00633E63"/>
    <w:rsid w:val="006412E5"/>
    <w:rsid w:val="0064184D"/>
    <w:rsid w:val="006422CC"/>
    <w:rsid w:val="00660E3E"/>
    <w:rsid w:val="00662E74"/>
    <w:rsid w:val="006711F5"/>
    <w:rsid w:val="00680C23"/>
    <w:rsid w:val="00693766"/>
    <w:rsid w:val="00693D48"/>
    <w:rsid w:val="006A1B68"/>
    <w:rsid w:val="006A3281"/>
    <w:rsid w:val="006B4888"/>
    <w:rsid w:val="006C2E45"/>
    <w:rsid w:val="006C359C"/>
    <w:rsid w:val="006C5579"/>
    <w:rsid w:val="006D4395"/>
    <w:rsid w:val="006E3F6D"/>
    <w:rsid w:val="006E737D"/>
    <w:rsid w:val="0070195D"/>
    <w:rsid w:val="00711800"/>
    <w:rsid w:val="007208E8"/>
    <w:rsid w:val="00720A24"/>
    <w:rsid w:val="00732386"/>
    <w:rsid w:val="0074286B"/>
    <w:rsid w:val="007447F3"/>
    <w:rsid w:val="0075499F"/>
    <w:rsid w:val="00761448"/>
    <w:rsid w:val="007661C8"/>
    <w:rsid w:val="0077098D"/>
    <w:rsid w:val="0077458E"/>
    <w:rsid w:val="007931FA"/>
    <w:rsid w:val="007A7BBA"/>
    <w:rsid w:val="007B0C50"/>
    <w:rsid w:val="007B5504"/>
    <w:rsid w:val="007B7F27"/>
    <w:rsid w:val="007C1A43"/>
    <w:rsid w:val="007E1DC6"/>
    <w:rsid w:val="007E5223"/>
    <w:rsid w:val="00800215"/>
    <w:rsid w:val="00813288"/>
    <w:rsid w:val="008132CB"/>
    <w:rsid w:val="008168FC"/>
    <w:rsid w:val="00824FD2"/>
    <w:rsid w:val="00830996"/>
    <w:rsid w:val="00832E54"/>
    <w:rsid w:val="008345F1"/>
    <w:rsid w:val="008506A9"/>
    <w:rsid w:val="00865B07"/>
    <w:rsid w:val="008667EA"/>
    <w:rsid w:val="0087637F"/>
    <w:rsid w:val="00883A23"/>
    <w:rsid w:val="008904B9"/>
    <w:rsid w:val="00892AD5"/>
    <w:rsid w:val="008A01E5"/>
    <w:rsid w:val="008A1512"/>
    <w:rsid w:val="008A70FE"/>
    <w:rsid w:val="008B6D72"/>
    <w:rsid w:val="008C4E80"/>
    <w:rsid w:val="008C78C1"/>
    <w:rsid w:val="008D32B9"/>
    <w:rsid w:val="008D433B"/>
    <w:rsid w:val="008E566E"/>
    <w:rsid w:val="0090161A"/>
    <w:rsid w:val="00901EB6"/>
    <w:rsid w:val="00904C62"/>
    <w:rsid w:val="00917C72"/>
    <w:rsid w:val="00924DAC"/>
    <w:rsid w:val="00927058"/>
    <w:rsid w:val="0093110A"/>
    <w:rsid w:val="009450CE"/>
    <w:rsid w:val="00947179"/>
    <w:rsid w:val="0095164B"/>
    <w:rsid w:val="009539BC"/>
    <w:rsid w:val="00954090"/>
    <w:rsid w:val="009573E7"/>
    <w:rsid w:val="0096082E"/>
    <w:rsid w:val="009635B9"/>
    <w:rsid w:val="00963E05"/>
    <w:rsid w:val="00967D54"/>
    <w:rsid w:val="00972AD4"/>
    <w:rsid w:val="009946C1"/>
    <w:rsid w:val="00996483"/>
    <w:rsid w:val="00996F5A"/>
    <w:rsid w:val="009A0A3E"/>
    <w:rsid w:val="009A0EED"/>
    <w:rsid w:val="009A0F30"/>
    <w:rsid w:val="009B041A"/>
    <w:rsid w:val="009C7C86"/>
    <w:rsid w:val="009D2FF7"/>
    <w:rsid w:val="009D67A6"/>
    <w:rsid w:val="009E7884"/>
    <w:rsid w:val="009E788A"/>
    <w:rsid w:val="009F0E08"/>
    <w:rsid w:val="00A1763D"/>
    <w:rsid w:val="00A17CEC"/>
    <w:rsid w:val="00A236E2"/>
    <w:rsid w:val="00A27EF0"/>
    <w:rsid w:val="00A326A3"/>
    <w:rsid w:val="00A35A5C"/>
    <w:rsid w:val="00A37AD2"/>
    <w:rsid w:val="00A50B20"/>
    <w:rsid w:val="00A51390"/>
    <w:rsid w:val="00A5176C"/>
    <w:rsid w:val="00A60D13"/>
    <w:rsid w:val="00A72745"/>
    <w:rsid w:val="00A76EFC"/>
    <w:rsid w:val="00A91010"/>
    <w:rsid w:val="00A94DA1"/>
    <w:rsid w:val="00A97F29"/>
    <w:rsid w:val="00AA702E"/>
    <w:rsid w:val="00AB0964"/>
    <w:rsid w:val="00AB5011"/>
    <w:rsid w:val="00AC7368"/>
    <w:rsid w:val="00AD16B9"/>
    <w:rsid w:val="00AE377D"/>
    <w:rsid w:val="00AF7D55"/>
    <w:rsid w:val="00B17FBD"/>
    <w:rsid w:val="00B25178"/>
    <w:rsid w:val="00B315A6"/>
    <w:rsid w:val="00B31813"/>
    <w:rsid w:val="00B33365"/>
    <w:rsid w:val="00B438B6"/>
    <w:rsid w:val="00B454B1"/>
    <w:rsid w:val="00B57B36"/>
    <w:rsid w:val="00B63D80"/>
    <w:rsid w:val="00B8346F"/>
    <w:rsid w:val="00B8686D"/>
    <w:rsid w:val="00B878BC"/>
    <w:rsid w:val="00B945F6"/>
    <w:rsid w:val="00BC30C9"/>
    <w:rsid w:val="00BD71A0"/>
    <w:rsid w:val="00BE3E58"/>
    <w:rsid w:val="00BF0B72"/>
    <w:rsid w:val="00C01616"/>
    <w:rsid w:val="00C0162B"/>
    <w:rsid w:val="00C077CD"/>
    <w:rsid w:val="00C128AF"/>
    <w:rsid w:val="00C345B1"/>
    <w:rsid w:val="00C40142"/>
    <w:rsid w:val="00C57182"/>
    <w:rsid w:val="00C57863"/>
    <w:rsid w:val="00C655FD"/>
    <w:rsid w:val="00C73720"/>
    <w:rsid w:val="00C870A8"/>
    <w:rsid w:val="00C94434"/>
    <w:rsid w:val="00C9602C"/>
    <w:rsid w:val="00CA0D75"/>
    <w:rsid w:val="00CA1C95"/>
    <w:rsid w:val="00CA5A9C"/>
    <w:rsid w:val="00CC38C0"/>
    <w:rsid w:val="00CD3517"/>
    <w:rsid w:val="00CD5A00"/>
    <w:rsid w:val="00CD5FE2"/>
    <w:rsid w:val="00CE7C68"/>
    <w:rsid w:val="00CF06EA"/>
    <w:rsid w:val="00CF42F6"/>
    <w:rsid w:val="00D02B4C"/>
    <w:rsid w:val="00D040C4"/>
    <w:rsid w:val="00D30E37"/>
    <w:rsid w:val="00D346DA"/>
    <w:rsid w:val="00D50A3F"/>
    <w:rsid w:val="00D57C84"/>
    <w:rsid w:val="00D6057D"/>
    <w:rsid w:val="00D60639"/>
    <w:rsid w:val="00D84576"/>
    <w:rsid w:val="00D9010A"/>
    <w:rsid w:val="00DA1399"/>
    <w:rsid w:val="00DA24C6"/>
    <w:rsid w:val="00DA4D7B"/>
    <w:rsid w:val="00DA5E2F"/>
    <w:rsid w:val="00DB2A82"/>
    <w:rsid w:val="00DC6283"/>
    <w:rsid w:val="00DE264A"/>
    <w:rsid w:val="00DE38F4"/>
    <w:rsid w:val="00E02D18"/>
    <w:rsid w:val="00E041E7"/>
    <w:rsid w:val="00E23CA1"/>
    <w:rsid w:val="00E26995"/>
    <w:rsid w:val="00E409A8"/>
    <w:rsid w:val="00E441B9"/>
    <w:rsid w:val="00E45490"/>
    <w:rsid w:val="00E50C12"/>
    <w:rsid w:val="00E65B91"/>
    <w:rsid w:val="00E7209D"/>
    <w:rsid w:val="00E77223"/>
    <w:rsid w:val="00E8528B"/>
    <w:rsid w:val="00E85B94"/>
    <w:rsid w:val="00E959D5"/>
    <w:rsid w:val="00E978D0"/>
    <w:rsid w:val="00EA4613"/>
    <w:rsid w:val="00EA7F91"/>
    <w:rsid w:val="00EB1523"/>
    <w:rsid w:val="00EC0E49"/>
    <w:rsid w:val="00EC6675"/>
    <w:rsid w:val="00ED31D4"/>
    <w:rsid w:val="00ED3F11"/>
    <w:rsid w:val="00EE0131"/>
    <w:rsid w:val="00EE5D7B"/>
    <w:rsid w:val="00F155B2"/>
    <w:rsid w:val="00F30C64"/>
    <w:rsid w:val="00F328ED"/>
    <w:rsid w:val="00F32CDB"/>
    <w:rsid w:val="00F63A70"/>
    <w:rsid w:val="00F7410B"/>
    <w:rsid w:val="00FA21D0"/>
    <w:rsid w:val="00FA5F5F"/>
    <w:rsid w:val="00FB730C"/>
    <w:rsid w:val="00FB7999"/>
    <w:rsid w:val="00FC2695"/>
    <w:rsid w:val="00FC2DD7"/>
    <w:rsid w:val="00FC3E03"/>
    <w:rsid w:val="00FC3FC1"/>
    <w:rsid w:val="00FD18B4"/>
    <w:rsid w:val="00FE3703"/>
    <w:rsid w:val="00FF06D5"/>
    <w:rsid w:val="00FF4157"/>
    <w:rsid w:val="00FF6D7F"/>
    <w:rsid w:val="00FF7ED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5475"/>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B438B6"/>
    <w:pPr>
      <w:spacing w:after="0" w:line="264" w:lineRule="auto"/>
      <w:ind w:left="284" w:hanging="284"/>
      <w:jc w:val="both"/>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D50A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267">
      <w:bodyDiv w:val="1"/>
      <w:marLeft w:val="0"/>
      <w:marRight w:val="0"/>
      <w:marTop w:val="0"/>
      <w:marBottom w:val="0"/>
      <w:divBdr>
        <w:top w:val="none" w:sz="0" w:space="0" w:color="auto"/>
        <w:left w:val="none" w:sz="0" w:space="0" w:color="auto"/>
        <w:bottom w:val="none" w:sz="0" w:space="0" w:color="auto"/>
        <w:right w:val="none" w:sz="0" w:space="0" w:color="auto"/>
      </w:divBdr>
    </w:div>
    <w:div w:id="350685013">
      <w:bodyDiv w:val="1"/>
      <w:marLeft w:val="0"/>
      <w:marRight w:val="0"/>
      <w:marTop w:val="0"/>
      <w:marBottom w:val="0"/>
      <w:divBdr>
        <w:top w:val="none" w:sz="0" w:space="0" w:color="auto"/>
        <w:left w:val="none" w:sz="0" w:space="0" w:color="auto"/>
        <w:bottom w:val="none" w:sz="0" w:space="0" w:color="auto"/>
        <w:right w:val="none" w:sz="0" w:space="0" w:color="auto"/>
      </w:divBdr>
    </w:div>
    <w:div w:id="713390921">
      <w:bodyDiv w:val="1"/>
      <w:marLeft w:val="0"/>
      <w:marRight w:val="0"/>
      <w:marTop w:val="0"/>
      <w:marBottom w:val="0"/>
      <w:divBdr>
        <w:top w:val="none" w:sz="0" w:space="0" w:color="auto"/>
        <w:left w:val="none" w:sz="0" w:space="0" w:color="auto"/>
        <w:bottom w:val="none" w:sz="0" w:space="0" w:color="auto"/>
        <w:right w:val="none" w:sz="0" w:space="0" w:color="auto"/>
      </w:divBdr>
    </w:div>
    <w:div w:id="7688895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4005">
      <w:bodyDiv w:val="1"/>
      <w:marLeft w:val="0"/>
      <w:marRight w:val="0"/>
      <w:marTop w:val="0"/>
      <w:marBottom w:val="0"/>
      <w:divBdr>
        <w:top w:val="none" w:sz="0" w:space="0" w:color="auto"/>
        <w:left w:val="none" w:sz="0" w:space="0" w:color="auto"/>
        <w:bottom w:val="none" w:sz="0" w:space="0" w:color="auto"/>
        <w:right w:val="none" w:sz="0" w:space="0" w:color="auto"/>
      </w:divBdr>
      <w:divsChild>
        <w:div w:id="127553026">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3118">
      <w:bodyDiv w:val="1"/>
      <w:marLeft w:val="0"/>
      <w:marRight w:val="0"/>
      <w:marTop w:val="0"/>
      <w:marBottom w:val="0"/>
      <w:divBdr>
        <w:top w:val="none" w:sz="0" w:space="0" w:color="auto"/>
        <w:left w:val="none" w:sz="0" w:space="0" w:color="auto"/>
        <w:bottom w:val="none" w:sz="0" w:space="0" w:color="auto"/>
        <w:right w:val="none" w:sz="0" w:space="0" w:color="auto"/>
      </w:divBdr>
      <w:divsChild>
        <w:div w:id="1848978897">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475">
      <w:bodyDiv w:val="1"/>
      <w:marLeft w:val="0"/>
      <w:marRight w:val="0"/>
      <w:marTop w:val="0"/>
      <w:marBottom w:val="0"/>
      <w:divBdr>
        <w:top w:val="none" w:sz="0" w:space="0" w:color="auto"/>
        <w:left w:val="none" w:sz="0" w:space="0" w:color="auto"/>
        <w:bottom w:val="none" w:sz="0" w:space="0" w:color="auto"/>
        <w:right w:val="none" w:sz="0" w:space="0" w:color="auto"/>
      </w:divBdr>
      <w:divsChild>
        <w:div w:id="788859072">
          <w:marLeft w:val="0"/>
          <w:marRight w:val="0"/>
          <w:marTop w:val="0"/>
          <w:marBottom w:val="0"/>
          <w:divBdr>
            <w:top w:val="none" w:sz="0" w:space="0" w:color="auto"/>
            <w:left w:val="none" w:sz="0" w:space="0" w:color="auto"/>
            <w:bottom w:val="none" w:sz="0" w:space="0" w:color="auto"/>
            <w:right w:val="none" w:sz="0" w:space="0" w:color="auto"/>
          </w:divBdr>
        </w:div>
      </w:divsChild>
    </w:div>
    <w:div w:id="1213812371">
      <w:bodyDiv w:val="1"/>
      <w:marLeft w:val="0"/>
      <w:marRight w:val="0"/>
      <w:marTop w:val="0"/>
      <w:marBottom w:val="0"/>
      <w:divBdr>
        <w:top w:val="none" w:sz="0" w:space="0" w:color="auto"/>
        <w:left w:val="none" w:sz="0" w:space="0" w:color="auto"/>
        <w:bottom w:val="none" w:sz="0" w:space="0" w:color="auto"/>
        <w:right w:val="none" w:sz="0" w:space="0" w:color="auto"/>
      </w:divBdr>
    </w:div>
    <w:div w:id="1323041717">
      <w:bodyDiv w:val="1"/>
      <w:marLeft w:val="0"/>
      <w:marRight w:val="0"/>
      <w:marTop w:val="0"/>
      <w:marBottom w:val="0"/>
      <w:divBdr>
        <w:top w:val="none" w:sz="0" w:space="0" w:color="auto"/>
        <w:left w:val="none" w:sz="0" w:space="0" w:color="auto"/>
        <w:bottom w:val="none" w:sz="0" w:space="0" w:color="auto"/>
        <w:right w:val="none" w:sz="0" w:space="0" w:color="auto"/>
      </w:divBdr>
    </w:div>
    <w:div w:id="1370033595">
      <w:bodyDiv w:val="1"/>
      <w:marLeft w:val="0"/>
      <w:marRight w:val="0"/>
      <w:marTop w:val="0"/>
      <w:marBottom w:val="0"/>
      <w:divBdr>
        <w:top w:val="none" w:sz="0" w:space="0" w:color="auto"/>
        <w:left w:val="none" w:sz="0" w:space="0" w:color="auto"/>
        <w:bottom w:val="none" w:sz="0" w:space="0" w:color="auto"/>
        <w:right w:val="none" w:sz="0" w:space="0" w:color="auto"/>
      </w:divBdr>
    </w:div>
    <w:div w:id="1428042857">
      <w:bodyDiv w:val="1"/>
      <w:marLeft w:val="0"/>
      <w:marRight w:val="0"/>
      <w:marTop w:val="0"/>
      <w:marBottom w:val="0"/>
      <w:divBdr>
        <w:top w:val="none" w:sz="0" w:space="0" w:color="auto"/>
        <w:left w:val="none" w:sz="0" w:space="0" w:color="auto"/>
        <w:bottom w:val="none" w:sz="0" w:space="0" w:color="auto"/>
        <w:right w:val="none" w:sz="0" w:space="0" w:color="auto"/>
      </w:divBdr>
      <w:divsChild>
        <w:div w:id="242027483">
          <w:marLeft w:val="0"/>
          <w:marRight w:val="0"/>
          <w:marTop w:val="0"/>
          <w:marBottom w:val="0"/>
          <w:divBdr>
            <w:top w:val="none" w:sz="0" w:space="0" w:color="auto"/>
            <w:left w:val="none" w:sz="0" w:space="0" w:color="auto"/>
            <w:bottom w:val="none" w:sz="0" w:space="0" w:color="auto"/>
            <w:right w:val="none" w:sz="0" w:space="0" w:color="auto"/>
          </w:divBdr>
        </w:div>
      </w:divsChild>
    </w:div>
    <w:div w:id="1540164135">
      <w:bodyDiv w:val="1"/>
      <w:marLeft w:val="0"/>
      <w:marRight w:val="0"/>
      <w:marTop w:val="0"/>
      <w:marBottom w:val="0"/>
      <w:divBdr>
        <w:top w:val="none" w:sz="0" w:space="0" w:color="auto"/>
        <w:left w:val="none" w:sz="0" w:space="0" w:color="auto"/>
        <w:bottom w:val="none" w:sz="0" w:space="0" w:color="auto"/>
        <w:right w:val="none" w:sz="0" w:space="0" w:color="auto"/>
      </w:divBdr>
    </w:div>
    <w:div w:id="16351361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3670">
      <w:bodyDiv w:val="1"/>
      <w:marLeft w:val="0"/>
      <w:marRight w:val="0"/>
      <w:marTop w:val="0"/>
      <w:marBottom w:val="0"/>
      <w:divBdr>
        <w:top w:val="none" w:sz="0" w:space="0" w:color="auto"/>
        <w:left w:val="none" w:sz="0" w:space="0" w:color="auto"/>
        <w:bottom w:val="none" w:sz="0" w:space="0" w:color="auto"/>
        <w:right w:val="none" w:sz="0" w:space="0" w:color="auto"/>
      </w:divBdr>
    </w:div>
    <w:div w:id="1812284094">
      <w:bodyDiv w:val="1"/>
      <w:marLeft w:val="0"/>
      <w:marRight w:val="0"/>
      <w:marTop w:val="0"/>
      <w:marBottom w:val="0"/>
      <w:divBdr>
        <w:top w:val="none" w:sz="0" w:space="0" w:color="auto"/>
        <w:left w:val="none" w:sz="0" w:space="0" w:color="auto"/>
        <w:bottom w:val="none" w:sz="0" w:space="0" w:color="auto"/>
        <w:right w:val="none" w:sz="0" w:space="0" w:color="auto"/>
      </w:divBdr>
      <w:divsChild>
        <w:div w:id="1854954158">
          <w:marLeft w:val="0"/>
          <w:marRight w:val="0"/>
          <w:marTop w:val="0"/>
          <w:marBottom w:val="0"/>
          <w:divBdr>
            <w:top w:val="none" w:sz="0" w:space="0" w:color="auto"/>
            <w:left w:val="none" w:sz="0" w:space="0" w:color="auto"/>
            <w:bottom w:val="none" w:sz="0" w:space="0" w:color="auto"/>
            <w:right w:val="none" w:sz="0" w:space="0" w:color="auto"/>
          </w:divBdr>
        </w:div>
      </w:divsChild>
    </w:div>
    <w:div w:id="1831867050">
      <w:bodyDiv w:val="1"/>
      <w:marLeft w:val="0"/>
      <w:marRight w:val="0"/>
      <w:marTop w:val="0"/>
      <w:marBottom w:val="0"/>
      <w:divBdr>
        <w:top w:val="none" w:sz="0" w:space="0" w:color="auto"/>
        <w:left w:val="none" w:sz="0" w:space="0" w:color="auto"/>
        <w:bottom w:val="none" w:sz="0" w:space="0" w:color="auto"/>
        <w:right w:val="none" w:sz="0" w:space="0" w:color="auto"/>
      </w:divBdr>
    </w:div>
    <w:div w:id="1992559307">
      <w:bodyDiv w:val="1"/>
      <w:marLeft w:val="0"/>
      <w:marRight w:val="0"/>
      <w:marTop w:val="0"/>
      <w:marBottom w:val="0"/>
      <w:divBdr>
        <w:top w:val="none" w:sz="0" w:space="0" w:color="auto"/>
        <w:left w:val="none" w:sz="0" w:space="0" w:color="auto"/>
        <w:bottom w:val="none" w:sz="0" w:space="0" w:color="auto"/>
        <w:right w:val="none" w:sz="0" w:space="0" w:color="auto"/>
      </w:divBdr>
    </w:div>
    <w:div w:id="204972196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Gaetano\Desktop\TESI\gtn\Np%20e%20Nq\Np%20settati%20e%20non%20settat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aetano\Dropbox\Mixing%20CFD%20Gaetano\Np%20ed%20Nq%20fatti%20uno%20per%20uno\Nq%20settati%20e%20non%20settati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00354048437697"/>
          <c:y val="3.116164185108318E-2"/>
          <c:w val="0.85392988389254343"/>
          <c:h val="0.82950097475757656"/>
        </c:manualLayout>
      </c:layout>
      <c:scatterChart>
        <c:scatterStyle val="smoothMarker"/>
        <c:varyColors val="0"/>
        <c:ser>
          <c:idx val="0"/>
          <c:order val="0"/>
          <c:tx>
            <c:v>Exp_Rushton (1950) Unbaffled</c:v>
          </c:tx>
          <c:spPr>
            <a:ln w="41275" cmpd="sng">
              <a:solidFill>
                <a:schemeClr val="tx1"/>
              </a:solidFill>
              <a:prstDash val="sysDot"/>
            </a:ln>
          </c:spPr>
          <c:marker>
            <c:symbol val="none"/>
          </c:marker>
          <c:xVal>
            <c:numRef>
              <c:f>'EXP vs CFD'!$P$8:$P$50</c:f>
              <c:numCache>
                <c:formatCode>0.00</c:formatCode>
                <c:ptCount val="43"/>
                <c:pt idx="0">
                  <c:v>1.3799837931505734</c:v>
                </c:pt>
                <c:pt idx="1">
                  <c:v>2.7607904845166864</c:v>
                </c:pt>
                <c:pt idx="2">
                  <c:v>4.1424208103715854</c:v>
                </c:pt>
                <c:pt idx="3">
                  <c:v>5.5248755078671383</c:v>
                </c:pt>
                <c:pt idx="4">
                  <c:v>6.9081553150351374</c:v>
                </c:pt>
                <c:pt idx="5">
                  <c:v>9.6743044659200592</c:v>
                </c:pt>
                <c:pt idx="6">
                  <c:v>13.828690985147876</c:v>
                </c:pt>
                <c:pt idx="7">
                  <c:v>16.762994971253057</c:v>
                </c:pt>
                <c:pt idx="8">
                  <c:v>19.561493555579386</c:v>
                </c:pt>
                <c:pt idx="9">
                  <c:v>25.156493835177699</c:v>
                </c:pt>
                <c:pt idx="10">
                  <c:v>32.152081827490349</c:v>
                </c:pt>
                <c:pt idx="11">
                  <c:v>41.947511125630527</c:v>
                </c:pt>
                <c:pt idx="12">
                  <c:v>56.207895573612085</c:v>
                </c:pt>
                <c:pt idx="13">
                  <c:v>71.261188817589328</c:v>
                </c:pt>
                <c:pt idx="14">
                  <c:v>87.882823477992943</c:v>
                </c:pt>
                <c:pt idx="15">
                  <c:v>105.28315947715069</c:v>
                </c:pt>
                <c:pt idx="16">
                  <c:v>141.26464060865786</c:v>
                </c:pt>
                <c:pt idx="17">
                  <c:v>182.82314822832288</c:v>
                </c:pt>
                <c:pt idx="18">
                  <c:v>202.50970721592159</c:v>
                </c:pt>
                <c:pt idx="19">
                  <c:v>285.39611933824506</c:v>
                </c:pt>
                <c:pt idx="20">
                  <c:v>351.13183942464292</c:v>
                </c:pt>
                <c:pt idx="21">
                  <c:v>440.11226208953229</c:v>
                </c:pt>
                <c:pt idx="22">
                  <c:v>505.9609769674762</c:v>
                </c:pt>
                <c:pt idx="23">
                  <c:v>569.98110565779268</c:v>
                </c:pt>
                <c:pt idx="24">
                  <c:v>657.43694132941198</c:v>
                </c:pt>
                <c:pt idx="25">
                  <c:v>876.27138929128364</c:v>
                </c:pt>
                <c:pt idx="26">
                  <c:v>1101.9832805650869</c:v>
                </c:pt>
                <c:pt idx="27">
                  <c:v>1339.3018071458321</c:v>
                </c:pt>
                <c:pt idx="28">
                  <c:v>1583.0893570569206</c:v>
                </c:pt>
                <c:pt idx="29" formatCode="0">
                  <c:v>1852.9330638406357</c:v>
                </c:pt>
                <c:pt idx="30" formatCode="0">
                  <c:v>3705.8661276812713</c:v>
                </c:pt>
                <c:pt idx="31" formatCode="0">
                  <c:v>4941.1548369083621</c:v>
                </c:pt>
                <c:pt idx="32" formatCode="0">
                  <c:v>6176.4435461354524</c:v>
                </c:pt>
                <c:pt idx="33" formatCode="0">
                  <c:v>7411.7322553625427</c:v>
                </c:pt>
                <c:pt idx="34" formatCode="0">
                  <c:v>9882.3096738167242</c:v>
                </c:pt>
                <c:pt idx="35" formatCode="0">
                  <c:v>12352.887092270905</c:v>
                </c:pt>
                <c:pt idx="36" formatCode="0">
                  <c:v>14905.294627081568</c:v>
                </c:pt>
                <c:pt idx="37" formatCode="0">
                  <c:v>29711.399332631139</c:v>
                </c:pt>
                <c:pt idx="38" formatCode="0">
                  <c:v>37139.249165788926</c:v>
                </c:pt>
                <c:pt idx="39" formatCode="0">
                  <c:v>44567.098998946705</c:v>
                </c:pt>
                <c:pt idx="40" formatCode="0">
                  <c:v>59422.798665262279</c:v>
                </c:pt>
                <c:pt idx="41" formatCode="0">
                  <c:v>74461.021887867682</c:v>
                </c:pt>
                <c:pt idx="42" formatCode="0">
                  <c:v>104245.43064301474</c:v>
                </c:pt>
              </c:numCache>
            </c:numRef>
          </c:xVal>
          <c:yVal>
            <c:numRef>
              <c:f>'EXP vs CFD'!$Q$8:$Q$50</c:f>
              <c:numCache>
                <c:formatCode>0.000</c:formatCode>
                <c:ptCount val="43"/>
                <c:pt idx="0">
                  <c:v>50.725233403057892</c:v>
                </c:pt>
                <c:pt idx="1">
                  <c:v>25.355056963786385</c:v>
                </c:pt>
                <c:pt idx="2">
                  <c:v>16.898331484029221</c:v>
                </c:pt>
                <c:pt idx="3">
                  <c:v>12.669968744150633</c:v>
                </c:pt>
                <c:pt idx="4">
                  <c:v>10.132951100223483</c:v>
                </c:pt>
                <c:pt idx="5">
                  <c:v>7.2356622893760418</c:v>
                </c:pt>
                <c:pt idx="6">
                  <c:v>5.8135167346511558</c:v>
                </c:pt>
                <c:pt idx="7">
                  <c:v>5.2074708104649234</c:v>
                </c:pt>
                <c:pt idx="8">
                  <c:v>4.8242078835150135</c:v>
                </c:pt>
                <c:pt idx="9">
                  <c:v>4.3146867248095493</c:v>
                </c:pt>
                <c:pt idx="10">
                  <c:v>4.0024505995700572</c:v>
                </c:pt>
                <c:pt idx="11">
                  <c:v>3.820382808763406</c:v>
                </c:pt>
                <c:pt idx="12">
                  <c:v>3.530241071601151</c:v>
                </c:pt>
                <c:pt idx="13">
                  <c:v>3.3297652270064209</c:v>
                </c:pt>
                <c:pt idx="14">
                  <c:v>3.2077391840028269</c:v>
                </c:pt>
                <c:pt idx="15">
                  <c:v>3.1050356195714839</c:v>
                </c:pt>
                <c:pt idx="16">
                  <c:v>2.9462747538343517</c:v>
                </c:pt>
                <c:pt idx="17">
                  <c:v>2.7668279150026409</c:v>
                </c:pt>
                <c:pt idx="18">
                  <c:v>2.7176571361125892</c:v>
                </c:pt>
                <c:pt idx="19">
                  <c:v>2.6105726535825036</c:v>
                </c:pt>
                <c:pt idx="20">
                  <c:v>2.4346244594825412</c:v>
                </c:pt>
                <c:pt idx="21">
                  <c:v>2.3459931870249737</c:v>
                </c:pt>
                <c:pt idx="22">
                  <c:v>2.2725436923470763</c:v>
                </c:pt>
                <c:pt idx="23">
                  <c:v>2.2203680109173933</c:v>
                </c:pt>
                <c:pt idx="24">
                  <c:v>2.1475758527989819</c:v>
                </c:pt>
                <c:pt idx="25">
                  <c:v>2.0162702639729564</c:v>
                </c:pt>
                <c:pt idx="26">
                  <c:v>1.9076075944644866</c:v>
                </c:pt>
                <c:pt idx="27">
                  <c:v>1.8389266662252155</c:v>
                </c:pt>
                <c:pt idx="28">
                  <c:v>1.7397841646898589</c:v>
                </c:pt>
                <c:pt idx="29">
                  <c:v>1.6721212335619202</c:v>
                </c:pt>
                <c:pt idx="30">
                  <c:v>1.3807667761988585</c:v>
                </c:pt>
                <c:pt idx="31">
                  <c:v>1.2255888586902708</c:v>
                </c:pt>
                <c:pt idx="32">
                  <c:v>1.1446429898837507</c:v>
                </c:pt>
                <c:pt idx="33">
                  <c:v>1.0735778374573692</c:v>
                </c:pt>
                <c:pt idx="34">
                  <c:v>0.97085163951482201</c:v>
                </c:pt>
                <c:pt idx="35">
                  <c:v>0.90864587941967068</c:v>
                </c:pt>
                <c:pt idx="36">
                  <c:v>0.86</c:v>
                </c:pt>
                <c:pt idx="37">
                  <c:v>0.72680269526981178</c:v>
                </c:pt>
                <c:pt idx="38">
                  <c:v>0.69773058745901928</c:v>
                </c:pt>
                <c:pt idx="39">
                  <c:v>0.6697985623074737</c:v>
                </c:pt>
                <c:pt idx="40">
                  <c:v>0.63417097920601206</c:v>
                </c:pt>
                <c:pt idx="41">
                  <c:v>0.60994422269701865</c:v>
                </c:pt>
                <c:pt idx="42">
                  <c:v>0.56887797997108935</c:v>
                </c:pt>
              </c:numCache>
            </c:numRef>
          </c:yVal>
          <c:smooth val="1"/>
          <c:extLst>
            <c:ext xmlns:c16="http://schemas.microsoft.com/office/drawing/2014/chart" uri="{C3380CC4-5D6E-409C-BE32-E72D297353CC}">
              <c16:uniqueId val="{00000000-5481-418E-B5CD-264B98CF8BEC}"/>
            </c:ext>
          </c:extLst>
        </c:ser>
        <c:ser>
          <c:idx val="1"/>
          <c:order val="1"/>
          <c:tx>
            <c:v>Exp_Rushton (1950) Baffled</c:v>
          </c:tx>
          <c:spPr>
            <a:ln w="28575">
              <a:solidFill>
                <a:schemeClr val="tx1">
                  <a:lumMod val="65000"/>
                  <a:lumOff val="35000"/>
                </a:schemeClr>
              </a:solidFill>
              <a:prstDash val="sysDash"/>
            </a:ln>
          </c:spPr>
          <c:marker>
            <c:symbol val="none"/>
          </c:marker>
          <c:xVal>
            <c:numRef>
              <c:f>'EXP vs CFD'!$C$8:$C$51</c:f>
              <c:numCache>
                <c:formatCode>General</c:formatCode>
                <c:ptCount val="44"/>
                <c:pt idx="0">
                  <c:v>1</c:v>
                </c:pt>
                <c:pt idx="1">
                  <c:v>7</c:v>
                </c:pt>
                <c:pt idx="2">
                  <c:v>10</c:v>
                </c:pt>
                <c:pt idx="3" formatCode="0.00">
                  <c:v>13.828690985147876</c:v>
                </c:pt>
                <c:pt idx="4" formatCode="0.00">
                  <c:v>16.762994971253057</c:v>
                </c:pt>
                <c:pt idx="5" formatCode="0.00">
                  <c:v>19.561493555579386</c:v>
                </c:pt>
                <c:pt idx="6" formatCode="0.00">
                  <c:v>25.156493835177699</c:v>
                </c:pt>
                <c:pt idx="7" formatCode="0.00">
                  <c:v>32.152081827490349</c:v>
                </c:pt>
                <c:pt idx="8" formatCode="0.00">
                  <c:v>41.947511125630527</c:v>
                </c:pt>
                <c:pt idx="9" formatCode="0.00">
                  <c:v>56.207895573612085</c:v>
                </c:pt>
                <c:pt idx="10" formatCode="0.00">
                  <c:v>102.89048300697556</c:v>
                </c:pt>
                <c:pt idx="11" formatCode="0.00">
                  <c:v>138.87542769375233</c:v>
                </c:pt>
                <c:pt idx="12" formatCode="0.00">
                  <c:v>154.9251110918697</c:v>
                </c:pt>
                <c:pt idx="13" formatCode="0.00">
                  <c:v>173.93599437017818</c:v>
                </c:pt>
                <c:pt idx="14" formatCode="0.00">
                  <c:v>193.60829799651759</c:v>
                </c:pt>
                <c:pt idx="15" formatCode="0.00">
                  <c:v>251.62830030931693</c:v>
                </c:pt>
                <c:pt idx="16" formatCode="0.00">
                  <c:v>309.61950060640669</c:v>
                </c:pt>
                <c:pt idx="17" formatCode="0.00">
                  <c:v>386.92833718853251</c:v>
                </c:pt>
                <c:pt idx="18" formatCode="0.00">
                  <c:v>444.85719821097751</c:v>
                </c:pt>
                <c:pt idx="19" formatCode="0.00">
                  <c:v>502.75732385866075</c:v>
                </c:pt>
                <c:pt idx="20" formatCode="0.00">
                  <c:v>579.96076086970163</c:v>
                </c:pt>
                <c:pt idx="21" formatCode="0.00">
                  <c:v>778.44211590402608</c:v>
                </c:pt>
                <c:pt idx="22">
                  <c:v>2000</c:v>
                </c:pt>
                <c:pt idx="23">
                  <c:v>3000</c:v>
                </c:pt>
                <c:pt idx="24">
                  <c:v>5000</c:v>
                </c:pt>
                <c:pt idx="25">
                  <c:v>6000</c:v>
                </c:pt>
                <c:pt idx="26">
                  <c:v>7000</c:v>
                </c:pt>
                <c:pt idx="27">
                  <c:v>10000</c:v>
                </c:pt>
                <c:pt idx="28">
                  <c:v>20000</c:v>
                </c:pt>
                <c:pt idx="29">
                  <c:v>100000</c:v>
                </c:pt>
              </c:numCache>
            </c:numRef>
          </c:xVal>
          <c:yVal>
            <c:numRef>
              <c:f>'EXP vs CFD'!$D$8:$D$51</c:f>
              <c:numCache>
                <c:formatCode>General</c:formatCode>
                <c:ptCount val="44"/>
                <c:pt idx="0">
                  <c:v>70</c:v>
                </c:pt>
                <c:pt idx="1">
                  <c:v>10</c:v>
                </c:pt>
                <c:pt idx="2">
                  <c:v>7</c:v>
                </c:pt>
                <c:pt idx="3">
                  <c:v>5.8135167346511558</c:v>
                </c:pt>
                <c:pt idx="4">
                  <c:v>5.2074708104649234</c:v>
                </c:pt>
                <c:pt idx="5">
                  <c:v>4.8242078835150135</c:v>
                </c:pt>
                <c:pt idx="6">
                  <c:v>4.3146867248095493</c:v>
                </c:pt>
                <c:pt idx="7">
                  <c:v>4.0024505995700572</c:v>
                </c:pt>
                <c:pt idx="8">
                  <c:v>3.820382808763406</c:v>
                </c:pt>
                <c:pt idx="9">
                  <c:v>3.530241071601151</c:v>
                </c:pt>
                <c:pt idx="10">
                  <c:v>3.2552374228516587</c:v>
                </c:pt>
                <c:pt idx="11">
                  <c:v>3.1280169687294945</c:v>
                </c:pt>
                <c:pt idx="12">
                  <c:v>3.1002708472811391</c:v>
                </c:pt>
                <c:pt idx="13">
                  <c:v>3.0719452409647272</c:v>
                </c:pt>
                <c:pt idx="14">
                  <c:v>3.0813044844507118</c:v>
                </c:pt>
                <c:pt idx="15">
                  <c:v>3.0525743727075834</c:v>
                </c:pt>
                <c:pt idx="16">
                  <c:v>3.1002708472811391</c:v>
                </c:pt>
                <c:pt idx="17">
                  <c:v>3.1571699357724157</c:v>
                </c:pt>
                <c:pt idx="18">
                  <c:v>3.2256577174664298</c:v>
                </c:pt>
                <c:pt idx="19">
                  <c:v>3.3087528800481998</c:v>
                </c:pt>
                <c:pt idx="20">
                  <c:v>3.3484546207288468</c:v>
                </c:pt>
                <c:pt idx="21">
                  <c:v>3.5788067710026499</c:v>
                </c:pt>
                <c:pt idx="22">
                  <c:v>4.7</c:v>
                </c:pt>
                <c:pt idx="23">
                  <c:v>5.0999999999999996</c:v>
                </c:pt>
                <c:pt idx="24">
                  <c:v>5.5</c:v>
                </c:pt>
                <c:pt idx="25">
                  <c:v>5.7</c:v>
                </c:pt>
                <c:pt idx="26">
                  <c:v>5.8</c:v>
                </c:pt>
                <c:pt idx="27">
                  <c:v>6</c:v>
                </c:pt>
                <c:pt idx="28">
                  <c:v>6.08</c:v>
                </c:pt>
                <c:pt idx="29">
                  <c:v>6.08</c:v>
                </c:pt>
              </c:numCache>
            </c:numRef>
          </c:yVal>
          <c:smooth val="1"/>
          <c:extLst>
            <c:ext xmlns:c16="http://schemas.microsoft.com/office/drawing/2014/chart" uri="{C3380CC4-5D6E-409C-BE32-E72D297353CC}">
              <c16:uniqueId val="{00000001-5481-418E-B5CD-264B98CF8BEC}"/>
            </c:ext>
          </c:extLst>
        </c:ser>
        <c:ser>
          <c:idx val="4"/>
          <c:order val="3"/>
          <c:tx>
            <c:v>CFD_Baff._k-w SST</c:v>
          </c:tx>
          <c:spPr>
            <a:ln w="28575">
              <a:noFill/>
            </a:ln>
          </c:spPr>
          <c:marker>
            <c:symbol val="square"/>
            <c:size val="5"/>
            <c:spPr>
              <a:solidFill>
                <a:schemeClr val="accent1"/>
              </a:solidFill>
              <a:ln>
                <a:noFill/>
              </a:ln>
            </c:spPr>
          </c:marker>
          <c:dPt>
            <c:idx val="16"/>
            <c:bubble3D val="0"/>
            <c:extLst>
              <c:ext xmlns:c16="http://schemas.microsoft.com/office/drawing/2014/chart" uri="{C3380CC4-5D6E-409C-BE32-E72D297353CC}">
                <c16:uniqueId val="{00000002-5481-418E-B5CD-264B98CF8BEC}"/>
              </c:ext>
            </c:extLst>
          </c:dPt>
          <c:xVal>
            <c:numRef>
              <c:f>'EXP vs CFD'!$F$12:$F$30</c:f>
              <c:numCache>
                <c:formatCode>General</c:formatCode>
                <c:ptCount val="19"/>
                <c:pt idx="0">
                  <c:v>0.1</c:v>
                </c:pt>
                <c:pt idx="1">
                  <c:v>0.2</c:v>
                </c:pt>
                <c:pt idx="2">
                  <c:v>0.7</c:v>
                </c:pt>
                <c:pt idx="3">
                  <c:v>1.7</c:v>
                </c:pt>
                <c:pt idx="4">
                  <c:v>3.5</c:v>
                </c:pt>
                <c:pt idx="5">
                  <c:v>8</c:v>
                </c:pt>
                <c:pt idx="6">
                  <c:v>17</c:v>
                </c:pt>
                <c:pt idx="7">
                  <c:v>35</c:v>
                </c:pt>
                <c:pt idx="8">
                  <c:v>70</c:v>
                </c:pt>
                <c:pt idx="9">
                  <c:v>150</c:v>
                </c:pt>
                <c:pt idx="10">
                  <c:v>203.09</c:v>
                </c:pt>
                <c:pt idx="11">
                  <c:v>300</c:v>
                </c:pt>
                <c:pt idx="12">
                  <c:v>400</c:v>
                </c:pt>
                <c:pt idx="13">
                  <c:v>500</c:v>
                </c:pt>
                <c:pt idx="14">
                  <c:v>1000</c:v>
                </c:pt>
                <c:pt idx="15">
                  <c:v>2500</c:v>
                </c:pt>
                <c:pt idx="16">
                  <c:v>5000</c:v>
                </c:pt>
                <c:pt idx="17">
                  <c:v>10000</c:v>
                </c:pt>
                <c:pt idx="18">
                  <c:v>33000</c:v>
                </c:pt>
              </c:numCache>
            </c:numRef>
          </c:xVal>
          <c:yVal>
            <c:numRef>
              <c:f>'EXP vs CFD'!$I$12:$I$30</c:f>
              <c:numCache>
                <c:formatCode>General</c:formatCode>
                <c:ptCount val="19"/>
                <c:pt idx="13" formatCode="0.00">
                  <c:v>4.8962682780924558</c:v>
                </c:pt>
                <c:pt idx="14" formatCode="0.00">
                  <c:v>5.6025269971324283</c:v>
                </c:pt>
                <c:pt idx="15" formatCode="0.00">
                  <c:v>5.9513255002444927</c:v>
                </c:pt>
                <c:pt idx="16" formatCode="0.00">
                  <c:v>6.083969882712057</c:v>
                </c:pt>
                <c:pt idx="17" formatCode="0.00">
                  <c:v>6.1913952499026346</c:v>
                </c:pt>
                <c:pt idx="18" formatCode="0.00">
                  <c:v>6.0600776717823743</c:v>
                </c:pt>
              </c:numCache>
            </c:numRef>
          </c:yVal>
          <c:smooth val="1"/>
          <c:extLst>
            <c:ext xmlns:c16="http://schemas.microsoft.com/office/drawing/2014/chart" uri="{C3380CC4-5D6E-409C-BE32-E72D297353CC}">
              <c16:uniqueId val="{00000003-5481-418E-B5CD-264B98CF8BEC}"/>
            </c:ext>
          </c:extLst>
        </c:ser>
        <c:ser>
          <c:idx val="8"/>
          <c:order val="4"/>
          <c:tx>
            <c:v>CFD_Unbaff_k-w SST</c:v>
          </c:tx>
          <c:spPr>
            <a:ln w="28575">
              <a:noFill/>
            </a:ln>
          </c:spPr>
          <c:marker>
            <c:symbol val="circle"/>
            <c:size val="6"/>
            <c:spPr>
              <a:solidFill>
                <a:schemeClr val="accent1"/>
              </a:solidFill>
              <a:ln>
                <a:noFill/>
              </a:ln>
            </c:spPr>
          </c:marker>
          <c:xVal>
            <c:numRef>
              <c:f>'EXP vs CFD'!$T$12:$T$30</c:f>
              <c:numCache>
                <c:formatCode>General</c:formatCode>
                <c:ptCount val="19"/>
                <c:pt idx="0">
                  <c:v>0.1</c:v>
                </c:pt>
                <c:pt idx="1">
                  <c:v>0.2</c:v>
                </c:pt>
                <c:pt idx="2">
                  <c:v>0.7</c:v>
                </c:pt>
                <c:pt idx="3">
                  <c:v>1.7</c:v>
                </c:pt>
                <c:pt idx="4">
                  <c:v>3.5</c:v>
                </c:pt>
                <c:pt idx="5">
                  <c:v>8</c:v>
                </c:pt>
                <c:pt idx="6">
                  <c:v>17</c:v>
                </c:pt>
                <c:pt idx="7">
                  <c:v>35</c:v>
                </c:pt>
                <c:pt idx="8">
                  <c:v>70</c:v>
                </c:pt>
                <c:pt idx="9">
                  <c:v>150</c:v>
                </c:pt>
                <c:pt idx="10">
                  <c:v>203.09</c:v>
                </c:pt>
                <c:pt idx="11">
                  <c:v>300</c:v>
                </c:pt>
                <c:pt idx="12">
                  <c:v>400</c:v>
                </c:pt>
                <c:pt idx="13">
                  <c:v>500</c:v>
                </c:pt>
                <c:pt idx="14">
                  <c:v>1000</c:v>
                </c:pt>
                <c:pt idx="15">
                  <c:v>2500</c:v>
                </c:pt>
                <c:pt idx="16">
                  <c:v>5000</c:v>
                </c:pt>
                <c:pt idx="17">
                  <c:v>10000</c:v>
                </c:pt>
                <c:pt idx="18">
                  <c:v>33000</c:v>
                </c:pt>
              </c:numCache>
            </c:numRef>
          </c:xVal>
          <c:yVal>
            <c:numRef>
              <c:f>'EXP vs CFD'!$W$12:$W$30</c:f>
              <c:numCache>
                <c:formatCode>General</c:formatCode>
                <c:ptCount val="19"/>
                <c:pt idx="13" formatCode="0.00">
                  <c:v>2.7145453478528885</c:v>
                </c:pt>
                <c:pt idx="14" formatCode="0.00">
                  <c:v>2.2037917321136464</c:v>
                </c:pt>
                <c:pt idx="15" formatCode="0.00">
                  <c:v>1.6177208788355761</c:v>
                </c:pt>
                <c:pt idx="16" formatCode="0.00">
                  <c:v>1.4177175909297448</c:v>
                </c:pt>
                <c:pt idx="17" formatCode="0.00">
                  <c:v>1.3565175863032872</c:v>
                </c:pt>
                <c:pt idx="18" formatCode="0.00">
                  <c:v>1.2685860530114126</c:v>
                </c:pt>
              </c:numCache>
            </c:numRef>
          </c:yVal>
          <c:smooth val="1"/>
          <c:extLst>
            <c:ext xmlns:c16="http://schemas.microsoft.com/office/drawing/2014/chart" uri="{C3380CC4-5D6E-409C-BE32-E72D297353CC}">
              <c16:uniqueId val="{00000004-5481-418E-B5CD-264B98CF8BEC}"/>
            </c:ext>
          </c:extLst>
        </c:ser>
        <c:ser>
          <c:idx val="6"/>
          <c:order val="5"/>
          <c:tx>
            <c:v>Dato LES Raul</c:v>
          </c:tx>
          <c:spPr>
            <a:ln>
              <a:noFill/>
            </a:ln>
          </c:spPr>
          <c:marker>
            <c:symbol val="star"/>
            <c:size val="5"/>
            <c:spPr>
              <a:noFill/>
              <a:ln>
                <a:solidFill>
                  <a:schemeClr val="tx1"/>
                </a:solidFill>
              </a:ln>
            </c:spPr>
          </c:marker>
          <c:xVal>
            <c:numRef>
              <c:f>'EXP vs CFD'!$T$30</c:f>
              <c:numCache>
                <c:formatCode>General</c:formatCode>
                <c:ptCount val="1"/>
                <c:pt idx="0">
                  <c:v>33000</c:v>
                </c:pt>
              </c:numCache>
            </c:numRef>
          </c:xVal>
          <c:yVal>
            <c:numRef>
              <c:f>'EXP vs CFD'!$AA$30</c:f>
              <c:numCache>
                <c:formatCode>0.00</c:formatCode>
                <c:ptCount val="1"/>
                <c:pt idx="0">
                  <c:v>1.02</c:v>
                </c:pt>
              </c:numCache>
            </c:numRef>
          </c:yVal>
          <c:smooth val="1"/>
          <c:extLst>
            <c:ext xmlns:c16="http://schemas.microsoft.com/office/drawing/2014/chart" uri="{C3380CC4-5D6E-409C-BE32-E72D297353CC}">
              <c16:uniqueId val="{00000005-5481-418E-B5CD-264B98CF8BEC}"/>
            </c:ext>
          </c:extLst>
        </c:ser>
        <c:dLbls>
          <c:showLegendKey val="0"/>
          <c:showVal val="0"/>
          <c:showCatName val="0"/>
          <c:showSerName val="0"/>
          <c:showPercent val="0"/>
          <c:showBubbleSize val="0"/>
        </c:dLbls>
        <c:axId val="-1107126416"/>
        <c:axId val="-1107128592"/>
      </c:scatterChart>
      <c:scatterChart>
        <c:scatterStyle val="lineMarker"/>
        <c:varyColors val="0"/>
        <c:ser>
          <c:idx val="5"/>
          <c:order val="2"/>
          <c:tx>
            <c:v>CFD_Unbaff._Transient</c:v>
          </c:tx>
          <c:spPr>
            <a:ln w="28575">
              <a:noFill/>
            </a:ln>
          </c:spPr>
          <c:marker>
            <c:symbol val="triangle"/>
            <c:size val="5"/>
          </c:marker>
          <c:xVal>
            <c:numRef>
              <c:f>'EXP vs CFD'!$T$23</c:f>
              <c:numCache>
                <c:formatCode>General</c:formatCode>
                <c:ptCount val="1"/>
                <c:pt idx="0">
                  <c:v>300</c:v>
                </c:pt>
              </c:numCache>
            </c:numRef>
          </c:xVal>
          <c:yVal>
            <c:numRef>
              <c:f>'EXP vs CFD'!$V$23</c:f>
              <c:numCache>
                <c:formatCode>0.00</c:formatCode>
                <c:ptCount val="1"/>
                <c:pt idx="0">
                  <c:v>2.6146471391826336</c:v>
                </c:pt>
              </c:numCache>
            </c:numRef>
          </c:yVal>
          <c:smooth val="0"/>
          <c:extLst>
            <c:ext xmlns:c16="http://schemas.microsoft.com/office/drawing/2014/chart" uri="{C3380CC4-5D6E-409C-BE32-E72D297353CC}">
              <c16:uniqueId val="{00000006-5481-418E-B5CD-264B98CF8BEC}"/>
            </c:ext>
          </c:extLst>
        </c:ser>
        <c:ser>
          <c:idx val="11"/>
          <c:order val="6"/>
          <c:tx>
            <c:v>CFD_UnBaff._DNS</c:v>
          </c:tx>
          <c:spPr>
            <a:ln w="28575">
              <a:noFill/>
            </a:ln>
          </c:spPr>
          <c:marker>
            <c:symbol val="circle"/>
            <c:size val="7"/>
            <c:spPr>
              <a:ln>
                <a:noFill/>
              </a:ln>
            </c:spPr>
          </c:marker>
          <c:xVal>
            <c:numRef>
              <c:f>'EXP vs CFD'!$T$8:$T$27</c:f>
              <c:numCache>
                <c:formatCode>General</c:formatCode>
                <c:ptCount val="20"/>
                <c:pt idx="0">
                  <c:v>1E-3</c:v>
                </c:pt>
                <c:pt idx="1">
                  <c:v>0.01</c:v>
                </c:pt>
                <c:pt idx="2">
                  <c:v>0.02</c:v>
                </c:pt>
                <c:pt idx="3">
                  <c:v>0.05</c:v>
                </c:pt>
                <c:pt idx="4">
                  <c:v>0.1</c:v>
                </c:pt>
                <c:pt idx="5">
                  <c:v>0.2</c:v>
                </c:pt>
                <c:pt idx="6">
                  <c:v>0.7</c:v>
                </c:pt>
                <c:pt idx="7">
                  <c:v>1.7</c:v>
                </c:pt>
                <c:pt idx="8">
                  <c:v>3.5</c:v>
                </c:pt>
                <c:pt idx="9">
                  <c:v>8</c:v>
                </c:pt>
                <c:pt idx="10">
                  <c:v>17</c:v>
                </c:pt>
                <c:pt idx="11">
                  <c:v>35</c:v>
                </c:pt>
                <c:pt idx="12">
                  <c:v>70</c:v>
                </c:pt>
                <c:pt idx="13">
                  <c:v>150</c:v>
                </c:pt>
                <c:pt idx="14">
                  <c:v>203.09</c:v>
                </c:pt>
                <c:pt idx="15">
                  <c:v>300</c:v>
                </c:pt>
                <c:pt idx="16">
                  <c:v>400</c:v>
                </c:pt>
                <c:pt idx="17">
                  <c:v>500</c:v>
                </c:pt>
                <c:pt idx="18">
                  <c:v>1000</c:v>
                </c:pt>
                <c:pt idx="19">
                  <c:v>2500</c:v>
                </c:pt>
              </c:numCache>
            </c:numRef>
          </c:xVal>
          <c:yVal>
            <c:numRef>
              <c:f>'EXP vs CFD'!$AB$8:$AB$27</c:f>
              <c:numCache>
                <c:formatCode>General</c:formatCode>
                <c:ptCount val="20"/>
                <c:pt idx="5" formatCode="0.0">
                  <c:v>281.20671321467859</c:v>
                </c:pt>
                <c:pt idx="6" formatCode="0.0">
                  <c:v>96.229268788645498</c:v>
                </c:pt>
                <c:pt idx="7" formatCode="0.0">
                  <c:v>37.57200367459459</c:v>
                </c:pt>
                <c:pt idx="8" formatCode="0.0">
                  <c:v>18.218606385883593</c:v>
                </c:pt>
                <c:pt idx="9" formatCode="0.0">
                  <c:v>8.3783900263640145</c:v>
                </c:pt>
                <c:pt idx="10" formatCode="0.00">
                  <c:v>4.7963354657593618</c:v>
                </c:pt>
                <c:pt idx="11" formatCode="0.00">
                  <c:v>3.7400858288656234</c:v>
                </c:pt>
                <c:pt idx="12" formatCode="0.00">
                  <c:v>3.2714055447036987</c:v>
                </c:pt>
                <c:pt idx="13" formatCode="0.00">
                  <c:v>2.9602718522840425</c:v>
                </c:pt>
                <c:pt idx="15" formatCode="0.00">
                  <c:v>2.6266507504324021</c:v>
                </c:pt>
              </c:numCache>
            </c:numRef>
          </c:yVal>
          <c:smooth val="0"/>
          <c:extLst>
            <c:ext xmlns:c16="http://schemas.microsoft.com/office/drawing/2014/chart" uri="{C3380CC4-5D6E-409C-BE32-E72D297353CC}">
              <c16:uniqueId val="{00000007-5481-418E-B5CD-264B98CF8BEC}"/>
            </c:ext>
          </c:extLst>
        </c:ser>
        <c:ser>
          <c:idx val="12"/>
          <c:order val="7"/>
          <c:tx>
            <c:v>CFD_Baff._DNS</c:v>
          </c:tx>
          <c:spPr>
            <a:ln w="28575">
              <a:noFill/>
            </a:ln>
          </c:spPr>
          <c:marker>
            <c:symbol val="square"/>
            <c:size val="5"/>
            <c:spPr>
              <a:noFill/>
              <a:ln w="19050">
                <a:solidFill>
                  <a:srgbClr val="7030A0"/>
                </a:solidFill>
              </a:ln>
            </c:spPr>
          </c:marker>
          <c:dPt>
            <c:idx val="7"/>
            <c:bubble3D val="0"/>
            <c:extLst>
              <c:ext xmlns:c16="http://schemas.microsoft.com/office/drawing/2014/chart" uri="{C3380CC4-5D6E-409C-BE32-E72D297353CC}">
                <c16:uniqueId val="{00000008-5481-418E-B5CD-264B98CF8BEC}"/>
              </c:ext>
            </c:extLst>
          </c:dPt>
          <c:xVal>
            <c:numRef>
              <c:f>'EXP vs CFD'!$F$12:$F$26</c:f>
              <c:numCache>
                <c:formatCode>General</c:formatCode>
                <c:ptCount val="15"/>
                <c:pt idx="0">
                  <c:v>0.1</c:v>
                </c:pt>
                <c:pt idx="1">
                  <c:v>0.2</c:v>
                </c:pt>
                <c:pt idx="2">
                  <c:v>0.7</c:v>
                </c:pt>
                <c:pt idx="3">
                  <c:v>1.7</c:v>
                </c:pt>
                <c:pt idx="4">
                  <c:v>3.5</c:v>
                </c:pt>
                <c:pt idx="5">
                  <c:v>8</c:v>
                </c:pt>
                <c:pt idx="6">
                  <c:v>17</c:v>
                </c:pt>
                <c:pt idx="7">
                  <c:v>35</c:v>
                </c:pt>
                <c:pt idx="8">
                  <c:v>70</c:v>
                </c:pt>
                <c:pt idx="9">
                  <c:v>150</c:v>
                </c:pt>
                <c:pt idx="10">
                  <c:v>203.09</c:v>
                </c:pt>
                <c:pt idx="11">
                  <c:v>300</c:v>
                </c:pt>
                <c:pt idx="12">
                  <c:v>400</c:v>
                </c:pt>
                <c:pt idx="13">
                  <c:v>500</c:v>
                </c:pt>
                <c:pt idx="14">
                  <c:v>1000</c:v>
                </c:pt>
              </c:numCache>
            </c:numRef>
          </c:xVal>
          <c:yVal>
            <c:numRef>
              <c:f>'EXP vs CFD'!$L$12:$L$26</c:f>
              <c:numCache>
                <c:formatCode>0.00</c:formatCode>
                <c:ptCount val="15"/>
                <c:pt idx="1">
                  <c:v>286.46725184553708</c:v>
                </c:pt>
                <c:pt idx="2">
                  <c:v>96.406284316638136</c:v>
                </c:pt>
                <c:pt idx="3">
                  <c:v>38.163889549038814</c:v>
                </c:pt>
                <c:pt idx="4">
                  <c:v>18.536120891339465</c:v>
                </c:pt>
                <c:pt idx="5">
                  <c:v>8.4948937103259361</c:v>
                </c:pt>
                <c:pt idx="6">
                  <c:v>4.8183438873499664</c:v>
                </c:pt>
                <c:pt idx="7">
                  <c:v>3.7705157417042363</c:v>
                </c:pt>
                <c:pt idx="8">
                  <c:v>3.4313308981457236</c:v>
                </c:pt>
                <c:pt idx="9">
                  <c:v>3.2422993089570835</c:v>
                </c:pt>
                <c:pt idx="11">
                  <c:v>3.2377966254686501</c:v>
                </c:pt>
              </c:numCache>
            </c:numRef>
          </c:yVal>
          <c:smooth val="0"/>
          <c:extLst>
            <c:ext xmlns:c16="http://schemas.microsoft.com/office/drawing/2014/chart" uri="{C3380CC4-5D6E-409C-BE32-E72D297353CC}">
              <c16:uniqueId val="{00000009-5481-418E-B5CD-264B98CF8BEC}"/>
            </c:ext>
          </c:extLst>
        </c:ser>
        <c:dLbls>
          <c:showLegendKey val="0"/>
          <c:showVal val="0"/>
          <c:showCatName val="0"/>
          <c:showSerName val="0"/>
          <c:showPercent val="0"/>
          <c:showBubbleSize val="0"/>
        </c:dLbls>
        <c:axId val="-1107126416"/>
        <c:axId val="-1107128592"/>
      </c:scatterChart>
      <c:valAx>
        <c:axId val="-1107126416"/>
        <c:scaling>
          <c:logBase val="10"/>
          <c:orientation val="minMax"/>
          <c:max val="100000"/>
          <c:min val="1"/>
        </c:scaling>
        <c:delete val="0"/>
        <c:axPos val="b"/>
        <c:majorGridlines>
          <c:spPr>
            <a:ln w="9525">
              <a:solidFill>
                <a:sysClr val="window" lastClr="FFFFFF">
                  <a:lumMod val="65000"/>
                </a:sysClr>
              </a:solidFill>
            </a:ln>
          </c:spPr>
        </c:majorGridlines>
        <c:minorGridlines>
          <c:spPr>
            <a:ln w="3175">
              <a:solidFill>
                <a:sysClr val="window" lastClr="FFFFFF">
                  <a:lumMod val="65000"/>
                </a:sysClr>
              </a:solidFill>
              <a:prstDash val="dash"/>
            </a:ln>
          </c:spPr>
        </c:minorGridlines>
        <c:title>
          <c:tx>
            <c:rich>
              <a:bodyPr/>
              <a:lstStyle/>
              <a:p>
                <a:pPr>
                  <a:defRPr sz="1800">
                    <a:latin typeface="Times New Roman" panose="02020603050405020304" pitchFamily="18" charset="0"/>
                    <a:cs typeface="Times New Roman" panose="02020603050405020304" pitchFamily="18" charset="0"/>
                  </a:defRPr>
                </a:pPr>
                <a:r>
                  <a:rPr lang="it-IT" sz="1800">
                    <a:latin typeface="Times New Roman" panose="02020603050405020304" pitchFamily="18" charset="0"/>
                    <a:cs typeface="Times New Roman" panose="02020603050405020304" pitchFamily="18" charset="0"/>
                  </a:rPr>
                  <a:t>Re [-]</a:t>
                </a:r>
              </a:p>
            </c:rich>
          </c:tx>
          <c:layout>
            <c:manualLayout>
              <c:xMode val="edge"/>
              <c:yMode val="edge"/>
              <c:x val="0.47680925890929227"/>
              <c:y val="0.92391546504946442"/>
            </c:manualLayout>
          </c:layout>
          <c:overlay val="0"/>
        </c:title>
        <c:numFmt formatCode="0.E+00" sourceLinked="0"/>
        <c:majorTickMark val="in"/>
        <c:minorTickMark val="in"/>
        <c:tickLblPos val="nextTo"/>
        <c:crossAx val="-1107128592"/>
        <c:crossesAt val="0.1"/>
        <c:crossBetween val="midCat"/>
      </c:valAx>
      <c:valAx>
        <c:axId val="-1107128592"/>
        <c:scaling>
          <c:logBase val="10"/>
          <c:orientation val="minMax"/>
          <c:max val="100"/>
        </c:scaling>
        <c:delete val="0"/>
        <c:axPos val="l"/>
        <c:majorGridlines>
          <c:spPr>
            <a:ln w="9525">
              <a:solidFill>
                <a:sysClr val="window" lastClr="FFFFFF">
                  <a:lumMod val="65000"/>
                </a:sysClr>
              </a:solidFill>
            </a:ln>
          </c:spPr>
        </c:majorGridlines>
        <c:minorGridlines>
          <c:spPr>
            <a:ln w="3175">
              <a:solidFill>
                <a:sysClr val="window" lastClr="FFFFFF">
                  <a:lumMod val="65000"/>
                </a:sysClr>
              </a:solidFill>
              <a:prstDash val="dash"/>
            </a:ln>
          </c:spPr>
        </c:minorGridlines>
        <c:title>
          <c:tx>
            <c:rich>
              <a:bodyPr rot="-5400000" vert="horz"/>
              <a:lstStyle/>
              <a:p>
                <a:pPr>
                  <a:defRPr sz="1800">
                    <a:latin typeface="Times New Roman" panose="02020603050405020304" pitchFamily="18" charset="0"/>
                    <a:cs typeface="Times New Roman" panose="02020603050405020304" pitchFamily="18" charset="0"/>
                  </a:defRPr>
                </a:pPr>
                <a:r>
                  <a:rPr lang="it-IT" sz="1800">
                    <a:latin typeface="Times New Roman" panose="02020603050405020304" pitchFamily="18" charset="0"/>
                    <a:cs typeface="Times New Roman" panose="02020603050405020304" pitchFamily="18" charset="0"/>
                  </a:rPr>
                  <a:t>N</a:t>
                </a:r>
                <a:r>
                  <a:rPr lang="it-IT" sz="1800" baseline="-25000">
                    <a:latin typeface="Times New Roman" panose="02020603050405020304" pitchFamily="18" charset="0"/>
                    <a:cs typeface="Times New Roman" panose="02020603050405020304" pitchFamily="18" charset="0"/>
                  </a:rPr>
                  <a:t>P</a:t>
                </a:r>
                <a:r>
                  <a:rPr lang="it-IT" sz="1800" baseline="0">
                    <a:latin typeface="Times New Roman" panose="02020603050405020304" pitchFamily="18" charset="0"/>
                    <a:cs typeface="Times New Roman" panose="02020603050405020304" pitchFamily="18" charset="0"/>
                  </a:rPr>
                  <a:t> [-]</a:t>
                </a:r>
                <a:endParaRPr lang="it-IT" sz="1800">
                  <a:latin typeface="Times New Roman" panose="02020603050405020304" pitchFamily="18" charset="0"/>
                  <a:cs typeface="Times New Roman" panose="02020603050405020304" pitchFamily="18" charset="0"/>
                </a:endParaRPr>
              </a:p>
            </c:rich>
          </c:tx>
          <c:layout>
            <c:manualLayout>
              <c:xMode val="edge"/>
              <c:yMode val="edge"/>
              <c:x val="7.7144645998938879E-3"/>
              <c:y val="0.38720362374058082"/>
            </c:manualLayout>
          </c:layout>
          <c:overlay val="0"/>
        </c:title>
        <c:numFmt formatCode="0.E+00" sourceLinked="0"/>
        <c:majorTickMark val="in"/>
        <c:minorTickMark val="in"/>
        <c:tickLblPos val="nextTo"/>
        <c:crossAx val="-1107126416"/>
        <c:crossesAt val="0.1"/>
        <c:crossBetween val="midCat"/>
      </c:valAx>
      <c:spPr>
        <a:ln>
          <a:solidFill>
            <a:schemeClr val="bg1">
              <a:lumMod val="65000"/>
            </a:schemeClr>
          </a:solidFill>
        </a:ln>
      </c:spPr>
    </c:plotArea>
    <c:legend>
      <c:legendPos val="r"/>
      <c:legendEntry>
        <c:idx val="5"/>
        <c:delete val="1"/>
      </c:legendEntry>
      <c:layout>
        <c:manualLayout>
          <c:xMode val="edge"/>
          <c:yMode val="edge"/>
          <c:x val="0.32779559692511362"/>
          <c:y val="4.413299051579854E-2"/>
          <c:w val="0.59629213094892886"/>
          <c:h val="0.2928624512062718"/>
        </c:manualLayout>
      </c:layout>
      <c:overlay val="0"/>
      <c:spPr>
        <a:solidFill>
          <a:schemeClr val="bg1"/>
        </a:solidFill>
      </c:spPr>
      <c:txPr>
        <a:bodyPr/>
        <a:lstStyle/>
        <a:p>
          <a:pPr>
            <a:defRPr sz="800">
              <a:latin typeface="Times New Roman" panose="02020603050405020304" pitchFamily="18" charset="0"/>
              <a:cs typeface="Times New Roman" panose="02020603050405020304" pitchFamily="18" charset="0"/>
            </a:defRPr>
          </a:pPr>
          <a:endParaRPr lang="it-IT"/>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393204134722627E-2"/>
          <c:y val="0.10491912348165783"/>
          <c:w val="0.6842105263157896"/>
          <c:h val="0.69453376205787787"/>
        </c:manualLayout>
      </c:layout>
      <c:scatterChart>
        <c:scatterStyle val="lineMarker"/>
        <c:varyColors val="0"/>
        <c:ser>
          <c:idx val="2"/>
          <c:order val="0"/>
          <c:tx>
            <c:v>CFD_Baff._k-wSST</c:v>
          </c:tx>
          <c:spPr>
            <a:ln w="28575">
              <a:noFill/>
            </a:ln>
          </c:spPr>
          <c:marker>
            <c:symbol val="square"/>
            <c:size val="7"/>
            <c:spPr>
              <a:solidFill>
                <a:schemeClr val="tx2"/>
              </a:solidFill>
              <a:ln w="25400">
                <a:noFill/>
              </a:ln>
            </c:spPr>
          </c:marker>
          <c:xVal>
            <c:numRef>
              <c:f>'[Nq settati e non settati1.xlsx]Foglio1'!$B$24:$B$29</c:f>
              <c:numCache>
                <c:formatCode>General</c:formatCode>
                <c:ptCount val="6"/>
                <c:pt idx="0">
                  <c:v>500</c:v>
                </c:pt>
                <c:pt idx="1">
                  <c:v>1000</c:v>
                </c:pt>
                <c:pt idx="2">
                  <c:v>2500</c:v>
                </c:pt>
                <c:pt idx="3">
                  <c:v>5000</c:v>
                </c:pt>
                <c:pt idx="4">
                  <c:v>10000</c:v>
                </c:pt>
                <c:pt idx="5">
                  <c:v>33000</c:v>
                </c:pt>
              </c:numCache>
            </c:numRef>
          </c:xVal>
          <c:yVal>
            <c:numRef>
              <c:f>'[Nq settati e non settati1.xlsx]Foglio1'!$E$24:$E$29</c:f>
              <c:numCache>
                <c:formatCode>0.00000000</c:formatCode>
                <c:ptCount val="6"/>
                <c:pt idx="0" formatCode="0.0000000">
                  <c:v>0.69258099100000003</c:v>
                </c:pt>
                <c:pt idx="1">
                  <c:v>0.75144306500000002</c:v>
                </c:pt>
                <c:pt idx="2" formatCode="General">
                  <c:v>0.77049811000000001</c:v>
                </c:pt>
                <c:pt idx="3" formatCode="General">
                  <c:v>0.79111339000000003</c:v>
                </c:pt>
                <c:pt idx="4" formatCode="General">
                  <c:v>0.80977851000000001</c:v>
                </c:pt>
                <c:pt idx="5" formatCode="General">
                  <c:v>0.79832144999999999</c:v>
                </c:pt>
              </c:numCache>
            </c:numRef>
          </c:yVal>
          <c:smooth val="0"/>
          <c:extLst>
            <c:ext xmlns:c16="http://schemas.microsoft.com/office/drawing/2014/chart" uri="{C3380CC4-5D6E-409C-BE32-E72D297353CC}">
              <c16:uniqueId val="{00000000-507A-4AC3-B239-E20AC4CDF3CB}"/>
            </c:ext>
          </c:extLst>
        </c:ser>
        <c:ser>
          <c:idx val="5"/>
          <c:order val="1"/>
          <c:tx>
            <c:v>CFD_UnBaff_K-wSST</c:v>
          </c:tx>
          <c:spPr>
            <a:ln w="28575">
              <a:noFill/>
            </a:ln>
          </c:spPr>
          <c:marker>
            <c:symbol val="circle"/>
            <c:size val="7"/>
            <c:spPr>
              <a:solidFill>
                <a:schemeClr val="tx2">
                  <a:lumMod val="60000"/>
                  <a:lumOff val="40000"/>
                </a:schemeClr>
              </a:solidFill>
              <a:ln>
                <a:noFill/>
              </a:ln>
            </c:spPr>
          </c:marker>
          <c:xVal>
            <c:numRef>
              <c:f>'[Nq settati e non settati1.xlsx]Foglio1'!$L$23:$L$29</c:f>
              <c:numCache>
                <c:formatCode>General</c:formatCode>
                <c:ptCount val="7"/>
                <c:pt idx="0">
                  <c:v>400</c:v>
                </c:pt>
                <c:pt idx="1">
                  <c:v>500</c:v>
                </c:pt>
                <c:pt idx="2">
                  <c:v>1000</c:v>
                </c:pt>
                <c:pt idx="3">
                  <c:v>2500</c:v>
                </c:pt>
                <c:pt idx="4">
                  <c:v>5000</c:v>
                </c:pt>
                <c:pt idx="5">
                  <c:v>10000</c:v>
                </c:pt>
                <c:pt idx="6">
                  <c:v>33000</c:v>
                </c:pt>
              </c:numCache>
            </c:numRef>
          </c:xVal>
          <c:yVal>
            <c:numRef>
              <c:f>'[Nq settati e non settati1.xlsx]Foglio1'!$P$23:$P$29</c:f>
              <c:numCache>
                <c:formatCode>General</c:formatCode>
                <c:ptCount val="7"/>
                <c:pt idx="1">
                  <c:v>0.50861128200000005</c:v>
                </c:pt>
                <c:pt idx="2">
                  <c:v>0.47474210999999999</c:v>
                </c:pt>
                <c:pt idx="3">
                  <c:v>0.40988400000000003</c:v>
                </c:pt>
                <c:pt idx="4">
                  <c:v>0.37625282900000001</c:v>
                </c:pt>
                <c:pt idx="5">
                  <c:v>0.3564155</c:v>
                </c:pt>
                <c:pt idx="6">
                  <c:v>0.32590285801273183</c:v>
                </c:pt>
              </c:numCache>
            </c:numRef>
          </c:yVal>
          <c:smooth val="0"/>
          <c:extLst>
            <c:ext xmlns:c16="http://schemas.microsoft.com/office/drawing/2014/chart" uri="{C3380CC4-5D6E-409C-BE32-E72D297353CC}">
              <c16:uniqueId val="{00000001-507A-4AC3-B239-E20AC4CDF3CB}"/>
            </c:ext>
          </c:extLst>
        </c:ser>
        <c:ser>
          <c:idx val="8"/>
          <c:order val="2"/>
          <c:tx>
            <c:v>CFD_UnBaff._DNS</c:v>
          </c:tx>
          <c:spPr>
            <a:ln w="28575">
              <a:noFill/>
            </a:ln>
          </c:spPr>
          <c:marker>
            <c:symbol val="circle"/>
            <c:size val="7"/>
            <c:spPr>
              <a:solidFill>
                <a:schemeClr val="accent6">
                  <a:lumMod val="60000"/>
                  <a:lumOff val="40000"/>
                </a:schemeClr>
              </a:solidFill>
              <a:ln>
                <a:noFill/>
              </a:ln>
            </c:spPr>
          </c:marker>
          <c:xVal>
            <c:numRef>
              <c:f>'[Nq settati e non settati1.xlsx]Foglio1'!$L$7:$L$26</c:f>
              <c:numCache>
                <c:formatCode>General</c:formatCode>
                <c:ptCount val="20"/>
                <c:pt idx="0">
                  <c:v>1E-3</c:v>
                </c:pt>
                <c:pt idx="1">
                  <c:v>0.01</c:v>
                </c:pt>
                <c:pt idx="2">
                  <c:v>0.02</c:v>
                </c:pt>
                <c:pt idx="3">
                  <c:v>0.05</c:v>
                </c:pt>
                <c:pt idx="4">
                  <c:v>0.1</c:v>
                </c:pt>
                <c:pt idx="5">
                  <c:v>0.2</c:v>
                </c:pt>
                <c:pt idx="6">
                  <c:v>0.7</c:v>
                </c:pt>
                <c:pt idx="7">
                  <c:v>1.7</c:v>
                </c:pt>
                <c:pt idx="8">
                  <c:v>3.5</c:v>
                </c:pt>
                <c:pt idx="9">
                  <c:v>8</c:v>
                </c:pt>
                <c:pt idx="10">
                  <c:v>17</c:v>
                </c:pt>
                <c:pt idx="11">
                  <c:v>35</c:v>
                </c:pt>
                <c:pt idx="12">
                  <c:v>70</c:v>
                </c:pt>
                <c:pt idx="13">
                  <c:v>150</c:v>
                </c:pt>
                <c:pt idx="14">
                  <c:v>203.09</c:v>
                </c:pt>
                <c:pt idx="15">
                  <c:v>300</c:v>
                </c:pt>
                <c:pt idx="16">
                  <c:v>400</c:v>
                </c:pt>
                <c:pt idx="17">
                  <c:v>500</c:v>
                </c:pt>
                <c:pt idx="18">
                  <c:v>1000</c:v>
                </c:pt>
                <c:pt idx="19">
                  <c:v>2500</c:v>
                </c:pt>
              </c:numCache>
            </c:numRef>
          </c:xVal>
          <c:yVal>
            <c:numRef>
              <c:f>'[Nq settati e non settati1.xlsx]Foglio1'!$S$7:$S$26</c:f>
              <c:numCache>
                <c:formatCode>General</c:formatCode>
                <c:ptCount val="20"/>
                <c:pt idx="5">
                  <c:v>2.5209E-3</c:v>
                </c:pt>
                <c:pt idx="6">
                  <c:v>9.5026940000000008E-3</c:v>
                </c:pt>
                <c:pt idx="7" formatCode="0.0000">
                  <c:v>2.0225224E-2</c:v>
                </c:pt>
                <c:pt idx="8" formatCode="0.0000">
                  <c:v>4.4619261577615858E-2</c:v>
                </c:pt>
                <c:pt idx="9" formatCode="0.0000">
                  <c:v>0.11102216199999999</c:v>
                </c:pt>
                <c:pt idx="10" formatCode="0.0000">
                  <c:v>0.25206499999999998</c:v>
                </c:pt>
                <c:pt idx="11" formatCode="0.0000">
                  <c:v>0.46681140500000001</c:v>
                </c:pt>
                <c:pt idx="12" formatCode="0.0000">
                  <c:v>0.56717700000000004</c:v>
                </c:pt>
                <c:pt idx="13" formatCode="0.0000">
                  <c:v>0.57540999999999998</c:v>
                </c:pt>
                <c:pt idx="15" formatCode="0.0000">
                  <c:v>0.49928604100000001</c:v>
                </c:pt>
              </c:numCache>
            </c:numRef>
          </c:yVal>
          <c:smooth val="0"/>
          <c:extLst>
            <c:ext xmlns:c16="http://schemas.microsoft.com/office/drawing/2014/chart" uri="{C3380CC4-5D6E-409C-BE32-E72D297353CC}">
              <c16:uniqueId val="{00000002-507A-4AC3-B239-E20AC4CDF3CB}"/>
            </c:ext>
          </c:extLst>
        </c:ser>
        <c:ser>
          <c:idx val="9"/>
          <c:order val="3"/>
          <c:tx>
            <c:v>CFD_Baff._DNS</c:v>
          </c:tx>
          <c:spPr>
            <a:ln w="28575">
              <a:noFill/>
            </a:ln>
          </c:spPr>
          <c:marker>
            <c:symbol val="diamond"/>
            <c:size val="8"/>
            <c:spPr>
              <a:noFill/>
              <a:ln w="15875">
                <a:solidFill>
                  <a:srgbClr val="7030A0"/>
                </a:solidFill>
              </a:ln>
            </c:spPr>
          </c:marker>
          <c:xVal>
            <c:numRef>
              <c:f>'[Nq settati e non settati1.xlsx]Foglio1'!$B$11:$B$24</c:f>
              <c:numCache>
                <c:formatCode>General</c:formatCode>
                <c:ptCount val="14"/>
                <c:pt idx="0">
                  <c:v>0.1</c:v>
                </c:pt>
                <c:pt idx="1">
                  <c:v>0.2</c:v>
                </c:pt>
                <c:pt idx="2">
                  <c:v>0.7</c:v>
                </c:pt>
                <c:pt idx="3">
                  <c:v>1.7</c:v>
                </c:pt>
                <c:pt idx="4">
                  <c:v>3.5</c:v>
                </c:pt>
                <c:pt idx="5">
                  <c:v>8</c:v>
                </c:pt>
                <c:pt idx="6">
                  <c:v>17</c:v>
                </c:pt>
                <c:pt idx="7">
                  <c:v>35</c:v>
                </c:pt>
                <c:pt idx="8">
                  <c:v>70</c:v>
                </c:pt>
                <c:pt idx="9">
                  <c:v>150</c:v>
                </c:pt>
                <c:pt idx="10">
                  <c:v>203.09</c:v>
                </c:pt>
                <c:pt idx="11">
                  <c:v>300</c:v>
                </c:pt>
                <c:pt idx="12">
                  <c:v>400</c:v>
                </c:pt>
                <c:pt idx="13">
                  <c:v>500</c:v>
                </c:pt>
              </c:numCache>
            </c:numRef>
          </c:xVal>
          <c:yVal>
            <c:numRef>
              <c:f>'[Nq settati e non settati1.xlsx]Foglio1'!$H$11:$H$24</c:f>
              <c:numCache>
                <c:formatCode>General</c:formatCode>
                <c:ptCount val="14"/>
                <c:pt idx="1">
                  <c:v>2.6329999999999999E-3</c:v>
                </c:pt>
                <c:pt idx="2">
                  <c:v>8.6445459999999995E-3</c:v>
                </c:pt>
                <c:pt idx="3">
                  <c:v>1.9588306E-2</c:v>
                </c:pt>
                <c:pt idx="4">
                  <c:v>4.2704515128932273E-2</c:v>
                </c:pt>
                <c:pt idx="5">
                  <c:v>0.10605717598618092</c:v>
                </c:pt>
                <c:pt idx="6" formatCode="0.000000">
                  <c:v>0.24306235500000001</c:v>
                </c:pt>
                <c:pt idx="7">
                  <c:v>0.46104800000000001</c:v>
                </c:pt>
                <c:pt idx="8" formatCode="0.000000">
                  <c:v>0.56018833899999998</c:v>
                </c:pt>
                <c:pt idx="9" formatCode="0.000000">
                  <c:v>0.55789799372020599</c:v>
                </c:pt>
                <c:pt idx="11">
                  <c:v>0.56350900000000004</c:v>
                </c:pt>
              </c:numCache>
            </c:numRef>
          </c:yVal>
          <c:smooth val="0"/>
          <c:extLst>
            <c:ext xmlns:c16="http://schemas.microsoft.com/office/drawing/2014/chart" uri="{C3380CC4-5D6E-409C-BE32-E72D297353CC}">
              <c16:uniqueId val="{00000003-507A-4AC3-B239-E20AC4CDF3CB}"/>
            </c:ext>
          </c:extLst>
        </c:ser>
        <c:dLbls>
          <c:showLegendKey val="0"/>
          <c:showVal val="0"/>
          <c:showCatName val="0"/>
          <c:showSerName val="0"/>
          <c:showPercent val="0"/>
          <c:showBubbleSize val="0"/>
        </c:dLbls>
        <c:axId val="-1107123696"/>
        <c:axId val="-1609586992"/>
      </c:scatterChart>
      <c:valAx>
        <c:axId val="-1107123696"/>
        <c:scaling>
          <c:logBase val="10"/>
          <c:orientation val="minMax"/>
          <c:min val="0.1"/>
        </c:scaling>
        <c:delete val="0"/>
        <c:axPos val="b"/>
        <c:majorGridlines>
          <c:spPr>
            <a:ln w="1270">
              <a:solidFill>
                <a:srgbClr val="000000">
                  <a:alpha val="20000"/>
                </a:srgbClr>
              </a:solidFill>
            </a:ln>
          </c:spPr>
        </c:majorGridlines>
        <c:minorGridlines>
          <c:spPr>
            <a:ln w="1270">
              <a:noFill/>
            </a:ln>
          </c:spPr>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rgbClr val="000000"/>
                    </a:solidFill>
                    <a:latin typeface="Arial"/>
                    <a:ea typeface="Arial"/>
                    <a:cs typeface="Arial"/>
                  </a:defRPr>
                </a:pPr>
                <a:r>
                  <a:rPr lang="it-IT" sz="1800" b="1" i="0" baseline="0" dirty="0" smtClean="0">
                    <a:effectLst/>
                    <a:latin typeface="Times New Roman" panose="02020603050405020304" pitchFamily="18" charset="0"/>
                    <a:cs typeface="Times New Roman" panose="02020603050405020304" pitchFamily="18" charset="0"/>
                  </a:rPr>
                  <a:t>Re [-]</a:t>
                </a:r>
                <a:endParaRPr lang="it-IT" sz="1400" dirty="0" smtClean="0">
                  <a:effectLst/>
                  <a:latin typeface="Times New Roman" panose="02020603050405020304" pitchFamily="18" charset="0"/>
                  <a:cs typeface="Times New Roman" panose="02020603050405020304" pitchFamily="18" charset="0"/>
                </a:endParaRPr>
              </a:p>
            </c:rich>
          </c:tx>
          <c:layout>
            <c:manualLayout>
              <c:xMode val="edge"/>
              <c:yMode val="edge"/>
              <c:x val="0.38495775830403528"/>
              <c:y val="0.8862677696864435"/>
            </c:manualLayout>
          </c:layout>
          <c:overlay val="0"/>
          <c:spPr>
            <a:noFill/>
            <a:ln w="25400">
              <a:noFill/>
            </a:ln>
          </c:spPr>
        </c:title>
        <c:numFmt formatCode="0E+00" sourceLinked="0"/>
        <c:majorTickMark val="in"/>
        <c:minorTickMark val="in"/>
        <c:tickLblPos val="nextTo"/>
        <c:txPr>
          <a:bodyPr rot="0" vert="horz" anchor="b" anchorCtr="0"/>
          <a:lstStyle/>
          <a:p>
            <a:pPr>
              <a:defRPr/>
            </a:pPr>
            <a:endParaRPr lang="it-IT"/>
          </a:p>
        </c:txPr>
        <c:crossAx val="-1609586992"/>
        <c:crossesAt val="1.0000000000000004E-6"/>
        <c:crossBetween val="midCat"/>
      </c:valAx>
      <c:valAx>
        <c:axId val="-1609586992"/>
        <c:scaling>
          <c:orientation val="minMax"/>
        </c:scaling>
        <c:delete val="0"/>
        <c:axPos val="l"/>
        <c:majorGridlines>
          <c:spPr>
            <a:ln w="1270">
              <a:solidFill>
                <a:srgbClr val="000000">
                  <a:alpha val="20000"/>
                </a:srgbClr>
              </a:solidFill>
              <a:prstDash val="solid"/>
            </a:ln>
          </c:spPr>
        </c:majorGridlines>
        <c:minorGridlines>
          <c:spPr>
            <a:ln w="1270">
              <a:solidFill>
                <a:srgbClr val="000000">
                  <a:alpha val="20000"/>
                </a:srgbClr>
              </a:solidFill>
            </a:ln>
          </c:spPr>
        </c:minorGridlines>
        <c:numFmt formatCode="0.00" sourceLinked="0"/>
        <c:majorTickMark val="in"/>
        <c:minorTickMark val="in"/>
        <c:tickLblPos val="nextTo"/>
        <c:spPr>
          <a:ln w="3175">
            <a:solidFill>
              <a:srgbClr val="000000"/>
            </a:solidFill>
            <a:prstDash val="solid"/>
          </a:ln>
        </c:spPr>
        <c:txPr>
          <a:bodyPr rot="0" vert="horz" anchor="b" anchorCtr="0"/>
          <a:lstStyle/>
          <a:p>
            <a:pPr>
              <a:defRPr sz="1000" b="0" i="0" u="none" strike="noStrike" baseline="0">
                <a:solidFill>
                  <a:srgbClr val="000000"/>
                </a:solidFill>
                <a:latin typeface="Arial"/>
                <a:ea typeface="Arial"/>
                <a:cs typeface="Arial"/>
              </a:defRPr>
            </a:pPr>
            <a:endParaRPr lang="it-IT"/>
          </a:p>
        </c:txPr>
        <c:crossAx val="-1107123696"/>
        <c:crossesAt val="1.0000000000000004E-5"/>
        <c:crossBetween val="midCat"/>
      </c:valAx>
      <c:spPr>
        <a:noFill/>
        <a:ln w="12700">
          <a:solidFill>
            <a:srgbClr val="808080"/>
          </a:solidFill>
          <a:prstDash val="solid"/>
        </a:ln>
      </c:spPr>
    </c:plotArea>
    <c:legend>
      <c:legendPos val="r"/>
      <c:layout>
        <c:manualLayout>
          <c:xMode val="edge"/>
          <c:yMode val="edge"/>
          <c:x val="8.9488835860223576E-2"/>
          <c:y val="0.11861929831252538"/>
          <c:w val="0.31177858486364518"/>
          <c:h val="0.1968865042437877"/>
        </c:manualLayout>
      </c:layout>
      <c:overlay val="0"/>
      <c:spPr>
        <a:solidFill>
          <a:sysClr val="window" lastClr="FFFFFF"/>
        </a:solidFill>
      </c:spPr>
      <c:txPr>
        <a:bodyPr/>
        <a:lstStyle/>
        <a:p>
          <a:pPr>
            <a:defRPr sz="800">
              <a:latin typeface="Times New Roman" panose="02020603050405020304" pitchFamily="18" charset="0"/>
              <a:cs typeface="Times New Roman" panose="02020603050405020304" pitchFamily="18" charset="0"/>
            </a:defRPr>
          </a:pPr>
          <a:endParaRPr lang="it-IT"/>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it-IT"/>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0.7131</cdr:x>
      <cdr:y>0.18825</cdr:y>
    </cdr:from>
    <cdr:to>
      <cdr:x>0.76582</cdr:x>
      <cdr:y>0.2117</cdr:y>
    </cdr:to>
    <cdr:cxnSp macro="">
      <cdr:nvCxnSpPr>
        <cdr:cNvPr id="5" name="Connettore 2 4"/>
        <cdr:cNvCxnSpPr/>
      </cdr:nvCxnSpPr>
      <cdr:spPr>
        <a:xfrm xmlns:a="http://schemas.openxmlformats.org/drawingml/2006/main" flipH="1">
          <a:off x="3978917" y="589085"/>
          <a:ext cx="294144" cy="7338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0.78217</cdr:x>
      <cdr:y>0.39238</cdr:y>
    </cdr:from>
    <cdr:to>
      <cdr:x>0.96275</cdr:x>
      <cdr:y>0.52707</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64322" y="1227868"/>
          <a:ext cx="1007591" cy="421483"/>
        </a:xfrm>
        <a:prstGeom xmlns:a="http://schemas.openxmlformats.org/drawingml/2006/main" prst="rect">
          <a:avLst/>
        </a:prstGeom>
      </cdr:spPr>
    </cdr:pic>
  </cdr:relSizeAnchor>
  <cdr:relSizeAnchor xmlns:cdr="http://schemas.openxmlformats.org/drawingml/2006/chartDrawing">
    <cdr:from>
      <cdr:x>0.73412</cdr:x>
      <cdr:y>0.52738</cdr:y>
    </cdr:from>
    <cdr:to>
      <cdr:x>0.77291</cdr:x>
      <cdr:y>0.54116</cdr:y>
    </cdr:to>
    <cdr:cxnSp macro="">
      <cdr:nvCxnSpPr>
        <cdr:cNvPr id="11" name="Connettore 2 10"/>
        <cdr:cNvCxnSpPr/>
      </cdr:nvCxnSpPr>
      <cdr:spPr>
        <a:xfrm xmlns:a="http://schemas.openxmlformats.org/drawingml/2006/main" flipH="1">
          <a:off x="8652373" y="4010024"/>
          <a:ext cx="457200" cy="10477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0.70987</cdr:x>
      <cdr:y>0.20795</cdr:y>
    </cdr:from>
    <cdr:to>
      <cdr:x>0.71634</cdr:x>
      <cdr:y>0.22047</cdr:y>
    </cdr:to>
    <cdr:sp macro="" textlink="">
      <cdr:nvSpPr>
        <cdr:cNvPr id="12" name="Ovale 11"/>
        <cdr:cNvSpPr/>
      </cdr:nvSpPr>
      <cdr:spPr>
        <a:xfrm xmlns:a="http://schemas.openxmlformats.org/drawingml/2006/main">
          <a:off x="8366623" y="1581150"/>
          <a:ext cx="76200" cy="95250"/>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dr:relSizeAnchor xmlns:cdr="http://schemas.openxmlformats.org/drawingml/2006/chartDrawing">
    <cdr:from>
      <cdr:x>0.72361</cdr:x>
      <cdr:y>0.5349</cdr:y>
    </cdr:from>
    <cdr:to>
      <cdr:x>0.73169</cdr:x>
      <cdr:y>0.54742</cdr:y>
    </cdr:to>
    <cdr:sp macro="" textlink="">
      <cdr:nvSpPr>
        <cdr:cNvPr id="13" name="Ovale 12"/>
        <cdr:cNvSpPr/>
      </cdr:nvSpPr>
      <cdr:spPr>
        <a:xfrm xmlns:a="http://schemas.openxmlformats.org/drawingml/2006/main">
          <a:off x="8528548" y="4067174"/>
          <a:ext cx="95250" cy="95250"/>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dr:relSizeAnchor xmlns:cdr="http://schemas.openxmlformats.org/drawingml/2006/chartDrawing">
    <cdr:from>
      <cdr:x>0.16815</cdr:x>
      <cdr:y>0.22255</cdr:y>
    </cdr:from>
    <cdr:to>
      <cdr:x>0.47169</cdr:x>
      <cdr:y>0.26426</cdr:y>
    </cdr:to>
    <cdr:sp macro="" textlink="">
      <cdr:nvSpPr>
        <cdr:cNvPr id="7" name="Casella di testo 7"/>
        <cdr:cNvSpPr txBox="1">
          <a:spLocks xmlns:a="http://schemas.openxmlformats.org/drawingml/2006/main" noChangeArrowheads="1"/>
        </cdr:cNvSpPr>
      </cdr:nvSpPr>
      <cdr:spPr bwMode="auto">
        <a:xfrm xmlns:a="http://schemas.openxmlformats.org/drawingml/2006/main">
          <a:off x="938255" y="696429"/>
          <a:ext cx="1693628" cy="13050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l">
            <a:lnSpc>
              <a:spcPct val="110000"/>
            </a:lnSpc>
            <a:spcAft>
              <a:spcPts val="0"/>
            </a:spcAft>
            <a:tabLst>
              <a:tab pos="4508500" algn="r"/>
            </a:tabLst>
          </a:pPr>
          <a:r>
            <a:rPr lang="it-IT" sz="700">
              <a:effectLst/>
              <a:latin typeface="Arial" panose="020B0604020202020204" pitchFamily="34" charset="0"/>
              <a:ea typeface="Times New Roman" panose="02020603050405020304" pitchFamily="18" charset="0"/>
              <a:cs typeface="Times New Roman" panose="02020603050405020304" pitchFamily="18" charset="0"/>
            </a:rPr>
            <a:t>CFD_Unbaff_DNS_Tamburini et al. (2018)</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2CAC-4065-4050-9FFC-8F793325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2947</Words>
  <Characters>16800</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TAMBURINI</cp:lastModifiedBy>
  <cp:revision>11</cp:revision>
  <cp:lastPrinted>2015-05-12T18:31:00Z</cp:lastPrinted>
  <dcterms:created xsi:type="dcterms:W3CDTF">2019-04-03T11:02:00Z</dcterms:created>
  <dcterms:modified xsi:type="dcterms:W3CDTF">2019-04-03T14:31:00Z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