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1EF36BED"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52D7B759" w:rsidR="000A03B2" w:rsidRPr="00B57B36" w:rsidRDefault="0014464F" w:rsidP="0014464F">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5FF6703B" w14:textId="77777777" w:rsidR="00DC2A25" w:rsidRPr="0074464E" w:rsidRDefault="00DC2A25" w:rsidP="00DC2A25">
      <w:pPr>
        <w:pStyle w:val="CETTitle"/>
      </w:pPr>
      <w:r w:rsidRPr="0074464E">
        <w:lastRenderedPageBreak/>
        <w:t>Optimal production of tires through an integrated experimental, kinetic and Finite Element FE modelling approach</w:t>
      </w:r>
    </w:p>
    <w:p w14:paraId="0C3C6AA4" w14:textId="77777777" w:rsidR="00DC2A25" w:rsidRPr="0074464E" w:rsidRDefault="00DC2A25" w:rsidP="00DC2A25">
      <w:pPr>
        <w:pStyle w:val="CETAuthors"/>
        <w:rPr>
          <w:lang w:val="it-IT"/>
        </w:rPr>
      </w:pPr>
      <w:r w:rsidRPr="0074464E">
        <w:rPr>
          <w:lang w:val="it-IT"/>
        </w:rPr>
        <w:t>Gabriele Milani*</w:t>
      </w:r>
      <w:r w:rsidRPr="0074464E">
        <w:rPr>
          <w:vertAlign w:val="superscript"/>
          <w:lang w:val="it-IT"/>
        </w:rPr>
        <w:t>a</w:t>
      </w:r>
      <w:r w:rsidRPr="0074464E">
        <w:rPr>
          <w:lang w:val="it-IT"/>
        </w:rPr>
        <w:t>, Federico Milani</w:t>
      </w:r>
      <w:r w:rsidRPr="0074464E">
        <w:rPr>
          <w:vertAlign w:val="superscript"/>
          <w:lang w:val="it-IT"/>
        </w:rPr>
        <w:t>b</w:t>
      </w:r>
    </w:p>
    <w:p w14:paraId="04D3DBF1" w14:textId="77777777" w:rsidR="00DC2A25" w:rsidRPr="0074464E" w:rsidRDefault="00DC2A25" w:rsidP="00DC2A25">
      <w:pPr>
        <w:pStyle w:val="CETAddress"/>
        <w:rPr>
          <w:lang w:val="it-IT"/>
        </w:rPr>
      </w:pPr>
      <w:r w:rsidRPr="0074464E">
        <w:rPr>
          <w:vertAlign w:val="superscript"/>
          <w:lang w:val="it-IT"/>
        </w:rPr>
        <w:t>a</w:t>
      </w:r>
      <w:r w:rsidRPr="0074464E">
        <w:rPr>
          <w:lang w:val="it-IT"/>
        </w:rPr>
        <w:t>Technical University of Milan, Piazza Leonardo da Vinci 32, 20133 Milan, Italy</w:t>
      </w:r>
    </w:p>
    <w:p w14:paraId="4EA94F2B" w14:textId="77777777" w:rsidR="00DC2A25" w:rsidRPr="0074464E" w:rsidRDefault="00DC2A25" w:rsidP="00DC2A25">
      <w:pPr>
        <w:pStyle w:val="CETAddress"/>
        <w:rPr>
          <w:lang w:val="it-IT"/>
        </w:rPr>
      </w:pPr>
      <w:r w:rsidRPr="0074464E">
        <w:rPr>
          <w:vertAlign w:val="superscript"/>
          <w:lang w:val="it-IT"/>
        </w:rPr>
        <w:t>b</w:t>
      </w:r>
      <w:r w:rsidRPr="0074464E">
        <w:rPr>
          <w:lang w:val="it-IT"/>
        </w:rPr>
        <w:t>Chem.Co Consultant, Via JF Kennedy 2, 45030 Occhiobello (Ro), Italy</w:t>
      </w:r>
    </w:p>
    <w:p w14:paraId="504EFB50" w14:textId="77777777" w:rsidR="00DC2A25" w:rsidRPr="00DC2A25" w:rsidRDefault="00DC2A25" w:rsidP="00DC2A25">
      <w:pPr>
        <w:rPr>
          <w:rFonts w:cs="Arial"/>
          <w:szCs w:val="18"/>
          <w:lang w:val="it-IT" w:eastAsia="it-IT"/>
        </w:rPr>
      </w:pPr>
    </w:p>
    <w:p w14:paraId="010C0BFA" w14:textId="371A4A3E" w:rsidR="00DC2A25" w:rsidRPr="0074464E" w:rsidRDefault="00DC2A25" w:rsidP="00DC2A25">
      <w:pPr>
        <w:rPr>
          <w:rFonts w:cs="Arial"/>
          <w:szCs w:val="18"/>
          <w:lang w:val="en-US" w:eastAsia="it-IT"/>
        </w:rPr>
      </w:pPr>
      <w:r w:rsidRPr="0074464E">
        <w:rPr>
          <w:rFonts w:cs="Arial"/>
          <w:szCs w:val="18"/>
          <w:lang w:val="en-US" w:eastAsia="it-IT"/>
        </w:rPr>
        <w:t>An integrated three-step approach for the optimization of tires</w:t>
      </w:r>
      <w:r w:rsidR="00471AE7">
        <w:rPr>
          <w:rFonts w:cs="Arial"/>
          <w:szCs w:val="18"/>
          <w:lang w:val="en-US" w:eastAsia="it-IT"/>
        </w:rPr>
        <w:t xml:space="preserve"> mechanical properties based on</w:t>
      </w:r>
      <w:r w:rsidRPr="0074464E">
        <w:rPr>
          <w:rFonts w:cs="Arial"/>
          <w:szCs w:val="18"/>
          <w:lang w:val="en-US" w:eastAsia="it-IT"/>
        </w:rPr>
        <w:t xml:space="preserve"> ex</w:t>
      </w:r>
      <w:r w:rsidR="00471AE7">
        <w:rPr>
          <w:rFonts w:cs="Arial"/>
          <w:szCs w:val="18"/>
          <w:lang w:val="en-US" w:eastAsia="it-IT"/>
        </w:rPr>
        <w:t>perimental characterization,</w:t>
      </w:r>
      <w:r w:rsidRPr="0074464E">
        <w:rPr>
          <w:rFonts w:cs="Arial"/>
          <w:szCs w:val="18"/>
          <w:lang w:val="en-US" w:eastAsia="it-IT"/>
        </w:rPr>
        <w:t xml:space="preserve"> kinet</w:t>
      </w:r>
      <w:r w:rsidR="00471AE7">
        <w:rPr>
          <w:rFonts w:cs="Arial"/>
          <w:szCs w:val="18"/>
          <w:lang w:val="en-US" w:eastAsia="it-IT"/>
        </w:rPr>
        <w:t>ic steady-state model and</w:t>
      </w:r>
      <w:r w:rsidRPr="0074464E">
        <w:rPr>
          <w:rFonts w:cs="Arial"/>
          <w:szCs w:val="18"/>
          <w:lang w:val="en-US" w:eastAsia="it-IT"/>
        </w:rPr>
        <w:t xml:space="preserve"> Finite Element FE heat transmission modelling is presented. </w:t>
      </w:r>
      <w:r w:rsidR="00CC1FCB">
        <w:rPr>
          <w:rFonts w:cs="Arial"/>
          <w:szCs w:val="18"/>
          <w:lang w:val="en-US" w:eastAsia="it-IT"/>
        </w:rPr>
        <w:t>The first experimental</w:t>
      </w:r>
      <w:r w:rsidRPr="0074464E">
        <w:rPr>
          <w:rFonts w:cs="Arial"/>
          <w:szCs w:val="18"/>
          <w:lang w:val="en-US" w:eastAsia="it-IT"/>
        </w:rPr>
        <w:t xml:space="preserve"> characterization is needed </w:t>
      </w:r>
      <w:r w:rsidR="00CC1FCB">
        <w:rPr>
          <w:rFonts w:cs="Arial"/>
          <w:szCs w:val="18"/>
          <w:lang w:val="en-US" w:eastAsia="it-IT"/>
        </w:rPr>
        <w:t>t</w:t>
      </w:r>
      <w:r w:rsidRPr="0074464E">
        <w:rPr>
          <w:rFonts w:cs="Arial"/>
          <w:szCs w:val="18"/>
          <w:lang w:val="en-US" w:eastAsia="it-IT"/>
        </w:rPr>
        <w:t xml:space="preserve">o calibrate a kinetic numerical model </w:t>
      </w:r>
      <w:r w:rsidR="00CC1FCB">
        <w:rPr>
          <w:rFonts w:cs="Arial"/>
          <w:szCs w:val="18"/>
          <w:lang w:val="en-US" w:eastAsia="it-IT"/>
        </w:rPr>
        <w:t>(second step)</w:t>
      </w:r>
      <w:r w:rsidR="00DF005C">
        <w:rPr>
          <w:rFonts w:cs="Arial"/>
          <w:szCs w:val="18"/>
          <w:lang w:val="en-US" w:eastAsia="it-IT"/>
        </w:rPr>
        <w:t>,</w:t>
      </w:r>
      <w:r w:rsidR="00CC1FCB">
        <w:rPr>
          <w:rFonts w:cs="Arial"/>
          <w:szCs w:val="18"/>
          <w:lang w:val="en-US" w:eastAsia="it-IT"/>
        </w:rPr>
        <w:t xml:space="preserve"> </w:t>
      </w:r>
      <w:r w:rsidRPr="0074464E">
        <w:rPr>
          <w:rFonts w:cs="Arial"/>
          <w:szCs w:val="18"/>
          <w:lang w:val="en-US" w:eastAsia="it-IT"/>
        </w:rPr>
        <w:t xml:space="preserve">directly nested in the last step into a </w:t>
      </w:r>
      <w:r w:rsidR="00CC1FCB">
        <w:rPr>
          <w:rFonts w:cs="Arial"/>
          <w:szCs w:val="18"/>
          <w:lang w:val="en-US" w:eastAsia="it-IT"/>
        </w:rPr>
        <w:t>FE</w:t>
      </w:r>
      <w:r w:rsidRPr="0074464E">
        <w:rPr>
          <w:rFonts w:cs="Arial"/>
          <w:szCs w:val="18"/>
          <w:lang w:val="en-US" w:eastAsia="it-IT"/>
        </w:rPr>
        <w:t xml:space="preserve"> software for the simulation of 3D heat transmission problems. The kinetic model is a phenomenological approach based on 3 kinetic constants, which allows predict</w:t>
      </w:r>
      <w:r w:rsidR="00DF005C">
        <w:rPr>
          <w:rFonts w:cs="Arial"/>
          <w:szCs w:val="18"/>
          <w:lang w:val="en-US" w:eastAsia="it-IT"/>
        </w:rPr>
        <w:t>ing</w:t>
      </w:r>
      <w:r w:rsidRPr="0074464E">
        <w:rPr>
          <w:rFonts w:cs="Arial"/>
          <w:szCs w:val="18"/>
          <w:lang w:val="en-US" w:eastAsia="it-IT"/>
        </w:rPr>
        <w:t xml:space="preserve"> the initial curing rate, maximum crosslinking and r</w:t>
      </w:r>
      <w:r w:rsidR="009617B6">
        <w:rPr>
          <w:rFonts w:cs="Arial"/>
          <w:szCs w:val="18"/>
          <w:lang w:val="en-US" w:eastAsia="it-IT"/>
        </w:rPr>
        <w:t xml:space="preserve">eversion. </w:t>
      </w:r>
      <w:r w:rsidRPr="0074464E">
        <w:rPr>
          <w:rFonts w:cs="Arial"/>
          <w:szCs w:val="18"/>
          <w:lang w:val="en-US" w:eastAsia="it-IT"/>
        </w:rPr>
        <w:t>Kinetic constants are d</w:t>
      </w:r>
      <w:r w:rsidR="00DF005C">
        <w:rPr>
          <w:rFonts w:cs="Arial"/>
          <w:szCs w:val="18"/>
          <w:lang w:val="en-US" w:eastAsia="it-IT"/>
        </w:rPr>
        <w:t>educed</w:t>
      </w:r>
      <w:r w:rsidRPr="0074464E">
        <w:rPr>
          <w:rFonts w:cs="Arial"/>
          <w:szCs w:val="18"/>
          <w:lang w:val="en-US" w:eastAsia="it-IT"/>
        </w:rPr>
        <w:t xml:space="preserve"> fitting normalized </w:t>
      </w:r>
      <w:r w:rsidR="00DF005C">
        <w:rPr>
          <w:rFonts w:cs="Arial"/>
          <w:szCs w:val="18"/>
          <w:lang w:val="en-US" w:eastAsia="it-IT"/>
        </w:rPr>
        <w:t xml:space="preserve">experimental rheometer curves. </w:t>
      </w:r>
      <w:r w:rsidRPr="0074464E">
        <w:rPr>
          <w:rFonts w:cs="Arial"/>
          <w:szCs w:val="18"/>
          <w:lang w:val="en-US" w:eastAsia="it-IT"/>
        </w:rPr>
        <w:t xml:space="preserve">FE transient curing computations are carried out </w:t>
      </w:r>
      <w:r w:rsidR="00DF005C" w:rsidRPr="0074464E">
        <w:rPr>
          <w:rFonts w:cs="Arial"/>
          <w:szCs w:val="18"/>
          <w:lang w:val="en-US" w:eastAsia="it-IT"/>
        </w:rPr>
        <w:t>on a</w:t>
      </w:r>
      <w:r w:rsidR="00DF005C">
        <w:rPr>
          <w:rFonts w:cs="Arial"/>
          <w:szCs w:val="18"/>
          <w:lang w:val="en-US" w:eastAsia="it-IT"/>
        </w:rPr>
        <w:t xml:space="preserve"> real</w:t>
      </w:r>
      <w:r w:rsidR="00DF005C" w:rsidRPr="0074464E">
        <w:rPr>
          <w:rFonts w:cs="Arial"/>
          <w:szCs w:val="18"/>
          <w:lang w:val="en-US" w:eastAsia="it-IT"/>
        </w:rPr>
        <w:t xml:space="preserve"> car tire</w:t>
      </w:r>
      <w:r w:rsidRPr="0074464E">
        <w:rPr>
          <w:rFonts w:cs="Arial"/>
          <w:szCs w:val="18"/>
          <w:lang w:val="en-US" w:eastAsia="it-IT"/>
        </w:rPr>
        <w:t xml:space="preserve">, </w:t>
      </w:r>
      <w:r w:rsidR="00DF005C">
        <w:rPr>
          <w:rFonts w:cs="Arial"/>
          <w:szCs w:val="18"/>
          <w:lang w:val="en-US" w:eastAsia="it-IT"/>
        </w:rPr>
        <w:t>discretizing the geometry through</w:t>
      </w:r>
      <w:r w:rsidRPr="0074464E">
        <w:rPr>
          <w:rFonts w:cs="Arial"/>
          <w:szCs w:val="18"/>
          <w:lang w:val="en-US" w:eastAsia="it-IT"/>
        </w:rPr>
        <w:t xml:space="preserve"> </w:t>
      </w:r>
      <w:r w:rsidR="00DF005C">
        <w:rPr>
          <w:rFonts w:cs="Arial"/>
          <w:szCs w:val="18"/>
          <w:lang w:val="en-US" w:eastAsia="it-IT"/>
        </w:rPr>
        <w:t xml:space="preserve">a </w:t>
      </w:r>
      <w:r w:rsidRPr="0074464E">
        <w:rPr>
          <w:rFonts w:cs="Arial"/>
          <w:szCs w:val="18"/>
          <w:lang w:val="en-US" w:eastAsia="it-IT"/>
        </w:rPr>
        <w:t>refined mesh. All element of the tire (e.g. belts, carcass, core etc.) can be separately meshed, so the exact vulcanization process in different phases c</w:t>
      </w:r>
      <w:r w:rsidR="009617B6">
        <w:rPr>
          <w:rFonts w:cs="Arial"/>
          <w:szCs w:val="18"/>
          <w:lang w:val="en-US" w:eastAsia="it-IT"/>
        </w:rPr>
        <w:t>an be eventually accounted for.</w:t>
      </w:r>
    </w:p>
    <w:p w14:paraId="4634161D" w14:textId="77777777" w:rsidR="00DC2A25" w:rsidRPr="0074464E" w:rsidRDefault="00DC2A25" w:rsidP="00DC2A25">
      <w:pPr>
        <w:pStyle w:val="CETHeading1"/>
        <w:tabs>
          <w:tab w:val="clear" w:pos="360"/>
          <w:tab w:val="right" w:pos="7100"/>
        </w:tabs>
        <w:jc w:val="both"/>
        <w:rPr>
          <w:lang w:val="en-GB"/>
        </w:rPr>
      </w:pPr>
      <w:r w:rsidRPr="0074464E">
        <w:rPr>
          <w:lang w:val="en-GB"/>
        </w:rPr>
        <w:t>Introduction</w:t>
      </w:r>
    </w:p>
    <w:p w14:paraId="57413B64" w14:textId="25F7B198" w:rsidR="00DC2A25" w:rsidRPr="00A5047F" w:rsidRDefault="00DC2A25" w:rsidP="00DC2A25">
      <w:pPr>
        <w:rPr>
          <w:rFonts w:cs="Arial"/>
          <w:szCs w:val="18"/>
          <w:lang w:val="en-US" w:eastAsia="it-IT"/>
        </w:rPr>
      </w:pPr>
      <w:r w:rsidRPr="00A5047F">
        <w:rPr>
          <w:rFonts w:cs="Arial"/>
          <w:szCs w:val="18"/>
          <w:lang w:val="en-US" w:eastAsia="it-IT"/>
        </w:rPr>
        <w:t>Blends of two or more rubbers are used to produce many items, in particular car tires</w:t>
      </w:r>
      <w:r w:rsidR="00593FE2" w:rsidRPr="00A5047F">
        <w:rPr>
          <w:rFonts w:cs="Arial"/>
          <w:szCs w:val="18"/>
          <w:lang w:val="en-US" w:eastAsia="it-IT"/>
        </w:rPr>
        <w:t>, Milani &amp; Milani (2018</w:t>
      </w:r>
      <w:r w:rsidR="00A3434B" w:rsidRPr="00A5047F">
        <w:rPr>
          <w:rFonts w:cs="Arial"/>
          <w:szCs w:val="18"/>
          <w:lang w:val="en-US" w:eastAsia="it-IT"/>
        </w:rPr>
        <w:t>a &amp; 2018</w:t>
      </w:r>
      <w:r w:rsidR="00593FE2" w:rsidRPr="00A5047F">
        <w:rPr>
          <w:rFonts w:cs="Arial"/>
          <w:szCs w:val="18"/>
          <w:lang w:val="en-US" w:eastAsia="it-IT"/>
        </w:rPr>
        <w:t>b)</w:t>
      </w:r>
      <w:r w:rsidRPr="00A5047F">
        <w:rPr>
          <w:rFonts w:cs="Arial"/>
          <w:szCs w:val="18"/>
          <w:lang w:val="en-US" w:eastAsia="it-IT"/>
        </w:rPr>
        <w:t>, because of the better mechanical properties obtained when compared with those of an elastomer alone</w:t>
      </w:r>
      <w:r w:rsidR="00FF6A23">
        <w:rPr>
          <w:rFonts w:cs="Arial"/>
          <w:szCs w:val="18"/>
          <w:lang w:val="en-US" w:eastAsia="it-IT"/>
        </w:rPr>
        <w:t xml:space="preserve"> (Arrillaga et al. 2007, Mansilla et al. 2015, Milani &amp; Milani 2017)</w:t>
      </w:r>
      <w:r w:rsidRPr="00A5047F">
        <w:rPr>
          <w:rFonts w:cs="Arial"/>
          <w:szCs w:val="18"/>
          <w:lang w:val="en-US" w:eastAsia="it-IT"/>
        </w:rPr>
        <w:t>.</w:t>
      </w:r>
    </w:p>
    <w:p w14:paraId="7C903CFF" w14:textId="0B722EFB" w:rsidR="00DC2A25" w:rsidRPr="0074464E" w:rsidRDefault="00DC2A25" w:rsidP="00DC2A25">
      <w:pPr>
        <w:rPr>
          <w:rFonts w:cs="Arial"/>
          <w:szCs w:val="18"/>
          <w:lang w:val="en-US" w:eastAsia="it-IT"/>
        </w:rPr>
      </w:pPr>
      <w:r w:rsidRPr="00A5047F">
        <w:rPr>
          <w:rFonts w:cs="Arial"/>
          <w:szCs w:val="18"/>
          <w:lang w:val="en-US" w:eastAsia="it-IT"/>
        </w:rPr>
        <w:t>The present paper discusses an integrated three-step numerical procedure for the optimization of tires final mechanical properties useful in industrial practice. The first step is the experimental characterization of the blend, the second step is a kinetic steady-state model which provides kinetic constants of the blen</w:t>
      </w:r>
      <w:r w:rsidR="00850C07">
        <w:rPr>
          <w:rFonts w:cs="Arial"/>
          <w:szCs w:val="18"/>
          <w:lang w:val="en-US" w:eastAsia="it-IT"/>
        </w:rPr>
        <w:t>d</w:t>
      </w:r>
      <w:r w:rsidR="00CB5B30">
        <w:rPr>
          <w:rFonts w:cs="Arial"/>
          <w:szCs w:val="18"/>
          <w:lang w:val="en-US" w:eastAsia="it-IT"/>
        </w:rPr>
        <w:t xml:space="preserve"> (according to Ding &amp; Leonov 1996 approach)</w:t>
      </w:r>
      <w:r w:rsidR="00850C07">
        <w:rPr>
          <w:rFonts w:cs="Arial"/>
          <w:szCs w:val="18"/>
          <w:lang w:val="en-US" w:eastAsia="it-IT"/>
        </w:rPr>
        <w:t xml:space="preserve"> to implement in the last step</w:t>
      </w:r>
      <w:r w:rsidRPr="00A5047F">
        <w:rPr>
          <w:rFonts w:cs="Arial"/>
          <w:szCs w:val="18"/>
          <w:lang w:val="en-US" w:eastAsia="it-IT"/>
        </w:rPr>
        <w:t xml:space="preserve"> into a FE code suitable to solve heat transmi</w:t>
      </w:r>
      <w:r w:rsidRPr="0074464E">
        <w:rPr>
          <w:rFonts w:cs="Arial"/>
          <w:szCs w:val="18"/>
          <w:lang w:val="en-US" w:eastAsia="it-IT"/>
        </w:rPr>
        <w:t xml:space="preserve">ssion problems in full 3D discretized models of </w:t>
      </w:r>
      <w:r>
        <w:rPr>
          <w:rFonts w:cs="Arial"/>
          <w:szCs w:val="18"/>
          <w:lang w:val="en-US" w:eastAsia="it-IT"/>
        </w:rPr>
        <w:t>complex geometries (such as tires)</w:t>
      </w:r>
      <w:r w:rsidRPr="0074464E">
        <w:rPr>
          <w:rFonts w:cs="Arial"/>
          <w:szCs w:val="18"/>
          <w:lang w:val="en-US" w:eastAsia="it-IT"/>
        </w:rPr>
        <w:t>. Knowing the temperature profile of e</w:t>
      </w:r>
      <w:r w:rsidR="00850C07">
        <w:rPr>
          <w:rFonts w:cs="Arial"/>
          <w:szCs w:val="18"/>
          <w:lang w:val="en-US" w:eastAsia="it-IT"/>
        </w:rPr>
        <w:t>ach node of the mesh in step 3</w:t>
      </w:r>
      <w:r w:rsidRPr="0074464E">
        <w:rPr>
          <w:rFonts w:cs="Arial"/>
          <w:szCs w:val="18"/>
          <w:lang w:val="en-US" w:eastAsia="it-IT"/>
        </w:rPr>
        <w:t xml:space="preserve">, from the kinetic model embedded into the FE </w:t>
      </w:r>
      <w:r>
        <w:rPr>
          <w:rFonts w:cs="Arial"/>
          <w:szCs w:val="18"/>
          <w:lang w:val="en-US" w:eastAsia="it-IT"/>
        </w:rPr>
        <w:t>code</w:t>
      </w:r>
      <w:r w:rsidRPr="0074464E">
        <w:rPr>
          <w:rFonts w:cs="Arial"/>
          <w:szCs w:val="18"/>
          <w:lang w:val="en-US" w:eastAsia="it-IT"/>
        </w:rPr>
        <w:t xml:space="preserve"> it is possible to estimate point by point the final degree of vulcanization of each node of the item and provide a reliable information on the local crosslinking de</w:t>
      </w:r>
      <w:r w:rsidR="00850C07">
        <w:rPr>
          <w:rFonts w:cs="Arial"/>
          <w:szCs w:val="18"/>
          <w:lang w:val="en-US" w:eastAsia="it-IT"/>
        </w:rPr>
        <w:t xml:space="preserve">nsity. The approach requires </w:t>
      </w:r>
      <w:r w:rsidRPr="0074464E">
        <w:rPr>
          <w:rFonts w:cs="Arial"/>
          <w:szCs w:val="18"/>
          <w:lang w:val="en-US" w:eastAsia="it-IT"/>
        </w:rPr>
        <w:t>a rheometer characterization of the blend at 3 different temp</w:t>
      </w:r>
      <w:r w:rsidR="00850C07">
        <w:rPr>
          <w:rFonts w:cs="Arial"/>
          <w:szCs w:val="18"/>
          <w:lang w:val="en-US" w:eastAsia="it-IT"/>
        </w:rPr>
        <w:t xml:space="preserve">eratures and the calibration </w:t>
      </w:r>
      <w:r w:rsidRPr="0074464E">
        <w:rPr>
          <w:rFonts w:cs="Arial"/>
          <w:szCs w:val="18"/>
          <w:lang w:val="en-US" w:eastAsia="it-IT"/>
        </w:rPr>
        <w:t xml:space="preserve">of a kinetic simple numerical model directly nested in </w:t>
      </w:r>
      <w:r w:rsidR="00850C07">
        <w:rPr>
          <w:rFonts w:cs="Arial"/>
          <w:szCs w:val="18"/>
          <w:lang w:val="en-US" w:eastAsia="it-IT"/>
        </w:rPr>
        <w:t>a FE software</w:t>
      </w:r>
      <w:r w:rsidRPr="0074464E">
        <w:rPr>
          <w:rFonts w:cs="Arial"/>
          <w:szCs w:val="18"/>
          <w:lang w:val="en-US" w:eastAsia="it-IT"/>
        </w:rPr>
        <w:t xml:space="preserve">. The kinetic model is a phenomenological approach based on 3 kinetic constants, which allows a reasonable prediction of the initial curing rate, maximum crosslinking </w:t>
      </w:r>
      <w:r>
        <w:rPr>
          <w:rFonts w:cs="Arial"/>
          <w:szCs w:val="18"/>
          <w:lang w:val="en-US" w:eastAsia="it-IT"/>
        </w:rPr>
        <w:t xml:space="preserve">conditions </w:t>
      </w:r>
      <w:r w:rsidRPr="0074464E">
        <w:rPr>
          <w:rFonts w:cs="Arial"/>
          <w:szCs w:val="18"/>
          <w:lang w:val="en-US" w:eastAsia="it-IT"/>
        </w:rPr>
        <w:t>and reversion at high temperatures. For illustrative purposes, here the experimental characterization is carried out on two “idealized” blends constituted by Natural Rubber</w:t>
      </w:r>
      <w:r w:rsidR="00850C07">
        <w:rPr>
          <w:rFonts w:cs="Arial"/>
          <w:szCs w:val="18"/>
          <w:lang w:val="en-US" w:eastAsia="it-IT"/>
        </w:rPr>
        <w:t xml:space="preserve"> NR</w:t>
      </w:r>
      <w:r w:rsidRPr="0074464E">
        <w:rPr>
          <w:rFonts w:cs="Arial"/>
          <w:szCs w:val="18"/>
          <w:lang w:val="en-US" w:eastAsia="it-IT"/>
        </w:rPr>
        <w:t xml:space="preserve"> and High Cis Poly-Butadiene PB respectively at 70/30 and 50/50 concentrations, with sul</w:t>
      </w:r>
      <w:r>
        <w:rPr>
          <w:rFonts w:cs="Arial"/>
          <w:szCs w:val="18"/>
          <w:lang w:val="en-US" w:eastAsia="it-IT"/>
        </w:rPr>
        <w:t>f</w:t>
      </w:r>
      <w:r w:rsidRPr="0074464E">
        <w:rPr>
          <w:rFonts w:cs="Arial"/>
          <w:szCs w:val="18"/>
          <w:lang w:val="en-US" w:eastAsia="it-IT"/>
        </w:rPr>
        <w:t>u</w:t>
      </w:r>
      <w:r>
        <w:rPr>
          <w:rFonts w:cs="Arial"/>
          <w:szCs w:val="18"/>
          <w:lang w:val="en-US" w:eastAsia="it-IT"/>
        </w:rPr>
        <w:t xml:space="preserve">r at 1 phr and two accelerants, namely </w:t>
      </w:r>
      <w:r w:rsidRPr="0074464E">
        <w:rPr>
          <w:rFonts w:cs="Arial"/>
          <w:szCs w:val="18"/>
          <w:lang w:val="en-US" w:eastAsia="it-IT"/>
        </w:rPr>
        <w:t>N-t-butylbenzothiazole-sulphenamide and Di</w:t>
      </w:r>
      <w:r w:rsidR="00593FE2">
        <w:rPr>
          <w:rFonts w:cs="Arial"/>
          <w:szCs w:val="18"/>
          <w:lang w:val="en-US" w:eastAsia="it-IT"/>
        </w:rPr>
        <w:t>-phenyl-</w:t>
      </w:r>
      <w:r w:rsidR="00593FE2" w:rsidRPr="00A5047F">
        <w:rPr>
          <w:rFonts w:cs="Arial"/>
          <w:szCs w:val="18"/>
          <w:lang w:val="en-US" w:eastAsia="it-IT"/>
        </w:rPr>
        <w:t>guanidine (TBBS and DPG</w:t>
      </w:r>
      <w:r w:rsidRPr="00A5047F">
        <w:rPr>
          <w:rFonts w:cs="Arial"/>
          <w:szCs w:val="18"/>
          <w:lang w:val="en-US" w:eastAsia="it-IT"/>
        </w:rPr>
        <w:t>) at 1 and 3 phr, under standard steady-state vulcanization conditions from 150°C to 180°C. The utilization of NR-PB blends is quite interesting because they are common in tire production; NR is a good base, but also characterized by drawbacks as small peak torque and reversion at high temperatures. The phenomenon is due to degradation of poly-su</w:t>
      </w:r>
      <w:r w:rsidR="00593FE2" w:rsidRPr="00A5047F">
        <w:rPr>
          <w:rFonts w:cs="Arial"/>
          <w:szCs w:val="18"/>
          <w:lang w:val="en-US" w:eastAsia="it-IT"/>
        </w:rPr>
        <w:t>lfidic (S-S or more) crosslinks, Han et al. (1998)</w:t>
      </w:r>
      <w:r w:rsidRPr="00A5047F">
        <w:rPr>
          <w:rFonts w:cs="Arial"/>
          <w:szCs w:val="18"/>
          <w:lang w:val="en-US" w:eastAsia="it-IT"/>
        </w:rPr>
        <w:t xml:space="preserve">. On the other hand, whilst PB is much more stable with high peak torques, its vulcanization is slow and very difficult at 150°C, because near to its melting temperature. Blending NR with PB is a good compromise to obtain fairly good properties of the vulcanized product. Kinetic constants are here derived fitting normalized rheometer curves of the rubber through </w:t>
      </w:r>
      <w:r w:rsidRPr="00A5047F">
        <w:rPr>
          <w:rFonts w:cs="Arial"/>
          <w:szCs w:val="18"/>
          <w:lang w:val="en-US" w:eastAsia="it-IT"/>
        </w:rPr>
        <w:lastRenderedPageBreak/>
        <w:t>a semi-analytical approach</w:t>
      </w:r>
      <w:r w:rsidR="00A85090" w:rsidRPr="00A5047F">
        <w:rPr>
          <w:rFonts w:cs="Arial"/>
          <w:szCs w:val="18"/>
          <w:lang w:val="en-US" w:eastAsia="it-IT"/>
        </w:rPr>
        <w:t>, Milani et al. (2017)</w:t>
      </w:r>
      <w:r w:rsidRPr="00A5047F">
        <w:rPr>
          <w:rFonts w:cs="Arial"/>
          <w:szCs w:val="18"/>
          <w:lang w:val="en-US" w:eastAsia="it-IT"/>
        </w:rPr>
        <w:t xml:space="preserve">. </w:t>
      </w:r>
      <w:r w:rsidR="00D15A99">
        <w:rPr>
          <w:rFonts w:cs="Arial"/>
          <w:szCs w:val="18"/>
          <w:lang w:val="en-US" w:eastAsia="it-IT"/>
        </w:rPr>
        <w:t>It is then possible to embed</w:t>
      </w:r>
      <w:r w:rsidRPr="00A5047F">
        <w:rPr>
          <w:rFonts w:cs="Arial"/>
          <w:szCs w:val="18"/>
          <w:lang w:val="en-US" w:eastAsia="it-IT"/>
        </w:rPr>
        <w:t xml:space="preserve"> such kinetic model into</w:t>
      </w:r>
      <w:r w:rsidR="00EF1347">
        <w:rPr>
          <w:rFonts w:cs="Arial"/>
          <w:szCs w:val="18"/>
          <w:lang w:val="en-US" w:eastAsia="it-IT"/>
        </w:rPr>
        <w:t xml:space="preserve"> a pre-existing</w:t>
      </w:r>
      <w:r w:rsidRPr="00A5047F">
        <w:rPr>
          <w:rFonts w:cs="Arial"/>
          <w:szCs w:val="18"/>
          <w:lang w:val="en-US" w:eastAsia="it-IT"/>
        </w:rPr>
        <w:t xml:space="preserve"> </w:t>
      </w:r>
      <w:r w:rsidR="00EF1347">
        <w:rPr>
          <w:rFonts w:cs="Arial"/>
          <w:szCs w:val="18"/>
          <w:lang w:val="en-US" w:eastAsia="it-IT"/>
        </w:rPr>
        <w:t>FE code</w:t>
      </w:r>
      <w:r w:rsidR="00D15A99">
        <w:rPr>
          <w:rFonts w:cs="Arial"/>
          <w:szCs w:val="18"/>
          <w:lang w:val="en-US" w:eastAsia="it-IT"/>
        </w:rPr>
        <w:t xml:space="preserve">. </w:t>
      </w:r>
      <w:r w:rsidR="00EF1347" w:rsidRPr="00EF1347">
        <w:rPr>
          <w:rFonts w:cs="Arial"/>
          <w:szCs w:val="18"/>
          <w:lang w:val="en-US" w:eastAsia="it-IT"/>
        </w:rPr>
        <w:t xml:space="preserve">The analytical solution </w:t>
      </w:r>
      <w:r w:rsidR="007A1C1B">
        <w:rPr>
          <w:rFonts w:cs="Arial"/>
          <w:szCs w:val="18"/>
          <w:lang w:val="en-US" w:eastAsia="it-IT"/>
        </w:rPr>
        <w:t>of a realistic heat transmission problem is generally</w:t>
      </w:r>
      <w:r w:rsidR="00EF1347" w:rsidRPr="00EF1347">
        <w:rPr>
          <w:rFonts w:cs="Arial"/>
          <w:szCs w:val="18"/>
          <w:lang w:val="en-US" w:eastAsia="it-IT"/>
        </w:rPr>
        <w:t xml:space="preserve"> </w:t>
      </w:r>
      <w:r w:rsidR="00016288">
        <w:rPr>
          <w:rFonts w:cs="Arial"/>
          <w:szCs w:val="18"/>
          <w:lang w:val="en-US" w:eastAsia="it-IT"/>
        </w:rPr>
        <w:t xml:space="preserve">very difficult to find or even does not exist, and </w:t>
      </w:r>
      <w:r w:rsidR="00EF1347" w:rsidRPr="00EF1347">
        <w:rPr>
          <w:rFonts w:cs="Arial"/>
          <w:szCs w:val="18"/>
          <w:lang w:val="en-US" w:eastAsia="it-IT"/>
        </w:rPr>
        <w:t>require</w:t>
      </w:r>
      <w:r w:rsidR="00016288">
        <w:rPr>
          <w:rFonts w:cs="Arial"/>
          <w:szCs w:val="18"/>
          <w:lang w:val="en-US" w:eastAsia="it-IT"/>
        </w:rPr>
        <w:t>s</w:t>
      </w:r>
      <w:r w:rsidR="00EF1347" w:rsidRPr="00EF1347">
        <w:rPr>
          <w:rFonts w:cs="Arial"/>
          <w:szCs w:val="18"/>
          <w:lang w:val="en-US" w:eastAsia="it-IT"/>
        </w:rPr>
        <w:t xml:space="preserve"> </w:t>
      </w:r>
      <w:r w:rsidR="007A1C1B">
        <w:rPr>
          <w:rFonts w:cs="Arial"/>
          <w:szCs w:val="18"/>
          <w:lang w:val="en-US" w:eastAsia="it-IT"/>
        </w:rPr>
        <w:t>to tackle complex</w:t>
      </w:r>
      <w:r w:rsidR="00EF1347" w:rsidRPr="00EF1347">
        <w:rPr>
          <w:rFonts w:cs="Arial"/>
          <w:szCs w:val="18"/>
          <w:lang w:val="en-US" w:eastAsia="it-IT"/>
        </w:rPr>
        <w:t xml:space="preserve"> boundary value problems for partial differential equations.</w:t>
      </w:r>
      <w:r w:rsidR="00333009">
        <w:rPr>
          <w:rFonts w:cs="Arial"/>
          <w:szCs w:val="18"/>
          <w:lang w:val="en-US" w:eastAsia="it-IT"/>
        </w:rPr>
        <w:t xml:space="preserve"> </w:t>
      </w:r>
      <w:r w:rsidR="004C169A">
        <w:rPr>
          <w:rFonts w:cs="Arial"/>
          <w:szCs w:val="18"/>
          <w:lang w:val="en-US" w:eastAsia="it-IT"/>
        </w:rPr>
        <w:t xml:space="preserve">A </w:t>
      </w:r>
      <w:r w:rsidR="00333009">
        <w:rPr>
          <w:rFonts w:cs="Arial"/>
          <w:szCs w:val="18"/>
          <w:lang w:val="en-US" w:eastAsia="it-IT"/>
        </w:rPr>
        <w:t>FE</w:t>
      </w:r>
      <w:r w:rsidR="00333009" w:rsidRPr="00333009">
        <w:rPr>
          <w:rFonts w:cs="Arial"/>
          <w:szCs w:val="18"/>
          <w:lang w:val="en-US" w:eastAsia="it-IT"/>
        </w:rPr>
        <w:t xml:space="preserve"> formulation of the problem</w:t>
      </w:r>
      <w:r w:rsidR="004C169A">
        <w:rPr>
          <w:rFonts w:cs="Arial"/>
          <w:szCs w:val="18"/>
          <w:lang w:val="en-US" w:eastAsia="it-IT"/>
        </w:rPr>
        <w:t xml:space="preserve"> helps in estimating numerically such solution and</w:t>
      </w:r>
      <w:r w:rsidR="00333009" w:rsidRPr="00333009">
        <w:rPr>
          <w:rFonts w:cs="Arial"/>
          <w:szCs w:val="18"/>
          <w:lang w:val="en-US" w:eastAsia="it-IT"/>
        </w:rPr>
        <w:t xml:space="preserve"> results in a system of algebraic equations</w:t>
      </w:r>
      <w:r w:rsidR="00333009">
        <w:rPr>
          <w:rFonts w:cs="Arial"/>
          <w:szCs w:val="18"/>
          <w:lang w:val="en-US" w:eastAsia="it-IT"/>
        </w:rPr>
        <w:t>, because</w:t>
      </w:r>
      <w:r w:rsidR="00EF1347" w:rsidRPr="00EF1347">
        <w:rPr>
          <w:rFonts w:cs="Arial"/>
          <w:szCs w:val="18"/>
          <w:lang w:val="en-US" w:eastAsia="it-IT"/>
        </w:rPr>
        <w:t xml:space="preserve"> </w:t>
      </w:r>
      <w:r w:rsidR="00333009">
        <w:rPr>
          <w:rFonts w:cs="Arial"/>
          <w:szCs w:val="18"/>
          <w:lang w:val="en-US" w:eastAsia="it-IT"/>
        </w:rPr>
        <w:t xml:space="preserve">it </w:t>
      </w:r>
      <w:r w:rsidR="00EF1347" w:rsidRPr="00EF1347">
        <w:rPr>
          <w:rFonts w:cs="Arial"/>
          <w:szCs w:val="18"/>
          <w:lang w:val="en-US" w:eastAsia="it-IT"/>
        </w:rPr>
        <w:t>approximates the unknown function over the domain</w:t>
      </w:r>
      <w:r w:rsidR="00333009">
        <w:rPr>
          <w:rFonts w:cs="Arial"/>
          <w:szCs w:val="18"/>
          <w:lang w:val="en-US" w:eastAsia="it-IT"/>
        </w:rPr>
        <w:t xml:space="preserve"> subdividing a large system into smaller ones (2D and 3D</w:t>
      </w:r>
      <w:r w:rsidR="00EF1347" w:rsidRPr="00EF1347">
        <w:rPr>
          <w:rFonts w:cs="Arial"/>
          <w:szCs w:val="18"/>
          <w:lang w:val="en-US" w:eastAsia="it-IT"/>
        </w:rPr>
        <w:t xml:space="preserve"> finite elements</w:t>
      </w:r>
      <w:r w:rsidR="003C7145">
        <w:rPr>
          <w:rFonts w:cs="Arial"/>
          <w:szCs w:val="18"/>
          <w:lang w:val="en-US" w:eastAsia="it-IT"/>
        </w:rPr>
        <w:t>)</w:t>
      </w:r>
      <w:r w:rsidR="00016288">
        <w:rPr>
          <w:rFonts w:cs="Arial"/>
          <w:szCs w:val="18"/>
          <w:lang w:val="en-US" w:eastAsia="it-IT"/>
        </w:rPr>
        <w:t>, with the function inside the element a-priori known in its shape (shape function)</w:t>
      </w:r>
      <w:r w:rsidR="00EF1347" w:rsidRPr="00EF1347">
        <w:rPr>
          <w:rFonts w:cs="Arial"/>
          <w:szCs w:val="18"/>
          <w:lang w:val="en-US" w:eastAsia="it-IT"/>
        </w:rPr>
        <w:t>.</w:t>
      </w:r>
      <w:r w:rsidRPr="00A5047F">
        <w:rPr>
          <w:rFonts w:cs="Arial"/>
          <w:szCs w:val="18"/>
          <w:lang w:val="en-US" w:eastAsia="it-IT"/>
        </w:rPr>
        <w:t xml:space="preserve"> </w:t>
      </w:r>
      <w:r w:rsidR="00016288">
        <w:rPr>
          <w:rFonts w:cs="Arial"/>
          <w:szCs w:val="18"/>
          <w:lang w:val="en-US" w:eastAsia="it-IT"/>
        </w:rPr>
        <w:t>T</w:t>
      </w:r>
      <w:r w:rsidRPr="00A5047F">
        <w:rPr>
          <w:rFonts w:cs="Arial"/>
          <w:szCs w:val="18"/>
          <w:lang w:val="en-US" w:eastAsia="it-IT"/>
        </w:rPr>
        <w:t xml:space="preserve">he vulcanization of a real 3D item (e.g. a car tire) </w:t>
      </w:r>
      <w:r w:rsidR="00016288">
        <w:rPr>
          <w:rFonts w:cs="Arial"/>
          <w:szCs w:val="18"/>
          <w:lang w:val="en-US" w:eastAsia="it-IT"/>
        </w:rPr>
        <w:t>can be therefore</w:t>
      </w:r>
      <w:r w:rsidRPr="00A5047F">
        <w:rPr>
          <w:rFonts w:cs="Arial"/>
          <w:szCs w:val="18"/>
          <w:lang w:val="en-US" w:eastAsia="it-IT"/>
        </w:rPr>
        <w:t xml:space="preserve"> simulated under transient curing conditions</w:t>
      </w:r>
      <w:r w:rsidR="00016288">
        <w:rPr>
          <w:rFonts w:cs="Arial"/>
          <w:szCs w:val="18"/>
          <w:lang w:val="en-US" w:eastAsia="it-IT"/>
        </w:rPr>
        <w:t xml:space="preserve"> by means of a suitable refined discretization with 3D FEs</w:t>
      </w:r>
      <w:r w:rsidRPr="00A5047F">
        <w:rPr>
          <w:rFonts w:cs="Arial"/>
          <w:szCs w:val="18"/>
          <w:lang w:val="en-US" w:eastAsia="it-IT"/>
        </w:rPr>
        <w:t>. All element</w:t>
      </w:r>
      <w:r w:rsidR="003C7145">
        <w:rPr>
          <w:rFonts w:cs="Arial"/>
          <w:szCs w:val="18"/>
          <w:lang w:val="en-US" w:eastAsia="it-IT"/>
        </w:rPr>
        <w:t>s</w:t>
      </w:r>
      <w:r w:rsidRPr="00A5047F">
        <w:rPr>
          <w:rFonts w:cs="Arial"/>
          <w:szCs w:val="18"/>
          <w:lang w:val="en-US" w:eastAsia="it-IT"/>
        </w:rPr>
        <w:t xml:space="preserve"> of the tire (e.g. belts, carcass, core etc.) can be separately meshed with a full 3D approach, to reproduce the exact vulcanization process. The three-step procedure presented allows to find the best concentration ratio between rubbers, the optimal balance between strength and elastic characteristics, as well as the optimal time/temperature conditions to maximize average crosslinking den</w:t>
      </w:r>
      <w:r w:rsidRPr="0074464E">
        <w:rPr>
          <w:rFonts w:cs="Arial"/>
          <w:szCs w:val="18"/>
          <w:lang w:val="en-US" w:eastAsia="it-IT"/>
        </w:rPr>
        <w:t>sity.</w:t>
      </w:r>
    </w:p>
    <w:p w14:paraId="44810264" w14:textId="77777777" w:rsidR="00DC2A25" w:rsidRPr="0074464E" w:rsidRDefault="00DC2A25" w:rsidP="00DC2A25">
      <w:pPr>
        <w:pStyle w:val="CETHeading1"/>
        <w:tabs>
          <w:tab w:val="clear" w:pos="360"/>
          <w:tab w:val="right" w:pos="7100"/>
        </w:tabs>
        <w:jc w:val="both"/>
        <w:rPr>
          <w:lang w:val="en-GB"/>
        </w:rPr>
      </w:pPr>
      <w:r w:rsidRPr="0074464E">
        <w:rPr>
          <w:lang w:val="en-GB"/>
        </w:rPr>
        <w:t>Experimental</w:t>
      </w:r>
      <w:r>
        <w:rPr>
          <w:lang w:val="en-GB"/>
        </w:rPr>
        <w:t xml:space="preserve"> characterization (Step 1)</w:t>
      </w:r>
    </w:p>
    <w:p w14:paraId="3FB36537" w14:textId="724D0933" w:rsidR="00DC2A25" w:rsidRPr="0074464E" w:rsidRDefault="00DC2A25" w:rsidP="00DC2A25">
      <w:pPr>
        <w:rPr>
          <w:rFonts w:cs="Arial"/>
          <w:szCs w:val="18"/>
          <w:lang w:val="en-US" w:eastAsia="it-IT"/>
        </w:rPr>
      </w:pPr>
      <w:r w:rsidRPr="0074464E">
        <w:rPr>
          <w:rFonts w:cs="Arial"/>
          <w:szCs w:val="18"/>
          <w:lang w:val="en-US" w:eastAsia="it-IT"/>
        </w:rPr>
        <w:t xml:space="preserve">A </w:t>
      </w:r>
      <w:r w:rsidR="00B6313F">
        <w:rPr>
          <w:rFonts w:cs="Arial"/>
          <w:szCs w:val="18"/>
          <w:lang w:val="en-US" w:eastAsia="it-IT"/>
        </w:rPr>
        <w:t>standard NR with</w:t>
      </w:r>
      <w:r w:rsidRPr="0074464E">
        <w:rPr>
          <w:rFonts w:cs="Arial"/>
          <w:szCs w:val="18"/>
          <w:lang w:val="en-US" w:eastAsia="it-IT"/>
        </w:rPr>
        <w:t xml:space="preserve"> Mn = 1.5x105 g/mol, </w:t>
      </w:r>
      <w:r w:rsidR="00B6313F">
        <w:rPr>
          <w:rFonts w:cs="Arial"/>
          <w:szCs w:val="18"/>
          <w:lang w:val="en-US" w:eastAsia="it-IT"/>
        </w:rPr>
        <w:t>and a</w:t>
      </w:r>
      <w:r w:rsidRPr="0074464E">
        <w:rPr>
          <w:rFonts w:cs="Arial"/>
          <w:szCs w:val="18"/>
          <w:lang w:val="en-US" w:eastAsia="it-IT"/>
        </w:rPr>
        <w:t xml:space="preserve"> very high cis homo-polymer polybutadiene </w:t>
      </w:r>
      <w:r w:rsidR="00B6313F">
        <w:rPr>
          <w:rFonts w:cs="Arial"/>
          <w:szCs w:val="18"/>
          <w:lang w:val="en-US" w:eastAsia="it-IT"/>
        </w:rPr>
        <w:t>with Mw</w:t>
      </w:r>
      <w:r w:rsidR="00B6313F" w:rsidRPr="0074464E">
        <w:rPr>
          <w:rFonts w:cs="Arial"/>
          <w:szCs w:val="18"/>
          <w:lang w:val="en-US" w:eastAsia="it-IT"/>
        </w:rPr>
        <w:t xml:space="preserve"> = 6.5 x 10</w:t>
      </w:r>
      <w:r w:rsidR="00B6313F" w:rsidRPr="00B6313F">
        <w:rPr>
          <w:rFonts w:cs="Arial"/>
          <w:szCs w:val="18"/>
          <w:vertAlign w:val="superscript"/>
          <w:lang w:val="en-US" w:eastAsia="it-IT"/>
        </w:rPr>
        <w:t>5</w:t>
      </w:r>
      <w:r w:rsidR="00B6313F" w:rsidRPr="0074464E">
        <w:rPr>
          <w:rFonts w:cs="Arial"/>
          <w:szCs w:val="18"/>
          <w:lang w:val="en-US" w:eastAsia="it-IT"/>
        </w:rPr>
        <w:t xml:space="preserve"> g / mo</w:t>
      </w:r>
      <w:r w:rsidR="00B6313F">
        <w:rPr>
          <w:rFonts w:cs="Arial"/>
          <w:szCs w:val="18"/>
          <w:lang w:val="en-US" w:eastAsia="it-IT"/>
        </w:rPr>
        <w:t>l and a</w:t>
      </w:r>
      <w:r w:rsidRPr="0074464E">
        <w:rPr>
          <w:rFonts w:cs="Arial"/>
          <w:szCs w:val="18"/>
          <w:lang w:val="en-US" w:eastAsia="it-IT"/>
        </w:rPr>
        <w:t xml:space="preserve"> % of cis conformation more than 95</w:t>
      </w:r>
      <w:r w:rsidR="00B6313F">
        <w:rPr>
          <w:rFonts w:cs="Arial"/>
          <w:szCs w:val="18"/>
          <w:lang w:val="en-US" w:eastAsia="it-IT"/>
        </w:rPr>
        <w:t>% are used</w:t>
      </w:r>
      <w:r w:rsidR="00471AE7">
        <w:rPr>
          <w:rFonts w:cs="Arial"/>
          <w:szCs w:val="18"/>
          <w:lang w:val="en-US" w:eastAsia="it-IT"/>
        </w:rPr>
        <w:t xml:space="preserve"> (</w:t>
      </w:r>
      <w:r w:rsidR="00471AE7" w:rsidRPr="00471AE7">
        <w:rPr>
          <w:rFonts w:cs="Arial"/>
          <w:szCs w:val="18"/>
          <w:lang w:val="en-US" w:eastAsia="it-IT"/>
        </w:rPr>
        <w:t xml:space="preserve">Mn </w:t>
      </w:r>
      <w:r w:rsidR="00471AE7">
        <w:rPr>
          <w:rFonts w:cs="Arial"/>
          <w:szCs w:val="18"/>
          <w:lang w:val="en-US" w:eastAsia="it-IT"/>
        </w:rPr>
        <w:t xml:space="preserve">stands for the </w:t>
      </w:r>
      <w:r w:rsidR="00471AE7" w:rsidRPr="00471AE7">
        <w:rPr>
          <w:rFonts w:cs="Arial"/>
          <w:szCs w:val="18"/>
          <w:lang w:val="en-US" w:eastAsia="it-IT"/>
        </w:rPr>
        <w:t xml:space="preserve">molecular weight by number and Mw </w:t>
      </w:r>
      <w:r w:rsidR="00471AE7">
        <w:rPr>
          <w:rFonts w:cs="Arial"/>
          <w:szCs w:val="18"/>
          <w:lang w:val="en-US" w:eastAsia="it-IT"/>
        </w:rPr>
        <w:t>for the</w:t>
      </w:r>
      <w:r w:rsidR="00471AE7" w:rsidRPr="00471AE7">
        <w:rPr>
          <w:rFonts w:cs="Arial"/>
          <w:szCs w:val="18"/>
          <w:lang w:val="en-US" w:eastAsia="it-IT"/>
        </w:rPr>
        <w:t xml:space="preserve"> molecular weight by weight</w:t>
      </w:r>
      <w:r w:rsidR="00471AE7">
        <w:rPr>
          <w:rFonts w:cs="Arial"/>
          <w:szCs w:val="18"/>
          <w:lang w:val="en-US" w:eastAsia="it-IT"/>
        </w:rPr>
        <w:t>)</w:t>
      </w:r>
      <w:r w:rsidRPr="0074464E">
        <w:rPr>
          <w:rFonts w:cs="Arial"/>
          <w:szCs w:val="18"/>
          <w:lang w:val="en-US" w:eastAsia="it-IT"/>
        </w:rPr>
        <w:t>. Accelerators used are TBBS (N-t-butylbenzothiazole-sulfenamide) and DPG (di phenyl guanidine). Blends are obtained with 50-50</w:t>
      </w:r>
      <w:r>
        <w:rPr>
          <w:rFonts w:cs="Arial"/>
          <w:szCs w:val="18"/>
          <w:lang w:val="en-US" w:eastAsia="it-IT"/>
        </w:rPr>
        <w:t>%</w:t>
      </w:r>
      <w:r w:rsidRPr="0074464E">
        <w:rPr>
          <w:rFonts w:cs="Arial"/>
          <w:szCs w:val="18"/>
          <w:lang w:val="en-US" w:eastAsia="it-IT"/>
        </w:rPr>
        <w:t xml:space="preserve"> and 70-30</w:t>
      </w:r>
      <w:r>
        <w:rPr>
          <w:rFonts w:cs="Arial"/>
          <w:szCs w:val="18"/>
          <w:lang w:val="en-US" w:eastAsia="it-IT"/>
        </w:rPr>
        <w:t>%</w:t>
      </w:r>
      <w:r w:rsidRPr="0074464E">
        <w:rPr>
          <w:rFonts w:cs="Arial"/>
          <w:szCs w:val="18"/>
          <w:lang w:val="en-US" w:eastAsia="it-IT"/>
        </w:rPr>
        <w:t xml:space="preserve"> NR-PB proportions. A Monsanto oscillating Disc Rheometer is used to produce rheometer curves at 150, 170 and 180°C. The following S-TBBS-DPG sul</w:t>
      </w:r>
      <w:r>
        <w:rPr>
          <w:rFonts w:cs="Arial"/>
          <w:szCs w:val="18"/>
          <w:lang w:val="en-US" w:eastAsia="it-IT"/>
        </w:rPr>
        <w:t>f</w:t>
      </w:r>
      <w:r w:rsidRPr="0074464E">
        <w:rPr>
          <w:rFonts w:cs="Arial"/>
          <w:szCs w:val="18"/>
          <w:lang w:val="en-US" w:eastAsia="it-IT"/>
        </w:rPr>
        <w:t xml:space="preserve">ur/accelerants concentrations are investigated: 1-1-0, 1-3-0, 1-0-1, 1-0-3 phr. Experimental rheometer curves are shown in </w:t>
      </w:r>
      <w:r w:rsidRPr="0074464E">
        <w:rPr>
          <w:rFonts w:cs="Arial"/>
          <w:szCs w:val="18"/>
          <w:lang w:val="en-US" w:eastAsia="it-IT"/>
        </w:rPr>
        <w:fldChar w:fldCharType="begin"/>
      </w:r>
      <w:r w:rsidRPr="0074464E">
        <w:rPr>
          <w:rFonts w:cs="Arial"/>
          <w:szCs w:val="18"/>
          <w:lang w:val="en-US" w:eastAsia="it-IT"/>
        </w:rPr>
        <w:instrText xml:space="preserve"> REF _Ref532138108 \h  \* MERGEFORMAT </w:instrText>
      </w:r>
      <w:r w:rsidRPr="0074464E">
        <w:rPr>
          <w:rFonts w:cs="Arial"/>
          <w:szCs w:val="18"/>
          <w:lang w:val="en-US" w:eastAsia="it-IT"/>
        </w:rPr>
      </w:r>
      <w:r w:rsidRPr="0074464E">
        <w:rPr>
          <w:rFonts w:cs="Arial"/>
          <w:szCs w:val="18"/>
          <w:lang w:val="en-US" w:eastAsia="it-IT"/>
        </w:rPr>
        <w:fldChar w:fldCharType="separate"/>
      </w:r>
      <w:r w:rsidR="005B081F" w:rsidRPr="005B081F">
        <w:rPr>
          <w:rFonts w:cs="Arial"/>
          <w:szCs w:val="18"/>
          <w:lang w:val="en-US"/>
        </w:rPr>
        <w:t xml:space="preserve">Figure </w:t>
      </w:r>
      <w:r w:rsidR="005B081F" w:rsidRPr="005B081F">
        <w:rPr>
          <w:rFonts w:cs="Arial"/>
          <w:noProof/>
          <w:szCs w:val="18"/>
          <w:lang w:val="en-US"/>
        </w:rPr>
        <w:t>1</w:t>
      </w:r>
      <w:r w:rsidRPr="0074464E">
        <w:rPr>
          <w:rFonts w:cs="Arial"/>
          <w:szCs w:val="18"/>
          <w:lang w:val="en-US" w:eastAsia="it-IT"/>
        </w:rPr>
        <w:fldChar w:fldCharType="end"/>
      </w:r>
      <w:r w:rsidRPr="0074464E">
        <w:rPr>
          <w:rFonts w:cs="Arial"/>
          <w:szCs w:val="18"/>
          <w:lang w:val="en-US" w:eastAsia="it-IT"/>
        </w:rPr>
        <w:t xml:space="preserve"> for all the cases investigated. For the sake of c</w:t>
      </w:r>
      <w:r w:rsidRPr="00A5047F">
        <w:rPr>
          <w:rFonts w:cs="Arial"/>
          <w:szCs w:val="18"/>
          <w:lang w:val="en-US" w:eastAsia="it-IT"/>
        </w:rPr>
        <w:t xml:space="preserve">omparison, rheometer curves for pure NR and PB are also depicted. Experimental values are represented with dots, whereas smooth colored curves are derived through a regularization technique with splines, fully described in </w:t>
      </w:r>
      <w:r w:rsidR="00A3434B" w:rsidRPr="00A5047F">
        <w:rPr>
          <w:rFonts w:cs="Arial"/>
          <w:szCs w:val="18"/>
          <w:lang w:val="en-US" w:eastAsia="it-IT"/>
        </w:rPr>
        <w:t xml:space="preserve">Milani &amp; Milani (2018b) </w:t>
      </w:r>
      <w:r w:rsidRPr="00A5047F">
        <w:rPr>
          <w:rFonts w:cs="Arial"/>
          <w:szCs w:val="18"/>
          <w:lang w:val="en-US" w:eastAsia="it-IT"/>
        </w:rPr>
        <w:t xml:space="preserve">where the reader is referred for further details, essential to apply the kinetic model discussed in the following Section. </w:t>
      </w:r>
      <w:r w:rsidRPr="00A5047F">
        <w:rPr>
          <w:rFonts w:cs="Arial"/>
          <w:szCs w:val="18"/>
          <w:lang w:val="en-US" w:eastAsia="it-IT"/>
        </w:rPr>
        <w:fldChar w:fldCharType="begin"/>
      </w:r>
      <w:r w:rsidRPr="00A5047F">
        <w:rPr>
          <w:rFonts w:cs="Arial"/>
          <w:szCs w:val="18"/>
          <w:lang w:val="en-US" w:eastAsia="it-IT"/>
        </w:rPr>
        <w:instrText xml:space="preserve"> REF _Ref532138108 \h  \* MERGEFORMAT </w:instrText>
      </w:r>
      <w:r w:rsidRPr="00A5047F">
        <w:rPr>
          <w:rFonts w:cs="Arial"/>
          <w:szCs w:val="18"/>
          <w:lang w:val="en-US" w:eastAsia="it-IT"/>
        </w:rPr>
      </w:r>
      <w:r w:rsidRPr="00A5047F">
        <w:rPr>
          <w:rFonts w:cs="Arial"/>
          <w:szCs w:val="18"/>
          <w:lang w:val="en-US" w:eastAsia="it-IT"/>
        </w:rPr>
        <w:fldChar w:fldCharType="separate"/>
      </w:r>
      <w:r w:rsidR="005B081F" w:rsidRPr="005B081F">
        <w:rPr>
          <w:rFonts w:cs="Arial"/>
          <w:szCs w:val="18"/>
          <w:lang w:val="en-US"/>
        </w:rPr>
        <w:t xml:space="preserve">Figure </w:t>
      </w:r>
      <w:r w:rsidR="005B081F" w:rsidRPr="005B081F">
        <w:rPr>
          <w:rFonts w:cs="Arial"/>
          <w:noProof/>
          <w:szCs w:val="18"/>
          <w:lang w:val="en-US"/>
        </w:rPr>
        <w:t>1</w:t>
      </w:r>
      <w:r w:rsidRPr="00A5047F">
        <w:rPr>
          <w:rFonts w:cs="Arial"/>
          <w:szCs w:val="18"/>
          <w:lang w:val="en-US" w:eastAsia="it-IT"/>
        </w:rPr>
        <w:fldChar w:fldCharType="end"/>
      </w:r>
      <w:r w:rsidRPr="00A5047F">
        <w:rPr>
          <w:rFonts w:cs="Arial"/>
          <w:szCs w:val="18"/>
          <w:lang w:val="en-US" w:eastAsia="it-IT"/>
        </w:rPr>
        <w:t xml:space="preserve">-a depicts rheometer curves, whereas </w:t>
      </w:r>
      <w:r w:rsidRPr="00A5047F">
        <w:rPr>
          <w:rFonts w:cs="Arial"/>
          <w:szCs w:val="18"/>
          <w:lang w:val="en-US" w:eastAsia="it-IT"/>
        </w:rPr>
        <w:fldChar w:fldCharType="begin"/>
      </w:r>
      <w:r w:rsidRPr="00A5047F">
        <w:rPr>
          <w:rFonts w:cs="Arial"/>
          <w:szCs w:val="18"/>
          <w:lang w:val="en-US" w:eastAsia="it-IT"/>
        </w:rPr>
        <w:instrText xml:space="preserve"> REF _Ref532138108 \h  \* MERGEFORMAT </w:instrText>
      </w:r>
      <w:r w:rsidRPr="00A5047F">
        <w:rPr>
          <w:rFonts w:cs="Arial"/>
          <w:szCs w:val="18"/>
          <w:lang w:val="en-US" w:eastAsia="it-IT"/>
        </w:rPr>
      </w:r>
      <w:r w:rsidRPr="00A5047F">
        <w:rPr>
          <w:rFonts w:cs="Arial"/>
          <w:szCs w:val="18"/>
          <w:lang w:val="en-US" w:eastAsia="it-IT"/>
        </w:rPr>
        <w:fldChar w:fldCharType="separate"/>
      </w:r>
      <w:r w:rsidR="005B081F" w:rsidRPr="005B081F">
        <w:rPr>
          <w:rFonts w:cs="Arial"/>
          <w:szCs w:val="18"/>
          <w:lang w:val="en-US"/>
        </w:rPr>
        <w:t xml:space="preserve">Figure </w:t>
      </w:r>
      <w:r w:rsidR="005B081F" w:rsidRPr="005B081F">
        <w:rPr>
          <w:rFonts w:cs="Arial"/>
          <w:noProof/>
          <w:szCs w:val="18"/>
          <w:lang w:val="en-US"/>
        </w:rPr>
        <w:t>1</w:t>
      </w:r>
      <w:r w:rsidRPr="00A5047F">
        <w:rPr>
          <w:rFonts w:cs="Arial"/>
          <w:szCs w:val="18"/>
          <w:lang w:val="en-US" w:eastAsia="it-IT"/>
        </w:rPr>
        <w:fldChar w:fldCharType="end"/>
      </w:r>
      <w:r w:rsidRPr="00A5047F">
        <w:rPr>
          <w:rFonts w:cs="Arial"/>
          <w:szCs w:val="18"/>
          <w:lang w:val="en-US" w:eastAsia="it-IT"/>
        </w:rPr>
        <w:t>-b shows time-vulcanization rate (</w:t>
      </w:r>
      <w:r w:rsidRPr="00A5047F">
        <w:rPr>
          <w:rFonts w:cs="Arial"/>
          <w:i/>
          <w:szCs w:val="18"/>
          <w:lang w:val="en-US" w:eastAsia="it-IT"/>
        </w:rPr>
        <w:t>t</w:t>
      </w:r>
      <w:r w:rsidRPr="00A5047F">
        <w:rPr>
          <w:rFonts w:cs="Arial"/>
          <w:szCs w:val="18"/>
          <w:lang w:val="en-US" w:eastAsia="it-IT"/>
        </w:rPr>
        <w:t>-d</w:t>
      </w:r>
      <w:r w:rsidRPr="00A5047F">
        <w:rPr>
          <w:rFonts w:cs="Arial"/>
          <w:i/>
          <w:szCs w:val="18"/>
          <w:lang w:val="en-US" w:eastAsia="it-IT"/>
        </w:rPr>
        <w:t>M</w:t>
      </w:r>
      <w:r w:rsidRPr="00A5047F">
        <w:rPr>
          <w:rFonts w:cs="Arial"/>
          <w:szCs w:val="18"/>
          <w:lang w:val="en-US" w:eastAsia="it-IT"/>
        </w:rPr>
        <w:t>/d</w:t>
      </w:r>
      <w:r w:rsidRPr="00A5047F">
        <w:rPr>
          <w:rFonts w:cs="Arial"/>
          <w:i/>
          <w:szCs w:val="18"/>
          <w:lang w:val="en-US" w:eastAsia="it-IT"/>
        </w:rPr>
        <w:t>t</w:t>
      </w:r>
      <w:r w:rsidRPr="00A5047F">
        <w:rPr>
          <w:rFonts w:cs="Arial"/>
          <w:szCs w:val="18"/>
          <w:lang w:val="en-US" w:eastAsia="it-IT"/>
        </w:rPr>
        <w:t xml:space="preserve">) relationships, evaluated from experimental values through finite differences and directly estimation of the first derivative of the spline approximation. Smooth vulcanization rate diagrams are again essential for the application of the kinetic model. Before any comparison with numerical data, experimental torque </w:t>
      </w:r>
      <w:r w:rsidRPr="00A5047F">
        <w:rPr>
          <w:rFonts w:cs="Arial"/>
          <w:i/>
          <w:szCs w:val="18"/>
          <w:lang w:val="en-US" w:eastAsia="it-IT"/>
        </w:rPr>
        <w:t>M</w:t>
      </w:r>
      <w:r w:rsidRPr="00A5047F">
        <w:rPr>
          <w:rFonts w:cs="Arial"/>
          <w:szCs w:val="18"/>
          <w:lang w:val="en-US" w:eastAsia="it-IT"/>
        </w:rPr>
        <w:t>(</w:t>
      </w:r>
      <w:r w:rsidRPr="00A5047F">
        <w:rPr>
          <w:rFonts w:cs="Arial"/>
          <w:i/>
          <w:szCs w:val="18"/>
          <w:lang w:val="en-US" w:eastAsia="it-IT"/>
        </w:rPr>
        <w:t>t</w:t>
      </w:r>
      <w:r w:rsidRPr="00A5047F">
        <w:rPr>
          <w:rFonts w:cs="Arial"/>
          <w:szCs w:val="18"/>
          <w:lang w:val="en-US" w:eastAsia="it-IT"/>
        </w:rPr>
        <w:t xml:space="preserve">) is normalized (furnishing the experimental vulcanization degree </w:t>
      </w:r>
      <w:r w:rsidRPr="00A5047F">
        <w:rPr>
          <w:rFonts w:cs="Arial"/>
          <w:position w:val="-12"/>
          <w:szCs w:val="18"/>
          <w:lang w:val="en-US" w:eastAsia="it-IT"/>
        </w:rPr>
        <w:object w:dxaOrig="420" w:dyaOrig="320" w14:anchorId="3C440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5.75pt" o:ole="">
            <v:imagedata r:id="rId10" o:title=""/>
          </v:shape>
          <o:OLEObject Type="Embed" ProgID="Equation.DSMT4" ShapeID="_x0000_i1025" DrawAspect="Content" ObjectID="_1616129059" r:id="rId11"/>
        </w:object>
      </w:r>
      <w:r w:rsidRPr="00A5047F">
        <w:rPr>
          <w:rFonts w:cs="Arial"/>
          <w:szCs w:val="18"/>
          <w:lang w:val="en-US" w:eastAsia="it-IT"/>
        </w:rPr>
        <w:t xml:space="preserve">) through Sun </w:t>
      </w:r>
      <w:r w:rsidR="00A3434B" w:rsidRPr="00A5047F">
        <w:rPr>
          <w:rFonts w:cs="Arial"/>
          <w:szCs w:val="18"/>
          <w:lang w:val="en-US" w:eastAsia="it-IT"/>
        </w:rPr>
        <w:t>&amp;</w:t>
      </w:r>
      <w:r w:rsidRPr="00A5047F">
        <w:rPr>
          <w:rFonts w:cs="Arial"/>
          <w:szCs w:val="18"/>
          <w:lang w:val="en-US" w:eastAsia="it-IT"/>
        </w:rPr>
        <w:t xml:space="preserve"> Isayev </w:t>
      </w:r>
      <w:r w:rsidR="00A3434B" w:rsidRPr="00A5047F">
        <w:rPr>
          <w:rFonts w:cs="Arial"/>
          <w:szCs w:val="18"/>
          <w:lang w:val="en-US" w:eastAsia="it-IT"/>
        </w:rPr>
        <w:t>(2009)</w:t>
      </w:r>
      <w:r w:rsidRPr="00A5047F">
        <w:rPr>
          <w:rFonts w:cs="Arial"/>
          <w:szCs w:val="18"/>
          <w:lang w:val="en-US" w:eastAsia="it-IT"/>
        </w:rPr>
        <w:t xml:space="preserve"> method: </w:t>
      </w:r>
    </w:p>
    <w:tbl>
      <w:tblPr>
        <w:tblStyle w:val="Grigliatabella"/>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562"/>
      </w:tblGrid>
      <w:tr w:rsidR="00DC2A25" w:rsidRPr="0074464E" w14:paraId="5B9C74A8" w14:textId="77777777" w:rsidTr="000F0097">
        <w:tc>
          <w:tcPr>
            <w:tcW w:w="3369" w:type="dxa"/>
          </w:tcPr>
          <w:p w14:paraId="603EBFFA" w14:textId="77777777" w:rsidR="00DC2A25" w:rsidRPr="0074464E" w:rsidRDefault="00DC2A25" w:rsidP="00DA4E27">
            <w:pPr>
              <w:rPr>
                <w:rFonts w:cs="Arial"/>
                <w:szCs w:val="18"/>
                <w:lang w:val="en-US" w:eastAsia="it-IT"/>
              </w:rPr>
            </w:pPr>
            <w:r w:rsidRPr="0074464E">
              <w:rPr>
                <w:rFonts w:cs="Arial"/>
                <w:position w:val="-28"/>
                <w:szCs w:val="18"/>
                <w:lang w:val="en-US" w:eastAsia="it-IT"/>
              </w:rPr>
              <w:object w:dxaOrig="1980" w:dyaOrig="580" w14:anchorId="182F5C70">
                <v:shape id="_x0000_i1026" type="#_x0000_t75" style="width:99pt;height:26.25pt" o:ole="">
                  <v:imagedata r:id="rId12" o:title=""/>
                </v:shape>
                <o:OLEObject Type="Embed" ProgID="Equation.DSMT4" ShapeID="_x0000_i1026" DrawAspect="Content" ObjectID="_1616129060" r:id="rId13"/>
              </w:object>
            </w:r>
          </w:p>
        </w:tc>
        <w:tc>
          <w:tcPr>
            <w:tcW w:w="5562" w:type="dxa"/>
            <w:vAlign w:val="center"/>
          </w:tcPr>
          <w:p w14:paraId="6257C138" w14:textId="21BE952E" w:rsidR="00DC2A25" w:rsidRPr="0074464E" w:rsidRDefault="00DC2A25" w:rsidP="00DA4E27">
            <w:pPr>
              <w:jc w:val="right"/>
              <w:rPr>
                <w:rFonts w:cs="Arial"/>
                <w:szCs w:val="18"/>
                <w:lang w:val="en-US" w:eastAsia="it-IT"/>
              </w:rPr>
            </w:pPr>
            <w:bookmarkStart w:id="0" w:name="_Ref536621305"/>
            <w:bookmarkStart w:id="1" w:name="_Ref352148263"/>
            <w:r w:rsidRPr="0074464E">
              <w:rPr>
                <w:rFonts w:cs="Arial"/>
                <w:szCs w:val="18"/>
                <w:lang w:val="en-US" w:eastAsia="it-IT"/>
              </w:rPr>
              <w:t xml:space="preserve">( </w:t>
            </w:r>
            <w:r w:rsidRPr="0074464E">
              <w:rPr>
                <w:rFonts w:cs="Arial"/>
                <w:szCs w:val="18"/>
                <w:lang w:val="en-US" w:eastAsia="it-IT"/>
              </w:rPr>
              <w:fldChar w:fldCharType="begin"/>
            </w:r>
            <w:r w:rsidRPr="0074464E">
              <w:rPr>
                <w:rFonts w:cs="Arial"/>
                <w:szCs w:val="18"/>
                <w:lang w:val="en-US" w:eastAsia="it-IT"/>
              </w:rPr>
              <w:instrText xml:space="preserve"> SEQ ( \* ARABIC </w:instrText>
            </w:r>
            <w:r w:rsidRPr="0074464E">
              <w:rPr>
                <w:rFonts w:cs="Arial"/>
                <w:szCs w:val="18"/>
                <w:lang w:val="en-US" w:eastAsia="it-IT"/>
              </w:rPr>
              <w:fldChar w:fldCharType="separate"/>
            </w:r>
            <w:r w:rsidR="005B081F">
              <w:rPr>
                <w:rFonts w:cs="Arial"/>
                <w:noProof/>
                <w:szCs w:val="18"/>
                <w:lang w:val="en-US" w:eastAsia="it-IT"/>
              </w:rPr>
              <w:t>1</w:t>
            </w:r>
            <w:r w:rsidRPr="0074464E">
              <w:rPr>
                <w:rFonts w:cs="Arial"/>
                <w:szCs w:val="18"/>
                <w:lang w:val="en-US" w:eastAsia="it-IT"/>
              </w:rPr>
              <w:fldChar w:fldCharType="end"/>
            </w:r>
            <w:bookmarkEnd w:id="0"/>
            <w:r w:rsidRPr="0074464E">
              <w:rPr>
                <w:rFonts w:cs="Arial"/>
                <w:szCs w:val="18"/>
                <w:lang w:val="en-US" w:eastAsia="it-IT"/>
              </w:rPr>
              <w:t xml:space="preserve"> )</w:t>
            </w:r>
            <w:bookmarkEnd w:id="1"/>
          </w:p>
        </w:tc>
      </w:tr>
    </w:tbl>
    <w:p w14:paraId="1C343FC7" w14:textId="601CF571" w:rsidR="00DC2A25" w:rsidRPr="0074464E" w:rsidRDefault="00DC2A25" w:rsidP="00DC2A25">
      <w:pPr>
        <w:rPr>
          <w:rFonts w:cs="Arial"/>
          <w:szCs w:val="18"/>
          <w:lang w:val="en-US" w:eastAsia="it-IT"/>
        </w:rPr>
      </w:pPr>
      <w:r w:rsidRPr="00563FC8">
        <w:rPr>
          <w:rFonts w:cs="Arial"/>
          <w:i/>
          <w:szCs w:val="18"/>
          <w:lang w:val="en-US" w:eastAsia="it-IT"/>
        </w:rPr>
        <w:t>M</w:t>
      </w:r>
      <w:r w:rsidRPr="00563FC8">
        <w:rPr>
          <w:rFonts w:cs="Arial"/>
          <w:i/>
          <w:szCs w:val="18"/>
          <w:vertAlign w:val="subscript"/>
          <w:lang w:val="en-US" w:eastAsia="it-IT"/>
        </w:rPr>
        <w:t>min</w:t>
      </w:r>
      <w:r w:rsidRPr="00A5047F">
        <w:rPr>
          <w:rFonts w:cs="Arial"/>
          <w:i/>
          <w:szCs w:val="18"/>
          <w:vertAlign w:val="subscript"/>
          <w:lang w:val="en-US" w:eastAsia="it-IT"/>
        </w:rPr>
        <w:t>T</w:t>
      </w:r>
      <w:r w:rsidRPr="00A5047F">
        <w:rPr>
          <w:rFonts w:cs="Arial"/>
          <w:szCs w:val="18"/>
          <w:lang w:val="en-US" w:eastAsia="it-IT"/>
        </w:rPr>
        <w:t xml:space="preserve"> in Eq. </w:t>
      </w:r>
      <w:r w:rsidRPr="00A5047F">
        <w:rPr>
          <w:rFonts w:cs="Arial"/>
          <w:szCs w:val="18"/>
          <w:lang w:val="en-US" w:eastAsia="it-IT"/>
        </w:rPr>
        <w:fldChar w:fldCharType="begin"/>
      </w:r>
      <w:r w:rsidRPr="00A5047F">
        <w:rPr>
          <w:rFonts w:cs="Arial"/>
          <w:szCs w:val="18"/>
          <w:lang w:val="en-US" w:eastAsia="it-IT"/>
        </w:rPr>
        <w:instrText xml:space="preserve"> REF _Ref536621305 \h </w:instrText>
      </w:r>
      <w:r w:rsidR="00A5047F" w:rsidRPr="00A5047F">
        <w:rPr>
          <w:rFonts w:cs="Arial"/>
          <w:szCs w:val="18"/>
          <w:lang w:val="en-US" w:eastAsia="it-IT"/>
        </w:rPr>
        <w:instrText xml:space="preserve"> \* MERGEFORMAT </w:instrText>
      </w:r>
      <w:r w:rsidRPr="00A5047F">
        <w:rPr>
          <w:rFonts w:cs="Arial"/>
          <w:szCs w:val="18"/>
          <w:lang w:val="en-US" w:eastAsia="it-IT"/>
        </w:rPr>
      </w:r>
      <w:r w:rsidRPr="00A5047F">
        <w:rPr>
          <w:rFonts w:cs="Arial"/>
          <w:szCs w:val="18"/>
          <w:lang w:val="en-US" w:eastAsia="it-IT"/>
        </w:rPr>
        <w:fldChar w:fldCharType="separate"/>
      </w:r>
      <w:r w:rsidR="005B081F" w:rsidRPr="0074464E">
        <w:rPr>
          <w:rFonts w:cs="Arial"/>
          <w:szCs w:val="18"/>
          <w:lang w:val="en-US" w:eastAsia="it-IT"/>
        </w:rPr>
        <w:t xml:space="preserve">( </w:t>
      </w:r>
      <w:r w:rsidR="005B081F">
        <w:rPr>
          <w:rFonts w:cs="Arial"/>
          <w:noProof/>
          <w:szCs w:val="18"/>
          <w:lang w:val="en-US" w:eastAsia="it-IT"/>
        </w:rPr>
        <w:t>1</w:t>
      </w:r>
      <w:r w:rsidRPr="00A5047F">
        <w:rPr>
          <w:rFonts w:cs="Arial"/>
          <w:szCs w:val="18"/>
          <w:lang w:val="en-US" w:eastAsia="it-IT"/>
        </w:rPr>
        <w:fldChar w:fldCharType="end"/>
      </w:r>
      <w:r w:rsidRPr="00A5047F">
        <w:rPr>
          <w:rFonts w:cs="Arial"/>
          <w:szCs w:val="18"/>
          <w:lang w:val="en-US" w:eastAsia="it-IT"/>
        </w:rPr>
        <w:t xml:space="preserve"> ) is</w:t>
      </w:r>
      <w:r w:rsidRPr="0074464E">
        <w:rPr>
          <w:rFonts w:cs="Arial"/>
          <w:szCs w:val="18"/>
          <w:lang w:val="en-US" w:eastAsia="it-IT"/>
        </w:rPr>
        <w:t xml:space="preserve"> the minimum value of torque at temperature </w:t>
      </w:r>
      <w:r w:rsidRPr="0074464E">
        <w:rPr>
          <w:rFonts w:cs="Arial"/>
          <w:i/>
          <w:szCs w:val="18"/>
          <w:lang w:val="en-US" w:eastAsia="it-IT"/>
        </w:rPr>
        <w:t>T</w:t>
      </w:r>
      <w:r w:rsidRPr="0074464E">
        <w:rPr>
          <w:rFonts w:cs="Arial"/>
          <w:szCs w:val="18"/>
          <w:lang w:val="en-US" w:eastAsia="it-IT"/>
        </w:rPr>
        <w:t xml:space="preserve">. Before reaching this minimum value, </w:t>
      </w:r>
      <w:r w:rsidRPr="0074464E">
        <w:rPr>
          <w:rFonts w:cs="Arial"/>
          <w:position w:val="-12"/>
          <w:szCs w:val="18"/>
          <w:lang w:val="en-US" w:eastAsia="it-IT"/>
        </w:rPr>
        <w:object w:dxaOrig="420" w:dyaOrig="320" w14:anchorId="6BFA0156">
          <v:shape id="_x0000_i1027" type="#_x0000_t75" style="width:21.75pt;height:15.75pt" o:ole="">
            <v:imagedata r:id="rId10" o:title=""/>
          </v:shape>
          <o:OLEObject Type="Embed" ProgID="Equation.DSMT4" ShapeID="_x0000_i1027" DrawAspect="Content" ObjectID="_1616129061" r:id="rId14"/>
        </w:object>
      </w:r>
      <w:r w:rsidRPr="0074464E">
        <w:rPr>
          <w:rFonts w:cs="Arial"/>
          <w:szCs w:val="18"/>
          <w:lang w:val="en-US" w:eastAsia="it-IT"/>
        </w:rPr>
        <w:t xml:space="preserve"> is considered equal to zero. </w:t>
      </w:r>
      <w:r w:rsidR="00FF6A23" w:rsidRPr="00563FC8">
        <w:rPr>
          <w:rFonts w:cs="Arial"/>
          <w:i/>
          <w:szCs w:val="18"/>
          <w:lang w:val="en-US" w:eastAsia="it-IT"/>
        </w:rPr>
        <w:t>M</w:t>
      </w:r>
      <w:r w:rsidR="00FF6A23" w:rsidRPr="00563FC8">
        <w:rPr>
          <w:rFonts w:cs="Arial"/>
          <w:i/>
          <w:szCs w:val="18"/>
          <w:vertAlign w:val="subscript"/>
          <w:lang w:val="en-US" w:eastAsia="it-IT"/>
        </w:rPr>
        <w:t>min</w:t>
      </w:r>
      <w:r w:rsidR="00FF6A23" w:rsidRPr="00A5047F">
        <w:rPr>
          <w:rFonts w:cs="Arial"/>
          <w:i/>
          <w:szCs w:val="18"/>
          <w:vertAlign w:val="subscript"/>
          <w:lang w:val="en-US" w:eastAsia="it-IT"/>
        </w:rPr>
        <w:t>T</w:t>
      </w:r>
      <w:r w:rsidR="00FF6A23">
        <w:rPr>
          <w:rFonts w:cs="Arial"/>
          <w:i/>
          <w:szCs w:val="18"/>
          <w:vertAlign w:val="subscript"/>
          <w:lang w:val="en-US" w:eastAsia="it-IT"/>
        </w:rPr>
        <w:t xml:space="preserve">0 </w:t>
      </w:r>
      <w:r w:rsidR="00FF6A23" w:rsidRPr="00FF6A23">
        <w:rPr>
          <w:rFonts w:cs="Arial"/>
          <w:szCs w:val="18"/>
          <w:lang w:val="en-US" w:eastAsia="it-IT"/>
        </w:rPr>
        <w:t>and</w:t>
      </w:r>
      <w:r w:rsidR="00FF6A23" w:rsidRPr="00FF6A23">
        <w:rPr>
          <w:rFonts w:cs="Arial"/>
          <w:szCs w:val="18"/>
          <w:lang w:val="en-US" w:eastAsia="it-IT"/>
        </w:rPr>
        <w:t xml:space="preserve"> </w:t>
      </w:r>
      <w:r w:rsidR="00FF6A23" w:rsidRPr="00563FC8">
        <w:rPr>
          <w:rFonts w:cs="Arial"/>
          <w:i/>
          <w:szCs w:val="18"/>
          <w:lang w:val="en-US" w:eastAsia="it-IT"/>
        </w:rPr>
        <w:t>M</w:t>
      </w:r>
      <w:r w:rsidR="00FF6A23" w:rsidRPr="00563FC8">
        <w:rPr>
          <w:rFonts w:cs="Arial"/>
          <w:i/>
          <w:szCs w:val="18"/>
          <w:vertAlign w:val="subscript"/>
          <w:lang w:val="en-US" w:eastAsia="it-IT"/>
        </w:rPr>
        <w:t>m</w:t>
      </w:r>
      <w:r w:rsidR="00FF6A23">
        <w:rPr>
          <w:rFonts w:cs="Arial"/>
          <w:i/>
          <w:szCs w:val="18"/>
          <w:vertAlign w:val="subscript"/>
          <w:lang w:val="en-US" w:eastAsia="it-IT"/>
        </w:rPr>
        <w:t>ax</w:t>
      </w:r>
      <w:r w:rsidR="00FF6A23" w:rsidRPr="00A5047F">
        <w:rPr>
          <w:rFonts w:cs="Arial"/>
          <w:i/>
          <w:szCs w:val="18"/>
          <w:vertAlign w:val="subscript"/>
          <w:lang w:val="en-US" w:eastAsia="it-IT"/>
        </w:rPr>
        <w:t>T</w:t>
      </w:r>
      <w:r w:rsidR="00FF6A23">
        <w:rPr>
          <w:rFonts w:cs="Arial"/>
          <w:i/>
          <w:szCs w:val="18"/>
          <w:vertAlign w:val="subscript"/>
          <w:lang w:val="en-US" w:eastAsia="it-IT"/>
        </w:rPr>
        <w:t>0</w:t>
      </w:r>
      <w:r w:rsidRPr="0074464E">
        <w:rPr>
          <w:rFonts w:cs="Arial"/>
          <w:szCs w:val="18"/>
          <w:lang w:val="en-US" w:eastAsia="it-IT"/>
        </w:rPr>
        <w:t xml:space="preserve"> </w:t>
      </w:r>
      <w:r w:rsidRPr="0074464E">
        <w:rPr>
          <w:rFonts w:cs="Arial"/>
          <w:szCs w:val="18"/>
          <w:lang w:val="en-US" w:eastAsia="it-IT"/>
        </w:rPr>
        <w:t xml:space="preserve">are the minimum and maximum torque values at a curing temperature equal to </w:t>
      </w:r>
      <w:r w:rsidRPr="0074464E">
        <w:rPr>
          <w:rFonts w:cs="Arial"/>
          <w:i/>
          <w:szCs w:val="18"/>
          <w:lang w:val="en-US" w:eastAsia="it-IT"/>
        </w:rPr>
        <w:t>T</w:t>
      </w:r>
      <w:r w:rsidRPr="0074464E">
        <w:rPr>
          <w:rFonts w:cs="Arial"/>
          <w:szCs w:val="18"/>
          <w:vertAlign w:val="subscript"/>
          <w:lang w:val="en-US" w:eastAsia="it-IT"/>
        </w:rPr>
        <w:t xml:space="preserve">0 </w:t>
      </w:r>
      <w:r w:rsidRPr="0074464E">
        <w:rPr>
          <w:rFonts w:cs="Arial"/>
          <w:szCs w:val="18"/>
          <w:lang w:val="en-US" w:eastAsia="it-IT"/>
        </w:rPr>
        <w:t xml:space="preserve">low enough to allow neglecting reversion. </w:t>
      </w:r>
    </w:p>
    <w:p w14:paraId="1B7F7A9B" w14:textId="77777777" w:rsidR="00DC2A25" w:rsidRPr="0074464E" w:rsidRDefault="00DC2A25" w:rsidP="00DC2A25">
      <w:pPr>
        <w:pStyle w:val="CETHeading1"/>
        <w:tabs>
          <w:tab w:val="clear" w:pos="360"/>
          <w:tab w:val="right" w:pos="7100"/>
        </w:tabs>
        <w:jc w:val="both"/>
        <w:rPr>
          <w:lang w:val="en-GB"/>
        </w:rPr>
      </w:pPr>
      <w:r>
        <w:rPr>
          <w:lang w:val="en-GB"/>
        </w:rPr>
        <w:t>K</w:t>
      </w:r>
      <w:r w:rsidRPr="0074464E">
        <w:rPr>
          <w:lang w:val="en-GB"/>
        </w:rPr>
        <w:t>inetic numerical model</w:t>
      </w:r>
      <w:r>
        <w:rPr>
          <w:lang w:val="en-GB"/>
        </w:rPr>
        <w:t xml:space="preserve"> in steady-state thermal conditions (Step 2)</w:t>
      </w:r>
    </w:p>
    <w:p w14:paraId="0FFF81D5" w14:textId="4B805583" w:rsidR="00B6313F" w:rsidRDefault="00AA7564" w:rsidP="00B6313F">
      <w:pPr>
        <w:tabs>
          <w:tab w:val="left" w:pos="426"/>
        </w:tabs>
        <w:spacing w:line="240" w:lineRule="auto"/>
        <w:rPr>
          <w:rFonts w:cs="Arial"/>
          <w:szCs w:val="18"/>
          <w:lang w:val="en-US" w:eastAsia="it-IT"/>
        </w:rPr>
      </w:pPr>
      <w:r w:rsidRPr="00A5047F">
        <w:rPr>
          <w:rFonts w:cs="Arial"/>
          <w:szCs w:val="18"/>
          <w:lang w:val="en-US" w:eastAsia="it-IT"/>
        </w:rPr>
        <w:t>The basic reaction scheme is classic for NR but can be adapted also in different situations</w:t>
      </w:r>
      <w:r w:rsidR="00A3434B" w:rsidRPr="00A5047F">
        <w:rPr>
          <w:rFonts w:cs="Arial"/>
          <w:szCs w:val="18"/>
          <w:lang w:val="en-US" w:eastAsia="it-IT"/>
        </w:rPr>
        <w:t>,</w:t>
      </w:r>
      <w:r w:rsidRPr="00A5047F">
        <w:rPr>
          <w:rFonts w:cs="Arial"/>
          <w:szCs w:val="18"/>
          <w:lang w:val="en-US" w:eastAsia="it-IT"/>
        </w:rPr>
        <w:t xml:space="preserve"> </w:t>
      </w:r>
      <w:r w:rsidR="004D5CA1" w:rsidRPr="00A5047F">
        <w:rPr>
          <w:rFonts w:cs="Arial"/>
          <w:szCs w:val="18"/>
          <w:lang w:val="en-US" w:eastAsia="it-IT"/>
        </w:rPr>
        <w:t>Milani &amp; Milani (2018</w:t>
      </w:r>
      <w:r w:rsidR="00A3434B" w:rsidRPr="00A5047F">
        <w:rPr>
          <w:rFonts w:cs="Arial"/>
          <w:szCs w:val="18"/>
          <w:lang w:val="en-US" w:eastAsia="it-IT"/>
        </w:rPr>
        <w:t>a &amp; 2018b)</w:t>
      </w:r>
      <w:r w:rsidRPr="00A5047F">
        <w:rPr>
          <w:rFonts w:cs="Arial"/>
          <w:szCs w:val="18"/>
          <w:lang w:val="en-US" w:eastAsia="it-IT"/>
        </w:rPr>
        <w:t xml:space="preserve">, as the present one, and is in particular due by </w:t>
      </w:r>
      <w:bookmarkStart w:id="2" w:name="_GoBack"/>
      <w:bookmarkEnd w:id="2"/>
      <w:r w:rsidRPr="00A5047F">
        <w:rPr>
          <w:rFonts w:cs="Arial"/>
          <w:szCs w:val="18"/>
          <w:lang w:val="en-US" w:eastAsia="it-IT"/>
        </w:rPr>
        <w:t xml:space="preserve">Han et al. </w:t>
      </w:r>
      <w:r w:rsidR="009C0A6F" w:rsidRPr="00A5047F">
        <w:rPr>
          <w:rFonts w:cs="Arial"/>
          <w:szCs w:val="18"/>
          <w:lang w:val="en-US" w:eastAsia="it-IT"/>
        </w:rPr>
        <w:t>(1998)</w:t>
      </w:r>
      <w:r w:rsidRPr="00A5047F">
        <w:rPr>
          <w:rFonts w:cs="Arial"/>
          <w:szCs w:val="18"/>
          <w:lang w:val="en-US" w:eastAsia="it-IT"/>
        </w:rPr>
        <w:t>. Typically, after the initial induction viscous phase which characterizes the uncured rubber at high temperature, curi</w:t>
      </w:r>
      <w:r w:rsidRPr="0074464E">
        <w:rPr>
          <w:rFonts w:cs="Arial"/>
          <w:szCs w:val="18"/>
          <w:lang w:val="en-US" w:eastAsia="it-IT"/>
        </w:rPr>
        <w:t>ng proceeds through two pathways, with the formation of stable and unstable un-matured cured rubber. The distinction between stable and unstable curing stand</w:t>
      </w:r>
      <w:r>
        <w:rPr>
          <w:rFonts w:cs="Arial"/>
          <w:szCs w:val="18"/>
          <w:lang w:val="en-US" w:eastAsia="it-IT"/>
        </w:rPr>
        <w:t>s</w:t>
      </w:r>
      <w:r w:rsidRPr="0074464E">
        <w:rPr>
          <w:rFonts w:cs="Arial"/>
          <w:szCs w:val="18"/>
          <w:lang w:val="en-US" w:eastAsia="it-IT"/>
        </w:rPr>
        <w:t xml:space="preserve"> in the presence of single or multiple su</w:t>
      </w:r>
      <w:r>
        <w:rPr>
          <w:rFonts w:cs="Arial"/>
          <w:szCs w:val="18"/>
          <w:lang w:val="en-US" w:eastAsia="it-IT"/>
        </w:rPr>
        <w:t>lf</w:t>
      </w:r>
      <w:r w:rsidRPr="0074464E">
        <w:rPr>
          <w:rFonts w:cs="Arial"/>
          <w:szCs w:val="18"/>
          <w:lang w:val="en-US" w:eastAsia="it-IT"/>
        </w:rPr>
        <w:t xml:space="preserve">ur bonds respectively. Multiple bonds are subjected with higher probability to break and hence </w:t>
      </w:r>
      <w:r>
        <w:rPr>
          <w:rFonts w:cs="Arial"/>
          <w:szCs w:val="18"/>
          <w:lang w:val="en-US" w:eastAsia="it-IT"/>
        </w:rPr>
        <w:t xml:space="preserve">they are responsible to macroscopic de-vulcanization (also known as reversion). </w:t>
      </w:r>
      <w:r w:rsidRPr="0074464E">
        <w:rPr>
          <w:rFonts w:cs="Arial"/>
          <w:szCs w:val="18"/>
          <w:lang w:val="en-US"/>
        </w:rPr>
        <w:t xml:space="preserve">The </w:t>
      </w:r>
      <w:r w:rsidRPr="0074464E">
        <w:rPr>
          <w:rFonts w:cs="Arial"/>
          <w:szCs w:val="18"/>
          <w:lang w:val="en-US" w:eastAsia="it-IT"/>
        </w:rPr>
        <w:t xml:space="preserve">kinetic scheme adopted is </w:t>
      </w:r>
      <w:r w:rsidR="002506EB">
        <w:rPr>
          <w:rFonts w:cs="Arial"/>
          <w:szCs w:val="18"/>
          <w:lang w:val="en-US" w:eastAsia="it-IT"/>
        </w:rPr>
        <w:t xml:space="preserve">therefore classically </w:t>
      </w:r>
      <w:r w:rsidRPr="0074464E">
        <w:rPr>
          <w:rFonts w:cs="Arial"/>
          <w:szCs w:val="18"/>
          <w:lang w:val="en-US" w:eastAsia="it-IT"/>
        </w:rPr>
        <w:t xml:space="preserve">constituted by </w:t>
      </w:r>
      <w:r w:rsidR="002C596A">
        <w:rPr>
          <w:rFonts w:cs="Arial"/>
          <w:szCs w:val="18"/>
          <w:lang w:val="en-US" w:eastAsia="it-IT"/>
        </w:rPr>
        <w:t>three reactions:</w:t>
      </w:r>
    </w:p>
    <w:tbl>
      <w:tblPr>
        <w:tblStyle w:val="Grigliatabel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3"/>
        <w:gridCol w:w="2460"/>
      </w:tblGrid>
      <w:tr w:rsidR="00B6313F" w:rsidRPr="0074464E" w14:paraId="30CBEDF9" w14:textId="77777777" w:rsidTr="009C0A6F">
        <w:tc>
          <w:tcPr>
            <w:tcW w:w="6613" w:type="dxa"/>
          </w:tcPr>
          <w:p w14:paraId="58248B83" w14:textId="77777777" w:rsidR="00B6313F" w:rsidRPr="0074464E" w:rsidRDefault="00B6313F" w:rsidP="00E43AF7">
            <w:pPr>
              <w:rPr>
                <w:rFonts w:cs="Arial"/>
                <w:szCs w:val="18"/>
                <w:lang w:val="en-US"/>
              </w:rPr>
            </w:pPr>
            <w:r w:rsidRPr="0074464E">
              <w:rPr>
                <w:rFonts w:cs="Arial"/>
                <w:position w:val="-16"/>
                <w:szCs w:val="18"/>
                <w:lang w:val="en-US" w:eastAsia="it-IT"/>
              </w:rPr>
              <w:object w:dxaOrig="880" w:dyaOrig="499" w14:anchorId="4229A38B">
                <v:shape id="_x0000_i1030" type="#_x0000_t75" style="width:44.25pt;height:24pt" o:ole="">
                  <v:imagedata r:id="rId15" o:title=""/>
                </v:shape>
                <o:OLEObject Type="Embed" ProgID="Equation.DSMT4" ShapeID="_x0000_i1030" DrawAspect="Content" ObjectID="_1616129062" r:id="rId16"/>
              </w:object>
            </w:r>
            <w:r w:rsidRPr="0074464E">
              <w:rPr>
                <w:rFonts w:cs="Arial"/>
                <w:szCs w:val="18"/>
                <w:lang w:val="en-US" w:eastAsia="it-IT"/>
              </w:rPr>
              <w:t xml:space="preserve">            </w:t>
            </w:r>
            <w:r w:rsidRPr="0074464E">
              <w:rPr>
                <w:rFonts w:cs="Arial"/>
                <w:position w:val="-16"/>
                <w:szCs w:val="18"/>
                <w:lang w:val="en-US" w:eastAsia="it-IT"/>
              </w:rPr>
              <w:object w:dxaOrig="880" w:dyaOrig="499" w14:anchorId="5273DB72">
                <v:shape id="_x0000_i1031" type="#_x0000_t75" style="width:44.25pt;height:24pt" o:ole="">
                  <v:imagedata r:id="rId17" o:title=""/>
                </v:shape>
                <o:OLEObject Type="Embed" ProgID="Equation.DSMT4" ShapeID="_x0000_i1031" DrawAspect="Content" ObjectID="_1616129063" r:id="rId18"/>
              </w:object>
            </w:r>
            <w:r w:rsidRPr="0074464E">
              <w:rPr>
                <w:rFonts w:cs="Arial"/>
                <w:szCs w:val="18"/>
                <w:lang w:val="en-US" w:eastAsia="it-IT"/>
              </w:rPr>
              <w:t xml:space="preserve">            </w:t>
            </w:r>
            <w:r w:rsidRPr="0074464E">
              <w:rPr>
                <w:rFonts w:cs="Arial"/>
                <w:position w:val="-16"/>
                <w:szCs w:val="18"/>
                <w:lang w:val="en-US" w:eastAsia="it-IT"/>
              </w:rPr>
              <w:object w:dxaOrig="999" w:dyaOrig="499" w14:anchorId="41B676FC">
                <v:shape id="_x0000_i1032" type="#_x0000_t75" style="width:48.75pt;height:24pt" o:ole="">
                  <v:imagedata r:id="rId19" o:title=""/>
                </v:shape>
                <o:OLEObject Type="Embed" ProgID="Equation.DSMT4" ShapeID="_x0000_i1032" DrawAspect="Content" ObjectID="_1616129064" r:id="rId20"/>
              </w:object>
            </w:r>
          </w:p>
        </w:tc>
        <w:tc>
          <w:tcPr>
            <w:tcW w:w="2460" w:type="dxa"/>
            <w:vAlign w:val="center"/>
          </w:tcPr>
          <w:p w14:paraId="0D091734" w14:textId="108B8F03" w:rsidR="00B6313F" w:rsidRPr="0074464E" w:rsidRDefault="00B6313F" w:rsidP="00E43AF7">
            <w:pPr>
              <w:pStyle w:val="Didascalia"/>
              <w:jc w:val="right"/>
              <w:rPr>
                <w:rFonts w:cs="Arial"/>
                <w:b w:val="0"/>
                <w:color w:val="auto"/>
                <w:lang w:val="en-US"/>
              </w:rPr>
            </w:pPr>
            <w:r w:rsidRPr="0074464E">
              <w:rPr>
                <w:rFonts w:cs="Arial"/>
                <w:b w:val="0"/>
                <w:color w:val="auto"/>
                <w:lang w:val="en-US"/>
              </w:rPr>
              <w:t xml:space="preserve">( </w:t>
            </w:r>
            <w:r w:rsidRPr="0074464E">
              <w:rPr>
                <w:rFonts w:cs="Arial"/>
                <w:b w:val="0"/>
                <w:color w:val="auto"/>
              </w:rPr>
              <w:fldChar w:fldCharType="begin"/>
            </w:r>
            <w:r w:rsidRPr="0074464E">
              <w:rPr>
                <w:rFonts w:cs="Arial"/>
                <w:b w:val="0"/>
                <w:color w:val="auto"/>
                <w:lang w:val="en-US"/>
              </w:rPr>
              <w:instrText xml:space="preserve"> SEQ ( \* ARABIC </w:instrText>
            </w:r>
            <w:r w:rsidRPr="0074464E">
              <w:rPr>
                <w:rFonts w:cs="Arial"/>
                <w:b w:val="0"/>
                <w:color w:val="auto"/>
              </w:rPr>
              <w:fldChar w:fldCharType="separate"/>
            </w:r>
            <w:r w:rsidR="005B081F">
              <w:rPr>
                <w:rFonts w:cs="Arial"/>
                <w:b w:val="0"/>
                <w:noProof/>
                <w:color w:val="auto"/>
                <w:lang w:val="en-US"/>
              </w:rPr>
              <w:t>2</w:t>
            </w:r>
            <w:r w:rsidRPr="0074464E">
              <w:rPr>
                <w:rFonts w:cs="Arial"/>
                <w:b w:val="0"/>
                <w:color w:val="auto"/>
              </w:rPr>
              <w:fldChar w:fldCharType="end"/>
            </w:r>
            <w:r w:rsidRPr="0074464E">
              <w:rPr>
                <w:rFonts w:cs="Arial"/>
                <w:b w:val="0"/>
                <w:color w:val="auto"/>
                <w:lang w:val="en-US"/>
              </w:rPr>
              <w:t xml:space="preserve"> )</w:t>
            </w:r>
          </w:p>
        </w:tc>
      </w:tr>
    </w:tbl>
    <w:p w14:paraId="46F6400B" w14:textId="00418C41" w:rsidR="002C596A" w:rsidRDefault="002506EB" w:rsidP="00AA7564">
      <w:pPr>
        <w:rPr>
          <w:rFonts w:cs="Arial"/>
          <w:szCs w:val="18"/>
          <w:lang w:val="en-US" w:eastAsia="it-IT"/>
        </w:rPr>
      </w:pPr>
      <w:r>
        <w:rPr>
          <w:rFonts w:cs="Arial"/>
          <w:szCs w:val="18"/>
          <w:lang w:val="en-US" w:eastAsia="it-IT"/>
        </w:rPr>
        <w:t>w</w:t>
      </w:r>
      <w:r w:rsidR="00B6313F" w:rsidRPr="0074464E">
        <w:rPr>
          <w:rFonts w:cs="Arial"/>
          <w:szCs w:val="18"/>
          <w:lang w:val="en-US" w:eastAsia="it-IT"/>
        </w:rPr>
        <w:t>here [</w:t>
      </w:r>
      <w:r w:rsidR="00B6313F" w:rsidRPr="0074464E">
        <w:rPr>
          <w:rFonts w:cs="Arial"/>
          <w:i/>
          <w:szCs w:val="18"/>
          <w:lang w:val="en-US" w:eastAsia="it-IT"/>
        </w:rPr>
        <w:t>P</w:t>
      </w:r>
      <w:r w:rsidR="00B6313F" w:rsidRPr="0074464E">
        <w:rPr>
          <w:rFonts w:cs="Arial"/>
          <w:szCs w:val="18"/>
          <w:lang w:val="en-US" w:eastAsia="it-IT"/>
        </w:rPr>
        <w:t>] is the unvulcanized rubber concentration, [</w:t>
      </w:r>
      <w:r w:rsidR="00B6313F" w:rsidRPr="0074464E">
        <w:rPr>
          <w:rFonts w:cs="Arial"/>
          <w:i/>
          <w:szCs w:val="18"/>
          <w:lang w:val="en-US" w:eastAsia="it-IT"/>
        </w:rPr>
        <w:t>R</w:t>
      </w:r>
      <w:r w:rsidR="00B6313F" w:rsidRPr="0074464E">
        <w:rPr>
          <w:rFonts w:cs="Arial"/>
          <w:szCs w:val="18"/>
          <w:vertAlign w:val="subscript"/>
          <w:lang w:val="en-US" w:eastAsia="it-IT"/>
        </w:rPr>
        <w:t>1</w:t>
      </w:r>
      <w:r w:rsidR="00B6313F" w:rsidRPr="0074464E">
        <w:rPr>
          <w:rFonts w:cs="Arial"/>
          <w:szCs w:val="18"/>
          <w:vertAlign w:val="superscript"/>
          <w:lang w:val="en-US" w:eastAsia="it-IT"/>
        </w:rPr>
        <w:t>*</w:t>
      </w:r>
      <w:r w:rsidR="00B6313F" w:rsidRPr="0074464E">
        <w:rPr>
          <w:rFonts w:cs="Arial"/>
          <w:szCs w:val="18"/>
          <w:lang w:val="en-US" w:eastAsia="it-IT"/>
        </w:rPr>
        <w:t>]</w:t>
      </w:r>
      <w:r w:rsidR="00B6313F" w:rsidRPr="0074464E">
        <w:rPr>
          <w:rFonts w:cs="Arial"/>
          <w:szCs w:val="18"/>
          <w:lang w:val="en-US"/>
        </w:rPr>
        <w:t xml:space="preserve"> and </w:t>
      </w:r>
      <w:r w:rsidR="00B6313F" w:rsidRPr="0074464E">
        <w:rPr>
          <w:rFonts w:cs="Arial"/>
          <w:szCs w:val="18"/>
          <w:lang w:val="en-US" w:eastAsia="it-IT"/>
        </w:rPr>
        <w:t>[</w:t>
      </w:r>
      <w:r w:rsidR="00B6313F" w:rsidRPr="0074464E">
        <w:rPr>
          <w:rFonts w:cs="Arial"/>
          <w:i/>
          <w:szCs w:val="18"/>
          <w:lang w:val="en-US" w:eastAsia="it-IT"/>
        </w:rPr>
        <w:t>R</w:t>
      </w:r>
      <w:r w:rsidR="00B6313F" w:rsidRPr="0074464E">
        <w:rPr>
          <w:rFonts w:cs="Arial"/>
          <w:szCs w:val="18"/>
          <w:vertAlign w:val="subscript"/>
          <w:lang w:val="en-US" w:eastAsia="it-IT"/>
        </w:rPr>
        <w:t>2</w:t>
      </w:r>
      <w:r w:rsidR="00B6313F" w:rsidRPr="0074464E">
        <w:rPr>
          <w:rFonts w:cs="Arial"/>
          <w:szCs w:val="18"/>
          <w:vertAlign w:val="superscript"/>
          <w:lang w:val="en-US" w:eastAsia="it-IT"/>
        </w:rPr>
        <w:t>*</w:t>
      </w:r>
      <w:r w:rsidR="00B6313F" w:rsidRPr="0074464E">
        <w:rPr>
          <w:rFonts w:cs="Arial"/>
          <w:szCs w:val="18"/>
          <w:lang w:val="en-US" w:eastAsia="it-IT"/>
        </w:rPr>
        <w:t xml:space="preserve">] </w:t>
      </w:r>
      <w:r w:rsidR="00B6313F" w:rsidRPr="0074464E">
        <w:rPr>
          <w:rFonts w:cs="Arial"/>
          <w:szCs w:val="18"/>
          <w:lang w:val="en-US"/>
        </w:rPr>
        <w:t>the</w:t>
      </w:r>
      <w:r w:rsidR="00B6313F" w:rsidRPr="0074464E">
        <w:rPr>
          <w:rFonts w:cs="Arial"/>
          <w:szCs w:val="18"/>
          <w:lang w:val="en-US" w:eastAsia="it-IT"/>
        </w:rPr>
        <w:t xml:space="preserve"> crosslinked rubber, one stable (</w:t>
      </w:r>
      <w:r w:rsidR="00D15A99">
        <w:rPr>
          <w:rFonts w:cs="Arial"/>
          <w:szCs w:val="18"/>
          <w:lang w:val="en-US" w:eastAsia="it-IT"/>
        </w:rPr>
        <w:t>K</w:t>
      </w:r>
      <w:r w:rsidR="00D15A99" w:rsidRPr="00D15A99">
        <w:rPr>
          <w:rFonts w:cs="Arial"/>
          <w:szCs w:val="18"/>
          <w:vertAlign w:val="subscript"/>
          <w:lang w:val="en-US" w:eastAsia="it-IT"/>
        </w:rPr>
        <w:t>1</w:t>
      </w:r>
      <w:r w:rsidR="00B6313F" w:rsidRPr="0074464E">
        <w:rPr>
          <w:rFonts w:cs="Arial"/>
          <w:szCs w:val="18"/>
          <w:lang w:val="en-US" w:eastAsia="it-IT"/>
        </w:rPr>
        <w:t>) and the other (</w:t>
      </w:r>
      <w:r w:rsidR="00D15A99">
        <w:rPr>
          <w:rFonts w:cs="Arial"/>
          <w:szCs w:val="18"/>
          <w:lang w:val="en-US" w:eastAsia="it-IT"/>
        </w:rPr>
        <w:t>K</w:t>
      </w:r>
      <w:r w:rsidR="00D15A99" w:rsidRPr="00D15A99">
        <w:rPr>
          <w:rFonts w:cs="Arial"/>
          <w:szCs w:val="18"/>
          <w:vertAlign w:val="subscript"/>
          <w:lang w:val="en-US" w:eastAsia="it-IT"/>
        </w:rPr>
        <w:t>2</w:t>
      </w:r>
      <w:r w:rsidR="00B6313F" w:rsidRPr="0074464E">
        <w:rPr>
          <w:rFonts w:cs="Arial"/>
          <w:szCs w:val="18"/>
          <w:lang w:val="en-US" w:eastAsia="it-IT"/>
        </w:rPr>
        <w:t>) subjected to reversion, and [</w:t>
      </w:r>
      <w:r w:rsidR="00B6313F" w:rsidRPr="0074464E">
        <w:rPr>
          <w:rFonts w:cs="Arial"/>
          <w:i/>
          <w:szCs w:val="18"/>
          <w:lang w:val="en-US" w:eastAsia="it-IT"/>
        </w:rPr>
        <w:t>R</w:t>
      </w:r>
      <w:r w:rsidR="00B6313F" w:rsidRPr="0074464E">
        <w:rPr>
          <w:rFonts w:cs="Arial"/>
          <w:szCs w:val="18"/>
          <w:vertAlign w:val="subscript"/>
          <w:lang w:val="en-US" w:eastAsia="it-IT"/>
        </w:rPr>
        <w:t>r</w:t>
      </w:r>
      <w:r w:rsidR="00B6313F" w:rsidRPr="0074464E">
        <w:rPr>
          <w:rFonts w:cs="Arial"/>
          <w:szCs w:val="18"/>
          <w:vertAlign w:val="superscript"/>
          <w:lang w:val="en-US" w:eastAsia="it-IT"/>
        </w:rPr>
        <w:t>*</w:t>
      </w:r>
      <w:r w:rsidR="00B6313F" w:rsidRPr="0074464E">
        <w:rPr>
          <w:rFonts w:cs="Arial"/>
          <w:szCs w:val="18"/>
          <w:lang w:val="en-US" w:eastAsia="it-IT"/>
        </w:rPr>
        <w:t>]</w:t>
      </w:r>
      <w:r w:rsidR="00B6313F" w:rsidRPr="0074464E">
        <w:rPr>
          <w:rFonts w:cs="Arial"/>
          <w:szCs w:val="18"/>
          <w:lang w:val="en-US"/>
        </w:rPr>
        <w:t xml:space="preserve"> is the amount of rubber subjected to de-vulcanization</w:t>
      </w:r>
      <w:r w:rsidR="00B6313F" w:rsidRPr="0074464E">
        <w:rPr>
          <w:rFonts w:cs="Arial"/>
          <w:szCs w:val="18"/>
          <w:lang w:val="en-US" w:eastAsia="it-IT"/>
        </w:rPr>
        <w:t>.</w:t>
      </w:r>
    </w:p>
    <w:p w14:paraId="3280BE56" w14:textId="77777777" w:rsidR="00FF6A23" w:rsidRDefault="00D15A99" w:rsidP="00FF6A23">
      <w:pPr>
        <w:rPr>
          <w:rFonts w:cs="Arial"/>
          <w:szCs w:val="18"/>
          <w:lang w:val="en-US" w:eastAsia="it-IT"/>
        </w:rPr>
      </w:pPr>
      <w:r>
        <w:rPr>
          <w:rFonts w:cs="Arial"/>
          <w:szCs w:val="18"/>
          <w:lang w:val="en-US" w:eastAsia="it-IT"/>
        </w:rPr>
        <w:t>Mathematically, t</w:t>
      </w:r>
      <w:r w:rsidR="002C596A">
        <w:rPr>
          <w:rFonts w:cs="Arial"/>
          <w:szCs w:val="18"/>
          <w:lang w:val="en-US" w:eastAsia="it-IT"/>
        </w:rPr>
        <w:t>he first two reactions occur in parallel</w:t>
      </w:r>
      <w:r w:rsidR="002C596A">
        <w:rPr>
          <w:rFonts w:cs="Arial"/>
          <w:szCs w:val="18"/>
          <w:lang w:val="en-US" w:eastAsia="it-IT"/>
        </w:rPr>
        <w:t>, transforming unvulcanize</w:t>
      </w:r>
      <w:r w:rsidR="00822825">
        <w:rPr>
          <w:rFonts w:cs="Arial"/>
          <w:szCs w:val="18"/>
          <w:lang w:val="en-US" w:eastAsia="it-IT"/>
        </w:rPr>
        <w:t xml:space="preserve">d rubber </w:t>
      </w:r>
      <w:r w:rsidR="00822825" w:rsidRPr="0074464E">
        <w:rPr>
          <w:rFonts w:cs="Arial"/>
          <w:szCs w:val="18"/>
          <w:lang w:val="en-US" w:eastAsia="it-IT"/>
        </w:rPr>
        <w:t>[</w:t>
      </w:r>
      <w:r w:rsidR="00822825" w:rsidRPr="0074464E">
        <w:rPr>
          <w:rFonts w:cs="Arial"/>
          <w:i/>
          <w:szCs w:val="18"/>
          <w:lang w:val="en-US" w:eastAsia="it-IT"/>
        </w:rPr>
        <w:t>P</w:t>
      </w:r>
      <w:r w:rsidR="00822825" w:rsidRPr="0074464E">
        <w:rPr>
          <w:rFonts w:cs="Arial"/>
          <w:szCs w:val="18"/>
          <w:lang w:val="en-US" w:eastAsia="it-IT"/>
        </w:rPr>
        <w:t xml:space="preserve">] </w:t>
      </w:r>
      <w:r w:rsidR="00822825">
        <w:rPr>
          <w:rFonts w:cs="Arial"/>
          <w:szCs w:val="18"/>
          <w:lang w:val="en-US" w:eastAsia="it-IT"/>
        </w:rPr>
        <w:t xml:space="preserve">in crosslinked rubber </w:t>
      </w:r>
      <w:r w:rsidR="00822825" w:rsidRPr="0074464E">
        <w:rPr>
          <w:rFonts w:cs="Arial"/>
          <w:szCs w:val="18"/>
          <w:lang w:val="en-US" w:eastAsia="it-IT"/>
        </w:rPr>
        <w:t>[</w:t>
      </w:r>
      <w:r w:rsidR="00822825" w:rsidRPr="0074464E">
        <w:rPr>
          <w:rFonts w:cs="Arial"/>
          <w:i/>
          <w:szCs w:val="18"/>
          <w:lang w:val="en-US" w:eastAsia="it-IT"/>
        </w:rPr>
        <w:t>R</w:t>
      </w:r>
      <w:r w:rsidR="00822825" w:rsidRPr="0074464E">
        <w:rPr>
          <w:rFonts w:cs="Arial"/>
          <w:szCs w:val="18"/>
          <w:vertAlign w:val="subscript"/>
          <w:lang w:val="en-US" w:eastAsia="it-IT"/>
        </w:rPr>
        <w:t>1</w:t>
      </w:r>
      <w:r w:rsidR="00822825" w:rsidRPr="0074464E">
        <w:rPr>
          <w:rFonts w:cs="Arial"/>
          <w:szCs w:val="18"/>
          <w:vertAlign w:val="superscript"/>
          <w:lang w:val="en-US" w:eastAsia="it-IT"/>
        </w:rPr>
        <w:t>*</w:t>
      </w:r>
      <w:r w:rsidR="00822825" w:rsidRPr="0074464E">
        <w:rPr>
          <w:rFonts w:cs="Arial"/>
          <w:szCs w:val="18"/>
          <w:lang w:val="en-US" w:eastAsia="it-IT"/>
        </w:rPr>
        <w:t>]</w:t>
      </w:r>
      <w:r w:rsidR="00822825" w:rsidRPr="0074464E">
        <w:rPr>
          <w:rFonts w:cs="Arial"/>
          <w:szCs w:val="18"/>
          <w:lang w:val="en-US"/>
        </w:rPr>
        <w:t xml:space="preserve"> and </w:t>
      </w:r>
      <w:r w:rsidR="00822825" w:rsidRPr="0074464E">
        <w:rPr>
          <w:rFonts w:cs="Arial"/>
          <w:szCs w:val="18"/>
          <w:lang w:val="en-US" w:eastAsia="it-IT"/>
        </w:rPr>
        <w:t>[</w:t>
      </w:r>
      <w:r w:rsidR="00822825" w:rsidRPr="0074464E">
        <w:rPr>
          <w:rFonts w:cs="Arial"/>
          <w:i/>
          <w:szCs w:val="18"/>
          <w:lang w:val="en-US" w:eastAsia="it-IT"/>
        </w:rPr>
        <w:t>R</w:t>
      </w:r>
      <w:r w:rsidR="00822825" w:rsidRPr="0074464E">
        <w:rPr>
          <w:rFonts w:cs="Arial"/>
          <w:szCs w:val="18"/>
          <w:vertAlign w:val="subscript"/>
          <w:lang w:val="en-US" w:eastAsia="it-IT"/>
        </w:rPr>
        <w:t>2</w:t>
      </w:r>
      <w:r w:rsidR="00822825" w:rsidRPr="0074464E">
        <w:rPr>
          <w:rFonts w:cs="Arial"/>
          <w:szCs w:val="18"/>
          <w:vertAlign w:val="superscript"/>
          <w:lang w:val="en-US" w:eastAsia="it-IT"/>
        </w:rPr>
        <w:t>*</w:t>
      </w:r>
      <w:r w:rsidR="00822825" w:rsidRPr="0074464E">
        <w:rPr>
          <w:rFonts w:cs="Arial"/>
          <w:szCs w:val="18"/>
          <w:lang w:val="en-US" w:eastAsia="it-IT"/>
        </w:rPr>
        <w:t>]</w:t>
      </w:r>
      <w:r w:rsidR="00822825">
        <w:rPr>
          <w:rFonts w:cs="Arial"/>
          <w:szCs w:val="18"/>
          <w:lang w:val="en-US" w:eastAsia="it-IT"/>
        </w:rPr>
        <w:t xml:space="preserve">. </w:t>
      </w:r>
      <w:r w:rsidR="00822825" w:rsidRPr="0074464E">
        <w:rPr>
          <w:rFonts w:cs="Arial"/>
          <w:szCs w:val="18"/>
          <w:lang w:val="en-US" w:eastAsia="it-IT"/>
        </w:rPr>
        <w:t>[</w:t>
      </w:r>
      <w:r w:rsidR="00822825" w:rsidRPr="0074464E">
        <w:rPr>
          <w:rFonts w:cs="Arial"/>
          <w:i/>
          <w:szCs w:val="18"/>
          <w:lang w:val="en-US" w:eastAsia="it-IT"/>
        </w:rPr>
        <w:t>R</w:t>
      </w:r>
      <w:r w:rsidR="00822825" w:rsidRPr="0074464E">
        <w:rPr>
          <w:rFonts w:cs="Arial"/>
          <w:szCs w:val="18"/>
          <w:vertAlign w:val="subscript"/>
          <w:lang w:val="en-US" w:eastAsia="it-IT"/>
        </w:rPr>
        <w:t>2</w:t>
      </w:r>
      <w:r w:rsidR="00822825" w:rsidRPr="0074464E">
        <w:rPr>
          <w:rFonts w:cs="Arial"/>
          <w:szCs w:val="18"/>
          <w:vertAlign w:val="superscript"/>
          <w:lang w:val="en-US" w:eastAsia="it-IT"/>
        </w:rPr>
        <w:t>*</w:t>
      </w:r>
      <w:r w:rsidR="00822825" w:rsidRPr="0074464E">
        <w:rPr>
          <w:rFonts w:cs="Arial"/>
          <w:szCs w:val="18"/>
          <w:lang w:val="en-US" w:eastAsia="it-IT"/>
        </w:rPr>
        <w:t>]</w:t>
      </w:r>
      <w:r>
        <w:rPr>
          <w:rFonts w:cs="Arial"/>
          <w:szCs w:val="18"/>
          <w:lang w:val="en-US" w:eastAsia="it-IT"/>
        </w:rPr>
        <w:t>, as already pointed out,</w:t>
      </w:r>
      <w:r w:rsidR="00822825">
        <w:rPr>
          <w:rFonts w:cs="Arial"/>
          <w:szCs w:val="18"/>
          <w:lang w:val="en-US" w:eastAsia="it-IT"/>
        </w:rPr>
        <w:t xml:space="preserve"> is typically unstable, </w:t>
      </w:r>
      <w:r>
        <w:rPr>
          <w:rFonts w:cs="Arial"/>
          <w:szCs w:val="18"/>
          <w:lang w:val="en-US" w:eastAsia="it-IT"/>
        </w:rPr>
        <w:t>because of the presence</w:t>
      </w:r>
      <w:r w:rsidR="00822825">
        <w:rPr>
          <w:rFonts w:cs="Arial"/>
          <w:szCs w:val="18"/>
          <w:lang w:val="en-US" w:eastAsia="it-IT"/>
        </w:rPr>
        <w:t xml:space="preserve"> of multiple S-S bonds between contiguous polymer chains</w:t>
      </w:r>
      <w:r w:rsidR="002506EB">
        <w:rPr>
          <w:rFonts w:cs="Arial"/>
          <w:szCs w:val="18"/>
          <w:lang w:val="en-US" w:eastAsia="it-IT"/>
        </w:rPr>
        <w:t>,</w:t>
      </w:r>
      <w:r w:rsidR="00822825">
        <w:rPr>
          <w:rFonts w:cs="Arial"/>
          <w:szCs w:val="18"/>
          <w:lang w:val="en-US" w:eastAsia="it-IT"/>
        </w:rPr>
        <w:t xml:space="preserve"> and it evolves –by </w:t>
      </w:r>
      <w:r>
        <w:rPr>
          <w:rFonts w:cs="Arial"/>
          <w:szCs w:val="18"/>
          <w:lang w:val="en-US" w:eastAsia="it-IT"/>
        </w:rPr>
        <w:t>means of a further reaction</w:t>
      </w:r>
      <w:r w:rsidR="00822825">
        <w:rPr>
          <w:rFonts w:cs="Arial"/>
          <w:szCs w:val="18"/>
          <w:lang w:val="en-US" w:eastAsia="it-IT"/>
        </w:rPr>
        <w:t xml:space="preserve"> acting in series with the second one- into de-vulcanized rubber </w:t>
      </w:r>
      <w:r w:rsidR="00822825" w:rsidRPr="0074464E">
        <w:rPr>
          <w:rFonts w:cs="Arial"/>
          <w:szCs w:val="18"/>
          <w:lang w:val="en-US" w:eastAsia="it-IT"/>
        </w:rPr>
        <w:t>[</w:t>
      </w:r>
      <w:r w:rsidR="00822825" w:rsidRPr="0074464E">
        <w:rPr>
          <w:rFonts w:cs="Arial"/>
          <w:i/>
          <w:szCs w:val="18"/>
          <w:lang w:val="en-US" w:eastAsia="it-IT"/>
        </w:rPr>
        <w:t>R</w:t>
      </w:r>
      <w:r w:rsidR="00822825" w:rsidRPr="0074464E">
        <w:rPr>
          <w:rFonts w:cs="Arial"/>
          <w:szCs w:val="18"/>
          <w:vertAlign w:val="subscript"/>
          <w:lang w:val="en-US" w:eastAsia="it-IT"/>
        </w:rPr>
        <w:t>r</w:t>
      </w:r>
      <w:r w:rsidR="00822825" w:rsidRPr="0074464E">
        <w:rPr>
          <w:rFonts w:cs="Arial"/>
          <w:szCs w:val="18"/>
          <w:vertAlign w:val="superscript"/>
          <w:lang w:val="en-US" w:eastAsia="it-IT"/>
        </w:rPr>
        <w:t>*</w:t>
      </w:r>
      <w:r w:rsidR="00822825" w:rsidRPr="0074464E">
        <w:rPr>
          <w:rFonts w:cs="Arial"/>
          <w:szCs w:val="18"/>
          <w:lang w:val="en-US" w:eastAsia="it-IT"/>
        </w:rPr>
        <w:t>]</w:t>
      </w:r>
      <w:r w:rsidR="00822825">
        <w:rPr>
          <w:rFonts w:cs="Arial"/>
          <w:szCs w:val="18"/>
          <w:lang w:val="en-US"/>
        </w:rPr>
        <w:t xml:space="preserve">. </w:t>
      </w:r>
    </w:p>
    <w:p w14:paraId="2DAE41D2" w14:textId="7D57F5E1" w:rsidR="003C7145" w:rsidRDefault="00411ECD" w:rsidP="00FF6A23">
      <w:pPr>
        <w:rPr>
          <w:rFonts w:cs="Arial"/>
          <w:szCs w:val="18"/>
          <w:lang w:val="en-US" w:eastAsia="it-IT"/>
        </w:rPr>
      </w:pPr>
      <w:r w:rsidRPr="0074464E">
        <w:rPr>
          <w:rFonts w:cs="Arial"/>
          <w:szCs w:val="18"/>
          <w:lang w:val="en-US" w:eastAsia="it-IT"/>
        </w:rPr>
        <w:t xml:space="preserve">Assuming </w:t>
      </w:r>
      <w:r>
        <w:rPr>
          <w:rFonts w:cs="Arial"/>
          <w:szCs w:val="18"/>
          <w:lang w:val="en-US" w:eastAsia="it-IT"/>
        </w:rPr>
        <w:t xml:space="preserve">the </w:t>
      </w:r>
      <w:r w:rsidRPr="0074464E">
        <w:rPr>
          <w:rFonts w:cs="Arial"/>
          <w:szCs w:val="18"/>
          <w:lang w:val="en-US" w:eastAsia="it-IT"/>
        </w:rPr>
        <w:t>kinetic scheme of Eq.</w:t>
      </w:r>
      <w:r>
        <w:rPr>
          <w:rFonts w:cs="Arial"/>
          <w:szCs w:val="18"/>
          <w:lang w:val="en-US" w:eastAsia="it-IT"/>
        </w:rPr>
        <w:t xml:space="preserve"> (2)</w:t>
      </w:r>
      <w:r w:rsidRPr="0074464E">
        <w:rPr>
          <w:rFonts w:cs="Arial"/>
          <w:szCs w:val="18"/>
          <w:lang w:val="en-US" w:eastAsia="it-IT"/>
        </w:rPr>
        <w:t xml:space="preserve">, after suitable mathematical passages not reported here for the sake of conciseness, it is possible to estimate in closed form the crosslinking density </w:t>
      </w:r>
      <w:r w:rsidRPr="0074464E">
        <w:rPr>
          <w:rFonts w:cs="Arial"/>
          <w:position w:val="-16"/>
          <w:szCs w:val="18"/>
          <w:lang w:val="en-US" w:eastAsia="it-IT"/>
        </w:rPr>
        <w:object w:dxaOrig="1640" w:dyaOrig="420" w14:anchorId="32294506">
          <v:shape id="_x0000_i1296" type="#_x0000_t75" style="width:83.25pt;height:20.25pt" o:ole="">
            <v:imagedata r:id="rId21" o:title=""/>
          </v:shape>
          <o:OLEObject Type="Embed" ProgID="Equation.DSMT4" ShapeID="_x0000_i1296" DrawAspect="Content" ObjectID="_1616129065" r:id="rId22"/>
        </w:object>
      </w:r>
      <w:r w:rsidRPr="0074464E">
        <w:rPr>
          <w:rFonts w:cs="Arial"/>
          <w:szCs w:val="18"/>
          <w:lang w:val="en-US" w:eastAsia="it-IT"/>
        </w:rPr>
        <w:t xml:space="preserve"> as follows:</w:t>
      </w:r>
    </w:p>
    <w:tbl>
      <w:tblPr>
        <w:tblStyle w:val="Grigliatabella"/>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6"/>
        <w:gridCol w:w="1955"/>
      </w:tblGrid>
      <w:tr w:rsidR="003C7145" w:rsidRPr="00A5047F" w14:paraId="7F08D6C7" w14:textId="77777777" w:rsidTr="003E4D98">
        <w:tc>
          <w:tcPr>
            <w:tcW w:w="6976" w:type="dxa"/>
          </w:tcPr>
          <w:p w14:paraId="7E4DB67D" w14:textId="77777777" w:rsidR="003C7145" w:rsidRPr="00A5047F" w:rsidRDefault="003C7145" w:rsidP="003E4D98">
            <w:pPr>
              <w:rPr>
                <w:rFonts w:cs="Arial"/>
                <w:szCs w:val="18"/>
                <w:lang w:val="en-US"/>
              </w:rPr>
            </w:pPr>
            <w:r w:rsidRPr="00A5047F">
              <w:rPr>
                <w:rFonts w:cs="Arial"/>
                <w:position w:val="-20"/>
                <w:szCs w:val="18"/>
                <w:lang w:val="en-US"/>
              </w:rPr>
              <w:object w:dxaOrig="6600" w:dyaOrig="480" w14:anchorId="111FD967">
                <v:shape id="_x0000_i1773" type="#_x0000_t75" style="width:330pt;height:21.75pt" o:ole="">
                  <v:imagedata r:id="rId23" o:title=""/>
                </v:shape>
                <o:OLEObject Type="Embed" ProgID="Equation.DSMT4" ShapeID="_x0000_i1773" DrawAspect="Content" ObjectID="_1616129066" r:id="rId24"/>
              </w:object>
            </w:r>
          </w:p>
        </w:tc>
        <w:tc>
          <w:tcPr>
            <w:tcW w:w="1955" w:type="dxa"/>
            <w:vAlign w:val="center"/>
          </w:tcPr>
          <w:p w14:paraId="065ED472" w14:textId="77777777" w:rsidR="003C7145" w:rsidRPr="00A5047F" w:rsidRDefault="003C7145" w:rsidP="003E4D98">
            <w:pPr>
              <w:pStyle w:val="Didascalia"/>
              <w:jc w:val="right"/>
              <w:rPr>
                <w:rFonts w:cs="Arial"/>
                <w:b w:val="0"/>
                <w:color w:val="auto"/>
                <w:lang w:val="en-US"/>
              </w:rPr>
            </w:pPr>
            <w:bookmarkStart w:id="3" w:name="_Ref390239653"/>
            <w:r w:rsidRPr="00A5047F">
              <w:rPr>
                <w:rFonts w:cs="Arial"/>
                <w:b w:val="0"/>
                <w:color w:val="auto"/>
                <w:lang w:val="en-US"/>
              </w:rPr>
              <w:t xml:space="preserve">( </w:t>
            </w:r>
            <w:r w:rsidRPr="00A5047F">
              <w:rPr>
                <w:rFonts w:cs="Arial"/>
                <w:b w:val="0"/>
                <w:color w:val="auto"/>
              </w:rPr>
              <w:fldChar w:fldCharType="begin"/>
            </w:r>
            <w:r w:rsidRPr="00A5047F">
              <w:rPr>
                <w:rFonts w:cs="Arial"/>
                <w:b w:val="0"/>
                <w:color w:val="auto"/>
                <w:lang w:val="en-US"/>
              </w:rPr>
              <w:instrText xml:space="preserve"> SEQ ( \* ARABIC </w:instrText>
            </w:r>
            <w:r w:rsidRPr="00A5047F">
              <w:rPr>
                <w:rFonts w:cs="Arial"/>
                <w:b w:val="0"/>
                <w:color w:val="auto"/>
              </w:rPr>
              <w:fldChar w:fldCharType="separate"/>
            </w:r>
            <w:r>
              <w:rPr>
                <w:rFonts w:cs="Arial"/>
                <w:b w:val="0"/>
                <w:noProof/>
                <w:color w:val="auto"/>
                <w:lang w:val="en-US"/>
              </w:rPr>
              <w:t>3</w:t>
            </w:r>
            <w:r w:rsidRPr="00A5047F">
              <w:rPr>
                <w:rFonts w:cs="Arial"/>
                <w:b w:val="0"/>
                <w:color w:val="auto"/>
              </w:rPr>
              <w:fldChar w:fldCharType="end"/>
            </w:r>
            <w:r w:rsidRPr="00A5047F">
              <w:rPr>
                <w:rFonts w:cs="Arial"/>
                <w:b w:val="0"/>
                <w:color w:val="auto"/>
                <w:lang w:val="en-US"/>
              </w:rPr>
              <w:t xml:space="preserve"> )</w:t>
            </w:r>
            <w:bookmarkEnd w:id="3"/>
          </w:p>
        </w:tc>
      </w:tr>
    </w:tbl>
    <w:p w14:paraId="74A9795C" w14:textId="7005E850" w:rsidR="00DC2A25" w:rsidRPr="00AA7564" w:rsidRDefault="00DC2A25" w:rsidP="00411ECD">
      <w:pPr>
        <w:tabs>
          <w:tab w:val="left" w:pos="426"/>
        </w:tabs>
        <w:spacing w:line="240" w:lineRule="auto"/>
        <w:rPr>
          <w:rFonts w:cs="Arial"/>
          <w:szCs w:val="18"/>
          <w:lang w:val="en-US" w:eastAsia="it-IT"/>
        </w:rPr>
      </w:pPr>
      <w:r w:rsidRPr="0074464E">
        <w:rPr>
          <w:lang w:eastAsia="it-IT"/>
        </w:rPr>
        <w:br w:type="page"/>
      </w:r>
    </w:p>
    <w:p w14:paraId="24A1ACDE" w14:textId="07176FCC" w:rsidR="00DC2A25" w:rsidRPr="0074464E" w:rsidRDefault="003411C7" w:rsidP="00DC2A25">
      <w:pPr>
        <w:rPr>
          <w:rFonts w:cs="Arial"/>
          <w:szCs w:val="18"/>
          <w:lang w:eastAsia="it-IT"/>
        </w:rPr>
      </w:pPr>
      <w:r w:rsidRPr="0074464E">
        <w:rPr>
          <w:rFonts w:cs="Arial"/>
          <w:noProof/>
          <w:szCs w:val="18"/>
          <w:lang w:val="it-IT" w:eastAsia="it-IT"/>
        </w:rPr>
        <w:lastRenderedPageBreak/>
        <w:drawing>
          <wp:anchor distT="0" distB="0" distL="114300" distR="114300" simplePos="0" relativeHeight="251664384" behindDoc="0" locked="0" layoutInCell="1" allowOverlap="1" wp14:anchorId="1E655A53" wp14:editId="77499F4F">
            <wp:simplePos x="0" y="0"/>
            <wp:positionH relativeFrom="column">
              <wp:posOffset>4260215</wp:posOffset>
            </wp:positionH>
            <wp:positionV relativeFrom="paragraph">
              <wp:posOffset>21011</wp:posOffset>
            </wp:positionV>
            <wp:extent cx="1000760" cy="329565"/>
            <wp:effectExtent l="0" t="0" r="889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a:extLst>
                        <a:ext uri="{28A0092B-C50C-407E-A947-70E740481C1C}">
                          <a14:useLocalDpi xmlns:a14="http://schemas.microsoft.com/office/drawing/2010/main" val="0"/>
                        </a:ext>
                      </a:extLst>
                    </a:blip>
                    <a:srcRect l="12948" t="35415" r="67393" b="55953"/>
                    <a:stretch/>
                  </pic:blipFill>
                  <pic:spPr bwMode="auto">
                    <a:xfrm>
                      <a:off x="0" y="0"/>
                      <a:ext cx="1000760" cy="32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64E">
        <w:rPr>
          <w:rFonts w:cs="Arial"/>
          <w:noProof/>
          <w:szCs w:val="18"/>
          <w:lang w:val="it-IT" w:eastAsia="it-IT"/>
        </w:rPr>
        <w:drawing>
          <wp:anchor distT="0" distB="0" distL="114300" distR="114300" simplePos="0" relativeHeight="251663360" behindDoc="0" locked="0" layoutInCell="1" allowOverlap="1" wp14:anchorId="07755C88" wp14:editId="72C09900">
            <wp:simplePos x="0" y="0"/>
            <wp:positionH relativeFrom="column">
              <wp:posOffset>3068320</wp:posOffset>
            </wp:positionH>
            <wp:positionV relativeFrom="paragraph">
              <wp:posOffset>34953</wp:posOffset>
            </wp:positionV>
            <wp:extent cx="1592580" cy="330835"/>
            <wp:effectExtent l="0" t="0" r="7620" b="0"/>
            <wp:wrapNone/>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6">
                      <a:extLst>
                        <a:ext uri="{28A0092B-C50C-407E-A947-70E740481C1C}">
                          <a14:useLocalDpi xmlns:a14="http://schemas.microsoft.com/office/drawing/2010/main" val="0"/>
                        </a:ext>
                      </a:extLst>
                    </a:blip>
                    <a:srcRect l="12719" t="27358" r="55373" b="63786"/>
                    <a:stretch/>
                  </pic:blipFill>
                  <pic:spPr bwMode="auto">
                    <a:xfrm>
                      <a:off x="0" y="0"/>
                      <a:ext cx="1592580"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gliatabella"/>
        <w:tblW w:w="10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56"/>
        <w:gridCol w:w="429"/>
      </w:tblGrid>
      <w:tr w:rsidR="00DC2A25" w:rsidRPr="0074464E" w14:paraId="23C48D47" w14:textId="77777777" w:rsidTr="004E560E">
        <w:trPr>
          <w:cantSplit/>
          <w:trHeight w:val="1134"/>
          <w:jc w:val="center"/>
        </w:trPr>
        <w:tc>
          <w:tcPr>
            <w:tcW w:w="4836" w:type="dxa"/>
            <w:vAlign w:val="center"/>
          </w:tcPr>
          <w:p w14:paraId="69719098" w14:textId="77777777" w:rsidR="00DC2A25" w:rsidRPr="0074464E" w:rsidRDefault="00DC2A25" w:rsidP="000F0097">
            <w:pPr>
              <w:tabs>
                <w:tab w:val="left" w:pos="426"/>
              </w:tabs>
              <w:spacing w:line="240" w:lineRule="auto"/>
              <w:jc w:val="center"/>
              <w:rPr>
                <w:rFonts w:cs="Arial"/>
                <w:noProof/>
                <w:szCs w:val="18"/>
                <w:lang w:eastAsia="it-IT"/>
              </w:rPr>
            </w:pPr>
            <w:r w:rsidRPr="0074464E">
              <w:rPr>
                <w:rFonts w:cs="Arial"/>
                <w:noProof/>
                <w:szCs w:val="18"/>
                <w:lang w:val="it-IT" w:eastAsia="it-IT"/>
              </w:rPr>
              <w:drawing>
                <wp:anchor distT="0" distB="0" distL="114300" distR="114300" simplePos="0" relativeHeight="251662336" behindDoc="0" locked="0" layoutInCell="1" allowOverlap="1" wp14:anchorId="70BEF684" wp14:editId="69041418">
                  <wp:simplePos x="0" y="0"/>
                  <wp:positionH relativeFrom="column">
                    <wp:posOffset>1762216</wp:posOffset>
                  </wp:positionH>
                  <wp:positionV relativeFrom="paragraph">
                    <wp:posOffset>-79375</wp:posOffset>
                  </wp:positionV>
                  <wp:extent cx="1593215" cy="316865"/>
                  <wp:effectExtent l="0" t="0" r="6985" b="698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6">
                            <a:extLst>
                              <a:ext uri="{28A0092B-C50C-407E-A947-70E740481C1C}">
                                <a14:useLocalDpi xmlns:a14="http://schemas.microsoft.com/office/drawing/2010/main" val="0"/>
                              </a:ext>
                            </a:extLst>
                          </a:blip>
                          <a:srcRect l="12719" t="19155" r="55373" b="72377"/>
                          <a:stretch/>
                        </pic:blipFill>
                        <pic:spPr bwMode="auto">
                          <a:xfrm>
                            <a:off x="0" y="0"/>
                            <a:ext cx="1593215" cy="31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64E">
              <w:rPr>
                <w:rFonts w:cs="Arial"/>
                <w:noProof/>
                <w:szCs w:val="18"/>
                <w:lang w:val="it-IT" w:eastAsia="it-IT"/>
              </w:rPr>
              <w:drawing>
                <wp:anchor distT="0" distB="0" distL="114300" distR="114300" simplePos="0" relativeHeight="251661312" behindDoc="0" locked="0" layoutInCell="1" allowOverlap="1" wp14:anchorId="5C83DD85" wp14:editId="49D61A5F">
                  <wp:simplePos x="0" y="0"/>
                  <wp:positionH relativeFrom="column">
                    <wp:posOffset>26335</wp:posOffset>
                  </wp:positionH>
                  <wp:positionV relativeFrom="paragraph">
                    <wp:posOffset>-82181</wp:posOffset>
                  </wp:positionV>
                  <wp:extent cx="1593311" cy="306070"/>
                  <wp:effectExtent l="0" t="0" r="698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6">
                            <a:extLst>
                              <a:ext uri="{28A0092B-C50C-407E-A947-70E740481C1C}">
                                <a14:useLocalDpi xmlns:a14="http://schemas.microsoft.com/office/drawing/2010/main" val="0"/>
                              </a:ext>
                            </a:extLst>
                          </a:blip>
                          <a:srcRect l="12719" t="10976" r="55373" b="80846"/>
                          <a:stretch/>
                        </pic:blipFill>
                        <pic:spPr bwMode="auto">
                          <a:xfrm>
                            <a:off x="0" y="0"/>
                            <a:ext cx="1593311"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64E">
              <w:rPr>
                <w:rFonts w:cs="Arial"/>
                <w:noProof/>
                <w:szCs w:val="18"/>
                <w:lang w:val="it-IT" w:eastAsia="it-IT"/>
              </w:rPr>
              <w:drawing>
                <wp:inline distT="0" distB="0" distL="0" distR="0" wp14:anchorId="35BE8D4C" wp14:editId="5647CD47">
                  <wp:extent cx="2752725" cy="204579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7">
                            <a:extLst>
                              <a:ext uri="{28A0092B-C50C-407E-A947-70E740481C1C}">
                                <a14:useLocalDpi xmlns:a14="http://schemas.microsoft.com/office/drawing/2010/main" val="0"/>
                              </a:ext>
                            </a:extLst>
                          </a:blip>
                          <a:srcRect l="7265" t="-10411" r="8324" b="5943"/>
                          <a:stretch/>
                        </pic:blipFill>
                        <pic:spPr bwMode="auto">
                          <a:xfrm>
                            <a:off x="0" y="0"/>
                            <a:ext cx="2760181" cy="2051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44C51027" w14:textId="4988259A" w:rsidR="00DC2A25" w:rsidRPr="0074464E" w:rsidRDefault="00DC2A25" w:rsidP="000F0097">
            <w:pPr>
              <w:tabs>
                <w:tab w:val="left" w:pos="426"/>
              </w:tabs>
              <w:spacing w:line="240" w:lineRule="auto"/>
              <w:jc w:val="center"/>
              <w:rPr>
                <w:rFonts w:cs="Arial"/>
                <w:noProof/>
                <w:szCs w:val="18"/>
                <w:lang w:eastAsia="it-IT"/>
              </w:rPr>
            </w:pPr>
            <w:r w:rsidRPr="0074464E">
              <w:rPr>
                <w:rFonts w:cs="Arial"/>
                <w:noProof/>
                <w:szCs w:val="18"/>
                <w:lang w:val="it-IT" w:eastAsia="it-IT"/>
              </w:rPr>
              <w:drawing>
                <wp:inline distT="0" distB="0" distL="0" distR="0" wp14:anchorId="0453033C" wp14:editId="3B82E43E">
                  <wp:extent cx="2819400" cy="2034695"/>
                  <wp:effectExtent l="0" t="0" r="0" b="381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8">
                            <a:extLst>
                              <a:ext uri="{28A0092B-C50C-407E-A947-70E740481C1C}">
                                <a14:useLocalDpi xmlns:a14="http://schemas.microsoft.com/office/drawing/2010/main" val="0"/>
                              </a:ext>
                            </a:extLst>
                          </a:blip>
                          <a:srcRect l="6050" t="-9212" r="8089" b="6025"/>
                          <a:stretch/>
                        </pic:blipFill>
                        <pic:spPr bwMode="auto">
                          <a:xfrm>
                            <a:off x="0" y="0"/>
                            <a:ext cx="2836866" cy="204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 w:type="dxa"/>
            <w:textDirection w:val="btLr"/>
            <w:vAlign w:val="center"/>
          </w:tcPr>
          <w:p w14:paraId="57098873" w14:textId="77777777" w:rsidR="00DC2A25" w:rsidRPr="0074464E" w:rsidRDefault="00DC2A25" w:rsidP="000F0097">
            <w:pPr>
              <w:tabs>
                <w:tab w:val="left" w:pos="426"/>
              </w:tabs>
              <w:spacing w:line="240" w:lineRule="auto"/>
              <w:ind w:left="113" w:right="113"/>
              <w:jc w:val="center"/>
              <w:rPr>
                <w:rFonts w:cs="Arial"/>
                <w:noProof/>
                <w:szCs w:val="18"/>
                <w:lang w:eastAsia="it-IT"/>
              </w:rPr>
            </w:pPr>
            <w:r w:rsidRPr="0074464E">
              <w:rPr>
                <w:rFonts w:cs="Arial"/>
                <w:szCs w:val="18"/>
                <w:lang w:val="en-US"/>
              </w:rPr>
              <w:t>S-TBBS-DPG=1-0-1</w:t>
            </w:r>
          </w:p>
        </w:tc>
      </w:tr>
      <w:tr w:rsidR="00DC2A25" w:rsidRPr="0074464E" w14:paraId="1E5942D0" w14:textId="77777777" w:rsidTr="004E560E">
        <w:trPr>
          <w:cantSplit/>
          <w:trHeight w:val="1134"/>
          <w:jc w:val="center"/>
        </w:trPr>
        <w:tc>
          <w:tcPr>
            <w:tcW w:w="4836" w:type="dxa"/>
            <w:vAlign w:val="center"/>
          </w:tcPr>
          <w:p w14:paraId="466CAD0B" w14:textId="77777777" w:rsidR="00DC2A25" w:rsidRPr="0074464E" w:rsidRDefault="00DC2A25" w:rsidP="000F0097">
            <w:pPr>
              <w:tabs>
                <w:tab w:val="left" w:pos="426"/>
              </w:tabs>
              <w:spacing w:line="240" w:lineRule="auto"/>
              <w:jc w:val="center"/>
              <w:rPr>
                <w:rFonts w:cs="Arial"/>
                <w:noProof/>
                <w:szCs w:val="18"/>
                <w:lang w:eastAsia="it-IT"/>
              </w:rPr>
            </w:pPr>
            <w:r w:rsidRPr="0074464E">
              <w:rPr>
                <w:rFonts w:cs="Arial"/>
                <w:noProof/>
                <w:szCs w:val="18"/>
                <w:lang w:val="it-IT" w:eastAsia="it-IT"/>
              </w:rPr>
              <w:drawing>
                <wp:inline distT="0" distB="0" distL="0" distR="0" wp14:anchorId="1327B3B0" wp14:editId="54913843">
                  <wp:extent cx="2778590" cy="1872426"/>
                  <wp:effectExtent l="0" t="0" r="3175"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9">
                            <a:extLst>
                              <a:ext uri="{28A0092B-C50C-407E-A947-70E740481C1C}">
                                <a14:useLocalDpi xmlns:a14="http://schemas.microsoft.com/office/drawing/2010/main" val="0"/>
                              </a:ext>
                            </a:extLst>
                          </a:blip>
                          <a:srcRect l="7693" t="-330" r="7684" b="5366"/>
                          <a:stretch/>
                        </pic:blipFill>
                        <pic:spPr bwMode="auto">
                          <a:xfrm>
                            <a:off x="0" y="0"/>
                            <a:ext cx="2785629" cy="1877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52374714" w14:textId="77777777" w:rsidR="00DC2A25" w:rsidRPr="0074464E" w:rsidRDefault="00DC2A25" w:rsidP="000F0097">
            <w:pPr>
              <w:tabs>
                <w:tab w:val="left" w:pos="426"/>
              </w:tabs>
              <w:spacing w:line="240" w:lineRule="auto"/>
              <w:jc w:val="center"/>
              <w:rPr>
                <w:rFonts w:cs="Arial"/>
                <w:noProof/>
                <w:szCs w:val="18"/>
                <w:lang w:eastAsia="it-IT"/>
              </w:rPr>
            </w:pPr>
            <w:r w:rsidRPr="0074464E">
              <w:rPr>
                <w:rFonts w:cs="Arial"/>
                <w:noProof/>
                <w:szCs w:val="18"/>
                <w:lang w:val="it-IT" w:eastAsia="it-IT"/>
              </w:rPr>
              <w:drawing>
                <wp:inline distT="0" distB="0" distL="0" distR="0" wp14:anchorId="29E67807" wp14:editId="3782A2EA">
                  <wp:extent cx="2914650" cy="1888551"/>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0">
                            <a:extLst>
                              <a:ext uri="{28A0092B-C50C-407E-A947-70E740481C1C}">
                                <a14:useLocalDpi xmlns:a14="http://schemas.microsoft.com/office/drawing/2010/main" val="0"/>
                              </a:ext>
                            </a:extLst>
                          </a:blip>
                          <a:srcRect l="5342" r="6906" b="5314"/>
                          <a:stretch/>
                        </pic:blipFill>
                        <pic:spPr bwMode="auto">
                          <a:xfrm>
                            <a:off x="0" y="0"/>
                            <a:ext cx="2950716" cy="1911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 w:type="dxa"/>
            <w:textDirection w:val="btLr"/>
            <w:vAlign w:val="center"/>
          </w:tcPr>
          <w:p w14:paraId="2DAE9A11" w14:textId="77777777" w:rsidR="00DC2A25" w:rsidRPr="0074464E" w:rsidRDefault="00DC2A25" w:rsidP="000F0097">
            <w:pPr>
              <w:tabs>
                <w:tab w:val="left" w:pos="426"/>
              </w:tabs>
              <w:spacing w:line="240" w:lineRule="auto"/>
              <w:ind w:left="113" w:right="113"/>
              <w:jc w:val="center"/>
              <w:rPr>
                <w:rFonts w:cs="Arial"/>
                <w:noProof/>
                <w:szCs w:val="18"/>
                <w:lang w:eastAsia="it-IT"/>
              </w:rPr>
            </w:pPr>
            <w:r w:rsidRPr="0074464E">
              <w:rPr>
                <w:rFonts w:cs="Arial"/>
                <w:szCs w:val="18"/>
                <w:lang w:val="en-US"/>
              </w:rPr>
              <w:t>S-TBBS-DPG=1-0-3</w:t>
            </w:r>
          </w:p>
        </w:tc>
      </w:tr>
      <w:tr w:rsidR="00DC2A25" w:rsidRPr="0074464E" w14:paraId="6860B09C" w14:textId="77777777" w:rsidTr="004E560E">
        <w:trPr>
          <w:cantSplit/>
          <w:trHeight w:val="1134"/>
          <w:jc w:val="center"/>
        </w:trPr>
        <w:tc>
          <w:tcPr>
            <w:tcW w:w="4836" w:type="dxa"/>
            <w:vAlign w:val="center"/>
          </w:tcPr>
          <w:p w14:paraId="6164E7B9" w14:textId="77777777" w:rsidR="00DC2A25" w:rsidRPr="0074464E" w:rsidRDefault="00DC2A25" w:rsidP="000F0097">
            <w:pPr>
              <w:tabs>
                <w:tab w:val="left" w:pos="426"/>
              </w:tabs>
              <w:spacing w:line="240" w:lineRule="auto"/>
              <w:jc w:val="center"/>
              <w:rPr>
                <w:rFonts w:cs="Arial"/>
                <w:szCs w:val="18"/>
                <w:lang w:val="en-US"/>
              </w:rPr>
            </w:pPr>
            <w:r w:rsidRPr="0074464E">
              <w:rPr>
                <w:rFonts w:cs="Arial"/>
                <w:noProof/>
                <w:szCs w:val="18"/>
                <w:lang w:val="it-IT" w:eastAsia="it-IT"/>
              </w:rPr>
              <w:drawing>
                <wp:inline distT="0" distB="0" distL="0" distR="0" wp14:anchorId="12C453B1" wp14:editId="10CB6C52">
                  <wp:extent cx="2910205" cy="189334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31">
                            <a:extLst>
                              <a:ext uri="{28A0092B-C50C-407E-A947-70E740481C1C}">
                                <a14:useLocalDpi xmlns:a14="http://schemas.microsoft.com/office/drawing/2010/main" val="0"/>
                              </a:ext>
                            </a:extLst>
                          </a:blip>
                          <a:srcRect l="6411" r="7680" b="6925"/>
                          <a:stretch/>
                        </pic:blipFill>
                        <pic:spPr bwMode="auto">
                          <a:xfrm>
                            <a:off x="0" y="0"/>
                            <a:ext cx="2910288" cy="1893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771A8CF4" w14:textId="77777777" w:rsidR="00DC2A25" w:rsidRPr="0074464E" w:rsidRDefault="00DC2A25" w:rsidP="000F0097">
            <w:pPr>
              <w:tabs>
                <w:tab w:val="left" w:pos="426"/>
              </w:tabs>
              <w:spacing w:line="240" w:lineRule="auto"/>
              <w:jc w:val="center"/>
              <w:rPr>
                <w:rFonts w:cs="Arial"/>
                <w:szCs w:val="18"/>
                <w:lang w:val="en-US"/>
              </w:rPr>
            </w:pPr>
            <w:r w:rsidRPr="0074464E">
              <w:rPr>
                <w:rFonts w:cs="Arial"/>
                <w:noProof/>
                <w:szCs w:val="18"/>
                <w:lang w:val="it-IT" w:eastAsia="it-IT"/>
              </w:rPr>
              <w:drawing>
                <wp:inline distT="0" distB="0" distL="0" distR="0" wp14:anchorId="6707300C" wp14:editId="19CB2749">
                  <wp:extent cx="3004457" cy="1947545"/>
                  <wp:effectExtent l="0" t="0" r="571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2">
                            <a:extLst>
                              <a:ext uri="{28A0092B-C50C-407E-A947-70E740481C1C}">
                                <a14:useLocalDpi xmlns:a14="http://schemas.microsoft.com/office/drawing/2010/main" val="0"/>
                              </a:ext>
                            </a:extLst>
                          </a:blip>
                          <a:srcRect l="5129" r="7182" b="5342"/>
                          <a:stretch/>
                        </pic:blipFill>
                        <pic:spPr bwMode="auto">
                          <a:xfrm>
                            <a:off x="0" y="0"/>
                            <a:ext cx="3004542" cy="194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 w:type="dxa"/>
            <w:textDirection w:val="btLr"/>
            <w:vAlign w:val="center"/>
          </w:tcPr>
          <w:p w14:paraId="509E6A4B" w14:textId="77777777" w:rsidR="00DC2A25" w:rsidRPr="0074464E" w:rsidRDefault="00DC2A25" w:rsidP="000F0097">
            <w:pPr>
              <w:tabs>
                <w:tab w:val="left" w:pos="426"/>
              </w:tabs>
              <w:spacing w:line="240" w:lineRule="auto"/>
              <w:ind w:left="113" w:right="113"/>
              <w:jc w:val="center"/>
              <w:rPr>
                <w:rFonts w:cs="Arial"/>
                <w:szCs w:val="18"/>
                <w:lang w:val="en-US"/>
              </w:rPr>
            </w:pPr>
            <w:r w:rsidRPr="0074464E">
              <w:rPr>
                <w:rFonts w:cs="Arial"/>
                <w:szCs w:val="18"/>
                <w:lang w:val="en-US"/>
              </w:rPr>
              <w:t>S-TBBS-DPG=1-1-0</w:t>
            </w:r>
          </w:p>
        </w:tc>
      </w:tr>
      <w:tr w:rsidR="00DC2A25" w:rsidRPr="0074464E" w14:paraId="13D14D87" w14:textId="77777777" w:rsidTr="004E560E">
        <w:trPr>
          <w:cantSplit/>
          <w:trHeight w:val="1134"/>
          <w:jc w:val="center"/>
        </w:trPr>
        <w:tc>
          <w:tcPr>
            <w:tcW w:w="4836" w:type="dxa"/>
            <w:vAlign w:val="center"/>
          </w:tcPr>
          <w:p w14:paraId="60644A0E" w14:textId="77777777" w:rsidR="00DC2A25" w:rsidRPr="0074464E" w:rsidRDefault="00DC2A25" w:rsidP="000F0097">
            <w:pPr>
              <w:tabs>
                <w:tab w:val="left" w:pos="426"/>
              </w:tabs>
              <w:spacing w:line="240" w:lineRule="auto"/>
              <w:jc w:val="center"/>
              <w:rPr>
                <w:rFonts w:cs="Arial"/>
                <w:szCs w:val="18"/>
                <w:lang w:val="en-US"/>
              </w:rPr>
            </w:pPr>
            <w:r w:rsidRPr="0074464E">
              <w:rPr>
                <w:rFonts w:cs="Arial"/>
                <w:noProof/>
                <w:szCs w:val="18"/>
                <w:lang w:val="it-IT" w:eastAsia="it-IT"/>
              </w:rPr>
              <w:drawing>
                <wp:inline distT="0" distB="0" distL="0" distR="0" wp14:anchorId="21AED6B7" wp14:editId="4B6FF0FD">
                  <wp:extent cx="2927163" cy="2086983"/>
                  <wp:effectExtent l="0" t="0" r="698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3">
                            <a:extLst>
                              <a:ext uri="{28A0092B-C50C-407E-A947-70E740481C1C}">
                                <a14:useLocalDpi xmlns:a14="http://schemas.microsoft.com/office/drawing/2010/main" val="0"/>
                              </a:ext>
                            </a:extLst>
                          </a:blip>
                          <a:srcRect l="6502" r="8087" b="-1614"/>
                          <a:stretch/>
                        </pic:blipFill>
                        <pic:spPr bwMode="auto">
                          <a:xfrm>
                            <a:off x="0" y="0"/>
                            <a:ext cx="2927562" cy="2087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0279DED2" w14:textId="77777777" w:rsidR="00DC2A25" w:rsidRPr="0074464E" w:rsidRDefault="00DC2A25" w:rsidP="000F0097">
            <w:pPr>
              <w:tabs>
                <w:tab w:val="left" w:pos="426"/>
              </w:tabs>
              <w:spacing w:line="240" w:lineRule="auto"/>
              <w:jc w:val="center"/>
              <w:rPr>
                <w:rFonts w:cs="Arial"/>
                <w:szCs w:val="18"/>
                <w:lang w:val="en-US"/>
              </w:rPr>
            </w:pPr>
            <w:r w:rsidRPr="0074464E">
              <w:rPr>
                <w:rFonts w:cs="Arial"/>
                <w:noProof/>
                <w:szCs w:val="18"/>
                <w:lang w:val="it-IT" w:eastAsia="it-IT"/>
              </w:rPr>
              <w:drawing>
                <wp:inline distT="0" distB="0" distL="0" distR="0" wp14:anchorId="207CF0D4" wp14:editId="742FC376">
                  <wp:extent cx="2951388" cy="2024743"/>
                  <wp:effectExtent l="0" t="0" r="190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34">
                            <a:extLst>
                              <a:ext uri="{28A0092B-C50C-407E-A947-70E740481C1C}">
                                <a14:useLocalDpi xmlns:a14="http://schemas.microsoft.com/office/drawing/2010/main" val="0"/>
                              </a:ext>
                            </a:extLst>
                          </a:blip>
                          <a:srcRect l="5768" r="7566" b="990"/>
                          <a:stretch/>
                        </pic:blipFill>
                        <pic:spPr bwMode="auto">
                          <a:xfrm>
                            <a:off x="0" y="0"/>
                            <a:ext cx="2952755" cy="2025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 w:type="dxa"/>
            <w:textDirection w:val="btLr"/>
            <w:vAlign w:val="center"/>
          </w:tcPr>
          <w:p w14:paraId="1865C8B4" w14:textId="77777777" w:rsidR="00DC2A25" w:rsidRPr="0074464E" w:rsidRDefault="00DC2A25" w:rsidP="000F0097">
            <w:pPr>
              <w:tabs>
                <w:tab w:val="left" w:pos="426"/>
              </w:tabs>
              <w:spacing w:line="240" w:lineRule="auto"/>
              <w:ind w:left="113" w:right="113"/>
              <w:jc w:val="center"/>
              <w:rPr>
                <w:rFonts w:cs="Arial"/>
                <w:noProof/>
                <w:szCs w:val="18"/>
                <w:lang w:eastAsia="it-IT"/>
              </w:rPr>
            </w:pPr>
            <w:r w:rsidRPr="0074464E">
              <w:rPr>
                <w:rFonts w:cs="Arial"/>
                <w:szCs w:val="18"/>
                <w:lang w:val="en-US"/>
              </w:rPr>
              <w:t>S-TBBS-DPG=1-3-0</w:t>
            </w:r>
          </w:p>
        </w:tc>
      </w:tr>
      <w:tr w:rsidR="00DC2A25" w:rsidRPr="0074464E" w14:paraId="4D11A607" w14:textId="77777777" w:rsidTr="004E560E">
        <w:trPr>
          <w:cantSplit/>
          <w:trHeight w:val="63"/>
          <w:jc w:val="center"/>
        </w:trPr>
        <w:tc>
          <w:tcPr>
            <w:tcW w:w="4836" w:type="dxa"/>
            <w:vAlign w:val="center"/>
          </w:tcPr>
          <w:p w14:paraId="5F97FDFF" w14:textId="77777777" w:rsidR="00DC2A25" w:rsidRPr="0074464E" w:rsidRDefault="00DC2A25" w:rsidP="000F0097">
            <w:pPr>
              <w:tabs>
                <w:tab w:val="left" w:pos="426"/>
              </w:tabs>
              <w:spacing w:line="240" w:lineRule="auto"/>
              <w:ind w:left="113" w:right="113"/>
              <w:jc w:val="center"/>
              <w:rPr>
                <w:rFonts w:cs="Arial"/>
                <w:i/>
                <w:szCs w:val="18"/>
                <w:lang w:val="en-US"/>
              </w:rPr>
            </w:pPr>
            <w:r w:rsidRPr="0074464E">
              <w:rPr>
                <w:rFonts w:cs="Arial"/>
                <w:i/>
                <w:szCs w:val="18"/>
                <w:lang w:val="en-US"/>
              </w:rPr>
              <w:t>-a</w:t>
            </w:r>
          </w:p>
        </w:tc>
        <w:tc>
          <w:tcPr>
            <w:tcW w:w="4956" w:type="dxa"/>
            <w:vAlign w:val="center"/>
          </w:tcPr>
          <w:p w14:paraId="64F80430" w14:textId="77777777" w:rsidR="00DC2A25" w:rsidRPr="0074464E" w:rsidRDefault="00DC2A25" w:rsidP="000F0097">
            <w:pPr>
              <w:tabs>
                <w:tab w:val="left" w:pos="426"/>
              </w:tabs>
              <w:spacing w:line="240" w:lineRule="auto"/>
              <w:ind w:left="113" w:right="113"/>
              <w:jc w:val="center"/>
              <w:rPr>
                <w:rFonts w:cs="Arial"/>
                <w:i/>
                <w:szCs w:val="18"/>
                <w:lang w:val="en-US"/>
              </w:rPr>
            </w:pPr>
            <w:r w:rsidRPr="0074464E">
              <w:rPr>
                <w:rFonts w:cs="Arial"/>
                <w:i/>
                <w:szCs w:val="18"/>
                <w:lang w:val="en-US"/>
              </w:rPr>
              <w:t>-b</w:t>
            </w:r>
          </w:p>
        </w:tc>
        <w:tc>
          <w:tcPr>
            <w:tcW w:w="429" w:type="dxa"/>
            <w:textDirection w:val="btLr"/>
            <w:vAlign w:val="center"/>
          </w:tcPr>
          <w:p w14:paraId="19C59C80" w14:textId="77777777" w:rsidR="00DC2A25" w:rsidRPr="0074464E" w:rsidRDefault="00DC2A25" w:rsidP="000F0097">
            <w:pPr>
              <w:tabs>
                <w:tab w:val="left" w:pos="426"/>
              </w:tabs>
              <w:spacing w:line="240" w:lineRule="auto"/>
              <w:ind w:left="113" w:right="113"/>
              <w:jc w:val="center"/>
              <w:rPr>
                <w:rFonts w:cs="Arial"/>
                <w:szCs w:val="18"/>
                <w:lang w:val="en-US"/>
              </w:rPr>
            </w:pPr>
          </w:p>
        </w:tc>
      </w:tr>
      <w:tr w:rsidR="00DC2A25" w:rsidRPr="0074464E" w14:paraId="643F5F10" w14:textId="77777777" w:rsidTr="004E560E">
        <w:trPr>
          <w:gridAfter w:val="1"/>
          <w:wAfter w:w="429" w:type="dxa"/>
          <w:cantSplit/>
          <w:trHeight w:val="370"/>
          <w:jc w:val="center"/>
        </w:trPr>
        <w:tc>
          <w:tcPr>
            <w:tcW w:w="9792" w:type="dxa"/>
            <w:gridSpan w:val="2"/>
            <w:vAlign w:val="center"/>
          </w:tcPr>
          <w:p w14:paraId="391B37FB" w14:textId="67A82E2B" w:rsidR="00DC2A25" w:rsidRPr="0074464E" w:rsidRDefault="00DC2A25" w:rsidP="000F0097">
            <w:pPr>
              <w:tabs>
                <w:tab w:val="left" w:pos="426"/>
              </w:tabs>
              <w:spacing w:line="240" w:lineRule="auto"/>
              <w:ind w:left="113" w:right="113"/>
              <w:rPr>
                <w:rFonts w:cs="Arial"/>
                <w:i/>
                <w:szCs w:val="18"/>
                <w:lang w:val="en-US"/>
              </w:rPr>
            </w:pPr>
            <w:bookmarkStart w:id="4" w:name="_Ref532138108"/>
            <w:r w:rsidRPr="0074464E">
              <w:rPr>
                <w:rFonts w:cs="Arial"/>
                <w:i/>
                <w:szCs w:val="18"/>
                <w:lang w:val="en-US"/>
              </w:rPr>
              <w:t xml:space="preserve">Figure </w:t>
            </w:r>
            <w:r w:rsidRPr="0074464E">
              <w:rPr>
                <w:rFonts w:cs="Arial"/>
                <w:i/>
                <w:szCs w:val="18"/>
                <w:lang w:val="en-US"/>
              </w:rPr>
              <w:fldChar w:fldCharType="begin"/>
            </w:r>
            <w:r w:rsidRPr="0074464E">
              <w:rPr>
                <w:rFonts w:cs="Arial"/>
                <w:i/>
                <w:szCs w:val="18"/>
                <w:lang w:val="en-US"/>
              </w:rPr>
              <w:instrText xml:space="preserve"> SEQ Figure \* ARABIC </w:instrText>
            </w:r>
            <w:r w:rsidRPr="0074464E">
              <w:rPr>
                <w:rFonts w:cs="Arial"/>
                <w:i/>
                <w:szCs w:val="18"/>
                <w:lang w:val="en-US"/>
              </w:rPr>
              <w:fldChar w:fldCharType="separate"/>
            </w:r>
            <w:r w:rsidR="005B081F">
              <w:rPr>
                <w:rFonts w:cs="Arial"/>
                <w:i/>
                <w:noProof/>
                <w:szCs w:val="18"/>
                <w:lang w:val="en-US"/>
              </w:rPr>
              <w:t>1</w:t>
            </w:r>
            <w:r w:rsidRPr="0074464E">
              <w:rPr>
                <w:rFonts w:cs="Arial"/>
                <w:i/>
                <w:szCs w:val="18"/>
                <w:lang w:val="en-US"/>
              </w:rPr>
              <w:fldChar w:fldCharType="end"/>
            </w:r>
            <w:bookmarkEnd w:id="4"/>
            <w:r w:rsidRPr="0074464E">
              <w:rPr>
                <w:rFonts w:cs="Arial"/>
                <w:i/>
                <w:szCs w:val="18"/>
                <w:lang w:val="en-US"/>
              </w:rPr>
              <w:t xml:space="preserve">: Spline fitting of rheometer curves after non-linear least squares optimization (-a) and comparison between numerical and experimental vulcanization rates (-b). </w:t>
            </w:r>
          </w:p>
        </w:tc>
      </w:tr>
    </w:tbl>
    <w:p w14:paraId="5552BE91" w14:textId="6CC9B26D" w:rsidR="00411ECD" w:rsidRDefault="00411ECD" w:rsidP="00230163">
      <w:pPr>
        <w:spacing w:line="240" w:lineRule="auto"/>
        <w:rPr>
          <w:rFonts w:cs="Arial"/>
          <w:szCs w:val="18"/>
          <w:lang w:eastAsia="it-IT"/>
        </w:rPr>
      </w:pPr>
      <w:r w:rsidRPr="00A5047F">
        <w:rPr>
          <w:rFonts w:cs="Arial"/>
          <w:szCs w:val="18"/>
          <w:lang w:val="en-US" w:eastAsia="it-IT"/>
        </w:rPr>
        <w:lastRenderedPageBreak/>
        <w:t>Han et al.</w:t>
      </w:r>
      <w:r w:rsidRPr="00A5047F">
        <w:rPr>
          <w:rFonts w:cs="Arial"/>
          <w:szCs w:val="18"/>
          <w:vertAlign w:val="superscript"/>
          <w:lang w:val="en-US"/>
        </w:rPr>
        <w:t xml:space="preserve"> </w:t>
      </w:r>
      <w:r w:rsidRPr="00A5047F">
        <w:rPr>
          <w:rFonts w:cs="Arial"/>
          <w:szCs w:val="18"/>
          <w:lang w:val="en-US"/>
        </w:rPr>
        <w:t xml:space="preserve">(1998) </w:t>
      </w:r>
      <w:r w:rsidRPr="00A5047F">
        <w:rPr>
          <w:rFonts w:cs="Arial"/>
          <w:szCs w:val="18"/>
          <w:lang w:val="en-US" w:eastAsia="it-IT"/>
        </w:rPr>
        <w:t xml:space="preserve">suggest to evaluate kinetic constants by means of standard least-squares best fitting on experimental (or regularized) data, but Milani et al. </w:t>
      </w:r>
      <w:r w:rsidRPr="00A5047F">
        <w:rPr>
          <w:rFonts w:cs="Arial"/>
          <w:szCs w:val="18"/>
          <w:lang w:val="en-US"/>
        </w:rPr>
        <w:t>(2015)</w:t>
      </w:r>
      <w:r w:rsidRPr="00A5047F">
        <w:rPr>
          <w:rFonts w:cs="Arial"/>
          <w:szCs w:val="18"/>
          <w:lang w:val="en-US" w:eastAsia="it-IT"/>
        </w:rPr>
        <w:t xml:space="preserve"> ha</w:t>
      </w:r>
      <w:r w:rsidRPr="0074464E">
        <w:rPr>
          <w:rFonts w:cs="Arial"/>
          <w:szCs w:val="18"/>
          <w:lang w:val="en-US" w:eastAsia="it-IT"/>
        </w:rPr>
        <w:t>ve recently proposed a more efficient approach where kinetic constants are estimated in quasi-closed form.</w:t>
      </w:r>
    </w:p>
    <w:p w14:paraId="5BC5F217" w14:textId="10CEF011" w:rsidR="00AA7564" w:rsidRPr="0074464E" w:rsidRDefault="00AA7564" w:rsidP="00230163">
      <w:pPr>
        <w:spacing w:line="240" w:lineRule="auto"/>
        <w:rPr>
          <w:rFonts w:cs="Arial"/>
          <w:szCs w:val="18"/>
          <w:lang w:val="en-US" w:eastAsia="it-IT"/>
        </w:rPr>
      </w:pPr>
      <w:r w:rsidRPr="0074464E">
        <w:rPr>
          <w:rFonts w:cs="Arial"/>
          <w:szCs w:val="18"/>
          <w:lang w:val="en-US" w:eastAsia="it-IT"/>
        </w:rPr>
        <w:t xml:space="preserve">This latter approach is adopted here and it consists in the following simple steps. In step 1, </w:t>
      </w:r>
      <w:r w:rsidRPr="007B0F18">
        <w:rPr>
          <w:rFonts w:cs="Arial"/>
          <w:i/>
          <w:szCs w:val="18"/>
          <w:lang w:val="en-US" w:eastAsia="it-IT"/>
        </w:rPr>
        <w:t>K</w:t>
      </w:r>
      <w:r w:rsidRPr="007B0F18">
        <w:rPr>
          <w:rFonts w:cs="Arial"/>
          <w:szCs w:val="18"/>
          <w:vertAlign w:val="subscript"/>
          <w:lang w:val="en-US" w:eastAsia="it-IT"/>
        </w:rPr>
        <w:t>1</w:t>
      </w:r>
      <w:r>
        <w:rPr>
          <w:rFonts w:cs="Arial"/>
          <w:szCs w:val="18"/>
          <w:lang w:val="en-US" w:eastAsia="it-IT"/>
        </w:rPr>
        <w:t xml:space="preserve"> and </w:t>
      </w:r>
      <w:r w:rsidRPr="007B0F18">
        <w:rPr>
          <w:rFonts w:cs="Arial"/>
          <w:i/>
          <w:szCs w:val="18"/>
          <w:lang w:val="en-US" w:eastAsia="it-IT"/>
        </w:rPr>
        <w:t>K</w:t>
      </w:r>
      <w:r w:rsidRPr="007B0F18">
        <w:rPr>
          <w:rFonts w:cs="Arial"/>
          <w:szCs w:val="18"/>
          <w:vertAlign w:val="subscript"/>
          <w:lang w:val="en-US" w:eastAsia="it-IT"/>
        </w:rPr>
        <w:t>2</w:t>
      </w:r>
      <w:r>
        <w:rPr>
          <w:rFonts w:cs="Arial"/>
          <w:szCs w:val="18"/>
          <w:lang w:val="en-US" w:eastAsia="it-IT"/>
        </w:rPr>
        <w:t xml:space="preserve"> constants </w:t>
      </w:r>
      <w:r w:rsidRPr="0074464E">
        <w:rPr>
          <w:rFonts w:cs="Arial"/>
          <w:szCs w:val="18"/>
          <w:lang w:val="en-US" w:eastAsia="it-IT"/>
        </w:rPr>
        <w:t>are estimated knowing the crosslinking density at the end of the experimental test (</w:t>
      </w:r>
      <w:r w:rsidRPr="0074464E">
        <w:rPr>
          <w:rFonts w:cs="Arial"/>
          <w:position w:val="-10"/>
          <w:szCs w:val="18"/>
          <w:lang w:val="en-US" w:eastAsia="it-IT"/>
        </w:rPr>
        <w:object w:dxaOrig="279" w:dyaOrig="279" w14:anchorId="1CBD5A04">
          <v:shape id="_x0000_i1035" type="#_x0000_t75" style="width:15pt;height:15pt" o:ole="">
            <v:imagedata r:id="rId35" o:title=""/>
          </v:shape>
          <o:OLEObject Type="Embed" ProgID="Equation.DSMT4" ShapeID="_x0000_i1035" DrawAspect="Content" ObjectID="_1616129067" r:id="rId36"/>
        </w:object>
      </w:r>
      <w:r w:rsidRPr="0074464E">
        <w:rPr>
          <w:rFonts w:cs="Arial"/>
          <w:szCs w:val="18"/>
          <w:lang w:val="en-US" w:eastAsia="it-IT"/>
        </w:rPr>
        <w:t>) and the vulcanization rate at scorch (</w:t>
      </w:r>
      <w:r w:rsidRPr="0074464E">
        <w:rPr>
          <w:rFonts w:cs="Arial"/>
          <w:position w:val="-10"/>
          <w:szCs w:val="18"/>
          <w:lang w:val="en-US" w:eastAsia="it-IT"/>
        </w:rPr>
        <w:object w:dxaOrig="320" w:dyaOrig="279" w14:anchorId="27331AA7">
          <v:shape id="_x0000_i1036" type="#_x0000_t75" style="width:15.75pt;height:15pt" o:ole="">
            <v:imagedata r:id="rId37" o:title=""/>
          </v:shape>
          <o:OLEObject Type="Embed" ProgID="Equation.DSMT4" ShapeID="_x0000_i1036" DrawAspect="Content" ObjectID="_1616129068" r:id="rId38"/>
        </w:object>
      </w:r>
      <w:r w:rsidRPr="0074464E">
        <w:rPr>
          <w:rFonts w:cs="Arial"/>
          <w:szCs w:val="18"/>
          <w:lang w:val="en-US" w:eastAsia="it-IT"/>
        </w:rPr>
        <w:t xml:space="preserve">), as </w:t>
      </w:r>
      <w:r w:rsidR="001D7C9E" w:rsidRPr="007B0F18">
        <w:rPr>
          <w:rFonts w:cs="Arial"/>
          <w:i/>
          <w:szCs w:val="18"/>
          <w:lang w:val="en-US" w:eastAsia="it-IT"/>
        </w:rPr>
        <w:t>K</w:t>
      </w:r>
      <w:r w:rsidR="001D7C9E" w:rsidRPr="007B0F18">
        <w:rPr>
          <w:rFonts w:cs="Arial"/>
          <w:szCs w:val="18"/>
          <w:vertAlign w:val="subscript"/>
          <w:lang w:val="en-US" w:eastAsia="it-IT"/>
        </w:rPr>
        <w:t>2</w:t>
      </w:r>
      <w:r w:rsidR="001D7C9E">
        <w:rPr>
          <w:rFonts w:cs="Arial"/>
          <w:szCs w:val="18"/>
          <w:lang w:val="en-US" w:eastAsia="it-IT"/>
        </w:rPr>
        <w:t>=</w:t>
      </w:r>
      <w:r w:rsidR="00230163" w:rsidRPr="0074464E">
        <w:rPr>
          <w:rFonts w:cs="Arial"/>
          <w:position w:val="-10"/>
          <w:szCs w:val="18"/>
          <w:lang w:val="en-US" w:eastAsia="it-IT"/>
        </w:rPr>
        <w:object w:dxaOrig="320" w:dyaOrig="279" w14:anchorId="75898621">
          <v:shape id="_x0000_i1037" type="#_x0000_t75" style="width:15.75pt;height:15pt" o:ole="">
            <v:imagedata r:id="rId37" o:title=""/>
          </v:shape>
          <o:OLEObject Type="Embed" ProgID="Equation.DSMT4" ShapeID="_x0000_i1037" DrawAspect="Content" ObjectID="_1616129069" r:id="rId39"/>
        </w:object>
      </w:r>
      <w:r w:rsidR="00230163">
        <w:rPr>
          <w:rFonts w:cs="Arial"/>
          <w:szCs w:val="18"/>
          <w:lang w:val="en-US" w:eastAsia="it-IT"/>
        </w:rPr>
        <w:t>(1-</w:t>
      </w:r>
      <w:r w:rsidR="00230163" w:rsidRPr="0074464E">
        <w:rPr>
          <w:rFonts w:cs="Arial"/>
          <w:position w:val="-10"/>
          <w:szCs w:val="18"/>
          <w:lang w:val="en-US" w:eastAsia="it-IT"/>
        </w:rPr>
        <w:object w:dxaOrig="279" w:dyaOrig="279" w14:anchorId="1D636E7A">
          <v:shape id="_x0000_i1038" type="#_x0000_t75" style="width:15pt;height:15pt" o:ole="">
            <v:imagedata r:id="rId35" o:title=""/>
          </v:shape>
          <o:OLEObject Type="Embed" ProgID="Equation.DSMT4" ShapeID="_x0000_i1038" DrawAspect="Content" ObjectID="_1616129070" r:id="rId40"/>
        </w:object>
      </w:r>
      <w:r w:rsidR="00230163">
        <w:rPr>
          <w:rFonts w:cs="Arial"/>
          <w:szCs w:val="18"/>
          <w:lang w:val="en-US" w:eastAsia="it-IT"/>
        </w:rPr>
        <w:t xml:space="preserve">) and </w:t>
      </w:r>
      <w:r w:rsidR="00230163" w:rsidRPr="007B0F18">
        <w:rPr>
          <w:rFonts w:cs="Arial"/>
          <w:i/>
          <w:szCs w:val="18"/>
          <w:lang w:val="en-US" w:eastAsia="it-IT"/>
        </w:rPr>
        <w:t>K</w:t>
      </w:r>
      <w:r w:rsidR="00230163">
        <w:rPr>
          <w:rFonts w:cs="Arial"/>
          <w:szCs w:val="18"/>
          <w:vertAlign w:val="subscript"/>
          <w:lang w:val="en-US" w:eastAsia="it-IT"/>
        </w:rPr>
        <w:t>1</w:t>
      </w:r>
      <w:r w:rsidR="00230163">
        <w:rPr>
          <w:rFonts w:cs="Arial"/>
          <w:szCs w:val="18"/>
          <w:lang w:val="en-US" w:eastAsia="it-IT"/>
        </w:rPr>
        <w:t>=</w:t>
      </w:r>
      <w:r w:rsidR="00230163" w:rsidRPr="0074464E">
        <w:rPr>
          <w:rFonts w:cs="Arial"/>
          <w:position w:val="-10"/>
          <w:szCs w:val="18"/>
          <w:lang w:val="en-US" w:eastAsia="it-IT"/>
        </w:rPr>
        <w:object w:dxaOrig="320" w:dyaOrig="279" w14:anchorId="180B793C">
          <v:shape id="_x0000_i1039" type="#_x0000_t75" style="width:15.75pt;height:15pt" o:ole="">
            <v:imagedata r:id="rId37" o:title=""/>
          </v:shape>
          <o:OLEObject Type="Embed" ProgID="Equation.DSMT4" ShapeID="_x0000_i1039" DrawAspect="Content" ObjectID="_1616129071" r:id="rId41"/>
        </w:object>
      </w:r>
      <w:r w:rsidR="00230163" w:rsidRPr="0074464E">
        <w:rPr>
          <w:rFonts w:cs="Arial"/>
          <w:position w:val="-10"/>
          <w:szCs w:val="18"/>
          <w:lang w:val="en-US" w:eastAsia="it-IT"/>
        </w:rPr>
        <w:object w:dxaOrig="279" w:dyaOrig="279" w14:anchorId="0B36B9C2">
          <v:shape id="_x0000_i1040" type="#_x0000_t75" style="width:15pt;height:15pt" o:ole="">
            <v:imagedata r:id="rId35" o:title=""/>
          </v:shape>
          <o:OLEObject Type="Embed" ProgID="Equation.DSMT4" ShapeID="_x0000_i1040" DrawAspect="Content" ObjectID="_1616129072" r:id="rId42"/>
        </w:object>
      </w:r>
      <w:r w:rsidR="009C0A6F">
        <w:rPr>
          <w:rFonts w:cs="Arial"/>
          <w:szCs w:val="18"/>
          <w:lang w:val="en-US" w:eastAsia="it-IT"/>
        </w:rPr>
        <w:t xml:space="preserve">. </w:t>
      </w:r>
      <w:r w:rsidRPr="0074464E">
        <w:rPr>
          <w:rFonts w:cs="Arial"/>
          <w:szCs w:val="18"/>
          <w:lang w:val="en-US" w:eastAsia="it-IT"/>
        </w:rPr>
        <w:t xml:space="preserve">Assuming the vulcanization degree </w:t>
      </w:r>
      <w:r w:rsidRPr="0074464E">
        <w:rPr>
          <w:rFonts w:cs="Arial"/>
          <w:position w:val="-10"/>
          <w:szCs w:val="18"/>
          <w:lang w:val="en-US" w:eastAsia="it-IT"/>
        </w:rPr>
        <w:object w:dxaOrig="320" w:dyaOrig="340" w14:anchorId="7E6B7748">
          <v:shape id="_x0000_i1041" type="#_x0000_t75" style="width:15.75pt;height:17.25pt" o:ole="">
            <v:imagedata r:id="rId43" o:title=""/>
          </v:shape>
          <o:OLEObject Type="Embed" ProgID="Equation.3" ShapeID="_x0000_i1041" DrawAspect="Content" ObjectID="_1616129073" r:id="rId44"/>
        </w:object>
      </w:r>
      <w:r w:rsidRPr="0074464E">
        <w:rPr>
          <w:rFonts w:cs="Arial"/>
          <w:szCs w:val="18"/>
          <w:lang w:val="en-US" w:eastAsia="it-IT"/>
        </w:rPr>
        <w:t xml:space="preserve"> known at a certain </w:t>
      </w:r>
      <w:r w:rsidRPr="00254A1A">
        <w:rPr>
          <w:rFonts w:cs="Arial"/>
          <w:i/>
          <w:szCs w:val="18"/>
          <w:lang w:val="en-US" w:eastAsia="it-IT"/>
        </w:rPr>
        <w:t>t</w:t>
      </w:r>
      <w:r w:rsidRPr="00254A1A">
        <w:rPr>
          <w:rFonts w:cs="Arial"/>
          <w:i/>
          <w:szCs w:val="18"/>
          <w:vertAlign w:val="subscript"/>
          <w:lang w:val="en-US" w:eastAsia="it-IT"/>
        </w:rPr>
        <w:t>P</w:t>
      </w:r>
      <w:r w:rsidRPr="0074464E">
        <w:rPr>
          <w:rFonts w:cs="Arial"/>
          <w:szCs w:val="18"/>
          <w:lang w:val="en-US" w:eastAsia="it-IT"/>
        </w:rPr>
        <w:t xml:space="preserve">, </w:t>
      </w:r>
      <w:r w:rsidRPr="007B0F18">
        <w:rPr>
          <w:rFonts w:cs="Arial"/>
          <w:i/>
          <w:szCs w:val="18"/>
          <w:lang w:val="en-US" w:eastAsia="it-IT"/>
        </w:rPr>
        <w:t>K</w:t>
      </w:r>
      <w:r>
        <w:rPr>
          <w:rFonts w:cs="Arial"/>
          <w:szCs w:val="18"/>
          <w:vertAlign w:val="subscript"/>
          <w:lang w:val="en-US" w:eastAsia="it-IT"/>
        </w:rPr>
        <w:t>3</w:t>
      </w:r>
      <w:r w:rsidRPr="0074464E">
        <w:rPr>
          <w:rFonts w:cs="Arial"/>
          <w:szCs w:val="18"/>
          <w:lang w:val="en-US" w:eastAsia="it-IT"/>
        </w:rPr>
        <w:t xml:space="preserve"> is estimated graphically in the second step as the intersection between the following curves:</w:t>
      </w:r>
    </w:p>
    <w:tbl>
      <w:tblPr>
        <w:tblStyle w:val="Grigliatabel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567"/>
      </w:tblGrid>
      <w:tr w:rsidR="00AA7564" w:rsidRPr="0074464E" w14:paraId="024CE05A" w14:textId="77777777" w:rsidTr="005133A8">
        <w:tc>
          <w:tcPr>
            <w:tcW w:w="8222" w:type="dxa"/>
          </w:tcPr>
          <w:p w14:paraId="201CD722" w14:textId="1136BF8E" w:rsidR="00AA7564" w:rsidRPr="0074464E" w:rsidRDefault="005133A8" w:rsidP="00E43AF7">
            <w:pPr>
              <w:rPr>
                <w:rFonts w:cs="Arial"/>
                <w:szCs w:val="18"/>
                <w:lang w:val="en-US"/>
              </w:rPr>
            </w:pPr>
            <w:r w:rsidRPr="0074464E">
              <w:rPr>
                <w:rFonts w:cs="Arial"/>
                <w:position w:val="-24"/>
                <w:szCs w:val="18"/>
                <w:lang w:val="en-US"/>
              </w:rPr>
              <w:object w:dxaOrig="3560" w:dyaOrig="580" w14:anchorId="7BCC1158">
                <v:shape id="_x0000_i1042" type="#_x0000_t75" style="width:155.25pt;height:23.25pt" o:ole="">
                  <v:imagedata r:id="rId45" o:title=""/>
                </v:shape>
                <o:OLEObject Type="Embed" ProgID="Equation.DSMT4" ShapeID="_x0000_i1042" DrawAspect="Content" ObjectID="_1616129074" r:id="rId46"/>
              </w:object>
            </w:r>
            <w:r w:rsidR="00527ED0" w:rsidRPr="0074464E">
              <w:rPr>
                <w:rFonts w:cs="Arial"/>
                <w:position w:val="-24"/>
                <w:szCs w:val="18"/>
                <w:lang w:val="en-US" w:eastAsia="it-IT"/>
              </w:rPr>
              <w:object w:dxaOrig="2220" w:dyaOrig="740" w14:anchorId="5EC2577A">
                <v:shape id="_x0000_i1043" type="#_x0000_t75" style="width:86.25pt;height:29.25pt" o:ole="">
                  <v:imagedata r:id="rId47" o:title=""/>
                </v:shape>
                <o:OLEObject Type="Embed" ProgID="Equation.DSMT4" ShapeID="_x0000_i1043" DrawAspect="Content" ObjectID="_1616129075" r:id="rId48"/>
              </w:object>
            </w:r>
            <w:r w:rsidRPr="0074464E">
              <w:rPr>
                <w:rFonts w:cs="Arial"/>
                <w:position w:val="-10"/>
                <w:szCs w:val="18"/>
              </w:rPr>
              <w:object w:dxaOrig="1540" w:dyaOrig="360" w14:anchorId="60A2BC8F">
                <v:shape id="_x0000_i1044" type="#_x0000_t75" style="width:69pt;height:16.5pt" o:ole="">
                  <v:imagedata r:id="rId49" o:title=""/>
                </v:shape>
                <o:OLEObject Type="Embed" ProgID="Equation.DSMT4" ShapeID="_x0000_i1044" DrawAspect="Content" ObjectID="_1616129076" r:id="rId50"/>
              </w:object>
            </w:r>
            <w:r w:rsidR="00AA7564" w:rsidRPr="0074464E">
              <w:rPr>
                <w:rFonts w:cs="Arial"/>
                <w:position w:val="-10"/>
                <w:szCs w:val="18"/>
                <w:lang w:val="en-US" w:eastAsia="it-IT"/>
              </w:rPr>
              <w:object w:dxaOrig="680" w:dyaOrig="279" w14:anchorId="5E28A099">
                <v:shape id="_x0000_i1045" type="#_x0000_t75" style="width:34.5pt;height:14.25pt" o:ole="">
                  <v:imagedata r:id="rId51" o:title=""/>
                </v:shape>
                <o:OLEObject Type="Embed" ProgID="Equation.DSMT4" ShapeID="_x0000_i1045" DrawAspect="Content" ObjectID="_1616129077" r:id="rId52"/>
              </w:object>
            </w:r>
            <w:r w:rsidRPr="0074464E">
              <w:rPr>
                <w:rFonts w:cs="Arial"/>
                <w:position w:val="-10"/>
                <w:szCs w:val="18"/>
                <w:lang w:val="en-US" w:eastAsia="it-IT"/>
              </w:rPr>
              <w:object w:dxaOrig="1020" w:dyaOrig="279" w14:anchorId="57A607F0">
                <v:shape id="_x0000_i1046" type="#_x0000_t75" style="width:42.75pt;height:12.75pt" o:ole="">
                  <v:imagedata r:id="rId53" o:title=""/>
                </v:shape>
                <o:OLEObject Type="Embed" ProgID="Equation.DSMT4" ShapeID="_x0000_i1046" DrawAspect="Content" ObjectID="_1616129078" r:id="rId54"/>
              </w:object>
            </w:r>
          </w:p>
        </w:tc>
        <w:tc>
          <w:tcPr>
            <w:tcW w:w="567" w:type="dxa"/>
            <w:vAlign w:val="center"/>
          </w:tcPr>
          <w:p w14:paraId="0D75FBE3" w14:textId="779E1D70" w:rsidR="00AA7564" w:rsidRPr="0074464E" w:rsidRDefault="00AA7564" w:rsidP="00E43AF7">
            <w:pPr>
              <w:pStyle w:val="Didascalia"/>
              <w:jc w:val="right"/>
              <w:rPr>
                <w:rFonts w:cs="Arial"/>
                <w:b w:val="0"/>
                <w:color w:val="auto"/>
              </w:rPr>
            </w:pPr>
            <w:r w:rsidRPr="0074464E">
              <w:rPr>
                <w:rFonts w:cs="Arial"/>
                <w:b w:val="0"/>
                <w:color w:val="auto"/>
              </w:rPr>
              <w:t xml:space="preserve">( </w:t>
            </w:r>
            <w:r w:rsidRPr="0074464E">
              <w:rPr>
                <w:rFonts w:cs="Arial"/>
                <w:b w:val="0"/>
                <w:color w:val="auto"/>
              </w:rPr>
              <w:fldChar w:fldCharType="begin"/>
            </w:r>
            <w:r w:rsidRPr="0074464E">
              <w:rPr>
                <w:rFonts w:cs="Arial"/>
                <w:b w:val="0"/>
                <w:color w:val="auto"/>
              </w:rPr>
              <w:instrText xml:space="preserve"> SEQ ( \* ARABIC </w:instrText>
            </w:r>
            <w:r w:rsidRPr="0074464E">
              <w:rPr>
                <w:rFonts w:cs="Arial"/>
                <w:b w:val="0"/>
                <w:color w:val="auto"/>
              </w:rPr>
              <w:fldChar w:fldCharType="separate"/>
            </w:r>
            <w:r w:rsidR="005B081F">
              <w:rPr>
                <w:rFonts w:cs="Arial"/>
                <w:b w:val="0"/>
                <w:noProof/>
                <w:color w:val="auto"/>
              </w:rPr>
              <w:t>4</w:t>
            </w:r>
            <w:r w:rsidRPr="0074464E">
              <w:rPr>
                <w:rFonts w:cs="Arial"/>
                <w:b w:val="0"/>
                <w:color w:val="auto"/>
              </w:rPr>
              <w:fldChar w:fldCharType="end"/>
            </w:r>
            <w:r w:rsidRPr="0074464E">
              <w:rPr>
                <w:rFonts w:cs="Arial"/>
                <w:b w:val="0"/>
                <w:color w:val="auto"/>
              </w:rPr>
              <w:t xml:space="preserve"> )</w:t>
            </w:r>
          </w:p>
        </w:tc>
      </w:tr>
    </w:tbl>
    <w:p w14:paraId="5A47889A" w14:textId="77777777" w:rsidR="00AA7564" w:rsidRPr="0074464E" w:rsidRDefault="00AA7564" w:rsidP="00AA7564">
      <w:pPr>
        <w:rPr>
          <w:rFonts w:cs="Arial"/>
          <w:szCs w:val="18"/>
          <w:lang w:val="en-US" w:eastAsia="it-IT"/>
        </w:rPr>
      </w:pPr>
      <w:r w:rsidRPr="0074464E">
        <w:rPr>
          <w:rFonts w:cs="Arial"/>
          <w:szCs w:val="18"/>
          <w:lang w:val="en-US" w:eastAsia="it-IT"/>
        </w:rPr>
        <w:t xml:space="preserve">Where </w:t>
      </w:r>
      <w:r w:rsidRPr="00254A1A">
        <w:rPr>
          <w:rFonts w:cs="Arial"/>
          <w:i/>
          <w:szCs w:val="18"/>
          <w:lang w:val="en-US" w:eastAsia="it-IT"/>
        </w:rPr>
        <w:t>t</w:t>
      </w:r>
      <w:r w:rsidRPr="00254A1A">
        <w:rPr>
          <w:rFonts w:cs="Arial"/>
          <w:i/>
          <w:szCs w:val="18"/>
          <w:vertAlign w:val="subscript"/>
          <w:lang w:val="en-US" w:eastAsia="it-IT"/>
        </w:rPr>
        <w:t>s</w:t>
      </w:r>
      <w:r>
        <w:rPr>
          <w:rFonts w:cs="Arial"/>
          <w:szCs w:val="18"/>
          <w:lang w:val="en-US" w:eastAsia="it-IT"/>
        </w:rPr>
        <w:t xml:space="preserve"> </w:t>
      </w:r>
      <w:r w:rsidRPr="0074464E">
        <w:rPr>
          <w:rFonts w:cs="Arial"/>
          <w:szCs w:val="18"/>
          <w:lang w:val="en-US" w:eastAsia="it-IT"/>
        </w:rPr>
        <w:t>is the time at scorch.</w:t>
      </w:r>
    </w:p>
    <w:p w14:paraId="6E2EE292" w14:textId="2330C427" w:rsidR="00DC2A25" w:rsidRPr="0074464E" w:rsidRDefault="00DC2A25" w:rsidP="00DC2A25">
      <w:pPr>
        <w:pStyle w:val="CETHeading1"/>
        <w:tabs>
          <w:tab w:val="clear" w:pos="360"/>
          <w:tab w:val="right" w:pos="7100"/>
        </w:tabs>
        <w:jc w:val="both"/>
        <w:rPr>
          <w:lang w:val="en-GB"/>
        </w:rPr>
      </w:pPr>
      <w:r>
        <w:rPr>
          <w:lang w:val="en-GB"/>
        </w:rPr>
        <w:t>Industrial vulcanization or real items, FE heat transmission problem (Step 3)</w:t>
      </w:r>
    </w:p>
    <w:p w14:paraId="5D05E26A" w14:textId="1B6E4485" w:rsidR="00DC2A25" w:rsidRPr="00616F88" w:rsidRDefault="00DC2A25" w:rsidP="00DC2A25">
      <w:pPr>
        <w:rPr>
          <w:rFonts w:cs="Arial"/>
          <w:szCs w:val="18"/>
          <w:lang w:val="en-US"/>
        </w:rPr>
      </w:pPr>
      <w:r w:rsidRPr="0074464E">
        <w:rPr>
          <w:rFonts w:cs="Arial"/>
          <w:szCs w:val="18"/>
          <w:lang w:val="en-US"/>
        </w:rPr>
        <w:t xml:space="preserve">The kinetic model proposed is semi-analytic, therefore its implementation into a Finite Element FE code for the thermal analysis of 3D items </w:t>
      </w:r>
      <w:r>
        <w:rPr>
          <w:rFonts w:cs="Arial"/>
          <w:szCs w:val="18"/>
          <w:lang w:val="en-US"/>
        </w:rPr>
        <w:t xml:space="preserve">appear suitable and very </w:t>
      </w:r>
      <w:r w:rsidRPr="0074464E">
        <w:rPr>
          <w:rFonts w:cs="Arial"/>
          <w:szCs w:val="18"/>
          <w:lang w:val="en-US" w:eastAsia="it-IT"/>
        </w:rPr>
        <w:t>straightforward</w:t>
      </w:r>
      <w:r w:rsidRPr="0074464E">
        <w:rPr>
          <w:rFonts w:cs="Arial"/>
          <w:szCs w:val="18"/>
          <w:lang w:val="en-US"/>
        </w:rPr>
        <w:t xml:space="preserve">. In the most general </w:t>
      </w:r>
      <w:r w:rsidRPr="0074464E">
        <w:rPr>
          <w:rFonts w:cs="Arial"/>
          <w:szCs w:val="18"/>
          <w:lang w:val="en-US" w:eastAsia="it-IT"/>
        </w:rPr>
        <w:t>case</w:t>
      </w:r>
      <w:r w:rsidRPr="0074464E">
        <w:rPr>
          <w:rFonts w:cs="Arial"/>
          <w:szCs w:val="18"/>
          <w:lang w:val="en-US"/>
        </w:rPr>
        <w:t xml:space="preserve"> of 3D items, temperature profiles for each point of the element are obtained solving numerically Fourier’s heat transmission law:</w:t>
      </w:r>
    </w:p>
    <w:tbl>
      <w:tblPr>
        <w:tblW w:w="8931" w:type="dxa"/>
        <w:tblInd w:w="-142" w:type="dxa"/>
        <w:tblLook w:val="01E0" w:firstRow="1" w:lastRow="1" w:firstColumn="1" w:lastColumn="1" w:noHBand="0" w:noVBand="0"/>
      </w:tblPr>
      <w:tblGrid>
        <w:gridCol w:w="4592"/>
        <w:gridCol w:w="4339"/>
      </w:tblGrid>
      <w:tr w:rsidR="00DC2A25" w:rsidRPr="0074464E" w14:paraId="644623C1" w14:textId="77777777" w:rsidTr="000F0097">
        <w:tc>
          <w:tcPr>
            <w:tcW w:w="4592" w:type="dxa"/>
          </w:tcPr>
          <w:p w14:paraId="45CBF73E" w14:textId="14723C85" w:rsidR="00DC2A25" w:rsidRPr="0074464E" w:rsidRDefault="00527ED0" w:rsidP="00A85090">
            <w:pPr>
              <w:spacing w:line="240" w:lineRule="auto"/>
              <w:rPr>
                <w:rFonts w:cs="Arial"/>
                <w:szCs w:val="18"/>
                <w:lang w:val="en-US"/>
              </w:rPr>
            </w:pPr>
            <w:r w:rsidRPr="00527ED0">
              <w:rPr>
                <w:rFonts w:cs="Arial"/>
                <w:position w:val="-14"/>
                <w:szCs w:val="18"/>
                <w:lang w:val="en-US"/>
              </w:rPr>
              <w:object w:dxaOrig="3080" w:dyaOrig="380" w14:anchorId="7D46C0EC">
                <v:shape id="_x0000_i1047" type="#_x0000_t75" style="width:137.25pt;height:17.25pt" o:ole="">
                  <v:imagedata r:id="rId55" o:title=""/>
                </v:shape>
                <o:OLEObject Type="Embed" ProgID="Equation.DSMT4" ShapeID="_x0000_i1047" DrawAspect="Content" ObjectID="_1616129079" r:id="rId56"/>
              </w:object>
            </w:r>
          </w:p>
        </w:tc>
        <w:tc>
          <w:tcPr>
            <w:tcW w:w="4339" w:type="dxa"/>
            <w:vAlign w:val="center"/>
          </w:tcPr>
          <w:p w14:paraId="3CD8CD3B" w14:textId="1ED4CA20" w:rsidR="00DC2A25" w:rsidRPr="0074464E" w:rsidRDefault="00DC2A25" w:rsidP="00A85090">
            <w:pPr>
              <w:tabs>
                <w:tab w:val="left" w:pos="5280"/>
              </w:tabs>
              <w:spacing w:line="240" w:lineRule="auto"/>
              <w:jc w:val="right"/>
              <w:rPr>
                <w:rFonts w:cs="Arial"/>
                <w:szCs w:val="18"/>
                <w:lang w:val="en-US"/>
              </w:rPr>
            </w:pPr>
            <w:bookmarkStart w:id="5" w:name="_Ref175013145"/>
            <w:r w:rsidRPr="0074464E">
              <w:rPr>
                <w:rFonts w:cs="Arial"/>
                <w:szCs w:val="18"/>
                <w:lang w:val="en-US"/>
              </w:rPr>
              <w:t xml:space="preserve">( </w:t>
            </w:r>
            <w:r w:rsidRPr="0074464E">
              <w:rPr>
                <w:rFonts w:cs="Arial"/>
                <w:szCs w:val="18"/>
                <w:lang w:val="en-US"/>
              </w:rPr>
              <w:fldChar w:fldCharType="begin"/>
            </w:r>
            <w:r w:rsidRPr="0074464E">
              <w:rPr>
                <w:rFonts w:cs="Arial"/>
                <w:szCs w:val="18"/>
                <w:lang w:val="en-US"/>
              </w:rPr>
              <w:instrText xml:space="preserve"> SEQ ( \* ARABIC </w:instrText>
            </w:r>
            <w:r w:rsidRPr="0074464E">
              <w:rPr>
                <w:rFonts w:cs="Arial"/>
                <w:szCs w:val="18"/>
                <w:lang w:val="en-US"/>
              </w:rPr>
              <w:fldChar w:fldCharType="separate"/>
            </w:r>
            <w:r w:rsidR="005B081F">
              <w:rPr>
                <w:rFonts w:cs="Arial"/>
                <w:noProof/>
                <w:szCs w:val="18"/>
                <w:lang w:val="en-US"/>
              </w:rPr>
              <w:t>5</w:t>
            </w:r>
            <w:r w:rsidRPr="0074464E">
              <w:rPr>
                <w:rFonts w:cs="Arial"/>
                <w:szCs w:val="18"/>
                <w:lang w:val="en-US"/>
              </w:rPr>
              <w:fldChar w:fldCharType="end"/>
            </w:r>
            <w:r w:rsidRPr="0074464E">
              <w:rPr>
                <w:rFonts w:cs="Arial"/>
                <w:szCs w:val="18"/>
                <w:lang w:val="en-US"/>
              </w:rPr>
              <w:t xml:space="preserve"> )</w:t>
            </w:r>
            <w:bookmarkEnd w:id="5"/>
          </w:p>
        </w:tc>
      </w:tr>
    </w:tbl>
    <w:p w14:paraId="71D67C5A" w14:textId="77777777" w:rsidR="00DC2A25" w:rsidRPr="0074464E" w:rsidRDefault="00DC2A25" w:rsidP="00A85090">
      <w:pPr>
        <w:spacing w:line="240" w:lineRule="auto"/>
        <w:rPr>
          <w:rFonts w:cs="Arial"/>
          <w:szCs w:val="18"/>
          <w:lang w:val="en-US"/>
        </w:rPr>
      </w:pPr>
      <w:r w:rsidRPr="0074464E">
        <w:rPr>
          <w:rFonts w:cs="Arial"/>
          <w:szCs w:val="18"/>
          <w:lang w:val="en-US"/>
        </w:rPr>
        <w:t xml:space="preserve">where </w:t>
      </w:r>
      <w:r>
        <w:rPr>
          <w:rFonts w:ascii="GreekC" w:hAnsi="GreekC" w:cs="GreekC"/>
          <w:szCs w:val="18"/>
          <w:lang w:val="en-US"/>
        </w:rPr>
        <w:t>r</w:t>
      </w:r>
      <w:r w:rsidRPr="00456D27">
        <w:rPr>
          <w:rFonts w:cs="Arial"/>
          <w:szCs w:val="18"/>
          <w:vertAlign w:val="subscript"/>
          <w:lang w:val="en-US"/>
        </w:rPr>
        <w:t>p</w:t>
      </w:r>
      <w:r w:rsidRPr="0074464E">
        <w:rPr>
          <w:rFonts w:cs="Arial"/>
          <w:szCs w:val="18"/>
          <w:lang w:val="en-US"/>
        </w:rPr>
        <w:t xml:space="preserve">, </w:t>
      </w:r>
      <w:r w:rsidRPr="00A85090">
        <w:rPr>
          <w:rFonts w:cs="Arial"/>
          <w:szCs w:val="18"/>
          <w:lang w:val="en-US"/>
        </w:rPr>
        <w:t>c</w:t>
      </w:r>
      <w:r w:rsidRPr="00456D27">
        <w:rPr>
          <w:rFonts w:cs="Arial"/>
          <w:i/>
          <w:szCs w:val="18"/>
          <w:vertAlign w:val="subscript"/>
          <w:lang w:val="en-US"/>
        </w:rPr>
        <w:t>p</w:t>
      </w:r>
      <w:r w:rsidRPr="00456D27">
        <w:rPr>
          <w:rFonts w:cs="Arial"/>
          <w:i/>
          <w:szCs w:val="18"/>
          <w:vertAlign w:val="superscript"/>
          <w:lang w:val="en-US"/>
        </w:rPr>
        <w:t>p</w:t>
      </w:r>
      <w:r w:rsidRPr="0074464E">
        <w:rPr>
          <w:rFonts w:cs="Arial"/>
          <w:szCs w:val="18"/>
          <w:lang w:val="en-US"/>
        </w:rPr>
        <w:t xml:space="preserve"> and </w:t>
      </w:r>
      <w:r>
        <w:rPr>
          <w:rFonts w:ascii="GreekC" w:hAnsi="GreekC" w:cs="GreekC"/>
          <w:szCs w:val="18"/>
          <w:lang w:val="en-US"/>
        </w:rPr>
        <w:t>λ</w:t>
      </w:r>
      <w:r w:rsidRPr="00456D27">
        <w:rPr>
          <w:rFonts w:cs="Arial"/>
          <w:szCs w:val="18"/>
          <w:vertAlign w:val="subscript"/>
          <w:lang w:val="en-US"/>
        </w:rPr>
        <w:t>p</w:t>
      </w:r>
      <w:r w:rsidRPr="0074464E">
        <w:rPr>
          <w:rFonts w:cs="Arial"/>
          <w:szCs w:val="18"/>
          <w:lang w:val="en-US"/>
        </w:rPr>
        <w:t xml:space="preserve"> are </w:t>
      </w:r>
      <w:r w:rsidRPr="0074464E">
        <w:rPr>
          <w:rFonts w:cs="Arial"/>
          <w:szCs w:val="18"/>
          <w:lang w:val="en-US" w:eastAsia="it-IT"/>
        </w:rPr>
        <w:t>rubber</w:t>
      </w:r>
      <w:r w:rsidRPr="0074464E">
        <w:rPr>
          <w:rFonts w:cs="Arial"/>
          <w:szCs w:val="18"/>
          <w:lang w:val="en-US"/>
        </w:rPr>
        <w:t xml:space="preserve"> density, specific heat capacity and heat conductivity respectively</w:t>
      </w:r>
      <w:r>
        <w:rPr>
          <w:rFonts w:cs="Arial"/>
          <w:szCs w:val="18"/>
          <w:lang w:val="en-US"/>
        </w:rPr>
        <w:t>,</w:t>
      </w:r>
      <w:r w:rsidRPr="0074464E">
        <w:rPr>
          <w:rFonts w:cs="Arial"/>
          <w:szCs w:val="18"/>
          <w:lang w:val="en-US"/>
        </w:rPr>
        <w:t xml:space="preserve"> </w:t>
      </w:r>
      <w:r w:rsidRPr="0074464E">
        <w:rPr>
          <w:rFonts w:cs="Arial"/>
          <w:position w:val="-10"/>
          <w:szCs w:val="18"/>
          <w:lang w:val="en-US"/>
        </w:rPr>
        <w:object w:dxaOrig="499" w:dyaOrig="340" w14:anchorId="1E64176C">
          <v:shape id="_x0000_i1048" type="#_x0000_t75" style="width:21pt;height:14.25pt" o:ole="">
            <v:imagedata r:id="rId57" o:title=""/>
          </v:shape>
          <o:OLEObject Type="Embed" ProgID="Equation.3" ShapeID="_x0000_i1048" DrawAspect="Content" ObjectID="_1616129080" r:id="rId58"/>
        </w:object>
      </w:r>
      <w:r w:rsidRPr="0074464E">
        <w:rPr>
          <w:rFonts w:cs="Arial"/>
          <w:szCs w:val="18"/>
          <w:lang w:val="en-US"/>
        </w:rPr>
        <w:t xml:space="preserve"> is rubber specific heat (enthalpy kJ/mol) of reaction (if any and if important for engineering applications)</w:t>
      </w:r>
      <w:r>
        <w:rPr>
          <w:rFonts w:cs="Arial"/>
          <w:szCs w:val="18"/>
          <w:lang w:val="en-US"/>
        </w:rPr>
        <w:t>,</w:t>
      </w:r>
      <w:r w:rsidRPr="0074464E">
        <w:rPr>
          <w:rFonts w:cs="Arial"/>
          <w:szCs w:val="18"/>
          <w:lang w:val="en-US"/>
        </w:rPr>
        <w:t xml:space="preserve"> </w:t>
      </w:r>
      <w:r w:rsidRPr="0074464E">
        <w:rPr>
          <w:rFonts w:cs="Arial"/>
          <w:i/>
          <w:szCs w:val="18"/>
          <w:lang w:val="en-US"/>
        </w:rPr>
        <w:t>r</w:t>
      </w:r>
      <w:r w:rsidRPr="0074464E">
        <w:rPr>
          <w:rFonts w:cs="Arial"/>
          <w:szCs w:val="18"/>
          <w:vertAlign w:val="subscript"/>
          <w:lang w:val="en-US"/>
        </w:rPr>
        <w:t>p</w:t>
      </w:r>
      <w:r w:rsidRPr="0074464E">
        <w:rPr>
          <w:rFonts w:cs="Arial"/>
          <w:szCs w:val="18"/>
          <w:lang w:val="en-US"/>
        </w:rPr>
        <w:t xml:space="preserve"> is the rate of cross-linking (mol/m</w:t>
      </w:r>
      <w:r w:rsidRPr="0074464E">
        <w:rPr>
          <w:rFonts w:cs="Arial"/>
          <w:szCs w:val="18"/>
          <w:vertAlign w:val="superscript"/>
          <w:lang w:val="en-US"/>
        </w:rPr>
        <w:t>3</w:t>
      </w:r>
      <w:r w:rsidRPr="0074464E">
        <w:rPr>
          <w:rFonts w:cs="Arial"/>
          <w:szCs w:val="18"/>
          <w:lang w:val="en-US"/>
        </w:rPr>
        <w:t xml:space="preserve">sec); </w:t>
      </w:r>
      <w:r w:rsidRPr="00456D27">
        <w:rPr>
          <w:rFonts w:cs="Arial"/>
          <w:position w:val="-4"/>
          <w:szCs w:val="18"/>
          <w:lang w:val="en-US"/>
        </w:rPr>
        <w:object w:dxaOrig="220" w:dyaOrig="260" w14:anchorId="00E33D1D">
          <v:shape id="_x0000_i1049" type="#_x0000_t75" style="width:11.25pt;height:12.75pt" o:ole="">
            <v:imagedata r:id="rId59" o:title=""/>
          </v:shape>
          <o:OLEObject Type="Embed" ProgID="Equation.DSMT4" ShapeID="_x0000_i1049" DrawAspect="Content" ObjectID="_1616129081" r:id="rId60"/>
        </w:object>
      </w:r>
      <w:r w:rsidRPr="0074464E">
        <w:rPr>
          <w:rFonts w:cs="Arial"/>
          <w:szCs w:val="18"/>
          <w:lang w:val="en-US"/>
        </w:rPr>
        <w:t xml:space="preserve"> is the Laplace operator. </w:t>
      </w:r>
    </w:p>
    <w:p w14:paraId="4C6D6F59" w14:textId="304E7699" w:rsidR="00DC2A25" w:rsidRPr="0074464E" w:rsidRDefault="00DC2A25" w:rsidP="00DC2A25">
      <w:pPr>
        <w:rPr>
          <w:rFonts w:cs="Arial"/>
          <w:szCs w:val="18"/>
          <w:lang w:val="en-US"/>
        </w:rPr>
      </w:pPr>
      <w:r w:rsidRPr="0074464E">
        <w:rPr>
          <w:rFonts w:cs="Arial"/>
          <w:szCs w:val="18"/>
          <w:lang w:val="en-US"/>
        </w:rPr>
        <w:t xml:space="preserve">Eq. </w:t>
      </w:r>
      <w:r w:rsidRPr="0074464E">
        <w:rPr>
          <w:rFonts w:cs="Arial"/>
          <w:szCs w:val="18"/>
          <w:lang w:val="en-US"/>
        </w:rPr>
        <w:fldChar w:fldCharType="begin"/>
      </w:r>
      <w:r w:rsidRPr="0074464E">
        <w:rPr>
          <w:rFonts w:cs="Arial"/>
          <w:szCs w:val="18"/>
          <w:lang w:val="en-US"/>
        </w:rPr>
        <w:instrText xml:space="preserve"> REF _Ref175013145 \h </w:instrText>
      </w:r>
      <w:r>
        <w:rPr>
          <w:rFonts w:cs="Arial"/>
          <w:szCs w:val="18"/>
          <w:lang w:val="en-US"/>
        </w:rPr>
        <w:instrText xml:space="preserve"> \* MERGEFORMAT </w:instrText>
      </w:r>
      <w:r w:rsidRPr="0074464E">
        <w:rPr>
          <w:rFonts w:cs="Arial"/>
          <w:szCs w:val="18"/>
          <w:lang w:val="en-US"/>
        </w:rPr>
      </w:r>
      <w:r w:rsidRPr="0074464E">
        <w:rPr>
          <w:rFonts w:cs="Arial"/>
          <w:szCs w:val="18"/>
          <w:lang w:val="en-US"/>
        </w:rPr>
        <w:fldChar w:fldCharType="separate"/>
      </w:r>
      <w:r w:rsidR="005B081F" w:rsidRPr="0074464E">
        <w:rPr>
          <w:rFonts w:cs="Arial"/>
          <w:szCs w:val="18"/>
          <w:lang w:val="en-US"/>
        </w:rPr>
        <w:t xml:space="preserve">( </w:t>
      </w:r>
      <w:r w:rsidR="005B081F">
        <w:rPr>
          <w:rFonts w:cs="Arial"/>
          <w:noProof/>
          <w:szCs w:val="18"/>
          <w:lang w:val="en-US"/>
        </w:rPr>
        <w:t>5</w:t>
      </w:r>
      <w:r w:rsidR="005B081F" w:rsidRPr="0074464E">
        <w:rPr>
          <w:rFonts w:cs="Arial"/>
          <w:szCs w:val="18"/>
          <w:lang w:val="en-US"/>
        </w:rPr>
        <w:t xml:space="preserve"> )</w:t>
      </w:r>
      <w:r w:rsidRPr="0074464E">
        <w:rPr>
          <w:rFonts w:cs="Arial"/>
          <w:szCs w:val="18"/>
          <w:lang w:val="en-US"/>
        </w:rPr>
        <w:fldChar w:fldCharType="end"/>
      </w:r>
      <w:r w:rsidRPr="0074464E">
        <w:rPr>
          <w:rFonts w:cs="Arial"/>
          <w:szCs w:val="18"/>
          <w:lang w:val="en-US"/>
        </w:rPr>
        <w:t xml:space="preserve"> can be easily solved using a Finite Element </w:t>
      </w:r>
      <w:r>
        <w:rPr>
          <w:rFonts w:cs="Arial"/>
          <w:szCs w:val="18"/>
          <w:lang w:val="en-US"/>
        </w:rPr>
        <w:t xml:space="preserve">FE </w:t>
      </w:r>
      <w:r w:rsidRPr="0074464E">
        <w:rPr>
          <w:rFonts w:cs="Arial"/>
          <w:szCs w:val="18"/>
          <w:lang w:val="en-US"/>
        </w:rPr>
        <w:t>discretization. In this case, FE</w:t>
      </w:r>
      <w:r>
        <w:rPr>
          <w:rFonts w:cs="Arial"/>
          <w:szCs w:val="18"/>
          <w:lang w:val="en-US"/>
        </w:rPr>
        <w:t>s</w:t>
      </w:r>
      <w:r w:rsidRPr="0074464E">
        <w:rPr>
          <w:rFonts w:cs="Arial"/>
          <w:szCs w:val="18"/>
          <w:lang w:val="en-US"/>
        </w:rPr>
        <w:t xml:space="preserve"> must be coupled with the kinetic model previously presented in </w:t>
      </w:r>
      <w:r w:rsidRPr="0074464E">
        <w:rPr>
          <w:rFonts w:cs="Arial"/>
          <w:szCs w:val="18"/>
          <w:lang w:val="en-US" w:eastAsia="it-IT"/>
        </w:rPr>
        <w:t>order</w:t>
      </w:r>
      <w:r w:rsidRPr="0074464E">
        <w:rPr>
          <w:rFonts w:cs="Arial"/>
          <w:szCs w:val="18"/>
          <w:lang w:val="en-US"/>
        </w:rPr>
        <w:t xml:space="preserve"> to predict point by point the final crosslinking density obtained. </w:t>
      </w:r>
    </w:p>
    <w:p w14:paraId="1D557D7B" w14:textId="5C733867" w:rsidR="00DC2A25" w:rsidRPr="0074464E" w:rsidRDefault="00DC2A25" w:rsidP="00DC2A25">
      <w:pPr>
        <w:rPr>
          <w:rFonts w:cs="Arial"/>
          <w:szCs w:val="18"/>
          <w:lang w:val="en-US"/>
        </w:rPr>
      </w:pPr>
      <w:r w:rsidRPr="0074464E">
        <w:rPr>
          <w:rFonts w:cs="Arial"/>
          <w:szCs w:val="18"/>
          <w:lang w:val="en-US"/>
        </w:rPr>
        <w:t xml:space="preserve">If for a node </w:t>
      </w:r>
      <w:r w:rsidRPr="0074464E">
        <w:rPr>
          <w:rFonts w:cs="Arial"/>
          <w:b/>
          <w:szCs w:val="18"/>
        </w:rPr>
        <w:t>P</w:t>
      </w:r>
      <w:r w:rsidRPr="0062288D">
        <w:rPr>
          <w:rFonts w:cs="Arial"/>
          <w:szCs w:val="18"/>
        </w:rPr>
        <w:t xml:space="preserve">, </w:t>
      </w:r>
      <w:r w:rsidRPr="0062288D">
        <w:rPr>
          <w:rFonts w:cs="Arial"/>
          <w:szCs w:val="18"/>
          <w:lang w:val="en-US"/>
        </w:rPr>
        <w:t>t</w:t>
      </w:r>
      <w:r w:rsidRPr="0074464E">
        <w:rPr>
          <w:rFonts w:cs="Arial"/>
          <w:szCs w:val="18"/>
          <w:lang w:val="en-US"/>
        </w:rPr>
        <w:t>he temperature profile T(</w:t>
      </w:r>
      <w:r w:rsidRPr="0074464E">
        <w:rPr>
          <w:rFonts w:cs="Arial"/>
          <w:b/>
          <w:szCs w:val="18"/>
          <w:lang w:val="en-US"/>
        </w:rPr>
        <w:t>P</w:t>
      </w:r>
      <w:r w:rsidRPr="0074464E">
        <w:rPr>
          <w:rFonts w:cs="Arial"/>
          <w:szCs w:val="18"/>
          <w:lang w:val="en-US"/>
        </w:rPr>
        <w:t>)=T(t) as a function of time is known from finite elements, then it is possible to show that der</w:t>
      </w:r>
      <w:r w:rsidRPr="00A5047F">
        <w:rPr>
          <w:rFonts w:cs="Arial"/>
          <w:szCs w:val="18"/>
          <w:lang w:val="en-US"/>
        </w:rPr>
        <w:t xml:space="preserve">iving Eq. </w:t>
      </w:r>
      <w:r w:rsidRPr="00A5047F">
        <w:rPr>
          <w:rFonts w:cs="Arial"/>
          <w:szCs w:val="18"/>
          <w:lang w:val="en-US"/>
        </w:rPr>
        <w:fldChar w:fldCharType="begin"/>
      </w:r>
      <w:r w:rsidRPr="00A5047F">
        <w:rPr>
          <w:rFonts w:cs="Arial"/>
          <w:szCs w:val="18"/>
          <w:lang w:val="en-US"/>
        </w:rPr>
        <w:instrText xml:space="preserve"> REF _Ref390239653 \h  \* MERGEFORMAT </w:instrText>
      </w:r>
      <w:r w:rsidRPr="00A5047F">
        <w:rPr>
          <w:rFonts w:cs="Arial"/>
          <w:szCs w:val="18"/>
          <w:lang w:val="en-US"/>
        </w:rPr>
      </w:r>
      <w:r w:rsidRPr="00A5047F">
        <w:rPr>
          <w:rFonts w:cs="Arial"/>
          <w:szCs w:val="18"/>
          <w:lang w:val="en-US"/>
        </w:rPr>
        <w:fldChar w:fldCharType="separate"/>
      </w:r>
      <w:r w:rsidR="005B081F" w:rsidRPr="005B081F">
        <w:rPr>
          <w:rFonts w:cs="Arial"/>
          <w:bCs/>
          <w:szCs w:val="18"/>
          <w:lang w:val="en-US"/>
        </w:rPr>
        <w:t xml:space="preserve">( </w:t>
      </w:r>
      <w:r w:rsidR="005B081F" w:rsidRPr="005B081F">
        <w:rPr>
          <w:rFonts w:cs="Arial"/>
          <w:bCs/>
          <w:szCs w:val="18"/>
          <w:lang w:val="en-US"/>
        </w:rPr>
        <w:t>3</w:t>
      </w:r>
      <w:r w:rsidR="005B081F" w:rsidRPr="005B081F">
        <w:rPr>
          <w:rFonts w:cs="Arial"/>
          <w:bCs/>
          <w:szCs w:val="18"/>
          <w:lang w:val="en-US"/>
        </w:rPr>
        <w:t xml:space="preserve"> )</w:t>
      </w:r>
      <w:r w:rsidRPr="00A5047F">
        <w:rPr>
          <w:rFonts w:cs="Arial"/>
          <w:szCs w:val="18"/>
          <w:lang w:val="en-US"/>
        </w:rPr>
        <w:fldChar w:fldCharType="end"/>
      </w:r>
      <w:r w:rsidRPr="00A5047F">
        <w:rPr>
          <w:rFonts w:cs="Arial"/>
          <w:szCs w:val="18"/>
          <w:lang w:val="en-US"/>
        </w:rPr>
        <w:t xml:space="preserve"> the cross</w:t>
      </w:r>
      <w:r w:rsidRPr="0074464E">
        <w:rPr>
          <w:rFonts w:cs="Arial"/>
          <w:szCs w:val="18"/>
          <w:lang w:val="en-US"/>
        </w:rPr>
        <w:t xml:space="preserve">linking rate at an instant </w:t>
      </w:r>
      <w:r w:rsidRPr="0062288D">
        <w:rPr>
          <w:rFonts w:cs="Arial"/>
          <w:i/>
          <w:szCs w:val="18"/>
          <w:lang w:val="en-US"/>
        </w:rPr>
        <w:t>t</w:t>
      </w:r>
      <w:r w:rsidRPr="0074464E">
        <w:rPr>
          <w:rFonts w:cs="Arial"/>
          <w:szCs w:val="18"/>
          <w:lang w:val="en-US"/>
        </w:rPr>
        <w:t xml:space="preserve"> is the following:</w:t>
      </w:r>
    </w:p>
    <w:tbl>
      <w:tblPr>
        <w:tblW w:w="8931" w:type="dxa"/>
        <w:tblInd w:w="-142" w:type="dxa"/>
        <w:tblLook w:val="01E0" w:firstRow="1" w:lastRow="1" w:firstColumn="1" w:lastColumn="1" w:noHBand="0" w:noVBand="0"/>
      </w:tblPr>
      <w:tblGrid>
        <w:gridCol w:w="6283"/>
        <w:gridCol w:w="2648"/>
      </w:tblGrid>
      <w:tr w:rsidR="00DC2A25" w:rsidRPr="0074464E" w14:paraId="69EF5C1F" w14:textId="77777777" w:rsidTr="000F0097">
        <w:tc>
          <w:tcPr>
            <w:tcW w:w="6275" w:type="dxa"/>
          </w:tcPr>
          <w:p w14:paraId="73BB8A7B" w14:textId="77777777" w:rsidR="00DC2A25" w:rsidRPr="0074464E" w:rsidRDefault="00DC2A25" w:rsidP="00DA4E27">
            <w:pPr>
              <w:spacing w:line="360" w:lineRule="auto"/>
              <w:rPr>
                <w:rFonts w:cs="Arial"/>
                <w:szCs w:val="18"/>
                <w:lang w:val="en-US"/>
              </w:rPr>
            </w:pPr>
            <w:r w:rsidRPr="0074464E">
              <w:rPr>
                <w:rFonts w:cs="Arial"/>
                <w:position w:val="-64"/>
                <w:szCs w:val="18"/>
                <w:lang w:val="en-US"/>
              </w:rPr>
              <w:object w:dxaOrig="7300" w:dyaOrig="1400" w14:anchorId="28AC41D3">
                <v:shape id="_x0000_i1050" type="#_x0000_t75" style="width:303pt;height:57.75pt" o:ole="">
                  <v:imagedata r:id="rId61" o:title=""/>
                </v:shape>
                <o:OLEObject Type="Embed" ProgID="Equation.DSMT4" ShapeID="_x0000_i1050" DrawAspect="Content" ObjectID="_1616129082" r:id="rId62"/>
              </w:object>
            </w:r>
          </w:p>
        </w:tc>
        <w:tc>
          <w:tcPr>
            <w:tcW w:w="2656" w:type="dxa"/>
            <w:vAlign w:val="center"/>
          </w:tcPr>
          <w:p w14:paraId="7CBC96BA" w14:textId="12E55DB5" w:rsidR="00DC2A25" w:rsidRPr="0074464E" w:rsidRDefault="00DC2A25" w:rsidP="00DA4E27">
            <w:pPr>
              <w:tabs>
                <w:tab w:val="left" w:pos="5280"/>
              </w:tabs>
              <w:spacing w:line="360" w:lineRule="auto"/>
              <w:jc w:val="right"/>
              <w:rPr>
                <w:rFonts w:cs="Arial"/>
                <w:szCs w:val="18"/>
                <w:lang w:val="en-US"/>
              </w:rPr>
            </w:pPr>
            <w:bookmarkStart w:id="6" w:name="_Ref521145292"/>
            <w:bookmarkStart w:id="7" w:name="_Ref521168887"/>
            <w:r w:rsidRPr="0074464E">
              <w:rPr>
                <w:rFonts w:cs="Arial"/>
                <w:szCs w:val="18"/>
                <w:lang w:val="en-US"/>
              </w:rPr>
              <w:t xml:space="preserve">( </w:t>
            </w:r>
            <w:r w:rsidRPr="0074464E">
              <w:rPr>
                <w:rFonts w:cs="Arial"/>
                <w:szCs w:val="18"/>
                <w:lang w:val="en-US"/>
              </w:rPr>
              <w:fldChar w:fldCharType="begin"/>
            </w:r>
            <w:r w:rsidRPr="0074464E">
              <w:rPr>
                <w:rFonts w:cs="Arial"/>
                <w:szCs w:val="18"/>
                <w:lang w:val="en-US"/>
              </w:rPr>
              <w:instrText xml:space="preserve"> SEQ ( \* ARABIC </w:instrText>
            </w:r>
            <w:r w:rsidRPr="0074464E">
              <w:rPr>
                <w:rFonts w:cs="Arial"/>
                <w:szCs w:val="18"/>
                <w:lang w:val="en-US"/>
              </w:rPr>
              <w:fldChar w:fldCharType="separate"/>
            </w:r>
            <w:r w:rsidR="005B081F">
              <w:rPr>
                <w:rFonts w:cs="Arial"/>
                <w:noProof/>
                <w:szCs w:val="18"/>
                <w:lang w:val="en-US"/>
              </w:rPr>
              <w:t>6</w:t>
            </w:r>
            <w:r w:rsidRPr="0074464E">
              <w:rPr>
                <w:rFonts w:cs="Arial"/>
                <w:szCs w:val="18"/>
                <w:lang w:val="en-US"/>
              </w:rPr>
              <w:fldChar w:fldCharType="end"/>
            </w:r>
            <w:bookmarkEnd w:id="6"/>
            <w:r w:rsidRPr="0074464E">
              <w:rPr>
                <w:rFonts w:cs="Arial"/>
                <w:szCs w:val="18"/>
                <w:lang w:val="en-US"/>
              </w:rPr>
              <w:t xml:space="preserve"> )</w:t>
            </w:r>
            <w:bookmarkEnd w:id="7"/>
          </w:p>
        </w:tc>
      </w:tr>
    </w:tbl>
    <w:p w14:paraId="3B5CF7CE" w14:textId="3461D437" w:rsidR="00DD54CE" w:rsidRDefault="00DC2A25" w:rsidP="00A02821">
      <w:pPr>
        <w:rPr>
          <w:rFonts w:cs="Arial"/>
          <w:szCs w:val="18"/>
          <w:lang w:val="en-US"/>
        </w:rPr>
      </w:pPr>
      <w:r w:rsidRPr="00EB0396">
        <w:rPr>
          <w:rFonts w:cs="Arial"/>
          <w:szCs w:val="18"/>
          <w:lang w:val="en-US"/>
        </w:rPr>
        <w:t>F</w:t>
      </w:r>
      <w:r w:rsidRPr="0074464E">
        <w:rPr>
          <w:rFonts w:cs="Arial"/>
          <w:szCs w:val="18"/>
          <w:lang w:val="en-US"/>
        </w:rPr>
        <w:t xml:space="preserve">unctions </w:t>
      </w:r>
      <w:r w:rsidRPr="0074464E">
        <w:rPr>
          <w:rFonts w:cs="Arial"/>
          <w:i/>
          <w:szCs w:val="18"/>
          <w:lang w:val="en-US"/>
        </w:rPr>
        <w:t>F</w:t>
      </w:r>
      <w:r w:rsidRPr="0074464E">
        <w:rPr>
          <w:rFonts w:cs="Arial"/>
          <w:szCs w:val="18"/>
          <w:vertAlign w:val="subscript"/>
          <w:lang w:val="en-US"/>
        </w:rPr>
        <w:t>1</w:t>
      </w:r>
      <w:r w:rsidRPr="0074464E">
        <w:rPr>
          <w:rFonts w:cs="Arial"/>
          <w:szCs w:val="18"/>
          <w:lang w:val="en-US"/>
        </w:rPr>
        <w:t>, …,</w:t>
      </w:r>
      <w:r w:rsidRPr="0074464E">
        <w:rPr>
          <w:rFonts w:cs="Arial"/>
          <w:i/>
          <w:szCs w:val="18"/>
          <w:lang w:val="en-US"/>
        </w:rPr>
        <w:t xml:space="preserve"> F</w:t>
      </w:r>
      <w:r w:rsidRPr="0074464E">
        <w:rPr>
          <w:rFonts w:cs="Arial"/>
          <w:szCs w:val="18"/>
          <w:vertAlign w:val="subscript"/>
          <w:lang w:val="en-US"/>
        </w:rPr>
        <w:t>5</w:t>
      </w:r>
      <w:r w:rsidRPr="0074464E">
        <w:rPr>
          <w:rFonts w:cs="Arial"/>
          <w:szCs w:val="18"/>
          <w:lang w:val="en-US"/>
        </w:rPr>
        <w:t xml:space="preserve"> </w:t>
      </w:r>
      <w:r>
        <w:rPr>
          <w:rFonts w:cs="Arial"/>
          <w:szCs w:val="18"/>
          <w:lang w:val="en-US"/>
        </w:rPr>
        <w:t>are</w:t>
      </w:r>
      <w:r>
        <w:rPr>
          <w:rFonts w:cs="Arial"/>
          <w:i/>
          <w:szCs w:val="18"/>
          <w:vertAlign w:val="subscript"/>
          <w:lang w:val="en-US"/>
        </w:rPr>
        <w:t xml:space="preserve"> </w:t>
      </w:r>
      <w:r w:rsidRPr="0074464E">
        <w:rPr>
          <w:rFonts w:cs="Arial"/>
          <w:szCs w:val="18"/>
          <w:lang w:val="en-US"/>
        </w:rPr>
        <w:t>not reported here for the sa</w:t>
      </w:r>
      <w:r>
        <w:rPr>
          <w:rFonts w:cs="Arial"/>
          <w:szCs w:val="18"/>
          <w:lang w:val="en-US"/>
        </w:rPr>
        <w:t>k</w:t>
      </w:r>
      <w:r w:rsidRPr="0074464E">
        <w:rPr>
          <w:rFonts w:cs="Arial"/>
          <w:szCs w:val="18"/>
          <w:lang w:val="en-US"/>
        </w:rPr>
        <w:t>e of conciseness</w:t>
      </w:r>
      <w:r>
        <w:rPr>
          <w:rFonts w:cs="Arial"/>
          <w:szCs w:val="18"/>
          <w:lang w:val="en-US"/>
        </w:rPr>
        <w:t xml:space="preserve"> and the interested reader is referred to</w:t>
      </w:r>
      <w:r w:rsidRPr="0074464E">
        <w:rPr>
          <w:rFonts w:cs="Arial"/>
          <w:szCs w:val="18"/>
          <w:lang w:val="en-US"/>
        </w:rPr>
        <w:t xml:space="preserve"> </w:t>
      </w:r>
      <w:r w:rsidR="006C1CB9" w:rsidRPr="00A5047F">
        <w:rPr>
          <w:rFonts w:cs="Arial"/>
          <w:szCs w:val="18"/>
          <w:lang w:val="en-US"/>
        </w:rPr>
        <w:t xml:space="preserve">Milani &amp; Milani (2018b) </w:t>
      </w:r>
      <w:r w:rsidRPr="00A5047F">
        <w:rPr>
          <w:rFonts w:cs="Arial"/>
          <w:szCs w:val="18"/>
          <w:lang w:val="en-US"/>
        </w:rPr>
        <w:t>for</w:t>
      </w:r>
      <w:r>
        <w:rPr>
          <w:rFonts w:cs="Arial"/>
          <w:szCs w:val="18"/>
          <w:lang w:val="en-US"/>
        </w:rPr>
        <w:t xml:space="preserve"> further details</w:t>
      </w:r>
      <w:r w:rsidRPr="0074464E">
        <w:rPr>
          <w:rFonts w:cs="Arial"/>
          <w:szCs w:val="18"/>
          <w:lang w:val="en-US"/>
        </w:rPr>
        <w:t xml:space="preserve">. Here it is worth noting only that functions </w:t>
      </w:r>
      <w:r w:rsidRPr="00FE25F8">
        <w:rPr>
          <w:rFonts w:cs="Arial"/>
          <w:i/>
          <w:szCs w:val="18"/>
          <w:lang w:val="en-US"/>
        </w:rPr>
        <w:t>F</w:t>
      </w:r>
      <w:r w:rsidRPr="00FE25F8">
        <w:rPr>
          <w:rFonts w:cs="Arial"/>
          <w:i/>
          <w:szCs w:val="18"/>
          <w:vertAlign w:val="subscript"/>
          <w:lang w:val="en-US"/>
        </w:rPr>
        <w:t>i</w:t>
      </w:r>
      <w:r w:rsidRPr="00FE25F8">
        <w:rPr>
          <w:rFonts w:cs="Arial"/>
          <w:szCs w:val="18"/>
          <w:lang w:val="en-US"/>
        </w:rPr>
        <w:t xml:space="preserve"> </w:t>
      </w:r>
      <w:r w:rsidRPr="0074464E">
        <w:rPr>
          <w:rFonts w:cs="Arial"/>
          <w:szCs w:val="18"/>
          <w:lang w:val="en-US"/>
        </w:rPr>
        <w:t>depend on the following parameters: d</w:t>
      </w:r>
      <w:r w:rsidRPr="00FE25F8">
        <w:rPr>
          <w:rFonts w:cs="Arial"/>
          <w:i/>
          <w:szCs w:val="18"/>
          <w:lang w:val="en-US"/>
        </w:rPr>
        <w:t>K</w:t>
      </w:r>
      <w:r w:rsidRPr="00FE25F8">
        <w:rPr>
          <w:rFonts w:cs="Arial"/>
          <w:i/>
          <w:szCs w:val="18"/>
          <w:vertAlign w:val="subscript"/>
          <w:lang w:val="en-US"/>
        </w:rPr>
        <w:t>i</w:t>
      </w:r>
      <w:r w:rsidRPr="0074464E">
        <w:rPr>
          <w:rFonts w:cs="Arial"/>
          <w:szCs w:val="18"/>
          <w:lang w:val="en-US"/>
        </w:rPr>
        <w:t>/d</w:t>
      </w:r>
      <w:r w:rsidRPr="00FE25F8">
        <w:rPr>
          <w:rFonts w:cs="Arial"/>
          <w:i/>
          <w:szCs w:val="18"/>
          <w:lang w:val="en-US"/>
        </w:rPr>
        <w:t>t</w:t>
      </w:r>
      <w:r w:rsidRPr="0074464E">
        <w:rPr>
          <w:rFonts w:cs="Arial"/>
          <w:szCs w:val="18"/>
          <w:lang w:val="en-US"/>
        </w:rPr>
        <w:t xml:space="preserve">, </w:t>
      </w:r>
      <w:r w:rsidRPr="00FE25F8">
        <w:rPr>
          <w:rFonts w:cs="Arial"/>
          <w:i/>
          <w:szCs w:val="18"/>
          <w:lang w:val="en-US"/>
        </w:rPr>
        <w:t>K</w:t>
      </w:r>
      <w:r w:rsidRPr="00FE25F8">
        <w:rPr>
          <w:rFonts w:cs="Arial"/>
          <w:i/>
          <w:szCs w:val="18"/>
          <w:vertAlign w:val="subscript"/>
          <w:lang w:val="en-US"/>
        </w:rPr>
        <w:t>i</w:t>
      </w:r>
      <w:r w:rsidRPr="0074464E">
        <w:rPr>
          <w:rFonts w:cs="Arial"/>
          <w:szCs w:val="18"/>
          <w:lang w:val="en-US"/>
        </w:rPr>
        <w:t>, d</w:t>
      </w:r>
      <w:r w:rsidRPr="00FE25F8">
        <w:rPr>
          <w:rFonts w:cs="Arial"/>
          <w:i/>
          <w:szCs w:val="18"/>
          <w:lang w:val="en-US"/>
        </w:rPr>
        <w:t>T</w:t>
      </w:r>
      <w:r w:rsidRPr="0074464E">
        <w:rPr>
          <w:rFonts w:cs="Arial"/>
          <w:szCs w:val="18"/>
          <w:lang w:val="en-US"/>
        </w:rPr>
        <w:t>/d</w:t>
      </w:r>
      <w:r w:rsidRPr="00FE25F8">
        <w:rPr>
          <w:rFonts w:cs="Arial"/>
          <w:i/>
          <w:szCs w:val="18"/>
          <w:lang w:val="en-US"/>
        </w:rPr>
        <w:t>t</w:t>
      </w:r>
      <w:r w:rsidRPr="0074464E">
        <w:rPr>
          <w:rFonts w:cs="Arial"/>
          <w:szCs w:val="18"/>
          <w:lang w:val="en-US"/>
        </w:rPr>
        <w:t xml:space="preserve">, </w:t>
      </w:r>
      <w:r w:rsidRPr="00FE25F8">
        <w:rPr>
          <w:rFonts w:cs="Arial"/>
          <w:i/>
          <w:szCs w:val="18"/>
          <w:lang w:val="en-US"/>
        </w:rPr>
        <w:t>T</w:t>
      </w:r>
      <w:r w:rsidRPr="0074464E">
        <w:rPr>
          <w:rFonts w:cs="Arial"/>
          <w:szCs w:val="18"/>
          <w:lang w:val="en-US"/>
        </w:rPr>
        <w:t>.</w:t>
      </w:r>
      <w:r w:rsidRPr="0074464E">
        <w:rPr>
          <w:rFonts w:cs="Arial"/>
          <w:szCs w:val="18"/>
        </w:rPr>
        <w:t xml:space="preserve"> It i</w:t>
      </w:r>
      <w:r>
        <w:rPr>
          <w:rFonts w:cs="Arial"/>
          <w:szCs w:val="18"/>
        </w:rPr>
        <w:t>s interesting to point out that</w:t>
      </w:r>
      <w:r w:rsidRPr="0074464E">
        <w:rPr>
          <w:rFonts w:cs="Arial"/>
          <w:szCs w:val="18"/>
        </w:rPr>
        <w:t xml:space="preserve"> </w:t>
      </w:r>
      <w:r w:rsidRPr="00FE25F8">
        <w:rPr>
          <w:rFonts w:cs="Arial"/>
          <w:i/>
          <w:szCs w:val="18"/>
        </w:rPr>
        <w:t>K</w:t>
      </w:r>
      <w:r w:rsidRPr="00FE25F8">
        <w:rPr>
          <w:rFonts w:cs="Arial"/>
          <w:i/>
          <w:szCs w:val="18"/>
          <w:vertAlign w:val="subscript"/>
        </w:rPr>
        <w:t>i</w:t>
      </w:r>
      <w:r w:rsidRPr="0074464E">
        <w:rPr>
          <w:rFonts w:cs="Arial"/>
          <w:szCs w:val="18"/>
        </w:rPr>
        <w:t>(</w:t>
      </w:r>
      <w:r w:rsidRPr="00FE25F8">
        <w:rPr>
          <w:rFonts w:cs="Arial"/>
          <w:i/>
          <w:szCs w:val="18"/>
        </w:rPr>
        <w:t>T</w:t>
      </w:r>
      <w:r w:rsidRPr="0074464E">
        <w:rPr>
          <w:rFonts w:cs="Arial"/>
          <w:szCs w:val="18"/>
        </w:rPr>
        <w:t>) is a function analytically defined by the well kno</w:t>
      </w:r>
      <w:r w:rsidR="0016274F">
        <w:rPr>
          <w:rFonts w:cs="Arial"/>
          <w:szCs w:val="18"/>
        </w:rPr>
        <w:t xml:space="preserve">wn Arrhenius relationship, i.e. </w:t>
      </w:r>
      <w:r w:rsidR="0016274F" w:rsidRPr="00FE25F8">
        <w:rPr>
          <w:rFonts w:cs="Arial"/>
          <w:i/>
          <w:szCs w:val="18"/>
          <w:lang w:val="en-US"/>
        </w:rPr>
        <w:t>K</w:t>
      </w:r>
      <w:r w:rsidR="0016274F" w:rsidRPr="00FE25F8">
        <w:rPr>
          <w:rFonts w:cs="Arial"/>
          <w:i/>
          <w:szCs w:val="18"/>
          <w:vertAlign w:val="subscript"/>
          <w:lang w:val="en-US"/>
        </w:rPr>
        <w:t>i</w:t>
      </w:r>
      <w:r w:rsidR="0016274F">
        <w:rPr>
          <w:rFonts w:cs="Arial"/>
          <w:szCs w:val="18"/>
          <w:lang w:val="en-US"/>
        </w:rPr>
        <w:t>(T)=exp(ln</w:t>
      </w:r>
      <w:r w:rsidR="0016274F" w:rsidRPr="0074464E">
        <w:rPr>
          <w:rFonts w:cs="Arial"/>
          <w:i/>
          <w:szCs w:val="18"/>
        </w:rPr>
        <w:t>K</w:t>
      </w:r>
      <w:r w:rsidR="0016274F" w:rsidRPr="0074464E">
        <w:rPr>
          <w:rFonts w:cs="Arial"/>
          <w:szCs w:val="18"/>
          <w:vertAlign w:val="subscript"/>
        </w:rPr>
        <w:t>i</w:t>
      </w:r>
      <w:r w:rsidR="0016274F" w:rsidRPr="0074464E">
        <w:rPr>
          <w:rFonts w:cs="Arial"/>
          <w:szCs w:val="18"/>
          <w:vertAlign w:val="superscript"/>
        </w:rPr>
        <w:t>∞</w:t>
      </w:r>
      <w:r w:rsidR="0016274F" w:rsidRPr="0016274F">
        <w:rPr>
          <w:rFonts w:cs="Arial"/>
          <w:szCs w:val="18"/>
        </w:rPr>
        <w:t>-</w:t>
      </w:r>
      <w:r w:rsidR="0016274F" w:rsidRPr="0074464E">
        <w:rPr>
          <w:rFonts w:ascii="GreekC" w:hAnsi="GreekC" w:cs="GreekC"/>
          <w:szCs w:val="18"/>
        </w:rPr>
        <w:t>g</w:t>
      </w:r>
      <w:r w:rsidR="0016274F" w:rsidRPr="0074464E">
        <w:rPr>
          <w:rFonts w:cs="Arial"/>
          <w:szCs w:val="18"/>
        </w:rPr>
        <w:t>’</w:t>
      </w:r>
      <w:r w:rsidR="0016274F">
        <w:rPr>
          <w:rFonts w:cs="Arial"/>
          <w:szCs w:val="18"/>
        </w:rPr>
        <w:t>/T), w</w:t>
      </w:r>
      <w:r w:rsidRPr="0074464E">
        <w:rPr>
          <w:rFonts w:cs="Arial"/>
          <w:szCs w:val="18"/>
        </w:rPr>
        <w:t xml:space="preserve">here </w:t>
      </w:r>
      <w:r w:rsidRPr="0074464E">
        <w:rPr>
          <w:rFonts w:cs="Arial"/>
          <w:i/>
          <w:szCs w:val="18"/>
        </w:rPr>
        <w:t>K</w:t>
      </w:r>
      <w:r w:rsidRPr="0074464E">
        <w:rPr>
          <w:rFonts w:cs="Arial"/>
          <w:szCs w:val="18"/>
          <w:vertAlign w:val="subscript"/>
        </w:rPr>
        <w:t>i</w:t>
      </w:r>
      <w:r w:rsidRPr="0074464E">
        <w:rPr>
          <w:rFonts w:cs="Arial"/>
          <w:szCs w:val="18"/>
          <w:vertAlign w:val="superscript"/>
        </w:rPr>
        <w:t>∞</w:t>
      </w:r>
      <w:r w:rsidRPr="0074464E">
        <w:rPr>
          <w:rFonts w:cs="Arial"/>
          <w:szCs w:val="18"/>
        </w:rPr>
        <w:t xml:space="preserve"> is the i-th kinetic constant at an infinite temperature and </w:t>
      </w:r>
      <w:r w:rsidRPr="0074464E">
        <w:rPr>
          <w:rFonts w:ascii="GreekC" w:hAnsi="GreekC" w:cs="GreekC"/>
          <w:szCs w:val="18"/>
        </w:rPr>
        <w:t>g</w:t>
      </w:r>
      <w:r w:rsidRPr="0074464E">
        <w:rPr>
          <w:rFonts w:cs="Arial"/>
          <w:szCs w:val="18"/>
        </w:rPr>
        <w:t>’ is the absolute value of the slope of the Arrhenius law (linear) in the ln</w:t>
      </w:r>
      <w:r w:rsidRPr="0074464E">
        <w:rPr>
          <w:rFonts w:cs="Arial"/>
          <w:i/>
          <w:szCs w:val="18"/>
        </w:rPr>
        <w:t>K</w:t>
      </w:r>
      <w:r w:rsidRPr="0074464E">
        <w:rPr>
          <w:rFonts w:cs="Arial"/>
          <w:szCs w:val="18"/>
          <w:vertAlign w:val="subscript"/>
        </w:rPr>
        <w:t>i</w:t>
      </w:r>
      <w:r w:rsidRPr="0074464E">
        <w:rPr>
          <w:rFonts w:cs="Arial"/>
          <w:szCs w:val="18"/>
        </w:rPr>
        <w:t>-1/</w:t>
      </w:r>
      <w:r w:rsidRPr="0074464E">
        <w:rPr>
          <w:rFonts w:cs="Arial"/>
          <w:i/>
          <w:szCs w:val="18"/>
        </w:rPr>
        <w:t>T</w:t>
      </w:r>
      <w:r w:rsidRPr="0074464E">
        <w:rPr>
          <w:rFonts w:cs="Arial"/>
          <w:szCs w:val="18"/>
          <w:lang w:val="en-US"/>
        </w:rPr>
        <w:t xml:space="preserve"> space. Temperature profile first derivative with respect to time </w:t>
      </w:r>
      <w:r w:rsidRPr="00FE25F8">
        <w:rPr>
          <w:rFonts w:cs="Arial"/>
          <w:i/>
          <w:szCs w:val="18"/>
          <w:lang w:val="en-US"/>
        </w:rPr>
        <w:t xml:space="preserve">t </w:t>
      </w:r>
      <w:r w:rsidRPr="0074464E">
        <w:rPr>
          <w:rFonts w:cs="Arial"/>
          <w:szCs w:val="18"/>
          <w:lang w:val="en-US"/>
        </w:rPr>
        <w:t xml:space="preserve">is again evaluated numerically by finite differences. </w:t>
      </w:r>
      <w:r w:rsidRPr="0074464E">
        <w:rPr>
          <w:rFonts w:cs="Arial"/>
          <w:szCs w:val="18"/>
        </w:rPr>
        <w:t xml:space="preserve">All quantities appearing in Eq. </w:t>
      </w:r>
      <w:r w:rsidRPr="0074464E">
        <w:rPr>
          <w:rFonts w:cs="Arial"/>
          <w:szCs w:val="18"/>
        </w:rPr>
        <w:fldChar w:fldCharType="begin"/>
      </w:r>
      <w:r w:rsidRPr="0074464E">
        <w:rPr>
          <w:rFonts w:cs="Arial"/>
          <w:szCs w:val="18"/>
        </w:rPr>
        <w:instrText xml:space="preserve"> REF _Ref521145292 \h  \* MERGEFORMAT </w:instrText>
      </w:r>
      <w:r w:rsidRPr="0074464E">
        <w:rPr>
          <w:rFonts w:cs="Arial"/>
          <w:szCs w:val="18"/>
        </w:rPr>
      </w:r>
      <w:r w:rsidRPr="0074464E">
        <w:rPr>
          <w:rFonts w:cs="Arial"/>
          <w:szCs w:val="18"/>
        </w:rPr>
        <w:fldChar w:fldCharType="separate"/>
      </w:r>
      <w:r w:rsidR="005B081F" w:rsidRPr="0074464E">
        <w:rPr>
          <w:rFonts w:cs="Arial"/>
          <w:szCs w:val="18"/>
          <w:lang w:val="en-US"/>
        </w:rPr>
        <w:t xml:space="preserve">( </w:t>
      </w:r>
      <w:r w:rsidR="005B081F">
        <w:rPr>
          <w:rFonts w:cs="Arial"/>
          <w:noProof/>
          <w:szCs w:val="18"/>
          <w:lang w:val="en-US"/>
        </w:rPr>
        <w:t>6</w:t>
      </w:r>
      <w:r w:rsidRPr="0074464E">
        <w:rPr>
          <w:rFonts w:cs="Arial"/>
          <w:szCs w:val="18"/>
        </w:rPr>
        <w:fldChar w:fldCharType="end"/>
      </w:r>
      <w:r w:rsidRPr="0074464E">
        <w:rPr>
          <w:rFonts w:cs="Arial"/>
          <w:szCs w:val="18"/>
        </w:rPr>
        <w:t xml:space="preserve"> ) are therefore known either analytically or numerically: consequently, crosslinking rate during all the curing process is known for each node of the mesh. A final numerical integration allows to determine the crosslinking degree at each instant (including the final </w:t>
      </w:r>
      <w:r>
        <w:rPr>
          <w:rFonts w:cs="Arial"/>
          <w:szCs w:val="18"/>
        </w:rPr>
        <w:t>curing degree, which is the most important</w:t>
      </w:r>
      <w:r w:rsidRPr="0074464E">
        <w:rPr>
          <w:rFonts w:cs="Arial"/>
          <w:szCs w:val="18"/>
        </w:rPr>
        <w:t>).</w:t>
      </w:r>
    </w:p>
    <w:p w14:paraId="06ECD263" w14:textId="0F5519E1" w:rsidR="00E62456" w:rsidRPr="00BD5A52" w:rsidRDefault="00DC2A25" w:rsidP="00A02821">
      <w:pPr>
        <w:rPr>
          <w:rFonts w:cs="Arial"/>
          <w:szCs w:val="18"/>
          <w:lang w:val="en-US"/>
        </w:rPr>
      </w:pPr>
      <w:r w:rsidRPr="0074464E">
        <w:rPr>
          <w:rFonts w:cs="Arial"/>
          <w:szCs w:val="18"/>
          <w:lang w:val="en-US"/>
        </w:rPr>
        <w:t xml:space="preserve">As practical example to analyze, a common car tire, whose transversal section, top view, perspective view and details in an already discretized version into FEs are depicted in </w:t>
      </w:r>
      <w:r w:rsidR="00061F8E">
        <w:rPr>
          <w:rFonts w:cs="Arial"/>
          <w:szCs w:val="18"/>
          <w:lang w:val="en-US"/>
        </w:rPr>
        <w:t>Figure 2</w:t>
      </w:r>
      <w:r w:rsidRPr="0074464E">
        <w:rPr>
          <w:rFonts w:cs="Arial"/>
          <w:szCs w:val="18"/>
          <w:lang w:val="en-US"/>
        </w:rPr>
        <w:t xml:space="preserve"> is considered. The tire is a</w:t>
      </w:r>
      <w:r>
        <w:rPr>
          <w:rFonts w:cs="Arial"/>
          <w:szCs w:val="18"/>
          <w:lang w:val="en-US"/>
        </w:rPr>
        <w:t xml:space="preserve"> common 145/65 R15 type. The FE</w:t>
      </w:r>
      <w:r w:rsidRPr="0074464E">
        <w:rPr>
          <w:rFonts w:cs="Arial"/>
          <w:szCs w:val="18"/>
          <w:lang w:val="en-US"/>
        </w:rPr>
        <w:t xml:space="preserve"> discretization is quite refined, being constituted by about 200000 3D elements. </w:t>
      </w:r>
      <w:r w:rsidRPr="0074464E">
        <w:rPr>
          <w:rFonts w:cs="Arial"/>
          <w:szCs w:val="18"/>
        </w:rPr>
        <w:t>Parameters used to define the heat transmission proble</w:t>
      </w:r>
      <w:r w:rsidRPr="00A5047F">
        <w:rPr>
          <w:rFonts w:cs="Arial"/>
          <w:szCs w:val="18"/>
        </w:rPr>
        <w:t xml:space="preserve">m are provided in </w:t>
      </w:r>
      <w:r w:rsidR="006C1CB9" w:rsidRPr="00A5047F">
        <w:rPr>
          <w:rFonts w:cs="Arial"/>
          <w:szCs w:val="18"/>
        </w:rPr>
        <w:t>Milani &amp; Milani (2018)</w:t>
      </w:r>
      <w:r w:rsidRPr="00A5047F">
        <w:rPr>
          <w:rFonts w:cs="Arial"/>
          <w:szCs w:val="18"/>
        </w:rPr>
        <w:t xml:space="preserve"> and th</w:t>
      </w:r>
      <w:r w:rsidRPr="0074464E">
        <w:rPr>
          <w:rFonts w:cs="Arial"/>
          <w:szCs w:val="18"/>
        </w:rPr>
        <w:t xml:space="preserve">ey are not repeated here for the sake of conciseness. Here it is only worth noting that </w:t>
      </w:r>
      <w:r w:rsidRPr="0074464E">
        <w:rPr>
          <w:rFonts w:cs="Arial"/>
          <w:szCs w:val="18"/>
          <w:lang w:val="en-US"/>
        </w:rPr>
        <w:t>data adopted in the simulations are in agreement with general literature indications. A vulcanization in axisymmetric chambers filled with nitrogen and then cooled at room temperature in air (this is possible opening the chambers) is assumed. Two different temperatures of vulcanization are considered, equal to 180°C and 170°C respectively</w:t>
      </w:r>
      <w:r>
        <w:rPr>
          <w:rFonts w:cs="Arial"/>
          <w:szCs w:val="18"/>
          <w:lang w:val="en-US"/>
        </w:rPr>
        <w:t>,</w:t>
      </w:r>
      <w:r w:rsidRPr="0074464E">
        <w:rPr>
          <w:rFonts w:cs="Arial"/>
          <w:szCs w:val="18"/>
          <w:lang w:val="en-US"/>
        </w:rPr>
        <w:t xml:space="preserve"> to simulate both a fast and a slightly slower realistic curing condition. The curing time is assumed equal to 25 minutes in both cases. The vulcanization rate and crosslinking degree are monitored everywhere in the mesh, but here attention is posed on a thick radial section, </w:t>
      </w:r>
      <w:r w:rsidR="00061F8E">
        <w:rPr>
          <w:rFonts w:cs="Arial"/>
          <w:szCs w:val="18"/>
          <w:lang w:val="en-US"/>
        </w:rPr>
        <w:t>Figure 2, i</w:t>
      </w:r>
      <w:r w:rsidRPr="0074464E">
        <w:rPr>
          <w:rFonts w:cs="Arial"/>
          <w:szCs w:val="18"/>
          <w:lang w:val="en-US"/>
        </w:rPr>
        <w:t>nvestigating curing on a poin</w:t>
      </w:r>
      <w:r>
        <w:rPr>
          <w:rFonts w:cs="Arial"/>
          <w:szCs w:val="18"/>
          <w:lang w:val="en-US"/>
        </w:rPr>
        <w:t>t</w:t>
      </w:r>
      <w:r w:rsidRPr="0074464E">
        <w:rPr>
          <w:rFonts w:cs="Arial"/>
          <w:szCs w:val="18"/>
          <w:lang w:val="en-US"/>
        </w:rPr>
        <w:t xml:space="preserve"> belonging to the skin (P1) and one</w:t>
      </w:r>
      <w:r>
        <w:rPr>
          <w:rFonts w:cs="Arial"/>
          <w:szCs w:val="18"/>
          <w:lang w:val="en-US"/>
        </w:rPr>
        <w:t xml:space="preserve"> in</w:t>
      </w:r>
      <w:r w:rsidRPr="0074464E">
        <w:rPr>
          <w:rFonts w:cs="Arial"/>
          <w:szCs w:val="18"/>
          <w:lang w:val="en-US"/>
        </w:rPr>
        <w:t xml:space="preserve"> </w:t>
      </w:r>
      <w:r>
        <w:rPr>
          <w:rFonts w:cs="Arial"/>
          <w:szCs w:val="18"/>
          <w:lang w:val="en-US"/>
        </w:rPr>
        <w:t>the</w:t>
      </w:r>
      <w:r w:rsidRPr="0074464E">
        <w:rPr>
          <w:rFonts w:cs="Arial"/>
          <w:szCs w:val="18"/>
          <w:lang w:val="en-US"/>
        </w:rPr>
        <w:t xml:space="preserve"> core (P2). In </w:t>
      </w:r>
      <w:r w:rsidRPr="0074464E">
        <w:rPr>
          <w:rFonts w:cs="Arial"/>
          <w:szCs w:val="18"/>
          <w:lang w:val="en-US"/>
        </w:rPr>
        <w:fldChar w:fldCharType="begin"/>
      </w:r>
      <w:r w:rsidRPr="0074464E">
        <w:rPr>
          <w:rFonts w:cs="Arial"/>
          <w:szCs w:val="18"/>
          <w:lang w:val="en-US"/>
        </w:rPr>
        <w:instrText xml:space="preserve"> REF _Ref521168473 \h  \* MERGEFORMAT </w:instrText>
      </w:r>
      <w:r w:rsidRPr="0074464E">
        <w:rPr>
          <w:rFonts w:cs="Arial"/>
          <w:szCs w:val="18"/>
          <w:lang w:val="en-US"/>
        </w:rPr>
      </w:r>
      <w:r w:rsidRPr="0074464E">
        <w:rPr>
          <w:rFonts w:cs="Arial"/>
          <w:szCs w:val="18"/>
          <w:lang w:val="en-US"/>
        </w:rPr>
        <w:fldChar w:fldCharType="separate"/>
      </w:r>
      <w:r w:rsidR="005B081F" w:rsidRPr="005B081F">
        <w:rPr>
          <w:rFonts w:cs="Arial"/>
          <w:szCs w:val="18"/>
          <w:lang w:val="en-US"/>
        </w:rPr>
        <w:t xml:space="preserve">Figure </w:t>
      </w:r>
      <w:r w:rsidR="005B081F" w:rsidRPr="005B081F">
        <w:rPr>
          <w:rFonts w:cs="Arial"/>
          <w:noProof/>
          <w:szCs w:val="18"/>
          <w:lang w:val="en-US"/>
        </w:rPr>
        <w:t>3</w:t>
      </w:r>
      <w:r w:rsidRPr="0074464E">
        <w:rPr>
          <w:rFonts w:cs="Arial"/>
          <w:szCs w:val="18"/>
          <w:lang w:val="en-US"/>
        </w:rPr>
        <w:fldChar w:fldCharType="end"/>
      </w:r>
      <w:r w:rsidRPr="0074464E">
        <w:rPr>
          <w:rFonts w:cs="Arial"/>
          <w:szCs w:val="18"/>
          <w:lang w:val="en-US"/>
        </w:rPr>
        <w:t>, the</w:t>
      </w:r>
      <w:r w:rsidRPr="0074464E">
        <w:rPr>
          <w:rFonts w:cs="Arial"/>
          <w:b/>
          <w:szCs w:val="18"/>
          <w:lang w:val="en-US"/>
        </w:rPr>
        <w:t xml:space="preserve"> </w:t>
      </w:r>
      <w:r w:rsidRPr="0074464E">
        <w:rPr>
          <w:rFonts w:cs="Arial"/>
          <w:szCs w:val="18"/>
          <w:lang w:val="en-US"/>
        </w:rPr>
        <w:t xml:space="preserve">results obtained with the different blends and the different concentrations of accelerants are depicted. The first row </w:t>
      </w:r>
      <w:r>
        <w:rPr>
          <w:rFonts w:cs="Arial"/>
          <w:szCs w:val="18"/>
          <w:lang w:val="en-US"/>
        </w:rPr>
        <w:t>show</w:t>
      </w:r>
      <w:r w:rsidRPr="0074464E">
        <w:rPr>
          <w:rFonts w:cs="Arial"/>
          <w:szCs w:val="18"/>
          <w:lang w:val="en-US"/>
        </w:rPr>
        <w:t>s the temperature profiles for P1 and P2 points obtained with the FE approach proposed. The other rows collect, for each S-TBBS-DPG concentration</w:t>
      </w:r>
      <w:r>
        <w:rPr>
          <w:rFonts w:cs="Arial"/>
          <w:szCs w:val="18"/>
          <w:lang w:val="en-US"/>
        </w:rPr>
        <w:t>,</w:t>
      </w:r>
      <w:r w:rsidRPr="0074464E">
        <w:rPr>
          <w:rFonts w:cs="Arial"/>
          <w:szCs w:val="18"/>
          <w:lang w:val="en-US"/>
        </w:rPr>
        <w:t xml:space="preserve"> the crosslinking degree evolution for P1 and P2 (blue curves, dashed for P1 and continuous for P2) and the vulcanization rates (red curves, dashed for P1 and continuous for P2). First and second columns refer to NR-PB at 50-50%, third and fourth columns to NR-PB at 70-30%. First and third columns depict results at a curing temperature equal to </w:t>
      </w:r>
      <w:r w:rsidRPr="0074464E">
        <w:rPr>
          <w:rFonts w:cs="Arial"/>
          <w:szCs w:val="18"/>
          <w:lang w:val="en-US"/>
        </w:rPr>
        <w:lastRenderedPageBreak/>
        <w:t xml:space="preserve">170°C, second and fourth at 180°C. Results for S-TBBS-DPG equal to 1-1-0, 1-3-0, 1-0-1 and 1-0-3 are </w:t>
      </w:r>
      <w:r>
        <w:rPr>
          <w:rFonts w:cs="Arial"/>
          <w:szCs w:val="18"/>
          <w:lang w:val="en-US"/>
        </w:rPr>
        <w:t xml:space="preserve">sketched </w:t>
      </w:r>
      <w:r w:rsidRPr="0074464E">
        <w:rPr>
          <w:rFonts w:cs="Arial"/>
          <w:szCs w:val="18"/>
          <w:lang w:val="en-US"/>
        </w:rPr>
        <w:t>respectively in diagrams belonging to rows 2, 3, 4 and 5 respectively.</w:t>
      </w:r>
      <w:r w:rsidR="00E62456">
        <w:rPr>
          <w:rFonts w:cs="Arial"/>
          <w:szCs w:val="18"/>
          <w:lang w:val="en-US"/>
        </w:rPr>
        <w:t xml:space="preserve"> </w:t>
      </w:r>
      <w:r w:rsidRPr="0074464E">
        <w:rPr>
          <w:rFonts w:cs="Arial"/>
          <w:szCs w:val="18"/>
          <w:lang w:val="en-US"/>
        </w:rPr>
        <w:t xml:space="preserve">From an overall analysis of the results reported in </w:t>
      </w:r>
      <w:r w:rsidRPr="0074464E">
        <w:rPr>
          <w:rFonts w:cs="Arial"/>
          <w:szCs w:val="18"/>
          <w:lang w:val="en-US"/>
        </w:rPr>
        <w:fldChar w:fldCharType="begin"/>
      </w:r>
      <w:r w:rsidRPr="0074464E">
        <w:rPr>
          <w:rFonts w:cs="Arial"/>
          <w:szCs w:val="18"/>
          <w:lang w:val="en-US"/>
        </w:rPr>
        <w:instrText xml:space="preserve"> REF _Ref521168473 \h  \* MERGEFORMAT </w:instrText>
      </w:r>
      <w:r w:rsidRPr="0074464E">
        <w:rPr>
          <w:rFonts w:cs="Arial"/>
          <w:szCs w:val="18"/>
          <w:lang w:val="en-US"/>
        </w:rPr>
      </w:r>
      <w:r w:rsidRPr="0074464E">
        <w:rPr>
          <w:rFonts w:cs="Arial"/>
          <w:szCs w:val="18"/>
          <w:lang w:val="en-US"/>
        </w:rPr>
        <w:fldChar w:fldCharType="separate"/>
      </w:r>
      <w:r w:rsidR="005B081F" w:rsidRPr="005B081F">
        <w:rPr>
          <w:rFonts w:cs="Arial"/>
          <w:szCs w:val="18"/>
          <w:lang w:val="en-US"/>
        </w:rPr>
        <w:t>Figure 3</w:t>
      </w:r>
      <w:r w:rsidRPr="0074464E">
        <w:rPr>
          <w:rFonts w:cs="Arial"/>
          <w:szCs w:val="18"/>
          <w:lang w:val="en-US"/>
        </w:rPr>
        <w:fldChar w:fldCharType="end"/>
      </w:r>
      <w:r w:rsidRPr="0074464E">
        <w:rPr>
          <w:rFonts w:cs="Arial"/>
          <w:szCs w:val="18"/>
          <w:lang w:val="en-US"/>
        </w:rPr>
        <w:t>, the following considerations can be drawn:</w:t>
      </w:r>
      <w:r w:rsidR="00E62456">
        <w:rPr>
          <w:rFonts w:cs="Arial"/>
          <w:szCs w:val="18"/>
          <w:lang w:val="en-US"/>
        </w:rPr>
        <w:t xml:space="preserve"> </w:t>
      </w:r>
      <w:r w:rsidR="00BD5A52">
        <w:rPr>
          <w:rFonts w:cs="Arial"/>
          <w:szCs w:val="18"/>
          <w:lang w:val="en-US"/>
        </w:rPr>
        <w:t xml:space="preserve">(1) </w:t>
      </w:r>
      <w:r w:rsidRPr="0074464E">
        <w:rPr>
          <w:rFonts w:cs="Arial"/>
          <w:szCs w:val="18"/>
          <w:lang w:val="en-US"/>
        </w:rPr>
        <w:t>As expected, in all cases the node on the skin exhibits a much faster heating with respect to the core node. At 180°C, this</w:t>
      </w:r>
      <w:r>
        <w:rPr>
          <w:rFonts w:cs="Arial"/>
          <w:szCs w:val="18"/>
          <w:lang w:val="en-US"/>
        </w:rPr>
        <w:t xml:space="preserve"> feature</w:t>
      </w:r>
      <w:r w:rsidRPr="0074464E">
        <w:rPr>
          <w:rFonts w:cs="Arial"/>
          <w:szCs w:val="18"/>
          <w:lang w:val="en-US"/>
        </w:rPr>
        <w:t xml:space="preserve"> results into</w:t>
      </w:r>
      <w:r>
        <w:rPr>
          <w:rFonts w:cs="Arial"/>
          <w:szCs w:val="18"/>
          <w:lang w:val="en-US"/>
        </w:rPr>
        <w:t xml:space="preserve"> an</w:t>
      </w:r>
      <w:r w:rsidRPr="0074464E">
        <w:rPr>
          <w:rFonts w:cs="Arial"/>
          <w:szCs w:val="18"/>
          <w:lang w:val="en-US"/>
        </w:rPr>
        <w:t xml:space="preserve"> almost immediate crosslinking (more than 80% in about 5 minutes for a</w:t>
      </w:r>
      <w:r>
        <w:rPr>
          <w:rFonts w:cs="Arial"/>
          <w:szCs w:val="18"/>
          <w:lang w:val="en-US"/>
        </w:rPr>
        <w:t xml:space="preserve">ll the cases analyzed), but also the early </w:t>
      </w:r>
      <w:r w:rsidRPr="0074464E">
        <w:rPr>
          <w:rFonts w:cs="Arial"/>
          <w:szCs w:val="18"/>
          <w:lang w:val="en-US"/>
        </w:rPr>
        <w:t xml:space="preserve">activation of reversion, which induces de-vulcanization and does not allow rubber to </w:t>
      </w:r>
      <w:r>
        <w:rPr>
          <w:rFonts w:cs="Arial"/>
          <w:szCs w:val="18"/>
          <w:lang w:val="en-US"/>
        </w:rPr>
        <w:t xml:space="preserve">exhibit good mechanical properties after the end of the curing process. The phenomenon is quantitative described by </w:t>
      </w:r>
      <w:r w:rsidRPr="0074464E">
        <w:rPr>
          <w:rFonts w:cs="Arial"/>
          <w:szCs w:val="18"/>
          <w:lang w:val="en-US"/>
        </w:rPr>
        <w:fldChar w:fldCharType="begin"/>
      </w:r>
      <w:r w:rsidRPr="0074464E">
        <w:rPr>
          <w:rFonts w:cs="Arial"/>
          <w:szCs w:val="18"/>
          <w:lang w:val="en-US"/>
        </w:rPr>
        <w:instrText xml:space="preserve"> REF _Ref521168473 \h  \* MERGEFORMAT </w:instrText>
      </w:r>
      <w:r w:rsidRPr="0074464E">
        <w:rPr>
          <w:rFonts w:cs="Arial"/>
          <w:szCs w:val="18"/>
          <w:lang w:val="en-US"/>
        </w:rPr>
      </w:r>
      <w:r w:rsidRPr="0074464E">
        <w:rPr>
          <w:rFonts w:cs="Arial"/>
          <w:szCs w:val="18"/>
          <w:lang w:val="en-US"/>
        </w:rPr>
        <w:fldChar w:fldCharType="separate"/>
      </w:r>
      <w:r w:rsidR="005B081F" w:rsidRPr="005B081F">
        <w:rPr>
          <w:rFonts w:cs="Arial"/>
          <w:szCs w:val="18"/>
          <w:lang w:val="en-US"/>
        </w:rPr>
        <w:t>Figure 3</w:t>
      </w:r>
      <w:r w:rsidRPr="0074464E">
        <w:rPr>
          <w:rFonts w:cs="Arial"/>
          <w:szCs w:val="18"/>
          <w:lang w:val="en-US"/>
        </w:rPr>
        <w:fldChar w:fldCharType="end"/>
      </w:r>
      <w:r>
        <w:rPr>
          <w:rFonts w:cs="Arial"/>
          <w:szCs w:val="18"/>
          <w:lang w:val="en-US"/>
        </w:rPr>
        <w:t xml:space="preserve">, where a final crosslinking </w:t>
      </w:r>
      <w:r w:rsidRPr="0074464E">
        <w:rPr>
          <w:rFonts w:cs="Arial"/>
          <w:szCs w:val="18"/>
          <w:lang w:val="en-US"/>
        </w:rPr>
        <w:t xml:space="preserve">in some cases </w:t>
      </w:r>
      <w:r>
        <w:rPr>
          <w:rFonts w:cs="Arial"/>
          <w:szCs w:val="18"/>
          <w:lang w:val="en-US"/>
        </w:rPr>
        <w:t xml:space="preserve">lower </w:t>
      </w:r>
      <w:r w:rsidRPr="0074464E">
        <w:rPr>
          <w:rFonts w:cs="Arial"/>
          <w:szCs w:val="18"/>
          <w:lang w:val="en-US"/>
        </w:rPr>
        <w:t>than 80% (e.g. for NR-PB=70-30%, S-TBBS-DPG=1-0-1)</w:t>
      </w:r>
      <w:r>
        <w:rPr>
          <w:rFonts w:cs="Arial"/>
          <w:szCs w:val="18"/>
          <w:lang w:val="en-US"/>
        </w:rPr>
        <w:t xml:space="preserve"> is found</w:t>
      </w:r>
      <w:r w:rsidRPr="0074464E">
        <w:rPr>
          <w:rFonts w:cs="Arial"/>
          <w:szCs w:val="18"/>
          <w:lang w:val="en-US"/>
        </w:rPr>
        <w:t>. The behavior of point P2 is obviously different: maximum crosslinking rate (</w:t>
      </w:r>
      <w:r>
        <w:rPr>
          <w:rFonts w:cs="Arial"/>
          <w:szCs w:val="18"/>
          <w:lang w:val="en-US"/>
        </w:rPr>
        <w:t>usually</w:t>
      </w:r>
      <w:r w:rsidRPr="0074464E">
        <w:rPr>
          <w:rFonts w:cs="Arial"/>
          <w:szCs w:val="18"/>
          <w:lang w:val="en-US"/>
        </w:rPr>
        <w:t xml:space="preserve"> around 30%/min) appears in the range 3-7 minutes (depending on the case considered). As a consequence, before 5 minutes</w:t>
      </w:r>
      <w:r>
        <w:rPr>
          <w:rFonts w:cs="Arial"/>
          <w:szCs w:val="18"/>
          <w:lang w:val="en-US"/>
        </w:rPr>
        <w:t>,</w:t>
      </w:r>
      <w:r w:rsidRPr="0074464E">
        <w:rPr>
          <w:rFonts w:cs="Arial"/>
          <w:szCs w:val="18"/>
          <w:lang w:val="en-US"/>
        </w:rPr>
        <w:t xml:space="preserve"> crosslinking is still insufficient (less than 20% in some cases, whereas at 5 minutes for P1 is maximum). </w:t>
      </w:r>
      <w:r w:rsidR="00BD5A52">
        <w:rPr>
          <w:rFonts w:cs="Arial"/>
          <w:szCs w:val="18"/>
          <w:lang w:val="en-US"/>
        </w:rPr>
        <w:t xml:space="preserve">(2) </w:t>
      </w:r>
      <w:r w:rsidRPr="00BD5A52">
        <w:rPr>
          <w:rFonts w:cs="Arial"/>
          <w:szCs w:val="18"/>
          <w:lang w:val="en-US"/>
        </w:rPr>
        <w:t xml:space="preserve">Results of </w:t>
      </w:r>
      <w:r w:rsidRPr="00BD5A52">
        <w:rPr>
          <w:rFonts w:cs="Arial"/>
          <w:szCs w:val="18"/>
          <w:lang w:val="en-US"/>
        </w:rPr>
        <w:fldChar w:fldCharType="begin"/>
      </w:r>
      <w:r w:rsidRPr="00BD5A52">
        <w:rPr>
          <w:rFonts w:cs="Arial"/>
          <w:szCs w:val="18"/>
          <w:lang w:val="en-US"/>
        </w:rPr>
        <w:instrText xml:space="preserve"> REF _Ref521168473 \h  \* MERGEFORMAT </w:instrText>
      </w:r>
      <w:r w:rsidRPr="00BD5A52">
        <w:rPr>
          <w:rFonts w:cs="Arial"/>
          <w:szCs w:val="18"/>
          <w:lang w:val="en-US"/>
        </w:rPr>
      </w:r>
      <w:r w:rsidRPr="00BD5A52">
        <w:rPr>
          <w:rFonts w:cs="Arial"/>
          <w:szCs w:val="18"/>
          <w:lang w:val="en-US"/>
        </w:rPr>
        <w:fldChar w:fldCharType="separate"/>
      </w:r>
      <w:r w:rsidR="005B081F" w:rsidRPr="005B081F">
        <w:rPr>
          <w:rFonts w:cs="Arial"/>
          <w:szCs w:val="18"/>
          <w:lang w:val="en-US"/>
        </w:rPr>
        <w:t xml:space="preserve">Figure </w:t>
      </w:r>
      <w:r w:rsidR="005B081F" w:rsidRPr="005B081F">
        <w:rPr>
          <w:rFonts w:cs="Arial"/>
          <w:noProof/>
          <w:szCs w:val="18"/>
          <w:lang w:val="en-US"/>
        </w:rPr>
        <w:t>3</w:t>
      </w:r>
      <w:r w:rsidRPr="00BD5A52">
        <w:rPr>
          <w:rFonts w:cs="Arial"/>
          <w:szCs w:val="18"/>
          <w:lang w:val="en-US"/>
        </w:rPr>
        <w:fldChar w:fldCharType="end"/>
      </w:r>
      <w:r w:rsidRPr="00BD5A52">
        <w:rPr>
          <w:rFonts w:cs="Arial"/>
          <w:szCs w:val="18"/>
          <w:lang w:val="en-US"/>
        </w:rPr>
        <w:t xml:space="preserve"> show clearly that 25 minutes of curing at 180°C are not optimal and an over vulcanization is obtained in all the cases analyzed, with a final vulcanization degree that can be lower than 65% in few cases, as for NR-PB=70-30%, S-TBBS-DPG=1-0-3.</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DC2A25" w:rsidRPr="0074464E" w14:paraId="4626E93E" w14:textId="77777777" w:rsidTr="007B4219">
        <w:trPr>
          <w:trHeight w:val="388"/>
        </w:trPr>
        <w:tc>
          <w:tcPr>
            <w:tcW w:w="8787" w:type="dxa"/>
          </w:tcPr>
          <w:p w14:paraId="53C5DAD9" w14:textId="5B953268" w:rsidR="00DC3D0B" w:rsidRPr="00DD54CE" w:rsidRDefault="00DC3D0B" w:rsidP="00DD54CE">
            <w:pPr>
              <w:jc w:val="center"/>
            </w:pPr>
            <w:bookmarkStart w:id="8" w:name="_Ref521146243"/>
            <w:r w:rsidRPr="0074464E">
              <w:rPr>
                <w:rFonts w:ascii="Times New Roman" w:hAnsi="Times New Roman"/>
                <w:noProof/>
                <w:sz w:val="24"/>
                <w:szCs w:val="24"/>
                <w:lang w:val="it-IT" w:eastAsia="it-IT"/>
              </w:rPr>
              <mc:AlternateContent>
                <mc:Choice Requires="wps">
                  <w:drawing>
                    <wp:anchor distT="0" distB="0" distL="114300" distR="114300" simplePos="0" relativeHeight="251666432" behindDoc="0" locked="0" layoutInCell="1" allowOverlap="1" wp14:anchorId="121ABEDA" wp14:editId="16ACF7F0">
                      <wp:simplePos x="0" y="0"/>
                      <wp:positionH relativeFrom="column">
                        <wp:posOffset>2908935</wp:posOffset>
                      </wp:positionH>
                      <wp:positionV relativeFrom="paragraph">
                        <wp:posOffset>1565910</wp:posOffset>
                      </wp:positionV>
                      <wp:extent cx="552450" cy="209550"/>
                      <wp:effectExtent l="0" t="0" r="19050" b="19050"/>
                      <wp:wrapNone/>
                      <wp:docPr id="8" name="Casella di testo 8"/>
                      <wp:cNvGraphicFramePr/>
                      <a:graphic xmlns:a="http://schemas.openxmlformats.org/drawingml/2006/main">
                        <a:graphicData uri="http://schemas.microsoft.com/office/word/2010/wordprocessingShape">
                          <wps:wsp>
                            <wps:cNvSpPr txBox="1"/>
                            <wps:spPr>
                              <a:xfrm>
                                <a:off x="0" y="0"/>
                                <a:ext cx="552450" cy="209550"/>
                              </a:xfrm>
                              <a:prstGeom prst="rect">
                                <a:avLst/>
                              </a:prstGeom>
                              <a:solidFill>
                                <a:schemeClr val="bg1"/>
                              </a:solidFill>
                              <a:ln w="6350">
                                <a:solidFill>
                                  <a:schemeClr val="bg1"/>
                                </a:solidFill>
                              </a:ln>
                            </wps:spPr>
                            <wps:txbx>
                              <w:txbxContent>
                                <w:p w14:paraId="6869A666" w14:textId="77777777" w:rsidR="00DC3D0B" w:rsidRPr="005B081F" w:rsidRDefault="00DC3D0B" w:rsidP="00DC3D0B">
                                  <w:pPr>
                                    <w:rPr>
                                      <w:rFonts w:cs="Arial"/>
                                      <w:sz w:val="14"/>
                                      <w:szCs w:val="14"/>
                                    </w:rPr>
                                  </w:pPr>
                                  <w:r w:rsidRPr="005B081F">
                                    <w:rPr>
                                      <w:rFonts w:cs="Arial"/>
                                      <w:sz w:val="14"/>
                                      <w:szCs w:val="14"/>
                                    </w:rPr>
                                    <w:t>95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ABEDA" id="_x0000_t202" coordsize="21600,21600" o:spt="202" path="m,l,21600r21600,l21600,xe">
                      <v:stroke joinstyle="miter"/>
                      <v:path gradientshapeok="t" o:connecttype="rect"/>
                    </v:shapetype>
                    <v:shape id="Casella di testo 8" o:spid="_x0000_s1026" type="#_x0000_t202" style="position:absolute;left:0;text-align:left;margin-left:229.05pt;margin-top:123.3pt;width:43.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" fillcolor="white [3212]" strokecolor="white [3212]" strokeweight=".5pt">
                      <v:textbox>
                        <w:txbxContent>
                          <w:p w14:paraId="6869A666" w14:textId="77777777" w:rsidR="00DC3D0B" w:rsidRPr="005B081F" w:rsidRDefault="00DC3D0B" w:rsidP="00DC3D0B">
                            <w:pPr>
                              <w:rPr>
                                <w:rFonts w:cs="Arial"/>
                                <w:sz w:val="14"/>
                                <w:szCs w:val="14"/>
                              </w:rPr>
                            </w:pPr>
                            <w:r w:rsidRPr="005B081F">
                              <w:rPr>
                                <w:rFonts w:cs="Arial"/>
                                <w:sz w:val="14"/>
                                <w:szCs w:val="14"/>
                              </w:rPr>
                              <w:t>95 mm</w:t>
                            </w:r>
                          </w:p>
                        </w:txbxContent>
                      </v:textbox>
                    </v:shape>
                  </w:pict>
                </mc:Fallback>
              </mc:AlternateContent>
            </w:r>
            <w:r w:rsidRPr="00CF761E">
              <w:rPr>
                <w:noProof/>
                <w:lang w:val="it-IT" w:eastAsia="it-IT"/>
              </w:rPr>
              <w:drawing>
                <wp:inline distT="0" distB="0" distL="0" distR="0" wp14:anchorId="6E98A39E" wp14:editId="59529F37">
                  <wp:extent cx="4654550" cy="2056318"/>
                  <wp:effectExtent l="0" t="0" r="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r="10720" b="19707"/>
                          <a:stretch/>
                        </pic:blipFill>
                        <pic:spPr bwMode="auto">
                          <a:xfrm>
                            <a:off x="0" y="0"/>
                            <a:ext cx="4667847" cy="2062193"/>
                          </a:xfrm>
                          <a:prstGeom prst="rect">
                            <a:avLst/>
                          </a:prstGeom>
                          <a:noFill/>
                          <a:ln>
                            <a:noFill/>
                          </a:ln>
                          <a:extLst>
                            <a:ext uri="{53640926-AAD7-44D8-BBD7-CCE9431645EC}">
                              <a14:shadowObscured xmlns:a14="http://schemas.microsoft.com/office/drawing/2010/main"/>
                            </a:ext>
                          </a:extLst>
                        </pic:spPr>
                      </pic:pic>
                    </a:graphicData>
                  </a:graphic>
                </wp:inline>
              </w:drawing>
            </w:r>
          </w:p>
          <w:p w14:paraId="03A40380" w14:textId="0427654E" w:rsidR="00DC2A25" w:rsidRPr="0074464E" w:rsidRDefault="00DC2A25" w:rsidP="00DA4E27">
            <w:pPr>
              <w:rPr>
                <w:noProof/>
                <w:lang w:val="en-US" w:eastAsia="it-IT"/>
              </w:rPr>
            </w:pPr>
            <w:r w:rsidRPr="0074464E">
              <w:rPr>
                <w:rFonts w:cs="Arial"/>
                <w:i/>
                <w:szCs w:val="18"/>
                <w:lang w:val="en-US"/>
              </w:rPr>
              <w:t xml:space="preserve">Figure </w:t>
            </w:r>
            <w:r w:rsidRPr="0074464E">
              <w:rPr>
                <w:rFonts w:cs="Arial"/>
                <w:i/>
                <w:szCs w:val="18"/>
                <w:lang w:val="en-US"/>
              </w:rPr>
              <w:fldChar w:fldCharType="begin"/>
            </w:r>
            <w:r w:rsidRPr="0074464E">
              <w:rPr>
                <w:rFonts w:cs="Arial"/>
                <w:i/>
                <w:szCs w:val="18"/>
                <w:lang w:val="en-US"/>
              </w:rPr>
              <w:instrText xml:space="preserve"> SEQ Figure \* ARABIC </w:instrText>
            </w:r>
            <w:r w:rsidRPr="0074464E">
              <w:rPr>
                <w:rFonts w:cs="Arial"/>
                <w:i/>
                <w:szCs w:val="18"/>
                <w:lang w:val="en-US"/>
              </w:rPr>
              <w:fldChar w:fldCharType="separate"/>
            </w:r>
            <w:r w:rsidR="005B081F">
              <w:rPr>
                <w:rFonts w:cs="Arial"/>
                <w:i/>
                <w:noProof/>
                <w:szCs w:val="18"/>
                <w:lang w:val="en-US"/>
              </w:rPr>
              <w:t>2</w:t>
            </w:r>
            <w:r w:rsidRPr="0074464E">
              <w:rPr>
                <w:rFonts w:cs="Arial"/>
                <w:i/>
                <w:szCs w:val="18"/>
                <w:lang w:val="en-US"/>
              </w:rPr>
              <w:fldChar w:fldCharType="end"/>
            </w:r>
            <w:bookmarkEnd w:id="8"/>
            <w:r w:rsidRPr="0074464E">
              <w:rPr>
                <w:rFonts w:cs="Arial"/>
                <w:i/>
                <w:szCs w:val="18"/>
                <w:lang w:val="en-US"/>
              </w:rPr>
              <w:t xml:space="preserve">: Common car tire analyzed numerically during vulcanization. Perspective view of ¼ of the tire (top-left), detail of the cross section with points on skin and core (bottom left), top view, transversal section and detail of the different parts of the tire (belts, core and carcass). </w:t>
            </w:r>
          </w:p>
        </w:tc>
      </w:tr>
    </w:tbl>
    <w:p w14:paraId="5A0FA11B" w14:textId="7627D5AB" w:rsidR="00AB431A" w:rsidRDefault="00AB431A" w:rsidP="007B4219">
      <w:pPr>
        <w:rPr>
          <w:rFonts w:cs="Arial"/>
          <w:szCs w:val="18"/>
          <w:lang w:val="en-US" w:eastAsia="it-IT"/>
        </w:rPr>
      </w:pPr>
    </w:p>
    <w:p w14:paraId="2BDF375C" w14:textId="42E5A217" w:rsidR="00AB431A" w:rsidRDefault="00AB431A" w:rsidP="00AB431A">
      <w:pPr>
        <w:pStyle w:val="Paragrafoelenco"/>
        <w:spacing w:after="0" w:line="264" w:lineRule="auto"/>
        <w:ind w:left="0"/>
        <w:jc w:val="both"/>
        <w:rPr>
          <w:rFonts w:ascii="Arial" w:hAnsi="Arial" w:cs="Arial"/>
          <w:sz w:val="18"/>
          <w:szCs w:val="18"/>
          <w:lang w:val="en-US"/>
        </w:rPr>
      </w:pPr>
      <w:r>
        <w:rPr>
          <w:rFonts w:ascii="Arial" w:hAnsi="Arial" w:cs="Arial"/>
          <w:sz w:val="18"/>
          <w:szCs w:val="18"/>
          <w:lang w:val="en-US"/>
        </w:rPr>
        <w:t xml:space="preserve">(3) </w:t>
      </w:r>
      <w:r w:rsidRPr="00BD5A52">
        <w:rPr>
          <w:rFonts w:ascii="Arial" w:hAnsi="Arial" w:cs="Arial"/>
          <w:sz w:val="18"/>
          <w:szCs w:val="18"/>
          <w:lang w:val="en-US"/>
        </w:rPr>
        <w:t xml:space="preserve">When the vulcanization temperature is 170°C, the maximum crosslinking degree occurs in the majority of the cases between 5 and 10 minutes, for both the surface and the core of the item. </w:t>
      </w:r>
      <w:r w:rsidRPr="00BD5A52">
        <w:rPr>
          <w:rFonts w:ascii="Arial" w:hAnsi="Arial" w:cs="Arial"/>
          <w:sz w:val="18"/>
          <w:szCs w:val="18"/>
          <w:lang w:val="en-US"/>
        </w:rPr>
        <w:fldChar w:fldCharType="begin"/>
      </w:r>
      <w:r w:rsidRPr="00BD5A52">
        <w:rPr>
          <w:rFonts w:ascii="Arial" w:hAnsi="Arial" w:cs="Arial"/>
          <w:sz w:val="18"/>
          <w:szCs w:val="18"/>
          <w:lang w:val="en-US"/>
        </w:rPr>
        <w:instrText xml:space="preserve"> REF _Ref521168473 \h  \* MERGEFORMAT </w:instrText>
      </w:r>
      <w:r w:rsidRPr="00BD5A52">
        <w:rPr>
          <w:rFonts w:ascii="Arial" w:hAnsi="Arial" w:cs="Arial"/>
          <w:sz w:val="18"/>
          <w:szCs w:val="18"/>
          <w:lang w:val="en-US"/>
        </w:rPr>
      </w:r>
      <w:r w:rsidRPr="00BD5A52">
        <w:rPr>
          <w:rFonts w:ascii="Arial" w:hAnsi="Arial" w:cs="Arial"/>
          <w:sz w:val="18"/>
          <w:szCs w:val="18"/>
          <w:lang w:val="en-US"/>
        </w:rPr>
        <w:fldChar w:fldCharType="separate"/>
      </w:r>
      <w:r w:rsidR="005B081F" w:rsidRPr="005B081F">
        <w:rPr>
          <w:rFonts w:ascii="Arial" w:hAnsi="Arial" w:cs="Arial"/>
          <w:sz w:val="18"/>
          <w:szCs w:val="18"/>
          <w:lang w:val="en-US"/>
        </w:rPr>
        <w:t>Figure 3</w:t>
      </w:r>
      <w:r w:rsidRPr="00BD5A52">
        <w:rPr>
          <w:rFonts w:ascii="Arial" w:hAnsi="Arial" w:cs="Arial"/>
          <w:sz w:val="18"/>
          <w:szCs w:val="18"/>
          <w:lang w:val="en-US"/>
        </w:rPr>
        <w:fldChar w:fldCharType="end"/>
      </w:r>
      <w:r w:rsidRPr="00BD5A52">
        <w:rPr>
          <w:rFonts w:ascii="Arial" w:hAnsi="Arial" w:cs="Arial"/>
          <w:sz w:val="18"/>
          <w:szCs w:val="18"/>
          <w:lang w:val="en-US"/>
        </w:rPr>
        <w:t xml:space="preserve"> clearly shows how an over-vulcanization is less critical than that at 180°C, and that a curing applied to 10-12 minutes is the condition assuring an average vulcanization that can reach 95%.</w:t>
      </w:r>
      <w:r>
        <w:rPr>
          <w:rFonts w:ascii="Arial" w:hAnsi="Arial" w:cs="Arial"/>
          <w:sz w:val="18"/>
          <w:szCs w:val="18"/>
          <w:lang w:val="en-US"/>
        </w:rPr>
        <w:t xml:space="preserve"> (4) </w:t>
      </w:r>
      <w:r w:rsidRPr="00BD5A52">
        <w:rPr>
          <w:rFonts w:ascii="Arial" w:hAnsi="Arial" w:cs="Arial"/>
          <w:sz w:val="18"/>
          <w:szCs w:val="18"/>
          <w:lang w:val="en-US"/>
        </w:rPr>
        <w:t>The effect of the accelerants in the vulcanization is evident</w:t>
      </w:r>
      <w:r w:rsidR="00983F9E">
        <w:rPr>
          <w:rFonts w:ascii="Arial" w:hAnsi="Arial" w:cs="Arial"/>
          <w:sz w:val="18"/>
          <w:szCs w:val="18"/>
          <w:lang w:val="en-US"/>
        </w:rPr>
        <w:t>, for instance</w:t>
      </w:r>
      <w:r w:rsidRPr="00BD5A52">
        <w:rPr>
          <w:rFonts w:ascii="Arial" w:hAnsi="Arial" w:cs="Arial"/>
          <w:sz w:val="18"/>
          <w:szCs w:val="18"/>
          <w:lang w:val="en-US"/>
        </w:rPr>
        <w:t xml:space="preserve"> DPG is always associated to over-curing and a rate of vulcanization very different passing from the skin to the core. </w:t>
      </w:r>
      <w:r w:rsidR="00CB5B30">
        <w:rPr>
          <w:rFonts w:ascii="Arial" w:hAnsi="Arial" w:cs="Arial"/>
          <w:sz w:val="18"/>
          <w:szCs w:val="18"/>
          <w:lang w:val="en-US"/>
        </w:rPr>
        <w:t>W</w:t>
      </w:r>
      <w:r w:rsidRPr="00BD5A52">
        <w:rPr>
          <w:rFonts w:ascii="Arial" w:hAnsi="Arial" w:cs="Arial"/>
          <w:sz w:val="18"/>
          <w:szCs w:val="18"/>
          <w:lang w:val="en-US"/>
        </w:rPr>
        <w:t>hen the skin starts to vulcanize, the core is still unreactive; conversely, when the core starts to vulcanize, the skin is in its reversion phase. On average, such effect is negative and reflects into poor final mechanical properties. Increasing DPG concentration at 3 phr is not beneficial; conversely, it results into an exacerbation of the drawbacks observed at 1 phr.</w:t>
      </w:r>
      <w:r>
        <w:rPr>
          <w:rFonts w:ascii="Arial" w:hAnsi="Arial" w:cs="Arial"/>
          <w:sz w:val="18"/>
          <w:szCs w:val="18"/>
          <w:lang w:val="en-US"/>
        </w:rPr>
        <w:t xml:space="preserve"> (5) T</w:t>
      </w:r>
      <w:r w:rsidRPr="00BD5A52">
        <w:rPr>
          <w:rFonts w:ascii="Arial" w:hAnsi="Arial" w:cs="Arial"/>
          <w:sz w:val="18"/>
          <w:szCs w:val="18"/>
          <w:lang w:val="en-US"/>
        </w:rPr>
        <w:t>he blend NR-PB=70-30% seems to behave slightly better than that NR-PB=50-50%, exception made for S-TBBS-DPG=1-0-3, which in any case provides the worst results.</w:t>
      </w:r>
      <w:r>
        <w:rPr>
          <w:rFonts w:ascii="Arial" w:hAnsi="Arial" w:cs="Arial"/>
          <w:sz w:val="18"/>
          <w:szCs w:val="18"/>
          <w:lang w:val="en-US"/>
        </w:rPr>
        <w:t xml:space="preserve"> </w:t>
      </w:r>
      <w:r w:rsidRPr="00BD5A52">
        <w:rPr>
          <w:rFonts w:ascii="Arial" w:hAnsi="Arial" w:cs="Arial"/>
          <w:sz w:val="18"/>
          <w:szCs w:val="18"/>
          <w:lang w:val="en-US"/>
        </w:rPr>
        <w:t xml:space="preserve">The best results in terms of average crosslinking density are obtained for S-TBBS-DPG=1-1-0. When NR-PB=70-30% it is possible to obtain rather high curing degrees (very near to the optimized ones) both at 170°C and 180°C (more than 95%) with a vulcanization time of about 11-13 minutes. For NR-PB=50-50% the optimal temperature seems to be 170°C and the curing time must not exceed 12 minutes. An increase of TBBS concentration is not beneficial, because associated to more reversion. </w:t>
      </w:r>
    </w:p>
    <w:p w14:paraId="2D5B8A42" w14:textId="77777777" w:rsidR="00AB431A" w:rsidRPr="0074464E" w:rsidRDefault="00AB431A" w:rsidP="00AB431A">
      <w:pPr>
        <w:pStyle w:val="CETHeading1"/>
        <w:tabs>
          <w:tab w:val="clear" w:pos="360"/>
          <w:tab w:val="right" w:pos="7100"/>
        </w:tabs>
        <w:jc w:val="both"/>
        <w:rPr>
          <w:lang w:val="en-GB"/>
        </w:rPr>
      </w:pPr>
      <w:r w:rsidRPr="0074464E">
        <w:rPr>
          <w:lang w:val="en-GB"/>
        </w:rPr>
        <w:t>Conclusions</w:t>
      </w:r>
    </w:p>
    <w:p w14:paraId="29AD3D49" w14:textId="5FDC04D6" w:rsidR="00983F9E" w:rsidRPr="00983F9E" w:rsidRDefault="00AB431A" w:rsidP="007B4219">
      <w:pPr>
        <w:rPr>
          <w:rFonts w:cs="Arial"/>
          <w:szCs w:val="18"/>
          <w:lang w:val="en-US" w:eastAsia="it-IT"/>
        </w:rPr>
      </w:pPr>
      <w:r w:rsidRPr="00E62456">
        <w:rPr>
          <w:rFonts w:cs="Arial"/>
          <w:szCs w:val="18"/>
          <w:lang w:val="en-US" w:eastAsia="it-IT"/>
        </w:rPr>
        <w:t xml:space="preserve">The paper discussed a three-step numerical procedure which can be used in the </w:t>
      </w:r>
      <w:r w:rsidRPr="00E62456">
        <w:rPr>
          <w:rFonts w:cs="Arial"/>
          <w:szCs w:val="18"/>
          <w:lang w:val="en-US"/>
        </w:rPr>
        <w:t>production</w:t>
      </w:r>
      <w:r w:rsidR="00466CE5">
        <w:rPr>
          <w:rFonts w:cs="Arial"/>
          <w:szCs w:val="18"/>
          <w:lang w:val="en-US" w:eastAsia="it-IT"/>
        </w:rPr>
        <w:t xml:space="preserve"> control of 3D rubber items</w:t>
      </w:r>
      <w:r w:rsidRPr="00E62456">
        <w:rPr>
          <w:rFonts w:cs="Arial"/>
          <w:szCs w:val="18"/>
          <w:lang w:val="en-US" w:eastAsia="it-IT"/>
        </w:rPr>
        <w:t xml:space="preserve"> to maximize the average crosslinking density and hence the final mechanical</w:t>
      </w:r>
      <w:r w:rsidR="00466CE5">
        <w:rPr>
          <w:rFonts w:cs="Arial"/>
          <w:szCs w:val="18"/>
          <w:lang w:val="en-US" w:eastAsia="it-IT"/>
        </w:rPr>
        <w:t xml:space="preserve"> properties. The first step </w:t>
      </w:r>
      <w:r w:rsidRPr="00E62456">
        <w:rPr>
          <w:rFonts w:cs="Arial"/>
          <w:szCs w:val="18"/>
          <w:lang w:val="en-US" w:eastAsia="it-IT"/>
        </w:rPr>
        <w:t>is the experimental characterization, the second a kinetic steady-state model which provides kinetic constants to implement in the last step</w:t>
      </w:r>
      <w:r w:rsidR="00466CE5">
        <w:rPr>
          <w:rFonts w:cs="Arial"/>
          <w:szCs w:val="18"/>
          <w:lang w:val="en-US" w:eastAsia="it-IT"/>
        </w:rPr>
        <w:t xml:space="preserve"> i</w:t>
      </w:r>
      <w:r w:rsidRPr="00E62456">
        <w:rPr>
          <w:rFonts w:cs="Arial"/>
          <w:szCs w:val="18"/>
          <w:lang w:val="en-US" w:eastAsia="it-IT"/>
        </w:rPr>
        <w:t xml:space="preserve">nto a FE code to solve heat transmission problems. The temperature profile knowledge of each node of the mesh in the last step allows to estimate locally the crosslinking degree, when a suitable kinetic model is hypothesized. The three-step procedure has been implemented in a commercial FE code by means of an Application Program Interface API function and tested on a real car tire geometry, changing the rubber blend used (a mixture of NR and PB) and concentrations of the accelerants adopted. </w:t>
      </w:r>
      <w:r w:rsidR="00FB5204">
        <w:rPr>
          <w:rFonts w:cs="Arial"/>
          <w:szCs w:val="18"/>
          <w:lang w:val="en-US" w:eastAsia="it-IT"/>
        </w:rPr>
        <w:t xml:space="preserve">In the specific </w:t>
      </w:r>
      <w:r w:rsidR="00FB5204">
        <w:rPr>
          <w:rFonts w:cs="Arial"/>
          <w:szCs w:val="18"/>
          <w:lang w:val="en-US" w:eastAsia="it-IT"/>
        </w:rPr>
        <w:lastRenderedPageBreak/>
        <w:t xml:space="preserve">case discussed, it has been found how a 50%-50% NR-PB blend with TBBS cured at 170°C is the most balanced providing good vulcanization of core and skin of the item. </w:t>
      </w:r>
    </w:p>
    <w:tbl>
      <w:tblPr>
        <w:tblStyle w:val="Grigliatabella"/>
        <w:tblW w:w="106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DC2A25" w:rsidRPr="0074464E" w14:paraId="30A17D50" w14:textId="77777777" w:rsidTr="007B4219">
        <w:tc>
          <w:tcPr>
            <w:tcW w:w="5318" w:type="dxa"/>
          </w:tcPr>
          <w:p w14:paraId="5F01BE1F" w14:textId="77777777" w:rsidR="00DC2A25" w:rsidRPr="0074464E" w:rsidRDefault="00DC2A25" w:rsidP="00DA4E27">
            <w:pPr>
              <w:jc w:val="center"/>
              <w:rPr>
                <w:rFonts w:ascii="Times New Roman" w:hAnsi="Times New Roman"/>
                <w:sz w:val="24"/>
                <w:szCs w:val="24"/>
                <w:lang w:val="en-US"/>
              </w:rPr>
            </w:pPr>
            <w:r w:rsidRPr="0074464E">
              <w:rPr>
                <w:rFonts w:cs="Arial"/>
                <w:i/>
                <w:szCs w:val="18"/>
                <w:lang w:val="en-US"/>
              </w:rPr>
              <w:t>NR-PB=50-50%</w:t>
            </w:r>
          </w:p>
        </w:tc>
        <w:tc>
          <w:tcPr>
            <w:tcW w:w="5318" w:type="dxa"/>
          </w:tcPr>
          <w:p w14:paraId="60E79DE6" w14:textId="77777777" w:rsidR="00DC2A25" w:rsidRPr="0074464E" w:rsidRDefault="00DC2A25" w:rsidP="00DA4E27">
            <w:pPr>
              <w:jc w:val="center"/>
              <w:rPr>
                <w:rFonts w:ascii="Times New Roman" w:hAnsi="Times New Roman"/>
                <w:sz w:val="24"/>
                <w:szCs w:val="24"/>
                <w:lang w:val="en-US"/>
              </w:rPr>
            </w:pPr>
            <w:r w:rsidRPr="0074464E">
              <w:rPr>
                <w:rFonts w:cs="Arial"/>
                <w:i/>
                <w:szCs w:val="18"/>
                <w:lang w:val="en-US"/>
              </w:rPr>
              <w:t>NR-PB=70-30%</w:t>
            </w:r>
          </w:p>
        </w:tc>
      </w:tr>
      <w:tr w:rsidR="00DC2A25" w:rsidRPr="0074464E" w14:paraId="161BE611" w14:textId="77777777" w:rsidTr="007B4219">
        <w:tc>
          <w:tcPr>
            <w:tcW w:w="5318" w:type="dxa"/>
            <w:tcBorders>
              <w:right w:val="single" w:sz="4" w:space="0" w:color="auto"/>
            </w:tcBorders>
          </w:tcPr>
          <w:p w14:paraId="3E512A19"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4EF8AC63" wp14:editId="34FA2450">
                  <wp:extent cx="3240000" cy="1619832"/>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40000" cy="1619832"/>
                          </a:xfrm>
                          <a:prstGeom prst="rect">
                            <a:avLst/>
                          </a:prstGeom>
                          <a:noFill/>
                          <a:ln>
                            <a:noFill/>
                          </a:ln>
                        </pic:spPr>
                      </pic:pic>
                    </a:graphicData>
                  </a:graphic>
                </wp:inline>
              </w:drawing>
            </w:r>
          </w:p>
        </w:tc>
        <w:tc>
          <w:tcPr>
            <w:tcW w:w="5318" w:type="dxa"/>
            <w:tcBorders>
              <w:left w:val="single" w:sz="4" w:space="0" w:color="auto"/>
            </w:tcBorders>
          </w:tcPr>
          <w:p w14:paraId="4AC8D839"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7B4FDC70" wp14:editId="41C8AA8D">
                  <wp:extent cx="3236925" cy="1620350"/>
                  <wp:effectExtent l="0" t="0" r="1905"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16" b="-2"/>
                          <a:stretch/>
                        </pic:blipFill>
                        <pic:spPr bwMode="auto">
                          <a:xfrm>
                            <a:off x="0" y="0"/>
                            <a:ext cx="3240000" cy="1621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2A25" w:rsidRPr="0074464E" w14:paraId="0345B417" w14:textId="77777777" w:rsidTr="007B4219">
        <w:tc>
          <w:tcPr>
            <w:tcW w:w="5318" w:type="dxa"/>
            <w:tcBorders>
              <w:right w:val="single" w:sz="4" w:space="0" w:color="auto"/>
            </w:tcBorders>
          </w:tcPr>
          <w:p w14:paraId="4755C81B"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4A43B26C" wp14:editId="2220B2DA">
                  <wp:extent cx="3238836" cy="88028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5637"/>
                          <a:stretch/>
                        </pic:blipFill>
                        <pic:spPr bwMode="auto">
                          <a:xfrm>
                            <a:off x="0" y="0"/>
                            <a:ext cx="3240000" cy="880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8" w:type="dxa"/>
            <w:tcBorders>
              <w:left w:val="single" w:sz="4" w:space="0" w:color="auto"/>
            </w:tcBorders>
          </w:tcPr>
          <w:p w14:paraId="40EA9AE9"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5B7A11F6" wp14:editId="750FF01E">
                  <wp:extent cx="3239770" cy="864511"/>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6631"/>
                          <a:stretch/>
                        </pic:blipFill>
                        <pic:spPr bwMode="auto">
                          <a:xfrm>
                            <a:off x="0" y="0"/>
                            <a:ext cx="3240000" cy="864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2A25" w:rsidRPr="0074464E" w14:paraId="2BC4BC8A" w14:textId="77777777" w:rsidTr="007B4219">
        <w:tc>
          <w:tcPr>
            <w:tcW w:w="5318" w:type="dxa"/>
            <w:tcBorders>
              <w:right w:val="single" w:sz="4" w:space="0" w:color="auto"/>
            </w:tcBorders>
          </w:tcPr>
          <w:p w14:paraId="241A88DC"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7F7BA25C" wp14:editId="4510A02D">
                  <wp:extent cx="3239132" cy="87327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6175"/>
                          <a:stretch/>
                        </pic:blipFill>
                        <pic:spPr bwMode="auto">
                          <a:xfrm>
                            <a:off x="0" y="0"/>
                            <a:ext cx="3240000" cy="873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8" w:type="dxa"/>
            <w:tcBorders>
              <w:left w:val="single" w:sz="4" w:space="0" w:color="auto"/>
            </w:tcBorders>
          </w:tcPr>
          <w:p w14:paraId="290123BC"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29DDC8D3" wp14:editId="3C6DFE66">
                  <wp:extent cx="3240000" cy="857351"/>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7079" b="-1"/>
                          <a:stretch/>
                        </pic:blipFill>
                        <pic:spPr bwMode="auto">
                          <a:xfrm>
                            <a:off x="0" y="0"/>
                            <a:ext cx="3240000" cy="857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2A25" w:rsidRPr="0074464E" w14:paraId="523EC3A9" w14:textId="77777777" w:rsidTr="007B4219">
        <w:tc>
          <w:tcPr>
            <w:tcW w:w="5318" w:type="dxa"/>
            <w:tcBorders>
              <w:right w:val="single" w:sz="4" w:space="0" w:color="auto"/>
            </w:tcBorders>
          </w:tcPr>
          <w:p w14:paraId="3581BA6C"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62C56E49" wp14:editId="4B24E18D">
                  <wp:extent cx="3239132" cy="873278"/>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6175"/>
                          <a:stretch/>
                        </pic:blipFill>
                        <pic:spPr bwMode="auto">
                          <a:xfrm>
                            <a:off x="0" y="0"/>
                            <a:ext cx="3240000" cy="873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8" w:type="dxa"/>
            <w:tcBorders>
              <w:left w:val="single" w:sz="4" w:space="0" w:color="auto"/>
            </w:tcBorders>
          </w:tcPr>
          <w:p w14:paraId="4CD9953B" w14:textId="77777777" w:rsidR="00DC2A25" w:rsidRPr="0074464E" w:rsidRDefault="00DC2A25" w:rsidP="00DA4E27">
            <w:pPr>
              <w:rPr>
                <w:rFonts w:ascii="Times New Roman" w:hAnsi="Times New Roman"/>
                <w:noProof/>
                <w:sz w:val="24"/>
                <w:szCs w:val="24"/>
                <w:lang w:eastAsia="it-IT"/>
              </w:rPr>
            </w:pPr>
            <w:r w:rsidRPr="0074464E">
              <w:rPr>
                <w:rFonts w:ascii="Times New Roman" w:hAnsi="Times New Roman"/>
                <w:noProof/>
                <w:sz w:val="24"/>
                <w:szCs w:val="24"/>
                <w:lang w:val="it-IT" w:eastAsia="it-IT"/>
              </w:rPr>
              <w:drawing>
                <wp:inline distT="0" distB="0" distL="0" distR="0" wp14:anchorId="60EDC1CD" wp14:editId="1C30BEAD">
                  <wp:extent cx="3240000" cy="873137"/>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6103"/>
                          <a:stretch/>
                        </pic:blipFill>
                        <pic:spPr bwMode="auto">
                          <a:xfrm>
                            <a:off x="0" y="0"/>
                            <a:ext cx="3240000" cy="873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2A25" w:rsidRPr="0074464E" w14:paraId="0AFCAB29" w14:textId="77777777" w:rsidTr="007B4219">
        <w:tc>
          <w:tcPr>
            <w:tcW w:w="10636" w:type="dxa"/>
            <w:gridSpan w:val="2"/>
          </w:tcPr>
          <w:p w14:paraId="4CE51252" w14:textId="35A98A93" w:rsidR="00DC2A25" w:rsidRPr="0074464E" w:rsidRDefault="00DC2A25" w:rsidP="006C1CB9">
            <w:pPr>
              <w:rPr>
                <w:rFonts w:ascii="Times New Roman" w:hAnsi="Times New Roman"/>
                <w:noProof/>
                <w:sz w:val="24"/>
                <w:szCs w:val="24"/>
                <w:lang w:val="en-US" w:eastAsia="it-IT"/>
              </w:rPr>
            </w:pPr>
            <w:bookmarkStart w:id="9" w:name="_Ref521168473"/>
            <w:r w:rsidRPr="0074464E">
              <w:rPr>
                <w:rFonts w:cs="Arial"/>
                <w:i/>
                <w:szCs w:val="18"/>
                <w:lang w:val="en-US"/>
              </w:rPr>
              <w:t xml:space="preserve">Figure </w:t>
            </w:r>
            <w:r w:rsidRPr="0074464E">
              <w:rPr>
                <w:rFonts w:cs="Arial"/>
                <w:i/>
                <w:szCs w:val="18"/>
                <w:lang w:val="en-US"/>
              </w:rPr>
              <w:fldChar w:fldCharType="begin"/>
            </w:r>
            <w:r w:rsidRPr="0074464E">
              <w:rPr>
                <w:rFonts w:cs="Arial"/>
                <w:i/>
                <w:szCs w:val="18"/>
                <w:lang w:val="en-US"/>
              </w:rPr>
              <w:instrText xml:space="preserve"> SEQ Figure \* ARABIC </w:instrText>
            </w:r>
            <w:r w:rsidRPr="0074464E">
              <w:rPr>
                <w:rFonts w:cs="Arial"/>
                <w:i/>
                <w:szCs w:val="18"/>
                <w:lang w:val="en-US"/>
              </w:rPr>
              <w:fldChar w:fldCharType="separate"/>
            </w:r>
            <w:r w:rsidR="005B081F">
              <w:rPr>
                <w:rFonts w:cs="Arial"/>
                <w:i/>
                <w:noProof/>
                <w:szCs w:val="18"/>
                <w:lang w:val="en-US"/>
              </w:rPr>
              <w:t>3</w:t>
            </w:r>
            <w:r w:rsidRPr="0074464E">
              <w:rPr>
                <w:rFonts w:cs="Arial"/>
                <w:i/>
                <w:szCs w:val="18"/>
                <w:lang w:val="en-US"/>
              </w:rPr>
              <w:fldChar w:fldCharType="end"/>
            </w:r>
            <w:bookmarkEnd w:id="9"/>
            <w:r w:rsidRPr="0074464E">
              <w:rPr>
                <w:rFonts w:cs="Arial"/>
                <w:i/>
                <w:szCs w:val="18"/>
                <w:lang w:val="en-US"/>
              </w:rPr>
              <w:t xml:space="preserve">: </w:t>
            </w:r>
            <w:r w:rsidR="006C1CB9">
              <w:rPr>
                <w:rFonts w:cs="Arial"/>
                <w:i/>
                <w:szCs w:val="18"/>
                <w:lang w:val="en-US"/>
              </w:rPr>
              <w:t>V</w:t>
            </w:r>
            <w:r w:rsidRPr="0074464E">
              <w:rPr>
                <w:rFonts w:cs="Arial"/>
                <w:i/>
                <w:szCs w:val="18"/>
                <w:lang w:val="en-US"/>
              </w:rPr>
              <w:t>ulcanization of a tire at 170°C and 180°C for 25 minutes. Analysis of the curing history of two points (P1-skin dashed curve, P2-core continuous curve) along tire thickness. Blue</w:t>
            </w:r>
            <w:r w:rsidR="006C1CB9">
              <w:rPr>
                <w:rFonts w:cs="Arial"/>
                <w:i/>
                <w:szCs w:val="18"/>
                <w:lang w:val="en-US"/>
              </w:rPr>
              <w:t>: vulcanization degree. R</w:t>
            </w:r>
            <w:r w:rsidRPr="0074464E">
              <w:rPr>
                <w:rFonts w:cs="Arial"/>
                <w:i/>
                <w:szCs w:val="18"/>
                <w:lang w:val="en-US"/>
              </w:rPr>
              <w:t>ed curves to the vulcanization rate.</w:t>
            </w:r>
          </w:p>
        </w:tc>
      </w:tr>
    </w:tbl>
    <w:p w14:paraId="43529B82" w14:textId="77777777" w:rsidR="00DC2A25" w:rsidRPr="0074464E" w:rsidRDefault="00DC2A25" w:rsidP="00DC2A25">
      <w:pPr>
        <w:pStyle w:val="CETHeading1"/>
        <w:tabs>
          <w:tab w:val="clear" w:pos="360"/>
          <w:tab w:val="right" w:pos="7100"/>
        </w:tabs>
        <w:jc w:val="both"/>
        <w:rPr>
          <w:lang w:val="en-GB"/>
        </w:rPr>
      </w:pPr>
      <w:r w:rsidRPr="0074464E">
        <w:rPr>
          <w:lang w:val="en-GB"/>
        </w:rPr>
        <w:t>References</w:t>
      </w:r>
    </w:p>
    <w:p w14:paraId="44E5114E" w14:textId="3B632871" w:rsidR="006C54BD" w:rsidRDefault="006C54BD" w:rsidP="006C54BD">
      <w:pPr>
        <w:pStyle w:val="CETReference-text"/>
      </w:pPr>
      <w:r>
        <w:t xml:space="preserve">Arrillaga A., Zaldua A.M., Atxurra R.M., Farid A.S., 2007, </w:t>
      </w:r>
      <w:r>
        <w:t>Techniques used for determining cure kinetics of rubber compounds</w:t>
      </w:r>
      <w:r>
        <w:t xml:space="preserve">, European Polymer Journal, 43, No. 11, </w:t>
      </w:r>
      <w:r w:rsidRPr="006C54BD">
        <w:t>4783-4799</w:t>
      </w:r>
      <w:r>
        <w:t>.</w:t>
      </w:r>
    </w:p>
    <w:p w14:paraId="68A33CE2" w14:textId="466B91C6" w:rsidR="00F9647B" w:rsidRDefault="00F9647B" w:rsidP="00F9647B">
      <w:pPr>
        <w:pStyle w:val="CETReference-text"/>
      </w:pPr>
      <w:r>
        <w:t xml:space="preserve">Ding R., Leonov A.I., 1996, </w:t>
      </w:r>
      <w:r>
        <w:t>A kinetic model for sulfur accelerated vulcanization of a natural rubber compound</w:t>
      </w:r>
      <w:r>
        <w:t>, Journal of Applied Polymer Science</w:t>
      </w:r>
      <w:r w:rsidR="00983F9E">
        <w:t>, 61</w:t>
      </w:r>
      <w:r>
        <w:t xml:space="preserve">, No. </w:t>
      </w:r>
      <w:r w:rsidR="00983F9E">
        <w:t>3</w:t>
      </w:r>
      <w:r>
        <w:t>, 455-463.</w:t>
      </w:r>
    </w:p>
    <w:p w14:paraId="53249BD3" w14:textId="2B86431B" w:rsidR="00DC2A25" w:rsidRPr="00A5047F" w:rsidRDefault="00DC2A25" w:rsidP="00DC2A25">
      <w:pPr>
        <w:pStyle w:val="CETReference-text"/>
        <w:rPr>
          <w:lang w:val="en-US"/>
        </w:rPr>
      </w:pPr>
      <w:r w:rsidRPr="00A5047F">
        <w:t>Han I.S., Chung C.B., Kang S.J., Kim S.J., Chung H.C., 1998, A kinetic model of reversion type cure for rubber compounds, Polymer (Korea), 22, 223-230.</w:t>
      </w:r>
      <w:r w:rsidRPr="00A5047F">
        <w:rPr>
          <w:lang w:val="en-US"/>
        </w:rPr>
        <w:t xml:space="preserve"> </w:t>
      </w:r>
    </w:p>
    <w:p w14:paraId="3E7AC013" w14:textId="069F0C96" w:rsidR="00DC2A25" w:rsidRDefault="00DC2A25" w:rsidP="00DC2A25">
      <w:pPr>
        <w:pStyle w:val="CETReference-text"/>
        <w:rPr>
          <w:rFonts w:cs="Arial"/>
          <w:szCs w:val="18"/>
          <w:lang w:val="en-US"/>
        </w:rPr>
      </w:pPr>
      <w:r w:rsidRPr="00A5047F">
        <w:rPr>
          <w:rFonts w:cs="Arial"/>
          <w:szCs w:val="18"/>
        </w:rPr>
        <w:t xml:space="preserve">Sun X., Isayev A.I., 2009, Cure kinetics study of unfilled and carbon black filled synthetic isoprene rubber, Rubber Chem. </w:t>
      </w:r>
      <w:r w:rsidRPr="009617B6">
        <w:rPr>
          <w:lang w:val="en-US"/>
        </w:rPr>
        <w:t>Technol</w:t>
      </w:r>
      <w:r w:rsidRPr="009617B6">
        <w:rPr>
          <w:rFonts w:cs="Arial"/>
          <w:szCs w:val="18"/>
          <w:lang w:val="en-US"/>
        </w:rPr>
        <w:t>., 82, No. 2, 149-169.</w:t>
      </w:r>
    </w:p>
    <w:p w14:paraId="4A1C3A93" w14:textId="091F0AFB" w:rsidR="00E233C4" w:rsidRPr="00E233C4" w:rsidRDefault="00C23EA2" w:rsidP="00E233C4">
      <w:pPr>
        <w:pStyle w:val="CETReference-text"/>
        <w:rPr>
          <w:rFonts w:cs="Arial"/>
          <w:szCs w:val="18"/>
          <w:lang w:val="en-US"/>
        </w:rPr>
      </w:pPr>
      <w:r w:rsidRPr="00E233C4">
        <w:rPr>
          <w:rFonts w:cs="Arial"/>
          <w:szCs w:val="18"/>
          <w:lang w:val="en-US"/>
        </w:rPr>
        <w:t>Mansilla</w:t>
      </w:r>
      <w:r w:rsidR="00E233C4" w:rsidRPr="00E233C4">
        <w:rPr>
          <w:rFonts w:cs="Arial"/>
          <w:szCs w:val="18"/>
          <w:lang w:val="en-US"/>
        </w:rPr>
        <w:t xml:space="preserve"> M.A., Marzocca A.J., Macchi C., Somoza A.</w:t>
      </w:r>
      <w:r w:rsidR="00E233C4">
        <w:rPr>
          <w:rFonts w:cs="Arial"/>
          <w:szCs w:val="18"/>
          <w:lang w:val="en-US"/>
        </w:rPr>
        <w:t>, 1995,</w:t>
      </w:r>
      <w:r w:rsidR="00E233C4" w:rsidRPr="00E233C4">
        <w:rPr>
          <w:rFonts w:cs="Arial"/>
          <w:szCs w:val="18"/>
          <w:lang w:val="en-US"/>
        </w:rPr>
        <w:t xml:space="preserve"> </w:t>
      </w:r>
      <w:r w:rsidR="00E233C4" w:rsidRPr="00E233C4">
        <w:rPr>
          <w:rFonts w:cs="Arial"/>
          <w:szCs w:val="18"/>
          <w:lang w:val="en-US"/>
        </w:rPr>
        <w:t>Influence of vulcanization temperature on the cure kinetics and on the microstructural properties in natural rubber/styrene-butadiene rubber blends prepared by solution mixing</w:t>
      </w:r>
      <w:r w:rsidR="00E233C4">
        <w:rPr>
          <w:rFonts w:cs="Arial"/>
          <w:szCs w:val="18"/>
          <w:lang w:val="en-US"/>
        </w:rPr>
        <w:t xml:space="preserve">, European Polymer Journal, </w:t>
      </w:r>
      <w:r w:rsidR="00466CE5">
        <w:rPr>
          <w:rFonts w:cs="Arial"/>
          <w:szCs w:val="18"/>
          <w:lang w:val="en-US"/>
        </w:rPr>
        <w:t>69, 50-61.</w:t>
      </w:r>
    </w:p>
    <w:p w14:paraId="5AFCA768" w14:textId="02A3CC79" w:rsidR="001F1975" w:rsidRDefault="001F1975" w:rsidP="00DC2A25">
      <w:pPr>
        <w:pStyle w:val="CETReference-text"/>
      </w:pPr>
      <w:r w:rsidRPr="00A5047F">
        <w:rPr>
          <w:lang w:val="en-US"/>
        </w:rPr>
        <w:t>Milani G., H</w:t>
      </w:r>
      <w:r w:rsidR="00BD5A52" w:rsidRPr="00A5047F">
        <w:rPr>
          <w:lang w:val="en-US"/>
        </w:rPr>
        <w:t>anel T., Milani F., Donetti R., 2015,</w:t>
      </w:r>
      <w:r w:rsidRPr="00A5047F">
        <w:rPr>
          <w:lang w:val="en-US"/>
        </w:rPr>
        <w:t xml:space="preserve"> </w:t>
      </w:r>
      <w:r w:rsidRPr="00A5047F">
        <w:t>A closed form solution for the vulcanization prediction of NR cured with sulphur and different accelerators</w:t>
      </w:r>
      <w:r w:rsidR="00A85090" w:rsidRPr="00A5047F">
        <w:t>,</w:t>
      </w:r>
      <w:r w:rsidRPr="00A5047F">
        <w:t xml:space="preserve"> Journa</w:t>
      </w:r>
      <w:r w:rsidR="00BD5A52" w:rsidRPr="00A5047F">
        <w:t>l of Mathematical Chemistry, 53, No. 4,</w:t>
      </w:r>
      <w:r w:rsidRPr="00A5047F">
        <w:t xml:space="preserve"> 975-997.</w:t>
      </w:r>
    </w:p>
    <w:p w14:paraId="60E7E0A6" w14:textId="00C72F95" w:rsidR="00FF6A23" w:rsidRPr="00FF6A23" w:rsidRDefault="00FF6A23" w:rsidP="00FF6A23">
      <w:pPr>
        <w:pStyle w:val="CETReference-text"/>
        <w:rPr>
          <w:lang w:val="en-US"/>
        </w:rPr>
      </w:pPr>
      <w:r w:rsidRPr="00A5047F">
        <w:rPr>
          <w:lang w:val="en-US"/>
        </w:rPr>
        <w:t>Milani F., Milani G.,</w:t>
      </w:r>
      <w:r>
        <w:rPr>
          <w:lang w:val="en-US"/>
        </w:rPr>
        <w:t xml:space="preserve"> 2017, </w:t>
      </w:r>
      <w:r w:rsidRPr="00FF6A23">
        <w:rPr>
          <w:lang w:val="en-US"/>
        </w:rPr>
        <w:t>Comprehensive kinetic numerical model for NR and high-c</w:t>
      </w:r>
      <w:r>
        <w:rPr>
          <w:lang w:val="en-US"/>
        </w:rPr>
        <w:t xml:space="preserve">is poly-butadiene rubber blends, </w:t>
      </w:r>
      <w:r w:rsidRPr="00FF6A23">
        <w:rPr>
          <w:lang w:val="en-US"/>
        </w:rPr>
        <w:t>Ch</w:t>
      </w:r>
      <w:r>
        <w:rPr>
          <w:lang w:val="en-US"/>
        </w:rPr>
        <w:t xml:space="preserve">emical Engineering Transactions, </w:t>
      </w:r>
      <w:r w:rsidRPr="00FF6A23">
        <w:rPr>
          <w:lang w:val="en-US"/>
        </w:rPr>
        <w:t>57, 1495-1500</w:t>
      </w:r>
      <w:r>
        <w:rPr>
          <w:lang w:val="en-US"/>
        </w:rPr>
        <w:t>.</w:t>
      </w:r>
    </w:p>
    <w:p w14:paraId="759F4CEA" w14:textId="1014E448" w:rsidR="00DC2A25" w:rsidRPr="00A5047F" w:rsidRDefault="00A85090" w:rsidP="00DC2A25">
      <w:pPr>
        <w:pStyle w:val="CETReference-text"/>
        <w:rPr>
          <w:lang w:val="en-US"/>
        </w:rPr>
      </w:pPr>
      <w:r w:rsidRPr="00A5047F">
        <w:rPr>
          <w:lang w:val="en-US"/>
        </w:rPr>
        <w:t>Milani F., Milani G., 2018a,</w:t>
      </w:r>
      <w:r w:rsidR="00DC2A25" w:rsidRPr="00A5047F">
        <w:rPr>
          <w:lang w:val="en-US"/>
        </w:rPr>
        <w:t xml:space="preserve"> Rubber blends: kinetic numerical model by rheometer experimental characterization</w:t>
      </w:r>
      <w:r w:rsidRPr="00A5047F">
        <w:rPr>
          <w:lang w:val="en-US"/>
        </w:rPr>
        <w:t>,</w:t>
      </w:r>
      <w:r w:rsidR="00DC2A25" w:rsidRPr="00A5047F">
        <w:rPr>
          <w:lang w:val="en-US"/>
        </w:rPr>
        <w:t xml:space="preserve"> Journal of Mathematical Chemistry, 56, 1520–1542. </w:t>
      </w:r>
    </w:p>
    <w:p w14:paraId="766B04CB" w14:textId="19660B92" w:rsidR="00FF6A23" w:rsidRPr="00FF6A23" w:rsidRDefault="00A85090" w:rsidP="00983F9E">
      <w:pPr>
        <w:pStyle w:val="CETReference-text"/>
        <w:rPr>
          <w:lang w:val="en-US"/>
        </w:rPr>
      </w:pPr>
      <w:r w:rsidRPr="00A5047F">
        <w:rPr>
          <w:lang w:val="en-US"/>
        </w:rPr>
        <w:t xml:space="preserve">Milani G., Milani F., </w:t>
      </w:r>
      <w:r w:rsidR="00DC2A25" w:rsidRPr="00A5047F">
        <w:rPr>
          <w:lang w:val="en-US"/>
        </w:rPr>
        <w:t>2018</w:t>
      </w:r>
      <w:r w:rsidR="00593FE2" w:rsidRPr="00A5047F">
        <w:rPr>
          <w:lang w:val="en-US"/>
        </w:rPr>
        <w:t>b</w:t>
      </w:r>
      <w:r w:rsidRPr="00A5047F">
        <w:rPr>
          <w:lang w:val="en-US"/>
        </w:rPr>
        <w:t>,</w:t>
      </w:r>
      <w:r w:rsidR="00DC2A25" w:rsidRPr="00A5047F">
        <w:rPr>
          <w:lang w:val="en-US"/>
        </w:rPr>
        <w:t xml:space="preserve"> Optimal vulcanization of tires: Experimentation on idealized NR-PB natural and poly-butadiene rubber blends, phenomenological smoothed numerical kinetic model and FE implementation</w:t>
      </w:r>
      <w:r w:rsidRPr="00A5047F">
        <w:rPr>
          <w:lang w:val="en-US"/>
        </w:rPr>
        <w:t>,</w:t>
      </w:r>
      <w:r w:rsidR="00DC2A25" w:rsidRPr="00A5047F">
        <w:rPr>
          <w:lang w:val="en-US"/>
        </w:rPr>
        <w:t xml:space="preserve"> Polymer Testing, 72, 63-85.</w:t>
      </w:r>
    </w:p>
    <w:sectPr w:rsidR="00FF6A23" w:rsidRPr="00FF6A23"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955D5" w14:textId="77777777" w:rsidR="0054668D" w:rsidRDefault="0054668D" w:rsidP="004F5E36">
      <w:r>
        <w:separator/>
      </w:r>
    </w:p>
  </w:endnote>
  <w:endnote w:type="continuationSeparator" w:id="0">
    <w:p w14:paraId="3234850D" w14:textId="77777777" w:rsidR="0054668D" w:rsidRDefault="0054668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GreekC">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7C514" w14:textId="77777777" w:rsidR="0054668D" w:rsidRDefault="0054668D" w:rsidP="004F5E36">
      <w:r>
        <w:separator/>
      </w:r>
    </w:p>
  </w:footnote>
  <w:footnote w:type="continuationSeparator" w:id="0">
    <w:p w14:paraId="33E112B2" w14:textId="77777777" w:rsidR="0054668D" w:rsidRDefault="0054668D"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536679B"/>
    <w:multiLevelType w:val="hybridMultilevel"/>
    <w:tmpl w:val="F2541E1A"/>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rqynnHxIV2KZAj9dKsCBR53Gf+6x6OCj+SoDsGxRi3SNx7Q3MimQuOvwt1yaTeZ/1IBxv76FucSD+lEUwSV1Q==" w:salt="dTozw7DQbgD/LBv840ec8Q=="/>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6288"/>
    <w:rsid w:val="0003148D"/>
    <w:rsid w:val="00051566"/>
    <w:rsid w:val="00061F8E"/>
    <w:rsid w:val="00062A9A"/>
    <w:rsid w:val="00065058"/>
    <w:rsid w:val="00086C39"/>
    <w:rsid w:val="000A03B2"/>
    <w:rsid w:val="000D34BE"/>
    <w:rsid w:val="000E102F"/>
    <w:rsid w:val="000E36F1"/>
    <w:rsid w:val="000E3A73"/>
    <w:rsid w:val="000E414A"/>
    <w:rsid w:val="000F0097"/>
    <w:rsid w:val="000F093C"/>
    <w:rsid w:val="000F787B"/>
    <w:rsid w:val="00107337"/>
    <w:rsid w:val="00112195"/>
    <w:rsid w:val="0012091F"/>
    <w:rsid w:val="00126BC2"/>
    <w:rsid w:val="001308B6"/>
    <w:rsid w:val="0013121F"/>
    <w:rsid w:val="00131FE6"/>
    <w:rsid w:val="0013263F"/>
    <w:rsid w:val="00134DE4"/>
    <w:rsid w:val="0014034D"/>
    <w:rsid w:val="0014464F"/>
    <w:rsid w:val="00150E59"/>
    <w:rsid w:val="00152DE3"/>
    <w:rsid w:val="0016274F"/>
    <w:rsid w:val="00164CF9"/>
    <w:rsid w:val="00184AD6"/>
    <w:rsid w:val="001A5B78"/>
    <w:rsid w:val="001B0349"/>
    <w:rsid w:val="001B65C1"/>
    <w:rsid w:val="001C684B"/>
    <w:rsid w:val="001D53FC"/>
    <w:rsid w:val="001D7C9E"/>
    <w:rsid w:val="001F1975"/>
    <w:rsid w:val="001F42A5"/>
    <w:rsid w:val="001F7B9D"/>
    <w:rsid w:val="002224B4"/>
    <w:rsid w:val="00230163"/>
    <w:rsid w:val="002447EF"/>
    <w:rsid w:val="002506EB"/>
    <w:rsid w:val="00251550"/>
    <w:rsid w:val="00263B05"/>
    <w:rsid w:val="00265C2E"/>
    <w:rsid w:val="0027221A"/>
    <w:rsid w:val="00275B61"/>
    <w:rsid w:val="00282656"/>
    <w:rsid w:val="00296B83"/>
    <w:rsid w:val="002B78CE"/>
    <w:rsid w:val="002C2FB6"/>
    <w:rsid w:val="002C596A"/>
    <w:rsid w:val="003009B7"/>
    <w:rsid w:val="00300E56"/>
    <w:rsid w:val="0030469C"/>
    <w:rsid w:val="00321CA6"/>
    <w:rsid w:val="00333009"/>
    <w:rsid w:val="00334C09"/>
    <w:rsid w:val="003411C7"/>
    <w:rsid w:val="003723D4"/>
    <w:rsid w:val="00383F4B"/>
    <w:rsid w:val="00384CC8"/>
    <w:rsid w:val="003871FD"/>
    <w:rsid w:val="003A1E30"/>
    <w:rsid w:val="003A7D1C"/>
    <w:rsid w:val="003B304B"/>
    <w:rsid w:val="003B3146"/>
    <w:rsid w:val="003C7145"/>
    <w:rsid w:val="003F015E"/>
    <w:rsid w:val="00400414"/>
    <w:rsid w:val="00400899"/>
    <w:rsid w:val="00411ECD"/>
    <w:rsid w:val="0041446B"/>
    <w:rsid w:val="0044329C"/>
    <w:rsid w:val="004577FE"/>
    <w:rsid w:val="00457B9C"/>
    <w:rsid w:val="0046164A"/>
    <w:rsid w:val="004628D2"/>
    <w:rsid w:val="00462DCD"/>
    <w:rsid w:val="004648AD"/>
    <w:rsid w:val="00466CE5"/>
    <w:rsid w:val="004703A9"/>
    <w:rsid w:val="00471AE7"/>
    <w:rsid w:val="004760DE"/>
    <w:rsid w:val="004A004E"/>
    <w:rsid w:val="004A24CF"/>
    <w:rsid w:val="004C169A"/>
    <w:rsid w:val="004C3D1D"/>
    <w:rsid w:val="004C7913"/>
    <w:rsid w:val="004D4237"/>
    <w:rsid w:val="004D5CA1"/>
    <w:rsid w:val="004E4DD6"/>
    <w:rsid w:val="004E560E"/>
    <w:rsid w:val="004F5E36"/>
    <w:rsid w:val="00507B47"/>
    <w:rsid w:val="00507CC9"/>
    <w:rsid w:val="005119A5"/>
    <w:rsid w:val="005133A8"/>
    <w:rsid w:val="005278B7"/>
    <w:rsid w:val="00527ED0"/>
    <w:rsid w:val="00532016"/>
    <w:rsid w:val="005346C8"/>
    <w:rsid w:val="00543E7D"/>
    <w:rsid w:val="0054668D"/>
    <w:rsid w:val="00547A68"/>
    <w:rsid w:val="005531C9"/>
    <w:rsid w:val="00593FE2"/>
    <w:rsid w:val="005B081F"/>
    <w:rsid w:val="005B2110"/>
    <w:rsid w:val="005B61E6"/>
    <w:rsid w:val="005C77E1"/>
    <w:rsid w:val="005D6A2F"/>
    <w:rsid w:val="005E1A82"/>
    <w:rsid w:val="005E794C"/>
    <w:rsid w:val="005F0A28"/>
    <w:rsid w:val="005F0E5E"/>
    <w:rsid w:val="00600535"/>
    <w:rsid w:val="00610CD6"/>
    <w:rsid w:val="00616F88"/>
    <w:rsid w:val="00620C11"/>
    <w:rsid w:val="00620DEE"/>
    <w:rsid w:val="00621F92"/>
    <w:rsid w:val="00625639"/>
    <w:rsid w:val="00631B33"/>
    <w:rsid w:val="0064184D"/>
    <w:rsid w:val="00660E3E"/>
    <w:rsid w:val="00662E74"/>
    <w:rsid w:val="00680C23"/>
    <w:rsid w:val="00693766"/>
    <w:rsid w:val="006A3281"/>
    <w:rsid w:val="006B4888"/>
    <w:rsid w:val="006C1CB9"/>
    <w:rsid w:val="006C2E45"/>
    <w:rsid w:val="006C359C"/>
    <w:rsid w:val="006C54BD"/>
    <w:rsid w:val="006C5579"/>
    <w:rsid w:val="006E737D"/>
    <w:rsid w:val="00720A24"/>
    <w:rsid w:val="00732386"/>
    <w:rsid w:val="007447F3"/>
    <w:rsid w:val="0075499F"/>
    <w:rsid w:val="007661C8"/>
    <w:rsid w:val="0077098D"/>
    <w:rsid w:val="007A1C1B"/>
    <w:rsid w:val="007A7BBA"/>
    <w:rsid w:val="007B0C50"/>
    <w:rsid w:val="007B4219"/>
    <w:rsid w:val="007C1A43"/>
    <w:rsid w:val="00813288"/>
    <w:rsid w:val="008168FC"/>
    <w:rsid w:val="00822825"/>
    <w:rsid w:val="00830996"/>
    <w:rsid w:val="008345F1"/>
    <w:rsid w:val="00850C07"/>
    <w:rsid w:val="00865B07"/>
    <w:rsid w:val="008667EA"/>
    <w:rsid w:val="00873D70"/>
    <w:rsid w:val="0087637F"/>
    <w:rsid w:val="00892AD5"/>
    <w:rsid w:val="008A1512"/>
    <w:rsid w:val="008D433B"/>
    <w:rsid w:val="008E566E"/>
    <w:rsid w:val="00900D11"/>
    <w:rsid w:val="0090161A"/>
    <w:rsid w:val="00901EB6"/>
    <w:rsid w:val="00904C62"/>
    <w:rsid w:val="00924DAC"/>
    <w:rsid w:val="00927058"/>
    <w:rsid w:val="009450CE"/>
    <w:rsid w:val="00947179"/>
    <w:rsid w:val="0095164B"/>
    <w:rsid w:val="00954090"/>
    <w:rsid w:val="009573E7"/>
    <w:rsid w:val="009617B6"/>
    <w:rsid w:val="00963E05"/>
    <w:rsid w:val="00967D54"/>
    <w:rsid w:val="009723BD"/>
    <w:rsid w:val="00983F9E"/>
    <w:rsid w:val="00996483"/>
    <w:rsid w:val="00996F5A"/>
    <w:rsid w:val="009B041A"/>
    <w:rsid w:val="009C0A6F"/>
    <w:rsid w:val="009C7C86"/>
    <w:rsid w:val="009D2FF7"/>
    <w:rsid w:val="009E7884"/>
    <w:rsid w:val="009E788A"/>
    <w:rsid w:val="009F0E08"/>
    <w:rsid w:val="009F7F64"/>
    <w:rsid w:val="00A02821"/>
    <w:rsid w:val="00A1763D"/>
    <w:rsid w:val="00A17CEC"/>
    <w:rsid w:val="00A27EF0"/>
    <w:rsid w:val="00A34203"/>
    <w:rsid w:val="00A3434B"/>
    <w:rsid w:val="00A5047F"/>
    <w:rsid w:val="00A50B20"/>
    <w:rsid w:val="00A51390"/>
    <w:rsid w:val="00A60D13"/>
    <w:rsid w:val="00A72745"/>
    <w:rsid w:val="00A76EFC"/>
    <w:rsid w:val="00A85090"/>
    <w:rsid w:val="00A91010"/>
    <w:rsid w:val="00A97F29"/>
    <w:rsid w:val="00AA702E"/>
    <w:rsid w:val="00AA7564"/>
    <w:rsid w:val="00AB0964"/>
    <w:rsid w:val="00AB431A"/>
    <w:rsid w:val="00AB5011"/>
    <w:rsid w:val="00AC7368"/>
    <w:rsid w:val="00AD16B9"/>
    <w:rsid w:val="00AE377D"/>
    <w:rsid w:val="00B17FBD"/>
    <w:rsid w:val="00B315A6"/>
    <w:rsid w:val="00B31813"/>
    <w:rsid w:val="00B33365"/>
    <w:rsid w:val="00B5596A"/>
    <w:rsid w:val="00B57B36"/>
    <w:rsid w:val="00B6313F"/>
    <w:rsid w:val="00B8686D"/>
    <w:rsid w:val="00BC30C9"/>
    <w:rsid w:val="00BD5A52"/>
    <w:rsid w:val="00BE3E58"/>
    <w:rsid w:val="00C01616"/>
    <w:rsid w:val="00C0162B"/>
    <w:rsid w:val="00C23EA2"/>
    <w:rsid w:val="00C345B1"/>
    <w:rsid w:val="00C40142"/>
    <w:rsid w:val="00C57182"/>
    <w:rsid w:val="00C57863"/>
    <w:rsid w:val="00C655FD"/>
    <w:rsid w:val="00C71FB5"/>
    <w:rsid w:val="00C870A8"/>
    <w:rsid w:val="00C94434"/>
    <w:rsid w:val="00CA0D75"/>
    <w:rsid w:val="00CA1C95"/>
    <w:rsid w:val="00CA5A9C"/>
    <w:rsid w:val="00CA7A10"/>
    <w:rsid w:val="00CB5B30"/>
    <w:rsid w:val="00CC1FCB"/>
    <w:rsid w:val="00CD5FE2"/>
    <w:rsid w:val="00CE7C68"/>
    <w:rsid w:val="00D02B4C"/>
    <w:rsid w:val="00D040C4"/>
    <w:rsid w:val="00D15A99"/>
    <w:rsid w:val="00D56F6A"/>
    <w:rsid w:val="00D57C84"/>
    <w:rsid w:val="00D6057D"/>
    <w:rsid w:val="00D84576"/>
    <w:rsid w:val="00D90357"/>
    <w:rsid w:val="00DA1399"/>
    <w:rsid w:val="00DA24C6"/>
    <w:rsid w:val="00DA4D7B"/>
    <w:rsid w:val="00DC2A25"/>
    <w:rsid w:val="00DC3D0B"/>
    <w:rsid w:val="00DD54CE"/>
    <w:rsid w:val="00DE264A"/>
    <w:rsid w:val="00DF005C"/>
    <w:rsid w:val="00E02D18"/>
    <w:rsid w:val="00E041E7"/>
    <w:rsid w:val="00E10868"/>
    <w:rsid w:val="00E233C4"/>
    <w:rsid w:val="00E23CA1"/>
    <w:rsid w:val="00E409A8"/>
    <w:rsid w:val="00E50C12"/>
    <w:rsid w:val="00E567F1"/>
    <w:rsid w:val="00E62456"/>
    <w:rsid w:val="00E65B91"/>
    <w:rsid w:val="00E7209D"/>
    <w:rsid w:val="00E77223"/>
    <w:rsid w:val="00E8528B"/>
    <w:rsid w:val="00E85B94"/>
    <w:rsid w:val="00E978D0"/>
    <w:rsid w:val="00EA4613"/>
    <w:rsid w:val="00EA7F91"/>
    <w:rsid w:val="00EB1523"/>
    <w:rsid w:val="00EC0E49"/>
    <w:rsid w:val="00EE0131"/>
    <w:rsid w:val="00EF1347"/>
    <w:rsid w:val="00EF2394"/>
    <w:rsid w:val="00F30C64"/>
    <w:rsid w:val="00F32CDB"/>
    <w:rsid w:val="00F63A70"/>
    <w:rsid w:val="00F93EE6"/>
    <w:rsid w:val="00F9647B"/>
    <w:rsid w:val="00FA21D0"/>
    <w:rsid w:val="00FA5F5F"/>
    <w:rsid w:val="00FB5204"/>
    <w:rsid w:val="00FB730C"/>
    <w:rsid w:val="00FC2695"/>
    <w:rsid w:val="00FC3E03"/>
    <w:rsid w:val="00FC3FC1"/>
    <w:rsid w:val="00FE480D"/>
    <w:rsid w:val="00FF6A2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5E32E1C0-7164-45E9-845C-DC4FC7ED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DC2A25"/>
    <w:pPr>
      <w:tabs>
        <w:tab w:val="clear" w:pos="7100"/>
      </w:tabs>
      <w:spacing w:after="200" w:line="276" w:lineRule="auto"/>
      <w:ind w:left="720"/>
      <w:contextualSpacing/>
      <w:jc w:val="left"/>
    </w:pPr>
    <w:rPr>
      <w:rFonts w:asciiTheme="minorHAnsi" w:eastAsiaTheme="minorHAnsi" w:hAnsiTheme="minorHAnsi" w:cstheme="minorBidi"/>
      <w:sz w:val="22"/>
      <w:szCs w:val="22"/>
      <w:lang w:val="it-IT"/>
    </w:rPr>
  </w:style>
  <w:style w:type="paragraph" w:customStyle="1" w:styleId="CETReference-text">
    <w:name w:val="CET Reference-text"/>
    <w:rsid w:val="00DC2A25"/>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wmf"/><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image" Target="media/image32.emf"/><Relationship Id="rId68"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emf"/><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7.emf"/><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2.bin"/><Relationship Id="rId66"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image" Target="media/image31.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wmf"/><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3.emf"/><Relationship Id="rId69" Type="http://schemas.openxmlformats.org/officeDocument/2006/relationships/image" Target="media/image38.emf"/><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oleObject" Target="embeddings/oleObject10.bin"/><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image" Target="media/image36.emf"/><Relationship Id="rId20" Type="http://schemas.openxmlformats.org/officeDocument/2006/relationships/oleObject" Target="embeddings/oleObject6.bin"/><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emf"/><Relationship Id="rId36" Type="http://schemas.openxmlformats.org/officeDocument/2006/relationships/oleObject" Target="embeddings/oleObject9.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3.wmf"/><Relationship Id="rId31" Type="http://schemas.openxmlformats.org/officeDocument/2006/relationships/image" Target="media/image16.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1.bin"/><Relationship Id="rId34"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image" Target="media/image28.wmf"/><Relationship Id="rId7" Type="http://schemas.openxmlformats.org/officeDocument/2006/relationships/endnotes" Target="endnotes.xml"/><Relationship Id="rId71" Type="http://schemas.openxmlformats.org/officeDocument/2006/relationships/image" Target="media/image4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A9332-8981-47FC-8040-28A81727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Pages>
  <Words>3246</Words>
  <Characters>18508</Characters>
  <Application>Microsoft Office Word</Application>
  <DocSecurity>0</DocSecurity>
  <Lines>154</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Gabriele</cp:lastModifiedBy>
  <cp:revision>19</cp:revision>
  <cp:lastPrinted>2019-01-30T20:26:00Z</cp:lastPrinted>
  <dcterms:created xsi:type="dcterms:W3CDTF">2019-01-30T15:22:00Z</dcterms:created>
  <dcterms:modified xsi:type="dcterms:W3CDTF">2019-04-07T05:57:00Z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